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090A9A">
      <w:pPr>
        <w:jc w:val="center"/>
        <w:rPr>
          <w:rFonts w:hint="eastAsia" w:ascii="宋体" w:hAnsi="宋体" w:eastAsia="宋体" w:cs="宋体"/>
          <w:sz w:val="22"/>
          <w:szCs w:val="16"/>
        </w:rPr>
      </w:pPr>
      <w:r>
        <w:rPr>
          <w:rFonts w:hint="eastAsia" w:ascii="宋体" w:hAnsi="宋体" w:eastAsia="宋体" w:cs="宋体"/>
          <w:sz w:val="22"/>
          <w:szCs w:val="16"/>
        </w:rPr>
        <w:t xml:space="preserve"> </w:t>
      </w:r>
    </w:p>
    <w:p w14:paraId="5C3B728D">
      <w:pPr>
        <w:jc w:val="center"/>
        <w:rPr>
          <w:rFonts w:hint="eastAsia" w:ascii="宋体" w:hAnsi="宋体" w:eastAsia="宋体" w:cs="宋体"/>
          <w:sz w:val="22"/>
          <w:szCs w:val="16"/>
        </w:rPr>
      </w:pPr>
    </w:p>
    <w:p w14:paraId="74FD7B21">
      <w:pPr>
        <w:jc w:val="center"/>
        <w:rPr>
          <w:rFonts w:hint="eastAsia" w:ascii="宋体" w:hAnsi="宋体" w:eastAsia="宋体" w:cs="宋体"/>
          <w:sz w:val="22"/>
          <w:szCs w:val="16"/>
        </w:rPr>
      </w:pPr>
    </w:p>
    <w:p w14:paraId="36331A2D">
      <w:pPr>
        <w:jc w:val="center"/>
        <w:outlineLvl w:val="0"/>
        <w:rPr>
          <w:rFonts w:hint="eastAsia" w:ascii="宋体" w:hAnsi="宋体" w:eastAsia="宋体" w:cs="宋体"/>
          <w:b/>
          <w:bCs/>
          <w:spacing w:val="80"/>
          <w:sz w:val="72"/>
          <w:szCs w:val="72"/>
        </w:rPr>
      </w:pPr>
      <w:r>
        <w:rPr>
          <w:rFonts w:hint="eastAsia" w:ascii="宋体" w:hAnsi="宋体" w:eastAsia="宋体" w:cs="宋体"/>
          <w:b/>
          <w:bCs/>
          <w:spacing w:val="80"/>
          <w:sz w:val="72"/>
          <w:szCs w:val="72"/>
        </w:rPr>
        <w:t>竞争性磋商</w:t>
      </w:r>
    </w:p>
    <w:p w14:paraId="56557B2D">
      <w:pPr>
        <w:jc w:val="center"/>
        <w:outlineLvl w:val="0"/>
        <w:rPr>
          <w:rFonts w:hint="eastAsia" w:ascii="宋体" w:hAnsi="宋体" w:eastAsia="宋体" w:cs="宋体"/>
          <w:b/>
          <w:bCs/>
          <w:spacing w:val="80"/>
          <w:sz w:val="72"/>
          <w:szCs w:val="72"/>
        </w:rPr>
      </w:pPr>
      <w:r>
        <w:rPr>
          <w:rFonts w:hint="eastAsia" w:ascii="宋体" w:hAnsi="宋体" w:eastAsia="宋体" w:cs="宋体"/>
          <w:b/>
          <w:bCs/>
          <w:spacing w:val="80"/>
          <w:sz w:val="72"/>
          <w:szCs w:val="72"/>
        </w:rPr>
        <w:t>文件</w:t>
      </w:r>
    </w:p>
    <w:p w14:paraId="4B23DBBE">
      <w:pPr>
        <w:spacing w:line="700" w:lineRule="exact"/>
        <w:jc w:val="center"/>
        <w:rPr>
          <w:rFonts w:hint="eastAsia" w:ascii="宋体" w:hAnsi="宋体" w:eastAsia="宋体" w:cs="宋体"/>
          <w:sz w:val="24"/>
          <w:szCs w:val="16"/>
        </w:rPr>
      </w:pPr>
    </w:p>
    <w:p w14:paraId="7369367A">
      <w:pPr>
        <w:spacing w:line="700" w:lineRule="exact"/>
        <w:rPr>
          <w:rFonts w:hint="eastAsia" w:ascii="宋体" w:hAnsi="宋体" w:eastAsia="宋体" w:cs="宋体"/>
          <w:sz w:val="24"/>
          <w:szCs w:val="16"/>
        </w:rPr>
      </w:pPr>
    </w:p>
    <w:p w14:paraId="4DC8BC25">
      <w:pPr>
        <w:spacing w:line="700" w:lineRule="exact"/>
        <w:jc w:val="center"/>
        <w:rPr>
          <w:rFonts w:hint="eastAsia" w:ascii="宋体" w:hAnsi="宋体" w:eastAsia="宋体" w:cs="宋体"/>
          <w:sz w:val="24"/>
          <w:szCs w:val="16"/>
        </w:rPr>
      </w:pPr>
    </w:p>
    <w:p w14:paraId="515FA952">
      <w:pPr>
        <w:spacing w:line="700" w:lineRule="exact"/>
        <w:jc w:val="center"/>
        <w:rPr>
          <w:rFonts w:hint="eastAsia" w:ascii="宋体" w:hAnsi="宋体" w:eastAsia="宋体" w:cs="宋体"/>
          <w:sz w:val="24"/>
          <w:szCs w:val="16"/>
        </w:rPr>
      </w:pPr>
    </w:p>
    <w:p w14:paraId="3D5DA1B6">
      <w:pPr>
        <w:spacing w:line="700" w:lineRule="exact"/>
        <w:ind w:left="1120" w:leftChars="400" w:firstLine="0" w:firstLineChars="0"/>
        <w:rPr>
          <w:rFonts w:hint="eastAsia" w:ascii="宋体" w:hAnsi="宋体" w:eastAsia="宋体" w:cs="宋体"/>
          <w:color w:val="auto"/>
          <w:szCs w:val="24"/>
        </w:rPr>
      </w:pPr>
      <w:r>
        <w:rPr>
          <w:rFonts w:hint="eastAsia" w:ascii="宋体" w:hAnsi="宋体" w:eastAsia="宋体" w:cs="宋体"/>
          <w:szCs w:val="24"/>
        </w:rPr>
        <w:t>磋商项目名称：重庆市大足区城市管理局食堂食材配送服务采购-干鲜类、</w:t>
      </w:r>
      <w:r>
        <w:rPr>
          <w:rFonts w:hint="eastAsia" w:ascii="宋体" w:hAnsi="宋体" w:cs="宋体"/>
          <w:szCs w:val="24"/>
          <w:lang w:val="en-US" w:eastAsia="zh-CN"/>
        </w:rPr>
        <w:t>蛋类、</w:t>
      </w:r>
      <w:r>
        <w:rPr>
          <w:rFonts w:hint="eastAsia" w:ascii="宋体" w:hAnsi="宋体" w:eastAsia="宋体" w:cs="宋体"/>
          <w:szCs w:val="24"/>
        </w:rPr>
        <w:t>米面油及奶制品</w:t>
      </w:r>
    </w:p>
    <w:p w14:paraId="2A1AF262">
      <w:pPr>
        <w:spacing w:line="700" w:lineRule="exact"/>
        <w:ind w:firstLine="3080" w:firstLineChars="1100"/>
        <w:rPr>
          <w:rFonts w:hint="eastAsia" w:ascii="宋体" w:hAnsi="宋体" w:eastAsia="宋体" w:cs="宋体"/>
          <w:color w:val="auto"/>
        </w:rPr>
      </w:pPr>
    </w:p>
    <w:p w14:paraId="4395AD54">
      <w:pPr>
        <w:spacing w:line="700" w:lineRule="exact"/>
        <w:ind w:left="3696" w:leftChars="405" w:hanging="2562" w:hangingChars="915"/>
        <w:rPr>
          <w:rFonts w:hint="eastAsia" w:ascii="宋体" w:hAnsi="宋体" w:eastAsia="宋体" w:cs="宋体"/>
          <w:color w:val="auto"/>
          <w:sz w:val="28"/>
          <w:szCs w:val="24"/>
          <w:lang w:val="en-US" w:eastAsia="zh-CN"/>
        </w:rPr>
      </w:pPr>
      <w:r>
        <w:rPr>
          <w:rFonts w:hint="eastAsia" w:ascii="宋体" w:hAnsi="宋体" w:eastAsia="宋体" w:cs="宋体"/>
          <w:color w:val="auto"/>
          <w:sz w:val="28"/>
          <w:szCs w:val="24"/>
        </w:rPr>
        <w:t>项目编号：202505-300019</w:t>
      </w:r>
    </w:p>
    <w:p w14:paraId="4E7C69C7">
      <w:pPr>
        <w:spacing w:line="700" w:lineRule="exact"/>
        <w:ind w:firstLine="1360" w:firstLineChars="486"/>
        <w:rPr>
          <w:rFonts w:hint="eastAsia" w:ascii="宋体" w:hAnsi="宋体" w:eastAsia="宋体" w:cs="宋体"/>
          <w:szCs w:val="24"/>
        </w:rPr>
      </w:pPr>
    </w:p>
    <w:p w14:paraId="2B631895">
      <w:pPr>
        <w:spacing w:line="700" w:lineRule="exact"/>
        <w:ind w:firstLine="1360" w:firstLineChars="486"/>
        <w:rPr>
          <w:rFonts w:hint="eastAsia" w:ascii="宋体" w:hAnsi="宋体" w:eastAsia="宋体" w:cs="宋体"/>
          <w:szCs w:val="24"/>
        </w:rPr>
      </w:pPr>
    </w:p>
    <w:p w14:paraId="5D795C0B">
      <w:pPr>
        <w:spacing w:line="700" w:lineRule="exact"/>
        <w:jc w:val="center"/>
        <w:rPr>
          <w:rFonts w:hint="eastAsia" w:ascii="宋体" w:hAnsi="宋体" w:eastAsia="宋体" w:cs="宋体"/>
          <w:b/>
          <w:sz w:val="24"/>
          <w:szCs w:val="24"/>
        </w:rPr>
      </w:pPr>
    </w:p>
    <w:p w14:paraId="1AA0278E">
      <w:pPr>
        <w:spacing w:line="700" w:lineRule="exact"/>
        <w:ind w:firstLine="1500" w:firstLineChars="500"/>
        <w:rPr>
          <w:rFonts w:hint="eastAsia" w:ascii="宋体" w:hAnsi="宋体" w:eastAsia="宋体" w:cs="宋体"/>
          <w:b/>
          <w:sz w:val="30"/>
          <w:szCs w:val="30"/>
        </w:rPr>
      </w:pPr>
      <w:r>
        <w:rPr>
          <w:rFonts w:hint="eastAsia" w:ascii="宋体" w:hAnsi="宋体" w:eastAsia="宋体" w:cs="宋体"/>
          <w:sz w:val="30"/>
          <w:szCs w:val="30"/>
        </w:rPr>
        <w:t>采   购   人：重庆市大足区城市管理局</w:t>
      </w:r>
    </w:p>
    <w:p w14:paraId="7717D302">
      <w:pPr>
        <w:spacing w:line="700" w:lineRule="exact"/>
        <w:ind w:firstLine="1458" w:firstLineChars="486"/>
        <w:rPr>
          <w:rFonts w:hint="eastAsia" w:ascii="宋体" w:hAnsi="宋体" w:eastAsia="宋体" w:cs="宋体"/>
          <w:sz w:val="30"/>
          <w:szCs w:val="30"/>
        </w:rPr>
      </w:pPr>
      <w:r>
        <w:rPr>
          <w:rFonts w:hint="eastAsia" w:ascii="宋体" w:hAnsi="宋体" w:eastAsia="宋体" w:cs="宋体"/>
          <w:color w:val="000000"/>
          <w:sz w:val="30"/>
          <w:szCs w:val="30"/>
        </w:rPr>
        <w:t>采购代理机构：</w:t>
      </w:r>
      <w:r>
        <w:rPr>
          <w:rFonts w:hint="eastAsia" w:ascii="宋体" w:hAnsi="宋体" w:eastAsia="宋体" w:cs="宋体"/>
          <w:sz w:val="30"/>
          <w:szCs w:val="30"/>
        </w:rPr>
        <w:t>明科建设咨询有限公司</w:t>
      </w:r>
    </w:p>
    <w:p w14:paraId="10809D3F">
      <w:pPr>
        <w:spacing w:line="700" w:lineRule="exact"/>
        <w:ind w:firstLine="1360" w:firstLineChars="486"/>
        <w:rPr>
          <w:rFonts w:hint="eastAsia" w:ascii="宋体" w:hAnsi="宋体" w:eastAsia="宋体" w:cs="宋体"/>
          <w:szCs w:val="24"/>
        </w:rPr>
      </w:pPr>
    </w:p>
    <w:p w14:paraId="63D754A9">
      <w:pPr>
        <w:spacing w:line="720" w:lineRule="exact"/>
        <w:jc w:val="center"/>
        <w:outlineLvl w:val="0"/>
        <w:rPr>
          <w:rFonts w:hint="eastAsia" w:ascii="宋体" w:hAnsi="宋体" w:eastAsia="宋体" w:cs="宋体"/>
          <w:b w:val="0"/>
          <w:bCs w:val="0"/>
          <w:sz w:val="40"/>
          <w:szCs w:val="24"/>
        </w:rPr>
      </w:pPr>
      <w:r>
        <w:rPr>
          <w:rFonts w:hint="eastAsia" w:ascii="宋体" w:hAnsi="宋体" w:eastAsia="宋体" w:cs="宋体"/>
          <w:b w:val="0"/>
          <w:bCs w:val="0"/>
          <w:sz w:val="40"/>
          <w:szCs w:val="24"/>
        </w:rPr>
        <w:t>二〇二五年</w:t>
      </w:r>
      <w:r>
        <w:rPr>
          <w:rFonts w:hint="eastAsia" w:ascii="宋体" w:hAnsi="宋体" w:cs="宋体"/>
          <w:b w:val="0"/>
          <w:bCs w:val="0"/>
          <w:sz w:val="40"/>
          <w:szCs w:val="24"/>
          <w:lang w:val="en-US" w:eastAsia="zh-CN"/>
        </w:rPr>
        <w:t>五</w:t>
      </w:r>
      <w:r>
        <w:rPr>
          <w:rFonts w:hint="eastAsia" w:ascii="宋体" w:hAnsi="宋体" w:eastAsia="宋体" w:cs="宋体"/>
          <w:b w:val="0"/>
          <w:bCs w:val="0"/>
          <w:sz w:val="40"/>
          <w:szCs w:val="24"/>
        </w:rPr>
        <w:t>月</w:t>
      </w:r>
    </w:p>
    <w:p w14:paraId="29C2F182">
      <w:pPr>
        <w:spacing w:line="480" w:lineRule="exact"/>
        <w:jc w:val="center"/>
        <w:outlineLvl w:val="0"/>
        <w:rPr>
          <w:rFonts w:hint="eastAsia" w:ascii="宋体" w:hAnsi="宋体" w:eastAsia="宋体" w:cs="宋体"/>
          <w:sz w:val="44"/>
          <w:szCs w:val="28"/>
        </w:rPr>
        <w:sectPr>
          <w:headerReference r:id="rId3" w:type="first"/>
          <w:footerReference r:id="rId5" w:type="first"/>
          <w:footerReference r:id="rId4" w:type="even"/>
          <w:pgSz w:w="11907" w:h="16840"/>
          <w:pgMar w:top="1134" w:right="1191" w:bottom="1134" w:left="1304" w:header="851" w:footer="992" w:gutter="0"/>
          <w:pgNumType w:fmt="numberInDash" w:start="1"/>
          <w:cols w:space="720" w:num="1"/>
          <w:docGrid w:linePitch="380" w:charSpace="-5735"/>
        </w:sectPr>
      </w:pPr>
    </w:p>
    <w:p w14:paraId="5C811EC0">
      <w:pPr>
        <w:spacing w:line="480" w:lineRule="exact"/>
        <w:jc w:val="center"/>
        <w:outlineLvl w:val="0"/>
        <w:rPr>
          <w:rFonts w:hint="eastAsia" w:ascii="宋体" w:hAnsi="宋体" w:eastAsia="宋体" w:cs="宋体"/>
          <w:sz w:val="44"/>
          <w:szCs w:val="28"/>
        </w:rPr>
      </w:pPr>
      <w:r>
        <w:rPr>
          <w:rFonts w:hint="eastAsia" w:ascii="宋体" w:hAnsi="宋体" w:eastAsia="宋体" w:cs="宋体"/>
          <w:sz w:val="44"/>
          <w:szCs w:val="28"/>
        </w:rPr>
        <w:t>目   录</w:t>
      </w:r>
    </w:p>
    <w:p w14:paraId="45A815E9">
      <w:pPr>
        <w:pStyle w:val="30"/>
        <w:tabs>
          <w:tab w:val="right" w:leader="dot" w:pos="9412"/>
        </w:tabs>
        <w:ind w:left="0" w:leftChars="0" w:firstLine="0" w:firstLineChars="0"/>
        <w:rPr>
          <w:rFonts w:hint="eastAsia" w:ascii="宋体" w:hAnsi="宋体" w:eastAsia="宋体" w:cs="宋体"/>
          <w:sz w:val="21"/>
          <w:szCs w:val="21"/>
        </w:rPr>
      </w:pPr>
    </w:p>
    <w:p w14:paraId="2B7B5912">
      <w:pPr>
        <w:pStyle w:val="30"/>
        <w:tabs>
          <w:tab w:val="right" w:leader="dot" w:pos="9412"/>
        </w:tabs>
        <w:ind w:left="0" w:leftChars="0" w:firstLine="630" w:firstLineChars="300"/>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w:instrText>
      </w:r>
      <w:r>
        <w:rPr>
          <w:rFonts w:hint="eastAsia" w:ascii="宋体" w:hAnsi="宋体" w:eastAsia="宋体" w:cs="宋体"/>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_Toc20311 </w:instrText>
      </w:r>
      <w:r>
        <w:rPr>
          <w:rFonts w:hint="eastAsia" w:ascii="宋体" w:hAnsi="宋体" w:eastAsia="宋体" w:cs="宋体"/>
          <w:szCs w:val="21"/>
        </w:rPr>
        <w:fldChar w:fldCharType="separate"/>
      </w:r>
      <w:r>
        <w:rPr>
          <w:rFonts w:hint="eastAsia" w:ascii="宋体" w:hAnsi="宋体" w:eastAsia="宋体" w:cs="宋体"/>
          <w:kern w:val="2"/>
          <w:szCs w:val="30"/>
          <w:lang w:val="en-US" w:eastAsia="zh-CN" w:bidi="ar-SA"/>
        </w:rPr>
        <w:t>第一篇  采购邀请书</w:t>
      </w:r>
      <w:r>
        <w:tab/>
      </w:r>
      <w:r>
        <w:fldChar w:fldCharType="begin"/>
      </w:r>
      <w:r>
        <w:instrText xml:space="preserve"> PAGEREF _Toc20311 \h </w:instrText>
      </w:r>
      <w:r>
        <w:fldChar w:fldCharType="separate"/>
      </w:r>
      <w:r>
        <w:t>- 1 -</w:t>
      </w:r>
      <w:r>
        <w:fldChar w:fldCharType="end"/>
      </w:r>
      <w:r>
        <w:rPr>
          <w:rFonts w:hint="eastAsia" w:ascii="宋体" w:hAnsi="宋体" w:eastAsia="宋体" w:cs="宋体"/>
          <w:szCs w:val="21"/>
        </w:rPr>
        <w:fldChar w:fldCharType="end"/>
      </w:r>
    </w:p>
    <w:p w14:paraId="0F6E05A3">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_Toc21295 </w:instrText>
      </w:r>
      <w:r>
        <w:rPr>
          <w:rFonts w:hint="eastAsia" w:ascii="宋体" w:hAnsi="宋体" w:eastAsia="宋体" w:cs="宋体"/>
          <w:szCs w:val="21"/>
        </w:rPr>
        <w:fldChar w:fldCharType="separate"/>
      </w:r>
      <w:r>
        <w:rPr>
          <w:rFonts w:hint="eastAsia" w:ascii="宋体" w:hAnsi="宋体" w:eastAsia="宋体" w:cs="宋体"/>
          <w:szCs w:val="24"/>
        </w:rPr>
        <w:t>一、竞争性磋商内容</w:t>
      </w:r>
      <w:r>
        <w:tab/>
      </w:r>
      <w:r>
        <w:fldChar w:fldCharType="begin"/>
      </w:r>
      <w:r>
        <w:instrText xml:space="preserve"> PAGEREF _Toc21295 \h </w:instrText>
      </w:r>
      <w:r>
        <w:fldChar w:fldCharType="separate"/>
      </w:r>
      <w:r>
        <w:t>- 1 -</w:t>
      </w:r>
      <w:r>
        <w:fldChar w:fldCharType="end"/>
      </w:r>
      <w:r>
        <w:rPr>
          <w:rFonts w:hint="eastAsia" w:ascii="宋体" w:hAnsi="宋体" w:eastAsia="宋体" w:cs="宋体"/>
          <w:szCs w:val="21"/>
        </w:rPr>
        <w:fldChar w:fldCharType="end"/>
      </w:r>
    </w:p>
    <w:p w14:paraId="46C7A8B7">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_Toc28746 </w:instrText>
      </w:r>
      <w:r>
        <w:rPr>
          <w:rFonts w:hint="eastAsia" w:ascii="宋体" w:hAnsi="宋体" w:eastAsia="宋体" w:cs="宋体"/>
          <w:szCs w:val="21"/>
        </w:rPr>
        <w:fldChar w:fldCharType="separate"/>
      </w:r>
      <w:r>
        <w:rPr>
          <w:rFonts w:hint="eastAsia" w:ascii="宋体" w:hAnsi="宋体" w:eastAsia="宋体" w:cs="宋体"/>
          <w:szCs w:val="24"/>
        </w:rPr>
        <w:t>二、资金来源</w:t>
      </w:r>
      <w:r>
        <w:tab/>
      </w:r>
      <w:r>
        <w:fldChar w:fldCharType="begin"/>
      </w:r>
      <w:r>
        <w:instrText xml:space="preserve"> PAGEREF _Toc28746 \h </w:instrText>
      </w:r>
      <w:r>
        <w:fldChar w:fldCharType="separate"/>
      </w:r>
      <w:r>
        <w:t>- 1 -</w:t>
      </w:r>
      <w:r>
        <w:fldChar w:fldCharType="end"/>
      </w:r>
      <w:r>
        <w:rPr>
          <w:rFonts w:hint="eastAsia" w:ascii="宋体" w:hAnsi="宋体" w:eastAsia="宋体" w:cs="宋体"/>
          <w:szCs w:val="21"/>
        </w:rPr>
        <w:fldChar w:fldCharType="end"/>
      </w:r>
    </w:p>
    <w:p w14:paraId="659A7022">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_Toc15581 </w:instrText>
      </w:r>
      <w:r>
        <w:rPr>
          <w:rFonts w:hint="eastAsia" w:ascii="宋体" w:hAnsi="宋体" w:eastAsia="宋体" w:cs="宋体"/>
          <w:szCs w:val="21"/>
        </w:rPr>
        <w:fldChar w:fldCharType="separate"/>
      </w:r>
      <w:r>
        <w:rPr>
          <w:rFonts w:hint="eastAsia" w:ascii="宋体" w:hAnsi="宋体" w:eastAsia="宋体" w:cs="宋体"/>
          <w:szCs w:val="24"/>
        </w:rPr>
        <w:t>三、供应商资格条件</w:t>
      </w:r>
      <w:r>
        <w:tab/>
      </w:r>
      <w:r>
        <w:fldChar w:fldCharType="begin"/>
      </w:r>
      <w:r>
        <w:instrText xml:space="preserve"> PAGEREF _Toc15581 \h </w:instrText>
      </w:r>
      <w:r>
        <w:fldChar w:fldCharType="separate"/>
      </w:r>
      <w:r>
        <w:t>- 1 -</w:t>
      </w:r>
      <w:r>
        <w:fldChar w:fldCharType="end"/>
      </w:r>
      <w:r>
        <w:rPr>
          <w:rFonts w:hint="eastAsia" w:ascii="宋体" w:hAnsi="宋体" w:eastAsia="宋体" w:cs="宋体"/>
          <w:szCs w:val="21"/>
        </w:rPr>
        <w:fldChar w:fldCharType="end"/>
      </w:r>
    </w:p>
    <w:p w14:paraId="0DDCD674">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_Toc1956 </w:instrText>
      </w:r>
      <w:r>
        <w:rPr>
          <w:rFonts w:hint="eastAsia" w:ascii="宋体" w:hAnsi="宋体" w:eastAsia="宋体" w:cs="宋体"/>
          <w:szCs w:val="21"/>
        </w:rPr>
        <w:fldChar w:fldCharType="separate"/>
      </w:r>
      <w:r>
        <w:rPr>
          <w:rFonts w:hint="eastAsia" w:ascii="宋体" w:hAnsi="宋体" w:eastAsia="宋体" w:cs="宋体"/>
          <w:szCs w:val="24"/>
        </w:rPr>
        <w:t>四、投标、磋商有关说明</w:t>
      </w:r>
      <w:r>
        <w:tab/>
      </w:r>
      <w:r>
        <w:fldChar w:fldCharType="begin"/>
      </w:r>
      <w:r>
        <w:instrText xml:space="preserve"> PAGEREF _Toc1956 \h </w:instrText>
      </w:r>
      <w:r>
        <w:fldChar w:fldCharType="separate"/>
      </w:r>
      <w:r>
        <w:t>- 1 -</w:t>
      </w:r>
      <w:r>
        <w:fldChar w:fldCharType="end"/>
      </w:r>
      <w:r>
        <w:rPr>
          <w:rFonts w:hint="eastAsia" w:ascii="宋体" w:hAnsi="宋体" w:eastAsia="宋体" w:cs="宋体"/>
          <w:szCs w:val="21"/>
        </w:rPr>
        <w:fldChar w:fldCharType="end"/>
      </w:r>
    </w:p>
    <w:p w14:paraId="756B482E">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_Toc4893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五</w:t>
      </w:r>
      <w:r>
        <w:rPr>
          <w:rFonts w:hint="eastAsia" w:ascii="宋体" w:hAnsi="宋体" w:eastAsia="宋体" w:cs="宋体"/>
          <w:szCs w:val="24"/>
        </w:rPr>
        <w:t>、投标有关规定</w:t>
      </w:r>
      <w:r>
        <w:tab/>
      </w:r>
      <w:r>
        <w:fldChar w:fldCharType="begin"/>
      </w:r>
      <w:r>
        <w:instrText xml:space="preserve"> PAGEREF _Toc4893 \h </w:instrText>
      </w:r>
      <w:r>
        <w:fldChar w:fldCharType="separate"/>
      </w:r>
      <w:r>
        <w:t>- 2 -</w:t>
      </w:r>
      <w:r>
        <w:fldChar w:fldCharType="end"/>
      </w:r>
      <w:r>
        <w:rPr>
          <w:rFonts w:hint="eastAsia" w:ascii="宋体" w:hAnsi="宋体" w:eastAsia="宋体" w:cs="宋体"/>
          <w:szCs w:val="21"/>
        </w:rPr>
        <w:fldChar w:fldCharType="end"/>
      </w:r>
    </w:p>
    <w:p w14:paraId="27643259">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_Toc16567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六、联系方式</w:t>
      </w:r>
      <w:r>
        <w:tab/>
      </w:r>
      <w:r>
        <w:fldChar w:fldCharType="begin"/>
      </w:r>
      <w:r>
        <w:instrText xml:space="preserve"> PAGEREF _Toc16567 \h </w:instrText>
      </w:r>
      <w:r>
        <w:fldChar w:fldCharType="separate"/>
      </w:r>
      <w:r>
        <w:t>- 3 -</w:t>
      </w:r>
      <w:r>
        <w:fldChar w:fldCharType="end"/>
      </w:r>
      <w:r>
        <w:rPr>
          <w:rFonts w:hint="eastAsia" w:ascii="宋体" w:hAnsi="宋体" w:eastAsia="宋体" w:cs="宋体"/>
          <w:szCs w:val="21"/>
        </w:rPr>
        <w:fldChar w:fldCharType="end"/>
      </w:r>
    </w:p>
    <w:p w14:paraId="3899D594">
      <w:pPr>
        <w:pStyle w:val="30"/>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_Toc19847 </w:instrText>
      </w:r>
      <w:r>
        <w:rPr>
          <w:rFonts w:hint="eastAsia" w:ascii="宋体" w:hAnsi="宋体" w:eastAsia="宋体" w:cs="宋体"/>
          <w:szCs w:val="21"/>
        </w:rPr>
        <w:fldChar w:fldCharType="separate"/>
      </w:r>
      <w:r>
        <w:rPr>
          <w:rFonts w:hint="eastAsia" w:ascii="宋体" w:hAnsi="宋体" w:eastAsia="宋体" w:cs="宋体"/>
          <w:kern w:val="2"/>
          <w:szCs w:val="30"/>
          <w:lang w:val="en-US" w:eastAsia="zh-CN" w:bidi="ar-SA"/>
        </w:rPr>
        <w:t>第二篇  项目服务需求</w:t>
      </w:r>
      <w:r>
        <w:tab/>
      </w:r>
      <w:r>
        <w:fldChar w:fldCharType="begin"/>
      </w:r>
      <w:r>
        <w:instrText xml:space="preserve"> PAGEREF _Toc19847 \h </w:instrText>
      </w:r>
      <w:r>
        <w:fldChar w:fldCharType="separate"/>
      </w:r>
      <w:r>
        <w:t>- 4 -</w:t>
      </w:r>
      <w:r>
        <w:fldChar w:fldCharType="end"/>
      </w:r>
      <w:r>
        <w:rPr>
          <w:rFonts w:hint="eastAsia" w:ascii="宋体" w:hAnsi="宋体" w:eastAsia="宋体" w:cs="宋体"/>
          <w:szCs w:val="21"/>
        </w:rPr>
        <w:fldChar w:fldCharType="end"/>
      </w:r>
    </w:p>
    <w:p w14:paraId="4DF99BEF">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_Toc5420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一、项目一览表</w:t>
      </w:r>
      <w:r>
        <w:tab/>
      </w:r>
      <w:r>
        <w:fldChar w:fldCharType="begin"/>
      </w:r>
      <w:r>
        <w:instrText xml:space="preserve"> PAGEREF _Toc5420 \h </w:instrText>
      </w:r>
      <w:r>
        <w:fldChar w:fldCharType="separate"/>
      </w:r>
      <w:r>
        <w:t>- 4 -</w:t>
      </w:r>
      <w:r>
        <w:fldChar w:fldCharType="end"/>
      </w:r>
      <w:r>
        <w:rPr>
          <w:rFonts w:hint="eastAsia" w:ascii="宋体" w:hAnsi="宋体" w:eastAsia="宋体" w:cs="宋体"/>
          <w:szCs w:val="21"/>
        </w:rPr>
        <w:fldChar w:fldCharType="end"/>
      </w:r>
    </w:p>
    <w:p w14:paraId="2A88187D">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_Toc10036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二、项目服务内容</w:t>
      </w:r>
      <w:r>
        <w:tab/>
      </w:r>
      <w:r>
        <w:fldChar w:fldCharType="begin"/>
      </w:r>
      <w:r>
        <w:instrText xml:space="preserve"> PAGEREF _Toc10036 \h </w:instrText>
      </w:r>
      <w:r>
        <w:fldChar w:fldCharType="separate"/>
      </w:r>
      <w:r>
        <w:t>- 4 -</w:t>
      </w:r>
      <w:r>
        <w:fldChar w:fldCharType="end"/>
      </w:r>
      <w:r>
        <w:rPr>
          <w:rFonts w:hint="eastAsia" w:ascii="宋体" w:hAnsi="宋体" w:eastAsia="宋体" w:cs="宋体"/>
          <w:szCs w:val="21"/>
        </w:rPr>
        <w:fldChar w:fldCharType="end"/>
      </w:r>
    </w:p>
    <w:p w14:paraId="6D75E84B">
      <w:pPr>
        <w:pStyle w:val="30"/>
        <w:tabs>
          <w:tab w:val="right" w:leader="dot" w:pos="9412"/>
        </w:tabs>
        <w:ind w:left="0" w:leftChars="0" w:firstLine="560" w:firstLineChars="20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_Toc19847 </w:instrText>
      </w:r>
      <w:r>
        <w:rPr>
          <w:rFonts w:hint="eastAsia" w:ascii="宋体" w:hAnsi="宋体" w:eastAsia="宋体" w:cs="宋体"/>
          <w:szCs w:val="21"/>
        </w:rPr>
        <w:fldChar w:fldCharType="separate"/>
      </w:r>
      <w:r>
        <w:rPr>
          <w:rFonts w:hint="eastAsia" w:ascii="宋体" w:hAnsi="宋体" w:eastAsia="宋体" w:cs="宋体"/>
          <w:kern w:val="2"/>
          <w:szCs w:val="30"/>
          <w:lang w:val="en-US" w:eastAsia="zh-CN" w:bidi="ar-SA"/>
        </w:rPr>
        <w:t>第三篇  项目商务需求</w:t>
      </w:r>
      <w:r>
        <w:tab/>
      </w:r>
      <w:r>
        <w:fldChar w:fldCharType="begin"/>
      </w:r>
      <w:r>
        <w:instrText xml:space="preserve"> PAGEREF _Toc19847 \h </w:instrText>
      </w:r>
      <w:r>
        <w:fldChar w:fldCharType="separate"/>
      </w:r>
      <w:r>
        <w:t xml:space="preserve">- </w:t>
      </w:r>
      <w:r>
        <w:rPr>
          <w:rFonts w:hint="eastAsia"/>
          <w:lang w:val="en-US" w:eastAsia="zh-CN"/>
        </w:rPr>
        <w:t>7</w:t>
      </w:r>
      <w:r>
        <w:t xml:space="preserve"> -</w:t>
      </w:r>
      <w:r>
        <w:fldChar w:fldCharType="end"/>
      </w:r>
      <w:r>
        <w:rPr>
          <w:rFonts w:hint="eastAsia" w:ascii="宋体" w:hAnsi="宋体" w:eastAsia="宋体" w:cs="宋体"/>
          <w:szCs w:val="21"/>
        </w:rPr>
        <w:fldChar w:fldCharType="end"/>
      </w:r>
    </w:p>
    <w:p w14:paraId="05EE5E78">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_Toc23718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一、服务期、地点及验收方式</w:t>
      </w:r>
      <w:r>
        <w:tab/>
      </w:r>
      <w:r>
        <w:fldChar w:fldCharType="begin"/>
      </w:r>
      <w:r>
        <w:instrText xml:space="preserve"> PAGEREF _Toc23718 \h </w:instrText>
      </w:r>
      <w:r>
        <w:fldChar w:fldCharType="separate"/>
      </w:r>
      <w:r>
        <w:t>- 7 -</w:t>
      </w:r>
      <w:r>
        <w:fldChar w:fldCharType="end"/>
      </w:r>
      <w:r>
        <w:rPr>
          <w:rFonts w:hint="eastAsia" w:ascii="宋体" w:hAnsi="宋体" w:eastAsia="宋体" w:cs="宋体"/>
          <w:szCs w:val="21"/>
        </w:rPr>
        <w:fldChar w:fldCharType="end"/>
      </w:r>
    </w:p>
    <w:p w14:paraId="2371929C">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_Toc18015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二、报价要求</w:t>
      </w:r>
      <w:r>
        <w:tab/>
      </w:r>
      <w:r>
        <w:fldChar w:fldCharType="begin"/>
      </w:r>
      <w:r>
        <w:instrText xml:space="preserve"> PAGEREF _Toc18015 \h </w:instrText>
      </w:r>
      <w:r>
        <w:fldChar w:fldCharType="separate"/>
      </w:r>
      <w:r>
        <w:t>- 7 -</w:t>
      </w:r>
      <w:r>
        <w:fldChar w:fldCharType="end"/>
      </w:r>
      <w:r>
        <w:rPr>
          <w:rFonts w:hint="eastAsia" w:ascii="宋体" w:hAnsi="宋体" w:eastAsia="宋体" w:cs="宋体"/>
          <w:szCs w:val="21"/>
        </w:rPr>
        <w:fldChar w:fldCharType="end"/>
      </w:r>
    </w:p>
    <w:p w14:paraId="23E24607">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_Toc17657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三、结算</w:t>
      </w:r>
      <w:r>
        <w:rPr>
          <w:rFonts w:hint="eastAsia" w:ascii="宋体" w:hAnsi="宋体" w:cs="宋体"/>
          <w:szCs w:val="24"/>
          <w:lang w:val="en-US" w:eastAsia="zh-CN"/>
        </w:rPr>
        <w:t>单</w:t>
      </w:r>
      <w:r>
        <w:rPr>
          <w:rFonts w:hint="eastAsia" w:ascii="宋体" w:hAnsi="宋体" w:eastAsia="宋体" w:cs="宋体"/>
          <w:szCs w:val="24"/>
          <w:lang w:val="en-US" w:eastAsia="zh-CN"/>
        </w:rPr>
        <w:t>价确定标准和流程</w:t>
      </w:r>
      <w:r>
        <w:tab/>
      </w:r>
      <w:r>
        <w:fldChar w:fldCharType="begin"/>
      </w:r>
      <w:r>
        <w:instrText xml:space="preserve"> PAGEREF _Toc17657 \h </w:instrText>
      </w:r>
      <w:r>
        <w:fldChar w:fldCharType="separate"/>
      </w:r>
      <w:r>
        <w:t>- 7 -</w:t>
      </w:r>
      <w:r>
        <w:fldChar w:fldCharType="end"/>
      </w:r>
      <w:r>
        <w:rPr>
          <w:rFonts w:hint="eastAsia" w:ascii="宋体" w:hAnsi="宋体" w:eastAsia="宋体" w:cs="宋体"/>
          <w:szCs w:val="21"/>
        </w:rPr>
        <w:fldChar w:fldCharType="end"/>
      </w:r>
    </w:p>
    <w:p w14:paraId="63E6FCEB">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_Toc18440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四、付款方式</w:t>
      </w:r>
      <w:r>
        <w:tab/>
      </w:r>
      <w:r>
        <w:fldChar w:fldCharType="begin"/>
      </w:r>
      <w:r>
        <w:instrText xml:space="preserve"> PAGEREF _Toc18440 \h </w:instrText>
      </w:r>
      <w:r>
        <w:fldChar w:fldCharType="separate"/>
      </w:r>
      <w:r>
        <w:t>- 8 -</w:t>
      </w:r>
      <w:r>
        <w:fldChar w:fldCharType="end"/>
      </w:r>
      <w:r>
        <w:rPr>
          <w:rFonts w:hint="eastAsia" w:ascii="宋体" w:hAnsi="宋体" w:eastAsia="宋体" w:cs="宋体"/>
          <w:szCs w:val="21"/>
        </w:rPr>
        <w:fldChar w:fldCharType="end"/>
      </w:r>
    </w:p>
    <w:p w14:paraId="6A62ACB6">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_Toc27575 </w:instrText>
      </w:r>
      <w:r>
        <w:rPr>
          <w:rFonts w:hint="eastAsia" w:ascii="宋体" w:hAnsi="宋体" w:eastAsia="宋体" w:cs="宋体"/>
          <w:szCs w:val="21"/>
        </w:rPr>
        <w:fldChar w:fldCharType="separate"/>
      </w:r>
      <w:r>
        <w:rPr>
          <w:rFonts w:hint="eastAsia" w:ascii="宋体" w:hAnsi="宋体" w:eastAsia="宋体" w:cs="宋体"/>
          <w:szCs w:val="24"/>
          <w:lang w:val="en-US" w:eastAsia="zh-CN"/>
        </w:rPr>
        <w:t>五、知识产权</w:t>
      </w:r>
      <w:r>
        <w:tab/>
      </w:r>
      <w:r>
        <w:fldChar w:fldCharType="begin"/>
      </w:r>
      <w:r>
        <w:instrText xml:space="preserve"> PAGEREF _Toc27575 \h </w:instrText>
      </w:r>
      <w:r>
        <w:fldChar w:fldCharType="separate"/>
      </w:r>
      <w:r>
        <w:t>- 8 -</w:t>
      </w:r>
      <w:r>
        <w:fldChar w:fldCharType="end"/>
      </w:r>
      <w:r>
        <w:rPr>
          <w:rFonts w:hint="eastAsia" w:ascii="宋体" w:hAnsi="宋体" w:eastAsia="宋体" w:cs="宋体"/>
          <w:szCs w:val="21"/>
        </w:rPr>
        <w:fldChar w:fldCharType="end"/>
      </w:r>
    </w:p>
    <w:p w14:paraId="0132A39C">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_Toc15810 </w:instrText>
      </w:r>
      <w:r>
        <w:rPr>
          <w:rFonts w:hint="eastAsia" w:ascii="宋体" w:hAnsi="宋体" w:eastAsia="宋体" w:cs="宋体"/>
          <w:szCs w:val="21"/>
        </w:rPr>
        <w:fldChar w:fldCharType="separate"/>
      </w:r>
      <w:r>
        <w:rPr>
          <w:rFonts w:hint="eastAsia" w:ascii="宋体" w:hAnsi="宋体" w:eastAsia="宋体" w:cs="宋体"/>
          <w:szCs w:val="24"/>
          <w:lang w:val="en-US" w:eastAsia="zh-CN"/>
        </w:rPr>
        <w:t>六、其他</w:t>
      </w:r>
      <w:r>
        <w:tab/>
      </w:r>
      <w:r>
        <w:fldChar w:fldCharType="begin"/>
      </w:r>
      <w:r>
        <w:instrText xml:space="preserve"> PAGEREF _Toc15810 \h </w:instrText>
      </w:r>
      <w:r>
        <w:fldChar w:fldCharType="separate"/>
      </w:r>
      <w:r>
        <w:t>- 8 -</w:t>
      </w:r>
      <w:r>
        <w:fldChar w:fldCharType="end"/>
      </w:r>
      <w:r>
        <w:rPr>
          <w:rFonts w:hint="eastAsia" w:ascii="宋体" w:hAnsi="宋体" w:eastAsia="宋体" w:cs="宋体"/>
          <w:szCs w:val="21"/>
        </w:rPr>
        <w:fldChar w:fldCharType="end"/>
      </w:r>
    </w:p>
    <w:p w14:paraId="15EF54D2">
      <w:pPr>
        <w:pStyle w:val="49"/>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_Toc1351 </w:instrText>
      </w:r>
      <w:r>
        <w:rPr>
          <w:rFonts w:hint="eastAsia" w:ascii="宋体" w:hAnsi="宋体" w:eastAsia="宋体" w:cs="宋体"/>
          <w:szCs w:val="21"/>
        </w:rPr>
        <w:fldChar w:fldCharType="separate"/>
      </w:r>
      <w:r>
        <w:rPr>
          <w:rFonts w:hint="eastAsia" w:ascii="宋体" w:hAnsi="宋体" w:eastAsia="宋体" w:cs="宋体"/>
          <w:szCs w:val="30"/>
        </w:rPr>
        <w:t>第四篇  磋商程序及方法、评审标准、无效响应和采购终止</w:t>
      </w:r>
      <w:r>
        <w:tab/>
      </w:r>
      <w:r>
        <w:fldChar w:fldCharType="begin"/>
      </w:r>
      <w:r>
        <w:instrText xml:space="preserve"> PAGEREF _Toc1351 \h </w:instrText>
      </w:r>
      <w:r>
        <w:fldChar w:fldCharType="separate"/>
      </w:r>
      <w:r>
        <w:t>- 12 -</w:t>
      </w:r>
      <w:r>
        <w:fldChar w:fldCharType="end"/>
      </w:r>
      <w:r>
        <w:rPr>
          <w:rFonts w:hint="eastAsia" w:ascii="宋体" w:hAnsi="宋体" w:eastAsia="宋体" w:cs="宋体"/>
          <w:szCs w:val="21"/>
        </w:rPr>
        <w:fldChar w:fldCharType="end"/>
      </w:r>
    </w:p>
    <w:p w14:paraId="3F7B63C4">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_Toc22261 </w:instrText>
      </w:r>
      <w:r>
        <w:rPr>
          <w:rFonts w:hint="eastAsia" w:ascii="宋体" w:hAnsi="宋体" w:eastAsia="宋体" w:cs="宋体"/>
          <w:szCs w:val="21"/>
        </w:rPr>
        <w:fldChar w:fldCharType="separate"/>
      </w:r>
      <w:r>
        <w:rPr>
          <w:rFonts w:hint="eastAsia" w:ascii="宋体" w:hAnsi="宋体" w:eastAsia="宋体" w:cs="宋体"/>
          <w:szCs w:val="24"/>
        </w:rPr>
        <w:t>一、磋商程序及方法</w:t>
      </w:r>
      <w:r>
        <w:tab/>
      </w:r>
      <w:r>
        <w:fldChar w:fldCharType="begin"/>
      </w:r>
      <w:r>
        <w:instrText xml:space="preserve"> PAGEREF _Toc22261 \h </w:instrText>
      </w:r>
      <w:r>
        <w:fldChar w:fldCharType="separate"/>
      </w:r>
      <w:r>
        <w:t>- 12 -</w:t>
      </w:r>
      <w:r>
        <w:fldChar w:fldCharType="end"/>
      </w:r>
      <w:r>
        <w:rPr>
          <w:rFonts w:hint="eastAsia" w:ascii="宋体" w:hAnsi="宋体" w:eastAsia="宋体" w:cs="宋体"/>
          <w:szCs w:val="21"/>
        </w:rPr>
        <w:fldChar w:fldCharType="end"/>
      </w:r>
    </w:p>
    <w:p w14:paraId="2F613C63">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_Toc1446 </w:instrText>
      </w:r>
      <w:r>
        <w:rPr>
          <w:rFonts w:hint="eastAsia" w:ascii="宋体" w:hAnsi="宋体" w:eastAsia="宋体" w:cs="宋体"/>
          <w:szCs w:val="21"/>
        </w:rPr>
        <w:fldChar w:fldCharType="separate"/>
      </w:r>
      <w:r>
        <w:rPr>
          <w:rFonts w:hint="eastAsia" w:ascii="宋体" w:hAnsi="宋体" w:eastAsia="宋体" w:cs="宋体"/>
          <w:bCs/>
          <w:kern w:val="2"/>
          <w:szCs w:val="24"/>
          <w:lang w:val="en-US" w:eastAsia="zh-CN" w:bidi="ar-SA"/>
        </w:rPr>
        <w:t>二、评审标准</w:t>
      </w:r>
      <w:r>
        <w:tab/>
      </w:r>
      <w:r>
        <w:fldChar w:fldCharType="begin"/>
      </w:r>
      <w:r>
        <w:instrText xml:space="preserve"> PAGEREF _Toc1446 \h </w:instrText>
      </w:r>
      <w:r>
        <w:fldChar w:fldCharType="separate"/>
      </w:r>
      <w:r>
        <w:t>- 14 -</w:t>
      </w:r>
      <w:r>
        <w:fldChar w:fldCharType="end"/>
      </w:r>
      <w:r>
        <w:rPr>
          <w:rFonts w:hint="eastAsia" w:ascii="宋体" w:hAnsi="宋体" w:eastAsia="宋体" w:cs="宋体"/>
          <w:szCs w:val="21"/>
        </w:rPr>
        <w:fldChar w:fldCharType="end"/>
      </w:r>
    </w:p>
    <w:p w14:paraId="73345F99">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_Toc30994 </w:instrText>
      </w:r>
      <w:r>
        <w:rPr>
          <w:rFonts w:hint="eastAsia" w:ascii="宋体" w:hAnsi="宋体" w:eastAsia="宋体" w:cs="宋体"/>
          <w:szCs w:val="21"/>
        </w:rPr>
        <w:fldChar w:fldCharType="separate"/>
      </w:r>
      <w:r>
        <w:rPr>
          <w:rFonts w:hint="eastAsia" w:ascii="宋体" w:hAnsi="宋体" w:eastAsia="宋体" w:cs="宋体"/>
          <w:szCs w:val="24"/>
        </w:rPr>
        <w:t>三、无效响应</w:t>
      </w:r>
      <w:r>
        <w:tab/>
      </w:r>
      <w:r>
        <w:fldChar w:fldCharType="begin"/>
      </w:r>
      <w:r>
        <w:instrText xml:space="preserve"> PAGEREF _Toc30994 \h </w:instrText>
      </w:r>
      <w:r>
        <w:fldChar w:fldCharType="separate"/>
      </w:r>
      <w:r>
        <w:t>- 15 -</w:t>
      </w:r>
      <w:r>
        <w:fldChar w:fldCharType="end"/>
      </w:r>
      <w:r>
        <w:rPr>
          <w:rFonts w:hint="eastAsia" w:ascii="宋体" w:hAnsi="宋体" w:eastAsia="宋体" w:cs="宋体"/>
          <w:szCs w:val="21"/>
        </w:rPr>
        <w:fldChar w:fldCharType="end"/>
      </w:r>
    </w:p>
    <w:p w14:paraId="51884CB7">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_Toc8256 </w:instrText>
      </w:r>
      <w:r>
        <w:rPr>
          <w:rFonts w:hint="eastAsia" w:ascii="宋体" w:hAnsi="宋体" w:eastAsia="宋体" w:cs="宋体"/>
          <w:szCs w:val="21"/>
        </w:rPr>
        <w:fldChar w:fldCharType="separate"/>
      </w:r>
      <w:r>
        <w:rPr>
          <w:rFonts w:hint="eastAsia" w:ascii="宋体" w:hAnsi="宋体" w:eastAsia="宋体" w:cs="宋体"/>
          <w:szCs w:val="24"/>
        </w:rPr>
        <w:t>四、采购终止</w:t>
      </w:r>
      <w:r>
        <w:tab/>
      </w:r>
      <w:r>
        <w:fldChar w:fldCharType="begin"/>
      </w:r>
      <w:r>
        <w:instrText xml:space="preserve"> PAGEREF _Toc8256 \h </w:instrText>
      </w:r>
      <w:r>
        <w:fldChar w:fldCharType="separate"/>
      </w:r>
      <w:r>
        <w:t>- 16 -</w:t>
      </w:r>
      <w:r>
        <w:fldChar w:fldCharType="end"/>
      </w:r>
      <w:r>
        <w:rPr>
          <w:rFonts w:hint="eastAsia" w:ascii="宋体" w:hAnsi="宋体" w:eastAsia="宋体" w:cs="宋体"/>
          <w:szCs w:val="21"/>
        </w:rPr>
        <w:fldChar w:fldCharType="end"/>
      </w:r>
    </w:p>
    <w:p w14:paraId="294CF9F1">
      <w:pPr>
        <w:pStyle w:val="49"/>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_Toc26257 </w:instrText>
      </w:r>
      <w:r>
        <w:rPr>
          <w:rFonts w:hint="eastAsia" w:ascii="宋体" w:hAnsi="宋体" w:eastAsia="宋体" w:cs="宋体"/>
          <w:szCs w:val="21"/>
        </w:rPr>
        <w:fldChar w:fldCharType="separate"/>
      </w:r>
      <w:r>
        <w:rPr>
          <w:rFonts w:hint="eastAsia" w:ascii="宋体" w:hAnsi="宋体" w:eastAsia="宋体" w:cs="宋体"/>
          <w:szCs w:val="30"/>
        </w:rPr>
        <w:t>第五篇  供应商须知</w:t>
      </w:r>
      <w:r>
        <w:tab/>
      </w:r>
      <w:r>
        <w:fldChar w:fldCharType="begin"/>
      </w:r>
      <w:r>
        <w:instrText xml:space="preserve"> PAGEREF _Toc26257 \h </w:instrText>
      </w:r>
      <w:r>
        <w:fldChar w:fldCharType="separate"/>
      </w:r>
      <w:r>
        <w:t>- 17 -</w:t>
      </w:r>
      <w:r>
        <w:fldChar w:fldCharType="end"/>
      </w:r>
      <w:r>
        <w:rPr>
          <w:rFonts w:hint="eastAsia" w:ascii="宋体" w:hAnsi="宋体" w:eastAsia="宋体" w:cs="宋体"/>
          <w:szCs w:val="21"/>
        </w:rPr>
        <w:fldChar w:fldCharType="end"/>
      </w:r>
    </w:p>
    <w:p w14:paraId="732A998D">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_Toc24452 </w:instrText>
      </w:r>
      <w:r>
        <w:rPr>
          <w:rFonts w:hint="eastAsia" w:ascii="宋体" w:hAnsi="宋体" w:eastAsia="宋体" w:cs="宋体"/>
          <w:szCs w:val="21"/>
        </w:rPr>
        <w:fldChar w:fldCharType="separate"/>
      </w:r>
      <w:r>
        <w:rPr>
          <w:rFonts w:hint="eastAsia" w:ascii="宋体" w:hAnsi="宋体" w:eastAsia="宋体" w:cs="宋体"/>
          <w:szCs w:val="24"/>
        </w:rPr>
        <w:t>一、磋商费用</w:t>
      </w:r>
      <w:r>
        <w:tab/>
      </w:r>
      <w:r>
        <w:fldChar w:fldCharType="begin"/>
      </w:r>
      <w:r>
        <w:instrText xml:space="preserve"> PAGEREF _Toc24452 \h </w:instrText>
      </w:r>
      <w:r>
        <w:fldChar w:fldCharType="separate"/>
      </w:r>
      <w:r>
        <w:t>- 17 -</w:t>
      </w:r>
      <w:r>
        <w:fldChar w:fldCharType="end"/>
      </w:r>
      <w:r>
        <w:rPr>
          <w:rFonts w:hint="eastAsia" w:ascii="宋体" w:hAnsi="宋体" w:eastAsia="宋体" w:cs="宋体"/>
          <w:szCs w:val="21"/>
        </w:rPr>
        <w:fldChar w:fldCharType="end"/>
      </w:r>
    </w:p>
    <w:p w14:paraId="1FA172D4">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_Toc21164 </w:instrText>
      </w:r>
      <w:r>
        <w:rPr>
          <w:rFonts w:hint="eastAsia" w:ascii="宋体" w:hAnsi="宋体" w:eastAsia="宋体" w:cs="宋体"/>
          <w:szCs w:val="21"/>
        </w:rPr>
        <w:fldChar w:fldCharType="separate"/>
      </w:r>
      <w:r>
        <w:rPr>
          <w:rFonts w:hint="eastAsia" w:ascii="宋体" w:hAnsi="宋体" w:eastAsia="宋体" w:cs="宋体"/>
          <w:szCs w:val="24"/>
        </w:rPr>
        <w:t>二、竞争性磋商文件</w:t>
      </w:r>
      <w:r>
        <w:tab/>
      </w:r>
      <w:r>
        <w:fldChar w:fldCharType="begin"/>
      </w:r>
      <w:r>
        <w:instrText xml:space="preserve"> PAGEREF _Toc21164 \h </w:instrText>
      </w:r>
      <w:r>
        <w:fldChar w:fldCharType="separate"/>
      </w:r>
      <w:r>
        <w:t>- 17 -</w:t>
      </w:r>
      <w:r>
        <w:fldChar w:fldCharType="end"/>
      </w:r>
      <w:r>
        <w:rPr>
          <w:rFonts w:hint="eastAsia" w:ascii="宋体" w:hAnsi="宋体" w:eastAsia="宋体" w:cs="宋体"/>
          <w:szCs w:val="21"/>
        </w:rPr>
        <w:fldChar w:fldCharType="end"/>
      </w:r>
    </w:p>
    <w:p w14:paraId="69955A95">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_Toc23069 </w:instrText>
      </w:r>
      <w:r>
        <w:rPr>
          <w:rFonts w:hint="eastAsia" w:ascii="宋体" w:hAnsi="宋体" w:eastAsia="宋体" w:cs="宋体"/>
          <w:szCs w:val="21"/>
        </w:rPr>
        <w:fldChar w:fldCharType="separate"/>
      </w:r>
      <w:r>
        <w:rPr>
          <w:rFonts w:hint="eastAsia" w:ascii="宋体" w:hAnsi="宋体" w:eastAsia="宋体" w:cs="宋体"/>
          <w:szCs w:val="24"/>
        </w:rPr>
        <w:t>三、磋商要求</w:t>
      </w:r>
      <w:r>
        <w:tab/>
      </w:r>
      <w:r>
        <w:fldChar w:fldCharType="begin"/>
      </w:r>
      <w:r>
        <w:instrText xml:space="preserve"> PAGEREF _Toc23069 \h </w:instrText>
      </w:r>
      <w:r>
        <w:fldChar w:fldCharType="separate"/>
      </w:r>
      <w:r>
        <w:t>- 17 -</w:t>
      </w:r>
      <w:r>
        <w:fldChar w:fldCharType="end"/>
      </w:r>
      <w:r>
        <w:rPr>
          <w:rFonts w:hint="eastAsia" w:ascii="宋体" w:hAnsi="宋体" w:eastAsia="宋体" w:cs="宋体"/>
          <w:szCs w:val="21"/>
        </w:rPr>
        <w:fldChar w:fldCharType="end"/>
      </w:r>
    </w:p>
    <w:p w14:paraId="57C44CF4">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_Toc28731 </w:instrText>
      </w:r>
      <w:r>
        <w:rPr>
          <w:rFonts w:hint="eastAsia" w:ascii="宋体" w:hAnsi="宋体" w:eastAsia="宋体" w:cs="宋体"/>
          <w:szCs w:val="21"/>
        </w:rPr>
        <w:fldChar w:fldCharType="separate"/>
      </w:r>
      <w:r>
        <w:rPr>
          <w:rFonts w:hint="eastAsia" w:ascii="宋体" w:hAnsi="宋体" w:eastAsia="宋体" w:cs="宋体"/>
          <w:szCs w:val="24"/>
        </w:rPr>
        <w:t>四、</w:t>
      </w:r>
      <w:r>
        <w:rPr>
          <w:rFonts w:hint="eastAsia" w:ascii="宋体" w:hAnsi="宋体" w:cs="宋体"/>
          <w:szCs w:val="24"/>
          <w:lang w:val="en-US" w:eastAsia="zh-CN"/>
        </w:rPr>
        <w:t>成交</w:t>
      </w:r>
      <w:r>
        <w:rPr>
          <w:rFonts w:hint="eastAsia" w:ascii="宋体" w:hAnsi="宋体" w:eastAsia="宋体" w:cs="宋体"/>
          <w:szCs w:val="24"/>
        </w:rPr>
        <w:t>供应商的确认和变更</w:t>
      </w:r>
      <w:r>
        <w:tab/>
      </w:r>
      <w:r>
        <w:fldChar w:fldCharType="begin"/>
      </w:r>
      <w:r>
        <w:instrText xml:space="preserve"> PAGEREF _Toc28731 \h </w:instrText>
      </w:r>
      <w:r>
        <w:fldChar w:fldCharType="separate"/>
      </w:r>
      <w:r>
        <w:t>- 18 -</w:t>
      </w:r>
      <w:r>
        <w:fldChar w:fldCharType="end"/>
      </w:r>
      <w:r>
        <w:rPr>
          <w:rFonts w:hint="eastAsia" w:ascii="宋体" w:hAnsi="宋体" w:eastAsia="宋体" w:cs="宋体"/>
          <w:szCs w:val="21"/>
        </w:rPr>
        <w:fldChar w:fldCharType="end"/>
      </w:r>
    </w:p>
    <w:p w14:paraId="60C34A64">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_Toc31484 </w:instrText>
      </w:r>
      <w:r>
        <w:rPr>
          <w:rFonts w:hint="eastAsia" w:ascii="宋体" w:hAnsi="宋体" w:eastAsia="宋体" w:cs="宋体"/>
          <w:szCs w:val="21"/>
        </w:rPr>
        <w:fldChar w:fldCharType="separate"/>
      </w:r>
      <w:r>
        <w:rPr>
          <w:rFonts w:hint="eastAsia" w:ascii="宋体" w:hAnsi="宋体" w:eastAsia="宋体" w:cs="宋体"/>
          <w:szCs w:val="24"/>
        </w:rPr>
        <w:t>五、</w:t>
      </w:r>
      <w:r>
        <w:rPr>
          <w:rFonts w:hint="eastAsia" w:ascii="宋体" w:hAnsi="宋体" w:cs="宋体"/>
          <w:szCs w:val="24"/>
          <w:lang w:val="en-US" w:eastAsia="zh-CN"/>
        </w:rPr>
        <w:t>成交</w:t>
      </w:r>
      <w:r>
        <w:rPr>
          <w:rFonts w:hint="eastAsia" w:ascii="宋体" w:hAnsi="宋体" w:eastAsia="宋体" w:cs="宋体"/>
          <w:szCs w:val="24"/>
        </w:rPr>
        <w:t>通知</w:t>
      </w:r>
      <w:r>
        <w:tab/>
      </w:r>
      <w:r>
        <w:fldChar w:fldCharType="begin"/>
      </w:r>
      <w:r>
        <w:instrText xml:space="preserve"> PAGEREF _Toc31484 \h </w:instrText>
      </w:r>
      <w:r>
        <w:fldChar w:fldCharType="separate"/>
      </w:r>
      <w:r>
        <w:t>- 19 -</w:t>
      </w:r>
      <w:r>
        <w:fldChar w:fldCharType="end"/>
      </w:r>
      <w:r>
        <w:rPr>
          <w:rFonts w:hint="eastAsia" w:ascii="宋体" w:hAnsi="宋体" w:eastAsia="宋体" w:cs="宋体"/>
          <w:szCs w:val="21"/>
        </w:rPr>
        <w:fldChar w:fldCharType="end"/>
      </w:r>
    </w:p>
    <w:p w14:paraId="49C15632">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_Toc12425 </w:instrText>
      </w:r>
      <w:r>
        <w:rPr>
          <w:rFonts w:hint="eastAsia" w:ascii="宋体" w:hAnsi="宋体" w:eastAsia="宋体" w:cs="宋体"/>
          <w:szCs w:val="21"/>
        </w:rPr>
        <w:fldChar w:fldCharType="separate"/>
      </w:r>
      <w:r>
        <w:rPr>
          <w:rFonts w:hint="eastAsia" w:ascii="宋体" w:hAnsi="宋体" w:eastAsia="宋体" w:cs="宋体"/>
          <w:szCs w:val="24"/>
        </w:rPr>
        <w:t>六、关于质疑和投诉</w:t>
      </w:r>
      <w:r>
        <w:tab/>
      </w:r>
      <w:r>
        <w:fldChar w:fldCharType="begin"/>
      </w:r>
      <w:r>
        <w:instrText xml:space="preserve"> PAGEREF _Toc12425 \h </w:instrText>
      </w:r>
      <w:r>
        <w:fldChar w:fldCharType="separate"/>
      </w:r>
      <w:r>
        <w:t>- 19 -</w:t>
      </w:r>
      <w:r>
        <w:fldChar w:fldCharType="end"/>
      </w:r>
      <w:r>
        <w:rPr>
          <w:rFonts w:hint="eastAsia" w:ascii="宋体" w:hAnsi="宋体" w:eastAsia="宋体" w:cs="宋体"/>
          <w:szCs w:val="21"/>
        </w:rPr>
        <w:fldChar w:fldCharType="end"/>
      </w:r>
    </w:p>
    <w:p w14:paraId="64ADE4C3">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_Toc1373 </w:instrText>
      </w:r>
      <w:r>
        <w:rPr>
          <w:rFonts w:hint="eastAsia" w:ascii="宋体" w:hAnsi="宋体" w:eastAsia="宋体" w:cs="宋体"/>
          <w:szCs w:val="21"/>
        </w:rPr>
        <w:fldChar w:fldCharType="separate"/>
      </w:r>
      <w:r>
        <w:rPr>
          <w:rFonts w:hint="eastAsia" w:ascii="宋体" w:hAnsi="宋体" w:eastAsia="宋体" w:cs="宋体"/>
          <w:szCs w:val="24"/>
        </w:rPr>
        <w:t>七、采购代理服务费</w:t>
      </w:r>
      <w:r>
        <w:tab/>
      </w:r>
      <w:r>
        <w:fldChar w:fldCharType="begin"/>
      </w:r>
      <w:r>
        <w:instrText xml:space="preserve"> PAGEREF _Toc1373 \h </w:instrText>
      </w:r>
      <w:r>
        <w:fldChar w:fldCharType="separate"/>
      </w:r>
      <w:r>
        <w:t>- 20 -</w:t>
      </w:r>
      <w:r>
        <w:fldChar w:fldCharType="end"/>
      </w:r>
      <w:r>
        <w:rPr>
          <w:rFonts w:hint="eastAsia" w:ascii="宋体" w:hAnsi="宋体" w:eastAsia="宋体" w:cs="宋体"/>
          <w:szCs w:val="21"/>
        </w:rPr>
        <w:fldChar w:fldCharType="end"/>
      </w:r>
    </w:p>
    <w:p w14:paraId="0F86AB3C">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_Toc633 </w:instrText>
      </w:r>
      <w:r>
        <w:rPr>
          <w:rFonts w:hint="eastAsia" w:ascii="宋体" w:hAnsi="宋体" w:eastAsia="宋体" w:cs="宋体"/>
          <w:szCs w:val="21"/>
        </w:rPr>
        <w:fldChar w:fldCharType="separate"/>
      </w:r>
      <w:r>
        <w:rPr>
          <w:rFonts w:hint="eastAsia" w:ascii="宋体" w:hAnsi="宋体" w:eastAsia="宋体" w:cs="宋体"/>
          <w:bCs w:val="0"/>
          <w:szCs w:val="24"/>
        </w:rPr>
        <w:t>八、签订合同</w:t>
      </w:r>
      <w:r>
        <w:tab/>
      </w:r>
      <w:r>
        <w:fldChar w:fldCharType="begin"/>
      </w:r>
      <w:r>
        <w:instrText xml:space="preserve"> PAGEREF _Toc633 \h </w:instrText>
      </w:r>
      <w:r>
        <w:fldChar w:fldCharType="separate"/>
      </w:r>
      <w:r>
        <w:t>- 21 -</w:t>
      </w:r>
      <w:r>
        <w:fldChar w:fldCharType="end"/>
      </w:r>
      <w:r>
        <w:rPr>
          <w:rFonts w:hint="eastAsia" w:ascii="宋体" w:hAnsi="宋体" w:eastAsia="宋体" w:cs="宋体"/>
          <w:szCs w:val="21"/>
        </w:rPr>
        <w:fldChar w:fldCharType="end"/>
      </w:r>
    </w:p>
    <w:p w14:paraId="235CA129">
      <w:pPr>
        <w:pStyle w:val="49"/>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_Toc24784 </w:instrText>
      </w:r>
      <w:r>
        <w:rPr>
          <w:rFonts w:hint="eastAsia" w:ascii="宋体" w:hAnsi="宋体" w:eastAsia="宋体" w:cs="宋体"/>
          <w:szCs w:val="21"/>
        </w:rPr>
        <w:fldChar w:fldCharType="separate"/>
      </w:r>
      <w:r>
        <w:rPr>
          <w:rFonts w:hint="eastAsia" w:ascii="宋体" w:hAnsi="宋体" w:eastAsia="宋体" w:cs="宋体"/>
          <w:szCs w:val="30"/>
        </w:rPr>
        <w:t>第六篇  政府采购合同（仅供参考）</w:t>
      </w:r>
      <w:r>
        <w:tab/>
      </w:r>
      <w:r>
        <w:fldChar w:fldCharType="begin"/>
      </w:r>
      <w:r>
        <w:instrText xml:space="preserve"> PAGEREF _Toc24784 \h </w:instrText>
      </w:r>
      <w:r>
        <w:fldChar w:fldCharType="separate"/>
      </w:r>
      <w:r>
        <w:t>- 22 -</w:t>
      </w:r>
      <w:r>
        <w:fldChar w:fldCharType="end"/>
      </w:r>
      <w:r>
        <w:rPr>
          <w:rFonts w:hint="eastAsia" w:ascii="宋体" w:hAnsi="宋体" w:eastAsia="宋体" w:cs="宋体"/>
          <w:szCs w:val="21"/>
        </w:rPr>
        <w:fldChar w:fldCharType="end"/>
      </w:r>
    </w:p>
    <w:p w14:paraId="1803BB76">
      <w:pPr>
        <w:pStyle w:val="49"/>
        <w:tabs>
          <w:tab w:val="right" w:leader="dot" w:pos="9412"/>
        </w:tabs>
        <w:ind w:left="0" w:leftChars="0" w:firstLine="560" w:firstLineChars="200"/>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_Toc11133 </w:instrText>
      </w:r>
      <w:r>
        <w:rPr>
          <w:rFonts w:hint="eastAsia" w:ascii="宋体" w:hAnsi="宋体" w:eastAsia="宋体" w:cs="宋体"/>
          <w:szCs w:val="21"/>
        </w:rPr>
        <w:fldChar w:fldCharType="separate"/>
      </w:r>
      <w:r>
        <w:rPr>
          <w:rFonts w:hint="eastAsia" w:ascii="宋体" w:hAnsi="宋体" w:eastAsia="宋体" w:cs="宋体"/>
          <w:szCs w:val="30"/>
        </w:rPr>
        <w:t>第七篇  响应文件编制要求</w:t>
      </w:r>
      <w:r>
        <w:tab/>
      </w:r>
      <w:r>
        <w:fldChar w:fldCharType="begin"/>
      </w:r>
      <w:r>
        <w:instrText xml:space="preserve"> PAGEREF _Toc11133 \h </w:instrText>
      </w:r>
      <w:r>
        <w:fldChar w:fldCharType="separate"/>
      </w:r>
      <w:r>
        <w:t>- 23 -</w:t>
      </w:r>
      <w:r>
        <w:fldChar w:fldCharType="end"/>
      </w:r>
      <w:r>
        <w:rPr>
          <w:rFonts w:hint="eastAsia" w:ascii="宋体" w:hAnsi="宋体" w:eastAsia="宋体" w:cs="宋体"/>
          <w:szCs w:val="21"/>
        </w:rPr>
        <w:fldChar w:fldCharType="end"/>
      </w:r>
    </w:p>
    <w:p w14:paraId="09550204">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_Toc9806 </w:instrText>
      </w:r>
      <w:r>
        <w:rPr>
          <w:rFonts w:hint="eastAsia" w:ascii="宋体" w:hAnsi="宋体" w:eastAsia="宋体" w:cs="宋体"/>
          <w:szCs w:val="21"/>
        </w:rPr>
        <w:fldChar w:fldCharType="separate"/>
      </w:r>
      <w:r>
        <w:rPr>
          <w:rFonts w:hint="eastAsia" w:ascii="宋体" w:hAnsi="宋体" w:eastAsia="宋体" w:cs="宋体"/>
          <w:szCs w:val="24"/>
        </w:rPr>
        <w:t>一、经济部分</w:t>
      </w:r>
      <w:r>
        <w:tab/>
      </w:r>
      <w:r>
        <w:fldChar w:fldCharType="begin"/>
      </w:r>
      <w:r>
        <w:instrText xml:space="preserve"> PAGEREF _Toc9806 \h </w:instrText>
      </w:r>
      <w:r>
        <w:fldChar w:fldCharType="separate"/>
      </w:r>
      <w:r>
        <w:t>- 24 -</w:t>
      </w:r>
      <w:r>
        <w:fldChar w:fldCharType="end"/>
      </w:r>
      <w:r>
        <w:rPr>
          <w:rFonts w:hint="eastAsia" w:ascii="宋体" w:hAnsi="宋体" w:eastAsia="宋体" w:cs="宋体"/>
          <w:szCs w:val="21"/>
        </w:rPr>
        <w:fldChar w:fldCharType="end"/>
      </w:r>
    </w:p>
    <w:p w14:paraId="462BF04F">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_Toc16767 </w:instrText>
      </w:r>
      <w:r>
        <w:rPr>
          <w:rFonts w:hint="eastAsia" w:ascii="宋体" w:hAnsi="宋体" w:eastAsia="宋体" w:cs="宋体"/>
          <w:szCs w:val="21"/>
        </w:rPr>
        <w:fldChar w:fldCharType="separate"/>
      </w:r>
      <w:r>
        <w:rPr>
          <w:rFonts w:hint="eastAsia" w:ascii="宋体" w:hAnsi="宋体" w:eastAsia="宋体" w:cs="宋体"/>
          <w:szCs w:val="24"/>
        </w:rPr>
        <w:t xml:space="preserve">二、 </w:t>
      </w:r>
      <w:r>
        <w:rPr>
          <w:rFonts w:hint="eastAsia" w:ascii="宋体" w:hAnsi="宋体" w:cs="宋体"/>
          <w:szCs w:val="24"/>
          <w:lang w:val="en-US" w:eastAsia="zh-CN"/>
        </w:rPr>
        <w:t>服务</w:t>
      </w:r>
      <w:r>
        <w:rPr>
          <w:rFonts w:hint="eastAsia" w:ascii="宋体" w:hAnsi="宋体" w:eastAsia="宋体" w:cs="宋体"/>
          <w:szCs w:val="24"/>
        </w:rPr>
        <w:t>部分</w:t>
      </w:r>
      <w:r>
        <w:tab/>
      </w:r>
      <w:r>
        <w:fldChar w:fldCharType="begin"/>
      </w:r>
      <w:r>
        <w:instrText xml:space="preserve"> PAGEREF _Toc16767 \h </w:instrText>
      </w:r>
      <w:r>
        <w:fldChar w:fldCharType="separate"/>
      </w:r>
      <w:r>
        <w:t>- 25 -</w:t>
      </w:r>
      <w:r>
        <w:fldChar w:fldCharType="end"/>
      </w:r>
      <w:r>
        <w:rPr>
          <w:rFonts w:hint="eastAsia" w:ascii="宋体" w:hAnsi="宋体" w:eastAsia="宋体" w:cs="宋体"/>
          <w:szCs w:val="21"/>
        </w:rPr>
        <w:fldChar w:fldCharType="end"/>
      </w:r>
    </w:p>
    <w:p w14:paraId="12D6FF73">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_Toc14447 </w:instrText>
      </w:r>
      <w:r>
        <w:rPr>
          <w:rFonts w:hint="eastAsia" w:ascii="宋体" w:hAnsi="宋体" w:eastAsia="宋体" w:cs="宋体"/>
          <w:szCs w:val="21"/>
        </w:rPr>
        <w:fldChar w:fldCharType="separate"/>
      </w:r>
      <w:r>
        <w:rPr>
          <w:rFonts w:hint="eastAsia" w:ascii="宋体" w:hAnsi="宋体" w:eastAsia="宋体"/>
          <w:bCs/>
          <w:snapToGrid w:val="0"/>
          <w:szCs w:val="24"/>
          <w:lang w:val="en-US" w:eastAsia="zh-CN"/>
        </w:rPr>
        <w:t>二、服务</w:t>
      </w:r>
      <w:r>
        <w:rPr>
          <w:rFonts w:hint="eastAsia" w:ascii="宋体" w:hAnsi="宋体" w:eastAsia="宋体"/>
          <w:bCs/>
          <w:snapToGrid w:val="0"/>
          <w:szCs w:val="24"/>
        </w:rPr>
        <w:t>方案</w:t>
      </w:r>
      <w:r>
        <w:tab/>
      </w:r>
      <w:r>
        <w:fldChar w:fldCharType="begin"/>
      </w:r>
      <w:r>
        <w:instrText xml:space="preserve"> PAGEREF _Toc14447 \h </w:instrText>
      </w:r>
      <w:r>
        <w:fldChar w:fldCharType="separate"/>
      </w:r>
      <w:r>
        <w:t>- 26 -</w:t>
      </w:r>
      <w:r>
        <w:fldChar w:fldCharType="end"/>
      </w:r>
      <w:r>
        <w:rPr>
          <w:rFonts w:hint="eastAsia" w:ascii="宋体" w:hAnsi="宋体" w:eastAsia="宋体" w:cs="宋体"/>
          <w:szCs w:val="21"/>
        </w:rPr>
        <w:fldChar w:fldCharType="end"/>
      </w:r>
    </w:p>
    <w:p w14:paraId="14FD36F1">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_Toc30659 </w:instrText>
      </w:r>
      <w:r>
        <w:rPr>
          <w:rFonts w:hint="eastAsia" w:ascii="宋体" w:hAnsi="宋体" w:eastAsia="宋体" w:cs="宋体"/>
          <w:szCs w:val="21"/>
        </w:rPr>
        <w:fldChar w:fldCharType="separate"/>
      </w:r>
      <w:r>
        <w:rPr>
          <w:rFonts w:hint="eastAsia" w:ascii="宋体" w:hAnsi="宋体" w:eastAsia="宋体" w:cs="宋体"/>
          <w:szCs w:val="24"/>
        </w:rPr>
        <w:t>三、商务部分</w:t>
      </w:r>
      <w:r>
        <w:tab/>
      </w:r>
      <w:r>
        <w:fldChar w:fldCharType="begin"/>
      </w:r>
      <w:r>
        <w:instrText xml:space="preserve"> PAGEREF _Toc30659 \h </w:instrText>
      </w:r>
      <w:r>
        <w:fldChar w:fldCharType="separate"/>
      </w:r>
      <w:r>
        <w:t>- 27 -</w:t>
      </w:r>
      <w:r>
        <w:fldChar w:fldCharType="end"/>
      </w:r>
      <w:r>
        <w:rPr>
          <w:rFonts w:hint="eastAsia" w:ascii="宋体" w:hAnsi="宋体" w:eastAsia="宋体" w:cs="宋体"/>
          <w:szCs w:val="21"/>
        </w:rPr>
        <w:fldChar w:fldCharType="end"/>
      </w:r>
    </w:p>
    <w:p w14:paraId="41C14D8B">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_Toc5193 </w:instrText>
      </w:r>
      <w:r>
        <w:rPr>
          <w:rFonts w:hint="eastAsia" w:ascii="宋体" w:hAnsi="宋体" w:eastAsia="宋体" w:cs="宋体"/>
          <w:szCs w:val="21"/>
        </w:rPr>
        <w:fldChar w:fldCharType="separate"/>
      </w:r>
      <w:r>
        <w:rPr>
          <w:rFonts w:hint="eastAsia" w:ascii="宋体" w:hAnsi="宋体" w:eastAsia="宋体" w:cs="宋体"/>
          <w:szCs w:val="24"/>
        </w:rPr>
        <w:t>四、资格条件及其他</w:t>
      </w:r>
      <w:r>
        <w:tab/>
      </w:r>
      <w:r>
        <w:fldChar w:fldCharType="begin"/>
      </w:r>
      <w:r>
        <w:instrText xml:space="preserve"> PAGEREF _Toc5193 \h </w:instrText>
      </w:r>
      <w:r>
        <w:fldChar w:fldCharType="separate"/>
      </w:r>
      <w:r>
        <w:t>- 29 -</w:t>
      </w:r>
      <w:r>
        <w:fldChar w:fldCharType="end"/>
      </w:r>
      <w:r>
        <w:rPr>
          <w:rFonts w:hint="eastAsia" w:ascii="宋体" w:hAnsi="宋体" w:eastAsia="宋体" w:cs="宋体"/>
          <w:szCs w:val="21"/>
        </w:rPr>
        <w:fldChar w:fldCharType="end"/>
      </w:r>
    </w:p>
    <w:p w14:paraId="54803983">
      <w:pPr>
        <w:pStyle w:val="30"/>
        <w:tabs>
          <w:tab w:val="right" w:leader="dot" w:pos="9412"/>
        </w:tabs>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_Toc6756 </w:instrText>
      </w:r>
      <w:r>
        <w:rPr>
          <w:rFonts w:hint="eastAsia" w:ascii="宋体" w:hAnsi="宋体" w:eastAsia="宋体" w:cs="宋体"/>
          <w:szCs w:val="21"/>
        </w:rPr>
        <w:fldChar w:fldCharType="separate"/>
      </w:r>
      <w:r>
        <w:rPr>
          <w:rFonts w:hint="eastAsia" w:ascii="宋体" w:hAnsi="宋体" w:eastAsia="宋体" w:cs="宋体"/>
          <w:szCs w:val="24"/>
        </w:rPr>
        <w:t>五、其他资料</w:t>
      </w:r>
      <w:r>
        <w:tab/>
      </w:r>
      <w:r>
        <w:fldChar w:fldCharType="begin"/>
      </w:r>
      <w:r>
        <w:instrText xml:space="preserve"> PAGEREF _Toc6756 \h </w:instrText>
      </w:r>
      <w:r>
        <w:fldChar w:fldCharType="separate"/>
      </w:r>
      <w:r>
        <w:t>- 34 -</w:t>
      </w:r>
      <w:r>
        <w:fldChar w:fldCharType="end"/>
      </w:r>
      <w:r>
        <w:rPr>
          <w:rFonts w:hint="eastAsia" w:ascii="宋体" w:hAnsi="宋体" w:eastAsia="宋体" w:cs="宋体"/>
          <w:szCs w:val="21"/>
        </w:rPr>
        <w:fldChar w:fldCharType="end"/>
      </w:r>
    </w:p>
    <w:p w14:paraId="469066F0">
      <w:pPr>
        <w:pStyle w:val="39"/>
        <w:tabs>
          <w:tab w:val="right" w:leader="dot" w:pos="9412"/>
        </w:tabs>
        <w:rPr>
          <w:rFonts w:hint="default" w:ascii="宋体" w:hAnsi="宋体" w:eastAsia="宋体" w:cs="宋体"/>
          <w:sz w:val="18"/>
          <w:szCs w:val="22"/>
          <w:lang w:val="en-US" w:eastAsia="zh-CN"/>
        </w:rPr>
        <w:sectPr>
          <w:footerReference r:id="rId6"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szCs w:val="21"/>
        </w:rPr>
        <w:fldChar w:fldCharType="end"/>
      </w:r>
    </w:p>
    <w:p w14:paraId="6D710B24">
      <w:pPr>
        <w:pStyle w:val="5"/>
        <w:spacing w:before="120" w:beforeLines="50" w:after="120" w:afterLines="50" w:line="240" w:lineRule="auto"/>
        <w:jc w:val="center"/>
        <w:rPr>
          <w:rFonts w:hint="eastAsia" w:ascii="宋体" w:hAnsi="宋体" w:eastAsia="宋体" w:cs="宋体"/>
          <w:b w:val="0"/>
          <w:kern w:val="2"/>
          <w:sz w:val="36"/>
          <w:szCs w:val="30"/>
          <w:lang w:val="en-US" w:eastAsia="zh-CN" w:bidi="ar-SA"/>
        </w:rPr>
      </w:pPr>
      <w:bookmarkStart w:id="0" w:name="_Toc7314"/>
      <w:bookmarkStart w:id="1" w:name="_Toc9685"/>
      <w:bookmarkStart w:id="2" w:name="_Toc20311"/>
      <w:bookmarkStart w:id="3" w:name="_Toc12789052"/>
      <w:bookmarkStart w:id="4" w:name="_Toc76462316"/>
      <w:bookmarkStart w:id="5" w:name="_Toc106030870"/>
      <w:bookmarkStart w:id="6" w:name="_Toc11641050"/>
      <w:r>
        <w:rPr>
          <w:rFonts w:hint="eastAsia" w:ascii="宋体" w:hAnsi="宋体" w:eastAsia="宋体" w:cs="宋体"/>
          <w:b w:val="0"/>
          <w:kern w:val="2"/>
          <w:sz w:val="36"/>
          <w:szCs w:val="30"/>
          <w:lang w:val="en-US" w:eastAsia="zh-CN" w:bidi="ar-SA"/>
        </w:rPr>
        <w:t>第一篇  采购邀请书</w:t>
      </w:r>
      <w:bookmarkEnd w:id="0"/>
      <w:bookmarkEnd w:id="1"/>
      <w:bookmarkEnd w:id="2"/>
      <w:bookmarkEnd w:id="3"/>
      <w:bookmarkEnd w:id="4"/>
      <w:bookmarkEnd w:id="5"/>
      <w:bookmarkEnd w:id="6"/>
    </w:p>
    <w:p w14:paraId="2B40B088">
      <w:pPr>
        <w:spacing w:line="360" w:lineRule="auto"/>
        <w:ind w:firstLine="480"/>
        <w:rPr>
          <w:rFonts w:hint="eastAsia" w:ascii="宋体" w:hAnsi="宋体" w:eastAsia="宋体" w:cs="宋体"/>
          <w:sz w:val="24"/>
          <w:szCs w:val="24"/>
        </w:rPr>
      </w:pPr>
      <w:r>
        <w:rPr>
          <w:rFonts w:hint="eastAsia" w:ascii="宋体" w:hAnsi="宋体" w:eastAsia="宋体" w:cs="宋体"/>
          <w:sz w:val="24"/>
          <w:szCs w:val="24"/>
          <w:u w:val="single"/>
          <w:lang w:val="en-US" w:eastAsia="zh-CN"/>
        </w:rPr>
        <w:t>明科建设咨询有限公司</w:t>
      </w:r>
      <w:r>
        <w:rPr>
          <w:rFonts w:hint="eastAsia" w:ascii="宋体" w:hAnsi="宋体" w:eastAsia="宋体" w:cs="宋体"/>
          <w:sz w:val="24"/>
          <w:szCs w:val="24"/>
        </w:rPr>
        <w:t>（以下简称：采购代理机构）接受</w:t>
      </w:r>
      <w:r>
        <w:rPr>
          <w:rFonts w:hint="eastAsia" w:ascii="宋体" w:hAnsi="宋体" w:eastAsia="宋体" w:cs="宋体"/>
          <w:sz w:val="24"/>
          <w:szCs w:val="24"/>
          <w:u w:val="single"/>
        </w:rPr>
        <w:t>重庆市大足区城市管理局</w:t>
      </w:r>
      <w:r>
        <w:rPr>
          <w:rFonts w:hint="eastAsia" w:ascii="宋体" w:hAnsi="宋体" w:eastAsia="宋体" w:cs="宋体"/>
          <w:sz w:val="24"/>
          <w:szCs w:val="24"/>
        </w:rPr>
        <w:t>的委托（以下简称：</w:t>
      </w:r>
      <w:r>
        <w:rPr>
          <w:rFonts w:hint="eastAsia" w:ascii="宋体" w:hAnsi="宋体" w:cs="宋体"/>
          <w:sz w:val="24"/>
          <w:szCs w:val="24"/>
          <w:lang w:val="en-US" w:eastAsia="zh-CN"/>
        </w:rPr>
        <w:t>采购人</w:t>
      </w:r>
      <w:r>
        <w:rPr>
          <w:rFonts w:hint="eastAsia" w:ascii="宋体" w:hAnsi="宋体" w:eastAsia="宋体" w:cs="宋体"/>
          <w:sz w:val="24"/>
          <w:szCs w:val="24"/>
        </w:rPr>
        <w:t>），对</w:t>
      </w:r>
      <w:r>
        <w:rPr>
          <w:rFonts w:hint="eastAsia" w:ascii="宋体" w:hAnsi="宋体" w:cs="宋体"/>
          <w:sz w:val="24"/>
          <w:szCs w:val="24"/>
          <w:u w:val="single"/>
          <w:lang w:val="en-US" w:eastAsia="zh-CN"/>
        </w:rPr>
        <w:t xml:space="preserve"> </w:t>
      </w:r>
      <w:r>
        <w:rPr>
          <w:rFonts w:hint="eastAsia" w:ascii="宋体" w:hAnsi="宋体" w:eastAsia="宋体" w:cs="宋体"/>
          <w:b w:val="0"/>
          <w:bCs w:val="0"/>
          <w:color w:val="auto"/>
          <w:sz w:val="24"/>
          <w:szCs w:val="24"/>
          <w:u w:val="single"/>
        </w:rPr>
        <w:t>重庆市大足区城市管理局食堂食材配送服务采购-干鲜类、蛋类、米面油及奶制品</w:t>
      </w:r>
      <w:r>
        <w:rPr>
          <w:rFonts w:hint="eastAsia" w:ascii="宋体" w:hAnsi="宋体" w:cs="宋体"/>
          <w:b w:val="0"/>
          <w:bCs w:val="0"/>
          <w:color w:val="auto"/>
          <w:sz w:val="24"/>
          <w:szCs w:val="24"/>
          <w:u w:val="single"/>
          <w:lang w:val="en-US" w:eastAsia="zh-CN"/>
        </w:rPr>
        <w:t xml:space="preserve"> </w:t>
      </w:r>
      <w:r>
        <w:rPr>
          <w:rFonts w:hint="eastAsia" w:ascii="宋体" w:hAnsi="宋体" w:eastAsia="宋体" w:cs="宋体"/>
          <w:sz w:val="24"/>
          <w:szCs w:val="24"/>
        </w:rPr>
        <w:t>项目进行竞争性磋商采购。欢迎有资格的供应商前来参与磋商。</w:t>
      </w:r>
    </w:p>
    <w:p w14:paraId="1DD0CBA7">
      <w:pPr>
        <w:pStyle w:val="5"/>
        <w:spacing w:before="120" w:beforeLines="50" w:after="120" w:afterLines="50" w:line="240" w:lineRule="auto"/>
        <w:rPr>
          <w:rFonts w:hint="eastAsia" w:ascii="宋体" w:hAnsi="宋体" w:eastAsia="宋体" w:cs="宋体"/>
          <w:sz w:val="24"/>
          <w:szCs w:val="24"/>
        </w:rPr>
      </w:pPr>
      <w:bookmarkStart w:id="7" w:name="_Toc21295"/>
      <w:bookmarkStart w:id="8" w:name="_Toc317775175"/>
      <w:bookmarkStart w:id="9" w:name="_Toc313893526"/>
      <w:r>
        <w:rPr>
          <w:rFonts w:hint="eastAsia" w:ascii="宋体" w:hAnsi="宋体" w:eastAsia="宋体" w:cs="宋体"/>
          <w:sz w:val="24"/>
          <w:szCs w:val="24"/>
        </w:rPr>
        <w:t>一、竞争性磋商内容</w:t>
      </w:r>
      <w:bookmarkEnd w:id="7"/>
      <w:bookmarkEnd w:id="8"/>
      <w:bookmarkEnd w:id="9"/>
    </w:p>
    <w:tbl>
      <w:tblPr>
        <w:tblStyle w:val="61"/>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7"/>
        <w:gridCol w:w="1690"/>
        <w:gridCol w:w="1690"/>
        <w:gridCol w:w="1939"/>
      </w:tblGrid>
      <w:tr w14:paraId="775B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217" w:type="dxa"/>
            <w:tcBorders>
              <w:top w:val="single" w:color="auto" w:sz="4" w:space="0"/>
              <w:left w:val="single" w:color="auto" w:sz="4" w:space="0"/>
              <w:right w:val="single" w:color="auto" w:sz="4" w:space="0"/>
            </w:tcBorders>
            <w:vAlign w:val="center"/>
          </w:tcPr>
          <w:p w14:paraId="660D9BD2">
            <w:pPr>
              <w:keepNext w:val="0"/>
              <w:keepLines w:val="0"/>
              <w:widowControl/>
              <w:suppressLineNumbers w:val="0"/>
              <w:spacing w:before="0" w:beforeAutospacing="0" w:after="0" w:afterAutospacing="0"/>
              <w:ind w:left="0" w:right="0"/>
              <w:jc w:val="center"/>
              <w:rPr>
                <w:rFonts w:hint="eastAsia" w:ascii="宋体" w:hAnsi="宋体" w:eastAsia="宋体" w:cs="宋体"/>
                <w:bCs/>
                <w:color w:val="FF0000"/>
                <w:kern w:val="0"/>
                <w:sz w:val="24"/>
                <w:szCs w:val="24"/>
              </w:rPr>
            </w:pPr>
            <w:r>
              <w:rPr>
                <w:rFonts w:hint="eastAsia" w:ascii="宋体" w:hAnsi="宋体" w:eastAsia="宋体" w:cs="宋体"/>
                <w:b/>
                <w:bCs/>
                <w:i w:val="0"/>
                <w:iCs w:val="0"/>
                <w:color w:val="auto"/>
                <w:kern w:val="0"/>
                <w:sz w:val="24"/>
                <w:szCs w:val="24"/>
              </w:rPr>
              <w:t>项目名称</w:t>
            </w:r>
          </w:p>
        </w:tc>
        <w:tc>
          <w:tcPr>
            <w:tcW w:w="1690" w:type="dxa"/>
            <w:tcBorders>
              <w:top w:val="single" w:color="auto" w:sz="4" w:space="0"/>
              <w:left w:val="single" w:color="auto" w:sz="4" w:space="0"/>
              <w:right w:val="single" w:color="auto" w:sz="4" w:space="0"/>
            </w:tcBorders>
            <w:vAlign w:val="center"/>
          </w:tcPr>
          <w:p w14:paraId="410B21F4">
            <w:pPr>
              <w:keepNext w:val="0"/>
              <w:keepLines w:val="0"/>
              <w:suppressLineNumbers w:val="0"/>
              <w:spacing w:before="0" w:beforeAutospacing="0" w:after="0" w:afterAutospacing="0"/>
              <w:ind w:left="0" w:right="0"/>
              <w:jc w:val="center"/>
              <w:rPr>
                <w:rFonts w:hint="default" w:ascii="宋体" w:hAnsi="宋体" w:eastAsia="宋体" w:cs="宋体"/>
                <w:b/>
                <w:bCs/>
                <w:i w:val="0"/>
                <w:iCs w:val="0"/>
                <w:color w:val="auto"/>
                <w:kern w:val="0"/>
                <w:sz w:val="24"/>
                <w:szCs w:val="24"/>
                <w:lang w:val="en-US" w:eastAsia="zh-CN"/>
              </w:rPr>
            </w:pPr>
            <w:r>
              <w:rPr>
                <w:rFonts w:hint="eastAsia" w:ascii="宋体" w:hAnsi="宋体" w:cs="宋体"/>
                <w:b/>
                <w:bCs/>
                <w:i w:val="0"/>
                <w:iCs w:val="0"/>
                <w:color w:val="auto"/>
                <w:kern w:val="0"/>
                <w:sz w:val="24"/>
                <w:szCs w:val="24"/>
                <w:lang w:val="en-US" w:eastAsia="zh-CN"/>
              </w:rPr>
              <w:t xml:space="preserve">采购预算  </w:t>
            </w:r>
            <w:r>
              <w:rPr>
                <w:rFonts w:hint="eastAsia" w:ascii="宋体" w:hAnsi="宋体" w:eastAsia="宋体" w:cs="宋体"/>
                <w:b/>
                <w:bCs/>
                <w:i w:val="0"/>
                <w:iCs w:val="0"/>
                <w:color w:val="auto"/>
                <w:kern w:val="0"/>
                <w:sz w:val="24"/>
                <w:szCs w:val="24"/>
              </w:rPr>
              <w:t>（</w:t>
            </w:r>
            <w:r>
              <w:rPr>
                <w:rFonts w:hint="eastAsia" w:ascii="宋体" w:hAnsi="宋体" w:cs="宋体"/>
                <w:b/>
                <w:bCs/>
                <w:i w:val="0"/>
                <w:iCs w:val="0"/>
                <w:color w:val="auto"/>
                <w:kern w:val="0"/>
                <w:sz w:val="24"/>
                <w:szCs w:val="24"/>
                <w:lang w:val="en-US" w:eastAsia="zh-CN"/>
              </w:rPr>
              <w:t>万</w:t>
            </w:r>
            <w:r>
              <w:rPr>
                <w:rFonts w:hint="eastAsia" w:ascii="宋体" w:hAnsi="宋体" w:eastAsia="宋体" w:cs="宋体"/>
                <w:b/>
                <w:bCs/>
                <w:i w:val="0"/>
                <w:iCs w:val="0"/>
                <w:color w:val="auto"/>
                <w:kern w:val="0"/>
                <w:sz w:val="24"/>
                <w:szCs w:val="24"/>
                <w:lang w:val="en-US" w:eastAsia="zh-CN"/>
              </w:rPr>
              <w:t>元</w:t>
            </w:r>
            <w:r>
              <w:rPr>
                <w:rFonts w:hint="eastAsia" w:ascii="宋体" w:hAnsi="宋体" w:eastAsia="宋体" w:cs="宋体"/>
                <w:b/>
                <w:bCs/>
                <w:i w:val="0"/>
                <w:iCs w:val="0"/>
                <w:color w:val="auto"/>
                <w:kern w:val="0"/>
                <w:sz w:val="24"/>
                <w:szCs w:val="24"/>
              </w:rPr>
              <w:t>）</w:t>
            </w:r>
          </w:p>
        </w:tc>
        <w:tc>
          <w:tcPr>
            <w:tcW w:w="1690" w:type="dxa"/>
            <w:tcBorders>
              <w:top w:val="single" w:color="auto" w:sz="4" w:space="0"/>
              <w:left w:val="single" w:color="auto" w:sz="4" w:space="0"/>
              <w:right w:val="single" w:color="auto" w:sz="4" w:space="0"/>
            </w:tcBorders>
            <w:vAlign w:val="center"/>
          </w:tcPr>
          <w:p w14:paraId="58147B3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kern w:val="0"/>
                <w:sz w:val="24"/>
                <w:szCs w:val="24"/>
                <w:lang w:val="en-US" w:eastAsia="zh-CN"/>
              </w:rPr>
            </w:pPr>
            <w:r>
              <w:rPr>
                <w:rFonts w:hint="eastAsia" w:ascii="宋体" w:hAnsi="宋体" w:eastAsia="宋体" w:cs="宋体"/>
                <w:b/>
                <w:bCs/>
                <w:i w:val="0"/>
                <w:iCs w:val="0"/>
                <w:color w:val="auto"/>
                <w:kern w:val="0"/>
                <w:sz w:val="24"/>
                <w:szCs w:val="24"/>
                <w:lang w:val="en-US" w:eastAsia="zh-CN"/>
              </w:rPr>
              <w:t>最高限价</w:t>
            </w:r>
          </w:p>
          <w:p w14:paraId="551C48EC">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kern w:val="0"/>
                <w:sz w:val="24"/>
                <w:szCs w:val="24"/>
              </w:rPr>
            </w:pPr>
            <w:r>
              <w:rPr>
                <w:rFonts w:hint="eastAsia" w:ascii="宋体" w:hAnsi="宋体" w:eastAsia="宋体" w:cs="宋体"/>
                <w:b/>
                <w:bCs/>
                <w:i w:val="0"/>
                <w:iCs w:val="0"/>
                <w:color w:val="auto"/>
                <w:kern w:val="0"/>
                <w:sz w:val="24"/>
                <w:szCs w:val="24"/>
              </w:rPr>
              <w:t>（</w:t>
            </w:r>
            <w:r>
              <w:rPr>
                <w:rFonts w:hint="eastAsia" w:ascii="宋体" w:hAnsi="宋体" w:cs="宋体"/>
                <w:b/>
                <w:bCs/>
                <w:i w:val="0"/>
                <w:iCs w:val="0"/>
                <w:color w:val="auto"/>
                <w:kern w:val="0"/>
                <w:sz w:val="24"/>
                <w:szCs w:val="24"/>
                <w:lang w:val="en-US" w:eastAsia="zh-CN"/>
              </w:rPr>
              <w:t>万</w:t>
            </w:r>
            <w:r>
              <w:rPr>
                <w:rFonts w:hint="eastAsia" w:ascii="宋体" w:hAnsi="宋体" w:eastAsia="宋体" w:cs="宋体"/>
                <w:b/>
                <w:bCs/>
                <w:i w:val="0"/>
                <w:iCs w:val="0"/>
                <w:color w:val="auto"/>
                <w:kern w:val="0"/>
                <w:sz w:val="24"/>
                <w:szCs w:val="24"/>
                <w:lang w:val="en-US" w:eastAsia="zh-CN"/>
              </w:rPr>
              <w:t>元</w:t>
            </w:r>
            <w:r>
              <w:rPr>
                <w:rFonts w:hint="eastAsia" w:ascii="宋体" w:hAnsi="宋体" w:eastAsia="宋体" w:cs="宋体"/>
                <w:b/>
                <w:bCs/>
                <w:i w:val="0"/>
                <w:iCs w:val="0"/>
                <w:color w:val="auto"/>
                <w:kern w:val="0"/>
                <w:sz w:val="24"/>
                <w:szCs w:val="24"/>
              </w:rPr>
              <w:t>）</w:t>
            </w:r>
          </w:p>
        </w:tc>
        <w:tc>
          <w:tcPr>
            <w:tcW w:w="1939" w:type="dxa"/>
            <w:tcBorders>
              <w:top w:val="single" w:color="auto" w:sz="4" w:space="0"/>
              <w:left w:val="single" w:color="auto" w:sz="4" w:space="0"/>
              <w:right w:val="single" w:color="auto" w:sz="4" w:space="0"/>
            </w:tcBorders>
            <w:vAlign w:val="center"/>
          </w:tcPr>
          <w:p w14:paraId="7A8234B5">
            <w:pPr>
              <w:keepNext w:val="0"/>
              <w:keepLines w:val="0"/>
              <w:suppressLineNumbers w:val="0"/>
              <w:spacing w:before="0" w:beforeAutospacing="0" w:after="0" w:afterAutospacing="0"/>
              <w:ind w:left="0" w:right="0"/>
              <w:jc w:val="center"/>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成交供应商</w:t>
            </w:r>
          </w:p>
          <w:p w14:paraId="34943A33">
            <w:pPr>
              <w:keepNext w:val="0"/>
              <w:keepLines w:val="0"/>
              <w:suppressLineNumbers w:val="0"/>
              <w:spacing w:before="0" w:beforeAutospacing="0" w:after="0" w:afterAutospacing="0"/>
              <w:ind w:left="0" w:right="0"/>
              <w:jc w:val="center"/>
              <w:rPr>
                <w:rFonts w:hint="eastAsia" w:ascii="宋体" w:hAnsi="宋体" w:eastAsia="宋体" w:cs="宋体"/>
                <w:bCs/>
                <w:color w:val="000000"/>
                <w:kern w:val="0"/>
                <w:sz w:val="24"/>
                <w:szCs w:val="24"/>
              </w:rPr>
            </w:pPr>
            <w:r>
              <w:rPr>
                <w:rFonts w:hint="eastAsia" w:ascii="宋体" w:hAnsi="宋体" w:eastAsia="宋体" w:cs="宋体"/>
                <w:b/>
                <w:bCs/>
                <w:i w:val="0"/>
                <w:iCs w:val="0"/>
                <w:color w:val="auto"/>
                <w:kern w:val="0"/>
                <w:sz w:val="24"/>
                <w:szCs w:val="24"/>
                <w:lang w:val="en-US" w:eastAsia="zh-CN"/>
              </w:rPr>
              <w:t>（名）</w:t>
            </w:r>
          </w:p>
        </w:tc>
      </w:tr>
      <w:tr w14:paraId="517D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3217" w:type="dxa"/>
            <w:tcBorders>
              <w:top w:val="single" w:color="auto" w:sz="4" w:space="0"/>
              <w:left w:val="single" w:color="auto" w:sz="4" w:space="0"/>
              <w:bottom w:val="single" w:color="auto" w:sz="4" w:space="0"/>
              <w:right w:val="single" w:color="auto" w:sz="4" w:space="0"/>
            </w:tcBorders>
            <w:vAlign w:val="center"/>
          </w:tcPr>
          <w:p w14:paraId="6487E2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FF0000"/>
                <w:kern w:val="0"/>
                <w:sz w:val="24"/>
                <w:szCs w:val="24"/>
                <w:lang w:val="en-US" w:eastAsia="zh-CN"/>
              </w:rPr>
            </w:pPr>
            <w:bookmarkStart w:id="10" w:name="_Hlk344477914"/>
            <w:r>
              <w:rPr>
                <w:rFonts w:hint="eastAsia" w:ascii="宋体" w:hAnsi="宋体" w:cs="宋体"/>
                <w:b w:val="0"/>
                <w:bCs w:val="0"/>
                <w:color w:val="000000"/>
                <w:kern w:val="0"/>
                <w:sz w:val="24"/>
                <w:szCs w:val="24"/>
                <w:lang w:val="en-US" w:eastAsia="zh-CN"/>
              </w:rPr>
              <w:t>重庆市大足区城市管理局食堂食材配送服务采购-干鲜类、蛋类、米面油及奶制品</w:t>
            </w:r>
          </w:p>
        </w:tc>
        <w:tc>
          <w:tcPr>
            <w:tcW w:w="1690" w:type="dxa"/>
            <w:tcBorders>
              <w:top w:val="single" w:color="auto" w:sz="4" w:space="0"/>
              <w:left w:val="single" w:color="auto" w:sz="4" w:space="0"/>
              <w:bottom w:val="single" w:color="auto" w:sz="4" w:space="0"/>
              <w:right w:val="single" w:color="auto" w:sz="4" w:space="0"/>
            </w:tcBorders>
            <w:vAlign w:val="center"/>
          </w:tcPr>
          <w:p w14:paraId="591C78CA">
            <w:pPr>
              <w:keepNext w:val="0"/>
              <w:keepLines w:val="0"/>
              <w:suppressLineNumbers w:val="0"/>
              <w:spacing w:before="0" w:beforeAutospacing="0" w:after="0" w:afterAutospacing="0" w:line="360" w:lineRule="auto"/>
              <w:ind w:left="0" w:right="0"/>
              <w:jc w:val="center"/>
              <w:rPr>
                <w:rFonts w:hint="default"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35</w:t>
            </w:r>
          </w:p>
        </w:tc>
        <w:tc>
          <w:tcPr>
            <w:tcW w:w="1690" w:type="dxa"/>
            <w:tcBorders>
              <w:top w:val="single" w:color="auto" w:sz="4" w:space="0"/>
              <w:left w:val="single" w:color="auto" w:sz="4" w:space="0"/>
              <w:bottom w:val="single" w:color="auto" w:sz="4" w:space="0"/>
              <w:right w:val="single" w:color="auto" w:sz="4" w:space="0"/>
            </w:tcBorders>
            <w:vAlign w:val="center"/>
          </w:tcPr>
          <w:p w14:paraId="785AEB3D">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35</w:t>
            </w:r>
          </w:p>
        </w:tc>
        <w:tc>
          <w:tcPr>
            <w:tcW w:w="1939" w:type="dxa"/>
            <w:tcBorders>
              <w:top w:val="single" w:color="auto" w:sz="4" w:space="0"/>
              <w:left w:val="single" w:color="auto" w:sz="4" w:space="0"/>
              <w:bottom w:val="single" w:color="auto" w:sz="4" w:space="0"/>
              <w:right w:val="single" w:color="auto" w:sz="4" w:space="0"/>
            </w:tcBorders>
            <w:vAlign w:val="center"/>
          </w:tcPr>
          <w:p w14:paraId="2F9BEB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bookmarkEnd w:id="10"/>
    </w:tbl>
    <w:p w14:paraId="0465A8A8">
      <w:pPr>
        <w:pStyle w:val="5"/>
        <w:spacing w:before="120" w:beforeLines="50" w:after="120" w:afterLines="50" w:line="400" w:lineRule="exact"/>
        <w:rPr>
          <w:rFonts w:hint="eastAsia" w:ascii="宋体" w:hAnsi="宋体" w:eastAsia="宋体" w:cs="宋体"/>
          <w:sz w:val="24"/>
          <w:szCs w:val="24"/>
        </w:rPr>
      </w:pPr>
      <w:bookmarkStart w:id="11" w:name="_Toc28746"/>
      <w:bookmarkStart w:id="12" w:name="_Toc373860293"/>
      <w:bookmarkStart w:id="13" w:name="_Toc317775178"/>
      <w:r>
        <w:rPr>
          <w:rFonts w:hint="eastAsia" w:ascii="宋体" w:hAnsi="宋体" w:eastAsia="宋体" w:cs="宋体"/>
          <w:sz w:val="24"/>
          <w:szCs w:val="24"/>
        </w:rPr>
        <w:t>二、资金来源</w:t>
      </w:r>
      <w:bookmarkEnd w:id="11"/>
    </w:p>
    <w:p w14:paraId="6D327C7B">
      <w:pPr>
        <w:pStyle w:val="5"/>
        <w:spacing w:before="0" w:after="0" w:line="400" w:lineRule="exact"/>
        <w:ind w:firstLine="480" w:firstLineChars="200"/>
        <w:rPr>
          <w:rFonts w:hint="eastAsia" w:ascii="宋体" w:hAnsi="宋体" w:eastAsia="宋体" w:cs="宋体"/>
          <w:b w:val="0"/>
          <w:kern w:val="2"/>
          <w:sz w:val="24"/>
          <w:szCs w:val="24"/>
          <w:highlight w:val="none"/>
          <w:lang w:val="en-US" w:eastAsia="zh-CN" w:bidi="ar-SA"/>
        </w:rPr>
      </w:pPr>
      <w:bookmarkStart w:id="14" w:name="_Toc3974"/>
      <w:bookmarkStart w:id="15" w:name="_Toc32278"/>
      <w:bookmarkStart w:id="16" w:name="_Toc14651"/>
      <w:bookmarkStart w:id="17" w:name="_Toc17810"/>
      <w:r>
        <w:rPr>
          <w:rFonts w:hint="eastAsia" w:ascii="宋体" w:hAnsi="宋体" w:eastAsia="宋体" w:cs="宋体"/>
          <w:b w:val="0"/>
          <w:kern w:val="2"/>
          <w:sz w:val="24"/>
          <w:szCs w:val="24"/>
          <w:highlight w:val="none"/>
          <w:lang w:val="en-US" w:eastAsia="zh-CN" w:bidi="ar-SA"/>
        </w:rPr>
        <w:t>财政资金</w:t>
      </w:r>
      <w:bookmarkEnd w:id="14"/>
      <w:bookmarkEnd w:id="15"/>
      <w:bookmarkEnd w:id="16"/>
      <w:bookmarkEnd w:id="17"/>
    </w:p>
    <w:p w14:paraId="3C27CC38">
      <w:pPr>
        <w:pStyle w:val="5"/>
        <w:spacing w:before="120" w:beforeLines="50" w:after="120" w:afterLines="50" w:line="240" w:lineRule="auto"/>
        <w:rPr>
          <w:rFonts w:hint="eastAsia" w:ascii="宋体" w:hAnsi="宋体" w:eastAsia="宋体" w:cs="宋体"/>
          <w:sz w:val="24"/>
          <w:szCs w:val="24"/>
        </w:rPr>
      </w:pPr>
      <w:bookmarkStart w:id="18" w:name="_Toc15581"/>
      <w:r>
        <w:rPr>
          <w:rFonts w:hint="eastAsia" w:ascii="宋体" w:hAnsi="宋体" w:eastAsia="宋体" w:cs="宋体"/>
          <w:sz w:val="24"/>
          <w:szCs w:val="24"/>
        </w:rPr>
        <w:t>三、供应商资格条件</w:t>
      </w:r>
      <w:bookmarkEnd w:id="18"/>
    </w:p>
    <w:p w14:paraId="295852C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供应商是指向采购人提供服务或者货物的法人、其他组织或者自然人。合格的供应商应首先符合政府采购法第二十二条规定的基本资格条件。</w:t>
      </w:r>
    </w:p>
    <w:p w14:paraId="2B5B5884">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w:t>
      </w:r>
      <w:r>
        <w:rPr>
          <w:rFonts w:hint="eastAsia" w:ascii="宋体" w:hAnsi="宋体" w:cs="宋体"/>
          <w:b/>
          <w:sz w:val="24"/>
          <w:szCs w:val="24"/>
          <w:lang w:val="en-US" w:eastAsia="zh-CN"/>
        </w:rPr>
        <w:t>基本</w:t>
      </w:r>
      <w:r>
        <w:rPr>
          <w:rFonts w:hint="eastAsia" w:ascii="宋体" w:hAnsi="宋体" w:eastAsia="宋体" w:cs="宋体"/>
          <w:b/>
          <w:sz w:val="24"/>
          <w:szCs w:val="24"/>
        </w:rPr>
        <w:t>条件</w:t>
      </w:r>
    </w:p>
    <w:p w14:paraId="5932CED1">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2CED6F5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37220AD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1F12991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4.有依法缴纳税收</w:t>
      </w:r>
      <w:r>
        <w:rPr>
          <w:rFonts w:hint="eastAsia" w:ascii="宋体" w:hAnsi="宋体" w:cs="宋体"/>
          <w:sz w:val="24"/>
          <w:szCs w:val="24"/>
          <w:lang w:val="en-US" w:eastAsia="zh-CN"/>
        </w:rPr>
        <w:t>或</w:t>
      </w:r>
      <w:r>
        <w:rPr>
          <w:rFonts w:hint="eastAsia" w:ascii="宋体" w:hAnsi="宋体" w:eastAsia="宋体" w:cs="宋体"/>
          <w:sz w:val="24"/>
          <w:szCs w:val="24"/>
        </w:rPr>
        <w:t>社会保障资金的良好记录；</w:t>
      </w:r>
    </w:p>
    <w:p w14:paraId="2855DBD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17515D6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11BD3652">
      <w:pPr>
        <w:spacing w:line="400" w:lineRule="exact"/>
        <w:ind w:firstLine="482" w:firstLineChars="200"/>
        <w:rPr>
          <w:rFonts w:hint="eastAsia" w:ascii="宋体" w:hAnsi="宋体" w:cs="宋体"/>
          <w:b/>
          <w:sz w:val="24"/>
          <w:szCs w:val="24"/>
          <w:lang w:eastAsia="zh-CN"/>
        </w:rPr>
      </w:pPr>
      <w:r>
        <w:rPr>
          <w:rFonts w:hint="eastAsia" w:ascii="宋体" w:hAnsi="宋体" w:eastAsia="宋体" w:cs="宋体"/>
          <w:b/>
          <w:sz w:val="24"/>
          <w:szCs w:val="24"/>
        </w:rPr>
        <w:t>（二）特定资格条件</w:t>
      </w:r>
    </w:p>
    <w:p w14:paraId="137B51D4">
      <w:pPr>
        <w:spacing w:line="400" w:lineRule="exact"/>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eastAsia="zh-CN"/>
        </w:rPr>
        <w:t>供应商须具备有效的食品经营许可证或食品流通许可证（提供复印件加盖公章）</w:t>
      </w:r>
    </w:p>
    <w:bookmarkEnd w:id="12"/>
    <w:p w14:paraId="511C43E6">
      <w:pPr>
        <w:pStyle w:val="5"/>
        <w:spacing w:before="120" w:beforeLines="50" w:after="120" w:afterLines="50" w:line="240" w:lineRule="auto"/>
        <w:rPr>
          <w:rFonts w:hint="eastAsia" w:ascii="宋体" w:hAnsi="宋体" w:eastAsia="宋体" w:cs="宋体"/>
          <w:sz w:val="24"/>
          <w:szCs w:val="24"/>
        </w:rPr>
      </w:pPr>
      <w:bookmarkStart w:id="19" w:name="_Toc1956"/>
      <w:bookmarkStart w:id="20" w:name="_Toc474487430"/>
      <w:bookmarkStart w:id="21" w:name="_Toc531184285"/>
      <w:bookmarkStart w:id="22" w:name="_Toc446505900"/>
      <w:bookmarkStart w:id="23" w:name="_Toc373860294"/>
      <w:r>
        <w:rPr>
          <w:rFonts w:hint="eastAsia" w:ascii="宋体" w:hAnsi="宋体" w:eastAsia="宋体" w:cs="宋体"/>
          <w:sz w:val="24"/>
          <w:szCs w:val="24"/>
        </w:rPr>
        <w:t>四、投标、磋商有关说明</w:t>
      </w:r>
      <w:bookmarkEnd w:id="19"/>
      <w:bookmarkEnd w:id="20"/>
      <w:bookmarkEnd w:id="21"/>
    </w:p>
    <w:bookmarkEnd w:id="22"/>
    <w:p w14:paraId="602EACA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）供应商应按要求通过行采家（https://www.gec123.com/）进行注册，登记加入“行采家供应商库”。</w:t>
      </w:r>
    </w:p>
    <w:p w14:paraId="5DAE4F5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（二）磋商文件获取方式：凡有意参加磋商的供应商，请在行采家（https://www.gec123.com/）网下载本项目磋商文件以及补遗文件等磋商前公布的所有项目资料。</w:t>
      </w:r>
    </w:p>
    <w:p w14:paraId="0832BD4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（三）磋商公告期限：自磋商公告发布之日起</w:t>
      </w:r>
      <w:r>
        <w:rPr>
          <w:rFonts w:hint="eastAsia" w:ascii="宋体" w:hAnsi="宋体" w:cs="宋体"/>
          <w:sz w:val="24"/>
          <w:szCs w:val="24"/>
          <w:lang w:val="en-US" w:eastAsia="zh-CN"/>
        </w:rPr>
        <w:t>10</w:t>
      </w:r>
      <w:r>
        <w:rPr>
          <w:rFonts w:hint="eastAsia" w:ascii="宋体" w:hAnsi="宋体" w:eastAsia="宋体" w:cs="宋体"/>
          <w:sz w:val="24"/>
          <w:szCs w:val="24"/>
        </w:rPr>
        <w:t>个</w:t>
      </w:r>
      <w:r>
        <w:rPr>
          <w:rFonts w:hint="eastAsia" w:ascii="宋体" w:hAnsi="宋体" w:cs="宋体"/>
          <w:sz w:val="24"/>
          <w:szCs w:val="24"/>
          <w:lang w:val="en-US" w:eastAsia="zh-CN"/>
        </w:rPr>
        <w:t>日历天</w:t>
      </w:r>
      <w:r>
        <w:rPr>
          <w:rFonts w:hint="eastAsia" w:ascii="宋体" w:hAnsi="宋体" w:eastAsia="宋体" w:cs="宋体"/>
          <w:sz w:val="24"/>
          <w:szCs w:val="24"/>
        </w:rPr>
        <w:t>。</w:t>
      </w:r>
    </w:p>
    <w:p w14:paraId="39CA78D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b w:val="0"/>
          <w:bCs/>
          <w:sz w:val="24"/>
          <w:szCs w:val="24"/>
        </w:rPr>
        <w:t>磋商文件发售</w:t>
      </w:r>
    </w:p>
    <w:p w14:paraId="067A5463">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rPr>
        <w:t>日（工作时间）</w:t>
      </w:r>
      <w:r>
        <w:rPr>
          <w:rFonts w:hint="eastAsia" w:ascii="宋体" w:hAnsi="宋体" w:eastAsia="宋体" w:cs="宋体"/>
          <w:sz w:val="24"/>
          <w:szCs w:val="24"/>
          <w:highlight w:val="none"/>
          <w:lang w:val="en-US" w:eastAsia="zh-CN"/>
        </w:rPr>
        <w:t>09:00-17:00</w:t>
      </w:r>
    </w:p>
    <w:p w14:paraId="66F68963">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2.售价：人民币</w:t>
      </w:r>
      <w:r>
        <w:rPr>
          <w:rFonts w:hint="eastAsia" w:ascii="宋体" w:hAnsi="宋体" w:cs="宋体"/>
          <w:sz w:val="24"/>
          <w:szCs w:val="24"/>
          <w:lang w:val="en-US" w:eastAsia="zh-CN"/>
        </w:rPr>
        <w:t>5</w:t>
      </w:r>
      <w:r>
        <w:rPr>
          <w:rFonts w:hint="eastAsia" w:ascii="宋体" w:hAnsi="宋体" w:eastAsia="宋体" w:cs="宋体"/>
          <w:sz w:val="24"/>
          <w:szCs w:val="24"/>
        </w:rPr>
        <w:t>00 元/份（微信转账或现金，售后不退）</w:t>
      </w:r>
      <w:r>
        <w:rPr>
          <w:rFonts w:hint="eastAsia" w:ascii="宋体" w:hAnsi="宋体" w:eastAsia="宋体" w:cs="宋体"/>
          <w:sz w:val="24"/>
          <w:szCs w:val="24"/>
          <w:lang w:eastAsia="zh-CN"/>
        </w:rPr>
        <w:t>，</w:t>
      </w:r>
      <w:r>
        <w:rPr>
          <w:rFonts w:hint="eastAsia" w:ascii="宋体" w:hAnsi="宋体" w:eastAsia="宋体" w:cs="宋体"/>
          <w:sz w:val="24"/>
          <w:szCs w:val="24"/>
        </w:rPr>
        <w:t>各供应商</w:t>
      </w:r>
      <w:r>
        <w:rPr>
          <w:rFonts w:hint="eastAsia" w:ascii="宋体" w:hAnsi="宋体" w:eastAsia="宋体" w:cs="宋体"/>
          <w:sz w:val="24"/>
          <w:szCs w:val="24"/>
          <w:lang w:eastAsia="zh-CN"/>
        </w:rPr>
        <w:t>在发售期内递交《发售登记表》并</w:t>
      </w:r>
      <w:r>
        <w:rPr>
          <w:rFonts w:hint="eastAsia" w:ascii="宋体" w:hAnsi="宋体" w:eastAsia="宋体" w:cs="宋体"/>
          <w:sz w:val="24"/>
          <w:szCs w:val="24"/>
        </w:rPr>
        <w:t>缴纳</w:t>
      </w:r>
      <w:r>
        <w:rPr>
          <w:rFonts w:hint="eastAsia" w:ascii="宋体" w:hAnsi="宋体" w:eastAsia="宋体" w:cs="宋体"/>
          <w:sz w:val="24"/>
          <w:szCs w:val="24"/>
          <w:lang w:eastAsia="zh-CN"/>
        </w:rPr>
        <w:t>磋商</w:t>
      </w:r>
      <w:r>
        <w:rPr>
          <w:rFonts w:hint="eastAsia" w:ascii="宋体" w:hAnsi="宋体" w:eastAsia="宋体" w:cs="宋体"/>
          <w:sz w:val="24"/>
          <w:szCs w:val="24"/>
        </w:rPr>
        <w:t>文件购买费，其响应文件才被接收。</w:t>
      </w:r>
    </w:p>
    <w:p w14:paraId="7F620B81">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3.磋商文件购买方式：供应商到明科建设咨询有限公司购买招标文件的地址：重庆市大足区城西佳苑</w:t>
      </w:r>
      <w:r>
        <w:rPr>
          <w:rFonts w:hint="eastAsia" w:ascii="宋体" w:hAnsi="宋体" w:cs="宋体"/>
          <w:sz w:val="24"/>
          <w:szCs w:val="24"/>
          <w:lang w:val="en-US" w:eastAsia="zh-CN"/>
        </w:rPr>
        <w:t>3栋4单元</w:t>
      </w:r>
      <w:r>
        <w:rPr>
          <w:rFonts w:hint="eastAsia" w:ascii="宋体" w:hAnsi="宋体" w:eastAsia="宋体" w:cs="宋体"/>
          <w:sz w:val="24"/>
          <w:szCs w:val="24"/>
        </w:rPr>
        <w:t>，供应商在缴纳购买采购文件费用后，请将《磋商文件发售登记表》（加盖</w:t>
      </w:r>
      <w:r>
        <w:rPr>
          <w:rFonts w:hint="eastAsia" w:ascii="宋体" w:hAnsi="宋体" w:cs="宋体"/>
          <w:sz w:val="24"/>
          <w:szCs w:val="24"/>
          <w:lang w:val="en-US" w:eastAsia="zh-CN"/>
        </w:rPr>
        <w:t>供应商</w:t>
      </w:r>
      <w:r>
        <w:rPr>
          <w:rFonts w:hint="eastAsia" w:ascii="宋体" w:hAnsi="宋体" w:eastAsia="宋体" w:cs="宋体"/>
          <w:sz w:val="24"/>
          <w:szCs w:val="24"/>
        </w:rPr>
        <w:t>公章）递交至代理公司工作人员</w:t>
      </w:r>
      <w:r>
        <w:rPr>
          <w:rFonts w:hint="eastAsia" w:ascii="宋体" w:hAnsi="宋体" w:cs="宋体"/>
          <w:sz w:val="24"/>
          <w:szCs w:val="24"/>
          <w:lang w:eastAsia="zh-CN"/>
        </w:rPr>
        <w:t>。</w:t>
      </w:r>
    </w:p>
    <w:p w14:paraId="4A2CAEBD">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供应商须满足以下</w:t>
      </w:r>
      <w:r>
        <w:rPr>
          <w:rFonts w:hint="eastAsia" w:ascii="宋体" w:hAnsi="宋体" w:eastAsia="宋体" w:cs="宋体"/>
          <w:sz w:val="24"/>
          <w:szCs w:val="24"/>
          <w:lang w:eastAsia="zh-CN"/>
        </w:rPr>
        <w:t>三</w:t>
      </w:r>
      <w:r>
        <w:rPr>
          <w:rFonts w:hint="eastAsia" w:ascii="宋体" w:hAnsi="宋体" w:eastAsia="宋体" w:cs="宋体"/>
          <w:sz w:val="24"/>
          <w:szCs w:val="24"/>
        </w:rPr>
        <w:t>种要件，其响应文件才被接受：</w:t>
      </w:r>
    </w:p>
    <w:p w14:paraId="08E1163F">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1、按时递交了响应文件；</w:t>
      </w:r>
    </w:p>
    <w:p w14:paraId="7F0F30C5">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2、按时足额缴纳了竞争性磋商文件购买费</w:t>
      </w:r>
      <w:r>
        <w:rPr>
          <w:rFonts w:hint="eastAsia" w:ascii="宋体" w:hAnsi="宋体" w:eastAsia="宋体" w:cs="宋体"/>
          <w:sz w:val="24"/>
          <w:szCs w:val="24"/>
          <w:lang w:eastAsia="zh-CN"/>
        </w:rPr>
        <w:t>；</w:t>
      </w:r>
    </w:p>
    <w:p w14:paraId="4529A184">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在报名和文件发售期截止时间内购买了</w:t>
      </w:r>
      <w:r>
        <w:rPr>
          <w:rFonts w:hint="eastAsia" w:ascii="宋体" w:hAnsi="宋体" w:eastAsia="宋体" w:cs="宋体"/>
          <w:sz w:val="24"/>
          <w:szCs w:val="24"/>
          <w:lang w:eastAsia="zh-CN"/>
        </w:rPr>
        <w:t>磋商</w:t>
      </w:r>
      <w:r>
        <w:rPr>
          <w:rFonts w:hint="eastAsia" w:ascii="宋体" w:hAnsi="宋体" w:eastAsia="宋体" w:cs="宋体"/>
          <w:sz w:val="24"/>
          <w:szCs w:val="24"/>
        </w:rPr>
        <w:t>文件的</w:t>
      </w:r>
      <w:r>
        <w:rPr>
          <w:rFonts w:hint="eastAsia" w:ascii="宋体" w:hAnsi="宋体" w:eastAsia="宋体" w:cs="宋体"/>
          <w:sz w:val="24"/>
          <w:szCs w:val="24"/>
          <w:lang w:eastAsia="zh-CN"/>
        </w:rPr>
        <w:t>供应商</w:t>
      </w:r>
      <w:r>
        <w:rPr>
          <w:rFonts w:hint="eastAsia" w:ascii="宋体" w:hAnsi="宋体" w:eastAsia="宋体" w:cs="宋体"/>
          <w:sz w:val="24"/>
          <w:szCs w:val="24"/>
        </w:rPr>
        <w:t>，其报名才被接收。</w:t>
      </w:r>
    </w:p>
    <w:p w14:paraId="1F64ADD4">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五</w:t>
      </w:r>
      <w:r>
        <w:rPr>
          <w:rFonts w:hint="eastAsia" w:ascii="宋体" w:hAnsi="宋体" w:eastAsia="宋体" w:cs="宋体"/>
          <w:sz w:val="24"/>
          <w:szCs w:val="24"/>
          <w:lang w:eastAsia="zh-CN"/>
        </w:rPr>
        <w:t>）线上报价</w:t>
      </w:r>
    </w:p>
    <w:p w14:paraId="0F342ACB">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1.线上报价时间：2025年</w:t>
      </w:r>
      <w:r>
        <w:rPr>
          <w:rFonts w:hint="eastAsia" w:ascii="宋体" w:hAnsi="宋体" w:cs="宋体"/>
          <w:sz w:val="24"/>
          <w:szCs w:val="24"/>
          <w:lang w:val="en-US" w:eastAsia="zh-CN"/>
        </w:rPr>
        <w:t>5</w:t>
      </w:r>
      <w:r>
        <w:rPr>
          <w:rFonts w:hint="eastAsia" w:ascii="宋体" w:hAnsi="宋体" w:eastAsia="宋体" w:cs="宋体"/>
          <w:sz w:val="24"/>
          <w:szCs w:val="24"/>
          <w:lang w:eastAsia="zh-CN"/>
        </w:rPr>
        <w:t>月</w:t>
      </w:r>
      <w:r>
        <w:rPr>
          <w:rFonts w:hint="eastAsia" w:ascii="宋体" w:hAnsi="宋体" w:cs="宋体"/>
          <w:sz w:val="24"/>
          <w:szCs w:val="24"/>
          <w:lang w:val="en-US" w:eastAsia="zh-CN"/>
        </w:rPr>
        <w:t>27</w:t>
      </w:r>
      <w:r>
        <w:rPr>
          <w:rFonts w:hint="eastAsia" w:ascii="宋体" w:hAnsi="宋体" w:eastAsia="宋体" w:cs="宋体"/>
          <w:sz w:val="24"/>
          <w:szCs w:val="24"/>
          <w:lang w:eastAsia="zh-CN"/>
        </w:rPr>
        <w:t>日09:00-12:00。</w:t>
      </w:r>
    </w:p>
    <w:p w14:paraId="78DF6321">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2.线上报价要求：按本项目规定的时间在“行采家（https://www.gec123.com/）”进行网上报价，未在规定时间内报价的投标人不具备竞标资格。</w:t>
      </w:r>
    </w:p>
    <w:p w14:paraId="0193793A">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注：线上报价时，按平台要求进行报价和上传投标文件，平台会收取相应的平台保证金，平台保证金收取及退还相关问题请各潜在投标人报价前自行咨询平台客服，此费用与投标保证金无关。</w:t>
      </w:r>
    </w:p>
    <w:p w14:paraId="253D58A1">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（六）投标文件递交</w:t>
      </w:r>
    </w:p>
    <w:p w14:paraId="6A36EC10">
      <w:pPr>
        <w:spacing w:line="4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递交响应文件地点：</w:t>
      </w:r>
      <w:r>
        <w:rPr>
          <w:rFonts w:hint="eastAsia" w:ascii="宋体" w:hAnsi="宋体" w:eastAsia="宋体" w:cs="宋体"/>
          <w:sz w:val="24"/>
          <w:szCs w:val="24"/>
          <w:lang w:val="en-US" w:eastAsia="zh-CN"/>
        </w:rPr>
        <w:t>重庆市大足区城西佳苑3栋4单元</w:t>
      </w:r>
      <w:r>
        <w:rPr>
          <w:rFonts w:hint="eastAsia" w:ascii="宋体" w:hAnsi="宋体" w:eastAsia="宋体" w:cs="宋体"/>
          <w:sz w:val="24"/>
          <w:szCs w:val="24"/>
        </w:rPr>
        <w:t>。</w:t>
      </w:r>
    </w:p>
    <w:p w14:paraId="27254A6D">
      <w:pPr>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响应文件递交开始时间：202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4D8F97E9">
      <w:pPr>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响应文件递交截止时间：202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694A3838">
      <w:pPr>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磋商开始时间：202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北京时间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6EC487CF">
      <w:pPr>
        <w:spacing w:line="400" w:lineRule="exact"/>
        <w:ind w:firstLine="482" w:firstLineChars="200"/>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rPr>
        <w:t>逾期送达的、未送达指定地点的或者不按照招标文件要求密封的投标文件，招标人将予以拒收</w:t>
      </w:r>
      <w:r>
        <w:rPr>
          <w:rFonts w:hint="eastAsia" w:ascii="宋体" w:hAnsi="宋体" w:cs="宋体"/>
          <w:b/>
          <w:bCs/>
          <w:sz w:val="24"/>
          <w:szCs w:val="24"/>
          <w:highlight w:val="none"/>
          <w:lang w:eastAsia="zh-CN"/>
        </w:rPr>
        <w:t>。</w:t>
      </w:r>
    </w:p>
    <w:p w14:paraId="3E1AA332">
      <w:pPr>
        <w:spacing w:line="4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cs="宋体"/>
          <w:b w:val="0"/>
          <w:bCs/>
          <w:sz w:val="24"/>
          <w:szCs w:val="24"/>
          <w:lang w:val="en-US" w:eastAsia="zh-CN"/>
        </w:rPr>
        <w:t>七</w:t>
      </w:r>
      <w:r>
        <w:rPr>
          <w:rFonts w:hint="eastAsia" w:ascii="宋体" w:hAnsi="宋体" w:eastAsia="宋体" w:cs="宋体"/>
          <w:b w:val="0"/>
          <w:bCs/>
          <w:sz w:val="24"/>
          <w:szCs w:val="24"/>
        </w:rPr>
        <w:t>）投标保证金缴纳</w:t>
      </w:r>
    </w:p>
    <w:p w14:paraId="0F0B66E7">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本项目无需缴纳磋商保证金</w:t>
      </w:r>
    </w:p>
    <w:bookmarkEnd w:id="13"/>
    <w:bookmarkEnd w:id="23"/>
    <w:p w14:paraId="59004FA2">
      <w:pPr>
        <w:pStyle w:val="5"/>
        <w:spacing w:before="120" w:beforeLines="50" w:after="120" w:afterLines="50" w:line="240" w:lineRule="auto"/>
        <w:rPr>
          <w:rFonts w:hint="eastAsia" w:ascii="宋体" w:hAnsi="宋体" w:eastAsia="宋体" w:cs="宋体"/>
          <w:sz w:val="24"/>
          <w:szCs w:val="24"/>
        </w:rPr>
      </w:pPr>
      <w:bookmarkStart w:id="24" w:name="_Toc4893"/>
      <w:bookmarkStart w:id="25" w:name="_Toc531184287"/>
      <w:r>
        <w:rPr>
          <w:rFonts w:hint="eastAsia" w:ascii="宋体" w:hAnsi="宋体" w:eastAsia="宋体" w:cs="宋体"/>
          <w:sz w:val="24"/>
          <w:szCs w:val="24"/>
          <w:lang w:val="en-US" w:eastAsia="zh-CN"/>
        </w:rPr>
        <w:t>五</w:t>
      </w:r>
      <w:r>
        <w:rPr>
          <w:rFonts w:hint="eastAsia" w:ascii="宋体" w:hAnsi="宋体" w:eastAsia="宋体" w:cs="宋体"/>
          <w:sz w:val="24"/>
          <w:szCs w:val="24"/>
        </w:rPr>
        <w:t>、投标有关规定</w:t>
      </w:r>
      <w:bookmarkEnd w:id="24"/>
      <w:bookmarkEnd w:id="25"/>
    </w:p>
    <w:p w14:paraId="04A72645">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（一）单位负责人为同一人或者存在直接控股、管理关系的不同供应商，不得参加同一合同项（分包）下的政府采购活动。</w:t>
      </w:r>
    </w:p>
    <w:p w14:paraId="2B3DED4A">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14:paraId="6E394594">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（三）同一合同项（分包）下的货物，制造商参与投标的，不得再委托代理商参与投标。</w:t>
      </w:r>
    </w:p>
    <w:p w14:paraId="7FD7AAD4">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（四）本项目的补遗文件（如果有）一律到采购代理机构领取；无论投标人下载或领取与否，均视同投标人已知晓本项目补遗文件的内容。</w:t>
      </w:r>
    </w:p>
    <w:p w14:paraId="06E6A7D7">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（五）超过投标截止时间递交的投标文件，恕不接收。</w:t>
      </w:r>
    </w:p>
    <w:p w14:paraId="26A1D507">
      <w:pPr>
        <w:spacing w:line="360" w:lineRule="auto"/>
        <w:ind w:firstLine="482"/>
        <w:rPr>
          <w:rFonts w:hint="eastAsia" w:ascii="宋体" w:hAnsi="宋体" w:eastAsia="宋体" w:cs="宋体"/>
          <w:sz w:val="24"/>
          <w:szCs w:val="24"/>
        </w:rPr>
      </w:pPr>
      <w:r>
        <w:rPr>
          <w:rFonts w:hint="eastAsia" w:ascii="宋体" w:hAnsi="宋体" w:eastAsia="宋体" w:cs="宋体"/>
          <w:sz w:val="24"/>
          <w:szCs w:val="24"/>
        </w:rPr>
        <w:t>（六）投标费用：无论投标结果如何，投标人参与本项目投标的所有费用均应由投标人自行承担。</w:t>
      </w:r>
    </w:p>
    <w:p w14:paraId="1EF0DBE3">
      <w:pPr>
        <w:pStyle w:val="5"/>
        <w:spacing w:before="120" w:beforeLines="50" w:after="120" w:afterLines="50" w:line="240" w:lineRule="auto"/>
        <w:rPr>
          <w:rFonts w:hint="eastAsia" w:ascii="宋体" w:hAnsi="宋体" w:eastAsia="宋体" w:cs="宋体"/>
          <w:sz w:val="24"/>
          <w:szCs w:val="24"/>
          <w:lang w:val="en-US" w:eastAsia="zh-CN"/>
        </w:rPr>
      </w:pPr>
      <w:bookmarkStart w:id="26" w:name="_Toc16567"/>
      <w:bookmarkStart w:id="27" w:name="_Toc17427"/>
      <w:bookmarkStart w:id="28" w:name="_Toc531184289"/>
      <w:bookmarkStart w:id="29" w:name="_Toc474603910"/>
      <w:r>
        <w:rPr>
          <w:rFonts w:hint="eastAsia" w:ascii="宋体" w:hAnsi="宋体" w:eastAsia="宋体" w:cs="宋体"/>
          <w:sz w:val="24"/>
          <w:szCs w:val="24"/>
          <w:lang w:val="en-US" w:eastAsia="zh-CN"/>
        </w:rPr>
        <w:t>六、联系方式</w:t>
      </w:r>
      <w:bookmarkEnd w:id="26"/>
      <w:bookmarkEnd w:id="27"/>
      <w:bookmarkEnd w:id="28"/>
      <w:bookmarkEnd w:id="29"/>
    </w:p>
    <w:p w14:paraId="3911A73A">
      <w:pPr>
        <w:spacing w:line="360" w:lineRule="auto"/>
        <w:ind w:firstLine="482"/>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 xml:space="preserve">采购人：重庆市大足区城市管理局  </w:t>
      </w:r>
    </w:p>
    <w:p w14:paraId="748E91F7">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联系人：郎老师</w:t>
      </w:r>
    </w:p>
    <w:p w14:paraId="09711F13">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电  话：18883114262</w:t>
      </w:r>
    </w:p>
    <w:p w14:paraId="4D32F0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址：重庆市大足区城市管理局</w:t>
      </w:r>
    </w:p>
    <w:p w14:paraId="5E718DE4">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（二）采购代理机构：</w:t>
      </w:r>
      <w:r>
        <w:rPr>
          <w:rFonts w:hint="eastAsia" w:ascii="宋体" w:hAnsi="宋体" w:eastAsia="宋体" w:cs="宋体"/>
          <w:sz w:val="24"/>
          <w:szCs w:val="24"/>
          <w:lang w:val="en-US" w:eastAsia="zh-CN"/>
        </w:rPr>
        <w:t>明科建设咨询有限公司</w:t>
      </w:r>
    </w:p>
    <w:p w14:paraId="473050C8">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color w:val="auto"/>
          <w:sz w:val="24"/>
          <w:szCs w:val="24"/>
          <w:lang w:val="en-US" w:eastAsia="zh-CN"/>
        </w:rPr>
        <w:t>舒老师</w:t>
      </w:r>
    </w:p>
    <w:p w14:paraId="1289721B">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eastAsia="宋体" w:cs="宋体"/>
          <w:color w:val="auto"/>
          <w:sz w:val="24"/>
          <w:szCs w:val="24"/>
          <w:lang w:val="en-US" w:eastAsia="zh-CN"/>
        </w:rPr>
        <w:t>15823068024</w:t>
      </w:r>
    </w:p>
    <w:p w14:paraId="57C15D3D">
      <w:pPr>
        <w:spacing w:line="360" w:lineRule="auto"/>
        <w:ind w:firstLine="482"/>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val="en-US" w:eastAsia="zh-CN"/>
        </w:rPr>
        <w:t>重庆市大足区城西佳苑3栋4单元</w:t>
      </w:r>
    </w:p>
    <w:p w14:paraId="77711530">
      <w:pPr>
        <w:spacing w:line="360" w:lineRule="auto"/>
        <w:ind w:firstLine="482"/>
        <w:rPr>
          <w:rFonts w:hint="eastAsia" w:ascii="宋体" w:hAnsi="宋体" w:eastAsia="宋体" w:cs="宋体"/>
          <w:sz w:val="24"/>
          <w:szCs w:val="24"/>
        </w:rPr>
      </w:pPr>
    </w:p>
    <w:p w14:paraId="67FB9CC7">
      <w:pPr>
        <w:spacing w:line="400" w:lineRule="exact"/>
        <w:ind w:firstLine="480" w:firstLineChars="200"/>
        <w:rPr>
          <w:rFonts w:hint="eastAsia" w:ascii="宋体" w:hAnsi="宋体" w:eastAsia="宋体" w:cs="宋体"/>
          <w:sz w:val="24"/>
          <w:szCs w:val="24"/>
        </w:rPr>
      </w:pPr>
    </w:p>
    <w:p w14:paraId="3C7077F0">
      <w:pPr>
        <w:pStyle w:val="2"/>
        <w:rPr>
          <w:rFonts w:hint="eastAsia" w:ascii="宋体" w:hAnsi="宋体" w:eastAsia="宋体" w:cs="宋体"/>
        </w:rPr>
      </w:pPr>
    </w:p>
    <w:p w14:paraId="073A456E">
      <w:pPr>
        <w:pStyle w:val="5"/>
        <w:spacing w:before="120" w:beforeLines="50" w:after="120" w:afterLines="50" w:line="240" w:lineRule="auto"/>
        <w:jc w:val="center"/>
        <w:rPr>
          <w:rFonts w:hint="default" w:ascii="宋体" w:hAnsi="宋体" w:eastAsia="宋体" w:cs="宋体"/>
          <w:b w:val="0"/>
          <w:kern w:val="2"/>
          <w:sz w:val="36"/>
          <w:szCs w:val="30"/>
          <w:lang w:val="en-US" w:eastAsia="zh-CN" w:bidi="ar-SA"/>
        </w:rPr>
      </w:pPr>
      <w:r>
        <w:rPr>
          <w:rFonts w:hint="eastAsia" w:ascii="宋体" w:hAnsi="宋体" w:eastAsia="宋体" w:cs="宋体"/>
        </w:rPr>
        <w:br w:type="page"/>
      </w:r>
      <w:bookmarkStart w:id="30" w:name="_Toc19847"/>
      <w:bookmarkStart w:id="31" w:name="_Toc12789058"/>
      <w:r>
        <w:rPr>
          <w:rFonts w:hint="eastAsia" w:ascii="宋体" w:hAnsi="宋体" w:eastAsia="宋体" w:cs="宋体"/>
          <w:b w:val="0"/>
          <w:kern w:val="2"/>
          <w:sz w:val="36"/>
          <w:szCs w:val="30"/>
          <w:lang w:val="en-US" w:eastAsia="zh-CN" w:bidi="ar-SA"/>
        </w:rPr>
        <w:t>第二篇  项目服务需求</w:t>
      </w:r>
      <w:bookmarkEnd w:id="30"/>
    </w:p>
    <w:p w14:paraId="025EB2C5">
      <w:pPr>
        <w:pStyle w:val="5"/>
        <w:spacing w:before="120" w:beforeLines="50" w:after="120" w:afterLines="50" w:line="240" w:lineRule="auto"/>
        <w:rPr>
          <w:rFonts w:hint="eastAsia" w:ascii="宋体" w:hAnsi="宋体" w:eastAsia="宋体" w:cs="宋体"/>
          <w:sz w:val="24"/>
          <w:szCs w:val="24"/>
          <w:lang w:val="en-US" w:eastAsia="zh-CN"/>
        </w:rPr>
      </w:pPr>
      <w:bookmarkStart w:id="32" w:name="_Toc5420"/>
      <w:r>
        <w:rPr>
          <w:rFonts w:hint="eastAsia" w:ascii="宋体" w:hAnsi="宋体" w:eastAsia="宋体" w:cs="宋体"/>
          <w:sz w:val="24"/>
          <w:szCs w:val="24"/>
          <w:lang w:val="en-US" w:eastAsia="zh-CN"/>
        </w:rPr>
        <w:t>一、项目一览表</w:t>
      </w:r>
      <w:bookmarkEnd w:id="32"/>
    </w:p>
    <w:tbl>
      <w:tblPr>
        <w:tblStyle w:val="61"/>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1576"/>
        <w:gridCol w:w="1418"/>
        <w:gridCol w:w="1423"/>
        <w:gridCol w:w="2320"/>
      </w:tblGrid>
      <w:tr w14:paraId="1D60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667" w:type="dxa"/>
            <w:noWrap w:val="0"/>
            <w:vAlign w:val="center"/>
          </w:tcPr>
          <w:p w14:paraId="05AF21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b/>
                <w:bCs/>
                <w:color w:val="auto"/>
                <w:kern w:val="0"/>
                <w:sz w:val="22"/>
                <w:szCs w:val="22"/>
                <w:highlight w:val="none"/>
              </w:rPr>
            </w:pPr>
            <w:bookmarkStart w:id="33" w:name="_Toc1716"/>
            <w:r>
              <w:rPr>
                <w:rFonts w:hint="eastAsia" w:ascii="宋体" w:hAnsi="宋体" w:eastAsia="宋体" w:cs="宋体"/>
                <w:b/>
                <w:bCs/>
                <w:color w:val="auto"/>
                <w:kern w:val="0"/>
                <w:sz w:val="22"/>
                <w:szCs w:val="22"/>
                <w:highlight w:val="none"/>
              </w:rPr>
              <w:t>项目名称</w:t>
            </w:r>
          </w:p>
        </w:tc>
        <w:tc>
          <w:tcPr>
            <w:tcW w:w="1576" w:type="dxa"/>
            <w:noWrap w:val="0"/>
            <w:vAlign w:val="center"/>
          </w:tcPr>
          <w:p w14:paraId="243BC0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最高限价</w:t>
            </w:r>
          </w:p>
          <w:p w14:paraId="70AB74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（万元）</w:t>
            </w:r>
          </w:p>
        </w:tc>
        <w:tc>
          <w:tcPr>
            <w:tcW w:w="1418" w:type="dxa"/>
            <w:noWrap w:val="0"/>
            <w:vAlign w:val="center"/>
          </w:tcPr>
          <w:p w14:paraId="2BCA24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资金性质</w:t>
            </w:r>
          </w:p>
        </w:tc>
        <w:tc>
          <w:tcPr>
            <w:tcW w:w="1423" w:type="dxa"/>
            <w:noWrap w:val="0"/>
            <w:vAlign w:val="center"/>
          </w:tcPr>
          <w:p w14:paraId="663F94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eastAsia"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成交供应商（名）</w:t>
            </w:r>
          </w:p>
        </w:tc>
        <w:tc>
          <w:tcPr>
            <w:tcW w:w="2320" w:type="dxa"/>
            <w:noWrap w:val="0"/>
            <w:vAlign w:val="center"/>
          </w:tcPr>
          <w:p w14:paraId="1DC953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备注</w:t>
            </w:r>
          </w:p>
        </w:tc>
      </w:tr>
      <w:tr w14:paraId="022F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667" w:type="dxa"/>
            <w:noWrap w:val="0"/>
            <w:vAlign w:val="center"/>
          </w:tcPr>
          <w:p w14:paraId="57F4A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220" w:firstLineChars="100"/>
              <w:jc w:val="center"/>
              <w:textAlignment w:val="auto"/>
              <w:outlineLvl w:val="9"/>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重庆市大足区城市管理局食堂食材配送服务采购-干鲜类、蛋类、米面油及奶制品</w:t>
            </w:r>
          </w:p>
        </w:tc>
        <w:tc>
          <w:tcPr>
            <w:tcW w:w="1576" w:type="dxa"/>
            <w:noWrap w:val="0"/>
            <w:vAlign w:val="center"/>
          </w:tcPr>
          <w:p w14:paraId="0AEAA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35</w:t>
            </w:r>
          </w:p>
        </w:tc>
        <w:tc>
          <w:tcPr>
            <w:tcW w:w="1418" w:type="dxa"/>
            <w:noWrap w:val="0"/>
            <w:vAlign w:val="center"/>
          </w:tcPr>
          <w:p w14:paraId="38F3FB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财政资金</w:t>
            </w:r>
          </w:p>
        </w:tc>
        <w:tc>
          <w:tcPr>
            <w:tcW w:w="1423" w:type="dxa"/>
            <w:noWrap w:val="0"/>
            <w:vAlign w:val="center"/>
          </w:tcPr>
          <w:p w14:paraId="6C05B9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9"/>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2320" w:type="dxa"/>
            <w:noWrap w:val="0"/>
            <w:vAlign w:val="center"/>
          </w:tcPr>
          <w:p w14:paraId="1FC867FD">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不接受联合体投标</w:t>
            </w:r>
          </w:p>
        </w:tc>
      </w:tr>
    </w:tbl>
    <w:p w14:paraId="64E36411">
      <w:pPr>
        <w:pStyle w:val="5"/>
        <w:spacing w:before="120" w:beforeLines="50" w:after="120" w:afterLines="50" w:line="240" w:lineRule="auto"/>
        <w:rPr>
          <w:rFonts w:hint="eastAsia" w:ascii="宋体" w:hAnsi="宋体" w:eastAsia="宋体" w:cs="宋体"/>
          <w:sz w:val="24"/>
          <w:szCs w:val="24"/>
          <w:lang w:val="en-US" w:eastAsia="zh-CN"/>
        </w:rPr>
      </w:pPr>
      <w:bookmarkStart w:id="34" w:name="_Toc10036"/>
      <w:r>
        <w:rPr>
          <w:rFonts w:hint="eastAsia" w:ascii="宋体" w:hAnsi="宋体" w:eastAsia="宋体" w:cs="宋体"/>
          <w:sz w:val="24"/>
          <w:szCs w:val="24"/>
          <w:lang w:val="en-US" w:eastAsia="zh-CN"/>
        </w:rPr>
        <w:t>二、</w:t>
      </w:r>
      <w:bookmarkEnd w:id="33"/>
      <w:r>
        <w:rPr>
          <w:rFonts w:hint="eastAsia" w:ascii="宋体" w:hAnsi="宋体" w:eastAsia="宋体" w:cs="宋体"/>
          <w:sz w:val="24"/>
          <w:szCs w:val="24"/>
          <w:lang w:val="en-US" w:eastAsia="zh-CN"/>
        </w:rPr>
        <w:t>项目服务内容</w:t>
      </w:r>
      <w:bookmarkEnd w:id="34"/>
    </w:p>
    <w:p w14:paraId="00A81CA6">
      <w:pPr>
        <w:pageBreakBefore w:val="0"/>
        <w:kinsoku/>
        <w:overflowPunct/>
        <w:topLinePunct w:val="0"/>
        <w:autoSpaceDE/>
        <w:autoSpaceDN/>
        <w:bidi w:val="0"/>
        <w:spacing w:before="0" w:after="0" w:line="360" w:lineRule="auto"/>
        <w:textAlignment w:val="auto"/>
        <w:outlineLvl w:val="9"/>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（一）产品要求</w:t>
      </w:r>
    </w:p>
    <w:tbl>
      <w:tblPr>
        <w:tblStyle w:val="61"/>
        <w:tblW w:w="97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80"/>
        <w:gridCol w:w="1119"/>
        <w:gridCol w:w="6387"/>
      </w:tblGrid>
      <w:tr w14:paraId="49541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280" w:type="dxa"/>
            <w:noWrap w:val="0"/>
            <w:vAlign w:val="center"/>
          </w:tcPr>
          <w:p w14:paraId="44D3C7FE">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项目名称</w:t>
            </w:r>
          </w:p>
        </w:tc>
        <w:tc>
          <w:tcPr>
            <w:tcW w:w="1119" w:type="dxa"/>
            <w:noWrap w:val="0"/>
            <w:vAlign w:val="center"/>
          </w:tcPr>
          <w:p w14:paraId="1B173FFC">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品种</w:t>
            </w:r>
          </w:p>
        </w:tc>
        <w:tc>
          <w:tcPr>
            <w:tcW w:w="6387" w:type="dxa"/>
            <w:noWrap w:val="0"/>
            <w:vAlign w:val="center"/>
          </w:tcPr>
          <w:p w14:paraId="472A8617">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质量标准</w:t>
            </w:r>
          </w:p>
        </w:tc>
      </w:tr>
      <w:tr w14:paraId="2D47E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2280" w:type="dxa"/>
            <w:noWrap w:val="0"/>
            <w:vAlign w:val="center"/>
          </w:tcPr>
          <w:p w14:paraId="2F1AD5F4">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重庆市大足区城市管理局食堂食材配送服务采购-干鲜类、蛋类、米面油及奶制品</w:t>
            </w:r>
          </w:p>
        </w:tc>
        <w:tc>
          <w:tcPr>
            <w:tcW w:w="1119" w:type="dxa"/>
            <w:noWrap w:val="0"/>
            <w:vAlign w:val="center"/>
          </w:tcPr>
          <w:p w14:paraId="687E3CFA">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干鲜</w:t>
            </w:r>
            <w:r>
              <w:rPr>
                <w:rFonts w:hint="eastAsia" w:ascii="宋体" w:hAnsi="宋体" w:eastAsia="宋体" w:cs="宋体"/>
                <w:color w:val="auto"/>
                <w:sz w:val="22"/>
                <w:szCs w:val="22"/>
                <w:highlight w:val="none"/>
                <w:lang w:val="en-US" w:eastAsia="zh-CN"/>
              </w:rPr>
              <w:t>类</w:t>
            </w:r>
          </w:p>
        </w:tc>
        <w:tc>
          <w:tcPr>
            <w:tcW w:w="6387" w:type="dxa"/>
            <w:noWrap w:val="0"/>
            <w:vAlign w:val="top"/>
          </w:tcPr>
          <w:p w14:paraId="7BBEB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1.干鲜调料品包装上应注明的生产日期、保质期、规格、生产地等相关内容。干菜、大料、干货等散装的料品</w:t>
            </w:r>
            <w:r>
              <w:rPr>
                <w:rFonts w:hint="eastAsia" w:ascii="宋体" w:hAnsi="宋体" w:cs="宋体"/>
                <w:color w:val="auto"/>
                <w:sz w:val="22"/>
                <w:szCs w:val="22"/>
                <w:highlight w:val="none"/>
                <w:lang w:val="en-US" w:eastAsia="zh-CN"/>
              </w:rPr>
              <w:t>不能</w:t>
            </w:r>
            <w:r>
              <w:rPr>
                <w:rFonts w:hint="eastAsia" w:ascii="宋体" w:hAnsi="宋体" w:eastAsia="宋体" w:cs="宋体"/>
                <w:color w:val="auto"/>
                <w:sz w:val="22"/>
                <w:szCs w:val="22"/>
                <w:highlight w:val="none"/>
                <w:lang w:val="en-US" w:eastAsia="zh-CN"/>
              </w:rPr>
              <w:t>有发霉、变质的现象。</w:t>
            </w:r>
          </w:p>
          <w:p w14:paraId="082B3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生粉豆制品、半成品、调味品(食盐、味精、酱油、醋等)等必须取得《食品生产许可证》，具有产品检验报告，在保质期内，有SC标志。成品、半成品等食品接触材料应符合GB/T40996－2021的国家标准，包装完好，产品质量必须符合食品卫生安全要求，且符合国家或地方标准。</w:t>
            </w:r>
          </w:p>
        </w:tc>
      </w:tr>
      <w:tr w14:paraId="7603A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280" w:type="dxa"/>
            <w:noWrap w:val="0"/>
            <w:vAlign w:val="center"/>
          </w:tcPr>
          <w:p w14:paraId="35298879">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重庆市大足区城市管理局食堂食材配送服务采购-干鲜类、蛋类、米面油及奶制品</w:t>
            </w:r>
          </w:p>
        </w:tc>
        <w:tc>
          <w:tcPr>
            <w:tcW w:w="1119" w:type="dxa"/>
            <w:noWrap w:val="0"/>
            <w:vAlign w:val="center"/>
          </w:tcPr>
          <w:p w14:paraId="5246ACE7">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蛋类</w:t>
            </w:r>
          </w:p>
        </w:tc>
        <w:tc>
          <w:tcPr>
            <w:tcW w:w="6387" w:type="dxa"/>
            <w:noWrap w:val="0"/>
            <w:vAlign w:val="top"/>
          </w:tcPr>
          <w:p w14:paraId="2BBDA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蛋类需要用纸板箱分级装箱，内衬纸板格或蛋模，纸箱及衬垫物需坚固、干燥、清洁、无霉无异味，纸箱应符合相关技术要求。纸箱底面钉牢或粘牢，唛头清晰，适于贮存、搬运、倒垛及运输。外壳完整、洁净，将鲜蛋打开之后，蛋壳内部应为纯白蛋，不能有斑点或污浊，卵白透明，卵黄膜不破裂，卵黄卵白分明，不能有血管形成，不能有腐败等异臭味，每个鸡蛋</w:t>
            </w:r>
            <w:r>
              <w:rPr>
                <w:rFonts w:ascii="Arial" w:hAnsi="Arial" w:eastAsia="Arial" w:cs="Arial"/>
                <w:i w:val="0"/>
                <w:iCs w:val="0"/>
                <w:caps w:val="0"/>
                <w:color w:val="333333"/>
                <w:spacing w:val="0"/>
                <w:sz w:val="21"/>
                <w:szCs w:val="21"/>
                <w:shd w:val="clear" w:fill="FFFFFF"/>
              </w:rPr>
              <w:t>应清晰标注生产日期</w:t>
            </w:r>
            <w:r>
              <w:rPr>
                <w:rFonts w:hint="eastAsia" w:ascii="Arial" w:hAnsi="Arial" w:eastAsia="宋体" w:cs="Arial"/>
                <w:i w:val="0"/>
                <w:iCs w:val="0"/>
                <w:caps w:val="0"/>
                <w:color w:val="333333"/>
                <w:spacing w:val="0"/>
                <w:sz w:val="21"/>
                <w:szCs w:val="21"/>
                <w:shd w:val="clear" w:fill="FFFFFF"/>
                <w:lang w:eastAsia="zh-CN"/>
              </w:rPr>
              <w:t>或具体的</w:t>
            </w:r>
            <w:r>
              <w:rPr>
                <w:rFonts w:hint="eastAsia" w:ascii="Arial" w:hAnsi="Arial" w:eastAsia="宋体" w:cs="Arial"/>
                <w:i w:val="0"/>
                <w:iCs w:val="0"/>
                <w:caps w:val="0"/>
                <w:color w:val="333333"/>
                <w:spacing w:val="0"/>
                <w:sz w:val="21"/>
                <w:szCs w:val="21"/>
                <w:highlight w:val="none"/>
                <w:shd w:val="clear" w:fill="FFFFFF"/>
                <w:lang w:eastAsia="zh-CN"/>
              </w:rPr>
              <w:t>保质期</w:t>
            </w:r>
            <w:r>
              <w:rPr>
                <w:rFonts w:hint="eastAsia" w:ascii="Arial" w:hAnsi="Arial" w:cs="Arial"/>
                <w:i w:val="0"/>
                <w:iCs w:val="0"/>
                <w:caps w:val="0"/>
                <w:color w:val="333333"/>
                <w:spacing w:val="0"/>
                <w:sz w:val="21"/>
                <w:szCs w:val="21"/>
                <w:highlight w:val="none"/>
                <w:shd w:val="clear" w:fill="FFFFFF"/>
                <w:lang w:eastAsia="zh-CN"/>
              </w:rPr>
              <w:t>（</w:t>
            </w:r>
            <w:r>
              <w:rPr>
                <w:rFonts w:hint="eastAsia" w:ascii="Arial" w:hAnsi="Arial" w:cs="Arial"/>
                <w:i w:val="0"/>
                <w:iCs w:val="0"/>
                <w:caps w:val="0"/>
                <w:color w:val="333333"/>
                <w:spacing w:val="0"/>
                <w:sz w:val="21"/>
                <w:szCs w:val="21"/>
                <w:highlight w:val="none"/>
                <w:shd w:val="clear" w:fill="FFFFFF"/>
                <w:lang w:val="en-US" w:eastAsia="zh-CN"/>
              </w:rPr>
              <w:t>配送之日起7日内</w:t>
            </w:r>
            <w:r>
              <w:rPr>
                <w:rFonts w:hint="eastAsia" w:ascii="Arial" w:hAnsi="Arial" w:cs="Arial"/>
                <w:i w:val="0"/>
                <w:iCs w:val="0"/>
                <w:caps w:val="0"/>
                <w:color w:val="333333"/>
                <w:spacing w:val="0"/>
                <w:sz w:val="21"/>
                <w:szCs w:val="21"/>
                <w:highlight w:val="none"/>
                <w:shd w:val="clear" w:fill="FFFFFF"/>
                <w:lang w:eastAsia="zh-CN"/>
              </w:rPr>
              <w:t>）</w:t>
            </w:r>
            <w:r>
              <w:rPr>
                <w:rFonts w:hint="eastAsia" w:ascii="Arial" w:hAnsi="Arial" w:eastAsia="宋体" w:cs="Arial"/>
                <w:i w:val="0"/>
                <w:iCs w:val="0"/>
                <w:caps w:val="0"/>
                <w:color w:val="333333"/>
                <w:spacing w:val="0"/>
                <w:sz w:val="21"/>
                <w:szCs w:val="21"/>
                <w:highlight w:val="none"/>
                <w:shd w:val="clear" w:fill="FFFFFF"/>
                <w:lang w:eastAsia="zh-CN"/>
              </w:rPr>
              <w:t>。</w:t>
            </w:r>
          </w:p>
        </w:tc>
      </w:tr>
      <w:tr w14:paraId="3E067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0" w:hRule="atLeast"/>
          <w:jc w:val="center"/>
        </w:trPr>
        <w:tc>
          <w:tcPr>
            <w:tcW w:w="2280" w:type="dxa"/>
            <w:noWrap w:val="0"/>
            <w:vAlign w:val="center"/>
          </w:tcPr>
          <w:p w14:paraId="16BCA680">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重庆市大足区城市管理局食堂食材配送服务采购-干鲜类、蛋类、米面油及奶制品</w:t>
            </w:r>
          </w:p>
        </w:tc>
        <w:tc>
          <w:tcPr>
            <w:tcW w:w="1119" w:type="dxa"/>
            <w:noWrap w:val="0"/>
            <w:vAlign w:val="center"/>
          </w:tcPr>
          <w:p w14:paraId="6F118E6D">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米面油</w:t>
            </w:r>
          </w:p>
        </w:tc>
        <w:tc>
          <w:tcPr>
            <w:tcW w:w="6387" w:type="dxa"/>
            <w:noWrap w:val="0"/>
            <w:vAlign w:val="top"/>
          </w:tcPr>
          <w:p w14:paraId="4A8F1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1.大米：非转基因且必须符合GB/T l354-2018国家标准，取得食品生产许可证，具有产品检验报告，在保质期内，有SC标志。</w:t>
            </w:r>
          </w:p>
          <w:p w14:paraId="3A3327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2.面粉：非转基因且必须符合国家标准，取得食品生产许可证，具有产品检验报告，在保质期内，有SC标志。</w:t>
            </w:r>
          </w:p>
          <w:p w14:paraId="09907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3.食用油：非转基因且必须符合菜籽油GB/T l536－2021、大豆油GB/T l535-2017国家标准，取得食品生产许可证，具有产品检验报告，在保质期内，有SC标志。</w:t>
            </w:r>
          </w:p>
        </w:tc>
      </w:tr>
      <w:tr w14:paraId="0CFE6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0" w:hRule="atLeast"/>
          <w:jc w:val="center"/>
        </w:trPr>
        <w:tc>
          <w:tcPr>
            <w:tcW w:w="2280" w:type="dxa"/>
            <w:noWrap w:val="0"/>
            <w:vAlign w:val="center"/>
          </w:tcPr>
          <w:p w14:paraId="1225CF08">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重庆市大足区城市管理局食堂食材配送服务采购-干鲜类、蛋类、米面油及奶制品</w:t>
            </w:r>
          </w:p>
        </w:tc>
        <w:tc>
          <w:tcPr>
            <w:tcW w:w="1119" w:type="dxa"/>
            <w:noWrap w:val="0"/>
            <w:vAlign w:val="center"/>
          </w:tcPr>
          <w:p w14:paraId="450ACC34">
            <w:pPr>
              <w:keepNext w:val="0"/>
              <w:keepLines w:val="0"/>
              <w:pageBreakBefore w:val="0"/>
              <w:widowControl/>
              <w:suppressLineNumbers w:val="0"/>
              <w:kinsoku/>
              <w:overflowPunct/>
              <w:topLinePunct w:val="0"/>
              <w:autoSpaceDE/>
              <w:autoSpaceDN/>
              <w:bidi w:val="0"/>
              <w:spacing w:before="0" w:beforeAutospacing="0" w:after="0" w:afterAutospacing="0" w:line="360" w:lineRule="auto"/>
              <w:ind w:left="0" w:right="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奶制品</w:t>
            </w:r>
          </w:p>
        </w:tc>
        <w:tc>
          <w:tcPr>
            <w:tcW w:w="6387" w:type="dxa"/>
            <w:noWrap w:val="0"/>
            <w:vAlign w:val="top"/>
          </w:tcPr>
          <w:p w14:paraId="61C0B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质量及其标识应执行国家标准GB25190-2010《灭菌乳》和GB7718－2011《预包装食品标签通则》的规定，符合GB19301－2010《生乳》规定的原奶生产。由正规厂商供货，相关证件齐全，符合国家食品卫生标准。包装上必须注明生产日期、保质期、最佳食用期、规格、生产地等相关内容。</w:t>
            </w:r>
          </w:p>
        </w:tc>
      </w:tr>
    </w:tbl>
    <w:p w14:paraId="2A041FA1">
      <w:pPr>
        <w:pageBreakBefore w:val="0"/>
        <w:widowControl/>
        <w:kinsoku/>
        <w:overflowPunct/>
        <w:topLinePunct w:val="0"/>
        <w:autoSpaceDE/>
        <w:autoSpaceDN/>
        <w:bidi w:val="0"/>
        <w:spacing w:line="240" w:lineRule="auto"/>
        <w:ind w:firstLine="0" w:firstLineChars="0"/>
        <w:jc w:val="left"/>
        <w:textAlignment w:val="center"/>
        <w:rPr>
          <w:rFonts w:hint="eastAsia" w:ascii="宋体" w:hAnsi="宋体" w:eastAsia="宋体" w:cs="宋体"/>
          <w:color w:val="auto"/>
          <w:sz w:val="22"/>
          <w:szCs w:val="22"/>
          <w:highlight w:val="none"/>
          <w:lang w:val="en-US" w:eastAsia="zh-CN"/>
        </w:rPr>
      </w:pPr>
    </w:p>
    <w:p w14:paraId="2ED168BD">
      <w:pPr>
        <w:pageBreakBefore w:val="0"/>
        <w:widowControl/>
        <w:numPr>
          <w:ilvl w:val="0"/>
          <w:numId w:val="0"/>
        </w:numPr>
        <w:kinsoku/>
        <w:overflowPunct/>
        <w:topLinePunct w:val="0"/>
        <w:autoSpaceDE/>
        <w:autoSpaceDN/>
        <w:bidi w:val="0"/>
        <w:spacing w:line="360" w:lineRule="auto"/>
        <w:ind w:firstLine="220" w:firstLineChars="1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注：1.供应商与采购人每月底进行一次市场询价，并将当日市场询价平均值作为次月相应食材的结算单价，其中询价地点为大足区农贸市场、菜园子、水果市场等地。</w:t>
      </w:r>
    </w:p>
    <w:p w14:paraId="39A1A83A">
      <w:pPr>
        <w:pageBreakBefore w:val="0"/>
        <w:widowControl/>
        <w:numPr>
          <w:ilvl w:val="0"/>
          <w:numId w:val="0"/>
        </w:numPr>
        <w:kinsoku/>
        <w:overflowPunct/>
        <w:topLinePunct w:val="0"/>
        <w:autoSpaceDE/>
        <w:autoSpaceDN/>
        <w:bidi w:val="0"/>
        <w:spacing w:line="360" w:lineRule="auto"/>
        <w:ind w:firstLine="220" w:firstLineChars="1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2.如果食材市场价格浮动较大，以双方协商一致的价格作为结算单价，且不高于市场价。</w:t>
      </w:r>
    </w:p>
    <w:p w14:paraId="0C94EF11">
      <w:pPr>
        <w:pageBreakBefore w:val="0"/>
        <w:widowControl/>
        <w:numPr>
          <w:ilvl w:val="0"/>
          <w:numId w:val="0"/>
        </w:numPr>
        <w:kinsoku/>
        <w:overflowPunct/>
        <w:topLinePunct w:val="0"/>
        <w:autoSpaceDE/>
        <w:autoSpaceDN/>
        <w:bidi w:val="0"/>
        <w:spacing w:line="360" w:lineRule="auto"/>
        <w:ind w:firstLine="221" w:firstLineChars="100"/>
        <w:jc w:val="left"/>
        <w:textAlignment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（二）其他要求</w:t>
      </w:r>
    </w:p>
    <w:p w14:paraId="281FE716">
      <w:pPr>
        <w:pageBreakBefore w:val="0"/>
        <w:widowControl/>
        <w:numPr>
          <w:ilvl w:val="0"/>
          <w:numId w:val="0"/>
        </w:numPr>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具有外包装的食材，其外包装标识应标注清楚净含量、品名、执行标准号；生产者（或销售者）名称、地址、商标；生产日期、保质期和相应的质量等级。另外，外包装的图案、文字的印刷应清晰、端正、不褪色。</w:t>
      </w:r>
    </w:p>
    <w:p w14:paraId="6002E671">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所有预包装食品须保证规格品种完全符合采购人要求，包装规格、口味、种类齐全。保质期在3天以内的，必须是送货当天生产的货品；保质期在7天以内的，送货日不超过生产日两日；保质期在6个月以内的，送货日至保质期到期日的天数必须大于保质期天数的三分之二；保质期在6个月以上的，送货日至保质期到期日的天数必须大于保质期天数的二分之一。</w:t>
      </w:r>
    </w:p>
    <w:p w14:paraId="0323BC52">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3.所有采购食材除达到上表中分类分项的标准外，均需达到以下要求：</w:t>
      </w:r>
    </w:p>
    <w:p w14:paraId="3FC7C037">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（1）GB2760-2011《食品安全国家标准 食品添加剂使用标准》</w:t>
      </w:r>
    </w:p>
    <w:p w14:paraId="3B4B3276">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（2）GB2762-2012《食品安全国家标准 食品中污染物限量标准》</w:t>
      </w:r>
    </w:p>
    <w:p w14:paraId="6C762B79">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（3）GB2763-2012《食品安全国家标准 食品中农药最大残留限量》</w:t>
      </w:r>
    </w:p>
    <w:p w14:paraId="46A29492">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（4）GB31621-2014《食品安全国家标准食品经营过程卫生规范》</w:t>
      </w:r>
    </w:p>
    <w:p w14:paraId="4EE60C6E">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（5）GB7718-2004《预包装食品标签通则》</w:t>
      </w:r>
    </w:p>
    <w:p w14:paraId="39A816F9">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（6）每种明细产品必须标明品名、规格、等级、生产厂家等内容。</w:t>
      </w:r>
    </w:p>
    <w:p w14:paraId="050AF558">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（7）所有产品必须符合新颁布的《食品安全法》及其他相关法规要求。</w:t>
      </w:r>
    </w:p>
    <w:p w14:paraId="6BC260CF">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4.安全责任，供货人员要求：</w:t>
      </w:r>
    </w:p>
    <w:p w14:paraId="77FD842A">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（1）供应商供货人员和车辆的安全责任，由供应商承担。</w:t>
      </w:r>
    </w:p>
    <w:p w14:paraId="5B52EF6A">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（2）供应商所供产品出现质量问题，供应商应承担全部法律、经济责任。</w:t>
      </w:r>
    </w:p>
    <w:p w14:paraId="49471AD4">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（3）供应商在供货期间，因自身原因造成事故事件等，所有后果由供应商自行承担。</w:t>
      </w:r>
    </w:p>
    <w:p w14:paraId="547EA48C">
      <w:pPr>
        <w:pageBreakBefore w:val="0"/>
        <w:widowControl/>
        <w:kinsoku/>
        <w:overflowPunct/>
        <w:topLinePunct w:val="0"/>
        <w:autoSpaceDE/>
        <w:autoSpaceDN/>
        <w:bidi w:val="0"/>
        <w:spacing w:line="360" w:lineRule="auto"/>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5.配送要求</w:t>
      </w:r>
    </w:p>
    <w:p w14:paraId="041AADD0">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（1）配送车辆、人员应相对固定；配送时间：供应商应在每天早上6：00前将采购人所需食材按时送到采购人指定地点（食堂）。</w:t>
      </w:r>
    </w:p>
    <w:p w14:paraId="3224378C">
      <w:pPr>
        <w:pageBreakBefore w:val="0"/>
        <w:widowControl/>
        <w:kinsoku/>
        <w:overflowPunct/>
        <w:topLinePunct w:val="0"/>
        <w:autoSpaceDE/>
        <w:autoSpaceDN/>
        <w:bidi w:val="0"/>
        <w:spacing w:line="360" w:lineRule="auto"/>
        <w:ind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（2）供应商按照前一工作日采购人拟定的食堂食材清单进行配送，供应商接受配送任务后，应按要求向采购人食堂提供符合品相及规格要求的货物。</w:t>
      </w:r>
    </w:p>
    <w:p w14:paraId="68707094">
      <w:pPr>
        <w:pageBreakBefore w:val="0"/>
        <w:widowControl/>
        <w:kinsoku/>
        <w:overflowPunct/>
        <w:topLinePunct w:val="0"/>
        <w:autoSpaceDE/>
        <w:autoSpaceDN/>
        <w:bidi w:val="0"/>
        <w:spacing w:line="360" w:lineRule="auto"/>
        <w:ind w:firstLine="440" w:firstLineChars="200"/>
        <w:jc w:val="center"/>
        <w:textAlignment w:val="center"/>
        <w:rPr>
          <w:rFonts w:hint="eastAsia" w:ascii="宋体" w:hAnsi="宋体" w:eastAsia="宋体" w:cs="宋体"/>
          <w:b w:val="0"/>
          <w:sz w:val="36"/>
          <w:szCs w:val="30"/>
        </w:rPr>
      </w:pPr>
      <w:r>
        <w:rPr>
          <w:rFonts w:hint="eastAsia" w:ascii="宋体" w:hAnsi="宋体" w:eastAsia="宋体" w:cs="宋体"/>
          <w:color w:val="auto"/>
          <w:sz w:val="22"/>
          <w:szCs w:val="22"/>
          <w:highlight w:val="none"/>
          <w:lang w:val="en-US" w:eastAsia="zh-CN"/>
        </w:rPr>
        <w:t>6.对于质量及数量有问题的食品要保证退货，并及时更换符合质量标准的食品。对采购人要求的原料规格市场确实缺货的，经采购人研究同意后，可临时调整配送规格，价格按实际情况浮动。要努力提高有关工作人员的服务水平，不得强制向采购人食堂配送不符质量标准的食品。</w:t>
      </w:r>
      <w:r>
        <w:rPr>
          <w:rFonts w:hint="eastAsia" w:ascii="宋体" w:hAnsi="宋体" w:eastAsia="宋体" w:cs="宋体"/>
          <w:b w:val="0"/>
          <w:sz w:val="36"/>
          <w:szCs w:val="30"/>
        </w:rPr>
        <w:br w:type="page"/>
      </w:r>
      <w:r>
        <w:rPr>
          <w:rFonts w:hint="eastAsia" w:ascii="宋体" w:hAnsi="宋体" w:eastAsia="宋体" w:cs="宋体"/>
          <w:b w:val="0"/>
          <w:kern w:val="2"/>
          <w:sz w:val="36"/>
          <w:szCs w:val="30"/>
          <w:lang w:val="en-US" w:eastAsia="zh-CN" w:bidi="ar-SA"/>
        </w:rPr>
        <w:t xml:space="preserve">第三篇  </w:t>
      </w:r>
      <w:bookmarkEnd w:id="31"/>
      <w:r>
        <w:rPr>
          <w:rFonts w:hint="eastAsia" w:ascii="宋体" w:hAnsi="宋体" w:eastAsia="宋体" w:cs="宋体"/>
          <w:b w:val="0"/>
          <w:kern w:val="2"/>
          <w:sz w:val="36"/>
          <w:szCs w:val="30"/>
          <w:lang w:val="en-US" w:eastAsia="zh-CN" w:bidi="ar-SA"/>
        </w:rPr>
        <w:t>项目商务需求</w:t>
      </w:r>
    </w:p>
    <w:p w14:paraId="222428CD">
      <w:pPr>
        <w:pStyle w:val="5"/>
        <w:spacing w:before="120" w:beforeLines="50" w:after="120" w:afterLines="50" w:line="240" w:lineRule="auto"/>
        <w:rPr>
          <w:rFonts w:hint="eastAsia" w:ascii="宋体" w:hAnsi="宋体" w:eastAsia="宋体" w:cs="宋体"/>
          <w:sz w:val="24"/>
          <w:szCs w:val="24"/>
          <w:lang w:val="en-US" w:eastAsia="zh-CN"/>
        </w:rPr>
      </w:pPr>
      <w:bookmarkStart w:id="35" w:name="_Toc13460"/>
      <w:bookmarkStart w:id="36" w:name="_Toc76462328"/>
      <w:bookmarkStart w:id="37" w:name="_Toc344475120"/>
      <w:bookmarkStart w:id="38" w:name="_Toc31501"/>
      <w:bookmarkStart w:id="39" w:name="_Toc106030883"/>
      <w:bookmarkStart w:id="40" w:name="_Toc23718"/>
      <w:r>
        <w:rPr>
          <w:rFonts w:hint="eastAsia" w:ascii="宋体" w:hAnsi="宋体" w:eastAsia="宋体" w:cs="宋体"/>
          <w:sz w:val="24"/>
          <w:szCs w:val="24"/>
          <w:lang w:val="en-US" w:eastAsia="zh-CN"/>
        </w:rPr>
        <w:t>一、服务期、地点及验收方式</w:t>
      </w:r>
      <w:bookmarkEnd w:id="35"/>
      <w:bookmarkEnd w:id="36"/>
      <w:bookmarkEnd w:id="37"/>
      <w:bookmarkEnd w:id="38"/>
      <w:bookmarkEnd w:id="39"/>
      <w:bookmarkEnd w:id="40"/>
    </w:p>
    <w:p w14:paraId="7B22191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highlight w:val="none"/>
          <w:lang w:val="en-US" w:eastAsia="zh-CN"/>
        </w:rPr>
        <w:t>服务期：自合同签订之日起1年（具体以合同签订为准）</w:t>
      </w:r>
      <w:r>
        <w:rPr>
          <w:rFonts w:hint="eastAsia" w:ascii="宋体" w:hAnsi="宋体" w:cs="宋体"/>
          <w:color w:val="auto"/>
          <w:sz w:val="24"/>
          <w:szCs w:val="24"/>
          <w:highlight w:val="none"/>
          <w:lang w:val="en-US" w:eastAsia="zh-CN"/>
        </w:rPr>
        <w:t>。</w:t>
      </w:r>
    </w:p>
    <w:p w14:paraId="15FCCAC3">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（二）服务地点：采购人指定地点</w:t>
      </w:r>
    </w:p>
    <w:p w14:paraId="4E4B1B1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（三）验收方式：</w:t>
      </w:r>
    </w:p>
    <w:p w14:paraId="5024637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货物到达现场后，供应商应在甲方收货员、厨师在场情况下当面进行感官检验、外观检验或试用检验等，若产品外观、包装、质量不能达到收货标准，采购人拒收配送物资，供应商应无条件迅速补充合格产品，不得影响正常开餐。对符合要求的产品当场作出记录，双方签字确认。</w:t>
      </w:r>
    </w:p>
    <w:p w14:paraId="7FE402B1">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供货物未达到采购文件规定要求的，采购人向供应商出具服务不合格书面通知，对采购人造成损失的，由供应商承担一切责任，并赔偿所造成损失。如供应商在服务期内出现货品累计5次以上不合格情况的，采购人可解除合同。</w:t>
      </w:r>
    </w:p>
    <w:p w14:paraId="6902FA0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购人组织定期或不定期货品抽检和送检。对检验不合格产品无条件退、换货外，需按双方约定予以处理。如乙方存在有短斤少两、以次充好或乙方延误甲方供货时间导致甲方不能按时就餐情况等情况，发现一次支付违约金2000元，发生两次及以上的或者有严重质量问题（霉烂、变质的等），甲方有权直接解除合同，乙方缴纳的履约保证金不予退还。</w:t>
      </w:r>
    </w:p>
    <w:p w14:paraId="7D88EC7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4.因验收货物时不能直接判断质量的，在使用过程中发现不合格商品，供应商应作退货处理。</w:t>
      </w:r>
    </w:p>
    <w:p w14:paraId="686EFB0E">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5.凡按重量计量物资，均以物品净重方式计量结算。</w:t>
      </w:r>
    </w:p>
    <w:p w14:paraId="1F4102B4">
      <w:pPr>
        <w:pStyle w:val="5"/>
        <w:spacing w:before="120" w:beforeLines="50" w:after="120" w:afterLines="50" w:line="240" w:lineRule="auto"/>
        <w:rPr>
          <w:rFonts w:hint="eastAsia" w:ascii="宋体" w:hAnsi="宋体" w:eastAsia="宋体" w:cs="宋体"/>
          <w:sz w:val="24"/>
          <w:szCs w:val="24"/>
          <w:lang w:val="en-US" w:eastAsia="zh-CN"/>
        </w:rPr>
      </w:pPr>
      <w:bookmarkStart w:id="41" w:name="_Toc344475121"/>
      <w:bookmarkStart w:id="42" w:name="_Toc106030884"/>
      <w:bookmarkStart w:id="43" w:name="_Toc10645"/>
      <w:bookmarkStart w:id="44" w:name="_Toc18015"/>
      <w:bookmarkStart w:id="45" w:name="_Toc76462329"/>
      <w:bookmarkStart w:id="46" w:name="_Toc21889"/>
      <w:r>
        <w:rPr>
          <w:rFonts w:hint="eastAsia" w:ascii="宋体" w:hAnsi="宋体" w:eastAsia="宋体" w:cs="宋体"/>
          <w:sz w:val="24"/>
          <w:szCs w:val="24"/>
          <w:lang w:val="en-US" w:eastAsia="zh-CN"/>
        </w:rPr>
        <w:t>二、</w:t>
      </w:r>
      <w:bookmarkEnd w:id="41"/>
      <w:r>
        <w:rPr>
          <w:rFonts w:hint="eastAsia" w:ascii="宋体" w:hAnsi="宋体" w:eastAsia="宋体" w:cs="宋体"/>
          <w:sz w:val="24"/>
          <w:szCs w:val="24"/>
          <w:lang w:val="en-US" w:eastAsia="zh-CN"/>
        </w:rPr>
        <w:t>报价要求</w:t>
      </w:r>
      <w:bookmarkEnd w:id="42"/>
      <w:bookmarkEnd w:id="43"/>
      <w:bookmarkEnd w:id="44"/>
      <w:bookmarkEnd w:id="45"/>
      <w:bookmarkEnd w:id="46"/>
    </w:p>
    <w:p w14:paraId="69D778A9">
      <w:pPr>
        <w:spacing w:line="360" w:lineRule="auto"/>
        <w:ind w:firstLine="480" w:firstLineChars="200"/>
        <w:rPr>
          <w:rFonts w:hint="eastAsia" w:ascii="宋体" w:hAnsi="宋体" w:eastAsia="宋体" w:cs="宋体"/>
          <w:color w:val="auto"/>
          <w:sz w:val="24"/>
          <w:szCs w:val="24"/>
          <w:lang w:val="en-US" w:eastAsia="zh-CN"/>
        </w:rPr>
      </w:pPr>
      <w:bookmarkStart w:id="47" w:name="_Toc106030885"/>
      <w:bookmarkStart w:id="48" w:name="_Toc76462330"/>
      <w:bookmarkStart w:id="49" w:name="_Toc344475122"/>
      <w:r>
        <w:rPr>
          <w:rFonts w:hint="eastAsia" w:ascii="宋体" w:hAnsi="宋体" w:eastAsia="宋体" w:cs="宋体"/>
          <w:color w:val="auto"/>
          <w:sz w:val="24"/>
          <w:szCs w:val="24"/>
          <w:lang w:val="en-US" w:eastAsia="zh-CN"/>
        </w:rPr>
        <w:t>（一）供应商报价包括完成本项目所需的服务费、人工费及提供服务所需的设备或货物购买（制造）费、辅材费、运输费、装卸费、培训费及各种应纳的税费等所有费用。因供应商自身原因造成漏报、少报皆由其自行承担责任，采购人在服务期内及服务期结束后不再补偿。</w:t>
      </w:r>
    </w:p>
    <w:p w14:paraId="099B0B81">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（二）本项目采购预算金额为预估金额，仅作为供应商的报价参考，不作为最终结算依据。实际结算金额以实际配送数量和结算单价进行据实结算。</w:t>
      </w:r>
    </w:p>
    <w:p w14:paraId="0752E1AF">
      <w:pPr>
        <w:pStyle w:val="5"/>
        <w:spacing w:before="120" w:beforeLines="50" w:after="120" w:afterLines="50" w:line="240" w:lineRule="auto"/>
        <w:rPr>
          <w:rFonts w:hint="eastAsia" w:ascii="宋体" w:hAnsi="宋体" w:eastAsia="宋体" w:cs="宋体"/>
          <w:sz w:val="24"/>
          <w:szCs w:val="24"/>
          <w:lang w:val="en-US" w:eastAsia="zh-CN"/>
        </w:rPr>
      </w:pPr>
      <w:bookmarkStart w:id="50" w:name="_Toc1745"/>
      <w:bookmarkStart w:id="51" w:name="_Toc24485"/>
      <w:bookmarkStart w:id="52" w:name="_Toc17657"/>
      <w:r>
        <w:rPr>
          <w:rFonts w:hint="eastAsia" w:ascii="宋体" w:hAnsi="宋体" w:eastAsia="宋体" w:cs="宋体"/>
          <w:sz w:val="24"/>
          <w:szCs w:val="24"/>
          <w:lang w:val="en-US" w:eastAsia="zh-CN"/>
        </w:rPr>
        <w:t>三、</w:t>
      </w:r>
      <w:bookmarkEnd w:id="47"/>
      <w:bookmarkEnd w:id="48"/>
      <w:bookmarkEnd w:id="49"/>
      <w:bookmarkEnd w:id="50"/>
      <w:bookmarkEnd w:id="51"/>
      <w:r>
        <w:rPr>
          <w:rFonts w:hint="eastAsia" w:ascii="宋体" w:hAnsi="宋体" w:eastAsia="宋体" w:cs="宋体"/>
          <w:sz w:val="24"/>
          <w:szCs w:val="24"/>
          <w:lang w:val="en-US" w:eastAsia="zh-CN"/>
        </w:rPr>
        <w:t>结算</w:t>
      </w:r>
      <w:r>
        <w:rPr>
          <w:rFonts w:hint="eastAsia" w:ascii="宋体" w:hAnsi="宋体" w:cs="宋体"/>
          <w:sz w:val="24"/>
          <w:szCs w:val="24"/>
          <w:lang w:val="en-US" w:eastAsia="zh-CN"/>
        </w:rPr>
        <w:t>单</w:t>
      </w:r>
      <w:r>
        <w:rPr>
          <w:rFonts w:hint="eastAsia" w:ascii="宋体" w:hAnsi="宋体" w:eastAsia="宋体" w:cs="宋体"/>
          <w:sz w:val="24"/>
          <w:szCs w:val="24"/>
          <w:lang w:val="en-US" w:eastAsia="zh-CN"/>
        </w:rPr>
        <w:t>价确定标准和流程</w:t>
      </w:r>
      <w:bookmarkEnd w:id="52"/>
    </w:p>
    <w:p w14:paraId="6A11D43C">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3" w:name="_Toc76462331"/>
      <w:bookmarkStart w:id="54" w:name="_Toc344475124"/>
      <w:bookmarkStart w:id="55" w:name="_Toc106030886"/>
      <w:r>
        <w:rPr>
          <w:rFonts w:hint="eastAsia" w:ascii="宋体" w:hAnsi="宋体" w:eastAsia="宋体" w:cs="宋体"/>
          <w:color w:val="000000" w:themeColor="text1"/>
          <w:sz w:val="24"/>
          <w:szCs w:val="24"/>
          <w:highlight w:val="none"/>
          <w:lang w:val="en-US" w:eastAsia="zh-CN"/>
          <w14:textFill>
            <w14:solidFill>
              <w14:schemeClr w14:val="tx1"/>
            </w14:solidFill>
          </w14:textFill>
        </w:rPr>
        <w:t>（一）询定价</w:t>
      </w:r>
    </w:p>
    <w:p w14:paraId="013BC362">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采购人对所采购货物品种进行市场考察询价，询价每月1次。每次考察询价地点在采购人所在就近地区内进行，以不同卖场时价的平均价（核价应遵循同品同质的原则，特价商品除外）为结算单价，并由双方人员签字确认。</w:t>
      </w:r>
    </w:p>
    <w:p w14:paraId="36C7A426">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（2）采购人附近的超市及农贸市场无法查询基础价而无法定价的个别品种或采购人有特殊要求的货品，可参照其他市场售价及上期供货价，双方协商确定定价。</w:t>
      </w:r>
    </w:p>
    <w:p w14:paraId="1459F297">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（二）结算</w:t>
      </w:r>
    </w:p>
    <w:p w14:paraId="52228141">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当月最终结算金额=Σ（各品类结算单价×各品类实际配送数量）-考核扣除金额（如有）。</w:t>
      </w:r>
    </w:p>
    <w:bookmarkEnd w:id="53"/>
    <w:bookmarkEnd w:id="54"/>
    <w:bookmarkEnd w:id="55"/>
    <w:p w14:paraId="421B13D4">
      <w:pPr>
        <w:pStyle w:val="5"/>
        <w:spacing w:before="120" w:beforeLines="50" w:after="120" w:afterLines="50" w:line="240" w:lineRule="auto"/>
        <w:rPr>
          <w:rFonts w:hint="default" w:ascii="宋体" w:hAnsi="宋体" w:eastAsia="宋体" w:cs="宋体"/>
          <w:sz w:val="24"/>
          <w:szCs w:val="24"/>
          <w:highlight w:val="none"/>
          <w:lang w:val="en-US" w:eastAsia="zh-CN"/>
        </w:rPr>
      </w:pPr>
      <w:bookmarkStart w:id="56" w:name="_Toc23341"/>
      <w:bookmarkStart w:id="57" w:name="_Toc10764"/>
      <w:bookmarkStart w:id="58" w:name="_Toc12448"/>
      <w:bookmarkStart w:id="59" w:name="_Toc27575"/>
      <w:r>
        <w:rPr>
          <w:rFonts w:hint="eastAsia" w:ascii="宋体" w:hAnsi="宋体" w:eastAsia="宋体" w:cs="宋体"/>
          <w:sz w:val="24"/>
          <w:szCs w:val="24"/>
          <w:highlight w:val="none"/>
          <w:lang w:val="en-US" w:eastAsia="zh-CN"/>
        </w:rPr>
        <w:t>四、</w:t>
      </w:r>
      <w:bookmarkEnd w:id="56"/>
      <w:bookmarkEnd w:id="57"/>
      <w:bookmarkStart w:id="60" w:name="_Toc344475125"/>
      <w:r>
        <w:rPr>
          <w:rFonts w:hint="eastAsia" w:ascii="宋体" w:hAnsi="宋体" w:eastAsia="宋体" w:cs="宋体"/>
          <w:sz w:val="24"/>
          <w:szCs w:val="24"/>
          <w:highlight w:val="none"/>
          <w:lang w:val="en-US" w:eastAsia="zh-CN"/>
        </w:rPr>
        <w:t>付款方式</w:t>
      </w:r>
      <w:bookmarkEnd w:id="58"/>
    </w:p>
    <w:bookmarkEnd w:id="60"/>
    <w:p w14:paraId="0ABF16C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1.成交供应商每月向采购人提供经采购人签证的采购清单，由采购人确认种类、数量、价格进行核</w:t>
      </w:r>
      <w:r>
        <w:rPr>
          <w:rFonts w:hint="eastAsia" w:ascii="宋体" w:hAnsi="宋体" w:cs="宋体"/>
          <w:color w:val="auto"/>
          <w:sz w:val="24"/>
          <w:szCs w:val="24"/>
          <w:highlight w:val="none"/>
          <w:lang w:val="en-US" w:eastAsia="zh-CN"/>
        </w:rPr>
        <w:t>算</w:t>
      </w:r>
      <w:r>
        <w:rPr>
          <w:rFonts w:hint="eastAsia" w:ascii="宋体" w:hAnsi="宋体" w:eastAsia="宋体" w:cs="宋体"/>
          <w:color w:val="auto"/>
          <w:sz w:val="24"/>
          <w:szCs w:val="24"/>
          <w:highlight w:val="none"/>
          <w:lang w:val="en-US" w:eastAsia="zh-CN"/>
        </w:rPr>
        <w:t>。</w:t>
      </w:r>
    </w:p>
    <w:p w14:paraId="32F70BC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2.成交供应商根据采购人确认的价格开具合法发票。</w:t>
      </w:r>
    </w:p>
    <w:p w14:paraId="412F317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w:t>
      </w:r>
      <w:r>
        <w:rPr>
          <w:rFonts w:hint="eastAsia" w:ascii="宋体" w:hAnsi="宋体" w:cs="宋体"/>
          <w:color w:val="auto"/>
          <w:sz w:val="24"/>
          <w:szCs w:val="24"/>
          <w:highlight w:val="none"/>
          <w:lang w:val="en-US" w:eastAsia="zh-CN"/>
        </w:rPr>
        <w:t>按时把</w:t>
      </w:r>
      <w:r>
        <w:rPr>
          <w:rFonts w:hint="eastAsia" w:ascii="宋体" w:hAnsi="宋体" w:eastAsia="宋体" w:cs="宋体"/>
          <w:color w:val="auto"/>
          <w:sz w:val="24"/>
          <w:szCs w:val="24"/>
          <w:highlight w:val="none"/>
          <w:lang w:val="en-US" w:eastAsia="zh-CN"/>
        </w:rPr>
        <w:t>实际结算金额</w:t>
      </w:r>
      <w:r>
        <w:rPr>
          <w:rFonts w:hint="eastAsia" w:ascii="宋体" w:hAnsi="宋体" w:cs="宋体"/>
          <w:color w:val="auto"/>
          <w:sz w:val="24"/>
          <w:szCs w:val="24"/>
          <w:highlight w:val="none"/>
          <w:lang w:val="en-US" w:eastAsia="zh-CN"/>
        </w:rPr>
        <w:t>支付</w:t>
      </w:r>
      <w:r>
        <w:rPr>
          <w:rFonts w:hint="eastAsia" w:ascii="宋体" w:hAnsi="宋体" w:eastAsia="宋体" w:cs="宋体"/>
          <w:color w:val="auto"/>
          <w:sz w:val="24"/>
          <w:szCs w:val="24"/>
          <w:highlight w:val="none"/>
          <w:lang w:val="en-US" w:eastAsia="zh-CN"/>
        </w:rPr>
        <w:t>到成交供应商银行基本帐户。</w:t>
      </w:r>
    </w:p>
    <w:p w14:paraId="5E5D938A">
      <w:pPr>
        <w:pStyle w:val="5"/>
        <w:spacing w:before="120" w:beforeLines="50" w:after="120" w:afterLines="50"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五、知识产权</w:t>
      </w:r>
      <w:bookmarkEnd w:id="59"/>
    </w:p>
    <w:p w14:paraId="47C88445">
      <w:pPr>
        <w:spacing w:line="360" w:lineRule="auto"/>
        <w:ind w:firstLine="480" w:firstLineChars="200"/>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采购人在中华人民共和国境内使用成交供应商提供的服务时免受第三方提出的侵犯其专利权或其它知识产权的起诉。如果第三方提出侵权指控，成交供应商应承担由此而引起</w:t>
      </w:r>
      <w:r>
        <w:rPr>
          <w:rFonts w:hint="eastAsia" w:ascii="宋体" w:hAnsi="宋体" w:eastAsia="宋体" w:cs="宋体"/>
          <w:b w:val="0"/>
          <w:bCs w:val="0"/>
          <w:color w:val="auto"/>
          <w:sz w:val="24"/>
          <w:szCs w:val="24"/>
          <w:lang w:val="en-US" w:eastAsia="zh-CN"/>
        </w:rPr>
        <w:t>的一切法律责任和费用。</w:t>
      </w:r>
    </w:p>
    <w:p w14:paraId="0519AB2B">
      <w:pPr>
        <w:pStyle w:val="5"/>
        <w:spacing w:before="120" w:beforeLines="50" w:after="120" w:afterLines="50" w:line="240" w:lineRule="auto"/>
        <w:rPr>
          <w:rFonts w:hint="eastAsia" w:ascii="宋体" w:hAnsi="宋体" w:eastAsia="宋体" w:cs="宋体"/>
          <w:sz w:val="24"/>
          <w:szCs w:val="24"/>
          <w:lang w:val="en-US" w:eastAsia="zh-CN"/>
        </w:rPr>
      </w:pPr>
      <w:bookmarkStart w:id="61" w:name="_Toc15810"/>
      <w:r>
        <w:rPr>
          <w:rFonts w:hint="eastAsia" w:ascii="宋体" w:hAnsi="宋体" w:eastAsia="宋体" w:cs="宋体"/>
          <w:sz w:val="24"/>
          <w:szCs w:val="24"/>
          <w:lang w:val="en-US" w:eastAsia="zh-CN"/>
        </w:rPr>
        <w:t>六、其他</w:t>
      </w:r>
      <w:bookmarkEnd w:id="61"/>
    </w:p>
    <w:p w14:paraId="3A7D039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（一）未经采购人同意，成交供应商不得将成交的项目分包、转让给其他单位。否则，采购人可随时取消其成交资格。由此给采购人造成的经济损失均由成交供应商自行全部承担。</w:t>
      </w:r>
    </w:p>
    <w:p w14:paraId="1ECEF430">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lang w:val="en-US" w:eastAsia="zh-CN"/>
        </w:rPr>
        <w:t>）其他未尽事宜由供需双方在采购合同中详细约定。</w:t>
      </w:r>
    </w:p>
    <w:p w14:paraId="542907F0">
      <w:pPr>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三</w:t>
      </w:r>
      <w:r>
        <w:rPr>
          <w:rFonts w:hint="eastAsia" w:ascii="宋体" w:hAnsi="宋体" w:eastAsia="宋体" w:cs="宋体"/>
          <w:b w:val="0"/>
          <w:bCs w:val="0"/>
          <w:color w:val="auto"/>
          <w:sz w:val="24"/>
          <w:szCs w:val="24"/>
          <w:lang w:val="en-US" w:eastAsia="zh-CN"/>
        </w:rPr>
        <w:t>）</w:t>
      </w:r>
      <w:r>
        <w:rPr>
          <w:rFonts w:hint="eastAsia" w:ascii="宋体" w:hAnsi="宋体" w:eastAsia="宋体" w:cs="宋体"/>
          <w:b/>
          <w:bCs/>
          <w:color w:val="auto"/>
          <w:sz w:val="24"/>
          <w:szCs w:val="24"/>
          <w:lang w:val="en-US" w:eastAsia="zh-CN"/>
        </w:rPr>
        <w:t>采购合同签订前，成交供应商需向采购人缴纳履约保证金</w:t>
      </w: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val="en-US" w:eastAsia="zh-CN"/>
        </w:rPr>
        <w:t>000元。履约保证金缴纳账户由采购人提供，服务期满后无息退还（未有违约情况）</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银行账户全称：重庆市大足区财政局，银行账号：2233010120010010998-133001，开户行全称：重庆农村商业银行大足支行。</w:t>
      </w:r>
    </w:p>
    <w:p w14:paraId="106BB283">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）考核要求</w:t>
      </w:r>
    </w:p>
    <w:p w14:paraId="72C4B5CE">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（1）每月按照考核结果支付采购费用，具体计算公式为:每月实际支付金额=每月实际采购额-考核扣除金额。</w:t>
      </w:r>
    </w:p>
    <w:p w14:paraId="6A96F702">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（2）成交供应商对扣款项目应立即着手整改，整改完毕由采购人验收合格后不予扣款；验收不合格的，当月按照该扣款金额进行扣减采购费用；3次整改不合格，采购人处以双倍罚款，并有权解除合同。</w:t>
      </w:r>
    </w:p>
    <w:p w14:paraId="43B880F9">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（3）成交供应商工作不负责或达不到合同约定内容和要求，月扣款金额合计超过 5000元，当月采购费用暂不支付，次月扣款合计未超过 5000元，与次月采购费用一并支付;两月扣款金额均超过5000元，两月采购费用暂不支付，第三月扣款金额未超过5000元的，与第三月采购费用一并支付;连续三个月扣款金额均超过 5000 元，采购人有权单方面解除合同，不支付相应月份的采购费用，并要求中标供应商承担相应损失。</w:t>
      </w:r>
    </w:p>
    <w:p w14:paraId="07F72156">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1、食堂当日急需食材供货，在双方约定的送货时间未送达的，以迟到1000元/30分钟为一个单位计算，不足30分钟按30分钟计算，以此累计。</w:t>
      </w:r>
    </w:p>
    <w:p w14:paraId="17AF82AD">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2、供货商配送的食材出现质量问题，发现1 起，扣 1000 元。</w:t>
      </w:r>
    </w:p>
    <w:p w14:paraId="64356834">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3、外包装不完整、生产日期、保质期、生产厂家和 QS 标识不齐全清晰的，发现1起扣1000元。</w:t>
      </w:r>
    </w:p>
    <w:p w14:paraId="6CE3E01C">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4、采购人对供货商食材不定期进行送检，产品不合格的，发现1起扣</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000元。</w:t>
      </w:r>
    </w:p>
    <w:p w14:paraId="68B392D2">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5、发生经第三方具备国家资质机构确认的因食材质量导致的人员中毒事件，除必须承担其相应的医疗费用外，同时解除双方合约关系，同时按相关法律法规承担相应的责任。</w:t>
      </w:r>
    </w:p>
    <w:p w14:paraId="7F64A3FC">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（4）考评细则</w:t>
      </w:r>
    </w:p>
    <w:p w14:paraId="327D2237">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1.以月为单位进行考核，考核基准分为100分，95分（含95分）以上为“合格”等级（小数点后数字四舍五入,下同）；</w:t>
      </w:r>
    </w:p>
    <w:p w14:paraId="7EB0FC43">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2.达到90分（含90分）以上且低于95分（不含95分）的为“基本合格”等级；</w:t>
      </w:r>
    </w:p>
    <w:p w14:paraId="0E9C180D">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3.达到85分（含85分）以上且低于90分（不含90分）的为“较差”等级，以90分为基准分值，每差1分从当月结算款中直接扣除1000元；</w:t>
      </w:r>
    </w:p>
    <w:p w14:paraId="175A62A3">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4.低于85分（不含85分）为“差”等级，以90分为基准分值，每差1分从当月结算款项中直接扣除1000元；</w:t>
      </w:r>
    </w:p>
    <w:p w14:paraId="0D69D06A">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5.一年内累计三次单月考核得分低于85分（不含85分），采购人有权终止合同，并扣除履约保证金。</w:t>
      </w:r>
    </w:p>
    <w:p w14:paraId="426C6E35">
      <w:pPr>
        <w:snapToGrid w:val="0"/>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具体考核细则如下：</w:t>
      </w:r>
    </w:p>
    <w:tbl>
      <w:tblPr>
        <w:tblStyle w:val="61"/>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668"/>
        <w:gridCol w:w="6722"/>
      </w:tblGrid>
      <w:tr w14:paraId="70B1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37" w:type="pct"/>
            <w:tcBorders>
              <w:tl2br w:val="nil"/>
              <w:tr2bl w:val="nil"/>
            </w:tcBorders>
            <w:noWrap w:val="0"/>
            <w:vAlign w:val="center"/>
          </w:tcPr>
          <w:p w14:paraId="0836DB9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w:t>
            </w:r>
          </w:p>
        </w:tc>
        <w:tc>
          <w:tcPr>
            <w:tcW w:w="867" w:type="pct"/>
            <w:tcBorders>
              <w:tl2br w:val="nil"/>
              <w:tr2bl w:val="nil"/>
            </w:tcBorders>
            <w:noWrap w:val="0"/>
            <w:vAlign w:val="center"/>
          </w:tcPr>
          <w:p w14:paraId="23C481C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考核指标</w:t>
            </w:r>
          </w:p>
        </w:tc>
        <w:tc>
          <w:tcPr>
            <w:tcW w:w="3494" w:type="pct"/>
            <w:tcBorders>
              <w:tl2br w:val="nil"/>
              <w:tr2bl w:val="nil"/>
            </w:tcBorders>
            <w:noWrap w:val="0"/>
            <w:vAlign w:val="center"/>
          </w:tcPr>
          <w:p w14:paraId="6BBC7FE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考核说明</w:t>
            </w:r>
          </w:p>
        </w:tc>
      </w:tr>
      <w:tr w14:paraId="24C7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637" w:type="pct"/>
            <w:vMerge w:val="restart"/>
            <w:tcBorders>
              <w:tl2br w:val="nil"/>
              <w:tr2bl w:val="nil"/>
            </w:tcBorders>
            <w:noWrap w:val="0"/>
            <w:vAlign w:val="center"/>
          </w:tcPr>
          <w:p w14:paraId="5F52FA9F">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货物质量</w:t>
            </w:r>
          </w:p>
        </w:tc>
        <w:tc>
          <w:tcPr>
            <w:tcW w:w="867" w:type="pct"/>
            <w:tcBorders>
              <w:tl2br w:val="nil"/>
              <w:tr2bl w:val="nil"/>
            </w:tcBorders>
            <w:noWrap w:val="0"/>
            <w:vAlign w:val="center"/>
          </w:tcPr>
          <w:p w14:paraId="78F4D03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配送货物质量合格</w:t>
            </w:r>
          </w:p>
        </w:tc>
        <w:tc>
          <w:tcPr>
            <w:tcW w:w="3494" w:type="pct"/>
            <w:tcBorders>
              <w:tl2br w:val="nil"/>
              <w:tr2bl w:val="nil"/>
            </w:tcBorders>
            <w:noWrap w:val="0"/>
            <w:vAlign w:val="center"/>
          </w:tcPr>
          <w:p w14:paraId="6133CB74">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出现货物腐烂变质，霉变等质量问题的，每个单品一次扣5分并做退货处理；出现其他质量问题的，每个单品一次扣1分，出现以次充好、夹带的，每个单品一次扣2分。</w:t>
            </w:r>
          </w:p>
        </w:tc>
      </w:tr>
      <w:tr w14:paraId="74A9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37" w:type="pct"/>
            <w:vMerge w:val="continue"/>
            <w:tcBorders>
              <w:tl2br w:val="nil"/>
              <w:tr2bl w:val="nil"/>
            </w:tcBorders>
            <w:noWrap w:val="0"/>
            <w:vAlign w:val="center"/>
          </w:tcPr>
          <w:p w14:paraId="73C8917C">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44E5985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配送品种、品牌、规格、品质、含水（冰）量等符合约定标准的货物</w:t>
            </w:r>
          </w:p>
        </w:tc>
        <w:tc>
          <w:tcPr>
            <w:tcW w:w="3494" w:type="pct"/>
            <w:tcBorders>
              <w:tl2br w:val="nil"/>
              <w:tr2bl w:val="nil"/>
            </w:tcBorders>
            <w:noWrap w:val="0"/>
            <w:vAlign w:val="center"/>
          </w:tcPr>
          <w:p w14:paraId="238ED6B0">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经同意不得随意更换货物的品牌、品种、规格、型号等，随意更换的，每个单品一次扣2分并做退货处理；冻品按照约定要求无冰或少冰，如超过约定含冰量的，每个单品一次扣2分并做退货处理；成交供应商以无货品、无利润为由，拒绝配送货物的，每个单品一次扣3分。</w:t>
            </w:r>
          </w:p>
        </w:tc>
      </w:tr>
      <w:tr w14:paraId="7392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637" w:type="pct"/>
            <w:vMerge w:val="continue"/>
            <w:tcBorders>
              <w:tl2br w:val="nil"/>
              <w:tr2bl w:val="nil"/>
            </w:tcBorders>
            <w:noWrap w:val="0"/>
            <w:vAlign w:val="center"/>
          </w:tcPr>
          <w:p w14:paraId="6BB84854">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3B6824C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配送数量浮动标准</w:t>
            </w:r>
          </w:p>
        </w:tc>
        <w:tc>
          <w:tcPr>
            <w:tcW w:w="3494" w:type="pct"/>
            <w:tcBorders>
              <w:tl2br w:val="nil"/>
              <w:tr2bl w:val="nil"/>
            </w:tcBorders>
            <w:noWrap w:val="0"/>
            <w:vAlign w:val="center"/>
          </w:tcPr>
          <w:p w14:paraId="65CB60DF">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一般货物实际供应量在计划数量基础上，上下浮动不得超过±5%，如超过相应比例视作违规配送，每个单品一次扣1分（特殊情况经采购人同意的除外）。</w:t>
            </w:r>
          </w:p>
        </w:tc>
      </w:tr>
      <w:tr w14:paraId="0CB2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637" w:type="pct"/>
            <w:vMerge w:val="restart"/>
            <w:tcBorders>
              <w:tl2br w:val="nil"/>
              <w:tr2bl w:val="nil"/>
            </w:tcBorders>
            <w:noWrap w:val="0"/>
            <w:vAlign w:val="center"/>
          </w:tcPr>
          <w:p w14:paraId="5158EBB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服务质量</w:t>
            </w:r>
          </w:p>
        </w:tc>
        <w:tc>
          <w:tcPr>
            <w:tcW w:w="867" w:type="pct"/>
            <w:tcBorders>
              <w:tl2br w:val="nil"/>
              <w:tr2bl w:val="nil"/>
            </w:tcBorders>
            <w:noWrap w:val="0"/>
            <w:vAlign w:val="center"/>
          </w:tcPr>
          <w:p w14:paraId="4B88B03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配送时间</w:t>
            </w:r>
          </w:p>
        </w:tc>
        <w:tc>
          <w:tcPr>
            <w:tcW w:w="3494" w:type="pct"/>
            <w:tcBorders>
              <w:tl2br w:val="nil"/>
              <w:tr2bl w:val="nil"/>
            </w:tcBorders>
            <w:noWrap w:val="0"/>
            <w:vAlign w:val="center"/>
          </w:tcPr>
          <w:p w14:paraId="69CFF14D">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每日所需物资须于当日早上6：00时前送达，应急采购任务（突发事件保障）必须按照约定时间送达，迟到30分钟内，每次扣1分；迟到30分钟以上每次扣2分；影响开餐的（含因时间关系更换菜品、改变制作方式、延误开餐等情况）一次扣3分。</w:t>
            </w:r>
          </w:p>
        </w:tc>
      </w:tr>
      <w:tr w14:paraId="4E09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37" w:type="pct"/>
            <w:vMerge w:val="continue"/>
            <w:tcBorders>
              <w:tl2br w:val="nil"/>
              <w:tr2bl w:val="nil"/>
            </w:tcBorders>
            <w:noWrap w:val="0"/>
            <w:vAlign w:val="center"/>
          </w:tcPr>
          <w:p w14:paraId="15539088">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25BF163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漏送货情况，退换、补货情况</w:t>
            </w:r>
          </w:p>
        </w:tc>
        <w:tc>
          <w:tcPr>
            <w:tcW w:w="3494" w:type="pct"/>
            <w:tcBorders>
              <w:tl2br w:val="nil"/>
              <w:tr2bl w:val="nil"/>
            </w:tcBorders>
            <w:noWrap w:val="0"/>
            <w:vAlign w:val="center"/>
          </w:tcPr>
          <w:p w14:paraId="0AB04352">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漏送货在不影响开餐的情况下，每周第一次做警告提醒，第二次起每次扣1分，超过三个品种的每次扣2分；因漏送货、退货等原因导致货物不足的，必须按照规定时间补足货物，因未补足货物影响开餐的（含因时间关系更换菜品、改变制作方式、延误开餐等情况）一次扣4分。</w:t>
            </w:r>
          </w:p>
        </w:tc>
      </w:tr>
      <w:tr w14:paraId="62FA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637" w:type="pct"/>
            <w:tcBorders>
              <w:tl2br w:val="nil"/>
              <w:tr2bl w:val="nil"/>
            </w:tcBorders>
            <w:noWrap w:val="0"/>
            <w:vAlign w:val="center"/>
          </w:tcPr>
          <w:p w14:paraId="53DDAF8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人员管理</w:t>
            </w:r>
          </w:p>
        </w:tc>
        <w:tc>
          <w:tcPr>
            <w:tcW w:w="867" w:type="pct"/>
            <w:tcBorders>
              <w:tl2br w:val="nil"/>
              <w:tr2bl w:val="nil"/>
            </w:tcBorders>
            <w:noWrap w:val="0"/>
            <w:vAlign w:val="center"/>
          </w:tcPr>
          <w:p w14:paraId="04566B9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员工健康、个人卫生管理。</w:t>
            </w:r>
          </w:p>
        </w:tc>
        <w:tc>
          <w:tcPr>
            <w:tcW w:w="3494" w:type="pct"/>
            <w:tcBorders>
              <w:tl2br w:val="nil"/>
              <w:tr2bl w:val="nil"/>
            </w:tcBorders>
            <w:noWrap w:val="0"/>
            <w:vAlign w:val="center"/>
          </w:tcPr>
          <w:p w14:paraId="76F41B55">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员工需衣着整洁，个人清洁卫生干净，不符合要求一次扣1分；抽检配送员工的《健康证》，如没有的一人次扣2分，并劝离工作岗位。</w:t>
            </w:r>
          </w:p>
        </w:tc>
      </w:tr>
      <w:tr w14:paraId="17C5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37" w:type="pct"/>
            <w:vMerge w:val="restart"/>
            <w:tcBorders>
              <w:tl2br w:val="nil"/>
              <w:tr2bl w:val="nil"/>
            </w:tcBorders>
            <w:noWrap w:val="0"/>
            <w:vAlign w:val="center"/>
          </w:tcPr>
          <w:p w14:paraId="17FB514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w:t>
            </w:r>
          </w:p>
        </w:tc>
        <w:tc>
          <w:tcPr>
            <w:tcW w:w="867" w:type="pct"/>
            <w:tcBorders>
              <w:tl2br w:val="nil"/>
              <w:tr2bl w:val="nil"/>
            </w:tcBorders>
            <w:noWrap w:val="0"/>
            <w:vAlign w:val="center"/>
          </w:tcPr>
          <w:p w14:paraId="7A6A642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应急任务</w:t>
            </w:r>
          </w:p>
        </w:tc>
        <w:tc>
          <w:tcPr>
            <w:tcW w:w="3494" w:type="pct"/>
            <w:tcBorders>
              <w:tl2br w:val="nil"/>
              <w:tr2bl w:val="nil"/>
            </w:tcBorders>
            <w:noWrap w:val="0"/>
            <w:vAlign w:val="center"/>
          </w:tcPr>
          <w:p w14:paraId="4BBE147F">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未按合同约定完成应急保障任务，每次扣10分。</w:t>
            </w:r>
          </w:p>
        </w:tc>
      </w:tr>
      <w:tr w14:paraId="4B60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37" w:type="pct"/>
            <w:vMerge w:val="continue"/>
            <w:tcBorders>
              <w:tl2br w:val="nil"/>
              <w:tr2bl w:val="nil"/>
            </w:tcBorders>
            <w:noWrap w:val="0"/>
            <w:vAlign w:val="center"/>
          </w:tcPr>
          <w:p w14:paraId="7181E4C9">
            <w:pPr>
              <w:keepNext w:val="0"/>
              <w:keepLines w:val="0"/>
              <w:suppressLineNumbers w:val="0"/>
              <w:snapToGrid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0D147EE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配送物资</w:t>
            </w:r>
          </w:p>
        </w:tc>
        <w:tc>
          <w:tcPr>
            <w:tcW w:w="3494" w:type="pct"/>
            <w:tcBorders>
              <w:tl2br w:val="nil"/>
              <w:tr2bl w:val="nil"/>
            </w:tcBorders>
            <w:noWrap w:val="0"/>
            <w:vAlign w:val="center"/>
          </w:tcPr>
          <w:p w14:paraId="41BDEC58">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般性物资，急需物资按采购人要求在约定时间内采购到位，每个单品逾期一天扣2分，最多扣10分；特殊保障物资必须在规定时间内采购到位，如延误，每个单品一次扣2分。采购人提供配送物资样品的或指定采购地点的，配送商须按要求采购，未按要求采购的，一次扣2分。大型商超以外的货物，所报价格不得虚高（偏离市场价20%以上），虚假报价一经查实，每查实一个单品扣1分。</w:t>
            </w:r>
          </w:p>
        </w:tc>
      </w:tr>
      <w:tr w14:paraId="60F4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37" w:type="pct"/>
            <w:vMerge w:val="continue"/>
            <w:tcBorders>
              <w:tl2br w:val="nil"/>
              <w:tr2bl w:val="nil"/>
            </w:tcBorders>
            <w:noWrap w:val="0"/>
            <w:vAlign w:val="center"/>
          </w:tcPr>
          <w:p w14:paraId="525332D5">
            <w:pPr>
              <w:keepNext w:val="0"/>
              <w:keepLines w:val="0"/>
              <w:suppressLineNumbers w:val="0"/>
              <w:snapToGrid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6CB9609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履行合同约定情况</w:t>
            </w:r>
          </w:p>
        </w:tc>
        <w:tc>
          <w:tcPr>
            <w:tcW w:w="3494" w:type="pct"/>
            <w:tcBorders>
              <w:tl2br w:val="nil"/>
              <w:tr2bl w:val="nil"/>
            </w:tcBorders>
            <w:noWrap w:val="0"/>
            <w:vAlign w:val="center"/>
          </w:tcPr>
          <w:p w14:paraId="0EE36CD3">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合同、招标文件、供应商承诺书等约定或承诺的相关事项，未完成一项每次扣2分。</w:t>
            </w:r>
          </w:p>
        </w:tc>
      </w:tr>
      <w:tr w14:paraId="2730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37" w:type="pct"/>
            <w:vMerge w:val="continue"/>
            <w:tcBorders>
              <w:tl2br w:val="nil"/>
              <w:tr2bl w:val="nil"/>
            </w:tcBorders>
            <w:noWrap w:val="0"/>
            <w:vAlign w:val="center"/>
          </w:tcPr>
          <w:p w14:paraId="732CD123">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p>
        </w:tc>
        <w:tc>
          <w:tcPr>
            <w:tcW w:w="867" w:type="pct"/>
            <w:tcBorders>
              <w:tl2br w:val="nil"/>
              <w:tr2bl w:val="nil"/>
            </w:tcBorders>
            <w:noWrap w:val="0"/>
            <w:vAlign w:val="center"/>
          </w:tcPr>
          <w:p w14:paraId="1AF6C157">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w:t>
            </w:r>
          </w:p>
        </w:tc>
        <w:tc>
          <w:tcPr>
            <w:tcW w:w="3494" w:type="pct"/>
            <w:tcBorders>
              <w:tl2br w:val="nil"/>
              <w:tr2bl w:val="nil"/>
            </w:tcBorders>
            <w:noWrap w:val="0"/>
            <w:vAlign w:val="center"/>
          </w:tcPr>
          <w:p w14:paraId="03F5CE7C">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违反采购人管理规定被通报一次扣5分；造成恶劣影响一次扣20分。</w:t>
            </w:r>
          </w:p>
        </w:tc>
      </w:tr>
      <w:tr w14:paraId="2E77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637" w:type="pct"/>
            <w:tcBorders>
              <w:tl2br w:val="nil"/>
              <w:tr2bl w:val="nil"/>
            </w:tcBorders>
            <w:noWrap w:val="0"/>
            <w:vAlign w:val="center"/>
          </w:tcPr>
          <w:p w14:paraId="66D1A69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加分项目</w:t>
            </w:r>
          </w:p>
        </w:tc>
        <w:tc>
          <w:tcPr>
            <w:tcW w:w="867" w:type="pct"/>
            <w:tcBorders>
              <w:tl2br w:val="nil"/>
              <w:tr2bl w:val="nil"/>
            </w:tcBorders>
            <w:noWrap w:val="0"/>
            <w:vAlign w:val="center"/>
          </w:tcPr>
          <w:p w14:paraId="6837EE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应急任务</w:t>
            </w:r>
          </w:p>
        </w:tc>
        <w:tc>
          <w:tcPr>
            <w:tcW w:w="3494" w:type="pct"/>
            <w:tcBorders>
              <w:tl2br w:val="nil"/>
              <w:tr2bl w:val="nil"/>
            </w:tcBorders>
            <w:noWrap w:val="0"/>
            <w:vAlign w:val="center"/>
          </w:tcPr>
          <w:p w14:paraId="10EC1541">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顺利完成1小时内的应急保障任务，每次加4分；顺利完成2小时以内应急保障任务，每次加2分；顺利完成综合（大型）保障任务每次加4分。</w:t>
            </w:r>
          </w:p>
        </w:tc>
      </w:tr>
    </w:tbl>
    <w:p w14:paraId="00A47C4C">
      <w:pPr>
        <w:pStyle w:val="3"/>
        <w:rPr>
          <w:rFonts w:hint="eastAsia"/>
          <w:lang w:val="en-US" w:eastAsia="zh-CN"/>
        </w:rPr>
      </w:pPr>
      <w:r>
        <w:rPr>
          <w:rFonts w:hint="eastAsia" w:ascii="宋体" w:hAnsi="宋体" w:eastAsia="宋体" w:cs="宋体"/>
          <w:b/>
          <w:bCs/>
          <w:color w:val="auto"/>
          <w:sz w:val="32"/>
          <w:szCs w:val="32"/>
          <w:highlight w:val="none"/>
        </w:rPr>
        <w:br w:type="page"/>
      </w:r>
    </w:p>
    <w:p w14:paraId="555423C5">
      <w:pPr>
        <w:pStyle w:val="4"/>
        <w:spacing w:before="0" w:after="0" w:line="360" w:lineRule="auto"/>
        <w:jc w:val="center"/>
        <w:rPr>
          <w:rFonts w:hint="eastAsia" w:ascii="宋体" w:hAnsi="宋体" w:eastAsia="宋体" w:cs="宋体"/>
          <w:b w:val="0"/>
          <w:sz w:val="36"/>
          <w:szCs w:val="30"/>
        </w:rPr>
      </w:pPr>
      <w:bookmarkStart w:id="62" w:name="_Toc1351"/>
      <w:r>
        <w:rPr>
          <w:rFonts w:hint="eastAsia" w:ascii="宋体" w:hAnsi="宋体" w:eastAsia="宋体" w:cs="宋体"/>
          <w:b w:val="0"/>
          <w:sz w:val="36"/>
          <w:szCs w:val="30"/>
        </w:rPr>
        <w:t>第四篇  磋商程序及方法、评审标准、无效响应和采购终止</w:t>
      </w:r>
      <w:bookmarkEnd w:id="62"/>
    </w:p>
    <w:p w14:paraId="68DF635C">
      <w:pPr>
        <w:pStyle w:val="5"/>
        <w:spacing w:before="0" w:after="0" w:line="440" w:lineRule="exact"/>
        <w:rPr>
          <w:rFonts w:hint="eastAsia" w:ascii="宋体" w:hAnsi="宋体" w:eastAsia="宋体" w:cs="宋体"/>
          <w:sz w:val="24"/>
          <w:szCs w:val="24"/>
        </w:rPr>
      </w:pPr>
      <w:bookmarkStart w:id="63" w:name="_Toc22261"/>
      <w:r>
        <w:rPr>
          <w:rFonts w:hint="eastAsia" w:ascii="宋体" w:hAnsi="宋体" w:eastAsia="宋体" w:cs="宋体"/>
          <w:sz w:val="24"/>
          <w:szCs w:val="24"/>
        </w:rPr>
        <w:t>一、磋商程序及方法</w:t>
      </w:r>
      <w:bookmarkEnd w:id="63"/>
    </w:p>
    <w:p w14:paraId="3E18F2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0F8F5A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（二）磋商小组对各供应商的资格条件、响应文件的有效性、完整性和响应程度进行审查。各供应商只有在完全符合要求的前提下，才能参与正式磋商。</w:t>
      </w:r>
    </w:p>
    <w:p w14:paraId="35557698">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7"/>
        <w:gridCol w:w="3566"/>
      </w:tblGrid>
      <w:tr w14:paraId="3CF7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76" w:type="dxa"/>
            <w:vAlign w:val="center"/>
          </w:tcPr>
          <w:p w14:paraId="6ABB44C4">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5386" w:type="dxa"/>
            <w:gridSpan w:val="2"/>
            <w:vAlign w:val="center"/>
          </w:tcPr>
          <w:p w14:paraId="41B45DCB">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检查因素</w:t>
            </w:r>
          </w:p>
        </w:tc>
        <w:tc>
          <w:tcPr>
            <w:tcW w:w="3566" w:type="dxa"/>
            <w:vAlign w:val="center"/>
          </w:tcPr>
          <w:p w14:paraId="7E7822D2">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检查内容</w:t>
            </w:r>
          </w:p>
        </w:tc>
      </w:tr>
      <w:tr w14:paraId="6504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31BDBE5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709" w:type="dxa"/>
            <w:vMerge w:val="restart"/>
            <w:vAlign w:val="center"/>
          </w:tcPr>
          <w:p w14:paraId="591B900A">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应符合的基本资格条件</w:t>
            </w:r>
          </w:p>
        </w:tc>
        <w:tc>
          <w:tcPr>
            <w:tcW w:w="4677" w:type="dxa"/>
            <w:vAlign w:val="center"/>
          </w:tcPr>
          <w:p w14:paraId="5DE5798D">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（1）具有独立承担民事责任的能力</w:t>
            </w:r>
          </w:p>
        </w:tc>
        <w:tc>
          <w:tcPr>
            <w:tcW w:w="3566" w:type="dxa"/>
            <w:vAlign w:val="center"/>
          </w:tcPr>
          <w:p w14:paraId="5E4C5DB2">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i w:val="0"/>
                <w:iCs w:val="0"/>
                <w:color w:val="auto"/>
                <w:sz w:val="21"/>
                <w:szCs w:val="21"/>
              </w:rPr>
              <w:t>供应商法人营业执照（副本）或事业单位法人证书（副本）；供应商法定代表人身份证明和法定代表人授权代表委托书。</w:t>
            </w:r>
          </w:p>
        </w:tc>
      </w:tr>
      <w:tr w14:paraId="6076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14:paraId="7D88063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492C6D38">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77F04747">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lang w:val="zh-CN"/>
              </w:rPr>
              <w:t>（2）</w:t>
            </w:r>
            <w:r>
              <w:rPr>
                <w:rFonts w:hint="eastAsia" w:ascii="宋体" w:hAnsi="宋体" w:eastAsia="宋体" w:cs="宋体"/>
                <w:sz w:val="21"/>
                <w:szCs w:val="21"/>
              </w:rPr>
              <w:t>具有良好的商业信誉和健全的财务会计制度</w:t>
            </w:r>
          </w:p>
        </w:tc>
        <w:tc>
          <w:tcPr>
            <w:tcW w:w="3566" w:type="dxa"/>
            <w:vMerge w:val="restart"/>
            <w:vAlign w:val="center"/>
          </w:tcPr>
          <w:p w14:paraId="5184BC59">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供应商提供</w:t>
            </w:r>
            <w:r>
              <w:rPr>
                <w:rFonts w:hint="eastAsia" w:ascii="宋体" w:hAnsi="宋体" w:cs="宋体"/>
                <w:sz w:val="21"/>
                <w:szCs w:val="21"/>
                <w:lang w:val="en-US" w:eastAsia="zh-CN"/>
              </w:rPr>
              <w:t>承诺函</w:t>
            </w:r>
            <w:r>
              <w:rPr>
                <w:rFonts w:hint="eastAsia" w:ascii="宋体" w:hAnsi="宋体" w:eastAsia="宋体" w:cs="宋体"/>
                <w:sz w:val="21"/>
                <w:szCs w:val="21"/>
              </w:rPr>
              <w:t>（见格式文件）</w:t>
            </w:r>
          </w:p>
        </w:tc>
      </w:tr>
      <w:tr w14:paraId="478B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6" w:type="dxa"/>
            <w:vMerge w:val="continue"/>
            <w:vAlign w:val="center"/>
          </w:tcPr>
          <w:p w14:paraId="3A374F0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50F5BB25">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235C4157">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zh-CN"/>
              </w:rPr>
            </w:pPr>
            <w:r>
              <w:rPr>
                <w:rFonts w:hint="eastAsia" w:ascii="宋体" w:hAnsi="宋体" w:eastAsia="宋体" w:cs="宋体"/>
                <w:sz w:val="21"/>
                <w:szCs w:val="21"/>
                <w:lang w:val="zh-CN"/>
              </w:rPr>
              <w:t>（3）具有履行合同所必需的设备和专业技术能力</w:t>
            </w:r>
          </w:p>
        </w:tc>
        <w:tc>
          <w:tcPr>
            <w:tcW w:w="3566" w:type="dxa"/>
            <w:vMerge w:val="continue"/>
            <w:vAlign w:val="center"/>
          </w:tcPr>
          <w:p w14:paraId="4AFF34C2">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14:paraId="23CB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6" w:type="dxa"/>
            <w:vMerge w:val="continue"/>
            <w:vAlign w:val="center"/>
          </w:tcPr>
          <w:p w14:paraId="7FE7731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5112081E">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52D0D36D">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zh-CN"/>
              </w:rPr>
            </w:pPr>
            <w:r>
              <w:rPr>
                <w:rFonts w:hint="eastAsia" w:ascii="宋体" w:hAnsi="宋体" w:eastAsia="宋体" w:cs="宋体"/>
                <w:sz w:val="21"/>
                <w:szCs w:val="21"/>
                <w:lang w:val="zh-CN"/>
              </w:rPr>
              <w:t>（4）有依法缴纳税收</w:t>
            </w:r>
            <w:r>
              <w:rPr>
                <w:rFonts w:hint="eastAsia" w:ascii="宋体" w:hAnsi="宋体" w:cs="宋体"/>
                <w:sz w:val="21"/>
                <w:szCs w:val="21"/>
                <w:lang w:val="en-US" w:eastAsia="zh-CN"/>
              </w:rPr>
              <w:t>或</w:t>
            </w:r>
            <w:r>
              <w:rPr>
                <w:rFonts w:hint="eastAsia" w:ascii="宋体" w:hAnsi="宋体" w:eastAsia="宋体" w:cs="宋体"/>
                <w:sz w:val="21"/>
                <w:szCs w:val="21"/>
                <w:lang w:val="zh-CN"/>
              </w:rPr>
              <w:t>社会保障金的良好记录</w:t>
            </w:r>
          </w:p>
        </w:tc>
        <w:tc>
          <w:tcPr>
            <w:tcW w:w="3566" w:type="dxa"/>
            <w:vMerge w:val="continue"/>
            <w:vAlign w:val="center"/>
          </w:tcPr>
          <w:p w14:paraId="7F4C3392">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14:paraId="533B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76" w:type="dxa"/>
            <w:vMerge w:val="continue"/>
            <w:vAlign w:val="center"/>
          </w:tcPr>
          <w:p w14:paraId="23E503C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3ECED765">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25FA2549">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）参加政府采购活动前三年内，在经营活动中没有重大违法记录</w:t>
            </w:r>
          </w:p>
        </w:tc>
        <w:tc>
          <w:tcPr>
            <w:tcW w:w="3566" w:type="dxa"/>
            <w:vMerge w:val="continue"/>
            <w:vAlign w:val="center"/>
          </w:tcPr>
          <w:p w14:paraId="0578383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14:paraId="1E32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76" w:type="dxa"/>
            <w:vMerge w:val="continue"/>
            <w:vAlign w:val="center"/>
          </w:tcPr>
          <w:p w14:paraId="35595CB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p>
        </w:tc>
        <w:tc>
          <w:tcPr>
            <w:tcW w:w="709" w:type="dxa"/>
            <w:vMerge w:val="continue"/>
            <w:vAlign w:val="center"/>
          </w:tcPr>
          <w:p w14:paraId="6615E3BB">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4677" w:type="dxa"/>
            <w:vAlign w:val="center"/>
          </w:tcPr>
          <w:p w14:paraId="6A7D073F">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）法律、行政法规规定的其他条件</w:t>
            </w:r>
          </w:p>
        </w:tc>
        <w:tc>
          <w:tcPr>
            <w:tcW w:w="3566" w:type="dxa"/>
            <w:vMerge w:val="continue"/>
            <w:vAlign w:val="center"/>
          </w:tcPr>
          <w:p w14:paraId="3207787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p>
        </w:tc>
      </w:tr>
      <w:tr w14:paraId="122E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76" w:type="dxa"/>
            <w:vAlign w:val="center"/>
          </w:tcPr>
          <w:p w14:paraId="3DB7655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5386" w:type="dxa"/>
            <w:gridSpan w:val="2"/>
            <w:vAlign w:val="center"/>
          </w:tcPr>
          <w:p w14:paraId="024F6DB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color w:val="auto"/>
                <w:sz w:val="22"/>
                <w:szCs w:val="22"/>
                <w:highlight w:val="none"/>
                <w:lang w:val="en-US" w:eastAsia="zh-CN"/>
              </w:rPr>
              <w:t>本项目规定的特定资格条件</w:t>
            </w:r>
          </w:p>
        </w:tc>
        <w:tc>
          <w:tcPr>
            <w:tcW w:w="3566" w:type="dxa"/>
            <w:vAlign w:val="center"/>
          </w:tcPr>
          <w:p w14:paraId="742CCB78">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按第一篇“三、供应商资格</w:t>
            </w:r>
            <w:r>
              <w:rPr>
                <w:rFonts w:hint="eastAsia" w:ascii="宋体" w:hAnsi="宋体" w:eastAsia="宋体" w:cs="宋体"/>
                <w:sz w:val="21"/>
                <w:szCs w:val="21"/>
                <w:lang w:val="en-US" w:eastAsia="zh-CN"/>
              </w:rPr>
              <w:t>条件</w:t>
            </w:r>
            <w:r>
              <w:rPr>
                <w:rFonts w:hint="eastAsia" w:ascii="宋体" w:hAnsi="宋体" w:eastAsia="宋体" w:cs="宋体"/>
                <w:sz w:val="21"/>
                <w:szCs w:val="21"/>
              </w:rPr>
              <w:t>（二）特定资格条件”的要求提交证明材料复印件加盖供应商公章。</w:t>
            </w:r>
          </w:p>
        </w:tc>
      </w:tr>
    </w:tbl>
    <w:p w14:paraId="215F65E0">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772D895A">
      <w:pPr>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901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0524A08">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544" w:type="dxa"/>
            <w:gridSpan w:val="2"/>
            <w:vAlign w:val="center"/>
          </w:tcPr>
          <w:p w14:paraId="1ADA1374">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5409" w:type="dxa"/>
            <w:vAlign w:val="center"/>
          </w:tcPr>
          <w:p w14:paraId="63853A16">
            <w:pPr>
              <w:keepNext w:val="0"/>
              <w:keepLines w:val="0"/>
              <w:suppressLineNumbers w:val="0"/>
              <w:spacing w:before="0" w:beforeAutospacing="0" w:after="0" w:afterAutospacing="0" w:line="360" w:lineRule="auto"/>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14:paraId="6084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347C799">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60" w:type="dxa"/>
            <w:vMerge w:val="restart"/>
            <w:vAlign w:val="center"/>
          </w:tcPr>
          <w:p w14:paraId="71F6DF25">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有效性审查</w:t>
            </w:r>
          </w:p>
        </w:tc>
        <w:tc>
          <w:tcPr>
            <w:tcW w:w="1984" w:type="dxa"/>
            <w:vAlign w:val="center"/>
          </w:tcPr>
          <w:p w14:paraId="23CA7A10">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rPr>
              <w:t>响应文件签署</w:t>
            </w:r>
          </w:p>
        </w:tc>
        <w:tc>
          <w:tcPr>
            <w:tcW w:w="5409" w:type="dxa"/>
            <w:vAlign w:val="center"/>
          </w:tcPr>
          <w:p w14:paraId="41A25955">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rPr>
              <w:t>响应文件上法定代表人或其授权代表人的签字齐全。</w:t>
            </w:r>
          </w:p>
        </w:tc>
      </w:tr>
      <w:tr w14:paraId="5F22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B39D54D">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560" w:type="dxa"/>
            <w:vMerge w:val="continue"/>
            <w:vAlign w:val="center"/>
          </w:tcPr>
          <w:p w14:paraId="3E22E131">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p>
        </w:tc>
        <w:tc>
          <w:tcPr>
            <w:tcW w:w="1984" w:type="dxa"/>
            <w:vAlign w:val="center"/>
          </w:tcPr>
          <w:p w14:paraId="6685C8C1">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法定代表人身份证明及授权委托书</w:t>
            </w:r>
          </w:p>
        </w:tc>
        <w:tc>
          <w:tcPr>
            <w:tcW w:w="5409" w:type="dxa"/>
            <w:vAlign w:val="center"/>
          </w:tcPr>
          <w:p w14:paraId="0C76A390">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法定代表人身份证明及授权委托书有效，符合竞争性磋商文件规定的格式，签字或盖章齐全。</w:t>
            </w:r>
          </w:p>
        </w:tc>
      </w:tr>
      <w:tr w14:paraId="516D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75" w:type="dxa"/>
            <w:vMerge w:val="continue"/>
            <w:vAlign w:val="center"/>
          </w:tcPr>
          <w:p w14:paraId="251C4B97">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560" w:type="dxa"/>
            <w:vMerge w:val="continue"/>
            <w:vAlign w:val="center"/>
          </w:tcPr>
          <w:p w14:paraId="67DC4E97">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p>
        </w:tc>
        <w:tc>
          <w:tcPr>
            <w:tcW w:w="1984" w:type="dxa"/>
            <w:vAlign w:val="center"/>
          </w:tcPr>
          <w:p w14:paraId="3C57587E">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方案</w:t>
            </w:r>
          </w:p>
        </w:tc>
        <w:tc>
          <w:tcPr>
            <w:tcW w:w="5409" w:type="dxa"/>
            <w:vAlign w:val="center"/>
          </w:tcPr>
          <w:p w14:paraId="46D4F33D">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lang w:val="zh-CN"/>
              </w:rPr>
              <w:t>每个分包只能有一个</w:t>
            </w:r>
            <w:r>
              <w:rPr>
                <w:rFonts w:hint="eastAsia" w:ascii="宋体" w:hAnsi="宋体" w:eastAsia="宋体" w:cs="宋体"/>
                <w:sz w:val="21"/>
                <w:szCs w:val="21"/>
              </w:rPr>
              <w:t>响应</w:t>
            </w:r>
            <w:r>
              <w:rPr>
                <w:rFonts w:hint="eastAsia" w:ascii="宋体" w:hAnsi="宋体" w:eastAsia="宋体" w:cs="宋体"/>
                <w:sz w:val="21"/>
                <w:szCs w:val="21"/>
                <w:lang w:val="zh-CN"/>
              </w:rPr>
              <w:t>方案。</w:t>
            </w:r>
          </w:p>
        </w:tc>
      </w:tr>
      <w:tr w14:paraId="79F1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5" w:type="dxa"/>
            <w:vMerge w:val="continue"/>
            <w:vAlign w:val="center"/>
          </w:tcPr>
          <w:p w14:paraId="2E8AEA8A">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560" w:type="dxa"/>
            <w:vMerge w:val="continue"/>
            <w:vAlign w:val="center"/>
          </w:tcPr>
          <w:p w14:paraId="30959F66">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p>
        </w:tc>
        <w:tc>
          <w:tcPr>
            <w:tcW w:w="1984" w:type="dxa"/>
            <w:vAlign w:val="center"/>
          </w:tcPr>
          <w:p w14:paraId="27DA39FF">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r>
              <w:rPr>
                <w:rFonts w:hint="eastAsia" w:ascii="宋体" w:hAnsi="宋体" w:eastAsia="宋体" w:cs="宋体"/>
                <w:sz w:val="21"/>
                <w:szCs w:val="21"/>
              </w:rPr>
              <w:t>报价唯一</w:t>
            </w:r>
          </w:p>
        </w:tc>
        <w:tc>
          <w:tcPr>
            <w:tcW w:w="5409" w:type="dxa"/>
            <w:vAlign w:val="center"/>
          </w:tcPr>
          <w:p w14:paraId="00CB8618">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lang w:val="zh-CN"/>
              </w:rPr>
              <w:t>只能在采购预算范围内报价，</w:t>
            </w:r>
            <w:r>
              <w:rPr>
                <w:rFonts w:hint="eastAsia" w:ascii="宋体" w:hAnsi="宋体" w:eastAsia="宋体" w:cs="宋体"/>
                <w:sz w:val="21"/>
                <w:szCs w:val="21"/>
              </w:rPr>
              <w:t>只能有一个有效报价，不得提交选择性报价。</w:t>
            </w:r>
          </w:p>
        </w:tc>
      </w:tr>
      <w:tr w14:paraId="3417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4E0E0B91">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560" w:type="dxa"/>
            <w:vAlign w:val="center"/>
          </w:tcPr>
          <w:p w14:paraId="3A3DA7DB">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完整性审查</w:t>
            </w:r>
          </w:p>
        </w:tc>
        <w:tc>
          <w:tcPr>
            <w:tcW w:w="1984" w:type="dxa"/>
            <w:vAlign w:val="center"/>
          </w:tcPr>
          <w:p w14:paraId="6B081719">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文件份数</w:t>
            </w:r>
          </w:p>
        </w:tc>
        <w:tc>
          <w:tcPr>
            <w:tcW w:w="5409" w:type="dxa"/>
            <w:vAlign w:val="center"/>
          </w:tcPr>
          <w:p w14:paraId="6F020CE5">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sz w:val="21"/>
                <w:szCs w:val="21"/>
              </w:rPr>
              <w:t>响应</w:t>
            </w:r>
            <w:r>
              <w:rPr>
                <w:rFonts w:hint="eastAsia" w:ascii="宋体" w:hAnsi="宋体" w:eastAsia="宋体" w:cs="宋体"/>
                <w:sz w:val="21"/>
                <w:szCs w:val="21"/>
                <w:lang w:val="zh-CN"/>
              </w:rPr>
              <w:t>文件正、副本数量符合</w:t>
            </w:r>
            <w:r>
              <w:rPr>
                <w:rFonts w:hint="eastAsia" w:ascii="宋体" w:hAnsi="宋体" w:eastAsia="宋体" w:cs="宋体"/>
                <w:sz w:val="21"/>
                <w:szCs w:val="21"/>
              </w:rPr>
              <w:t>竞争性磋商</w:t>
            </w:r>
            <w:r>
              <w:rPr>
                <w:rFonts w:hint="eastAsia" w:ascii="宋体" w:hAnsi="宋体" w:eastAsia="宋体" w:cs="宋体"/>
                <w:sz w:val="21"/>
                <w:szCs w:val="21"/>
                <w:lang w:val="zh-CN"/>
              </w:rPr>
              <w:t>文件要求。</w:t>
            </w:r>
          </w:p>
        </w:tc>
      </w:tr>
      <w:tr w14:paraId="7DEB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667E762">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560" w:type="dxa"/>
            <w:vMerge w:val="restart"/>
            <w:vAlign w:val="center"/>
          </w:tcPr>
          <w:p w14:paraId="2DCBCE16">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r>
              <w:rPr>
                <w:rFonts w:hint="eastAsia" w:ascii="宋体" w:hAnsi="宋体" w:eastAsia="宋体" w:cs="宋体"/>
                <w:kern w:val="0"/>
                <w:sz w:val="21"/>
                <w:szCs w:val="21"/>
              </w:rPr>
              <w:t>竞争性磋商文件的响应程度审查</w:t>
            </w:r>
          </w:p>
        </w:tc>
        <w:tc>
          <w:tcPr>
            <w:tcW w:w="1984" w:type="dxa"/>
            <w:vAlign w:val="center"/>
          </w:tcPr>
          <w:p w14:paraId="2A05A5CD">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响应文件内容</w:t>
            </w:r>
          </w:p>
        </w:tc>
        <w:tc>
          <w:tcPr>
            <w:tcW w:w="5409" w:type="dxa"/>
            <w:vAlign w:val="center"/>
          </w:tcPr>
          <w:p w14:paraId="4417A234">
            <w:pPr>
              <w:pStyle w:val="33"/>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对竞争性磋商文件第二篇</w:t>
            </w:r>
            <w:r>
              <w:rPr>
                <w:rFonts w:hint="eastAsia" w:ascii="宋体" w:hAnsi="宋体" w:cs="宋体"/>
                <w:kern w:val="0"/>
                <w:sz w:val="21"/>
                <w:szCs w:val="21"/>
                <w:lang w:val="en-US" w:eastAsia="zh-CN"/>
              </w:rPr>
              <w:t>、</w:t>
            </w:r>
            <w:r>
              <w:rPr>
                <w:rFonts w:hint="eastAsia" w:ascii="宋体" w:hAnsi="宋体"/>
                <w:sz w:val="21"/>
                <w:szCs w:val="21"/>
              </w:rPr>
              <w:t>第三篇</w:t>
            </w:r>
            <w:r>
              <w:rPr>
                <w:rFonts w:hint="eastAsia" w:ascii="宋体" w:hAnsi="宋体" w:eastAsia="宋体" w:cs="宋体"/>
                <w:kern w:val="0"/>
                <w:sz w:val="21"/>
                <w:szCs w:val="21"/>
                <w:lang w:val="en-US" w:eastAsia="zh-CN"/>
              </w:rPr>
              <w:t>规定的磋商内容作出响应。</w:t>
            </w:r>
          </w:p>
        </w:tc>
      </w:tr>
      <w:tr w14:paraId="264A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53593DD">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1"/>
                <w:szCs w:val="21"/>
              </w:rPr>
            </w:pPr>
          </w:p>
        </w:tc>
        <w:tc>
          <w:tcPr>
            <w:tcW w:w="1560" w:type="dxa"/>
            <w:vMerge w:val="continue"/>
            <w:vAlign w:val="center"/>
          </w:tcPr>
          <w:p w14:paraId="65BF3CAF">
            <w:pPr>
              <w:keepNext w:val="0"/>
              <w:keepLines w:val="0"/>
              <w:suppressLineNumbers w:val="0"/>
              <w:spacing w:before="0" w:beforeAutospacing="0" w:after="0" w:afterAutospacing="0" w:line="360" w:lineRule="auto"/>
              <w:ind w:left="0" w:right="0"/>
              <w:rPr>
                <w:rFonts w:hint="eastAsia" w:ascii="宋体" w:hAnsi="宋体" w:eastAsia="宋体" w:cs="宋体"/>
                <w:sz w:val="21"/>
                <w:szCs w:val="21"/>
                <w:lang w:val="zh-CN"/>
              </w:rPr>
            </w:pPr>
          </w:p>
        </w:tc>
        <w:tc>
          <w:tcPr>
            <w:tcW w:w="1984" w:type="dxa"/>
            <w:vAlign w:val="center"/>
          </w:tcPr>
          <w:p w14:paraId="161BDA57">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磋商有效期</w:t>
            </w:r>
          </w:p>
        </w:tc>
        <w:tc>
          <w:tcPr>
            <w:tcW w:w="5409" w:type="dxa"/>
            <w:vAlign w:val="center"/>
          </w:tcPr>
          <w:p w14:paraId="2F71412F">
            <w:pPr>
              <w:keepNext w:val="0"/>
              <w:keepLines w:val="0"/>
              <w:suppressLineNumbers w:val="0"/>
              <w:spacing w:before="0" w:beforeAutospacing="0" w:after="0" w:afterAutospacing="0" w:line="360" w:lineRule="auto"/>
              <w:ind w:left="0" w:right="0"/>
              <w:rPr>
                <w:rFonts w:hint="eastAsia" w:ascii="宋体" w:hAnsi="宋体" w:eastAsia="宋体" w:cs="宋体"/>
                <w:kern w:val="0"/>
                <w:sz w:val="21"/>
                <w:szCs w:val="21"/>
              </w:rPr>
            </w:pPr>
            <w:r>
              <w:rPr>
                <w:rFonts w:hint="eastAsia" w:ascii="宋体" w:hAnsi="宋体" w:eastAsia="宋体" w:cs="宋体"/>
                <w:kern w:val="0"/>
                <w:sz w:val="21"/>
                <w:szCs w:val="21"/>
              </w:rPr>
              <w:t>满足磋商文件</w:t>
            </w:r>
            <w:r>
              <w:rPr>
                <w:rFonts w:hint="eastAsia" w:ascii="宋体" w:hAnsi="宋体" w:eastAsia="宋体" w:cs="宋体"/>
                <w:sz w:val="21"/>
                <w:szCs w:val="21"/>
                <w:lang w:val="zh-CN"/>
              </w:rPr>
              <w:t>规定。</w:t>
            </w:r>
          </w:p>
        </w:tc>
      </w:tr>
    </w:tbl>
    <w:p w14:paraId="2BDD18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6FF02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29640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（五）在磋商过程中磋商的任何一方不得向他人透露与磋商有关的服务资料、价格或其他信息。</w:t>
      </w:r>
    </w:p>
    <w:p w14:paraId="1E0217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41CF2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（七）供应商在磋商时作出的所有书面承诺须由法定代表人或其授权代表签字。</w:t>
      </w:r>
    </w:p>
    <w:p w14:paraId="572439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（八）磋商小组采用综合评分法对提交最后报价的供应商的响应文件和最后报价（含有效书面承诺）进行综合评分。</w:t>
      </w:r>
      <w:r>
        <w:rPr>
          <w:rFonts w:hint="eastAsia" w:ascii="宋体" w:hAnsi="宋体" w:eastAsia="宋体" w:cs="宋体"/>
          <w:kern w:val="0"/>
          <w:sz w:val="24"/>
          <w:szCs w:val="24"/>
        </w:rPr>
        <w:t>综合评分法，是指响应文件满足竞争性磋商文件全部实质性要求且按照评审因素的量化指标评审得分由高到低顺序推荐3名以上</w:t>
      </w:r>
      <w:r>
        <w:rPr>
          <w:rFonts w:hint="eastAsia" w:ascii="宋体" w:hAnsi="宋体" w:cs="宋体"/>
          <w:kern w:val="0"/>
          <w:sz w:val="24"/>
          <w:szCs w:val="24"/>
          <w:lang w:val="en-US" w:eastAsia="zh-CN"/>
        </w:rPr>
        <w:t>成交</w:t>
      </w:r>
      <w:r>
        <w:rPr>
          <w:rFonts w:hint="eastAsia" w:ascii="宋体" w:hAnsi="宋体" w:eastAsia="宋体" w:cs="宋体"/>
          <w:kern w:val="0"/>
          <w:sz w:val="24"/>
          <w:szCs w:val="24"/>
        </w:rPr>
        <w:t>候选人。供应商总得分为价格、</w:t>
      </w:r>
      <w:r>
        <w:rPr>
          <w:rFonts w:hint="eastAsia" w:ascii="宋体" w:hAnsi="宋体" w:cs="宋体"/>
          <w:kern w:val="0"/>
          <w:sz w:val="24"/>
          <w:szCs w:val="24"/>
          <w:lang w:val="en-US" w:eastAsia="zh-CN"/>
        </w:rPr>
        <w:t>服务</w:t>
      </w:r>
      <w:r>
        <w:rPr>
          <w:rFonts w:hint="eastAsia" w:ascii="宋体" w:hAnsi="宋体" w:eastAsia="宋体" w:cs="宋体"/>
          <w:kern w:val="0"/>
          <w:sz w:val="24"/>
          <w:szCs w:val="24"/>
        </w:rPr>
        <w:t>、商务等评定因素分别按照相应权重值计算分项得分后相加，满分为100分</w:t>
      </w:r>
      <w:r>
        <w:rPr>
          <w:rFonts w:hint="eastAsia" w:ascii="宋体" w:hAnsi="宋体" w:eastAsia="宋体" w:cs="宋体"/>
          <w:sz w:val="24"/>
          <w:szCs w:val="24"/>
        </w:rPr>
        <w:t>。</w:t>
      </w:r>
    </w:p>
    <w:p w14:paraId="6D260F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（九）磋商小组各成员独立对每个有效响应（通过资格性检查、</w:t>
      </w:r>
      <w:r>
        <w:rPr>
          <w:rFonts w:hint="eastAsia" w:ascii="宋体" w:hAnsi="宋体" w:eastAsia="宋体" w:cs="宋体"/>
          <w:kern w:val="0"/>
          <w:sz w:val="24"/>
          <w:szCs w:val="24"/>
        </w:rPr>
        <w:t>符合性检查的供应商</w:t>
      </w:r>
      <w:r>
        <w:rPr>
          <w:rFonts w:hint="eastAsia" w:ascii="宋体" w:hAnsi="宋体" w:eastAsia="宋体" w:cs="宋体"/>
          <w:sz w:val="24"/>
          <w:szCs w:val="24"/>
        </w:rPr>
        <w:t>）的文件进行评价、打分，然后汇总每个供应商每项评分因素的得分，并根据综合评分情况按照评审得分由高到低顺序推荐3名以上</w:t>
      </w:r>
      <w:r>
        <w:rPr>
          <w:rFonts w:hint="eastAsia" w:ascii="宋体" w:hAnsi="宋体" w:cs="宋体"/>
          <w:sz w:val="24"/>
          <w:szCs w:val="24"/>
          <w:lang w:val="en-US" w:eastAsia="zh-CN"/>
        </w:rPr>
        <w:t>成交</w:t>
      </w:r>
      <w:r>
        <w:rPr>
          <w:rFonts w:hint="eastAsia" w:ascii="宋体" w:hAnsi="宋体" w:eastAsia="宋体" w:cs="宋体"/>
          <w:sz w:val="24"/>
          <w:szCs w:val="24"/>
        </w:rPr>
        <w:t>候选供应商，并编写评审报告。若供应商的评审得分相同的，按照最后报价由低到高的顺序排列推荐。评审得分且最后报价相同的，按照服务指标优劣顺序排列推荐。以上都相同的，按商务条款的优劣顺序排列推荐。若供应商的</w:t>
      </w:r>
      <w:r>
        <w:rPr>
          <w:rFonts w:hint="eastAsia" w:ascii="宋体" w:hAnsi="宋体" w:cs="宋体"/>
          <w:sz w:val="24"/>
          <w:szCs w:val="24"/>
          <w:lang w:val="en-US" w:eastAsia="zh-CN"/>
        </w:rPr>
        <w:t>服务</w:t>
      </w:r>
      <w:r>
        <w:rPr>
          <w:rFonts w:hint="eastAsia" w:ascii="宋体" w:hAnsi="宋体" w:eastAsia="宋体" w:cs="宋体"/>
          <w:sz w:val="24"/>
          <w:szCs w:val="24"/>
        </w:rPr>
        <w:t>部分为0分，将失去成为</w:t>
      </w:r>
      <w:r>
        <w:rPr>
          <w:rFonts w:hint="eastAsia" w:ascii="宋体" w:hAnsi="宋体" w:cs="宋体"/>
          <w:sz w:val="24"/>
          <w:szCs w:val="24"/>
          <w:lang w:val="en-US" w:eastAsia="zh-CN"/>
        </w:rPr>
        <w:t>成交</w:t>
      </w:r>
      <w:r>
        <w:rPr>
          <w:rFonts w:hint="eastAsia" w:ascii="宋体" w:hAnsi="宋体" w:eastAsia="宋体" w:cs="宋体"/>
          <w:sz w:val="24"/>
          <w:szCs w:val="24"/>
        </w:rPr>
        <w:t>候选供应商的资格。</w:t>
      </w:r>
    </w:p>
    <w:p w14:paraId="0E2BDF76">
      <w:pPr>
        <w:pStyle w:val="5"/>
        <w:spacing w:before="0" w:after="0" w:line="440" w:lineRule="exact"/>
        <w:rPr>
          <w:rFonts w:hint="eastAsia" w:ascii="宋体" w:hAnsi="宋体" w:eastAsia="宋体" w:cs="宋体"/>
          <w:sz w:val="24"/>
          <w:szCs w:val="24"/>
        </w:rPr>
      </w:pPr>
      <w:bookmarkStart w:id="64" w:name="_Toc1446"/>
      <w:bookmarkStart w:id="65" w:name="_Toc342913394"/>
      <w:bookmarkStart w:id="66" w:name="_Toc102227320"/>
      <w:r>
        <w:rPr>
          <w:rFonts w:hint="eastAsia" w:ascii="宋体" w:hAnsi="宋体" w:eastAsia="宋体" w:cs="宋体"/>
          <w:b/>
          <w:bCs/>
          <w:color w:val="auto"/>
          <w:kern w:val="2"/>
          <w:sz w:val="24"/>
          <w:szCs w:val="24"/>
          <w:lang w:val="en-US" w:eastAsia="zh-CN" w:bidi="ar-SA"/>
        </w:rPr>
        <w:t>二、评审标准</w:t>
      </w:r>
      <w:bookmarkEnd w:id="64"/>
    </w:p>
    <w:tbl>
      <w:tblPr>
        <w:tblStyle w:val="61"/>
        <w:tblW w:w="9868" w:type="dxa"/>
        <w:jc w:val="center"/>
        <w:tblLayout w:type="fixed"/>
        <w:tblCellMar>
          <w:top w:w="15" w:type="dxa"/>
          <w:left w:w="15" w:type="dxa"/>
          <w:bottom w:w="15" w:type="dxa"/>
          <w:right w:w="15" w:type="dxa"/>
        </w:tblCellMar>
      </w:tblPr>
      <w:tblGrid>
        <w:gridCol w:w="581"/>
        <w:gridCol w:w="1032"/>
        <w:gridCol w:w="629"/>
        <w:gridCol w:w="4918"/>
        <w:gridCol w:w="2708"/>
      </w:tblGrid>
      <w:tr w14:paraId="0D5039D7">
        <w:tblPrEx>
          <w:tblCellMar>
            <w:top w:w="15" w:type="dxa"/>
            <w:left w:w="15" w:type="dxa"/>
            <w:bottom w:w="15" w:type="dxa"/>
            <w:right w:w="15" w:type="dxa"/>
          </w:tblCellMar>
        </w:tblPrEx>
        <w:trPr>
          <w:trHeight w:val="610" w:hRule="atLeast"/>
          <w:tblHeader/>
          <w:jc w:val="center"/>
        </w:trPr>
        <w:tc>
          <w:tcPr>
            <w:tcW w:w="581" w:type="dxa"/>
            <w:tcBorders>
              <w:top w:val="single" w:color="000000" w:sz="4" w:space="0"/>
              <w:left w:val="single" w:color="000000" w:sz="4" w:space="0"/>
              <w:bottom w:val="single" w:color="000000" w:sz="4" w:space="0"/>
              <w:right w:val="single" w:color="000000" w:sz="4" w:space="0"/>
            </w:tcBorders>
            <w:vAlign w:val="center"/>
          </w:tcPr>
          <w:p w14:paraId="707AAB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032" w:type="dxa"/>
            <w:tcBorders>
              <w:top w:val="single" w:color="000000" w:sz="4" w:space="0"/>
              <w:left w:val="single" w:color="000000" w:sz="4" w:space="0"/>
              <w:bottom w:val="single" w:color="000000" w:sz="4" w:space="0"/>
              <w:right w:val="single" w:color="000000" w:sz="4" w:space="0"/>
            </w:tcBorders>
            <w:vAlign w:val="center"/>
          </w:tcPr>
          <w:p w14:paraId="3ABC0C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w:t>
            </w:r>
          </w:p>
        </w:tc>
        <w:tc>
          <w:tcPr>
            <w:tcW w:w="629" w:type="dxa"/>
            <w:tcBorders>
              <w:top w:val="single" w:color="000000" w:sz="4" w:space="0"/>
              <w:left w:val="single" w:color="000000" w:sz="4" w:space="0"/>
              <w:bottom w:val="single" w:color="000000" w:sz="4" w:space="0"/>
              <w:right w:val="single" w:color="000000" w:sz="4" w:space="0"/>
            </w:tcBorders>
            <w:vAlign w:val="center"/>
          </w:tcPr>
          <w:p w14:paraId="26FDF7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4918" w:type="dxa"/>
            <w:tcBorders>
              <w:top w:val="single" w:color="000000" w:sz="4" w:space="0"/>
              <w:left w:val="single" w:color="000000" w:sz="4" w:space="0"/>
              <w:bottom w:val="single" w:color="000000" w:sz="4" w:space="0"/>
              <w:right w:val="single" w:color="000000" w:sz="4" w:space="0"/>
            </w:tcBorders>
            <w:vAlign w:val="center"/>
          </w:tcPr>
          <w:p w14:paraId="79DA9F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112" w:leftChars="40" w:right="168" w:rightChars="60" w:firstLine="65" w:firstLineChars="27"/>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708" w:type="dxa"/>
            <w:tcBorders>
              <w:top w:val="single" w:color="000000" w:sz="4" w:space="0"/>
              <w:left w:val="single" w:color="000000" w:sz="4" w:space="0"/>
              <w:bottom w:val="single" w:color="000000" w:sz="4" w:space="0"/>
              <w:right w:val="single" w:color="000000" w:sz="4" w:space="0"/>
            </w:tcBorders>
            <w:vAlign w:val="center"/>
          </w:tcPr>
          <w:p w14:paraId="701F78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16FD271E">
        <w:tblPrEx>
          <w:tblCellMar>
            <w:top w:w="15" w:type="dxa"/>
            <w:left w:w="15" w:type="dxa"/>
            <w:bottom w:w="15" w:type="dxa"/>
            <w:right w:w="15" w:type="dxa"/>
          </w:tblCellMar>
        </w:tblPrEx>
        <w:trPr>
          <w:trHeight w:val="1826" w:hRule="atLeast"/>
          <w:jc w:val="center"/>
        </w:trPr>
        <w:tc>
          <w:tcPr>
            <w:tcW w:w="581" w:type="dxa"/>
            <w:tcBorders>
              <w:top w:val="single" w:color="000000" w:sz="4" w:space="0"/>
              <w:left w:val="single" w:color="000000" w:sz="4" w:space="0"/>
              <w:bottom w:val="single" w:color="auto" w:sz="4" w:space="0"/>
              <w:right w:val="single" w:color="000000" w:sz="4" w:space="0"/>
            </w:tcBorders>
            <w:vAlign w:val="center"/>
          </w:tcPr>
          <w:p w14:paraId="22A2A7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32" w:type="dxa"/>
            <w:tcBorders>
              <w:top w:val="single" w:color="000000" w:sz="4" w:space="0"/>
              <w:left w:val="single" w:color="000000" w:sz="4" w:space="0"/>
              <w:bottom w:val="single" w:color="auto" w:sz="4" w:space="0"/>
              <w:right w:val="single" w:color="000000" w:sz="4" w:space="0"/>
            </w:tcBorders>
            <w:vAlign w:val="center"/>
          </w:tcPr>
          <w:p w14:paraId="40C667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p w14:paraId="5F37E1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w:t>
            </w:r>
          </w:p>
        </w:tc>
        <w:tc>
          <w:tcPr>
            <w:tcW w:w="629" w:type="dxa"/>
            <w:tcBorders>
              <w:top w:val="single" w:color="000000" w:sz="4" w:space="0"/>
              <w:left w:val="single" w:color="000000" w:sz="4" w:space="0"/>
              <w:bottom w:val="single" w:color="auto" w:sz="4" w:space="0"/>
              <w:right w:val="single" w:color="000000" w:sz="4" w:space="0"/>
            </w:tcBorders>
            <w:vAlign w:val="center"/>
          </w:tcPr>
          <w:p w14:paraId="10F4EC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0分</w:t>
            </w:r>
          </w:p>
        </w:tc>
        <w:tc>
          <w:tcPr>
            <w:tcW w:w="4918" w:type="dxa"/>
            <w:tcBorders>
              <w:top w:val="single" w:color="000000" w:sz="4" w:space="0"/>
              <w:left w:val="single" w:color="000000" w:sz="4" w:space="0"/>
              <w:bottom w:val="single" w:color="auto" w:sz="4" w:space="0"/>
              <w:right w:val="single" w:color="000000" w:sz="4" w:space="0"/>
            </w:tcBorders>
            <w:vAlign w:val="center"/>
          </w:tcPr>
          <w:p w14:paraId="1B4860F8">
            <w:pPr>
              <w:keepNext w:val="0"/>
              <w:keepLines w:val="0"/>
              <w:suppressLineNumbers w:val="0"/>
              <w:adjustRightInd w:val="0"/>
              <w:snapToGrid w:val="0"/>
              <w:spacing w:before="0" w:beforeAutospacing="0" w:after="0" w:afterAutospacing="0"/>
              <w:ind w:left="0" w:right="0"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有效的投标报价中的最低价为评标基准价，其价格分为满分。其他投标人的价格分统一按照下列公式计算：</w:t>
            </w:r>
          </w:p>
          <w:p w14:paraId="71B26167">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kern w:val="0"/>
                <w:sz w:val="21"/>
                <w:szCs w:val="21"/>
              </w:rPr>
              <w:t>投标报价得分＝（评标基准价/投标报价）×价格权重×100。</w:t>
            </w:r>
          </w:p>
        </w:tc>
        <w:tc>
          <w:tcPr>
            <w:tcW w:w="2708" w:type="dxa"/>
            <w:tcBorders>
              <w:top w:val="single" w:color="000000" w:sz="4" w:space="0"/>
              <w:left w:val="single" w:color="000000" w:sz="4" w:space="0"/>
              <w:bottom w:val="single" w:color="auto" w:sz="4" w:space="0"/>
              <w:right w:val="single" w:color="000000" w:sz="4" w:space="0"/>
            </w:tcBorders>
            <w:vAlign w:val="center"/>
          </w:tcPr>
          <w:p w14:paraId="53C174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高于预算价为无效报价</w:t>
            </w:r>
          </w:p>
        </w:tc>
      </w:tr>
      <w:tr w14:paraId="50165A4E">
        <w:tblPrEx>
          <w:tblCellMar>
            <w:top w:w="15" w:type="dxa"/>
            <w:left w:w="15" w:type="dxa"/>
            <w:bottom w:w="15" w:type="dxa"/>
            <w:right w:w="15" w:type="dxa"/>
          </w:tblCellMar>
        </w:tblPrEx>
        <w:trPr>
          <w:trHeight w:val="4107" w:hRule="atLeast"/>
          <w:jc w:val="center"/>
        </w:trPr>
        <w:tc>
          <w:tcPr>
            <w:tcW w:w="581" w:type="dxa"/>
            <w:vMerge w:val="restart"/>
            <w:tcBorders>
              <w:top w:val="single" w:color="000000" w:sz="4" w:space="0"/>
              <w:left w:val="single" w:color="000000" w:sz="4" w:space="0"/>
              <w:right w:val="single" w:color="000000" w:sz="4" w:space="0"/>
            </w:tcBorders>
            <w:vAlign w:val="center"/>
          </w:tcPr>
          <w:p w14:paraId="4E2051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p w14:paraId="040DF1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p>
        </w:tc>
        <w:tc>
          <w:tcPr>
            <w:tcW w:w="1032" w:type="dxa"/>
            <w:vMerge w:val="restart"/>
            <w:tcBorders>
              <w:top w:val="single" w:color="000000" w:sz="4" w:space="0"/>
              <w:left w:val="single" w:color="000000" w:sz="4" w:space="0"/>
              <w:right w:val="single" w:color="000000" w:sz="4" w:space="0"/>
            </w:tcBorders>
            <w:vAlign w:val="center"/>
          </w:tcPr>
          <w:p w14:paraId="31A020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服务部分60</w:t>
            </w:r>
            <w:r>
              <w:rPr>
                <w:rFonts w:hint="eastAsia" w:ascii="宋体" w:hAnsi="宋体" w:eastAsia="宋体" w:cs="宋体"/>
                <w:color w:val="auto"/>
                <w:sz w:val="21"/>
                <w:szCs w:val="21"/>
              </w:rPr>
              <w:t>%</w:t>
            </w:r>
          </w:p>
        </w:tc>
        <w:tc>
          <w:tcPr>
            <w:tcW w:w="629" w:type="dxa"/>
            <w:tcBorders>
              <w:top w:val="single" w:color="000000" w:sz="4" w:space="0"/>
              <w:left w:val="single" w:color="000000" w:sz="4" w:space="0"/>
              <w:bottom w:val="single" w:color="auto" w:sz="4" w:space="0"/>
              <w:right w:val="single" w:color="000000" w:sz="4" w:space="0"/>
            </w:tcBorders>
            <w:vAlign w:val="center"/>
          </w:tcPr>
          <w:p w14:paraId="1B813D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tc>
        <w:tc>
          <w:tcPr>
            <w:tcW w:w="4918" w:type="dxa"/>
            <w:tcBorders>
              <w:top w:val="single" w:color="000000" w:sz="4" w:space="0"/>
              <w:left w:val="single" w:color="000000" w:sz="4" w:space="0"/>
              <w:bottom w:val="single" w:color="auto" w:sz="4" w:space="0"/>
              <w:right w:val="single" w:color="000000" w:sz="4" w:space="0"/>
            </w:tcBorders>
            <w:vAlign w:val="center"/>
          </w:tcPr>
          <w:p w14:paraId="0EF0D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 w:val="22"/>
                <w:szCs w:val="22"/>
                <w:highlight w:val="none"/>
                <w:lang w:bidi="ar"/>
              </w:rPr>
              <w:t>配送服务</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lang w:val="en-US" w:eastAsia="zh-CN"/>
              </w:rPr>
              <w:t>（15分）</w:t>
            </w:r>
          </w:p>
          <w:p w14:paraId="70A08BB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供应商针对本项目编制配送服务方案：</w:t>
            </w:r>
          </w:p>
          <w:p w14:paraId="680B55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（1）方案内容科学合理，有针对性，完全满足采购人实际需求，效率高且表述清晰有逻辑性的，得1</w:t>
            </w: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val="zh-CN" w:eastAsia="zh-CN"/>
              </w:rPr>
              <w:t>分；</w:t>
            </w:r>
          </w:p>
          <w:p w14:paraId="1F7BF3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（2）方案内容科学合理，有针对性，较为满足采购人实际需求，效率较高且表述清晰但逻辑性稍有不足的，得</w:t>
            </w:r>
            <w:r>
              <w:rPr>
                <w:rFonts w:hint="eastAsia" w:ascii="宋体" w:hAnsi="宋体" w:eastAsia="宋体" w:cs="宋体"/>
                <w:color w:val="auto"/>
                <w:sz w:val="21"/>
                <w:szCs w:val="21"/>
                <w:highlight w:val="none"/>
                <w:lang w:val="en-US" w:eastAsia="zh-CN"/>
              </w:rPr>
              <w:t>10-6</w:t>
            </w:r>
            <w:r>
              <w:rPr>
                <w:rFonts w:hint="eastAsia" w:ascii="宋体" w:hAnsi="宋体" w:eastAsia="宋体" w:cs="宋体"/>
                <w:color w:val="auto"/>
                <w:sz w:val="21"/>
                <w:szCs w:val="21"/>
                <w:highlight w:val="none"/>
                <w:lang w:val="zh-CN" w:eastAsia="zh-CN"/>
              </w:rPr>
              <w:t>分；</w:t>
            </w:r>
          </w:p>
          <w:p w14:paraId="036D4A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（3）方案内容科学合理，有针对性，基本满足采购人实际需求，效率一般，表述清晰度、逻辑性有不足的，得</w:t>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lang w:val="zh-CN" w:eastAsia="zh-CN"/>
              </w:rPr>
              <w:t>分；</w:t>
            </w:r>
          </w:p>
          <w:p w14:paraId="164FF40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（4）方案内容不具备针对性，不能满足采购人实际需求，表述清晰度以及逻辑性较差的，得1分；</w:t>
            </w:r>
          </w:p>
          <w:p w14:paraId="276750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（5）未提供者不得分。</w:t>
            </w:r>
          </w:p>
        </w:tc>
        <w:tc>
          <w:tcPr>
            <w:tcW w:w="2708" w:type="dxa"/>
            <w:vMerge w:val="restart"/>
            <w:tcBorders>
              <w:top w:val="single" w:color="000000" w:sz="4" w:space="0"/>
              <w:left w:val="single" w:color="000000" w:sz="4" w:space="0"/>
              <w:right w:val="single" w:color="000000" w:sz="4" w:space="0"/>
            </w:tcBorders>
            <w:vAlign w:val="center"/>
          </w:tcPr>
          <w:p w14:paraId="20B36F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kern w:val="0"/>
                <w:sz w:val="21"/>
                <w:szCs w:val="21"/>
                <w:lang w:val="en-US" w:eastAsia="zh-CN"/>
              </w:rPr>
            </w:pPr>
          </w:p>
          <w:p w14:paraId="7CE6C9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rPr>
              <w:t>供应商提供服务方案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加盖供应商公章。</w:t>
            </w:r>
            <w:r>
              <w:rPr>
                <w:rFonts w:hint="eastAsia" w:ascii="宋体" w:hAnsi="宋体" w:eastAsia="宋体" w:cs="宋体"/>
                <w:color w:val="auto"/>
                <w:sz w:val="21"/>
                <w:szCs w:val="21"/>
              </w:rPr>
              <w:t>（格式自拟）</w:t>
            </w:r>
          </w:p>
          <w:p w14:paraId="68C84D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kern w:val="0"/>
                <w:sz w:val="21"/>
                <w:szCs w:val="21"/>
                <w:lang w:val="en-US" w:eastAsia="zh-CN"/>
              </w:rPr>
            </w:pPr>
          </w:p>
          <w:p w14:paraId="07D1D0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sz w:val="21"/>
                <w:szCs w:val="21"/>
              </w:rPr>
            </w:pPr>
          </w:p>
        </w:tc>
      </w:tr>
      <w:tr w14:paraId="6922B3C6">
        <w:tblPrEx>
          <w:tblCellMar>
            <w:top w:w="15" w:type="dxa"/>
            <w:left w:w="15" w:type="dxa"/>
            <w:bottom w:w="15" w:type="dxa"/>
            <w:right w:w="15" w:type="dxa"/>
          </w:tblCellMar>
        </w:tblPrEx>
        <w:trPr>
          <w:trHeight w:val="4111" w:hRule="atLeast"/>
          <w:jc w:val="center"/>
        </w:trPr>
        <w:tc>
          <w:tcPr>
            <w:tcW w:w="581" w:type="dxa"/>
            <w:vMerge w:val="continue"/>
            <w:tcBorders>
              <w:left w:val="single" w:color="000000" w:sz="4" w:space="0"/>
              <w:right w:val="single" w:color="000000" w:sz="4" w:space="0"/>
            </w:tcBorders>
            <w:vAlign w:val="center"/>
          </w:tcPr>
          <w:p w14:paraId="5DDEF5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1032" w:type="dxa"/>
            <w:vMerge w:val="continue"/>
            <w:tcBorders>
              <w:left w:val="single" w:color="000000" w:sz="4" w:space="0"/>
              <w:right w:val="single" w:color="000000" w:sz="4" w:space="0"/>
            </w:tcBorders>
            <w:vAlign w:val="center"/>
          </w:tcPr>
          <w:p w14:paraId="6326A0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629" w:type="dxa"/>
            <w:tcBorders>
              <w:top w:val="single" w:color="000000" w:sz="4" w:space="0"/>
              <w:left w:val="single" w:color="000000" w:sz="4" w:space="0"/>
              <w:bottom w:val="single" w:color="auto" w:sz="4" w:space="0"/>
              <w:right w:val="single" w:color="000000" w:sz="4" w:space="0"/>
            </w:tcBorders>
            <w:vAlign w:val="center"/>
          </w:tcPr>
          <w:p w14:paraId="0B27C8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tc>
        <w:tc>
          <w:tcPr>
            <w:tcW w:w="4918" w:type="dxa"/>
            <w:tcBorders>
              <w:top w:val="single" w:color="000000" w:sz="4" w:space="0"/>
              <w:left w:val="single" w:color="000000" w:sz="4" w:space="0"/>
              <w:bottom w:val="single" w:color="auto" w:sz="4" w:space="0"/>
              <w:right w:val="single" w:color="000000" w:sz="4" w:space="0"/>
            </w:tcBorders>
            <w:vAlign w:val="center"/>
          </w:tcPr>
          <w:p w14:paraId="53133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配送运输储存保障方案</w:t>
            </w:r>
            <w:r>
              <w:rPr>
                <w:rFonts w:hint="eastAsia" w:ascii="宋体" w:hAnsi="宋体" w:eastAsia="宋体" w:cs="宋体"/>
                <w:color w:val="auto"/>
                <w:sz w:val="21"/>
                <w:szCs w:val="21"/>
                <w:lang w:val="en-US" w:eastAsia="zh-CN"/>
              </w:rPr>
              <w:t>（15分）</w:t>
            </w:r>
          </w:p>
          <w:p w14:paraId="2252C9B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供应商针对本项目配送服务运输储存保障方案：</w:t>
            </w:r>
          </w:p>
          <w:p w14:paraId="489BA9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（1）方案内容科学合理，有针对性，完全满足采购人实际需求，效率高且表述清晰有逻辑性的，得1</w:t>
            </w: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val="zh-CN" w:eastAsia="zh-CN"/>
              </w:rPr>
              <w:t>分；</w:t>
            </w:r>
          </w:p>
          <w:p w14:paraId="769278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（2）方案内容科学合理，有针对性，较为满足采购人实际需求，效率较高且表述清晰但逻辑性稍有不足的，得</w:t>
            </w:r>
            <w:r>
              <w:rPr>
                <w:rFonts w:hint="eastAsia" w:ascii="宋体" w:hAnsi="宋体" w:eastAsia="宋体" w:cs="宋体"/>
                <w:color w:val="auto"/>
                <w:sz w:val="21"/>
                <w:szCs w:val="21"/>
                <w:highlight w:val="none"/>
                <w:lang w:val="en-US" w:eastAsia="zh-CN"/>
              </w:rPr>
              <w:t>10-6</w:t>
            </w:r>
            <w:r>
              <w:rPr>
                <w:rFonts w:hint="eastAsia" w:ascii="宋体" w:hAnsi="宋体" w:eastAsia="宋体" w:cs="宋体"/>
                <w:color w:val="auto"/>
                <w:sz w:val="21"/>
                <w:szCs w:val="21"/>
                <w:highlight w:val="none"/>
                <w:lang w:val="zh-CN" w:eastAsia="zh-CN"/>
              </w:rPr>
              <w:t>分；</w:t>
            </w:r>
          </w:p>
          <w:p w14:paraId="2588D9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（3）方案内容科学合理，有针对性，基本满足采购人实际需求，效率一般，表述清晰度、逻辑性有不足的，得</w:t>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lang w:val="zh-CN" w:eastAsia="zh-CN"/>
              </w:rPr>
              <w:t>分；</w:t>
            </w:r>
          </w:p>
          <w:p w14:paraId="7C54C5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（4）方案内容不具备针对性，不能满足采购人实际需求，表述清晰度以及逻辑性较差的，得1分；</w:t>
            </w:r>
          </w:p>
          <w:p w14:paraId="36B27D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（5）未提供者不得分</w:t>
            </w:r>
          </w:p>
        </w:tc>
        <w:tc>
          <w:tcPr>
            <w:tcW w:w="2708" w:type="dxa"/>
            <w:vMerge w:val="continue"/>
            <w:tcBorders>
              <w:left w:val="single" w:color="000000" w:sz="4" w:space="0"/>
              <w:right w:val="single" w:color="000000" w:sz="4" w:space="0"/>
            </w:tcBorders>
            <w:vAlign w:val="center"/>
          </w:tcPr>
          <w:p w14:paraId="50CA5E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p>
        </w:tc>
      </w:tr>
      <w:tr w14:paraId="1E00410C">
        <w:tblPrEx>
          <w:tblCellMar>
            <w:top w:w="15" w:type="dxa"/>
            <w:left w:w="15" w:type="dxa"/>
            <w:bottom w:w="15" w:type="dxa"/>
            <w:right w:w="15" w:type="dxa"/>
          </w:tblCellMar>
        </w:tblPrEx>
        <w:trPr>
          <w:trHeight w:val="2602" w:hRule="atLeast"/>
          <w:jc w:val="center"/>
        </w:trPr>
        <w:tc>
          <w:tcPr>
            <w:tcW w:w="581" w:type="dxa"/>
            <w:vMerge w:val="continue"/>
            <w:tcBorders>
              <w:left w:val="single" w:color="000000" w:sz="4" w:space="0"/>
              <w:right w:val="single" w:color="000000" w:sz="4" w:space="0"/>
            </w:tcBorders>
            <w:vAlign w:val="center"/>
          </w:tcPr>
          <w:p w14:paraId="5C6D7E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1032" w:type="dxa"/>
            <w:vMerge w:val="continue"/>
            <w:tcBorders>
              <w:left w:val="single" w:color="000000" w:sz="4" w:space="0"/>
              <w:right w:val="single" w:color="000000" w:sz="4" w:space="0"/>
            </w:tcBorders>
            <w:vAlign w:val="center"/>
          </w:tcPr>
          <w:p w14:paraId="55E7A3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629" w:type="dxa"/>
            <w:tcBorders>
              <w:top w:val="single" w:color="000000" w:sz="4" w:space="0"/>
              <w:left w:val="single" w:color="000000" w:sz="4" w:space="0"/>
              <w:bottom w:val="single" w:color="auto" w:sz="4" w:space="0"/>
              <w:right w:val="single" w:color="000000" w:sz="4" w:space="0"/>
            </w:tcBorders>
            <w:vAlign w:val="center"/>
          </w:tcPr>
          <w:p w14:paraId="18F9D5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15分</w:t>
            </w:r>
          </w:p>
        </w:tc>
        <w:tc>
          <w:tcPr>
            <w:tcW w:w="4918" w:type="dxa"/>
            <w:tcBorders>
              <w:top w:val="single" w:color="000000" w:sz="4" w:space="0"/>
              <w:left w:val="single" w:color="000000" w:sz="4" w:space="0"/>
              <w:bottom w:val="single" w:color="auto" w:sz="4" w:space="0"/>
              <w:right w:val="single" w:color="000000" w:sz="4" w:space="0"/>
            </w:tcBorders>
            <w:vAlign w:val="center"/>
          </w:tcPr>
          <w:p w14:paraId="4A9F2D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3、应急处理方案</w:t>
            </w:r>
            <w:r>
              <w:rPr>
                <w:rFonts w:hint="eastAsia" w:ascii="宋体" w:hAnsi="宋体" w:eastAsia="宋体" w:cs="宋体"/>
                <w:color w:val="auto"/>
                <w:sz w:val="21"/>
                <w:szCs w:val="21"/>
                <w:lang w:val="en-US" w:eastAsia="zh-CN"/>
              </w:rPr>
              <w:t>（15分）</w:t>
            </w:r>
          </w:p>
          <w:p w14:paraId="220E12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供应商针对本项目编制应急处理方案：</w:t>
            </w:r>
          </w:p>
          <w:p w14:paraId="3850CC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（1）方案内容科学合理，有针对性，完全满足采购人实际需求，效率高且表述清晰有逻辑性的，得1</w:t>
            </w: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val="zh-CN" w:eastAsia="zh-CN"/>
              </w:rPr>
              <w:t>分；</w:t>
            </w:r>
          </w:p>
          <w:p w14:paraId="7BC85E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（2）方案内容科学合理，有针对性，较为满足采购人实际需求，效率较高且表述清晰但逻辑性稍有不足的，得</w:t>
            </w:r>
            <w:r>
              <w:rPr>
                <w:rFonts w:hint="eastAsia" w:ascii="宋体" w:hAnsi="宋体" w:eastAsia="宋体" w:cs="宋体"/>
                <w:color w:val="auto"/>
                <w:sz w:val="21"/>
                <w:szCs w:val="21"/>
                <w:highlight w:val="none"/>
                <w:lang w:val="en-US" w:eastAsia="zh-CN"/>
              </w:rPr>
              <w:t>10-6</w:t>
            </w:r>
            <w:r>
              <w:rPr>
                <w:rFonts w:hint="eastAsia" w:ascii="宋体" w:hAnsi="宋体" w:eastAsia="宋体" w:cs="宋体"/>
                <w:color w:val="auto"/>
                <w:sz w:val="21"/>
                <w:szCs w:val="21"/>
                <w:highlight w:val="none"/>
                <w:lang w:val="zh-CN" w:eastAsia="zh-CN"/>
              </w:rPr>
              <w:t>分；</w:t>
            </w:r>
          </w:p>
          <w:p w14:paraId="66405B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（3）方案内容科学合理，有针对性，基本满足采购人实际需求，效率一般，表述清晰度、逻辑性有不足的，得</w:t>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lang w:val="zh-CN" w:eastAsia="zh-CN"/>
              </w:rPr>
              <w:t>分；</w:t>
            </w:r>
          </w:p>
          <w:p w14:paraId="58FBBE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（4）方案内容不具备针对性，不能满足采购人实际需求，表述清晰度以及逻辑性较差的，得1分；</w:t>
            </w:r>
          </w:p>
          <w:p w14:paraId="281436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（5）未提供者不得分。</w:t>
            </w:r>
          </w:p>
        </w:tc>
        <w:tc>
          <w:tcPr>
            <w:tcW w:w="2708" w:type="dxa"/>
            <w:vMerge w:val="continue"/>
            <w:tcBorders>
              <w:left w:val="single" w:color="000000" w:sz="4" w:space="0"/>
              <w:right w:val="single" w:color="000000" w:sz="4" w:space="0"/>
            </w:tcBorders>
            <w:vAlign w:val="center"/>
          </w:tcPr>
          <w:p w14:paraId="523AC1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sz w:val="21"/>
                <w:szCs w:val="21"/>
              </w:rPr>
            </w:pPr>
          </w:p>
        </w:tc>
      </w:tr>
      <w:tr w14:paraId="4C0C4F23">
        <w:tblPrEx>
          <w:tblCellMar>
            <w:top w:w="15" w:type="dxa"/>
            <w:left w:w="15" w:type="dxa"/>
            <w:bottom w:w="15" w:type="dxa"/>
            <w:right w:w="15" w:type="dxa"/>
          </w:tblCellMar>
        </w:tblPrEx>
        <w:trPr>
          <w:trHeight w:val="1610" w:hRule="atLeast"/>
          <w:jc w:val="center"/>
        </w:trPr>
        <w:tc>
          <w:tcPr>
            <w:tcW w:w="581" w:type="dxa"/>
            <w:vMerge w:val="continue"/>
            <w:tcBorders>
              <w:left w:val="single" w:color="000000" w:sz="4" w:space="0"/>
              <w:bottom w:val="single" w:color="auto" w:sz="4" w:space="0"/>
              <w:right w:val="single" w:color="000000" w:sz="4" w:space="0"/>
            </w:tcBorders>
            <w:vAlign w:val="center"/>
          </w:tcPr>
          <w:p w14:paraId="55362F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1032" w:type="dxa"/>
            <w:vMerge w:val="continue"/>
            <w:tcBorders>
              <w:left w:val="single" w:color="000000" w:sz="4" w:space="0"/>
              <w:bottom w:val="single" w:color="auto" w:sz="4" w:space="0"/>
              <w:right w:val="single" w:color="000000" w:sz="4" w:space="0"/>
            </w:tcBorders>
            <w:vAlign w:val="center"/>
          </w:tcPr>
          <w:p w14:paraId="2CA49C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rPr>
            </w:pPr>
          </w:p>
        </w:tc>
        <w:tc>
          <w:tcPr>
            <w:tcW w:w="629" w:type="dxa"/>
            <w:tcBorders>
              <w:top w:val="single" w:color="auto" w:sz="4" w:space="0"/>
              <w:left w:val="single" w:color="000000" w:sz="4" w:space="0"/>
              <w:bottom w:val="single" w:color="auto" w:sz="4" w:space="0"/>
              <w:right w:val="single" w:color="000000" w:sz="4" w:space="0"/>
            </w:tcBorders>
            <w:vAlign w:val="center"/>
          </w:tcPr>
          <w:p w14:paraId="7348D5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15分</w:t>
            </w:r>
          </w:p>
        </w:tc>
        <w:tc>
          <w:tcPr>
            <w:tcW w:w="4918" w:type="dxa"/>
            <w:tcBorders>
              <w:top w:val="single" w:color="auto" w:sz="4" w:space="0"/>
              <w:left w:val="single" w:color="000000" w:sz="4" w:space="0"/>
              <w:bottom w:val="single" w:color="auto" w:sz="4" w:space="0"/>
              <w:right w:val="single" w:color="auto" w:sz="4" w:space="0"/>
            </w:tcBorders>
            <w:vAlign w:val="center"/>
          </w:tcPr>
          <w:p w14:paraId="405BC9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4、食品质量安全保证措施方案（15分）</w:t>
            </w:r>
          </w:p>
          <w:p w14:paraId="3A23A5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供应商针对本项目编制食品质量安全保证措施方案：</w:t>
            </w:r>
          </w:p>
          <w:p w14:paraId="440B86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（1）方案内容科学合理，有针对性，完全满足采购人实际需求，效率高且表述清晰有逻辑性的，得1</w:t>
            </w: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val="zh-CN" w:eastAsia="zh-CN"/>
              </w:rPr>
              <w:t>分；</w:t>
            </w:r>
          </w:p>
          <w:p w14:paraId="0DA30F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（2）方案内容科学合理，有针对性，较为满足采购人实际需求，效率较高且表述清晰但逻辑性稍有不足的，得</w:t>
            </w:r>
            <w:r>
              <w:rPr>
                <w:rFonts w:hint="eastAsia" w:ascii="宋体" w:hAnsi="宋体" w:eastAsia="宋体" w:cs="宋体"/>
                <w:color w:val="auto"/>
                <w:sz w:val="21"/>
                <w:szCs w:val="21"/>
                <w:highlight w:val="none"/>
                <w:lang w:val="en-US" w:eastAsia="zh-CN"/>
              </w:rPr>
              <w:t>10-6</w:t>
            </w:r>
            <w:r>
              <w:rPr>
                <w:rFonts w:hint="eastAsia" w:ascii="宋体" w:hAnsi="宋体" w:eastAsia="宋体" w:cs="宋体"/>
                <w:color w:val="auto"/>
                <w:sz w:val="21"/>
                <w:szCs w:val="21"/>
                <w:highlight w:val="none"/>
                <w:lang w:val="zh-CN" w:eastAsia="zh-CN"/>
              </w:rPr>
              <w:t>分；</w:t>
            </w:r>
          </w:p>
          <w:p w14:paraId="71EED7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（3）方案内容科学合理，有针对性，基本满足采购人实际需求，效率一般，表述清晰度、逻辑性有不足的，得</w:t>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lang w:val="zh-CN" w:eastAsia="zh-CN"/>
              </w:rPr>
              <w:t>分；</w:t>
            </w:r>
          </w:p>
          <w:p w14:paraId="75ABA05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（4）方案内容不具备针对性，不能满足采购人实际需求，表述清晰度以及逻辑性较差的，得1分；</w:t>
            </w:r>
          </w:p>
          <w:p w14:paraId="1CAB42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zh-CN" w:eastAsia="zh-CN"/>
              </w:rPr>
              <w:t>（5）未提供者不得分。</w:t>
            </w:r>
          </w:p>
        </w:tc>
        <w:tc>
          <w:tcPr>
            <w:tcW w:w="2708" w:type="dxa"/>
            <w:vMerge w:val="continue"/>
            <w:tcBorders>
              <w:left w:val="single" w:color="000000" w:sz="4" w:space="0"/>
              <w:bottom w:val="single" w:color="auto" w:sz="4" w:space="0"/>
              <w:right w:val="single" w:color="000000" w:sz="4" w:space="0"/>
            </w:tcBorders>
            <w:vAlign w:val="center"/>
          </w:tcPr>
          <w:p w14:paraId="076123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420" w:firstLineChars="200"/>
              <w:textAlignment w:val="auto"/>
              <w:rPr>
                <w:rFonts w:hint="eastAsia" w:ascii="宋体" w:hAnsi="宋体" w:eastAsia="宋体" w:cs="宋体"/>
                <w:color w:val="auto"/>
                <w:sz w:val="21"/>
                <w:szCs w:val="21"/>
              </w:rPr>
            </w:pPr>
          </w:p>
        </w:tc>
      </w:tr>
      <w:tr w14:paraId="2295A6BA">
        <w:tblPrEx>
          <w:tblCellMar>
            <w:top w:w="15" w:type="dxa"/>
            <w:left w:w="15" w:type="dxa"/>
            <w:bottom w:w="15" w:type="dxa"/>
            <w:right w:w="15" w:type="dxa"/>
          </w:tblCellMar>
        </w:tblPrEx>
        <w:trPr>
          <w:trHeight w:val="171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0A4DF9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032" w:type="dxa"/>
            <w:tcBorders>
              <w:top w:val="single" w:color="auto" w:sz="4" w:space="0"/>
              <w:left w:val="single" w:color="auto" w:sz="4" w:space="0"/>
              <w:bottom w:val="single" w:color="auto" w:sz="4" w:space="0"/>
              <w:right w:val="single" w:color="auto" w:sz="4" w:space="0"/>
            </w:tcBorders>
            <w:vAlign w:val="center"/>
          </w:tcPr>
          <w:p w14:paraId="1BCF86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FF"/>
                <w:sz w:val="24"/>
                <w:szCs w:val="24"/>
              </w:rPr>
            </w:pPr>
            <w:r>
              <w:rPr>
                <w:rFonts w:hint="eastAsia" w:ascii="宋体" w:hAnsi="宋体" w:eastAsia="宋体" w:cs="宋体"/>
                <w:color w:val="auto"/>
                <w:sz w:val="24"/>
                <w:szCs w:val="24"/>
                <w:lang w:val="en-US" w:eastAsia="zh-CN"/>
              </w:rPr>
              <w:t>商务部分10%</w:t>
            </w:r>
          </w:p>
        </w:tc>
        <w:tc>
          <w:tcPr>
            <w:tcW w:w="629" w:type="dxa"/>
            <w:tcBorders>
              <w:top w:val="single" w:color="auto" w:sz="4" w:space="0"/>
              <w:left w:val="single" w:color="auto" w:sz="4" w:space="0"/>
              <w:bottom w:val="single" w:color="auto" w:sz="4" w:space="0"/>
              <w:right w:val="single" w:color="auto" w:sz="4" w:space="0"/>
            </w:tcBorders>
            <w:vAlign w:val="center"/>
          </w:tcPr>
          <w:p w14:paraId="4DF329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0000FF"/>
                <w:sz w:val="21"/>
                <w:szCs w:val="21"/>
              </w:rPr>
            </w:pP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tc>
        <w:tc>
          <w:tcPr>
            <w:tcW w:w="4918" w:type="dxa"/>
            <w:tcBorders>
              <w:top w:val="single" w:color="auto" w:sz="4" w:space="0"/>
              <w:left w:val="single" w:color="auto" w:sz="4" w:space="0"/>
              <w:bottom w:val="single" w:color="auto" w:sz="4" w:space="0"/>
              <w:right w:val="single" w:color="auto" w:sz="4" w:space="0"/>
            </w:tcBorders>
            <w:shd w:val="clear" w:color="auto" w:fill="auto"/>
            <w:vAlign w:val="center"/>
          </w:tcPr>
          <w:p w14:paraId="196710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业绩（10分）</w:t>
            </w:r>
          </w:p>
          <w:p w14:paraId="6E1517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年起至今有与政府机关单位或学校或医院或部队等企事业单位有</w:t>
            </w:r>
            <w:r>
              <w:rPr>
                <w:rFonts w:hint="eastAsia" w:ascii="宋体" w:hAnsi="宋体" w:eastAsia="宋体" w:cs="宋体"/>
                <w:color w:val="auto"/>
                <w:sz w:val="21"/>
                <w:szCs w:val="21"/>
                <w:highlight w:val="none"/>
                <w:lang w:val="en-US" w:eastAsia="zh-CN"/>
              </w:rPr>
              <w:t>食堂食材</w:t>
            </w:r>
            <w:r>
              <w:rPr>
                <w:rFonts w:hint="eastAsia" w:ascii="宋体" w:hAnsi="宋体" w:eastAsia="宋体" w:cs="宋体"/>
                <w:color w:val="auto"/>
                <w:sz w:val="21"/>
                <w:szCs w:val="21"/>
                <w:highlight w:val="none"/>
                <w:lang w:val="zh-CN" w:eastAsia="zh-CN"/>
              </w:rPr>
              <w:t>配送业绩的每提供一个得</w:t>
            </w:r>
            <w:r>
              <w:rPr>
                <w:rFonts w:hint="eastAsia" w:ascii="宋体" w:hAnsi="宋体" w:eastAsia="宋体" w:cs="宋体"/>
                <w:color w:val="auto"/>
                <w:sz w:val="21"/>
                <w:szCs w:val="21"/>
                <w:highlight w:val="none"/>
                <w:lang w:val="en-US" w:eastAsia="zh-CN"/>
              </w:rPr>
              <w:t>5分，最多可得10分。</w:t>
            </w:r>
          </w:p>
        </w:tc>
        <w:tc>
          <w:tcPr>
            <w:tcW w:w="2708" w:type="dxa"/>
            <w:tcBorders>
              <w:top w:val="single" w:color="auto" w:sz="4" w:space="0"/>
              <w:left w:val="single" w:color="auto" w:sz="4" w:space="0"/>
              <w:bottom w:val="single" w:color="auto" w:sz="4" w:space="0"/>
              <w:right w:val="single" w:color="auto" w:sz="4" w:space="0"/>
            </w:tcBorders>
            <w:shd w:val="clear" w:color="auto" w:fill="auto"/>
            <w:vAlign w:val="center"/>
          </w:tcPr>
          <w:p w14:paraId="7731D4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68" w:rightChars="60" w:firstLine="210"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提供有效的中标通知书复印件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合同复印件</w:t>
            </w:r>
            <w:r>
              <w:rPr>
                <w:rFonts w:hint="eastAsia" w:ascii="宋体" w:hAnsi="宋体" w:cs="宋体"/>
                <w:color w:val="auto"/>
                <w:sz w:val="21"/>
                <w:szCs w:val="21"/>
                <w:highlight w:val="none"/>
                <w:lang w:val="en-US" w:eastAsia="zh-CN"/>
              </w:rPr>
              <w:t>或者发票复印件</w:t>
            </w:r>
          </w:p>
        </w:tc>
      </w:tr>
    </w:tbl>
    <w:p w14:paraId="1822079B">
      <w:pPr>
        <w:pStyle w:val="5"/>
        <w:spacing w:before="0" w:after="0" w:line="360" w:lineRule="auto"/>
        <w:rPr>
          <w:rFonts w:hint="eastAsia" w:ascii="宋体" w:hAnsi="宋体" w:eastAsia="宋体" w:cs="宋体"/>
          <w:sz w:val="24"/>
          <w:szCs w:val="24"/>
        </w:rPr>
      </w:pPr>
    </w:p>
    <w:p w14:paraId="29AB03EF">
      <w:pPr>
        <w:pStyle w:val="5"/>
        <w:spacing w:before="0" w:after="0" w:line="360" w:lineRule="auto"/>
        <w:rPr>
          <w:rFonts w:hint="eastAsia" w:ascii="宋体" w:hAnsi="宋体" w:eastAsia="宋体" w:cs="宋体"/>
          <w:sz w:val="24"/>
          <w:szCs w:val="24"/>
        </w:rPr>
      </w:pPr>
      <w:bookmarkStart w:id="67" w:name="_Toc30994"/>
      <w:r>
        <w:rPr>
          <w:rFonts w:hint="eastAsia" w:ascii="宋体" w:hAnsi="宋体" w:eastAsia="宋体" w:cs="宋体"/>
          <w:sz w:val="24"/>
          <w:szCs w:val="24"/>
        </w:rPr>
        <w:t>三、无效响应</w:t>
      </w:r>
      <w:bookmarkEnd w:id="67"/>
    </w:p>
    <w:p w14:paraId="1FC3039F">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供应商发生以下条款情况之一者，视为无效响应，其响应文件将被拒绝：</w:t>
      </w:r>
    </w:p>
    <w:p w14:paraId="5311E6D4">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（一）供应商不符合规定的基本资格条件或特定资格条件的；</w:t>
      </w:r>
    </w:p>
    <w:p w14:paraId="414D7CD1">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（二）供应商未按磋商文件规定购买磋商文件的；</w:t>
      </w:r>
    </w:p>
    <w:p w14:paraId="01F4CBB0">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（三）供应商的法定代表人或其授权代表未参加磋商；</w:t>
      </w:r>
    </w:p>
    <w:p w14:paraId="525C855E">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（四）供应商所提交的响应文件不按第七篇“响应文件编制要求”规定签字、盖章；</w:t>
      </w:r>
    </w:p>
    <w:p w14:paraId="4FFF5674">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（五）供应商的最后报价超过采购预算的；</w:t>
      </w:r>
    </w:p>
    <w:p w14:paraId="16DFA2AF">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（六）法定代表人为同一个人的两个及两个以上法人，母公司、全资子公司及其控股公司，在同一分包采购中同时参与磋商；</w:t>
      </w:r>
    </w:p>
    <w:p w14:paraId="65C867CB">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（七）单位负责人为同一人或者存在直接控股、管理关系的不同供应商，参加同一合同项下的政府采购活动的；</w:t>
      </w:r>
    </w:p>
    <w:p w14:paraId="0DD5634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（八）为采购项目提供整体设计、规范编制或者项目管理、监理、检测等服务的供应商，再参加该采购项目的其他采购活动；</w:t>
      </w:r>
    </w:p>
    <w:p w14:paraId="4904646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（九）供应商磋商有效期不满足竞争性磋商文件要求的；</w:t>
      </w:r>
    </w:p>
    <w:p w14:paraId="338BBB24">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（十）供应商响应文件内容有与国家现行法律法规相违背的内容，或附有采购人无法接受的条件。</w:t>
      </w:r>
    </w:p>
    <w:p w14:paraId="5CAC1128">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（十一）供应商被列入失信被执行人、重大税收违法案件当事人名单、政府采购严重违法失信行为记录名单及其他不符合《中华人民共和国政府采购法》第二十二条规定条件的。</w:t>
      </w:r>
    </w:p>
    <w:p w14:paraId="5617112F">
      <w:pPr>
        <w:pStyle w:val="5"/>
        <w:spacing w:before="0" w:after="0" w:line="360" w:lineRule="auto"/>
        <w:rPr>
          <w:rFonts w:hint="eastAsia" w:ascii="宋体" w:hAnsi="宋体" w:eastAsia="宋体" w:cs="宋体"/>
          <w:sz w:val="24"/>
          <w:szCs w:val="24"/>
        </w:rPr>
      </w:pPr>
      <w:bookmarkStart w:id="68" w:name="_Toc8256"/>
      <w:r>
        <w:rPr>
          <w:rFonts w:hint="eastAsia" w:ascii="宋体" w:hAnsi="宋体" w:eastAsia="宋体" w:cs="宋体"/>
          <w:sz w:val="24"/>
          <w:szCs w:val="24"/>
        </w:rPr>
        <w:t>四、</w:t>
      </w:r>
      <w:bookmarkEnd w:id="65"/>
      <w:bookmarkEnd w:id="66"/>
      <w:r>
        <w:rPr>
          <w:rFonts w:hint="eastAsia" w:ascii="宋体" w:hAnsi="宋体" w:eastAsia="宋体" w:cs="宋体"/>
          <w:sz w:val="24"/>
          <w:szCs w:val="24"/>
        </w:rPr>
        <w:t>采购终止</w:t>
      </w:r>
      <w:bookmarkEnd w:id="68"/>
    </w:p>
    <w:p w14:paraId="47B52EB3">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出现下列情形之一的，采购人或者采购代理机构应当终止竞争性磋商采购活动，发布项目终止公告并说明原因，重新开展采购活动：</w:t>
      </w:r>
    </w:p>
    <w:p w14:paraId="55635286">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（一）因情况变化，不再符合规定的竞争性磋商采购方式适用情形的；</w:t>
      </w:r>
    </w:p>
    <w:p w14:paraId="5A14E3DE">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14:paraId="14C03071">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rPr>
        <w:t>（三）在采购过程中符合要求的供应商或者报价未超过采购预算的供应商不足3家的，但《政府采购竞争性磋商采购方式管理暂行办法》第二十一条第三款规定的情形除外。</w:t>
      </w:r>
    </w:p>
    <w:p w14:paraId="48FEF630">
      <w:pPr>
        <w:spacing w:line="360" w:lineRule="auto"/>
        <w:ind w:firstLine="480" w:firstLineChars="200"/>
        <w:rPr>
          <w:rFonts w:hint="eastAsia" w:ascii="宋体" w:hAnsi="宋体" w:eastAsia="宋体" w:cs="宋体"/>
          <w:sz w:val="24"/>
          <w:szCs w:val="24"/>
        </w:rPr>
        <w:sectPr>
          <w:footerReference r:id="rId7" w:type="default"/>
          <w:pgSz w:w="11907" w:h="16840"/>
          <w:pgMar w:top="1134" w:right="1191" w:bottom="1134" w:left="1304" w:header="964" w:footer="992" w:gutter="0"/>
          <w:pgNumType w:fmt="numberInDash" w:start="1"/>
          <w:cols w:space="720" w:num="1"/>
          <w:docGrid w:linePitch="312" w:charSpace="0"/>
        </w:sectPr>
      </w:pPr>
    </w:p>
    <w:p w14:paraId="388DBB38">
      <w:pPr>
        <w:pStyle w:val="4"/>
        <w:spacing w:before="0" w:after="0" w:line="360" w:lineRule="auto"/>
        <w:jc w:val="center"/>
        <w:rPr>
          <w:rFonts w:hint="eastAsia" w:ascii="宋体" w:hAnsi="宋体" w:eastAsia="宋体" w:cs="宋体"/>
          <w:b w:val="0"/>
          <w:sz w:val="36"/>
          <w:szCs w:val="30"/>
        </w:rPr>
      </w:pPr>
      <w:bookmarkStart w:id="69" w:name="_Toc102227313"/>
      <w:bookmarkStart w:id="70" w:name="_Toc26257"/>
      <w:r>
        <w:rPr>
          <w:rFonts w:hint="eastAsia" w:ascii="宋体" w:hAnsi="宋体" w:eastAsia="宋体" w:cs="宋体"/>
          <w:b w:val="0"/>
          <w:sz w:val="36"/>
          <w:szCs w:val="30"/>
        </w:rPr>
        <w:t>第五篇  供应商须知</w:t>
      </w:r>
      <w:bookmarkEnd w:id="69"/>
      <w:bookmarkEnd w:id="70"/>
    </w:p>
    <w:p w14:paraId="4CBD5308">
      <w:pPr>
        <w:pStyle w:val="5"/>
        <w:spacing w:before="0" w:after="0" w:line="360" w:lineRule="auto"/>
        <w:rPr>
          <w:rFonts w:hint="eastAsia" w:ascii="宋体" w:hAnsi="宋体" w:eastAsia="宋体" w:cs="宋体"/>
          <w:sz w:val="24"/>
          <w:szCs w:val="24"/>
        </w:rPr>
      </w:pPr>
      <w:bookmarkStart w:id="71" w:name="_Toc24452"/>
      <w:bookmarkStart w:id="72" w:name="_Toc342913389"/>
      <w:r>
        <w:rPr>
          <w:rFonts w:hint="eastAsia" w:ascii="宋体" w:hAnsi="宋体" w:eastAsia="宋体" w:cs="宋体"/>
          <w:sz w:val="24"/>
          <w:szCs w:val="24"/>
        </w:rPr>
        <w:t>一、磋商费用</w:t>
      </w:r>
      <w:bookmarkEnd w:id="71"/>
      <w:bookmarkEnd w:id="72"/>
    </w:p>
    <w:p w14:paraId="1C12E84C">
      <w:pPr>
        <w:pStyle w:val="21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参与磋商的供应商应承担其编制响应文件与递交响应文件所涉及的一切费用，不论磋商结果如何，采购人和采购代理机构在任何情况下无义务也无责任承担这些费用。</w:t>
      </w:r>
    </w:p>
    <w:p w14:paraId="29FEEB32">
      <w:pPr>
        <w:pStyle w:val="5"/>
        <w:tabs>
          <w:tab w:val="left" w:pos="2640"/>
        </w:tabs>
        <w:spacing w:before="0" w:after="0" w:line="360" w:lineRule="auto"/>
        <w:rPr>
          <w:rFonts w:hint="eastAsia" w:ascii="宋体" w:hAnsi="宋体" w:eastAsia="宋体" w:cs="宋体"/>
          <w:sz w:val="24"/>
          <w:szCs w:val="24"/>
        </w:rPr>
      </w:pPr>
      <w:bookmarkStart w:id="73" w:name="_Toc21164"/>
      <w:bookmarkStart w:id="74" w:name="_Toc342913391"/>
      <w:r>
        <w:rPr>
          <w:rFonts w:hint="eastAsia" w:ascii="宋体" w:hAnsi="宋体" w:eastAsia="宋体" w:cs="宋体"/>
          <w:sz w:val="24"/>
          <w:szCs w:val="24"/>
        </w:rPr>
        <w:t>二、竞争性磋商文件</w:t>
      </w:r>
      <w:bookmarkEnd w:id="73"/>
      <w:bookmarkEnd w:id="74"/>
    </w:p>
    <w:p w14:paraId="41C8F2B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（一）竞争性磋商文件由采购邀请书、项目服务需求、项目商务需求、磋商程序及方法、评审标准、无效响应和采购终止、供应商须知</w:t>
      </w:r>
      <w:r>
        <w:rPr>
          <w:rFonts w:hint="eastAsia" w:ascii="宋体" w:hAnsi="宋体" w:eastAsia="宋体" w:cs="宋体"/>
          <w:b/>
          <w:sz w:val="24"/>
          <w:szCs w:val="24"/>
        </w:rPr>
        <w:t>、</w:t>
      </w:r>
      <w:r>
        <w:rPr>
          <w:rFonts w:hint="eastAsia" w:ascii="宋体" w:hAnsi="宋体" w:eastAsia="宋体" w:cs="宋体"/>
          <w:sz w:val="24"/>
          <w:szCs w:val="24"/>
        </w:rPr>
        <w:t>政府采购合同</w:t>
      </w:r>
      <w:r>
        <w:rPr>
          <w:rFonts w:hint="eastAsia" w:ascii="宋体" w:hAnsi="宋体" w:eastAsia="宋体" w:cs="宋体"/>
          <w:b/>
          <w:sz w:val="24"/>
          <w:szCs w:val="24"/>
        </w:rPr>
        <w:t>、</w:t>
      </w:r>
      <w:r>
        <w:rPr>
          <w:rFonts w:hint="eastAsia" w:ascii="宋体" w:hAnsi="宋体" w:eastAsia="宋体" w:cs="宋体"/>
          <w:sz w:val="24"/>
          <w:szCs w:val="24"/>
        </w:rPr>
        <w:t>响应文件编制要求七部分组成。</w:t>
      </w:r>
    </w:p>
    <w:p w14:paraId="427145E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（二）采购人（或采购代理机构）所作的一切有效的书面通知、修改及补充，都是竞争性磋商文件不可分割的部分。</w:t>
      </w:r>
    </w:p>
    <w:p w14:paraId="2C11046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（三）竞争性磋商文件的解释</w:t>
      </w:r>
    </w:p>
    <w:p w14:paraId="3CF8EB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5" w:name="_Toc318166429"/>
      <w:bookmarkStart w:id="76" w:name="_Toc318159780"/>
      <w:bookmarkStart w:id="77" w:name="_Toc318159160"/>
      <w:bookmarkStart w:id="78" w:name="_Toc318159349"/>
    </w:p>
    <w:p w14:paraId="15F885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（四）本竞争性磋商文件中，磋商小组根据与供应商进行磋商可能实质性变动的内容为竞争性磋商文件第二、三、四篇全部内容。</w:t>
      </w:r>
    </w:p>
    <w:p w14:paraId="4F46D2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（五）评审的依据为竞争性磋商文件和响应文件（含有效的书面承诺）。磋商小组判断响应文件对竞争性磋商文件的响应，仅基于响应文件本身而不靠外部证据。</w:t>
      </w:r>
    </w:p>
    <w:bookmarkEnd w:id="75"/>
    <w:bookmarkEnd w:id="76"/>
    <w:bookmarkEnd w:id="77"/>
    <w:bookmarkEnd w:id="78"/>
    <w:p w14:paraId="0D5AE19B">
      <w:pPr>
        <w:pStyle w:val="5"/>
        <w:spacing w:before="0" w:after="0" w:line="360" w:lineRule="auto"/>
        <w:rPr>
          <w:rFonts w:hint="eastAsia" w:ascii="宋体" w:hAnsi="宋体" w:eastAsia="宋体" w:cs="宋体"/>
          <w:sz w:val="24"/>
          <w:szCs w:val="24"/>
        </w:rPr>
      </w:pPr>
      <w:bookmarkStart w:id="79" w:name="_Toc23069"/>
      <w:bookmarkStart w:id="80" w:name="_Toc102227318"/>
      <w:bookmarkStart w:id="81" w:name="_Toc179714297"/>
      <w:bookmarkStart w:id="82" w:name="_Toc342913392"/>
      <w:r>
        <w:rPr>
          <w:rFonts w:hint="eastAsia" w:ascii="宋体" w:hAnsi="宋体" w:eastAsia="宋体" w:cs="宋体"/>
          <w:sz w:val="24"/>
          <w:szCs w:val="24"/>
        </w:rPr>
        <w:t>三、磋商要求</w:t>
      </w:r>
      <w:bookmarkEnd w:id="79"/>
      <w:bookmarkEnd w:id="80"/>
      <w:bookmarkEnd w:id="81"/>
      <w:bookmarkEnd w:id="82"/>
    </w:p>
    <w:p w14:paraId="46557D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（一）响应文件</w:t>
      </w:r>
    </w:p>
    <w:p w14:paraId="0E9CB5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1.供应商应当按照竞争性磋商文件的要求编制响应文件，并对竞争性磋商文件提出的要求和条件作出实质性响应，响应文件原则上采用软面订本，同时应编制完整的页码、目录。</w:t>
      </w:r>
    </w:p>
    <w:p w14:paraId="027E50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2.响应文件组成</w:t>
      </w:r>
    </w:p>
    <w:p w14:paraId="70CDB25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4A2E72E">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（二）联合体</w:t>
      </w:r>
    </w:p>
    <w:p w14:paraId="789E9ED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本项目不接受联合体磋商。</w:t>
      </w:r>
    </w:p>
    <w:p w14:paraId="0551CA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（三）磋商有效期：响应文件及有关承诺文件有效期为提交响应文件截止时间起90天。</w:t>
      </w:r>
    </w:p>
    <w:p w14:paraId="038EF2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（四）修正错误</w:t>
      </w:r>
    </w:p>
    <w:p w14:paraId="1797E4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1.若供应商所递交的响应文件或最后报价中的价格出现大写金额和小写金额不一致的错误，以大写金额修正为准。</w:t>
      </w:r>
    </w:p>
    <w:p w14:paraId="6EC37DE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2.磋商小组按上述修正错误的原则及方法修正供应商的报价，供应商同意并签字确认后，修正后的报价对供应商具有约束作用。如果供应商不接受修正后的价格，将失去成为</w:t>
      </w:r>
      <w:r>
        <w:rPr>
          <w:rFonts w:hint="eastAsia" w:ascii="宋体" w:hAnsi="宋体" w:cs="宋体"/>
          <w:sz w:val="24"/>
          <w:szCs w:val="24"/>
          <w:lang w:val="en-US" w:eastAsia="zh-CN"/>
        </w:rPr>
        <w:t>成交</w:t>
      </w:r>
      <w:r>
        <w:rPr>
          <w:rFonts w:hint="eastAsia" w:ascii="宋体" w:hAnsi="宋体" w:eastAsia="宋体" w:cs="宋体"/>
          <w:sz w:val="24"/>
          <w:szCs w:val="24"/>
        </w:rPr>
        <w:t>供应商的资格。</w:t>
      </w:r>
    </w:p>
    <w:p w14:paraId="218011E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（五）提交响应文件的份数和签署</w:t>
      </w:r>
    </w:p>
    <w:p w14:paraId="74AC70C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1.响应文件一式</w:t>
      </w:r>
      <w:r>
        <w:rPr>
          <w:rFonts w:hint="eastAsia" w:ascii="宋体" w:hAnsi="宋体" w:cs="宋体"/>
          <w:sz w:val="24"/>
          <w:szCs w:val="24"/>
          <w:lang w:val="en-US" w:eastAsia="zh-CN"/>
        </w:rPr>
        <w:t>三</w:t>
      </w:r>
      <w:r>
        <w:rPr>
          <w:rFonts w:hint="eastAsia" w:ascii="宋体" w:hAnsi="宋体" w:eastAsia="宋体" w:cs="宋体"/>
          <w:sz w:val="24"/>
          <w:szCs w:val="24"/>
        </w:rPr>
        <w:t>份，其中</w:t>
      </w:r>
      <w:r>
        <w:rPr>
          <w:rFonts w:hint="eastAsia" w:ascii="宋体" w:hAnsi="宋体" w:eastAsia="宋体" w:cs="宋体"/>
          <w:sz w:val="24"/>
          <w:szCs w:val="24"/>
          <w:highlight w:val="none"/>
        </w:rPr>
        <w:t>正本一份，副本二份</w:t>
      </w:r>
      <w:r>
        <w:rPr>
          <w:rFonts w:hint="eastAsia" w:ascii="宋体" w:hAnsi="宋体" w:eastAsia="宋体" w:cs="宋体"/>
          <w:sz w:val="24"/>
          <w:szCs w:val="24"/>
        </w:rPr>
        <w:t>；副本可为正本的复印件，应与正本一致，如出现不一致情况以正本为准。</w:t>
      </w:r>
    </w:p>
    <w:p w14:paraId="59CA7B51">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2.在响应文件正本中，竞争性磋商文件第</w:t>
      </w:r>
      <w:r>
        <w:rPr>
          <w:rFonts w:hint="eastAsia" w:ascii="宋体" w:hAnsi="宋体" w:cs="宋体"/>
          <w:sz w:val="24"/>
          <w:szCs w:val="24"/>
          <w:lang w:val="en-US" w:eastAsia="zh-CN"/>
        </w:rPr>
        <w:t>七</w:t>
      </w:r>
      <w:r>
        <w:rPr>
          <w:rFonts w:hint="eastAsia" w:ascii="宋体" w:hAnsi="宋体" w:eastAsia="宋体" w:cs="宋体"/>
          <w:sz w:val="24"/>
          <w:szCs w:val="24"/>
        </w:rPr>
        <w:t>篇响应文件编制要求中规定签字、盖章的地方必须按其规定签字、盖章</w:t>
      </w:r>
      <w:r>
        <w:rPr>
          <w:rFonts w:hint="eastAsia" w:ascii="宋体" w:hAnsi="宋体" w:eastAsia="宋体" w:cs="宋体"/>
          <w:sz w:val="24"/>
          <w:szCs w:val="24"/>
          <w:lang w:eastAsia="zh-CN"/>
        </w:rPr>
        <w:t>，并逐页盖章，正本须逐页加盖供应商公章。</w:t>
      </w:r>
    </w:p>
    <w:p w14:paraId="1C1F53B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（六）响应文件的递交</w:t>
      </w:r>
    </w:p>
    <w:p w14:paraId="53D98D36">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1.响应文件的密封与标记</w:t>
      </w:r>
    </w:p>
    <w:p w14:paraId="456C49E6">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1.1响应文件的正本、副本均应密封送达磋商地点，应在封套上注明磋商项目名称、供应商名称。若正本、副本分别进行密封的，还应在封套上注明“正本”、“副本”字样。</w:t>
      </w:r>
    </w:p>
    <w:p w14:paraId="3536BDE5">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1.2封套的封口处应加盖供应商公章或由法定代表人授权代表签字。</w:t>
      </w:r>
    </w:p>
    <w:p w14:paraId="3840B392">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2.如果响应文件通过邮寄递交，供应商应将响应文件用内、外两层封套密封。</w:t>
      </w:r>
    </w:p>
    <w:p w14:paraId="615CE88C">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2.1内层封套的封装与标记同 “1、”款规定。</w:t>
      </w:r>
    </w:p>
    <w:p w14:paraId="44637317">
      <w:pPr>
        <w:pStyle w:val="31"/>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2.2外层封套装入“1、”款所述全部内封资料，并注明项目号、磋商项目编号、磋商项目名称、采购代理机构名称及地址。同时应写明供应商的名称、地址，以便将迟交的响应文件原封退还。</w:t>
      </w:r>
    </w:p>
    <w:p w14:paraId="4F4B6D5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3.如果未按上述规定进行密封和标记，采购代理机构对响应文件误投、丢失或提前拆封不负责任。</w:t>
      </w:r>
    </w:p>
    <w:p w14:paraId="7031CB3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（七）供应商参与人员</w:t>
      </w:r>
    </w:p>
    <w:p w14:paraId="1CBA132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各个供应商应当派1-2名代表参与磋商，至少1人应为法定代表人或具有法定代表人授权委托书的授权代表。</w:t>
      </w:r>
    </w:p>
    <w:p w14:paraId="7AE6AF47">
      <w:pPr>
        <w:pStyle w:val="5"/>
        <w:spacing w:before="0" w:after="0" w:line="360" w:lineRule="auto"/>
        <w:rPr>
          <w:rFonts w:hint="eastAsia" w:ascii="宋体" w:hAnsi="宋体" w:eastAsia="宋体" w:cs="宋体"/>
          <w:sz w:val="24"/>
          <w:szCs w:val="24"/>
        </w:rPr>
      </w:pPr>
      <w:bookmarkStart w:id="83" w:name="_Toc28731"/>
      <w:r>
        <w:rPr>
          <w:rFonts w:hint="eastAsia" w:ascii="宋体" w:hAnsi="宋体" w:eastAsia="宋体" w:cs="宋体"/>
          <w:sz w:val="24"/>
          <w:szCs w:val="24"/>
        </w:rPr>
        <w:t>四、</w:t>
      </w:r>
      <w:r>
        <w:rPr>
          <w:rFonts w:hint="eastAsia" w:ascii="宋体" w:hAnsi="宋体" w:cs="宋体"/>
          <w:sz w:val="24"/>
          <w:szCs w:val="24"/>
          <w:lang w:val="en-US" w:eastAsia="zh-CN"/>
        </w:rPr>
        <w:t>成交</w:t>
      </w:r>
      <w:r>
        <w:rPr>
          <w:rFonts w:hint="eastAsia" w:ascii="宋体" w:hAnsi="宋体" w:eastAsia="宋体" w:cs="宋体"/>
          <w:sz w:val="24"/>
          <w:szCs w:val="24"/>
        </w:rPr>
        <w:t>供应商的确认和变更</w:t>
      </w:r>
      <w:bookmarkEnd w:id="83"/>
    </w:p>
    <w:p w14:paraId="75CDF11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val="en-US" w:eastAsia="zh-CN"/>
        </w:rPr>
        <w:t>成交</w:t>
      </w:r>
      <w:r>
        <w:rPr>
          <w:rFonts w:hint="eastAsia" w:ascii="宋体" w:hAnsi="宋体" w:eastAsia="宋体" w:cs="宋体"/>
          <w:sz w:val="24"/>
          <w:szCs w:val="24"/>
        </w:rPr>
        <w:t>供应商的确认</w:t>
      </w:r>
    </w:p>
    <w:p w14:paraId="153852A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采购代理机构应当在评审结束后2个工作日内将评审报告送采购人确认。采购人应当在收到评审报告后5个工作日内，从评审报告提出的</w:t>
      </w:r>
      <w:r>
        <w:rPr>
          <w:rFonts w:hint="eastAsia" w:ascii="宋体" w:hAnsi="宋体" w:cs="宋体"/>
          <w:sz w:val="24"/>
          <w:szCs w:val="24"/>
          <w:lang w:val="en-US" w:eastAsia="zh-CN"/>
        </w:rPr>
        <w:t>成交</w:t>
      </w:r>
      <w:r>
        <w:rPr>
          <w:rFonts w:hint="eastAsia" w:ascii="宋体" w:hAnsi="宋体" w:eastAsia="宋体" w:cs="宋体"/>
          <w:sz w:val="24"/>
          <w:szCs w:val="24"/>
        </w:rPr>
        <w:t>候选供应商中，按照排序由高到低的原则确定</w:t>
      </w:r>
      <w:r>
        <w:rPr>
          <w:rFonts w:hint="eastAsia" w:ascii="宋体" w:hAnsi="宋体" w:cs="宋体"/>
          <w:sz w:val="24"/>
          <w:szCs w:val="24"/>
          <w:lang w:val="en-US" w:eastAsia="zh-CN"/>
        </w:rPr>
        <w:t>成交</w:t>
      </w:r>
      <w:r>
        <w:rPr>
          <w:rFonts w:hint="eastAsia" w:ascii="宋体" w:hAnsi="宋体" w:eastAsia="宋体" w:cs="宋体"/>
          <w:sz w:val="24"/>
          <w:szCs w:val="24"/>
        </w:rPr>
        <w:t>供应商，也可以书面授权磋商小组直接确定</w:t>
      </w:r>
      <w:r>
        <w:rPr>
          <w:rFonts w:hint="eastAsia" w:ascii="宋体" w:hAnsi="宋体" w:cs="宋体"/>
          <w:sz w:val="24"/>
          <w:szCs w:val="24"/>
          <w:lang w:val="en-US" w:eastAsia="zh-CN"/>
        </w:rPr>
        <w:t>成交</w:t>
      </w:r>
      <w:r>
        <w:rPr>
          <w:rFonts w:hint="eastAsia" w:ascii="宋体" w:hAnsi="宋体" w:eastAsia="宋体" w:cs="宋体"/>
          <w:sz w:val="24"/>
          <w:szCs w:val="24"/>
        </w:rPr>
        <w:t>供应商。采购人逾期未确定</w:t>
      </w:r>
      <w:r>
        <w:rPr>
          <w:rFonts w:hint="eastAsia" w:ascii="宋体" w:hAnsi="宋体" w:cs="宋体"/>
          <w:sz w:val="24"/>
          <w:szCs w:val="24"/>
          <w:lang w:val="en-US" w:eastAsia="zh-CN"/>
        </w:rPr>
        <w:t>成交</w:t>
      </w:r>
      <w:r>
        <w:rPr>
          <w:rFonts w:hint="eastAsia" w:ascii="宋体" w:hAnsi="宋体" w:eastAsia="宋体" w:cs="宋体"/>
          <w:sz w:val="24"/>
          <w:szCs w:val="24"/>
        </w:rPr>
        <w:t>供应商且不提出异议的，视为确定评审报告提出的排序</w:t>
      </w:r>
      <w:r>
        <w:rPr>
          <w:rFonts w:hint="eastAsia" w:ascii="宋体" w:hAnsi="宋体" w:cs="宋体"/>
          <w:sz w:val="24"/>
          <w:szCs w:val="24"/>
          <w:lang w:val="en-US" w:eastAsia="zh-CN"/>
        </w:rPr>
        <w:t>前三</w:t>
      </w:r>
      <w:r>
        <w:rPr>
          <w:rFonts w:hint="eastAsia" w:ascii="宋体" w:hAnsi="宋体" w:eastAsia="宋体" w:cs="宋体"/>
          <w:sz w:val="24"/>
          <w:szCs w:val="24"/>
        </w:rPr>
        <w:t>的供应商为</w:t>
      </w:r>
      <w:r>
        <w:rPr>
          <w:rFonts w:hint="eastAsia" w:ascii="宋体" w:hAnsi="宋体" w:cs="宋体"/>
          <w:sz w:val="24"/>
          <w:szCs w:val="24"/>
          <w:lang w:val="en-US" w:eastAsia="zh-CN"/>
        </w:rPr>
        <w:t>成交</w:t>
      </w:r>
      <w:r>
        <w:rPr>
          <w:rFonts w:hint="eastAsia" w:ascii="宋体" w:hAnsi="宋体" w:eastAsia="宋体" w:cs="宋体"/>
          <w:sz w:val="24"/>
          <w:szCs w:val="24"/>
        </w:rPr>
        <w:t>供应商。</w:t>
      </w:r>
    </w:p>
    <w:p w14:paraId="0FC3099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cs="宋体"/>
          <w:sz w:val="24"/>
          <w:szCs w:val="24"/>
          <w:lang w:val="en-US" w:eastAsia="zh-CN"/>
        </w:rPr>
        <w:t>成交</w:t>
      </w:r>
      <w:r>
        <w:rPr>
          <w:rFonts w:hint="eastAsia" w:ascii="宋体" w:hAnsi="宋体" w:eastAsia="宋体" w:cs="宋体"/>
          <w:sz w:val="24"/>
          <w:szCs w:val="24"/>
        </w:rPr>
        <w:t>供应商的变更</w:t>
      </w:r>
    </w:p>
    <w:p w14:paraId="0CBD2F3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成交</w:t>
      </w:r>
      <w:r>
        <w:rPr>
          <w:rFonts w:hint="eastAsia" w:ascii="宋体" w:hAnsi="宋体" w:eastAsia="宋体" w:cs="宋体"/>
          <w:sz w:val="24"/>
          <w:szCs w:val="24"/>
        </w:rPr>
        <w:t>供应商拒绝与采购人签订合同的，采购人可以按照评审报告推荐的供应商候选人名单排序，确定下一候选人为</w:t>
      </w:r>
      <w:r>
        <w:rPr>
          <w:rFonts w:hint="eastAsia" w:ascii="宋体" w:hAnsi="宋体" w:cs="宋体"/>
          <w:sz w:val="24"/>
          <w:szCs w:val="24"/>
          <w:lang w:val="en-US" w:eastAsia="zh-CN"/>
        </w:rPr>
        <w:t>成交</w:t>
      </w:r>
      <w:r>
        <w:rPr>
          <w:rFonts w:hint="eastAsia" w:ascii="宋体" w:hAnsi="宋体" w:eastAsia="宋体" w:cs="宋体"/>
          <w:sz w:val="24"/>
          <w:szCs w:val="24"/>
        </w:rPr>
        <w:t>供应商，也可以重新开展政府采购活动。</w:t>
      </w:r>
    </w:p>
    <w:p w14:paraId="29AA3E0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成交</w:t>
      </w:r>
      <w:r>
        <w:rPr>
          <w:rFonts w:hint="eastAsia" w:ascii="宋体" w:hAnsi="宋体" w:eastAsia="宋体" w:cs="宋体"/>
          <w:sz w:val="24"/>
          <w:szCs w:val="24"/>
        </w:rPr>
        <w:t>供应商无充分理由放弃成交的，采购人将会根据《中华人民共和国政府采购法实施条例》的第七十二条的规定对违规供应商进行处罚。</w:t>
      </w:r>
    </w:p>
    <w:p w14:paraId="28243BDC">
      <w:pPr>
        <w:pStyle w:val="5"/>
        <w:spacing w:before="0" w:after="0" w:line="360" w:lineRule="auto"/>
        <w:rPr>
          <w:rFonts w:hint="eastAsia" w:ascii="宋体" w:hAnsi="宋体" w:eastAsia="宋体" w:cs="宋体"/>
          <w:sz w:val="24"/>
          <w:szCs w:val="24"/>
        </w:rPr>
      </w:pPr>
      <w:bookmarkStart w:id="84" w:name="_Toc342913395"/>
      <w:bookmarkStart w:id="85" w:name="_Toc31484"/>
      <w:bookmarkStart w:id="86" w:name="_Toc102227321"/>
      <w:r>
        <w:rPr>
          <w:rFonts w:hint="eastAsia" w:ascii="宋体" w:hAnsi="宋体" w:eastAsia="宋体" w:cs="宋体"/>
          <w:sz w:val="24"/>
          <w:szCs w:val="24"/>
        </w:rPr>
        <w:t>五、</w:t>
      </w:r>
      <w:r>
        <w:rPr>
          <w:rFonts w:hint="eastAsia" w:ascii="宋体" w:hAnsi="宋体" w:cs="宋体"/>
          <w:sz w:val="24"/>
          <w:szCs w:val="24"/>
          <w:lang w:val="en-US" w:eastAsia="zh-CN"/>
        </w:rPr>
        <w:t>成交</w:t>
      </w:r>
      <w:r>
        <w:rPr>
          <w:rFonts w:hint="eastAsia" w:ascii="宋体" w:hAnsi="宋体" w:eastAsia="宋体" w:cs="宋体"/>
          <w:sz w:val="24"/>
          <w:szCs w:val="24"/>
        </w:rPr>
        <w:t>通知</w:t>
      </w:r>
      <w:bookmarkEnd w:id="84"/>
      <w:bookmarkEnd w:id="85"/>
      <w:bookmarkEnd w:id="86"/>
    </w:p>
    <w:p w14:paraId="0FB656F8">
      <w:pPr>
        <w:pStyle w:val="5"/>
        <w:spacing w:before="0" w:after="0" w:line="360" w:lineRule="auto"/>
        <w:rPr>
          <w:rFonts w:hint="eastAsia" w:ascii="宋体" w:hAnsi="宋体" w:eastAsia="宋体" w:cs="宋体"/>
          <w:b w:val="0"/>
          <w:kern w:val="2"/>
          <w:sz w:val="24"/>
          <w:szCs w:val="24"/>
          <w:lang w:val="en-US" w:eastAsia="zh-CN" w:bidi="ar-SA"/>
        </w:rPr>
      </w:pPr>
      <w:bookmarkStart w:id="87" w:name="_Toc28883"/>
      <w:bookmarkStart w:id="88" w:name="_Toc22670"/>
      <w:bookmarkStart w:id="89" w:name="_Toc12678"/>
      <w:bookmarkStart w:id="90" w:name="_Toc15386"/>
      <w:r>
        <w:rPr>
          <w:rFonts w:hint="eastAsia" w:ascii="宋体" w:hAnsi="宋体" w:eastAsia="宋体" w:cs="宋体"/>
          <w:b w:val="0"/>
          <w:kern w:val="2"/>
          <w:sz w:val="24"/>
          <w:szCs w:val="24"/>
          <w:lang w:val="en-US" w:eastAsia="zh-CN" w:bidi="ar-SA"/>
        </w:rPr>
        <w:t>（一）</w:t>
      </w:r>
      <w:r>
        <w:rPr>
          <w:rFonts w:hint="eastAsia" w:ascii="宋体" w:hAnsi="宋体" w:cs="宋体"/>
          <w:b w:val="0"/>
          <w:bCs/>
          <w:sz w:val="24"/>
          <w:szCs w:val="24"/>
          <w:lang w:val="en-US" w:eastAsia="zh-CN"/>
        </w:rPr>
        <w:t>成交</w:t>
      </w:r>
      <w:r>
        <w:rPr>
          <w:rFonts w:hint="eastAsia" w:ascii="宋体" w:hAnsi="宋体" w:eastAsia="宋体" w:cs="宋体"/>
          <w:b w:val="0"/>
          <w:kern w:val="2"/>
          <w:sz w:val="24"/>
          <w:szCs w:val="24"/>
          <w:lang w:val="en-US" w:eastAsia="zh-CN" w:bidi="ar-SA"/>
        </w:rPr>
        <w:t>供应商确定后2个工作日内，采购代理机构将在“行采家”（https://www.gec123.com/）网上发布成交结果公告。</w:t>
      </w:r>
      <w:bookmarkEnd w:id="87"/>
      <w:bookmarkEnd w:id="88"/>
      <w:bookmarkEnd w:id="89"/>
      <w:bookmarkEnd w:id="90"/>
    </w:p>
    <w:p w14:paraId="3DA5A902">
      <w:pPr>
        <w:pStyle w:val="5"/>
        <w:spacing w:before="0" w:after="0" w:line="360" w:lineRule="auto"/>
        <w:rPr>
          <w:rFonts w:hint="eastAsia" w:ascii="宋体" w:hAnsi="宋体" w:eastAsia="宋体" w:cs="宋体"/>
          <w:b w:val="0"/>
          <w:kern w:val="2"/>
          <w:sz w:val="24"/>
          <w:szCs w:val="24"/>
          <w:lang w:val="en-US" w:eastAsia="zh-CN" w:bidi="ar-SA"/>
        </w:rPr>
      </w:pPr>
      <w:bookmarkStart w:id="91" w:name="_Toc19150"/>
      <w:bookmarkStart w:id="92" w:name="_Toc14991"/>
      <w:bookmarkStart w:id="93" w:name="_Toc19287"/>
      <w:bookmarkStart w:id="94" w:name="_Toc4443"/>
      <w:r>
        <w:rPr>
          <w:rFonts w:hint="eastAsia" w:ascii="宋体" w:hAnsi="宋体" w:eastAsia="宋体" w:cs="宋体"/>
          <w:b w:val="0"/>
          <w:kern w:val="2"/>
          <w:sz w:val="24"/>
          <w:szCs w:val="24"/>
          <w:lang w:val="en-US" w:eastAsia="zh-CN" w:bidi="ar-SA"/>
        </w:rPr>
        <w:t>（二）结果公告发出同时，采购人或采购代理机构将以书面形式发出《</w:t>
      </w:r>
      <w:r>
        <w:rPr>
          <w:rFonts w:hint="eastAsia" w:ascii="宋体" w:hAnsi="宋体" w:cs="宋体"/>
          <w:b w:val="0"/>
          <w:kern w:val="2"/>
          <w:sz w:val="24"/>
          <w:szCs w:val="24"/>
          <w:lang w:val="en-US" w:eastAsia="zh-CN" w:bidi="ar-SA"/>
        </w:rPr>
        <w:t>成交</w:t>
      </w:r>
      <w:r>
        <w:rPr>
          <w:rFonts w:hint="eastAsia" w:ascii="宋体" w:hAnsi="宋体" w:eastAsia="宋体" w:cs="宋体"/>
          <w:b w:val="0"/>
          <w:kern w:val="2"/>
          <w:sz w:val="24"/>
          <w:szCs w:val="24"/>
          <w:lang w:val="en-US" w:eastAsia="zh-CN" w:bidi="ar-SA"/>
        </w:rPr>
        <w:t>通知书》。《</w:t>
      </w:r>
      <w:r>
        <w:rPr>
          <w:rFonts w:hint="eastAsia" w:ascii="宋体" w:hAnsi="宋体" w:cs="宋体"/>
          <w:b w:val="0"/>
          <w:kern w:val="2"/>
          <w:sz w:val="24"/>
          <w:szCs w:val="24"/>
          <w:lang w:val="en-US" w:eastAsia="zh-CN" w:bidi="ar-SA"/>
        </w:rPr>
        <w:t>成交</w:t>
      </w:r>
      <w:r>
        <w:rPr>
          <w:rFonts w:hint="eastAsia" w:ascii="宋体" w:hAnsi="宋体" w:eastAsia="宋体" w:cs="宋体"/>
          <w:b w:val="0"/>
          <w:kern w:val="2"/>
          <w:sz w:val="24"/>
          <w:szCs w:val="24"/>
          <w:lang w:val="en-US" w:eastAsia="zh-CN" w:bidi="ar-SA"/>
        </w:rPr>
        <w:t>通知书》一经发出即发生法律效力。</w:t>
      </w:r>
      <w:bookmarkEnd w:id="91"/>
      <w:bookmarkEnd w:id="92"/>
      <w:bookmarkEnd w:id="93"/>
      <w:bookmarkEnd w:id="94"/>
    </w:p>
    <w:p w14:paraId="6182ED08">
      <w:pPr>
        <w:pStyle w:val="5"/>
        <w:spacing w:before="0" w:after="0" w:line="360" w:lineRule="auto"/>
        <w:rPr>
          <w:rFonts w:hint="eastAsia" w:ascii="宋体" w:hAnsi="宋体" w:eastAsia="宋体" w:cs="宋体"/>
          <w:b w:val="0"/>
          <w:kern w:val="2"/>
          <w:sz w:val="24"/>
          <w:szCs w:val="24"/>
          <w:lang w:val="en-US" w:eastAsia="zh-CN" w:bidi="ar-SA"/>
        </w:rPr>
      </w:pPr>
      <w:bookmarkStart w:id="95" w:name="_Toc26468"/>
      <w:bookmarkStart w:id="96" w:name="_Toc30631"/>
      <w:bookmarkStart w:id="97" w:name="_Toc2039"/>
      <w:bookmarkStart w:id="98" w:name="_Toc17568"/>
      <w:r>
        <w:rPr>
          <w:rFonts w:hint="eastAsia" w:ascii="宋体" w:hAnsi="宋体" w:eastAsia="宋体" w:cs="宋体"/>
          <w:b w:val="0"/>
          <w:kern w:val="2"/>
          <w:sz w:val="24"/>
          <w:szCs w:val="24"/>
          <w:lang w:val="en-US" w:eastAsia="zh-CN" w:bidi="ar-SA"/>
        </w:rPr>
        <w:t>（三）《</w:t>
      </w:r>
      <w:r>
        <w:rPr>
          <w:rFonts w:hint="eastAsia" w:ascii="宋体" w:hAnsi="宋体" w:cs="宋体"/>
          <w:b w:val="0"/>
          <w:bCs/>
          <w:sz w:val="24"/>
          <w:szCs w:val="24"/>
          <w:lang w:val="en-US" w:eastAsia="zh-CN"/>
        </w:rPr>
        <w:t>成交</w:t>
      </w:r>
      <w:r>
        <w:rPr>
          <w:rFonts w:hint="eastAsia" w:ascii="宋体" w:hAnsi="宋体" w:eastAsia="宋体" w:cs="宋体"/>
          <w:b w:val="0"/>
          <w:kern w:val="2"/>
          <w:sz w:val="24"/>
          <w:szCs w:val="24"/>
          <w:lang w:val="en-US" w:eastAsia="zh-CN" w:bidi="ar-SA"/>
        </w:rPr>
        <w:t>通知书》将作为签订合同的依据。</w:t>
      </w:r>
      <w:bookmarkEnd w:id="95"/>
      <w:bookmarkEnd w:id="96"/>
      <w:bookmarkEnd w:id="97"/>
      <w:bookmarkEnd w:id="98"/>
    </w:p>
    <w:p w14:paraId="74E50496">
      <w:pPr>
        <w:pStyle w:val="5"/>
        <w:spacing w:before="0" w:after="0" w:line="360" w:lineRule="auto"/>
        <w:rPr>
          <w:rFonts w:hint="eastAsia" w:ascii="宋体" w:hAnsi="宋体" w:eastAsia="宋体" w:cs="宋体"/>
          <w:b w:val="0"/>
          <w:kern w:val="2"/>
          <w:sz w:val="24"/>
          <w:szCs w:val="24"/>
          <w:lang w:val="en-US" w:eastAsia="zh-CN" w:bidi="ar-SA"/>
        </w:rPr>
      </w:pPr>
      <w:bookmarkStart w:id="99" w:name="_Toc23259"/>
      <w:bookmarkStart w:id="100" w:name="_Toc13962"/>
      <w:bookmarkStart w:id="101" w:name="_Toc24538"/>
      <w:bookmarkStart w:id="102" w:name="_Toc31408"/>
      <w:r>
        <w:rPr>
          <w:rFonts w:hint="eastAsia" w:ascii="宋体" w:hAnsi="宋体" w:eastAsia="宋体" w:cs="宋体"/>
          <w:b w:val="0"/>
          <w:kern w:val="2"/>
          <w:sz w:val="24"/>
          <w:szCs w:val="24"/>
          <w:lang w:val="en-US" w:eastAsia="zh-CN" w:bidi="ar-SA"/>
        </w:rPr>
        <w:t>（四）如有供应商对成交结果提出质疑的，在质疑处理完毕后发出</w:t>
      </w:r>
      <w:r>
        <w:rPr>
          <w:rFonts w:hint="eastAsia" w:ascii="宋体" w:hAnsi="宋体" w:cs="宋体"/>
          <w:b w:val="0"/>
          <w:bCs/>
          <w:sz w:val="24"/>
          <w:szCs w:val="24"/>
          <w:lang w:val="en-US" w:eastAsia="zh-CN"/>
        </w:rPr>
        <w:t>成交</w:t>
      </w:r>
      <w:r>
        <w:rPr>
          <w:rFonts w:hint="eastAsia" w:ascii="宋体" w:hAnsi="宋体" w:eastAsia="宋体" w:cs="宋体"/>
          <w:b w:val="0"/>
          <w:kern w:val="2"/>
          <w:sz w:val="24"/>
          <w:szCs w:val="24"/>
          <w:lang w:val="en-US" w:eastAsia="zh-CN" w:bidi="ar-SA"/>
        </w:rPr>
        <w:t>通知书。</w:t>
      </w:r>
      <w:bookmarkEnd w:id="99"/>
      <w:bookmarkEnd w:id="100"/>
      <w:bookmarkEnd w:id="101"/>
      <w:bookmarkEnd w:id="102"/>
    </w:p>
    <w:p w14:paraId="33C672A2">
      <w:pPr>
        <w:pStyle w:val="5"/>
        <w:spacing w:before="0" w:after="0" w:line="360" w:lineRule="auto"/>
        <w:rPr>
          <w:rFonts w:hint="eastAsia" w:ascii="宋体" w:hAnsi="宋体" w:eastAsia="宋体" w:cs="宋体"/>
          <w:sz w:val="24"/>
          <w:szCs w:val="24"/>
        </w:rPr>
      </w:pPr>
      <w:bookmarkStart w:id="103" w:name="_Toc12425"/>
      <w:r>
        <w:rPr>
          <w:rFonts w:hint="eastAsia" w:ascii="宋体" w:hAnsi="宋体" w:eastAsia="宋体" w:cs="宋体"/>
          <w:sz w:val="24"/>
          <w:szCs w:val="24"/>
        </w:rPr>
        <w:t>六、关于质疑和投诉</w:t>
      </w:r>
      <w:bookmarkEnd w:id="103"/>
    </w:p>
    <w:p w14:paraId="0FE692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（一）质疑</w:t>
      </w:r>
    </w:p>
    <w:p w14:paraId="0CB4CE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供应商认为采购文件、采购过程和成交结果使自己的权益收到伤害的，可向采购人或采购代理机构以书面形式提出质疑。</w:t>
      </w:r>
    </w:p>
    <w:p w14:paraId="0D80FC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提出质疑的应当是参与所质疑项目采购活动的供应商。 </w:t>
      </w:r>
    </w:p>
    <w:p w14:paraId="68004A92">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1.质疑时限、内容</w:t>
      </w:r>
    </w:p>
    <w:p w14:paraId="6E532CD2">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供应商认为采购文件、采购过程、成交结果使自己的权益受到损害的，可以在知道或者应知其权益受到损害之日起7个工作日内，以书面形式向采购人、采购代理机构提出质疑。</w:t>
      </w:r>
    </w:p>
    <w:p w14:paraId="4CCC4128">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1.2供应商提出质疑应当提交质疑函和必要的证明材料，质疑函应当包括下列内容：</w:t>
      </w:r>
    </w:p>
    <w:p w14:paraId="311EDEC7">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1.2.1供应商的姓名或者名称、地址、邮编、联系人及联系电话；</w:t>
      </w:r>
    </w:p>
    <w:p w14:paraId="305612CF">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1.2.2质疑项目的名称、项目号以及磋商项目编号；</w:t>
      </w:r>
    </w:p>
    <w:p w14:paraId="56D339A0">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1.2.3具体、明确的质疑事项和与质疑事项相关的请求；</w:t>
      </w:r>
    </w:p>
    <w:p w14:paraId="08B49A42">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1.2.4事实依据；</w:t>
      </w:r>
    </w:p>
    <w:p w14:paraId="3DF09BA6">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1.2.5必要的法律依据；</w:t>
      </w:r>
    </w:p>
    <w:p w14:paraId="0BBF82AB">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1.2.6提出质疑的日期；</w:t>
      </w:r>
    </w:p>
    <w:p w14:paraId="689D48E8">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1.2.7营业执照（或事业单位法人证书，或个体工商户营业执照或有效的自然人身份证明、组织机构代码证）复印件；</w:t>
      </w:r>
    </w:p>
    <w:p w14:paraId="6A145764">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1.2.8法定代表人授权委托书原件、法定代表人身份证复印件和其授权代表的身份证复印件（供应商为自然人的提供自然人身份证复印件）；</w:t>
      </w:r>
    </w:p>
    <w:p w14:paraId="3B61BDD5">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1.3供应商为自然人的，质疑函应当由本人签字；供应商为法人或者其他组织的，质疑函应当由法定代表人、主要负责人，或者其授权代表签字</w:t>
      </w:r>
      <w:r>
        <w:rPr>
          <w:rFonts w:hint="eastAsia" w:ascii="宋体" w:hAnsi="宋体" w:cs="宋体"/>
          <w:sz w:val="24"/>
          <w:szCs w:val="24"/>
          <w:lang w:val="en-US" w:eastAsia="zh-CN"/>
        </w:rPr>
        <w:t>和</w:t>
      </w:r>
      <w:r>
        <w:rPr>
          <w:rFonts w:hint="eastAsia" w:ascii="宋体" w:hAnsi="宋体" w:eastAsia="宋体" w:cs="宋体"/>
          <w:sz w:val="24"/>
          <w:szCs w:val="24"/>
        </w:rPr>
        <w:t>盖章，并加盖公章。</w:t>
      </w:r>
    </w:p>
    <w:p w14:paraId="462059EB">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2.质疑答复</w:t>
      </w:r>
    </w:p>
    <w:p w14:paraId="1B45350B">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采购人、采购代理机构应当在收到供应商的书面质疑后七个工作日内作出答复，并以书面形式通知质疑供应商和其他有关供应商。</w:t>
      </w:r>
    </w:p>
    <w:p w14:paraId="336FDDA2">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3.其他</w:t>
      </w:r>
    </w:p>
    <w:p w14:paraId="5FA6D91A">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3.1供应商应按照《政府采购质疑和投诉办法》（财政部令第94号）及相关法律法规要求，在法定质疑期内一次性提出针对同一采购程序环节的质疑。</w:t>
      </w:r>
    </w:p>
    <w:p w14:paraId="75EE181A">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3.2质疑函范本可在代理机构领取下载。</w:t>
      </w:r>
    </w:p>
    <w:p w14:paraId="097797EB">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（二）投诉</w:t>
      </w:r>
    </w:p>
    <w:p w14:paraId="4892EA1A">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1.供应商对采购人、采购代理机构的答复不满意，或者采购人、采购代理机构未在规定时间内作出答复的，可以在答复期满后15个工作日内按照相关法律法规向财政部门提起投诉。</w:t>
      </w:r>
    </w:p>
    <w:p w14:paraId="352234BE">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2.供应商应按照《政府采购质疑和投诉办法》（财政部令第94号）及相关法律法规要求递交投诉书和必要的证明材料。投诉书范本可在财政部门户网站和中国政府采购网下载。</w:t>
      </w:r>
    </w:p>
    <w:p w14:paraId="165F8E8C">
      <w:pPr>
        <w:spacing w:line="360" w:lineRule="auto"/>
        <w:ind w:right="12" w:firstLine="480"/>
        <w:rPr>
          <w:rFonts w:hint="eastAsia" w:ascii="宋体" w:hAnsi="宋体" w:eastAsia="宋体" w:cs="宋体"/>
          <w:sz w:val="24"/>
          <w:szCs w:val="24"/>
        </w:rPr>
      </w:pPr>
      <w:r>
        <w:rPr>
          <w:rFonts w:hint="eastAsia" w:ascii="宋体" w:hAnsi="宋体" w:eastAsia="宋体" w:cs="宋体"/>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30ADE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42FB5B3D">
      <w:pPr>
        <w:pStyle w:val="5"/>
        <w:spacing w:before="0" w:after="0" w:line="360" w:lineRule="auto"/>
        <w:rPr>
          <w:rFonts w:hint="eastAsia" w:ascii="宋体" w:hAnsi="宋体" w:eastAsia="宋体" w:cs="宋体"/>
          <w:sz w:val="24"/>
          <w:szCs w:val="24"/>
        </w:rPr>
      </w:pPr>
      <w:bookmarkStart w:id="104" w:name="_Toc1373"/>
      <w:r>
        <w:rPr>
          <w:rFonts w:hint="eastAsia" w:ascii="宋体" w:hAnsi="宋体" w:eastAsia="宋体" w:cs="宋体"/>
          <w:sz w:val="24"/>
          <w:szCs w:val="24"/>
        </w:rPr>
        <w:t>七、采购代理服务费</w:t>
      </w:r>
      <w:bookmarkEnd w:id="104"/>
    </w:p>
    <w:p w14:paraId="57B254E8">
      <w:pPr>
        <w:pStyle w:val="3"/>
        <w:spacing w:line="360" w:lineRule="auto"/>
        <w:ind w:firstLine="480" w:firstLineChars="200"/>
        <w:rPr>
          <w:rFonts w:hint="eastAsia"/>
          <w:lang w:eastAsia="zh-CN"/>
        </w:rPr>
      </w:pPr>
      <w:r>
        <w:rPr>
          <w:rFonts w:hint="eastAsia" w:ascii="宋体" w:hAnsi="宋体" w:cs="宋体"/>
          <w:color w:val="auto"/>
          <w:sz w:val="24"/>
          <w:szCs w:val="24"/>
          <w:highlight w:val="none"/>
          <w:lang w:eastAsia="zh-CN"/>
        </w:rPr>
        <w:t>供应商中标后在领取成交通知书前一次性向采购代理机构缴纳代理服务费，代理服务费按预算金额的1.2%收取，采购代理服务费为：</w:t>
      </w:r>
      <w:r>
        <w:rPr>
          <w:rFonts w:hint="eastAsia" w:hAnsi="宋体" w:cs="宋体"/>
          <w:color w:val="auto"/>
          <w:sz w:val="24"/>
          <w:szCs w:val="24"/>
          <w:highlight w:val="none"/>
          <w:lang w:val="en-US" w:eastAsia="zh-CN"/>
        </w:rPr>
        <w:t>4200</w:t>
      </w:r>
      <w:r>
        <w:rPr>
          <w:rFonts w:hint="eastAsia" w:ascii="宋体" w:hAnsi="宋体" w:cs="宋体"/>
          <w:color w:val="auto"/>
          <w:sz w:val="24"/>
          <w:szCs w:val="24"/>
          <w:highlight w:val="none"/>
          <w:lang w:eastAsia="zh-CN"/>
        </w:rPr>
        <w:t>元，大写：（</w:t>
      </w:r>
      <w:r>
        <w:rPr>
          <w:rFonts w:hint="eastAsia" w:hAnsi="宋体" w:cs="宋体"/>
          <w:color w:val="auto"/>
          <w:sz w:val="24"/>
          <w:szCs w:val="24"/>
          <w:highlight w:val="none"/>
          <w:lang w:val="en-US" w:eastAsia="zh-CN"/>
        </w:rPr>
        <w:t>肆仟贰佰</w:t>
      </w:r>
      <w:r>
        <w:rPr>
          <w:rFonts w:hint="eastAsia" w:ascii="宋体" w:hAnsi="宋体" w:cs="宋体"/>
          <w:color w:val="auto"/>
          <w:sz w:val="24"/>
          <w:szCs w:val="24"/>
          <w:highlight w:val="none"/>
          <w:lang w:eastAsia="zh-CN"/>
        </w:rPr>
        <w:t>元整）。采购代理费已含在供应商的投标报价中，采购人不再另行单独支付此费用</w:t>
      </w:r>
      <w:r>
        <w:rPr>
          <w:rFonts w:hint="eastAsia" w:ascii="宋体" w:hAnsi="宋体" w:eastAsia="宋体" w:cs="宋体"/>
          <w:color w:val="auto"/>
          <w:sz w:val="24"/>
          <w:szCs w:val="24"/>
          <w:highlight w:val="none"/>
          <w:lang w:eastAsia="zh-CN"/>
        </w:rPr>
        <w:t>。</w:t>
      </w:r>
    </w:p>
    <w:p w14:paraId="25B27945">
      <w:pPr>
        <w:pStyle w:val="5"/>
        <w:spacing w:before="0" w:after="0" w:line="360" w:lineRule="auto"/>
        <w:rPr>
          <w:rFonts w:hint="eastAsia" w:ascii="宋体" w:hAnsi="宋体" w:eastAsia="宋体" w:cs="宋体"/>
          <w:b/>
          <w:bCs w:val="0"/>
          <w:sz w:val="24"/>
          <w:szCs w:val="24"/>
        </w:rPr>
      </w:pPr>
      <w:bookmarkStart w:id="105" w:name="_Toc102227322"/>
      <w:bookmarkStart w:id="106" w:name="_Toc633"/>
      <w:bookmarkStart w:id="107" w:name="_Toc342913396"/>
      <w:bookmarkStart w:id="108" w:name="_Toc12789059"/>
      <w:bookmarkStart w:id="109" w:name="_Toc11641055"/>
      <w:r>
        <w:rPr>
          <w:rFonts w:hint="eastAsia" w:ascii="宋体" w:hAnsi="宋体" w:eastAsia="宋体" w:cs="宋体"/>
          <w:b/>
          <w:bCs w:val="0"/>
          <w:sz w:val="24"/>
          <w:szCs w:val="24"/>
        </w:rPr>
        <w:t>八、签订</w:t>
      </w:r>
      <w:bookmarkEnd w:id="105"/>
      <w:r>
        <w:rPr>
          <w:rFonts w:hint="eastAsia" w:ascii="宋体" w:hAnsi="宋体" w:eastAsia="宋体" w:cs="宋体"/>
          <w:b/>
          <w:bCs w:val="0"/>
          <w:sz w:val="24"/>
          <w:szCs w:val="24"/>
        </w:rPr>
        <w:t>合同</w:t>
      </w:r>
      <w:bookmarkEnd w:id="106"/>
      <w:bookmarkEnd w:id="107"/>
    </w:p>
    <w:p w14:paraId="0B104390">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（一）采购人应当自</w:t>
      </w:r>
      <w:r>
        <w:rPr>
          <w:rFonts w:hint="eastAsia" w:ascii="宋体" w:hAnsi="宋体" w:cs="宋体"/>
          <w:b w:val="0"/>
          <w:bCs/>
          <w:sz w:val="24"/>
          <w:szCs w:val="24"/>
          <w:lang w:val="en-US" w:eastAsia="zh-CN"/>
        </w:rPr>
        <w:t>成交</w:t>
      </w:r>
      <w:r>
        <w:rPr>
          <w:rFonts w:hint="eastAsia" w:ascii="宋体" w:hAnsi="宋体" w:eastAsia="宋体" w:cs="宋体"/>
          <w:b w:val="0"/>
          <w:bCs/>
          <w:sz w:val="24"/>
          <w:szCs w:val="24"/>
        </w:rPr>
        <w:t>通知书发出之日起</w:t>
      </w:r>
      <w:r>
        <w:rPr>
          <w:rFonts w:hint="eastAsia" w:ascii="宋体" w:hAnsi="宋体" w:cs="宋体"/>
          <w:b w:val="0"/>
          <w:bCs/>
          <w:sz w:val="24"/>
          <w:szCs w:val="24"/>
          <w:lang w:val="en-US" w:eastAsia="zh-CN"/>
        </w:rPr>
        <w:t>二</w:t>
      </w:r>
      <w:r>
        <w:rPr>
          <w:rFonts w:hint="eastAsia" w:ascii="宋体" w:hAnsi="宋体" w:eastAsia="宋体" w:cs="宋体"/>
          <w:b w:val="0"/>
          <w:bCs/>
          <w:sz w:val="24"/>
          <w:szCs w:val="24"/>
        </w:rPr>
        <w:t>十日内，按照竞争性磋商文件和</w:t>
      </w:r>
      <w:r>
        <w:rPr>
          <w:rFonts w:hint="eastAsia" w:ascii="宋体" w:hAnsi="宋体" w:cs="宋体"/>
          <w:b w:val="0"/>
          <w:bCs/>
          <w:sz w:val="24"/>
          <w:szCs w:val="24"/>
          <w:lang w:val="en-US" w:eastAsia="zh-CN"/>
        </w:rPr>
        <w:t>成交</w:t>
      </w:r>
      <w:r>
        <w:rPr>
          <w:rFonts w:hint="eastAsia" w:ascii="宋体" w:hAnsi="宋体" w:eastAsia="宋体" w:cs="宋体"/>
          <w:b w:val="0"/>
          <w:bCs/>
          <w:sz w:val="24"/>
          <w:szCs w:val="24"/>
        </w:rPr>
        <w:t>供应商响应文件的约定，与</w:t>
      </w:r>
      <w:r>
        <w:rPr>
          <w:rFonts w:hint="eastAsia" w:ascii="宋体" w:hAnsi="宋体" w:cs="宋体"/>
          <w:b w:val="0"/>
          <w:bCs/>
          <w:sz w:val="24"/>
          <w:szCs w:val="24"/>
          <w:lang w:val="en-US" w:eastAsia="zh-CN"/>
        </w:rPr>
        <w:t>成交</w:t>
      </w:r>
      <w:r>
        <w:rPr>
          <w:rFonts w:hint="eastAsia" w:ascii="宋体" w:hAnsi="宋体" w:eastAsia="宋体" w:cs="宋体"/>
          <w:b w:val="0"/>
          <w:bCs/>
          <w:sz w:val="24"/>
          <w:szCs w:val="24"/>
        </w:rPr>
        <w:t>供应商签订书面合同。所签订的合同不得对竞争性磋商文件和供应商的响应文件作实质性修改。</w:t>
      </w:r>
    </w:p>
    <w:p w14:paraId="70759E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）竞争性磋商文件、供应商的响应文件及澄清文件等，均为签订政府采购合同的依据。</w:t>
      </w:r>
    </w:p>
    <w:p w14:paraId="25449C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）合同生效条款由供需双方约定，法律、行政法规规定应当办理批准、登记等手续后生效的合同，依照其规定。</w:t>
      </w:r>
    </w:p>
    <w:p w14:paraId="60409C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）合同原则上应按照《重庆市政府采购合同》签订，相关单位要求适用合同通用格式版本的，应按其要求另行签订其他合同。</w:t>
      </w:r>
    </w:p>
    <w:p w14:paraId="24CD60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）采购人要求</w:t>
      </w:r>
      <w:r>
        <w:rPr>
          <w:rFonts w:hint="eastAsia" w:ascii="宋体" w:hAnsi="宋体" w:cs="宋体"/>
          <w:b w:val="0"/>
          <w:bCs/>
          <w:sz w:val="24"/>
          <w:szCs w:val="24"/>
          <w:lang w:val="en-US" w:eastAsia="zh-CN"/>
        </w:rPr>
        <w:t>成交</w:t>
      </w:r>
      <w:r>
        <w:rPr>
          <w:rFonts w:hint="eastAsia" w:ascii="宋体" w:hAnsi="宋体" w:eastAsia="宋体" w:cs="宋体"/>
          <w:sz w:val="24"/>
          <w:szCs w:val="24"/>
        </w:rPr>
        <w:t>供应商提供履约保证金的，应当在竞争性磋商文件中予以约定。</w:t>
      </w:r>
      <w:r>
        <w:rPr>
          <w:rFonts w:hint="eastAsia" w:ascii="宋体" w:hAnsi="宋体" w:cs="宋体"/>
          <w:b w:val="0"/>
          <w:bCs/>
          <w:sz w:val="24"/>
          <w:szCs w:val="24"/>
          <w:lang w:val="en-US" w:eastAsia="zh-CN"/>
        </w:rPr>
        <w:t>成交</w:t>
      </w:r>
      <w:r>
        <w:rPr>
          <w:rFonts w:hint="eastAsia" w:ascii="宋体" w:hAnsi="宋体" w:eastAsia="宋体" w:cs="宋体"/>
          <w:sz w:val="24"/>
          <w:szCs w:val="24"/>
        </w:rPr>
        <w:t>供应商履约完毕后，采购人根据采购文件规定无息退还其履约保证金。</w:t>
      </w:r>
    </w:p>
    <w:p w14:paraId="0B52201F">
      <w:pPr>
        <w:pStyle w:val="4"/>
        <w:spacing w:before="0" w:after="0" w:line="360" w:lineRule="auto"/>
        <w:jc w:val="center"/>
        <w:rPr>
          <w:rFonts w:hint="eastAsia" w:ascii="宋体" w:hAnsi="宋体" w:eastAsia="宋体" w:cs="宋体"/>
          <w:b w:val="0"/>
          <w:sz w:val="36"/>
          <w:szCs w:val="30"/>
        </w:rPr>
      </w:pPr>
      <w:r>
        <w:rPr>
          <w:rFonts w:hint="eastAsia" w:ascii="宋体" w:hAnsi="宋体" w:eastAsia="宋体" w:cs="宋体"/>
          <w:sz w:val="36"/>
          <w:szCs w:val="30"/>
        </w:rPr>
        <w:br w:type="page"/>
      </w:r>
      <w:bookmarkStart w:id="110" w:name="_Toc24784"/>
      <w:r>
        <w:rPr>
          <w:rFonts w:hint="eastAsia" w:ascii="宋体" w:hAnsi="宋体" w:eastAsia="宋体" w:cs="宋体"/>
          <w:b w:val="0"/>
          <w:sz w:val="36"/>
          <w:szCs w:val="30"/>
        </w:rPr>
        <w:t xml:space="preserve">第六篇  </w:t>
      </w:r>
      <w:bookmarkEnd w:id="108"/>
      <w:bookmarkEnd w:id="109"/>
      <w:r>
        <w:rPr>
          <w:rFonts w:hint="eastAsia" w:ascii="宋体" w:hAnsi="宋体" w:eastAsia="宋体" w:cs="宋体"/>
          <w:b w:val="0"/>
          <w:sz w:val="36"/>
          <w:szCs w:val="30"/>
        </w:rPr>
        <w:t>政府采购合同（仅供参考）</w:t>
      </w:r>
      <w:bookmarkEnd w:id="110"/>
    </w:p>
    <w:p w14:paraId="4F1CB69E">
      <w:pPr>
        <w:spacing w:line="500" w:lineRule="exact"/>
        <w:jc w:val="center"/>
        <w:rPr>
          <w:rFonts w:hint="eastAsia" w:ascii="宋体" w:hAnsi="宋体" w:eastAsia="宋体" w:cs="宋体"/>
        </w:rPr>
      </w:pPr>
    </w:p>
    <w:p w14:paraId="3A843835">
      <w:pPr>
        <w:spacing w:line="440" w:lineRule="exact"/>
        <w:rPr>
          <w:rFonts w:hint="eastAsia" w:ascii="宋体" w:hAnsi="宋体" w:eastAsia="宋体" w:cs="宋体"/>
          <w:color w:val="auto"/>
          <w:sz w:val="24"/>
        </w:rPr>
      </w:pPr>
      <w:bookmarkStart w:id="111" w:name="_Hlt41879464"/>
      <w:bookmarkEnd w:id="111"/>
      <w:r>
        <w:rPr>
          <w:rFonts w:hint="eastAsia" w:ascii="宋体" w:hAnsi="宋体" w:eastAsia="宋体" w:cs="宋体"/>
          <w:color w:val="auto"/>
          <w:sz w:val="24"/>
        </w:rPr>
        <w:t>甲方（需方）：___________________________</w:t>
      </w:r>
    </w:p>
    <w:p w14:paraId="2F1B649E">
      <w:pPr>
        <w:spacing w:line="440" w:lineRule="exact"/>
        <w:rPr>
          <w:rFonts w:hint="eastAsia" w:ascii="宋体" w:hAnsi="宋体" w:eastAsia="宋体" w:cs="宋体"/>
          <w:color w:val="auto"/>
          <w:sz w:val="24"/>
        </w:rPr>
      </w:pPr>
      <w:r>
        <w:rPr>
          <w:rFonts w:hint="eastAsia" w:ascii="宋体" w:hAnsi="宋体" w:eastAsia="宋体" w:cs="宋体"/>
          <w:color w:val="auto"/>
          <w:sz w:val="24"/>
        </w:rPr>
        <w:t>乙方（供方）：___________________________</w:t>
      </w:r>
    </w:p>
    <w:p w14:paraId="02A53AF6">
      <w:pPr>
        <w:spacing w:line="440" w:lineRule="exact"/>
        <w:rPr>
          <w:rFonts w:hint="eastAsia" w:ascii="宋体" w:hAnsi="宋体" w:eastAsia="宋体" w:cs="宋体"/>
          <w:color w:val="auto"/>
          <w:sz w:val="24"/>
        </w:rPr>
      </w:pPr>
      <w:r>
        <w:rPr>
          <w:rFonts w:hint="eastAsia" w:ascii="宋体" w:hAnsi="宋体" w:eastAsia="宋体" w:cs="宋体"/>
          <w:color w:val="auto"/>
          <w:sz w:val="24"/>
        </w:rPr>
        <w:t>经双方协商一致，达成以下购销合同：</w:t>
      </w:r>
    </w:p>
    <w:tbl>
      <w:tblPr>
        <w:tblStyle w:val="61"/>
        <w:tblW w:w="96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1473"/>
        <w:gridCol w:w="888"/>
        <w:gridCol w:w="653"/>
        <w:gridCol w:w="1500"/>
        <w:gridCol w:w="1500"/>
        <w:gridCol w:w="1472"/>
      </w:tblGrid>
      <w:tr w14:paraId="16E0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42" w:type="dxa"/>
            <w:noWrap/>
            <w:vAlign w:val="center"/>
          </w:tcPr>
          <w:p w14:paraId="2E69BA4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项目内容</w:t>
            </w:r>
          </w:p>
        </w:tc>
        <w:tc>
          <w:tcPr>
            <w:tcW w:w="1473" w:type="dxa"/>
            <w:noWrap/>
            <w:vAlign w:val="center"/>
          </w:tcPr>
          <w:p w14:paraId="37D3540A">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数量</w:t>
            </w:r>
          </w:p>
        </w:tc>
        <w:tc>
          <w:tcPr>
            <w:tcW w:w="1541" w:type="dxa"/>
            <w:gridSpan w:val="2"/>
            <w:noWrap/>
            <w:vAlign w:val="center"/>
          </w:tcPr>
          <w:p w14:paraId="6A57DA4E">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综合单价</w:t>
            </w:r>
          </w:p>
        </w:tc>
        <w:tc>
          <w:tcPr>
            <w:tcW w:w="1500" w:type="dxa"/>
            <w:noWrap/>
            <w:vAlign w:val="center"/>
          </w:tcPr>
          <w:p w14:paraId="298301C8">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1500" w:type="dxa"/>
            <w:shd w:val="clear" w:color="auto" w:fill="auto"/>
            <w:noWrap/>
            <w:vAlign w:val="center"/>
          </w:tcPr>
          <w:p w14:paraId="1C364858">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服务时间</w:t>
            </w:r>
          </w:p>
        </w:tc>
        <w:tc>
          <w:tcPr>
            <w:tcW w:w="1472" w:type="dxa"/>
            <w:shd w:val="clear" w:color="auto" w:fill="auto"/>
            <w:noWrap/>
            <w:vAlign w:val="center"/>
          </w:tcPr>
          <w:p w14:paraId="4731EBD9">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服务地点</w:t>
            </w:r>
          </w:p>
        </w:tc>
      </w:tr>
      <w:tr w14:paraId="4167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42" w:type="dxa"/>
            <w:noWrap/>
            <w:vAlign w:val="center"/>
          </w:tcPr>
          <w:p w14:paraId="252C46C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3" w:type="dxa"/>
            <w:noWrap/>
            <w:vAlign w:val="center"/>
          </w:tcPr>
          <w:p w14:paraId="6745C0A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41" w:type="dxa"/>
            <w:gridSpan w:val="2"/>
            <w:noWrap/>
            <w:vAlign w:val="center"/>
          </w:tcPr>
          <w:p w14:paraId="7B7EAD6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5C478F9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0570792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2" w:type="dxa"/>
            <w:noWrap/>
            <w:vAlign w:val="center"/>
          </w:tcPr>
          <w:p w14:paraId="399C881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r>
      <w:tr w14:paraId="496E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42" w:type="dxa"/>
            <w:noWrap/>
            <w:vAlign w:val="center"/>
          </w:tcPr>
          <w:p w14:paraId="07B65CD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3" w:type="dxa"/>
            <w:noWrap/>
            <w:vAlign w:val="center"/>
          </w:tcPr>
          <w:p w14:paraId="11E5480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41" w:type="dxa"/>
            <w:gridSpan w:val="2"/>
            <w:noWrap/>
            <w:vAlign w:val="center"/>
          </w:tcPr>
          <w:p w14:paraId="4CBA88D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229B0F5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239414A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2" w:type="dxa"/>
            <w:noWrap/>
            <w:vAlign w:val="center"/>
          </w:tcPr>
          <w:p w14:paraId="58DAAC7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r>
      <w:tr w14:paraId="3FA2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142" w:type="dxa"/>
            <w:noWrap/>
            <w:vAlign w:val="center"/>
          </w:tcPr>
          <w:p w14:paraId="582D099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3" w:type="dxa"/>
            <w:noWrap/>
            <w:vAlign w:val="center"/>
          </w:tcPr>
          <w:p w14:paraId="4E5BDC7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41" w:type="dxa"/>
            <w:gridSpan w:val="2"/>
            <w:noWrap/>
            <w:vAlign w:val="center"/>
          </w:tcPr>
          <w:p w14:paraId="1BB297DE">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695D34E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500" w:type="dxa"/>
            <w:noWrap/>
            <w:vAlign w:val="center"/>
          </w:tcPr>
          <w:p w14:paraId="45B20F4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c>
          <w:tcPr>
            <w:tcW w:w="1472" w:type="dxa"/>
            <w:noWrap/>
            <w:vAlign w:val="center"/>
          </w:tcPr>
          <w:p w14:paraId="1779258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rPr>
            </w:pPr>
          </w:p>
        </w:tc>
      </w:tr>
      <w:tr w14:paraId="24F3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9628" w:type="dxa"/>
            <w:gridSpan w:val="7"/>
            <w:noWrap/>
            <w:vAlign w:val="center"/>
          </w:tcPr>
          <w:p w14:paraId="7FD76881">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合计人民币（小写）：</w:t>
            </w:r>
          </w:p>
        </w:tc>
      </w:tr>
      <w:tr w14:paraId="0F4A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9628" w:type="dxa"/>
            <w:gridSpan w:val="7"/>
            <w:noWrap/>
            <w:vAlign w:val="center"/>
          </w:tcPr>
          <w:p w14:paraId="0971E3D9">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合计人民币（大写）：</w:t>
            </w:r>
          </w:p>
        </w:tc>
      </w:tr>
      <w:tr w14:paraId="2281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9628" w:type="dxa"/>
            <w:gridSpan w:val="7"/>
            <w:noWrap/>
          </w:tcPr>
          <w:p w14:paraId="12405167">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val="en-US" w:eastAsia="zh-CN"/>
              </w:rPr>
              <w:t>服务要求</w:t>
            </w:r>
            <w:r>
              <w:rPr>
                <w:rFonts w:hint="eastAsia" w:ascii="宋体" w:hAnsi="宋体" w:eastAsia="宋体" w:cs="宋体"/>
                <w:color w:val="auto"/>
                <w:sz w:val="21"/>
                <w:szCs w:val="21"/>
              </w:rPr>
              <w:t>：</w:t>
            </w:r>
          </w:p>
          <w:p w14:paraId="00C7FB26">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p>
        </w:tc>
      </w:tr>
      <w:tr w14:paraId="5C0F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7"/>
            <w:noWrap/>
          </w:tcPr>
          <w:p w14:paraId="7504907E">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二、验收</w:t>
            </w:r>
            <w:r>
              <w:rPr>
                <w:rFonts w:hint="eastAsia" w:ascii="宋体" w:hAnsi="宋体" w:eastAsia="宋体" w:cs="宋体"/>
                <w:color w:val="auto"/>
                <w:sz w:val="21"/>
                <w:szCs w:val="21"/>
                <w:lang w:val="en-US" w:eastAsia="zh-CN"/>
              </w:rPr>
              <w:t>方式</w:t>
            </w:r>
            <w:r>
              <w:rPr>
                <w:rFonts w:hint="eastAsia" w:ascii="宋体" w:hAnsi="宋体" w:eastAsia="宋体" w:cs="宋体"/>
                <w:color w:val="auto"/>
                <w:sz w:val="21"/>
                <w:szCs w:val="21"/>
              </w:rPr>
              <w:t>：</w:t>
            </w:r>
          </w:p>
          <w:p w14:paraId="3AD26A0B">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p>
        </w:tc>
      </w:tr>
      <w:tr w14:paraId="0CF7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7"/>
            <w:noWrap/>
          </w:tcPr>
          <w:p w14:paraId="7BE7F930">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三、付款方式：</w:t>
            </w:r>
          </w:p>
          <w:p w14:paraId="142C6001">
            <w:pPr>
              <w:pStyle w:val="33"/>
              <w:keepNext w:val="0"/>
              <w:keepLines w:val="0"/>
              <w:suppressLineNumbers w:val="0"/>
              <w:snapToGrid w:val="0"/>
              <w:spacing w:before="0" w:beforeAutospacing="0" w:after="0" w:afterAutospacing="0"/>
              <w:ind w:left="1540" w:right="0" w:hanging="420"/>
              <w:rPr>
                <w:rFonts w:hint="eastAsia" w:ascii="宋体" w:hAnsi="宋体" w:eastAsia="宋体" w:cs="宋体"/>
                <w:color w:val="auto"/>
                <w:sz w:val="21"/>
                <w:szCs w:val="21"/>
              </w:rPr>
            </w:pPr>
          </w:p>
        </w:tc>
      </w:tr>
      <w:tr w14:paraId="7EEB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tcPr>
          <w:p w14:paraId="48C02E50">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四、违约责任：</w:t>
            </w:r>
          </w:p>
          <w:p w14:paraId="10166AE6">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按《中华人民共和国民法典》、《政府采购法》执行，或按双方约定。</w:t>
            </w:r>
          </w:p>
        </w:tc>
      </w:tr>
      <w:tr w14:paraId="3769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tcPr>
          <w:p w14:paraId="654B072D">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五、其他约定事项：</w:t>
            </w:r>
          </w:p>
          <w:p w14:paraId="147A86E2">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1、采购文件及其补遗文件、投标文件和承诺是本合同不可分割的部分。</w:t>
            </w:r>
          </w:p>
          <w:p w14:paraId="4B53DFCA">
            <w:pPr>
              <w:keepNext w:val="0"/>
              <w:keepLines w:val="0"/>
              <w:suppressLineNumbers w:val="0"/>
              <w:snapToGrid w:val="0"/>
              <w:spacing w:before="0" w:beforeAutospacing="0" w:after="0" w:afterAutospacing="0"/>
              <w:ind w:left="360" w:right="0"/>
              <w:rPr>
                <w:rFonts w:hint="eastAsia" w:ascii="宋体" w:hAnsi="宋体" w:eastAsia="宋体" w:cs="宋体"/>
                <w:color w:val="auto"/>
                <w:sz w:val="21"/>
                <w:szCs w:val="21"/>
              </w:rPr>
            </w:pPr>
            <w:r>
              <w:rPr>
                <w:rFonts w:hint="eastAsia" w:ascii="宋体" w:hAnsi="宋体" w:eastAsia="宋体" w:cs="宋体"/>
                <w:color w:val="auto"/>
                <w:sz w:val="21"/>
                <w:szCs w:val="21"/>
              </w:rPr>
              <w:t>本合同如发生争议由双方协商解决，协商不成向需方所在人民法院提请诉讼。</w:t>
            </w:r>
          </w:p>
          <w:p w14:paraId="7313350E">
            <w:pPr>
              <w:keepNext w:val="0"/>
              <w:keepLines w:val="0"/>
              <w:suppressLineNumbers w:val="0"/>
              <w:snapToGrid w:val="0"/>
              <w:spacing w:before="0" w:beforeAutospacing="0" w:after="0" w:afterAutospacing="0"/>
              <w:ind w:left="360" w:right="0"/>
              <w:rPr>
                <w:rFonts w:hint="eastAsia" w:ascii="宋体" w:hAnsi="宋体" w:eastAsia="宋体" w:cs="宋体"/>
                <w:color w:val="auto"/>
                <w:sz w:val="21"/>
                <w:szCs w:val="21"/>
              </w:rPr>
            </w:pPr>
            <w:r>
              <w:rPr>
                <w:rFonts w:hint="eastAsia" w:ascii="宋体" w:hAnsi="宋体" w:eastAsia="宋体" w:cs="宋体"/>
                <w:color w:val="auto"/>
                <w:sz w:val="21"/>
                <w:szCs w:val="21"/>
              </w:rPr>
              <w:t>本合同一式__份， 需方__份，供方__份，具同等法律效力。</w:t>
            </w:r>
          </w:p>
          <w:p w14:paraId="4F745669">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2、其他：</w:t>
            </w:r>
          </w:p>
        </w:tc>
      </w:tr>
      <w:tr w14:paraId="17A2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3"/>
            <w:noWrap/>
          </w:tcPr>
          <w:p w14:paraId="30B86528">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需方：</w:t>
            </w:r>
          </w:p>
          <w:p w14:paraId="44CEDF3C">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00671C86">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640A7BF9">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tc>
        <w:tc>
          <w:tcPr>
            <w:tcW w:w="5125" w:type="dxa"/>
            <w:gridSpan w:val="4"/>
            <w:noWrap/>
          </w:tcPr>
          <w:p w14:paraId="46FB5652">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供方：</w:t>
            </w:r>
          </w:p>
          <w:p w14:paraId="5C39447D">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4892F7C8">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电话：</w:t>
            </w:r>
          </w:p>
          <w:p w14:paraId="7CB3AC0C">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传真：</w:t>
            </w:r>
          </w:p>
          <w:p w14:paraId="641D4928">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p w14:paraId="6E47ACA4">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账号：</w:t>
            </w:r>
          </w:p>
          <w:p w14:paraId="6737A062">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p w14:paraId="09745078">
            <w:pPr>
              <w:keepNext w:val="0"/>
              <w:keepLines w:val="0"/>
              <w:widowControl/>
              <w:suppressLineNumbers w:val="0"/>
              <w:snapToGrid w:val="0"/>
              <w:spacing w:before="0" w:beforeAutospacing="0" w:after="0" w:afterAutospacing="0"/>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（本栏请用计算机打印以便于准确付款）</w:t>
            </w:r>
          </w:p>
        </w:tc>
      </w:tr>
      <w:tr w14:paraId="33AE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7"/>
            <w:noWrap/>
          </w:tcPr>
          <w:p w14:paraId="1EA0D061">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bl>
    <w:p w14:paraId="3229EF65">
      <w:pPr>
        <w:pStyle w:val="253"/>
        <w:rPr>
          <w:rFonts w:hint="eastAsia" w:ascii="宋体" w:hAnsi="宋体" w:eastAsia="宋体" w:cs="宋体"/>
          <w:color w:val="auto"/>
          <w:szCs w:val="28"/>
          <w:highlight w:val="none"/>
          <w:lang w:val="en-US" w:eastAsia="zh-CN"/>
        </w:rPr>
      </w:pPr>
      <w:r>
        <w:rPr>
          <w:rFonts w:hint="eastAsia" w:ascii="宋体" w:hAnsi="宋体" w:eastAsia="宋体" w:cs="宋体"/>
          <w:color w:val="auto"/>
        </w:rPr>
        <w:t>签约时间：           年   月   日         签约地点：</w:t>
      </w:r>
    </w:p>
    <w:p w14:paraId="578ACA02">
      <w:pPr>
        <w:pStyle w:val="4"/>
        <w:spacing w:before="0" w:after="0" w:line="360" w:lineRule="auto"/>
        <w:jc w:val="center"/>
        <w:rPr>
          <w:rFonts w:hint="eastAsia" w:ascii="宋体" w:hAnsi="宋体" w:eastAsia="宋体" w:cs="宋体"/>
          <w:b w:val="0"/>
          <w:sz w:val="36"/>
          <w:szCs w:val="30"/>
        </w:rPr>
      </w:pPr>
    </w:p>
    <w:p w14:paraId="1BE92225">
      <w:pPr>
        <w:pStyle w:val="4"/>
        <w:spacing w:before="0" w:after="0" w:line="360" w:lineRule="auto"/>
        <w:jc w:val="center"/>
        <w:rPr>
          <w:rFonts w:hint="eastAsia" w:ascii="宋体" w:hAnsi="宋体" w:eastAsia="宋体" w:cs="宋体"/>
          <w:b w:val="0"/>
          <w:sz w:val="36"/>
          <w:szCs w:val="30"/>
        </w:rPr>
      </w:pPr>
      <w:bookmarkStart w:id="112" w:name="_Toc11133"/>
      <w:r>
        <w:rPr>
          <w:rFonts w:hint="eastAsia" w:ascii="宋体" w:hAnsi="宋体" w:eastAsia="宋体" w:cs="宋体"/>
          <w:b w:val="0"/>
          <w:sz w:val="36"/>
          <w:szCs w:val="30"/>
        </w:rPr>
        <w:t>第七篇  响应文件编制要求</w:t>
      </w:r>
      <w:bookmarkEnd w:id="112"/>
    </w:p>
    <w:p w14:paraId="3B3C539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一、经济部分</w:t>
      </w:r>
    </w:p>
    <w:p w14:paraId="4EA98A4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（一）竞争性磋商报价函</w:t>
      </w:r>
    </w:p>
    <w:p w14:paraId="3565EAB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cs="宋体"/>
          <w:sz w:val="24"/>
          <w:szCs w:val="24"/>
          <w:lang w:val="en-US" w:eastAsia="zh-CN"/>
        </w:rPr>
        <w:t>服务</w:t>
      </w:r>
      <w:r>
        <w:rPr>
          <w:rFonts w:hint="eastAsia" w:ascii="宋体" w:hAnsi="宋体" w:eastAsia="宋体" w:cs="宋体"/>
          <w:sz w:val="24"/>
          <w:szCs w:val="24"/>
        </w:rPr>
        <w:t>部分</w:t>
      </w:r>
    </w:p>
    <w:p w14:paraId="6304332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val="en-US" w:eastAsia="zh-CN"/>
        </w:rPr>
        <w:t>服务</w:t>
      </w:r>
      <w:r>
        <w:rPr>
          <w:rFonts w:hint="eastAsia" w:ascii="宋体" w:hAnsi="宋体" w:eastAsia="宋体" w:cs="宋体"/>
          <w:sz w:val="24"/>
          <w:szCs w:val="24"/>
        </w:rPr>
        <w:t>响应偏离表</w:t>
      </w:r>
    </w:p>
    <w:p w14:paraId="01DE03DB">
      <w:pPr>
        <w:spacing w:line="440" w:lineRule="exact"/>
        <w:ind w:firstLine="480" w:firstLineChars="200"/>
        <w:rPr>
          <w:rFonts w:hint="default" w:ascii="宋体" w:hAnsi="宋体" w:eastAsia="宋体" w:cs="宋体"/>
          <w:sz w:val="24"/>
          <w:szCs w:val="24"/>
          <w:lang w:val="en-US"/>
        </w:rPr>
      </w:pPr>
      <w:r>
        <w:rPr>
          <w:rFonts w:hint="eastAsia" w:ascii="宋体" w:hAnsi="宋体" w:eastAsia="宋体" w:cs="宋体"/>
          <w:sz w:val="24"/>
          <w:szCs w:val="24"/>
        </w:rPr>
        <w:t>（二）</w:t>
      </w:r>
      <w:r>
        <w:rPr>
          <w:rFonts w:hint="eastAsia" w:ascii="宋体" w:hAnsi="宋体" w:cs="宋体"/>
          <w:sz w:val="24"/>
          <w:szCs w:val="24"/>
          <w:lang w:val="en-US" w:eastAsia="zh-CN"/>
        </w:rPr>
        <w:t>服务方案</w:t>
      </w:r>
    </w:p>
    <w:p w14:paraId="078D82C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三、商务部分</w:t>
      </w:r>
    </w:p>
    <w:p w14:paraId="40B1BB9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一</w:t>
      </w:r>
      <w:r>
        <w:rPr>
          <w:rFonts w:hint="eastAsia" w:ascii="宋体" w:hAnsi="宋体" w:eastAsia="宋体" w:cs="宋体"/>
          <w:sz w:val="24"/>
          <w:szCs w:val="24"/>
        </w:rPr>
        <w:t>）商务响应偏离表</w:t>
      </w:r>
    </w:p>
    <w:p w14:paraId="15E9A4E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）商务部分评分资料</w:t>
      </w:r>
    </w:p>
    <w:p w14:paraId="65D864D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四、资格条件及其他</w:t>
      </w:r>
    </w:p>
    <w:p w14:paraId="564BA5E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（一）营业执照（副本）或事业单位法人证书（副本）复印件</w:t>
      </w:r>
    </w:p>
    <w:p w14:paraId="182A6F72">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val="en-US" w:eastAsia="zh-CN"/>
        </w:rPr>
        <w:t>特定资格条件证明材料</w:t>
      </w:r>
    </w:p>
    <w:p w14:paraId="37467824">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）法定代表人身份证明书（格式）</w:t>
      </w:r>
    </w:p>
    <w:p w14:paraId="551473E5">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四</w:t>
      </w:r>
      <w:r>
        <w:rPr>
          <w:rFonts w:hint="eastAsia" w:ascii="宋体" w:hAnsi="宋体" w:eastAsia="宋体" w:cs="宋体"/>
          <w:sz w:val="24"/>
          <w:szCs w:val="24"/>
        </w:rPr>
        <w:t>）法定代表人授权委托书（格式）</w:t>
      </w:r>
    </w:p>
    <w:p w14:paraId="6DCA32EE">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）基本资格条件承诺函（格式）</w:t>
      </w:r>
    </w:p>
    <w:p w14:paraId="2500156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五、其他资料</w:t>
      </w:r>
    </w:p>
    <w:p w14:paraId="682EEE6F">
      <w:pPr>
        <w:snapToGrid w:val="0"/>
        <w:spacing w:line="360" w:lineRule="auto"/>
        <w:rPr>
          <w:rFonts w:hint="eastAsia" w:ascii="宋体" w:hAnsi="宋体" w:eastAsia="宋体" w:cs="宋体"/>
          <w:sz w:val="24"/>
          <w:szCs w:val="24"/>
          <w:bdr w:val="single" w:color="auto" w:sz="4" w:space="0"/>
          <w:lang w:eastAsia="zh-CN"/>
        </w:rPr>
        <w:sectPr>
          <w:footerReference r:id="rId8"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w:t>
      </w:r>
      <w:r>
        <w:rPr>
          <w:rFonts w:hint="eastAsia" w:ascii="宋体" w:hAnsi="宋体" w:cs="宋体"/>
          <w:sz w:val="24"/>
          <w:szCs w:val="24"/>
          <w:lang w:val="en-US" w:eastAsia="zh-CN"/>
        </w:rPr>
        <w:t>一</w:t>
      </w:r>
      <w:r>
        <w:rPr>
          <w:rFonts w:hint="eastAsia" w:ascii="宋体" w:hAnsi="宋体" w:eastAsia="宋体" w:cs="宋体"/>
          <w:sz w:val="24"/>
          <w:szCs w:val="24"/>
        </w:rPr>
        <w:t>）其他与项目有关的资料</w:t>
      </w:r>
      <w:r>
        <w:rPr>
          <w:rFonts w:hint="eastAsia" w:ascii="宋体" w:hAnsi="宋体" w:cs="宋体"/>
          <w:sz w:val="24"/>
          <w:szCs w:val="24"/>
          <w:lang w:eastAsia="zh-CN"/>
        </w:rPr>
        <w:t>（</w:t>
      </w:r>
      <w:r>
        <w:rPr>
          <w:rFonts w:hint="eastAsia" w:ascii="宋体" w:hAnsi="宋体" w:cs="宋体"/>
          <w:sz w:val="24"/>
          <w:szCs w:val="24"/>
          <w:lang w:val="en-US" w:eastAsia="zh-CN"/>
        </w:rPr>
        <w:t>自附</w:t>
      </w:r>
      <w:r>
        <w:rPr>
          <w:rFonts w:hint="eastAsia" w:ascii="宋体" w:hAnsi="宋体" w:cs="宋体"/>
          <w:sz w:val="24"/>
          <w:szCs w:val="24"/>
          <w:lang w:eastAsia="zh-CN"/>
        </w:rPr>
        <w:t>）</w:t>
      </w:r>
    </w:p>
    <w:p w14:paraId="2D877C46">
      <w:pPr>
        <w:pStyle w:val="5"/>
        <w:spacing w:before="0" w:after="0" w:line="360" w:lineRule="auto"/>
        <w:rPr>
          <w:rFonts w:hint="eastAsia" w:ascii="宋体" w:hAnsi="宋体" w:eastAsia="宋体" w:cs="宋体"/>
          <w:sz w:val="24"/>
          <w:szCs w:val="24"/>
        </w:rPr>
      </w:pPr>
      <w:bookmarkStart w:id="113" w:name="_Toc9806"/>
      <w:bookmarkStart w:id="114" w:name="_Toc313888360"/>
      <w:bookmarkStart w:id="115" w:name="_Toc342913419"/>
      <w:bookmarkStart w:id="116" w:name="_Toc313008356"/>
      <w:bookmarkStart w:id="117" w:name="_Toc283382454"/>
      <w:bookmarkStart w:id="118" w:name="_Toc12789073"/>
      <w:r>
        <w:rPr>
          <w:rFonts w:hint="eastAsia" w:ascii="宋体" w:hAnsi="宋体" w:eastAsia="宋体" w:cs="宋体"/>
          <w:sz w:val="24"/>
          <w:szCs w:val="24"/>
        </w:rPr>
        <w:t>一、经济部分</w:t>
      </w:r>
      <w:bookmarkEnd w:id="113"/>
      <w:bookmarkEnd w:id="114"/>
      <w:bookmarkEnd w:id="115"/>
      <w:bookmarkEnd w:id="116"/>
    </w:p>
    <w:bookmarkEnd w:id="117"/>
    <w:bookmarkEnd w:id="118"/>
    <w:p w14:paraId="54A0CF77">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（一）竞争性磋商报价函</w:t>
      </w:r>
    </w:p>
    <w:p w14:paraId="2F271DE8">
      <w:pPr>
        <w:tabs>
          <w:tab w:val="left" w:pos="6300"/>
        </w:tabs>
        <w:snapToGrid w:val="0"/>
        <w:spacing w:line="312" w:lineRule="auto"/>
        <w:jc w:val="center"/>
        <w:outlineLvl w:val="0"/>
        <w:rPr>
          <w:rFonts w:hint="eastAsia" w:ascii="宋体" w:hAnsi="宋体" w:eastAsia="宋体" w:cs="宋体"/>
          <w:b/>
          <w:szCs w:val="28"/>
        </w:rPr>
      </w:pPr>
    </w:p>
    <w:p w14:paraId="03A47EEC">
      <w:pPr>
        <w:tabs>
          <w:tab w:val="left" w:pos="6300"/>
        </w:tabs>
        <w:snapToGrid w:val="0"/>
        <w:spacing w:line="312" w:lineRule="auto"/>
        <w:jc w:val="center"/>
        <w:outlineLvl w:val="0"/>
        <w:rPr>
          <w:rFonts w:hint="eastAsia" w:ascii="宋体" w:hAnsi="宋体" w:eastAsia="宋体" w:cs="宋体"/>
          <w:b/>
          <w:szCs w:val="28"/>
        </w:rPr>
      </w:pPr>
      <w:r>
        <w:rPr>
          <w:rFonts w:hint="eastAsia" w:ascii="宋体" w:hAnsi="宋体" w:eastAsia="宋体" w:cs="宋体"/>
          <w:b/>
          <w:szCs w:val="28"/>
        </w:rPr>
        <w:t>竞争性磋商报价函</w:t>
      </w:r>
    </w:p>
    <w:p w14:paraId="534FB671">
      <w:pPr>
        <w:tabs>
          <w:tab w:val="left" w:pos="6300"/>
        </w:tabs>
        <w:snapToGrid w:val="0"/>
        <w:spacing w:line="312" w:lineRule="auto"/>
        <w:rPr>
          <w:rFonts w:hint="eastAsia" w:ascii="宋体" w:hAnsi="宋体" w:eastAsia="宋体" w:cs="宋体"/>
          <w:szCs w:val="28"/>
        </w:rPr>
      </w:pPr>
      <w:r>
        <w:rPr>
          <w:rFonts w:hint="eastAsia" w:ascii="宋体" w:hAnsi="宋体" w:eastAsia="宋体" w:cs="宋体"/>
          <w:szCs w:val="28"/>
          <w:u w:val="single"/>
        </w:rPr>
        <w:t>（</w:t>
      </w:r>
      <w:r>
        <w:rPr>
          <w:rFonts w:hint="eastAsia" w:ascii="宋体" w:hAnsi="宋体" w:eastAsia="宋体" w:cs="宋体"/>
          <w:color w:val="auto"/>
          <w:sz w:val="24"/>
          <w:szCs w:val="24"/>
          <w:highlight w:val="none"/>
          <w:u w:val="single"/>
        </w:rPr>
        <w:t>采购人名称</w:t>
      </w:r>
      <w:r>
        <w:rPr>
          <w:rFonts w:hint="eastAsia" w:ascii="宋体" w:hAnsi="宋体" w:eastAsia="宋体" w:cs="宋体"/>
          <w:szCs w:val="28"/>
          <w:u w:val="single"/>
        </w:rPr>
        <w:t>）</w:t>
      </w:r>
      <w:r>
        <w:rPr>
          <w:rFonts w:hint="eastAsia" w:ascii="宋体" w:hAnsi="宋体" w:eastAsia="宋体" w:cs="宋体"/>
          <w:szCs w:val="28"/>
        </w:rPr>
        <w:t>：</w:t>
      </w:r>
    </w:p>
    <w:p w14:paraId="1296A141">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我方收到____________________________（磋商项目名称）的竞争性磋商文件，经详细研究，决定参加该项目的磋商。</w:t>
      </w:r>
    </w:p>
    <w:p w14:paraId="423008C1">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1.愿意按照竞争性磋商文件中的一切要求，提供本项目的</w:t>
      </w:r>
      <w:r>
        <w:rPr>
          <w:rFonts w:hint="eastAsia" w:ascii="宋体" w:hAnsi="宋体" w:cs="宋体"/>
          <w:szCs w:val="28"/>
          <w:lang w:val="en-US" w:eastAsia="zh-CN"/>
        </w:rPr>
        <w:t>服务</w:t>
      </w:r>
      <w:r>
        <w:rPr>
          <w:rFonts w:hint="eastAsia" w:ascii="宋体" w:hAnsi="宋体" w:eastAsia="宋体" w:cs="宋体"/>
          <w:szCs w:val="28"/>
        </w:rPr>
        <w:t>，初始报价为人民币大写：</w:t>
      </w:r>
      <w:r>
        <w:rPr>
          <w:rFonts w:hint="eastAsia" w:ascii="宋体" w:hAnsi="宋体" w:eastAsia="宋体" w:cs="宋体"/>
          <w:szCs w:val="28"/>
          <w:u w:val="single"/>
        </w:rPr>
        <w:t xml:space="preserve">      </w:t>
      </w:r>
      <w:r>
        <w:rPr>
          <w:rFonts w:hint="eastAsia" w:ascii="宋体" w:hAnsi="宋体" w:eastAsia="宋体" w:cs="宋体"/>
          <w:szCs w:val="28"/>
        </w:rPr>
        <w:t>；人民币小写：</w:t>
      </w:r>
      <w:r>
        <w:rPr>
          <w:rFonts w:hint="eastAsia" w:ascii="宋体" w:hAnsi="宋体" w:eastAsia="宋体" w:cs="宋体"/>
          <w:szCs w:val="28"/>
          <w:u w:val="single"/>
        </w:rPr>
        <w:t xml:space="preserve">    </w:t>
      </w:r>
      <w:r>
        <w:rPr>
          <w:rFonts w:hint="eastAsia" w:ascii="宋体" w:hAnsi="宋体" w:eastAsia="宋体" w:cs="宋体"/>
          <w:szCs w:val="28"/>
        </w:rPr>
        <w:t>元。以我公司最后报价为准。</w:t>
      </w:r>
    </w:p>
    <w:p w14:paraId="33543BB4">
      <w:pPr>
        <w:tabs>
          <w:tab w:val="left" w:pos="6300"/>
        </w:tabs>
        <w:snapToGrid w:val="0"/>
        <w:spacing w:line="312" w:lineRule="auto"/>
        <w:ind w:left="280" w:leftChars="100" w:firstLine="280" w:firstLineChars="100"/>
        <w:rPr>
          <w:rFonts w:hint="eastAsia" w:ascii="宋体" w:hAnsi="宋体" w:eastAsia="宋体" w:cs="宋体"/>
          <w:szCs w:val="28"/>
          <w:lang w:eastAsia="zh-CN"/>
        </w:rPr>
      </w:pPr>
      <w:r>
        <w:rPr>
          <w:rFonts w:hint="eastAsia" w:ascii="宋体" w:hAnsi="宋体" w:eastAsia="宋体" w:cs="宋体"/>
          <w:szCs w:val="28"/>
        </w:rPr>
        <w:t>2.我方现提交的响应文件为：响应文件正本</w:t>
      </w:r>
      <w:r>
        <w:rPr>
          <w:rFonts w:hint="eastAsia" w:ascii="宋体" w:hAnsi="宋体" w:eastAsia="宋体" w:cs="宋体"/>
          <w:szCs w:val="28"/>
          <w:u w:val="single"/>
        </w:rPr>
        <w:t xml:space="preserve">   </w:t>
      </w:r>
      <w:r>
        <w:rPr>
          <w:rFonts w:hint="eastAsia" w:ascii="宋体" w:hAnsi="宋体" w:eastAsia="宋体" w:cs="宋体"/>
          <w:szCs w:val="28"/>
        </w:rPr>
        <w:t>份，副本</w:t>
      </w:r>
      <w:r>
        <w:rPr>
          <w:rFonts w:hint="eastAsia" w:ascii="宋体" w:hAnsi="宋体" w:eastAsia="宋体" w:cs="宋体"/>
          <w:szCs w:val="28"/>
          <w:u w:val="single"/>
        </w:rPr>
        <w:t xml:space="preserve">   </w:t>
      </w:r>
      <w:r>
        <w:rPr>
          <w:rFonts w:hint="eastAsia" w:ascii="宋体" w:hAnsi="宋体" w:eastAsia="宋体" w:cs="宋体"/>
          <w:szCs w:val="28"/>
        </w:rPr>
        <w:t>份</w:t>
      </w:r>
      <w:r>
        <w:rPr>
          <w:rFonts w:hint="eastAsia" w:ascii="宋体" w:hAnsi="宋体" w:cs="宋体"/>
          <w:szCs w:val="28"/>
          <w:lang w:eastAsia="zh-CN"/>
        </w:rPr>
        <w:t>。</w:t>
      </w:r>
    </w:p>
    <w:p w14:paraId="1128C450">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3.我方承诺：本次磋商的有效期为90天。</w:t>
      </w:r>
    </w:p>
    <w:p w14:paraId="1493AE31">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4.我方完全理解和接受贵方竞争性磋商文件的一切规定和要求及评审办法。</w:t>
      </w:r>
    </w:p>
    <w:p w14:paraId="178CF613">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5.在整个竞争性磋商过程中，我方若有违规行为，接受按照《中华人民共和国政府采购法》和《竞争性磋商文件》之规定给予惩罚。</w:t>
      </w:r>
    </w:p>
    <w:p w14:paraId="10E0D457">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6.我方若成为</w:t>
      </w:r>
      <w:r>
        <w:rPr>
          <w:rFonts w:hint="eastAsia" w:ascii="宋体" w:hAnsi="宋体" w:cs="宋体"/>
          <w:szCs w:val="28"/>
          <w:lang w:val="en-US" w:eastAsia="zh-CN"/>
        </w:rPr>
        <w:t>成交</w:t>
      </w:r>
      <w:r>
        <w:rPr>
          <w:rFonts w:hint="eastAsia" w:ascii="宋体" w:hAnsi="宋体" w:eastAsia="宋体" w:cs="宋体"/>
          <w:szCs w:val="28"/>
        </w:rPr>
        <w:t>供应商，将按照最终磋商结果签订合同，并且严格履行合同义务。本承诺函将成为合同不可分割的一部分，与合同具有同等的法律效力。</w:t>
      </w:r>
    </w:p>
    <w:p w14:paraId="78E3B58C">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7.如果我方成为</w:t>
      </w:r>
      <w:r>
        <w:rPr>
          <w:rFonts w:hint="eastAsia" w:ascii="宋体" w:hAnsi="宋体" w:cs="宋体"/>
          <w:szCs w:val="28"/>
          <w:lang w:val="en-US" w:eastAsia="zh-CN"/>
        </w:rPr>
        <w:t>成交</w:t>
      </w:r>
      <w:r>
        <w:rPr>
          <w:rFonts w:hint="eastAsia" w:ascii="宋体" w:hAnsi="宋体" w:eastAsia="宋体" w:cs="宋体"/>
          <w:szCs w:val="28"/>
        </w:rPr>
        <w:t>供应商，保证在接到</w:t>
      </w:r>
      <w:r>
        <w:rPr>
          <w:rFonts w:hint="eastAsia" w:ascii="宋体" w:hAnsi="宋体" w:cs="宋体"/>
          <w:szCs w:val="28"/>
          <w:lang w:val="en-US" w:eastAsia="zh-CN"/>
        </w:rPr>
        <w:t>成交</w:t>
      </w:r>
      <w:r>
        <w:rPr>
          <w:rFonts w:hint="eastAsia" w:ascii="宋体" w:hAnsi="宋体" w:eastAsia="宋体" w:cs="宋体"/>
          <w:szCs w:val="28"/>
        </w:rPr>
        <w:t>通知书后，向采购代理机构缴纳竞争性磋商文件规定的采购代理服务费。</w:t>
      </w:r>
    </w:p>
    <w:p w14:paraId="4D381E95">
      <w:pPr>
        <w:tabs>
          <w:tab w:val="left" w:pos="6300"/>
        </w:tabs>
        <w:snapToGrid w:val="0"/>
        <w:spacing w:line="312" w:lineRule="auto"/>
        <w:ind w:firstLine="560" w:firstLineChars="200"/>
        <w:rPr>
          <w:rFonts w:hint="eastAsia" w:ascii="宋体" w:hAnsi="宋体" w:eastAsia="宋体" w:cs="宋体"/>
          <w:szCs w:val="28"/>
        </w:rPr>
      </w:pPr>
      <w:r>
        <w:rPr>
          <w:rFonts w:hint="eastAsia" w:ascii="宋体" w:hAnsi="宋体" w:eastAsia="宋体" w:cs="宋体"/>
          <w:szCs w:val="28"/>
        </w:rPr>
        <w:t>8.我方理解，最低报价不是成交的唯一条件。</w:t>
      </w:r>
    </w:p>
    <w:p w14:paraId="430FF231">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供应商（公章）：</w:t>
      </w:r>
    </w:p>
    <w:p w14:paraId="16F2276B">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 xml:space="preserve">地址：  </w:t>
      </w:r>
    </w:p>
    <w:p w14:paraId="2FF688A5">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电话：                                             传真：</w:t>
      </w:r>
    </w:p>
    <w:p w14:paraId="3096960A">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网址：                                             邮编：</w:t>
      </w:r>
    </w:p>
    <w:p w14:paraId="10D24F60">
      <w:pPr>
        <w:tabs>
          <w:tab w:val="left" w:pos="6300"/>
        </w:tabs>
        <w:snapToGrid w:val="0"/>
        <w:spacing w:line="312" w:lineRule="auto"/>
        <w:ind w:firstLine="570"/>
        <w:rPr>
          <w:rFonts w:hint="eastAsia" w:ascii="宋体" w:hAnsi="宋体" w:eastAsia="宋体" w:cs="宋体"/>
          <w:szCs w:val="28"/>
        </w:rPr>
      </w:pPr>
      <w:r>
        <w:rPr>
          <w:rFonts w:hint="eastAsia" w:ascii="宋体" w:hAnsi="宋体" w:eastAsia="宋体" w:cs="宋体"/>
          <w:szCs w:val="28"/>
        </w:rPr>
        <w:t>联系人：</w:t>
      </w:r>
    </w:p>
    <w:p w14:paraId="2326B529">
      <w:pPr>
        <w:spacing w:line="400" w:lineRule="exact"/>
        <w:jc w:val="center"/>
        <w:rPr>
          <w:rFonts w:hint="eastAsia" w:ascii="宋体" w:hAnsi="宋体" w:eastAsia="宋体" w:cs="宋体"/>
          <w:szCs w:val="28"/>
        </w:rPr>
      </w:pPr>
      <w:r>
        <w:rPr>
          <w:rFonts w:hint="eastAsia" w:ascii="宋体" w:hAnsi="宋体" w:eastAsia="宋体" w:cs="宋体"/>
          <w:szCs w:val="28"/>
        </w:rPr>
        <w:t xml:space="preserve">                                                  年   月   日</w:t>
      </w:r>
    </w:p>
    <w:p w14:paraId="1DE1FAE7">
      <w:pPr>
        <w:spacing w:line="400" w:lineRule="exact"/>
        <w:jc w:val="center"/>
        <w:rPr>
          <w:rFonts w:hint="eastAsia" w:ascii="宋体" w:hAnsi="宋体" w:eastAsia="宋体" w:cs="宋体"/>
          <w:szCs w:val="28"/>
        </w:rPr>
      </w:pPr>
    </w:p>
    <w:p w14:paraId="138A94F4">
      <w:pPr>
        <w:spacing w:line="400" w:lineRule="exact"/>
        <w:jc w:val="center"/>
        <w:rPr>
          <w:rFonts w:hint="eastAsia" w:ascii="宋体" w:hAnsi="宋体" w:eastAsia="宋体" w:cs="宋体"/>
          <w:szCs w:val="28"/>
        </w:rPr>
      </w:pPr>
    </w:p>
    <w:p w14:paraId="3BB84AE3">
      <w:pPr>
        <w:spacing w:line="400" w:lineRule="exact"/>
        <w:jc w:val="center"/>
        <w:rPr>
          <w:rFonts w:hint="eastAsia" w:ascii="宋体" w:hAnsi="宋体" w:eastAsia="宋体" w:cs="宋体"/>
          <w:szCs w:val="28"/>
        </w:rPr>
      </w:pPr>
    </w:p>
    <w:p w14:paraId="575CD2FA">
      <w:pPr>
        <w:spacing w:line="400" w:lineRule="exact"/>
        <w:jc w:val="center"/>
        <w:rPr>
          <w:rFonts w:hint="eastAsia" w:ascii="宋体" w:hAnsi="宋体" w:eastAsia="宋体" w:cs="宋体"/>
          <w:szCs w:val="28"/>
        </w:rPr>
      </w:pPr>
    </w:p>
    <w:p w14:paraId="22CE4A79">
      <w:pPr>
        <w:snapToGrid/>
        <w:ind w:left="0" w:leftChars="0"/>
        <w:rPr>
          <w:rFonts w:hint="eastAsia" w:ascii="宋体" w:hAnsi="宋体" w:eastAsia="宋体" w:cs="宋体"/>
          <w:sz w:val="24"/>
          <w:szCs w:val="24"/>
        </w:rPr>
      </w:pPr>
    </w:p>
    <w:p w14:paraId="259A2602">
      <w:pPr>
        <w:pStyle w:val="5"/>
        <w:numPr>
          <w:ilvl w:val="0"/>
          <w:numId w:val="13"/>
        </w:numPr>
        <w:spacing w:before="0" w:after="0" w:line="360" w:lineRule="auto"/>
        <w:rPr>
          <w:rFonts w:hint="eastAsia" w:ascii="宋体" w:hAnsi="宋体" w:eastAsia="宋体" w:cs="宋体"/>
          <w:sz w:val="24"/>
          <w:szCs w:val="24"/>
        </w:rPr>
      </w:pPr>
      <w:bookmarkStart w:id="119" w:name="_Toc342913420"/>
      <w:bookmarkStart w:id="120" w:name="_Toc313888361"/>
      <w:bookmarkStart w:id="121" w:name="_Toc313008357"/>
      <w:bookmarkStart w:id="122" w:name="_Toc16767"/>
      <w:r>
        <w:rPr>
          <w:rFonts w:hint="eastAsia" w:ascii="宋体" w:hAnsi="宋体" w:cs="宋体"/>
          <w:sz w:val="24"/>
          <w:szCs w:val="24"/>
          <w:lang w:val="en-US" w:eastAsia="zh-CN"/>
        </w:rPr>
        <w:t>服务</w:t>
      </w:r>
      <w:r>
        <w:rPr>
          <w:rFonts w:hint="eastAsia" w:ascii="宋体" w:hAnsi="宋体" w:eastAsia="宋体" w:cs="宋体"/>
          <w:sz w:val="24"/>
          <w:szCs w:val="24"/>
        </w:rPr>
        <w:t>部</w:t>
      </w:r>
      <w:bookmarkEnd w:id="119"/>
      <w:bookmarkEnd w:id="120"/>
      <w:bookmarkEnd w:id="121"/>
      <w:r>
        <w:rPr>
          <w:rFonts w:hint="eastAsia" w:ascii="宋体" w:hAnsi="宋体" w:eastAsia="宋体" w:cs="宋体"/>
          <w:sz w:val="24"/>
          <w:szCs w:val="24"/>
        </w:rPr>
        <w:t>分</w:t>
      </w:r>
      <w:bookmarkEnd w:id="122"/>
    </w:p>
    <w:p w14:paraId="69B8F76D">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一</w:t>
      </w:r>
      <w:r>
        <w:rPr>
          <w:rFonts w:hint="eastAsia" w:ascii="宋体" w:hAnsi="宋体" w:eastAsia="宋体" w:cs="宋体"/>
          <w:sz w:val="24"/>
          <w:szCs w:val="24"/>
        </w:rPr>
        <w:t>）</w:t>
      </w:r>
      <w:r>
        <w:rPr>
          <w:rFonts w:hint="eastAsia" w:ascii="宋体" w:hAnsi="宋体" w:cs="宋体"/>
          <w:sz w:val="24"/>
          <w:szCs w:val="24"/>
          <w:lang w:val="en-US" w:eastAsia="zh-CN"/>
        </w:rPr>
        <w:t>服务响应</w:t>
      </w:r>
      <w:r>
        <w:rPr>
          <w:rFonts w:hint="eastAsia" w:ascii="宋体" w:hAnsi="宋体" w:eastAsia="宋体" w:cs="宋体"/>
          <w:sz w:val="24"/>
          <w:szCs w:val="24"/>
        </w:rPr>
        <w:t>偏离表</w:t>
      </w:r>
    </w:p>
    <w:p w14:paraId="0369EC02">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14:paraId="72B22042">
      <w:pPr>
        <w:pStyle w:val="33"/>
        <w:tabs>
          <w:tab w:val="left" w:pos="6300"/>
        </w:tabs>
        <w:snapToGrid w:val="0"/>
        <w:spacing w:line="40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磋商项目名称：</w:t>
      </w:r>
    </w:p>
    <w:tbl>
      <w:tblPr>
        <w:tblStyle w:val="61"/>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5B2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B0C8E6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14:paraId="412CCC2C">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采购需求</w:t>
            </w:r>
          </w:p>
        </w:tc>
        <w:tc>
          <w:tcPr>
            <w:tcW w:w="2759" w:type="dxa"/>
            <w:vAlign w:val="center"/>
          </w:tcPr>
          <w:p w14:paraId="38577936">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响应情况</w:t>
            </w:r>
          </w:p>
        </w:tc>
        <w:tc>
          <w:tcPr>
            <w:tcW w:w="2067" w:type="dxa"/>
            <w:vAlign w:val="center"/>
          </w:tcPr>
          <w:p w14:paraId="3E33993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差异说明</w:t>
            </w:r>
          </w:p>
        </w:tc>
      </w:tr>
      <w:tr w14:paraId="67DF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FC18D8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356B611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4309024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3B0901F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29F1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9569298">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29F3AA8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1B558860">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6B2D92E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4B15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8D1BC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69973D5C">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3513201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6A4DCF9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4788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A21A2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1E65EEB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605C839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42F20B69">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0BB1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8DA680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754C7A50">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14C823A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1C25EBC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3489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CAC9BC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62DB803B">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4395197C">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3B5CFD24">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19DC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58383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272C148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70F9A73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495C4F4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1854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7431AB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4705276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32024B4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1FA72E7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0F8F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085C09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37D4291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27F5A4A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3ADCA71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r w14:paraId="76C4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924847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658" w:type="dxa"/>
            <w:vAlign w:val="center"/>
          </w:tcPr>
          <w:p w14:paraId="23ED316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759" w:type="dxa"/>
            <w:vAlign w:val="center"/>
          </w:tcPr>
          <w:p w14:paraId="04FC76D6">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c>
          <w:tcPr>
            <w:tcW w:w="2067" w:type="dxa"/>
            <w:vAlign w:val="center"/>
          </w:tcPr>
          <w:p w14:paraId="5C6D235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宋体" w:hAnsi="宋体" w:eastAsia="宋体" w:cs="宋体"/>
                <w:sz w:val="24"/>
                <w:szCs w:val="24"/>
              </w:rPr>
            </w:pPr>
          </w:p>
        </w:tc>
      </w:tr>
    </w:tbl>
    <w:p w14:paraId="3D12ED44">
      <w:pPr>
        <w:spacing w:line="50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供应商：                法定代表人（或法定代表人授权代表）或自然人：</w:t>
      </w:r>
    </w:p>
    <w:p w14:paraId="55115C30">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0447C416">
      <w:pPr>
        <w:spacing w:line="5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14:paraId="5EA6B40D">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年     月     日</w:t>
      </w:r>
    </w:p>
    <w:p w14:paraId="00508C9A">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w:t>
      </w:r>
    </w:p>
    <w:p w14:paraId="5B80D970">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1.本表即为对本项目“第二篇  项目服务需求”中所列</w:t>
      </w:r>
      <w:r>
        <w:rPr>
          <w:rFonts w:hint="eastAsia" w:ascii="宋体" w:hAnsi="宋体" w:cs="宋体"/>
          <w:sz w:val="24"/>
          <w:szCs w:val="24"/>
          <w:lang w:val="en-US" w:eastAsia="zh-CN"/>
        </w:rPr>
        <w:t>服务</w:t>
      </w:r>
      <w:r>
        <w:rPr>
          <w:rFonts w:hint="eastAsia" w:ascii="宋体" w:hAnsi="宋体" w:eastAsia="宋体" w:cs="宋体"/>
          <w:sz w:val="24"/>
          <w:szCs w:val="24"/>
        </w:rPr>
        <w:t>要求进行比较和响应；</w:t>
      </w:r>
    </w:p>
    <w:p w14:paraId="4C674CB9">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2.该表必须按照竞争性磋商要求逐条如实填写，根据响应情况在“差异说明”项填写正偏离或负偏离及原因，完全符合的填写“无差异”；</w:t>
      </w:r>
    </w:p>
    <w:p w14:paraId="08EFE812">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3.该表可扩展，并逐页签字或盖章；</w:t>
      </w:r>
    </w:p>
    <w:p w14:paraId="196B808B">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4.可附相关支撑材料。（格式自定）</w:t>
      </w:r>
    </w:p>
    <w:p w14:paraId="7A943B07">
      <w:pPr>
        <w:pStyle w:val="60"/>
        <w:rPr>
          <w:rFonts w:hint="eastAsia" w:ascii="宋体" w:hAnsi="宋体" w:eastAsia="宋体" w:cs="宋体"/>
          <w:sz w:val="24"/>
          <w:szCs w:val="24"/>
        </w:rPr>
      </w:pPr>
    </w:p>
    <w:p w14:paraId="58A977E9">
      <w:pPr>
        <w:pStyle w:val="5"/>
        <w:numPr>
          <w:ilvl w:val="0"/>
          <w:numId w:val="0"/>
        </w:numPr>
        <w:spacing w:before="0" w:after="0" w:line="360" w:lineRule="auto"/>
        <w:ind w:right="0" w:rightChars="0"/>
        <w:rPr>
          <w:rFonts w:hint="eastAsia" w:ascii="宋体" w:hAnsi="宋体" w:eastAsia="宋体"/>
          <w:b w:val="0"/>
          <w:bCs/>
          <w:snapToGrid w:val="0"/>
          <w:sz w:val="24"/>
          <w:szCs w:val="24"/>
        </w:rPr>
      </w:pPr>
      <w:bookmarkStart w:id="123" w:name="_Toc14447"/>
      <w:r>
        <w:rPr>
          <w:rFonts w:hint="eastAsia" w:ascii="宋体" w:hAnsi="宋体" w:eastAsia="宋体"/>
          <w:b w:val="0"/>
          <w:bCs/>
          <w:snapToGrid w:val="0"/>
          <w:sz w:val="24"/>
          <w:szCs w:val="24"/>
          <w:lang w:val="en-US" w:eastAsia="zh-CN"/>
        </w:rPr>
        <w:t>二、服务</w:t>
      </w:r>
      <w:r>
        <w:rPr>
          <w:rFonts w:hint="eastAsia" w:ascii="宋体" w:hAnsi="宋体" w:eastAsia="宋体"/>
          <w:b w:val="0"/>
          <w:bCs/>
          <w:snapToGrid w:val="0"/>
          <w:sz w:val="24"/>
          <w:szCs w:val="24"/>
        </w:rPr>
        <w:t>方案</w:t>
      </w:r>
      <w:bookmarkEnd w:id="123"/>
    </w:p>
    <w:p w14:paraId="7F6B8352">
      <w:pPr>
        <w:rPr>
          <w:rFonts w:hint="eastAsia" w:ascii="宋体" w:hAnsi="宋体" w:eastAsia="宋体" w:cs="Times New Roman"/>
          <w:b w:val="0"/>
          <w:bCs/>
          <w:snapToGrid w:val="0"/>
          <w:kern w:val="2"/>
          <w:sz w:val="24"/>
          <w:szCs w:val="24"/>
          <w:lang w:val="en-US" w:eastAsia="zh-CN" w:bidi="ar-SA"/>
        </w:rPr>
      </w:pPr>
      <w:r>
        <w:rPr>
          <w:rFonts w:hint="eastAsia" w:ascii="宋体" w:hAnsi="宋体" w:eastAsia="宋体" w:cs="Times New Roman"/>
          <w:b w:val="0"/>
          <w:bCs/>
          <w:snapToGrid w:val="0"/>
          <w:kern w:val="2"/>
          <w:sz w:val="24"/>
          <w:szCs w:val="24"/>
          <w:lang w:val="en-US" w:eastAsia="zh-CN" w:bidi="ar-SA"/>
        </w:rPr>
        <w:t>根据评分要求自行提供</w:t>
      </w:r>
    </w:p>
    <w:p w14:paraId="20519F9B">
      <w:pPr>
        <w:pStyle w:val="60"/>
        <w:rPr>
          <w:rFonts w:hint="eastAsia" w:ascii="宋体" w:hAnsi="宋体" w:eastAsia="宋体" w:cs="宋体"/>
          <w:sz w:val="24"/>
          <w:szCs w:val="24"/>
        </w:rPr>
      </w:pPr>
    </w:p>
    <w:p w14:paraId="60B304F5">
      <w:pPr>
        <w:pStyle w:val="5"/>
        <w:spacing w:before="0" w:after="0" w:line="360" w:lineRule="auto"/>
        <w:rPr>
          <w:rFonts w:hint="eastAsia" w:ascii="宋体" w:hAnsi="宋体" w:eastAsia="宋体" w:cs="宋体"/>
          <w:sz w:val="24"/>
          <w:szCs w:val="24"/>
        </w:rPr>
      </w:pPr>
      <w:r>
        <w:rPr>
          <w:rFonts w:hint="eastAsia" w:ascii="宋体" w:hAnsi="宋体" w:eastAsia="宋体" w:cs="宋体"/>
          <w:b w:val="0"/>
        </w:rPr>
        <w:br w:type="page"/>
      </w:r>
      <w:bookmarkStart w:id="124" w:name="_Toc313008358"/>
      <w:bookmarkStart w:id="125" w:name="_Toc342913421"/>
      <w:bookmarkStart w:id="126" w:name="_Toc313888362"/>
      <w:bookmarkStart w:id="127" w:name="_Toc30659"/>
      <w:r>
        <w:rPr>
          <w:rFonts w:hint="eastAsia" w:ascii="宋体" w:hAnsi="宋体" w:eastAsia="宋体" w:cs="宋体"/>
          <w:sz w:val="24"/>
          <w:szCs w:val="24"/>
        </w:rPr>
        <w:t>三、商务部分</w:t>
      </w:r>
      <w:bookmarkEnd w:id="124"/>
      <w:bookmarkEnd w:id="125"/>
      <w:bookmarkEnd w:id="126"/>
      <w:bookmarkEnd w:id="127"/>
    </w:p>
    <w:p w14:paraId="0737D74F">
      <w:pPr>
        <w:spacing w:line="360" w:lineRule="auto"/>
        <w:ind w:firstLine="480" w:firstLineChars="200"/>
        <w:rPr>
          <w:rFonts w:hint="eastAsia" w:ascii="宋体" w:hAnsi="宋体" w:eastAsia="宋体" w:cs="宋体"/>
          <w:sz w:val="24"/>
          <w:szCs w:val="24"/>
        </w:rPr>
      </w:pPr>
      <w:bookmarkStart w:id="128" w:name="_Toc283382459"/>
      <w:r>
        <w:rPr>
          <w:rFonts w:hint="eastAsia" w:ascii="宋体" w:hAnsi="宋体" w:eastAsia="宋体" w:cs="宋体"/>
          <w:sz w:val="24"/>
          <w:szCs w:val="24"/>
        </w:rPr>
        <w:t>（</w:t>
      </w:r>
      <w:r>
        <w:rPr>
          <w:rFonts w:hint="eastAsia" w:ascii="宋体" w:hAnsi="宋体" w:cs="宋体"/>
          <w:sz w:val="24"/>
          <w:szCs w:val="24"/>
          <w:lang w:val="en-US" w:eastAsia="zh-CN"/>
        </w:rPr>
        <w:t>一</w:t>
      </w:r>
      <w:r>
        <w:rPr>
          <w:rFonts w:hint="eastAsia" w:ascii="宋体" w:hAnsi="宋体" w:eastAsia="宋体" w:cs="宋体"/>
          <w:sz w:val="24"/>
          <w:szCs w:val="24"/>
        </w:rPr>
        <w:t>）商务响应偏离表</w:t>
      </w:r>
    </w:p>
    <w:p w14:paraId="363C8309">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商务响应偏离表</w:t>
      </w:r>
    </w:p>
    <w:p w14:paraId="15321B09">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项目号：                              </w:t>
      </w:r>
    </w:p>
    <w:p w14:paraId="2CDDC2C9">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磋商项目名称： </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2AC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0252492">
            <w:pPr>
              <w:keepNext w:val="0"/>
              <w:keepLines w:val="0"/>
              <w:suppressLineNumbers w:val="0"/>
              <w:snapToGrid w:val="0"/>
              <w:spacing w:before="0" w:beforeAutospacing="0" w:after="0" w:afterAutospacing="0" w:line="360" w:lineRule="auto"/>
              <w:ind w:left="0" w:right="0" w:firstLine="465"/>
              <w:rPr>
                <w:rFonts w:hint="eastAsia" w:ascii="宋体" w:hAnsi="宋体" w:eastAsia="宋体" w:cs="宋体"/>
                <w:sz w:val="24"/>
                <w:szCs w:val="24"/>
              </w:rPr>
            </w:pPr>
            <w:r>
              <w:rPr>
                <w:rFonts w:hint="eastAsia" w:ascii="宋体" w:hAnsi="宋体" w:eastAsia="宋体" w:cs="宋体"/>
                <w:sz w:val="24"/>
                <w:szCs w:val="24"/>
              </w:rPr>
              <w:t>序号</w:t>
            </w:r>
          </w:p>
        </w:tc>
        <w:tc>
          <w:tcPr>
            <w:tcW w:w="3179" w:type="dxa"/>
            <w:vAlign w:val="center"/>
          </w:tcPr>
          <w:p w14:paraId="78547575">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磋商项目商务需求</w:t>
            </w:r>
          </w:p>
        </w:tc>
        <w:tc>
          <w:tcPr>
            <w:tcW w:w="2434" w:type="dxa"/>
            <w:vAlign w:val="center"/>
          </w:tcPr>
          <w:p w14:paraId="3A11817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响应情况</w:t>
            </w:r>
          </w:p>
        </w:tc>
        <w:tc>
          <w:tcPr>
            <w:tcW w:w="2355" w:type="dxa"/>
            <w:vAlign w:val="center"/>
          </w:tcPr>
          <w:p w14:paraId="2EC9DFCB">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r>
              <w:rPr>
                <w:rFonts w:hint="eastAsia" w:ascii="宋体" w:hAnsi="宋体" w:eastAsia="宋体" w:cs="宋体"/>
                <w:sz w:val="24"/>
                <w:szCs w:val="24"/>
              </w:rPr>
              <w:t>差异说明</w:t>
            </w:r>
          </w:p>
        </w:tc>
      </w:tr>
      <w:tr w14:paraId="78DD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037B6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6477295B">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276129A0">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5427EB6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2B8F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15DD47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524D577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64B5AE0D">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7B819AB4">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608A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8C6D3E">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1662C74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22CDAC5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7212D440">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349C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F5D7E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7819CA2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567044B9">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7F319705">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54E7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5932A8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34C3ACC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094427D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7BB925A9">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r w14:paraId="6D25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BC738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3179" w:type="dxa"/>
            <w:vAlign w:val="center"/>
          </w:tcPr>
          <w:p w14:paraId="681DC8DB">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434" w:type="dxa"/>
            <w:vAlign w:val="center"/>
          </w:tcPr>
          <w:p w14:paraId="57D8A9A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c>
          <w:tcPr>
            <w:tcW w:w="2355" w:type="dxa"/>
            <w:vAlign w:val="center"/>
          </w:tcPr>
          <w:p w14:paraId="0BC7E617">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宋体" w:hAnsi="宋体" w:eastAsia="宋体" w:cs="宋体"/>
                <w:sz w:val="24"/>
                <w:szCs w:val="24"/>
              </w:rPr>
            </w:pPr>
          </w:p>
        </w:tc>
      </w:tr>
    </w:tbl>
    <w:p w14:paraId="6FA28037">
      <w:pPr>
        <w:snapToGrid w:val="0"/>
        <w:spacing w:line="360" w:lineRule="auto"/>
        <w:ind w:firstLine="465"/>
        <w:rPr>
          <w:rFonts w:hint="eastAsia" w:ascii="宋体" w:hAnsi="宋体" w:eastAsia="宋体" w:cs="宋体"/>
          <w:sz w:val="24"/>
          <w:szCs w:val="24"/>
        </w:rPr>
      </w:pPr>
    </w:p>
    <w:p w14:paraId="6DE36970">
      <w:pPr>
        <w:spacing w:line="50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供应商：                  法定代表人（或法定代表人授权代表）或自然人：</w:t>
      </w:r>
    </w:p>
    <w:p w14:paraId="2130BA2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p>
    <w:p w14:paraId="7D47EFBD">
      <w:pPr>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14:paraId="151E154F">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14:paraId="1E16248D">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w:t>
      </w:r>
    </w:p>
    <w:p w14:paraId="36AD697C">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1.本表即为对本项目“第三篇 项目商务需求”中所列服务要求进行比较和响应；</w:t>
      </w:r>
    </w:p>
    <w:p w14:paraId="606354BD">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2.该表必须按照竞争性磋商要求逐条如实填写，根据响应情况在“差异说明”项填写正偏离或负偏离及原因，完全符合的填写“无差异”；</w:t>
      </w:r>
    </w:p>
    <w:p w14:paraId="0F06DAB2">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3.该表可扩展，并逐页签字或盖章。</w:t>
      </w:r>
    </w:p>
    <w:p w14:paraId="5307CDD2">
      <w:pPr>
        <w:spacing w:line="360" w:lineRule="auto"/>
        <w:ind w:firstLine="560" w:firstLineChars="200"/>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w:t>
      </w:r>
      <w:r>
        <w:rPr>
          <w:rFonts w:hint="eastAsia" w:ascii="宋体" w:hAnsi="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color w:val="000000"/>
          <w:sz w:val="24"/>
          <w:szCs w:val="24"/>
        </w:rPr>
        <w:t>商务部分评分资料</w:t>
      </w:r>
    </w:p>
    <w:p w14:paraId="09FE827C">
      <w:pPr>
        <w:pStyle w:val="5"/>
        <w:spacing w:before="0" w:after="0" w:line="360" w:lineRule="auto"/>
        <w:rPr>
          <w:rFonts w:hint="eastAsia" w:ascii="宋体" w:hAnsi="宋体" w:eastAsia="宋体" w:cs="宋体"/>
          <w:sz w:val="24"/>
          <w:szCs w:val="24"/>
        </w:rPr>
      </w:pPr>
      <w:r>
        <w:rPr>
          <w:rFonts w:hint="eastAsia" w:ascii="宋体" w:hAnsi="宋体" w:eastAsia="宋体" w:cs="宋体"/>
          <w:sz w:val="24"/>
          <w:szCs w:val="24"/>
        </w:rPr>
        <w:br w:type="page"/>
      </w:r>
      <w:bookmarkEnd w:id="128"/>
      <w:bookmarkStart w:id="129" w:name="_Toc313008359"/>
      <w:bookmarkStart w:id="130" w:name="_Toc5193"/>
      <w:bookmarkStart w:id="131" w:name="_Toc313888363"/>
      <w:bookmarkStart w:id="132" w:name="_Toc342913422"/>
      <w:r>
        <w:rPr>
          <w:rFonts w:hint="eastAsia" w:ascii="宋体" w:hAnsi="宋体" w:eastAsia="宋体" w:cs="宋体"/>
          <w:sz w:val="24"/>
          <w:szCs w:val="24"/>
        </w:rPr>
        <w:t>四、资格条件及其他</w:t>
      </w:r>
      <w:bookmarkEnd w:id="129"/>
      <w:bookmarkEnd w:id="130"/>
      <w:bookmarkEnd w:id="131"/>
      <w:bookmarkEnd w:id="132"/>
    </w:p>
    <w:p w14:paraId="6957840A">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（一）营业执照（副本）或事业单位法人证书（副本）复印件</w:t>
      </w:r>
    </w:p>
    <w:p w14:paraId="5FD86BEA">
      <w:pPr>
        <w:tabs>
          <w:tab w:val="left" w:pos="6300"/>
        </w:tabs>
        <w:snapToGrid w:val="0"/>
        <w:spacing w:line="500" w:lineRule="exact"/>
        <w:ind w:firstLine="570"/>
        <w:rPr>
          <w:rFonts w:hint="eastAsia" w:ascii="宋体" w:hAnsi="宋体" w:eastAsia="宋体" w:cs="宋体"/>
          <w:sz w:val="24"/>
          <w:szCs w:val="24"/>
        </w:rPr>
      </w:pPr>
    </w:p>
    <w:p w14:paraId="364BDDD5">
      <w:pPr>
        <w:tabs>
          <w:tab w:val="left" w:pos="6300"/>
        </w:tabs>
        <w:snapToGrid w:val="0"/>
        <w:spacing w:line="500" w:lineRule="exact"/>
        <w:ind w:firstLine="570"/>
        <w:rPr>
          <w:rFonts w:hint="eastAsia" w:ascii="宋体" w:hAnsi="宋体" w:eastAsia="宋体" w:cs="宋体"/>
        </w:rPr>
      </w:pPr>
    </w:p>
    <w:p w14:paraId="66FC92BA">
      <w:pPr>
        <w:tabs>
          <w:tab w:val="left" w:pos="6300"/>
        </w:tabs>
        <w:snapToGrid w:val="0"/>
        <w:spacing w:line="500" w:lineRule="exact"/>
        <w:ind w:firstLine="570"/>
        <w:rPr>
          <w:rFonts w:hint="eastAsia" w:ascii="宋体" w:hAnsi="宋体" w:eastAsia="宋体" w:cs="宋体"/>
        </w:rPr>
      </w:pPr>
    </w:p>
    <w:p w14:paraId="2909CC63">
      <w:pPr>
        <w:tabs>
          <w:tab w:val="left" w:pos="6300"/>
        </w:tabs>
        <w:snapToGrid w:val="0"/>
        <w:spacing w:line="500" w:lineRule="exact"/>
        <w:ind w:firstLine="570"/>
        <w:rPr>
          <w:rFonts w:hint="eastAsia" w:ascii="宋体" w:hAnsi="宋体" w:eastAsia="宋体" w:cs="宋体"/>
        </w:rPr>
      </w:pPr>
    </w:p>
    <w:p w14:paraId="6A0B067F">
      <w:pPr>
        <w:widowControl/>
        <w:ind w:firstLine="560" w:firstLineChars="200"/>
        <w:jc w:val="left"/>
        <w:rPr>
          <w:rFonts w:hint="eastAsia" w:ascii="宋体" w:hAnsi="宋体" w:eastAsia="宋体" w:cs="宋体"/>
        </w:rPr>
      </w:pPr>
      <w:r>
        <w:rPr>
          <w:rFonts w:hint="eastAsia" w:ascii="宋体" w:hAnsi="宋体" w:eastAsia="宋体" w:cs="宋体"/>
        </w:rPr>
        <w:br w:type="page"/>
      </w:r>
    </w:p>
    <w:p w14:paraId="07BFC213">
      <w:pPr>
        <w:widowControl/>
        <w:ind w:firstLine="480" w:firstLineChars="200"/>
        <w:jc w:val="left"/>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）特定资格条件证明材料</w:t>
      </w:r>
    </w:p>
    <w:p w14:paraId="15AC78D5">
      <w:pPr>
        <w:widowControl/>
        <w:ind w:firstLine="560" w:firstLineChars="200"/>
        <w:jc w:val="left"/>
        <w:rPr>
          <w:rFonts w:hint="eastAsia" w:ascii="宋体" w:hAnsi="宋体" w:eastAsia="宋体" w:cs="宋体"/>
        </w:rPr>
      </w:pPr>
    </w:p>
    <w:p w14:paraId="3D45280C">
      <w:pPr>
        <w:widowControl/>
        <w:ind w:firstLine="560" w:firstLineChars="200"/>
        <w:jc w:val="left"/>
        <w:rPr>
          <w:rFonts w:hint="eastAsia" w:ascii="宋体" w:hAnsi="宋体" w:eastAsia="宋体" w:cs="宋体"/>
        </w:rPr>
      </w:pPr>
    </w:p>
    <w:p w14:paraId="030AE3BA">
      <w:pPr>
        <w:widowControl/>
        <w:ind w:firstLine="560" w:firstLineChars="200"/>
        <w:jc w:val="left"/>
        <w:rPr>
          <w:rFonts w:hint="eastAsia" w:ascii="宋体" w:hAnsi="宋体" w:eastAsia="宋体" w:cs="宋体"/>
        </w:rPr>
      </w:pPr>
    </w:p>
    <w:p w14:paraId="6695236D">
      <w:pPr>
        <w:widowControl/>
        <w:ind w:firstLine="560" w:firstLineChars="200"/>
        <w:jc w:val="left"/>
        <w:rPr>
          <w:rFonts w:hint="eastAsia" w:ascii="宋体" w:hAnsi="宋体" w:eastAsia="宋体" w:cs="宋体"/>
        </w:rPr>
      </w:pPr>
    </w:p>
    <w:p w14:paraId="044A8763">
      <w:pPr>
        <w:widowControl/>
        <w:ind w:firstLine="560" w:firstLineChars="200"/>
        <w:jc w:val="left"/>
        <w:rPr>
          <w:rFonts w:hint="eastAsia" w:ascii="宋体" w:hAnsi="宋体" w:eastAsia="宋体" w:cs="宋体"/>
        </w:rPr>
      </w:pPr>
    </w:p>
    <w:p w14:paraId="01919384">
      <w:pPr>
        <w:widowControl/>
        <w:ind w:firstLine="560" w:firstLineChars="200"/>
        <w:jc w:val="left"/>
        <w:rPr>
          <w:rFonts w:hint="eastAsia" w:ascii="宋体" w:hAnsi="宋体" w:eastAsia="宋体" w:cs="宋体"/>
        </w:rPr>
      </w:pPr>
    </w:p>
    <w:p w14:paraId="5B8786BD">
      <w:pPr>
        <w:widowControl/>
        <w:ind w:firstLine="560" w:firstLineChars="200"/>
        <w:jc w:val="left"/>
        <w:rPr>
          <w:rFonts w:hint="eastAsia" w:ascii="宋体" w:hAnsi="宋体" w:eastAsia="宋体" w:cs="宋体"/>
        </w:rPr>
      </w:pPr>
    </w:p>
    <w:p w14:paraId="29EDA877">
      <w:pPr>
        <w:widowControl/>
        <w:ind w:firstLine="560" w:firstLineChars="200"/>
        <w:jc w:val="left"/>
        <w:rPr>
          <w:rFonts w:hint="eastAsia" w:ascii="宋体" w:hAnsi="宋体" w:eastAsia="宋体" w:cs="宋体"/>
        </w:rPr>
      </w:pPr>
    </w:p>
    <w:p w14:paraId="7A5F10DB">
      <w:pPr>
        <w:widowControl/>
        <w:ind w:firstLine="560" w:firstLineChars="200"/>
        <w:jc w:val="left"/>
        <w:rPr>
          <w:rFonts w:hint="eastAsia" w:ascii="宋体" w:hAnsi="宋体" w:eastAsia="宋体" w:cs="宋体"/>
        </w:rPr>
      </w:pPr>
    </w:p>
    <w:p w14:paraId="15544707">
      <w:pPr>
        <w:widowControl/>
        <w:ind w:firstLine="560" w:firstLineChars="200"/>
        <w:jc w:val="left"/>
        <w:rPr>
          <w:rFonts w:hint="eastAsia" w:ascii="宋体" w:hAnsi="宋体" w:eastAsia="宋体" w:cs="宋体"/>
        </w:rPr>
      </w:pPr>
    </w:p>
    <w:p w14:paraId="3827FB28">
      <w:pPr>
        <w:widowControl/>
        <w:ind w:firstLine="560" w:firstLineChars="200"/>
        <w:jc w:val="left"/>
        <w:rPr>
          <w:rFonts w:hint="eastAsia" w:ascii="宋体" w:hAnsi="宋体" w:eastAsia="宋体" w:cs="宋体"/>
        </w:rPr>
      </w:pPr>
    </w:p>
    <w:p w14:paraId="321580BF">
      <w:pPr>
        <w:widowControl/>
        <w:ind w:firstLine="560" w:firstLineChars="200"/>
        <w:jc w:val="left"/>
        <w:rPr>
          <w:rFonts w:hint="eastAsia" w:ascii="宋体" w:hAnsi="宋体" w:eastAsia="宋体" w:cs="宋体"/>
        </w:rPr>
      </w:pPr>
    </w:p>
    <w:p w14:paraId="14C41831">
      <w:pPr>
        <w:widowControl/>
        <w:ind w:firstLine="560" w:firstLineChars="200"/>
        <w:jc w:val="left"/>
        <w:rPr>
          <w:rFonts w:hint="eastAsia" w:ascii="宋体" w:hAnsi="宋体" w:eastAsia="宋体" w:cs="宋体"/>
        </w:rPr>
      </w:pPr>
    </w:p>
    <w:p w14:paraId="3579B4C1">
      <w:pPr>
        <w:widowControl/>
        <w:ind w:firstLine="560" w:firstLineChars="200"/>
        <w:jc w:val="left"/>
        <w:rPr>
          <w:rFonts w:hint="eastAsia" w:ascii="宋体" w:hAnsi="宋体" w:eastAsia="宋体" w:cs="宋体"/>
        </w:rPr>
      </w:pPr>
    </w:p>
    <w:p w14:paraId="67EAE339">
      <w:pPr>
        <w:widowControl/>
        <w:ind w:firstLine="560" w:firstLineChars="200"/>
        <w:jc w:val="left"/>
        <w:rPr>
          <w:rFonts w:hint="eastAsia" w:ascii="宋体" w:hAnsi="宋体" w:eastAsia="宋体" w:cs="宋体"/>
        </w:rPr>
      </w:pPr>
    </w:p>
    <w:p w14:paraId="4A11C9EE">
      <w:pPr>
        <w:widowControl/>
        <w:ind w:firstLine="560" w:firstLineChars="200"/>
        <w:jc w:val="left"/>
        <w:rPr>
          <w:rFonts w:hint="eastAsia" w:ascii="宋体" w:hAnsi="宋体" w:eastAsia="宋体" w:cs="宋体"/>
        </w:rPr>
      </w:pPr>
    </w:p>
    <w:p w14:paraId="004B5836">
      <w:pPr>
        <w:widowControl/>
        <w:ind w:firstLine="560" w:firstLineChars="200"/>
        <w:jc w:val="left"/>
        <w:rPr>
          <w:rFonts w:hint="eastAsia" w:ascii="宋体" w:hAnsi="宋体" w:eastAsia="宋体" w:cs="宋体"/>
        </w:rPr>
      </w:pPr>
    </w:p>
    <w:p w14:paraId="1C960476">
      <w:pPr>
        <w:widowControl/>
        <w:ind w:firstLine="560" w:firstLineChars="200"/>
        <w:jc w:val="left"/>
        <w:rPr>
          <w:rFonts w:hint="eastAsia" w:ascii="宋体" w:hAnsi="宋体" w:eastAsia="宋体" w:cs="宋体"/>
        </w:rPr>
      </w:pPr>
    </w:p>
    <w:p w14:paraId="60E6574B">
      <w:pPr>
        <w:widowControl/>
        <w:ind w:firstLine="560" w:firstLineChars="200"/>
        <w:jc w:val="left"/>
        <w:rPr>
          <w:rFonts w:hint="eastAsia" w:ascii="宋体" w:hAnsi="宋体" w:eastAsia="宋体" w:cs="宋体"/>
        </w:rPr>
      </w:pPr>
    </w:p>
    <w:p w14:paraId="6349BF77">
      <w:pPr>
        <w:widowControl/>
        <w:ind w:firstLine="560" w:firstLineChars="200"/>
        <w:jc w:val="left"/>
        <w:rPr>
          <w:rFonts w:hint="eastAsia" w:ascii="宋体" w:hAnsi="宋体" w:eastAsia="宋体" w:cs="宋体"/>
        </w:rPr>
      </w:pPr>
    </w:p>
    <w:p w14:paraId="5CD8BF2F">
      <w:pPr>
        <w:widowControl/>
        <w:ind w:firstLine="560" w:firstLineChars="200"/>
        <w:jc w:val="left"/>
        <w:rPr>
          <w:rFonts w:hint="eastAsia" w:ascii="宋体" w:hAnsi="宋体" w:eastAsia="宋体" w:cs="宋体"/>
        </w:rPr>
      </w:pPr>
    </w:p>
    <w:p w14:paraId="57EB8BC6">
      <w:pPr>
        <w:widowControl/>
        <w:ind w:firstLine="560" w:firstLineChars="200"/>
        <w:jc w:val="left"/>
        <w:rPr>
          <w:rFonts w:hint="eastAsia" w:ascii="宋体" w:hAnsi="宋体" w:eastAsia="宋体" w:cs="宋体"/>
        </w:rPr>
      </w:pPr>
    </w:p>
    <w:p w14:paraId="4FA703A4">
      <w:pPr>
        <w:widowControl/>
        <w:ind w:firstLine="560" w:firstLineChars="200"/>
        <w:jc w:val="left"/>
        <w:rPr>
          <w:rFonts w:hint="eastAsia" w:ascii="宋体" w:hAnsi="宋体" w:eastAsia="宋体" w:cs="宋体"/>
        </w:rPr>
      </w:pPr>
    </w:p>
    <w:p w14:paraId="47285E0A">
      <w:pPr>
        <w:widowControl/>
        <w:ind w:firstLine="560" w:firstLineChars="200"/>
        <w:jc w:val="left"/>
        <w:rPr>
          <w:rFonts w:hint="eastAsia" w:ascii="宋体" w:hAnsi="宋体" w:eastAsia="宋体" w:cs="宋体"/>
        </w:rPr>
      </w:pPr>
    </w:p>
    <w:p w14:paraId="0018D749">
      <w:pPr>
        <w:widowControl/>
        <w:ind w:firstLine="560" w:firstLineChars="200"/>
        <w:jc w:val="left"/>
        <w:rPr>
          <w:rFonts w:hint="eastAsia" w:ascii="宋体" w:hAnsi="宋体" w:eastAsia="宋体" w:cs="宋体"/>
        </w:rPr>
      </w:pPr>
    </w:p>
    <w:p w14:paraId="5862AC80">
      <w:pPr>
        <w:widowControl/>
        <w:ind w:firstLine="560" w:firstLineChars="200"/>
        <w:jc w:val="left"/>
        <w:rPr>
          <w:rFonts w:hint="eastAsia" w:ascii="宋体" w:hAnsi="宋体" w:eastAsia="宋体" w:cs="宋体"/>
        </w:rPr>
      </w:pPr>
    </w:p>
    <w:p w14:paraId="55AA4160">
      <w:pPr>
        <w:widowControl/>
        <w:ind w:firstLine="560" w:firstLineChars="200"/>
        <w:jc w:val="left"/>
        <w:rPr>
          <w:rFonts w:hint="eastAsia" w:ascii="宋体" w:hAnsi="宋体" w:eastAsia="宋体" w:cs="宋体"/>
        </w:rPr>
      </w:pPr>
    </w:p>
    <w:p w14:paraId="000214F8">
      <w:pPr>
        <w:widowControl/>
        <w:ind w:firstLine="560" w:firstLineChars="200"/>
        <w:jc w:val="left"/>
        <w:rPr>
          <w:rFonts w:hint="eastAsia" w:ascii="宋体" w:hAnsi="宋体" w:eastAsia="宋体" w:cs="宋体"/>
        </w:rPr>
      </w:pPr>
    </w:p>
    <w:p w14:paraId="4A9879DF">
      <w:pPr>
        <w:widowControl/>
        <w:ind w:firstLine="560" w:firstLineChars="200"/>
        <w:jc w:val="left"/>
        <w:rPr>
          <w:rFonts w:hint="eastAsia" w:ascii="宋体" w:hAnsi="宋体" w:eastAsia="宋体" w:cs="宋体"/>
        </w:rPr>
      </w:pPr>
    </w:p>
    <w:p w14:paraId="054D8EC4">
      <w:pPr>
        <w:widowControl/>
        <w:ind w:firstLine="560" w:firstLineChars="200"/>
        <w:jc w:val="left"/>
        <w:rPr>
          <w:rFonts w:hint="eastAsia" w:ascii="宋体" w:hAnsi="宋体" w:eastAsia="宋体" w:cs="宋体"/>
        </w:rPr>
      </w:pPr>
    </w:p>
    <w:p w14:paraId="06C754C7">
      <w:pPr>
        <w:widowControl/>
        <w:ind w:firstLine="560" w:firstLineChars="200"/>
        <w:jc w:val="left"/>
        <w:rPr>
          <w:rFonts w:hint="eastAsia" w:ascii="宋体" w:hAnsi="宋体" w:eastAsia="宋体" w:cs="宋体"/>
        </w:rPr>
      </w:pPr>
    </w:p>
    <w:p w14:paraId="7E6EB3E4">
      <w:pPr>
        <w:widowControl/>
        <w:ind w:firstLine="560" w:firstLineChars="200"/>
        <w:jc w:val="left"/>
        <w:rPr>
          <w:rFonts w:hint="eastAsia" w:ascii="宋体" w:hAnsi="宋体" w:eastAsia="宋体" w:cs="宋体"/>
        </w:rPr>
      </w:pPr>
    </w:p>
    <w:p w14:paraId="7F2355F8">
      <w:pPr>
        <w:widowControl/>
        <w:ind w:firstLine="560" w:firstLineChars="200"/>
        <w:jc w:val="left"/>
        <w:rPr>
          <w:rFonts w:hint="eastAsia" w:ascii="宋体" w:hAnsi="宋体" w:eastAsia="宋体" w:cs="宋体"/>
        </w:rPr>
      </w:pPr>
    </w:p>
    <w:p w14:paraId="224947C0">
      <w:pPr>
        <w:widowControl/>
        <w:ind w:firstLine="560" w:firstLineChars="200"/>
        <w:jc w:val="left"/>
        <w:rPr>
          <w:rFonts w:hint="eastAsia" w:ascii="宋体" w:hAnsi="宋体" w:eastAsia="宋体" w:cs="宋体"/>
        </w:rPr>
      </w:pPr>
    </w:p>
    <w:p w14:paraId="3C8E8FBE">
      <w:pPr>
        <w:widowControl/>
        <w:ind w:firstLine="560" w:firstLineChars="200"/>
        <w:jc w:val="left"/>
        <w:rPr>
          <w:rFonts w:hint="eastAsia" w:ascii="宋体" w:hAnsi="宋体" w:eastAsia="宋体" w:cs="宋体"/>
        </w:rPr>
      </w:pPr>
    </w:p>
    <w:p w14:paraId="74B4585F">
      <w:pPr>
        <w:widowControl/>
        <w:ind w:firstLine="560" w:firstLineChars="200"/>
        <w:jc w:val="left"/>
        <w:rPr>
          <w:rFonts w:hint="eastAsia" w:ascii="宋体" w:hAnsi="宋体" w:eastAsia="宋体" w:cs="宋体"/>
        </w:rPr>
      </w:pPr>
    </w:p>
    <w:p w14:paraId="3B2333E1">
      <w:pPr>
        <w:widowControl/>
        <w:ind w:firstLine="560" w:firstLineChars="200"/>
        <w:jc w:val="left"/>
        <w:rPr>
          <w:rFonts w:hint="eastAsia" w:ascii="宋体" w:hAnsi="宋体" w:eastAsia="宋体" w:cs="宋体"/>
        </w:rPr>
      </w:pPr>
    </w:p>
    <w:p w14:paraId="07584EFC">
      <w:pPr>
        <w:widowControl/>
        <w:ind w:firstLine="560" w:firstLineChars="200"/>
        <w:jc w:val="left"/>
        <w:rPr>
          <w:rFonts w:hint="eastAsia" w:ascii="宋体" w:hAnsi="宋体" w:eastAsia="宋体" w:cs="宋体"/>
        </w:rPr>
      </w:pPr>
    </w:p>
    <w:p w14:paraId="7B7629BE">
      <w:pPr>
        <w:widowControl/>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三</w:t>
      </w:r>
      <w:r>
        <w:rPr>
          <w:rFonts w:hint="eastAsia" w:ascii="宋体" w:hAnsi="宋体" w:eastAsia="宋体" w:cs="宋体"/>
          <w:sz w:val="24"/>
          <w:szCs w:val="24"/>
        </w:rPr>
        <w:t>）法定代表人身份证明书（格式）</w:t>
      </w:r>
    </w:p>
    <w:p w14:paraId="5E073F68">
      <w:pPr>
        <w:tabs>
          <w:tab w:val="left" w:pos="6300"/>
        </w:tabs>
        <w:snapToGrid w:val="0"/>
        <w:spacing w:line="500" w:lineRule="exact"/>
        <w:ind w:firstLine="570"/>
        <w:rPr>
          <w:rFonts w:hint="eastAsia" w:ascii="宋体" w:hAnsi="宋体" w:eastAsia="宋体" w:cs="宋体"/>
          <w:sz w:val="24"/>
          <w:szCs w:val="24"/>
        </w:rPr>
      </w:pPr>
    </w:p>
    <w:p w14:paraId="17585B34">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磋商项目名称：</w:t>
      </w:r>
      <w:r>
        <w:rPr>
          <w:rFonts w:hint="eastAsia" w:ascii="宋体" w:hAnsi="宋体" w:eastAsia="宋体" w:cs="宋体"/>
          <w:sz w:val="24"/>
          <w:szCs w:val="24"/>
          <w:u w:val="single"/>
        </w:rPr>
        <w:t xml:space="preserve">                                                </w:t>
      </w:r>
    </w:p>
    <w:p w14:paraId="407718E6">
      <w:pPr>
        <w:tabs>
          <w:tab w:val="left" w:pos="6300"/>
        </w:tabs>
        <w:snapToGrid w:val="0"/>
        <w:spacing w:line="500" w:lineRule="exact"/>
        <w:ind w:firstLine="570"/>
        <w:rPr>
          <w:rFonts w:hint="eastAsia" w:ascii="宋体" w:hAnsi="宋体" w:eastAsia="宋体" w:cs="宋体"/>
          <w:sz w:val="24"/>
          <w:szCs w:val="24"/>
        </w:rPr>
      </w:pPr>
    </w:p>
    <w:p w14:paraId="2D74AECC">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采购人</w:t>
      </w:r>
      <w:r>
        <w:rPr>
          <w:rFonts w:hint="eastAsia" w:ascii="宋体" w:hAnsi="宋体" w:eastAsia="宋体" w:cs="宋体"/>
          <w:sz w:val="24"/>
          <w:szCs w:val="24"/>
        </w:rPr>
        <w:t>名称）：</w:t>
      </w:r>
    </w:p>
    <w:p w14:paraId="69938440">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（法定代表人姓名）在</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（供应商名称）任</w:t>
      </w:r>
      <w:r>
        <w:rPr>
          <w:rFonts w:hint="eastAsia" w:ascii="宋体" w:hAnsi="宋体" w:eastAsia="宋体" w:cs="宋体"/>
          <w:sz w:val="24"/>
          <w:szCs w:val="24"/>
          <w:u w:val="single"/>
        </w:rPr>
        <w:t xml:space="preserve">    </w:t>
      </w:r>
      <w:r>
        <w:rPr>
          <w:rFonts w:hint="eastAsia" w:ascii="宋体" w:hAnsi="宋体" w:eastAsia="宋体" w:cs="宋体"/>
          <w:sz w:val="24"/>
          <w:szCs w:val="24"/>
        </w:rPr>
        <w:t>（职务名称）职务，是（供应商名称）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的法定代表人。</w:t>
      </w:r>
    </w:p>
    <w:p w14:paraId="34D162E5">
      <w:pPr>
        <w:tabs>
          <w:tab w:val="left" w:pos="6300"/>
        </w:tabs>
        <w:snapToGrid w:val="0"/>
        <w:spacing w:line="500" w:lineRule="exact"/>
        <w:ind w:firstLine="570"/>
        <w:rPr>
          <w:rFonts w:hint="eastAsia" w:ascii="宋体" w:hAnsi="宋体" w:eastAsia="宋体" w:cs="宋体"/>
          <w:sz w:val="24"/>
          <w:szCs w:val="24"/>
        </w:rPr>
      </w:pPr>
    </w:p>
    <w:p w14:paraId="4ED7CEC3">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特此证明。</w:t>
      </w:r>
    </w:p>
    <w:p w14:paraId="4764E8D4">
      <w:pPr>
        <w:tabs>
          <w:tab w:val="left" w:pos="6300"/>
        </w:tabs>
        <w:snapToGrid w:val="0"/>
        <w:spacing w:line="500" w:lineRule="exact"/>
        <w:ind w:firstLine="570"/>
        <w:rPr>
          <w:rFonts w:hint="eastAsia" w:ascii="宋体" w:hAnsi="宋体" w:eastAsia="宋体" w:cs="宋体"/>
          <w:sz w:val="24"/>
          <w:szCs w:val="24"/>
        </w:rPr>
      </w:pPr>
    </w:p>
    <w:p w14:paraId="4FC3C63B">
      <w:pPr>
        <w:tabs>
          <w:tab w:val="left" w:pos="6300"/>
        </w:tabs>
        <w:snapToGrid w:val="0"/>
        <w:spacing w:line="500" w:lineRule="exact"/>
        <w:ind w:firstLine="570"/>
        <w:rPr>
          <w:rFonts w:hint="eastAsia" w:ascii="宋体" w:hAnsi="宋体" w:eastAsia="宋体" w:cs="宋体"/>
          <w:sz w:val="24"/>
          <w:szCs w:val="24"/>
        </w:rPr>
      </w:pPr>
    </w:p>
    <w:p w14:paraId="2EB88027">
      <w:pPr>
        <w:tabs>
          <w:tab w:val="left" w:pos="6300"/>
        </w:tabs>
        <w:snapToGrid w:val="0"/>
        <w:spacing w:line="500" w:lineRule="exact"/>
        <w:ind w:firstLine="570"/>
        <w:rPr>
          <w:rFonts w:hint="eastAsia" w:ascii="宋体" w:hAnsi="宋体" w:eastAsia="宋体" w:cs="宋体"/>
          <w:sz w:val="24"/>
          <w:szCs w:val="24"/>
        </w:rPr>
      </w:pPr>
    </w:p>
    <w:p w14:paraId="7784B533">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（供应商公章）</w:t>
      </w:r>
    </w:p>
    <w:p w14:paraId="5F257931">
      <w:pPr>
        <w:tabs>
          <w:tab w:val="left" w:pos="6300"/>
        </w:tabs>
        <w:snapToGrid w:val="0"/>
        <w:spacing w:line="500" w:lineRule="exact"/>
        <w:ind w:firstLine="570"/>
        <w:rPr>
          <w:rFonts w:hint="eastAsia" w:ascii="宋体" w:hAnsi="宋体" w:eastAsia="宋体" w:cs="宋体"/>
          <w:sz w:val="24"/>
          <w:szCs w:val="24"/>
        </w:rPr>
      </w:pPr>
    </w:p>
    <w:p w14:paraId="31A98735">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14:paraId="5928C9C2">
      <w:pPr>
        <w:tabs>
          <w:tab w:val="left" w:pos="6300"/>
        </w:tabs>
        <w:snapToGrid w:val="0"/>
        <w:spacing w:line="500" w:lineRule="exact"/>
        <w:ind w:firstLine="570"/>
        <w:rPr>
          <w:rFonts w:hint="eastAsia" w:ascii="宋体" w:hAnsi="宋体" w:eastAsia="宋体" w:cs="宋体"/>
          <w:sz w:val="24"/>
          <w:szCs w:val="24"/>
        </w:rPr>
      </w:pPr>
    </w:p>
    <w:p w14:paraId="67C6197C">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sz w:val="24"/>
          <w:szCs w:val="24"/>
        </w:rPr>
        <w:t>（附：法定代表人身份证正反面复印件）</w:t>
      </w:r>
    </w:p>
    <w:p w14:paraId="1E1AF6E7">
      <w:pPr>
        <w:tabs>
          <w:tab w:val="left" w:pos="6300"/>
        </w:tabs>
        <w:snapToGrid w:val="0"/>
        <w:spacing w:line="500" w:lineRule="exact"/>
        <w:ind w:firstLine="570"/>
        <w:rPr>
          <w:rFonts w:hint="eastAsia" w:ascii="宋体" w:hAnsi="宋体" w:eastAsia="宋体" w:cs="宋体"/>
          <w:sz w:val="24"/>
        </w:rPr>
      </w:pPr>
    </w:p>
    <w:p w14:paraId="199AD742">
      <w:pPr>
        <w:tabs>
          <w:tab w:val="left" w:pos="6300"/>
        </w:tabs>
        <w:snapToGrid w:val="0"/>
        <w:spacing w:line="500" w:lineRule="exact"/>
        <w:ind w:firstLine="570"/>
        <w:rPr>
          <w:rFonts w:hint="eastAsia" w:ascii="宋体" w:hAnsi="宋体" w:eastAsia="宋体" w:cs="宋体"/>
          <w:sz w:val="24"/>
        </w:rPr>
      </w:pPr>
    </w:p>
    <w:p w14:paraId="63F597A6">
      <w:pPr>
        <w:tabs>
          <w:tab w:val="left" w:pos="6300"/>
        </w:tabs>
        <w:snapToGrid w:val="0"/>
        <w:spacing w:line="500" w:lineRule="exact"/>
        <w:ind w:firstLine="570"/>
        <w:rPr>
          <w:rFonts w:hint="eastAsia" w:ascii="宋体" w:hAnsi="宋体" w:eastAsia="宋体" w:cs="宋体"/>
          <w:sz w:val="24"/>
        </w:rPr>
      </w:pPr>
    </w:p>
    <w:p w14:paraId="58F23FAC">
      <w:pPr>
        <w:tabs>
          <w:tab w:val="left" w:pos="6300"/>
        </w:tabs>
        <w:snapToGrid w:val="0"/>
        <w:spacing w:line="500" w:lineRule="exact"/>
        <w:ind w:firstLine="570"/>
        <w:rPr>
          <w:rFonts w:hint="eastAsia" w:ascii="宋体" w:hAnsi="宋体" w:eastAsia="宋体" w:cs="宋体"/>
          <w:sz w:val="24"/>
        </w:rPr>
      </w:pPr>
    </w:p>
    <w:p w14:paraId="527489AF">
      <w:pPr>
        <w:tabs>
          <w:tab w:val="left" w:pos="6300"/>
        </w:tabs>
        <w:snapToGrid w:val="0"/>
        <w:spacing w:line="500" w:lineRule="exact"/>
        <w:ind w:firstLine="570"/>
        <w:rPr>
          <w:rFonts w:hint="eastAsia" w:ascii="宋体" w:hAnsi="宋体" w:eastAsia="宋体" w:cs="宋体"/>
          <w:sz w:val="24"/>
        </w:rPr>
      </w:pPr>
    </w:p>
    <w:p w14:paraId="537501E1">
      <w:pPr>
        <w:tabs>
          <w:tab w:val="left" w:pos="6300"/>
        </w:tabs>
        <w:snapToGrid w:val="0"/>
        <w:spacing w:line="500" w:lineRule="exact"/>
        <w:ind w:firstLine="570"/>
        <w:rPr>
          <w:rFonts w:hint="eastAsia" w:ascii="宋体" w:hAnsi="宋体" w:eastAsia="宋体" w:cs="宋体"/>
          <w:sz w:val="24"/>
        </w:rPr>
      </w:pPr>
    </w:p>
    <w:p w14:paraId="4081BB61">
      <w:pPr>
        <w:tabs>
          <w:tab w:val="left" w:pos="6300"/>
        </w:tabs>
        <w:snapToGrid w:val="0"/>
        <w:spacing w:line="500" w:lineRule="exact"/>
        <w:ind w:firstLine="570"/>
        <w:rPr>
          <w:rFonts w:hint="eastAsia" w:ascii="宋体" w:hAnsi="宋体" w:eastAsia="宋体" w:cs="宋体"/>
        </w:rPr>
      </w:pPr>
      <w:r>
        <w:rPr>
          <w:rFonts w:hint="eastAsia" w:ascii="宋体" w:hAnsi="宋体" w:eastAsia="宋体" w:cs="宋体"/>
        </w:rPr>
        <w:br w:type="column"/>
      </w:r>
      <w:r>
        <w:rPr>
          <w:rFonts w:hint="eastAsia" w:ascii="宋体" w:hAnsi="宋体" w:eastAsia="宋体" w:cs="宋体"/>
        </w:rPr>
        <w:t>（</w:t>
      </w:r>
      <w:r>
        <w:rPr>
          <w:rFonts w:hint="eastAsia" w:ascii="宋体" w:hAnsi="宋体" w:cs="宋体"/>
          <w:lang w:val="en-US" w:eastAsia="zh-CN"/>
        </w:rPr>
        <w:t>四</w:t>
      </w:r>
      <w:r>
        <w:rPr>
          <w:rFonts w:hint="eastAsia" w:ascii="宋体" w:hAnsi="宋体" w:eastAsia="宋体" w:cs="宋体"/>
        </w:rPr>
        <w:t>）法定代表人授权委托书（格式）</w:t>
      </w:r>
    </w:p>
    <w:p w14:paraId="1132D86F">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6DBDC2B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磋商项目名称</w:t>
      </w:r>
      <w:r>
        <w:rPr>
          <w:rFonts w:hint="eastAsia" w:ascii="宋体" w:hAnsi="宋体" w:eastAsia="宋体" w:cs="宋体"/>
          <w:sz w:val="24"/>
        </w:rPr>
        <w:t>：</w:t>
      </w:r>
      <w:r>
        <w:rPr>
          <w:rFonts w:hint="eastAsia" w:ascii="宋体" w:hAnsi="宋体" w:eastAsia="宋体" w:cs="宋体"/>
          <w:sz w:val="24"/>
          <w:u w:val="single"/>
        </w:rPr>
        <w:t xml:space="preserve">                                                </w:t>
      </w:r>
    </w:p>
    <w:p w14:paraId="08C5091E">
      <w:pPr>
        <w:tabs>
          <w:tab w:val="left" w:pos="6300"/>
        </w:tabs>
        <w:snapToGrid w:val="0"/>
        <w:spacing w:line="500" w:lineRule="exact"/>
        <w:ind w:firstLine="570"/>
        <w:rPr>
          <w:rFonts w:hint="eastAsia" w:ascii="宋体" w:hAnsi="宋体" w:eastAsia="宋体" w:cs="宋体"/>
          <w:sz w:val="24"/>
        </w:rPr>
      </w:pPr>
    </w:p>
    <w:p w14:paraId="7CA5BD92">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采购人</w:t>
      </w:r>
      <w:r>
        <w:rPr>
          <w:rFonts w:hint="eastAsia" w:ascii="宋体" w:hAnsi="宋体" w:eastAsia="宋体" w:cs="宋体"/>
          <w:sz w:val="24"/>
        </w:rPr>
        <w:t>名称）：</w:t>
      </w:r>
    </w:p>
    <w:p w14:paraId="60152823">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（被授权人姓名及身份证代码）代表我单位全权办理上述项目的磋商、签约等具体工作，并签署全部有关文件、协议及合同。</w:t>
      </w:r>
    </w:p>
    <w:p w14:paraId="28B3ABE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我单位对被授权人的签字负全部责任。</w:t>
      </w:r>
    </w:p>
    <w:p w14:paraId="190322E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在撤消授权的书面通知以前，本授权书一直有效。被授权人在授权书有效期内签署的所有文件不因授权的撤消而失效。</w:t>
      </w:r>
    </w:p>
    <w:p w14:paraId="507DD819">
      <w:pPr>
        <w:tabs>
          <w:tab w:val="left" w:pos="6300"/>
        </w:tabs>
        <w:snapToGrid w:val="0"/>
        <w:spacing w:line="500" w:lineRule="exact"/>
        <w:ind w:firstLine="570"/>
        <w:rPr>
          <w:rFonts w:hint="eastAsia" w:ascii="宋体" w:hAnsi="宋体" w:eastAsia="宋体" w:cs="宋体"/>
          <w:sz w:val="24"/>
        </w:rPr>
      </w:pPr>
    </w:p>
    <w:p w14:paraId="60865A24">
      <w:pPr>
        <w:tabs>
          <w:tab w:val="left" w:pos="6300"/>
        </w:tabs>
        <w:snapToGrid w:val="0"/>
        <w:spacing w:line="500" w:lineRule="exact"/>
        <w:ind w:firstLine="570"/>
        <w:rPr>
          <w:rFonts w:hint="eastAsia" w:ascii="宋体" w:hAnsi="宋体" w:eastAsia="宋体" w:cs="宋体"/>
          <w:sz w:val="24"/>
        </w:rPr>
      </w:pPr>
    </w:p>
    <w:p w14:paraId="06456D48">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751C5C04">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（签字或盖章）                                （签字或盖章）</w:t>
      </w:r>
    </w:p>
    <w:p w14:paraId="2F545DFE">
      <w:pPr>
        <w:tabs>
          <w:tab w:val="left" w:pos="6300"/>
        </w:tabs>
        <w:snapToGrid w:val="0"/>
        <w:spacing w:line="500" w:lineRule="exact"/>
        <w:ind w:firstLine="570"/>
        <w:rPr>
          <w:rFonts w:hint="eastAsia" w:ascii="宋体" w:hAnsi="宋体" w:eastAsia="宋体" w:cs="宋体"/>
          <w:sz w:val="24"/>
          <w:szCs w:val="28"/>
        </w:rPr>
      </w:pPr>
    </w:p>
    <w:p w14:paraId="3F974030">
      <w:pPr>
        <w:tabs>
          <w:tab w:val="left" w:pos="6300"/>
        </w:tabs>
        <w:snapToGrid w:val="0"/>
        <w:spacing w:line="500" w:lineRule="exact"/>
        <w:ind w:firstLine="570"/>
        <w:rPr>
          <w:rFonts w:hint="eastAsia" w:ascii="宋体" w:hAnsi="宋体" w:eastAsia="宋体" w:cs="宋体"/>
          <w:sz w:val="24"/>
        </w:rPr>
      </w:pPr>
    </w:p>
    <w:p w14:paraId="06DC4AE7">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4D009F38">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14:paraId="6A1E6479">
      <w:pPr>
        <w:tabs>
          <w:tab w:val="left" w:pos="6300"/>
        </w:tabs>
        <w:snapToGrid w:val="0"/>
        <w:spacing w:line="500" w:lineRule="exact"/>
        <w:ind w:firstLine="570"/>
        <w:rPr>
          <w:rFonts w:hint="eastAsia" w:ascii="宋体" w:hAnsi="宋体" w:eastAsia="宋体" w:cs="宋体"/>
          <w:sz w:val="24"/>
        </w:rPr>
      </w:pPr>
    </w:p>
    <w:p w14:paraId="03008757">
      <w:pPr>
        <w:tabs>
          <w:tab w:val="left" w:pos="6300"/>
        </w:tabs>
        <w:snapToGrid w:val="0"/>
        <w:spacing w:line="500" w:lineRule="exact"/>
        <w:ind w:firstLine="570"/>
        <w:rPr>
          <w:rFonts w:hint="eastAsia" w:ascii="宋体" w:hAnsi="宋体" w:eastAsia="宋体" w:cs="宋体"/>
          <w:sz w:val="24"/>
        </w:rPr>
      </w:pPr>
    </w:p>
    <w:p w14:paraId="00CDE018">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14:paraId="71267DD3">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5D4D3BC8">
      <w:pPr>
        <w:tabs>
          <w:tab w:val="left" w:pos="6300"/>
        </w:tabs>
        <w:snapToGrid w:val="0"/>
        <w:spacing w:line="500" w:lineRule="exact"/>
        <w:ind w:firstLine="570"/>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w:t>
      </w:r>
      <w:r>
        <w:rPr>
          <w:rFonts w:hint="eastAsia" w:ascii="宋体" w:hAnsi="宋体" w:cs="宋体"/>
          <w:sz w:val="24"/>
          <w:szCs w:val="24"/>
          <w:lang w:val="en-US" w:eastAsia="zh-CN"/>
        </w:rPr>
        <w:t>五</w:t>
      </w:r>
      <w:r>
        <w:rPr>
          <w:rFonts w:hint="eastAsia" w:ascii="宋体" w:hAnsi="宋体" w:eastAsia="宋体" w:cs="宋体"/>
          <w:sz w:val="24"/>
          <w:szCs w:val="24"/>
        </w:rPr>
        <w:t>）基本资格条件承诺函</w:t>
      </w:r>
    </w:p>
    <w:p w14:paraId="55A7DC9C">
      <w:pPr>
        <w:tabs>
          <w:tab w:val="left" w:pos="6300"/>
        </w:tabs>
        <w:snapToGrid w:val="0"/>
        <w:spacing w:line="500" w:lineRule="exact"/>
        <w:ind w:firstLine="570"/>
        <w:rPr>
          <w:rFonts w:hint="eastAsia" w:ascii="宋体" w:hAnsi="宋体" w:eastAsia="宋体" w:cs="宋体"/>
          <w:sz w:val="24"/>
          <w:szCs w:val="24"/>
        </w:rPr>
      </w:pPr>
    </w:p>
    <w:p w14:paraId="046604FC">
      <w:pPr>
        <w:tabs>
          <w:tab w:val="left" w:pos="6300"/>
        </w:tabs>
        <w:snapToGrid w:val="0"/>
        <w:spacing w:line="53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基本资格条件承诺函</w:t>
      </w:r>
    </w:p>
    <w:p w14:paraId="0EEF45B4">
      <w:pPr>
        <w:tabs>
          <w:tab w:val="left" w:pos="6300"/>
        </w:tabs>
        <w:snapToGrid w:val="0"/>
        <w:spacing w:line="530" w:lineRule="exact"/>
        <w:rPr>
          <w:rFonts w:hint="eastAsia" w:ascii="宋体" w:hAnsi="宋体" w:eastAsia="宋体" w:cs="宋体"/>
          <w:color w:val="auto"/>
          <w:sz w:val="24"/>
          <w:szCs w:val="24"/>
        </w:rPr>
      </w:pPr>
    </w:p>
    <w:p w14:paraId="260477EF">
      <w:pPr>
        <w:tabs>
          <w:tab w:val="left" w:pos="6300"/>
        </w:tabs>
        <w:snapToGrid w:val="0"/>
        <w:spacing w:line="530" w:lineRule="exac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采购人名称</w:t>
      </w:r>
      <w:r>
        <w:rPr>
          <w:rFonts w:hint="eastAsia" w:ascii="宋体" w:hAnsi="宋体" w:eastAsia="宋体" w:cs="宋体"/>
          <w:color w:val="auto"/>
          <w:sz w:val="24"/>
          <w:szCs w:val="24"/>
        </w:rPr>
        <w:t>）：</w:t>
      </w:r>
    </w:p>
    <w:p w14:paraId="69979508">
      <w:pPr>
        <w:tabs>
          <w:tab w:val="left" w:pos="6300"/>
        </w:tabs>
        <w:snapToGrid w:val="0"/>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名称）郑重承诺：</w:t>
      </w:r>
    </w:p>
    <w:p w14:paraId="5B40CE03">
      <w:pPr>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1.我方具有良好的商业信誉和健全的财务会计制度，具有履行合同所必需的设备和专业技术能力，具</w:t>
      </w:r>
      <w:r>
        <w:rPr>
          <w:rFonts w:hint="eastAsia" w:ascii="宋体" w:hAnsi="宋体" w:eastAsia="宋体" w:cs="宋体"/>
          <w:color w:val="auto"/>
          <w:sz w:val="24"/>
          <w:szCs w:val="24"/>
          <w:lang w:val="zh-CN"/>
        </w:rPr>
        <w:t>有依法缴纳税收</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lang w:val="zh-CN"/>
        </w:rPr>
        <w:t>社会保障金的良好记录</w:t>
      </w:r>
      <w:r>
        <w:rPr>
          <w:rFonts w:hint="eastAsia" w:ascii="宋体" w:hAnsi="宋体" w:eastAsia="宋体" w:cs="宋体"/>
          <w:color w:val="auto"/>
          <w:sz w:val="24"/>
          <w:szCs w:val="24"/>
        </w:rPr>
        <w:t>，参加本项目采购活动前三年内无重大违法活动记录。</w:t>
      </w:r>
    </w:p>
    <w:p w14:paraId="2637C8D6">
      <w:pPr>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14863D3E">
      <w:pPr>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3.我方在采购项目评审（评标）环节结束后，随时接受采购人、采购代理机构的检查验证，配合提供相关证明材料，证明符合《中华人民共和国政府采购法》规定的投标人基本资格条件。</w:t>
      </w:r>
    </w:p>
    <w:p w14:paraId="08219D5A">
      <w:pPr>
        <w:tabs>
          <w:tab w:val="left" w:pos="6300"/>
        </w:tabs>
        <w:snapToGrid w:val="0"/>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我方对以上承诺负全部法律责任。</w:t>
      </w:r>
    </w:p>
    <w:p w14:paraId="7F753AE2">
      <w:pPr>
        <w:tabs>
          <w:tab w:val="left" w:pos="6300"/>
        </w:tabs>
        <w:snapToGrid w:val="0"/>
        <w:spacing w:line="53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3F4D9F0A">
      <w:pPr>
        <w:tabs>
          <w:tab w:val="left" w:pos="6300"/>
        </w:tabs>
        <w:snapToGrid w:val="0"/>
        <w:spacing w:line="500" w:lineRule="exact"/>
        <w:ind w:firstLine="570"/>
        <w:rPr>
          <w:rFonts w:hint="eastAsia" w:ascii="宋体" w:hAnsi="宋体" w:eastAsia="宋体" w:cs="宋体"/>
          <w:sz w:val="24"/>
          <w:szCs w:val="24"/>
        </w:rPr>
      </w:pPr>
    </w:p>
    <w:p w14:paraId="20D99885">
      <w:pPr>
        <w:tabs>
          <w:tab w:val="left" w:pos="6300"/>
        </w:tabs>
        <w:snapToGrid w:val="0"/>
        <w:spacing w:line="500" w:lineRule="exact"/>
        <w:ind w:firstLine="570"/>
        <w:rPr>
          <w:rFonts w:hint="eastAsia" w:ascii="宋体" w:hAnsi="宋体" w:eastAsia="宋体" w:cs="宋体"/>
          <w:sz w:val="24"/>
          <w:szCs w:val="24"/>
        </w:rPr>
      </w:pPr>
    </w:p>
    <w:p w14:paraId="3D26A125">
      <w:pPr>
        <w:tabs>
          <w:tab w:val="left" w:pos="6300"/>
        </w:tabs>
        <w:snapToGrid w:val="0"/>
        <w:spacing w:line="500" w:lineRule="exact"/>
        <w:ind w:right="424" w:firstLine="570"/>
        <w:jc w:val="right"/>
        <w:rPr>
          <w:rFonts w:hint="eastAsia" w:ascii="宋体" w:hAnsi="宋体" w:eastAsia="宋体" w:cs="宋体"/>
          <w:sz w:val="24"/>
          <w:szCs w:val="24"/>
        </w:rPr>
      </w:pPr>
      <w:r>
        <w:rPr>
          <w:rFonts w:hint="eastAsia" w:ascii="宋体" w:hAnsi="宋体" w:eastAsia="宋体" w:cs="宋体"/>
          <w:sz w:val="24"/>
          <w:szCs w:val="24"/>
        </w:rPr>
        <w:t>（供应商公章）</w:t>
      </w:r>
    </w:p>
    <w:p w14:paraId="0DD23A1E">
      <w:pPr>
        <w:tabs>
          <w:tab w:val="left" w:pos="6300"/>
        </w:tabs>
        <w:snapToGrid w:val="0"/>
        <w:spacing w:line="500" w:lineRule="exact"/>
        <w:ind w:right="480" w:firstLine="570"/>
        <w:jc w:val="right"/>
        <w:rPr>
          <w:rFonts w:hint="eastAsia" w:ascii="宋体" w:hAnsi="宋体" w:eastAsia="宋体" w:cs="宋体"/>
          <w:sz w:val="24"/>
          <w:szCs w:val="24"/>
        </w:rPr>
      </w:pPr>
      <w:r>
        <w:rPr>
          <w:rFonts w:hint="eastAsia" w:ascii="宋体" w:hAnsi="宋体" w:eastAsia="宋体" w:cs="宋体"/>
          <w:sz w:val="24"/>
          <w:szCs w:val="24"/>
        </w:rPr>
        <w:t>年   月   日</w:t>
      </w:r>
    </w:p>
    <w:p w14:paraId="1F6C9F15">
      <w:pPr>
        <w:tabs>
          <w:tab w:val="left" w:pos="6300"/>
        </w:tabs>
        <w:snapToGrid w:val="0"/>
        <w:spacing w:line="500" w:lineRule="exact"/>
        <w:ind w:right="1680"/>
        <w:rPr>
          <w:rFonts w:hint="eastAsia" w:ascii="宋体" w:hAnsi="宋体" w:eastAsia="宋体" w:cs="宋体"/>
          <w:sz w:val="24"/>
        </w:rPr>
      </w:pPr>
    </w:p>
    <w:p w14:paraId="69BB247A">
      <w:pPr>
        <w:tabs>
          <w:tab w:val="left" w:pos="6300"/>
        </w:tabs>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5CE6CF49">
      <w:pPr>
        <w:tabs>
          <w:tab w:val="left" w:pos="6300"/>
        </w:tabs>
        <w:snapToGrid w:val="0"/>
        <w:spacing w:line="500" w:lineRule="exact"/>
        <w:ind w:firstLine="480" w:firstLineChars="200"/>
        <w:rPr>
          <w:rFonts w:hint="eastAsia" w:ascii="宋体" w:hAnsi="宋体" w:eastAsia="宋体" w:cs="宋体"/>
          <w:sz w:val="24"/>
          <w:szCs w:val="24"/>
        </w:rPr>
      </w:pPr>
    </w:p>
    <w:p w14:paraId="7598D018">
      <w:pPr>
        <w:tabs>
          <w:tab w:val="left" w:pos="6300"/>
        </w:tabs>
        <w:snapToGrid w:val="0"/>
        <w:spacing w:line="500" w:lineRule="exact"/>
        <w:ind w:firstLine="480" w:firstLineChars="200"/>
        <w:rPr>
          <w:rFonts w:hint="eastAsia" w:ascii="宋体" w:hAnsi="宋体" w:eastAsia="宋体" w:cs="宋体"/>
          <w:sz w:val="24"/>
          <w:szCs w:val="24"/>
        </w:rPr>
      </w:pPr>
    </w:p>
    <w:p w14:paraId="49993DF0">
      <w:pPr>
        <w:tabs>
          <w:tab w:val="left" w:pos="6300"/>
        </w:tabs>
        <w:snapToGrid w:val="0"/>
        <w:spacing w:line="500" w:lineRule="exact"/>
        <w:ind w:firstLine="480" w:firstLineChars="200"/>
        <w:rPr>
          <w:rFonts w:hint="eastAsia" w:ascii="宋体" w:hAnsi="宋体" w:eastAsia="宋体" w:cs="宋体"/>
          <w:sz w:val="24"/>
          <w:szCs w:val="24"/>
        </w:rPr>
      </w:pPr>
    </w:p>
    <w:p w14:paraId="30E3AA30">
      <w:pPr>
        <w:tabs>
          <w:tab w:val="left" w:pos="6300"/>
        </w:tabs>
        <w:snapToGrid w:val="0"/>
        <w:spacing w:line="500" w:lineRule="exact"/>
        <w:ind w:firstLine="480" w:firstLineChars="200"/>
        <w:rPr>
          <w:rFonts w:hint="eastAsia" w:ascii="宋体" w:hAnsi="宋体" w:eastAsia="宋体" w:cs="宋体"/>
          <w:sz w:val="24"/>
          <w:szCs w:val="24"/>
        </w:rPr>
      </w:pPr>
    </w:p>
    <w:p w14:paraId="5BC87D1C">
      <w:pPr>
        <w:pStyle w:val="5"/>
        <w:spacing w:before="0" w:after="0" w:line="360" w:lineRule="auto"/>
        <w:rPr>
          <w:rFonts w:hint="eastAsia" w:ascii="宋体" w:hAnsi="宋体" w:eastAsia="宋体" w:cs="宋体"/>
          <w:sz w:val="24"/>
          <w:szCs w:val="24"/>
        </w:rPr>
      </w:pPr>
      <w:bookmarkStart w:id="133" w:name="_Toc14422"/>
      <w:bookmarkStart w:id="134" w:name="_Toc6756"/>
      <w:r>
        <w:rPr>
          <w:rFonts w:hint="eastAsia" w:ascii="宋体" w:hAnsi="宋体" w:eastAsia="宋体" w:cs="宋体"/>
          <w:sz w:val="24"/>
          <w:szCs w:val="24"/>
        </w:rPr>
        <w:t>五、其他资料</w:t>
      </w:r>
      <w:bookmarkEnd w:id="133"/>
      <w:bookmarkEnd w:id="134"/>
    </w:p>
    <w:p w14:paraId="388564BD">
      <w:pPr>
        <w:spacing w:line="360" w:lineRule="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eastAsia="宋体" w:cs="宋体"/>
          <w:sz w:val="24"/>
          <w:szCs w:val="24"/>
        </w:rPr>
        <w:t>其他与项目有关的资料（自附）</w:t>
      </w:r>
    </w:p>
    <w:p w14:paraId="4B3D2658">
      <w:pPr>
        <w:spacing w:line="360" w:lineRule="auto"/>
        <w:ind w:firstLine="480" w:firstLineChars="200"/>
        <w:rPr>
          <w:rFonts w:hint="eastAsia" w:ascii="宋体" w:hAnsi="宋体" w:eastAsia="宋体" w:cs="宋体"/>
          <w:sz w:val="24"/>
          <w:szCs w:val="24"/>
        </w:rPr>
      </w:pPr>
    </w:p>
    <w:p w14:paraId="325860A9">
      <w:pPr>
        <w:spacing w:line="360" w:lineRule="auto"/>
        <w:ind w:firstLine="480" w:firstLineChars="200"/>
        <w:jc w:val="center"/>
        <w:rPr>
          <w:rFonts w:hint="eastAsia" w:ascii="宋体" w:hAnsi="宋体" w:eastAsia="宋体" w:cs="宋体"/>
          <w:sz w:val="24"/>
          <w:szCs w:val="24"/>
        </w:rPr>
      </w:pPr>
    </w:p>
    <w:p w14:paraId="7FADD917">
      <w:pPr>
        <w:spacing w:line="360" w:lineRule="auto"/>
        <w:ind w:firstLine="480" w:firstLineChars="200"/>
        <w:jc w:val="center"/>
        <w:rPr>
          <w:rFonts w:hint="eastAsia" w:ascii="宋体" w:hAnsi="宋体" w:eastAsia="宋体" w:cs="宋体"/>
          <w:sz w:val="24"/>
          <w:szCs w:val="24"/>
        </w:rPr>
      </w:pPr>
    </w:p>
    <w:p w14:paraId="392A26FB">
      <w:pPr>
        <w:spacing w:line="360" w:lineRule="auto"/>
        <w:ind w:firstLine="480" w:firstLineChars="200"/>
        <w:jc w:val="center"/>
        <w:rPr>
          <w:rFonts w:hint="eastAsia" w:ascii="宋体" w:hAnsi="宋体" w:eastAsia="宋体" w:cs="宋体"/>
          <w:sz w:val="24"/>
          <w:szCs w:val="24"/>
        </w:rPr>
      </w:pPr>
    </w:p>
    <w:p w14:paraId="333E6132">
      <w:pPr>
        <w:spacing w:line="360" w:lineRule="auto"/>
        <w:ind w:firstLine="480" w:firstLineChars="200"/>
        <w:jc w:val="center"/>
        <w:rPr>
          <w:rFonts w:hint="eastAsia" w:ascii="宋体" w:hAnsi="宋体" w:eastAsia="宋体" w:cs="宋体"/>
          <w:sz w:val="24"/>
          <w:szCs w:val="24"/>
        </w:rPr>
      </w:pPr>
    </w:p>
    <w:p w14:paraId="52BF54BD">
      <w:pPr>
        <w:spacing w:line="360" w:lineRule="auto"/>
        <w:ind w:firstLine="480" w:firstLineChars="200"/>
        <w:jc w:val="center"/>
        <w:rPr>
          <w:rFonts w:hint="eastAsia" w:ascii="宋体" w:hAnsi="宋体" w:eastAsia="宋体" w:cs="宋体"/>
          <w:sz w:val="24"/>
          <w:szCs w:val="24"/>
        </w:rPr>
      </w:pPr>
    </w:p>
    <w:p w14:paraId="72866F2D">
      <w:pPr>
        <w:spacing w:line="360" w:lineRule="auto"/>
        <w:ind w:firstLine="480" w:firstLineChars="200"/>
        <w:jc w:val="center"/>
        <w:rPr>
          <w:rFonts w:hint="eastAsia" w:ascii="宋体" w:hAnsi="宋体" w:eastAsia="宋体" w:cs="宋体"/>
          <w:sz w:val="24"/>
          <w:szCs w:val="24"/>
        </w:rPr>
      </w:pPr>
    </w:p>
    <w:p w14:paraId="20F71967">
      <w:pPr>
        <w:spacing w:line="360" w:lineRule="auto"/>
        <w:ind w:firstLine="480" w:firstLineChars="200"/>
        <w:jc w:val="center"/>
        <w:rPr>
          <w:rFonts w:hint="eastAsia" w:ascii="宋体" w:hAnsi="宋体" w:eastAsia="宋体" w:cs="宋体"/>
          <w:sz w:val="24"/>
          <w:szCs w:val="24"/>
        </w:rPr>
      </w:pPr>
    </w:p>
    <w:p w14:paraId="7C883B3E">
      <w:pPr>
        <w:spacing w:line="360" w:lineRule="auto"/>
        <w:ind w:firstLine="480" w:firstLineChars="200"/>
        <w:jc w:val="center"/>
        <w:rPr>
          <w:rFonts w:hint="eastAsia" w:ascii="宋体" w:hAnsi="宋体" w:eastAsia="宋体" w:cs="宋体"/>
          <w:sz w:val="24"/>
          <w:szCs w:val="24"/>
        </w:rPr>
      </w:pPr>
    </w:p>
    <w:p w14:paraId="09935E41">
      <w:pPr>
        <w:spacing w:line="360" w:lineRule="auto"/>
        <w:ind w:firstLine="480" w:firstLineChars="200"/>
        <w:jc w:val="center"/>
        <w:rPr>
          <w:rFonts w:hint="eastAsia" w:ascii="宋体" w:hAnsi="宋体" w:eastAsia="宋体" w:cs="宋体"/>
          <w:sz w:val="24"/>
          <w:szCs w:val="24"/>
        </w:rPr>
      </w:pPr>
    </w:p>
    <w:p w14:paraId="5E50F021">
      <w:pPr>
        <w:spacing w:line="360" w:lineRule="auto"/>
        <w:ind w:firstLine="480" w:firstLineChars="200"/>
        <w:jc w:val="center"/>
        <w:rPr>
          <w:rFonts w:hint="eastAsia" w:ascii="宋体" w:hAnsi="宋体" w:eastAsia="宋体" w:cs="宋体"/>
          <w:sz w:val="24"/>
          <w:szCs w:val="24"/>
        </w:rPr>
      </w:pPr>
    </w:p>
    <w:p w14:paraId="38AF4595">
      <w:pPr>
        <w:spacing w:line="360" w:lineRule="auto"/>
        <w:ind w:firstLine="480" w:firstLineChars="200"/>
        <w:jc w:val="center"/>
        <w:rPr>
          <w:rFonts w:hint="eastAsia" w:ascii="宋体" w:hAnsi="宋体" w:eastAsia="宋体" w:cs="宋体"/>
          <w:sz w:val="24"/>
          <w:szCs w:val="24"/>
        </w:rPr>
      </w:pPr>
    </w:p>
    <w:p w14:paraId="050D8C14">
      <w:pPr>
        <w:spacing w:line="360" w:lineRule="auto"/>
        <w:ind w:firstLine="480" w:firstLineChars="200"/>
        <w:jc w:val="center"/>
        <w:rPr>
          <w:rFonts w:hint="eastAsia" w:ascii="宋体" w:hAnsi="宋体" w:eastAsia="宋体" w:cs="宋体"/>
          <w:sz w:val="24"/>
          <w:szCs w:val="24"/>
        </w:rPr>
      </w:pPr>
    </w:p>
    <w:p w14:paraId="35AB2024">
      <w:pPr>
        <w:spacing w:line="360" w:lineRule="auto"/>
        <w:ind w:firstLine="480" w:firstLineChars="200"/>
        <w:jc w:val="center"/>
        <w:rPr>
          <w:rFonts w:hint="eastAsia" w:ascii="宋体" w:hAnsi="宋体" w:eastAsia="宋体" w:cs="宋体"/>
          <w:sz w:val="24"/>
          <w:szCs w:val="24"/>
        </w:rPr>
      </w:pPr>
    </w:p>
    <w:p w14:paraId="2DCAB4DA">
      <w:pPr>
        <w:spacing w:line="360" w:lineRule="auto"/>
        <w:ind w:firstLine="480" w:firstLineChars="200"/>
        <w:jc w:val="center"/>
        <w:rPr>
          <w:rFonts w:hint="eastAsia" w:ascii="宋体" w:hAnsi="宋体" w:eastAsia="宋体" w:cs="宋体"/>
          <w:sz w:val="24"/>
          <w:szCs w:val="24"/>
        </w:rPr>
      </w:pPr>
    </w:p>
    <w:p w14:paraId="6FF08C12">
      <w:pPr>
        <w:spacing w:line="360" w:lineRule="auto"/>
        <w:ind w:firstLine="480" w:firstLineChars="200"/>
        <w:jc w:val="center"/>
        <w:rPr>
          <w:rFonts w:hint="eastAsia" w:ascii="宋体" w:hAnsi="宋体" w:eastAsia="宋体" w:cs="宋体"/>
          <w:sz w:val="24"/>
          <w:szCs w:val="24"/>
        </w:rPr>
      </w:pPr>
    </w:p>
    <w:p w14:paraId="2083A9B8">
      <w:pPr>
        <w:pStyle w:val="5"/>
        <w:rPr>
          <w:rFonts w:hint="eastAsia"/>
        </w:rPr>
      </w:pPr>
    </w:p>
    <w:p w14:paraId="357188F5">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（结束）</w:t>
      </w:r>
    </w:p>
    <w:p w14:paraId="19EBC7CD">
      <w:pPr>
        <w:pStyle w:val="2"/>
        <w:rPr>
          <w:rFonts w:hint="eastAsia" w:ascii="宋体" w:hAnsi="宋体" w:eastAsia="宋体" w:cs="宋体"/>
        </w:rPr>
      </w:pPr>
    </w:p>
    <w:p w14:paraId="6717DB48">
      <w:pPr>
        <w:pStyle w:val="2"/>
        <w:rPr>
          <w:rFonts w:hint="eastAsia" w:ascii="宋体" w:hAnsi="宋体" w:eastAsia="宋体" w:cs="宋体"/>
        </w:rPr>
      </w:pPr>
    </w:p>
    <w:p w14:paraId="6871841A">
      <w:pPr>
        <w:pStyle w:val="2"/>
        <w:rPr>
          <w:rFonts w:hint="eastAsia" w:ascii="宋体" w:hAnsi="宋体" w:eastAsia="宋体" w:cs="宋体"/>
        </w:rPr>
      </w:pPr>
    </w:p>
    <w:p w14:paraId="3BAD30A0">
      <w:pPr>
        <w:rPr>
          <w:rFonts w:hint="eastAsia" w:ascii="宋体" w:hAnsi="宋体" w:eastAsia="宋体" w:cs="宋体"/>
        </w:rPr>
      </w:pPr>
    </w:p>
    <w:p w14:paraId="12237252">
      <w:pPr>
        <w:pStyle w:val="2"/>
        <w:rPr>
          <w:rFonts w:hint="eastAsia" w:ascii="宋体" w:hAnsi="宋体" w:eastAsia="宋体" w:cs="宋体"/>
        </w:rPr>
      </w:pPr>
    </w:p>
    <w:p w14:paraId="2920BCCC">
      <w:pPr>
        <w:rPr>
          <w:rFonts w:hint="eastAsia" w:ascii="宋体" w:hAnsi="宋体" w:eastAsia="宋体" w:cs="宋体"/>
        </w:rPr>
      </w:pPr>
    </w:p>
    <w:p w14:paraId="06E44620">
      <w:pPr>
        <w:pStyle w:val="5"/>
        <w:rPr>
          <w:rFonts w:hint="eastAsia"/>
        </w:rPr>
      </w:pPr>
    </w:p>
    <w:p w14:paraId="1CC7CC58">
      <w:pPr>
        <w:pStyle w:val="2"/>
        <w:rPr>
          <w:rFonts w:hint="eastAsia" w:ascii="宋体" w:hAnsi="宋体" w:eastAsia="宋体" w:cs="宋体"/>
        </w:rPr>
      </w:pPr>
    </w:p>
    <w:p w14:paraId="73071A71">
      <w:pPr>
        <w:pStyle w:val="2"/>
        <w:rPr>
          <w:rFonts w:hint="eastAsia" w:ascii="宋体" w:hAnsi="宋体" w:eastAsia="宋体" w:cs="宋体"/>
        </w:rPr>
      </w:pPr>
    </w:p>
    <w:p w14:paraId="5A1C5931">
      <w:pPr>
        <w:jc w:val="center"/>
        <w:rPr>
          <w:rFonts w:hint="eastAsia" w:ascii="宋体" w:hAnsi="宋体" w:eastAsia="宋体" w:cs="宋体"/>
          <w:b/>
          <w:bCs/>
          <w:sz w:val="44"/>
          <w:szCs w:val="44"/>
        </w:rPr>
      </w:pPr>
      <w:bookmarkStart w:id="135" w:name="_Toc28290"/>
      <w:bookmarkStart w:id="136" w:name="_Toc477027621"/>
      <w:r>
        <w:rPr>
          <w:rFonts w:hint="eastAsia" w:ascii="宋体" w:hAnsi="宋体" w:eastAsia="宋体" w:cs="宋体"/>
          <w:b/>
          <w:bCs/>
          <w:sz w:val="44"/>
          <w:szCs w:val="44"/>
        </w:rPr>
        <w:t xml:space="preserve">  </w:t>
      </w:r>
    </w:p>
    <w:p w14:paraId="4EC6DDBD">
      <w:pPr>
        <w:jc w:val="center"/>
        <w:rPr>
          <w:rFonts w:hint="eastAsia" w:ascii="宋体" w:hAnsi="宋体" w:eastAsia="宋体" w:cs="宋体"/>
          <w:b/>
          <w:bCs/>
          <w:sz w:val="32"/>
          <w:szCs w:val="32"/>
        </w:rPr>
      </w:pPr>
      <w:r>
        <w:rPr>
          <w:rFonts w:hint="eastAsia" w:ascii="宋体" w:hAnsi="宋体" w:eastAsia="宋体" w:cs="宋体"/>
          <w:b/>
          <w:bCs/>
          <w:sz w:val="32"/>
          <w:szCs w:val="32"/>
        </w:rPr>
        <w:t>附件一：磋商文件发售登记表</w:t>
      </w:r>
    </w:p>
    <w:p w14:paraId="5933DE70">
      <w:pPr>
        <w:jc w:val="left"/>
        <w:rPr>
          <w:rFonts w:hint="eastAsia" w:ascii="宋体" w:hAnsi="宋体" w:eastAsia="宋体" w:cs="宋体"/>
          <w:b/>
          <w:bCs/>
          <w:spacing w:val="40"/>
        </w:rPr>
      </w:pPr>
    </w:p>
    <w:tbl>
      <w:tblPr>
        <w:tblStyle w:val="61"/>
        <w:tblW w:w="990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2185"/>
        <w:gridCol w:w="1511"/>
        <w:gridCol w:w="4150"/>
      </w:tblGrid>
      <w:tr w14:paraId="324963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54" w:type="dxa"/>
            <w:vAlign w:val="center"/>
          </w:tcPr>
          <w:p w14:paraId="0A0D4A52">
            <w:pPr>
              <w:pStyle w:val="250"/>
              <w:keepNext w:val="0"/>
              <w:keepLines w:val="0"/>
              <w:widowControl/>
              <w:suppressLineNumbers w:val="0"/>
              <w:spacing w:before="0" w:beforeAutospacing="0" w:after="0" w:afterAutospacing="0"/>
              <w:ind w:left="0" w:right="0"/>
              <w:rPr>
                <w:rFonts w:hint="eastAsia" w:ascii="宋体" w:hAnsi="宋体" w:eastAsia="宋体" w:cs="宋体"/>
                <w:sz w:val="28"/>
                <w:szCs w:val="28"/>
              </w:rPr>
            </w:pPr>
            <w:r>
              <w:rPr>
                <w:rFonts w:hint="eastAsia" w:ascii="宋体" w:hAnsi="宋体" w:eastAsia="宋体" w:cs="宋体"/>
                <w:b w:val="0"/>
                <w:sz w:val="28"/>
                <w:szCs w:val="28"/>
              </w:rPr>
              <w:t>采购执行编号</w:t>
            </w:r>
          </w:p>
        </w:tc>
        <w:tc>
          <w:tcPr>
            <w:tcW w:w="7846" w:type="dxa"/>
            <w:gridSpan w:val="3"/>
            <w:vAlign w:val="center"/>
          </w:tcPr>
          <w:p w14:paraId="5B375A8C">
            <w:pPr>
              <w:keepNext w:val="0"/>
              <w:keepLines w:val="0"/>
              <w:suppressLineNumbers w:val="0"/>
              <w:spacing w:before="0" w:beforeAutospacing="0" w:after="0" w:afterAutospacing="0"/>
              <w:ind w:left="0" w:right="0"/>
              <w:jc w:val="center"/>
              <w:rPr>
                <w:rFonts w:hint="eastAsia" w:ascii="宋体" w:hAnsi="宋体" w:eastAsia="宋体" w:cs="宋体"/>
                <w:szCs w:val="28"/>
              </w:rPr>
            </w:pPr>
          </w:p>
        </w:tc>
      </w:tr>
      <w:tr w14:paraId="62FBA0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054" w:type="dxa"/>
            <w:vAlign w:val="center"/>
          </w:tcPr>
          <w:p w14:paraId="557AF27B">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项目名称</w:t>
            </w:r>
          </w:p>
        </w:tc>
        <w:tc>
          <w:tcPr>
            <w:tcW w:w="7846" w:type="dxa"/>
            <w:gridSpan w:val="3"/>
            <w:vAlign w:val="center"/>
          </w:tcPr>
          <w:p w14:paraId="4A91EA15">
            <w:pPr>
              <w:pStyle w:val="23"/>
              <w:keepNext w:val="0"/>
              <w:keepLines w:val="0"/>
              <w:suppressLineNumbers w:val="0"/>
              <w:spacing w:before="0" w:beforeAutospacing="0" w:after="0" w:afterAutospacing="0" w:line="500" w:lineRule="exact"/>
              <w:ind w:left="0" w:right="0"/>
              <w:jc w:val="center"/>
              <w:outlineLvl w:val="0"/>
              <w:rPr>
                <w:rFonts w:hint="eastAsia" w:ascii="宋体" w:hAnsi="宋体" w:eastAsia="宋体" w:cs="宋体"/>
                <w:sz w:val="28"/>
                <w:szCs w:val="28"/>
                <w:lang w:val="en-US" w:eastAsia="zh-CN"/>
              </w:rPr>
            </w:pPr>
          </w:p>
        </w:tc>
      </w:tr>
      <w:tr w14:paraId="24CBD5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2054" w:type="dxa"/>
            <w:vAlign w:val="center"/>
          </w:tcPr>
          <w:p w14:paraId="2159DB2F">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cs="宋体"/>
                <w:szCs w:val="28"/>
                <w:lang w:val="en-US" w:eastAsia="zh-CN"/>
              </w:rPr>
              <w:t>供应商</w:t>
            </w:r>
            <w:r>
              <w:rPr>
                <w:rFonts w:hint="eastAsia" w:ascii="宋体" w:hAnsi="宋体" w:eastAsia="宋体" w:cs="宋体"/>
                <w:szCs w:val="28"/>
              </w:rPr>
              <w:t>名称</w:t>
            </w:r>
          </w:p>
        </w:tc>
        <w:tc>
          <w:tcPr>
            <w:tcW w:w="7846" w:type="dxa"/>
            <w:gridSpan w:val="3"/>
            <w:vAlign w:val="bottom"/>
          </w:tcPr>
          <w:p w14:paraId="354C766B">
            <w:pPr>
              <w:keepNext w:val="0"/>
              <w:keepLines w:val="0"/>
              <w:suppressLineNumbers w:val="0"/>
              <w:spacing w:before="0" w:beforeAutospacing="0" w:after="0" w:afterAutospacing="0"/>
              <w:ind w:left="0" w:right="0"/>
              <w:jc w:val="both"/>
              <w:rPr>
                <w:rFonts w:hint="eastAsia" w:ascii="宋体" w:hAnsi="宋体" w:eastAsia="宋体" w:cs="宋体"/>
                <w:szCs w:val="28"/>
              </w:rPr>
            </w:pPr>
          </w:p>
          <w:p w14:paraId="12563E20">
            <w:pPr>
              <w:keepNext w:val="0"/>
              <w:keepLines w:val="0"/>
              <w:suppressLineNumbers w:val="0"/>
              <w:spacing w:before="0" w:beforeAutospacing="0" w:after="0" w:afterAutospacing="0"/>
              <w:ind w:left="0" w:right="0"/>
              <w:jc w:val="right"/>
              <w:rPr>
                <w:rFonts w:hint="eastAsia" w:ascii="宋体" w:hAnsi="宋体" w:eastAsia="宋体" w:cs="宋体"/>
                <w:szCs w:val="28"/>
              </w:rPr>
            </w:pPr>
          </w:p>
          <w:p w14:paraId="2B844C36">
            <w:pPr>
              <w:keepNext w:val="0"/>
              <w:keepLines w:val="0"/>
              <w:suppressLineNumbers w:val="0"/>
              <w:spacing w:before="0" w:beforeAutospacing="0" w:after="0" w:afterAutospacing="0"/>
              <w:ind w:left="0" w:right="0"/>
              <w:jc w:val="right"/>
              <w:rPr>
                <w:rFonts w:hint="eastAsia" w:ascii="宋体" w:hAnsi="宋体" w:eastAsia="宋体" w:cs="宋体"/>
                <w:szCs w:val="28"/>
              </w:rPr>
            </w:pPr>
          </w:p>
          <w:p w14:paraId="508B3281">
            <w:pPr>
              <w:keepNext w:val="0"/>
              <w:keepLines w:val="0"/>
              <w:suppressLineNumbers w:val="0"/>
              <w:spacing w:before="0" w:beforeAutospacing="0" w:after="0" w:afterAutospacing="0"/>
              <w:ind w:left="0" w:right="0"/>
              <w:jc w:val="right"/>
              <w:rPr>
                <w:rFonts w:hint="eastAsia" w:ascii="宋体" w:hAnsi="宋体" w:eastAsia="宋体" w:cs="宋体"/>
                <w:szCs w:val="28"/>
              </w:rPr>
            </w:pPr>
            <w:r>
              <w:rPr>
                <w:rFonts w:hint="eastAsia" w:ascii="宋体" w:hAnsi="宋体" w:eastAsia="宋体" w:cs="宋体"/>
                <w:szCs w:val="28"/>
              </w:rPr>
              <w:t>（</w:t>
            </w:r>
            <w:r>
              <w:rPr>
                <w:rFonts w:hint="eastAsia" w:ascii="宋体" w:hAnsi="宋体" w:cs="宋体"/>
                <w:szCs w:val="28"/>
                <w:lang w:val="en-US" w:eastAsia="zh-CN"/>
              </w:rPr>
              <w:t>供应商</w:t>
            </w:r>
            <w:r>
              <w:rPr>
                <w:rFonts w:hint="eastAsia" w:ascii="宋体" w:hAnsi="宋体" w:eastAsia="宋体" w:cs="宋体"/>
                <w:szCs w:val="28"/>
              </w:rPr>
              <w:t>公章）</w:t>
            </w:r>
          </w:p>
        </w:tc>
      </w:tr>
      <w:tr w14:paraId="68D65F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7EF82C51">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联系人</w:t>
            </w:r>
          </w:p>
        </w:tc>
        <w:tc>
          <w:tcPr>
            <w:tcW w:w="2185" w:type="dxa"/>
            <w:vAlign w:val="center"/>
          </w:tcPr>
          <w:p w14:paraId="4B7833EC">
            <w:pPr>
              <w:keepNext w:val="0"/>
              <w:keepLines w:val="0"/>
              <w:suppressLineNumbers w:val="0"/>
              <w:spacing w:before="0" w:beforeAutospacing="0" w:after="0" w:afterAutospacing="0"/>
              <w:ind w:left="0" w:right="0"/>
              <w:jc w:val="left"/>
              <w:rPr>
                <w:rFonts w:hint="eastAsia" w:ascii="宋体" w:hAnsi="宋体" w:eastAsia="宋体" w:cs="宋体"/>
                <w:szCs w:val="28"/>
              </w:rPr>
            </w:pPr>
          </w:p>
        </w:tc>
        <w:tc>
          <w:tcPr>
            <w:tcW w:w="1511" w:type="dxa"/>
            <w:vAlign w:val="center"/>
          </w:tcPr>
          <w:p w14:paraId="5C773E2A">
            <w:pPr>
              <w:keepNext w:val="0"/>
              <w:keepLines w:val="0"/>
              <w:suppressLineNumbers w:val="0"/>
              <w:spacing w:before="0" w:beforeAutospacing="0" w:after="0" w:afterAutospacing="0"/>
              <w:ind w:left="0" w:right="0"/>
              <w:jc w:val="left"/>
              <w:rPr>
                <w:rFonts w:hint="eastAsia" w:ascii="宋体" w:hAnsi="宋体" w:eastAsia="宋体" w:cs="宋体"/>
                <w:szCs w:val="28"/>
              </w:rPr>
            </w:pPr>
            <w:r>
              <w:rPr>
                <w:rFonts w:hint="eastAsia" w:ascii="宋体" w:hAnsi="宋体" w:eastAsia="宋体" w:cs="宋体"/>
                <w:szCs w:val="28"/>
              </w:rPr>
              <w:t>手机</w:t>
            </w:r>
          </w:p>
        </w:tc>
        <w:tc>
          <w:tcPr>
            <w:tcW w:w="4150" w:type="dxa"/>
            <w:vAlign w:val="center"/>
          </w:tcPr>
          <w:p w14:paraId="2E726308">
            <w:pPr>
              <w:keepNext w:val="0"/>
              <w:keepLines w:val="0"/>
              <w:suppressLineNumbers w:val="0"/>
              <w:spacing w:before="0" w:beforeAutospacing="0" w:after="0" w:afterAutospacing="0"/>
              <w:ind w:left="0" w:right="0"/>
              <w:jc w:val="left"/>
              <w:rPr>
                <w:rFonts w:hint="eastAsia" w:ascii="宋体" w:hAnsi="宋体" w:eastAsia="宋体" w:cs="宋体"/>
                <w:szCs w:val="28"/>
              </w:rPr>
            </w:pPr>
          </w:p>
        </w:tc>
      </w:tr>
      <w:tr w14:paraId="16D329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349FD4AC">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办公电话</w:t>
            </w:r>
          </w:p>
        </w:tc>
        <w:tc>
          <w:tcPr>
            <w:tcW w:w="2185" w:type="dxa"/>
            <w:vAlign w:val="center"/>
          </w:tcPr>
          <w:p w14:paraId="717E32E5">
            <w:pPr>
              <w:keepNext w:val="0"/>
              <w:keepLines w:val="0"/>
              <w:suppressLineNumbers w:val="0"/>
              <w:spacing w:before="0" w:beforeAutospacing="0" w:after="0" w:afterAutospacing="0"/>
              <w:ind w:left="0" w:right="0"/>
              <w:jc w:val="left"/>
              <w:rPr>
                <w:rFonts w:hint="eastAsia" w:ascii="宋体" w:hAnsi="宋体" w:eastAsia="宋体" w:cs="宋体"/>
                <w:szCs w:val="28"/>
              </w:rPr>
            </w:pPr>
          </w:p>
        </w:tc>
        <w:tc>
          <w:tcPr>
            <w:tcW w:w="1511" w:type="dxa"/>
            <w:vAlign w:val="center"/>
          </w:tcPr>
          <w:p w14:paraId="48EC49B1">
            <w:pPr>
              <w:keepNext w:val="0"/>
              <w:keepLines w:val="0"/>
              <w:suppressLineNumbers w:val="0"/>
              <w:spacing w:before="0" w:beforeAutospacing="0" w:after="0" w:afterAutospacing="0"/>
              <w:ind w:left="0" w:right="0"/>
              <w:jc w:val="left"/>
              <w:rPr>
                <w:rFonts w:hint="eastAsia" w:ascii="宋体" w:hAnsi="宋体" w:eastAsia="宋体" w:cs="宋体"/>
                <w:szCs w:val="28"/>
              </w:rPr>
            </w:pPr>
            <w:r>
              <w:rPr>
                <w:rFonts w:hint="eastAsia" w:ascii="宋体" w:hAnsi="宋体" w:eastAsia="宋体" w:cs="宋体"/>
                <w:szCs w:val="28"/>
              </w:rPr>
              <w:t>传真</w:t>
            </w:r>
          </w:p>
        </w:tc>
        <w:tc>
          <w:tcPr>
            <w:tcW w:w="4150" w:type="dxa"/>
            <w:vAlign w:val="center"/>
          </w:tcPr>
          <w:p w14:paraId="0FC58B0F">
            <w:pPr>
              <w:keepNext w:val="0"/>
              <w:keepLines w:val="0"/>
              <w:suppressLineNumbers w:val="0"/>
              <w:spacing w:before="0" w:beforeAutospacing="0" w:after="0" w:afterAutospacing="0"/>
              <w:ind w:left="0" w:right="0"/>
              <w:jc w:val="left"/>
              <w:rPr>
                <w:rFonts w:hint="eastAsia" w:ascii="宋体" w:hAnsi="宋体" w:eastAsia="宋体" w:cs="宋体"/>
                <w:szCs w:val="28"/>
              </w:rPr>
            </w:pPr>
          </w:p>
        </w:tc>
      </w:tr>
      <w:tr w14:paraId="42FA16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54" w:type="dxa"/>
            <w:vAlign w:val="center"/>
          </w:tcPr>
          <w:p w14:paraId="5ECC982D">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E-mail</w:t>
            </w:r>
          </w:p>
        </w:tc>
        <w:tc>
          <w:tcPr>
            <w:tcW w:w="7846" w:type="dxa"/>
            <w:gridSpan w:val="3"/>
            <w:vAlign w:val="center"/>
          </w:tcPr>
          <w:p w14:paraId="5A3CCB2E">
            <w:pPr>
              <w:keepNext w:val="0"/>
              <w:keepLines w:val="0"/>
              <w:suppressLineNumbers w:val="0"/>
              <w:spacing w:before="0" w:beforeAutospacing="0" w:after="0" w:afterAutospacing="0"/>
              <w:ind w:left="0" w:right="0"/>
              <w:jc w:val="left"/>
              <w:rPr>
                <w:rFonts w:hint="eastAsia" w:ascii="宋体" w:hAnsi="宋体" w:eastAsia="宋体" w:cs="宋体"/>
                <w:szCs w:val="28"/>
              </w:rPr>
            </w:pPr>
          </w:p>
        </w:tc>
      </w:tr>
      <w:tr w14:paraId="3491C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054" w:type="dxa"/>
            <w:vAlign w:val="center"/>
          </w:tcPr>
          <w:p w14:paraId="4D3D7D2E">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单位地址</w:t>
            </w:r>
          </w:p>
        </w:tc>
        <w:tc>
          <w:tcPr>
            <w:tcW w:w="7846" w:type="dxa"/>
            <w:gridSpan w:val="3"/>
            <w:vAlign w:val="center"/>
          </w:tcPr>
          <w:p w14:paraId="6D384F68">
            <w:pPr>
              <w:keepNext w:val="0"/>
              <w:keepLines w:val="0"/>
              <w:suppressLineNumbers w:val="0"/>
              <w:spacing w:before="0" w:beforeAutospacing="0" w:after="0" w:afterAutospacing="0"/>
              <w:ind w:left="0" w:right="0"/>
              <w:jc w:val="left"/>
              <w:rPr>
                <w:rFonts w:hint="eastAsia" w:ascii="宋体" w:hAnsi="宋体" w:eastAsia="宋体" w:cs="宋体"/>
                <w:szCs w:val="28"/>
              </w:rPr>
            </w:pPr>
          </w:p>
        </w:tc>
      </w:tr>
      <w:tr w14:paraId="7AEB9C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54" w:type="dxa"/>
            <w:vAlign w:val="center"/>
          </w:tcPr>
          <w:p w14:paraId="42CA61DE">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购买时间</w:t>
            </w:r>
          </w:p>
        </w:tc>
        <w:tc>
          <w:tcPr>
            <w:tcW w:w="7846" w:type="dxa"/>
            <w:gridSpan w:val="3"/>
            <w:vAlign w:val="center"/>
          </w:tcPr>
          <w:p w14:paraId="5D898CDF">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年   月   日</w:t>
            </w:r>
          </w:p>
        </w:tc>
      </w:tr>
      <w:tr w14:paraId="4A536F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054" w:type="dxa"/>
            <w:vAlign w:val="center"/>
          </w:tcPr>
          <w:p w14:paraId="6BB64FA7">
            <w:pPr>
              <w:keepNext w:val="0"/>
              <w:keepLines w:val="0"/>
              <w:suppressLineNumbers w:val="0"/>
              <w:spacing w:before="0" w:beforeAutospacing="0" w:after="0" w:afterAutospacing="0"/>
              <w:ind w:left="0" w:right="0"/>
              <w:jc w:val="center"/>
              <w:rPr>
                <w:rFonts w:hint="eastAsia" w:ascii="宋体" w:hAnsi="宋体" w:eastAsia="宋体" w:cs="宋体"/>
                <w:szCs w:val="28"/>
              </w:rPr>
            </w:pPr>
            <w:r>
              <w:rPr>
                <w:rFonts w:hint="eastAsia" w:ascii="宋体" w:hAnsi="宋体" w:eastAsia="宋体" w:cs="宋体"/>
                <w:szCs w:val="28"/>
              </w:rPr>
              <w:t>备注</w:t>
            </w:r>
          </w:p>
        </w:tc>
        <w:tc>
          <w:tcPr>
            <w:tcW w:w="7846" w:type="dxa"/>
            <w:gridSpan w:val="3"/>
            <w:vAlign w:val="center"/>
          </w:tcPr>
          <w:p w14:paraId="1B2F1BE7">
            <w:pPr>
              <w:keepNext w:val="0"/>
              <w:keepLines w:val="0"/>
              <w:suppressLineNumbers w:val="0"/>
              <w:spacing w:before="0" w:beforeAutospacing="0" w:after="0" w:afterAutospacing="0"/>
              <w:ind w:left="0" w:right="0"/>
              <w:jc w:val="center"/>
              <w:rPr>
                <w:rFonts w:hint="eastAsia" w:ascii="宋体" w:hAnsi="宋体" w:eastAsia="宋体" w:cs="宋体"/>
                <w:szCs w:val="28"/>
              </w:rPr>
            </w:pPr>
          </w:p>
        </w:tc>
      </w:tr>
    </w:tbl>
    <w:p w14:paraId="2DD4D7B3">
      <w:pPr>
        <w:ind w:firstLine="560" w:firstLineChars="200"/>
        <w:jc w:val="left"/>
        <w:rPr>
          <w:rFonts w:hint="eastAsia" w:ascii="宋体" w:hAnsi="宋体" w:eastAsia="宋体" w:cs="宋体"/>
          <w:szCs w:val="28"/>
        </w:rPr>
      </w:pPr>
    </w:p>
    <w:bookmarkEnd w:id="135"/>
    <w:bookmarkEnd w:id="136"/>
    <w:p w14:paraId="703DB0A7">
      <w:pPr>
        <w:jc w:val="left"/>
        <w:rPr>
          <w:rFonts w:hint="eastAsia" w:ascii="宋体" w:hAnsi="宋体" w:eastAsia="宋体" w:cs="宋体"/>
          <w:szCs w:val="28"/>
        </w:rPr>
      </w:pPr>
      <w:r>
        <w:rPr>
          <w:rFonts w:hint="eastAsia" w:ascii="宋体" w:hAnsi="宋体" w:eastAsia="宋体" w:cs="宋体"/>
          <w:szCs w:val="28"/>
        </w:rPr>
        <w:t xml:space="preserve">采购文件售价：500元/份             发售人：明科建设咨询有限公司  </w:t>
      </w:r>
    </w:p>
    <w:p w14:paraId="3D489077">
      <w:pPr>
        <w:pStyle w:val="60"/>
        <w:rPr>
          <w:rFonts w:hint="eastAsia" w:ascii="宋体" w:hAnsi="宋体" w:eastAsia="宋体" w:cs="宋体"/>
          <w:szCs w:val="28"/>
        </w:rPr>
      </w:pPr>
    </w:p>
    <w:p w14:paraId="3AF6262C">
      <w:pPr>
        <w:pStyle w:val="60"/>
        <w:rPr>
          <w:rFonts w:hint="eastAsia" w:ascii="宋体" w:hAnsi="宋体" w:eastAsia="宋体" w:cs="宋体"/>
          <w:szCs w:val="28"/>
        </w:rPr>
      </w:pPr>
    </w:p>
    <w:p w14:paraId="242224EB">
      <w:pPr>
        <w:pStyle w:val="60"/>
        <w:rPr>
          <w:rFonts w:hint="eastAsia" w:ascii="宋体" w:hAnsi="宋体" w:eastAsia="宋体" w:cs="宋体"/>
          <w:szCs w:val="28"/>
        </w:rPr>
      </w:pPr>
    </w:p>
    <w:p w14:paraId="504B13C5">
      <w:pPr>
        <w:pStyle w:val="91"/>
        <w:jc w:val="both"/>
        <w:rPr>
          <w:rFonts w:hint="eastAsia" w:ascii="黑体" w:hAnsi="黑体" w:eastAsia="黑体" w:cs="黑体"/>
          <w:color w:val="auto"/>
          <w:highlight w:val="none"/>
        </w:rPr>
      </w:pPr>
    </w:p>
    <w:p w14:paraId="76D1C443">
      <w:pPr>
        <w:pStyle w:val="91"/>
        <w:jc w:val="both"/>
        <w:rPr>
          <w:rFonts w:hint="eastAsia" w:ascii="黑体" w:hAnsi="黑体" w:eastAsia="黑体" w:cs="黑体"/>
          <w:color w:val="auto"/>
          <w:highlight w:val="none"/>
        </w:rPr>
      </w:pPr>
      <w:bookmarkStart w:id="137" w:name="_Toc29564"/>
      <w:r>
        <w:rPr>
          <w:rFonts w:hint="eastAsia" w:ascii="黑体" w:hAnsi="黑体" w:eastAsia="黑体" w:cs="黑体"/>
          <w:color w:val="auto"/>
          <w:highlight w:val="none"/>
        </w:rPr>
        <w:t>附件</w:t>
      </w:r>
      <w:r>
        <w:rPr>
          <w:rFonts w:hint="eastAsia" w:ascii="黑体" w:hAnsi="黑体" w:eastAsia="黑体" w:cs="黑体"/>
          <w:color w:val="auto"/>
          <w:highlight w:val="none"/>
          <w:lang w:val="en-US" w:eastAsia="zh-CN"/>
        </w:rPr>
        <w:t>二</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最后报价表</w:t>
      </w:r>
      <w:bookmarkEnd w:id="137"/>
      <w:r>
        <w:rPr>
          <w:rFonts w:hint="eastAsia" w:ascii="黑体" w:hAnsi="黑体" w:eastAsia="黑体" w:cs="黑体"/>
          <w:color w:val="auto"/>
          <w:highlight w:val="none"/>
        </w:rPr>
        <w:t xml:space="preserve">  </w:t>
      </w:r>
    </w:p>
    <w:p w14:paraId="438619D3">
      <w:pPr>
        <w:ind w:firstLine="480"/>
        <w:rPr>
          <w:rFonts w:hint="eastAsia" w:ascii="黑体" w:hAnsi="黑体" w:eastAsia="黑体" w:cs="黑体"/>
          <w:color w:val="auto"/>
          <w:highlight w:val="none"/>
        </w:rPr>
      </w:pPr>
    </w:p>
    <w:p w14:paraId="47A525F0">
      <w:pPr>
        <w:jc w:val="center"/>
        <w:rPr>
          <w:rFonts w:hint="eastAsia" w:ascii="黑体" w:hAnsi="黑体" w:eastAsia="黑体" w:cs="黑体"/>
          <w:b/>
          <w:bCs/>
          <w:smallCaps/>
          <w:color w:val="auto"/>
          <w:kern w:val="2"/>
          <w:sz w:val="28"/>
          <w:highlight w:val="none"/>
          <w:lang w:val="en-US" w:eastAsia="zh-CN" w:bidi="ar-SA"/>
        </w:rPr>
      </w:pPr>
      <w:r>
        <w:rPr>
          <w:rFonts w:hint="eastAsia" w:ascii="黑体" w:hAnsi="黑体" w:eastAsia="黑体" w:cs="黑体"/>
          <w:b/>
          <w:bCs/>
          <w:smallCaps/>
          <w:color w:val="auto"/>
          <w:kern w:val="2"/>
          <w:sz w:val="28"/>
          <w:highlight w:val="none"/>
          <w:lang w:val="en-US" w:eastAsia="zh-CN" w:bidi="ar-SA"/>
        </w:rPr>
        <w:t>最后报价表</w:t>
      </w:r>
    </w:p>
    <w:p w14:paraId="14316011">
      <w:pPr>
        <w:numPr>
          <w:ilvl w:val="0"/>
          <w:numId w:val="0"/>
        </w:numPr>
        <w:tabs>
          <w:tab w:val="left" w:pos="6300"/>
        </w:tabs>
        <w:snapToGrid w:val="0"/>
        <w:spacing w:line="500" w:lineRule="exact"/>
        <w:ind w:left="0" w:right="0" w:firstLine="560"/>
        <w:rPr>
          <w:rFonts w:hint="eastAsia" w:ascii="黑体" w:hAnsi="黑体" w:eastAsia="黑体" w:cs="黑体"/>
          <w:color w:val="auto"/>
          <w:szCs w:val="22"/>
          <w:highlight w:val="none"/>
        </w:rPr>
      </w:pPr>
    </w:p>
    <w:p w14:paraId="61A25C10">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sz w:val="24"/>
          <w:szCs w:val="22"/>
          <w:highlight w:val="none"/>
          <w:u w:val="single"/>
          <w:lang w:val="en-US" w:eastAsia="zh-CN"/>
        </w:rPr>
        <w:t xml:space="preserve">           （</w:t>
      </w:r>
      <w:r>
        <w:rPr>
          <w:rFonts w:hint="eastAsia" w:ascii="黑体" w:hAnsi="黑体" w:eastAsia="黑体" w:cs="黑体"/>
          <w:color w:val="auto"/>
          <w:kern w:val="0"/>
          <w:sz w:val="24"/>
          <w:highlight w:val="none"/>
          <w:u w:val="single"/>
          <w:lang w:val="en-US" w:eastAsia="zh-CN"/>
        </w:rPr>
        <w:t>采购人名称）</w:t>
      </w:r>
      <w:r>
        <w:rPr>
          <w:rFonts w:hint="eastAsia" w:ascii="黑体" w:hAnsi="黑体" w:eastAsia="黑体" w:cs="黑体"/>
          <w:color w:val="auto"/>
          <w:sz w:val="24"/>
          <w:szCs w:val="22"/>
          <w:highlight w:val="none"/>
        </w:rPr>
        <w:t>：</w:t>
      </w:r>
    </w:p>
    <w:p w14:paraId="2200A478">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根据磋商会议上明确的各项要求，本人代表本公司对</w:t>
      </w:r>
      <w:r>
        <w:rPr>
          <w:rFonts w:hint="eastAsia" w:ascii="黑体" w:hAnsi="黑体" w:eastAsia="黑体" w:cs="黑体"/>
          <w:color w:val="auto"/>
          <w:sz w:val="24"/>
          <w:szCs w:val="22"/>
          <w:highlight w:val="none"/>
        </w:rPr>
        <w:t xml:space="preserve"> </w:t>
      </w:r>
      <w:r>
        <w:rPr>
          <w:rFonts w:hint="eastAsia" w:ascii="黑体" w:hAnsi="黑体" w:eastAsia="黑体" w:cs="黑体"/>
          <w:color w:val="auto"/>
          <w:sz w:val="24"/>
          <w:szCs w:val="22"/>
          <w:highlight w:val="none"/>
          <w:u w:val="single"/>
        </w:rPr>
        <w:t xml:space="preserve">       （</w:t>
      </w:r>
      <w:r>
        <w:rPr>
          <w:rFonts w:hint="eastAsia" w:ascii="黑体" w:hAnsi="黑体" w:eastAsia="黑体" w:cs="黑体"/>
          <w:color w:val="auto"/>
          <w:kern w:val="0"/>
          <w:sz w:val="24"/>
          <w:highlight w:val="none"/>
          <w:u w:val="single"/>
          <w:lang w:val="en-US" w:eastAsia="zh-CN"/>
        </w:rPr>
        <w:t>项目名称</w:t>
      </w:r>
      <w:r>
        <w:rPr>
          <w:rFonts w:hint="eastAsia" w:ascii="黑体" w:hAnsi="黑体" w:eastAsia="黑体" w:cs="黑体"/>
          <w:color w:val="auto"/>
          <w:sz w:val="24"/>
          <w:szCs w:val="22"/>
          <w:highlight w:val="none"/>
          <w:u w:val="single"/>
        </w:rPr>
        <w:t>）</w:t>
      </w:r>
      <w:r>
        <w:rPr>
          <w:rFonts w:hint="eastAsia" w:ascii="黑体" w:hAnsi="黑体" w:eastAsia="黑体" w:cs="黑体"/>
          <w:color w:val="auto"/>
          <w:kern w:val="0"/>
          <w:sz w:val="24"/>
          <w:highlight w:val="none"/>
          <w:u w:val="none"/>
          <w:lang w:val="en-US" w:eastAsia="zh-CN"/>
        </w:rPr>
        <w:t>竞争性磋商项目做出最终报价（人民币）如下</w:t>
      </w:r>
      <w:r>
        <w:rPr>
          <w:rFonts w:hint="eastAsia" w:ascii="黑体" w:hAnsi="黑体" w:eastAsia="黑体" w:cs="黑体"/>
          <w:color w:val="auto"/>
          <w:sz w:val="24"/>
          <w:szCs w:val="22"/>
          <w:highlight w:val="none"/>
        </w:rPr>
        <w:t>：</w:t>
      </w:r>
    </w:p>
    <w:p w14:paraId="05D022E9">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2537F67C">
      <w:pPr>
        <w:tabs>
          <w:tab w:val="left" w:pos="6300"/>
        </w:tabs>
        <w:snapToGrid w:val="0"/>
        <w:spacing w:line="500" w:lineRule="exact"/>
        <w:ind w:left="0" w:right="0" w:firstLine="480"/>
        <w:rPr>
          <w:rFonts w:hint="eastAsia" w:ascii="黑体" w:hAnsi="黑体" w:eastAsia="黑体" w:cs="黑体"/>
          <w:color w:val="auto"/>
          <w:highlight w:val="none"/>
          <w:lang w:eastAsia="zh-CN"/>
        </w:rPr>
      </w:pPr>
      <w:r>
        <w:rPr>
          <w:rFonts w:hint="eastAsia" w:ascii="黑体" w:hAnsi="黑体" w:eastAsia="黑体" w:cs="黑体"/>
          <w:color w:val="auto"/>
          <w:kern w:val="0"/>
          <w:sz w:val="24"/>
          <w:highlight w:val="none"/>
          <w:u w:val="none"/>
          <w:lang w:val="en-US" w:eastAsia="zh-CN"/>
        </w:rPr>
        <w:t>总报价</w:t>
      </w:r>
      <w:r>
        <w:rPr>
          <w:rFonts w:hint="eastAsia" w:ascii="黑体" w:hAnsi="黑体" w:eastAsia="黑体" w:cs="黑体"/>
          <w:color w:val="auto"/>
          <w:sz w:val="24"/>
          <w:szCs w:val="22"/>
          <w:highlight w:val="none"/>
        </w:rPr>
        <w:t>：</w:t>
      </w:r>
      <w:r>
        <w:rPr>
          <w:rFonts w:hint="eastAsia" w:ascii="黑体" w:hAnsi="黑体" w:eastAsia="黑体" w:cs="黑体"/>
          <w:color w:val="auto"/>
          <w:sz w:val="24"/>
          <w:szCs w:val="22"/>
          <w:highlight w:val="none"/>
          <w:u w:val="single"/>
          <w:lang w:val="en-US" w:eastAsia="zh-CN"/>
        </w:rPr>
        <w:t xml:space="preserve">             </w:t>
      </w:r>
      <w:r>
        <w:rPr>
          <w:rFonts w:hint="eastAsia" w:ascii="黑体" w:hAnsi="黑体" w:eastAsia="黑体" w:cs="黑体"/>
          <w:color w:val="auto"/>
          <w:kern w:val="0"/>
          <w:sz w:val="24"/>
          <w:highlight w:val="none"/>
          <w:u w:val="none"/>
          <w:lang w:val="en-US" w:eastAsia="zh-CN"/>
        </w:rPr>
        <w:t>元</w:t>
      </w:r>
      <w:r>
        <w:rPr>
          <w:rFonts w:hint="eastAsia" w:ascii="黑体" w:hAnsi="黑体" w:eastAsia="黑体" w:cs="黑体"/>
          <w:color w:val="auto"/>
          <w:sz w:val="24"/>
          <w:szCs w:val="22"/>
          <w:highlight w:val="none"/>
          <w:lang w:eastAsia="zh-CN"/>
        </w:rPr>
        <w:t>（</w:t>
      </w:r>
      <w:r>
        <w:rPr>
          <w:rFonts w:hint="eastAsia" w:ascii="黑体" w:hAnsi="黑体" w:eastAsia="黑体" w:cs="黑体"/>
          <w:color w:val="auto"/>
          <w:kern w:val="0"/>
          <w:sz w:val="24"/>
          <w:highlight w:val="none"/>
          <w:u w:val="none"/>
          <w:lang w:val="en-US" w:eastAsia="zh-CN"/>
        </w:rPr>
        <w:t>大写</w:t>
      </w:r>
      <w:r>
        <w:rPr>
          <w:rFonts w:hint="eastAsia" w:ascii="黑体" w:hAnsi="黑体" w:eastAsia="黑体" w:cs="黑体"/>
          <w:color w:val="auto"/>
          <w:sz w:val="24"/>
          <w:szCs w:val="22"/>
          <w:highlight w:val="none"/>
          <w:lang w:val="en-US" w:eastAsia="zh-CN"/>
        </w:rPr>
        <w:t>：</w:t>
      </w:r>
      <w:r>
        <w:rPr>
          <w:rFonts w:hint="eastAsia" w:ascii="黑体" w:hAnsi="黑体" w:eastAsia="黑体" w:cs="黑体"/>
          <w:color w:val="auto"/>
          <w:sz w:val="24"/>
          <w:szCs w:val="22"/>
          <w:highlight w:val="none"/>
          <w:u w:val="single"/>
          <w:lang w:val="en-US" w:eastAsia="zh-CN"/>
        </w:rPr>
        <w:t xml:space="preserve">               </w:t>
      </w:r>
      <w:r>
        <w:rPr>
          <w:rFonts w:hint="eastAsia" w:ascii="黑体" w:hAnsi="黑体" w:eastAsia="黑体" w:cs="黑体"/>
          <w:color w:val="auto"/>
          <w:sz w:val="24"/>
          <w:szCs w:val="22"/>
          <w:highlight w:val="none"/>
          <w:lang w:eastAsia="zh-CN"/>
        </w:rPr>
        <w:t>）</w:t>
      </w:r>
    </w:p>
    <w:p w14:paraId="2952C838">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13C7055D">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相关补充说明</w:t>
      </w:r>
      <w:r>
        <w:rPr>
          <w:rFonts w:hint="eastAsia" w:ascii="黑体" w:hAnsi="黑体" w:eastAsia="黑体" w:cs="黑体"/>
          <w:color w:val="auto"/>
          <w:sz w:val="24"/>
          <w:szCs w:val="22"/>
          <w:highlight w:val="none"/>
        </w:rPr>
        <w:t>：</w:t>
      </w:r>
    </w:p>
    <w:p w14:paraId="40B23CF0">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0FEC2DA6">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0C71F3B3">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法定代表人或授权代表（签字）</w:t>
      </w:r>
      <w:r>
        <w:rPr>
          <w:rFonts w:hint="eastAsia" w:ascii="黑体" w:hAnsi="黑体" w:eastAsia="黑体" w:cs="黑体"/>
          <w:color w:val="auto"/>
          <w:sz w:val="24"/>
          <w:szCs w:val="22"/>
          <w:highlight w:val="none"/>
        </w:rPr>
        <w:t>：</w:t>
      </w:r>
    </w:p>
    <w:p w14:paraId="408073F8">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33EE4D99">
      <w:pPr>
        <w:tabs>
          <w:tab w:val="left" w:pos="6300"/>
        </w:tabs>
        <w:snapToGrid w:val="0"/>
        <w:spacing w:line="500" w:lineRule="exact"/>
        <w:ind w:left="0" w:right="0"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法定代表人或授权代表联系电话</w:t>
      </w:r>
      <w:r>
        <w:rPr>
          <w:rFonts w:hint="eastAsia" w:ascii="黑体" w:hAnsi="黑体" w:eastAsia="黑体" w:cs="黑体"/>
          <w:color w:val="auto"/>
          <w:sz w:val="24"/>
          <w:szCs w:val="22"/>
          <w:highlight w:val="none"/>
        </w:rPr>
        <w:t>：</w:t>
      </w:r>
    </w:p>
    <w:p w14:paraId="5CB4EB08">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4943C07B">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5691EFB1">
      <w:pPr>
        <w:tabs>
          <w:tab w:val="left" w:pos="6300"/>
        </w:tabs>
        <w:snapToGrid w:val="0"/>
        <w:spacing w:line="500" w:lineRule="exact"/>
        <w:ind w:left="0" w:right="0" w:firstLine="480"/>
        <w:jc w:val="center"/>
        <w:outlineLvl w:val="9"/>
        <w:rPr>
          <w:rFonts w:hint="eastAsia" w:ascii="黑体" w:hAnsi="黑体" w:eastAsia="黑体" w:cs="黑体"/>
          <w:color w:val="auto"/>
          <w:highlight w:val="none"/>
          <w:u w:val="single"/>
          <w:lang w:val="en-US" w:eastAsia="zh-CN"/>
        </w:rPr>
      </w:pPr>
      <w:r>
        <w:rPr>
          <w:rFonts w:hint="eastAsia" w:ascii="黑体" w:hAnsi="黑体" w:eastAsia="黑体" w:cs="黑体"/>
          <w:color w:val="auto"/>
          <w:sz w:val="24"/>
          <w:szCs w:val="22"/>
          <w:highlight w:val="none"/>
        </w:rPr>
        <w:t xml:space="preserve">                                </w:t>
      </w:r>
      <w:r>
        <w:rPr>
          <w:rFonts w:hint="eastAsia" w:ascii="黑体" w:hAnsi="黑体" w:eastAsia="黑体" w:cs="黑体"/>
          <w:color w:val="auto"/>
          <w:kern w:val="0"/>
          <w:sz w:val="24"/>
          <w:highlight w:val="none"/>
          <w:u w:val="none"/>
          <w:lang w:val="en-US" w:eastAsia="zh-CN"/>
        </w:rPr>
        <w:t xml:space="preserve"> </w:t>
      </w:r>
      <w:bookmarkStart w:id="138" w:name="_Toc19650"/>
      <w:bookmarkStart w:id="139" w:name="_Toc23698"/>
      <w:bookmarkStart w:id="140" w:name="_Toc14989"/>
      <w:r>
        <w:rPr>
          <w:rFonts w:hint="eastAsia" w:ascii="黑体" w:hAnsi="黑体" w:eastAsia="黑体" w:cs="黑体"/>
          <w:color w:val="auto"/>
          <w:kern w:val="0"/>
          <w:sz w:val="24"/>
          <w:highlight w:val="none"/>
          <w:u w:val="none"/>
          <w:lang w:val="en-US" w:eastAsia="zh-CN"/>
        </w:rPr>
        <w:t>供应商名称（盖章</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eastAsia="zh-CN"/>
        </w:rPr>
        <w:t>：</w:t>
      </w:r>
      <w:bookmarkEnd w:id="138"/>
      <w:bookmarkEnd w:id="139"/>
      <w:bookmarkEnd w:id="140"/>
    </w:p>
    <w:p w14:paraId="19BF7903">
      <w:pPr>
        <w:tabs>
          <w:tab w:val="left" w:pos="6300"/>
        </w:tabs>
        <w:snapToGrid w:val="0"/>
        <w:spacing w:line="500" w:lineRule="exact"/>
        <w:ind w:left="0" w:right="0" w:firstLine="480"/>
        <w:jc w:val="right"/>
        <w:rPr>
          <w:rFonts w:hint="eastAsia" w:ascii="黑体" w:hAnsi="黑体" w:eastAsia="黑体" w:cs="黑体"/>
          <w:color w:val="auto"/>
          <w:sz w:val="24"/>
          <w:szCs w:val="22"/>
          <w:highlight w:val="none"/>
        </w:rPr>
      </w:pPr>
    </w:p>
    <w:p w14:paraId="63D86306">
      <w:pPr>
        <w:tabs>
          <w:tab w:val="left" w:pos="6300"/>
        </w:tabs>
        <w:snapToGrid w:val="0"/>
        <w:spacing w:line="500" w:lineRule="exact"/>
        <w:ind w:left="0" w:right="0" w:firstLine="480"/>
        <w:jc w:val="center"/>
        <w:outlineLvl w:val="9"/>
        <w:rPr>
          <w:rFonts w:hint="eastAsia" w:ascii="黑体" w:hAnsi="黑体" w:eastAsia="黑体" w:cs="黑体"/>
          <w:color w:val="auto"/>
          <w:highlight w:val="none"/>
        </w:rPr>
      </w:pPr>
      <w:r>
        <w:rPr>
          <w:rFonts w:hint="eastAsia" w:ascii="黑体" w:hAnsi="黑体" w:eastAsia="黑体" w:cs="黑体"/>
          <w:color w:val="auto"/>
          <w:sz w:val="24"/>
          <w:szCs w:val="22"/>
          <w:highlight w:val="none"/>
        </w:rPr>
        <w:t xml:space="preserve">                             </w:t>
      </w:r>
      <w:r>
        <w:rPr>
          <w:rFonts w:hint="eastAsia" w:ascii="黑体" w:hAnsi="黑体" w:eastAsia="黑体" w:cs="黑体"/>
          <w:color w:val="auto"/>
          <w:kern w:val="0"/>
          <w:sz w:val="24"/>
          <w:highlight w:val="none"/>
          <w:u w:val="none"/>
          <w:lang w:val="en-US" w:eastAsia="zh-CN"/>
        </w:rPr>
        <w:t xml:space="preserve">  </w:t>
      </w:r>
      <w:bookmarkStart w:id="141" w:name="_Toc20232"/>
      <w:bookmarkStart w:id="142" w:name="_Toc9967"/>
      <w:bookmarkStart w:id="143" w:name="_Toc6635"/>
      <w:r>
        <w:rPr>
          <w:rFonts w:hint="eastAsia" w:ascii="黑体" w:hAnsi="黑体" w:eastAsia="黑体" w:cs="黑体"/>
          <w:color w:val="auto"/>
          <w:kern w:val="0"/>
          <w:sz w:val="24"/>
          <w:highlight w:val="none"/>
          <w:u w:val="none"/>
          <w:lang w:val="en-US" w:eastAsia="zh-CN"/>
        </w:rPr>
        <w:t>年  月  日</w:t>
      </w:r>
      <w:bookmarkEnd w:id="141"/>
      <w:bookmarkEnd w:id="142"/>
      <w:bookmarkEnd w:id="143"/>
    </w:p>
    <w:p w14:paraId="173D1313">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5E76BF68">
      <w:pPr>
        <w:tabs>
          <w:tab w:val="left" w:pos="6300"/>
        </w:tabs>
        <w:snapToGrid w:val="0"/>
        <w:spacing w:line="500" w:lineRule="exact"/>
        <w:ind w:left="0" w:right="0" w:firstLine="480"/>
        <w:rPr>
          <w:rFonts w:hint="eastAsia" w:ascii="黑体" w:hAnsi="黑体" w:eastAsia="黑体" w:cs="黑体"/>
          <w:color w:val="auto"/>
          <w:sz w:val="24"/>
          <w:szCs w:val="22"/>
          <w:highlight w:val="none"/>
        </w:rPr>
      </w:pPr>
    </w:p>
    <w:p w14:paraId="1D487BE4">
      <w:pPr>
        <w:ind w:firstLine="480"/>
        <w:rPr>
          <w:rFonts w:hint="eastAsia" w:ascii="黑体" w:hAnsi="黑体" w:eastAsia="黑体" w:cs="黑体"/>
          <w:color w:val="auto"/>
          <w:highlight w:val="none"/>
        </w:rPr>
      </w:pPr>
      <w:r>
        <w:rPr>
          <w:rFonts w:hint="eastAsia" w:ascii="黑体" w:hAnsi="黑体" w:eastAsia="黑体" w:cs="黑体"/>
          <w:color w:val="auto"/>
          <w:kern w:val="0"/>
          <w:sz w:val="24"/>
          <w:highlight w:val="none"/>
          <w:u w:val="none"/>
          <w:lang w:val="en-US" w:eastAsia="zh-CN"/>
        </w:rPr>
        <w:t>注</w:t>
      </w:r>
      <w:r>
        <w:rPr>
          <w:rFonts w:hint="eastAsia" w:ascii="黑体" w:hAnsi="黑体" w:eastAsia="黑体" w:cs="黑体"/>
          <w:color w:val="auto"/>
          <w:sz w:val="24"/>
          <w:szCs w:val="22"/>
          <w:highlight w:val="none"/>
        </w:rPr>
        <w:t>：</w:t>
      </w:r>
      <w:r>
        <w:rPr>
          <w:rFonts w:hint="eastAsia" w:ascii="黑体" w:hAnsi="黑体" w:eastAsia="黑体" w:cs="黑体"/>
          <w:color w:val="auto"/>
          <w:kern w:val="0"/>
          <w:sz w:val="24"/>
          <w:highlight w:val="none"/>
          <w:u w:val="none"/>
          <w:lang w:val="en-US" w:eastAsia="zh-CN"/>
        </w:rPr>
        <w:t>供应商按此格式制作“最后报价表”，并加盖单位公章或签字后自行携带到现场，用于最后报价</w:t>
      </w:r>
      <w:r>
        <w:rPr>
          <w:rFonts w:hint="eastAsia" w:ascii="黑体" w:hAnsi="黑体" w:eastAsia="黑体" w:cs="黑体"/>
          <w:color w:val="auto"/>
          <w:sz w:val="24"/>
          <w:szCs w:val="22"/>
          <w:highlight w:val="none"/>
        </w:rPr>
        <w:t>。</w:t>
      </w:r>
      <w:bookmarkStart w:id="144" w:name="_GoBack"/>
      <w:bookmarkEnd w:id="144"/>
    </w:p>
    <w:p w14:paraId="28B06462">
      <w:pPr>
        <w:pStyle w:val="60"/>
        <w:rPr>
          <w:rFonts w:hint="eastAsia" w:ascii="宋体" w:hAnsi="宋体" w:eastAsia="宋体" w:cs="宋体"/>
          <w:szCs w:val="28"/>
        </w:rPr>
      </w:pPr>
    </w:p>
    <w:sectPr>
      <w:head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D0B5895-6FEA-422B-B33E-F237BE8A6B5E}"/>
  </w:font>
  <w:font w:name="黑体">
    <w:panose1 w:val="02010609060101010101"/>
    <w:charset w:val="86"/>
    <w:family w:val="auto"/>
    <w:pitch w:val="default"/>
    <w:sig w:usb0="800002BF" w:usb1="38CF7CFA" w:usb2="00000016" w:usb3="00000000" w:csb0="00040001" w:csb1="00000000"/>
    <w:embedRegular r:id="rId2" w:fontKey="{6F5C6E6D-8BD1-4A27-BE5B-61A12D044F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3" w:fontKey="{6580018B-14E1-46D1-B4D9-E209B943BF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E6956">
    <w:pPr>
      <w:pStyle w:val="36"/>
      <w:framePr w:wrap="around" w:vAnchor="text" w:hAnchor="margin" w:xAlign="center" w:y="1"/>
      <w:rPr>
        <w:rStyle w:val="65"/>
      </w:rPr>
    </w:pPr>
    <w:r>
      <w:fldChar w:fldCharType="begin"/>
    </w:r>
    <w:r>
      <w:rPr>
        <w:rStyle w:val="65"/>
      </w:rPr>
      <w:instrText xml:space="preserve">PAGE  </w:instrText>
    </w:r>
    <w:r>
      <w:fldChar w:fldCharType="separate"/>
    </w:r>
    <w:r>
      <w:fldChar w:fldCharType="end"/>
    </w:r>
  </w:p>
  <w:p w14:paraId="1C6DE426">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A0B95">
    <w:pPr>
      <w:pStyle w:val="36"/>
      <w:framePr w:wrap="around" w:vAnchor="text" w:hAnchor="margin" w:xAlign="center" w:y="1"/>
      <w:rPr>
        <w:rStyle w:val="65"/>
      </w:rPr>
    </w:pPr>
  </w:p>
  <w:p w14:paraId="3E379C77">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32CEA">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97E4">
    <w:pPr>
      <w:pStyle w:val="36"/>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E1308">
                          <w:pPr>
                            <w:pStyle w:val="36"/>
                            <w:jc w:val="cente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- 4 -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DE1308">
                    <w:pPr>
                      <w:pStyle w:val="36"/>
                      <w:jc w:val="cente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- 4 -</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80313">
    <w:pPr>
      <w:pStyle w:val="36"/>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ABFA4">
                          <w:pPr>
                            <w:pStyle w:val="36"/>
                            <w:jc w:val="cente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- 45 -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C4ABFA4">
                    <w:pPr>
                      <w:pStyle w:val="36"/>
                      <w:jc w:val="cente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- 45 -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F7380">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0928">
    <w:pPr>
      <w:pStyle w:val="38"/>
      <w:pBdr>
        <w:bottom w:val="none" w:color="auto" w:sz="0" w:space="1"/>
      </w:pBdr>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6135B"/>
    <w:multiLevelType w:val="singleLevel"/>
    <w:tmpl w:val="A146135B"/>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3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60"/>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47"/>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4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4"/>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8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6"/>
  </w:num>
  <w:num w:numId="3">
    <w:abstractNumId w:val="4"/>
  </w:num>
  <w:num w:numId="4">
    <w:abstractNumId w:val="10"/>
  </w:num>
  <w:num w:numId="5">
    <w:abstractNumId w:val="1"/>
  </w:num>
  <w:num w:numId="6">
    <w:abstractNumId w:val="2"/>
  </w:num>
  <w:num w:numId="7">
    <w:abstractNumId w:val="7"/>
  </w:num>
  <w:num w:numId="8">
    <w:abstractNumId w:val="3"/>
  </w:num>
  <w:num w:numId="9">
    <w:abstractNumId w:val="11"/>
  </w:num>
  <w:num w:numId="10">
    <w:abstractNumId w:val="5"/>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NjY0MTQyMDY4NjMwOTA4Y2Q1YTcwNDZiODNjNzMifQ=="/>
  </w:docVars>
  <w:rsids>
    <w:rsidRoot w:val="00172A27"/>
    <w:rsid w:val="00003626"/>
    <w:rsid w:val="000040DE"/>
    <w:rsid w:val="000075E8"/>
    <w:rsid w:val="00011B4B"/>
    <w:rsid w:val="00014332"/>
    <w:rsid w:val="00016B79"/>
    <w:rsid w:val="00017816"/>
    <w:rsid w:val="00021408"/>
    <w:rsid w:val="00032ACA"/>
    <w:rsid w:val="00034CCA"/>
    <w:rsid w:val="0003632F"/>
    <w:rsid w:val="0004739C"/>
    <w:rsid w:val="0005298B"/>
    <w:rsid w:val="00052BC9"/>
    <w:rsid w:val="00053B1B"/>
    <w:rsid w:val="0005417C"/>
    <w:rsid w:val="0005486D"/>
    <w:rsid w:val="000576E1"/>
    <w:rsid w:val="00063981"/>
    <w:rsid w:val="000714EE"/>
    <w:rsid w:val="00090C5A"/>
    <w:rsid w:val="00091B1C"/>
    <w:rsid w:val="00091D22"/>
    <w:rsid w:val="00092ACE"/>
    <w:rsid w:val="00097656"/>
    <w:rsid w:val="000A164E"/>
    <w:rsid w:val="000A3057"/>
    <w:rsid w:val="000B0DEB"/>
    <w:rsid w:val="000B1068"/>
    <w:rsid w:val="000B42F4"/>
    <w:rsid w:val="000B7377"/>
    <w:rsid w:val="000B7F54"/>
    <w:rsid w:val="000C08C1"/>
    <w:rsid w:val="000C6D89"/>
    <w:rsid w:val="000C7DA1"/>
    <w:rsid w:val="000D776F"/>
    <w:rsid w:val="000E01C9"/>
    <w:rsid w:val="000E0DD7"/>
    <w:rsid w:val="000E0E42"/>
    <w:rsid w:val="000E3259"/>
    <w:rsid w:val="000E5D71"/>
    <w:rsid w:val="000F5A63"/>
    <w:rsid w:val="000F6A48"/>
    <w:rsid w:val="000F7543"/>
    <w:rsid w:val="000F7DBF"/>
    <w:rsid w:val="0010014A"/>
    <w:rsid w:val="00100639"/>
    <w:rsid w:val="0010088E"/>
    <w:rsid w:val="00101A56"/>
    <w:rsid w:val="001028FD"/>
    <w:rsid w:val="00105638"/>
    <w:rsid w:val="00114CFE"/>
    <w:rsid w:val="00115337"/>
    <w:rsid w:val="0011683E"/>
    <w:rsid w:val="00116856"/>
    <w:rsid w:val="00116C42"/>
    <w:rsid w:val="0011780F"/>
    <w:rsid w:val="00120259"/>
    <w:rsid w:val="00122F9D"/>
    <w:rsid w:val="001266BF"/>
    <w:rsid w:val="00133D16"/>
    <w:rsid w:val="00134037"/>
    <w:rsid w:val="001342AC"/>
    <w:rsid w:val="001448BD"/>
    <w:rsid w:val="00145E2C"/>
    <w:rsid w:val="00147FB4"/>
    <w:rsid w:val="0015011C"/>
    <w:rsid w:val="0015033B"/>
    <w:rsid w:val="00150429"/>
    <w:rsid w:val="00152B00"/>
    <w:rsid w:val="00155A1A"/>
    <w:rsid w:val="00170166"/>
    <w:rsid w:val="00171E05"/>
    <w:rsid w:val="00180ACB"/>
    <w:rsid w:val="00183B60"/>
    <w:rsid w:val="00186623"/>
    <w:rsid w:val="001879FD"/>
    <w:rsid w:val="0019571D"/>
    <w:rsid w:val="001964D6"/>
    <w:rsid w:val="001A64A1"/>
    <w:rsid w:val="001A6DCC"/>
    <w:rsid w:val="001B0396"/>
    <w:rsid w:val="001B1400"/>
    <w:rsid w:val="001B3DBD"/>
    <w:rsid w:val="001B4377"/>
    <w:rsid w:val="001D0DF7"/>
    <w:rsid w:val="001D2321"/>
    <w:rsid w:val="001D2DCD"/>
    <w:rsid w:val="001D5055"/>
    <w:rsid w:val="001D630C"/>
    <w:rsid w:val="001E044B"/>
    <w:rsid w:val="001E201B"/>
    <w:rsid w:val="001E2D1F"/>
    <w:rsid w:val="001E5CAC"/>
    <w:rsid w:val="001E64A9"/>
    <w:rsid w:val="001E6721"/>
    <w:rsid w:val="001E6841"/>
    <w:rsid w:val="001E725F"/>
    <w:rsid w:val="001F1AF7"/>
    <w:rsid w:val="001F4964"/>
    <w:rsid w:val="001F7063"/>
    <w:rsid w:val="00202B04"/>
    <w:rsid w:val="00203052"/>
    <w:rsid w:val="00204936"/>
    <w:rsid w:val="00206AE4"/>
    <w:rsid w:val="002100EE"/>
    <w:rsid w:val="00212A06"/>
    <w:rsid w:val="0021704D"/>
    <w:rsid w:val="00222097"/>
    <w:rsid w:val="002227DB"/>
    <w:rsid w:val="00225CC2"/>
    <w:rsid w:val="00227202"/>
    <w:rsid w:val="00227377"/>
    <w:rsid w:val="00227851"/>
    <w:rsid w:val="00234257"/>
    <w:rsid w:val="002348E0"/>
    <w:rsid w:val="00262555"/>
    <w:rsid w:val="00263148"/>
    <w:rsid w:val="002643C1"/>
    <w:rsid w:val="00265203"/>
    <w:rsid w:val="0027199E"/>
    <w:rsid w:val="00271D47"/>
    <w:rsid w:val="002721EA"/>
    <w:rsid w:val="00272CA9"/>
    <w:rsid w:val="00280E8A"/>
    <w:rsid w:val="00285164"/>
    <w:rsid w:val="00287BED"/>
    <w:rsid w:val="002A137B"/>
    <w:rsid w:val="002A26C5"/>
    <w:rsid w:val="002A4956"/>
    <w:rsid w:val="002A6710"/>
    <w:rsid w:val="002B1FDA"/>
    <w:rsid w:val="002B578B"/>
    <w:rsid w:val="002B5ECC"/>
    <w:rsid w:val="002B7904"/>
    <w:rsid w:val="002C2507"/>
    <w:rsid w:val="002C2E6E"/>
    <w:rsid w:val="002C7927"/>
    <w:rsid w:val="002D1B4C"/>
    <w:rsid w:val="002D7725"/>
    <w:rsid w:val="002D7F24"/>
    <w:rsid w:val="002E0CC2"/>
    <w:rsid w:val="002E293B"/>
    <w:rsid w:val="002E3527"/>
    <w:rsid w:val="002F0ED3"/>
    <w:rsid w:val="002F3982"/>
    <w:rsid w:val="002F3DE3"/>
    <w:rsid w:val="002F632E"/>
    <w:rsid w:val="003021BC"/>
    <w:rsid w:val="00303F39"/>
    <w:rsid w:val="00310AF9"/>
    <w:rsid w:val="00310DAA"/>
    <w:rsid w:val="0031465E"/>
    <w:rsid w:val="00315742"/>
    <w:rsid w:val="003163B3"/>
    <w:rsid w:val="00322A7A"/>
    <w:rsid w:val="00326C5B"/>
    <w:rsid w:val="003328D4"/>
    <w:rsid w:val="00341DEB"/>
    <w:rsid w:val="00343B6C"/>
    <w:rsid w:val="00346A3D"/>
    <w:rsid w:val="00350C20"/>
    <w:rsid w:val="00353880"/>
    <w:rsid w:val="003548FA"/>
    <w:rsid w:val="00355A74"/>
    <w:rsid w:val="00361427"/>
    <w:rsid w:val="0036275E"/>
    <w:rsid w:val="00363702"/>
    <w:rsid w:val="0036458B"/>
    <w:rsid w:val="00371D2F"/>
    <w:rsid w:val="00372A67"/>
    <w:rsid w:val="00373122"/>
    <w:rsid w:val="0037612E"/>
    <w:rsid w:val="0038033A"/>
    <w:rsid w:val="003816ED"/>
    <w:rsid w:val="00384161"/>
    <w:rsid w:val="00387610"/>
    <w:rsid w:val="00395C2F"/>
    <w:rsid w:val="003973D3"/>
    <w:rsid w:val="00397F89"/>
    <w:rsid w:val="003A0892"/>
    <w:rsid w:val="003A1BF9"/>
    <w:rsid w:val="003A2D0E"/>
    <w:rsid w:val="003A422B"/>
    <w:rsid w:val="003A449E"/>
    <w:rsid w:val="003A71F3"/>
    <w:rsid w:val="003B19F5"/>
    <w:rsid w:val="003C79ED"/>
    <w:rsid w:val="003D0E0A"/>
    <w:rsid w:val="003D3B22"/>
    <w:rsid w:val="003D7B3D"/>
    <w:rsid w:val="003E7BFA"/>
    <w:rsid w:val="003F41F1"/>
    <w:rsid w:val="003F451E"/>
    <w:rsid w:val="003F4939"/>
    <w:rsid w:val="003F626F"/>
    <w:rsid w:val="00402B32"/>
    <w:rsid w:val="00410C93"/>
    <w:rsid w:val="00411B4A"/>
    <w:rsid w:val="004134DD"/>
    <w:rsid w:val="00417E99"/>
    <w:rsid w:val="00421507"/>
    <w:rsid w:val="00424D02"/>
    <w:rsid w:val="0042525A"/>
    <w:rsid w:val="00437B8B"/>
    <w:rsid w:val="0044193A"/>
    <w:rsid w:val="00453B8F"/>
    <w:rsid w:val="00460489"/>
    <w:rsid w:val="004608C7"/>
    <w:rsid w:val="00462878"/>
    <w:rsid w:val="00465B7A"/>
    <w:rsid w:val="0046631A"/>
    <w:rsid w:val="00472AA2"/>
    <w:rsid w:val="00473B39"/>
    <w:rsid w:val="00485B4D"/>
    <w:rsid w:val="00486F5D"/>
    <w:rsid w:val="00487B72"/>
    <w:rsid w:val="004928A2"/>
    <w:rsid w:val="0049447B"/>
    <w:rsid w:val="004953EC"/>
    <w:rsid w:val="004A0D29"/>
    <w:rsid w:val="004A0DE1"/>
    <w:rsid w:val="004A17D3"/>
    <w:rsid w:val="004A2410"/>
    <w:rsid w:val="004A27AC"/>
    <w:rsid w:val="004A3995"/>
    <w:rsid w:val="004A42A0"/>
    <w:rsid w:val="004C001F"/>
    <w:rsid w:val="004C1DD0"/>
    <w:rsid w:val="004C2685"/>
    <w:rsid w:val="004C64E4"/>
    <w:rsid w:val="004D2334"/>
    <w:rsid w:val="004D6824"/>
    <w:rsid w:val="004E156F"/>
    <w:rsid w:val="004E550E"/>
    <w:rsid w:val="004E55DB"/>
    <w:rsid w:val="004E5C74"/>
    <w:rsid w:val="004E67C6"/>
    <w:rsid w:val="00502B2F"/>
    <w:rsid w:val="00512D00"/>
    <w:rsid w:val="00514179"/>
    <w:rsid w:val="005164D4"/>
    <w:rsid w:val="005205CF"/>
    <w:rsid w:val="005269DB"/>
    <w:rsid w:val="0052718D"/>
    <w:rsid w:val="00527B5B"/>
    <w:rsid w:val="00533EAB"/>
    <w:rsid w:val="00544BEA"/>
    <w:rsid w:val="005460D5"/>
    <w:rsid w:val="005474EC"/>
    <w:rsid w:val="00547EB2"/>
    <w:rsid w:val="005501F0"/>
    <w:rsid w:val="00553CF0"/>
    <w:rsid w:val="00557C75"/>
    <w:rsid w:val="00566A85"/>
    <w:rsid w:val="00570C78"/>
    <w:rsid w:val="005736BF"/>
    <w:rsid w:val="00573AE3"/>
    <w:rsid w:val="005902D9"/>
    <w:rsid w:val="00596AB7"/>
    <w:rsid w:val="005A1B5C"/>
    <w:rsid w:val="005A1EA7"/>
    <w:rsid w:val="005A33AD"/>
    <w:rsid w:val="005A5660"/>
    <w:rsid w:val="005A5AAB"/>
    <w:rsid w:val="005A6CB7"/>
    <w:rsid w:val="005A7FC7"/>
    <w:rsid w:val="005B0724"/>
    <w:rsid w:val="005B1E46"/>
    <w:rsid w:val="005B5AA4"/>
    <w:rsid w:val="005C3F4B"/>
    <w:rsid w:val="005C42AC"/>
    <w:rsid w:val="005C4F84"/>
    <w:rsid w:val="005D37D0"/>
    <w:rsid w:val="005D703E"/>
    <w:rsid w:val="005E35E9"/>
    <w:rsid w:val="005E5525"/>
    <w:rsid w:val="005F5D2A"/>
    <w:rsid w:val="0060003E"/>
    <w:rsid w:val="0060315D"/>
    <w:rsid w:val="00603C08"/>
    <w:rsid w:val="006076D2"/>
    <w:rsid w:val="00613410"/>
    <w:rsid w:val="00617986"/>
    <w:rsid w:val="00627729"/>
    <w:rsid w:val="00627F21"/>
    <w:rsid w:val="00636542"/>
    <w:rsid w:val="00643298"/>
    <w:rsid w:val="0064583B"/>
    <w:rsid w:val="00651127"/>
    <w:rsid w:val="0065190C"/>
    <w:rsid w:val="00651F9A"/>
    <w:rsid w:val="00653114"/>
    <w:rsid w:val="006542F1"/>
    <w:rsid w:val="00654A48"/>
    <w:rsid w:val="0065651B"/>
    <w:rsid w:val="00657001"/>
    <w:rsid w:val="00664607"/>
    <w:rsid w:val="00670089"/>
    <w:rsid w:val="00670C89"/>
    <w:rsid w:val="00671233"/>
    <w:rsid w:val="006763DC"/>
    <w:rsid w:val="00677FD3"/>
    <w:rsid w:val="00680AE4"/>
    <w:rsid w:val="00682205"/>
    <w:rsid w:val="00684E51"/>
    <w:rsid w:val="0068793C"/>
    <w:rsid w:val="006A100B"/>
    <w:rsid w:val="006A143A"/>
    <w:rsid w:val="006A3285"/>
    <w:rsid w:val="006A4C56"/>
    <w:rsid w:val="006B0567"/>
    <w:rsid w:val="006B1C61"/>
    <w:rsid w:val="006B4535"/>
    <w:rsid w:val="006B594C"/>
    <w:rsid w:val="006B72DE"/>
    <w:rsid w:val="006B75CB"/>
    <w:rsid w:val="006C281B"/>
    <w:rsid w:val="006C5FC1"/>
    <w:rsid w:val="006C762B"/>
    <w:rsid w:val="006D44E1"/>
    <w:rsid w:val="006D6662"/>
    <w:rsid w:val="006D79B0"/>
    <w:rsid w:val="006E0E43"/>
    <w:rsid w:val="006E21FA"/>
    <w:rsid w:val="006E477D"/>
    <w:rsid w:val="006E6D5F"/>
    <w:rsid w:val="006F0FB7"/>
    <w:rsid w:val="006F5925"/>
    <w:rsid w:val="006F5E40"/>
    <w:rsid w:val="00704E5D"/>
    <w:rsid w:val="00705739"/>
    <w:rsid w:val="00706E93"/>
    <w:rsid w:val="00707521"/>
    <w:rsid w:val="00710AE5"/>
    <w:rsid w:val="00712E76"/>
    <w:rsid w:val="00712E83"/>
    <w:rsid w:val="00714BF1"/>
    <w:rsid w:val="00715FB5"/>
    <w:rsid w:val="0071698E"/>
    <w:rsid w:val="007171A6"/>
    <w:rsid w:val="0071799D"/>
    <w:rsid w:val="00721F0C"/>
    <w:rsid w:val="00726088"/>
    <w:rsid w:val="00730B6A"/>
    <w:rsid w:val="00736D88"/>
    <w:rsid w:val="00736DD2"/>
    <w:rsid w:val="00742C59"/>
    <w:rsid w:val="0074312D"/>
    <w:rsid w:val="0074681C"/>
    <w:rsid w:val="00746EC2"/>
    <w:rsid w:val="00781AD3"/>
    <w:rsid w:val="00781BFB"/>
    <w:rsid w:val="007842FC"/>
    <w:rsid w:val="00786FA7"/>
    <w:rsid w:val="007909FD"/>
    <w:rsid w:val="00794382"/>
    <w:rsid w:val="007959AC"/>
    <w:rsid w:val="007A20E0"/>
    <w:rsid w:val="007B2204"/>
    <w:rsid w:val="007B4B60"/>
    <w:rsid w:val="007B7278"/>
    <w:rsid w:val="007B7EE3"/>
    <w:rsid w:val="007C6B0F"/>
    <w:rsid w:val="007D3BCE"/>
    <w:rsid w:val="007D7A44"/>
    <w:rsid w:val="007D7E65"/>
    <w:rsid w:val="007E19E0"/>
    <w:rsid w:val="007E25C3"/>
    <w:rsid w:val="007F4EE5"/>
    <w:rsid w:val="007F6769"/>
    <w:rsid w:val="008041D4"/>
    <w:rsid w:val="008059B0"/>
    <w:rsid w:val="0081156A"/>
    <w:rsid w:val="00827398"/>
    <w:rsid w:val="0083653E"/>
    <w:rsid w:val="00842974"/>
    <w:rsid w:val="00842F87"/>
    <w:rsid w:val="00843580"/>
    <w:rsid w:val="00843D2E"/>
    <w:rsid w:val="00846C30"/>
    <w:rsid w:val="0085550A"/>
    <w:rsid w:val="008616EF"/>
    <w:rsid w:val="00863C25"/>
    <w:rsid w:val="008641B7"/>
    <w:rsid w:val="00864D80"/>
    <w:rsid w:val="00864DC1"/>
    <w:rsid w:val="008705BC"/>
    <w:rsid w:val="00871999"/>
    <w:rsid w:val="00875A42"/>
    <w:rsid w:val="008904A8"/>
    <w:rsid w:val="00891D94"/>
    <w:rsid w:val="00894AFE"/>
    <w:rsid w:val="00895DF3"/>
    <w:rsid w:val="008A19AF"/>
    <w:rsid w:val="008A20FB"/>
    <w:rsid w:val="008A6674"/>
    <w:rsid w:val="008C1B22"/>
    <w:rsid w:val="008C3FCD"/>
    <w:rsid w:val="008C4A42"/>
    <w:rsid w:val="008C4C84"/>
    <w:rsid w:val="008C510F"/>
    <w:rsid w:val="008C725D"/>
    <w:rsid w:val="008D067F"/>
    <w:rsid w:val="008D3283"/>
    <w:rsid w:val="008D6716"/>
    <w:rsid w:val="008E437B"/>
    <w:rsid w:val="008E4D3F"/>
    <w:rsid w:val="008E66B8"/>
    <w:rsid w:val="008E702B"/>
    <w:rsid w:val="008F0A2E"/>
    <w:rsid w:val="008F1988"/>
    <w:rsid w:val="008F6252"/>
    <w:rsid w:val="00900D7A"/>
    <w:rsid w:val="009023F3"/>
    <w:rsid w:val="0090383C"/>
    <w:rsid w:val="00905D85"/>
    <w:rsid w:val="00912132"/>
    <w:rsid w:val="009155BD"/>
    <w:rsid w:val="009226D2"/>
    <w:rsid w:val="00922FAD"/>
    <w:rsid w:val="00924F0A"/>
    <w:rsid w:val="00925082"/>
    <w:rsid w:val="00925726"/>
    <w:rsid w:val="0092708B"/>
    <w:rsid w:val="00930024"/>
    <w:rsid w:val="0093049D"/>
    <w:rsid w:val="00937713"/>
    <w:rsid w:val="0094759E"/>
    <w:rsid w:val="00952C13"/>
    <w:rsid w:val="00962BF1"/>
    <w:rsid w:val="00966820"/>
    <w:rsid w:val="00971E57"/>
    <w:rsid w:val="009723CF"/>
    <w:rsid w:val="0097652A"/>
    <w:rsid w:val="00980037"/>
    <w:rsid w:val="00983B43"/>
    <w:rsid w:val="00984742"/>
    <w:rsid w:val="00991B37"/>
    <w:rsid w:val="00994696"/>
    <w:rsid w:val="009B6208"/>
    <w:rsid w:val="009C18E9"/>
    <w:rsid w:val="009C3034"/>
    <w:rsid w:val="009C4BFF"/>
    <w:rsid w:val="009C7522"/>
    <w:rsid w:val="009D0FDD"/>
    <w:rsid w:val="009D3162"/>
    <w:rsid w:val="009D3181"/>
    <w:rsid w:val="009D599E"/>
    <w:rsid w:val="009D7B9B"/>
    <w:rsid w:val="009D7DCB"/>
    <w:rsid w:val="009E0E18"/>
    <w:rsid w:val="009E717E"/>
    <w:rsid w:val="009E737D"/>
    <w:rsid w:val="009F18FA"/>
    <w:rsid w:val="00A03977"/>
    <w:rsid w:val="00A15FBF"/>
    <w:rsid w:val="00A1616D"/>
    <w:rsid w:val="00A1783B"/>
    <w:rsid w:val="00A26FF7"/>
    <w:rsid w:val="00A30306"/>
    <w:rsid w:val="00A35650"/>
    <w:rsid w:val="00A37A20"/>
    <w:rsid w:val="00A445DC"/>
    <w:rsid w:val="00A44BEA"/>
    <w:rsid w:val="00A44F24"/>
    <w:rsid w:val="00A47C22"/>
    <w:rsid w:val="00A55B14"/>
    <w:rsid w:val="00A5689C"/>
    <w:rsid w:val="00A569E8"/>
    <w:rsid w:val="00A57FAF"/>
    <w:rsid w:val="00A601C4"/>
    <w:rsid w:val="00A61D6E"/>
    <w:rsid w:val="00A63D0C"/>
    <w:rsid w:val="00A70260"/>
    <w:rsid w:val="00A711C6"/>
    <w:rsid w:val="00A71B7E"/>
    <w:rsid w:val="00A730F3"/>
    <w:rsid w:val="00A73661"/>
    <w:rsid w:val="00A81F2F"/>
    <w:rsid w:val="00A82E0D"/>
    <w:rsid w:val="00A83E4E"/>
    <w:rsid w:val="00A84863"/>
    <w:rsid w:val="00A87F82"/>
    <w:rsid w:val="00A95D95"/>
    <w:rsid w:val="00A977EC"/>
    <w:rsid w:val="00A97AD0"/>
    <w:rsid w:val="00AA3FD1"/>
    <w:rsid w:val="00AA52DE"/>
    <w:rsid w:val="00AA61D4"/>
    <w:rsid w:val="00AB11B3"/>
    <w:rsid w:val="00AB4792"/>
    <w:rsid w:val="00AB5ED3"/>
    <w:rsid w:val="00AB6B0C"/>
    <w:rsid w:val="00AB70CD"/>
    <w:rsid w:val="00AB7800"/>
    <w:rsid w:val="00AC1860"/>
    <w:rsid w:val="00AC3819"/>
    <w:rsid w:val="00AC4898"/>
    <w:rsid w:val="00AC48B3"/>
    <w:rsid w:val="00AC7AC9"/>
    <w:rsid w:val="00AD1F53"/>
    <w:rsid w:val="00AE1920"/>
    <w:rsid w:val="00AF01B3"/>
    <w:rsid w:val="00AF0F13"/>
    <w:rsid w:val="00AF1462"/>
    <w:rsid w:val="00AF26A5"/>
    <w:rsid w:val="00AF31BD"/>
    <w:rsid w:val="00AF69D4"/>
    <w:rsid w:val="00AF7992"/>
    <w:rsid w:val="00AF7C71"/>
    <w:rsid w:val="00AF7CDD"/>
    <w:rsid w:val="00B00AB3"/>
    <w:rsid w:val="00B029E3"/>
    <w:rsid w:val="00B14C52"/>
    <w:rsid w:val="00B200AA"/>
    <w:rsid w:val="00B22339"/>
    <w:rsid w:val="00B2488E"/>
    <w:rsid w:val="00B25EB3"/>
    <w:rsid w:val="00B35FA2"/>
    <w:rsid w:val="00B40051"/>
    <w:rsid w:val="00B407CF"/>
    <w:rsid w:val="00B42056"/>
    <w:rsid w:val="00B44ECC"/>
    <w:rsid w:val="00B478C3"/>
    <w:rsid w:val="00B5081B"/>
    <w:rsid w:val="00B50B41"/>
    <w:rsid w:val="00B51251"/>
    <w:rsid w:val="00B52715"/>
    <w:rsid w:val="00B61348"/>
    <w:rsid w:val="00B6263F"/>
    <w:rsid w:val="00B67114"/>
    <w:rsid w:val="00B7097C"/>
    <w:rsid w:val="00B75449"/>
    <w:rsid w:val="00B75D33"/>
    <w:rsid w:val="00B75FAE"/>
    <w:rsid w:val="00B77835"/>
    <w:rsid w:val="00B81284"/>
    <w:rsid w:val="00B85405"/>
    <w:rsid w:val="00B86DA1"/>
    <w:rsid w:val="00B87401"/>
    <w:rsid w:val="00BA0A6E"/>
    <w:rsid w:val="00BA1D16"/>
    <w:rsid w:val="00BA527C"/>
    <w:rsid w:val="00BA6122"/>
    <w:rsid w:val="00BA7C67"/>
    <w:rsid w:val="00BA7D51"/>
    <w:rsid w:val="00BB7494"/>
    <w:rsid w:val="00BB76A5"/>
    <w:rsid w:val="00BC183F"/>
    <w:rsid w:val="00BC2390"/>
    <w:rsid w:val="00BC4DC5"/>
    <w:rsid w:val="00BC775D"/>
    <w:rsid w:val="00BD19D3"/>
    <w:rsid w:val="00BD2544"/>
    <w:rsid w:val="00BD5A75"/>
    <w:rsid w:val="00BE07A9"/>
    <w:rsid w:val="00BE2947"/>
    <w:rsid w:val="00BE2E36"/>
    <w:rsid w:val="00BE322C"/>
    <w:rsid w:val="00BE4028"/>
    <w:rsid w:val="00BE4D8F"/>
    <w:rsid w:val="00BF0A3E"/>
    <w:rsid w:val="00BF46A7"/>
    <w:rsid w:val="00BF5230"/>
    <w:rsid w:val="00C00289"/>
    <w:rsid w:val="00C0310D"/>
    <w:rsid w:val="00C1090C"/>
    <w:rsid w:val="00C17FCF"/>
    <w:rsid w:val="00C240C8"/>
    <w:rsid w:val="00C25391"/>
    <w:rsid w:val="00C26513"/>
    <w:rsid w:val="00C328C9"/>
    <w:rsid w:val="00C339ED"/>
    <w:rsid w:val="00C35BA8"/>
    <w:rsid w:val="00C37F72"/>
    <w:rsid w:val="00C420C1"/>
    <w:rsid w:val="00C43FEE"/>
    <w:rsid w:val="00C44AA6"/>
    <w:rsid w:val="00C45963"/>
    <w:rsid w:val="00C472B8"/>
    <w:rsid w:val="00C529FD"/>
    <w:rsid w:val="00C53124"/>
    <w:rsid w:val="00C53B2E"/>
    <w:rsid w:val="00C6160A"/>
    <w:rsid w:val="00C64DB3"/>
    <w:rsid w:val="00C65711"/>
    <w:rsid w:val="00C6609F"/>
    <w:rsid w:val="00C76ECD"/>
    <w:rsid w:val="00C84B63"/>
    <w:rsid w:val="00C84E04"/>
    <w:rsid w:val="00C910BE"/>
    <w:rsid w:val="00C922BE"/>
    <w:rsid w:val="00C938CC"/>
    <w:rsid w:val="00CA14F4"/>
    <w:rsid w:val="00CA583F"/>
    <w:rsid w:val="00CA5844"/>
    <w:rsid w:val="00CA7415"/>
    <w:rsid w:val="00CB17F7"/>
    <w:rsid w:val="00CB265C"/>
    <w:rsid w:val="00CB2A71"/>
    <w:rsid w:val="00CB32BC"/>
    <w:rsid w:val="00CB4540"/>
    <w:rsid w:val="00CB4951"/>
    <w:rsid w:val="00CB7A07"/>
    <w:rsid w:val="00CC59BB"/>
    <w:rsid w:val="00CD110F"/>
    <w:rsid w:val="00CD1B93"/>
    <w:rsid w:val="00CD2A87"/>
    <w:rsid w:val="00CD3BD4"/>
    <w:rsid w:val="00CD3CC8"/>
    <w:rsid w:val="00CD5601"/>
    <w:rsid w:val="00CD635D"/>
    <w:rsid w:val="00CD6DEE"/>
    <w:rsid w:val="00CD7C5B"/>
    <w:rsid w:val="00CD7CED"/>
    <w:rsid w:val="00CE04C7"/>
    <w:rsid w:val="00CE2AFE"/>
    <w:rsid w:val="00CF156B"/>
    <w:rsid w:val="00CF1E02"/>
    <w:rsid w:val="00CF4BD6"/>
    <w:rsid w:val="00CF597A"/>
    <w:rsid w:val="00CF5B5F"/>
    <w:rsid w:val="00D006E6"/>
    <w:rsid w:val="00D00DA0"/>
    <w:rsid w:val="00D0103F"/>
    <w:rsid w:val="00D0124F"/>
    <w:rsid w:val="00D01B81"/>
    <w:rsid w:val="00D026F9"/>
    <w:rsid w:val="00D05BAA"/>
    <w:rsid w:val="00D06B25"/>
    <w:rsid w:val="00D078AE"/>
    <w:rsid w:val="00D07F26"/>
    <w:rsid w:val="00D102CD"/>
    <w:rsid w:val="00D11A09"/>
    <w:rsid w:val="00D11BCD"/>
    <w:rsid w:val="00D13B7A"/>
    <w:rsid w:val="00D17FD1"/>
    <w:rsid w:val="00D22C4B"/>
    <w:rsid w:val="00D230C7"/>
    <w:rsid w:val="00D23E7D"/>
    <w:rsid w:val="00D2405F"/>
    <w:rsid w:val="00D26C71"/>
    <w:rsid w:val="00D30C7F"/>
    <w:rsid w:val="00D32DFB"/>
    <w:rsid w:val="00D35804"/>
    <w:rsid w:val="00D41998"/>
    <w:rsid w:val="00D41BA9"/>
    <w:rsid w:val="00D44059"/>
    <w:rsid w:val="00D4511A"/>
    <w:rsid w:val="00D451E3"/>
    <w:rsid w:val="00D52376"/>
    <w:rsid w:val="00D612C2"/>
    <w:rsid w:val="00D64D38"/>
    <w:rsid w:val="00D70C19"/>
    <w:rsid w:val="00D71E1D"/>
    <w:rsid w:val="00D745E0"/>
    <w:rsid w:val="00D76AA3"/>
    <w:rsid w:val="00D80604"/>
    <w:rsid w:val="00D84478"/>
    <w:rsid w:val="00D8456E"/>
    <w:rsid w:val="00D86529"/>
    <w:rsid w:val="00D86A86"/>
    <w:rsid w:val="00D874E4"/>
    <w:rsid w:val="00D8791E"/>
    <w:rsid w:val="00D92438"/>
    <w:rsid w:val="00DA0040"/>
    <w:rsid w:val="00DA086B"/>
    <w:rsid w:val="00DA1D7A"/>
    <w:rsid w:val="00DA4976"/>
    <w:rsid w:val="00DA5E0A"/>
    <w:rsid w:val="00DA6834"/>
    <w:rsid w:val="00DA7145"/>
    <w:rsid w:val="00DA7E05"/>
    <w:rsid w:val="00DB0218"/>
    <w:rsid w:val="00DB4794"/>
    <w:rsid w:val="00DB5C3E"/>
    <w:rsid w:val="00DB628E"/>
    <w:rsid w:val="00DC4070"/>
    <w:rsid w:val="00DD6F04"/>
    <w:rsid w:val="00DE163E"/>
    <w:rsid w:val="00DE1DE6"/>
    <w:rsid w:val="00DE1E39"/>
    <w:rsid w:val="00DE513D"/>
    <w:rsid w:val="00DF235C"/>
    <w:rsid w:val="00DF37C0"/>
    <w:rsid w:val="00DF47D6"/>
    <w:rsid w:val="00DF4D5A"/>
    <w:rsid w:val="00DF5277"/>
    <w:rsid w:val="00DF5425"/>
    <w:rsid w:val="00DF782C"/>
    <w:rsid w:val="00E01C28"/>
    <w:rsid w:val="00E030A0"/>
    <w:rsid w:val="00E04F16"/>
    <w:rsid w:val="00E075A1"/>
    <w:rsid w:val="00E124E3"/>
    <w:rsid w:val="00E12F81"/>
    <w:rsid w:val="00E142CF"/>
    <w:rsid w:val="00E14812"/>
    <w:rsid w:val="00E15231"/>
    <w:rsid w:val="00E15DDE"/>
    <w:rsid w:val="00E16247"/>
    <w:rsid w:val="00E2339E"/>
    <w:rsid w:val="00E3245B"/>
    <w:rsid w:val="00E32DCD"/>
    <w:rsid w:val="00E358C0"/>
    <w:rsid w:val="00E358FF"/>
    <w:rsid w:val="00E3707B"/>
    <w:rsid w:val="00E5050D"/>
    <w:rsid w:val="00E50685"/>
    <w:rsid w:val="00E57F6B"/>
    <w:rsid w:val="00E609CE"/>
    <w:rsid w:val="00E6234F"/>
    <w:rsid w:val="00E67AC7"/>
    <w:rsid w:val="00E7342C"/>
    <w:rsid w:val="00E76363"/>
    <w:rsid w:val="00E82FAF"/>
    <w:rsid w:val="00E8544C"/>
    <w:rsid w:val="00E90BE3"/>
    <w:rsid w:val="00E914BA"/>
    <w:rsid w:val="00E91D81"/>
    <w:rsid w:val="00E92BC2"/>
    <w:rsid w:val="00E94FDA"/>
    <w:rsid w:val="00EA010E"/>
    <w:rsid w:val="00EB1E33"/>
    <w:rsid w:val="00EB4DA6"/>
    <w:rsid w:val="00EB7B0A"/>
    <w:rsid w:val="00EC047F"/>
    <w:rsid w:val="00EC0881"/>
    <w:rsid w:val="00ED2F55"/>
    <w:rsid w:val="00ED5ED8"/>
    <w:rsid w:val="00EE0C95"/>
    <w:rsid w:val="00EE3F0F"/>
    <w:rsid w:val="00EF0199"/>
    <w:rsid w:val="00F04644"/>
    <w:rsid w:val="00F07266"/>
    <w:rsid w:val="00F11C7F"/>
    <w:rsid w:val="00F16313"/>
    <w:rsid w:val="00F1700E"/>
    <w:rsid w:val="00F20FF1"/>
    <w:rsid w:val="00F24317"/>
    <w:rsid w:val="00F25EFC"/>
    <w:rsid w:val="00F265EE"/>
    <w:rsid w:val="00F2711F"/>
    <w:rsid w:val="00F32641"/>
    <w:rsid w:val="00F34974"/>
    <w:rsid w:val="00F35457"/>
    <w:rsid w:val="00F3595B"/>
    <w:rsid w:val="00F367F3"/>
    <w:rsid w:val="00F36A26"/>
    <w:rsid w:val="00F41D7D"/>
    <w:rsid w:val="00F41F54"/>
    <w:rsid w:val="00F426A6"/>
    <w:rsid w:val="00F429FD"/>
    <w:rsid w:val="00F44E29"/>
    <w:rsid w:val="00F4623C"/>
    <w:rsid w:val="00F56399"/>
    <w:rsid w:val="00F746E3"/>
    <w:rsid w:val="00F7709C"/>
    <w:rsid w:val="00F7750A"/>
    <w:rsid w:val="00F80006"/>
    <w:rsid w:val="00F80084"/>
    <w:rsid w:val="00F95676"/>
    <w:rsid w:val="00F96401"/>
    <w:rsid w:val="00F964C7"/>
    <w:rsid w:val="00FA3F8B"/>
    <w:rsid w:val="00FA767D"/>
    <w:rsid w:val="00FC3C96"/>
    <w:rsid w:val="00FC693B"/>
    <w:rsid w:val="00FD2470"/>
    <w:rsid w:val="00FD5520"/>
    <w:rsid w:val="00FD5823"/>
    <w:rsid w:val="00FD7BE0"/>
    <w:rsid w:val="00FE0451"/>
    <w:rsid w:val="00FE1C27"/>
    <w:rsid w:val="00FE5C31"/>
    <w:rsid w:val="00FF1B0E"/>
    <w:rsid w:val="00FF748B"/>
    <w:rsid w:val="0126026C"/>
    <w:rsid w:val="013217EF"/>
    <w:rsid w:val="01B6046E"/>
    <w:rsid w:val="02F2197A"/>
    <w:rsid w:val="03C53D64"/>
    <w:rsid w:val="04836856"/>
    <w:rsid w:val="04F63670"/>
    <w:rsid w:val="051200B1"/>
    <w:rsid w:val="055C757F"/>
    <w:rsid w:val="05EA65EF"/>
    <w:rsid w:val="063D3F02"/>
    <w:rsid w:val="066366AC"/>
    <w:rsid w:val="06AF36FF"/>
    <w:rsid w:val="06C4224F"/>
    <w:rsid w:val="06D870D9"/>
    <w:rsid w:val="0784701B"/>
    <w:rsid w:val="07916436"/>
    <w:rsid w:val="07B91983"/>
    <w:rsid w:val="07CF0C6A"/>
    <w:rsid w:val="07D22587"/>
    <w:rsid w:val="07D478A0"/>
    <w:rsid w:val="08140551"/>
    <w:rsid w:val="087329FF"/>
    <w:rsid w:val="08D025B5"/>
    <w:rsid w:val="08F57ACE"/>
    <w:rsid w:val="097833D1"/>
    <w:rsid w:val="09B74D83"/>
    <w:rsid w:val="09ED4C49"/>
    <w:rsid w:val="0A2763AD"/>
    <w:rsid w:val="0A3B7763"/>
    <w:rsid w:val="0A58609E"/>
    <w:rsid w:val="0ABA2D47"/>
    <w:rsid w:val="0B183F48"/>
    <w:rsid w:val="0B1A381C"/>
    <w:rsid w:val="0B786794"/>
    <w:rsid w:val="0B93537C"/>
    <w:rsid w:val="0BD954F5"/>
    <w:rsid w:val="0BF51ABF"/>
    <w:rsid w:val="0C6F204A"/>
    <w:rsid w:val="0CC955BE"/>
    <w:rsid w:val="0CD62761"/>
    <w:rsid w:val="0D921D8F"/>
    <w:rsid w:val="0DAC046C"/>
    <w:rsid w:val="0E016F15"/>
    <w:rsid w:val="0E8E7DFB"/>
    <w:rsid w:val="0F5C4047"/>
    <w:rsid w:val="0FB14619"/>
    <w:rsid w:val="0FFD2E7B"/>
    <w:rsid w:val="100D1BA1"/>
    <w:rsid w:val="1062641A"/>
    <w:rsid w:val="10BD24CE"/>
    <w:rsid w:val="10EC5C5A"/>
    <w:rsid w:val="11A26319"/>
    <w:rsid w:val="11B86BB3"/>
    <w:rsid w:val="12C40361"/>
    <w:rsid w:val="12E34E3B"/>
    <w:rsid w:val="13275550"/>
    <w:rsid w:val="13E26419"/>
    <w:rsid w:val="147A5E14"/>
    <w:rsid w:val="149C6DEC"/>
    <w:rsid w:val="14CE7B25"/>
    <w:rsid w:val="14DB226E"/>
    <w:rsid w:val="15731905"/>
    <w:rsid w:val="15CE063D"/>
    <w:rsid w:val="15ED40D5"/>
    <w:rsid w:val="16437131"/>
    <w:rsid w:val="16705DD5"/>
    <w:rsid w:val="16C16639"/>
    <w:rsid w:val="17010FCC"/>
    <w:rsid w:val="175C6F6A"/>
    <w:rsid w:val="17C4348D"/>
    <w:rsid w:val="18AB3826"/>
    <w:rsid w:val="18DC007E"/>
    <w:rsid w:val="18ED7A84"/>
    <w:rsid w:val="18FC0A05"/>
    <w:rsid w:val="198804EA"/>
    <w:rsid w:val="1999264E"/>
    <w:rsid w:val="19A40F43"/>
    <w:rsid w:val="19B87257"/>
    <w:rsid w:val="19F704C5"/>
    <w:rsid w:val="1A883F5A"/>
    <w:rsid w:val="1A8C7B66"/>
    <w:rsid w:val="1AD339E7"/>
    <w:rsid w:val="1AF91EE2"/>
    <w:rsid w:val="1B587852"/>
    <w:rsid w:val="1B657BD2"/>
    <w:rsid w:val="1BDC44FB"/>
    <w:rsid w:val="1C844F99"/>
    <w:rsid w:val="1CCF3C65"/>
    <w:rsid w:val="1CF41540"/>
    <w:rsid w:val="1D3F35B6"/>
    <w:rsid w:val="1DB7549E"/>
    <w:rsid w:val="1DC13FCB"/>
    <w:rsid w:val="1DD26FA2"/>
    <w:rsid w:val="1DF26448"/>
    <w:rsid w:val="1E1265D5"/>
    <w:rsid w:val="1F861028"/>
    <w:rsid w:val="1FA15E62"/>
    <w:rsid w:val="20B6486E"/>
    <w:rsid w:val="20D34C68"/>
    <w:rsid w:val="20F12E19"/>
    <w:rsid w:val="21257FBD"/>
    <w:rsid w:val="215328E6"/>
    <w:rsid w:val="217101E2"/>
    <w:rsid w:val="21EF4752"/>
    <w:rsid w:val="22641A40"/>
    <w:rsid w:val="22A5210D"/>
    <w:rsid w:val="22A8454E"/>
    <w:rsid w:val="22D12F02"/>
    <w:rsid w:val="22E460BA"/>
    <w:rsid w:val="23C57647"/>
    <w:rsid w:val="247578C9"/>
    <w:rsid w:val="24B3305B"/>
    <w:rsid w:val="24B75DEC"/>
    <w:rsid w:val="2587082F"/>
    <w:rsid w:val="25E42F4C"/>
    <w:rsid w:val="26885A80"/>
    <w:rsid w:val="27051310"/>
    <w:rsid w:val="271635D9"/>
    <w:rsid w:val="276C2443"/>
    <w:rsid w:val="27910EB2"/>
    <w:rsid w:val="2814263E"/>
    <w:rsid w:val="28302479"/>
    <w:rsid w:val="28B864A3"/>
    <w:rsid w:val="28F1322C"/>
    <w:rsid w:val="28F409D1"/>
    <w:rsid w:val="2916341D"/>
    <w:rsid w:val="294837F2"/>
    <w:rsid w:val="29F179E6"/>
    <w:rsid w:val="2A2F792E"/>
    <w:rsid w:val="2A575904"/>
    <w:rsid w:val="2A966A9D"/>
    <w:rsid w:val="2AA01F44"/>
    <w:rsid w:val="2ADB6668"/>
    <w:rsid w:val="2AEA0A59"/>
    <w:rsid w:val="2B2C5A8A"/>
    <w:rsid w:val="2B911481"/>
    <w:rsid w:val="2CAC416A"/>
    <w:rsid w:val="2CD1253E"/>
    <w:rsid w:val="2DA37249"/>
    <w:rsid w:val="2DD91A0E"/>
    <w:rsid w:val="2EC658E5"/>
    <w:rsid w:val="2F2C6CE3"/>
    <w:rsid w:val="3014442E"/>
    <w:rsid w:val="30406FD1"/>
    <w:rsid w:val="314F1BC2"/>
    <w:rsid w:val="315C42DF"/>
    <w:rsid w:val="31CF2D03"/>
    <w:rsid w:val="32482CF1"/>
    <w:rsid w:val="32A01FA9"/>
    <w:rsid w:val="32E55E4E"/>
    <w:rsid w:val="33574D5E"/>
    <w:rsid w:val="337E6F92"/>
    <w:rsid w:val="3422046A"/>
    <w:rsid w:val="3463041A"/>
    <w:rsid w:val="349A290B"/>
    <w:rsid w:val="34B47F8E"/>
    <w:rsid w:val="34BB66EE"/>
    <w:rsid w:val="35705858"/>
    <w:rsid w:val="358C70EB"/>
    <w:rsid w:val="3596288C"/>
    <w:rsid w:val="35C02B0E"/>
    <w:rsid w:val="360E6A85"/>
    <w:rsid w:val="361B2A2D"/>
    <w:rsid w:val="36525CB0"/>
    <w:rsid w:val="36C344B8"/>
    <w:rsid w:val="36FF0D6B"/>
    <w:rsid w:val="370F64B3"/>
    <w:rsid w:val="37741C95"/>
    <w:rsid w:val="377A7F0A"/>
    <w:rsid w:val="37B07132"/>
    <w:rsid w:val="37CE18E6"/>
    <w:rsid w:val="38C429BB"/>
    <w:rsid w:val="38DD3F57"/>
    <w:rsid w:val="398C4099"/>
    <w:rsid w:val="399A5EAD"/>
    <w:rsid w:val="39E51E92"/>
    <w:rsid w:val="3A116D63"/>
    <w:rsid w:val="3A1E0383"/>
    <w:rsid w:val="3A271638"/>
    <w:rsid w:val="3A4616DA"/>
    <w:rsid w:val="3A7A7584"/>
    <w:rsid w:val="3B1F36A3"/>
    <w:rsid w:val="3B554279"/>
    <w:rsid w:val="3C6B7ACC"/>
    <w:rsid w:val="3CBE19AA"/>
    <w:rsid w:val="3CD25455"/>
    <w:rsid w:val="3D8C48D3"/>
    <w:rsid w:val="3DE436F0"/>
    <w:rsid w:val="3E447041"/>
    <w:rsid w:val="3E6912FB"/>
    <w:rsid w:val="3F070AA9"/>
    <w:rsid w:val="3F9115E5"/>
    <w:rsid w:val="3FC22642"/>
    <w:rsid w:val="401F6C03"/>
    <w:rsid w:val="405B02ED"/>
    <w:rsid w:val="405E3BCF"/>
    <w:rsid w:val="406311E6"/>
    <w:rsid w:val="40BE466E"/>
    <w:rsid w:val="41016309"/>
    <w:rsid w:val="41285B63"/>
    <w:rsid w:val="413C7FBF"/>
    <w:rsid w:val="414F6F99"/>
    <w:rsid w:val="41E55C2A"/>
    <w:rsid w:val="41F61BE6"/>
    <w:rsid w:val="427F143A"/>
    <w:rsid w:val="43291B47"/>
    <w:rsid w:val="438A4CDB"/>
    <w:rsid w:val="43963680"/>
    <w:rsid w:val="44826240"/>
    <w:rsid w:val="44CE232A"/>
    <w:rsid w:val="457E617A"/>
    <w:rsid w:val="45B1413E"/>
    <w:rsid w:val="46325030"/>
    <w:rsid w:val="4674757D"/>
    <w:rsid w:val="47906C22"/>
    <w:rsid w:val="47ED7CFC"/>
    <w:rsid w:val="48291477"/>
    <w:rsid w:val="48535936"/>
    <w:rsid w:val="495A5150"/>
    <w:rsid w:val="4991239D"/>
    <w:rsid w:val="4A7638C4"/>
    <w:rsid w:val="4B257098"/>
    <w:rsid w:val="4B2D12E0"/>
    <w:rsid w:val="4BB23021"/>
    <w:rsid w:val="4C022D75"/>
    <w:rsid w:val="4C28368B"/>
    <w:rsid w:val="4C57579C"/>
    <w:rsid w:val="4CD86BC9"/>
    <w:rsid w:val="4D471D29"/>
    <w:rsid w:val="4EBA6CE0"/>
    <w:rsid w:val="4F582737"/>
    <w:rsid w:val="4F7C5A57"/>
    <w:rsid w:val="4FAE1746"/>
    <w:rsid w:val="4FD63C3A"/>
    <w:rsid w:val="501E6ED7"/>
    <w:rsid w:val="50287095"/>
    <w:rsid w:val="507810C3"/>
    <w:rsid w:val="50A0169A"/>
    <w:rsid w:val="51075C61"/>
    <w:rsid w:val="51735001"/>
    <w:rsid w:val="51AE055C"/>
    <w:rsid w:val="524E4559"/>
    <w:rsid w:val="52756B57"/>
    <w:rsid w:val="52D12EEC"/>
    <w:rsid w:val="52D92ACB"/>
    <w:rsid w:val="52F45CCD"/>
    <w:rsid w:val="52F51160"/>
    <w:rsid w:val="533D3CBC"/>
    <w:rsid w:val="535A51E8"/>
    <w:rsid w:val="53A05E55"/>
    <w:rsid w:val="54BE2A37"/>
    <w:rsid w:val="54C737A2"/>
    <w:rsid w:val="552503C0"/>
    <w:rsid w:val="552F56E3"/>
    <w:rsid w:val="55F97DD2"/>
    <w:rsid w:val="56406276"/>
    <w:rsid w:val="56552F27"/>
    <w:rsid w:val="56821731"/>
    <w:rsid w:val="574D3BFE"/>
    <w:rsid w:val="58474186"/>
    <w:rsid w:val="58F033DB"/>
    <w:rsid w:val="5952307A"/>
    <w:rsid w:val="597E4543"/>
    <w:rsid w:val="59AB0B2A"/>
    <w:rsid w:val="5A496858"/>
    <w:rsid w:val="5B143578"/>
    <w:rsid w:val="5B303F63"/>
    <w:rsid w:val="5B3255E5"/>
    <w:rsid w:val="5B9250A0"/>
    <w:rsid w:val="5BC208DA"/>
    <w:rsid w:val="5BE508A9"/>
    <w:rsid w:val="5C0077FD"/>
    <w:rsid w:val="5C280784"/>
    <w:rsid w:val="5C837F5D"/>
    <w:rsid w:val="5C9D1657"/>
    <w:rsid w:val="5D8B0BDE"/>
    <w:rsid w:val="5D900CE9"/>
    <w:rsid w:val="5DFB0858"/>
    <w:rsid w:val="5E2D6537"/>
    <w:rsid w:val="5E455F5D"/>
    <w:rsid w:val="5E5F4C97"/>
    <w:rsid w:val="5E77658F"/>
    <w:rsid w:val="5EA21EF6"/>
    <w:rsid w:val="5EE513A4"/>
    <w:rsid w:val="5F1519ED"/>
    <w:rsid w:val="5F5C70D4"/>
    <w:rsid w:val="600A3F19"/>
    <w:rsid w:val="601C6864"/>
    <w:rsid w:val="60306855"/>
    <w:rsid w:val="604C7158"/>
    <w:rsid w:val="605E6E7C"/>
    <w:rsid w:val="609E371C"/>
    <w:rsid w:val="60AD353B"/>
    <w:rsid w:val="611D0AE5"/>
    <w:rsid w:val="61291238"/>
    <w:rsid w:val="61786B56"/>
    <w:rsid w:val="61903065"/>
    <w:rsid w:val="62502FB6"/>
    <w:rsid w:val="630B32EB"/>
    <w:rsid w:val="63122BCA"/>
    <w:rsid w:val="63395E86"/>
    <w:rsid w:val="63663DC9"/>
    <w:rsid w:val="63BF40D6"/>
    <w:rsid w:val="64724786"/>
    <w:rsid w:val="649B244D"/>
    <w:rsid w:val="64C90187"/>
    <w:rsid w:val="65154FA6"/>
    <w:rsid w:val="65400429"/>
    <w:rsid w:val="65CE4CD7"/>
    <w:rsid w:val="65E77FEA"/>
    <w:rsid w:val="665A1E94"/>
    <w:rsid w:val="668A7827"/>
    <w:rsid w:val="66DE4873"/>
    <w:rsid w:val="66E10D3C"/>
    <w:rsid w:val="66E27C8C"/>
    <w:rsid w:val="680031CA"/>
    <w:rsid w:val="68190258"/>
    <w:rsid w:val="685A6DD0"/>
    <w:rsid w:val="68D91796"/>
    <w:rsid w:val="6949041A"/>
    <w:rsid w:val="696F5345"/>
    <w:rsid w:val="6A050368"/>
    <w:rsid w:val="6A225C9D"/>
    <w:rsid w:val="6A787FF1"/>
    <w:rsid w:val="6AEB5EA4"/>
    <w:rsid w:val="6AFA2377"/>
    <w:rsid w:val="6B370776"/>
    <w:rsid w:val="6B8C6023"/>
    <w:rsid w:val="6CD56718"/>
    <w:rsid w:val="6D0419DF"/>
    <w:rsid w:val="6D68133A"/>
    <w:rsid w:val="6DBD55CF"/>
    <w:rsid w:val="6DC541CB"/>
    <w:rsid w:val="6E1F5E9D"/>
    <w:rsid w:val="6EDC7EB5"/>
    <w:rsid w:val="6F16635D"/>
    <w:rsid w:val="6FE969BF"/>
    <w:rsid w:val="6FEA5D29"/>
    <w:rsid w:val="7040659E"/>
    <w:rsid w:val="70652CA1"/>
    <w:rsid w:val="7100515F"/>
    <w:rsid w:val="71D00463"/>
    <w:rsid w:val="73AD4FE1"/>
    <w:rsid w:val="746F4A29"/>
    <w:rsid w:val="74987867"/>
    <w:rsid w:val="758E00D6"/>
    <w:rsid w:val="75AE4FEE"/>
    <w:rsid w:val="75C511B5"/>
    <w:rsid w:val="75F4725E"/>
    <w:rsid w:val="76302057"/>
    <w:rsid w:val="76793A48"/>
    <w:rsid w:val="76BD44A5"/>
    <w:rsid w:val="77B204A9"/>
    <w:rsid w:val="77F63C51"/>
    <w:rsid w:val="7807758E"/>
    <w:rsid w:val="782062FA"/>
    <w:rsid w:val="788F1763"/>
    <w:rsid w:val="789F3DA6"/>
    <w:rsid w:val="78A07EF6"/>
    <w:rsid w:val="78A95865"/>
    <w:rsid w:val="78F10436"/>
    <w:rsid w:val="791C7867"/>
    <w:rsid w:val="7A2426BB"/>
    <w:rsid w:val="7A4078C7"/>
    <w:rsid w:val="7B4B6523"/>
    <w:rsid w:val="7B512E32"/>
    <w:rsid w:val="7B6C7C39"/>
    <w:rsid w:val="7BF66060"/>
    <w:rsid w:val="7CAA0F1D"/>
    <w:rsid w:val="7CBA3CDE"/>
    <w:rsid w:val="7D1645DB"/>
    <w:rsid w:val="7D3B29B2"/>
    <w:rsid w:val="7D957E4C"/>
    <w:rsid w:val="7DA55C93"/>
    <w:rsid w:val="7DB31320"/>
    <w:rsid w:val="7DE26BC0"/>
    <w:rsid w:val="7E3A0CD4"/>
    <w:rsid w:val="7E900FD0"/>
    <w:rsid w:val="7EB76D84"/>
    <w:rsid w:val="7ED00AED"/>
    <w:rsid w:val="7EED2764"/>
    <w:rsid w:val="7F240D1D"/>
    <w:rsid w:val="7F2C25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2"/>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71"/>
    <w:qFormat/>
    <w:uiPriority w:val="0"/>
    <w:pPr>
      <w:keepNext/>
      <w:keepLines/>
      <w:widowControl w:val="0"/>
      <w:suppressLineNumbers w:val="0"/>
      <w:spacing w:before="260" w:beforeAutospacing="0" w:after="260" w:afterAutospacing="0" w:line="412" w:lineRule="auto"/>
      <w:ind w:left="0" w:right="0"/>
      <w:jc w:val="both"/>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3">
    <w:name w:val="Default Paragraph Font"/>
    <w:qFormat/>
    <w:uiPriority w:val="0"/>
  </w:style>
  <w:style w:type="table" w:default="1" w:styleId="61">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3"/>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Indent"/>
    <w:basedOn w:val="1"/>
    <w:next w:val="24"/>
    <w:link w:val="74"/>
    <w:qFormat/>
    <w:uiPriority w:val="0"/>
    <w:pPr>
      <w:spacing w:line="700" w:lineRule="exact"/>
      <w:ind w:left="960"/>
    </w:pPr>
    <w:rPr>
      <w:sz w:val="44"/>
    </w:rPr>
  </w:style>
  <w:style w:type="paragraph" w:styleId="24">
    <w:name w:val="envelope return"/>
    <w:basedOn w:val="1"/>
    <w:semiHidden/>
    <w:qFormat/>
    <w:uiPriority w:val="0"/>
    <w:pPr>
      <w:snapToGrid w:val="0"/>
    </w:pPr>
    <w:rPr>
      <w:rFonts w:ascii="Arial" w:hAnsi="Arial" w:cs="Arial"/>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5"/>
    <w:qFormat/>
    <w:uiPriority w:val="0"/>
  </w:style>
  <w:style w:type="paragraph" w:styleId="34">
    <w:name w:val="Body Text Indent 2"/>
    <w:basedOn w:val="1"/>
    <w:link w:val="76"/>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next w:val="37"/>
    <w:qFormat/>
    <w:uiPriority w:val="0"/>
    <w:pPr>
      <w:tabs>
        <w:tab w:val="center" w:pos="4153"/>
        <w:tab w:val="right" w:pos="8306"/>
      </w:tabs>
      <w:snapToGrid w:val="0"/>
      <w:jc w:val="left"/>
    </w:pPr>
    <w:rPr>
      <w:sz w:val="18"/>
    </w:rPr>
  </w:style>
  <w:style w:type="paragraph" w:customStyle="1" w:styleId="37">
    <w:name w:val="索引 51"/>
    <w:basedOn w:val="1"/>
    <w:next w:val="1"/>
    <w:qFormat/>
    <w:uiPriority w:val="0"/>
    <w:pPr>
      <w:ind w:left="1680"/>
    </w:p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1">
    <w:name w:val="toc 4"/>
    <w:basedOn w:val="1"/>
    <w:next w:val="1"/>
    <w:qFormat/>
    <w:uiPriority w:val="0"/>
    <w:pPr>
      <w:ind w:left="1260" w:leftChars="600"/>
    </w:pPr>
  </w:style>
  <w:style w:type="paragraph" w:styleId="42">
    <w:name w:val="List"/>
    <w:basedOn w:val="1"/>
    <w:qFormat/>
    <w:uiPriority w:val="0"/>
    <w:pPr>
      <w:ind w:left="200" w:hanging="200" w:hangingChars="200"/>
    </w:pPr>
  </w:style>
  <w:style w:type="paragraph" w:styleId="43">
    <w:name w:val="footnote text"/>
    <w:basedOn w:val="1"/>
    <w:link w:val="77"/>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index 9"/>
    <w:basedOn w:val="1"/>
    <w:next w:val="1"/>
    <w:unhideWhenUsed/>
    <w:qFormat/>
    <w:uiPriority w:val="0"/>
    <w:pPr>
      <w:ind w:left="1600" w:leftChars="1600"/>
    </w:p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afterLines="0" w:afterAutospacing="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5">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8">
    <w:name w:val="annotation subject"/>
    <w:basedOn w:val="20"/>
    <w:next w:val="20"/>
    <w:link w:val="78"/>
    <w:qFormat/>
    <w:uiPriority w:val="0"/>
    <w:pPr>
      <w:adjustRightInd/>
      <w:spacing w:line="240" w:lineRule="auto"/>
      <w:textAlignment w:val="auto"/>
    </w:pPr>
  </w:style>
  <w:style w:type="paragraph" w:styleId="59">
    <w:name w:val="Body Text First Indent"/>
    <w:basedOn w:val="1"/>
    <w:qFormat/>
    <w:uiPriority w:val="0"/>
    <w:pPr>
      <w:spacing w:line="360" w:lineRule="auto"/>
      <w:ind w:firstLine="420"/>
    </w:pPr>
    <w:rPr>
      <w:rFonts w:ascii="宋体" w:hAnsi="宋体"/>
      <w:sz w:val="24"/>
    </w:rPr>
  </w:style>
  <w:style w:type="paragraph" w:styleId="60">
    <w:name w:val="Body Text First Indent 2"/>
    <w:basedOn w:val="23"/>
    <w:link w:val="79"/>
    <w:qFormat/>
    <w:uiPriority w:val="0"/>
    <w:pPr>
      <w:spacing w:after="120" w:afterLines="0" w:line="240" w:lineRule="auto"/>
      <w:ind w:left="420" w:leftChars="200" w:firstLine="420" w:firstLineChars="200"/>
    </w:pPr>
  </w:style>
  <w:style w:type="table" w:styleId="62">
    <w:name w:val="Table Grid"/>
    <w:basedOn w:val="6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character" w:customStyle="1" w:styleId="71">
    <w:name w:val="标题 3 Char"/>
    <w:link w:val="5"/>
    <w:qFormat/>
    <w:uiPriority w:val="0"/>
    <w:rPr>
      <w:rFonts w:eastAsia="宋体"/>
      <w:b/>
      <w:kern w:val="2"/>
      <w:sz w:val="32"/>
      <w:lang w:val="en-US" w:eastAsia="zh-CN"/>
    </w:rPr>
  </w:style>
  <w:style w:type="character" w:customStyle="1" w:styleId="72">
    <w:name w:val="标题 2 Char"/>
    <w:link w:val="4"/>
    <w:qFormat/>
    <w:uiPriority w:val="0"/>
    <w:rPr>
      <w:rFonts w:ascii="Arial" w:hAnsi="Arial" w:eastAsia="黑体"/>
      <w:b/>
      <w:kern w:val="2"/>
      <w:sz w:val="32"/>
    </w:rPr>
  </w:style>
  <w:style w:type="character" w:customStyle="1" w:styleId="73">
    <w:name w:val="批注文字 Char"/>
    <w:link w:val="20"/>
    <w:qFormat/>
    <w:uiPriority w:val="0"/>
    <w:rPr>
      <w:sz w:val="24"/>
    </w:rPr>
  </w:style>
  <w:style w:type="character" w:customStyle="1" w:styleId="74">
    <w:name w:val="正文文本缩进 Char"/>
    <w:link w:val="23"/>
    <w:qFormat/>
    <w:uiPriority w:val="0"/>
    <w:rPr>
      <w:kern w:val="2"/>
      <w:sz w:val="44"/>
    </w:rPr>
  </w:style>
  <w:style w:type="character" w:customStyle="1" w:styleId="75">
    <w:name w:val="日期 Char"/>
    <w:link w:val="33"/>
    <w:qFormat/>
    <w:uiPriority w:val="0"/>
    <w:rPr>
      <w:kern w:val="2"/>
      <w:sz w:val="28"/>
    </w:rPr>
  </w:style>
  <w:style w:type="character" w:customStyle="1" w:styleId="76">
    <w:name w:val="正文文本缩进 2 Char"/>
    <w:link w:val="34"/>
    <w:qFormat/>
    <w:uiPriority w:val="0"/>
    <w:rPr>
      <w:kern w:val="2"/>
      <w:sz w:val="28"/>
    </w:rPr>
  </w:style>
  <w:style w:type="character" w:customStyle="1" w:styleId="77">
    <w:name w:val="脚注文本 Char"/>
    <w:link w:val="43"/>
    <w:qFormat/>
    <w:uiPriority w:val="0"/>
    <w:rPr>
      <w:kern w:val="2"/>
      <w:sz w:val="18"/>
    </w:rPr>
  </w:style>
  <w:style w:type="character" w:customStyle="1" w:styleId="78">
    <w:name w:val="批注主题 Char"/>
    <w:basedOn w:val="73"/>
    <w:link w:val="58"/>
    <w:qFormat/>
    <w:uiPriority w:val="0"/>
  </w:style>
  <w:style w:type="character" w:customStyle="1" w:styleId="79">
    <w:name w:val="正文首行缩进 2 Char"/>
    <w:basedOn w:val="74"/>
    <w:link w:val="60"/>
    <w:qFormat/>
    <w:uiPriority w:val="0"/>
  </w:style>
  <w:style w:type="paragraph" w:customStyle="1" w:styleId="80">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 w:type="character" w:customStyle="1" w:styleId="81">
    <w:name w:val=" Char Char11"/>
    <w:qFormat/>
    <w:uiPriority w:val="0"/>
    <w:rPr>
      <w:rFonts w:ascii="宋体"/>
      <w:kern w:val="2"/>
      <w:sz w:val="28"/>
    </w:rPr>
  </w:style>
  <w:style w:type="character" w:customStyle="1" w:styleId="82">
    <w:name w:val="样式 宋体"/>
    <w:qFormat/>
    <w:uiPriority w:val="0"/>
    <w:rPr>
      <w:rFonts w:ascii="宋体" w:hAnsi="宋体" w:eastAsia="宋体"/>
      <w:sz w:val="28"/>
    </w:rPr>
  </w:style>
  <w:style w:type="character" w:customStyle="1" w:styleId="83">
    <w:name w:val=" Char Char6"/>
    <w:qFormat/>
    <w:uiPriority w:val="0"/>
    <w:rPr>
      <w:rFonts w:ascii="仿宋_GB2312" w:eastAsia="仿宋_GB2312"/>
      <w:kern w:val="2"/>
      <w:sz w:val="32"/>
    </w:rPr>
  </w:style>
  <w:style w:type="character" w:customStyle="1" w:styleId="84">
    <w:name w:val="font1"/>
    <w:qFormat/>
    <w:uiPriority w:val="0"/>
    <w:rPr>
      <w:color w:val="000000"/>
      <w:sz w:val="18"/>
    </w:rPr>
  </w:style>
  <w:style w:type="character" w:customStyle="1" w:styleId="85">
    <w:name w:val="未命名11"/>
    <w:qFormat/>
    <w:uiPriority w:val="0"/>
    <w:rPr>
      <w:color w:val="77FFFF"/>
      <w:sz w:val="24"/>
    </w:rPr>
  </w:style>
  <w:style w:type="character" w:customStyle="1" w:styleId="86">
    <w:name w:val="Table Text Char Char Char Char"/>
    <w:link w:val="87"/>
    <w:qFormat/>
    <w:uiPriority w:val="0"/>
    <w:rPr>
      <w:rFonts w:ascii="Arial" w:hAnsi="Arial"/>
      <w:kern w:val="2"/>
      <w:sz w:val="18"/>
      <w:lang w:val="en-US" w:eastAsia="zh-CN" w:bidi="ar-SA"/>
    </w:rPr>
  </w:style>
  <w:style w:type="paragraph" w:customStyle="1" w:styleId="87">
    <w:name w:val="Table Text Char Char Char"/>
    <w:link w:val="86"/>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 Char Char7"/>
    <w:qFormat/>
    <w:uiPriority w:val="0"/>
    <w:rPr>
      <w:rFonts w:ascii="宋体" w:hAnsi="宋体" w:eastAsia="宋体"/>
      <w:kern w:val="2"/>
      <w:sz w:val="28"/>
    </w:rPr>
  </w:style>
  <w:style w:type="character" w:customStyle="1" w:styleId="89">
    <w:name w:val=" Char Char3"/>
    <w:qFormat/>
    <w:uiPriority w:val="0"/>
    <w:rPr>
      <w:rFonts w:eastAsia="宋体"/>
      <w:kern w:val="2"/>
      <w:sz w:val="18"/>
      <w:lang w:val="en-US" w:eastAsia="zh-CN"/>
    </w:rPr>
  </w:style>
  <w:style w:type="character" w:customStyle="1" w:styleId="90">
    <w:name w:val="附件 Char Char"/>
    <w:link w:val="91"/>
    <w:qFormat/>
    <w:uiPriority w:val="0"/>
    <w:rPr>
      <w:rFonts w:eastAsia="方正黑体_GBK"/>
      <w:b/>
      <w:bCs/>
      <w:smallCaps/>
      <w:kern w:val="2"/>
      <w:sz w:val="28"/>
      <w:lang w:val="en-US" w:eastAsia="zh-CN" w:bidi="ar-SA"/>
    </w:rPr>
  </w:style>
  <w:style w:type="paragraph" w:customStyle="1" w:styleId="91">
    <w:name w:val="附件"/>
    <w:next w:val="1"/>
    <w:link w:val="90"/>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92">
    <w:name w:val=" Char Char4"/>
    <w:qFormat/>
    <w:uiPriority w:val="0"/>
    <w:rPr>
      <w:rFonts w:eastAsia="宋体"/>
      <w:b/>
      <w:kern w:val="2"/>
      <w:sz w:val="21"/>
      <w:lang w:val="en-US" w:eastAsia="zh-CN"/>
    </w:rPr>
  </w:style>
  <w:style w:type="character" w:customStyle="1" w:styleId="93">
    <w:name w:val="title_emph1"/>
    <w:qFormat/>
    <w:uiPriority w:val="0"/>
    <w:rPr>
      <w:rFonts w:hint="default" w:ascii="Arial" w:hAnsi="Arial"/>
      <w:b/>
      <w:sz w:val="20"/>
    </w:rPr>
  </w:style>
  <w:style w:type="character" w:customStyle="1" w:styleId="94">
    <w:name w:val="content-white1"/>
    <w:qFormat/>
    <w:uiPriority w:val="0"/>
    <w:rPr>
      <w:rFonts w:ascii="_x000B__x000C_" w:hAnsi="_x000B__x000C_"/>
      <w:color w:val="auto"/>
      <w:sz w:val="18"/>
      <w:u w:val="none"/>
    </w:rPr>
  </w:style>
  <w:style w:type="character" w:customStyle="1" w:styleId="95">
    <w:name w:val="小 Char"/>
    <w:qFormat/>
    <w:uiPriority w:val="0"/>
    <w:rPr>
      <w:rFonts w:ascii="宋体" w:hAnsi="Courier New" w:eastAsia="宋体"/>
      <w:kern w:val="2"/>
      <w:sz w:val="21"/>
      <w:lang w:val="en-US" w:eastAsia="zh-CN" w:bidi="ar-SA"/>
    </w:rPr>
  </w:style>
  <w:style w:type="character" w:customStyle="1" w:styleId="96">
    <w:name w:val="crowed11"/>
    <w:qFormat/>
    <w:uiPriority w:val="0"/>
    <w:rPr>
      <w:rFonts w:hint="default" w:ascii="_x000B__x000C_" w:hAnsi="_x000B__x000C_"/>
      <w:sz w:val="24"/>
    </w:rPr>
  </w:style>
  <w:style w:type="character" w:customStyle="1" w:styleId="97">
    <w:name w:val="H2 Char"/>
    <w:qFormat/>
    <w:uiPriority w:val="0"/>
    <w:rPr>
      <w:rFonts w:ascii="Arial" w:hAnsi="Arial" w:eastAsia="宋体"/>
      <w:kern w:val="2"/>
      <w:sz w:val="28"/>
      <w:lang w:val="en-US" w:eastAsia="zh-CN"/>
    </w:rPr>
  </w:style>
  <w:style w:type="character" w:customStyle="1" w:styleId="98">
    <w:name w:val=" Char Char"/>
    <w:qFormat/>
    <w:uiPriority w:val="0"/>
    <w:rPr>
      <w:rFonts w:ascii="宋体" w:hAnsi="宋体" w:eastAsia="宋体"/>
      <w:kern w:val="2"/>
      <w:sz w:val="24"/>
      <w:lang w:val="en-US" w:eastAsia="zh-CN" w:bidi="ar-SA"/>
    </w:rPr>
  </w:style>
  <w:style w:type="character" w:customStyle="1" w:styleId="99">
    <w:name w:val="标书正文:  0.74 厘米 Char1"/>
    <w:qFormat/>
    <w:uiPriority w:val="0"/>
    <w:rPr>
      <w:rFonts w:eastAsia="宋体"/>
      <w:kern w:val="2"/>
      <w:sz w:val="24"/>
      <w:lang w:val="en-US" w:eastAsia="zh-CN"/>
    </w:rPr>
  </w:style>
  <w:style w:type="character" w:customStyle="1" w:styleId="100">
    <w:name w:val="正文 + 三号 Char"/>
    <w:qFormat/>
    <w:uiPriority w:val="0"/>
    <w:rPr>
      <w:rFonts w:eastAsia="宋体"/>
      <w:kern w:val="2"/>
      <w:sz w:val="21"/>
      <w:lang w:val="en-US" w:eastAsia="zh-CN"/>
    </w:rPr>
  </w:style>
  <w:style w:type="character" w:customStyle="1" w:styleId="101">
    <w:name w:val="v151"/>
    <w:qFormat/>
    <w:uiPriority w:val="0"/>
    <w:rPr>
      <w:sz w:val="18"/>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开评标用项目名称 Char"/>
    <w:link w:val="104"/>
    <w:semiHidden/>
    <w:qFormat/>
    <w:uiPriority w:val="0"/>
    <w:rPr>
      <w:rFonts w:eastAsia="黑体"/>
      <w:b/>
      <w:bCs/>
      <w:kern w:val="44"/>
      <w:sz w:val="32"/>
      <w:szCs w:val="44"/>
    </w:rPr>
  </w:style>
  <w:style w:type="paragraph" w:customStyle="1" w:styleId="104">
    <w:name w:val="开评标用项目名称"/>
    <w:basedOn w:val="3"/>
    <w:link w:val="103"/>
    <w:semiHidden/>
    <w:qFormat/>
    <w:uiPriority w:val="0"/>
    <w:pPr>
      <w:keepLines/>
      <w:widowControl/>
      <w:snapToGrid/>
      <w:spacing w:before="50" w:beforeLines="50" w:after="50" w:afterLines="50" w:line="380" w:lineRule="exact"/>
      <w:jc w:val="center"/>
      <w:outlineLvl w:val="9"/>
    </w:pPr>
    <w:rPr>
      <w:rFonts w:ascii="Times New Roman" w:eastAsia="黑体"/>
      <w:b/>
      <w:bCs/>
      <w:kern w:val="44"/>
      <w:sz w:val="32"/>
      <w:szCs w:val="44"/>
    </w:rPr>
  </w:style>
  <w:style w:type="character" w:customStyle="1" w:styleId="105">
    <w:name w:val="Table Heading Char Char"/>
    <w:qFormat/>
    <w:uiPriority w:val="0"/>
    <w:rPr>
      <w:rFonts w:ascii="Arial" w:hAnsi="Arial" w:eastAsia="黑体"/>
      <w:kern w:val="2"/>
      <w:sz w:val="18"/>
      <w:lang w:val="en-US" w:eastAsia="zh-CN"/>
    </w:rPr>
  </w:style>
  <w:style w:type="character" w:customStyle="1" w:styleId="106">
    <w:name w:val="top-det1"/>
    <w:qFormat/>
    <w:uiPriority w:val="0"/>
    <w:rPr>
      <w:b/>
      <w:color w:val="000000"/>
    </w:rPr>
  </w:style>
  <w:style w:type="character" w:customStyle="1" w:styleId="107">
    <w:name w:val="文字 Char"/>
    <w:link w:val="108"/>
    <w:qFormat/>
    <w:uiPriority w:val="0"/>
    <w:rPr>
      <w:rFonts w:ascii="宋体"/>
      <w:kern w:val="2"/>
      <w:sz w:val="28"/>
    </w:rPr>
  </w:style>
  <w:style w:type="paragraph" w:customStyle="1" w:styleId="108">
    <w:name w:val="文字"/>
    <w:basedOn w:val="1"/>
    <w:link w:val="107"/>
    <w:qFormat/>
    <w:uiPriority w:val="0"/>
    <w:pPr>
      <w:tabs>
        <w:tab w:val="left" w:pos="8520"/>
      </w:tabs>
      <w:spacing w:line="312" w:lineRule="auto"/>
      <w:ind w:right="-210" w:firstLine="556"/>
    </w:pPr>
    <w:rPr>
      <w:rFonts w:ascii="宋体"/>
    </w:rPr>
  </w:style>
  <w:style w:type="character" w:customStyle="1" w:styleId="109">
    <w:name w:val=" Char Char2"/>
    <w:qFormat/>
    <w:uiPriority w:val="0"/>
    <w:rPr>
      <w:rFonts w:eastAsia="宋体"/>
      <w:kern w:val="2"/>
      <w:sz w:val="18"/>
      <w:lang w:val="en-US" w:eastAsia="zh-CN"/>
    </w:rPr>
  </w:style>
  <w:style w:type="character" w:customStyle="1" w:styleId="110">
    <w:name w:val=" Char Char5"/>
    <w:qFormat/>
    <w:uiPriority w:val="0"/>
    <w:rPr>
      <w:rFonts w:ascii="Arial" w:hAnsi="Arial" w:eastAsia="宋体"/>
      <w:b/>
      <w:smallCaps/>
      <w:kern w:val="28"/>
      <w:sz w:val="36"/>
      <w:lang w:val="en-US" w:eastAsia="en-US"/>
    </w:rPr>
  </w:style>
  <w:style w:type="character" w:customStyle="1" w:styleId="111">
    <w:name w:val="Table Text Char"/>
    <w:link w:val="112"/>
    <w:qFormat/>
    <w:uiPriority w:val="0"/>
    <w:rPr>
      <w:rFonts w:ascii="Arial" w:hAnsi="Arial"/>
      <w:kern w:val="2"/>
      <w:sz w:val="18"/>
      <w:lang w:val="en-US" w:eastAsia="zh-CN" w:bidi="ar-SA"/>
    </w:rPr>
  </w:style>
  <w:style w:type="paragraph" w:customStyle="1" w:styleId="112">
    <w:name w:val="Table Text"/>
    <w:link w:val="111"/>
    <w:qFormat/>
    <w:uiPriority w:val="0"/>
    <w:pPr>
      <w:snapToGrid w:val="0"/>
      <w:spacing w:before="80" w:after="80"/>
    </w:pPr>
    <w:rPr>
      <w:rFonts w:ascii="Arial" w:hAnsi="Arial" w:eastAsia="宋体" w:cs="Times New Roman"/>
      <w:kern w:val="2"/>
      <w:sz w:val="18"/>
      <w:lang w:val="en-US" w:eastAsia="zh-CN" w:bidi="ar-SA"/>
    </w:rPr>
  </w:style>
  <w:style w:type="paragraph" w:customStyle="1" w:styleId="113">
    <w:name w:val=" Char Char14 Char Char"/>
    <w:basedOn w:val="1"/>
    <w:qFormat/>
    <w:uiPriority w:val="0"/>
    <w:rPr>
      <w:sz w:val="21"/>
      <w:szCs w:val="24"/>
    </w:rPr>
  </w:style>
  <w:style w:type="paragraph" w:customStyle="1" w:styleId="114">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15">
    <w:name w:val="样式1xz"/>
    <w:basedOn w:val="1"/>
    <w:qFormat/>
    <w:uiPriority w:val="0"/>
    <w:pPr>
      <w:tabs>
        <w:tab w:val="left" w:pos="1050"/>
        <w:tab w:val="right" w:leader="dot" w:pos="8296"/>
      </w:tabs>
    </w:pPr>
    <w:rPr>
      <w:caps/>
      <w:spacing w:val="20"/>
      <w:sz w:val="24"/>
    </w:rPr>
  </w:style>
  <w:style w:type="paragraph" w:customStyle="1" w:styleId="116">
    <w:name w:val="Char Char Char Char Char Char Char"/>
    <w:basedOn w:val="18"/>
    <w:qFormat/>
    <w:uiPriority w:val="0"/>
    <w:rPr>
      <w:rFonts w:ascii="宋体" w:hAnsi="Tahoma"/>
    </w:rPr>
  </w:style>
  <w:style w:type="paragraph" w:customStyle="1" w:styleId="117">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18">
    <w:name w:val="样式1"/>
    <w:basedOn w:val="6"/>
    <w:qFormat/>
    <w:uiPriority w:val="0"/>
    <w:pPr>
      <w:tabs>
        <w:tab w:val="left" w:pos="720"/>
      </w:tabs>
      <w:spacing w:before="500" w:beforeLines="0" w:beforeAutospacing="0" w:after="260" w:afterLines="0" w:afterAutospacing="0" w:line="560" w:lineRule="atLeast"/>
      <w:ind w:left="420" w:hanging="420"/>
    </w:pPr>
  </w:style>
  <w:style w:type="paragraph" w:customStyle="1" w:styleId="119">
    <w:name w:val=" Char"/>
    <w:basedOn w:val="1"/>
    <w:qFormat/>
    <w:uiPriority w:val="0"/>
    <w:pPr>
      <w:spacing w:line="240" w:lineRule="atLeast"/>
      <w:ind w:left="420" w:firstLine="420"/>
    </w:pPr>
    <w:rPr>
      <w:kern w:val="0"/>
      <w:sz w:val="21"/>
    </w:rPr>
  </w:style>
  <w:style w:type="paragraph" w:customStyle="1" w:styleId="120">
    <w:name w:val="样式 正文缩进正文（首行缩进两字）表正文正文非缩进特点标题4段1 + 首行缩进:  2 字符"/>
    <w:basedOn w:val="16"/>
    <w:qFormat/>
    <w:uiPriority w:val="0"/>
    <w:pPr>
      <w:ind w:firstLine="480" w:firstLineChars="200"/>
    </w:pPr>
  </w:style>
  <w:style w:type="paragraph" w:customStyle="1" w:styleId="121">
    <w:name w:val="表头文本"/>
    <w:qFormat/>
    <w:uiPriority w:val="0"/>
    <w:pPr>
      <w:jc w:val="center"/>
    </w:pPr>
    <w:rPr>
      <w:rFonts w:ascii="Arial" w:hAnsi="Arial" w:eastAsia="宋体" w:cs="Times New Roman"/>
      <w:b/>
      <w:sz w:val="21"/>
      <w:lang w:val="en-US" w:eastAsia="zh-CN" w:bidi="ar-SA"/>
    </w:rPr>
  </w:style>
  <w:style w:type="paragraph" w:customStyle="1" w:styleId="122">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23">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24">
    <w:name w:val="正文 + 三号"/>
    <w:basedOn w:val="1"/>
    <w:qFormat/>
    <w:uiPriority w:val="0"/>
    <w:rPr>
      <w:sz w:val="21"/>
    </w:rPr>
  </w:style>
  <w:style w:type="paragraph" w:customStyle="1" w:styleId="12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7">
    <w:name w:val="Table Paragraph"/>
    <w:basedOn w:val="1"/>
    <w:qFormat/>
    <w:uiPriority w:val="1"/>
    <w:rPr>
      <w:rFonts w:ascii="宋体" w:hAnsi="宋体" w:cs="宋体"/>
      <w:lang w:val="zh-CN" w:bidi="zh-CN"/>
    </w:rPr>
  </w:style>
  <w:style w:type="paragraph" w:customStyle="1" w:styleId="12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29">
    <w:name w:val="_"/>
    <w:basedOn w:val="1"/>
    <w:qFormat/>
    <w:uiPriority w:val="0"/>
    <w:pPr>
      <w:adjustRightInd w:val="0"/>
      <w:spacing w:line="360" w:lineRule="auto"/>
      <w:ind w:left="480" w:firstLine="200" w:firstLineChars="200"/>
      <w:textAlignment w:val="baseline"/>
    </w:pPr>
    <w:rPr>
      <w:kern w:val="0"/>
      <w:sz w:val="24"/>
    </w:rPr>
  </w:style>
  <w:style w:type="paragraph" w:customStyle="1" w:styleId="1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1">
    <w:name w:val="默认段落字体 Para Char Char Char Char Char Char Char Char Char1 Char Char Char Char"/>
    <w:basedOn w:val="1"/>
    <w:qFormat/>
    <w:uiPriority w:val="0"/>
    <w:rPr>
      <w:rFonts w:ascii="Tahoma" w:hAnsi="Tahoma"/>
      <w:sz w:val="24"/>
    </w:rPr>
  </w:style>
  <w:style w:type="paragraph" w:customStyle="1" w:styleId="132">
    <w:name w:val="Body Text Indent 2"/>
    <w:basedOn w:val="1"/>
    <w:qFormat/>
    <w:uiPriority w:val="0"/>
    <w:pPr>
      <w:adjustRightInd w:val="0"/>
      <w:spacing w:before="120" w:beforeLines="0" w:beforeAutospacing="0"/>
      <w:ind w:firstLine="420"/>
      <w:textAlignment w:val="baseline"/>
    </w:pPr>
    <w:rPr>
      <w:sz w:val="24"/>
    </w:rPr>
  </w:style>
  <w:style w:type="paragraph" w:customStyle="1" w:styleId="133">
    <w:name w:val="关键词"/>
    <w:basedOn w:val="1"/>
    <w:next w:val="1"/>
    <w:qFormat/>
    <w:uiPriority w:val="0"/>
    <w:pPr>
      <w:spacing w:line="360" w:lineRule="auto"/>
    </w:pPr>
    <w:rPr>
      <w:rFonts w:eastAsia="黑体"/>
      <w:sz w:val="20"/>
    </w:rPr>
  </w:style>
  <w:style w:type="paragraph" w:customStyle="1" w:styleId="134">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5">
    <w:name w:val=" Char Char1 Char"/>
    <w:basedOn w:val="1"/>
    <w:qFormat/>
    <w:uiPriority w:val="0"/>
    <w:rPr>
      <w:rFonts w:ascii="Tahoma" w:hAnsi="Tahoma"/>
      <w:sz w:val="24"/>
      <w:szCs w:val="24"/>
    </w:rPr>
  </w:style>
  <w:style w:type="paragraph" w:customStyle="1" w:styleId="136">
    <w:name w:val="样式 宋体 五号 行距: 单倍行距"/>
    <w:basedOn w:val="1"/>
    <w:qFormat/>
    <w:uiPriority w:val="0"/>
    <w:pPr>
      <w:adjustRightInd w:val="0"/>
      <w:jc w:val="left"/>
    </w:pPr>
    <w:rPr>
      <w:rFonts w:ascii="宋体" w:hAnsi="宋体"/>
      <w:kern w:val="0"/>
      <w:sz w:val="21"/>
    </w:rPr>
  </w:style>
  <w:style w:type="paragraph" w:customStyle="1" w:styleId="13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8">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39">
    <w:name w:val="样式 正文首行缩进 2 + 首行缩进:  2 字符"/>
    <w:basedOn w:val="1"/>
    <w:qFormat/>
    <w:uiPriority w:val="0"/>
    <w:pPr>
      <w:numPr>
        <w:ilvl w:val="0"/>
        <w:numId w:val="6"/>
      </w:numPr>
      <w:adjustRightInd w:val="0"/>
      <w:snapToGrid w:val="0"/>
      <w:spacing w:line="360" w:lineRule="auto"/>
    </w:pPr>
    <w:rPr>
      <w:rFonts w:ascii="Arial" w:hAnsi="Arial"/>
      <w:b/>
      <w:sz w:val="24"/>
    </w:rPr>
  </w:style>
  <w:style w:type="paragraph" w:customStyle="1" w:styleId="140">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4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2">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3">
    <w:name w:val="Title - Date"/>
    <w:basedOn w:val="57"/>
    <w:next w:val="1"/>
    <w:qFormat/>
    <w:uiPriority w:val="0"/>
    <w:pPr>
      <w:spacing w:before="240" w:beforeLines="0" w:beforeAutospacing="0" w:after="720" w:afterLines="0" w:afterAutospacing="0"/>
    </w:pPr>
    <w:rPr>
      <w:sz w:val="28"/>
    </w:rPr>
  </w:style>
  <w:style w:type="paragraph" w:customStyle="1" w:styleId="14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45">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6">
    <w:name w:val=" Char Char 字元 字元 字元 Char Char Char Char"/>
    <w:basedOn w:val="1"/>
    <w:qFormat/>
    <w:uiPriority w:val="0"/>
    <w:pPr>
      <w:adjustRightInd w:val="0"/>
      <w:spacing w:line="360" w:lineRule="auto"/>
    </w:pPr>
    <w:rPr>
      <w:kern w:val="0"/>
      <w:sz w:val="24"/>
    </w:rPr>
  </w:style>
  <w:style w:type="paragraph" w:customStyle="1" w:styleId="147">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8">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14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5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2">
    <w:name w:val="IN Feature"/>
    <w:next w:val="15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3">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54">
    <w:name w:val="Char"/>
    <w:basedOn w:val="1"/>
    <w:qFormat/>
    <w:uiPriority w:val="0"/>
    <w:pPr>
      <w:spacing w:line="240" w:lineRule="atLeast"/>
      <w:ind w:left="420" w:firstLine="420"/>
    </w:pPr>
    <w:rPr>
      <w:kern w:val="0"/>
      <w:sz w:val="21"/>
    </w:rPr>
  </w:style>
  <w:style w:type="paragraph" w:customStyle="1" w:styleId="155">
    <w:name w:val="_Style 150"/>
    <w:qFormat/>
    <w:uiPriority w:val="0"/>
    <w:rPr>
      <w:rFonts w:ascii="Times New Roman" w:hAnsi="Times New Roman" w:eastAsia="宋体" w:cs="Times New Roman"/>
      <w:kern w:val="2"/>
      <w:sz w:val="21"/>
      <w:lang w:val="en-US" w:eastAsia="zh-CN" w:bidi="ar-SA"/>
    </w:rPr>
  </w:style>
  <w:style w:type="paragraph" w:customStyle="1" w:styleId="156">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5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9">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0">
    <w:name w:val="表号"/>
    <w:basedOn w:val="1"/>
    <w:qFormat/>
    <w:uiPriority w:val="0"/>
    <w:pPr>
      <w:numPr>
        <w:ilvl w:val="0"/>
        <w:numId w:val="8"/>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61">
    <w:name w:val="内容标题"/>
    <w:basedOn w:val="18"/>
    <w:qFormat/>
    <w:uiPriority w:val="0"/>
    <w:rPr>
      <w:rFonts w:ascii="Tahoma" w:hAnsi="Tahoma"/>
      <w:sz w:val="24"/>
    </w:rPr>
  </w:style>
  <w:style w:type="paragraph" w:customStyle="1" w:styleId="162">
    <w:name w:val="正文表格"/>
    <w:basedOn w:val="1"/>
    <w:qFormat/>
    <w:uiPriority w:val="0"/>
    <w:pPr>
      <w:adjustRightInd w:val="0"/>
      <w:spacing w:before="40" w:beforeLines="0" w:beforeAutospacing="0" w:after="40" w:afterLines="0" w:afterAutospacing="0"/>
    </w:pPr>
    <w:rPr>
      <w:sz w:val="24"/>
    </w:rPr>
  </w:style>
  <w:style w:type="paragraph" w:customStyle="1" w:styleId="16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5">
    <w:name w:val="表格内文字"/>
    <w:basedOn w:val="31"/>
    <w:qFormat/>
    <w:uiPriority w:val="0"/>
    <w:pPr>
      <w:adjustRightInd w:val="0"/>
    </w:pPr>
    <w:rPr>
      <w:color w:val="000000"/>
      <w:lang w:val="en-GB"/>
    </w:rPr>
  </w:style>
  <w:style w:type="paragraph" w:customStyle="1" w:styleId="166">
    <w:name w:val="可研正文"/>
    <w:basedOn w:val="2"/>
    <w:qFormat/>
    <w:uiPriority w:val="0"/>
    <w:pPr>
      <w:adjustRightInd w:val="0"/>
      <w:snapToGrid w:val="0"/>
      <w:spacing w:line="440" w:lineRule="exact"/>
      <w:ind w:firstLine="567"/>
    </w:pPr>
    <w:rPr>
      <w:sz w:val="28"/>
    </w:rPr>
  </w:style>
  <w:style w:type="paragraph" w:customStyle="1" w:styleId="167">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9">
    <w:name w:val="标书正文:  0.74 厘米"/>
    <w:basedOn w:val="1"/>
    <w:qFormat/>
    <w:uiPriority w:val="0"/>
    <w:pPr>
      <w:snapToGrid w:val="0"/>
      <w:spacing w:line="360" w:lineRule="auto"/>
      <w:ind w:firstLine="420"/>
    </w:pPr>
    <w:rPr>
      <w:sz w:val="24"/>
    </w:rPr>
  </w:style>
  <w:style w:type="paragraph" w:customStyle="1" w:styleId="170">
    <w:name w:val=" Char Char Char Char Char Char Char Char Char Char Char Char Char Char Char Char"/>
    <w:basedOn w:val="1"/>
    <w:qFormat/>
    <w:uiPriority w:val="0"/>
    <w:pPr>
      <w:tabs>
        <w:tab w:val="left" w:pos="360"/>
      </w:tabs>
    </w:pPr>
    <w:rPr>
      <w:sz w:val="24"/>
    </w:rPr>
  </w:style>
  <w:style w:type="paragraph" w:customStyle="1" w:styleId="171">
    <w:name w:val="文章正文"/>
    <w:basedOn w:val="1"/>
    <w:qFormat/>
    <w:uiPriority w:val="0"/>
    <w:pPr>
      <w:ind w:firstLine="560" w:firstLineChars="200"/>
    </w:pPr>
    <w:rPr>
      <w:rFonts w:ascii="仿宋_GB2312" w:hAnsi="宋体" w:eastAsia="仿宋_GB2312"/>
      <w:color w:val="000000"/>
    </w:rPr>
  </w:style>
  <w:style w:type="paragraph" w:customStyle="1" w:styleId="172">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73">
    <w:name w:val="Style Heading 3h3Heading 3 - oldLevel 3 HeadH3level_3PIM 3se..."/>
    <w:basedOn w:val="5"/>
    <w:qFormat/>
    <w:uiPriority w:val="0"/>
    <w:pPr>
      <w:numPr>
        <w:ilvl w:val="2"/>
        <w:numId w:val="2"/>
      </w:numPr>
      <w:tabs>
        <w:tab w:val="left" w:pos="709"/>
        <w:tab w:val="left" w:pos="1620"/>
      </w:tabs>
      <w:spacing w:line="413" w:lineRule="auto"/>
    </w:pPr>
  </w:style>
  <w:style w:type="paragraph" w:customStyle="1" w:styleId="174">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5">
    <w:name w:val=" Char2 Char Char Char Char Char Char"/>
    <w:basedOn w:val="1"/>
    <w:qFormat/>
    <w:uiPriority w:val="0"/>
    <w:rPr>
      <w:rFonts w:ascii="仿宋_GB2312"/>
      <w:b/>
      <w:sz w:val="30"/>
    </w:rPr>
  </w:style>
  <w:style w:type="paragraph" w:customStyle="1" w:styleId="176">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77">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178">
    <w:name w:val="摘要"/>
    <w:basedOn w:val="1"/>
    <w:next w:val="4"/>
    <w:qFormat/>
    <w:uiPriority w:val="0"/>
    <w:pPr>
      <w:spacing w:line="360" w:lineRule="auto"/>
    </w:pPr>
    <w:rPr>
      <w:rFonts w:eastAsia="黑体"/>
      <w:sz w:val="20"/>
    </w:rPr>
  </w:style>
  <w:style w:type="paragraph" w:customStyle="1" w:styleId="1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首行缩进"/>
    <w:basedOn w:val="1"/>
    <w:qFormat/>
    <w:uiPriority w:val="0"/>
    <w:pPr>
      <w:numPr>
        <w:ilvl w:val="0"/>
        <w:numId w:val="10"/>
      </w:numPr>
      <w:spacing w:line="360" w:lineRule="auto"/>
    </w:pPr>
    <w:rPr>
      <w:rFonts w:eastAsia="仿宋_GB2312"/>
    </w:rPr>
  </w:style>
  <w:style w:type="paragraph" w:customStyle="1" w:styleId="182">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8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4">
    <w:name w:val="af"/>
    <w:basedOn w:val="1"/>
    <w:qFormat/>
    <w:uiPriority w:val="0"/>
    <w:pPr>
      <w:widowControl/>
      <w:spacing w:line="300" w:lineRule="atLeast"/>
      <w:jc w:val="left"/>
    </w:pPr>
    <w:rPr>
      <w:rFonts w:ascii="宋体" w:hAnsi="宋体"/>
      <w:kern w:val="0"/>
      <w:sz w:val="18"/>
    </w:rPr>
  </w:style>
  <w:style w:type="paragraph" w:customStyle="1" w:styleId="185">
    <w:name w:val="正文（首行不缩进）"/>
    <w:basedOn w:val="1"/>
    <w:qFormat/>
    <w:uiPriority w:val="0"/>
    <w:pPr>
      <w:autoSpaceDE w:val="0"/>
      <w:autoSpaceDN w:val="0"/>
      <w:adjustRightInd w:val="0"/>
      <w:spacing w:line="360" w:lineRule="auto"/>
      <w:jc w:val="left"/>
    </w:pPr>
    <w:rPr>
      <w:kern w:val="0"/>
      <w:sz w:val="21"/>
    </w:rPr>
  </w:style>
  <w:style w:type="paragraph" w:customStyle="1" w:styleId="186">
    <w:name w:val="标题无"/>
    <w:basedOn w:val="1"/>
    <w:qFormat/>
    <w:uiPriority w:val="0"/>
    <w:pPr>
      <w:spacing w:line="360" w:lineRule="auto"/>
    </w:pPr>
    <w:rPr>
      <w:sz w:val="24"/>
    </w:rPr>
  </w:style>
  <w:style w:type="paragraph" w:customStyle="1" w:styleId="187">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8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9">
    <w:name w:val="样式2"/>
    <w:basedOn w:val="6"/>
    <w:qFormat/>
    <w:uiPriority w:val="0"/>
    <w:pPr>
      <w:numPr>
        <w:ilvl w:val="0"/>
        <w:numId w:val="12"/>
      </w:numPr>
      <w:spacing w:before="560" w:beforeLines="0" w:line="400" w:lineRule="exact"/>
      <w:jc w:val="center"/>
      <w:outlineLvl w:val="0"/>
    </w:pPr>
    <w:rPr>
      <w:b w:val="0"/>
      <w:sz w:val="44"/>
    </w:rPr>
  </w:style>
  <w:style w:type="paragraph" w:customStyle="1" w:styleId="19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1">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2">
    <w:name w:val="标题3——2"/>
    <w:basedOn w:val="5"/>
    <w:next w:val="59"/>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93">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94">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95">
    <w:name w:val="Title - Revision"/>
    <w:basedOn w:val="57"/>
    <w:qFormat/>
    <w:uiPriority w:val="0"/>
    <w:pPr>
      <w:spacing w:before="720" w:beforeLines="0" w:beforeAutospacing="0"/>
    </w:pPr>
  </w:style>
  <w:style w:type="paragraph" w:customStyle="1" w:styleId="196">
    <w:name w:val=" Char1 Char Char Char"/>
    <w:basedOn w:val="1"/>
    <w:qFormat/>
    <w:uiPriority w:val="0"/>
    <w:rPr>
      <w:rFonts w:ascii="Tahoma" w:hAnsi="Tahoma"/>
      <w:sz w:val="24"/>
    </w:rPr>
  </w:style>
  <w:style w:type="paragraph" w:customStyle="1" w:styleId="197">
    <w:name w:val="二级条标题"/>
    <w:basedOn w:val="198"/>
    <w:next w:val="179"/>
    <w:qFormat/>
    <w:uiPriority w:val="0"/>
    <w:pPr>
      <w:ind w:left="840"/>
      <w:outlineLvl w:val="3"/>
    </w:pPr>
  </w:style>
  <w:style w:type="paragraph" w:customStyle="1" w:styleId="198">
    <w:name w:val="一级条标题"/>
    <w:basedOn w:val="126"/>
    <w:next w:val="179"/>
    <w:qFormat/>
    <w:uiPriority w:val="0"/>
    <w:pPr>
      <w:numPr>
        <w:ilvl w:val="1"/>
        <w:numId w:val="0"/>
      </w:numPr>
      <w:spacing w:before="0" w:beforeLines="0" w:beforeAutospacing="0" w:after="0" w:afterLines="0" w:afterAutospacing="0"/>
      <w:ind w:left="525"/>
      <w:outlineLvl w:val="2"/>
    </w:pPr>
    <w:rPr>
      <w:sz w:val="21"/>
    </w:rPr>
  </w:style>
  <w:style w:type="paragraph" w:customStyle="1" w:styleId="199">
    <w:name w:val=" Char Char Char"/>
    <w:basedOn w:val="1"/>
    <w:qFormat/>
    <w:uiPriority w:val="0"/>
    <w:rPr>
      <w:rFonts w:ascii="Tahoma" w:hAnsi="Tahoma"/>
      <w:sz w:val="24"/>
    </w:rPr>
  </w:style>
  <w:style w:type="paragraph" w:customStyle="1" w:styleId="200">
    <w:name w:val="Char1 Char Char Char"/>
    <w:basedOn w:val="1"/>
    <w:qFormat/>
    <w:uiPriority w:val="0"/>
    <w:rPr>
      <w:rFonts w:ascii="Tahoma" w:hAnsi="Tahoma"/>
      <w:sz w:val="30"/>
    </w:rPr>
  </w:style>
  <w:style w:type="paragraph" w:customStyle="1" w:styleId="20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2">
    <w:name w:val="样式4"/>
    <w:basedOn w:val="6"/>
    <w:qFormat/>
    <w:uiPriority w:val="0"/>
    <w:pPr>
      <w:adjustRightInd w:val="0"/>
      <w:snapToGrid w:val="0"/>
    </w:pPr>
  </w:style>
  <w:style w:type="paragraph" w:customStyle="1" w:styleId="203">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04">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05">
    <w:name w:val="样式 行距: 1.5 倍行距1"/>
    <w:basedOn w:val="1"/>
    <w:qFormat/>
    <w:uiPriority w:val="0"/>
    <w:pPr>
      <w:snapToGrid w:val="0"/>
    </w:pPr>
    <w:rPr>
      <w:sz w:val="21"/>
    </w:rPr>
  </w:style>
  <w:style w:type="paragraph" w:customStyle="1" w:styleId="206">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207">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08">
    <w:name w:val=" Char Char Char Char Char Char Char"/>
    <w:basedOn w:val="1"/>
    <w:qFormat/>
    <w:uiPriority w:val="0"/>
    <w:rPr>
      <w:rFonts w:ascii="Tahoma" w:hAnsi="Tahoma"/>
      <w:sz w:val="24"/>
    </w:rPr>
  </w:style>
  <w:style w:type="paragraph" w:customStyle="1" w:styleId="20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1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11">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12">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3">
    <w:name w:val="简单回函地址"/>
    <w:basedOn w:val="1"/>
    <w:qFormat/>
    <w:uiPriority w:val="0"/>
    <w:pPr>
      <w:adjustRightInd w:val="0"/>
      <w:snapToGrid w:val="0"/>
      <w:spacing w:line="360" w:lineRule="auto"/>
    </w:pPr>
    <w:rPr>
      <w:sz w:val="24"/>
    </w:rPr>
  </w:style>
  <w:style w:type="paragraph" w:customStyle="1" w:styleId="214">
    <w:name w:val="1"/>
    <w:basedOn w:val="1"/>
    <w:next w:val="31"/>
    <w:qFormat/>
    <w:uiPriority w:val="0"/>
    <w:rPr>
      <w:rFonts w:ascii="宋体" w:hAnsi="Courier New"/>
      <w:sz w:val="21"/>
    </w:rPr>
  </w:style>
  <w:style w:type="paragraph" w:customStyle="1" w:styleId="21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6">
    <w:name w:val="Table Contents"/>
    <w:basedOn w:val="2"/>
    <w:qFormat/>
    <w:uiPriority w:val="0"/>
    <w:pPr>
      <w:suppressAutoHyphens/>
      <w:jc w:val="left"/>
    </w:pPr>
    <w:rPr>
      <w:rFonts w:ascii="Times New Roman" w:eastAsia="Times New Roman"/>
      <w:kern w:val="0"/>
      <w:sz w:val="24"/>
    </w:rPr>
  </w:style>
  <w:style w:type="paragraph" w:customStyle="1" w:styleId="217">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18">
    <w:name w:val="编号正文"/>
    <w:basedOn w:val="141"/>
    <w:qFormat/>
    <w:uiPriority w:val="0"/>
    <w:pPr>
      <w:snapToGrid/>
      <w:spacing w:line="360" w:lineRule="auto"/>
      <w:ind w:left="1407" w:hanging="1047"/>
      <w:jc w:val="left"/>
    </w:pPr>
    <w:rPr>
      <w:rFonts w:eastAsia="仿宋_GB2312"/>
    </w:rPr>
  </w:style>
  <w:style w:type="paragraph" w:customStyle="1" w:styleId="219">
    <w:name w:val="图片文字"/>
    <w:basedOn w:val="1"/>
    <w:qFormat/>
    <w:uiPriority w:val="0"/>
    <w:pPr>
      <w:spacing w:line="240" w:lineRule="atLeast"/>
      <w:jc w:val="center"/>
    </w:pPr>
    <w:rPr>
      <w:sz w:val="21"/>
    </w:rPr>
  </w:style>
  <w:style w:type="paragraph" w:customStyle="1" w:styleId="220">
    <w:name w:val="bt"/>
    <w:basedOn w:val="1"/>
    <w:next w:val="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21">
    <w:name w:val="00"/>
    <w:basedOn w:val="1"/>
    <w:qFormat/>
    <w:uiPriority w:val="0"/>
    <w:pPr>
      <w:autoSpaceDE w:val="0"/>
      <w:autoSpaceDN w:val="0"/>
      <w:adjustRightInd w:val="0"/>
      <w:jc w:val="left"/>
    </w:pPr>
    <w:rPr>
      <w:rFonts w:ascii="黑体" w:eastAsia="黑体"/>
      <w:b/>
      <w:kern w:val="0"/>
      <w:sz w:val="20"/>
    </w:rPr>
  </w:style>
  <w:style w:type="paragraph" w:customStyle="1" w:styleId="22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2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29">
    <w:name w:val="默认段落字体 Para Char Char Char Char Char Char Char"/>
    <w:basedOn w:val="1"/>
    <w:qFormat/>
    <w:uiPriority w:val="0"/>
    <w:rPr>
      <w:rFonts w:ascii="Tahoma" w:hAnsi="Tahoma"/>
      <w:sz w:val="24"/>
    </w:rPr>
  </w:style>
  <w:style w:type="paragraph" w:customStyle="1" w:styleId="230">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31">
    <w:name w:val="首行缩进 1"/>
    <w:basedOn w:val="1"/>
    <w:qFormat/>
    <w:uiPriority w:val="0"/>
    <w:pPr>
      <w:spacing w:after="120" w:afterLines="0" w:afterAutospacing="0" w:line="360" w:lineRule="auto"/>
      <w:ind w:firstLine="200" w:firstLineChars="200"/>
    </w:pPr>
    <w:rPr>
      <w:sz w:val="24"/>
    </w:rPr>
  </w:style>
  <w:style w:type="paragraph" w:customStyle="1" w:styleId="232">
    <w:name w:val="文本1"/>
    <w:basedOn w:val="1"/>
    <w:qFormat/>
    <w:uiPriority w:val="0"/>
    <w:pPr>
      <w:adjustRightInd w:val="0"/>
      <w:spacing w:line="312" w:lineRule="atLeast"/>
      <w:jc w:val="center"/>
      <w:textAlignment w:val="baseline"/>
    </w:pPr>
    <w:rPr>
      <w:kern w:val="0"/>
      <w:sz w:val="18"/>
    </w:rPr>
  </w:style>
  <w:style w:type="paragraph" w:customStyle="1" w:styleId="23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4">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3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37">
    <w:name w:val="二级列表"/>
    <w:basedOn w:val="193"/>
    <w:next w:val="193"/>
    <w:qFormat/>
    <w:uiPriority w:val="0"/>
    <w:pPr>
      <w:tabs>
        <w:tab w:val="left" w:pos="2120"/>
      </w:tabs>
      <w:ind w:firstLine="0" w:firstLineChars="0"/>
    </w:pPr>
    <w:rPr>
      <w:b/>
    </w:rPr>
  </w:style>
  <w:style w:type="paragraph" w:customStyle="1" w:styleId="238">
    <w:name w:val=" Char1"/>
    <w:basedOn w:val="1"/>
    <w:qFormat/>
    <w:uiPriority w:val="0"/>
    <w:rPr>
      <w:sz w:val="21"/>
    </w:rPr>
  </w:style>
  <w:style w:type="paragraph" w:customStyle="1" w:styleId="239">
    <w:name w:val="1.正文"/>
    <w:basedOn w:val="1"/>
    <w:qFormat/>
    <w:uiPriority w:val="0"/>
    <w:pPr>
      <w:spacing w:line="360" w:lineRule="auto"/>
      <w:ind w:left="540" w:leftChars="225" w:firstLine="540" w:firstLineChars="225"/>
    </w:pPr>
    <w:rPr>
      <w:sz w:val="24"/>
    </w:rPr>
  </w:style>
  <w:style w:type="paragraph" w:customStyle="1" w:styleId="240">
    <w:name w:val="样式 首行缩进:  0.74 厘米"/>
    <w:basedOn w:val="1"/>
    <w:qFormat/>
    <w:uiPriority w:val="0"/>
    <w:pPr>
      <w:spacing w:line="360" w:lineRule="auto"/>
      <w:ind w:firstLine="420"/>
    </w:pPr>
    <w:rPr>
      <w:sz w:val="24"/>
    </w:rPr>
  </w:style>
  <w:style w:type="paragraph" w:customStyle="1" w:styleId="2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243">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44">
    <w:name w:val="表格文本"/>
    <w:qFormat/>
    <w:uiPriority w:val="0"/>
    <w:pPr>
      <w:tabs>
        <w:tab w:val="decimal" w:pos="0"/>
      </w:tabs>
    </w:pPr>
    <w:rPr>
      <w:rFonts w:ascii="Arial" w:hAnsi="Arial" w:eastAsia="宋体" w:cs="Times New Roman"/>
      <w:sz w:val="21"/>
      <w:lang w:val="en-US" w:eastAsia="zh-CN" w:bidi="ar-SA"/>
    </w:rPr>
  </w:style>
  <w:style w:type="paragraph" w:customStyle="1" w:styleId="245">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246">
    <w:name w:val="List Paragraph"/>
    <w:basedOn w:val="1"/>
    <w:qFormat/>
    <w:uiPriority w:val="34"/>
    <w:pPr>
      <w:ind w:firstLine="420" w:firstLineChars="200"/>
    </w:pPr>
    <w:rPr>
      <w:sz w:val="21"/>
    </w:rPr>
  </w:style>
  <w:style w:type="paragraph" w:customStyle="1" w:styleId="247">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48">
    <w:name w:val="表文字"/>
    <w:qFormat/>
    <w:uiPriority w:val="0"/>
    <w:rPr>
      <w:rFonts w:ascii="宋体" w:hAnsi="Times New Roman" w:eastAsia="宋体" w:cs="Times New Roman"/>
      <w:kern w:val="2"/>
      <w:lang w:val="en-US" w:eastAsia="zh-CN" w:bidi="ar-SA"/>
    </w:rPr>
  </w:style>
  <w:style w:type="paragraph" w:customStyle="1" w:styleId="249">
    <w:name w:val="正文1"/>
    <w:basedOn w:val="1"/>
    <w:qFormat/>
    <w:uiPriority w:val="0"/>
    <w:pPr>
      <w:spacing w:line="300" w:lineRule="auto"/>
      <w:ind w:firstLine="200" w:firstLineChars="200"/>
    </w:pPr>
    <w:rPr>
      <w:sz w:val="24"/>
    </w:rPr>
  </w:style>
  <w:style w:type="paragraph" w:customStyle="1" w:styleId="250">
    <w:name w:val="项目编号、项目名称"/>
    <w:semiHidden/>
    <w:qFormat/>
    <w:uiPriority w:val="0"/>
    <w:pPr>
      <w:tabs>
        <w:tab w:val="left" w:pos="560"/>
      </w:tabs>
      <w:spacing w:line="660" w:lineRule="exact"/>
      <w:jc w:val="center"/>
    </w:pPr>
    <w:rPr>
      <w:rFonts w:ascii="黑体" w:hAnsi="黑体" w:eastAsia="宋体" w:cs="Times New Roman"/>
      <w:b/>
      <w:kern w:val="2"/>
      <w:sz w:val="32"/>
      <w:szCs w:val="36"/>
      <w:lang w:val="en-US" w:eastAsia="zh-CN" w:bidi="ar-SA"/>
    </w:rPr>
  </w:style>
  <w:style w:type="character" w:customStyle="1" w:styleId="251">
    <w:name w:val="font51"/>
    <w:basedOn w:val="63"/>
    <w:qFormat/>
    <w:uiPriority w:val="0"/>
    <w:rPr>
      <w:rFonts w:hint="default" w:ascii="Times New Roman" w:hAnsi="Times New Roman" w:cs="Times New Roman"/>
      <w:color w:val="FF0000"/>
      <w:sz w:val="20"/>
      <w:szCs w:val="20"/>
      <w:u w:val="none"/>
    </w:rPr>
  </w:style>
  <w:style w:type="character" w:customStyle="1" w:styleId="252">
    <w:name w:val="font61"/>
    <w:basedOn w:val="63"/>
    <w:qFormat/>
    <w:uiPriority w:val="0"/>
    <w:rPr>
      <w:rFonts w:hint="eastAsia" w:ascii="方正仿宋_GBK" w:hAnsi="方正仿宋_GBK" w:eastAsia="方正仿宋_GBK" w:cs="方正仿宋_GBK"/>
      <w:color w:val="FF0000"/>
      <w:sz w:val="20"/>
      <w:szCs w:val="20"/>
      <w:u w:val="none"/>
    </w:rPr>
  </w:style>
  <w:style w:type="paragraph" w:customStyle="1" w:styleId="253">
    <w:name w:val="电建正文"/>
    <w:basedOn w:val="254"/>
    <w:qFormat/>
    <w:uiPriority w:val="0"/>
    <w:pPr>
      <w:tabs>
        <w:tab w:val="left" w:pos="720"/>
      </w:tabs>
      <w:spacing w:line="360" w:lineRule="auto"/>
      <w:ind w:firstLine="200" w:firstLineChars="200"/>
    </w:pPr>
    <w:rPr>
      <w:rFonts w:ascii="Tahoma" w:hAnsi="Tahoma"/>
      <w:sz w:val="24"/>
    </w:rPr>
  </w:style>
  <w:style w:type="paragraph" w:customStyle="1" w:styleId="254">
    <w:name w:val="List First"/>
    <w:basedOn w:val="42"/>
    <w:next w:val="42"/>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39</Pages>
  <Words>6276</Words>
  <Characters>6708</Characters>
  <Lines>182</Lines>
  <Paragraphs>51</Paragraphs>
  <TotalTime>9</TotalTime>
  <ScaleCrop>false</ScaleCrop>
  <LinksUpToDate>false</LinksUpToDate>
  <CharactersWithSpaces>6890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2019-10-12T08:43:00Z</dcterms:created>
  <dc:creator>周媛媛</dc:creator>
  <cp:lastModifiedBy>重庆向远招标代理有限公司</cp:lastModifiedBy>
  <cp:lastPrinted>2024-09-06T03:02:00Z</cp:lastPrinted>
  <dcterms:modified xsi:type="dcterms:W3CDTF">2025-05-16T06:19:12Z</dcterms:modified>
  <dc:title>竞争性谈判文件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978C74249F9940B38FAD7B1C2F66D7FF_13</vt:lpwstr>
  </property>
  <property fmtid="{D5CDD505-2E9C-101B-9397-08002B2CF9AE}" pid="4" name="KSOTemplateDocerSaveRecord">
    <vt:lpwstr>eyJoZGlkIjoiZGVkNjY0MTQyMDY4NjMwOTA4Y2Q1YTcwNDZiODNjNzMiLCJ1c2VySWQiOiIxNTA5NDU1OTc1In0=</vt:lpwstr>
  </property>
</Properties>
</file>