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公开招标文件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1285" w:firstLineChars="4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项目名称：禽流感核酸检测试剂耗材采购</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9"/>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9"/>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9"/>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2025</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11</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27028"/>
      <w:bookmarkStart w:id="1" w:name="_Toc106034771"/>
      <w:bookmarkStart w:id="2" w:name="_Toc317775178"/>
      <w:bookmarkStart w:id="3" w:name="_Toc373860293"/>
      <w:bookmarkStart w:id="4" w:name="_Toc4424"/>
      <w:bookmarkStart w:id="5" w:name="_Toc3256"/>
      <w:bookmarkStart w:id="6" w:name="_Toc65660331"/>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sz w:val="24"/>
                <w:szCs w:val="24"/>
                <w:lang w:val="en-US" w:eastAsia="zh-CN"/>
              </w:rPr>
              <w:t>禽流感核酸检测试剂耗材</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73000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73000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73000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13527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bookmarkStart w:id="10" w:name="_Toc21442"/>
      <w:bookmarkStart w:id="11" w:name="_Toc10771"/>
    </w:p>
    <w:tbl>
      <w:tblPr>
        <w:tblStyle w:val="20"/>
        <w:tblW w:w="10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228"/>
        <w:gridCol w:w="2173"/>
        <w:gridCol w:w="803"/>
        <w:gridCol w:w="1912"/>
        <w:gridCol w:w="1022"/>
        <w:gridCol w:w="1257"/>
      </w:tblGrid>
      <w:tr w14:paraId="03F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23A">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A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商品名称</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53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品牌、型号</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B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28AE">
            <w:pPr>
              <w:keepNext w:val="0"/>
              <w:keepLines w:val="0"/>
              <w:widowControl/>
              <w:suppressLineNumbers w:val="0"/>
              <w:tabs>
                <w:tab w:val="left" w:pos="561"/>
              </w:tabs>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品牌</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3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82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r>
      <w:tr w14:paraId="34CE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4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甲型流感病毒核酸检测试剂盒（荧光</w:t>
            </w: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法）</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7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E3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9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硕世/生科源/达安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72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1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p>
        </w:tc>
      </w:tr>
      <w:tr w14:paraId="6222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禽流感病毒</w:t>
            </w:r>
            <w:r>
              <w:rPr>
                <w:rFonts w:hint="default" w:ascii="Times New Roman" w:hAnsi="Times New Roman" w:eastAsia="宋体" w:cs="Times New Roman"/>
                <w:i w:val="0"/>
                <w:iCs w:val="0"/>
                <w:color w:val="000000"/>
                <w:kern w:val="0"/>
                <w:sz w:val="20"/>
                <w:szCs w:val="20"/>
                <w:u w:val="none"/>
                <w:lang w:val="en-US" w:eastAsia="zh-CN" w:bidi="ar"/>
              </w:rPr>
              <w:t>H5/H7/H9/H10</w:t>
            </w:r>
            <w:r>
              <w:rPr>
                <w:rFonts w:hint="eastAsia" w:ascii="宋体" w:hAnsi="宋体" w:eastAsia="宋体" w:cs="宋体"/>
                <w:i w:val="0"/>
                <w:iCs w:val="0"/>
                <w:color w:val="000000"/>
                <w:kern w:val="0"/>
                <w:sz w:val="20"/>
                <w:szCs w:val="20"/>
                <w:u w:val="none"/>
                <w:lang w:val="en-US" w:eastAsia="zh-CN" w:bidi="ar"/>
              </w:rPr>
              <w:t>亚型核酸检测试剂盒（荧光</w:t>
            </w: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法）</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2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4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6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硕世/生科源/达安</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29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E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4A61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50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1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八联管（含盖）</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6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0.2ml</w:t>
            </w:r>
            <w:r>
              <w:rPr>
                <w:rFonts w:hint="eastAsia" w:ascii="宋体" w:hAnsi="宋体" w:eastAsia="宋体" w:cs="宋体"/>
                <w:i w:val="0"/>
                <w:iCs w:val="0"/>
                <w:color w:val="000000"/>
                <w:kern w:val="0"/>
                <w:sz w:val="20"/>
                <w:szCs w:val="20"/>
                <w:u w:val="none"/>
                <w:lang w:val="en-US" w:eastAsia="zh-CN" w:bidi="ar"/>
              </w:rPr>
              <w:t>，尖底，</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孔</w:t>
            </w: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宋体" w:hAnsi="宋体" w:eastAsia="宋体" w:cs="宋体"/>
                <w:i w:val="0"/>
                <w:iCs w:val="0"/>
                <w:color w:val="000000"/>
                <w:kern w:val="0"/>
                <w:sz w:val="20"/>
                <w:szCs w:val="20"/>
                <w:u w:val="none"/>
                <w:lang w:val="en-US" w:eastAsia="zh-CN" w:bidi="ar"/>
              </w:rPr>
              <w:t>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9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2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2887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9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冻存管</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8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2mL</w:t>
            </w:r>
            <w:r>
              <w:rPr>
                <w:rFonts w:hint="eastAsia" w:ascii="宋体" w:hAnsi="宋体" w:eastAsia="宋体" w:cs="宋体"/>
                <w:i w:val="0"/>
                <w:iCs w:val="0"/>
                <w:color w:val="000000"/>
                <w:kern w:val="0"/>
                <w:sz w:val="20"/>
                <w:szCs w:val="20"/>
                <w:u w:val="none"/>
                <w:lang w:val="en-US" w:eastAsia="zh-CN" w:bidi="ar"/>
              </w:rPr>
              <w:t>，可立内旋，</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1A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bookmarkStart w:id="57" w:name="_GoBack"/>
            <w:bookmarkEnd w:id="57"/>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C3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28DB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3A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离心管</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E1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5mL</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C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1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71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5个工作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9192"/>
      <w:bookmarkStart w:id="13" w:name="_Toc65660345"/>
      <w:bookmarkStart w:id="14" w:name="_Toc106034785"/>
      <w:bookmarkStart w:id="15" w:name="_Toc11000"/>
      <w:bookmarkStart w:id="16" w:name="_Toc7562"/>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2184"/>
      <w:bookmarkStart w:id="18" w:name="_Toc122"/>
      <w:bookmarkStart w:id="19" w:name="_Toc16974"/>
      <w:bookmarkStart w:id="20" w:name="_Toc106034784"/>
      <w:bookmarkStart w:id="21" w:name="_Toc6566034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1552"/>
      <w:bookmarkStart w:id="23" w:name="_Toc106034777"/>
      <w:bookmarkStart w:id="24" w:name="_Toc525047164"/>
      <w:bookmarkStart w:id="25" w:name="_Toc65660337"/>
      <w:bookmarkStart w:id="26" w:name="_Toc1733"/>
      <w:bookmarkStart w:id="27" w:name="_Toc521053056"/>
      <w:bookmarkStart w:id="28" w:name="_Toc10415"/>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65660361"/>
      <w:bookmarkStart w:id="30" w:name="_Toc3127"/>
      <w:bookmarkStart w:id="31" w:name="_Toc16648"/>
      <w:bookmarkStart w:id="32" w:name="_Toc110325244"/>
      <w:bookmarkStart w:id="33" w:name="_Toc12265"/>
      <w:bookmarkStart w:id="34" w:name="_Toc23778"/>
      <w:bookmarkStart w:id="35" w:name="_Toc342913389"/>
      <w:bookmarkStart w:id="36" w:name="_Toc77"/>
      <w:bookmarkStart w:id="37" w:name="_Toc106034802"/>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28123"/>
      <w:bookmarkStart w:id="39" w:name="_Toc110325245"/>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110325248"/>
      <w:bookmarkStart w:id="41" w:name="_Toc1715"/>
      <w:bookmarkStart w:id="42" w:name="_Toc65660364"/>
      <w:bookmarkStart w:id="43" w:name="_Toc18609"/>
      <w:bookmarkStart w:id="44" w:name="_Toc31595"/>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12789072"/>
      <w:bookmarkStart w:id="47" w:name="_Toc9538"/>
      <w:bookmarkStart w:id="48" w:name="_Toc106034807"/>
      <w:bookmarkStart w:id="49" w:name="_Toc18521"/>
      <w:bookmarkStart w:id="50" w:name="_Toc6968"/>
      <w:bookmarkStart w:id="51" w:name="_Toc65660378"/>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2"/>
        <w:rPr>
          <w:rFonts w:hint="eastAsia" w:cs="宋体"/>
          <w:b/>
          <w:sz w:val="24"/>
          <w:szCs w:val="24"/>
          <w:lang w:val="en-US" w:eastAsia="zh-CN"/>
        </w:rPr>
      </w:pPr>
    </w:p>
    <w:p w14:paraId="5105992B">
      <w:pPr>
        <w:pStyle w:val="2"/>
        <w:rPr>
          <w:rFonts w:hint="eastAsia" w:cs="宋体"/>
          <w:b/>
          <w:sz w:val="24"/>
          <w:szCs w:val="24"/>
          <w:lang w:val="en-US" w:eastAsia="zh-CN"/>
        </w:rPr>
      </w:pPr>
    </w:p>
    <w:p w14:paraId="33B1D6D7">
      <w:pPr>
        <w:pStyle w:val="2"/>
        <w:rPr>
          <w:rFonts w:hint="eastAsia" w:cs="宋体"/>
          <w:b/>
          <w:sz w:val="24"/>
          <w:szCs w:val="24"/>
          <w:lang w:val="en-US" w:eastAsia="zh-CN"/>
        </w:rPr>
      </w:pPr>
    </w:p>
    <w:p w14:paraId="55D9FBF0">
      <w:pPr>
        <w:pStyle w:val="2"/>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1"/>
        <w:spacing w:line="500" w:lineRule="exact"/>
        <w:rPr>
          <w:rFonts w:hint="eastAsia" w:ascii="宋体" w:hAnsi="宋体" w:cs="宋体"/>
          <w:sz w:val="24"/>
          <w:szCs w:val="28"/>
          <w:lang w:val="en-US" w:eastAsia="zh-CN"/>
        </w:rPr>
      </w:pPr>
    </w:p>
    <w:p w14:paraId="7E28C11B">
      <w:pPr>
        <w:pStyle w:val="11"/>
        <w:spacing w:line="500" w:lineRule="exact"/>
        <w:rPr>
          <w:rFonts w:hint="eastAsia" w:ascii="宋体" w:hAnsi="宋体" w:cs="宋体"/>
          <w:sz w:val="24"/>
          <w:szCs w:val="28"/>
          <w:lang w:val="en-US" w:eastAsia="zh-CN"/>
        </w:rPr>
      </w:pPr>
    </w:p>
    <w:p w14:paraId="3BD768AD">
      <w:pPr>
        <w:pStyle w:val="11"/>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1"/>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106034811"/>
      <w:bookmarkStart w:id="53" w:name="_Toc2082"/>
      <w:bookmarkStart w:id="54" w:name="_Toc20162"/>
      <w:bookmarkStart w:id="55" w:name="_Toc21793"/>
      <w:bookmarkStart w:id="56" w:name="_Toc6566038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014D934A"/>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3"/>
      <w:framePr w:wrap="around" w:vAnchor="text" w:hAnchor="margin" w:xAlign="center" w:y="1"/>
      <w:rPr>
        <w:rStyle w:val="23"/>
      </w:rPr>
    </w:pPr>
  </w:p>
  <w:p w14:paraId="2DEF6793">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3"/>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3"/>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4"/>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4"/>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4"/>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C61E8C"/>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9E07BF"/>
    <w:rsid w:val="2F9227CA"/>
    <w:rsid w:val="300B7BC0"/>
    <w:rsid w:val="30105A0F"/>
    <w:rsid w:val="3052575D"/>
    <w:rsid w:val="30714674"/>
    <w:rsid w:val="309A2B85"/>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927B24"/>
    <w:rsid w:val="4CA949F7"/>
    <w:rsid w:val="4E1333CF"/>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qFormat/>
    <w:uiPriority w:val="0"/>
    <w:rPr>
      <w:rFonts w:ascii="仿宋_GB2312" w:hAnsi="Calibri" w:eastAsia="仿宋_GB2312" w:cs="宋体"/>
      <w:sz w:val="32"/>
      <w:szCs w:val="22"/>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6"/>
    <w:qFormat/>
    <w:uiPriority w:val="0"/>
    <w:rPr>
      <w:b/>
      <w:sz w:val="24"/>
      <w:szCs w:val="24"/>
    </w:rPr>
  </w:style>
  <w:style w:type="paragraph" w:customStyle="1" w:styleId="26">
    <w:name w:val="1"/>
    <w:basedOn w:val="1"/>
    <w:next w:val="10"/>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3474</Words>
  <Characters>3589</Characters>
  <Lines>0</Lines>
  <Paragraphs>0</Paragraphs>
  <TotalTime>1</TotalTime>
  <ScaleCrop>false</ScaleCrop>
  <LinksUpToDate>false</LinksUpToDate>
  <CharactersWithSpaces>4454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2025-11-20T02:28:47Z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9C4186F22D314473963A2816796532FB_13</vt:lpwstr>
  </property>
  <property fmtid="{D5CDD505-2E9C-101B-9397-08002B2CF9AE}" pid="4" name="KSOTemplateDocerSaveRecord">
    <vt:lpwstr>eyJoZGlkIjoiYjA0YmVjNjhjOTNlMmI4Y2ZhNjM1YjM5NjZmYjE2MTEiLCJ1c2VySWQiOiIxNjYyNzk0NjQwIn0=</vt:lpwstr>
  </property>
</Properties>
</file>