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B8323">
      <w:pPr>
        <w:jc w:val="center"/>
        <w:rPr>
          <w:rFonts w:ascii="微软雅黑" w:hAnsi="微软雅黑" w:eastAsia="微软雅黑"/>
          <w:color w:val="auto"/>
          <w:spacing w:val="80"/>
          <w:sz w:val="44"/>
          <w:szCs w:val="44"/>
          <w:highlight w:val="none"/>
        </w:rPr>
      </w:pPr>
    </w:p>
    <w:p w14:paraId="2C61077A">
      <w:pPr>
        <w:jc w:val="center"/>
        <w:rPr>
          <w:rFonts w:ascii="微软雅黑" w:hAnsi="微软雅黑" w:eastAsia="微软雅黑"/>
          <w:color w:val="auto"/>
          <w:spacing w:val="80"/>
          <w:sz w:val="112"/>
          <w:szCs w:val="112"/>
          <w:highlight w:val="none"/>
        </w:rPr>
      </w:pPr>
    </w:p>
    <w:p w14:paraId="5CFA3720">
      <w:pPr>
        <w:jc w:val="center"/>
        <w:outlineLvl w:val="0"/>
        <w:rPr>
          <w:rFonts w:ascii="微软雅黑" w:hAnsi="微软雅黑" w:eastAsia="微软雅黑"/>
          <w:color w:val="auto"/>
          <w:spacing w:val="80"/>
          <w:sz w:val="112"/>
          <w:szCs w:val="112"/>
          <w:highlight w:val="none"/>
        </w:rPr>
      </w:pPr>
      <w:r>
        <w:rPr>
          <w:rFonts w:hint="eastAsia" w:ascii="微软雅黑" w:hAnsi="微软雅黑" w:eastAsia="微软雅黑"/>
          <w:color w:val="auto"/>
          <w:spacing w:val="80"/>
          <w:sz w:val="112"/>
          <w:szCs w:val="112"/>
          <w:highlight w:val="none"/>
        </w:rPr>
        <w:t>竞争性谈判文件</w:t>
      </w:r>
    </w:p>
    <w:p w14:paraId="59446005">
      <w:pPr>
        <w:pStyle w:val="6"/>
        <w:rPr>
          <w:rFonts w:ascii="微软雅黑" w:hAnsi="微软雅黑" w:eastAsia="微软雅黑"/>
          <w:color w:val="auto"/>
          <w:highlight w:val="none"/>
        </w:rPr>
      </w:pPr>
    </w:p>
    <w:p w14:paraId="4355566D">
      <w:pPr>
        <w:rPr>
          <w:color w:val="auto"/>
          <w:highlight w:val="none"/>
        </w:rPr>
      </w:pPr>
    </w:p>
    <w:p w14:paraId="5EAFEE3E">
      <w:pPr>
        <w:spacing w:line="700" w:lineRule="exact"/>
        <w:jc w:val="left"/>
        <w:rPr>
          <w:rFonts w:hint="eastAsia" w:ascii="微软雅黑" w:hAnsi="微软雅黑" w:eastAsia="微软雅黑"/>
          <w:color w:val="auto"/>
          <w:sz w:val="36"/>
          <w:szCs w:val="30"/>
          <w:highlight w:val="none"/>
          <w:lang w:val="en-US" w:eastAsia="zh-CN"/>
        </w:rPr>
      </w:pPr>
    </w:p>
    <w:p w14:paraId="6566BFE7">
      <w:pPr>
        <w:spacing w:line="700" w:lineRule="exact"/>
        <w:jc w:val="both"/>
        <w:rPr>
          <w:rFonts w:hint="eastAsia" w:ascii="微软雅黑" w:hAnsi="微软雅黑" w:eastAsia="微软雅黑"/>
          <w:color w:val="auto"/>
          <w:sz w:val="36"/>
          <w:szCs w:val="30"/>
          <w:highlight w:val="none"/>
        </w:rPr>
      </w:pPr>
    </w:p>
    <w:p w14:paraId="576E1B81">
      <w:pPr>
        <w:spacing w:line="700" w:lineRule="exact"/>
        <w:jc w:val="both"/>
        <w:rPr>
          <w:rFonts w:hint="eastAsia" w:ascii="微软雅黑" w:hAnsi="微软雅黑" w:eastAsia="微软雅黑"/>
          <w:color w:val="auto"/>
          <w:sz w:val="36"/>
          <w:szCs w:val="30"/>
          <w:highlight w:val="none"/>
          <w:u w:val="single"/>
        </w:rPr>
      </w:pPr>
      <w:r>
        <w:rPr>
          <w:rFonts w:hint="eastAsia" w:ascii="微软雅黑" w:hAnsi="微软雅黑" w:eastAsia="微软雅黑"/>
          <w:color w:val="auto"/>
          <w:sz w:val="36"/>
          <w:szCs w:val="30"/>
          <w:highlight w:val="none"/>
        </w:rPr>
        <w:t>项</w:t>
      </w:r>
      <w:r>
        <w:rPr>
          <w:rFonts w:hint="eastAsia" w:ascii="微软雅黑" w:hAnsi="微软雅黑" w:eastAsia="微软雅黑"/>
          <w:color w:val="auto"/>
          <w:sz w:val="36"/>
          <w:szCs w:val="30"/>
          <w:highlight w:val="none"/>
          <w:lang w:val="en-US" w:eastAsia="zh-CN"/>
        </w:rPr>
        <w:t xml:space="preserve"> </w:t>
      </w:r>
      <w:r>
        <w:rPr>
          <w:rFonts w:hint="eastAsia" w:ascii="微软雅黑" w:hAnsi="微软雅黑" w:eastAsia="微软雅黑"/>
          <w:color w:val="auto"/>
          <w:sz w:val="36"/>
          <w:szCs w:val="30"/>
          <w:highlight w:val="none"/>
        </w:rPr>
        <w:t>目</w:t>
      </w:r>
      <w:r>
        <w:rPr>
          <w:rFonts w:hint="eastAsia" w:ascii="微软雅黑" w:hAnsi="微软雅黑" w:eastAsia="微软雅黑"/>
          <w:color w:val="auto"/>
          <w:sz w:val="36"/>
          <w:szCs w:val="30"/>
          <w:highlight w:val="none"/>
          <w:lang w:val="en-US" w:eastAsia="zh-CN"/>
        </w:rPr>
        <w:t xml:space="preserve"> 号</w:t>
      </w:r>
      <w:r>
        <w:rPr>
          <w:rFonts w:hint="eastAsia" w:ascii="微软雅黑" w:hAnsi="微软雅黑" w:eastAsia="微软雅黑"/>
          <w:color w:val="auto"/>
          <w:sz w:val="36"/>
          <w:szCs w:val="30"/>
          <w:highlight w:val="none"/>
        </w:rPr>
        <w:t>：</w:t>
      </w:r>
      <w:r>
        <w:rPr>
          <w:rFonts w:hint="eastAsia" w:ascii="微软雅黑" w:hAnsi="微软雅黑" w:eastAsia="微软雅黑"/>
          <w:color w:val="auto"/>
          <w:sz w:val="36"/>
          <w:szCs w:val="30"/>
          <w:highlight w:val="none"/>
          <w:u w:val="single"/>
        </w:rPr>
        <w:t>Z25B00044</w:t>
      </w:r>
    </w:p>
    <w:p w14:paraId="77466FE4">
      <w:pPr>
        <w:spacing w:line="700" w:lineRule="exact"/>
        <w:jc w:val="both"/>
        <w:rPr>
          <w:rFonts w:hint="default" w:ascii="微软雅黑" w:hAnsi="微软雅黑" w:eastAsia="微软雅黑"/>
          <w:color w:val="auto"/>
          <w:sz w:val="36"/>
          <w:szCs w:val="30"/>
          <w:highlight w:val="none"/>
          <w:lang w:val="en-US" w:eastAsia="zh-CN"/>
        </w:rPr>
      </w:pPr>
      <w:r>
        <w:rPr>
          <w:rFonts w:hint="eastAsia" w:ascii="微软雅黑" w:hAnsi="微软雅黑" w:eastAsia="微软雅黑"/>
          <w:color w:val="auto"/>
          <w:sz w:val="36"/>
          <w:szCs w:val="30"/>
          <w:highlight w:val="none"/>
        </w:rPr>
        <w:t>项目名称：</w:t>
      </w:r>
      <w:r>
        <w:rPr>
          <w:rFonts w:hint="eastAsia" w:ascii="微软雅黑" w:hAnsi="微软雅黑" w:eastAsia="微软雅黑"/>
          <w:color w:val="auto"/>
          <w:sz w:val="36"/>
          <w:szCs w:val="30"/>
          <w:highlight w:val="none"/>
          <w:u w:val="single"/>
          <w:lang w:val="en-US" w:eastAsia="zh-CN"/>
        </w:rPr>
        <w:t>璧山区局青杠所部分外墙维修改造项目（第三次）</w:t>
      </w:r>
    </w:p>
    <w:p w14:paraId="7406A463">
      <w:pPr>
        <w:pStyle w:val="6"/>
        <w:jc w:val="center"/>
        <w:rPr>
          <w:rFonts w:ascii="微软雅黑" w:hAnsi="微软雅黑" w:eastAsia="微软雅黑"/>
          <w:b/>
          <w:color w:val="auto"/>
          <w:sz w:val="30"/>
          <w:szCs w:val="30"/>
          <w:highlight w:val="none"/>
        </w:rPr>
      </w:pPr>
    </w:p>
    <w:p w14:paraId="07E7FE5B">
      <w:pPr>
        <w:jc w:val="center"/>
        <w:rPr>
          <w:color w:val="auto"/>
          <w:highlight w:val="none"/>
        </w:rPr>
      </w:pPr>
    </w:p>
    <w:p w14:paraId="2D75E795">
      <w:pPr>
        <w:pStyle w:val="6"/>
        <w:jc w:val="center"/>
        <w:rPr>
          <w:color w:val="auto"/>
          <w:highlight w:val="none"/>
        </w:rPr>
      </w:pPr>
    </w:p>
    <w:p w14:paraId="70360D39">
      <w:pPr>
        <w:pStyle w:val="6"/>
        <w:jc w:val="center"/>
        <w:rPr>
          <w:rFonts w:ascii="微软雅黑" w:hAnsi="微软雅黑" w:eastAsia="微软雅黑"/>
          <w:b/>
          <w:color w:val="auto"/>
          <w:sz w:val="30"/>
          <w:szCs w:val="30"/>
          <w:highlight w:val="none"/>
        </w:rPr>
      </w:pPr>
    </w:p>
    <w:p w14:paraId="2EA374BD">
      <w:pPr>
        <w:spacing w:line="700" w:lineRule="exact"/>
        <w:jc w:val="both"/>
        <w:rPr>
          <w:rFonts w:hint="eastAsia" w:ascii="微软雅黑" w:hAnsi="微软雅黑" w:eastAsia="微软雅黑"/>
          <w:color w:val="auto"/>
          <w:sz w:val="32"/>
          <w:szCs w:val="32"/>
          <w:highlight w:val="none"/>
          <w:u w:val="single"/>
          <w:lang w:eastAsia="zh-CN"/>
        </w:rPr>
      </w:pPr>
      <w:r>
        <w:rPr>
          <w:rFonts w:hint="eastAsia" w:ascii="微软雅黑" w:hAnsi="微软雅黑" w:eastAsia="微软雅黑"/>
          <w:color w:val="auto"/>
          <w:sz w:val="36"/>
          <w:szCs w:val="30"/>
          <w:highlight w:val="none"/>
        </w:rPr>
        <w:t xml:space="preserve">采 </w:t>
      </w:r>
      <w:r>
        <w:rPr>
          <w:rFonts w:hint="eastAsia" w:ascii="微软雅黑" w:hAnsi="微软雅黑" w:eastAsia="微软雅黑"/>
          <w:color w:val="auto"/>
          <w:sz w:val="36"/>
          <w:szCs w:val="30"/>
          <w:highlight w:val="none"/>
          <w:lang w:val="en-US" w:eastAsia="zh-CN"/>
        </w:rPr>
        <w:t xml:space="preserve"> </w:t>
      </w:r>
      <w:r>
        <w:rPr>
          <w:rFonts w:hint="eastAsia" w:ascii="微软雅黑" w:hAnsi="微软雅黑" w:eastAsia="微软雅黑"/>
          <w:color w:val="auto"/>
          <w:sz w:val="36"/>
          <w:szCs w:val="30"/>
          <w:highlight w:val="none"/>
        </w:rPr>
        <w:t xml:space="preserve"> 购</w:t>
      </w:r>
      <w:r>
        <w:rPr>
          <w:rFonts w:hint="eastAsia" w:ascii="微软雅黑" w:hAnsi="微软雅黑" w:eastAsia="微软雅黑"/>
          <w:color w:val="auto"/>
          <w:sz w:val="36"/>
          <w:szCs w:val="30"/>
          <w:highlight w:val="none"/>
          <w:lang w:val="en-US" w:eastAsia="zh-CN"/>
        </w:rPr>
        <w:t xml:space="preserve"> </w:t>
      </w:r>
      <w:r>
        <w:rPr>
          <w:rFonts w:hint="eastAsia" w:ascii="微软雅黑" w:hAnsi="微软雅黑" w:eastAsia="微软雅黑"/>
          <w:color w:val="auto"/>
          <w:sz w:val="36"/>
          <w:szCs w:val="30"/>
          <w:highlight w:val="none"/>
        </w:rPr>
        <w:t xml:space="preserve">  人：</w:t>
      </w:r>
      <w:r>
        <w:rPr>
          <w:rFonts w:hint="eastAsia" w:ascii="微软雅黑" w:hAnsi="微软雅黑" w:eastAsia="微软雅黑"/>
          <w:color w:val="auto"/>
          <w:sz w:val="36"/>
          <w:szCs w:val="30"/>
          <w:highlight w:val="none"/>
          <w:u w:val="single"/>
          <w:lang w:val="en-US" w:eastAsia="zh-CN"/>
        </w:rPr>
        <w:t>重庆市璧山区市场监督管理局</w:t>
      </w:r>
    </w:p>
    <w:p w14:paraId="7C9F3DC4">
      <w:pPr>
        <w:spacing w:line="700" w:lineRule="exact"/>
        <w:jc w:val="both"/>
        <w:rPr>
          <w:rFonts w:hint="default" w:ascii="微软雅黑" w:hAnsi="微软雅黑" w:eastAsia="微软雅黑"/>
          <w:color w:val="auto"/>
          <w:sz w:val="32"/>
          <w:szCs w:val="32"/>
          <w:highlight w:val="none"/>
          <w:u w:val="single"/>
          <w:lang w:val="en-US" w:eastAsia="zh-CN"/>
        </w:rPr>
      </w:pPr>
      <w:r>
        <w:rPr>
          <w:rFonts w:hint="eastAsia" w:ascii="微软雅黑" w:hAnsi="微软雅黑" w:eastAsia="微软雅黑"/>
          <w:color w:val="auto"/>
          <w:sz w:val="36"/>
          <w:szCs w:val="30"/>
          <w:highlight w:val="none"/>
        </w:rPr>
        <w:t>采购代理机构：</w:t>
      </w:r>
      <w:r>
        <w:rPr>
          <w:rFonts w:hint="eastAsia" w:ascii="微软雅黑" w:hAnsi="微软雅黑" w:eastAsia="微软雅黑"/>
          <w:color w:val="auto"/>
          <w:sz w:val="36"/>
          <w:szCs w:val="30"/>
          <w:highlight w:val="none"/>
          <w:u w:val="single"/>
          <w:lang w:val="en-US" w:eastAsia="zh-CN"/>
        </w:rPr>
        <w:t>重庆丰达建设咨询有限公司</w:t>
      </w:r>
    </w:p>
    <w:p w14:paraId="7D240547">
      <w:pPr>
        <w:spacing w:line="700" w:lineRule="exact"/>
        <w:ind w:firstLine="1080" w:firstLineChars="300"/>
        <w:jc w:val="center"/>
        <w:rPr>
          <w:rFonts w:hint="eastAsia" w:ascii="微软雅黑" w:hAnsi="微软雅黑" w:eastAsia="微软雅黑"/>
          <w:color w:val="auto"/>
          <w:sz w:val="36"/>
          <w:szCs w:val="30"/>
          <w:highlight w:val="none"/>
        </w:rPr>
      </w:pPr>
    </w:p>
    <w:p w14:paraId="27406114">
      <w:pPr>
        <w:spacing w:line="700" w:lineRule="exact"/>
        <w:ind w:firstLine="1080" w:firstLineChars="300"/>
        <w:jc w:val="center"/>
        <w:rPr>
          <w:rFonts w:hint="default" w:ascii="微软雅黑" w:hAnsi="微软雅黑" w:eastAsia="微软雅黑"/>
          <w:color w:val="auto"/>
          <w:sz w:val="36"/>
          <w:szCs w:val="30"/>
          <w:highlight w:val="none"/>
          <w:lang w:val="en-US"/>
        </w:rPr>
        <w:sectPr>
          <w:headerReference r:id="rId3" w:type="default"/>
          <w:pgSz w:w="11907" w:h="16840"/>
          <w:pgMar w:top="1091" w:right="1191" w:bottom="1134" w:left="1304" w:header="851" w:footer="992" w:gutter="0"/>
          <w:pgNumType w:start="1"/>
          <w:cols w:space="720" w:num="1"/>
          <w:docGrid w:linePitch="380" w:charSpace="-5735"/>
        </w:sectPr>
      </w:pPr>
      <w:r>
        <w:rPr>
          <w:rFonts w:hint="eastAsia" w:ascii="微软雅黑" w:hAnsi="微软雅黑" w:eastAsia="微软雅黑"/>
          <w:color w:val="auto"/>
          <w:sz w:val="36"/>
          <w:szCs w:val="30"/>
          <w:highlight w:val="none"/>
        </w:rPr>
        <w:t>二〇二</w:t>
      </w:r>
      <w:r>
        <w:rPr>
          <w:rFonts w:hint="eastAsia" w:ascii="微软雅黑" w:hAnsi="微软雅黑" w:eastAsia="微软雅黑"/>
          <w:color w:val="auto"/>
          <w:sz w:val="36"/>
          <w:szCs w:val="30"/>
          <w:highlight w:val="none"/>
          <w:lang w:val="en-US" w:eastAsia="zh-CN"/>
        </w:rPr>
        <w:t>五</w:t>
      </w:r>
      <w:r>
        <w:rPr>
          <w:rFonts w:hint="eastAsia" w:ascii="微软雅黑" w:hAnsi="微软雅黑" w:eastAsia="微软雅黑"/>
          <w:color w:val="auto"/>
          <w:sz w:val="36"/>
          <w:szCs w:val="30"/>
          <w:highlight w:val="none"/>
        </w:rPr>
        <w:t>年</w:t>
      </w:r>
      <w:r>
        <w:rPr>
          <w:rFonts w:hint="eastAsia" w:ascii="微软雅黑" w:hAnsi="微软雅黑" w:eastAsia="微软雅黑"/>
          <w:color w:val="auto"/>
          <w:sz w:val="36"/>
          <w:szCs w:val="30"/>
          <w:highlight w:val="none"/>
          <w:lang w:val="en-US" w:eastAsia="zh-CN"/>
        </w:rPr>
        <w:t>七月</w:t>
      </w:r>
    </w:p>
    <w:p w14:paraId="68E5E672">
      <w:pPr>
        <w:rPr>
          <w:rFonts w:hint="eastAsia"/>
          <w:color w:val="auto"/>
          <w:highlight w:val="none"/>
        </w:rPr>
      </w:pPr>
    </w:p>
    <w:p w14:paraId="7DDB9C59">
      <w:pPr>
        <w:spacing w:line="480" w:lineRule="exact"/>
        <w:jc w:val="center"/>
        <w:outlineLvl w:val="0"/>
        <w:rPr>
          <w:rFonts w:hint="eastAsia" w:ascii="微软雅黑" w:hAnsi="微软雅黑" w:eastAsia="微软雅黑"/>
          <w:color w:val="auto"/>
          <w:sz w:val="44"/>
          <w:szCs w:val="28"/>
          <w:highlight w:val="none"/>
        </w:rPr>
      </w:pPr>
      <w:r>
        <w:rPr>
          <w:rFonts w:hint="eastAsia" w:ascii="微软雅黑" w:hAnsi="微软雅黑" w:eastAsia="微软雅黑"/>
          <w:color w:val="auto"/>
          <w:sz w:val="44"/>
          <w:szCs w:val="28"/>
          <w:highlight w:val="none"/>
        </w:rPr>
        <w:t>目   录</w:t>
      </w:r>
    </w:p>
    <w:p w14:paraId="0EF20766">
      <w:pPr>
        <w:pStyle w:val="16"/>
        <w:rPr>
          <w:color w:val="auto"/>
          <w:highlight w:val="none"/>
        </w:rPr>
      </w:pPr>
    </w:p>
    <w:p w14:paraId="5E678098">
      <w:pPr>
        <w:pStyle w:val="15"/>
        <w:tabs>
          <w:tab w:val="right" w:leader="dot" w:pos="9412"/>
        </w:tabs>
        <w:rPr>
          <w:highlight w:val="none"/>
        </w:rPr>
      </w:pPr>
      <w:r>
        <w:rPr>
          <w:rFonts w:hint="eastAsia" w:ascii="微软雅黑" w:hAnsi="微软雅黑" w:eastAsia="微软雅黑"/>
          <w:color w:val="auto"/>
          <w:sz w:val="21"/>
          <w:szCs w:val="21"/>
          <w:highlight w:val="none"/>
        </w:rPr>
        <w:fldChar w:fldCharType="begin"/>
      </w:r>
      <w:r>
        <w:rPr>
          <w:rFonts w:hint="eastAsia" w:ascii="微软雅黑" w:hAnsi="微软雅黑" w:eastAsia="微软雅黑"/>
          <w:color w:val="auto"/>
          <w:sz w:val="21"/>
          <w:szCs w:val="21"/>
          <w:highlight w:val="none"/>
        </w:rPr>
        <w:instrText xml:space="preserve"> TOC \o "1-3" \h \z </w:instrText>
      </w:r>
      <w:r>
        <w:rPr>
          <w:rFonts w:hint="eastAsia" w:ascii="微软雅黑" w:hAnsi="微软雅黑" w:eastAsia="微软雅黑"/>
          <w:color w:val="auto"/>
          <w:sz w:val="21"/>
          <w:szCs w:val="21"/>
          <w:highlight w:val="none"/>
        </w:rPr>
        <w:fldChar w:fldCharType="separate"/>
      </w: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_Toc12023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第一篇  竞争性谈判邀请书</w:t>
      </w:r>
      <w:r>
        <w:rPr>
          <w:highlight w:val="none"/>
        </w:rPr>
        <w:tab/>
      </w:r>
      <w:r>
        <w:rPr>
          <w:highlight w:val="none"/>
        </w:rPr>
        <w:fldChar w:fldCharType="begin"/>
      </w:r>
      <w:r>
        <w:rPr>
          <w:highlight w:val="none"/>
        </w:rPr>
        <w:instrText xml:space="preserve"> PAGEREF _Toc12023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516964F9">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_Toc18432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一、竞争性谈判内容</w:t>
      </w:r>
      <w:r>
        <w:rPr>
          <w:highlight w:val="none"/>
        </w:rPr>
        <w:tab/>
      </w:r>
      <w:r>
        <w:rPr>
          <w:highlight w:val="none"/>
        </w:rPr>
        <w:fldChar w:fldCharType="begin"/>
      </w:r>
      <w:r>
        <w:rPr>
          <w:highlight w:val="none"/>
        </w:rPr>
        <w:instrText xml:space="preserve"> PAGEREF _Toc18432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44C670DE">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_Toc3829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二、资金来源</w:t>
      </w:r>
      <w:r>
        <w:rPr>
          <w:highlight w:val="none"/>
        </w:rPr>
        <w:tab/>
      </w:r>
      <w:r>
        <w:rPr>
          <w:highlight w:val="none"/>
        </w:rPr>
        <w:fldChar w:fldCharType="begin"/>
      </w:r>
      <w:r>
        <w:rPr>
          <w:highlight w:val="none"/>
        </w:rPr>
        <w:instrText xml:space="preserve"> PAGEREF _Toc3829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5A9D4B92">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_Toc21398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三、谈判资格</w:t>
      </w:r>
      <w:r>
        <w:rPr>
          <w:highlight w:val="none"/>
        </w:rPr>
        <w:tab/>
      </w:r>
      <w:r>
        <w:rPr>
          <w:highlight w:val="none"/>
        </w:rPr>
        <w:fldChar w:fldCharType="begin"/>
      </w:r>
      <w:r>
        <w:rPr>
          <w:highlight w:val="none"/>
        </w:rPr>
        <w:instrText xml:space="preserve"> PAGEREF _Toc21398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6BF8221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_Toc2598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四、谈判有关说明</w:t>
      </w:r>
      <w:r>
        <w:rPr>
          <w:highlight w:val="none"/>
        </w:rPr>
        <w:tab/>
      </w:r>
      <w:r>
        <w:rPr>
          <w:highlight w:val="none"/>
        </w:rPr>
        <w:fldChar w:fldCharType="begin"/>
      </w:r>
      <w:r>
        <w:rPr>
          <w:highlight w:val="none"/>
        </w:rPr>
        <w:instrText xml:space="preserve"> PAGEREF _Toc2598 \h </w:instrText>
      </w:r>
      <w:r>
        <w:rPr>
          <w:highlight w:val="none"/>
        </w:rPr>
        <w:fldChar w:fldCharType="separate"/>
      </w:r>
      <w:r>
        <w:rPr>
          <w:highlight w:val="none"/>
        </w:rPr>
        <w:t>3</w:t>
      </w:r>
      <w:r>
        <w:rPr>
          <w:highlight w:val="none"/>
        </w:rPr>
        <w:fldChar w:fldCharType="end"/>
      </w:r>
      <w:r>
        <w:rPr>
          <w:rFonts w:hint="eastAsia" w:ascii="微软雅黑" w:hAnsi="微软雅黑" w:eastAsia="微软雅黑"/>
          <w:color w:val="auto"/>
          <w:szCs w:val="21"/>
          <w:highlight w:val="none"/>
        </w:rPr>
        <w:fldChar w:fldCharType="end"/>
      </w:r>
    </w:p>
    <w:p w14:paraId="4ED7C46C">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_Toc9809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五、保证金</w:t>
      </w:r>
      <w:r>
        <w:rPr>
          <w:highlight w:val="none"/>
        </w:rPr>
        <w:tab/>
      </w:r>
      <w:r>
        <w:rPr>
          <w:highlight w:val="none"/>
        </w:rPr>
        <w:fldChar w:fldCharType="begin"/>
      </w:r>
      <w:r>
        <w:rPr>
          <w:highlight w:val="none"/>
        </w:rPr>
        <w:instrText xml:space="preserve"> PAGEREF _Toc9809 \h </w:instrText>
      </w:r>
      <w:r>
        <w:rPr>
          <w:highlight w:val="none"/>
        </w:rPr>
        <w:fldChar w:fldCharType="separate"/>
      </w:r>
      <w:r>
        <w:rPr>
          <w:highlight w:val="none"/>
        </w:rPr>
        <w:t>4</w:t>
      </w:r>
      <w:r>
        <w:rPr>
          <w:highlight w:val="none"/>
        </w:rPr>
        <w:fldChar w:fldCharType="end"/>
      </w:r>
      <w:r>
        <w:rPr>
          <w:rFonts w:hint="eastAsia" w:ascii="微软雅黑" w:hAnsi="微软雅黑" w:eastAsia="微软雅黑"/>
          <w:color w:val="auto"/>
          <w:szCs w:val="21"/>
          <w:highlight w:val="none"/>
        </w:rPr>
        <w:fldChar w:fldCharType="end"/>
      </w:r>
    </w:p>
    <w:p w14:paraId="43F4DDF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_Toc27310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六、采购项目需落实的政府采购政策</w:t>
      </w:r>
      <w:r>
        <w:rPr>
          <w:highlight w:val="none"/>
        </w:rPr>
        <w:tab/>
      </w:r>
      <w:r>
        <w:rPr>
          <w:highlight w:val="none"/>
        </w:rPr>
        <w:fldChar w:fldCharType="begin"/>
      </w:r>
      <w:r>
        <w:rPr>
          <w:highlight w:val="none"/>
        </w:rPr>
        <w:instrText xml:space="preserve"> PAGEREF _Toc27310 \h </w:instrText>
      </w:r>
      <w:r>
        <w:rPr>
          <w:highlight w:val="none"/>
        </w:rPr>
        <w:fldChar w:fldCharType="separate"/>
      </w:r>
      <w:r>
        <w:rPr>
          <w:highlight w:val="none"/>
        </w:rPr>
        <w:t>4</w:t>
      </w:r>
      <w:r>
        <w:rPr>
          <w:highlight w:val="none"/>
        </w:rPr>
        <w:fldChar w:fldCharType="end"/>
      </w:r>
      <w:r>
        <w:rPr>
          <w:rFonts w:hint="eastAsia" w:ascii="微软雅黑" w:hAnsi="微软雅黑" w:eastAsia="微软雅黑"/>
          <w:color w:val="auto"/>
          <w:szCs w:val="21"/>
          <w:highlight w:val="none"/>
        </w:rPr>
        <w:fldChar w:fldCharType="end"/>
      </w:r>
    </w:p>
    <w:p w14:paraId="6A7C925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_Toc2477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七、其它有关规定</w:t>
      </w:r>
      <w:r>
        <w:rPr>
          <w:highlight w:val="none"/>
        </w:rPr>
        <w:tab/>
      </w:r>
      <w:r>
        <w:rPr>
          <w:highlight w:val="none"/>
        </w:rPr>
        <w:fldChar w:fldCharType="begin"/>
      </w:r>
      <w:r>
        <w:rPr>
          <w:highlight w:val="none"/>
        </w:rPr>
        <w:instrText xml:space="preserve"> PAGEREF _Toc2477 \h </w:instrText>
      </w:r>
      <w:r>
        <w:rPr>
          <w:highlight w:val="none"/>
        </w:rPr>
        <w:fldChar w:fldCharType="separate"/>
      </w:r>
      <w:r>
        <w:rPr>
          <w:highlight w:val="none"/>
        </w:rPr>
        <w:t>4</w:t>
      </w:r>
      <w:r>
        <w:rPr>
          <w:highlight w:val="none"/>
        </w:rPr>
        <w:fldChar w:fldCharType="end"/>
      </w:r>
      <w:r>
        <w:rPr>
          <w:rFonts w:hint="eastAsia" w:ascii="微软雅黑" w:hAnsi="微软雅黑" w:eastAsia="微软雅黑"/>
          <w:color w:val="auto"/>
          <w:szCs w:val="21"/>
          <w:highlight w:val="none"/>
        </w:rPr>
        <w:fldChar w:fldCharType="end"/>
      </w:r>
    </w:p>
    <w:p w14:paraId="336DADA7">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_Toc1118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八、联系方式</w:t>
      </w:r>
      <w:r>
        <w:rPr>
          <w:highlight w:val="none"/>
        </w:rPr>
        <w:tab/>
      </w:r>
      <w:r>
        <w:rPr>
          <w:highlight w:val="none"/>
        </w:rPr>
        <w:fldChar w:fldCharType="begin"/>
      </w:r>
      <w:r>
        <w:rPr>
          <w:highlight w:val="none"/>
        </w:rPr>
        <w:instrText xml:space="preserve"> PAGEREF _Toc1118 \h </w:instrText>
      </w:r>
      <w:r>
        <w:rPr>
          <w:highlight w:val="none"/>
        </w:rPr>
        <w:fldChar w:fldCharType="separate"/>
      </w:r>
      <w:r>
        <w:rPr>
          <w:highlight w:val="none"/>
        </w:rPr>
        <w:t>5</w:t>
      </w:r>
      <w:r>
        <w:rPr>
          <w:highlight w:val="none"/>
        </w:rPr>
        <w:fldChar w:fldCharType="end"/>
      </w:r>
      <w:r>
        <w:rPr>
          <w:rFonts w:hint="eastAsia" w:ascii="微软雅黑" w:hAnsi="微软雅黑" w:eastAsia="微软雅黑"/>
          <w:color w:val="auto"/>
          <w:szCs w:val="21"/>
          <w:highlight w:val="none"/>
        </w:rPr>
        <w:fldChar w:fldCharType="end"/>
      </w:r>
    </w:p>
    <w:p w14:paraId="113A4C5D">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_Toc31090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第二篇  谈判项目技术需求</w:t>
      </w:r>
      <w:r>
        <w:rPr>
          <w:highlight w:val="none"/>
        </w:rPr>
        <w:tab/>
      </w:r>
      <w:r>
        <w:rPr>
          <w:highlight w:val="none"/>
        </w:rPr>
        <w:fldChar w:fldCharType="begin"/>
      </w:r>
      <w:r>
        <w:rPr>
          <w:highlight w:val="none"/>
        </w:rPr>
        <w:instrText xml:space="preserve"> PAGEREF _Toc31090 \h </w:instrText>
      </w:r>
      <w:r>
        <w:rPr>
          <w:highlight w:val="none"/>
        </w:rPr>
        <w:fldChar w:fldCharType="separate"/>
      </w:r>
      <w:r>
        <w:rPr>
          <w:highlight w:val="none"/>
        </w:rPr>
        <w:t>6</w:t>
      </w:r>
      <w:r>
        <w:rPr>
          <w:highlight w:val="none"/>
        </w:rPr>
        <w:fldChar w:fldCharType="end"/>
      </w:r>
      <w:r>
        <w:rPr>
          <w:rFonts w:hint="eastAsia" w:ascii="微软雅黑" w:hAnsi="微软雅黑" w:eastAsia="微软雅黑"/>
          <w:color w:val="auto"/>
          <w:szCs w:val="21"/>
          <w:highlight w:val="none"/>
        </w:rPr>
        <w:fldChar w:fldCharType="end"/>
      </w:r>
    </w:p>
    <w:p w14:paraId="72014964">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_Toc26159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一、项目需求一览表</w:t>
      </w:r>
      <w:r>
        <w:rPr>
          <w:highlight w:val="none"/>
        </w:rPr>
        <w:tab/>
      </w:r>
      <w:r>
        <w:rPr>
          <w:highlight w:val="none"/>
        </w:rPr>
        <w:fldChar w:fldCharType="begin"/>
      </w:r>
      <w:r>
        <w:rPr>
          <w:highlight w:val="none"/>
        </w:rPr>
        <w:instrText xml:space="preserve"> PAGEREF _Toc26159 \h </w:instrText>
      </w:r>
      <w:r>
        <w:rPr>
          <w:highlight w:val="none"/>
        </w:rPr>
        <w:fldChar w:fldCharType="separate"/>
      </w:r>
      <w:r>
        <w:rPr>
          <w:highlight w:val="none"/>
        </w:rPr>
        <w:t>6</w:t>
      </w:r>
      <w:r>
        <w:rPr>
          <w:highlight w:val="none"/>
        </w:rPr>
        <w:fldChar w:fldCharType="end"/>
      </w:r>
      <w:r>
        <w:rPr>
          <w:rFonts w:hint="eastAsia" w:ascii="微软雅黑" w:hAnsi="微软雅黑" w:eastAsia="微软雅黑"/>
          <w:color w:val="auto"/>
          <w:szCs w:val="21"/>
          <w:highlight w:val="none"/>
        </w:rPr>
        <w:fldChar w:fldCharType="end"/>
      </w:r>
    </w:p>
    <w:p w14:paraId="3944124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_Toc2495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w:t>
      </w:r>
      <w:r>
        <w:rPr>
          <w:rFonts w:hint="eastAsia" w:ascii="仿宋" w:hAnsi="仿宋" w:eastAsia="仿宋" w:cs="仿宋"/>
          <w:szCs w:val="24"/>
          <w:highlight w:val="none"/>
          <w:lang w:val="en-US" w:eastAsia="zh-CN"/>
        </w:rPr>
        <w:t>技术、服务要求</w:t>
      </w:r>
      <w:r>
        <w:rPr>
          <w:highlight w:val="none"/>
        </w:rPr>
        <w:tab/>
      </w:r>
      <w:r>
        <w:rPr>
          <w:highlight w:val="none"/>
        </w:rPr>
        <w:fldChar w:fldCharType="begin"/>
      </w:r>
      <w:r>
        <w:rPr>
          <w:highlight w:val="none"/>
        </w:rPr>
        <w:instrText xml:space="preserve"> PAGEREF _Toc2495 \h </w:instrText>
      </w:r>
      <w:r>
        <w:rPr>
          <w:highlight w:val="none"/>
        </w:rPr>
        <w:fldChar w:fldCharType="separate"/>
      </w:r>
      <w:r>
        <w:rPr>
          <w:highlight w:val="none"/>
        </w:rPr>
        <w:t>6</w:t>
      </w:r>
      <w:r>
        <w:rPr>
          <w:highlight w:val="none"/>
        </w:rPr>
        <w:fldChar w:fldCharType="end"/>
      </w:r>
      <w:r>
        <w:rPr>
          <w:rFonts w:hint="eastAsia" w:ascii="微软雅黑" w:hAnsi="微软雅黑" w:eastAsia="微软雅黑"/>
          <w:color w:val="auto"/>
          <w:szCs w:val="21"/>
          <w:highlight w:val="none"/>
        </w:rPr>
        <w:fldChar w:fldCharType="end"/>
      </w:r>
    </w:p>
    <w:p w14:paraId="17595868">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_Toc14499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lang w:val="en-US" w:eastAsia="zh-CN"/>
        </w:rPr>
        <w:t>三、</w:t>
      </w:r>
      <w:r>
        <w:rPr>
          <w:rFonts w:hint="eastAsia" w:ascii="仿宋" w:hAnsi="仿宋" w:eastAsia="仿宋" w:cs="仿宋"/>
          <w:szCs w:val="24"/>
          <w:highlight w:val="none"/>
          <w:lang w:eastAsia="zh-CN"/>
        </w:rPr>
        <w:t>人员要求</w:t>
      </w:r>
      <w:r>
        <w:rPr>
          <w:highlight w:val="none"/>
        </w:rPr>
        <w:tab/>
      </w:r>
      <w:r>
        <w:rPr>
          <w:highlight w:val="none"/>
        </w:rPr>
        <w:fldChar w:fldCharType="begin"/>
      </w:r>
      <w:r>
        <w:rPr>
          <w:highlight w:val="none"/>
        </w:rPr>
        <w:instrText xml:space="preserve"> PAGEREF _Toc14499 \h </w:instrText>
      </w:r>
      <w:r>
        <w:rPr>
          <w:highlight w:val="none"/>
        </w:rPr>
        <w:fldChar w:fldCharType="separate"/>
      </w:r>
      <w:r>
        <w:rPr>
          <w:highlight w:val="none"/>
        </w:rPr>
        <w:t>6</w:t>
      </w:r>
      <w:r>
        <w:rPr>
          <w:highlight w:val="none"/>
        </w:rPr>
        <w:fldChar w:fldCharType="end"/>
      </w:r>
      <w:r>
        <w:rPr>
          <w:rFonts w:hint="eastAsia" w:ascii="微软雅黑" w:hAnsi="微软雅黑" w:eastAsia="微软雅黑"/>
          <w:color w:val="auto"/>
          <w:szCs w:val="21"/>
          <w:highlight w:val="none"/>
        </w:rPr>
        <w:fldChar w:fldCharType="end"/>
      </w:r>
    </w:p>
    <w:p w14:paraId="4CD5509E">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_Toc6761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第三篇  谈判项目</w:t>
      </w:r>
      <w:r>
        <w:rPr>
          <w:rFonts w:hint="eastAsia" w:ascii="仿宋" w:hAnsi="仿宋" w:eastAsia="仿宋" w:cs="仿宋"/>
          <w:szCs w:val="30"/>
          <w:highlight w:val="none"/>
          <w:lang w:val="en-US" w:eastAsia="zh-CN"/>
        </w:rPr>
        <w:t>商务</w:t>
      </w:r>
      <w:r>
        <w:rPr>
          <w:rFonts w:hint="eastAsia" w:ascii="仿宋" w:hAnsi="仿宋" w:eastAsia="仿宋" w:cs="仿宋"/>
          <w:szCs w:val="30"/>
          <w:highlight w:val="none"/>
        </w:rPr>
        <w:t>需求</w:t>
      </w:r>
      <w:r>
        <w:rPr>
          <w:highlight w:val="none"/>
        </w:rPr>
        <w:tab/>
      </w:r>
      <w:r>
        <w:rPr>
          <w:highlight w:val="none"/>
        </w:rPr>
        <w:fldChar w:fldCharType="begin"/>
      </w:r>
      <w:r>
        <w:rPr>
          <w:highlight w:val="none"/>
        </w:rPr>
        <w:instrText xml:space="preserve"> PAGEREF _Toc6761 \h </w:instrText>
      </w:r>
      <w:r>
        <w:rPr>
          <w:highlight w:val="none"/>
        </w:rPr>
        <w:fldChar w:fldCharType="separate"/>
      </w:r>
      <w:r>
        <w:rPr>
          <w:highlight w:val="none"/>
        </w:rPr>
        <w:t>7</w:t>
      </w:r>
      <w:r>
        <w:rPr>
          <w:highlight w:val="none"/>
        </w:rPr>
        <w:fldChar w:fldCharType="end"/>
      </w:r>
      <w:r>
        <w:rPr>
          <w:rFonts w:hint="eastAsia" w:ascii="微软雅黑" w:hAnsi="微软雅黑" w:eastAsia="微软雅黑"/>
          <w:color w:val="auto"/>
          <w:szCs w:val="21"/>
          <w:highlight w:val="none"/>
        </w:rPr>
        <w:fldChar w:fldCharType="end"/>
      </w:r>
    </w:p>
    <w:p w14:paraId="707CCF2B">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_Toc14390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一、服务时间、地点及验收方式</w:t>
      </w:r>
      <w:r>
        <w:rPr>
          <w:highlight w:val="none"/>
        </w:rPr>
        <w:tab/>
      </w:r>
      <w:r>
        <w:rPr>
          <w:highlight w:val="none"/>
        </w:rPr>
        <w:fldChar w:fldCharType="begin"/>
      </w:r>
      <w:r>
        <w:rPr>
          <w:highlight w:val="none"/>
        </w:rPr>
        <w:instrText xml:space="preserve"> PAGEREF _Toc14390 \h </w:instrText>
      </w:r>
      <w:r>
        <w:rPr>
          <w:highlight w:val="none"/>
        </w:rPr>
        <w:fldChar w:fldCharType="separate"/>
      </w:r>
      <w:r>
        <w:rPr>
          <w:highlight w:val="none"/>
        </w:rPr>
        <w:t>7</w:t>
      </w:r>
      <w:r>
        <w:rPr>
          <w:highlight w:val="none"/>
        </w:rPr>
        <w:fldChar w:fldCharType="end"/>
      </w:r>
      <w:r>
        <w:rPr>
          <w:rFonts w:hint="eastAsia" w:ascii="微软雅黑" w:hAnsi="微软雅黑" w:eastAsia="微软雅黑"/>
          <w:color w:val="auto"/>
          <w:szCs w:val="21"/>
          <w:highlight w:val="none"/>
        </w:rPr>
        <w:fldChar w:fldCharType="end"/>
      </w:r>
    </w:p>
    <w:p w14:paraId="7796BC2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_Toc10790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二、质量保证及售后服务</w:t>
      </w:r>
      <w:r>
        <w:rPr>
          <w:highlight w:val="none"/>
        </w:rPr>
        <w:tab/>
      </w:r>
      <w:r>
        <w:rPr>
          <w:highlight w:val="none"/>
        </w:rPr>
        <w:fldChar w:fldCharType="begin"/>
      </w:r>
      <w:r>
        <w:rPr>
          <w:highlight w:val="none"/>
        </w:rPr>
        <w:instrText xml:space="preserve"> PAGEREF _Toc10790 \h </w:instrText>
      </w:r>
      <w:r>
        <w:rPr>
          <w:highlight w:val="none"/>
        </w:rPr>
        <w:fldChar w:fldCharType="separate"/>
      </w:r>
      <w:r>
        <w:rPr>
          <w:highlight w:val="none"/>
        </w:rPr>
        <w:t>7</w:t>
      </w:r>
      <w:r>
        <w:rPr>
          <w:highlight w:val="none"/>
        </w:rPr>
        <w:fldChar w:fldCharType="end"/>
      </w:r>
      <w:r>
        <w:rPr>
          <w:rFonts w:hint="eastAsia" w:ascii="微软雅黑" w:hAnsi="微软雅黑" w:eastAsia="微软雅黑"/>
          <w:color w:val="auto"/>
          <w:szCs w:val="21"/>
          <w:highlight w:val="none"/>
        </w:rPr>
        <w:fldChar w:fldCharType="end"/>
      </w:r>
    </w:p>
    <w:p w14:paraId="20F8A85C">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_Toc29758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三、报价要求</w:t>
      </w:r>
      <w:r>
        <w:rPr>
          <w:highlight w:val="none"/>
        </w:rPr>
        <w:tab/>
      </w:r>
      <w:r>
        <w:rPr>
          <w:highlight w:val="none"/>
        </w:rPr>
        <w:fldChar w:fldCharType="begin"/>
      </w:r>
      <w:r>
        <w:rPr>
          <w:highlight w:val="none"/>
        </w:rPr>
        <w:instrText xml:space="preserve"> PAGEREF _Toc29758 \h </w:instrText>
      </w:r>
      <w:r>
        <w:rPr>
          <w:highlight w:val="none"/>
        </w:rPr>
        <w:fldChar w:fldCharType="separate"/>
      </w:r>
      <w:r>
        <w:rPr>
          <w:highlight w:val="none"/>
        </w:rPr>
        <w:t>7</w:t>
      </w:r>
      <w:r>
        <w:rPr>
          <w:highlight w:val="none"/>
        </w:rPr>
        <w:fldChar w:fldCharType="end"/>
      </w:r>
      <w:r>
        <w:rPr>
          <w:rFonts w:hint="eastAsia" w:ascii="微软雅黑" w:hAnsi="微软雅黑" w:eastAsia="微软雅黑"/>
          <w:color w:val="auto"/>
          <w:szCs w:val="21"/>
          <w:highlight w:val="none"/>
        </w:rPr>
        <w:fldChar w:fldCharType="end"/>
      </w:r>
    </w:p>
    <w:p w14:paraId="4B3692CC">
      <w:pPr>
        <w:pStyle w:val="8"/>
        <w:tabs>
          <w:tab w:val="right" w:leader="dot" w:pos="9412"/>
        </w:tabs>
        <w:rPr>
          <w:rFonts w:hint="default" w:ascii="仿宋" w:hAnsi="仿宋" w:eastAsia="仿宋" w:cs="仿宋"/>
          <w:szCs w:val="24"/>
          <w:highlight w:val="none"/>
          <w:lang w:val="en-US" w:eastAsia="zh-CN"/>
        </w:rPr>
      </w:pPr>
      <w:r>
        <w:rPr>
          <w:rFonts w:hint="eastAsia" w:ascii="仿宋" w:hAnsi="仿宋" w:eastAsia="仿宋" w:cs="仿宋"/>
          <w:szCs w:val="24"/>
          <w:highlight w:val="none"/>
          <w:lang w:val="en-US" w:eastAsia="zh-CN"/>
        </w:rPr>
        <w:t>四、履约保证金</w:t>
      </w:r>
      <w:r>
        <w:rPr>
          <w:highlight w:val="none"/>
        </w:rPr>
        <w:tab/>
      </w:r>
      <w:r>
        <w:rPr>
          <w:rFonts w:hint="eastAsia"/>
          <w:highlight w:val="none"/>
          <w:lang w:val="en-US" w:eastAsia="zh-CN"/>
        </w:rPr>
        <w:t>7</w:t>
      </w:r>
    </w:p>
    <w:p w14:paraId="58043BD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_Toc28781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lang w:val="en-US" w:eastAsia="zh-CN"/>
        </w:rPr>
        <w:t>五</w:t>
      </w:r>
      <w:r>
        <w:rPr>
          <w:rFonts w:hint="eastAsia" w:ascii="仿宋" w:hAnsi="仿宋" w:eastAsia="仿宋" w:cs="仿宋"/>
          <w:szCs w:val="24"/>
          <w:highlight w:val="none"/>
        </w:rPr>
        <w:t>、付款方式</w:t>
      </w:r>
      <w:r>
        <w:rPr>
          <w:highlight w:val="none"/>
        </w:rPr>
        <w:tab/>
      </w:r>
      <w:r>
        <w:rPr>
          <w:rFonts w:hint="eastAsia"/>
          <w:highlight w:val="none"/>
          <w:lang w:val="en-US" w:eastAsia="zh-CN"/>
        </w:rPr>
        <w:t>7</w:t>
      </w:r>
      <w:r>
        <w:rPr>
          <w:rFonts w:hint="eastAsia" w:ascii="微软雅黑" w:hAnsi="微软雅黑" w:eastAsia="微软雅黑"/>
          <w:color w:val="auto"/>
          <w:szCs w:val="21"/>
          <w:highlight w:val="none"/>
        </w:rPr>
        <w:fldChar w:fldCharType="end"/>
      </w:r>
    </w:p>
    <w:p w14:paraId="25A0DC3F">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_Toc32239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lang w:val="en-US" w:eastAsia="zh-CN"/>
        </w:rPr>
        <w:t>六</w:t>
      </w:r>
      <w:r>
        <w:rPr>
          <w:rFonts w:hint="eastAsia" w:ascii="仿宋" w:hAnsi="仿宋" w:eastAsia="仿宋" w:cs="仿宋"/>
          <w:szCs w:val="24"/>
          <w:highlight w:val="none"/>
        </w:rPr>
        <w:t>、知识产权</w:t>
      </w:r>
      <w:r>
        <w:rPr>
          <w:highlight w:val="none"/>
        </w:rPr>
        <w:tab/>
      </w:r>
      <w:r>
        <w:rPr>
          <w:highlight w:val="none"/>
        </w:rPr>
        <w:fldChar w:fldCharType="begin"/>
      </w:r>
      <w:r>
        <w:rPr>
          <w:highlight w:val="none"/>
        </w:rPr>
        <w:instrText xml:space="preserve"> PAGEREF _Toc32239 \h </w:instrText>
      </w:r>
      <w:r>
        <w:rPr>
          <w:highlight w:val="none"/>
        </w:rPr>
        <w:fldChar w:fldCharType="separate"/>
      </w:r>
      <w:r>
        <w:rPr>
          <w:highlight w:val="none"/>
        </w:rPr>
        <w:t>8</w:t>
      </w:r>
      <w:r>
        <w:rPr>
          <w:highlight w:val="none"/>
        </w:rPr>
        <w:fldChar w:fldCharType="end"/>
      </w:r>
      <w:r>
        <w:rPr>
          <w:rFonts w:hint="eastAsia" w:ascii="微软雅黑" w:hAnsi="微软雅黑" w:eastAsia="微软雅黑"/>
          <w:color w:val="auto"/>
          <w:szCs w:val="21"/>
          <w:highlight w:val="none"/>
        </w:rPr>
        <w:fldChar w:fldCharType="end"/>
      </w:r>
    </w:p>
    <w:p w14:paraId="4A87EC9A">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_Toc23275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lang w:val="en-US" w:eastAsia="zh-CN"/>
        </w:rPr>
        <w:t>七</w:t>
      </w:r>
      <w:r>
        <w:rPr>
          <w:rFonts w:hint="eastAsia" w:ascii="仿宋" w:hAnsi="仿宋" w:eastAsia="仿宋" w:cs="仿宋"/>
          <w:szCs w:val="24"/>
          <w:highlight w:val="none"/>
        </w:rPr>
        <w:t>、其他</w:t>
      </w:r>
      <w:r>
        <w:rPr>
          <w:highlight w:val="none"/>
        </w:rPr>
        <w:tab/>
      </w:r>
      <w:r>
        <w:rPr>
          <w:highlight w:val="none"/>
        </w:rPr>
        <w:fldChar w:fldCharType="begin"/>
      </w:r>
      <w:r>
        <w:rPr>
          <w:highlight w:val="none"/>
        </w:rPr>
        <w:instrText xml:space="preserve"> PAGEREF _Toc23275 \h </w:instrText>
      </w:r>
      <w:r>
        <w:rPr>
          <w:highlight w:val="none"/>
        </w:rPr>
        <w:fldChar w:fldCharType="separate"/>
      </w:r>
      <w:r>
        <w:rPr>
          <w:highlight w:val="none"/>
        </w:rPr>
        <w:t>8</w:t>
      </w:r>
      <w:r>
        <w:rPr>
          <w:highlight w:val="none"/>
        </w:rPr>
        <w:fldChar w:fldCharType="end"/>
      </w:r>
      <w:r>
        <w:rPr>
          <w:rFonts w:hint="eastAsia" w:ascii="微软雅黑" w:hAnsi="微软雅黑" w:eastAsia="微软雅黑"/>
          <w:color w:val="auto"/>
          <w:szCs w:val="21"/>
          <w:highlight w:val="none"/>
        </w:rPr>
        <w:fldChar w:fldCharType="end"/>
      </w:r>
    </w:p>
    <w:p w14:paraId="792F5C5F">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_Toc20575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第四篇  谈判程序、成交原则、无效谈判及采购终止</w:t>
      </w:r>
      <w:r>
        <w:rPr>
          <w:highlight w:val="none"/>
        </w:rPr>
        <w:tab/>
      </w:r>
      <w:r>
        <w:rPr>
          <w:highlight w:val="none"/>
        </w:rPr>
        <w:fldChar w:fldCharType="begin"/>
      </w:r>
      <w:r>
        <w:rPr>
          <w:highlight w:val="none"/>
        </w:rPr>
        <w:instrText xml:space="preserve"> PAGEREF _Toc20575 \h </w:instrText>
      </w:r>
      <w:r>
        <w:rPr>
          <w:highlight w:val="none"/>
        </w:rPr>
        <w:fldChar w:fldCharType="separate"/>
      </w:r>
      <w:r>
        <w:rPr>
          <w:highlight w:val="none"/>
        </w:rPr>
        <w:t>9</w:t>
      </w:r>
      <w:r>
        <w:rPr>
          <w:highlight w:val="none"/>
        </w:rPr>
        <w:fldChar w:fldCharType="end"/>
      </w:r>
      <w:r>
        <w:rPr>
          <w:rFonts w:hint="eastAsia" w:ascii="微软雅黑" w:hAnsi="微软雅黑" w:eastAsia="微软雅黑"/>
          <w:color w:val="auto"/>
          <w:szCs w:val="21"/>
          <w:highlight w:val="none"/>
        </w:rPr>
        <w:fldChar w:fldCharType="end"/>
      </w:r>
    </w:p>
    <w:p w14:paraId="4DED2DE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_Toc13304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一、采购程序</w:t>
      </w:r>
      <w:r>
        <w:rPr>
          <w:highlight w:val="none"/>
        </w:rPr>
        <w:tab/>
      </w:r>
      <w:r>
        <w:rPr>
          <w:highlight w:val="none"/>
        </w:rPr>
        <w:fldChar w:fldCharType="begin"/>
      </w:r>
      <w:r>
        <w:rPr>
          <w:highlight w:val="none"/>
        </w:rPr>
        <w:instrText xml:space="preserve"> PAGEREF _Toc13304 \h </w:instrText>
      </w:r>
      <w:r>
        <w:rPr>
          <w:highlight w:val="none"/>
        </w:rPr>
        <w:fldChar w:fldCharType="separate"/>
      </w:r>
      <w:r>
        <w:rPr>
          <w:highlight w:val="none"/>
        </w:rPr>
        <w:t>9</w:t>
      </w:r>
      <w:r>
        <w:rPr>
          <w:highlight w:val="none"/>
        </w:rPr>
        <w:fldChar w:fldCharType="end"/>
      </w:r>
      <w:r>
        <w:rPr>
          <w:rFonts w:hint="eastAsia" w:ascii="微软雅黑" w:hAnsi="微软雅黑" w:eastAsia="微软雅黑"/>
          <w:color w:val="auto"/>
          <w:szCs w:val="21"/>
          <w:highlight w:val="none"/>
        </w:rPr>
        <w:fldChar w:fldCharType="end"/>
      </w:r>
    </w:p>
    <w:p w14:paraId="174F2FD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_Toc16826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二、评定成交的标准</w:t>
      </w:r>
      <w:r>
        <w:rPr>
          <w:highlight w:val="none"/>
        </w:rPr>
        <w:tab/>
      </w:r>
      <w:r>
        <w:rPr>
          <w:highlight w:val="none"/>
        </w:rPr>
        <w:fldChar w:fldCharType="begin"/>
      </w:r>
      <w:r>
        <w:rPr>
          <w:highlight w:val="none"/>
        </w:rPr>
        <w:instrText xml:space="preserve"> PAGEREF _Toc16826 \h </w:instrText>
      </w:r>
      <w:r>
        <w:rPr>
          <w:highlight w:val="none"/>
        </w:rPr>
        <w:fldChar w:fldCharType="separate"/>
      </w:r>
      <w:r>
        <w:rPr>
          <w:highlight w:val="none"/>
        </w:rPr>
        <w:t>11</w:t>
      </w:r>
      <w:r>
        <w:rPr>
          <w:highlight w:val="none"/>
        </w:rPr>
        <w:fldChar w:fldCharType="end"/>
      </w:r>
      <w:r>
        <w:rPr>
          <w:rFonts w:hint="eastAsia" w:ascii="微软雅黑" w:hAnsi="微软雅黑" w:eastAsia="微软雅黑"/>
          <w:color w:val="auto"/>
          <w:szCs w:val="21"/>
          <w:highlight w:val="none"/>
        </w:rPr>
        <w:fldChar w:fldCharType="end"/>
      </w:r>
    </w:p>
    <w:p w14:paraId="2E6C3B96">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_Toc8574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三、无效谈判</w:t>
      </w:r>
      <w:r>
        <w:rPr>
          <w:highlight w:val="none"/>
        </w:rPr>
        <w:tab/>
      </w:r>
      <w:r>
        <w:rPr>
          <w:highlight w:val="none"/>
        </w:rPr>
        <w:fldChar w:fldCharType="begin"/>
      </w:r>
      <w:r>
        <w:rPr>
          <w:highlight w:val="none"/>
        </w:rPr>
        <w:instrText xml:space="preserve"> PAGEREF _Toc8574 \h </w:instrText>
      </w:r>
      <w:r>
        <w:rPr>
          <w:highlight w:val="none"/>
        </w:rPr>
        <w:fldChar w:fldCharType="separate"/>
      </w:r>
      <w:r>
        <w:rPr>
          <w:highlight w:val="none"/>
        </w:rPr>
        <w:t>11</w:t>
      </w:r>
      <w:r>
        <w:rPr>
          <w:highlight w:val="none"/>
        </w:rPr>
        <w:fldChar w:fldCharType="end"/>
      </w:r>
      <w:r>
        <w:rPr>
          <w:rFonts w:hint="eastAsia" w:ascii="微软雅黑" w:hAnsi="微软雅黑" w:eastAsia="微软雅黑"/>
          <w:color w:val="auto"/>
          <w:szCs w:val="21"/>
          <w:highlight w:val="none"/>
        </w:rPr>
        <w:fldChar w:fldCharType="end"/>
      </w:r>
    </w:p>
    <w:p w14:paraId="59BAD165">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_Toc3847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四、采购终止</w:t>
      </w:r>
      <w:r>
        <w:rPr>
          <w:highlight w:val="none"/>
        </w:rPr>
        <w:tab/>
      </w:r>
      <w:r>
        <w:rPr>
          <w:highlight w:val="none"/>
        </w:rPr>
        <w:fldChar w:fldCharType="begin"/>
      </w:r>
      <w:r>
        <w:rPr>
          <w:highlight w:val="none"/>
        </w:rPr>
        <w:instrText xml:space="preserve"> PAGEREF _Toc3847 \h </w:instrText>
      </w:r>
      <w:r>
        <w:rPr>
          <w:highlight w:val="none"/>
        </w:rPr>
        <w:fldChar w:fldCharType="separate"/>
      </w:r>
      <w:r>
        <w:rPr>
          <w:highlight w:val="none"/>
        </w:rPr>
        <w:t>11</w:t>
      </w:r>
      <w:r>
        <w:rPr>
          <w:highlight w:val="none"/>
        </w:rPr>
        <w:fldChar w:fldCharType="end"/>
      </w:r>
      <w:r>
        <w:rPr>
          <w:rFonts w:hint="eastAsia" w:ascii="微软雅黑" w:hAnsi="微软雅黑" w:eastAsia="微软雅黑"/>
          <w:color w:val="auto"/>
          <w:szCs w:val="21"/>
          <w:highlight w:val="none"/>
        </w:rPr>
        <w:fldChar w:fldCharType="end"/>
      </w:r>
    </w:p>
    <w:p w14:paraId="122D5D61">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_Toc26655 </w:instrText>
      </w:r>
      <w:r>
        <w:rPr>
          <w:rFonts w:hint="eastAsia" w:ascii="微软雅黑" w:hAnsi="微软雅黑" w:eastAsia="微软雅黑"/>
          <w:szCs w:val="21"/>
          <w:highlight w:val="none"/>
        </w:rPr>
        <w:fldChar w:fldCharType="separate"/>
      </w:r>
      <w:r>
        <w:rPr>
          <w:rFonts w:hint="eastAsia" w:ascii="仿宋" w:hAnsi="仿宋" w:eastAsia="仿宋" w:cs="仿宋"/>
          <w:bCs/>
          <w:szCs w:val="36"/>
          <w:highlight w:val="none"/>
          <w:lang w:val="en-US" w:eastAsia="zh-CN"/>
        </w:rPr>
        <w:t>第五篇  供应商须知</w:t>
      </w:r>
      <w:r>
        <w:rPr>
          <w:highlight w:val="none"/>
        </w:rPr>
        <w:tab/>
      </w:r>
      <w:r>
        <w:rPr>
          <w:highlight w:val="none"/>
        </w:rPr>
        <w:fldChar w:fldCharType="begin"/>
      </w:r>
      <w:r>
        <w:rPr>
          <w:highlight w:val="none"/>
        </w:rPr>
        <w:instrText xml:space="preserve"> PAGEREF _Toc26655 \h </w:instrText>
      </w:r>
      <w:r>
        <w:rPr>
          <w:highlight w:val="none"/>
        </w:rPr>
        <w:fldChar w:fldCharType="separate"/>
      </w:r>
      <w:r>
        <w:rPr>
          <w:highlight w:val="none"/>
        </w:rPr>
        <w:t>12</w:t>
      </w:r>
      <w:r>
        <w:rPr>
          <w:highlight w:val="none"/>
        </w:rPr>
        <w:fldChar w:fldCharType="end"/>
      </w:r>
      <w:r>
        <w:rPr>
          <w:rFonts w:hint="eastAsia" w:ascii="微软雅黑" w:hAnsi="微软雅黑" w:eastAsia="微软雅黑"/>
          <w:color w:val="auto"/>
          <w:szCs w:val="21"/>
          <w:highlight w:val="none"/>
        </w:rPr>
        <w:fldChar w:fldCharType="end"/>
      </w:r>
    </w:p>
    <w:p w14:paraId="36E6F5F4">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_Toc24367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一、谈判费用</w:t>
      </w:r>
      <w:r>
        <w:rPr>
          <w:highlight w:val="none"/>
        </w:rPr>
        <w:tab/>
      </w:r>
      <w:r>
        <w:rPr>
          <w:highlight w:val="none"/>
        </w:rPr>
        <w:fldChar w:fldCharType="begin"/>
      </w:r>
      <w:r>
        <w:rPr>
          <w:highlight w:val="none"/>
        </w:rPr>
        <w:instrText xml:space="preserve"> PAGEREF _Toc24367 \h </w:instrText>
      </w:r>
      <w:r>
        <w:rPr>
          <w:highlight w:val="none"/>
        </w:rPr>
        <w:fldChar w:fldCharType="separate"/>
      </w:r>
      <w:r>
        <w:rPr>
          <w:highlight w:val="none"/>
        </w:rPr>
        <w:t>12</w:t>
      </w:r>
      <w:r>
        <w:rPr>
          <w:highlight w:val="none"/>
        </w:rPr>
        <w:fldChar w:fldCharType="end"/>
      </w:r>
      <w:r>
        <w:rPr>
          <w:rFonts w:hint="eastAsia" w:ascii="微软雅黑" w:hAnsi="微软雅黑" w:eastAsia="微软雅黑"/>
          <w:color w:val="auto"/>
          <w:szCs w:val="21"/>
          <w:highlight w:val="none"/>
        </w:rPr>
        <w:fldChar w:fldCharType="end"/>
      </w:r>
    </w:p>
    <w:p w14:paraId="07EB8A65">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_Toc31914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二、竞争性谈判文件</w:t>
      </w:r>
      <w:r>
        <w:rPr>
          <w:highlight w:val="none"/>
        </w:rPr>
        <w:tab/>
      </w:r>
      <w:r>
        <w:rPr>
          <w:highlight w:val="none"/>
        </w:rPr>
        <w:fldChar w:fldCharType="begin"/>
      </w:r>
      <w:r>
        <w:rPr>
          <w:highlight w:val="none"/>
        </w:rPr>
        <w:instrText xml:space="preserve"> PAGEREF _Toc31914 \h </w:instrText>
      </w:r>
      <w:r>
        <w:rPr>
          <w:highlight w:val="none"/>
        </w:rPr>
        <w:fldChar w:fldCharType="separate"/>
      </w:r>
      <w:r>
        <w:rPr>
          <w:highlight w:val="none"/>
        </w:rPr>
        <w:t>12</w:t>
      </w:r>
      <w:r>
        <w:rPr>
          <w:highlight w:val="none"/>
        </w:rPr>
        <w:fldChar w:fldCharType="end"/>
      </w:r>
      <w:r>
        <w:rPr>
          <w:rFonts w:hint="eastAsia" w:ascii="微软雅黑" w:hAnsi="微软雅黑" w:eastAsia="微软雅黑"/>
          <w:color w:val="auto"/>
          <w:szCs w:val="21"/>
          <w:highlight w:val="none"/>
        </w:rPr>
        <w:fldChar w:fldCharType="end"/>
      </w:r>
    </w:p>
    <w:p w14:paraId="727C4F80">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_Toc16165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三、谈判要求</w:t>
      </w:r>
      <w:r>
        <w:rPr>
          <w:highlight w:val="none"/>
        </w:rPr>
        <w:tab/>
      </w:r>
      <w:r>
        <w:rPr>
          <w:highlight w:val="none"/>
        </w:rPr>
        <w:fldChar w:fldCharType="begin"/>
      </w:r>
      <w:r>
        <w:rPr>
          <w:highlight w:val="none"/>
        </w:rPr>
        <w:instrText xml:space="preserve"> PAGEREF _Toc16165 \h </w:instrText>
      </w:r>
      <w:r>
        <w:rPr>
          <w:highlight w:val="none"/>
        </w:rPr>
        <w:fldChar w:fldCharType="separate"/>
      </w:r>
      <w:r>
        <w:rPr>
          <w:highlight w:val="none"/>
        </w:rPr>
        <w:t>12</w:t>
      </w:r>
      <w:r>
        <w:rPr>
          <w:highlight w:val="none"/>
        </w:rPr>
        <w:fldChar w:fldCharType="end"/>
      </w:r>
      <w:r>
        <w:rPr>
          <w:rFonts w:hint="eastAsia" w:ascii="微软雅黑" w:hAnsi="微软雅黑" w:eastAsia="微软雅黑"/>
          <w:color w:val="auto"/>
          <w:szCs w:val="21"/>
          <w:highlight w:val="none"/>
        </w:rPr>
        <w:fldChar w:fldCharType="end"/>
      </w:r>
    </w:p>
    <w:p w14:paraId="58DDC787">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_Toc32287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四、成交供应商的确定和变更</w:t>
      </w:r>
      <w:r>
        <w:rPr>
          <w:highlight w:val="none"/>
        </w:rPr>
        <w:tab/>
      </w:r>
      <w:r>
        <w:rPr>
          <w:highlight w:val="none"/>
        </w:rPr>
        <w:fldChar w:fldCharType="begin"/>
      </w:r>
      <w:r>
        <w:rPr>
          <w:highlight w:val="none"/>
        </w:rPr>
        <w:instrText xml:space="preserve"> PAGEREF _Toc32287 \h </w:instrText>
      </w:r>
      <w:r>
        <w:rPr>
          <w:highlight w:val="none"/>
        </w:rPr>
        <w:fldChar w:fldCharType="separate"/>
      </w:r>
      <w:r>
        <w:rPr>
          <w:highlight w:val="none"/>
        </w:rPr>
        <w:t>13</w:t>
      </w:r>
      <w:r>
        <w:rPr>
          <w:highlight w:val="none"/>
        </w:rPr>
        <w:fldChar w:fldCharType="end"/>
      </w:r>
      <w:r>
        <w:rPr>
          <w:rFonts w:hint="eastAsia" w:ascii="微软雅黑" w:hAnsi="微软雅黑" w:eastAsia="微软雅黑"/>
          <w:color w:val="auto"/>
          <w:szCs w:val="21"/>
          <w:highlight w:val="none"/>
        </w:rPr>
        <w:fldChar w:fldCharType="end"/>
      </w:r>
    </w:p>
    <w:p w14:paraId="1017DC9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_Toc26719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五、成交通知</w:t>
      </w:r>
      <w:r>
        <w:rPr>
          <w:highlight w:val="none"/>
        </w:rPr>
        <w:tab/>
      </w:r>
      <w:r>
        <w:rPr>
          <w:highlight w:val="none"/>
        </w:rPr>
        <w:fldChar w:fldCharType="begin"/>
      </w:r>
      <w:r>
        <w:rPr>
          <w:highlight w:val="none"/>
        </w:rPr>
        <w:instrText xml:space="preserve"> PAGEREF _Toc26719 \h </w:instrText>
      </w:r>
      <w:r>
        <w:rPr>
          <w:highlight w:val="none"/>
        </w:rPr>
        <w:fldChar w:fldCharType="separate"/>
      </w:r>
      <w:r>
        <w:rPr>
          <w:highlight w:val="none"/>
        </w:rPr>
        <w:t>14</w:t>
      </w:r>
      <w:r>
        <w:rPr>
          <w:highlight w:val="none"/>
        </w:rPr>
        <w:fldChar w:fldCharType="end"/>
      </w:r>
      <w:r>
        <w:rPr>
          <w:rFonts w:hint="eastAsia" w:ascii="微软雅黑" w:hAnsi="微软雅黑" w:eastAsia="微软雅黑"/>
          <w:color w:val="auto"/>
          <w:szCs w:val="21"/>
          <w:highlight w:val="none"/>
        </w:rPr>
        <w:fldChar w:fldCharType="end"/>
      </w:r>
    </w:p>
    <w:p w14:paraId="77027005">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_Toc17607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六、关于质疑和投诉</w:t>
      </w:r>
      <w:r>
        <w:rPr>
          <w:highlight w:val="none"/>
        </w:rPr>
        <w:tab/>
      </w:r>
      <w:r>
        <w:rPr>
          <w:highlight w:val="none"/>
        </w:rPr>
        <w:fldChar w:fldCharType="begin"/>
      </w:r>
      <w:r>
        <w:rPr>
          <w:highlight w:val="none"/>
        </w:rPr>
        <w:instrText xml:space="preserve"> PAGEREF _Toc17607 \h </w:instrText>
      </w:r>
      <w:r>
        <w:rPr>
          <w:highlight w:val="none"/>
        </w:rPr>
        <w:fldChar w:fldCharType="separate"/>
      </w:r>
      <w:r>
        <w:rPr>
          <w:highlight w:val="none"/>
        </w:rPr>
        <w:t>14</w:t>
      </w:r>
      <w:r>
        <w:rPr>
          <w:highlight w:val="none"/>
        </w:rPr>
        <w:fldChar w:fldCharType="end"/>
      </w:r>
      <w:r>
        <w:rPr>
          <w:rFonts w:hint="eastAsia" w:ascii="微软雅黑" w:hAnsi="微软雅黑" w:eastAsia="微软雅黑"/>
          <w:color w:val="auto"/>
          <w:szCs w:val="21"/>
          <w:highlight w:val="none"/>
        </w:rPr>
        <w:fldChar w:fldCharType="end"/>
      </w:r>
    </w:p>
    <w:p w14:paraId="1B339FC9">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_Toc27648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七、签订合同</w:t>
      </w:r>
      <w:r>
        <w:rPr>
          <w:highlight w:val="none"/>
        </w:rPr>
        <w:tab/>
      </w:r>
      <w:r>
        <w:rPr>
          <w:highlight w:val="none"/>
        </w:rPr>
        <w:fldChar w:fldCharType="begin"/>
      </w:r>
      <w:r>
        <w:rPr>
          <w:highlight w:val="none"/>
        </w:rPr>
        <w:instrText xml:space="preserve"> PAGEREF _Toc27648 \h </w:instrText>
      </w:r>
      <w:r>
        <w:rPr>
          <w:highlight w:val="none"/>
        </w:rPr>
        <w:fldChar w:fldCharType="separate"/>
      </w:r>
      <w:r>
        <w:rPr>
          <w:highlight w:val="none"/>
        </w:rPr>
        <w:t>15</w:t>
      </w:r>
      <w:r>
        <w:rPr>
          <w:highlight w:val="none"/>
        </w:rPr>
        <w:fldChar w:fldCharType="end"/>
      </w:r>
      <w:r>
        <w:rPr>
          <w:rFonts w:hint="eastAsia" w:ascii="微软雅黑" w:hAnsi="微软雅黑" w:eastAsia="微软雅黑"/>
          <w:color w:val="auto"/>
          <w:szCs w:val="21"/>
          <w:highlight w:val="none"/>
        </w:rPr>
        <w:fldChar w:fldCharType="end"/>
      </w:r>
    </w:p>
    <w:p w14:paraId="312476AD">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_Toc22328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八、采购代理服务费</w:t>
      </w:r>
      <w:r>
        <w:rPr>
          <w:highlight w:val="none"/>
        </w:rPr>
        <w:tab/>
      </w:r>
      <w:r>
        <w:rPr>
          <w:highlight w:val="none"/>
        </w:rPr>
        <w:fldChar w:fldCharType="begin"/>
      </w:r>
      <w:r>
        <w:rPr>
          <w:highlight w:val="none"/>
        </w:rPr>
        <w:instrText xml:space="preserve"> PAGEREF _Toc22328 \h </w:instrText>
      </w:r>
      <w:r>
        <w:rPr>
          <w:highlight w:val="none"/>
        </w:rPr>
        <w:fldChar w:fldCharType="separate"/>
      </w:r>
      <w:r>
        <w:rPr>
          <w:highlight w:val="none"/>
        </w:rPr>
        <w:t>15</w:t>
      </w:r>
      <w:r>
        <w:rPr>
          <w:highlight w:val="none"/>
        </w:rPr>
        <w:fldChar w:fldCharType="end"/>
      </w:r>
      <w:r>
        <w:rPr>
          <w:rFonts w:hint="eastAsia" w:ascii="微软雅黑" w:hAnsi="微软雅黑" w:eastAsia="微软雅黑"/>
          <w:color w:val="auto"/>
          <w:szCs w:val="21"/>
          <w:highlight w:val="none"/>
        </w:rPr>
        <w:fldChar w:fldCharType="end"/>
      </w:r>
    </w:p>
    <w:p w14:paraId="0B33E133">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_Toc28765 </w:instrText>
      </w:r>
      <w:r>
        <w:rPr>
          <w:rFonts w:hint="eastAsia" w:ascii="微软雅黑" w:hAnsi="微软雅黑" w:eastAsia="微软雅黑"/>
          <w:szCs w:val="21"/>
          <w:highlight w:val="none"/>
        </w:rPr>
        <w:fldChar w:fldCharType="separate"/>
      </w:r>
      <w:r>
        <w:rPr>
          <w:rFonts w:hint="eastAsia" w:ascii="仿宋" w:hAnsi="仿宋" w:eastAsia="仿宋" w:cs="仿宋"/>
          <w:bCs/>
          <w:szCs w:val="36"/>
          <w:highlight w:val="none"/>
          <w:lang w:val="en-US" w:eastAsia="zh-CN"/>
        </w:rPr>
        <w:t>第六篇  合同模板</w:t>
      </w:r>
      <w:r>
        <w:rPr>
          <w:highlight w:val="none"/>
        </w:rPr>
        <w:tab/>
      </w:r>
      <w:r>
        <w:rPr>
          <w:highlight w:val="none"/>
        </w:rPr>
        <w:fldChar w:fldCharType="begin"/>
      </w:r>
      <w:r>
        <w:rPr>
          <w:highlight w:val="none"/>
        </w:rPr>
        <w:instrText xml:space="preserve"> PAGEREF _Toc28765 \h </w:instrText>
      </w:r>
      <w:r>
        <w:rPr>
          <w:highlight w:val="none"/>
        </w:rPr>
        <w:fldChar w:fldCharType="separate"/>
      </w:r>
      <w:r>
        <w:rPr>
          <w:highlight w:val="none"/>
        </w:rPr>
        <w:t>16</w:t>
      </w:r>
      <w:r>
        <w:rPr>
          <w:highlight w:val="none"/>
        </w:rPr>
        <w:fldChar w:fldCharType="end"/>
      </w:r>
      <w:r>
        <w:rPr>
          <w:rFonts w:hint="eastAsia" w:ascii="微软雅黑" w:hAnsi="微软雅黑" w:eastAsia="微软雅黑"/>
          <w:color w:val="auto"/>
          <w:szCs w:val="21"/>
          <w:highlight w:val="none"/>
        </w:rPr>
        <w:fldChar w:fldCharType="end"/>
      </w:r>
    </w:p>
    <w:p w14:paraId="56E0A3C5">
      <w:pPr>
        <w:pStyle w:val="15"/>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_Toc23602 </w:instrText>
      </w:r>
      <w:r>
        <w:rPr>
          <w:rFonts w:hint="eastAsia" w:ascii="微软雅黑" w:hAnsi="微软雅黑" w:eastAsia="微软雅黑"/>
          <w:szCs w:val="21"/>
          <w:highlight w:val="none"/>
        </w:rPr>
        <w:fldChar w:fldCharType="separate"/>
      </w:r>
      <w:r>
        <w:rPr>
          <w:rFonts w:hint="eastAsia" w:ascii="仿宋" w:hAnsi="仿宋" w:eastAsia="仿宋" w:cs="仿宋"/>
          <w:szCs w:val="30"/>
          <w:highlight w:val="none"/>
        </w:rPr>
        <w:t>第七篇  响应文件格式要求</w:t>
      </w:r>
      <w:r>
        <w:rPr>
          <w:highlight w:val="none"/>
        </w:rPr>
        <w:tab/>
      </w:r>
      <w:r>
        <w:rPr>
          <w:highlight w:val="none"/>
        </w:rPr>
        <w:fldChar w:fldCharType="begin"/>
      </w:r>
      <w:r>
        <w:rPr>
          <w:highlight w:val="none"/>
        </w:rPr>
        <w:instrText xml:space="preserve"> PAGEREF _Toc23602 \h </w:instrText>
      </w:r>
      <w:r>
        <w:rPr>
          <w:highlight w:val="none"/>
        </w:rPr>
        <w:fldChar w:fldCharType="separate"/>
      </w:r>
      <w:r>
        <w:rPr>
          <w:highlight w:val="none"/>
        </w:rPr>
        <w:t>18</w:t>
      </w:r>
      <w:r>
        <w:rPr>
          <w:highlight w:val="none"/>
        </w:rPr>
        <w:fldChar w:fldCharType="end"/>
      </w:r>
      <w:r>
        <w:rPr>
          <w:rFonts w:hint="eastAsia" w:ascii="微软雅黑" w:hAnsi="微软雅黑" w:eastAsia="微软雅黑"/>
          <w:color w:val="auto"/>
          <w:szCs w:val="21"/>
          <w:highlight w:val="none"/>
        </w:rPr>
        <w:fldChar w:fldCharType="end"/>
      </w:r>
    </w:p>
    <w:p w14:paraId="1466D349">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_Toc23508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一、经济部分</w:t>
      </w:r>
      <w:r>
        <w:rPr>
          <w:highlight w:val="none"/>
        </w:rPr>
        <w:tab/>
      </w:r>
      <w:r>
        <w:rPr>
          <w:highlight w:val="none"/>
        </w:rPr>
        <w:fldChar w:fldCharType="begin"/>
      </w:r>
      <w:r>
        <w:rPr>
          <w:highlight w:val="none"/>
        </w:rPr>
        <w:instrText xml:space="preserve"> PAGEREF _Toc23508 \h </w:instrText>
      </w:r>
      <w:r>
        <w:rPr>
          <w:highlight w:val="none"/>
        </w:rPr>
        <w:fldChar w:fldCharType="separate"/>
      </w:r>
      <w:r>
        <w:rPr>
          <w:highlight w:val="none"/>
        </w:rPr>
        <w:t>19</w:t>
      </w:r>
      <w:r>
        <w:rPr>
          <w:highlight w:val="none"/>
        </w:rPr>
        <w:fldChar w:fldCharType="end"/>
      </w:r>
      <w:r>
        <w:rPr>
          <w:rFonts w:hint="eastAsia" w:ascii="微软雅黑" w:hAnsi="微软雅黑" w:eastAsia="微软雅黑"/>
          <w:color w:val="auto"/>
          <w:szCs w:val="21"/>
          <w:highlight w:val="none"/>
        </w:rPr>
        <w:fldChar w:fldCharType="end"/>
      </w:r>
    </w:p>
    <w:p w14:paraId="6C2EE247">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_Toc6334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二、技术部分</w:t>
      </w:r>
      <w:bookmarkStart w:id="123" w:name="_GoBack"/>
      <w:bookmarkEnd w:id="123"/>
      <w:r>
        <w:rPr>
          <w:highlight w:val="none"/>
        </w:rPr>
        <w:tab/>
      </w:r>
      <w:r>
        <w:rPr>
          <w:highlight w:val="none"/>
        </w:rPr>
        <w:fldChar w:fldCharType="begin"/>
      </w:r>
      <w:r>
        <w:rPr>
          <w:highlight w:val="none"/>
        </w:rPr>
        <w:instrText xml:space="preserve"> PAGEREF _Toc6334 \h </w:instrText>
      </w:r>
      <w:r>
        <w:rPr>
          <w:highlight w:val="none"/>
        </w:rPr>
        <w:fldChar w:fldCharType="separate"/>
      </w:r>
      <w:r>
        <w:rPr>
          <w:highlight w:val="none"/>
        </w:rPr>
        <w:t>22</w:t>
      </w:r>
      <w:r>
        <w:rPr>
          <w:highlight w:val="none"/>
        </w:rPr>
        <w:fldChar w:fldCharType="end"/>
      </w:r>
      <w:r>
        <w:rPr>
          <w:rFonts w:hint="eastAsia" w:ascii="微软雅黑" w:hAnsi="微软雅黑" w:eastAsia="微软雅黑"/>
          <w:color w:val="auto"/>
          <w:szCs w:val="21"/>
          <w:highlight w:val="none"/>
        </w:rPr>
        <w:fldChar w:fldCharType="end"/>
      </w:r>
    </w:p>
    <w:p w14:paraId="07D94CC5">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_Toc24318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三、</w:t>
      </w:r>
      <w:r>
        <w:rPr>
          <w:rFonts w:hint="eastAsia" w:ascii="仿宋" w:hAnsi="仿宋" w:eastAsia="仿宋" w:cs="仿宋"/>
          <w:szCs w:val="24"/>
          <w:highlight w:val="none"/>
          <w:lang w:val="en-US" w:eastAsia="zh-CN"/>
        </w:rPr>
        <w:t>商务</w:t>
      </w:r>
      <w:r>
        <w:rPr>
          <w:rFonts w:hint="eastAsia" w:ascii="仿宋" w:hAnsi="仿宋" w:eastAsia="仿宋" w:cs="仿宋"/>
          <w:szCs w:val="24"/>
          <w:highlight w:val="none"/>
        </w:rPr>
        <w:t>部分</w:t>
      </w:r>
      <w:r>
        <w:rPr>
          <w:highlight w:val="none"/>
        </w:rPr>
        <w:tab/>
      </w:r>
      <w:r>
        <w:rPr>
          <w:highlight w:val="none"/>
        </w:rPr>
        <w:fldChar w:fldCharType="begin"/>
      </w:r>
      <w:r>
        <w:rPr>
          <w:highlight w:val="none"/>
        </w:rPr>
        <w:instrText xml:space="preserve"> PAGEREF _Toc24318 \h </w:instrText>
      </w:r>
      <w:r>
        <w:rPr>
          <w:highlight w:val="none"/>
        </w:rPr>
        <w:fldChar w:fldCharType="separate"/>
      </w:r>
      <w:r>
        <w:rPr>
          <w:highlight w:val="none"/>
        </w:rPr>
        <w:t>24</w:t>
      </w:r>
      <w:r>
        <w:rPr>
          <w:highlight w:val="none"/>
        </w:rPr>
        <w:fldChar w:fldCharType="end"/>
      </w:r>
      <w:r>
        <w:rPr>
          <w:rFonts w:hint="eastAsia" w:ascii="微软雅黑" w:hAnsi="微软雅黑" w:eastAsia="微软雅黑"/>
          <w:color w:val="auto"/>
          <w:szCs w:val="21"/>
          <w:highlight w:val="none"/>
        </w:rPr>
        <w:fldChar w:fldCharType="end"/>
      </w:r>
    </w:p>
    <w:p w14:paraId="516E6791">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_Toc17402 </w:instrText>
      </w:r>
      <w:r>
        <w:rPr>
          <w:rFonts w:hint="eastAsia" w:ascii="微软雅黑" w:hAnsi="微软雅黑" w:eastAsia="微软雅黑"/>
          <w:szCs w:val="21"/>
          <w:highlight w:val="none"/>
        </w:rPr>
        <w:fldChar w:fldCharType="separate"/>
      </w:r>
      <w:r>
        <w:rPr>
          <w:rFonts w:hint="eastAsia" w:ascii="仿宋" w:hAnsi="仿宋" w:eastAsia="仿宋" w:cs="仿宋"/>
          <w:szCs w:val="24"/>
          <w:highlight w:val="none"/>
        </w:rPr>
        <w:t>四、资格条件及其他</w:t>
      </w:r>
      <w:r>
        <w:rPr>
          <w:highlight w:val="none"/>
        </w:rPr>
        <w:tab/>
      </w:r>
      <w:r>
        <w:rPr>
          <w:highlight w:val="none"/>
        </w:rPr>
        <w:fldChar w:fldCharType="begin"/>
      </w:r>
      <w:r>
        <w:rPr>
          <w:highlight w:val="none"/>
        </w:rPr>
        <w:instrText xml:space="preserve"> PAGEREF _Toc17402 \h </w:instrText>
      </w:r>
      <w:r>
        <w:rPr>
          <w:highlight w:val="none"/>
        </w:rPr>
        <w:fldChar w:fldCharType="separate"/>
      </w:r>
      <w:r>
        <w:rPr>
          <w:highlight w:val="none"/>
        </w:rPr>
        <w:t>25</w:t>
      </w:r>
      <w:r>
        <w:rPr>
          <w:highlight w:val="none"/>
        </w:rPr>
        <w:fldChar w:fldCharType="end"/>
      </w:r>
      <w:r>
        <w:rPr>
          <w:rFonts w:hint="eastAsia" w:ascii="微软雅黑" w:hAnsi="微软雅黑" w:eastAsia="微软雅黑"/>
          <w:color w:val="auto"/>
          <w:szCs w:val="21"/>
          <w:highlight w:val="none"/>
        </w:rPr>
        <w:fldChar w:fldCharType="end"/>
      </w:r>
    </w:p>
    <w:p w14:paraId="45582DBE">
      <w:pPr>
        <w:pStyle w:val="8"/>
        <w:tabs>
          <w:tab w:val="right" w:leader="dot" w:pos="9412"/>
        </w:tabs>
        <w:rPr>
          <w:highlight w:val="none"/>
        </w:rPr>
      </w:pPr>
      <w:r>
        <w:rPr>
          <w:rFonts w:hint="eastAsia" w:ascii="微软雅黑" w:hAnsi="微软雅黑" w:eastAsia="微软雅黑"/>
          <w:color w:val="auto"/>
          <w:szCs w:val="21"/>
          <w:highlight w:val="none"/>
        </w:rPr>
        <w:fldChar w:fldCharType="begin"/>
      </w:r>
      <w:r>
        <w:rPr>
          <w:rFonts w:hint="eastAsia" w:ascii="微软雅黑" w:hAnsi="微软雅黑" w:eastAsia="微软雅黑"/>
          <w:szCs w:val="21"/>
          <w:highlight w:val="none"/>
        </w:rPr>
        <w:instrText xml:space="preserve"> HYPERLINK \l _Toc8640 </w:instrText>
      </w:r>
      <w:r>
        <w:rPr>
          <w:rFonts w:hint="eastAsia" w:ascii="微软雅黑" w:hAnsi="微软雅黑" w:eastAsia="微软雅黑"/>
          <w:szCs w:val="21"/>
          <w:highlight w:val="none"/>
        </w:rPr>
        <w:fldChar w:fldCharType="separate"/>
      </w:r>
      <w:r>
        <w:rPr>
          <w:rFonts w:hint="eastAsia" w:ascii="仿宋" w:hAnsi="仿宋" w:eastAsia="仿宋" w:cs="仿宋"/>
          <w:szCs w:val="28"/>
          <w:highlight w:val="none"/>
          <w:lang w:val="en-US" w:eastAsia="zh-CN"/>
        </w:rPr>
        <w:t>五、其他应提供的资料</w:t>
      </w:r>
      <w:r>
        <w:rPr>
          <w:highlight w:val="none"/>
        </w:rPr>
        <w:tab/>
      </w:r>
      <w:r>
        <w:rPr>
          <w:highlight w:val="none"/>
        </w:rPr>
        <w:fldChar w:fldCharType="begin"/>
      </w:r>
      <w:r>
        <w:rPr>
          <w:highlight w:val="none"/>
        </w:rPr>
        <w:instrText xml:space="preserve"> PAGEREF _Toc8640 \h </w:instrText>
      </w:r>
      <w:r>
        <w:rPr>
          <w:highlight w:val="none"/>
        </w:rPr>
        <w:fldChar w:fldCharType="separate"/>
      </w:r>
      <w:r>
        <w:rPr>
          <w:highlight w:val="none"/>
        </w:rPr>
        <w:t>29</w:t>
      </w:r>
      <w:r>
        <w:rPr>
          <w:highlight w:val="none"/>
        </w:rPr>
        <w:fldChar w:fldCharType="end"/>
      </w:r>
      <w:r>
        <w:rPr>
          <w:rFonts w:hint="eastAsia" w:ascii="微软雅黑" w:hAnsi="微软雅黑" w:eastAsia="微软雅黑"/>
          <w:color w:val="auto"/>
          <w:szCs w:val="21"/>
          <w:highlight w:val="none"/>
        </w:rPr>
        <w:fldChar w:fldCharType="end"/>
      </w:r>
    </w:p>
    <w:p w14:paraId="01EC106C">
      <w:pPr>
        <w:pStyle w:val="15"/>
        <w:tabs>
          <w:tab w:val="right" w:leader="dot" w:pos="9402"/>
        </w:tabs>
        <w:spacing w:line="480" w:lineRule="exact"/>
        <w:ind w:left="560"/>
        <w:rPr>
          <w:rFonts w:ascii="微软雅黑" w:hAnsi="微软雅黑" w:eastAsia="微软雅黑"/>
          <w:color w:val="auto"/>
          <w:sz w:val="18"/>
          <w:szCs w:val="22"/>
          <w:highlight w:val="none"/>
        </w:rPr>
        <w:sectPr>
          <w:footerReference r:id="rId4" w:type="default"/>
          <w:pgSz w:w="11907" w:h="16840"/>
          <w:pgMar w:top="1091" w:right="1191" w:bottom="1134" w:left="1304" w:header="851" w:footer="992" w:gutter="0"/>
          <w:pgNumType w:start="1"/>
          <w:cols w:space="720" w:num="1"/>
          <w:docGrid w:linePitch="380" w:charSpace="-5735"/>
        </w:sectPr>
      </w:pPr>
      <w:r>
        <w:rPr>
          <w:rFonts w:hint="eastAsia" w:ascii="微软雅黑" w:hAnsi="微软雅黑" w:eastAsia="微软雅黑"/>
          <w:color w:val="auto"/>
          <w:szCs w:val="21"/>
          <w:highlight w:val="none"/>
        </w:rPr>
        <w:fldChar w:fldCharType="end"/>
      </w:r>
      <w:bookmarkStart w:id="0" w:name="_Toc12789052"/>
      <w:bookmarkStart w:id="1" w:name="_Toc11641050"/>
    </w:p>
    <w:p w14:paraId="22846E84">
      <w:pPr>
        <w:pStyle w:val="2"/>
        <w:spacing w:before="0" w:after="0" w:line="360" w:lineRule="auto"/>
        <w:jc w:val="center"/>
        <w:rPr>
          <w:rFonts w:hint="eastAsia" w:ascii="仿宋" w:hAnsi="仿宋" w:eastAsia="仿宋" w:cs="仿宋"/>
          <w:b w:val="0"/>
          <w:color w:val="auto"/>
          <w:sz w:val="36"/>
          <w:szCs w:val="30"/>
          <w:highlight w:val="none"/>
        </w:rPr>
      </w:pPr>
      <w:bookmarkStart w:id="2" w:name="_Toc12023"/>
      <w:r>
        <w:rPr>
          <w:rFonts w:hint="eastAsia" w:ascii="仿宋" w:hAnsi="仿宋" w:eastAsia="仿宋" w:cs="仿宋"/>
          <w:b w:val="0"/>
          <w:color w:val="auto"/>
          <w:sz w:val="36"/>
          <w:szCs w:val="30"/>
          <w:highlight w:val="none"/>
        </w:rPr>
        <w:t>第一篇  竞争性谈判邀请书</w:t>
      </w:r>
      <w:bookmarkEnd w:id="0"/>
      <w:bookmarkEnd w:id="1"/>
      <w:bookmarkEnd w:id="2"/>
    </w:p>
    <w:p w14:paraId="37533794">
      <w:pPr>
        <w:pageBreakBefore w:val="0"/>
        <w:kinsoku/>
        <w:wordWrap/>
        <w:overflowPunct/>
        <w:topLinePunct w:val="0"/>
        <w:autoSpaceDE/>
        <w:autoSpaceDN/>
        <w:bidi w:val="0"/>
        <w:adjustRightInd/>
        <w:snapToGrid w:val="0"/>
        <w:spacing w:line="400" w:lineRule="exact"/>
        <w:ind w:firstLine="480" w:firstLineChars="200"/>
        <w:jc w:val="left"/>
        <w:textAlignment w:val="auto"/>
        <w:rPr>
          <w:rFonts w:hint="eastAsia" w:ascii="仿宋" w:hAnsi="仿宋" w:eastAsia="仿宋" w:cs="仿宋"/>
          <w:color w:val="auto"/>
          <w:sz w:val="24"/>
          <w:szCs w:val="24"/>
          <w:highlight w:val="none"/>
        </w:rPr>
      </w:pPr>
      <w:bookmarkStart w:id="3" w:name="_Toc373860293"/>
      <w:bookmarkStart w:id="4" w:name="_Toc317775178"/>
      <w:r>
        <w:rPr>
          <w:rFonts w:hint="eastAsia" w:ascii="仿宋" w:hAnsi="仿宋" w:eastAsia="仿宋" w:cs="仿宋"/>
          <w:color w:val="auto"/>
          <w:sz w:val="24"/>
          <w:szCs w:val="24"/>
          <w:highlight w:val="none"/>
          <w:u w:val="single"/>
          <w:lang w:val="en-US" w:eastAsia="zh-CN"/>
        </w:rPr>
        <w:t>重庆丰达建设咨询有限公司</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以下简称：采购代理机构</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接受</w:t>
      </w:r>
      <w:r>
        <w:rPr>
          <w:rFonts w:hint="eastAsia" w:ascii="仿宋" w:hAnsi="仿宋" w:eastAsia="仿宋" w:cs="仿宋"/>
          <w:color w:val="auto"/>
          <w:sz w:val="24"/>
          <w:szCs w:val="24"/>
          <w:highlight w:val="none"/>
          <w:u w:val="single"/>
          <w:lang w:eastAsia="zh-CN"/>
        </w:rPr>
        <w:t>重庆市璧山区市场监督管理局</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以下简称：采购人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的委托，对</w:t>
      </w:r>
      <w:r>
        <w:rPr>
          <w:rFonts w:hint="eastAsia" w:ascii="仿宋" w:hAnsi="仿宋" w:eastAsia="仿宋" w:cs="仿宋"/>
          <w:color w:val="auto"/>
          <w:sz w:val="24"/>
          <w:szCs w:val="24"/>
          <w:highlight w:val="none"/>
          <w:u w:val="single"/>
          <w:lang w:val="en-US" w:eastAsia="zh-CN"/>
        </w:rPr>
        <w:t>璧山区局青杠所部分外墙维修改造项目（第三次）</w:t>
      </w:r>
      <w:r>
        <w:rPr>
          <w:rFonts w:hint="eastAsia" w:ascii="仿宋" w:hAnsi="仿宋" w:eastAsia="仿宋" w:cs="仿宋"/>
          <w:bCs/>
          <w:color w:val="auto"/>
          <w:sz w:val="24"/>
          <w:szCs w:val="24"/>
          <w:highlight w:val="none"/>
        </w:rPr>
        <w:t>进行</w:t>
      </w:r>
      <w:r>
        <w:rPr>
          <w:rFonts w:hint="eastAsia" w:ascii="仿宋" w:hAnsi="仿宋" w:eastAsia="仿宋" w:cs="仿宋"/>
          <w:color w:val="auto"/>
          <w:sz w:val="24"/>
          <w:szCs w:val="24"/>
          <w:highlight w:val="none"/>
        </w:rPr>
        <w:t>竞争性谈判采购。欢迎有资格的供应商前来参加谈判。</w:t>
      </w:r>
    </w:p>
    <w:p w14:paraId="106226BC">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5" w:name="_Toc313893526"/>
      <w:bookmarkStart w:id="6" w:name="_Toc18432"/>
      <w:bookmarkStart w:id="7" w:name="_Toc317775175"/>
      <w:bookmarkStart w:id="8" w:name="_Toc403569769"/>
      <w:r>
        <w:rPr>
          <w:rFonts w:hint="eastAsia" w:ascii="仿宋" w:hAnsi="仿宋" w:eastAsia="仿宋" w:cs="仿宋"/>
          <w:color w:val="auto"/>
          <w:sz w:val="24"/>
          <w:szCs w:val="24"/>
          <w:highlight w:val="none"/>
        </w:rPr>
        <w:t>一、竞争性谈判内容</w:t>
      </w:r>
      <w:bookmarkEnd w:id="5"/>
      <w:bookmarkEnd w:id="6"/>
      <w:bookmarkEnd w:id="7"/>
      <w:bookmarkEnd w:id="8"/>
    </w:p>
    <w:tbl>
      <w:tblPr>
        <w:tblStyle w:val="17"/>
        <w:tblW w:w="50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80"/>
        <w:gridCol w:w="2049"/>
        <w:gridCol w:w="1568"/>
        <w:gridCol w:w="1516"/>
        <w:gridCol w:w="859"/>
      </w:tblGrid>
      <w:tr w14:paraId="68117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933" w:type="pct"/>
            <w:tcBorders>
              <w:top w:val="single" w:color="auto" w:sz="4" w:space="0"/>
              <w:left w:val="single" w:color="auto" w:sz="4" w:space="0"/>
              <w:right w:val="single" w:color="auto" w:sz="4" w:space="0"/>
            </w:tcBorders>
            <w:vAlign w:val="center"/>
          </w:tcPr>
          <w:p w14:paraId="100E5EB9">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048" w:type="pct"/>
            <w:tcBorders>
              <w:top w:val="single" w:color="auto" w:sz="4" w:space="0"/>
              <w:left w:val="single" w:color="auto" w:sz="4" w:space="0"/>
              <w:right w:val="single" w:color="auto" w:sz="4" w:space="0"/>
            </w:tcBorders>
            <w:vAlign w:val="center"/>
          </w:tcPr>
          <w:p w14:paraId="77520C1E">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p w14:paraId="465CB44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802" w:type="pct"/>
            <w:tcBorders>
              <w:top w:val="single" w:color="auto" w:sz="4" w:space="0"/>
              <w:left w:val="single" w:color="auto" w:sz="4" w:space="0"/>
              <w:right w:val="single" w:color="auto" w:sz="4" w:space="0"/>
            </w:tcBorders>
            <w:vAlign w:val="center"/>
          </w:tcPr>
          <w:p w14:paraId="22A4DC1F">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保证金</w:t>
            </w:r>
          </w:p>
          <w:p w14:paraId="615AB11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（元）</w:t>
            </w:r>
          </w:p>
        </w:tc>
        <w:tc>
          <w:tcPr>
            <w:tcW w:w="775" w:type="pct"/>
            <w:tcBorders>
              <w:top w:val="single" w:color="auto" w:sz="4" w:space="0"/>
              <w:left w:val="single" w:color="auto" w:sz="4" w:space="0"/>
              <w:right w:val="single" w:color="auto" w:sz="4" w:space="0"/>
            </w:tcBorders>
            <w:vAlign w:val="center"/>
          </w:tcPr>
          <w:p w14:paraId="4A0DBEB6">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成交供应商数量（名）</w:t>
            </w:r>
          </w:p>
        </w:tc>
        <w:tc>
          <w:tcPr>
            <w:tcW w:w="439" w:type="pct"/>
            <w:tcBorders>
              <w:top w:val="single" w:color="auto" w:sz="4" w:space="0"/>
              <w:left w:val="single" w:color="auto" w:sz="4" w:space="0"/>
              <w:right w:val="single" w:color="auto" w:sz="4" w:space="0"/>
            </w:tcBorders>
            <w:vAlign w:val="center"/>
          </w:tcPr>
          <w:p w14:paraId="5AC2BE4D">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2BE51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933" w:type="pct"/>
            <w:tcBorders>
              <w:top w:val="single" w:color="auto" w:sz="4" w:space="0"/>
              <w:left w:val="single" w:color="auto" w:sz="4" w:space="0"/>
              <w:bottom w:val="single" w:color="auto" w:sz="4" w:space="0"/>
              <w:right w:val="single" w:color="auto" w:sz="4" w:space="0"/>
            </w:tcBorders>
            <w:vAlign w:val="center"/>
          </w:tcPr>
          <w:p w14:paraId="6B1A1D99">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璧山区局青杠所部分外墙维修改造项目（第三次）</w:t>
            </w:r>
          </w:p>
        </w:tc>
        <w:tc>
          <w:tcPr>
            <w:tcW w:w="1048" w:type="pct"/>
            <w:tcBorders>
              <w:top w:val="single" w:color="auto" w:sz="4" w:space="0"/>
              <w:left w:val="single" w:color="auto" w:sz="4" w:space="0"/>
              <w:bottom w:val="single" w:color="auto" w:sz="4" w:space="0"/>
              <w:right w:val="single" w:color="auto" w:sz="4" w:space="0"/>
            </w:tcBorders>
            <w:vAlign w:val="center"/>
          </w:tcPr>
          <w:p w14:paraId="55127582">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89980.46</w:t>
            </w:r>
          </w:p>
        </w:tc>
        <w:tc>
          <w:tcPr>
            <w:tcW w:w="802" w:type="pct"/>
            <w:tcBorders>
              <w:top w:val="single" w:color="auto" w:sz="4" w:space="0"/>
              <w:left w:val="single" w:color="auto" w:sz="4" w:space="0"/>
              <w:bottom w:val="single" w:color="auto" w:sz="4" w:space="0"/>
              <w:right w:val="single" w:color="auto" w:sz="4" w:space="0"/>
            </w:tcBorders>
            <w:vAlign w:val="center"/>
          </w:tcPr>
          <w:p w14:paraId="2D59C46B">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1500</w:t>
            </w:r>
          </w:p>
        </w:tc>
        <w:tc>
          <w:tcPr>
            <w:tcW w:w="775" w:type="pct"/>
            <w:tcBorders>
              <w:top w:val="single" w:color="auto" w:sz="4" w:space="0"/>
              <w:left w:val="single" w:color="auto" w:sz="4" w:space="0"/>
              <w:bottom w:val="single" w:color="auto" w:sz="4" w:space="0"/>
              <w:right w:val="single" w:color="auto" w:sz="4" w:space="0"/>
            </w:tcBorders>
            <w:vAlign w:val="center"/>
          </w:tcPr>
          <w:p w14:paraId="05954098">
            <w:pPr>
              <w:keepNext w:val="0"/>
              <w:keepLines w:val="0"/>
              <w:pageBreakBefore w:val="0"/>
              <w:suppressLineNumbers w:val="0"/>
              <w:kinsoku/>
              <w:wordWrap/>
              <w:overflowPunct/>
              <w:topLinePunct w:val="0"/>
              <w:autoSpaceDE/>
              <w:autoSpaceDN/>
              <w:bidi w:val="0"/>
              <w:adjustRightInd/>
              <w:snapToGrid w:val="0"/>
              <w:spacing w:before="0" w:beforeAutospacing="0" w:after="0" w:afterAutospacing="0" w:line="400" w:lineRule="exact"/>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1</w:t>
            </w:r>
          </w:p>
        </w:tc>
        <w:tc>
          <w:tcPr>
            <w:tcW w:w="439" w:type="pct"/>
            <w:tcBorders>
              <w:top w:val="single" w:color="auto" w:sz="4" w:space="0"/>
              <w:left w:val="single" w:color="auto" w:sz="4" w:space="0"/>
              <w:bottom w:val="single" w:color="auto" w:sz="4" w:space="0"/>
              <w:right w:val="single" w:color="auto" w:sz="4" w:space="0"/>
            </w:tcBorders>
            <w:vAlign w:val="center"/>
          </w:tcPr>
          <w:p w14:paraId="190D2D8E">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left"/>
              <w:textAlignment w:val="auto"/>
              <w:rPr>
                <w:rFonts w:hint="eastAsia" w:ascii="仿宋" w:hAnsi="仿宋" w:eastAsia="仿宋" w:cs="仿宋"/>
                <w:color w:val="auto"/>
                <w:kern w:val="2"/>
                <w:sz w:val="24"/>
                <w:szCs w:val="24"/>
                <w:highlight w:val="none"/>
                <w:lang w:val="en-US" w:eastAsia="zh-CN" w:bidi="ar-SA"/>
              </w:rPr>
            </w:pPr>
          </w:p>
        </w:tc>
      </w:tr>
    </w:tbl>
    <w:p w14:paraId="08592D34">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9" w:name="_Toc3829"/>
      <w:r>
        <w:rPr>
          <w:rFonts w:hint="eastAsia" w:ascii="仿宋" w:hAnsi="仿宋" w:eastAsia="仿宋" w:cs="仿宋"/>
          <w:color w:val="auto"/>
          <w:sz w:val="24"/>
          <w:szCs w:val="24"/>
          <w:highlight w:val="none"/>
        </w:rPr>
        <w:t>二、资金来源</w:t>
      </w:r>
      <w:bookmarkEnd w:id="9"/>
    </w:p>
    <w:p w14:paraId="6EA9BCC5">
      <w:pPr>
        <w:pageBreakBefore w:val="0"/>
        <w:kinsoku/>
        <w:wordWrap/>
        <w:overflowPunct/>
        <w:topLinePunct w:val="0"/>
        <w:autoSpaceDE/>
        <w:autoSpaceDN/>
        <w:bidi w:val="0"/>
        <w:adjustRightInd/>
        <w:spacing w:line="40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1.采购预算金额89980.46元。</w:t>
      </w:r>
    </w:p>
    <w:p w14:paraId="47B623F8">
      <w:pPr>
        <w:pageBreakBefore w:val="0"/>
        <w:kinsoku/>
        <w:wordWrap/>
        <w:overflowPunct/>
        <w:topLinePunct w:val="0"/>
        <w:autoSpaceDE/>
        <w:autoSpaceDN/>
        <w:bidi w:val="0"/>
        <w:adjustRightInd/>
        <w:spacing w:line="40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自筹资金，资金已到位。</w:t>
      </w:r>
    </w:p>
    <w:p w14:paraId="41FB9B2E">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lang w:val="en-US" w:eastAsia="zh-CN"/>
        </w:rPr>
      </w:pPr>
      <w:bookmarkStart w:id="10" w:name="_Toc21398"/>
      <w:r>
        <w:rPr>
          <w:rFonts w:hint="eastAsia" w:ascii="仿宋" w:hAnsi="仿宋" w:eastAsia="仿宋" w:cs="仿宋"/>
          <w:color w:val="auto"/>
          <w:sz w:val="24"/>
          <w:szCs w:val="24"/>
          <w:highlight w:val="none"/>
        </w:rPr>
        <w:t>三、谈判资格</w:t>
      </w:r>
      <w:bookmarkEnd w:id="10"/>
    </w:p>
    <w:p w14:paraId="250C1B1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（一）满足《中华人民共和国政府采购法》第二十二条规定；</w:t>
      </w:r>
    </w:p>
    <w:p w14:paraId="213E0BBD">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（二）落实政府采购政策需满足的资格要求：无；</w:t>
      </w:r>
    </w:p>
    <w:p w14:paraId="7DDD181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（三）本项目的特定资格要求：</w:t>
      </w:r>
    </w:p>
    <w:p w14:paraId="76F59050">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1.具有有效的建筑工程施工总承包叁级及以上资质；</w:t>
      </w:r>
    </w:p>
    <w:p w14:paraId="4420F53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2.具备行业主管部门颁发的有效的安全生产许可证。</w:t>
      </w:r>
    </w:p>
    <w:p w14:paraId="75FBE523">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注：1.提供有效的资质证书副本复印件并加盖公章。</w:t>
      </w:r>
    </w:p>
    <w:p w14:paraId="5C462F6B">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2.提供有效的安全生产许可证复印件并加盖公章。</w:t>
      </w:r>
    </w:p>
    <w:p w14:paraId="54992468">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1" w:name="_Toc2598"/>
      <w:r>
        <w:rPr>
          <w:rFonts w:hint="eastAsia" w:ascii="仿宋" w:hAnsi="仿宋" w:eastAsia="仿宋" w:cs="仿宋"/>
          <w:color w:val="auto"/>
          <w:sz w:val="24"/>
          <w:szCs w:val="24"/>
          <w:highlight w:val="none"/>
        </w:rPr>
        <w:t>四、谈判有关说明</w:t>
      </w:r>
      <w:bookmarkEnd w:id="3"/>
      <w:bookmarkEnd w:id="11"/>
    </w:p>
    <w:p w14:paraId="2687F90C">
      <w:pPr>
        <w:snapToGrid w:val="0"/>
        <w:spacing w:line="400" w:lineRule="exact"/>
        <w:ind w:firstLine="480" w:firstLineChars="200"/>
        <w:rPr>
          <w:rFonts w:hint="eastAsia" w:ascii="仿宋" w:hAnsi="仿宋" w:eastAsia="仿宋" w:cs="仿宋"/>
          <w:color w:val="auto"/>
          <w:sz w:val="24"/>
          <w:szCs w:val="24"/>
          <w:highlight w:val="none"/>
        </w:rPr>
      </w:pPr>
      <w:bookmarkStart w:id="12" w:name="_Toc373860294"/>
      <w:r>
        <w:rPr>
          <w:rFonts w:hint="eastAsia" w:ascii="仿宋" w:hAnsi="仿宋" w:eastAsia="仿宋" w:cs="仿宋"/>
          <w:color w:val="auto"/>
          <w:sz w:val="24"/>
          <w:szCs w:val="24"/>
          <w:highlight w:val="none"/>
        </w:rPr>
        <w:t>（一）根据《重庆市财政局关于印发〈重庆市政府采购供应商注册及诚信管理暂行办法〉的通知》（渝财采购〔2015〕45号）规定，供应商应按要求进行注册，通过行采家，登记加入“行采家采购供应商库”。</w:t>
      </w:r>
    </w:p>
    <w:p w14:paraId="0770D679">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凡有意参加谈判的供应商，请于公告发布之日起至提交首次响应文件截止时间之前，在行采家(http://www.gec123.com/）上下载本项目竞争性谈判文件以及图纸、补遗等谈判前公布的所有项目资料，无论供应商下载与否，均视为已知晓所有谈判实质性要求内容。</w:t>
      </w:r>
    </w:p>
    <w:p w14:paraId="2AE4ECF2">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（三）竞争性谈判公告期限：自采购公告发布之日起三个工作日。</w:t>
      </w:r>
    </w:p>
    <w:p w14:paraId="39ABCFE8">
      <w:pPr>
        <w:spacing w:line="400" w:lineRule="exact"/>
        <w:ind w:firstLine="480" w:firstLineChars="200"/>
        <w:rPr>
          <w:rFonts w:hint="eastAsia" w:ascii="方正仿宋_GBK" w:hAnsi="宋体" w:eastAsia="方正仿宋_GBK"/>
          <w:color w:val="auto"/>
          <w:sz w:val="24"/>
          <w:szCs w:val="24"/>
          <w:highlight w:val="none"/>
        </w:rPr>
      </w:pPr>
      <w:r>
        <w:rPr>
          <w:rFonts w:hint="eastAsia" w:ascii="仿宋" w:hAnsi="仿宋" w:eastAsia="仿宋" w:cs="仿宋"/>
          <w:color w:val="auto"/>
          <w:sz w:val="24"/>
          <w:szCs w:val="24"/>
          <w:highlight w:val="none"/>
        </w:rPr>
        <w:t>（四）</w:t>
      </w:r>
      <w:r>
        <w:rPr>
          <w:rFonts w:hint="eastAsia" w:ascii="方正仿宋_GBK" w:hAnsi="宋体" w:eastAsia="方正仿宋_GBK"/>
          <w:color w:val="auto"/>
          <w:sz w:val="24"/>
          <w:szCs w:val="24"/>
          <w:highlight w:val="none"/>
        </w:rPr>
        <w:t>获取竞争性谈判文件期限：</w:t>
      </w:r>
    </w:p>
    <w:p w14:paraId="0230BB05">
      <w:pPr>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宋体" w:eastAsia="方正仿宋_GBK"/>
          <w:color w:val="auto"/>
          <w:sz w:val="24"/>
          <w:szCs w:val="24"/>
          <w:highlight w:val="none"/>
        </w:rPr>
        <w:t>1.竞争性谈判文件提供期限：</w:t>
      </w:r>
      <w:r>
        <w:rPr>
          <w:rFonts w:hint="eastAsia" w:ascii="方正仿宋_GBK" w:hAnsi="宋体" w:eastAsia="方正仿宋_GBK"/>
          <w:color w:val="auto"/>
          <w:sz w:val="24"/>
          <w:szCs w:val="24"/>
          <w:highlight w:val="none"/>
          <w:u w:val="single"/>
        </w:rPr>
        <w:t>202</w:t>
      </w:r>
      <w:r>
        <w:rPr>
          <w:rFonts w:hint="eastAsia" w:ascii="方正仿宋_GBK" w:hAnsi="宋体" w:eastAsia="方正仿宋_GBK"/>
          <w:color w:val="auto"/>
          <w:sz w:val="24"/>
          <w:szCs w:val="24"/>
          <w:highlight w:val="none"/>
          <w:u w:val="single"/>
          <w:lang w:val="en-US" w:eastAsia="zh-CN"/>
        </w:rPr>
        <w:t>5</w:t>
      </w:r>
      <w:r>
        <w:rPr>
          <w:rFonts w:hint="eastAsia" w:ascii="方正仿宋_GBK" w:hAnsi="宋体" w:eastAsia="方正仿宋_GBK"/>
          <w:color w:val="auto"/>
          <w:sz w:val="24"/>
          <w:szCs w:val="24"/>
          <w:highlight w:val="none"/>
          <w:u w:val="single"/>
        </w:rPr>
        <w:t>年</w:t>
      </w:r>
      <w:r>
        <w:rPr>
          <w:rFonts w:hint="eastAsia" w:ascii="方正仿宋_GBK" w:hAnsi="宋体" w:eastAsia="方正仿宋_GBK"/>
          <w:color w:val="auto"/>
          <w:sz w:val="24"/>
          <w:szCs w:val="24"/>
          <w:highlight w:val="none"/>
          <w:u w:val="single"/>
          <w:lang w:val="en-US" w:eastAsia="zh-CN"/>
        </w:rPr>
        <w:t>7</w:t>
      </w:r>
      <w:r>
        <w:rPr>
          <w:rFonts w:hint="eastAsia" w:ascii="方正仿宋_GBK" w:hAnsi="宋体" w:eastAsia="方正仿宋_GBK"/>
          <w:color w:val="auto"/>
          <w:sz w:val="24"/>
          <w:szCs w:val="24"/>
          <w:highlight w:val="none"/>
          <w:u w:val="single"/>
        </w:rPr>
        <w:t>月</w:t>
      </w:r>
      <w:r>
        <w:rPr>
          <w:rFonts w:hint="eastAsia" w:ascii="方正仿宋_GBK" w:hAnsi="宋体" w:eastAsia="方正仿宋_GBK"/>
          <w:color w:val="auto"/>
          <w:sz w:val="24"/>
          <w:szCs w:val="24"/>
          <w:highlight w:val="none"/>
          <w:u w:val="single"/>
          <w:lang w:val="en-US" w:eastAsia="zh-CN"/>
        </w:rPr>
        <w:t>29</w:t>
      </w:r>
      <w:r>
        <w:rPr>
          <w:rFonts w:hint="eastAsia" w:ascii="方正仿宋_GBK" w:hAnsi="宋体" w:eastAsia="方正仿宋_GBK"/>
          <w:color w:val="auto"/>
          <w:sz w:val="24"/>
          <w:szCs w:val="24"/>
          <w:highlight w:val="none"/>
          <w:u w:val="single"/>
        </w:rPr>
        <w:t>日至202</w:t>
      </w:r>
      <w:r>
        <w:rPr>
          <w:rFonts w:hint="eastAsia" w:ascii="方正仿宋_GBK" w:hAnsi="宋体" w:eastAsia="方正仿宋_GBK"/>
          <w:color w:val="auto"/>
          <w:sz w:val="24"/>
          <w:szCs w:val="24"/>
          <w:highlight w:val="none"/>
          <w:u w:val="single"/>
          <w:lang w:val="en-US" w:eastAsia="zh-CN"/>
        </w:rPr>
        <w:t>5</w:t>
      </w:r>
      <w:r>
        <w:rPr>
          <w:rFonts w:hint="eastAsia" w:ascii="方正仿宋_GBK" w:hAnsi="宋体" w:eastAsia="方正仿宋_GBK"/>
          <w:color w:val="auto"/>
          <w:sz w:val="24"/>
          <w:szCs w:val="24"/>
          <w:highlight w:val="none"/>
          <w:u w:val="single"/>
        </w:rPr>
        <w:t>年</w:t>
      </w:r>
      <w:r>
        <w:rPr>
          <w:rFonts w:hint="eastAsia" w:ascii="方正仿宋_GBK" w:hAnsi="宋体" w:eastAsia="方正仿宋_GBK"/>
          <w:color w:val="auto"/>
          <w:sz w:val="24"/>
          <w:szCs w:val="24"/>
          <w:highlight w:val="none"/>
          <w:u w:val="single"/>
          <w:lang w:val="en-US" w:eastAsia="zh-CN"/>
        </w:rPr>
        <w:t>8</w:t>
      </w:r>
      <w:r>
        <w:rPr>
          <w:rFonts w:hint="eastAsia" w:ascii="方正仿宋_GBK" w:hAnsi="宋体" w:eastAsia="方正仿宋_GBK"/>
          <w:color w:val="auto"/>
          <w:sz w:val="24"/>
          <w:szCs w:val="24"/>
          <w:highlight w:val="none"/>
          <w:u w:val="single"/>
        </w:rPr>
        <w:t>月</w:t>
      </w:r>
      <w:r>
        <w:rPr>
          <w:rFonts w:hint="eastAsia" w:ascii="方正仿宋_GBK" w:hAnsi="宋体" w:eastAsia="方正仿宋_GBK"/>
          <w:color w:val="auto"/>
          <w:sz w:val="24"/>
          <w:szCs w:val="24"/>
          <w:highlight w:val="none"/>
          <w:u w:val="single"/>
          <w:lang w:val="en-US" w:eastAsia="zh-CN"/>
        </w:rPr>
        <w:t>4</w:t>
      </w:r>
      <w:r>
        <w:rPr>
          <w:rFonts w:hint="eastAsia" w:ascii="方正仿宋_GBK" w:hAnsi="宋体" w:eastAsia="方正仿宋_GBK"/>
          <w:color w:val="auto"/>
          <w:sz w:val="24"/>
          <w:szCs w:val="24"/>
          <w:highlight w:val="none"/>
          <w:u w:val="single"/>
        </w:rPr>
        <w:t>日</w:t>
      </w:r>
      <w:r>
        <w:rPr>
          <w:rFonts w:hint="eastAsia" w:ascii="方正仿宋_GBK" w:hAnsi="宋体" w:eastAsia="方正仿宋_GBK"/>
          <w:color w:val="auto"/>
          <w:sz w:val="24"/>
          <w:szCs w:val="24"/>
          <w:highlight w:val="none"/>
        </w:rPr>
        <w:t>。</w:t>
      </w:r>
    </w:p>
    <w:p w14:paraId="1014D783">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方正仿宋_GBK" w:hAnsi="宋体" w:eastAsia="方正仿宋_GBK"/>
          <w:color w:val="auto"/>
          <w:sz w:val="24"/>
          <w:szCs w:val="24"/>
          <w:highlight w:val="none"/>
        </w:rPr>
        <w:t>2.报名方式：现场报名。</w:t>
      </w:r>
    </w:p>
    <w:p w14:paraId="27B44FD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（五）</w:t>
      </w:r>
      <w:r>
        <w:rPr>
          <w:rFonts w:hint="eastAsia" w:ascii="仿宋" w:hAnsi="仿宋" w:eastAsia="仿宋" w:cs="仿宋"/>
          <w:color w:val="auto"/>
          <w:sz w:val="24"/>
          <w:szCs w:val="24"/>
          <w:highlight w:val="none"/>
        </w:rPr>
        <w:t>供应商须满足以下三种要件，其响应文件才被接受：</w:t>
      </w:r>
    </w:p>
    <w:p w14:paraId="3FB2C246">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1、按时递交了响应文件；</w:t>
      </w:r>
    </w:p>
    <w:p w14:paraId="0A123977">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2、按时报名签到；</w:t>
      </w:r>
    </w:p>
    <w:p w14:paraId="307A5DC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3、缴纳了谈判保证金。</w:t>
      </w:r>
    </w:p>
    <w:p w14:paraId="5D37D856">
      <w:pPr>
        <w:snapToGrid w:val="0"/>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六</w:t>
      </w:r>
      <w:r>
        <w:rPr>
          <w:rFonts w:hint="eastAsia" w:ascii="仿宋" w:hAnsi="仿宋" w:eastAsia="仿宋" w:cs="仿宋"/>
          <w:color w:val="auto"/>
          <w:sz w:val="24"/>
          <w:szCs w:val="24"/>
          <w:highlight w:val="none"/>
        </w:rPr>
        <w:t>）响应文件递交地点：</w:t>
      </w:r>
      <w:r>
        <w:rPr>
          <w:rFonts w:hint="eastAsia" w:ascii="仿宋" w:hAnsi="仿宋" w:eastAsia="仿宋" w:cs="仿宋"/>
          <w:color w:val="auto"/>
          <w:sz w:val="24"/>
          <w:szCs w:val="24"/>
          <w:highlight w:val="none"/>
          <w:u w:val="single"/>
        </w:rPr>
        <w:t>重庆市璧山区市场监督管理局516会议室（地址：重庆市璧山区中山南路205号）</w:t>
      </w:r>
      <w:r>
        <w:rPr>
          <w:rFonts w:hint="eastAsia" w:ascii="仿宋" w:hAnsi="仿宋" w:eastAsia="仿宋" w:cs="仿宋"/>
          <w:color w:val="auto"/>
          <w:sz w:val="24"/>
          <w:szCs w:val="24"/>
          <w:highlight w:val="none"/>
        </w:rPr>
        <w:t>。</w:t>
      </w:r>
    </w:p>
    <w:p w14:paraId="43D1E06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七</w:t>
      </w:r>
      <w:r>
        <w:rPr>
          <w:rFonts w:hint="eastAsia" w:ascii="仿宋" w:hAnsi="仿宋" w:eastAsia="仿宋" w:cs="仿宋"/>
          <w:color w:val="auto"/>
          <w:sz w:val="24"/>
          <w:szCs w:val="24"/>
          <w:highlight w:val="none"/>
        </w:rPr>
        <w:t>）报名及响应文件递交时间</w:t>
      </w:r>
      <w:r>
        <w:rPr>
          <w:rFonts w:hint="eastAsia" w:ascii="仿宋" w:hAnsi="仿宋" w:eastAsia="仿宋" w:cs="仿宋"/>
          <w:color w:val="auto"/>
          <w:sz w:val="24"/>
          <w:szCs w:val="24"/>
          <w:highlight w:val="none"/>
          <w:u w:val="none"/>
        </w:rPr>
        <w:t>：</w:t>
      </w:r>
      <w:r>
        <w:rPr>
          <w:rFonts w:hint="eastAsia" w:ascii="仿宋" w:hAnsi="仿宋" w:eastAsia="仿宋" w:cs="仿宋"/>
          <w:color w:val="auto"/>
          <w:sz w:val="24"/>
          <w:szCs w:val="24"/>
          <w:highlight w:val="none"/>
          <w:u w:val="single"/>
          <w:lang w:val="en-US" w:eastAsia="zh-CN"/>
        </w:rPr>
        <w:t>2025年8月4日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u w:val="single"/>
          <w:lang w:val="en-US" w:eastAsia="zh-CN"/>
        </w:rPr>
        <w:t>9:00</w:t>
      </w:r>
      <w:r>
        <w:rPr>
          <w:rFonts w:hint="eastAsia" w:ascii="仿宋" w:hAnsi="仿宋" w:eastAsia="仿宋" w:cs="仿宋"/>
          <w:color w:val="auto"/>
          <w:sz w:val="24"/>
          <w:szCs w:val="24"/>
          <w:highlight w:val="none"/>
        </w:rPr>
        <w:t>起至提交</w:t>
      </w:r>
      <w:r>
        <w:rPr>
          <w:rFonts w:hint="eastAsia" w:ascii="仿宋" w:hAnsi="仿宋" w:eastAsia="仿宋" w:cs="仿宋"/>
          <w:color w:val="auto"/>
          <w:sz w:val="24"/>
          <w:szCs w:val="24"/>
          <w:highlight w:val="none"/>
          <w:lang w:eastAsia="zh-CN"/>
        </w:rPr>
        <w:t>响</w:t>
      </w:r>
      <w:r>
        <w:rPr>
          <w:rFonts w:hint="eastAsia" w:ascii="仿宋" w:hAnsi="仿宋" w:eastAsia="仿宋" w:cs="仿宋"/>
          <w:color w:val="auto"/>
          <w:sz w:val="24"/>
          <w:szCs w:val="24"/>
          <w:highlight w:val="none"/>
        </w:rPr>
        <w:t xml:space="preserve">应文件截止时间止。 </w:t>
      </w:r>
    </w:p>
    <w:p w14:paraId="3F509ABD">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八</w:t>
      </w:r>
      <w:r>
        <w:rPr>
          <w:rFonts w:hint="eastAsia" w:ascii="仿宋" w:hAnsi="仿宋" w:eastAsia="仿宋" w:cs="仿宋"/>
          <w:color w:val="auto"/>
          <w:sz w:val="24"/>
          <w:szCs w:val="24"/>
          <w:highlight w:val="none"/>
        </w:rPr>
        <w:t>）提交响应文件截止时间：</w:t>
      </w:r>
      <w:r>
        <w:rPr>
          <w:rFonts w:hint="eastAsia" w:ascii="仿宋" w:hAnsi="仿宋" w:eastAsia="仿宋" w:cs="仿宋"/>
          <w:color w:val="auto"/>
          <w:sz w:val="24"/>
          <w:szCs w:val="24"/>
          <w:highlight w:val="none"/>
          <w:u w:val="single"/>
          <w:lang w:val="en-US" w:eastAsia="zh-CN"/>
        </w:rPr>
        <w:t>2025年8月4日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u w:val="single"/>
          <w:lang w:val="en-US" w:eastAsia="zh-CN"/>
        </w:rPr>
        <w:t>9:30</w:t>
      </w:r>
      <w:r>
        <w:rPr>
          <w:rFonts w:hint="eastAsia" w:ascii="仿宋" w:hAnsi="仿宋" w:eastAsia="仿宋" w:cs="仿宋"/>
          <w:color w:val="auto"/>
          <w:sz w:val="24"/>
          <w:szCs w:val="24"/>
          <w:highlight w:val="none"/>
        </w:rPr>
        <w:t>。</w:t>
      </w:r>
    </w:p>
    <w:p w14:paraId="1B1B401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九</w:t>
      </w:r>
      <w:r>
        <w:rPr>
          <w:rFonts w:hint="eastAsia" w:ascii="仿宋" w:hAnsi="仿宋" w:eastAsia="仿宋" w:cs="仿宋"/>
          <w:color w:val="auto"/>
          <w:sz w:val="24"/>
          <w:szCs w:val="24"/>
          <w:highlight w:val="none"/>
        </w:rPr>
        <w:t>）谈判开始时间：</w:t>
      </w:r>
      <w:r>
        <w:rPr>
          <w:rFonts w:hint="eastAsia" w:ascii="仿宋" w:hAnsi="仿宋" w:eastAsia="仿宋" w:cs="仿宋"/>
          <w:color w:val="auto"/>
          <w:sz w:val="24"/>
          <w:szCs w:val="24"/>
          <w:highlight w:val="none"/>
          <w:u w:val="single"/>
          <w:lang w:val="en-US" w:eastAsia="zh-CN"/>
        </w:rPr>
        <w:t>2025年8月4日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u w:val="single"/>
          <w:lang w:val="en-US" w:eastAsia="zh-CN"/>
        </w:rPr>
        <w:t>9:30</w:t>
      </w:r>
      <w:r>
        <w:rPr>
          <w:rFonts w:hint="eastAsia" w:ascii="仿宋" w:hAnsi="仿宋" w:eastAsia="仿宋" w:cs="仿宋"/>
          <w:color w:val="auto"/>
          <w:sz w:val="24"/>
          <w:szCs w:val="24"/>
          <w:highlight w:val="none"/>
          <w:lang w:eastAsia="zh-CN"/>
        </w:rPr>
        <w:t>（同</w:t>
      </w:r>
      <w:r>
        <w:rPr>
          <w:rFonts w:hint="eastAsia" w:ascii="仿宋" w:hAnsi="仿宋" w:eastAsia="仿宋" w:cs="仿宋"/>
          <w:color w:val="auto"/>
          <w:sz w:val="24"/>
          <w:szCs w:val="24"/>
          <w:highlight w:val="none"/>
        </w:rPr>
        <w:t>提交响应文件截止时间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w:t>
      </w:r>
    </w:p>
    <w:p w14:paraId="3CE399EF">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3" w:name="_Toc9809"/>
      <w:r>
        <w:rPr>
          <w:rFonts w:hint="eastAsia" w:ascii="仿宋" w:hAnsi="仿宋" w:eastAsia="仿宋" w:cs="仿宋"/>
          <w:color w:val="auto"/>
          <w:sz w:val="24"/>
          <w:szCs w:val="24"/>
          <w:highlight w:val="none"/>
        </w:rPr>
        <w:t>五、保证金</w:t>
      </w:r>
      <w:bookmarkEnd w:id="12"/>
      <w:bookmarkEnd w:id="13"/>
    </w:p>
    <w:p w14:paraId="521E8D88">
      <w:pPr>
        <w:spacing w:line="400" w:lineRule="exact"/>
        <w:rPr>
          <w:rFonts w:ascii="仿宋" w:hAnsi="仿宋" w:eastAsia="仿宋"/>
          <w:color w:val="auto"/>
          <w:sz w:val="24"/>
          <w:szCs w:val="24"/>
          <w:highlight w:val="none"/>
        </w:rPr>
      </w:pPr>
      <w:bookmarkStart w:id="14" w:name="_Toc479668114"/>
      <w:bookmarkStart w:id="15" w:name="_Toc480882256"/>
      <w:r>
        <w:rPr>
          <w:rFonts w:hint="eastAsia" w:ascii="仿宋" w:hAnsi="仿宋" w:eastAsia="仿宋"/>
          <w:color w:val="auto"/>
          <w:sz w:val="24"/>
          <w:szCs w:val="24"/>
          <w:highlight w:val="none"/>
        </w:rPr>
        <w:t>（一）投标保证金缴纳方式</w:t>
      </w:r>
    </w:p>
    <w:p w14:paraId="2C10E6EF">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s="仿宋"/>
          <w:color w:val="auto"/>
          <w:sz w:val="24"/>
          <w:szCs w:val="24"/>
          <w:highlight w:val="none"/>
        </w:rPr>
        <w:t>本项目保证金为人民币</w:t>
      </w:r>
      <w:r>
        <w:rPr>
          <w:rFonts w:hint="eastAsia" w:ascii="仿宋" w:hAnsi="仿宋" w:eastAsia="仿宋" w:cs="仿宋"/>
          <w:color w:val="auto"/>
          <w:sz w:val="24"/>
          <w:szCs w:val="24"/>
          <w:highlight w:val="none"/>
          <w:lang w:val="en-US" w:eastAsia="zh-CN"/>
        </w:rPr>
        <w:t>1500</w:t>
      </w:r>
      <w:r>
        <w:rPr>
          <w:rFonts w:hint="eastAsia" w:ascii="仿宋" w:hAnsi="仿宋" w:eastAsia="仿宋" w:cs="仿宋"/>
          <w:color w:val="auto"/>
          <w:sz w:val="24"/>
          <w:szCs w:val="24"/>
          <w:highlight w:val="none"/>
        </w:rPr>
        <w:t>（大写：</w:t>
      </w:r>
      <w:r>
        <w:rPr>
          <w:rFonts w:hint="eastAsia" w:ascii="仿宋" w:hAnsi="仿宋" w:eastAsia="仿宋" w:cs="仿宋"/>
          <w:color w:val="auto"/>
          <w:sz w:val="24"/>
          <w:szCs w:val="24"/>
          <w:highlight w:val="none"/>
          <w:lang w:val="en-US" w:eastAsia="zh-CN"/>
        </w:rPr>
        <w:t>壹仟伍佰</w:t>
      </w:r>
      <w:r>
        <w:rPr>
          <w:rFonts w:hint="eastAsia" w:ascii="仿宋" w:hAnsi="仿宋" w:eastAsia="仿宋" w:cs="仿宋"/>
          <w:color w:val="auto"/>
          <w:sz w:val="24"/>
          <w:szCs w:val="24"/>
          <w:highlight w:val="none"/>
        </w:rPr>
        <w:t>元整）</w:t>
      </w:r>
      <w:r>
        <w:rPr>
          <w:rFonts w:hint="eastAsia" w:ascii="仿宋" w:hAnsi="仿宋" w:eastAsia="仿宋"/>
          <w:color w:val="auto"/>
          <w:sz w:val="24"/>
          <w:szCs w:val="24"/>
          <w:highlight w:val="none"/>
        </w:rPr>
        <w:t>供应商以银行转账（电汇提交（需注明XX单位XX项目内容）。供应商应足额交纳保证金，并从基本帐户汇至以下账户</w:t>
      </w:r>
      <w:r>
        <w:rPr>
          <w:rFonts w:hint="eastAsia" w:ascii="仿宋" w:hAnsi="仿宋" w:eastAsia="仿宋" w:cs="仿宋"/>
          <w:b/>
          <w:bCs/>
          <w:color w:val="auto"/>
          <w:sz w:val="24"/>
          <w:szCs w:val="24"/>
          <w:highlight w:val="none"/>
          <w:lang w:val="en-US" w:eastAsia="zh-CN"/>
        </w:rPr>
        <w:t>。</w:t>
      </w:r>
      <w:r>
        <w:rPr>
          <w:rFonts w:hint="eastAsia" w:ascii="仿宋" w:hAnsi="仿宋" w:eastAsia="仿宋"/>
          <w:b/>
          <w:bCs/>
          <w:color w:val="auto"/>
          <w:sz w:val="24"/>
          <w:szCs w:val="24"/>
          <w:highlight w:val="none"/>
        </w:rPr>
        <w:t>保证金的到账截止时间同报名截止时间。</w:t>
      </w:r>
    </w:p>
    <w:tbl>
      <w:tblPr>
        <w:tblStyle w:val="17"/>
        <w:tblW w:w="4293" w:type="pct"/>
        <w:tblInd w:w="579" w:type="dxa"/>
        <w:tblLayout w:type="autofit"/>
        <w:tblCellMar>
          <w:top w:w="0" w:type="dxa"/>
          <w:left w:w="0" w:type="dxa"/>
          <w:bottom w:w="0" w:type="dxa"/>
          <w:right w:w="0" w:type="dxa"/>
        </w:tblCellMar>
      </w:tblPr>
      <w:tblGrid>
        <w:gridCol w:w="2573"/>
        <w:gridCol w:w="5614"/>
      </w:tblGrid>
      <w:tr w14:paraId="7688BDED">
        <w:tblPrEx>
          <w:tblCellMar>
            <w:top w:w="0" w:type="dxa"/>
            <w:left w:w="0" w:type="dxa"/>
            <w:bottom w:w="0" w:type="dxa"/>
            <w:right w:w="0" w:type="dxa"/>
          </w:tblCellMar>
        </w:tblPrEx>
        <w:trPr>
          <w:trHeight w:val="429" w:hRule="atLeast"/>
        </w:trPr>
        <w:tc>
          <w:tcPr>
            <w:tcW w:w="2573" w:type="dxa"/>
            <w:tcBorders>
              <w:top w:val="single" w:color="696969" w:sz="4" w:space="0"/>
              <w:left w:val="single" w:color="696969" w:sz="4" w:space="0"/>
              <w:bottom w:val="single" w:color="auto" w:sz="4" w:space="0"/>
              <w:right w:val="single" w:color="696969" w:sz="4" w:space="0"/>
            </w:tcBorders>
            <w:shd w:val="clear" w:color="auto" w:fill="FFFFFF"/>
            <w:noWrap w:val="0"/>
            <w:vAlign w:val="center"/>
          </w:tcPr>
          <w:p w14:paraId="714E0AE9">
            <w:pPr>
              <w:keepNext w:val="0"/>
              <w:keepLines w:val="0"/>
              <w:suppressLineNumbers w:val="0"/>
              <w:spacing w:before="0" w:beforeAutospacing="0" w:after="0" w:afterAutospacing="0" w:line="400" w:lineRule="exact"/>
              <w:ind w:left="0" w:right="0"/>
              <w:jc w:val="center"/>
              <w:rPr>
                <w:rFonts w:hint="default" w:ascii="仿宋" w:hAnsi="仿宋" w:eastAsia="仿宋"/>
                <w:color w:val="auto"/>
                <w:sz w:val="24"/>
                <w:szCs w:val="24"/>
                <w:highlight w:val="none"/>
              </w:rPr>
            </w:pPr>
            <w:r>
              <w:rPr>
                <w:rFonts w:hint="eastAsia" w:ascii="仿宋" w:hAnsi="仿宋" w:eastAsia="仿宋" w:cs="仿宋"/>
                <w:color w:val="auto"/>
                <w:sz w:val="24"/>
                <w:szCs w:val="24"/>
                <w:highlight w:val="none"/>
              </w:rPr>
              <w:t>开户名称</w:t>
            </w:r>
          </w:p>
        </w:tc>
        <w:tc>
          <w:tcPr>
            <w:tcW w:w="5614" w:type="dxa"/>
            <w:tcBorders>
              <w:top w:val="single" w:color="696969" w:sz="4" w:space="0"/>
              <w:left w:val="nil"/>
              <w:bottom w:val="single" w:color="696969" w:sz="4" w:space="0"/>
              <w:right w:val="single" w:color="696969" w:sz="4" w:space="0"/>
            </w:tcBorders>
            <w:shd w:val="clear" w:color="auto" w:fill="FFFFFF"/>
            <w:noWrap w:val="0"/>
            <w:vAlign w:val="center"/>
          </w:tcPr>
          <w:p w14:paraId="445C7694">
            <w:pPr>
              <w:keepNext w:val="0"/>
              <w:keepLines w:val="0"/>
              <w:suppressLineNumbers w:val="0"/>
              <w:spacing w:before="0" w:beforeAutospacing="0" w:after="0" w:afterAutospacing="0" w:line="400" w:lineRule="exact"/>
              <w:ind w:left="0" w:right="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重庆丰达建设咨询有限公司</w:t>
            </w:r>
          </w:p>
        </w:tc>
      </w:tr>
      <w:tr w14:paraId="2DDBE1F1">
        <w:tblPrEx>
          <w:tblCellMar>
            <w:top w:w="0" w:type="dxa"/>
            <w:left w:w="0" w:type="dxa"/>
            <w:bottom w:w="0" w:type="dxa"/>
            <w:right w:w="0" w:type="dxa"/>
          </w:tblCellMar>
        </w:tblPrEx>
        <w:trPr>
          <w:trHeight w:val="411" w:hRule="atLeast"/>
        </w:trPr>
        <w:tc>
          <w:tcPr>
            <w:tcW w:w="2573" w:type="dxa"/>
            <w:tcBorders>
              <w:top w:val="single" w:color="auto" w:sz="4" w:space="0"/>
              <w:left w:val="single" w:color="696969" w:sz="4" w:space="0"/>
              <w:bottom w:val="single" w:color="696969" w:sz="4" w:space="0"/>
              <w:right w:val="single" w:color="696969" w:sz="4" w:space="0"/>
            </w:tcBorders>
            <w:shd w:val="clear" w:color="auto" w:fill="FFFFFF"/>
            <w:noWrap w:val="0"/>
            <w:vAlign w:val="center"/>
          </w:tcPr>
          <w:p w14:paraId="57A4E83D">
            <w:pPr>
              <w:keepNext w:val="0"/>
              <w:keepLines w:val="0"/>
              <w:suppressLineNumbers w:val="0"/>
              <w:spacing w:before="0" w:beforeAutospacing="0" w:after="0" w:afterAutospacing="0" w:line="400" w:lineRule="exact"/>
              <w:ind w:left="0" w:right="0"/>
              <w:jc w:val="center"/>
              <w:rPr>
                <w:rFonts w:hint="default" w:ascii="仿宋" w:hAnsi="仿宋" w:eastAsia="仿宋"/>
                <w:color w:val="auto"/>
                <w:sz w:val="24"/>
                <w:szCs w:val="24"/>
                <w:highlight w:val="none"/>
              </w:rPr>
            </w:pPr>
            <w:r>
              <w:rPr>
                <w:rFonts w:hint="eastAsia" w:ascii="仿宋" w:hAnsi="仿宋" w:eastAsia="仿宋" w:cs="仿宋"/>
                <w:color w:val="auto"/>
                <w:sz w:val="24"/>
                <w:szCs w:val="24"/>
                <w:highlight w:val="none"/>
              </w:rPr>
              <w:t>开户银行</w:t>
            </w:r>
          </w:p>
        </w:tc>
        <w:tc>
          <w:tcPr>
            <w:tcW w:w="5614" w:type="dxa"/>
            <w:tcBorders>
              <w:top w:val="single" w:color="696969" w:sz="4" w:space="0"/>
              <w:left w:val="nil"/>
              <w:bottom w:val="single" w:color="696969" w:sz="4" w:space="0"/>
              <w:right w:val="single" w:color="696969" w:sz="4" w:space="0"/>
            </w:tcBorders>
            <w:shd w:val="clear" w:color="auto" w:fill="FFFFFF"/>
            <w:noWrap w:val="0"/>
            <w:vAlign w:val="center"/>
          </w:tcPr>
          <w:p w14:paraId="1BC128E5">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中国建设银行股份有限公司重庆渝北红锦支行</w:t>
            </w:r>
          </w:p>
        </w:tc>
      </w:tr>
      <w:tr w14:paraId="0E571555">
        <w:tblPrEx>
          <w:tblCellMar>
            <w:top w:w="0" w:type="dxa"/>
            <w:left w:w="0" w:type="dxa"/>
            <w:bottom w:w="0" w:type="dxa"/>
            <w:right w:w="0" w:type="dxa"/>
          </w:tblCellMar>
        </w:tblPrEx>
        <w:trPr>
          <w:trHeight w:val="378" w:hRule="atLeast"/>
        </w:trPr>
        <w:tc>
          <w:tcPr>
            <w:tcW w:w="2573" w:type="dxa"/>
            <w:tcBorders>
              <w:top w:val="single" w:color="696969" w:sz="4" w:space="0"/>
              <w:left w:val="single" w:color="696969" w:sz="4" w:space="0"/>
              <w:bottom w:val="single" w:color="696969" w:sz="4" w:space="0"/>
              <w:right w:val="single" w:color="696969" w:sz="4" w:space="0"/>
            </w:tcBorders>
            <w:shd w:val="clear" w:color="auto" w:fill="FFFFFF"/>
            <w:noWrap w:val="0"/>
            <w:vAlign w:val="center"/>
          </w:tcPr>
          <w:p w14:paraId="7CA8C357">
            <w:pPr>
              <w:keepNext w:val="0"/>
              <w:keepLines w:val="0"/>
              <w:suppressLineNumbers w:val="0"/>
              <w:spacing w:before="0" w:beforeAutospacing="0" w:after="0" w:afterAutospacing="0" w:line="400" w:lineRule="exact"/>
              <w:ind w:left="0" w:right="0"/>
              <w:jc w:val="center"/>
              <w:rPr>
                <w:rFonts w:hint="default" w:ascii="仿宋" w:hAnsi="仿宋" w:eastAsia="仿宋"/>
                <w:color w:val="auto"/>
                <w:sz w:val="24"/>
                <w:szCs w:val="24"/>
                <w:highlight w:val="none"/>
              </w:rPr>
            </w:pPr>
            <w:r>
              <w:rPr>
                <w:rFonts w:hint="eastAsia" w:ascii="仿宋" w:hAnsi="仿宋" w:eastAsia="仿宋" w:cs="仿宋"/>
                <w:color w:val="auto"/>
                <w:sz w:val="24"/>
                <w:szCs w:val="24"/>
                <w:highlight w:val="none"/>
              </w:rPr>
              <w:t>银行账号</w:t>
            </w:r>
          </w:p>
        </w:tc>
        <w:tc>
          <w:tcPr>
            <w:tcW w:w="5614" w:type="dxa"/>
            <w:tcBorders>
              <w:top w:val="single" w:color="696969" w:sz="4" w:space="0"/>
              <w:left w:val="nil"/>
              <w:bottom w:val="single" w:color="696969" w:sz="4" w:space="0"/>
              <w:right w:val="single" w:color="696969" w:sz="4" w:space="0"/>
            </w:tcBorders>
            <w:shd w:val="clear" w:color="auto" w:fill="FFFFFF"/>
            <w:noWrap w:val="0"/>
            <w:vAlign w:val="center"/>
          </w:tcPr>
          <w:p w14:paraId="54C16DDD">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50050106450009999999</w:t>
            </w:r>
          </w:p>
        </w:tc>
      </w:tr>
    </w:tbl>
    <w:p w14:paraId="220E496D">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s="Times New Roman"/>
          <w:color w:val="auto"/>
          <w:sz w:val="24"/>
          <w:szCs w:val="24"/>
          <w:highlight w:val="none"/>
        </w:rPr>
        <w:t>2.各供应商在银行转账（电汇）时，须充分考虑银行转账（电汇）的时间差风险，如同城转账、异地转账或汇款、跨行转账或电汇的时间要求</w:t>
      </w:r>
      <w:r>
        <w:rPr>
          <w:rFonts w:hint="eastAsia" w:ascii="仿宋" w:hAnsi="仿宋" w:eastAsia="仿宋"/>
          <w:color w:val="auto"/>
          <w:sz w:val="24"/>
          <w:szCs w:val="24"/>
          <w:highlight w:val="none"/>
        </w:rPr>
        <w:t>。</w:t>
      </w:r>
    </w:p>
    <w:p w14:paraId="1926A905">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lang w:val="en-US" w:eastAsia="zh-CN"/>
        </w:rPr>
        <w:t>3</w:t>
      </w:r>
      <w:r>
        <w:rPr>
          <w:rFonts w:hint="eastAsia" w:ascii="仿宋" w:hAnsi="仿宋" w:eastAsia="仿宋"/>
          <w:color w:val="auto"/>
          <w:sz w:val="24"/>
          <w:szCs w:val="24"/>
          <w:highlight w:val="none"/>
        </w:rPr>
        <w:t>.超过报名截止时间提交保证金的供应商，将视为无效报名，其造成的一切后果自负。</w:t>
      </w:r>
    </w:p>
    <w:p w14:paraId="3914B937">
      <w:pPr>
        <w:spacing w:line="400" w:lineRule="exact"/>
        <w:rPr>
          <w:rFonts w:ascii="仿宋" w:hAnsi="仿宋" w:eastAsia="仿宋"/>
          <w:color w:val="auto"/>
          <w:sz w:val="24"/>
          <w:szCs w:val="24"/>
          <w:highlight w:val="none"/>
        </w:rPr>
      </w:pPr>
      <w:r>
        <w:rPr>
          <w:rFonts w:hint="eastAsia" w:ascii="仿宋" w:hAnsi="仿宋" w:eastAsia="仿宋"/>
          <w:color w:val="auto"/>
          <w:sz w:val="24"/>
          <w:szCs w:val="24"/>
          <w:highlight w:val="none"/>
        </w:rPr>
        <w:t>（二）保证金退还方式</w:t>
      </w:r>
    </w:p>
    <w:p w14:paraId="22631CD9">
      <w:pPr>
        <w:snapToGrid w:val="0"/>
        <w:spacing w:line="400" w:lineRule="exact"/>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1.未成交的所有供应商交纳的保证金，由采购代理机构于本项目《成交通知书》发出后5个工作日内全额退还。</w:t>
      </w:r>
    </w:p>
    <w:p w14:paraId="522162F9">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olor w:val="auto"/>
          <w:sz w:val="24"/>
          <w:szCs w:val="24"/>
          <w:highlight w:val="none"/>
        </w:rPr>
        <w:t>2. 本项目成交供应商交纳的保证金，在其与采购人签订项目合同后，凭签订的项目合同原件1份递交采购代理机构，由采购代理机构在5个工作日内全额退还</w:t>
      </w:r>
      <w:r>
        <w:rPr>
          <w:rFonts w:hint="eastAsia" w:ascii="仿宋" w:hAnsi="仿宋" w:eastAsia="仿宋" w:cs="仿宋"/>
          <w:color w:val="auto"/>
          <w:sz w:val="24"/>
          <w:highlight w:val="none"/>
        </w:rPr>
        <w:t>。</w:t>
      </w:r>
    </w:p>
    <w:p w14:paraId="7AB362B1">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6" w:name="_Toc27310"/>
      <w:r>
        <w:rPr>
          <w:rFonts w:hint="eastAsia" w:ascii="仿宋" w:hAnsi="仿宋" w:eastAsia="仿宋" w:cs="仿宋"/>
          <w:color w:val="auto"/>
          <w:sz w:val="24"/>
          <w:szCs w:val="24"/>
          <w:highlight w:val="none"/>
        </w:rPr>
        <w:t>六、采购项目需落实的政府采购政策</w:t>
      </w:r>
      <w:bookmarkEnd w:id="14"/>
      <w:bookmarkEnd w:id="15"/>
      <w:bookmarkEnd w:id="16"/>
    </w:p>
    <w:p w14:paraId="6DDFB8A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按照《财政部生态环境部关于印发环境标志产品政府采购品目清单的通知》（财库〔2019〕18号）和《财政部发展改革委关于印发节能产品政府采购品目清单的通知》（财库〔2019〕19号）的规定，落实国家节能环保政策。</w:t>
      </w:r>
    </w:p>
    <w:p w14:paraId="11784F6C">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（二）按照财政部、工业和信息化部关于印发《政府采购促进中小企业发展管理办法》的通知（财库〔2020〕46号）的规定，落实促进中小企业发展政策。</w:t>
      </w:r>
    </w:p>
    <w:p w14:paraId="03D26B44">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（三）按照《财政部、司法部关于政府采购支持监狱企业发展有关问题的通知》（财库〔2014〕68号）的规定，落实支持监狱企业发展政策。</w:t>
      </w:r>
    </w:p>
    <w:p w14:paraId="659742C7">
      <w:pPr>
        <w:pageBreakBefore w:val="0"/>
        <w:kinsoku/>
        <w:wordWrap/>
        <w:overflowPunct/>
        <w:topLinePunct w:val="0"/>
        <w:autoSpaceDE/>
        <w:autoSpaceDN/>
        <w:bidi w:val="0"/>
        <w:adjustRightInd/>
        <w:snapToGrid w:val="0"/>
        <w:spacing w:line="400" w:lineRule="exact"/>
        <w:ind w:firstLine="360" w:firstLineChars="15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（四）按照《三部门联合发布关于促进残疾人就业政府采购政策的通知》（财库〔2017〕 141号）的规定，落实支持残疾人福利性单位发展政策。</w:t>
      </w:r>
    </w:p>
    <w:p w14:paraId="14E51FE1">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7" w:name="_Toc2477"/>
      <w:r>
        <w:rPr>
          <w:rFonts w:hint="eastAsia" w:ascii="仿宋" w:hAnsi="仿宋" w:eastAsia="仿宋" w:cs="仿宋"/>
          <w:color w:val="auto"/>
          <w:sz w:val="24"/>
          <w:szCs w:val="24"/>
          <w:highlight w:val="none"/>
        </w:rPr>
        <w:t>七、</w:t>
      </w:r>
      <w:bookmarkEnd w:id="4"/>
      <w:r>
        <w:rPr>
          <w:rFonts w:hint="eastAsia" w:ascii="仿宋" w:hAnsi="仿宋" w:eastAsia="仿宋" w:cs="仿宋"/>
          <w:color w:val="auto"/>
          <w:sz w:val="24"/>
          <w:szCs w:val="24"/>
          <w:highlight w:val="none"/>
        </w:rPr>
        <w:t>其它有关规定</w:t>
      </w:r>
      <w:bookmarkEnd w:id="17"/>
    </w:p>
    <w:p w14:paraId="232A8158">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（一）单位负责人为同一人或者存在直接控股、管理关系的不同供应商，不得参加同一合同项（包）下的政府采购活动，否则均为无效谈判。</w:t>
      </w:r>
    </w:p>
    <w:p w14:paraId="66F8EF6C">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（二）为采购项目提供整体设计、规范编制或者项目管理、监理、检测等服务的供应商，不得再参加该采购项目的其他采购活动。</w:t>
      </w:r>
    </w:p>
    <w:p w14:paraId="016D4E86">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（三）本项目的澄清文件（如果有）一律在行采家（https://www.gec123.com/）上发布，请各供应商注意下载；无论供应商下载与否，均视同供应商已知晓本项目澄清文件（如果有）的内容。</w:t>
      </w:r>
    </w:p>
    <w:p w14:paraId="4674C0B2">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（四）超过响应文件截止时间递交的响应文件，恕不接收。</w:t>
      </w:r>
    </w:p>
    <w:p w14:paraId="76F96D03">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（五）谈判费用：无论谈判结果如何，供应商参与本项目谈判的所有费用均应由供应商自行承担。</w:t>
      </w:r>
    </w:p>
    <w:p w14:paraId="4BAC1D21">
      <w:pPr>
        <w:pStyle w:val="11"/>
        <w:spacing w:line="400" w:lineRule="exact"/>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（六）本项目不接受联合体参与谈判。</w:t>
      </w:r>
    </w:p>
    <w:p w14:paraId="19E96B7A">
      <w:pPr>
        <w:pStyle w:val="11"/>
        <w:spacing w:line="400" w:lineRule="exact"/>
        <w:ind w:firstLine="482" w:firstLineChars="200"/>
        <w:rPr>
          <w:rFonts w:hint="eastAsia"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（七）本项目不接受合同分包。</w:t>
      </w:r>
    </w:p>
    <w:p w14:paraId="0ACB65B7">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八）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r>
        <w:rPr>
          <w:rFonts w:hint="eastAsia" w:ascii="仿宋" w:hAnsi="仿宋" w:eastAsia="仿宋" w:cs="仿宋"/>
          <w:color w:val="auto"/>
          <w:sz w:val="24"/>
          <w:szCs w:val="24"/>
          <w:highlight w:val="none"/>
        </w:rPr>
        <w:t>。</w:t>
      </w:r>
    </w:p>
    <w:p w14:paraId="28173A1B">
      <w:pPr>
        <w:pStyle w:val="3"/>
        <w:pageBreakBefore w:val="0"/>
        <w:kinsoku/>
        <w:wordWrap/>
        <w:overflowPunct/>
        <w:topLinePunct w:val="0"/>
        <w:autoSpaceDE/>
        <w:autoSpaceDN/>
        <w:bidi w:val="0"/>
        <w:adjustRightInd/>
        <w:spacing w:before="0" w:after="0" w:line="400" w:lineRule="exact"/>
        <w:textAlignment w:val="auto"/>
        <w:rPr>
          <w:rFonts w:hint="eastAsia" w:ascii="仿宋" w:hAnsi="仿宋" w:eastAsia="仿宋" w:cs="仿宋"/>
          <w:color w:val="auto"/>
          <w:sz w:val="24"/>
          <w:szCs w:val="24"/>
          <w:highlight w:val="none"/>
        </w:rPr>
      </w:pPr>
      <w:bookmarkStart w:id="18" w:name="_Toc1118"/>
      <w:r>
        <w:rPr>
          <w:rFonts w:hint="eastAsia" w:ascii="仿宋" w:hAnsi="仿宋" w:eastAsia="仿宋" w:cs="仿宋"/>
          <w:color w:val="auto"/>
          <w:sz w:val="24"/>
          <w:szCs w:val="24"/>
          <w:highlight w:val="none"/>
        </w:rPr>
        <w:t>八、联系方式</w:t>
      </w:r>
      <w:bookmarkEnd w:id="18"/>
    </w:p>
    <w:p w14:paraId="0CFA6CC0">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（一）采购人：</w:t>
      </w:r>
      <w:r>
        <w:rPr>
          <w:rFonts w:hint="eastAsia" w:ascii="仿宋" w:hAnsi="仿宋" w:eastAsia="仿宋" w:cs="仿宋"/>
          <w:color w:val="auto"/>
          <w:sz w:val="24"/>
          <w:szCs w:val="24"/>
          <w:highlight w:val="none"/>
          <w:lang w:eastAsia="zh-CN"/>
        </w:rPr>
        <w:t>重庆市璧山区市场监督管理局</w:t>
      </w:r>
    </w:p>
    <w:p w14:paraId="4B2E8DA9">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val="en-US" w:eastAsia="zh-CN"/>
        </w:rPr>
        <w:t>陈老师</w:t>
      </w:r>
    </w:p>
    <w:p w14:paraId="2DE03D0A">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rPr>
        <w:t>电  话：18623365167</w:t>
      </w:r>
    </w:p>
    <w:p w14:paraId="07C848D3">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地  址：</w:t>
      </w:r>
      <w:r>
        <w:rPr>
          <w:rFonts w:hint="eastAsia" w:ascii="仿宋" w:hAnsi="仿宋" w:eastAsia="仿宋" w:cs="仿宋"/>
          <w:color w:val="auto"/>
          <w:sz w:val="24"/>
          <w:szCs w:val="24"/>
          <w:highlight w:val="none"/>
          <w:lang w:eastAsia="zh-CN"/>
        </w:rPr>
        <w:t>重庆市璧山区中山南路205号</w:t>
      </w:r>
      <w:r>
        <w:rPr>
          <w:rFonts w:hint="eastAsia" w:ascii="仿宋" w:hAnsi="仿宋" w:eastAsia="仿宋" w:cs="仿宋"/>
          <w:color w:val="auto"/>
          <w:sz w:val="24"/>
          <w:szCs w:val="24"/>
          <w:highlight w:val="none"/>
          <w:lang w:val="en-US" w:eastAsia="zh-CN"/>
        </w:rPr>
        <w:t xml:space="preserve"> </w:t>
      </w:r>
    </w:p>
    <w:p w14:paraId="2DA59BDE">
      <w:pPr>
        <w:pageBreakBefore w:val="0"/>
        <w:numPr>
          <w:ilvl w:val="0"/>
          <w:numId w:val="1"/>
        </w:numPr>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采购代理机构：</w:t>
      </w:r>
      <w:r>
        <w:rPr>
          <w:rFonts w:hint="eastAsia" w:ascii="仿宋" w:hAnsi="仿宋" w:eastAsia="仿宋" w:cs="仿宋"/>
          <w:color w:val="auto"/>
          <w:sz w:val="24"/>
          <w:szCs w:val="24"/>
          <w:highlight w:val="none"/>
          <w:u w:val="none"/>
          <w:lang w:val="en-US" w:eastAsia="zh-CN"/>
        </w:rPr>
        <w:t>重庆丰达建设咨询有限公司</w:t>
      </w:r>
    </w:p>
    <w:p w14:paraId="6BABF2D5">
      <w:pPr>
        <w:pageBreakBefore w:val="0"/>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联系人：</w:t>
      </w:r>
      <w:r>
        <w:rPr>
          <w:rFonts w:hint="eastAsia" w:ascii="仿宋" w:hAnsi="仿宋" w:eastAsia="仿宋" w:cs="仿宋"/>
          <w:color w:val="auto"/>
          <w:sz w:val="24"/>
          <w:szCs w:val="24"/>
          <w:highlight w:val="none"/>
          <w:lang w:eastAsia="zh-CN"/>
        </w:rPr>
        <w:t>任老师</w:t>
      </w:r>
    </w:p>
    <w:p w14:paraId="2855D2A8">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lang w:val="en-US" w:eastAsia="zh-CN"/>
        </w:rPr>
        <w:t>15023255984</w:t>
      </w:r>
    </w:p>
    <w:p w14:paraId="1B39ECF5">
      <w:pPr>
        <w:pageBreakBefore w:val="0"/>
        <w:kinsoku/>
        <w:wordWrap/>
        <w:overflowPunct/>
        <w:topLinePunct w:val="0"/>
        <w:autoSpaceDE/>
        <w:autoSpaceDN/>
        <w:bidi w:val="0"/>
        <w:adjustRightInd/>
        <w:snapToGrid w:val="0"/>
        <w:spacing w:line="400" w:lineRule="exact"/>
        <w:ind w:firstLine="480" w:firstLineChars="200"/>
        <w:textAlignment w:val="auto"/>
        <w:rPr>
          <w:rFonts w:hint="default" w:ascii="仿宋" w:hAnsi="仿宋" w:eastAsia="仿宋" w:cs="仿宋"/>
          <w:color w:val="auto"/>
          <w:sz w:val="24"/>
          <w:szCs w:val="24"/>
          <w:highlight w:val="none"/>
          <w:lang w:val="en-US" w:eastAsia="zh-CN"/>
        </w:rPr>
        <w:sectPr>
          <w:footerReference r:id="rId5" w:type="default"/>
          <w:pgSz w:w="11907" w:h="16840"/>
          <w:pgMar w:top="1134" w:right="1191" w:bottom="1134" w:left="1191" w:header="964" w:footer="992" w:gutter="0"/>
          <w:cols w:space="720" w:num="1"/>
          <w:docGrid w:linePitch="312" w:charSpace="0"/>
        </w:sectPr>
      </w:pPr>
      <w:r>
        <w:rPr>
          <w:rFonts w:hint="eastAsia" w:ascii="仿宋" w:hAnsi="仿宋" w:eastAsia="仿宋" w:cs="仿宋"/>
          <w:color w:val="auto"/>
          <w:sz w:val="24"/>
          <w:szCs w:val="24"/>
          <w:highlight w:val="none"/>
          <w:lang w:val="en-US" w:eastAsia="zh-CN"/>
        </w:rPr>
        <w:t>地  址：重庆市渝北区龙溪街道新溉大道101号中渝香奈公馆7幢24-办公2</w:t>
      </w:r>
    </w:p>
    <w:p w14:paraId="49D23794">
      <w:pPr>
        <w:pStyle w:val="9"/>
        <w:rPr>
          <w:color w:val="auto"/>
          <w:highlight w:val="none"/>
        </w:rPr>
      </w:pPr>
    </w:p>
    <w:p w14:paraId="4BB3592C">
      <w:pPr>
        <w:pStyle w:val="2"/>
        <w:spacing w:before="0" w:after="0" w:line="360" w:lineRule="auto"/>
        <w:jc w:val="center"/>
        <w:rPr>
          <w:rFonts w:hint="eastAsia" w:ascii="仿宋" w:hAnsi="仿宋" w:eastAsia="仿宋" w:cs="仿宋"/>
          <w:b w:val="0"/>
          <w:color w:val="auto"/>
          <w:sz w:val="30"/>
          <w:szCs w:val="30"/>
          <w:highlight w:val="none"/>
        </w:rPr>
      </w:pPr>
      <w:bookmarkStart w:id="19" w:name="_Toc31090"/>
      <w:bookmarkStart w:id="20" w:name="OLE_LINK5"/>
      <w:r>
        <w:rPr>
          <w:rFonts w:hint="eastAsia" w:ascii="仿宋" w:hAnsi="仿宋" w:eastAsia="仿宋" w:cs="仿宋"/>
          <w:b w:val="0"/>
          <w:color w:val="auto"/>
          <w:sz w:val="36"/>
          <w:szCs w:val="30"/>
          <w:highlight w:val="none"/>
        </w:rPr>
        <w:t>第二篇  谈判项目技术需求</w:t>
      </w:r>
      <w:bookmarkEnd w:id="19"/>
    </w:p>
    <w:p w14:paraId="3DB82630">
      <w:pPr>
        <w:pStyle w:val="3"/>
        <w:spacing w:before="0" w:after="0" w:line="380" w:lineRule="exact"/>
        <w:rPr>
          <w:rFonts w:hint="eastAsia" w:ascii="仿宋" w:hAnsi="仿宋" w:eastAsia="仿宋" w:cs="仿宋"/>
          <w:color w:val="auto"/>
          <w:sz w:val="24"/>
          <w:szCs w:val="24"/>
          <w:highlight w:val="none"/>
        </w:rPr>
      </w:pPr>
      <w:bookmarkStart w:id="21" w:name="_Toc403569787"/>
      <w:bookmarkStart w:id="22" w:name="_Toc26159"/>
      <w:bookmarkStart w:id="23" w:name="_Toc12789058"/>
      <w:r>
        <w:rPr>
          <w:rFonts w:hint="eastAsia" w:ascii="仿宋" w:hAnsi="仿宋" w:eastAsia="仿宋" w:cs="仿宋"/>
          <w:color w:val="auto"/>
          <w:sz w:val="24"/>
          <w:szCs w:val="24"/>
          <w:highlight w:val="none"/>
        </w:rPr>
        <w:t>一、</w:t>
      </w:r>
      <w:bookmarkEnd w:id="21"/>
      <w:r>
        <w:rPr>
          <w:rFonts w:hint="eastAsia" w:ascii="仿宋" w:hAnsi="仿宋" w:eastAsia="仿宋" w:cs="仿宋"/>
          <w:color w:val="auto"/>
          <w:sz w:val="24"/>
          <w:szCs w:val="24"/>
          <w:highlight w:val="none"/>
        </w:rPr>
        <w:t>项目需求一览表</w:t>
      </w:r>
      <w:bookmarkEnd w:id="22"/>
    </w:p>
    <w:tbl>
      <w:tblPr>
        <w:tblStyle w:val="17"/>
        <w:tblW w:w="49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9"/>
        <w:gridCol w:w="5083"/>
        <w:gridCol w:w="2034"/>
        <w:gridCol w:w="1560"/>
      </w:tblGrid>
      <w:tr w14:paraId="2E8F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488" w:type="pct"/>
            <w:tcBorders>
              <w:top w:val="single" w:color="auto" w:sz="4" w:space="0"/>
              <w:left w:val="single" w:color="auto" w:sz="4" w:space="0"/>
              <w:right w:val="single" w:color="auto" w:sz="4" w:space="0"/>
            </w:tcBorders>
            <w:vAlign w:val="center"/>
          </w:tcPr>
          <w:p w14:paraId="0AABA712">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序号</w:t>
            </w:r>
          </w:p>
        </w:tc>
        <w:tc>
          <w:tcPr>
            <w:tcW w:w="2642" w:type="pct"/>
            <w:tcBorders>
              <w:top w:val="single" w:color="auto" w:sz="4" w:space="0"/>
              <w:left w:val="single" w:color="auto" w:sz="4" w:space="0"/>
              <w:right w:val="single" w:color="auto" w:sz="4" w:space="0"/>
            </w:tcBorders>
            <w:vAlign w:val="center"/>
          </w:tcPr>
          <w:p w14:paraId="3F8D3D65">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项目名称</w:t>
            </w:r>
          </w:p>
        </w:tc>
        <w:tc>
          <w:tcPr>
            <w:tcW w:w="1057" w:type="pct"/>
            <w:tcBorders>
              <w:top w:val="single" w:color="auto" w:sz="4" w:space="0"/>
              <w:left w:val="single" w:color="auto" w:sz="4" w:space="0"/>
              <w:right w:val="single" w:color="auto" w:sz="4" w:space="0"/>
            </w:tcBorders>
            <w:vAlign w:val="center"/>
          </w:tcPr>
          <w:p w14:paraId="789F4518">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最高限价</w:t>
            </w:r>
          </w:p>
          <w:p w14:paraId="2A401A1C">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szCs w:val="24"/>
                <w:highlight w:val="none"/>
              </w:rPr>
              <w:t>（元）</w:t>
            </w:r>
          </w:p>
        </w:tc>
        <w:tc>
          <w:tcPr>
            <w:tcW w:w="811" w:type="pct"/>
            <w:tcBorders>
              <w:top w:val="single" w:color="auto" w:sz="4" w:space="0"/>
              <w:left w:val="single" w:color="auto" w:sz="4" w:space="0"/>
              <w:right w:val="single" w:color="auto" w:sz="4" w:space="0"/>
            </w:tcBorders>
            <w:vAlign w:val="center"/>
          </w:tcPr>
          <w:p w14:paraId="403A6208">
            <w:pPr>
              <w:keepNext w:val="0"/>
              <w:keepLines w:val="0"/>
              <w:pageBreakBefore w:val="0"/>
              <w:widowControl/>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tc>
      </w:tr>
      <w:tr w14:paraId="79DF1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88" w:type="pct"/>
            <w:tcBorders>
              <w:top w:val="single" w:color="auto" w:sz="4" w:space="0"/>
              <w:left w:val="single" w:color="auto" w:sz="4" w:space="0"/>
              <w:bottom w:val="single" w:color="auto" w:sz="4" w:space="0"/>
              <w:right w:val="single" w:color="auto" w:sz="4" w:space="0"/>
            </w:tcBorders>
            <w:vAlign w:val="center"/>
          </w:tcPr>
          <w:p w14:paraId="70E3662A">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2642" w:type="pct"/>
            <w:tcBorders>
              <w:top w:val="single" w:color="auto" w:sz="4" w:space="0"/>
              <w:left w:val="single" w:color="auto" w:sz="4" w:space="0"/>
              <w:bottom w:val="single" w:color="auto" w:sz="4" w:space="0"/>
              <w:right w:val="single" w:color="auto" w:sz="4" w:space="0"/>
            </w:tcBorders>
            <w:vAlign w:val="center"/>
          </w:tcPr>
          <w:p w14:paraId="76E8BB22">
            <w:pPr>
              <w:keepNext w:val="0"/>
              <w:keepLines w:val="0"/>
              <w:suppressLineNumbers w:val="0"/>
              <w:spacing w:before="0" w:beforeAutospacing="0" w:after="0" w:afterAutospacing="0" w:line="400" w:lineRule="exact"/>
              <w:ind w:left="0" w:right="0"/>
              <w:jc w:val="center"/>
              <w:rPr>
                <w:rFonts w:hint="default" w:ascii="仿宋" w:hAnsi="仿宋" w:eastAsia="仿宋" w:cs="仿宋"/>
                <w:color w:val="auto"/>
                <w:sz w:val="24"/>
                <w:szCs w:val="24"/>
                <w:highlight w:val="none"/>
                <w:lang w:val="en-US" w:eastAsia="zh-CN"/>
              </w:rPr>
            </w:pPr>
            <w:r>
              <w:rPr>
                <w:rFonts w:hint="eastAsia" w:ascii="方正仿宋_GBK" w:hAnsi="方正仿宋_GBK" w:eastAsia="方正仿宋_GBK" w:cs="方正仿宋_GBK"/>
                <w:b w:val="0"/>
                <w:bCs w:val="0"/>
                <w:color w:val="auto"/>
                <w:sz w:val="24"/>
                <w:szCs w:val="20"/>
                <w:highlight w:val="none"/>
                <w:lang w:val="en-US" w:eastAsia="zh-CN"/>
              </w:rPr>
              <w:t>璧山区局青杠所部分外墙维修改造项目（第三次）</w:t>
            </w:r>
          </w:p>
        </w:tc>
        <w:tc>
          <w:tcPr>
            <w:tcW w:w="1057" w:type="pct"/>
            <w:tcBorders>
              <w:top w:val="single" w:color="auto" w:sz="4" w:space="0"/>
              <w:left w:val="single" w:color="auto" w:sz="4" w:space="0"/>
              <w:bottom w:val="single" w:color="auto" w:sz="4" w:space="0"/>
              <w:right w:val="single" w:color="auto" w:sz="4" w:space="0"/>
            </w:tcBorders>
            <w:vAlign w:val="center"/>
          </w:tcPr>
          <w:p w14:paraId="22BD9E6E">
            <w:pPr>
              <w:keepNext w:val="0"/>
              <w:keepLines w:val="0"/>
              <w:suppressLineNumbers w:val="0"/>
              <w:spacing w:before="0" w:beforeAutospacing="0" w:after="0" w:afterAutospacing="0" w:line="400" w:lineRule="exact"/>
              <w:ind w:left="0" w:right="0" w:firstLine="240" w:firstLineChars="100"/>
              <w:jc w:val="center"/>
              <w:rPr>
                <w:rFonts w:hint="default" w:ascii="仿宋" w:hAnsi="仿宋" w:eastAsia="仿宋" w:cs="仿宋"/>
                <w:color w:val="auto"/>
                <w:sz w:val="24"/>
                <w:szCs w:val="24"/>
                <w:highlight w:val="none"/>
                <w:lang w:val="en-US" w:eastAsia="zh-CN"/>
              </w:rPr>
            </w:pPr>
            <w:r>
              <w:rPr>
                <w:rFonts w:hint="eastAsia" w:eastAsia="方正仿宋_GBK"/>
                <w:color w:val="auto"/>
                <w:sz w:val="24"/>
                <w:szCs w:val="20"/>
                <w:highlight w:val="none"/>
                <w:lang w:val="en-US" w:eastAsia="zh-CN"/>
              </w:rPr>
              <w:t>89980.46</w:t>
            </w:r>
          </w:p>
        </w:tc>
        <w:tc>
          <w:tcPr>
            <w:tcW w:w="811" w:type="pct"/>
            <w:tcBorders>
              <w:top w:val="single" w:color="auto" w:sz="4" w:space="0"/>
              <w:left w:val="single" w:color="auto" w:sz="4" w:space="0"/>
              <w:bottom w:val="single" w:color="auto" w:sz="4" w:space="0"/>
              <w:right w:val="single" w:color="auto" w:sz="4" w:space="0"/>
            </w:tcBorders>
            <w:vAlign w:val="center"/>
          </w:tcPr>
          <w:p w14:paraId="5ED2A4F6">
            <w:pPr>
              <w:keepNext w:val="0"/>
              <w:keepLines w:val="0"/>
              <w:pageBreakBefore w:val="0"/>
              <w:suppressLineNumbers w:val="0"/>
              <w:kinsoku/>
              <w:wordWrap/>
              <w:overflowPunct/>
              <w:topLinePunct w:val="0"/>
              <w:autoSpaceDE/>
              <w:autoSpaceDN/>
              <w:bidi w:val="0"/>
              <w:adjustRightInd/>
              <w:spacing w:before="0" w:beforeAutospacing="0" w:after="0" w:afterAutospacing="0" w:line="400" w:lineRule="exact"/>
              <w:ind w:left="0" w:right="0"/>
              <w:jc w:val="center"/>
              <w:textAlignment w:val="auto"/>
              <w:rPr>
                <w:rFonts w:hint="eastAsia" w:ascii="仿宋" w:hAnsi="仿宋" w:eastAsia="仿宋" w:cs="仿宋"/>
                <w:color w:val="auto"/>
                <w:sz w:val="24"/>
                <w:szCs w:val="24"/>
                <w:highlight w:val="none"/>
                <w:lang w:val="en-US" w:eastAsia="zh-CN"/>
              </w:rPr>
            </w:pPr>
          </w:p>
        </w:tc>
      </w:tr>
    </w:tbl>
    <w:p w14:paraId="3A53F388">
      <w:pPr>
        <w:pStyle w:val="3"/>
        <w:spacing w:before="0" w:after="0" w:line="380" w:lineRule="exact"/>
        <w:rPr>
          <w:rFonts w:hint="default" w:ascii="仿宋" w:hAnsi="仿宋" w:eastAsia="仿宋" w:cs="仿宋"/>
          <w:color w:val="auto"/>
          <w:sz w:val="24"/>
          <w:szCs w:val="24"/>
          <w:highlight w:val="none"/>
          <w:lang w:val="en-US" w:eastAsia="zh-CN"/>
        </w:rPr>
      </w:pPr>
      <w:bookmarkStart w:id="24" w:name="_Toc23659"/>
      <w:bookmarkStart w:id="25" w:name="_Toc2495"/>
      <w:r>
        <w:rPr>
          <w:rFonts w:hint="eastAsia" w:ascii="仿宋" w:hAnsi="仿宋" w:eastAsia="仿宋" w:cs="仿宋"/>
          <w:color w:val="auto"/>
          <w:sz w:val="24"/>
          <w:szCs w:val="24"/>
          <w:highlight w:val="none"/>
        </w:rPr>
        <w:t>二、</w:t>
      </w:r>
      <w:bookmarkEnd w:id="24"/>
      <w:r>
        <w:rPr>
          <w:rFonts w:hint="eastAsia" w:ascii="仿宋" w:hAnsi="仿宋" w:eastAsia="仿宋" w:cs="仿宋"/>
          <w:color w:val="auto"/>
          <w:sz w:val="24"/>
          <w:szCs w:val="24"/>
          <w:highlight w:val="none"/>
          <w:lang w:val="en-US" w:eastAsia="zh-CN"/>
        </w:rPr>
        <w:t>技术、服务要求</w:t>
      </w:r>
      <w:bookmarkEnd w:id="25"/>
    </w:p>
    <w:p w14:paraId="4B2185C0">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bookmarkStart w:id="26" w:name="_Toc909"/>
      <w:r>
        <w:rPr>
          <w:rFonts w:hint="eastAsia" w:ascii="仿宋" w:hAnsi="仿宋" w:eastAsia="仿宋" w:cs="仿宋"/>
          <w:b w:val="0"/>
          <w:bCs w:val="0"/>
          <w:color w:val="auto"/>
          <w:sz w:val="24"/>
          <w:szCs w:val="24"/>
          <w:highlight w:val="none"/>
          <w:lang w:val="en-US" w:eastAsia="zh-CN"/>
        </w:rPr>
        <w:t>1、《工程量清单》，详见附件。</w:t>
      </w:r>
    </w:p>
    <w:p w14:paraId="7A39A204">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2、技术质量要求：符合谈判文件及工程量清单所载明的技术质量标准，符合工程建设强制性质量标准，符合国家和重庆市现行有关施工质量验收规范要求，并达到合格标准。</w:t>
      </w:r>
    </w:p>
    <w:p w14:paraId="424F345B">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成交供应商须严格按谈判文件要求、工程量清单内容严格施工，在实施过程中发现已发布的工程量清单有漏项导致局部实施内容需要调整，须先征得采购人书面同意后方可实施，但采购人不再额外支付任何费用。</w:t>
      </w:r>
    </w:p>
    <w:p w14:paraId="2AE5DB9D">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4、供应商负责购买、运输本项目所需材料。</w:t>
      </w:r>
    </w:p>
    <w:p w14:paraId="3E782389">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5、供应商负责完成相关区域的维修、改造工作。</w:t>
      </w:r>
    </w:p>
    <w:p w14:paraId="6EBA785A">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6、供应商负责改造结束后的除渣、清扫工作。</w:t>
      </w:r>
    </w:p>
    <w:p w14:paraId="1BBE963F">
      <w:pPr>
        <w:pStyle w:val="3"/>
        <w:pageBreakBefore w:val="0"/>
        <w:widowControl w:val="0"/>
        <w:kinsoku/>
        <w:wordWrap/>
        <w:overflowPunct/>
        <w:topLinePunct w:val="0"/>
        <w:autoSpaceDE/>
        <w:autoSpaceDN/>
        <w:bidi w:val="0"/>
        <w:adjustRightInd/>
        <w:snapToGrid/>
        <w:spacing w:before="0" w:after="0" w:line="336" w:lineRule="auto"/>
        <w:textAlignment w:val="auto"/>
        <w:outlineLvl w:val="2"/>
        <w:rPr>
          <w:rFonts w:hint="eastAsia" w:ascii="仿宋" w:hAnsi="仿宋" w:eastAsia="仿宋" w:cs="仿宋"/>
          <w:color w:val="auto"/>
          <w:sz w:val="24"/>
          <w:szCs w:val="24"/>
          <w:highlight w:val="none"/>
          <w:lang w:eastAsia="zh-CN"/>
        </w:rPr>
      </w:pPr>
      <w:bookmarkStart w:id="27" w:name="_Toc14499"/>
      <w:r>
        <w:rPr>
          <w:rFonts w:hint="eastAsia" w:ascii="仿宋" w:hAnsi="仿宋" w:eastAsia="仿宋" w:cs="仿宋"/>
          <w:color w:val="auto"/>
          <w:sz w:val="24"/>
          <w:szCs w:val="24"/>
          <w:highlight w:val="none"/>
          <w:lang w:val="en-US" w:eastAsia="zh-CN"/>
        </w:rPr>
        <w:t>三、</w:t>
      </w:r>
      <w:bookmarkEnd w:id="26"/>
      <w:r>
        <w:rPr>
          <w:rFonts w:hint="eastAsia" w:ascii="仿宋" w:hAnsi="仿宋" w:eastAsia="仿宋" w:cs="仿宋"/>
          <w:color w:val="auto"/>
          <w:sz w:val="24"/>
          <w:szCs w:val="24"/>
          <w:highlight w:val="none"/>
          <w:lang w:eastAsia="zh-CN"/>
        </w:rPr>
        <w:t>人员要求</w:t>
      </w:r>
      <w:bookmarkEnd w:id="27"/>
    </w:p>
    <w:p w14:paraId="27EACC02">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拟派项目经理：供应商拟派的项目经理必须已在供应商本单位注册并应具有建筑工程类专业贰级及以上注册建造师执业资格。须在响应文件中提供有效的拟派项目经理建造师注册证、身份证、拟派项目经理无在建和未被禁止参与投标的承诺（格式自理）。</w:t>
      </w:r>
    </w:p>
    <w:p w14:paraId="39C5B5AD">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主要管理人员：供应商自行承诺成交后在签订合同之前，须按照建设行政主管部门的要求组建施工项目部，配置项目管理班子，出具任命文件。任命文件应当明确施工项目部的职责、岗位设置、人员配备，相关岗位管理人员应持有建设行政主管部门要求的岗位证书，并书面递交采购人。成交后不能满足该要求的，采购人可取消其成交资格，给采购人造成损失的，供应商依法承担违约赔偿责任。</w:t>
      </w:r>
    </w:p>
    <w:p w14:paraId="01A7F76C">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注：（1）提供拟派的项目经理为一级建造师或二级建造师注册人员的，必须提供建造师电子注册证书。</w:t>
      </w:r>
    </w:p>
    <w:p w14:paraId="3F094AC5">
      <w:pPr>
        <w:pageBreakBefore w:val="0"/>
        <w:widowControl w:val="0"/>
        <w:numPr>
          <w:ilvl w:val="0"/>
          <w:numId w:val="0"/>
        </w:numPr>
        <w:kinsoku/>
        <w:wordWrap/>
        <w:overflowPunct/>
        <w:topLinePunct w:val="0"/>
        <w:autoSpaceDE/>
        <w:autoSpaceDN/>
        <w:bidi w:val="0"/>
        <w:adjustRightInd/>
        <w:snapToGrid/>
        <w:spacing w:line="336"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（2）重庆市以外的省级住房城乡建设主管部门对二级建造师电子注册证书使用有明确规定的，从其规定。未规定使用电子注册证书的，可提供纸质证书扫描件。</w:t>
      </w:r>
    </w:p>
    <w:p w14:paraId="3F802B40">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highlight w:val="none"/>
        </w:rPr>
      </w:pPr>
    </w:p>
    <w:p w14:paraId="1F45F79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635FE17">
      <w:pPr>
        <w:pStyle w:val="9"/>
        <w:rPr>
          <w:rFonts w:hint="eastAsia"/>
          <w:color w:val="auto"/>
          <w:highlight w:val="none"/>
        </w:rPr>
      </w:pPr>
    </w:p>
    <w:p w14:paraId="018FFFA2">
      <w:pPr>
        <w:pStyle w:val="2"/>
        <w:spacing w:before="0" w:after="0" w:line="360" w:lineRule="auto"/>
        <w:jc w:val="center"/>
        <w:rPr>
          <w:rFonts w:hint="eastAsia" w:ascii="仿宋" w:hAnsi="仿宋" w:eastAsia="仿宋" w:cs="仿宋"/>
          <w:b w:val="0"/>
          <w:color w:val="auto"/>
          <w:sz w:val="36"/>
          <w:szCs w:val="30"/>
          <w:highlight w:val="none"/>
        </w:rPr>
      </w:pPr>
      <w:bookmarkStart w:id="28" w:name="_Toc6761"/>
      <w:r>
        <w:rPr>
          <w:rFonts w:hint="eastAsia" w:ascii="仿宋" w:hAnsi="仿宋" w:eastAsia="仿宋" w:cs="仿宋"/>
          <w:b w:val="0"/>
          <w:color w:val="auto"/>
          <w:sz w:val="36"/>
          <w:szCs w:val="30"/>
          <w:highlight w:val="none"/>
        </w:rPr>
        <w:t>第三篇  谈判项目</w:t>
      </w:r>
      <w:r>
        <w:rPr>
          <w:rFonts w:hint="eastAsia" w:ascii="仿宋" w:hAnsi="仿宋" w:eastAsia="仿宋" w:cs="仿宋"/>
          <w:b w:val="0"/>
          <w:color w:val="auto"/>
          <w:sz w:val="36"/>
          <w:szCs w:val="30"/>
          <w:highlight w:val="none"/>
          <w:lang w:val="en-US" w:eastAsia="zh-CN"/>
        </w:rPr>
        <w:t>商务</w:t>
      </w:r>
      <w:r>
        <w:rPr>
          <w:rFonts w:hint="eastAsia" w:ascii="仿宋" w:hAnsi="仿宋" w:eastAsia="仿宋" w:cs="仿宋"/>
          <w:b w:val="0"/>
          <w:color w:val="auto"/>
          <w:sz w:val="36"/>
          <w:szCs w:val="30"/>
          <w:highlight w:val="none"/>
        </w:rPr>
        <w:t>需求</w:t>
      </w:r>
      <w:bookmarkEnd w:id="23"/>
      <w:bookmarkEnd w:id="28"/>
    </w:p>
    <w:p w14:paraId="7428C921">
      <w:pPr>
        <w:pStyle w:val="3"/>
        <w:spacing w:before="0" w:after="0" w:line="440" w:lineRule="exact"/>
        <w:rPr>
          <w:rFonts w:hint="eastAsia" w:ascii="仿宋" w:hAnsi="仿宋" w:eastAsia="仿宋" w:cs="仿宋"/>
          <w:color w:val="auto"/>
          <w:sz w:val="24"/>
          <w:szCs w:val="24"/>
          <w:highlight w:val="none"/>
        </w:rPr>
      </w:pPr>
      <w:bookmarkStart w:id="29" w:name="_Toc344475120"/>
      <w:bookmarkStart w:id="30" w:name="_Toc496691582"/>
      <w:bookmarkStart w:id="31" w:name="_Toc14390"/>
      <w:r>
        <w:rPr>
          <w:rFonts w:hint="eastAsia" w:ascii="仿宋" w:hAnsi="仿宋" w:eastAsia="仿宋" w:cs="仿宋"/>
          <w:color w:val="auto"/>
          <w:sz w:val="24"/>
          <w:szCs w:val="24"/>
          <w:highlight w:val="none"/>
        </w:rPr>
        <w:t>一、</w:t>
      </w:r>
      <w:bookmarkEnd w:id="29"/>
      <w:bookmarkEnd w:id="30"/>
      <w:r>
        <w:rPr>
          <w:rFonts w:hint="eastAsia" w:ascii="仿宋" w:hAnsi="仿宋" w:eastAsia="仿宋" w:cs="仿宋"/>
          <w:color w:val="auto"/>
          <w:sz w:val="24"/>
          <w:szCs w:val="24"/>
          <w:highlight w:val="none"/>
        </w:rPr>
        <w:t>服务时间、地点及验收方式</w:t>
      </w:r>
      <w:bookmarkEnd w:id="31"/>
    </w:p>
    <w:p w14:paraId="7D9061C6">
      <w:pPr>
        <w:pStyle w:val="11"/>
        <w:spacing w:line="400" w:lineRule="exact"/>
        <w:ind w:firstLine="480" w:firstLineChars="200"/>
        <w:rPr>
          <w:rFonts w:hint="eastAsia" w:ascii="仿宋" w:hAnsi="仿宋" w:eastAsia="仿宋" w:cs="仿宋"/>
          <w:color w:val="auto"/>
          <w:sz w:val="24"/>
          <w:szCs w:val="24"/>
          <w:highlight w:val="none"/>
        </w:rPr>
      </w:pPr>
      <w:bookmarkStart w:id="32" w:name="_Toc344475121"/>
      <w:bookmarkStart w:id="33" w:name="_Toc496691583"/>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合同签订之日起</w:t>
      </w:r>
      <w:r>
        <w:rPr>
          <w:rFonts w:hint="eastAsia" w:ascii="仿宋" w:hAnsi="仿宋" w:eastAsia="仿宋" w:cs="仿宋"/>
          <w:color w:val="auto"/>
          <w:sz w:val="24"/>
          <w:szCs w:val="24"/>
          <w:highlight w:val="none"/>
          <w:lang w:val="en-US" w:eastAsia="zh-CN"/>
        </w:rPr>
        <w:t>60</w:t>
      </w:r>
      <w:r>
        <w:rPr>
          <w:rFonts w:hint="eastAsia" w:ascii="仿宋" w:hAnsi="仿宋" w:eastAsia="仿宋" w:cs="仿宋"/>
          <w:color w:val="auto"/>
          <w:sz w:val="24"/>
          <w:szCs w:val="24"/>
          <w:highlight w:val="none"/>
        </w:rPr>
        <w:t>日内完成。</w:t>
      </w:r>
    </w:p>
    <w:p w14:paraId="5A037CED">
      <w:pPr>
        <w:pStyle w:val="11"/>
        <w:tabs>
          <w:tab w:val="left" w:pos="4905"/>
        </w:tabs>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r>
        <w:rPr>
          <w:rFonts w:hint="eastAsia" w:ascii="仿宋" w:hAnsi="仿宋" w:eastAsia="仿宋" w:cs="仿宋"/>
          <w:color w:val="auto"/>
          <w:sz w:val="24"/>
          <w:szCs w:val="24"/>
          <w:highlight w:val="none"/>
          <w:lang w:eastAsia="zh-CN"/>
        </w:rPr>
        <w:t>服务</w:t>
      </w:r>
      <w:r>
        <w:rPr>
          <w:rFonts w:hint="eastAsia" w:ascii="仿宋" w:hAnsi="仿宋" w:eastAsia="仿宋" w:cs="仿宋"/>
          <w:color w:val="auto"/>
          <w:sz w:val="24"/>
          <w:szCs w:val="24"/>
          <w:highlight w:val="none"/>
        </w:rPr>
        <w:t>地点</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采购人指定地点。</w:t>
      </w:r>
    </w:p>
    <w:p w14:paraId="588DC1A2">
      <w:pPr>
        <w:numPr>
          <w:ilvl w:val="0"/>
          <w:numId w:val="2"/>
        </w:numPr>
        <w:spacing w:line="4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验收方式</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由采购人组织验收（成交供应商出具成果后，采购人若提出修改，成交供应商无条件接受，并在规定的时间完成修改）。</w:t>
      </w:r>
    </w:p>
    <w:p w14:paraId="0AAB3200">
      <w:pPr>
        <w:pStyle w:val="3"/>
        <w:spacing w:before="0" w:after="0" w:line="400" w:lineRule="exact"/>
        <w:rPr>
          <w:rFonts w:hint="eastAsia" w:ascii="仿宋" w:hAnsi="仿宋" w:eastAsia="仿宋" w:cs="仿宋"/>
          <w:color w:val="auto"/>
          <w:sz w:val="24"/>
          <w:szCs w:val="24"/>
          <w:highlight w:val="none"/>
        </w:rPr>
      </w:pPr>
      <w:bookmarkStart w:id="34" w:name="_Toc10790"/>
      <w:r>
        <w:rPr>
          <w:rFonts w:hint="eastAsia" w:ascii="仿宋" w:hAnsi="仿宋" w:eastAsia="仿宋" w:cs="仿宋"/>
          <w:color w:val="auto"/>
          <w:sz w:val="24"/>
          <w:szCs w:val="24"/>
          <w:highlight w:val="none"/>
        </w:rPr>
        <w:t>二、质量保证及售后服务</w:t>
      </w:r>
      <w:bookmarkEnd w:id="32"/>
      <w:bookmarkEnd w:id="33"/>
      <w:bookmarkEnd w:id="34"/>
    </w:p>
    <w:p w14:paraId="0727162E">
      <w:pPr>
        <w:spacing w:line="400" w:lineRule="exact"/>
        <w:ind w:firstLine="480" w:firstLineChars="200"/>
        <w:rPr>
          <w:rFonts w:hint="eastAsia" w:ascii="仿宋" w:hAnsi="仿宋" w:eastAsia="仿宋" w:cs="仿宋"/>
          <w:color w:val="auto"/>
          <w:sz w:val="24"/>
          <w:szCs w:val="24"/>
          <w:highlight w:val="none"/>
        </w:rPr>
      </w:pPr>
      <w:bookmarkStart w:id="35" w:name="_Toc344475122"/>
      <w:bookmarkStart w:id="36" w:name="_Toc496691584"/>
      <w:r>
        <w:rPr>
          <w:rFonts w:hint="eastAsia" w:ascii="仿宋" w:hAnsi="仿宋" w:eastAsia="仿宋" w:cs="仿宋"/>
          <w:color w:val="auto"/>
          <w:sz w:val="24"/>
          <w:szCs w:val="24"/>
          <w:highlight w:val="none"/>
        </w:rPr>
        <w:t>（一）工程质量要求：符合谈判文件及工程量清单所载明的技术质量标准，符合工程建设强制性质量标准，符合国家和重庆市现行有关施工质量验收规范要求，并达到合格标准。</w:t>
      </w:r>
    </w:p>
    <w:p w14:paraId="3BB13331">
      <w:pPr>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（二）质保期限：</w:t>
      </w:r>
      <w:r>
        <w:rPr>
          <w:rFonts w:hint="eastAsia" w:ascii="仿宋" w:hAnsi="仿宋" w:eastAsia="仿宋" w:cs="仿宋"/>
          <w:color w:val="auto"/>
          <w:sz w:val="24"/>
          <w:szCs w:val="24"/>
          <w:highlight w:val="none"/>
          <w:lang w:val="en-US" w:eastAsia="zh-CN"/>
        </w:rPr>
        <w:t>2-3年</w:t>
      </w:r>
      <w:r>
        <w:rPr>
          <w:rFonts w:hint="eastAsia" w:ascii="仿宋" w:hAnsi="仿宋" w:eastAsia="仿宋" w:cs="仿宋"/>
          <w:color w:val="auto"/>
          <w:sz w:val="24"/>
          <w:szCs w:val="24"/>
          <w:highlight w:val="none"/>
        </w:rPr>
        <w:t>。缺陷责任期内所有施工范围内的维修维护（质量问题）及现场服务均为免费。成交供应商在接到业主质保要求后，应在12个小时内提出响应方案，并应在48小时内达到现场维修维护，若超出响应时间，采购人可自行维护，其费用在质保金中扣除。</w:t>
      </w:r>
    </w:p>
    <w:p w14:paraId="7B7BC7C1">
      <w:pPr>
        <w:pStyle w:val="3"/>
        <w:numPr>
          <w:ilvl w:val="0"/>
          <w:numId w:val="3"/>
        </w:numPr>
        <w:spacing w:before="0" w:after="0" w:line="400" w:lineRule="exact"/>
        <w:rPr>
          <w:rFonts w:hint="eastAsia" w:ascii="仿宋" w:hAnsi="仿宋" w:eastAsia="仿宋" w:cs="仿宋"/>
          <w:color w:val="auto"/>
          <w:sz w:val="24"/>
          <w:szCs w:val="24"/>
          <w:highlight w:val="none"/>
        </w:rPr>
      </w:pPr>
      <w:bookmarkStart w:id="37" w:name="_Toc29758"/>
      <w:bookmarkStart w:id="38" w:name="_Toc12533"/>
      <w:r>
        <w:rPr>
          <w:rFonts w:hint="eastAsia" w:ascii="仿宋" w:hAnsi="仿宋" w:eastAsia="仿宋" w:cs="仿宋"/>
          <w:color w:val="auto"/>
          <w:sz w:val="24"/>
          <w:szCs w:val="24"/>
          <w:highlight w:val="none"/>
        </w:rPr>
        <w:t>报价要求</w:t>
      </w:r>
      <w:bookmarkEnd w:id="37"/>
      <w:bookmarkEnd w:id="38"/>
    </w:p>
    <w:bookmarkEnd w:id="35"/>
    <w:bookmarkEnd w:id="36"/>
    <w:p w14:paraId="243B008B">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rPr>
      </w:pPr>
      <w:bookmarkStart w:id="39" w:name="_Toc27978"/>
      <w:bookmarkStart w:id="40" w:name="_Toc496691585"/>
      <w:bookmarkStart w:id="41" w:name="_Toc344475123"/>
      <w:r>
        <w:rPr>
          <w:rFonts w:hint="eastAsia" w:ascii="仿宋" w:hAnsi="仿宋" w:eastAsia="仿宋" w:cs="仿宋"/>
          <w:color w:val="auto"/>
          <w:kern w:val="0"/>
          <w:sz w:val="24"/>
          <w:szCs w:val="24"/>
          <w:highlight w:val="none"/>
          <w:lang w:eastAsia="zh-CN"/>
        </w:rPr>
        <w:t>（一）</w:t>
      </w:r>
      <w:r>
        <w:rPr>
          <w:rFonts w:hint="eastAsia" w:ascii="仿宋" w:hAnsi="仿宋" w:eastAsia="仿宋" w:cs="仿宋"/>
          <w:color w:val="auto"/>
          <w:kern w:val="0"/>
          <w:sz w:val="24"/>
          <w:szCs w:val="24"/>
          <w:highlight w:val="none"/>
        </w:rPr>
        <w:t>本项目将设置总价最高限价和单价最高限价。供应商的总价报价和单价报价均不得超过最高限价，否则，将被认定为废标。</w:t>
      </w:r>
    </w:p>
    <w:p w14:paraId="756DA40E">
      <w:pPr>
        <w:keepNext w:val="0"/>
        <w:keepLines w:val="0"/>
        <w:pageBreakBefore w:val="0"/>
        <w:widowControl w:val="0"/>
        <w:numPr>
          <w:ilvl w:val="0"/>
          <w:numId w:val="0"/>
        </w:numPr>
        <w:kinsoku/>
        <w:wordWrap/>
        <w:overflowPunct/>
        <w:topLinePunct w:val="0"/>
        <w:autoSpaceDE w:val="0"/>
        <w:autoSpaceDN/>
        <w:bidi w:val="0"/>
        <w:adjustRightInd/>
        <w:snapToGrid/>
        <w:spacing w:line="400" w:lineRule="exact"/>
        <w:ind w:firstLine="480" w:firstLineChars="200"/>
        <w:textAlignment w:val="auto"/>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lang w:eastAsia="zh-CN"/>
        </w:rPr>
        <w:t>（二）</w:t>
      </w:r>
      <w:r>
        <w:rPr>
          <w:rFonts w:hint="eastAsia" w:ascii="仿宋" w:hAnsi="仿宋" w:eastAsia="仿宋" w:cs="仿宋"/>
          <w:color w:val="auto"/>
          <w:kern w:val="0"/>
          <w:sz w:val="24"/>
          <w:szCs w:val="24"/>
          <w:highlight w:val="none"/>
        </w:rPr>
        <w:t>本次报价以人民币报价。报价包含人工费、材料费、运输费、安装及其设备设施费、交通费、差旅费、培训费、施工机具使用费、企业管理费、利润、风险费、措施费、安全文明施工费、规费及税金等完成项目全部内容及提供必要质保所需的一切费用。因成交供应商自身原因造成漏报、少报皆由其自行承担责任，采购人不再补偿。</w:t>
      </w:r>
    </w:p>
    <w:bookmarkEnd w:id="39"/>
    <w:p w14:paraId="3202981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四</w:t>
      </w:r>
      <w:r>
        <w:rPr>
          <w:rFonts w:hint="eastAsia" w:ascii="仿宋" w:hAnsi="仿宋" w:eastAsia="仿宋" w:cs="仿宋"/>
          <w:b/>
          <w:bCs/>
          <w:color w:val="auto"/>
          <w:sz w:val="24"/>
          <w:szCs w:val="24"/>
          <w:highlight w:val="none"/>
        </w:rPr>
        <w:t>、履约保证金</w:t>
      </w:r>
    </w:p>
    <w:p w14:paraId="006EF06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合同签订时成交供应商向采购人缴纳合同金额</w:t>
      </w:r>
      <w:r>
        <w:rPr>
          <w:rFonts w:hint="eastAsia" w:ascii="仿宋" w:hAnsi="仿宋" w:eastAsia="仿宋" w:cs="仿宋"/>
          <w:color w:val="auto"/>
          <w:sz w:val="24"/>
          <w:szCs w:val="24"/>
          <w:highlight w:val="none"/>
          <w:u w:val="single"/>
        </w:rPr>
        <w:t xml:space="preserve"> 5 %</w:t>
      </w:r>
      <w:r>
        <w:rPr>
          <w:rFonts w:hint="eastAsia" w:ascii="仿宋" w:hAnsi="仿宋" w:eastAsia="仿宋" w:cs="仿宋"/>
          <w:color w:val="auto"/>
          <w:sz w:val="24"/>
          <w:szCs w:val="24"/>
          <w:highlight w:val="none"/>
        </w:rPr>
        <w:t>的履约保证金（以支票、汇票、本票或者金融机构、担保机构出具的保函等非现金形式提交）；</w:t>
      </w:r>
    </w:p>
    <w:p w14:paraId="0A6A43B5">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履约保证金无息退还时间：待服务完毕，项目验收合格后成交供应商可凭履约保证金银行转账凭据，向采购人申请后，由采购人无息退还。</w:t>
      </w:r>
    </w:p>
    <w:p w14:paraId="2E12749E">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付款方式</w:t>
      </w:r>
    </w:p>
    <w:p w14:paraId="458CBFA0">
      <w:pPr>
        <w:keepNext w:val="0"/>
        <w:keepLines w:val="0"/>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rPr>
        <w:t>实行整体包干</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项目完成验收合格后，并在收到上级拨付的项目经费后支付结算款的97%，质保期限满后支付结算款的3%。付款时，</w:t>
      </w:r>
      <w:r>
        <w:rPr>
          <w:rFonts w:hint="eastAsia" w:ascii="仿宋" w:hAnsi="仿宋" w:eastAsia="仿宋" w:cs="仿宋"/>
          <w:color w:val="auto"/>
          <w:sz w:val="24"/>
          <w:szCs w:val="24"/>
          <w:highlight w:val="none"/>
          <w:lang w:eastAsia="zh-CN"/>
        </w:rPr>
        <w:t>成交</w:t>
      </w:r>
      <w:r>
        <w:rPr>
          <w:rFonts w:hint="eastAsia" w:ascii="仿宋" w:hAnsi="仿宋" w:eastAsia="仿宋" w:cs="仿宋"/>
          <w:color w:val="auto"/>
          <w:sz w:val="24"/>
          <w:szCs w:val="24"/>
          <w:highlight w:val="none"/>
        </w:rPr>
        <w:t>供应商须提供合法发票，采购项目价款支付到成交供应商银行基本账户。</w:t>
      </w:r>
    </w:p>
    <w:p w14:paraId="0DF3CE00">
      <w:pPr>
        <w:pStyle w:val="3"/>
        <w:spacing w:before="0" w:after="0" w:line="400" w:lineRule="exact"/>
        <w:rPr>
          <w:rFonts w:hint="eastAsia" w:ascii="仿宋" w:hAnsi="仿宋" w:eastAsia="仿宋" w:cs="仿宋"/>
          <w:color w:val="auto"/>
          <w:sz w:val="24"/>
          <w:szCs w:val="24"/>
          <w:highlight w:val="none"/>
        </w:rPr>
      </w:pPr>
      <w:bookmarkStart w:id="42" w:name="_Toc32239"/>
      <w:r>
        <w:rPr>
          <w:rFonts w:hint="eastAsia" w:ascii="仿宋" w:hAnsi="仿宋" w:eastAsia="仿宋" w:cs="仿宋"/>
          <w:color w:val="auto"/>
          <w:sz w:val="24"/>
          <w:szCs w:val="24"/>
          <w:highlight w:val="none"/>
          <w:lang w:val="en-US" w:eastAsia="zh-CN"/>
        </w:rPr>
        <w:t>六</w:t>
      </w:r>
      <w:r>
        <w:rPr>
          <w:rFonts w:hint="eastAsia" w:ascii="仿宋" w:hAnsi="仿宋" w:eastAsia="仿宋" w:cs="仿宋"/>
          <w:color w:val="auto"/>
          <w:sz w:val="24"/>
          <w:szCs w:val="24"/>
          <w:highlight w:val="none"/>
        </w:rPr>
        <w:t>、知识产权</w:t>
      </w:r>
      <w:bookmarkEnd w:id="40"/>
      <w:bookmarkEnd w:id="41"/>
      <w:bookmarkEnd w:id="42"/>
    </w:p>
    <w:p w14:paraId="2B10F6AA">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14:paraId="0DEB6449">
      <w:pPr>
        <w:pStyle w:val="3"/>
        <w:pageBreakBefore w:val="0"/>
        <w:widowControl w:val="0"/>
        <w:kinsoku/>
        <w:wordWrap/>
        <w:overflowPunct/>
        <w:topLinePunct w:val="0"/>
        <w:autoSpaceDE/>
        <w:autoSpaceDN/>
        <w:bidi w:val="0"/>
        <w:adjustRightInd/>
        <w:snapToGrid/>
        <w:spacing w:before="0" w:after="0" w:line="400" w:lineRule="exact"/>
        <w:textAlignment w:val="auto"/>
        <w:rPr>
          <w:rFonts w:hint="eastAsia" w:ascii="仿宋" w:hAnsi="仿宋" w:eastAsia="仿宋" w:cs="仿宋"/>
          <w:color w:val="auto"/>
          <w:sz w:val="24"/>
          <w:szCs w:val="24"/>
          <w:highlight w:val="none"/>
        </w:rPr>
      </w:pPr>
      <w:bookmarkStart w:id="43" w:name="_Toc344475124"/>
      <w:bookmarkStart w:id="44" w:name="_Toc496691586"/>
      <w:bookmarkStart w:id="45" w:name="_Toc23275"/>
      <w:r>
        <w:rPr>
          <w:rFonts w:hint="eastAsia" w:ascii="仿宋" w:hAnsi="仿宋" w:eastAsia="仿宋" w:cs="仿宋"/>
          <w:color w:val="auto"/>
          <w:sz w:val="24"/>
          <w:szCs w:val="24"/>
          <w:highlight w:val="none"/>
          <w:lang w:val="en-US" w:eastAsia="zh-CN"/>
        </w:rPr>
        <w:t>七</w:t>
      </w:r>
      <w:r>
        <w:rPr>
          <w:rFonts w:hint="eastAsia" w:ascii="仿宋" w:hAnsi="仿宋" w:eastAsia="仿宋" w:cs="仿宋"/>
          <w:color w:val="auto"/>
          <w:sz w:val="24"/>
          <w:szCs w:val="24"/>
          <w:highlight w:val="none"/>
        </w:rPr>
        <w:t>、</w:t>
      </w:r>
      <w:bookmarkEnd w:id="43"/>
      <w:bookmarkEnd w:id="44"/>
      <w:bookmarkStart w:id="46" w:name="_Toc496691587"/>
      <w:bookmarkStart w:id="47" w:name="_Toc344475125"/>
      <w:r>
        <w:rPr>
          <w:rFonts w:hint="eastAsia" w:ascii="仿宋" w:hAnsi="仿宋" w:eastAsia="仿宋" w:cs="仿宋"/>
          <w:color w:val="auto"/>
          <w:sz w:val="24"/>
          <w:szCs w:val="24"/>
          <w:highlight w:val="none"/>
        </w:rPr>
        <w:t>其他</w:t>
      </w:r>
      <w:bookmarkEnd w:id="45"/>
      <w:bookmarkEnd w:id="46"/>
    </w:p>
    <w:bookmarkEnd w:id="47"/>
    <w:p w14:paraId="7F877948">
      <w:pPr>
        <w:pageBreakBefore w:val="0"/>
        <w:widowControl w:val="0"/>
        <w:kinsoku/>
        <w:wordWrap/>
        <w:overflowPunct/>
        <w:topLinePunct w:val="0"/>
        <w:autoSpaceDE/>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（一）供应商必须在响应文件中对以上条款和服务承诺明确列出，承诺内容必须达到本篇及竞争性谈判其他条款的要求。</w:t>
      </w:r>
    </w:p>
    <w:p w14:paraId="1CCF16E6">
      <w:pPr>
        <w:pageBreakBefore w:val="0"/>
        <w:widowControl w:val="0"/>
        <w:kinsoku/>
        <w:wordWrap/>
        <w:overflowPunct/>
        <w:topLinePunct w:val="0"/>
        <w:autoSpaceDE/>
        <w:autoSpaceDN/>
        <w:bidi w:val="0"/>
        <w:adjustRightInd/>
        <w:snapToGrid/>
        <w:spacing w:line="480" w:lineRule="exact"/>
        <w:ind w:firstLine="480" w:firstLineChars="200"/>
        <w:textAlignment w:val="auto"/>
        <w:rPr>
          <w:rFonts w:ascii="微软雅黑" w:hAnsi="微软雅黑" w:eastAsia="微软雅黑"/>
          <w:color w:val="auto"/>
          <w:sz w:val="24"/>
          <w:szCs w:val="24"/>
          <w:highlight w:val="none"/>
        </w:rPr>
      </w:pPr>
      <w:r>
        <w:rPr>
          <w:rFonts w:hint="eastAsia" w:ascii="仿宋" w:hAnsi="仿宋" w:eastAsia="仿宋" w:cs="仿宋"/>
          <w:color w:val="auto"/>
          <w:sz w:val="24"/>
          <w:szCs w:val="24"/>
          <w:highlight w:val="none"/>
        </w:rPr>
        <w:t>（二）其他未尽事宜由供需双方在采购合同中详细约定。</w:t>
      </w:r>
    </w:p>
    <w:p w14:paraId="438EED4B">
      <w:pPr>
        <w:snapToGrid w:val="0"/>
        <w:spacing w:line="360" w:lineRule="exact"/>
        <w:ind w:firstLine="480" w:firstLineChars="200"/>
        <w:rPr>
          <w:rFonts w:ascii="微软雅黑" w:hAnsi="微软雅黑" w:eastAsia="微软雅黑"/>
          <w:color w:val="auto"/>
          <w:sz w:val="24"/>
          <w:szCs w:val="24"/>
          <w:highlight w:val="none"/>
        </w:rPr>
      </w:pPr>
    </w:p>
    <w:p w14:paraId="15E9C765">
      <w:pPr>
        <w:snapToGrid w:val="0"/>
        <w:spacing w:line="360" w:lineRule="exact"/>
        <w:ind w:firstLine="480" w:firstLineChars="200"/>
        <w:rPr>
          <w:rFonts w:ascii="微软雅黑" w:hAnsi="微软雅黑" w:eastAsia="微软雅黑"/>
          <w:color w:val="auto"/>
          <w:sz w:val="24"/>
          <w:szCs w:val="24"/>
          <w:highlight w:val="none"/>
        </w:rPr>
      </w:pPr>
    </w:p>
    <w:p w14:paraId="3C725F7D">
      <w:pPr>
        <w:snapToGrid w:val="0"/>
        <w:spacing w:line="360" w:lineRule="exact"/>
        <w:ind w:firstLine="480" w:firstLineChars="200"/>
        <w:rPr>
          <w:rFonts w:ascii="微软雅黑" w:hAnsi="微软雅黑" w:eastAsia="微软雅黑"/>
          <w:color w:val="auto"/>
          <w:sz w:val="24"/>
          <w:szCs w:val="24"/>
          <w:highlight w:val="none"/>
        </w:rPr>
      </w:pPr>
    </w:p>
    <w:p w14:paraId="1C093BCC">
      <w:pPr>
        <w:snapToGrid w:val="0"/>
        <w:spacing w:line="360" w:lineRule="exact"/>
        <w:ind w:firstLine="480" w:firstLineChars="200"/>
        <w:rPr>
          <w:rFonts w:ascii="微软雅黑" w:hAnsi="微软雅黑" w:eastAsia="微软雅黑"/>
          <w:color w:val="auto"/>
          <w:sz w:val="24"/>
          <w:szCs w:val="24"/>
          <w:highlight w:val="none"/>
        </w:rPr>
      </w:pPr>
    </w:p>
    <w:p w14:paraId="463D6B87">
      <w:pPr>
        <w:snapToGrid w:val="0"/>
        <w:spacing w:line="360" w:lineRule="exact"/>
        <w:ind w:firstLine="480" w:firstLineChars="200"/>
        <w:rPr>
          <w:rFonts w:ascii="微软雅黑" w:hAnsi="微软雅黑" w:eastAsia="微软雅黑"/>
          <w:color w:val="auto"/>
          <w:sz w:val="24"/>
          <w:szCs w:val="24"/>
          <w:highlight w:val="none"/>
        </w:rPr>
      </w:pPr>
    </w:p>
    <w:p w14:paraId="24167E1B">
      <w:pPr>
        <w:snapToGrid w:val="0"/>
        <w:spacing w:line="360" w:lineRule="exact"/>
        <w:ind w:firstLine="480" w:firstLineChars="200"/>
        <w:rPr>
          <w:rFonts w:ascii="微软雅黑" w:hAnsi="微软雅黑" w:eastAsia="微软雅黑"/>
          <w:color w:val="auto"/>
          <w:sz w:val="24"/>
          <w:szCs w:val="24"/>
          <w:highlight w:val="none"/>
        </w:rPr>
      </w:pPr>
    </w:p>
    <w:p w14:paraId="71865A14">
      <w:pPr>
        <w:snapToGrid w:val="0"/>
        <w:spacing w:line="360" w:lineRule="exact"/>
        <w:ind w:firstLine="480" w:firstLineChars="200"/>
        <w:rPr>
          <w:rFonts w:ascii="微软雅黑" w:hAnsi="微软雅黑" w:eastAsia="微软雅黑"/>
          <w:color w:val="auto"/>
          <w:sz w:val="24"/>
          <w:szCs w:val="24"/>
          <w:highlight w:val="none"/>
        </w:rPr>
      </w:pPr>
    </w:p>
    <w:p w14:paraId="44F5F4C1">
      <w:pPr>
        <w:snapToGrid w:val="0"/>
        <w:spacing w:line="360" w:lineRule="exact"/>
        <w:ind w:firstLine="480" w:firstLineChars="200"/>
        <w:rPr>
          <w:rFonts w:ascii="微软雅黑" w:hAnsi="微软雅黑" w:eastAsia="微软雅黑"/>
          <w:color w:val="auto"/>
          <w:sz w:val="24"/>
          <w:szCs w:val="24"/>
          <w:highlight w:val="none"/>
        </w:rPr>
      </w:pPr>
    </w:p>
    <w:p w14:paraId="559DDD32">
      <w:pPr>
        <w:snapToGrid w:val="0"/>
        <w:spacing w:line="360" w:lineRule="exact"/>
        <w:ind w:firstLine="480" w:firstLineChars="200"/>
        <w:rPr>
          <w:rFonts w:ascii="微软雅黑" w:hAnsi="微软雅黑" w:eastAsia="微软雅黑"/>
          <w:color w:val="auto"/>
          <w:sz w:val="24"/>
          <w:szCs w:val="24"/>
          <w:highlight w:val="none"/>
        </w:rPr>
      </w:pPr>
    </w:p>
    <w:p w14:paraId="01A28645">
      <w:pPr>
        <w:snapToGrid w:val="0"/>
        <w:spacing w:line="360" w:lineRule="exact"/>
        <w:ind w:firstLine="480" w:firstLineChars="200"/>
        <w:rPr>
          <w:rFonts w:ascii="微软雅黑" w:hAnsi="微软雅黑" w:eastAsia="微软雅黑"/>
          <w:color w:val="auto"/>
          <w:sz w:val="24"/>
          <w:szCs w:val="24"/>
          <w:highlight w:val="none"/>
        </w:rPr>
      </w:pPr>
    </w:p>
    <w:p w14:paraId="5772F942">
      <w:pPr>
        <w:snapToGrid w:val="0"/>
        <w:spacing w:line="360" w:lineRule="exact"/>
        <w:ind w:firstLine="480" w:firstLineChars="200"/>
        <w:rPr>
          <w:rFonts w:ascii="微软雅黑" w:hAnsi="微软雅黑" w:eastAsia="微软雅黑"/>
          <w:color w:val="auto"/>
          <w:sz w:val="24"/>
          <w:szCs w:val="24"/>
          <w:highlight w:val="none"/>
        </w:rPr>
      </w:pPr>
    </w:p>
    <w:p w14:paraId="58E234C7">
      <w:pPr>
        <w:snapToGrid w:val="0"/>
        <w:spacing w:line="360" w:lineRule="exact"/>
        <w:rPr>
          <w:rFonts w:ascii="微软雅黑" w:hAnsi="微软雅黑" w:eastAsia="微软雅黑"/>
          <w:color w:val="auto"/>
          <w:sz w:val="24"/>
          <w:szCs w:val="24"/>
          <w:highlight w:val="none"/>
        </w:rPr>
      </w:pPr>
    </w:p>
    <w:p w14:paraId="06367B92">
      <w:pPr>
        <w:pStyle w:val="2"/>
        <w:spacing w:line="360" w:lineRule="auto"/>
        <w:jc w:val="center"/>
        <w:rPr>
          <w:rFonts w:hint="eastAsia" w:ascii="仿宋" w:hAnsi="仿宋" w:eastAsia="仿宋" w:cs="仿宋"/>
          <w:b w:val="0"/>
          <w:color w:val="auto"/>
          <w:sz w:val="13"/>
          <w:szCs w:val="13"/>
          <w:highlight w:val="none"/>
        </w:rPr>
      </w:pPr>
      <w:bookmarkStart w:id="48" w:name="_Toc23406493"/>
    </w:p>
    <w:p w14:paraId="71F19A7F">
      <w:pPr>
        <w:rPr>
          <w:rFonts w:hint="eastAsia" w:ascii="仿宋" w:hAnsi="仿宋" w:eastAsia="仿宋" w:cs="仿宋"/>
          <w:b w:val="0"/>
          <w:color w:val="auto"/>
          <w:sz w:val="36"/>
          <w:szCs w:val="30"/>
          <w:highlight w:val="none"/>
        </w:rPr>
      </w:pPr>
      <w:r>
        <w:rPr>
          <w:rFonts w:hint="eastAsia" w:ascii="仿宋" w:hAnsi="仿宋" w:eastAsia="仿宋" w:cs="仿宋"/>
          <w:b w:val="0"/>
          <w:color w:val="auto"/>
          <w:sz w:val="36"/>
          <w:szCs w:val="30"/>
          <w:highlight w:val="none"/>
        </w:rPr>
        <w:br w:type="page"/>
      </w:r>
    </w:p>
    <w:p w14:paraId="2695B4B3">
      <w:pPr>
        <w:pStyle w:val="2"/>
        <w:spacing w:line="360" w:lineRule="auto"/>
        <w:jc w:val="center"/>
        <w:rPr>
          <w:rFonts w:hint="eastAsia" w:ascii="仿宋" w:hAnsi="仿宋" w:eastAsia="仿宋" w:cs="仿宋"/>
          <w:b w:val="0"/>
          <w:color w:val="auto"/>
          <w:sz w:val="24"/>
          <w:szCs w:val="24"/>
          <w:highlight w:val="none"/>
        </w:rPr>
      </w:pPr>
    </w:p>
    <w:p w14:paraId="10A95A9E">
      <w:pPr>
        <w:pStyle w:val="2"/>
        <w:spacing w:line="360" w:lineRule="auto"/>
        <w:jc w:val="center"/>
        <w:rPr>
          <w:rFonts w:hint="eastAsia" w:ascii="仿宋" w:hAnsi="仿宋" w:eastAsia="仿宋" w:cs="仿宋"/>
          <w:b w:val="0"/>
          <w:color w:val="auto"/>
          <w:sz w:val="36"/>
          <w:szCs w:val="30"/>
          <w:highlight w:val="none"/>
        </w:rPr>
      </w:pPr>
      <w:bookmarkStart w:id="49" w:name="_Toc20575"/>
      <w:r>
        <w:rPr>
          <w:rFonts w:hint="eastAsia" w:ascii="仿宋" w:hAnsi="仿宋" w:eastAsia="仿宋" w:cs="仿宋"/>
          <w:b w:val="0"/>
          <w:color w:val="auto"/>
          <w:sz w:val="36"/>
          <w:szCs w:val="30"/>
          <w:highlight w:val="none"/>
        </w:rPr>
        <w:t>第四篇  谈判程序、成交原则、无效谈判及采购终止</w:t>
      </w:r>
      <w:bookmarkEnd w:id="48"/>
      <w:bookmarkEnd w:id="49"/>
    </w:p>
    <w:p w14:paraId="0E425621">
      <w:pPr>
        <w:pStyle w:val="3"/>
        <w:spacing w:before="0" w:after="0" w:line="400" w:lineRule="exact"/>
        <w:rPr>
          <w:rFonts w:hint="eastAsia" w:ascii="仿宋" w:hAnsi="仿宋" w:eastAsia="仿宋" w:cs="仿宋"/>
          <w:color w:val="auto"/>
          <w:sz w:val="24"/>
          <w:szCs w:val="24"/>
          <w:highlight w:val="none"/>
        </w:rPr>
      </w:pPr>
      <w:bookmarkStart w:id="50" w:name="_Toc64732012"/>
      <w:bookmarkStart w:id="51" w:name="_Toc13304"/>
      <w:bookmarkStart w:id="52" w:name="_Toc30389"/>
      <w:bookmarkStart w:id="53" w:name="_Toc102227313"/>
      <w:r>
        <w:rPr>
          <w:rFonts w:hint="eastAsia" w:ascii="仿宋" w:hAnsi="仿宋" w:eastAsia="仿宋" w:cs="仿宋"/>
          <w:color w:val="auto"/>
          <w:sz w:val="24"/>
          <w:szCs w:val="24"/>
          <w:highlight w:val="none"/>
        </w:rPr>
        <w:t>一、采购程序</w:t>
      </w:r>
      <w:bookmarkEnd w:id="50"/>
      <w:bookmarkEnd w:id="51"/>
      <w:bookmarkEnd w:id="52"/>
    </w:p>
    <w:p w14:paraId="684F714C">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（一）谈判按竞争性谈判文件规定的时间和地点进行。供应商须有法定代表人（或其授权代表）或自然人参加并签到。</w:t>
      </w:r>
    </w:p>
    <w:p w14:paraId="7E0F4F04">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（二）竞争性谈判以抽签的形式确定谈判顺序，由本项目谈判小组分别与各供应商进行谈判。在谈判前，对各供应商的资格条件、实质性响应等进行审查。 </w:t>
      </w:r>
    </w:p>
    <w:p w14:paraId="5FDE7CB7">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1.资格性审查。依据法律法规和竞争性谈判文件的规定，对响应文件中的资格证明材料、保证金等进行审查。资格性审查内容如下：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3118"/>
        <w:gridCol w:w="4984"/>
      </w:tblGrid>
      <w:tr w14:paraId="45BCF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noWrap w:val="0"/>
            <w:vAlign w:val="center"/>
          </w:tcPr>
          <w:p w14:paraId="28EAC53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3827" w:type="dxa"/>
            <w:gridSpan w:val="2"/>
            <w:tcBorders>
              <w:top w:val="single" w:color="auto" w:sz="4" w:space="0"/>
              <w:left w:val="single" w:color="auto" w:sz="4" w:space="0"/>
              <w:bottom w:val="single" w:color="auto" w:sz="4" w:space="0"/>
              <w:right w:val="single" w:color="auto" w:sz="4" w:space="0"/>
            </w:tcBorders>
            <w:noWrap w:val="0"/>
            <w:vAlign w:val="center"/>
          </w:tcPr>
          <w:p w14:paraId="17AC5DE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检查因素</w:t>
            </w:r>
          </w:p>
        </w:tc>
        <w:tc>
          <w:tcPr>
            <w:tcW w:w="4984" w:type="dxa"/>
            <w:tcBorders>
              <w:top w:val="single" w:color="auto" w:sz="4" w:space="0"/>
              <w:left w:val="single" w:color="auto" w:sz="4" w:space="0"/>
              <w:bottom w:val="single" w:color="auto" w:sz="4" w:space="0"/>
              <w:right w:val="single" w:color="auto" w:sz="4" w:space="0"/>
            </w:tcBorders>
            <w:noWrap w:val="0"/>
            <w:vAlign w:val="center"/>
          </w:tcPr>
          <w:p w14:paraId="1FA1362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检查内容</w:t>
            </w:r>
          </w:p>
        </w:tc>
      </w:tr>
      <w:tr w14:paraId="2D75B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noWrap w:val="0"/>
            <w:vAlign w:val="center"/>
          </w:tcPr>
          <w:p w14:paraId="4ADBAF5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w:t>
            </w:r>
          </w:p>
        </w:tc>
        <w:tc>
          <w:tcPr>
            <w:tcW w:w="709" w:type="dxa"/>
            <w:vMerge w:val="restart"/>
            <w:noWrap w:val="0"/>
            <w:vAlign w:val="center"/>
          </w:tcPr>
          <w:p w14:paraId="1FD90E0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《中华人民共和国政府采购法》第二十二条规定</w:t>
            </w:r>
          </w:p>
        </w:tc>
        <w:tc>
          <w:tcPr>
            <w:tcW w:w="3118" w:type="dxa"/>
            <w:noWrap w:val="0"/>
            <w:vAlign w:val="center"/>
          </w:tcPr>
          <w:p w14:paraId="103BBF0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1.具有独立承担民事责任的能力</w:t>
            </w:r>
          </w:p>
        </w:tc>
        <w:tc>
          <w:tcPr>
            <w:tcW w:w="4984" w:type="dxa"/>
            <w:noWrap w:val="0"/>
            <w:vAlign w:val="center"/>
          </w:tcPr>
          <w:p w14:paraId="7D34D20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241D34F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2.供应商法定代表人身份证明和法定代表人授权代表委托书。</w:t>
            </w:r>
          </w:p>
        </w:tc>
      </w:tr>
      <w:tr w14:paraId="6CBB2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722FBBB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7E4A4E3E">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p>
        </w:tc>
        <w:tc>
          <w:tcPr>
            <w:tcW w:w="3118" w:type="dxa"/>
            <w:noWrap w:val="0"/>
            <w:vAlign w:val="center"/>
          </w:tcPr>
          <w:p w14:paraId="18284A5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zh-CN"/>
              </w:rPr>
              <w:t>2.</w:t>
            </w:r>
            <w:r>
              <w:rPr>
                <w:rFonts w:hint="eastAsia" w:ascii="仿宋" w:hAnsi="仿宋" w:eastAsia="仿宋" w:cs="仿宋"/>
                <w:color w:val="auto"/>
                <w:sz w:val="21"/>
                <w:szCs w:val="21"/>
                <w:highlight w:val="none"/>
              </w:rPr>
              <w:t>具有良好的商业信誉和健全的财务会计制度</w:t>
            </w:r>
          </w:p>
        </w:tc>
        <w:tc>
          <w:tcPr>
            <w:tcW w:w="4984" w:type="dxa"/>
            <w:vMerge w:val="restart"/>
            <w:noWrap w:val="0"/>
            <w:vAlign w:val="center"/>
          </w:tcPr>
          <w:p w14:paraId="1DD94D3D">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eastAsia="zh-CN"/>
              </w:rPr>
              <w:t>供应商提供“基本资格条件承诺函”（详见第七篇）</w:t>
            </w:r>
          </w:p>
        </w:tc>
      </w:tr>
      <w:tr w14:paraId="23730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33BE08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160531C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p>
        </w:tc>
        <w:tc>
          <w:tcPr>
            <w:tcW w:w="3118" w:type="dxa"/>
            <w:noWrap w:val="0"/>
            <w:vAlign w:val="center"/>
          </w:tcPr>
          <w:p w14:paraId="067C221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3.具有履行合同所必需的设备和专业技术能力</w:t>
            </w:r>
          </w:p>
        </w:tc>
        <w:tc>
          <w:tcPr>
            <w:tcW w:w="4984" w:type="dxa"/>
            <w:vMerge w:val="continue"/>
            <w:noWrap w:val="0"/>
            <w:vAlign w:val="center"/>
          </w:tcPr>
          <w:p w14:paraId="39CA7E4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p>
        </w:tc>
      </w:tr>
      <w:tr w14:paraId="2041E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494D01E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4419F5C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p>
        </w:tc>
        <w:tc>
          <w:tcPr>
            <w:tcW w:w="3118" w:type="dxa"/>
            <w:noWrap w:val="0"/>
            <w:vAlign w:val="center"/>
          </w:tcPr>
          <w:p w14:paraId="4D178D0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lang w:val="zh-CN"/>
              </w:rPr>
              <w:t>4.有依法缴纳税收和社会保障金的良好记录</w:t>
            </w:r>
          </w:p>
        </w:tc>
        <w:tc>
          <w:tcPr>
            <w:tcW w:w="4984" w:type="dxa"/>
            <w:vMerge w:val="continue"/>
            <w:noWrap w:val="0"/>
            <w:vAlign w:val="center"/>
          </w:tcPr>
          <w:p w14:paraId="714E7DF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p>
        </w:tc>
      </w:tr>
      <w:tr w14:paraId="00CF0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noWrap w:val="0"/>
            <w:vAlign w:val="center"/>
          </w:tcPr>
          <w:p w14:paraId="358F606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68723B3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p>
        </w:tc>
        <w:tc>
          <w:tcPr>
            <w:tcW w:w="3118" w:type="dxa"/>
            <w:noWrap w:val="0"/>
            <w:vAlign w:val="center"/>
          </w:tcPr>
          <w:p w14:paraId="3D050F21">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5.参加政府采购活动前三年内，在经营活动中没有重大违法记录</w:t>
            </w:r>
          </w:p>
        </w:tc>
        <w:tc>
          <w:tcPr>
            <w:tcW w:w="4984" w:type="dxa"/>
            <w:vMerge w:val="continue"/>
            <w:noWrap w:val="0"/>
            <w:vAlign w:val="center"/>
          </w:tcPr>
          <w:p w14:paraId="104EACA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b/>
                <w:color w:val="auto"/>
                <w:sz w:val="21"/>
                <w:szCs w:val="21"/>
                <w:highlight w:val="none"/>
              </w:rPr>
            </w:pPr>
          </w:p>
        </w:tc>
      </w:tr>
      <w:tr w14:paraId="2E8F6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19DF4DF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06532CF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p>
        </w:tc>
        <w:tc>
          <w:tcPr>
            <w:tcW w:w="3118" w:type="dxa"/>
            <w:noWrap w:val="0"/>
            <w:vAlign w:val="center"/>
          </w:tcPr>
          <w:p w14:paraId="624AFA0F">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6.法律、行政法规规定的其他条件</w:t>
            </w:r>
          </w:p>
        </w:tc>
        <w:tc>
          <w:tcPr>
            <w:tcW w:w="4984" w:type="dxa"/>
            <w:noWrap w:val="0"/>
            <w:vAlign w:val="center"/>
          </w:tcPr>
          <w:p w14:paraId="43DC406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en-US" w:eastAsia="zh-CN"/>
              </w:rPr>
            </w:pPr>
          </w:p>
        </w:tc>
      </w:tr>
      <w:tr w14:paraId="7E1E6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noWrap w:val="0"/>
            <w:vAlign w:val="center"/>
          </w:tcPr>
          <w:p w14:paraId="3D557AE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p>
        </w:tc>
        <w:tc>
          <w:tcPr>
            <w:tcW w:w="709" w:type="dxa"/>
            <w:vMerge w:val="continue"/>
            <w:noWrap w:val="0"/>
            <w:vAlign w:val="center"/>
          </w:tcPr>
          <w:p w14:paraId="67AE71B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p>
        </w:tc>
        <w:tc>
          <w:tcPr>
            <w:tcW w:w="3118" w:type="dxa"/>
            <w:noWrap w:val="0"/>
            <w:vAlign w:val="center"/>
          </w:tcPr>
          <w:p w14:paraId="71CC56F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7.本项目的特定资格要求</w:t>
            </w:r>
          </w:p>
        </w:tc>
        <w:tc>
          <w:tcPr>
            <w:tcW w:w="4984" w:type="dxa"/>
            <w:noWrap w:val="0"/>
            <w:vAlign w:val="center"/>
          </w:tcPr>
          <w:p w14:paraId="4EECF9A3">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按第一篇“三、</w:t>
            </w:r>
            <w:r>
              <w:rPr>
                <w:rFonts w:hint="eastAsia" w:ascii="仿宋" w:hAnsi="仿宋" w:eastAsia="仿宋" w:cs="仿宋"/>
                <w:color w:val="auto"/>
                <w:sz w:val="21"/>
                <w:szCs w:val="21"/>
                <w:highlight w:val="none"/>
                <w:lang w:val="en-US" w:eastAsia="zh-CN"/>
              </w:rPr>
              <w:t>谈判</w:t>
            </w:r>
            <w:r>
              <w:rPr>
                <w:rFonts w:hint="eastAsia" w:ascii="仿宋" w:hAnsi="仿宋" w:eastAsia="仿宋" w:cs="仿宋"/>
                <w:color w:val="auto"/>
                <w:sz w:val="21"/>
                <w:szCs w:val="21"/>
                <w:highlight w:val="none"/>
              </w:rPr>
              <w:t>资格（</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rPr>
              <w:t>）本项目的特定资格要求”的要求提交</w:t>
            </w:r>
          </w:p>
        </w:tc>
      </w:tr>
      <w:tr w14:paraId="23C4D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0A61CD3F">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（二）</w:t>
            </w:r>
          </w:p>
        </w:tc>
        <w:tc>
          <w:tcPr>
            <w:tcW w:w="3827" w:type="dxa"/>
            <w:gridSpan w:val="2"/>
            <w:noWrap w:val="0"/>
            <w:vAlign w:val="center"/>
          </w:tcPr>
          <w:p w14:paraId="3615B0C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落实政府采购政策需满足的资格要求</w:t>
            </w:r>
          </w:p>
        </w:tc>
        <w:tc>
          <w:tcPr>
            <w:tcW w:w="4984" w:type="dxa"/>
            <w:noWrap w:val="0"/>
            <w:vAlign w:val="center"/>
          </w:tcPr>
          <w:p w14:paraId="5B9CB58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val="en-US" w:eastAsia="zh-CN"/>
              </w:rPr>
              <w:t>无</w:t>
            </w:r>
          </w:p>
        </w:tc>
      </w:tr>
      <w:tr w14:paraId="25BBE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0"/>
            <w:vAlign w:val="center"/>
          </w:tcPr>
          <w:p w14:paraId="60480AD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sz w:val="21"/>
                <w:szCs w:val="21"/>
                <w:highlight w:val="none"/>
                <w:lang w:eastAsia="zh-CN"/>
              </w:rPr>
            </w:pP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三</w:t>
            </w:r>
            <w:r>
              <w:rPr>
                <w:rFonts w:hint="eastAsia" w:ascii="仿宋" w:hAnsi="仿宋" w:eastAsia="仿宋" w:cs="仿宋"/>
                <w:color w:val="auto"/>
                <w:sz w:val="21"/>
                <w:szCs w:val="21"/>
                <w:highlight w:val="none"/>
                <w:lang w:eastAsia="zh-CN"/>
              </w:rPr>
              <w:t>）</w:t>
            </w:r>
          </w:p>
        </w:tc>
        <w:tc>
          <w:tcPr>
            <w:tcW w:w="3827" w:type="dxa"/>
            <w:gridSpan w:val="2"/>
            <w:noWrap w:val="0"/>
            <w:vAlign w:val="center"/>
          </w:tcPr>
          <w:p w14:paraId="13510E51">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保证金</w:t>
            </w:r>
          </w:p>
        </w:tc>
        <w:tc>
          <w:tcPr>
            <w:tcW w:w="4984" w:type="dxa"/>
            <w:noWrap w:val="0"/>
            <w:vAlign w:val="center"/>
          </w:tcPr>
          <w:p w14:paraId="4FFDD68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按照</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文件要求足额交纳</w:t>
            </w:r>
            <w:r>
              <w:rPr>
                <w:rFonts w:hint="eastAsia" w:ascii="仿宋" w:hAnsi="仿宋" w:eastAsia="仿宋" w:cs="仿宋"/>
                <w:color w:val="auto"/>
                <w:sz w:val="21"/>
                <w:szCs w:val="21"/>
                <w:highlight w:val="none"/>
                <w:lang w:eastAsia="zh-CN"/>
              </w:rPr>
              <w:t>谈判</w:t>
            </w:r>
            <w:r>
              <w:rPr>
                <w:rFonts w:hint="eastAsia" w:ascii="仿宋" w:hAnsi="仿宋" w:eastAsia="仿宋" w:cs="仿宋"/>
                <w:color w:val="auto"/>
                <w:sz w:val="21"/>
                <w:szCs w:val="21"/>
                <w:highlight w:val="none"/>
              </w:rPr>
              <w:t>保证金。</w:t>
            </w:r>
          </w:p>
        </w:tc>
      </w:tr>
    </w:tbl>
    <w:p w14:paraId="3E51DAAE">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w:t>
      </w:r>
      <w:r>
        <w:rPr>
          <w:rFonts w:hint="eastAsia" w:ascii="仿宋" w:hAnsi="仿宋" w:eastAsia="仿宋" w:cs="仿宋"/>
          <w:color w:val="auto"/>
          <w:sz w:val="24"/>
          <w:szCs w:val="24"/>
          <w:highlight w:val="none"/>
          <w:lang w:eastAsia="zh-CN"/>
        </w:rPr>
        <w:t>，按照“</w:t>
      </w:r>
      <w:r>
        <w:rPr>
          <w:rFonts w:hint="eastAsia" w:ascii="仿宋" w:hAnsi="仿宋" w:eastAsia="仿宋" w:cs="仿宋"/>
          <w:color w:val="auto"/>
          <w:sz w:val="24"/>
          <w:szCs w:val="24"/>
          <w:highlight w:val="none"/>
        </w:rPr>
        <w:t>财政部关于《中华人民共和国政府采购法实施条例》第十九条第一款“较大数额罚款”具体适用问题的意见</w:t>
      </w:r>
      <w:r>
        <w:rPr>
          <w:rFonts w:hint="eastAsia" w:ascii="仿宋" w:hAnsi="仿宋" w:eastAsia="仿宋" w:cs="仿宋"/>
          <w:color w:val="auto"/>
          <w:sz w:val="24"/>
          <w:szCs w:val="24"/>
          <w:highlight w:val="none"/>
          <w:lang w:eastAsia="zh-CN"/>
        </w:rPr>
        <w:t>（财库〔2022〕3 号）”执行</w:t>
      </w:r>
      <w:r>
        <w:rPr>
          <w:rFonts w:hint="eastAsia" w:ascii="仿宋" w:hAnsi="仿宋" w:eastAsia="仿宋" w:cs="仿宋"/>
          <w:color w:val="auto"/>
          <w:sz w:val="24"/>
          <w:szCs w:val="24"/>
          <w:highlight w:val="none"/>
        </w:rPr>
        <w:t>。</w:t>
      </w:r>
    </w:p>
    <w:p w14:paraId="0C6F63B0">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实质性响应审查。谈判小组应当对响应文件进行评审，并根据谈判文件规定的采购程序、评定成交的标准等事项与实质性响应谈判文件要求的供应商进行谈判。未实质性响应谈判文件的响应文件按无效处理，谈判小组应当告知有关供应商。实质性响应审查内容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536BA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7204B57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序号</w:t>
            </w:r>
          </w:p>
        </w:tc>
        <w:tc>
          <w:tcPr>
            <w:tcW w:w="2694" w:type="dxa"/>
            <w:noWrap w:val="0"/>
            <w:vAlign w:val="center"/>
          </w:tcPr>
          <w:p w14:paraId="536B660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审查因素</w:t>
            </w:r>
          </w:p>
        </w:tc>
        <w:tc>
          <w:tcPr>
            <w:tcW w:w="6259" w:type="dxa"/>
            <w:noWrap w:val="0"/>
            <w:vAlign w:val="center"/>
          </w:tcPr>
          <w:p w14:paraId="1243297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b/>
                <w:color w:val="auto"/>
                <w:kern w:val="0"/>
                <w:sz w:val="21"/>
                <w:szCs w:val="21"/>
                <w:highlight w:val="none"/>
              </w:rPr>
            </w:pPr>
            <w:r>
              <w:rPr>
                <w:rFonts w:hint="eastAsia" w:ascii="仿宋" w:hAnsi="仿宋" w:eastAsia="仿宋" w:cs="仿宋"/>
                <w:b/>
                <w:color w:val="auto"/>
                <w:kern w:val="0"/>
                <w:sz w:val="21"/>
                <w:szCs w:val="21"/>
                <w:highlight w:val="none"/>
              </w:rPr>
              <w:t>审查标准</w:t>
            </w:r>
          </w:p>
        </w:tc>
      </w:tr>
      <w:tr w14:paraId="5C96B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3F0CCA5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1</w:t>
            </w:r>
          </w:p>
        </w:tc>
        <w:tc>
          <w:tcPr>
            <w:tcW w:w="2694" w:type="dxa"/>
            <w:noWrap w:val="0"/>
            <w:vAlign w:val="center"/>
          </w:tcPr>
          <w:p w14:paraId="5547CE5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响应文件签署或盖章</w:t>
            </w:r>
          </w:p>
        </w:tc>
        <w:tc>
          <w:tcPr>
            <w:tcW w:w="6259" w:type="dxa"/>
            <w:noWrap w:val="0"/>
            <w:vAlign w:val="center"/>
          </w:tcPr>
          <w:p w14:paraId="09D2F2AA">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按“第七篇响应文件格式要求”要求签署或盖章</w:t>
            </w:r>
          </w:p>
        </w:tc>
      </w:tr>
      <w:tr w14:paraId="47E8E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289184A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p>
        </w:tc>
        <w:tc>
          <w:tcPr>
            <w:tcW w:w="2694" w:type="dxa"/>
            <w:noWrap w:val="0"/>
            <w:vAlign w:val="center"/>
          </w:tcPr>
          <w:p w14:paraId="20519F6C">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w:t>
            </w:r>
          </w:p>
        </w:tc>
        <w:tc>
          <w:tcPr>
            <w:tcW w:w="6259" w:type="dxa"/>
            <w:noWrap w:val="0"/>
            <w:vAlign w:val="center"/>
          </w:tcPr>
          <w:p w14:paraId="7D04A06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法定代表人身份证明及授权委托书有效，符合竞争性谈判文件规定的格式，签署或盖章齐全。</w:t>
            </w:r>
          </w:p>
        </w:tc>
      </w:tr>
      <w:tr w14:paraId="6BA9E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2FB73FC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p>
        </w:tc>
        <w:tc>
          <w:tcPr>
            <w:tcW w:w="2694" w:type="dxa"/>
            <w:noWrap w:val="0"/>
            <w:vAlign w:val="center"/>
          </w:tcPr>
          <w:p w14:paraId="28CA52D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c>
          <w:tcPr>
            <w:tcW w:w="6259" w:type="dxa"/>
            <w:noWrap w:val="0"/>
            <w:vAlign w:val="center"/>
          </w:tcPr>
          <w:p w14:paraId="033D2E9B">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lang w:val="zh-CN"/>
              </w:rPr>
              <w:t>只能有一个</w:t>
            </w: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方案。</w:t>
            </w:r>
          </w:p>
        </w:tc>
      </w:tr>
      <w:tr w14:paraId="21AB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090B614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p>
        </w:tc>
        <w:tc>
          <w:tcPr>
            <w:tcW w:w="2694" w:type="dxa"/>
            <w:noWrap w:val="0"/>
            <w:vAlign w:val="center"/>
          </w:tcPr>
          <w:p w14:paraId="01E3B0DF">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报价唯一</w:t>
            </w:r>
          </w:p>
        </w:tc>
        <w:tc>
          <w:tcPr>
            <w:tcW w:w="6259" w:type="dxa"/>
            <w:noWrap w:val="0"/>
            <w:vAlign w:val="center"/>
          </w:tcPr>
          <w:p w14:paraId="2F0DB5F7">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只能有一个有效报价，不得提交选择性报价。</w:t>
            </w:r>
          </w:p>
        </w:tc>
      </w:tr>
      <w:tr w14:paraId="5030C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6AB5A330">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2</w:t>
            </w:r>
          </w:p>
        </w:tc>
        <w:tc>
          <w:tcPr>
            <w:tcW w:w="2694" w:type="dxa"/>
            <w:noWrap w:val="0"/>
            <w:vAlign w:val="center"/>
          </w:tcPr>
          <w:p w14:paraId="0EF26A1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sz w:val="21"/>
                <w:szCs w:val="21"/>
                <w:highlight w:val="none"/>
              </w:rPr>
              <w:t>响应</w:t>
            </w:r>
            <w:r>
              <w:rPr>
                <w:rFonts w:hint="eastAsia" w:ascii="仿宋" w:hAnsi="仿宋" w:eastAsia="仿宋" w:cs="仿宋"/>
                <w:color w:val="auto"/>
                <w:sz w:val="21"/>
                <w:szCs w:val="21"/>
                <w:highlight w:val="none"/>
                <w:lang w:val="zh-CN"/>
              </w:rPr>
              <w:t>文件份数</w:t>
            </w:r>
          </w:p>
        </w:tc>
        <w:tc>
          <w:tcPr>
            <w:tcW w:w="6259" w:type="dxa"/>
            <w:noWrap w:val="0"/>
            <w:vAlign w:val="center"/>
          </w:tcPr>
          <w:p w14:paraId="77563EB6">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w:t>
            </w:r>
            <w:r>
              <w:rPr>
                <w:rFonts w:hint="eastAsia" w:ascii="仿宋" w:hAnsi="仿宋" w:eastAsia="仿宋" w:cs="仿宋"/>
                <w:color w:val="auto"/>
                <w:kern w:val="0"/>
                <w:sz w:val="21"/>
                <w:szCs w:val="21"/>
                <w:highlight w:val="none"/>
                <w:lang w:val="zh-CN"/>
              </w:rPr>
              <w:t>文件正、副本数量（含电子文档）符合</w:t>
            </w:r>
            <w:r>
              <w:rPr>
                <w:rFonts w:hint="eastAsia" w:ascii="仿宋" w:hAnsi="仿宋" w:eastAsia="仿宋" w:cs="仿宋"/>
                <w:color w:val="auto"/>
                <w:kern w:val="0"/>
                <w:sz w:val="21"/>
                <w:szCs w:val="21"/>
                <w:highlight w:val="none"/>
              </w:rPr>
              <w:t>竞争性谈判</w:t>
            </w:r>
            <w:r>
              <w:rPr>
                <w:rFonts w:hint="eastAsia" w:ascii="仿宋" w:hAnsi="仿宋" w:eastAsia="仿宋" w:cs="仿宋"/>
                <w:color w:val="auto"/>
                <w:kern w:val="0"/>
                <w:sz w:val="21"/>
                <w:szCs w:val="21"/>
                <w:highlight w:val="none"/>
                <w:lang w:val="zh-CN"/>
              </w:rPr>
              <w:t>文件要求。</w:t>
            </w:r>
          </w:p>
        </w:tc>
      </w:tr>
      <w:tr w14:paraId="116E5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45C73FB8">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3</w:t>
            </w:r>
          </w:p>
        </w:tc>
        <w:tc>
          <w:tcPr>
            <w:tcW w:w="2694" w:type="dxa"/>
            <w:noWrap w:val="0"/>
            <w:vAlign w:val="center"/>
          </w:tcPr>
          <w:p w14:paraId="49947782">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响应文件内容</w:t>
            </w:r>
          </w:p>
        </w:tc>
        <w:tc>
          <w:tcPr>
            <w:tcW w:w="6259" w:type="dxa"/>
            <w:noWrap w:val="0"/>
            <w:vAlign w:val="center"/>
          </w:tcPr>
          <w:p w14:paraId="2A913A2E">
            <w:pPr>
              <w:pStyle w:val="10"/>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对竞争性谈判文件第二篇、第三篇规定的谈判内容进行实质性响应。</w:t>
            </w:r>
          </w:p>
        </w:tc>
      </w:tr>
      <w:tr w14:paraId="08B4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55D55264">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jc w:val="center"/>
              <w:textAlignment w:val="auto"/>
              <w:rPr>
                <w:rFonts w:hint="eastAsia" w:ascii="仿宋" w:hAnsi="仿宋" w:eastAsia="仿宋" w:cs="仿宋"/>
                <w:color w:val="auto"/>
                <w:kern w:val="0"/>
                <w:sz w:val="21"/>
                <w:szCs w:val="21"/>
                <w:highlight w:val="none"/>
              </w:rPr>
            </w:pPr>
          </w:p>
        </w:tc>
        <w:tc>
          <w:tcPr>
            <w:tcW w:w="2694" w:type="dxa"/>
            <w:noWrap w:val="0"/>
            <w:vAlign w:val="center"/>
          </w:tcPr>
          <w:p w14:paraId="4D27E465">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谈判有效期</w:t>
            </w:r>
          </w:p>
        </w:tc>
        <w:tc>
          <w:tcPr>
            <w:tcW w:w="6259" w:type="dxa"/>
            <w:noWrap w:val="0"/>
            <w:vAlign w:val="center"/>
          </w:tcPr>
          <w:p w14:paraId="59DE7879">
            <w:pPr>
              <w:keepNext w:val="0"/>
              <w:keepLines w:val="0"/>
              <w:pageBreakBefore w:val="0"/>
              <w:widowControl w:val="0"/>
              <w:suppressLineNumbers w:val="0"/>
              <w:kinsoku/>
              <w:wordWrap/>
              <w:overflowPunct/>
              <w:topLinePunct w:val="0"/>
              <w:autoSpaceDE/>
              <w:autoSpaceDN/>
              <w:bidi w:val="0"/>
              <w:spacing w:before="0" w:beforeAutospacing="0" w:after="0" w:afterAutospacing="0" w:line="400" w:lineRule="exact"/>
              <w:ind w:left="0" w:right="0"/>
              <w:textAlignment w:val="auto"/>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响应文件及有关承诺文件有效期为提交响应文件截止时间起90天。</w:t>
            </w:r>
          </w:p>
        </w:tc>
      </w:tr>
    </w:tbl>
    <w:p w14:paraId="29CEC1B3">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5E08CDC">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47FE5906">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（四）在谈判过程中谈判的任何一方不得向他人透露与谈判有关的技术资料、价格或其他信息。</w:t>
      </w:r>
    </w:p>
    <w:p w14:paraId="78B709C3">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在谈判过程中，谈判小组可以根据竞争性谈判文件和谈判情况实质性变动采购需求中的服务、商务要求以及合同草案条款，但不得变动竞争性谈判文件中的其他内容。实质性变动的内容，须经采购人代表确认。对竞争性谈判文件作出的实质性变动是竞争性谈判文件的有效组成部分，谈判小组应当及时以书面形式同时通知所有参加谈判的供应商。</w:t>
      </w:r>
    </w:p>
    <w:p w14:paraId="78994129">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（六）供应商在谈判时作出的所有书面承诺须由法定代表人（或其授权代表）或自然人（供应商为自然人）签署。</w:t>
      </w:r>
    </w:p>
    <w:p w14:paraId="3A099267">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谈判结束后，谈判小组要求所有参加正式谈判的供应商在规定时间内同时书面提交最后报价及有关承诺（《最后报价表》在谈判现场向供应商提供）。已提交响应文件但未在规定时间内进行最后报价的供应商，视为放弃最后报价，以供应商响应文件中的报价为准。</w:t>
      </w:r>
    </w:p>
    <w:p w14:paraId="455D1965">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（八）评审的依据为竞争性谈判文件和响应文件（含有效的补充文件）。谈判小组判断响应文件对竞争性谈判文件的响应，仅基于响应文件本身而不靠外部证据。</w:t>
      </w:r>
    </w:p>
    <w:p w14:paraId="5672150C">
      <w:pPr>
        <w:pStyle w:val="3"/>
        <w:spacing w:before="0" w:after="0" w:line="400" w:lineRule="exact"/>
        <w:rPr>
          <w:rFonts w:hint="eastAsia" w:ascii="仿宋" w:hAnsi="仿宋" w:eastAsia="仿宋" w:cs="仿宋"/>
          <w:color w:val="auto"/>
          <w:sz w:val="24"/>
          <w:szCs w:val="24"/>
          <w:highlight w:val="none"/>
        </w:rPr>
      </w:pPr>
      <w:bookmarkStart w:id="54" w:name="_Toc6232"/>
      <w:bookmarkStart w:id="55" w:name="_Toc16826"/>
      <w:bookmarkStart w:id="56" w:name="_Toc64732013"/>
      <w:r>
        <w:rPr>
          <w:rFonts w:hint="eastAsia" w:ascii="仿宋" w:hAnsi="仿宋" w:eastAsia="仿宋" w:cs="仿宋"/>
          <w:color w:val="auto"/>
          <w:sz w:val="24"/>
          <w:szCs w:val="24"/>
          <w:highlight w:val="none"/>
        </w:rPr>
        <w:t>二、评定成交的标准</w:t>
      </w:r>
      <w:bookmarkEnd w:id="54"/>
      <w:bookmarkEnd w:id="55"/>
      <w:bookmarkEnd w:id="56"/>
    </w:p>
    <w:p w14:paraId="4FFFBE66">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（一）谈判小组将依照本竞争性谈判文件相关规定对技术（质量）和服务均能满足竞争性谈判实质性响应要求的供应商中，按照最后报价由低到高的顺序提出3名以上成交候选人，并编写评审报告。</w:t>
      </w:r>
    </w:p>
    <w:p w14:paraId="1001BC03">
      <w:pPr>
        <w:pStyle w:val="11"/>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（二）若供应商的最后报价价格相同，按技术条款的优劣顺序排列；以上都相同的，按商务条款的优劣顺序排列</w:t>
      </w:r>
      <w:r>
        <w:rPr>
          <w:rFonts w:hint="eastAsia" w:ascii="仿宋" w:hAnsi="仿宋" w:eastAsia="仿宋" w:cs="仿宋"/>
          <w:color w:val="auto"/>
          <w:sz w:val="24"/>
          <w:szCs w:val="24"/>
          <w:highlight w:val="none"/>
        </w:rPr>
        <w:t>。</w:t>
      </w:r>
    </w:p>
    <w:p w14:paraId="191D2B76">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（三）成交价格=成交供应商的最后报价。</w:t>
      </w:r>
    </w:p>
    <w:p w14:paraId="1EAE9FF9">
      <w:pPr>
        <w:pStyle w:val="3"/>
        <w:spacing w:before="0" w:after="0" w:line="400" w:lineRule="exact"/>
        <w:rPr>
          <w:rFonts w:hint="eastAsia" w:ascii="仿宋" w:hAnsi="仿宋" w:eastAsia="仿宋" w:cs="仿宋"/>
          <w:color w:val="auto"/>
          <w:sz w:val="24"/>
          <w:szCs w:val="24"/>
          <w:highlight w:val="none"/>
        </w:rPr>
      </w:pPr>
      <w:bookmarkStart w:id="57" w:name="_Toc8574"/>
      <w:bookmarkStart w:id="58" w:name="_Toc15069"/>
      <w:r>
        <w:rPr>
          <w:rFonts w:hint="eastAsia" w:ascii="仿宋" w:hAnsi="仿宋" w:eastAsia="仿宋" w:cs="仿宋"/>
          <w:color w:val="auto"/>
          <w:sz w:val="24"/>
          <w:szCs w:val="24"/>
          <w:highlight w:val="none"/>
        </w:rPr>
        <w:t>三、无效谈判</w:t>
      </w:r>
      <w:bookmarkEnd w:id="57"/>
      <w:bookmarkEnd w:id="58"/>
    </w:p>
    <w:p w14:paraId="7A6BD27E">
      <w:pPr>
        <w:snapToGrid w:val="0"/>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供应商发生以下条款情况之一者，视为无效谈判：</w:t>
      </w:r>
    </w:p>
    <w:p w14:paraId="541B263A">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（一）供应商不符合规定的资格条件的；</w:t>
      </w:r>
    </w:p>
    <w:p w14:paraId="09D12A59">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（二）供应商未通过实质性响应审查的；</w:t>
      </w:r>
    </w:p>
    <w:p w14:paraId="48C9DACE">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（三）供应商的法定代表人（或其授权代表）或自然人未参加谈判的；</w:t>
      </w:r>
    </w:p>
    <w:p w14:paraId="06BBA7A5">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（四）供应商未在保证金到账截止时间前足额交纳保证金的；</w:t>
      </w:r>
    </w:p>
    <w:p w14:paraId="1E4CE513">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（五）供应商所提交的响应文件未按“第七篇响应文件格式要求”要求签署或盖章的；</w:t>
      </w:r>
    </w:p>
    <w:p w14:paraId="486FC2C4">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（六）供应商的最后报价超过采购预算或最高限价的；</w:t>
      </w:r>
    </w:p>
    <w:p w14:paraId="36CB52E6">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（七）供应商不接受谈判小组修正后的价格的；</w:t>
      </w:r>
    </w:p>
    <w:p w14:paraId="76BC700D">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（八）单位负责人为同一人或者存在直接控股、管理关系的不同供应商，参加同一合同项（包）谈判的；</w:t>
      </w:r>
    </w:p>
    <w:p w14:paraId="2F3787F6">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（九）为采购项目提供整体设计、规范编制或者项目管理、监理、检测等服务的供应商再参加该采购项目的其他采购活动的；</w:t>
      </w:r>
    </w:p>
    <w:p w14:paraId="07FF2D0A">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（十）同一合同项（包）下的货物，制造商参与谈判，再委托代理商参与谈判的；</w:t>
      </w:r>
    </w:p>
    <w:p w14:paraId="4DB22B45">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（十一）供应商响应文件内容有与国家现行法律法规相违背的内容，或附有采购人无法接受条件的；</w:t>
      </w:r>
    </w:p>
    <w:p w14:paraId="3B9E5FEC">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（十二）法律、法规和竞争性谈判文件规定的其他无效情形</w:t>
      </w:r>
      <w:r>
        <w:rPr>
          <w:rFonts w:hint="eastAsia" w:ascii="仿宋" w:hAnsi="仿宋" w:eastAsia="仿宋" w:cs="仿宋"/>
          <w:color w:val="auto"/>
          <w:sz w:val="24"/>
          <w:szCs w:val="24"/>
          <w:highlight w:val="none"/>
        </w:rPr>
        <w:t>。</w:t>
      </w:r>
    </w:p>
    <w:p w14:paraId="3A7365EB">
      <w:pPr>
        <w:pStyle w:val="3"/>
        <w:spacing w:before="0" w:after="0" w:line="400" w:lineRule="exact"/>
        <w:rPr>
          <w:rFonts w:hint="eastAsia" w:ascii="仿宋" w:hAnsi="仿宋" w:eastAsia="仿宋" w:cs="仿宋"/>
          <w:color w:val="auto"/>
          <w:sz w:val="24"/>
          <w:szCs w:val="24"/>
          <w:highlight w:val="none"/>
        </w:rPr>
      </w:pPr>
      <w:bookmarkStart w:id="59" w:name="_Toc3847"/>
      <w:bookmarkStart w:id="60" w:name="_Toc15922"/>
      <w:r>
        <w:rPr>
          <w:rFonts w:hint="eastAsia" w:ascii="仿宋" w:hAnsi="仿宋" w:eastAsia="仿宋" w:cs="仿宋"/>
          <w:color w:val="auto"/>
          <w:sz w:val="24"/>
          <w:szCs w:val="24"/>
          <w:highlight w:val="none"/>
        </w:rPr>
        <w:t>四、采购终止</w:t>
      </w:r>
      <w:bookmarkEnd w:id="59"/>
      <w:bookmarkEnd w:id="60"/>
    </w:p>
    <w:p w14:paraId="6714B675">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出现下列情形之一的，采购人或者采购代理机构应当终止竞争性谈判采购活动，发布项目终止公告并说明原因，重新开展采购活动：</w:t>
      </w:r>
    </w:p>
    <w:p w14:paraId="4F3FF1AB">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（一）因情况变化，不再符合规定的竞争性谈判采购方式适用情形的；</w:t>
      </w:r>
    </w:p>
    <w:p w14:paraId="72F58374">
      <w:pPr>
        <w:pStyle w:val="11"/>
        <w:spacing w:line="400" w:lineRule="exact"/>
        <w:ind w:firstLine="480" w:firstLineChars="200"/>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2"/>
          <w:sz w:val="24"/>
          <w:szCs w:val="24"/>
          <w:highlight w:val="none"/>
          <w:lang w:val="en-US" w:eastAsia="zh-CN" w:bidi="ar-SA"/>
        </w:rPr>
        <w:t>（二）出现影响采购公正的违法、违规行为的；</w:t>
      </w:r>
    </w:p>
    <w:p w14:paraId="4EC20051">
      <w:pPr>
        <w:pageBreakBefore w:val="0"/>
        <w:widowControl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（三）在采购过程中符合竞争要求的供应商或者报价未超过采购预算的供应商不足3家的，但《政府采购非招标采购方式管理办法》第二十七条第二款规定的情形除外</w:t>
      </w:r>
      <w:r>
        <w:rPr>
          <w:rFonts w:hint="eastAsia" w:ascii="仿宋" w:hAnsi="仿宋" w:eastAsia="仿宋" w:cs="仿宋"/>
          <w:color w:val="auto"/>
          <w:sz w:val="24"/>
          <w:szCs w:val="24"/>
          <w:highlight w:val="none"/>
        </w:rPr>
        <w:t>。</w:t>
      </w:r>
    </w:p>
    <w:p w14:paraId="65DEB943">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val="0"/>
          <w:color w:val="auto"/>
          <w:sz w:val="24"/>
          <w:szCs w:val="24"/>
          <w:highlight w:val="none"/>
        </w:rPr>
      </w:pPr>
      <w:r>
        <w:rPr>
          <w:rFonts w:hint="eastAsia" w:ascii="仿宋" w:hAnsi="仿宋" w:eastAsia="仿宋" w:cs="仿宋"/>
          <w:b w:val="0"/>
          <w:color w:val="auto"/>
          <w:sz w:val="24"/>
          <w:szCs w:val="24"/>
          <w:highlight w:val="none"/>
        </w:rPr>
        <w:br w:type="page"/>
      </w:r>
    </w:p>
    <w:p w14:paraId="3BD1D891">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val="0"/>
          <w:color w:val="auto"/>
          <w:sz w:val="24"/>
          <w:szCs w:val="24"/>
          <w:highlight w:val="none"/>
        </w:rPr>
      </w:pPr>
    </w:p>
    <w:p w14:paraId="1585CE17">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 w:cs="仿宋"/>
          <w:b w:val="0"/>
          <w:color w:val="auto"/>
          <w:szCs w:val="30"/>
          <w:highlight w:val="none"/>
        </w:rPr>
      </w:pPr>
      <w:bookmarkStart w:id="61" w:name="_Toc26655"/>
      <w:r>
        <w:rPr>
          <w:rStyle w:val="22"/>
          <w:rFonts w:hint="eastAsia" w:ascii="仿宋" w:hAnsi="仿宋" w:eastAsia="仿宋" w:cs="仿宋"/>
          <w:b w:val="0"/>
          <w:bCs/>
          <w:color w:val="auto"/>
          <w:sz w:val="36"/>
          <w:szCs w:val="36"/>
          <w:highlight w:val="none"/>
          <w:lang w:val="en-US" w:eastAsia="zh-CN"/>
        </w:rPr>
        <w:t>第五篇  供应商须知</w:t>
      </w:r>
      <w:bookmarkEnd w:id="53"/>
      <w:bookmarkEnd w:id="61"/>
    </w:p>
    <w:p w14:paraId="40382DFD">
      <w:pPr>
        <w:pStyle w:val="3"/>
        <w:spacing w:before="0" w:after="0" w:line="440" w:lineRule="exact"/>
        <w:rPr>
          <w:rFonts w:hint="eastAsia" w:ascii="仿宋" w:hAnsi="仿宋" w:eastAsia="仿宋" w:cs="仿宋"/>
          <w:color w:val="auto"/>
          <w:sz w:val="24"/>
          <w:szCs w:val="24"/>
          <w:highlight w:val="none"/>
        </w:rPr>
      </w:pPr>
      <w:bookmarkStart w:id="62" w:name="_Toc23406499"/>
      <w:bookmarkStart w:id="63" w:name="_Toc24367"/>
      <w:bookmarkStart w:id="64" w:name="_Toc342913389"/>
      <w:r>
        <w:rPr>
          <w:rFonts w:hint="eastAsia" w:ascii="仿宋" w:hAnsi="仿宋" w:eastAsia="仿宋" w:cs="仿宋"/>
          <w:color w:val="auto"/>
          <w:sz w:val="24"/>
          <w:szCs w:val="24"/>
          <w:highlight w:val="none"/>
        </w:rPr>
        <w:t>一、谈判费用</w:t>
      </w:r>
      <w:bookmarkEnd w:id="62"/>
      <w:bookmarkEnd w:id="63"/>
    </w:p>
    <w:p w14:paraId="7CA4DB39">
      <w:pPr>
        <w:pStyle w:val="23"/>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参与谈判的供应商应承担其编制响应文件与递交响应文件所涉及的一切费用，不论谈判结果如何，采购人和采购代理机构在任何情况下无义务也无责任承担这些费用。</w:t>
      </w:r>
    </w:p>
    <w:p w14:paraId="2FDAF9B1">
      <w:pPr>
        <w:pStyle w:val="3"/>
        <w:tabs>
          <w:tab w:val="left" w:pos="2640"/>
        </w:tabs>
        <w:spacing w:before="0" w:after="0" w:line="400" w:lineRule="exact"/>
        <w:rPr>
          <w:rFonts w:hint="eastAsia" w:ascii="仿宋" w:hAnsi="仿宋" w:eastAsia="仿宋" w:cs="仿宋"/>
          <w:color w:val="auto"/>
          <w:sz w:val="24"/>
          <w:szCs w:val="24"/>
          <w:highlight w:val="none"/>
        </w:rPr>
      </w:pPr>
      <w:bookmarkStart w:id="65" w:name="_Toc23406500"/>
      <w:bookmarkStart w:id="66" w:name="_Toc31914"/>
      <w:r>
        <w:rPr>
          <w:rFonts w:hint="eastAsia" w:ascii="仿宋" w:hAnsi="仿宋" w:eastAsia="仿宋" w:cs="仿宋"/>
          <w:color w:val="auto"/>
          <w:sz w:val="24"/>
          <w:szCs w:val="24"/>
          <w:highlight w:val="none"/>
        </w:rPr>
        <w:t>二、竞争性谈判文件</w:t>
      </w:r>
      <w:bookmarkEnd w:id="65"/>
      <w:bookmarkEnd w:id="66"/>
      <w:r>
        <w:rPr>
          <w:rFonts w:hint="eastAsia" w:ascii="仿宋" w:hAnsi="仿宋" w:eastAsia="仿宋" w:cs="仿宋"/>
          <w:color w:val="auto"/>
          <w:sz w:val="24"/>
          <w:szCs w:val="24"/>
          <w:highlight w:val="none"/>
        </w:rPr>
        <w:tab/>
      </w:r>
    </w:p>
    <w:p w14:paraId="425976B0">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（一）竞争性谈判文件由竞争性谈判邀请书、谈判项目技术需求、谈判项目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要求、谈判程序、成交原则、无效谈判及采购终止、供应商须知、合同草案条款、响应文件格式要求七部分组成。</w:t>
      </w:r>
    </w:p>
    <w:p w14:paraId="6C54E982">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（二）采购人（或采购代理机构）所作的一切有效的书面通知、修改及补充，都是竞争性谈判文件不可分割的部分。</w:t>
      </w:r>
    </w:p>
    <w:p w14:paraId="00440627">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（三）本竞争性谈判文件中，谈判小组根据与供应商谈判情况可能实质性变动的内容为竞争性谈判文件第二、三、六篇全部内容。</w:t>
      </w:r>
    </w:p>
    <w:p w14:paraId="0226A9BB">
      <w:pPr>
        <w:pStyle w:val="3"/>
        <w:spacing w:before="0" w:after="0" w:line="400" w:lineRule="exact"/>
        <w:rPr>
          <w:rFonts w:hint="eastAsia" w:ascii="仿宋" w:hAnsi="仿宋" w:eastAsia="仿宋" w:cs="仿宋"/>
          <w:color w:val="auto"/>
          <w:sz w:val="24"/>
          <w:szCs w:val="24"/>
          <w:highlight w:val="none"/>
        </w:rPr>
      </w:pPr>
      <w:bookmarkStart w:id="67" w:name="_Toc23406501"/>
      <w:bookmarkStart w:id="68" w:name="_Toc16165"/>
      <w:r>
        <w:rPr>
          <w:rFonts w:hint="eastAsia" w:ascii="仿宋" w:hAnsi="仿宋" w:eastAsia="仿宋" w:cs="仿宋"/>
          <w:color w:val="auto"/>
          <w:sz w:val="24"/>
          <w:szCs w:val="24"/>
          <w:highlight w:val="none"/>
        </w:rPr>
        <w:t>三、谈判要求</w:t>
      </w:r>
      <w:bookmarkEnd w:id="67"/>
      <w:bookmarkEnd w:id="68"/>
    </w:p>
    <w:p w14:paraId="0C84A416">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（一）响应文件</w:t>
      </w:r>
    </w:p>
    <w:p w14:paraId="4593C92D">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供应商应当按照竞争性谈判文件的要求编制响应文件，并对竞争性谈判文件提出的要求和条件作出实质性响应，响应文件原则上采用软面订本。</w:t>
      </w:r>
    </w:p>
    <w:p w14:paraId="48C50AF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1.响应文件组成</w:t>
      </w:r>
    </w:p>
    <w:p w14:paraId="7944FBF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由第七篇“响应文件格式要求”规定的部分和供应商所作的一切有效补充、修改和承诺等文件组成，供应商应按照第七篇“响应文件格式”规定进行编写和装订，也可在基本格式基础上对表格进行扩展，未规定格式的由供应商自定格式。</w:t>
      </w:r>
    </w:p>
    <w:p w14:paraId="67E96B88">
      <w:pPr>
        <w:spacing w:line="400" w:lineRule="exact"/>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2.</w:t>
      </w:r>
      <w:r>
        <w:rPr>
          <w:rFonts w:hint="eastAsia" w:ascii="仿宋" w:hAnsi="仿宋" w:eastAsia="仿宋" w:cs="仿宋"/>
          <w:b/>
          <w:color w:val="auto"/>
          <w:sz w:val="24"/>
          <w:szCs w:val="24"/>
          <w:highlight w:val="none"/>
        </w:rPr>
        <w:t>本项目不接受联合体参与谈判。</w:t>
      </w:r>
    </w:p>
    <w:p w14:paraId="5FD98F75">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3.谈判有效期：响应文件及有关承诺文件有效期为谈判开始时间起90天。</w:t>
      </w:r>
    </w:p>
    <w:p w14:paraId="56848E12">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（二）保证金：</w:t>
      </w:r>
    </w:p>
    <w:p w14:paraId="2A59F3A3">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1.供应商提交保证金金额和方式详见“</w:t>
      </w:r>
      <w:r>
        <w:rPr>
          <w:rFonts w:hint="eastAsia" w:ascii="仿宋" w:hAnsi="仿宋" w:eastAsia="仿宋" w:cs="仿宋"/>
          <w:b/>
          <w:color w:val="auto"/>
          <w:sz w:val="24"/>
          <w:szCs w:val="24"/>
          <w:highlight w:val="none"/>
          <w:u w:val="single"/>
        </w:rPr>
        <w:t>第一篇  五、保证金”</w:t>
      </w:r>
      <w:r>
        <w:rPr>
          <w:rFonts w:hint="eastAsia" w:ascii="仿宋" w:hAnsi="仿宋" w:eastAsia="仿宋" w:cs="仿宋"/>
          <w:color w:val="auto"/>
          <w:sz w:val="24"/>
          <w:szCs w:val="24"/>
          <w:highlight w:val="none"/>
        </w:rPr>
        <w:t>；</w:t>
      </w:r>
    </w:p>
    <w:p w14:paraId="41E1BF79">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2.发生以下情况之一者，保证金不予退还：</w:t>
      </w:r>
    </w:p>
    <w:p w14:paraId="2EA5BE7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2.1供应商在提交响应文件截止时间后撤回响应文件的；</w:t>
      </w:r>
    </w:p>
    <w:p w14:paraId="47499CB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2.2供应商在响应文件中提供虚假材料的；</w:t>
      </w:r>
    </w:p>
    <w:p w14:paraId="1B378B0B">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2.3除因不可抗力或竞争性谈判文件认可的情形以外，成交供应商不与采购人签订合同的；</w:t>
      </w:r>
    </w:p>
    <w:p w14:paraId="322BD34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2.4供应商与采购人、其他供应商或者采购代理机构恶意串通的；</w:t>
      </w:r>
    </w:p>
    <w:p w14:paraId="4435FCF6">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2.5成交供应商不按规定的时间或拒绝按成交状态签订合同（即不按照采购文件确定的合同文本以及采购标的、规格型号、采购金额、采购数量、技术（质量）和</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要求等事项签订政府采购合同的）。</w:t>
      </w:r>
    </w:p>
    <w:p w14:paraId="37329AD8">
      <w:pPr>
        <w:spacing w:line="40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3.保证金的有效期限在谈判有效期过后三十天继续有效。</w:t>
      </w:r>
    </w:p>
    <w:p w14:paraId="3960D9D6">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（三）修正错误</w:t>
      </w:r>
    </w:p>
    <w:p w14:paraId="013EB43C">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若供应商所递交的响应文件或最后报价中的价格出现大写金额和小写金额不一致的错误，以大写金额修正为准。</w:t>
      </w:r>
    </w:p>
    <w:p w14:paraId="0E5454A8">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谈判小组按上述修正错误的原则及方法修正供应商的报价，供应商同意并签字确认后，修正后的报价对供应商具有约束作用。如果供应商不接受修正后的价格，将视为无效谈判。</w:t>
      </w:r>
    </w:p>
    <w:p w14:paraId="128AF52A">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（四）提交响应文件的份数和签署</w:t>
      </w:r>
    </w:p>
    <w:p w14:paraId="25B6E0A1">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响应文件一式四份，其中正本一份，副本二份，电子文档一份（电子文档内容应与纸质文件正本一致，如不一致以纸质文件正本为准。推荐采用光盘或U盘为电子文档载体）；副本可为正本的复印件，应与正本一致，如出现不一致情况以正本为准。</w:t>
      </w:r>
    </w:p>
    <w:p w14:paraId="15A8143C">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w:t>
      </w:r>
      <w:r>
        <w:rPr>
          <w:rFonts w:hint="eastAsia" w:ascii="仿宋" w:hAnsi="仿宋" w:eastAsia="仿宋" w:cs="仿宋"/>
          <w:color w:val="auto"/>
          <w:sz w:val="24"/>
          <w:highlight w:val="none"/>
        </w:rPr>
        <w:t>在响应文件正本中，竞争性谈判文件第七篇响应文件格式中规定签字、盖章的地方必须按其规定签字、盖章。</w:t>
      </w:r>
    </w:p>
    <w:p w14:paraId="7D919FCE">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3.若供应商对响应文件的错处作必要修改，则应在修改处加盖供应商公章或由法定代表人或法定代表人授权代表签字确认。</w:t>
      </w:r>
    </w:p>
    <w:p w14:paraId="72E0F0D6">
      <w:pPr>
        <w:snapToGrid w:val="0"/>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4.电报、电话、传真形式的响应文件概不接受。</w:t>
      </w:r>
    </w:p>
    <w:p w14:paraId="27D3AF09">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（五）响应文件的递交</w:t>
      </w:r>
    </w:p>
    <w:p w14:paraId="608C7EE6">
      <w:pPr>
        <w:pStyle w:val="9"/>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响应文件的正本、副本以及电子文档均应密封送达谈判地点，应在封套上注明谈判项目名称、供应商名称。若正本、副本以及电子文档分别进行密封的，还应在封套上注明“正本”、“副本”、“电子文档”字样。</w:t>
      </w:r>
    </w:p>
    <w:p w14:paraId="26D75649">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（六）响应文件语言：简体中文</w:t>
      </w:r>
    </w:p>
    <w:p w14:paraId="7AFE071C">
      <w:pPr>
        <w:snapToGrid w:val="0"/>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（七）供应商参与人员</w:t>
      </w:r>
    </w:p>
    <w:p w14:paraId="33990B6A">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各供应商应当派1-2名代表参与谈判，至少1人应为法定代表人或具有法定代表人授权委托书的授权代表。</w:t>
      </w:r>
    </w:p>
    <w:p w14:paraId="1E387EFE">
      <w:pPr>
        <w:pStyle w:val="3"/>
        <w:spacing w:before="0" w:after="0" w:line="400" w:lineRule="exact"/>
        <w:rPr>
          <w:rFonts w:hint="eastAsia" w:ascii="仿宋" w:hAnsi="仿宋" w:eastAsia="仿宋" w:cs="仿宋"/>
          <w:color w:val="auto"/>
          <w:sz w:val="24"/>
          <w:szCs w:val="24"/>
          <w:highlight w:val="none"/>
        </w:rPr>
      </w:pPr>
      <w:bookmarkStart w:id="69" w:name="_Toc32287"/>
      <w:bookmarkStart w:id="70" w:name="_Toc23406502"/>
      <w:r>
        <w:rPr>
          <w:rFonts w:hint="eastAsia" w:ascii="仿宋" w:hAnsi="仿宋" w:eastAsia="仿宋" w:cs="仿宋"/>
          <w:color w:val="auto"/>
          <w:sz w:val="24"/>
          <w:szCs w:val="24"/>
          <w:highlight w:val="none"/>
        </w:rPr>
        <w:t>四、成交供应商的确定和变更</w:t>
      </w:r>
      <w:bookmarkEnd w:id="69"/>
      <w:bookmarkEnd w:id="70"/>
    </w:p>
    <w:p w14:paraId="6DD7770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14:paraId="78A93A48">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（二）成交供应商的变更</w:t>
      </w:r>
    </w:p>
    <w:p w14:paraId="274E285F">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成交供应商拒绝签订政府采购合同的，采购人可以按照评审报告推荐的成交候选人顺序，确定排名下一位的候选人为成交供应商，也可以重新开展政府采购活动。拒绝签订政府采购合同的成交供应商不得参加对该项目重新开展的采购活动。</w:t>
      </w:r>
    </w:p>
    <w:p w14:paraId="7C0E3F9B">
      <w:pPr>
        <w:snapToGrid w:val="0"/>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2.成交供应商无充分理由放弃成交的，采购人将向同级财政部门报告，财政部门将根据相关法律法规的规定进行处理。</w:t>
      </w:r>
    </w:p>
    <w:p w14:paraId="4400F421">
      <w:pPr>
        <w:pStyle w:val="3"/>
        <w:spacing w:before="0" w:after="0" w:line="400" w:lineRule="exact"/>
        <w:rPr>
          <w:rFonts w:hint="eastAsia" w:ascii="仿宋" w:hAnsi="仿宋" w:eastAsia="仿宋" w:cs="仿宋"/>
          <w:color w:val="auto"/>
          <w:sz w:val="24"/>
          <w:szCs w:val="24"/>
          <w:highlight w:val="none"/>
        </w:rPr>
      </w:pPr>
      <w:bookmarkStart w:id="71" w:name="_Toc23406503"/>
      <w:bookmarkStart w:id="72" w:name="_Toc26719"/>
      <w:r>
        <w:rPr>
          <w:rFonts w:hint="eastAsia" w:ascii="仿宋" w:hAnsi="仿宋" w:eastAsia="仿宋" w:cs="仿宋"/>
          <w:color w:val="auto"/>
          <w:sz w:val="24"/>
          <w:szCs w:val="24"/>
          <w:highlight w:val="none"/>
        </w:rPr>
        <w:t>五、成交通知</w:t>
      </w:r>
      <w:bookmarkEnd w:id="71"/>
      <w:bookmarkEnd w:id="72"/>
    </w:p>
    <w:p w14:paraId="6513D736">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（一）成交供应商确定后，采购代理机构将在行采家（https://www.gec123.com/）上发布成交结果公告。</w:t>
      </w:r>
    </w:p>
    <w:p w14:paraId="324046D1">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（二）结果公告发出同时，采购代理机构将以书面形式发出《成交通知书》。《成交通知书》一经发出即发生法律效力。</w:t>
      </w:r>
    </w:p>
    <w:p w14:paraId="64AD6BA6">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（三）《成交通知书》将作为签订合同的依据。</w:t>
      </w:r>
    </w:p>
    <w:p w14:paraId="32AE8C2A">
      <w:pPr>
        <w:pStyle w:val="3"/>
        <w:spacing w:before="0" w:after="0" w:line="400" w:lineRule="exact"/>
        <w:rPr>
          <w:rFonts w:hint="eastAsia" w:ascii="仿宋" w:hAnsi="仿宋" w:eastAsia="仿宋" w:cs="仿宋"/>
          <w:color w:val="auto"/>
          <w:sz w:val="24"/>
          <w:szCs w:val="24"/>
          <w:highlight w:val="none"/>
        </w:rPr>
      </w:pPr>
      <w:bookmarkStart w:id="73" w:name="_Toc23406504"/>
      <w:bookmarkStart w:id="74" w:name="_Toc17607"/>
      <w:r>
        <w:rPr>
          <w:rFonts w:hint="eastAsia" w:ascii="仿宋" w:hAnsi="仿宋" w:eastAsia="仿宋" w:cs="仿宋"/>
          <w:color w:val="auto"/>
          <w:sz w:val="24"/>
          <w:szCs w:val="24"/>
          <w:highlight w:val="none"/>
        </w:rPr>
        <w:t>六、关于质疑和投诉</w:t>
      </w:r>
      <w:bookmarkEnd w:id="73"/>
      <w:bookmarkEnd w:id="74"/>
    </w:p>
    <w:p w14:paraId="715DA9AC">
      <w:pPr>
        <w:spacing w:line="400" w:lineRule="exact"/>
        <w:ind w:firstLine="360" w:firstLineChars="1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（一）质疑</w:t>
      </w:r>
    </w:p>
    <w:p w14:paraId="01775B34">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供应商认为采购文件、采购过程和成交结果使自己的权益受到伤害的，可向采购人或采购代理机构以书面形式提出质疑。</w:t>
      </w:r>
    </w:p>
    <w:p w14:paraId="20AC4795">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提出质疑的应当是参与所质疑项目采购活动的供应商。 </w:t>
      </w:r>
    </w:p>
    <w:p w14:paraId="4AA7AB07">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1.质疑时限、内容</w:t>
      </w:r>
    </w:p>
    <w:p w14:paraId="1117CC9A">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1.1供应商认为采购文件、采购过程、成交结果使自己的权益受到损害的，可以在知道或者应知其权益受到损害之日起7个工作日内，以书面形式向采购人、采购代理机构提出质疑。</w:t>
      </w:r>
    </w:p>
    <w:p w14:paraId="7E046876">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1.2供应商提出质疑应当提交质疑函和必要的证明材料，质疑函应当包括下列内容：</w:t>
      </w:r>
    </w:p>
    <w:p w14:paraId="7ED8834F">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1.2.1供应商的姓名或者名称、地址、邮编、联系人及联系电话；</w:t>
      </w:r>
    </w:p>
    <w:p w14:paraId="14A22431">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1.2.2质疑项目的名称、项目号以及谈判项目编号；</w:t>
      </w:r>
    </w:p>
    <w:p w14:paraId="5CAD1A6C">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1.2.3具体、明确的质疑事项和与质疑事项相关的请求；</w:t>
      </w:r>
    </w:p>
    <w:p w14:paraId="1117514A">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1.2.4事实依据；</w:t>
      </w:r>
    </w:p>
    <w:p w14:paraId="77F6F0E1">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1.2.5必要的法律依据；</w:t>
      </w:r>
    </w:p>
    <w:p w14:paraId="6D020782">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1.2.6提出质疑的日期；</w:t>
      </w:r>
    </w:p>
    <w:p w14:paraId="1ABEF854">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1.2.7营业执照（或事业单位法人证书，或个体工商户营业执照或有效的自然人身份证明、组织机构代码证）复印件；</w:t>
      </w:r>
    </w:p>
    <w:p w14:paraId="705C7B8B">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1.2.8法定代表人授权委托书原件、法定代表人身份证复印件和其授权代表的身份证复印件（供应商为自然人的提供自然人身份证复印件）；</w:t>
      </w:r>
    </w:p>
    <w:p w14:paraId="4B13CC86">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1.3供应商为自然人的，质疑函应当由本人签字；供应商为法人或者其他组织的，质疑函应当由法定代表人、主要负责人，或者其授权代表签字或者盖章，并加盖公章。</w:t>
      </w:r>
    </w:p>
    <w:p w14:paraId="63E2273B">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2.质疑答复</w:t>
      </w:r>
    </w:p>
    <w:p w14:paraId="3BDB89D7">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采购人、采购代理机构应当在收到供应商的书面质疑后七个工作日内作出答复，并以书面形式通知质疑供应商和其他有关供应商。</w:t>
      </w:r>
    </w:p>
    <w:p w14:paraId="07A2E632">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3.其他</w:t>
      </w:r>
    </w:p>
    <w:p w14:paraId="158DCE11">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3.1供应商应按照《政府采购质疑和投诉办法》（财政部令第94号）及相关法律法规要求，在法定质疑期内一次性提出针对同一采购程序环节的质疑。</w:t>
      </w:r>
    </w:p>
    <w:p w14:paraId="1D8BA925">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3.2质疑函范本可在财政部门户网站和中国政府采购网下载。</w:t>
      </w:r>
    </w:p>
    <w:p w14:paraId="02C5F406">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w:t>
      </w:r>
    </w:p>
    <w:p w14:paraId="06ED736B">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1.供应商对采购人、采购代理机构的答复不满意，或者采购人、采购代理机构未在规定时间内作出答复的，可以在答复期满后15个工作日内按照相关法律法规向财政部门提起投诉。</w:t>
      </w:r>
    </w:p>
    <w:p w14:paraId="7BC4EEEE">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2.供应商应按照《政府采购质疑和投诉办法》（财政部令第94号）及相关法律法规要求递交投诉书和必要的证明材料。投诉书范本可在财政部门户网站和中国政府采购网下载。</w:t>
      </w:r>
    </w:p>
    <w:p w14:paraId="2B1EC59F">
      <w:pPr>
        <w:spacing w:line="400" w:lineRule="exact"/>
        <w:ind w:right="12"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书应当使用中文，相关当事人提供外文书证或者外国语视听资料的，应当附有中文译本，由翻译机构盖章或者翻译人员签名；相关当事人向财政部门提供的在中华人民共和国领域外形成的证据，应当说明来源，经所在国公证机关证明，并经中华人民共和国驻该国使领馆认证，或者履行中华人民共和国与证据所在国订立的有关条约中规定的证明手续；相关当事人提供的在香港特别行政区、澳门特别行政区和台湾地区内形成的证据，应当履行相关的证明手续。</w:t>
      </w:r>
    </w:p>
    <w:p w14:paraId="7D621D80">
      <w:pPr>
        <w:spacing w:line="4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4.在确定受理投诉后，财政部门自受理投诉之日起30个工作日内（需要检验、检测、鉴定、专家评审以及需要投诉人补正材料的，所需时间不计算在投诉处理期限内）对投诉事项做出处理决定。</w:t>
      </w:r>
    </w:p>
    <w:bookmarkEnd w:id="64"/>
    <w:p w14:paraId="30B29B05">
      <w:pPr>
        <w:pStyle w:val="3"/>
        <w:spacing w:before="0" w:after="0" w:line="400" w:lineRule="exact"/>
        <w:rPr>
          <w:rFonts w:hint="eastAsia" w:ascii="仿宋" w:hAnsi="仿宋" w:eastAsia="仿宋" w:cs="仿宋"/>
          <w:color w:val="auto"/>
          <w:sz w:val="24"/>
          <w:szCs w:val="24"/>
          <w:highlight w:val="none"/>
        </w:rPr>
      </w:pPr>
      <w:bookmarkStart w:id="75" w:name="_Toc23406505"/>
      <w:bookmarkStart w:id="76" w:name="_Toc27648"/>
      <w:bookmarkStart w:id="77" w:name="_Toc318159780"/>
      <w:bookmarkStart w:id="78" w:name="_Toc318159160"/>
      <w:bookmarkStart w:id="79" w:name="_Toc318159349"/>
      <w:bookmarkStart w:id="80" w:name="_Toc318166429"/>
      <w:r>
        <w:rPr>
          <w:rFonts w:hint="eastAsia" w:ascii="仿宋" w:hAnsi="仿宋" w:eastAsia="仿宋" w:cs="仿宋"/>
          <w:color w:val="auto"/>
          <w:sz w:val="24"/>
          <w:szCs w:val="24"/>
          <w:highlight w:val="none"/>
        </w:rPr>
        <w:t>七、签订合同</w:t>
      </w:r>
      <w:bookmarkEnd w:id="75"/>
      <w:bookmarkEnd w:id="76"/>
    </w:p>
    <w:p w14:paraId="2406EDFA">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采购人原则上应在成交通知书发出之日起二十日内和成交供应商签订采购合同，无正当理由不得拒绝或拖延合同签订。所签订的合同不得对竞争性谈判文件和供应商的响应文件作实质性修改。其他未尽事宜由采购人和成交供应商在采购合同中详细约定。</w:t>
      </w:r>
    </w:p>
    <w:p w14:paraId="453FC0DE">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二</w:t>
      </w:r>
      <w:r>
        <w:rPr>
          <w:rFonts w:hint="eastAsia" w:ascii="仿宋" w:hAnsi="仿宋" w:eastAsia="仿宋" w:cs="仿宋"/>
          <w:color w:val="auto"/>
          <w:sz w:val="24"/>
          <w:highlight w:val="none"/>
        </w:rPr>
        <w:t>）竞争性谈判文件、供应商的响应文件及澄清文件等，均为签订政府采购合同的依据。</w:t>
      </w:r>
    </w:p>
    <w:p w14:paraId="16AFA1CD">
      <w:pPr>
        <w:spacing w:line="4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三</w:t>
      </w:r>
      <w:r>
        <w:rPr>
          <w:rFonts w:hint="eastAsia" w:ascii="仿宋" w:hAnsi="仿宋" w:eastAsia="仿宋" w:cs="仿宋"/>
          <w:color w:val="auto"/>
          <w:sz w:val="24"/>
          <w:highlight w:val="none"/>
        </w:rPr>
        <w:t>）合同生效条款由供需双方约定，法律、行政法规规定应当办理批准、登记等手续后生效的合同，依照其规定。</w:t>
      </w:r>
    </w:p>
    <w:p w14:paraId="054733CF">
      <w:pPr>
        <w:spacing w:line="40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四</w:t>
      </w:r>
      <w:r>
        <w:rPr>
          <w:rFonts w:hint="eastAsia" w:ascii="仿宋" w:hAnsi="仿宋" w:eastAsia="仿宋" w:cs="仿宋"/>
          <w:color w:val="auto"/>
          <w:sz w:val="24"/>
          <w:highlight w:val="none"/>
        </w:rPr>
        <w:t>）采购人要求成交供应商提供履约保证金的，应当在竞争性谈判文件中予以约定。成交供应商履约完毕后，采购人根据采购文件规定无息退还其履约保证金</w:t>
      </w:r>
      <w:r>
        <w:rPr>
          <w:rFonts w:hint="eastAsia" w:ascii="仿宋" w:hAnsi="仿宋" w:eastAsia="仿宋" w:cs="仿宋"/>
          <w:color w:val="auto"/>
          <w:sz w:val="24"/>
          <w:szCs w:val="24"/>
          <w:highlight w:val="none"/>
        </w:rPr>
        <w:t>。</w:t>
      </w:r>
    </w:p>
    <w:p w14:paraId="22780C74">
      <w:pPr>
        <w:pStyle w:val="3"/>
        <w:spacing w:before="0" w:after="0" w:line="400" w:lineRule="exact"/>
        <w:rPr>
          <w:rFonts w:hint="eastAsia" w:ascii="仿宋" w:hAnsi="仿宋" w:eastAsia="仿宋" w:cs="仿宋"/>
          <w:color w:val="auto"/>
          <w:sz w:val="24"/>
          <w:szCs w:val="24"/>
          <w:highlight w:val="none"/>
        </w:rPr>
      </w:pPr>
      <w:bookmarkStart w:id="81" w:name="_Toc22328"/>
      <w:bookmarkStart w:id="82" w:name="_Toc23406506"/>
      <w:r>
        <w:rPr>
          <w:rFonts w:hint="eastAsia" w:ascii="仿宋" w:hAnsi="仿宋" w:eastAsia="仿宋" w:cs="仿宋"/>
          <w:color w:val="auto"/>
          <w:sz w:val="24"/>
          <w:szCs w:val="24"/>
          <w:highlight w:val="none"/>
        </w:rPr>
        <w:t>八、采购代理服务费</w:t>
      </w:r>
      <w:bookmarkEnd w:id="81"/>
      <w:bookmarkEnd w:id="82"/>
    </w:p>
    <w:p w14:paraId="08D064AB">
      <w:pPr>
        <w:spacing w:line="400" w:lineRule="exact"/>
        <w:ind w:firstLine="480" w:firstLineChars="200"/>
        <w:rPr>
          <w:rFonts w:hint="eastAsia" w:ascii="仿宋" w:hAnsi="仿宋" w:eastAsia="仿宋" w:cs="仿宋"/>
          <w:color w:val="auto"/>
          <w:sz w:val="24"/>
          <w:szCs w:val="24"/>
          <w:highlight w:val="none"/>
          <w:lang w:eastAsia="zh-CN"/>
        </w:rPr>
      </w:pPr>
      <w:bookmarkStart w:id="83" w:name="OLE_LINK8"/>
      <w:bookmarkStart w:id="84" w:name="OLE_LINK7"/>
      <w:r>
        <w:rPr>
          <w:rFonts w:hint="eastAsia" w:ascii="仿宋" w:hAnsi="仿宋" w:eastAsia="仿宋" w:cs="仿宋"/>
          <w:color w:val="auto"/>
          <w:sz w:val="24"/>
          <w:highlight w:val="none"/>
          <w:lang w:val="en-US" w:eastAsia="zh-CN"/>
        </w:rPr>
        <w:t>供应商成交</w:t>
      </w:r>
      <w:r>
        <w:rPr>
          <w:rFonts w:hint="eastAsia" w:ascii="仿宋" w:hAnsi="仿宋" w:eastAsia="仿宋" w:cs="仿宋"/>
          <w:color w:val="auto"/>
          <w:sz w:val="24"/>
          <w:highlight w:val="none"/>
        </w:rPr>
        <w:t>后在领取</w:t>
      </w:r>
      <w:r>
        <w:rPr>
          <w:rFonts w:hint="eastAsia" w:ascii="仿宋" w:hAnsi="仿宋" w:eastAsia="仿宋" w:cs="仿宋"/>
          <w:color w:val="auto"/>
          <w:sz w:val="24"/>
          <w:highlight w:val="none"/>
          <w:lang w:val="en-US" w:eastAsia="zh-CN"/>
        </w:rPr>
        <w:t>成交</w:t>
      </w:r>
      <w:r>
        <w:rPr>
          <w:rFonts w:hint="eastAsia" w:ascii="仿宋" w:hAnsi="仿宋" w:eastAsia="仿宋" w:cs="仿宋"/>
          <w:color w:val="auto"/>
          <w:sz w:val="24"/>
          <w:highlight w:val="none"/>
        </w:rPr>
        <w:t>通知书之前向采购代理机构缴纳招标代理服务费，招标</w:t>
      </w:r>
      <w:r>
        <w:rPr>
          <w:rFonts w:hint="eastAsia" w:ascii="仿宋" w:hAnsi="仿宋" w:eastAsia="仿宋" w:cs="仿宋"/>
          <w:color w:val="auto"/>
          <w:sz w:val="24"/>
          <w:szCs w:val="24"/>
          <w:highlight w:val="none"/>
        </w:rPr>
        <w:t>代理服务费按照</w:t>
      </w:r>
      <w:r>
        <w:rPr>
          <w:rFonts w:hint="eastAsia" w:ascii="仿宋" w:hAnsi="仿宋" w:eastAsia="仿宋" w:cs="仿宋"/>
          <w:color w:val="auto"/>
          <w:sz w:val="24"/>
          <w:szCs w:val="24"/>
          <w:highlight w:val="none"/>
          <w:lang w:val="en-US" w:eastAsia="zh-CN"/>
        </w:rPr>
        <w:t>包干价</w:t>
      </w:r>
      <w:r>
        <w:rPr>
          <w:rFonts w:hint="eastAsia" w:ascii="仿宋" w:hAnsi="仿宋" w:eastAsia="仿宋" w:cs="仿宋"/>
          <w:color w:val="auto"/>
          <w:sz w:val="24"/>
          <w:szCs w:val="24"/>
          <w:highlight w:val="none"/>
          <w:u w:val="single"/>
          <w:lang w:val="en-US" w:eastAsia="zh-CN"/>
        </w:rPr>
        <w:t>4000元</w:t>
      </w:r>
      <w:r>
        <w:rPr>
          <w:rFonts w:hint="eastAsia" w:ascii="仿宋" w:hAnsi="仿宋" w:eastAsia="仿宋" w:cs="仿宋"/>
          <w:color w:val="auto"/>
          <w:sz w:val="24"/>
          <w:szCs w:val="24"/>
          <w:highlight w:val="none"/>
        </w:rPr>
        <w:t>收取</w:t>
      </w:r>
      <w:bookmarkEnd w:id="83"/>
      <w:bookmarkEnd w:id="84"/>
      <w:bookmarkStart w:id="85" w:name="_Toc343881212"/>
      <w:bookmarkStart w:id="86" w:name="_Toc342983494"/>
      <w:bookmarkStart w:id="87" w:name="_Toc429584878"/>
      <w:bookmarkStart w:id="88" w:name="_Toc345318310"/>
      <w:r>
        <w:rPr>
          <w:rFonts w:hint="eastAsia" w:ascii="仿宋" w:hAnsi="仿宋" w:eastAsia="仿宋" w:cs="仿宋"/>
          <w:color w:val="auto"/>
          <w:sz w:val="24"/>
          <w:szCs w:val="24"/>
          <w:highlight w:val="none"/>
          <w:lang w:eastAsia="zh-CN"/>
        </w:rPr>
        <w:t>。</w:t>
      </w:r>
      <w:bookmarkEnd w:id="85"/>
      <w:bookmarkEnd w:id="86"/>
      <w:bookmarkEnd w:id="87"/>
      <w:bookmarkEnd w:id="88"/>
    </w:p>
    <w:p w14:paraId="2D33F103">
      <w:pPr>
        <w:spacing w:line="360" w:lineRule="auto"/>
        <w:ind w:firstLine="480" w:firstLineChars="200"/>
        <w:rPr>
          <w:rFonts w:hint="eastAsia" w:ascii="仿宋" w:hAnsi="仿宋" w:eastAsia="仿宋" w:cs="仿宋"/>
          <w:color w:val="auto"/>
          <w:sz w:val="24"/>
          <w:szCs w:val="24"/>
          <w:highlight w:val="none"/>
        </w:rPr>
        <w:sectPr>
          <w:pgSz w:w="11907" w:h="16840"/>
          <w:pgMar w:top="1134" w:right="1191" w:bottom="1134" w:left="1304" w:header="964" w:footer="992" w:gutter="0"/>
          <w:cols w:space="0" w:num="1"/>
          <w:docGrid w:linePitch="312" w:charSpace="0"/>
        </w:sectPr>
      </w:pPr>
    </w:p>
    <w:bookmarkEnd w:id="77"/>
    <w:bookmarkEnd w:id="78"/>
    <w:bookmarkEnd w:id="79"/>
    <w:bookmarkEnd w:id="80"/>
    <w:p w14:paraId="65B1BC9A">
      <w:pPr>
        <w:rPr>
          <w:rFonts w:hint="eastAsia" w:ascii="仿宋" w:hAnsi="仿宋" w:eastAsia="仿宋" w:cs="仿宋"/>
          <w:color w:val="auto"/>
          <w:sz w:val="24"/>
          <w:highlight w:val="none"/>
        </w:rPr>
      </w:pPr>
      <w:bookmarkStart w:id="89" w:name="_Toc303945820"/>
      <w:bookmarkStart w:id="90" w:name="_Toc148265480"/>
    </w:p>
    <w:bookmarkEnd w:id="89"/>
    <w:bookmarkEnd w:id="90"/>
    <w:p w14:paraId="662CB304">
      <w:pPr>
        <w:pageBreakBefore w:val="0"/>
        <w:widowControl w:val="0"/>
        <w:numPr>
          <w:ilvl w:val="0"/>
          <w:numId w:val="4"/>
        </w:numPr>
        <w:kinsoku/>
        <w:wordWrap/>
        <w:overflowPunct/>
        <w:topLinePunct w:val="0"/>
        <w:autoSpaceDE/>
        <w:autoSpaceDN/>
        <w:bidi w:val="0"/>
        <w:spacing w:line="400" w:lineRule="exact"/>
        <w:jc w:val="center"/>
        <w:textAlignment w:val="auto"/>
        <w:rPr>
          <w:rStyle w:val="22"/>
          <w:rFonts w:hint="eastAsia" w:ascii="仿宋" w:hAnsi="仿宋" w:eastAsia="仿宋" w:cs="仿宋"/>
          <w:b w:val="0"/>
          <w:bCs/>
          <w:color w:val="auto"/>
          <w:sz w:val="36"/>
          <w:szCs w:val="36"/>
          <w:highlight w:val="none"/>
          <w:lang w:val="en-US" w:eastAsia="zh-CN"/>
        </w:rPr>
      </w:pPr>
      <w:bookmarkStart w:id="91" w:name="_Toc28765"/>
      <w:r>
        <w:rPr>
          <w:rStyle w:val="22"/>
          <w:rFonts w:hint="eastAsia" w:ascii="仿宋" w:hAnsi="仿宋" w:eastAsia="仿宋" w:cs="仿宋"/>
          <w:b w:val="0"/>
          <w:bCs/>
          <w:color w:val="auto"/>
          <w:sz w:val="36"/>
          <w:szCs w:val="36"/>
          <w:highlight w:val="none"/>
          <w:lang w:val="en-US" w:eastAsia="zh-CN"/>
        </w:rPr>
        <w:t xml:space="preserve"> 合同模板</w:t>
      </w:r>
    </w:p>
    <w:bookmarkEnd w:id="91"/>
    <w:p w14:paraId="57C1344F">
      <w:pPr>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 w:hAnsi="仿宋" w:eastAsia="仿宋" w:cs="仿宋"/>
          <w:b/>
          <w:bCs w:val="0"/>
          <w:kern w:val="2"/>
          <w:sz w:val="36"/>
          <w:szCs w:val="36"/>
          <w:highlight w:val="none"/>
          <w:lang w:val="en-US" w:eastAsia="zh-CN" w:bidi="ar"/>
        </w:rPr>
      </w:pPr>
    </w:p>
    <w:p w14:paraId="0E310CC4">
      <w:pPr>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 w:hAnsi="仿宋" w:eastAsia="仿宋" w:cs="仿宋"/>
          <w:b/>
          <w:bCs w:val="0"/>
          <w:kern w:val="2"/>
          <w:sz w:val="36"/>
          <w:szCs w:val="36"/>
          <w:highlight w:val="none"/>
          <w:lang w:val="en-US" w:eastAsia="zh-CN" w:bidi="ar"/>
        </w:rPr>
      </w:pPr>
      <w:r>
        <w:rPr>
          <w:rFonts w:hint="eastAsia" w:ascii="仿宋" w:hAnsi="仿宋" w:eastAsia="仿宋" w:cs="仿宋"/>
          <w:b/>
          <w:bCs w:val="0"/>
          <w:kern w:val="2"/>
          <w:sz w:val="36"/>
          <w:szCs w:val="36"/>
          <w:highlight w:val="none"/>
          <w:lang w:val="en-US" w:eastAsia="zh-CN" w:bidi="ar"/>
        </w:rPr>
        <w:t>重庆市政府采购合同</w:t>
      </w:r>
    </w:p>
    <w:p w14:paraId="3E05DF41">
      <w:pPr>
        <w:pageBreakBefore w:val="0"/>
        <w:widowControl w:val="0"/>
        <w:numPr>
          <w:ilvl w:val="0"/>
          <w:numId w:val="0"/>
        </w:numPr>
        <w:kinsoku/>
        <w:wordWrap/>
        <w:overflowPunct/>
        <w:topLinePunct w:val="0"/>
        <w:autoSpaceDE/>
        <w:autoSpaceDN/>
        <w:bidi w:val="0"/>
        <w:spacing w:line="400" w:lineRule="exact"/>
        <w:jc w:val="center"/>
        <w:textAlignment w:val="auto"/>
        <w:rPr>
          <w:rFonts w:hint="eastAsia" w:ascii="仿宋" w:hAnsi="仿宋" w:eastAsia="仿宋" w:cs="仿宋"/>
          <w:kern w:val="2"/>
          <w:sz w:val="28"/>
          <w:szCs w:val="28"/>
          <w:highlight w:val="none"/>
          <w:lang w:val="en-US" w:eastAsia="zh-CN" w:bidi="ar"/>
        </w:rPr>
      </w:pPr>
      <w:r>
        <w:rPr>
          <w:rFonts w:hint="eastAsia" w:ascii="仿宋" w:hAnsi="仿宋" w:eastAsia="仿宋" w:cs="仿宋"/>
          <w:kern w:val="2"/>
          <w:sz w:val="28"/>
          <w:szCs w:val="28"/>
          <w:highlight w:val="none"/>
          <w:lang w:val="en-US" w:eastAsia="zh-CN" w:bidi="ar"/>
        </w:rPr>
        <w:t>（项目号：     ）</w:t>
      </w:r>
    </w:p>
    <w:p w14:paraId="48381454">
      <w:pPr>
        <w:pageBreakBefore w:val="0"/>
        <w:widowControl w:val="0"/>
        <w:numPr>
          <w:ilvl w:val="0"/>
          <w:numId w:val="0"/>
        </w:numPr>
        <w:kinsoku/>
        <w:wordWrap/>
        <w:overflowPunct/>
        <w:topLinePunct w:val="0"/>
        <w:autoSpaceDE/>
        <w:autoSpaceDN/>
        <w:bidi w:val="0"/>
        <w:spacing w:line="400" w:lineRule="exact"/>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 xml:space="preserve">甲方（需方）：___________________________      </w:t>
      </w:r>
    </w:p>
    <w:p w14:paraId="0949DBF0">
      <w:pPr>
        <w:pageBreakBefore w:val="0"/>
        <w:widowControl w:val="0"/>
        <w:numPr>
          <w:ilvl w:val="0"/>
          <w:numId w:val="0"/>
        </w:numPr>
        <w:kinsoku/>
        <w:wordWrap/>
        <w:overflowPunct/>
        <w:topLinePunct w:val="0"/>
        <w:autoSpaceDE/>
        <w:autoSpaceDN/>
        <w:bidi w:val="0"/>
        <w:spacing w:line="400" w:lineRule="exact"/>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 xml:space="preserve">乙方（供方）：___________________________      </w:t>
      </w:r>
    </w:p>
    <w:p w14:paraId="1853812B">
      <w:pPr>
        <w:pageBreakBefore w:val="0"/>
        <w:widowControl w:val="0"/>
        <w:numPr>
          <w:ilvl w:val="0"/>
          <w:numId w:val="0"/>
        </w:numPr>
        <w:kinsoku/>
        <w:wordWrap/>
        <w:overflowPunct/>
        <w:topLinePunct w:val="0"/>
        <w:autoSpaceDE/>
        <w:autoSpaceDN/>
        <w:bidi w:val="0"/>
        <w:spacing w:line="400" w:lineRule="exact"/>
        <w:jc w:val="both"/>
        <w:textAlignment w:val="auto"/>
        <w:rPr>
          <w:rFonts w:hint="eastAsia"/>
          <w:highlight w:val="none"/>
          <w:lang w:val="en-US" w:eastAsia="zh-CN"/>
        </w:rPr>
      </w:pPr>
      <w:r>
        <w:rPr>
          <w:rFonts w:hint="eastAsia" w:ascii="仿宋" w:hAnsi="仿宋" w:eastAsia="仿宋" w:cs="仿宋"/>
          <w:kern w:val="2"/>
          <w:sz w:val="24"/>
          <w:szCs w:val="24"/>
          <w:highlight w:val="none"/>
          <w:lang w:val="en-US" w:eastAsia="zh-CN" w:bidi="ar"/>
        </w:rPr>
        <w:t>经双方协商一致，达成以下购销合同：</w:t>
      </w:r>
    </w:p>
    <w:tbl>
      <w:tblPr>
        <w:tblStyle w:val="17"/>
        <w:tblpPr w:leftFromText="180" w:rightFromText="180" w:vertAnchor="text" w:horzAnchor="page" w:tblpX="1091" w:tblpY="25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21"/>
        <w:gridCol w:w="1924"/>
        <w:gridCol w:w="125"/>
        <w:gridCol w:w="1799"/>
        <w:gridCol w:w="1924"/>
        <w:gridCol w:w="1935"/>
      </w:tblGrid>
      <w:tr w14:paraId="382A9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14:paraId="49B8CCF3">
            <w:pPr>
              <w:keepNext w:val="0"/>
              <w:keepLines w:val="0"/>
              <w:widowControl w:val="0"/>
              <w:suppressLineNumbers w:val="0"/>
              <w:snapToGrid w:val="0"/>
              <w:spacing w:before="0" w:beforeAutospacing="0" w:after="0" w:afterAutospacing="0" w:line="400" w:lineRule="exact"/>
              <w:ind w:left="0" w:right="0" w:rightChars="0" w:firstLine="240" w:firstLineChars="10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服务名称</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45921096">
            <w:pPr>
              <w:keepNext w:val="0"/>
              <w:keepLines w:val="0"/>
              <w:widowControl w:val="0"/>
              <w:suppressLineNumbers w:val="0"/>
              <w:snapToGrid w:val="0"/>
              <w:spacing w:before="0" w:beforeAutospacing="0" w:after="0" w:afterAutospacing="0" w:line="400" w:lineRule="exact"/>
              <w:ind w:left="0" w:leftChars="0" w:right="0" w:rightChars="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数量</w:t>
            </w:r>
          </w:p>
        </w:tc>
        <w:tc>
          <w:tcPr>
            <w:tcW w:w="999" w:type="pct"/>
            <w:gridSpan w:val="2"/>
            <w:tcBorders>
              <w:top w:val="single" w:color="auto" w:sz="4" w:space="0"/>
              <w:left w:val="single" w:color="auto" w:sz="4" w:space="0"/>
              <w:bottom w:val="single" w:color="auto" w:sz="4" w:space="0"/>
              <w:right w:val="single" w:color="auto" w:sz="4" w:space="0"/>
            </w:tcBorders>
            <w:shd w:val="clear" w:color="auto" w:fill="auto"/>
            <w:vAlign w:val="top"/>
          </w:tcPr>
          <w:p w14:paraId="17D009C1">
            <w:pPr>
              <w:keepNext w:val="0"/>
              <w:keepLines w:val="0"/>
              <w:widowControl w:val="0"/>
              <w:suppressLineNumbers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综合单价（元）</w:t>
            </w: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47B1A9F9">
            <w:pPr>
              <w:keepNext w:val="0"/>
              <w:keepLines w:val="0"/>
              <w:widowControl w:val="0"/>
              <w:suppressLineNumbers w:val="0"/>
              <w:snapToGrid w:val="0"/>
              <w:spacing w:before="0" w:beforeAutospacing="0" w:after="0" w:afterAutospacing="0" w:line="400" w:lineRule="exact"/>
              <w:ind w:left="0" w:leftChars="0" w:right="0" w:rightChars="0"/>
              <w:jc w:val="center"/>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服务时间</w:t>
            </w: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31A48891">
            <w:pPr>
              <w:keepNext w:val="0"/>
              <w:keepLines w:val="0"/>
              <w:widowControl w:val="0"/>
              <w:suppressLineNumbers w:val="0"/>
              <w:snapToGrid w:val="0"/>
              <w:spacing w:before="0" w:beforeAutospacing="0" w:after="0" w:afterAutospacing="0" w:line="400" w:lineRule="exact"/>
              <w:ind w:left="0" w:leftChars="0" w:right="0" w:rightChars="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服务地点</w:t>
            </w:r>
          </w:p>
        </w:tc>
      </w:tr>
      <w:tr w14:paraId="76A43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998" w:type="pct"/>
            <w:tcBorders>
              <w:top w:val="single" w:color="auto" w:sz="4" w:space="0"/>
              <w:left w:val="single" w:color="auto" w:sz="4" w:space="0"/>
              <w:bottom w:val="single" w:color="auto" w:sz="4" w:space="0"/>
              <w:right w:val="single" w:color="auto" w:sz="4" w:space="0"/>
            </w:tcBorders>
            <w:shd w:val="clear" w:color="auto" w:fill="auto"/>
            <w:vAlign w:val="center"/>
          </w:tcPr>
          <w:p w14:paraId="4DFA700B">
            <w:pPr>
              <w:keepNext w:val="0"/>
              <w:keepLines w:val="0"/>
              <w:widowControl w:val="0"/>
              <w:suppressLineNumbers w:val="0"/>
              <w:snapToGrid w:val="0"/>
              <w:spacing w:before="0" w:beforeAutospacing="0" w:after="0" w:afterAutospacing="0" w:line="400" w:lineRule="exact"/>
              <w:ind w:left="0" w:leftChars="0" w:right="0" w:rightChars="0" w:firstLine="480" w:firstLineChars="200"/>
              <w:jc w:val="both"/>
              <w:rPr>
                <w:rFonts w:hint="eastAsia" w:ascii="方正仿宋_GBK" w:hAnsi="方正仿宋_GBK" w:eastAsia="方正仿宋_GBK" w:cs="方正仿宋_GBK"/>
                <w:kern w:val="2"/>
                <w:sz w:val="24"/>
                <w:szCs w:val="24"/>
                <w:highlight w:val="none"/>
                <w:lang w:val="en-US" w:eastAsia="zh-CN" w:bidi="ar-SA"/>
              </w:rPr>
            </w:pP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711C1B78">
            <w:pPr>
              <w:keepNext w:val="0"/>
              <w:keepLines w:val="0"/>
              <w:widowControl w:val="0"/>
              <w:suppressLineNumbers w:val="0"/>
              <w:snapToGrid w:val="0"/>
              <w:spacing w:before="0" w:beforeAutospacing="0" w:after="0" w:afterAutospacing="0" w:line="400" w:lineRule="exact"/>
              <w:ind w:left="0" w:leftChars="0" w:right="0" w:rightChars="0" w:firstLine="480" w:firstLineChars="200"/>
              <w:jc w:val="both"/>
              <w:rPr>
                <w:rFonts w:hint="eastAsia" w:ascii="方正仿宋_GBK" w:hAnsi="方正仿宋_GBK" w:eastAsia="方正仿宋_GBK" w:cs="方正仿宋_GBK"/>
                <w:kern w:val="2"/>
                <w:sz w:val="24"/>
                <w:szCs w:val="24"/>
                <w:highlight w:val="none"/>
                <w:lang w:val="en-US" w:eastAsia="zh-CN" w:bidi="ar-SA"/>
              </w:rPr>
            </w:pPr>
          </w:p>
        </w:tc>
        <w:tc>
          <w:tcPr>
            <w:tcW w:w="999" w:type="pct"/>
            <w:gridSpan w:val="2"/>
            <w:tcBorders>
              <w:top w:val="single" w:color="auto" w:sz="4" w:space="0"/>
              <w:left w:val="single" w:color="auto" w:sz="4" w:space="0"/>
              <w:bottom w:val="single" w:color="auto" w:sz="4" w:space="0"/>
              <w:right w:val="single" w:color="auto" w:sz="4" w:space="0"/>
            </w:tcBorders>
            <w:shd w:val="clear" w:color="auto" w:fill="auto"/>
            <w:vAlign w:val="center"/>
          </w:tcPr>
          <w:p w14:paraId="40D0A746">
            <w:pPr>
              <w:keepNext w:val="0"/>
              <w:keepLines w:val="0"/>
              <w:widowControl w:val="0"/>
              <w:suppressLineNumbers w:val="0"/>
              <w:snapToGrid w:val="0"/>
              <w:spacing w:before="0" w:beforeAutospacing="0" w:after="0" w:afterAutospacing="0" w:line="400" w:lineRule="exact"/>
              <w:ind w:left="0" w:leftChars="0" w:right="0" w:rightChars="0" w:firstLine="480" w:firstLineChars="200"/>
              <w:jc w:val="center"/>
              <w:rPr>
                <w:rFonts w:hint="eastAsia" w:ascii="方正仿宋_GBK" w:hAnsi="方正仿宋_GBK" w:eastAsia="方正仿宋_GBK" w:cs="方正仿宋_GBK"/>
                <w:kern w:val="2"/>
                <w:sz w:val="24"/>
                <w:szCs w:val="24"/>
                <w:highlight w:val="none"/>
                <w:lang w:val="en-US" w:eastAsia="zh-CN" w:bidi="ar-SA"/>
              </w:rPr>
            </w:pPr>
          </w:p>
        </w:tc>
        <w:tc>
          <w:tcPr>
            <w:tcW w:w="999" w:type="pct"/>
            <w:tcBorders>
              <w:top w:val="single" w:color="auto" w:sz="4" w:space="0"/>
              <w:left w:val="single" w:color="auto" w:sz="4" w:space="0"/>
              <w:bottom w:val="single" w:color="auto" w:sz="4" w:space="0"/>
              <w:right w:val="single" w:color="auto" w:sz="4" w:space="0"/>
            </w:tcBorders>
            <w:shd w:val="clear" w:color="auto" w:fill="auto"/>
            <w:vAlign w:val="center"/>
          </w:tcPr>
          <w:p w14:paraId="2AE14085">
            <w:pPr>
              <w:keepNext w:val="0"/>
              <w:keepLines w:val="0"/>
              <w:widowControl w:val="0"/>
              <w:suppressLineNumbers w:val="0"/>
              <w:snapToGrid w:val="0"/>
              <w:spacing w:before="0" w:beforeAutospacing="0" w:after="0" w:afterAutospacing="0" w:line="400" w:lineRule="exact"/>
              <w:ind w:left="0" w:leftChars="0" w:right="0" w:rightChars="0" w:firstLine="480" w:firstLineChars="200"/>
              <w:jc w:val="center"/>
              <w:rPr>
                <w:rFonts w:hint="eastAsia" w:ascii="方正仿宋_GBK" w:hAnsi="方正仿宋_GBK" w:eastAsia="方正仿宋_GBK" w:cs="方正仿宋_GBK"/>
                <w:kern w:val="2"/>
                <w:sz w:val="24"/>
                <w:szCs w:val="24"/>
                <w:highlight w:val="none"/>
                <w:lang w:val="en-US" w:eastAsia="zh-CN" w:bidi="ar-SA"/>
              </w:rPr>
            </w:pPr>
          </w:p>
        </w:tc>
        <w:tc>
          <w:tcPr>
            <w:tcW w:w="1003" w:type="pct"/>
            <w:tcBorders>
              <w:top w:val="single" w:color="auto" w:sz="4" w:space="0"/>
              <w:left w:val="single" w:color="auto" w:sz="4" w:space="0"/>
              <w:bottom w:val="single" w:color="auto" w:sz="4" w:space="0"/>
              <w:right w:val="single" w:color="auto" w:sz="4" w:space="0"/>
            </w:tcBorders>
            <w:shd w:val="clear" w:color="auto" w:fill="auto"/>
            <w:vAlign w:val="center"/>
          </w:tcPr>
          <w:p w14:paraId="6A2037B7">
            <w:pPr>
              <w:keepNext w:val="0"/>
              <w:keepLines w:val="0"/>
              <w:widowControl w:val="0"/>
              <w:suppressLineNumbers w:val="0"/>
              <w:snapToGrid w:val="0"/>
              <w:spacing w:before="0" w:beforeAutospacing="0" w:after="0" w:afterAutospacing="0" w:line="400" w:lineRule="exact"/>
              <w:ind w:left="0" w:leftChars="0" w:right="0" w:rightChars="0" w:firstLine="480" w:firstLineChars="200"/>
              <w:jc w:val="both"/>
              <w:rPr>
                <w:rFonts w:hint="eastAsia" w:ascii="方正仿宋_GBK" w:hAnsi="方正仿宋_GBK" w:eastAsia="方正仿宋_GBK" w:cs="方正仿宋_GBK"/>
                <w:kern w:val="2"/>
                <w:sz w:val="24"/>
                <w:szCs w:val="24"/>
                <w:highlight w:val="none"/>
                <w:lang w:val="en-US" w:eastAsia="zh-CN" w:bidi="ar-SA"/>
              </w:rPr>
            </w:pPr>
          </w:p>
        </w:tc>
      </w:tr>
      <w:tr w14:paraId="74710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3321C0FF">
            <w:pPr>
              <w:keepNext w:val="0"/>
              <w:keepLines w:val="0"/>
              <w:widowControl w:val="0"/>
              <w:suppressLineNumbers w:val="0"/>
              <w:snapToGrid w:val="0"/>
              <w:spacing w:before="0" w:beforeAutospacing="0" w:after="0" w:afterAutospacing="0" w:line="400" w:lineRule="exact"/>
              <w:ind w:left="0" w:right="0" w:rightChars="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合计人民币（小写）：</w:t>
            </w:r>
          </w:p>
        </w:tc>
      </w:tr>
      <w:tr w14:paraId="56C42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center"/>
          </w:tcPr>
          <w:p w14:paraId="2A564F20">
            <w:pPr>
              <w:keepNext w:val="0"/>
              <w:keepLines w:val="0"/>
              <w:widowControl w:val="0"/>
              <w:suppressLineNumbers w:val="0"/>
              <w:snapToGrid w:val="0"/>
              <w:spacing w:before="0" w:beforeAutospacing="0" w:after="0" w:afterAutospacing="0" w:line="400" w:lineRule="exact"/>
              <w:ind w:left="0" w:right="0" w:rightChars="0"/>
              <w:jc w:val="both"/>
              <w:rPr>
                <w:rFonts w:hint="eastAsia" w:ascii="方正仿宋_GBK" w:hAnsi="方正仿宋_GBK" w:eastAsia="方正仿宋_GBK" w:cs="方正仿宋_GBK"/>
                <w:kern w:val="2"/>
                <w:sz w:val="24"/>
                <w:szCs w:val="24"/>
                <w:highlight w:val="none"/>
                <w:lang w:val="en-US" w:eastAsia="zh-CN" w:bidi="ar-SA"/>
              </w:rPr>
            </w:pPr>
            <w:r>
              <w:rPr>
                <w:rFonts w:hint="eastAsia" w:ascii="方正仿宋_GBK" w:hAnsi="方正仿宋_GBK" w:eastAsia="方正仿宋_GBK" w:cs="方正仿宋_GBK"/>
                <w:kern w:val="2"/>
                <w:sz w:val="24"/>
                <w:szCs w:val="24"/>
                <w:highlight w:val="none"/>
                <w:lang w:val="en-US" w:eastAsia="zh-CN" w:bidi="ar"/>
              </w:rPr>
              <w:t>合计人民币（大写）：</w:t>
            </w:r>
          </w:p>
        </w:tc>
      </w:tr>
      <w:tr w14:paraId="6B66C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076EEBD3">
            <w:pPr>
              <w:keepNext/>
              <w:keepLines/>
              <w:pageBreakBefore w:val="0"/>
              <w:widowControl w:val="0"/>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服务时间、地点及验收方式</w:t>
            </w:r>
          </w:p>
          <w:p w14:paraId="35D9AFD5">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p>
        </w:tc>
      </w:tr>
      <w:tr w14:paraId="33AB7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6F051902">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kern w:val="2"/>
                <w:sz w:val="24"/>
                <w:szCs w:val="24"/>
                <w:highlight w:val="none"/>
                <w:lang w:val="zh-CN" w:eastAsia="zh-CN" w:bidi="ar"/>
              </w:rPr>
            </w:pPr>
            <w:r>
              <w:rPr>
                <w:rFonts w:hint="eastAsia" w:ascii="仿宋" w:hAnsi="仿宋" w:eastAsia="仿宋" w:cs="仿宋"/>
                <w:kern w:val="2"/>
                <w:sz w:val="24"/>
                <w:szCs w:val="24"/>
                <w:highlight w:val="none"/>
                <w:lang w:val="zh-CN" w:eastAsia="zh-CN" w:bidi="ar"/>
              </w:rPr>
              <w:t>二、技术、服务要求</w:t>
            </w:r>
          </w:p>
        </w:tc>
      </w:tr>
      <w:tr w14:paraId="7D02F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2854DEF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kern w:val="2"/>
                <w:sz w:val="24"/>
                <w:szCs w:val="24"/>
                <w:highlight w:val="none"/>
                <w:lang w:val="en-US" w:eastAsia="zh-CN" w:bidi="ar"/>
              </w:rPr>
            </w:pPr>
            <w:r>
              <w:rPr>
                <w:rFonts w:hint="eastAsia" w:ascii="仿宋" w:hAnsi="仿宋" w:eastAsia="仿宋" w:cs="仿宋"/>
                <w:kern w:val="2"/>
                <w:sz w:val="24"/>
                <w:szCs w:val="24"/>
                <w:highlight w:val="none"/>
                <w:lang w:val="en-US" w:eastAsia="zh-CN" w:bidi="ar"/>
              </w:rPr>
              <w:t>三、质量保证及售后服务</w:t>
            </w:r>
          </w:p>
          <w:p w14:paraId="3671D69A">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p>
        </w:tc>
      </w:tr>
      <w:tr w14:paraId="3DB29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25028CE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四、服务时间、地点及验收方式</w:t>
            </w:r>
          </w:p>
          <w:p w14:paraId="74323B84">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（一）服务时间</w:t>
            </w:r>
          </w:p>
          <w:p w14:paraId="4DB8ABE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（二）服务地点</w:t>
            </w:r>
          </w:p>
          <w:p w14:paraId="23462EF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（三）验收方式</w:t>
            </w:r>
          </w:p>
        </w:tc>
      </w:tr>
      <w:tr w14:paraId="57B5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51F104D5">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五、付款方式</w:t>
            </w:r>
          </w:p>
        </w:tc>
      </w:tr>
      <w:tr w14:paraId="18709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08ABF6C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六、违约责任：</w:t>
            </w:r>
          </w:p>
          <w:p w14:paraId="51D9C9B9">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1.按《中华人民共和国民法典》、《中华人民共和国政府采购法》有关条款，或由供需双方约定。</w:t>
            </w:r>
          </w:p>
          <w:p w14:paraId="7036795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2.供方未按约定内容提供服务的，每发现一次支付违约金 2000 元，累计超过三次的，需方有权解除合同。</w:t>
            </w:r>
          </w:p>
          <w:p w14:paraId="151B5FF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textAlignment w:val="auto"/>
              <w:rPr>
                <w:rFonts w:hint="eastAsia" w:ascii="仿宋" w:hAnsi="仿宋" w:eastAsia="仿宋" w:cs="仿宋"/>
                <w:sz w:val="24"/>
                <w:szCs w:val="24"/>
                <w:highlight w:val="none"/>
                <w:lang w:val="en-US"/>
              </w:rPr>
            </w:pPr>
            <w:r>
              <w:rPr>
                <w:rFonts w:hint="eastAsia" w:ascii="仿宋" w:hAnsi="仿宋" w:eastAsia="仿宋" w:cs="仿宋"/>
                <w:sz w:val="24"/>
                <w:szCs w:val="24"/>
                <w:highlight w:val="none"/>
                <w:lang w:val="en-US"/>
              </w:rPr>
              <w:t>3.供方发生分包或转包情形经查实的，需方有权在合同金额范围内对供方进行罚款，情节严重的需方有权提前解除合同。</w:t>
            </w:r>
          </w:p>
        </w:tc>
      </w:tr>
      <w:tr w14:paraId="431B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5BBC2D6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七、其他约定事项：</w:t>
            </w:r>
          </w:p>
          <w:p w14:paraId="2BF2FC95">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（一）招标文件及其澄清文件、投标文件和承诺是本合同不可分割的部分。</w:t>
            </w:r>
          </w:p>
          <w:p w14:paraId="7F3A299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（二）本合同如发生争议由双方协商解决，协商不成向甲方所在地法院提起诉讼。</w:t>
            </w:r>
          </w:p>
          <w:p w14:paraId="382961A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（三）本合同一式__份， 甲方__份，乙方__份，具备同等法律效力。</w:t>
            </w:r>
          </w:p>
          <w:p w14:paraId="3F345A4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firstLine="480" w:firstLineChars="20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（四）其他：</w:t>
            </w:r>
          </w:p>
        </w:tc>
      </w:tr>
      <w:tr w14:paraId="64389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5" w:hRule="atLeast"/>
        </w:trPr>
        <w:tc>
          <w:tcPr>
            <w:tcW w:w="2062"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3648E71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甲方：</w:t>
            </w:r>
          </w:p>
          <w:p w14:paraId="5F1C4772">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地址：</w:t>
            </w:r>
          </w:p>
          <w:p w14:paraId="5C88098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联系电话：</w:t>
            </w:r>
          </w:p>
          <w:p w14:paraId="7414D856">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授权代表：</w:t>
            </w:r>
          </w:p>
        </w:tc>
        <w:tc>
          <w:tcPr>
            <w:tcW w:w="2937" w:type="pct"/>
            <w:gridSpan w:val="3"/>
            <w:tcBorders>
              <w:top w:val="single" w:color="auto" w:sz="4" w:space="0"/>
              <w:left w:val="single" w:color="auto" w:sz="4" w:space="0"/>
              <w:bottom w:val="single" w:color="auto" w:sz="4" w:space="0"/>
              <w:right w:val="single" w:color="auto" w:sz="4" w:space="0"/>
            </w:tcBorders>
            <w:shd w:val="clear" w:color="auto" w:fill="auto"/>
            <w:vAlign w:val="top"/>
          </w:tcPr>
          <w:p w14:paraId="19B03D8C">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乙方：</w:t>
            </w:r>
          </w:p>
          <w:p w14:paraId="22E7C806">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地址：</w:t>
            </w:r>
          </w:p>
          <w:p w14:paraId="7A73DA8B">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电话：</w:t>
            </w:r>
          </w:p>
          <w:p w14:paraId="5E35A1B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传真：</w:t>
            </w:r>
          </w:p>
          <w:p w14:paraId="34CD86C3">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开户银行：</w:t>
            </w:r>
          </w:p>
          <w:p w14:paraId="6D72E13D">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账号：</w:t>
            </w:r>
          </w:p>
          <w:p w14:paraId="0E0235D7">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授权代表：</w:t>
            </w:r>
          </w:p>
          <w:p w14:paraId="4F7AD268">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left"/>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（本栏请用计算机打印以便于准确付款）</w:t>
            </w:r>
          </w:p>
        </w:tc>
      </w:tr>
      <w:tr w14:paraId="5FD23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5000" w:type="pct"/>
            <w:gridSpan w:val="6"/>
            <w:tcBorders>
              <w:top w:val="single" w:color="auto" w:sz="4" w:space="0"/>
              <w:left w:val="single" w:color="auto" w:sz="4" w:space="0"/>
              <w:bottom w:val="single" w:color="auto" w:sz="4" w:space="0"/>
              <w:right w:val="single" w:color="auto" w:sz="4" w:space="0"/>
            </w:tcBorders>
            <w:shd w:val="clear" w:color="auto" w:fill="auto"/>
            <w:vAlign w:val="top"/>
          </w:tcPr>
          <w:p w14:paraId="63DA2A8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r>
              <w:rPr>
                <w:rFonts w:hint="eastAsia" w:ascii="仿宋" w:hAnsi="仿宋" w:eastAsia="仿宋" w:cs="仿宋"/>
                <w:kern w:val="2"/>
                <w:sz w:val="24"/>
                <w:szCs w:val="24"/>
                <w:highlight w:val="none"/>
                <w:lang w:val="en-US" w:eastAsia="zh-CN" w:bidi="ar"/>
              </w:rPr>
              <w:t>备注：</w:t>
            </w:r>
          </w:p>
          <w:p w14:paraId="64DC6F66">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p>
          <w:p w14:paraId="4F75C331">
            <w:pPr>
              <w:keepNext/>
              <w:keepLines/>
              <w:pageBreakBefore w:val="0"/>
              <w:widowControl w:val="0"/>
              <w:suppressLineNumbers w:val="0"/>
              <w:kinsoku/>
              <w:wordWrap/>
              <w:overflowPunct/>
              <w:topLinePunct w:val="0"/>
              <w:autoSpaceDE/>
              <w:autoSpaceDN/>
              <w:bidi w:val="0"/>
              <w:adjustRightInd/>
              <w:snapToGrid/>
              <w:spacing w:before="0" w:beforeAutospacing="0" w:after="0" w:afterAutospacing="0" w:line="360" w:lineRule="exact"/>
              <w:ind w:left="0" w:leftChars="0" w:right="0"/>
              <w:jc w:val="both"/>
              <w:textAlignment w:val="auto"/>
              <w:rPr>
                <w:rFonts w:hint="eastAsia" w:ascii="仿宋" w:hAnsi="仿宋" w:eastAsia="仿宋" w:cs="仿宋"/>
                <w:sz w:val="24"/>
                <w:szCs w:val="24"/>
                <w:highlight w:val="none"/>
                <w:lang w:val="en-US"/>
              </w:rPr>
            </w:pPr>
          </w:p>
        </w:tc>
      </w:tr>
    </w:tbl>
    <w:p w14:paraId="0D6A0D3A">
      <w:pPr>
        <w:keepNext/>
        <w:keepLines/>
        <w:pageBreakBefore w:val="0"/>
        <w:widowControl w:val="0"/>
        <w:suppressLineNumbers w:val="0"/>
        <w:kinsoku/>
        <w:wordWrap/>
        <w:overflowPunct/>
        <w:topLinePunct w:val="0"/>
        <w:autoSpaceDE/>
        <w:autoSpaceDN/>
        <w:bidi w:val="0"/>
        <w:spacing w:before="0" w:beforeAutospacing="0" w:after="0" w:afterAutospacing="0" w:line="500" w:lineRule="exact"/>
        <w:ind w:left="0" w:right="0" w:firstLine="480" w:firstLineChars="200"/>
        <w:jc w:val="both"/>
        <w:textAlignment w:val="auto"/>
        <w:rPr>
          <w:rFonts w:hint="eastAsia" w:ascii="仿宋" w:hAnsi="仿宋" w:eastAsia="仿宋" w:cs="仿宋"/>
          <w:color w:val="auto"/>
          <w:sz w:val="24"/>
          <w:highlight w:val="none"/>
        </w:rPr>
      </w:pPr>
      <w:r>
        <w:rPr>
          <w:rFonts w:hint="eastAsia" w:ascii="仿宋" w:hAnsi="仿宋" w:eastAsia="仿宋" w:cs="仿宋"/>
          <w:kern w:val="2"/>
          <w:sz w:val="24"/>
          <w:szCs w:val="24"/>
          <w:highlight w:val="none"/>
          <w:lang w:val="en-US" w:eastAsia="zh-CN" w:bidi="ar"/>
        </w:rPr>
        <w:t>签约时间：           年   月   日      签约地点：</w:t>
      </w:r>
    </w:p>
    <w:p w14:paraId="6416C778">
      <w:pPr>
        <w:rPr>
          <w:rFonts w:hint="eastAsia" w:ascii="仿宋" w:hAnsi="仿宋" w:eastAsia="仿宋" w:cs="仿宋"/>
          <w:color w:val="auto"/>
          <w:sz w:val="24"/>
          <w:highlight w:val="none"/>
        </w:rPr>
      </w:pPr>
    </w:p>
    <w:p w14:paraId="28E9DF6C">
      <w:pPr>
        <w:rPr>
          <w:rFonts w:hint="eastAsia" w:ascii="仿宋" w:hAnsi="仿宋" w:eastAsia="仿宋" w:cs="仿宋"/>
          <w:color w:val="auto"/>
          <w:sz w:val="24"/>
          <w:highlight w:val="none"/>
        </w:rPr>
      </w:pPr>
    </w:p>
    <w:p w14:paraId="4820C11F">
      <w:pPr>
        <w:rPr>
          <w:rFonts w:hint="eastAsia" w:ascii="仿宋" w:hAnsi="仿宋" w:eastAsia="仿宋" w:cs="仿宋"/>
          <w:color w:val="auto"/>
          <w:sz w:val="24"/>
          <w:highlight w:val="none"/>
        </w:rPr>
      </w:pPr>
    </w:p>
    <w:p w14:paraId="049FD3A5">
      <w:pPr>
        <w:pStyle w:val="6"/>
        <w:rPr>
          <w:rFonts w:hint="eastAsia" w:ascii="仿宋" w:hAnsi="仿宋" w:eastAsia="仿宋" w:cs="仿宋"/>
          <w:color w:val="auto"/>
          <w:sz w:val="24"/>
          <w:highlight w:val="none"/>
        </w:rPr>
      </w:pPr>
    </w:p>
    <w:p w14:paraId="3750109C">
      <w:pPr>
        <w:rPr>
          <w:rFonts w:hint="eastAsia" w:ascii="仿宋" w:hAnsi="仿宋" w:eastAsia="仿宋" w:cs="仿宋"/>
          <w:color w:val="auto"/>
          <w:sz w:val="24"/>
          <w:highlight w:val="none"/>
        </w:rPr>
      </w:pPr>
    </w:p>
    <w:p w14:paraId="142ABE33">
      <w:pPr>
        <w:pStyle w:val="6"/>
        <w:rPr>
          <w:rFonts w:hint="eastAsia" w:ascii="仿宋" w:hAnsi="仿宋" w:eastAsia="仿宋" w:cs="仿宋"/>
          <w:color w:val="auto"/>
          <w:sz w:val="24"/>
          <w:highlight w:val="none"/>
        </w:rPr>
      </w:pPr>
    </w:p>
    <w:p w14:paraId="3239E651">
      <w:pPr>
        <w:rPr>
          <w:rFonts w:hint="eastAsia" w:ascii="仿宋" w:hAnsi="仿宋" w:eastAsia="仿宋" w:cs="仿宋"/>
          <w:color w:val="auto"/>
          <w:sz w:val="24"/>
          <w:highlight w:val="none"/>
        </w:rPr>
      </w:pPr>
    </w:p>
    <w:p w14:paraId="20BCCB87">
      <w:pPr>
        <w:pStyle w:val="6"/>
        <w:rPr>
          <w:rFonts w:hint="eastAsia" w:ascii="仿宋" w:hAnsi="仿宋" w:eastAsia="仿宋" w:cs="仿宋"/>
          <w:color w:val="auto"/>
          <w:sz w:val="24"/>
          <w:highlight w:val="none"/>
        </w:rPr>
      </w:pPr>
    </w:p>
    <w:p w14:paraId="57673FE5">
      <w:pPr>
        <w:rPr>
          <w:rFonts w:hint="eastAsia" w:ascii="仿宋" w:hAnsi="仿宋" w:eastAsia="仿宋" w:cs="仿宋"/>
          <w:color w:val="auto"/>
          <w:sz w:val="24"/>
          <w:highlight w:val="none"/>
        </w:rPr>
      </w:pPr>
    </w:p>
    <w:p w14:paraId="56C80E20">
      <w:pPr>
        <w:pStyle w:val="6"/>
        <w:rPr>
          <w:rFonts w:hint="eastAsia" w:ascii="仿宋" w:hAnsi="仿宋" w:eastAsia="仿宋" w:cs="仿宋"/>
          <w:color w:val="auto"/>
          <w:sz w:val="24"/>
          <w:highlight w:val="none"/>
        </w:rPr>
      </w:pPr>
    </w:p>
    <w:p w14:paraId="3F3CDBE0">
      <w:pPr>
        <w:rPr>
          <w:rFonts w:hint="eastAsia" w:ascii="仿宋" w:hAnsi="仿宋" w:eastAsia="仿宋" w:cs="仿宋"/>
          <w:color w:val="auto"/>
          <w:sz w:val="24"/>
          <w:highlight w:val="none"/>
        </w:rPr>
      </w:pPr>
    </w:p>
    <w:p w14:paraId="248B162F">
      <w:pPr>
        <w:pStyle w:val="6"/>
        <w:rPr>
          <w:rFonts w:hint="eastAsia" w:ascii="仿宋" w:hAnsi="仿宋" w:eastAsia="仿宋" w:cs="仿宋"/>
          <w:color w:val="auto"/>
          <w:sz w:val="24"/>
          <w:highlight w:val="none"/>
        </w:rPr>
      </w:pPr>
    </w:p>
    <w:p w14:paraId="6E63CDBE">
      <w:pPr>
        <w:rPr>
          <w:rFonts w:hint="eastAsia" w:ascii="仿宋" w:hAnsi="仿宋" w:eastAsia="仿宋" w:cs="仿宋"/>
          <w:color w:val="auto"/>
          <w:sz w:val="24"/>
          <w:highlight w:val="none"/>
        </w:rPr>
      </w:pPr>
    </w:p>
    <w:p w14:paraId="77F12D80">
      <w:pPr>
        <w:pStyle w:val="6"/>
        <w:rPr>
          <w:rFonts w:hint="eastAsia" w:ascii="仿宋" w:hAnsi="仿宋" w:eastAsia="仿宋" w:cs="仿宋"/>
          <w:color w:val="auto"/>
          <w:sz w:val="24"/>
          <w:highlight w:val="none"/>
        </w:rPr>
      </w:pPr>
    </w:p>
    <w:p w14:paraId="0FE95272">
      <w:pPr>
        <w:rPr>
          <w:rFonts w:hint="eastAsia" w:ascii="仿宋" w:hAnsi="仿宋" w:eastAsia="仿宋" w:cs="仿宋"/>
          <w:color w:val="auto"/>
          <w:sz w:val="24"/>
          <w:highlight w:val="none"/>
        </w:rPr>
      </w:pPr>
    </w:p>
    <w:p w14:paraId="0A1B8C16">
      <w:pPr>
        <w:pStyle w:val="6"/>
        <w:rPr>
          <w:rFonts w:hint="eastAsia" w:ascii="仿宋" w:hAnsi="仿宋" w:eastAsia="仿宋" w:cs="仿宋"/>
          <w:color w:val="auto"/>
          <w:sz w:val="24"/>
          <w:highlight w:val="none"/>
        </w:rPr>
      </w:pPr>
    </w:p>
    <w:p w14:paraId="0C692156">
      <w:pPr>
        <w:rPr>
          <w:rFonts w:hint="eastAsia" w:ascii="仿宋" w:hAnsi="仿宋" w:eastAsia="仿宋" w:cs="仿宋"/>
          <w:color w:val="auto"/>
          <w:sz w:val="24"/>
          <w:highlight w:val="none"/>
        </w:rPr>
      </w:pPr>
    </w:p>
    <w:p w14:paraId="5BE51ADA">
      <w:pPr>
        <w:pStyle w:val="6"/>
        <w:rPr>
          <w:rFonts w:hint="eastAsia" w:ascii="仿宋" w:hAnsi="仿宋" w:eastAsia="仿宋" w:cs="仿宋"/>
          <w:color w:val="auto"/>
          <w:sz w:val="24"/>
          <w:highlight w:val="none"/>
        </w:rPr>
      </w:pPr>
    </w:p>
    <w:p w14:paraId="247C2D66">
      <w:pPr>
        <w:rPr>
          <w:rFonts w:hint="eastAsia" w:ascii="仿宋" w:hAnsi="仿宋" w:eastAsia="仿宋" w:cs="仿宋"/>
          <w:color w:val="auto"/>
          <w:sz w:val="24"/>
          <w:highlight w:val="none"/>
        </w:rPr>
      </w:pPr>
    </w:p>
    <w:p w14:paraId="7CA1620C">
      <w:pPr>
        <w:pStyle w:val="6"/>
        <w:rPr>
          <w:rFonts w:hint="eastAsia" w:ascii="仿宋" w:hAnsi="仿宋" w:eastAsia="仿宋" w:cs="仿宋"/>
          <w:color w:val="auto"/>
          <w:sz w:val="24"/>
          <w:highlight w:val="none"/>
        </w:rPr>
      </w:pPr>
    </w:p>
    <w:p w14:paraId="5E54F029">
      <w:pPr>
        <w:rPr>
          <w:rFonts w:hint="eastAsia" w:ascii="仿宋" w:hAnsi="仿宋" w:eastAsia="仿宋" w:cs="仿宋"/>
          <w:color w:val="auto"/>
          <w:sz w:val="24"/>
          <w:highlight w:val="none"/>
        </w:rPr>
      </w:pPr>
    </w:p>
    <w:p w14:paraId="5D73FA2C">
      <w:pPr>
        <w:pStyle w:val="6"/>
        <w:rPr>
          <w:rFonts w:hint="eastAsia" w:ascii="仿宋" w:hAnsi="仿宋" w:eastAsia="仿宋" w:cs="仿宋"/>
          <w:color w:val="auto"/>
          <w:sz w:val="24"/>
          <w:highlight w:val="none"/>
        </w:rPr>
      </w:pPr>
    </w:p>
    <w:p w14:paraId="0F83EB62">
      <w:pPr>
        <w:rPr>
          <w:rFonts w:hint="eastAsia"/>
          <w:highlight w:val="none"/>
        </w:rPr>
      </w:pPr>
    </w:p>
    <w:p w14:paraId="6C439662">
      <w:pPr>
        <w:pStyle w:val="2"/>
        <w:spacing w:before="0" w:after="0" w:line="360" w:lineRule="auto"/>
        <w:jc w:val="center"/>
        <w:rPr>
          <w:rFonts w:hint="eastAsia" w:ascii="仿宋" w:hAnsi="仿宋" w:eastAsia="仿宋" w:cs="仿宋"/>
          <w:b w:val="0"/>
          <w:color w:val="auto"/>
          <w:sz w:val="36"/>
          <w:szCs w:val="30"/>
          <w:highlight w:val="none"/>
        </w:rPr>
      </w:pPr>
      <w:bookmarkStart w:id="92" w:name="_Toc23602"/>
      <w:bookmarkStart w:id="93" w:name="_Toc12789072"/>
      <w:r>
        <w:rPr>
          <w:rFonts w:hint="eastAsia" w:ascii="仿宋" w:hAnsi="仿宋" w:eastAsia="仿宋" w:cs="仿宋"/>
          <w:b w:val="0"/>
          <w:color w:val="auto"/>
          <w:sz w:val="36"/>
          <w:szCs w:val="30"/>
          <w:highlight w:val="none"/>
        </w:rPr>
        <w:t>第七篇  响应文件格式要求</w:t>
      </w:r>
      <w:bookmarkEnd w:id="92"/>
      <w:bookmarkEnd w:id="93"/>
    </w:p>
    <w:p w14:paraId="085B392F">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一、经济部分</w:t>
      </w:r>
    </w:p>
    <w:p w14:paraId="016809A7">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（一）竞争性报价函</w:t>
      </w:r>
    </w:p>
    <w:p w14:paraId="3AFE375B">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14:paraId="1D7A6D53">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二、技术部分</w:t>
      </w:r>
    </w:p>
    <w:p w14:paraId="10DC76F8">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（一）技术应答或技术方案（格式自拟）</w:t>
      </w:r>
    </w:p>
    <w:p w14:paraId="425BD972">
      <w:pPr>
        <w:spacing w:line="440" w:lineRule="exact"/>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（二）技术响应偏离表</w:t>
      </w:r>
    </w:p>
    <w:p w14:paraId="508E37DD">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部分</w:t>
      </w:r>
    </w:p>
    <w:p w14:paraId="53B8175E">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响应偏离表</w:t>
      </w:r>
    </w:p>
    <w:p w14:paraId="648A293A">
      <w:pPr>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四、资格条件及其他</w:t>
      </w:r>
    </w:p>
    <w:p w14:paraId="4DFCC06E">
      <w:pPr>
        <w:snapToGrid w:val="0"/>
        <w:spacing w:line="440" w:lineRule="exact"/>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（一）</w:t>
      </w:r>
      <w:r>
        <w:rPr>
          <w:rFonts w:hint="eastAsia" w:ascii="仿宋" w:hAnsi="仿宋" w:eastAsia="仿宋" w:cs="仿宋"/>
          <w:color w:val="auto"/>
          <w:sz w:val="24"/>
          <w:szCs w:val="24"/>
          <w:highlight w:val="none"/>
        </w:rPr>
        <w:t>法人营业执照（副本）或事业单位法人证书（副本）或个体工商户营业执照或有效的自然人身份证明或社会团体法人登记证书复印件</w:t>
      </w:r>
    </w:p>
    <w:p w14:paraId="22F827B2">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（二）</w:t>
      </w:r>
      <w:r>
        <w:rPr>
          <w:rFonts w:hint="eastAsia" w:ascii="仿宋" w:hAnsi="仿宋" w:eastAsia="仿宋" w:cs="仿宋"/>
          <w:color w:val="auto"/>
          <w:sz w:val="24"/>
          <w:szCs w:val="24"/>
          <w:highlight w:val="none"/>
        </w:rPr>
        <w:t>法定代表人身份证明书（格式）</w:t>
      </w:r>
    </w:p>
    <w:p w14:paraId="5DF6377A">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（三）</w:t>
      </w:r>
      <w:r>
        <w:rPr>
          <w:rFonts w:hint="eastAsia" w:ascii="仿宋" w:hAnsi="仿宋" w:eastAsia="仿宋" w:cs="仿宋"/>
          <w:color w:val="auto"/>
          <w:sz w:val="24"/>
          <w:szCs w:val="24"/>
          <w:highlight w:val="none"/>
        </w:rPr>
        <w:t>法定代表人授权委托书（格式）</w:t>
      </w:r>
    </w:p>
    <w:p w14:paraId="0E287545">
      <w:pPr>
        <w:snapToGrid w:val="0"/>
        <w:spacing w:line="400" w:lineRule="exact"/>
        <w:ind w:firstLine="480" w:firstLineChars="200"/>
        <w:rPr>
          <w:rFonts w:hint="eastAsia" w:ascii="仿宋" w:hAnsi="仿宋" w:eastAsia="仿宋" w:cs="仿宋"/>
          <w:color w:val="auto"/>
          <w:kern w:val="0"/>
          <w:sz w:val="24"/>
          <w:szCs w:val="24"/>
          <w:highlight w:val="none"/>
        </w:rPr>
      </w:pPr>
      <w:bookmarkStart w:id="94" w:name="_Toc313008356"/>
      <w:bookmarkStart w:id="95" w:name="_Toc342913419"/>
      <w:bookmarkStart w:id="96" w:name="_Toc419975692"/>
      <w:bookmarkStart w:id="97" w:name="_Toc313888360"/>
      <w:bookmarkStart w:id="98" w:name="_Toc283382454"/>
      <w:bookmarkStart w:id="99" w:name="_Toc12789073"/>
      <w:r>
        <w:rPr>
          <w:rFonts w:hint="eastAsia" w:ascii="仿宋" w:hAnsi="仿宋" w:eastAsia="仿宋" w:cs="仿宋"/>
          <w:color w:val="auto"/>
          <w:sz w:val="24"/>
          <w:szCs w:val="24"/>
          <w:highlight w:val="none"/>
          <w:lang w:eastAsia="zh-CN"/>
        </w:rPr>
        <w:t>（四）</w:t>
      </w:r>
      <w:r>
        <w:rPr>
          <w:rFonts w:hint="eastAsia" w:ascii="仿宋" w:hAnsi="仿宋" w:eastAsia="仿宋" w:cs="仿宋"/>
          <w:color w:val="auto"/>
          <w:sz w:val="24"/>
          <w:szCs w:val="24"/>
          <w:highlight w:val="none"/>
        </w:rPr>
        <w:t>基本资格条件承诺函（格式）</w:t>
      </w:r>
    </w:p>
    <w:p w14:paraId="2538959E">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五、其他应提供的资料</w:t>
      </w:r>
    </w:p>
    <w:p w14:paraId="4DEE46FF">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）其他与项目有关的资料（自附）</w:t>
      </w:r>
    </w:p>
    <w:p w14:paraId="0E2FAF3A">
      <w:pPr>
        <w:pStyle w:val="3"/>
        <w:spacing w:before="0" w:after="0" w:line="360" w:lineRule="auto"/>
        <w:rPr>
          <w:rFonts w:hint="eastAsia" w:ascii="仿宋" w:hAnsi="仿宋" w:eastAsia="仿宋" w:cs="仿宋"/>
          <w:color w:val="auto"/>
          <w:sz w:val="24"/>
          <w:szCs w:val="24"/>
          <w:highlight w:val="none"/>
        </w:rPr>
      </w:pPr>
    </w:p>
    <w:p w14:paraId="6275D3FF">
      <w:pPr>
        <w:rPr>
          <w:rFonts w:hint="eastAsia" w:ascii="仿宋" w:hAnsi="仿宋" w:eastAsia="仿宋" w:cs="仿宋"/>
          <w:color w:val="auto"/>
          <w:sz w:val="24"/>
          <w:szCs w:val="24"/>
          <w:highlight w:val="none"/>
        </w:rPr>
      </w:pPr>
    </w:p>
    <w:p w14:paraId="20FEC4F6">
      <w:pPr>
        <w:pStyle w:val="9"/>
        <w:rPr>
          <w:rFonts w:hint="eastAsia" w:ascii="仿宋" w:hAnsi="仿宋" w:eastAsia="仿宋" w:cs="仿宋"/>
          <w:color w:val="auto"/>
          <w:sz w:val="24"/>
          <w:szCs w:val="24"/>
          <w:highlight w:val="none"/>
        </w:rPr>
      </w:pPr>
    </w:p>
    <w:p w14:paraId="7386E687">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8BFE761">
      <w:pPr>
        <w:pStyle w:val="3"/>
        <w:spacing w:before="0" w:after="0" w:line="360" w:lineRule="auto"/>
        <w:rPr>
          <w:rFonts w:hint="eastAsia" w:ascii="仿宋" w:hAnsi="仿宋" w:eastAsia="仿宋" w:cs="仿宋"/>
          <w:color w:val="auto"/>
          <w:sz w:val="24"/>
          <w:szCs w:val="24"/>
          <w:highlight w:val="none"/>
        </w:rPr>
      </w:pPr>
      <w:bookmarkStart w:id="100" w:name="_Toc23508"/>
      <w:r>
        <w:rPr>
          <w:rFonts w:hint="eastAsia" w:ascii="仿宋" w:hAnsi="仿宋" w:eastAsia="仿宋" w:cs="仿宋"/>
          <w:color w:val="auto"/>
          <w:sz w:val="24"/>
          <w:szCs w:val="24"/>
          <w:highlight w:val="none"/>
        </w:rPr>
        <w:t>一、经济部分</w:t>
      </w:r>
      <w:bookmarkEnd w:id="94"/>
      <w:bookmarkEnd w:id="95"/>
      <w:bookmarkEnd w:id="96"/>
      <w:bookmarkEnd w:id="97"/>
      <w:bookmarkEnd w:id="100"/>
    </w:p>
    <w:bookmarkEnd w:id="98"/>
    <w:bookmarkEnd w:id="99"/>
    <w:p w14:paraId="1B07B7D9">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（一）竞争性报价函</w:t>
      </w:r>
    </w:p>
    <w:p w14:paraId="177FF430">
      <w:pPr>
        <w:tabs>
          <w:tab w:val="left" w:pos="6300"/>
        </w:tabs>
        <w:snapToGrid w:val="0"/>
        <w:spacing w:line="480" w:lineRule="exact"/>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竞争性报价函</w:t>
      </w:r>
    </w:p>
    <w:p w14:paraId="14F67AFF">
      <w:pPr>
        <w:tabs>
          <w:tab w:val="left" w:pos="6300"/>
        </w:tabs>
        <w:snapToGrid w:val="0"/>
        <w:spacing w:line="50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（采购代理机构名称）</w:t>
      </w:r>
      <w:r>
        <w:rPr>
          <w:rFonts w:hint="eastAsia" w:ascii="仿宋" w:hAnsi="仿宋" w:eastAsia="仿宋" w:cs="仿宋"/>
          <w:color w:val="auto"/>
          <w:sz w:val="24"/>
          <w:szCs w:val="24"/>
          <w:highlight w:val="none"/>
        </w:rPr>
        <w:t>：</w:t>
      </w:r>
    </w:p>
    <w:p w14:paraId="20D84624">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（谈判项目名称）的竞争性谈判文件，经详细研究，决定参加该谈判项目的竞争谈判。</w:t>
      </w:r>
    </w:p>
    <w:p w14:paraId="56F6C27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1、愿意按照竞争性谈判文件中的一切要求，提供本项目的交货及技术服务，初始报价为人民币大写：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eastAsia="zh-CN"/>
        </w:rPr>
        <w:t>元</w:t>
      </w:r>
      <w:r>
        <w:rPr>
          <w:rFonts w:hint="eastAsia" w:ascii="仿宋" w:hAnsi="仿宋" w:eastAsia="仿宋" w:cs="仿宋"/>
          <w:color w:val="auto"/>
          <w:sz w:val="24"/>
          <w:szCs w:val="24"/>
          <w:highlight w:val="none"/>
        </w:rPr>
        <w:t>整；人民币小写：</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rPr>
        <w:t>元。以我公司最后报价为准。</w:t>
      </w:r>
    </w:p>
    <w:p w14:paraId="45770B07">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2、我方现提交的响应文件为：响应文件正本1份，副本2份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电子文档</w:t>
      </w:r>
      <w:r>
        <w:rPr>
          <w:rFonts w:hint="eastAsia" w:ascii="仿宋" w:hAnsi="仿宋" w:eastAsia="仿宋" w:cs="仿宋"/>
          <w:color w:val="auto"/>
          <w:sz w:val="24"/>
          <w:szCs w:val="24"/>
          <w:highlight w:val="none"/>
          <w:u w:val="none"/>
          <w:lang w:val="en-US" w:eastAsia="zh-CN"/>
        </w:rPr>
        <w:t>1</w:t>
      </w:r>
      <w:r>
        <w:rPr>
          <w:rFonts w:hint="eastAsia" w:ascii="仿宋" w:hAnsi="仿宋" w:eastAsia="仿宋" w:cs="仿宋"/>
          <w:color w:val="auto"/>
          <w:sz w:val="24"/>
          <w:szCs w:val="24"/>
          <w:highlight w:val="none"/>
        </w:rPr>
        <w:t>份。</w:t>
      </w:r>
    </w:p>
    <w:p w14:paraId="16E40C65">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3、我方承诺：本次谈判的有效期为90天。</w:t>
      </w:r>
    </w:p>
    <w:p w14:paraId="2F739D82">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4、我方完全理解和接受贵方竞争性谈判文件的一切规定和要求及谈判评审办法。</w:t>
      </w:r>
    </w:p>
    <w:p w14:paraId="7AED9019">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5、在整个竞争性谈判过程中，我方若有违规行为，接受按照《中华人民共和国政府采购法》和《竞争性谈判文件》之规定给予惩罚。</w:t>
      </w:r>
    </w:p>
    <w:p w14:paraId="08F55D6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6、我方若成为成交供应商，将按照最终谈判结果签订合同，并且严格履行合同义务。本承诺函将成为合同不可分割的一部分，与合同具有同等的法律效力。</w:t>
      </w:r>
    </w:p>
    <w:p w14:paraId="32C2C887">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7、我方同意按竞争性谈判文件规定，交纳竞争性谈判文件要求的保证金。如果我方成为成交供应商，保证在接到成交通知书后，向采购代理机构缴纳竞争性谈判文件规定的采购代理服务费。</w:t>
      </w:r>
    </w:p>
    <w:p w14:paraId="6F6D2E59">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8"/>
          <w:highlight w:val="none"/>
        </w:rPr>
        <w:t>我方未</w:t>
      </w:r>
      <w:r>
        <w:rPr>
          <w:rFonts w:hint="eastAsia" w:ascii="仿宋" w:hAnsi="仿宋" w:eastAsia="仿宋" w:cs="仿宋"/>
          <w:color w:val="auto"/>
          <w:sz w:val="24"/>
          <w:szCs w:val="24"/>
          <w:highlight w:val="none"/>
        </w:rPr>
        <w:t>为采购项目提供整体设计、规范编制或者项目管理、监理、检测等服务。</w:t>
      </w:r>
    </w:p>
    <w:p w14:paraId="6F90F6B1">
      <w:pPr>
        <w:tabs>
          <w:tab w:val="left" w:pos="6300"/>
        </w:tabs>
        <w:snapToGrid w:val="0"/>
        <w:spacing w:line="500" w:lineRule="exact"/>
        <w:ind w:firstLine="570"/>
        <w:rPr>
          <w:rFonts w:hint="eastAsia" w:ascii="仿宋" w:hAnsi="仿宋" w:eastAsia="仿宋" w:cs="仿宋"/>
          <w:color w:val="auto"/>
          <w:sz w:val="24"/>
          <w:szCs w:val="24"/>
          <w:highlight w:val="none"/>
        </w:rPr>
      </w:pPr>
    </w:p>
    <w:p w14:paraId="2578C536">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39CEA1C">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地址：  </w:t>
      </w:r>
    </w:p>
    <w:p w14:paraId="3F78807F">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电话：                           传真：</w:t>
      </w:r>
    </w:p>
    <w:p w14:paraId="5B718401">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网址：                           邮编：</w:t>
      </w:r>
    </w:p>
    <w:p w14:paraId="20DF76D2">
      <w:pPr>
        <w:tabs>
          <w:tab w:val="left" w:pos="6300"/>
        </w:tabs>
        <w:snapToGrid w:val="0"/>
        <w:spacing w:line="500" w:lineRule="exact"/>
        <w:ind w:firstLine="57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联系人：</w:t>
      </w:r>
    </w:p>
    <w:p w14:paraId="400034D7">
      <w:pPr>
        <w:snapToGrid w:val="0"/>
        <w:spacing w:line="500" w:lineRule="exact"/>
        <w:ind w:firstLine="480" w:firstLineChars="200"/>
        <w:jc w:val="righ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w:t>
      </w:r>
    </w:p>
    <w:p w14:paraId="08CE3CE6">
      <w:pPr>
        <w:snapToGrid w:val="0"/>
        <w:spacing w:line="500" w:lineRule="exact"/>
        <w:ind w:firstLine="480" w:firstLineChars="200"/>
        <w:rPr>
          <w:rFonts w:hint="eastAsia" w:ascii="仿宋" w:hAnsi="仿宋" w:eastAsia="仿宋" w:cs="仿宋"/>
          <w:color w:val="auto"/>
          <w:sz w:val="24"/>
          <w:szCs w:val="24"/>
          <w:highlight w:val="none"/>
        </w:rPr>
      </w:pPr>
    </w:p>
    <w:p w14:paraId="6591548D">
      <w:pPr>
        <w:tabs>
          <w:tab w:val="left" w:pos="2895"/>
        </w:tabs>
        <w:spacing w:line="360" w:lineRule="auto"/>
        <w:rPr>
          <w:rFonts w:hint="eastAsia" w:ascii="仿宋" w:hAnsi="仿宋" w:eastAsia="仿宋" w:cs="仿宋"/>
          <w:color w:val="auto"/>
          <w:sz w:val="24"/>
          <w:szCs w:val="24"/>
          <w:highlight w:val="none"/>
        </w:rPr>
      </w:pPr>
    </w:p>
    <w:p w14:paraId="7AFABB3B">
      <w:pPr>
        <w:tabs>
          <w:tab w:val="left" w:pos="2895"/>
        </w:tabs>
        <w:spacing w:line="360" w:lineRule="auto"/>
        <w:ind w:firstLine="480" w:firstLineChars="200"/>
        <w:rPr>
          <w:rFonts w:hint="eastAsia" w:ascii="仿宋" w:hAnsi="仿宋" w:eastAsia="仿宋" w:cs="仿宋"/>
          <w:color w:val="auto"/>
          <w:sz w:val="24"/>
          <w:szCs w:val="24"/>
          <w:highlight w:val="none"/>
        </w:rPr>
      </w:pPr>
    </w:p>
    <w:p w14:paraId="57C6B9DF">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7E883CDB">
      <w:pPr>
        <w:tabs>
          <w:tab w:val="left" w:pos="6300"/>
        </w:tabs>
        <w:snapToGrid w:val="0"/>
        <w:spacing w:line="480" w:lineRule="exact"/>
        <w:jc w:val="center"/>
        <w:outlineLvl w:val="0"/>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竞争性谈判最后报价函</w:t>
      </w:r>
    </w:p>
    <w:p w14:paraId="38B89424">
      <w:pPr>
        <w:tabs>
          <w:tab w:val="left" w:pos="6300"/>
        </w:tabs>
        <w:snapToGrid w:val="0"/>
        <w:spacing w:line="312" w:lineRule="auto"/>
        <w:rPr>
          <w:rFonts w:hint="eastAsia" w:ascii="方正仿宋_GB2312" w:hAnsi="方正仿宋_GB2312" w:eastAsia="方正仿宋_GB2312" w:cs="方正仿宋_GB2312"/>
          <w:color w:val="auto"/>
          <w:sz w:val="24"/>
          <w:szCs w:val="24"/>
          <w:highlight w:val="none"/>
          <w:u w:val="single"/>
        </w:rPr>
      </w:pPr>
    </w:p>
    <w:p w14:paraId="19F53683">
      <w:pPr>
        <w:tabs>
          <w:tab w:val="left" w:pos="6300"/>
        </w:tabs>
        <w:snapToGrid w:val="0"/>
        <w:spacing w:line="360" w:lineRule="auto"/>
        <w:rPr>
          <w:rFonts w:hint="eastAsia" w:ascii="方正仿宋_GBK" w:hAnsi="方正仿宋_GBK" w:eastAsia="方正仿宋_GBK" w:cs="方正仿宋_GBK"/>
          <w:color w:val="auto"/>
          <w:sz w:val="24"/>
          <w:szCs w:val="24"/>
          <w:highlight w:val="none"/>
          <w:u w:val="none"/>
        </w:rPr>
      </w:pPr>
      <w:r>
        <w:rPr>
          <w:rFonts w:hint="eastAsia" w:ascii="方正仿宋_GBK" w:hAnsi="方正仿宋_GBK" w:eastAsia="方正仿宋_GBK" w:cs="方正仿宋_GBK"/>
          <w:color w:val="auto"/>
          <w:sz w:val="24"/>
          <w:szCs w:val="24"/>
          <w:highlight w:val="none"/>
          <w:u w:val="single"/>
        </w:rPr>
        <w:t>（采购人名称）</w:t>
      </w:r>
      <w:r>
        <w:rPr>
          <w:rFonts w:hint="eastAsia" w:ascii="方正仿宋_GBK" w:hAnsi="方正仿宋_GBK" w:eastAsia="方正仿宋_GBK" w:cs="方正仿宋_GBK"/>
          <w:color w:val="auto"/>
          <w:sz w:val="24"/>
          <w:szCs w:val="24"/>
          <w:highlight w:val="none"/>
        </w:rPr>
        <w:t>：</w:t>
      </w:r>
    </w:p>
    <w:p w14:paraId="2810ACE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我方收到</w:t>
      </w:r>
      <w:r>
        <w:rPr>
          <w:rFonts w:hint="eastAsia" w:ascii="方正仿宋_GBK" w:hAnsi="方正仿宋_GBK" w:eastAsia="方正仿宋_GBK" w:cs="方正仿宋_GBK"/>
          <w:color w:val="auto"/>
          <w:sz w:val="24"/>
          <w:szCs w:val="24"/>
          <w:highlight w:val="none"/>
        </w:rPr>
        <w:t>____________________________</w:t>
      </w:r>
      <w:r>
        <w:rPr>
          <w:rFonts w:hint="eastAsia" w:ascii="仿宋" w:hAnsi="仿宋" w:eastAsia="仿宋" w:cs="仿宋"/>
          <w:color w:val="auto"/>
          <w:sz w:val="24"/>
          <w:szCs w:val="24"/>
          <w:highlight w:val="none"/>
        </w:rPr>
        <w:t>（谈判项目名称）的竞争性谈判文件，经详细研究，决定参加该谈判项目的竞争谈判。</w:t>
      </w:r>
    </w:p>
    <w:p w14:paraId="1D357326">
      <w:pPr>
        <w:tabs>
          <w:tab w:val="left" w:pos="6300"/>
        </w:tabs>
        <w:snapToGrid w:val="0"/>
        <w:spacing w:line="360" w:lineRule="auto"/>
        <w:ind w:firstLine="480" w:firstLineChars="200"/>
        <w:rPr>
          <w:rFonts w:hint="eastAsia" w:ascii="方正仿宋_GBK" w:hAnsi="方正仿宋_GBK" w:eastAsia="方正仿宋_GBK" w:cs="方正仿宋_GBK"/>
          <w:color w:val="auto"/>
          <w:sz w:val="24"/>
          <w:szCs w:val="24"/>
          <w:highlight w:val="none"/>
          <w:u w:val="none"/>
        </w:rPr>
      </w:pPr>
      <w:r>
        <w:rPr>
          <w:rFonts w:hint="eastAsia" w:ascii="仿宋" w:hAnsi="仿宋" w:eastAsia="仿宋" w:cs="仿宋"/>
          <w:color w:val="auto"/>
          <w:sz w:val="24"/>
          <w:szCs w:val="24"/>
          <w:highlight w:val="none"/>
        </w:rPr>
        <w:t>1、愿意按照竞争性谈判文件中的一切要求，提供本项目的交货及技术服务，最后报价为人民币大写</w:t>
      </w:r>
      <w:r>
        <w:rPr>
          <w:rFonts w:hint="eastAsia" w:ascii="方正仿宋_GBK" w:hAnsi="方正仿宋_GBK" w:eastAsia="方正仿宋_GBK" w:cs="方正仿宋_GBK"/>
          <w:color w:val="auto"/>
          <w:sz w:val="24"/>
          <w:szCs w:val="24"/>
          <w:highlight w:val="none"/>
          <w:u w:val="none"/>
        </w:rPr>
        <w:t>：</w:t>
      </w:r>
      <w:r>
        <w:rPr>
          <w:rFonts w:hint="eastAsia" w:ascii="方正仿宋_GBK" w:hAnsi="方正仿宋_GBK" w:eastAsia="方正仿宋_GBK" w:cs="方正仿宋_GBK"/>
          <w:color w:val="auto"/>
          <w:sz w:val="24"/>
          <w:szCs w:val="24"/>
          <w:highlight w:val="none"/>
          <w:u w:val="single"/>
        </w:rPr>
        <w:t xml:space="preserve">      </w:t>
      </w:r>
      <w:r>
        <w:rPr>
          <w:rFonts w:hint="eastAsia" w:ascii="方正仿宋_GBK" w:hAnsi="方正仿宋_GBK" w:eastAsia="方正仿宋_GBK" w:cs="方正仿宋_GBK"/>
          <w:color w:val="auto"/>
          <w:sz w:val="24"/>
          <w:szCs w:val="24"/>
          <w:highlight w:val="none"/>
          <w:u w:val="none"/>
        </w:rPr>
        <w:t>元</w:t>
      </w:r>
      <w:r>
        <w:rPr>
          <w:rFonts w:hint="eastAsia" w:ascii="仿宋" w:hAnsi="仿宋" w:eastAsia="仿宋" w:cs="仿宋"/>
          <w:color w:val="auto"/>
          <w:sz w:val="24"/>
          <w:szCs w:val="24"/>
          <w:highlight w:val="none"/>
        </w:rPr>
        <w:t>整；人民币小写</w:t>
      </w:r>
      <w:r>
        <w:rPr>
          <w:rFonts w:hint="eastAsia" w:ascii="方正仿宋_GBK" w:hAnsi="方正仿宋_GBK" w:eastAsia="方正仿宋_GBK" w:cs="方正仿宋_GBK"/>
          <w:color w:val="auto"/>
          <w:sz w:val="24"/>
          <w:szCs w:val="24"/>
          <w:highlight w:val="none"/>
          <w:u w:val="none"/>
        </w:rPr>
        <w:t>：</w:t>
      </w:r>
      <w:r>
        <w:rPr>
          <w:rFonts w:hint="eastAsia" w:ascii="方正仿宋_GBK" w:hAnsi="方正仿宋_GBK" w:eastAsia="方正仿宋_GBK" w:cs="方正仿宋_GBK"/>
          <w:color w:val="auto"/>
          <w:sz w:val="24"/>
          <w:szCs w:val="24"/>
          <w:highlight w:val="none"/>
          <w:u w:val="single"/>
        </w:rPr>
        <w:t xml:space="preserve">    </w:t>
      </w:r>
      <w:r>
        <w:rPr>
          <w:rFonts w:hint="eastAsia" w:ascii="仿宋" w:hAnsi="仿宋" w:eastAsia="仿宋" w:cs="仿宋"/>
          <w:color w:val="auto"/>
          <w:sz w:val="24"/>
          <w:szCs w:val="24"/>
          <w:highlight w:val="none"/>
        </w:rPr>
        <w:t>元。</w:t>
      </w:r>
    </w:p>
    <w:p w14:paraId="26220DDB">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2、我方承诺：本次谈判的有效期为90天。</w:t>
      </w:r>
    </w:p>
    <w:p w14:paraId="67A8B917">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3、我方完全理解和接受贵方竞争性谈判文件的一切规定和要求及谈判评审办法。</w:t>
      </w:r>
    </w:p>
    <w:p w14:paraId="4E1AE98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4、在整个竞争性谈判过程中，我方若有违规行为，接受按照《中华人民共和国政府采购法》和《竞争性谈判文件》之规定给予惩罚。</w:t>
      </w:r>
    </w:p>
    <w:p w14:paraId="0ED1314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5、我方若成为成交供应商，将按照最后谈判结果签订合同，并且严格履行合同义务。本承诺函将成为合同不可分割的一部分，与合同具有同等的法律效力。</w:t>
      </w:r>
    </w:p>
    <w:p w14:paraId="515FC4B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6、我方同意按竞争性谈判文件规定，交纳竞争性谈判文件要求的保证金。如果我方成为成交供应商，保证在接到成交通知书后，向采购代理机构交纳竞争性谈判文件规定的采购代理服务费。</w:t>
      </w:r>
    </w:p>
    <w:p w14:paraId="160799F0">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p>
    <w:p w14:paraId="4779F230">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供应商（公章）：</w:t>
      </w:r>
    </w:p>
    <w:p w14:paraId="21FD5AE5">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 xml:space="preserve">地址：  </w:t>
      </w:r>
    </w:p>
    <w:p w14:paraId="2F677FF6">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 xml:space="preserve">电话：                           </w:t>
      </w:r>
    </w:p>
    <w:p w14:paraId="3B5666EA">
      <w:pPr>
        <w:tabs>
          <w:tab w:val="left" w:pos="6300"/>
        </w:tabs>
        <w:snapToGrid w:val="0"/>
        <w:spacing w:line="312" w:lineRule="auto"/>
        <w:ind w:firstLine="4560" w:firstLineChars="1900"/>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联系人：</w:t>
      </w:r>
    </w:p>
    <w:p w14:paraId="63C7E7CE">
      <w:pPr>
        <w:tabs>
          <w:tab w:val="left" w:pos="6300"/>
        </w:tabs>
        <w:snapToGrid w:val="0"/>
        <w:spacing w:line="312" w:lineRule="auto"/>
        <w:rPr>
          <w:rFonts w:hint="eastAsia" w:ascii="方正仿宋_GB2312" w:hAnsi="方正仿宋_GB2312" w:eastAsia="方正仿宋_GB2312" w:cs="方正仿宋_GB2312"/>
          <w:color w:val="auto"/>
          <w:sz w:val="24"/>
          <w:szCs w:val="24"/>
          <w:highlight w:val="none"/>
          <w:u w:val="none"/>
        </w:rPr>
      </w:pPr>
      <w:r>
        <w:rPr>
          <w:rFonts w:hint="eastAsia" w:ascii="方正仿宋_GB2312" w:hAnsi="方正仿宋_GB2312" w:eastAsia="方正仿宋_GB2312" w:cs="方正仿宋_GB2312"/>
          <w:color w:val="auto"/>
          <w:sz w:val="24"/>
          <w:szCs w:val="24"/>
          <w:highlight w:val="none"/>
          <w:u w:val="none"/>
        </w:rPr>
        <w:t xml:space="preserve">                                         </w:t>
      </w:r>
      <w:r>
        <w:rPr>
          <w:rFonts w:hint="eastAsia" w:ascii="方正仿宋_GB2312" w:hAnsi="方正仿宋_GB2312" w:eastAsia="方正仿宋_GB2312" w:cs="方正仿宋_GB2312"/>
          <w:color w:val="auto"/>
          <w:sz w:val="24"/>
          <w:szCs w:val="24"/>
          <w:highlight w:val="none"/>
          <w:u w:val="none"/>
          <w:lang w:val="en-US" w:eastAsia="zh-CN"/>
        </w:rPr>
        <w:t xml:space="preserve">     </w:t>
      </w:r>
      <w:r>
        <w:rPr>
          <w:rFonts w:hint="eastAsia" w:ascii="方正仿宋_GB2312" w:hAnsi="方正仿宋_GB2312" w:eastAsia="方正仿宋_GB2312" w:cs="方正仿宋_GB2312"/>
          <w:color w:val="auto"/>
          <w:sz w:val="24"/>
          <w:szCs w:val="24"/>
          <w:highlight w:val="none"/>
          <w:u w:val="none"/>
        </w:rPr>
        <w:t xml:space="preserve">  年   月   日</w:t>
      </w:r>
    </w:p>
    <w:p w14:paraId="117A6B1C">
      <w:pPr>
        <w:tabs>
          <w:tab w:val="left" w:pos="6300"/>
        </w:tabs>
        <w:snapToGrid w:val="0"/>
        <w:spacing w:line="312" w:lineRule="auto"/>
        <w:rPr>
          <w:rFonts w:hint="eastAsia" w:ascii="方正仿宋_GB2312" w:hAnsi="方正仿宋_GB2312" w:eastAsia="方正仿宋_GB2312" w:cs="方正仿宋_GB2312"/>
          <w:color w:val="auto"/>
          <w:sz w:val="24"/>
          <w:szCs w:val="24"/>
          <w:highlight w:val="none"/>
          <w:u w:val="none"/>
        </w:rPr>
      </w:pPr>
    </w:p>
    <w:p w14:paraId="6FBF99CC">
      <w:pPr>
        <w:tabs>
          <w:tab w:val="left" w:pos="6300"/>
        </w:tabs>
        <w:snapToGrid w:val="0"/>
        <w:spacing w:line="312" w:lineRule="auto"/>
        <w:rPr>
          <w:rFonts w:hint="eastAsia" w:ascii="方正仿宋_GB2312" w:hAnsi="方正仿宋_GB2312" w:eastAsia="方正仿宋_GB2312" w:cs="方正仿宋_GB2312"/>
          <w:color w:val="auto"/>
          <w:sz w:val="24"/>
          <w:szCs w:val="24"/>
          <w:highlight w:val="none"/>
          <w:u w:val="none"/>
        </w:rPr>
      </w:pPr>
    </w:p>
    <w:p w14:paraId="5528AF5A">
      <w:pPr>
        <w:tabs>
          <w:tab w:val="left" w:pos="6300"/>
        </w:tabs>
        <w:snapToGrid w:val="0"/>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26BC50AE">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1、最后竞争性报价函由潜在参与谈判供应商自行下载打印并加盖参与谈判供应商公章带至开标现场，经谈判后在最后报价时填写；</w:t>
      </w:r>
    </w:p>
    <w:p w14:paraId="5311FAD1">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2、最后报价超过首次报价或最后未进行报价的，以首次报价金额为准。</w:t>
      </w:r>
    </w:p>
    <w:p w14:paraId="3CDA2A36">
      <w:pPr>
        <w:rPr>
          <w:rFonts w:hint="eastAsia" w:ascii="仿宋" w:hAnsi="仿宋" w:eastAsia="仿宋" w:cs="仿宋"/>
          <w:color w:val="auto"/>
          <w:sz w:val="24"/>
          <w:szCs w:val="24"/>
          <w:highlight w:val="none"/>
        </w:rPr>
      </w:pPr>
    </w:p>
    <w:p w14:paraId="2E64F7EE">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br w:type="page"/>
      </w:r>
    </w:p>
    <w:p w14:paraId="2F85B852">
      <w:pPr>
        <w:tabs>
          <w:tab w:val="left" w:pos="2895"/>
        </w:tabs>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（二）明细报价表</w:t>
      </w:r>
    </w:p>
    <w:p w14:paraId="26FFBBA6">
      <w:pPr>
        <w:spacing w:line="360" w:lineRule="auto"/>
        <w:jc w:val="cente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t>明细报价表</w:t>
      </w:r>
    </w:p>
    <w:p w14:paraId="2798761F">
      <w:pPr>
        <w:snapToGrid w:val="0"/>
        <w:spacing w:line="500" w:lineRule="exact"/>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 xml:space="preserve"> 严格按照附件“</w:t>
      </w:r>
      <w:r>
        <w:rPr>
          <w:rFonts w:hint="eastAsia" w:ascii="仿宋" w:hAnsi="仿宋" w:eastAsia="仿宋" w:cs="仿宋"/>
          <w:color w:val="auto"/>
          <w:sz w:val="24"/>
          <w:szCs w:val="28"/>
          <w:highlight w:val="none"/>
          <w:lang w:eastAsia="zh-CN"/>
        </w:rPr>
        <w:t>璧山区局青杠所部分外墙维修改造项目（第三次）</w:t>
      </w:r>
      <w:r>
        <w:rPr>
          <w:rFonts w:hint="eastAsia" w:ascii="仿宋" w:hAnsi="仿宋" w:eastAsia="仿宋" w:cs="仿宋"/>
          <w:color w:val="auto"/>
          <w:sz w:val="24"/>
          <w:szCs w:val="28"/>
          <w:highlight w:val="none"/>
        </w:rPr>
        <w:t>明细表”格式予以报价，否则为无效响应。</w:t>
      </w:r>
    </w:p>
    <w:p w14:paraId="721DE785">
      <w:pPr>
        <w:pStyle w:val="14"/>
        <w:rPr>
          <w:rFonts w:hint="eastAsia"/>
          <w:color w:val="auto"/>
          <w:highlight w:val="none"/>
        </w:rPr>
      </w:pPr>
    </w:p>
    <w:p w14:paraId="6A4C4BA6">
      <w:pPr>
        <w:snapToGrid w:val="0"/>
        <w:spacing w:line="500" w:lineRule="exact"/>
        <w:ind w:firstLine="480" w:firstLineChars="2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注：1、请供应商完整填写本表。</w:t>
      </w:r>
    </w:p>
    <w:p w14:paraId="41813C53">
      <w:pPr>
        <w:snapToGrid w:val="0"/>
        <w:spacing w:line="500" w:lineRule="exact"/>
        <w:ind w:firstLine="960" w:firstLineChars="4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lang w:val="en-US" w:eastAsia="zh-CN"/>
        </w:rPr>
        <w:t>2、</w:t>
      </w:r>
      <w:r>
        <w:rPr>
          <w:rFonts w:hint="eastAsia" w:ascii="仿宋" w:hAnsi="仿宋" w:eastAsia="仿宋" w:cs="仿宋"/>
          <w:color w:val="auto"/>
          <w:sz w:val="24"/>
          <w:szCs w:val="28"/>
          <w:highlight w:val="none"/>
        </w:rPr>
        <w:t>该表可扩展</w:t>
      </w:r>
      <w:bookmarkStart w:id="101" w:name="OLE_LINK1"/>
      <w:bookmarkStart w:id="102" w:name="OLE_LINK2"/>
      <w:r>
        <w:rPr>
          <w:rFonts w:hint="eastAsia" w:ascii="仿宋" w:hAnsi="仿宋" w:eastAsia="仿宋" w:cs="仿宋"/>
          <w:color w:val="auto"/>
          <w:sz w:val="24"/>
          <w:szCs w:val="28"/>
          <w:highlight w:val="none"/>
        </w:rPr>
        <w:t>，并逐页签字或盖章。</w:t>
      </w:r>
      <w:bookmarkEnd w:id="101"/>
      <w:bookmarkEnd w:id="102"/>
    </w:p>
    <w:p w14:paraId="6FC7E107">
      <w:pPr>
        <w:snapToGrid w:val="0"/>
        <w:spacing w:line="500" w:lineRule="exact"/>
        <w:ind w:firstLine="960" w:firstLineChars="4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3、该明细报价表含耗材及易损件报价。</w:t>
      </w:r>
    </w:p>
    <w:p w14:paraId="76A6B15B">
      <w:pPr>
        <w:pStyle w:val="14"/>
        <w:spacing w:line="360" w:lineRule="auto"/>
        <w:rPr>
          <w:rFonts w:hint="eastAsia" w:ascii="仿宋" w:hAnsi="仿宋" w:eastAsia="仿宋" w:cs="仿宋"/>
          <w:color w:val="auto"/>
          <w:sz w:val="24"/>
          <w:szCs w:val="24"/>
          <w:highlight w:val="none"/>
        </w:rPr>
      </w:pPr>
    </w:p>
    <w:p w14:paraId="58A46264">
      <w:pPr>
        <w:pStyle w:val="14"/>
        <w:spacing w:line="360" w:lineRule="auto"/>
        <w:rPr>
          <w:rFonts w:hint="eastAsia" w:ascii="仿宋" w:hAnsi="仿宋" w:eastAsia="仿宋" w:cs="仿宋"/>
          <w:color w:val="auto"/>
          <w:sz w:val="24"/>
          <w:szCs w:val="24"/>
          <w:highlight w:val="none"/>
        </w:rPr>
      </w:pPr>
    </w:p>
    <w:p w14:paraId="603D29DD">
      <w:pPr>
        <w:spacing w:line="360" w:lineRule="auto"/>
        <w:rPr>
          <w:rFonts w:hint="eastAsia" w:ascii="仿宋" w:hAnsi="仿宋" w:eastAsia="仿宋" w:cs="仿宋"/>
          <w:color w:val="auto"/>
          <w:highlight w:val="none"/>
        </w:rPr>
      </w:pPr>
      <w:r>
        <w:rPr>
          <w:rFonts w:hint="eastAsia" w:ascii="仿宋" w:hAnsi="仿宋" w:eastAsia="仿宋" w:cs="仿宋"/>
          <w:color w:val="auto"/>
          <w:sz w:val="24"/>
          <w:szCs w:val="24"/>
          <w:highlight w:val="none"/>
        </w:rPr>
        <w:t xml:space="preserve">                                                     供应商名称（公章）：</w:t>
      </w:r>
    </w:p>
    <w:p w14:paraId="31B63297">
      <w:pPr>
        <w:spacing w:line="360" w:lineRule="auto"/>
        <w:ind w:right="480" w:firstLine="6480" w:firstLineChars="27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年     月    日</w:t>
      </w:r>
    </w:p>
    <w:p w14:paraId="0BFADCD3">
      <w:pPr>
        <w:rPr>
          <w:rFonts w:hint="eastAsia" w:ascii="仿宋" w:hAnsi="仿宋" w:eastAsia="仿宋" w:cs="仿宋"/>
          <w:color w:val="auto"/>
          <w:sz w:val="24"/>
          <w:szCs w:val="24"/>
          <w:highlight w:val="none"/>
        </w:rPr>
      </w:pPr>
      <w:bookmarkStart w:id="103" w:name="_Toc313888361"/>
      <w:bookmarkStart w:id="104" w:name="_Toc342913420"/>
      <w:bookmarkStart w:id="105" w:name="_Toc313008357"/>
      <w:bookmarkStart w:id="106" w:name="_Toc419975693"/>
      <w:r>
        <w:rPr>
          <w:rFonts w:hint="eastAsia" w:ascii="仿宋" w:hAnsi="仿宋" w:eastAsia="仿宋" w:cs="仿宋"/>
          <w:color w:val="auto"/>
          <w:sz w:val="24"/>
          <w:szCs w:val="24"/>
          <w:highlight w:val="none"/>
        </w:rPr>
        <w:br w:type="page"/>
      </w:r>
    </w:p>
    <w:p w14:paraId="01F8089E">
      <w:pPr>
        <w:pStyle w:val="3"/>
        <w:spacing w:before="0" w:after="0" w:line="360" w:lineRule="auto"/>
        <w:ind w:firstLine="472" w:firstLineChars="196"/>
        <w:rPr>
          <w:rFonts w:hint="eastAsia" w:ascii="仿宋" w:hAnsi="仿宋" w:eastAsia="仿宋" w:cs="仿宋"/>
          <w:color w:val="auto"/>
          <w:sz w:val="24"/>
          <w:szCs w:val="24"/>
          <w:highlight w:val="none"/>
        </w:rPr>
      </w:pPr>
      <w:bookmarkStart w:id="107" w:name="_Toc6334"/>
      <w:r>
        <w:rPr>
          <w:rFonts w:hint="eastAsia" w:ascii="仿宋" w:hAnsi="仿宋" w:eastAsia="仿宋" w:cs="仿宋"/>
          <w:color w:val="auto"/>
          <w:sz w:val="24"/>
          <w:szCs w:val="24"/>
          <w:highlight w:val="none"/>
        </w:rPr>
        <w:t>二、技术部分</w:t>
      </w:r>
      <w:bookmarkEnd w:id="103"/>
      <w:bookmarkEnd w:id="104"/>
      <w:bookmarkEnd w:id="105"/>
      <w:bookmarkEnd w:id="106"/>
      <w:bookmarkEnd w:id="107"/>
    </w:p>
    <w:p w14:paraId="5B0F5B0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（一）技术应答</w:t>
      </w:r>
      <w:r>
        <w:rPr>
          <w:rFonts w:hint="eastAsia" w:ascii="仿宋" w:hAnsi="仿宋" w:eastAsia="仿宋" w:cs="仿宋"/>
          <w:color w:val="auto"/>
          <w:sz w:val="24"/>
          <w:szCs w:val="24"/>
          <w:highlight w:val="none"/>
          <w:lang w:val="en-US" w:eastAsia="zh-CN"/>
        </w:rPr>
        <w:t>或技术方案</w:t>
      </w:r>
      <w:r>
        <w:rPr>
          <w:rFonts w:hint="eastAsia" w:ascii="仿宋" w:hAnsi="仿宋" w:eastAsia="仿宋" w:cs="仿宋"/>
          <w:color w:val="auto"/>
          <w:sz w:val="24"/>
          <w:szCs w:val="24"/>
          <w:highlight w:val="none"/>
        </w:rPr>
        <w:t>（格式自拟）</w:t>
      </w:r>
    </w:p>
    <w:p w14:paraId="090F3306">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5E5F6CA6">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2FACE985">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2732480">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21D2774">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0AE755B0">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2B1BE3E7">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2809C42">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5406F83">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5D11A6EB">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7C6C2EB9">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C2EBF2D">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7B1D3DE8">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26232DE5">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75575FCC">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70604A4">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3B4C7ECC">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5BD51122">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2E892D7D">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42B5F5E">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18FD31D">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A87618F">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DA3E025">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1C28F452">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4CBF1995">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33B7681B">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709436D8">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5C82C76">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51F4BCDA">
      <w:pPr>
        <w:pStyle w:val="14"/>
        <w:rPr>
          <w:rFonts w:hint="eastAsia"/>
          <w:color w:val="auto"/>
          <w:highlight w:val="none"/>
        </w:rPr>
      </w:pPr>
    </w:p>
    <w:p w14:paraId="4CA5ECC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二</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技术响应偏离表</w:t>
      </w:r>
    </w:p>
    <w:p w14:paraId="055CF9BA">
      <w:pPr>
        <w:tabs>
          <w:tab w:val="left" w:pos="6300"/>
        </w:tabs>
        <w:snapToGrid w:val="0"/>
        <w:spacing w:line="360" w:lineRule="auto"/>
        <w:ind w:firstLine="570"/>
        <w:jc w:val="center"/>
        <w:rPr>
          <w:rFonts w:hint="eastAsia" w:ascii="仿宋" w:hAnsi="仿宋" w:eastAsia="仿宋" w:cs="仿宋"/>
          <w:b/>
          <w:bCs/>
          <w:color w:val="auto"/>
          <w:sz w:val="24"/>
          <w:szCs w:val="24"/>
          <w:highlight w:val="none"/>
        </w:rPr>
      </w:pPr>
    </w:p>
    <w:p w14:paraId="6080D6A1">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项目号：                                  </w:t>
      </w:r>
    </w:p>
    <w:p w14:paraId="2282516D">
      <w:pPr>
        <w:spacing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谈判项目名称：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
        <w:gridCol w:w="2967"/>
        <w:gridCol w:w="3081"/>
        <w:gridCol w:w="2309"/>
      </w:tblGrid>
      <w:tr w14:paraId="6FC92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95" w:type="dxa"/>
            <w:vAlign w:val="center"/>
          </w:tcPr>
          <w:p w14:paraId="04E1B0F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序号</w:t>
            </w:r>
          </w:p>
        </w:tc>
        <w:tc>
          <w:tcPr>
            <w:tcW w:w="2967" w:type="dxa"/>
            <w:vAlign w:val="center"/>
          </w:tcPr>
          <w:p w14:paraId="2061FD5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采购需求</w:t>
            </w:r>
          </w:p>
        </w:tc>
        <w:tc>
          <w:tcPr>
            <w:tcW w:w="3081" w:type="dxa"/>
            <w:vAlign w:val="center"/>
          </w:tcPr>
          <w:p w14:paraId="412533CE">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响应情况</w:t>
            </w:r>
          </w:p>
        </w:tc>
        <w:tc>
          <w:tcPr>
            <w:tcW w:w="2309" w:type="dxa"/>
            <w:vAlign w:val="center"/>
          </w:tcPr>
          <w:p w14:paraId="1A8352D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差异说明</w:t>
            </w:r>
          </w:p>
        </w:tc>
      </w:tr>
      <w:tr w14:paraId="7594D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26971CF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40AA2FC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2F73F8E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20E7F7B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4425D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2529D1A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3F94BB2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256725B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1DA3661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7B4D0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7EBDBE3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73E0378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45A3DE2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26B3FB6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774A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3E02989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3C3AA9DD">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2E008E1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64122C8C">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163B9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546C3351">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382A1CA0">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3CAB4655">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493C2B14">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7DCB8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4708394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0103FD98">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787AABF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12B0783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2F7CB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4341359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04B02F3A">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3631299B">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2C1F328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r w14:paraId="3119C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995" w:type="dxa"/>
            <w:vAlign w:val="center"/>
          </w:tcPr>
          <w:p w14:paraId="34C65FB2">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967" w:type="dxa"/>
            <w:vAlign w:val="center"/>
          </w:tcPr>
          <w:p w14:paraId="5A2D1F63">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3081" w:type="dxa"/>
            <w:vAlign w:val="center"/>
          </w:tcPr>
          <w:p w14:paraId="18C7D7FF">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c>
          <w:tcPr>
            <w:tcW w:w="2309" w:type="dxa"/>
            <w:vAlign w:val="center"/>
          </w:tcPr>
          <w:p w14:paraId="060C4E97">
            <w:pPr>
              <w:keepNext w:val="0"/>
              <w:keepLines w:val="0"/>
              <w:suppressLineNumbers w:val="0"/>
              <w:tabs>
                <w:tab w:val="left" w:pos="6300"/>
              </w:tabs>
              <w:snapToGrid w:val="0"/>
              <w:spacing w:before="0" w:beforeAutospacing="0" w:after="0" w:afterAutospacing="0" w:line="500" w:lineRule="exact"/>
              <w:ind w:left="0" w:right="0"/>
              <w:jc w:val="center"/>
              <w:outlineLvl w:val="0"/>
              <w:rPr>
                <w:rFonts w:hint="eastAsia" w:ascii="仿宋" w:hAnsi="仿宋" w:eastAsia="仿宋" w:cs="仿宋"/>
                <w:color w:val="auto"/>
                <w:sz w:val="21"/>
                <w:szCs w:val="21"/>
                <w:highlight w:val="none"/>
              </w:rPr>
            </w:pPr>
          </w:p>
        </w:tc>
      </w:tr>
    </w:tbl>
    <w:p w14:paraId="37C68988">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法定代表人（或法定代表人授权代表）：</w:t>
      </w:r>
    </w:p>
    <w:p w14:paraId="3C956525">
      <w:pPr>
        <w:spacing w:line="500" w:lineRule="exact"/>
        <w:ind w:firstLine="600" w:firstLineChars="250"/>
        <w:rPr>
          <w:rFonts w:hint="eastAsia" w:ascii="仿宋" w:hAnsi="仿宋" w:eastAsia="仿宋" w:cs="仿宋"/>
          <w:color w:val="auto"/>
          <w:sz w:val="24"/>
          <w:szCs w:val="28"/>
          <w:highlight w:val="none"/>
        </w:rPr>
      </w:pPr>
    </w:p>
    <w:p w14:paraId="6E977212">
      <w:pPr>
        <w:spacing w:line="500" w:lineRule="exact"/>
        <w:ind w:firstLine="720" w:firstLineChars="30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（签字或盖章）</w:t>
      </w:r>
    </w:p>
    <w:p w14:paraId="7F05C8D1">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295D351D">
      <w:pPr>
        <w:tabs>
          <w:tab w:val="left" w:pos="6300"/>
        </w:tabs>
        <w:snapToGrid w:val="0"/>
        <w:spacing w:line="500" w:lineRule="exact"/>
        <w:ind w:firstLine="480" w:firstLineChars="200"/>
        <w:rPr>
          <w:rFonts w:hint="eastAsia" w:ascii="仿宋" w:hAnsi="仿宋" w:eastAsia="仿宋" w:cs="仿宋"/>
          <w:color w:val="auto"/>
          <w:sz w:val="24"/>
          <w:highlight w:val="none"/>
        </w:rPr>
      </w:pPr>
      <w:bookmarkStart w:id="108" w:name="_Toc342913421"/>
      <w:bookmarkStart w:id="109" w:name="_Toc313008358"/>
      <w:bookmarkStart w:id="110" w:name="_Toc313888362"/>
      <w:r>
        <w:rPr>
          <w:rFonts w:hint="eastAsia" w:ascii="仿宋" w:hAnsi="仿宋" w:eastAsia="仿宋" w:cs="仿宋"/>
          <w:color w:val="auto"/>
          <w:sz w:val="24"/>
          <w:highlight w:val="none"/>
        </w:rPr>
        <w:t>注：</w:t>
      </w:r>
    </w:p>
    <w:p w14:paraId="0BF9556F">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highlight w:val="none"/>
        </w:rPr>
        <w:t>.本表即为对本项目“第二篇  谈判项目技术需求”中所列技术要求进行比较和响应；</w:t>
      </w:r>
    </w:p>
    <w:p w14:paraId="788DD391">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2.该表必须按照竞争性谈判要求逐条如实填写</w:t>
      </w:r>
      <w:r>
        <w:rPr>
          <w:rFonts w:hint="eastAsia" w:ascii="仿宋" w:hAnsi="仿宋" w:eastAsia="仿宋" w:cs="仿宋"/>
          <w:color w:val="auto"/>
          <w:sz w:val="24"/>
          <w:szCs w:val="24"/>
          <w:highlight w:val="none"/>
        </w:rPr>
        <w:t>。</w:t>
      </w:r>
    </w:p>
    <w:p w14:paraId="5D76B1B2">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3.该表可扩展</w:t>
      </w:r>
      <w:r>
        <w:rPr>
          <w:rFonts w:hint="eastAsia" w:ascii="仿宋" w:hAnsi="仿宋" w:eastAsia="仿宋" w:cs="仿宋"/>
          <w:color w:val="auto"/>
          <w:sz w:val="24"/>
          <w:szCs w:val="28"/>
          <w:highlight w:val="none"/>
        </w:rPr>
        <w:t>，并逐页签字或盖章</w:t>
      </w:r>
      <w:r>
        <w:rPr>
          <w:rFonts w:hint="eastAsia" w:ascii="仿宋" w:hAnsi="仿宋" w:eastAsia="仿宋" w:cs="仿宋"/>
          <w:color w:val="auto"/>
          <w:sz w:val="24"/>
          <w:highlight w:val="none"/>
        </w:rPr>
        <w:t>；</w:t>
      </w:r>
    </w:p>
    <w:p w14:paraId="45B33C9B">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4.可附相关技术支撑材料（格式自定）。</w:t>
      </w:r>
    </w:p>
    <w:p w14:paraId="359DAFE8">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14:paraId="311CA33D">
      <w:pPr>
        <w:tabs>
          <w:tab w:val="left" w:pos="6300"/>
        </w:tabs>
        <w:snapToGrid w:val="0"/>
        <w:spacing w:line="500" w:lineRule="exact"/>
        <w:ind w:firstLine="480" w:firstLineChars="200"/>
        <w:rPr>
          <w:rFonts w:hint="eastAsia" w:ascii="仿宋" w:hAnsi="仿宋" w:eastAsia="仿宋" w:cs="仿宋"/>
          <w:color w:val="auto"/>
          <w:sz w:val="24"/>
          <w:szCs w:val="24"/>
          <w:highlight w:val="none"/>
        </w:rPr>
      </w:pPr>
    </w:p>
    <w:p w14:paraId="60370C00">
      <w:pPr>
        <w:tabs>
          <w:tab w:val="left" w:pos="6300"/>
        </w:tabs>
        <w:snapToGrid w:val="0"/>
        <w:spacing w:line="500" w:lineRule="exact"/>
        <w:rPr>
          <w:rFonts w:hint="eastAsia" w:ascii="仿宋" w:hAnsi="仿宋" w:eastAsia="仿宋" w:cs="仿宋"/>
          <w:color w:val="auto"/>
          <w:sz w:val="24"/>
          <w:szCs w:val="24"/>
          <w:highlight w:val="none"/>
        </w:rPr>
      </w:pPr>
    </w:p>
    <w:p w14:paraId="1B9F6E4D">
      <w:pPr>
        <w:pStyle w:val="14"/>
        <w:rPr>
          <w:rFonts w:hint="eastAsia" w:ascii="仿宋" w:hAnsi="仿宋" w:eastAsia="仿宋" w:cs="仿宋"/>
          <w:color w:val="auto"/>
          <w:sz w:val="24"/>
          <w:szCs w:val="24"/>
          <w:highlight w:val="none"/>
        </w:rPr>
      </w:pPr>
    </w:p>
    <w:p w14:paraId="388F4370">
      <w:pPr>
        <w:rPr>
          <w:rFonts w:hint="eastAsia" w:ascii="仿宋" w:hAnsi="仿宋" w:eastAsia="仿宋" w:cs="仿宋"/>
          <w:color w:val="auto"/>
          <w:sz w:val="24"/>
          <w:szCs w:val="24"/>
          <w:highlight w:val="none"/>
        </w:rPr>
      </w:pPr>
    </w:p>
    <w:p w14:paraId="0215A596">
      <w:pPr>
        <w:rPr>
          <w:rFonts w:hint="eastAsia"/>
          <w:color w:val="auto"/>
          <w:highlight w:val="none"/>
        </w:rPr>
      </w:pPr>
    </w:p>
    <w:p w14:paraId="536C76D6">
      <w:pPr>
        <w:rPr>
          <w:rFonts w:hint="eastAsia"/>
          <w:color w:val="auto"/>
          <w:highlight w:val="none"/>
        </w:rPr>
      </w:pPr>
      <w:r>
        <w:rPr>
          <w:rFonts w:hint="eastAsia" w:ascii="仿宋" w:hAnsi="仿宋" w:eastAsia="仿宋" w:cs="仿宋"/>
          <w:color w:val="auto"/>
          <w:sz w:val="24"/>
          <w:szCs w:val="24"/>
          <w:highlight w:val="none"/>
        </w:rPr>
        <w:br w:type="page"/>
      </w:r>
    </w:p>
    <w:p w14:paraId="4E764F7C">
      <w:pPr>
        <w:pStyle w:val="3"/>
        <w:spacing w:before="0" w:after="0" w:line="240" w:lineRule="auto"/>
        <w:rPr>
          <w:rFonts w:hint="eastAsia" w:ascii="仿宋" w:hAnsi="仿宋" w:eastAsia="仿宋" w:cs="仿宋"/>
          <w:color w:val="auto"/>
          <w:sz w:val="24"/>
          <w:szCs w:val="24"/>
          <w:highlight w:val="none"/>
        </w:rPr>
      </w:pPr>
      <w:bookmarkStart w:id="111" w:name="_Toc419975694"/>
      <w:bookmarkStart w:id="112" w:name="_Toc24318"/>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部分</w:t>
      </w:r>
      <w:bookmarkEnd w:id="108"/>
      <w:bookmarkEnd w:id="109"/>
      <w:bookmarkEnd w:id="110"/>
      <w:bookmarkEnd w:id="111"/>
      <w:bookmarkEnd w:id="112"/>
    </w:p>
    <w:p w14:paraId="01922F81">
      <w:pPr>
        <w:spacing w:line="360" w:lineRule="auto"/>
        <w:ind w:firstLine="482" w:firstLineChars="200"/>
        <w:jc w:val="center"/>
        <w:rPr>
          <w:rFonts w:hint="eastAsia" w:ascii="仿宋" w:hAnsi="仿宋" w:eastAsia="仿宋" w:cs="仿宋"/>
          <w:b/>
          <w:bCs/>
          <w:color w:val="auto"/>
          <w:sz w:val="24"/>
          <w:szCs w:val="24"/>
          <w:highlight w:val="none"/>
        </w:rPr>
      </w:pPr>
      <w:bookmarkStart w:id="113" w:name="_Toc283382459"/>
      <w:r>
        <w:rPr>
          <w:rFonts w:hint="eastAsia" w:ascii="仿宋" w:hAnsi="仿宋" w:eastAsia="仿宋" w:cs="仿宋"/>
          <w:b/>
          <w:bCs/>
          <w:color w:val="auto"/>
          <w:sz w:val="24"/>
          <w:szCs w:val="24"/>
          <w:highlight w:val="none"/>
          <w:lang w:val="en-US" w:eastAsia="zh-CN"/>
        </w:rPr>
        <w:t>商务</w:t>
      </w:r>
      <w:r>
        <w:rPr>
          <w:rFonts w:hint="eastAsia" w:ascii="仿宋" w:hAnsi="仿宋" w:eastAsia="仿宋" w:cs="仿宋"/>
          <w:b/>
          <w:bCs/>
          <w:color w:val="auto"/>
          <w:sz w:val="24"/>
          <w:szCs w:val="24"/>
          <w:highlight w:val="none"/>
        </w:rPr>
        <w:t>响应偏离表</w:t>
      </w:r>
    </w:p>
    <w:p w14:paraId="138DFCAE">
      <w:pPr>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项目号：                                 </w:t>
      </w:r>
    </w:p>
    <w:p w14:paraId="2A0702AC">
      <w:pPr>
        <w:snapToGrid w:val="0"/>
        <w:spacing w:line="360" w:lineRule="auto"/>
        <w:ind w:firstLine="120"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谈判项目名称： </w:t>
      </w:r>
    </w:p>
    <w:tbl>
      <w:tblPr>
        <w:tblStyle w:val="17"/>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3229"/>
        <w:gridCol w:w="2472"/>
        <w:gridCol w:w="2392"/>
      </w:tblGrid>
      <w:tr w14:paraId="1F5F5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139" w:type="dxa"/>
            <w:vAlign w:val="center"/>
          </w:tcPr>
          <w:p w14:paraId="28A56A9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序号</w:t>
            </w:r>
          </w:p>
        </w:tc>
        <w:tc>
          <w:tcPr>
            <w:tcW w:w="3229" w:type="dxa"/>
            <w:vAlign w:val="center"/>
          </w:tcPr>
          <w:p w14:paraId="33759F67">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谈判项目需求</w:t>
            </w:r>
          </w:p>
        </w:tc>
        <w:tc>
          <w:tcPr>
            <w:tcW w:w="2472" w:type="dxa"/>
            <w:vAlign w:val="center"/>
          </w:tcPr>
          <w:p w14:paraId="6A1953A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响应情况</w:t>
            </w:r>
          </w:p>
        </w:tc>
        <w:tc>
          <w:tcPr>
            <w:tcW w:w="2392" w:type="dxa"/>
            <w:vAlign w:val="center"/>
          </w:tcPr>
          <w:p w14:paraId="6AD50DE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r>
              <w:rPr>
                <w:rFonts w:hint="eastAsia" w:ascii="仿宋" w:hAnsi="仿宋" w:eastAsia="仿宋" w:cs="仿宋"/>
                <w:color w:val="auto"/>
                <w:sz w:val="21"/>
                <w:szCs w:val="24"/>
                <w:highlight w:val="none"/>
              </w:rPr>
              <w:t>差异说明</w:t>
            </w:r>
          </w:p>
        </w:tc>
      </w:tr>
      <w:tr w14:paraId="2A356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4413FD96">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4649CA4C">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39DF50B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3D0AD1A2">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7BC1A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7945C95">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2738BEE7">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173427D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06D2AC8A">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0AF9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4D4ED3F0">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2C27DE0B">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13AF0CD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4EDB4E0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4793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D5C278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1EDFB8F8">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0787D58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43BA8629">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01B7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546DA5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3E06733D">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5C8EB192">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7AF2630F">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r w14:paraId="3A7B4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39" w:type="dxa"/>
            <w:vAlign w:val="center"/>
          </w:tcPr>
          <w:p w14:paraId="2EBE683E">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3229" w:type="dxa"/>
            <w:vAlign w:val="center"/>
          </w:tcPr>
          <w:p w14:paraId="7A73535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472" w:type="dxa"/>
            <w:vAlign w:val="center"/>
          </w:tcPr>
          <w:p w14:paraId="564889E4">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c>
          <w:tcPr>
            <w:tcW w:w="2392" w:type="dxa"/>
            <w:vAlign w:val="center"/>
          </w:tcPr>
          <w:p w14:paraId="3A646D42">
            <w:pPr>
              <w:keepNext w:val="0"/>
              <w:keepLines w:val="0"/>
              <w:suppressLineNumbers w:val="0"/>
              <w:tabs>
                <w:tab w:val="left" w:pos="6300"/>
              </w:tabs>
              <w:snapToGrid w:val="0"/>
              <w:spacing w:before="0" w:beforeAutospacing="0" w:after="0" w:afterAutospacing="0" w:line="360" w:lineRule="auto"/>
              <w:ind w:left="0" w:right="0"/>
              <w:jc w:val="center"/>
              <w:outlineLvl w:val="0"/>
              <w:rPr>
                <w:rFonts w:hint="eastAsia" w:ascii="仿宋" w:hAnsi="仿宋" w:eastAsia="仿宋" w:cs="仿宋"/>
                <w:color w:val="auto"/>
                <w:sz w:val="21"/>
                <w:szCs w:val="24"/>
                <w:highlight w:val="none"/>
              </w:rPr>
            </w:pPr>
          </w:p>
        </w:tc>
      </w:tr>
    </w:tbl>
    <w:p w14:paraId="5E416615">
      <w:pPr>
        <w:snapToGrid w:val="0"/>
        <w:spacing w:line="360" w:lineRule="auto"/>
        <w:ind w:firstLine="465"/>
        <w:rPr>
          <w:rFonts w:hint="eastAsia" w:ascii="仿宋" w:hAnsi="仿宋" w:eastAsia="仿宋" w:cs="仿宋"/>
          <w:color w:val="auto"/>
          <w:sz w:val="24"/>
          <w:szCs w:val="24"/>
          <w:highlight w:val="none"/>
        </w:rPr>
      </w:pPr>
    </w:p>
    <w:p w14:paraId="3EE61A26">
      <w:pPr>
        <w:spacing w:line="500" w:lineRule="exact"/>
        <w:ind w:firstLine="600" w:firstLineChars="2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                                法定代表人（或法定代表人授权代表）：</w:t>
      </w:r>
    </w:p>
    <w:p w14:paraId="41035933">
      <w:pPr>
        <w:spacing w:line="500" w:lineRule="exact"/>
        <w:ind w:firstLine="600" w:firstLineChars="250"/>
        <w:rPr>
          <w:rFonts w:hint="eastAsia" w:ascii="仿宋" w:hAnsi="仿宋" w:eastAsia="仿宋" w:cs="仿宋"/>
          <w:color w:val="auto"/>
          <w:sz w:val="24"/>
          <w:szCs w:val="28"/>
          <w:highlight w:val="none"/>
        </w:rPr>
      </w:pPr>
    </w:p>
    <w:p w14:paraId="56C315F2">
      <w:pPr>
        <w:spacing w:line="500" w:lineRule="exact"/>
        <w:ind w:firstLine="360" w:firstLineChars="150"/>
        <w:rPr>
          <w:rFonts w:hint="eastAsia" w:ascii="仿宋" w:hAnsi="仿宋" w:eastAsia="仿宋" w:cs="仿宋"/>
          <w:color w:val="auto"/>
          <w:sz w:val="24"/>
          <w:szCs w:val="28"/>
          <w:highlight w:val="none"/>
        </w:rPr>
      </w:pPr>
      <w:r>
        <w:rPr>
          <w:rFonts w:hint="eastAsia" w:ascii="仿宋" w:hAnsi="仿宋" w:eastAsia="仿宋" w:cs="仿宋"/>
          <w:color w:val="auto"/>
          <w:sz w:val="24"/>
          <w:szCs w:val="28"/>
          <w:highlight w:val="none"/>
        </w:rPr>
        <w:t>（供应商公章）                                 （签字或盖章）</w:t>
      </w:r>
    </w:p>
    <w:p w14:paraId="207099D2">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8"/>
          <w:highlight w:val="none"/>
        </w:rPr>
        <w:t xml:space="preserve">                                            年     月     日</w:t>
      </w:r>
    </w:p>
    <w:p w14:paraId="74C66BA9">
      <w:pPr>
        <w:tabs>
          <w:tab w:val="left" w:pos="6300"/>
        </w:tabs>
        <w:snapToGrid w:val="0"/>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w:t>
      </w:r>
    </w:p>
    <w:p w14:paraId="4C2CEAFC">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1.本表即为对本项目“第三篇 谈判项目</w:t>
      </w:r>
      <w:r>
        <w:rPr>
          <w:rFonts w:hint="eastAsia" w:ascii="仿宋" w:hAnsi="仿宋" w:eastAsia="仿宋" w:cs="仿宋"/>
          <w:color w:val="auto"/>
          <w:sz w:val="24"/>
          <w:szCs w:val="24"/>
          <w:highlight w:val="none"/>
          <w:lang w:val="en-US" w:eastAsia="zh-CN"/>
        </w:rPr>
        <w:t>商务</w:t>
      </w:r>
      <w:r>
        <w:rPr>
          <w:rFonts w:hint="eastAsia" w:ascii="仿宋" w:hAnsi="仿宋" w:eastAsia="仿宋" w:cs="仿宋"/>
          <w:color w:val="auto"/>
          <w:sz w:val="24"/>
          <w:szCs w:val="24"/>
          <w:highlight w:val="none"/>
        </w:rPr>
        <w:t>要求”中所列服务要求进行比较和响应；</w:t>
      </w:r>
    </w:p>
    <w:p w14:paraId="05068841">
      <w:pPr>
        <w:tabs>
          <w:tab w:val="left" w:pos="6300"/>
        </w:tabs>
        <w:snapToGrid w:val="0"/>
        <w:spacing w:line="48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2.该表必须按照竞争性谈判要求逐条如实填写。</w:t>
      </w:r>
    </w:p>
    <w:p w14:paraId="71278B96">
      <w:pPr>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3.该表可扩展，并逐页签字或盖章。</w:t>
      </w:r>
    </w:p>
    <w:p w14:paraId="23FCF6B3">
      <w:pPr>
        <w:spacing w:line="360" w:lineRule="auto"/>
        <w:ind w:firstLine="480" w:firstLineChars="200"/>
        <w:jc w:val="left"/>
        <w:rPr>
          <w:rFonts w:hint="eastAsia" w:ascii="仿宋" w:hAnsi="仿宋" w:eastAsia="仿宋" w:cs="仿宋"/>
          <w:color w:val="auto"/>
          <w:sz w:val="24"/>
          <w:szCs w:val="24"/>
          <w:highlight w:val="none"/>
        </w:rPr>
      </w:pPr>
    </w:p>
    <w:p w14:paraId="7138174D">
      <w:pPr>
        <w:spacing w:line="360" w:lineRule="auto"/>
        <w:ind w:firstLine="480" w:firstLineChars="200"/>
        <w:jc w:val="left"/>
        <w:rPr>
          <w:rFonts w:hint="eastAsia" w:ascii="仿宋" w:hAnsi="仿宋" w:eastAsia="仿宋" w:cs="仿宋"/>
          <w:color w:val="auto"/>
          <w:sz w:val="24"/>
          <w:szCs w:val="24"/>
          <w:highlight w:val="none"/>
        </w:rPr>
      </w:pPr>
    </w:p>
    <w:p w14:paraId="32E5DBF4">
      <w:pPr>
        <w:spacing w:line="360" w:lineRule="auto"/>
        <w:rPr>
          <w:rFonts w:hint="eastAsia" w:ascii="仿宋" w:hAnsi="仿宋" w:eastAsia="仿宋" w:cs="仿宋"/>
          <w:color w:val="auto"/>
          <w:sz w:val="24"/>
          <w:szCs w:val="24"/>
          <w:highlight w:val="none"/>
        </w:rPr>
      </w:pPr>
    </w:p>
    <w:bookmarkEnd w:id="113"/>
    <w:p w14:paraId="77C7F032">
      <w:pPr>
        <w:rPr>
          <w:rFonts w:hint="eastAsia" w:ascii="仿宋" w:hAnsi="仿宋" w:eastAsia="仿宋" w:cs="仿宋"/>
          <w:color w:val="auto"/>
          <w:sz w:val="24"/>
          <w:szCs w:val="24"/>
          <w:highlight w:val="none"/>
        </w:rPr>
      </w:pPr>
      <w:bookmarkStart w:id="114" w:name="_Toc342913422"/>
      <w:bookmarkStart w:id="115" w:name="_Toc419975695"/>
      <w:bookmarkStart w:id="116" w:name="_Toc313008359"/>
      <w:bookmarkStart w:id="117" w:name="_Toc313888363"/>
      <w:r>
        <w:rPr>
          <w:rFonts w:hint="eastAsia" w:ascii="仿宋" w:hAnsi="仿宋" w:eastAsia="仿宋" w:cs="仿宋"/>
          <w:color w:val="auto"/>
          <w:sz w:val="24"/>
          <w:szCs w:val="24"/>
          <w:highlight w:val="none"/>
        </w:rPr>
        <w:br w:type="page"/>
      </w:r>
    </w:p>
    <w:p w14:paraId="05842CA7">
      <w:pPr>
        <w:pStyle w:val="3"/>
        <w:spacing w:before="0" w:after="0" w:line="360" w:lineRule="auto"/>
        <w:rPr>
          <w:rFonts w:hint="eastAsia" w:ascii="仿宋" w:hAnsi="仿宋" w:eastAsia="仿宋" w:cs="仿宋"/>
          <w:color w:val="auto"/>
          <w:highlight w:val="none"/>
        </w:rPr>
      </w:pPr>
      <w:bookmarkStart w:id="118" w:name="_Toc17402"/>
      <w:r>
        <w:rPr>
          <w:rFonts w:hint="eastAsia" w:ascii="仿宋" w:hAnsi="仿宋" w:eastAsia="仿宋" w:cs="仿宋"/>
          <w:color w:val="auto"/>
          <w:sz w:val="24"/>
          <w:szCs w:val="24"/>
          <w:highlight w:val="none"/>
        </w:rPr>
        <w:t>四、资格条件及其他</w:t>
      </w:r>
      <w:bookmarkEnd w:id="114"/>
      <w:bookmarkEnd w:id="115"/>
      <w:bookmarkEnd w:id="116"/>
      <w:bookmarkEnd w:id="117"/>
      <w:bookmarkEnd w:id="118"/>
    </w:p>
    <w:p w14:paraId="01C0B32D">
      <w:pPr>
        <w:snapToGrid w:val="0"/>
        <w:spacing w:line="440" w:lineRule="exact"/>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r>
        <w:rPr>
          <w:rFonts w:hint="eastAsia" w:ascii="仿宋" w:hAnsi="仿宋" w:eastAsia="仿宋" w:cs="仿宋"/>
          <w:color w:val="auto"/>
          <w:sz w:val="24"/>
          <w:szCs w:val="28"/>
          <w:highlight w:val="none"/>
        </w:rPr>
        <w:t>法人营业执照（副本）或事业单位法人证书（副本）或个体工商户营业执照或有效的自然人身份证明或社会团体法人登记证书复印件</w:t>
      </w:r>
    </w:p>
    <w:p w14:paraId="454D86C0">
      <w:pPr>
        <w:tabs>
          <w:tab w:val="left" w:pos="6300"/>
        </w:tabs>
        <w:snapToGrid w:val="0"/>
        <w:spacing w:line="360" w:lineRule="auto"/>
        <w:ind w:firstLine="480" w:firstLineChars="200"/>
        <w:rPr>
          <w:rFonts w:hint="eastAsia" w:ascii="仿宋" w:hAnsi="仿宋" w:eastAsia="仿宋" w:cs="仿宋"/>
          <w:color w:val="auto"/>
          <w:sz w:val="24"/>
          <w:szCs w:val="24"/>
          <w:highlight w:val="none"/>
        </w:rPr>
      </w:pPr>
    </w:p>
    <w:p w14:paraId="703236F6">
      <w:pPr>
        <w:tabs>
          <w:tab w:val="left" w:pos="6300"/>
        </w:tabs>
        <w:snapToGrid w:val="0"/>
        <w:spacing w:line="360" w:lineRule="auto"/>
        <w:rPr>
          <w:rFonts w:hint="eastAsia" w:ascii="仿宋" w:hAnsi="仿宋" w:eastAsia="仿宋" w:cs="仿宋"/>
          <w:color w:val="auto"/>
          <w:sz w:val="24"/>
          <w:szCs w:val="24"/>
          <w:highlight w:val="none"/>
        </w:rPr>
      </w:pPr>
    </w:p>
    <w:p w14:paraId="31C0720A">
      <w:pPr>
        <w:snapToGrid w:val="0"/>
        <w:spacing w:line="440" w:lineRule="exact"/>
        <w:ind w:firstLine="480" w:firstLineChars="200"/>
        <w:rPr>
          <w:rFonts w:hint="eastAsia" w:ascii="仿宋" w:hAnsi="仿宋" w:eastAsia="仿宋" w:cs="仿宋"/>
          <w:color w:val="auto"/>
          <w:sz w:val="24"/>
          <w:szCs w:val="24"/>
          <w:highlight w:val="none"/>
        </w:rPr>
      </w:pPr>
    </w:p>
    <w:p w14:paraId="6F9794FD">
      <w:pPr>
        <w:snapToGrid w:val="0"/>
        <w:spacing w:line="440" w:lineRule="exact"/>
        <w:ind w:firstLine="480" w:firstLineChars="200"/>
        <w:rPr>
          <w:rFonts w:hint="eastAsia" w:ascii="仿宋" w:hAnsi="仿宋" w:eastAsia="仿宋" w:cs="仿宋"/>
          <w:color w:val="auto"/>
          <w:sz w:val="24"/>
          <w:szCs w:val="24"/>
          <w:highlight w:val="none"/>
        </w:rPr>
      </w:pPr>
    </w:p>
    <w:p w14:paraId="75FA3619">
      <w:pPr>
        <w:snapToGrid w:val="0"/>
        <w:spacing w:line="440" w:lineRule="exact"/>
        <w:ind w:firstLine="480" w:firstLineChars="200"/>
        <w:rPr>
          <w:rFonts w:hint="eastAsia" w:ascii="仿宋" w:hAnsi="仿宋" w:eastAsia="仿宋" w:cs="仿宋"/>
          <w:color w:val="auto"/>
          <w:sz w:val="24"/>
          <w:szCs w:val="24"/>
          <w:highlight w:val="none"/>
        </w:rPr>
      </w:pPr>
    </w:p>
    <w:p w14:paraId="585DD8E0">
      <w:pPr>
        <w:snapToGrid w:val="0"/>
        <w:spacing w:line="440" w:lineRule="exact"/>
        <w:ind w:firstLine="480" w:firstLineChars="200"/>
        <w:rPr>
          <w:rFonts w:hint="eastAsia" w:ascii="仿宋" w:hAnsi="仿宋" w:eastAsia="仿宋" w:cs="仿宋"/>
          <w:color w:val="auto"/>
          <w:sz w:val="24"/>
          <w:szCs w:val="24"/>
          <w:highlight w:val="none"/>
        </w:rPr>
      </w:pPr>
    </w:p>
    <w:p w14:paraId="092B8181">
      <w:pPr>
        <w:snapToGrid w:val="0"/>
        <w:spacing w:line="440" w:lineRule="exact"/>
        <w:ind w:firstLine="480" w:firstLineChars="200"/>
        <w:rPr>
          <w:rFonts w:hint="eastAsia" w:ascii="仿宋" w:hAnsi="仿宋" w:eastAsia="仿宋" w:cs="仿宋"/>
          <w:color w:val="auto"/>
          <w:sz w:val="24"/>
          <w:szCs w:val="24"/>
          <w:highlight w:val="none"/>
        </w:rPr>
      </w:pPr>
    </w:p>
    <w:p w14:paraId="521941E3">
      <w:pPr>
        <w:snapToGrid w:val="0"/>
        <w:spacing w:line="440" w:lineRule="exact"/>
        <w:ind w:firstLine="480" w:firstLineChars="200"/>
        <w:rPr>
          <w:rFonts w:hint="eastAsia" w:ascii="仿宋" w:hAnsi="仿宋" w:eastAsia="仿宋" w:cs="仿宋"/>
          <w:color w:val="auto"/>
          <w:sz w:val="24"/>
          <w:szCs w:val="24"/>
          <w:highlight w:val="none"/>
        </w:rPr>
      </w:pPr>
    </w:p>
    <w:p w14:paraId="36B10F5C">
      <w:pPr>
        <w:snapToGrid w:val="0"/>
        <w:spacing w:line="440" w:lineRule="exact"/>
        <w:ind w:firstLine="480" w:firstLineChars="200"/>
        <w:rPr>
          <w:rFonts w:hint="eastAsia" w:ascii="仿宋" w:hAnsi="仿宋" w:eastAsia="仿宋" w:cs="仿宋"/>
          <w:color w:val="auto"/>
          <w:sz w:val="24"/>
          <w:szCs w:val="24"/>
          <w:highlight w:val="none"/>
        </w:rPr>
      </w:pPr>
    </w:p>
    <w:p w14:paraId="73862EE4">
      <w:pPr>
        <w:snapToGrid w:val="0"/>
        <w:spacing w:line="440" w:lineRule="exact"/>
        <w:ind w:firstLine="480" w:firstLineChars="200"/>
        <w:rPr>
          <w:rFonts w:hint="eastAsia" w:ascii="仿宋" w:hAnsi="仿宋" w:eastAsia="仿宋" w:cs="仿宋"/>
          <w:color w:val="auto"/>
          <w:sz w:val="24"/>
          <w:szCs w:val="24"/>
          <w:highlight w:val="none"/>
        </w:rPr>
      </w:pPr>
    </w:p>
    <w:p w14:paraId="517136B7">
      <w:pPr>
        <w:snapToGrid w:val="0"/>
        <w:spacing w:line="440" w:lineRule="exact"/>
        <w:ind w:firstLine="480" w:firstLineChars="200"/>
        <w:rPr>
          <w:rFonts w:hint="eastAsia" w:ascii="仿宋" w:hAnsi="仿宋" w:eastAsia="仿宋" w:cs="仿宋"/>
          <w:color w:val="auto"/>
          <w:sz w:val="24"/>
          <w:szCs w:val="24"/>
          <w:highlight w:val="none"/>
        </w:rPr>
      </w:pPr>
    </w:p>
    <w:p w14:paraId="0B665341">
      <w:pPr>
        <w:snapToGrid w:val="0"/>
        <w:spacing w:line="440" w:lineRule="exact"/>
        <w:ind w:firstLine="480" w:firstLineChars="200"/>
        <w:rPr>
          <w:rFonts w:hint="eastAsia" w:ascii="仿宋" w:hAnsi="仿宋" w:eastAsia="仿宋" w:cs="仿宋"/>
          <w:color w:val="auto"/>
          <w:sz w:val="24"/>
          <w:szCs w:val="24"/>
          <w:highlight w:val="none"/>
        </w:rPr>
      </w:pPr>
    </w:p>
    <w:p w14:paraId="69A106E6">
      <w:pPr>
        <w:snapToGrid w:val="0"/>
        <w:spacing w:line="440" w:lineRule="exact"/>
        <w:rPr>
          <w:rFonts w:hint="eastAsia" w:ascii="仿宋" w:hAnsi="仿宋" w:eastAsia="仿宋" w:cs="仿宋"/>
          <w:color w:val="auto"/>
          <w:sz w:val="24"/>
          <w:szCs w:val="24"/>
          <w:highlight w:val="none"/>
        </w:rPr>
      </w:pPr>
    </w:p>
    <w:p w14:paraId="0969DD42">
      <w:pPr>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br w:type="page"/>
      </w:r>
    </w:p>
    <w:p w14:paraId="6C5794BF">
      <w:pPr>
        <w:tabs>
          <w:tab w:val="left" w:pos="6300"/>
        </w:tabs>
        <w:snapToGrid w:val="0"/>
        <w:spacing w:line="360" w:lineRule="auto"/>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（二）法定代表人身份证明书（格式）</w:t>
      </w:r>
    </w:p>
    <w:p w14:paraId="196CEABB">
      <w:pPr>
        <w:tabs>
          <w:tab w:val="left" w:pos="6300"/>
        </w:tabs>
        <w:snapToGrid w:val="0"/>
        <w:spacing w:line="360" w:lineRule="auto"/>
        <w:jc w:val="center"/>
        <w:rPr>
          <w:rFonts w:hint="eastAsia" w:ascii="仿宋" w:hAnsi="仿宋" w:eastAsia="仿宋" w:cs="仿宋"/>
          <w:color w:val="auto"/>
          <w:sz w:val="24"/>
          <w:szCs w:val="24"/>
          <w:highlight w:val="none"/>
        </w:rPr>
      </w:pPr>
    </w:p>
    <w:p w14:paraId="6542FE38">
      <w:pPr>
        <w:tabs>
          <w:tab w:val="left" w:pos="6300"/>
        </w:tabs>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w:t>
      </w:r>
    </w:p>
    <w:p w14:paraId="542B7AE0">
      <w:pPr>
        <w:tabs>
          <w:tab w:val="left" w:pos="6300"/>
        </w:tabs>
        <w:snapToGrid w:val="0"/>
        <w:spacing w:line="500" w:lineRule="exact"/>
        <w:ind w:firstLine="570"/>
        <w:rPr>
          <w:rFonts w:hint="default" w:ascii="仿宋" w:hAnsi="仿宋" w:eastAsia="仿宋" w:cs="仿宋"/>
          <w:color w:val="auto"/>
          <w:sz w:val="24"/>
          <w:highlight w:val="none"/>
          <w:u w:val="single"/>
          <w:lang w:val="en-US" w:eastAsia="zh-CN"/>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lang w:val="en-US" w:eastAsia="zh-CN"/>
        </w:rPr>
        <w:t xml:space="preserve">                        </w:t>
      </w:r>
    </w:p>
    <w:p w14:paraId="342BB21F">
      <w:pPr>
        <w:tabs>
          <w:tab w:val="left" w:pos="6300"/>
        </w:tabs>
        <w:snapToGrid w:val="0"/>
        <w:spacing w:line="500" w:lineRule="exact"/>
        <w:ind w:firstLine="570"/>
        <w:rPr>
          <w:rFonts w:hint="eastAsia" w:ascii="仿宋" w:hAnsi="仿宋" w:eastAsia="仿宋" w:cs="仿宋"/>
          <w:color w:val="auto"/>
          <w:sz w:val="24"/>
          <w:highlight w:val="none"/>
        </w:rPr>
      </w:pPr>
    </w:p>
    <w:p w14:paraId="2D41E92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（采购代理机构名称）</w:t>
      </w:r>
    </w:p>
    <w:p w14:paraId="16F5C111">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（法定代表人姓名）在</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（供应商名称）任</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（职务名称）职务，是</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（供应商名称）的法定代表人。</w:t>
      </w:r>
    </w:p>
    <w:p w14:paraId="3E198C2C">
      <w:pPr>
        <w:tabs>
          <w:tab w:val="left" w:pos="6300"/>
        </w:tabs>
        <w:snapToGrid w:val="0"/>
        <w:spacing w:line="500" w:lineRule="exact"/>
        <w:ind w:firstLine="570"/>
        <w:rPr>
          <w:rFonts w:hint="eastAsia" w:ascii="仿宋" w:hAnsi="仿宋" w:eastAsia="仿宋" w:cs="仿宋"/>
          <w:color w:val="auto"/>
          <w:sz w:val="24"/>
          <w:highlight w:val="none"/>
        </w:rPr>
      </w:pPr>
    </w:p>
    <w:p w14:paraId="6F0762FA">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14:paraId="4839D3D6">
      <w:pPr>
        <w:tabs>
          <w:tab w:val="left" w:pos="6300"/>
        </w:tabs>
        <w:snapToGrid w:val="0"/>
        <w:spacing w:line="500" w:lineRule="exact"/>
        <w:ind w:firstLine="570"/>
        <w:rPr>
          <w:rFonts w:hint="eastAsia" w:ascii="仿宋" w:hAnsi="仿宋" w:eastAsia="仿宋" w:cs="仿宋"/>
          <w:color w:val="auto"/>
          <w:sz w:val="24"/>
          <w:highlight w:val="none"/>
        </w:rPr>
      </w:pPr>
    </w:p>
    <w:p w14:paraId="4A85C077">
      <w:pPr>
        <w:tabs>
          <w:tab w:val="left" w:pos="6300"/>
        </w:tabs>
        <w:snapToGrid w:val="0"/>
        <w:spacing w:line="500" w:lineRule="exact"/>
        <w:ind w:firstLine="570"/>
        <w:rPr>
          <w:rFonts w:hint="eastAsia" w:ascii="仿宋" w:hAnsi="仿宋" w:eastAsia="仿宋" w:cs="仿宋"/>
          <w:color w:val="auto"/>
          <w:sz w:val="24"/>
          <w:highlight w:val="none"/>
        </w:rPr>
      </w:pPr>
    </w:p>
    <w:p w14:paraId="6B599339">
      <w:pPr>
        <w:tabs>
          <w:tab w:val="left" w:pos="6300"/>
        </w:tabs>
        <w:snapToGrid w:val="0"/>
        <w:spacing w:line="500" w:lineRule="exact"/>
        <w:ind w:firstLine="570"/>
        <w:rPr>
          <w:rFonts w:hint="eastAsia" w:ascii="仿宋" w:hAnsi="仿宋" w:eastAsia="仿宋" w:cs="仿宋"/>
          <w:color w:val="auto"/>
          <w:sz w:val="24"/>
          <w:highlight w:val="none"/>
        </w:rPr>
      </w:pPr>
    </w:p>
    <w:p w14:paraId="25219C07">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（附：法定代表人身份证正反面复印件）</w:t>
      </w:r>
    </w:p>
    <w:p w14:paraId="56FEACDF">
      <w:pPr>
        <w:tabs>
          <w:tab w:val="left" w:pos="6300"/>
        </w:tabs>
        <w:snapToGrid w:val="0"/>
        <w:spacing w:line="400" w:lineRule="atLeast"/>
        <w:jc w:val="center"/>
        <w:outlineLvl w:val="0"/>
        <w:rPr>
          <w:rFonts w:hint="eastAsia" w:ascii="仿宋" w:hAnsi="仿宋" w:eastAsia="仿宋" w:cs="仿宋"/>
          <w:b/>
          <w:color w:val="auto"/>
          <w:szCs w:val="28"/>
          <w:highlight w:val="none"/>
        </w:rPr>
      </w:pPr>
    </w:p>
    <w:p w14:paraId="0CA681C5">
      <w:pPr>
        <w:tabs>
          <w:tab w:val="left" w:pos="6300"/>
        </w:tabs>
        <w:snapToGrid w:val="0"/>
        <w:spacing w:line="400" w:lineRule="atLeast"/>
        <w:outlineLvl w:val="0"/>
        <w:rPr>
          <w:rFonts w:hint="eastAsia" w:ascii="仿宋" w:hAnsi="仿宋" w:eastAsia="仿宋" w:cs="仿宋"/>
          <w:b/>
          <w:color w:val="auto"/>
          <w:szCs w:val="28"/>
          <w:highlight w:val="none"/>
        </w:rPr>
      </w:pPr>
    </w:p>
    <w:p w14:paraId="0D45B213">
      <w:pPr>
        <w:tabs>
          <w:tab w:val="left" w:pos="6300"/>
        </w:tabs>
        <w:snapToGrid w:val="0"/>
        <w:spacing w:line="400" w:lineRule="atLeast"/>
        <w:outlineLvl w:val="0"/>
        <w:rPr>
          <w:rFonts w:hint="eastAsia" w:ascii="仿宋" w:hAnsi="仿宋" w:eastAsia="仿宋" w:cs="仿宋"/>
          <w:b/>
          <w:color w:val="auto"/>
          <w:szCs w:val="28"/>
          <w:highlight w:val="none"/>
        </w:rPr>
      </w:pPr>
    </w:p>
    <w:p w14:paraId="73B826DB">
      <w:pPr>
        <w:tabs>
          <w:tab w:val="left" w:pos="6300"/>
        </w:tabs>
        <w:snapToGrid w:val="0"/>
        <w:spacing w:line="500" w:lineRule="exact"/>
        <w:ind w:firstLine="570"/>
        <w:rPr>
          <w:rFonts w:hint="eastAsia" w:ascii="仿宋" w:hAnsi="仿宋" w:eastAsia="仿宋" w:cs="仿宋"/>
          <w:color w:val="auto"/>
          <w:sz w:val="24"/>
          <w:highlight w:val="none"/>
        </w:rPr>
      </w:pPr>
    </w:p>
    <w:p w14:paraId="62930404">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（供应商公章）</w:t>
      </w:r>
    </w:p>
    <w:p w14:paraId="17A7C2DA">
      <w:pPr>
        <w:tabs>
          <w:tab w:val="left" w:pos="6300"/>
        </w:tabs>
        <w:snapToGrid w:val="0"/>
        <w:spacing w:line="500" w:lineRule="exact"/>
        <w:ind w:firstLine="570"/>
        <w:rPr>
          <w:rFonts w:hint="eastAsia" w:ascii="仿宋" w:hAnsi="仿宋" w:eastAsia="仿宋" w:cs="仿宋"/>
          <w:color w:val="auto"/>
          <w:sz w:val="24"/>
          <w:highlight w:val="none"/>
        </w:rPr>
      </w:pPr>
    </w:p>
    <w:p w14:paraId="4CA35C2F">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年   月   日</w:t>
      </w:r>
    </w:p>
    <w:p w14:paraId="44C66869">
      <w:pPr>
        <w:tabs>
          <w:tab w:val="left" w:pos="6300"/>
        </w:tabs>
        <w:snapToGrid w:val="0"/>
        <w:spacing w:line="400" w:lineRule="atLeast"/>
        <w:outlineLvl w:val="0"/>
        <w:rPr>
          <w:rFonts w:hint="eastAsia" w:ascii="仿宋" w:hAnsi="仿宋" w:eastAsia="仿宋" w:cs="仿宋"/>
          <w:b/>
          <w:color w:val="auto"/>
          <w:szCs w:val="28"/>
          <w:highlight w:val="none"/>
        </w:rPr>
      </w:pPr>
    </w:p>
    <w:p w14:paraId="2AADBBB5">
      <w:pPr>
        <w:tabs>
          <w:tab w:val="left" w:pos="6300"/>
        </w:tabs>
        <w:snapToGrid w:val="0"/>
        <w:spacing w:line="400" w:lineRule="atLeast"/>
        <w:outlineLvl w:val="0"/>
        <w:rPr>
          <w:rFonts w:hint="eastAsia" w:ascii="仿宋" w:hAnsi="仿宋" w:eastAsia="仿宋" w:cs="仿宋"/>
          <w:b/>
          <w:color w:val="auto"/>
          <w:szCs w:val="28"/>
          <w:highlight w:val="none"/>
        </w:rPr>
      </w:pPr>
    </w:p>
    <w:p w14:paraId="049DAD98">
      <w:pPr>
        <w:tabs>
          <w:tab w:val="left" w:pos="6300"/>
        </w:tabs>
        <w:snapToGrid w:val="0"/>
        <w:spacing w:line="400" w:lineRule="atLeast"/>
        <w:outlineLvl w:val="0"/>
        <w:rPr>
          <w:rFonts w:hint="eastAsia" w:ascii="仿宋" w:hAnsi="仿宋" w:eastAsia="仿宋" w:cs="仿宋"/>
          <w:b/>
          <w:color w:val="auto"/>
          <w:szCs w:val="28"/>
          <w:highlight w:val="none"/>
        </w:rPr>
      </w:pPr>
    </w:p>
    <w:p w14:paraId="2810A60F">
      <w:pPr>
        <w:widowControl/>
        <w:jc w:val="left"/>
        <w:rPr>
          <w:rFonts w:hint="eastAsia" w:ascii="仿宋" w:hAnsi="仿宋" w:eastAsia="仿宋" w:cs="仿宋"/>
          <w:b/>
          <w:color w:val="auto"/>
          <w:szCs w:val="28"/>
          <w:highlight w:val="none"/>
        </w:rPr>
      </w:pPr>
      <w:r>
        <w:rPr>
          <w:rFonts w:hint="eastAsia" w:ascii="仿宋" w:hAnsi="仿宋" w:eastAsia="仿宋" w:cs="仿宋"/>
          <w:b/>
          <w:color w:val="auto"/>
          <w:szCs w:val="28"/>
          <w:highlight w:val="none"/>
        </w:rPr>
        <w:br w:type="page"/>
      </w:r>
    </w:p>
    <w:p w14:paraId="3158A382">
      <w:pPr>
        <w:tabs>
          <w:tab w:val="left" w:pos="6300"/>
        </w:tabs>
        <w:snapToGrid w:val="0"/>
        <w:spacing w:line="400" w:lineRule="atLeast"/>
        <w:outlineLvl w:val="0"/>
        <w:rPr>
          <w:rFonts w:hint="eastAsia" w:ascii="仿宋" w:hAnsi="仿宋" w:eastAsia="仿宋" w:cs="仿宋"/>
          <w:b/>
          <w:color w:val="auto"/>
          <w:szCs w:val="28"/>
          <w:highlight w:val="none"/>
        </w:rPr>
      </w:pPr>
    </w:p>
    <w:p w14:paraId="3BE5B30E">
      <w:pPr>
        <w:tabs>
          <w:tab w:val="left" w:pos="6300"/>
        </w:tabs>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（三）法定代表人授权委托书（格式）</w:t>
      </w:r>
    </w:p>
    <w:p w14:paraId="3FF78EDD">
      <w:pPr>
        <w:tabs>
          <w:tab w:val="left" w:pos="6300"/>
        </w:tabs>
        <w:snapToGrid w:val="0"/>
        <w:spacing w:line="360" w:lineRule="auto"/>
        <w:jc w:val="center"/>
        <w:rPr>
          <w:rFonts w:hint="eastAsia" w:ascii="仿宋" w:hAnsi="仿宋" w:eastAsia="仿宋" w:cs="仿宋"/>
          <w:color w:val="auto"/>
          <w:sz w:val="24"/>
          <w:szCs w:val="24"/>
          <w:highlight w:val="none"/>
        </w:rPr>
      </w:pPr>
    </w:p>
    <w:p w14:paraId="148276DC">
      <w:pPr>
        <w:tabs>
          <w:tab w:val="left" w:pos="6300"/>
        </w:tabs>
        <w:snapToGrid w:val="0"/>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法定代表人授权委托书</w:t>
      </w:r>
    </w:p>
    <w:p w14:paraId="51609602">
      <w:pPr>
        <w:tabs>
          <w:tab w:val="left" w:pos="6300"/>
        </w:tabs>
        <w:snapToGrid w:val="0"/>
        <w:spacing w:line="50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8"/>
          <w:highlight w:val="none"/>
        </w:rPr>
        <w:t>项目名称</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lang w:val="en-US" w:eastAsia="zh-CN"/>
        </w:rPr>
        <w:t xml:space="preserve">                     </w:t>
      </w:r>
    </w:p>
    <w:p w14:paraId="23DB30A0">
      <w:pPr>
        <w:tabs>
          <w:tab w:val="left" w:pos="6300"/>
        </w:tabs>
        <w:snapToGrid w:val="0"/>
        <w:spacing w:line="500" w:lineRule="exact"/>
        <w:ind w:firstLine="570"/>
        <w:rPr>
          <w:rFonts w:hint="eastAsia" w:ascii="仿宋" w:hAnsi="仿宋" w:eastAsia="仿宋" w:cs="仿宋"/>
          <w:color w:val="auto"/>
          <w:sz w:val="24"/>
          <w:highlight w:val="none"/>
        </w:rPr>
      </w:pPr>
    </w:p>
    <w:p w14:paraId="3E65B237">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致：</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（采购代理机构名称）</w:t>
      </w:r>
    </w:p>
    <w:p w14:paraId="618DBFBA">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（供应商法定代表人名称）是</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（供应商名称）的法定代表人，特授权</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（（被授权人姓名及身份证代码）代表我单位全权办理上述项目的谈判、签约等具体工作，并签署全部有关文件、协议及合同。</w:t>
      </w:r>
    </w:p>
    <w:p w14:paraId="66725130">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我单位对被授权人的签字负全部责任。</w:t>
      </w:r>
    </w:p>
    <w:p w14:paraId="239DE518">
      <w:pPr>
        <w:tabs>
          <w:tab w:val="left" w:pos="6300"/>
        </w:tabs>
        <w:snapToGrid w:val="0"/>
        <w:spacing w:line="50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在撤消授权的书面通知以前，本授权书一直有效。被授权人在授权书有效期内签署的所有文件不因授权的撤消而失效。</w:t>
      </w:r>
    </w:p>
    <w:p w14:paraId="09B3DB9D">
      <w:pPr>
        <w:tabs>
          <w:tab w:val="left" w:pos="6300"/>
        </w:tabs>
        <w:snapToGrid w:val="0"/>
        <w:spacing w:line="500" w:lineRule="exact"/>
        <w:ind w:firstLine="570"/>
        <w:rPr>
          <w:rFonts w:hint="eastAsia" w:ascii="仿宋" w:hAnsi="仿宋" w:eastAsia="仿宋" w:cs="仿宋"/>
          <w:color w:val="auto"/>
          <w:sz w:val="24"/>
          <w:highlight w:val="none"/>
        </w:rPr>
      </w:pPr>
    </w:p>
    <w:p w14:paraId="0B958B66">
      <w:pPr>
        <w:tabs>
          <w:tab w:val="left" w:pos="6300"/>
        </w:tabs>
        <w:snapToGrid w:val="0"/>
        <w:spacing w:line="360" w:lineRule="auto"/>
        <w:rPr>
          <w:rFonts w:hint="eastAsia" w:ascii="仿宋" w:hAnsi="仿宋" w:eastAsia="仿宋" w:cs="仿宋"/>
          <w:color w:val="auto"/>
          <w:sz w:val="24"/>
          <w:szCs w:val="24"/>
          <w:highlight w:val="none"/>
        </w:rPr>
      </w:pPr>
    </w:p>
    <w:p w14:paraId="187BE470">
      <w:pPr>
        <w:tabs>
          <w:tab w:val="left" w:pos="6300"/>
        </w:tabs>
        <w:snapToGrid w:val="0"/>
        <w:spacing w:line="360" w:lineRule="auto"/>
        <w:rPr>
          <w:rFonts w:hint="eastAsia" w:ascii="仿宋" w:hAnsi="仿宋" w:eastAsia="仿宋" w:cs="仿宋"/>
          <w:color w:val="auto"/>
          <w:sz w:val="24"/>
          <w:szCs w:val="24"/>
          <w:highlight w:val="none"/>
        </w:rPr>
      </w:pPr>
    </w:p>
    <w:p w14:paraId="1FDD9FD0">
      <w:pPr>
        <w:tabs>
          <w:tab w:val="left" w:pos="6300"/>
        </w:tabs>
        <w:snapToGrid w:val="0"/>
        <w:spacing w:line="500" w:lineRule="exact"/>
        <w:ind w:firstLine="570"/>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被授权人：</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供应商法定代表人：</w:t>
      </w:r>
    </w:p>
    <w:p w14:paraId="3A7731EA">
      <w:pPr>
        <w:tabs>
          <w:tab w:val="left" w:pos="6300"/>
        </w:tabs>
        <w:snapToGrid w:val="0"/>
        <w:spacing w:line="360" w:lineRule="auto"/>
        <w:ind w:firstLine="480" w:firstLineChars="20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（签字或盖章）</w:t>
      </w:r>
      <w:r>
        <w:rPr>
          <w:rFonts w:hint="eastAsia" w:ascii="仿宋" w:hAnsi="仿宋" w:eastAsia="仿宋" w:cs="仿宋"/>
          <w:color w:val="auto"/>
          <w:sz w:val="24"/>
          <w:szCs w:val="28"/>
          <w:highlight w:val="none"/>
          <w:lang w:val="en-US" w:eastAsia="zh-CN"/>
        </w:rPr>
        <w:t xml:space="preserve">                       </w:t>
      </w:r>
      <w:r>
        <w:rPr>
          <w:rFonts w:hint="eastAsia" w:ascii="仿宋" w:hAnsi="仿宋" w:eastAsia="仿宋" w:cs="仿宋"/>
          <w:color w:val="auto"/>
          <w:sz w:val="24"/>
          <w:szCs w:val="28"/>
          <w:highlight w:val="none"/>
        </w:rPr>
        <w:t>（签字或盖章）</w:t>
      </w:r>
    </w:p>
    <w:p w14:paraId="27D8DBB5">
      <w:pPr>
        <w:tabs>
          <w:tab w:val="left" w:pos="6300"/>
        </w:tabs>
        <w:snapToGrid w:val="0"/>
        <w:spacing w:line="500" w:lineRule="exact"/>
        <w:ind w:firstLine="570"/>
        <w:rPr>
          <w:rFonts w:hint="eastAsia" w:ascii="仿宋" w:hAnsi="仿宋" w:eastAsia="仿宋" w:cs="仿宋"/>
          <w:color w:val="auto"/>
          <w:sz w:val="24"/>
          <w:szCs w:val="28"/>
          <w:highlight w:val="none"/>
        </w:rPr>
      </w:pPr>
    </w:p>
    <w:p w14:paraId="3144A46C">
      <w:pPr>
        <w:tabs>
          <w:tab w:val="left" w:pos="6300"/>
        </w:tabs>
        <w:snapToGrid w:val="0"/>
        <w:spacing w:line="500" w:lineRule="exact"/>
        <w:ind w:firstLine="570"/>
        <w:rPr>
          <w:rFonts w:hint="eastAsia" w:ascii="仿宋" w:hAnsi="仿宋" w:eastAsia="仿宋" w:cs="仿宋"/>
          <w:color w:val="auto"/>
          <w:sz w:val="24"/>
          <w:szCs w:val="28"/>
          <w:highlight w:val="none"/>
        </w:rPr>
      </w:pPr>
      <w:bookmarkStart w:id="119" w:name="OLE_LINK3"/>
      <w:bookmarkStart w:id="120" w:name="OLE_LINK4"/>
      <w:r>
        <w:rPr>
          <w:rFonts w:hint="eastAsia" w:ascii="仿宋" w:hAnsi="仿宋" w:eastAsia="仿宋" w:cs="仿宋"/>
          <w:color w:val="auto"/>
          <w:sz w:val="24"/>
          <w:szCs w:val="28"/>
          <w:highlight w:val="none"/>
        </w:rPr>
        <w:t>（附：被授权人</w:t>
      </w:r>
      <w:r>
        <w:rPr>
          <w:rFonts w:hint="eastAsia" w:ascii="仿宋" w:hAnsi="仿宋" w:eastAsia="仿宋" w:cs="仿宋"/>
          <w:color w:val="auto"/>
          <w:sz w:val="24"/>
          <w:highlight w:val="none"/>
        </w:rPr>
        <w:t>身份证正反面复印件</w:t>
      </w:r>
      <w:r>
        <w:rPr>
          <w:rFonts w:hint="eastAsia" w:ascii="仿宋" w:hAnsi="仿宋" w:eastAsia="仿宋" w:cs="仿宋"/>
          <w:color w:val="auto"/>
          <w:sz w:val="24"/>
          <w:szCs w:val="28"/>
          <w:highlight w:val="none"/>
        </w:rPr>
        <w:t>）</w:t>
      </w:r>
      <w:bookmarkEnd w:id="119"/>
      <w:bookmarkEnd w:id="120"/>
    </w:p>
    <w:p w14:paraId="0D4DEB5A">
      <w:pPr>
        <w:tabs>
          <w:tab w:val="left" w:pos="6300"/>
        </w:tabs>
        <w:snapToGrid w:val="0"/>
        <w:spacing w:line="360" w:lineRule="auto"/>
        <w:rPr>
          <w:rFonts w:hint="eastAsia" w:ascii="仿宋" w:hAnsi="仿宋" w:eastAsia="仿宋" w:cs="仿宋"/>
          <w:color w:val="auto"/>
          <w:sz w:val="24"/>
          <w:szCs w:val="24"/>
          <w:highlight w:val="none"/>
        </w:rPr>
      </w:pPr>
    </w:p>
    <w:p w14:paraId="31A02681">
      <w:pPr>
        <w:snapToGrid w:val="0"/>
        <w:spacing w:line="360" w:lineRule="auto"/>
        <w:ind w:firstLine="6000" w:firstLineChars="25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（供应商公章）</w:t>
      </w:r>
    </w:p>
    <w:p w14:paraId="67F31F0F">
      <w:pPr>
        <w:tabs>
          <w:tab w:val="left" w:pos="6300"/>
        </w:tabs>
        <w:snapToGrid w:val="0"/>
        <w:spacing w:line="400" w:lineRule="atLeast"/>
        <w:jc w:val="center"/>
        <w:outlineLvl w:val="0"/>
        <w:rPr>
          <w:rFonts w:hint="eastAsia" w:ascii="仿宋" w:hAnsi="仿宋" w:eastAsia="仿宋" w:cs="仿宋"/>
          <w:color w:val="auto"/>
          <w:sz w:val="24"/>
          <w:szCs w:val="24"/>
          <w:highlight w:val="none"/>
        </w:rPr>
      </w:pPr>
      <w:r>
        <w:rPr>
          <w:rFonts w:hint="eastAsia" w:ascii="仿宋" w:hAnsi="仿宋" w:eastAsia="仿宋" w:cs="仿宋"/>
          <w:color w:val="auto"/>
          <w:sz w:val="24"/>
          <w:szCs w:val="28"/>
          <w:highlight w:val="none"/>
        </w:rPr>
        <w:t xml:space="preserve">                                       年   月  日</w:t>
      </w:r>
    </w:p>
    <w:p w14:paraId="4BA9571E">
      <w:pPr>
        <w:snapToGrid w:val="0"/>
        <w:spacing w:line="440" w:lineRule="exact"/>
        <w:rPr>
          <w:rFonts w:hint="eastAsia" w:ascii="仿宋" w:hAnsi="仿宋" w:eastAsia="仿宋" w:cs="仿宋"/>
          <w:color w:val="auto"/>
          <w:sz w:val="24"/>
          <w:szCs w:val="24"/>
          <w:highlight w:val="none"/>
        </w:rPr>
      </w:pPr>
    </w:p>
    <w:p w14:paraId="3D6302F7">
      <w:pPr>
        <w:snapToGrid w:val="0"/>
        <w:spacing w:line="440" w:lineRule="exact"/>
        <w:rPr>
          <w:rFonts w:hint="eastAsia" w:ascii="仿宋" w:hAnsi="仿宋" w:eastAsia="仿宋" w:cs="仿宋"/>
          <w:color w:val="auto"/>
          <w:sz w:val="24"/>
          <w:szCs w:val="24"/>
          <w:highlight w:val="none"/>
        </w:rPr>
      </w:pPr>
    </w:p>
    <w:p w14:paraId="18375C5F">
      <w:pPr>
        <w:snapToGrid w:val="0"/>
        <w:spacing w:line="440" w:lineRule="exact"/>
        <w:rPr>
          <w:rFonts w:hint="eastAsia" w:ascii="仿宋" w:hAnsi="仿宋" w:eastAsia="仿宋" w:cs="仿宋"/>
          <w:color w:val="auto"/>
          <w:sz w:val="24"/>
          <w:szCs w:val="24"/>
          <w:highlight w:val="none"/>
        </w:rPr>
      </w:pPr>
    </w:p>
    <w:p w14:paraId="6BF8A277">
      <w:pPr>
        <w:snapToGrid w:val="0"/>
        <w:spacing w:line="440" w:lineRule="exact"/>
        <w:rPr>
          <w:rFonts w:hint="eastAsia" w:ascii="仿宋" w:hAnsi="仿宋" w:eastAsia="仿宋" w:cs="仿宋"/>
          <w:color w:val="auto"/>
          <w:sz w:val="24"/>
          <w:szCs w:val="24"/>
          <w:highlight w:val="none"/>
        </w:rPr>
      </w:pPr>
    </w:p>
    <w:p w14:paraId="74D231FF">
      <w:pPr>
        <w:snapToGrid w:val="0"/>
        <w:spacing w:line="440" w:lineRule="exact"/>
        <w:rPr>
          <w:rFonts w:hint="eastAsia" w:ascii="仿宋" w:hAnsi="仿宋" w:eastAsia="仿宋" w:cs="仿宋"/>
          <w:color w:val="auto"/>
          <w:sz w:val="24"/>
          <w:szCs w:val="24"/>
          <w:highlight w:val="none"/>
        </w:rPr>
      </w:pPr>
    </w:p>
    <w:p w14:paraId="2D1573C7">
      <w:pPr>
        <w:snapToGrid w:val="0"/>
        <w:spacing w:line="440" w:lineRule="exact"/>
        <w:rPr>
          <w:rFonts w:hint="eastAsia" w:ascii="仿宋" w:hAnsi="仿宋" w:eastAsia="仿宋" w:cs="仿宋"/>
          <w:color w:val="auto"/>
          <w:sz w:val="24"/>
          <w:szCs w:val="24"/>
          <w:highlight w:val="none"/>
        </w:rPr>
      </w:pPr>
    </w:p>
    <w:p w14:paraId="4AAE65B4">
      <w:pPr>
        <w:snapToGrid w:val="0"/>
        <w:spacing w:line="440" w:lineRule="exact"/>
        <w:rPr>
          <w:rFonts w:hint="eastAsia" w:ascii="仿宋" w:hAnsi="仿宋" w:eastAsia="仿宋" w:cs="仿宋"/>
          <w:color w:val="auto"/>
          <w:sz w:val="24"/>
          <w:szCs w:val="24"/>
          <w:highlight w:val="none"/>
        </w:rPr>
      </w:pPr>
    </w:p>
    <w:p w14:paraId="07774B89">
      <w:pPr>
        <w:pStyle w:val="4"/>
        <w:numPr>
          <w:ilvl w:val="0"/>
          <w:numId w:val="6"/>
        </w:numPr>
        <w:rPr>
          <w:rFonts w:hint="eastAsia" w:ascii="仿宋" w:hAnsi="仿宋" w:eastAsia="仿宋" w:cs="仿宋"/>
          <w:color w:val="auto"/>
          <w:kern w:val="2"/>
          <w:sz w:val="24"/>
          <w:highlight w:val="none"/>
          <w:lang w:val="en-US" w:eastAsia="zh-CN" w:bidi="ar-SA"/>
        </w:rPr>
      </w:pPr>
      <w:r>
        <w:rPr>
          <w:rFonts w:hint="eastAsia" w:ascii="仿宋" w:hAnsi="仿宋" w:eastAsia="仿宋" w:cs="仿宋"/>
          <w:color w:val="auto"/>
          <w:kern w:val="2"/>
          <w:sz w:val="24"/>
          <w:highlight w:val="none"/>
          <w:lang w:val="en-US" w:eastAsia="zh-CN" w:bidi="ar-SA"/>
        </w:rPr>
        <w:t>基本资格条件承诺函（格式）</w:t>
      </w:r>
    </w:p>
    <w:p w14:paraId="1FC7FB57">
      <w:pPr>
        <w:bidi w:val="0"/>
        <w:jc w:val="center"/>
        <w:rPr>
          <w:rFonts w:hint="eastAsia" w:ascii="仿宋" w:hAnsi="仿宋" w:eastAsia="仿宋" w:cs="仿宋"/>
          <w:b/>
          <w:bCs/>
          <w:color w:val="auto"/>
          <w:sz w:val="32"/>
          <w:szCs w:val="32"/>
          <w:highlight w:val="none"/>
          <w:lang w:val="zh-CN" w:eastAsia="zh-CN"/>
        </w:rPr>
      </w:pPr>
      <w:r>
        <w:rPr>
          <w:rFonts w:hint="eastAsia" w:ascii="仿宋" w:hAnsi="仿宋" w:eastAsia="仿宋" w:cs="仿宋"/>
          <w:b/>
          <w:bCs/>
          <w:color w:val="auto"/>
          <w:sz w:val="32"/>
          <w:szCs w:val="32"/>
          <w:highlight w:val="none"/>
          <w:lang w:val="zh-CN" w:eastAsia="zh-CN"/>
        </w:rPr>
        <w:t>基本资格条件承诺函</w:t>
      </w:r>
    </w:p>
    <w:p w14:paraId="2FB521A2">
      <w:pPr>
        <w:tabs>
          <w:tab w:val="left" w:pos="6300"/>
        </w:tabs>
        <w:snapToGrid w:val="0"/>
        <w:spacing w:line="530" w:lineRule="exact"/>
        <w:rPr>
          <w:color w:val="auto"/>
          <w:sz w:val="24"/>
          <w:highlight w:val="none"/>
        </w:rPr>
      </w:pPr>
    </w:p>
    <w:p w14:paraId="2BBEBA38">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（采购代理机构名称）：</w:t>
      </w:r>
    </w:p>
    <w:p w14:paraId="59636DF7">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名称）郑重承诺：</w:t>
      </w:r>
    </w:p>
    <w:p w14:paraId="0E344DB8">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1.我方具有良好的商业信誉和健全的财务会计制度，具有履行合同所必需的设备和专业技术能力，具</w:t>
      </w:r>
      <w:r>
        <w:rPr>
          <w:rFonts w:hint="eastAsia" w:ascii="仿宋" w:hAnsi="仿宋" w:eastAsia="仿宋" w:cs="仿宋"/>
          <w:color w:val="auto"/>
          <w:sz w:val="24"/>
          <w:szCs w:val="24"/>
          <w:highlight w:val="none"/>
          <w:lang w:val="zh-CN"/>
        </w:rPr>
        <w:t>有依法缴纳税收和社会保障金的良好记录</w:t>
      </w:r>
      <w:r>
        <w:rPr>
          <w:rFonts w:hint="eastAsia" w:ascii="仿宋" w:hAnsi="仿宋" w:eastAsia="仿宋" w:cs="仿宋"/>
          <w:color w:val="auto"/>
          <w:sz w:val="24"/>
          <w:szCs w:val="24"/>
          <w:highlight w:val="none"/>
        </w:rPr>
        <w:t>，参加本项目采购活动前三年内无重大违法活动记录。</w:t>
      </w:r>
    </w:p>
    <w:p w14:paraId="70781D2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2.我方未列入在信用中国网站（www.creditchina.gov.cn）“失信被执行人”、“重大税收违法案件当事人名单”中，也未列入中国政府采购网（www.ccgp.gov.cn）“政府采购严重违法失信行为记录名单”中。</w:t>
      </w:r>
    </w:p>
    <w:p w14:paraId="16D1ECDC">
      <w:pPr>
        <w:keepNext w:val="0"/>
        <w:keepLines w:val="0"/>
        <w:pageBreakBefore w:val="0"/>
        <w:widowControl w:val="0"/>
        <w:kinsoku/>
        <w:wordWrap/>
        <w:overflowPunct/>
        <w:topLinePunct w:val="0"/>
        <w:autoSpaceDE/>
        <w:autoSpaceDN/>
        <w:bidi w:val="0"/>
        <w:adjustRightInd/>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3.我方在采购项目评审（评标）环节结束后，随时接受采购人、采购代理机构的检查验证，配合提供相关证明材料，证明符合《中华人民共和国政府采购法》规定的</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基本资格条件。</w:t>
      </w:r>
    </w:p>
    <w:p w14:paraId="1F55A43A">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我方对以上承诺负全部法律责任。</w:t>
      </w:r>
    </w:p>
    <w:p w14:paraId="7486AD80">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特此承诺。</w:t>
      </w:r>
    </w:p>
    <w:p w14:paraId="6AB89C45">
      <w:pPr>
        <w:keepNext w:val="0"/>
        <w:keepLines w:val="0"/>
        <w:pageBreakBefore w:val="0"/>
        <w:widowControl w:val="0"/>
        <w:tabs>
          <w:tab w:val="left" w:pos="6300"/>
        </w:tabs>
        <w:kinsoku/>
        <w:wordWrap/>
        <w:overflowPunct/>
        <w:topLinePunct w:val="0"/>
        <w:autoSpaceDE/>
        <w:autoSpaceDN/>
        <w:bidi w:val="0"/>
        <w:adjustRightInd/>
        <w:snapToGrid w:val="0"/>
        <w:spacing w:line="400" w:lineRule="exact"/>
        <w:textAlignment w:val="auto"/>
        <w:rPr>
          <w:rFonts w:hint="eastAsia" w:ascii="仿宋" w:hAnsi="仿宋" w:eastAsia="仿宋" w:cs="仿宋"/>
          <w:color w:val="auto"/>
          <w:sz w:val="24"/>
          <w:szCs w:val="24"/>
          <w:highlight w:val="none"/>
        </w:rPr>
      </w:pPr>
    </w:p>
    <w:p w14:paraId="69411C7E">
      <w:pPr>
        <w:keepNext w:val="0"/>
        <w:keepLines w:val="0"/>
        <w:pageBreakBefore w:val="0"/>
        <w:widowControl w:val="0"/>
        <w:tabs>
          <w:tab w:val="left" w:pos="6300"/>
        </w:tabs>
        <w:kinsoku/>
        <w:wordWrap/>
        <w:overflowPunct/>
        <w:topLinePunct w:val="0"/>
        <w:autoSpaceDE/>
        <w:autoSpaceDN/>
        <w:bidi w:val="0"/>
        <w:adjustRightInd/>
        <w:snapToGrid w:val="0"/>
        <w:spacing w:line="400" w:lineRule="exact"/>
        <w:ind w:right="424" w:firstLine="570"/>
        <w:jc w:val="righ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公章）</w:t>
      </w:r>
    </w:p>
    <w:p w14:paraId="1CA499C7">
      <w:pPr>
        <w:keepNext w:val="0"/>
        <w:keepLines w:val="0"/>
        <w:pageBreakBefore w:val="0"/>
        <w:widowControl w:val="0"/>
        <w:kinsoku/>
        <w:wordWrap/>
        <w:overflowPunct/>
        <w:topLinePunct w:val="0"/>
        <w:autoSpaceDE/>
        <w:autoSpaceDN/>
        <w:bidi w:val="0"/>
        <w:adjustRightInd/>
        <w:spacing w:line="400" w:lineRule="exact"/>
        <w:ind w:firstLine="7440" w:firstLineChars="3100"/>
        <w:textAlignment w:val="auto"/>
        <w:rPr>
          <w:rFonts w:hint="eastAsia" w:ascii="仿宋" w:hAnsi="仿宋" w:eastAsia="仿宋" w:cs="仿宋"/>
          <w:color w:val="auto"/>
          <w:sz w:val="24"/>
          <w:szCs w:val="28"/>
          <w:highlight w:val="none"/>
        </w:rPr>
      </w:pPr>
      <w:r>
        <w:rPr>
          <w:rFonts w:hint="eastAsia" w:ascii="仿宋" w:hAnsi="仿宋" w:eastAsia="仿宋" w:cs="仿宋"/>
          <w:color w:val="auto"/>
          <w:sz w:val="24"/>
          <w:szCs w:val="24"/>
          <w:highlight w:val="none"/>
        </w:rPr>
        <w:t>年   月   日</w:t>
      </w:r>
    </w:p>
    <w:p w14:paraId="37C4355A">
      <w:pPr>
        <w:snapToGrid w:val="0"/>
        <w:spacing w:line="400" w:lineRule="exact"/>
        <w:ind w:firstLine="480" w:firstLineChars="200"/>
        <w:rPr>
          <w:rFonts w:hint="eastAsia" w:ascii="仿宋" w:hAnsi="仿宋" w:eastAsia="仿宋" w:cs="仿宋"/>
          <w:color w:val="auto"/>
          <w:sz w:val="24"/>
          <w:szCs w:val="24"/>
          <w:highlight w:val="none"/>
        </w:rPr>
      </w:pPr>
    </w:p>
    <w:p w14:paraId="4BD3812E">
      <w:pPr>
        <w:rPr>
          <w:rStyle w:val="24"/>
          <w:rFonts w:hint="eastAsia" w:ascii="仿宋" w:hAnsi="仿宋" w:eastAsia="仿宋" w:cs="仿宋"/>
          <w:color w:val="auto"/>
          <w:sz w:val="28"/>
          <w:szCs w:val="28"/>
          <w:highlight w:val="none"/>
          <w:lang w:val="en-US" w:eastAsia="zh-CN"/>
        </w:rPr>
      </w:pPr>
      <w:r>
        <w:rPr>
          <w:rStyle w:val="24"/>
          <w:rFonts w:hint="eastAsia" w:ascii="仿宋" w:hAnsi="仿宋" w:eastAsia="仿宋" w:cs="仿宋"/>
          <w:color w:val="auto"/>
          <w:sz w:val="28"/>
          <w:szCs w:val="28"/>
          <w:highlight w:val="none"/>
          <w:lang w:val="en-US" w:eastAsia="zh-CN"/>
        </w:rPr>
        <w:br w:type="page"/>
      </w:r>
    </w:p>
    <w:p w14:paraId="36924D5C">
      <w:pPr>
        <w:snapToGrid w:val="0"/>
        <w:spacing w:line="400" w:lineRule="exact"/>
        <w:ind w:firstLine="562" w:firstLineChars="200"/>
        <w:rPr>
          <w:rFonts w:hint="eastAsia" w:ascii="仿宋" w:hAnsi="仿宋" w:eastAsia="仿宋" w:cs="仿宋"/>
          <w:color w:val="auto"/>
          <w:sz w:val="24"/>
          <w:szCs w:val="24"/>
          <w:highlight w:val="none"/>
        </w:rPr>
      </w:pPr>
      <w:bookmarkStart w:id="121" w:name="_Toc8640"/>
      <w:bookmarkStart w:id="122" w:name="_Toc29776"/>
      <w:r>
        <w:rPr>
          <w:rStyle w:val="24"/>
          <w:rFonts w:hint="eastAsia" w:ascii="仿宋" w:hAnsi="仿宋" w:eastAsia="仿宋" w:cs="仿宋"/>
          <w:color w:val="auto"/>
          <w:sz w:val="28"/>
          <w:szCs w:val="28"/>
          <w:highlight w:val="none"/>
          <w:lang w:val="en-US" w:eastAsia="zh-CN"/>
        </w:rPr>
        <w:t>五、其他应提供的资料</w:t>
      </w:r>
      <w:bookmarkEnd w:id="121"/>
      <w:bookmarkEnd w:id="122"/>
    </w:p>
    <w:p w14:paraId="7B8D2DF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一</w:t>
      </w:r>
      <w:r>
        <w:rPr>
          <w:rFonts w:hint="eastAsia" w:ascii="仿宋" w:hAnsi="仿宋" w:eastAsia="仿宋" w:cs="仿宋"/>
          <w:color w:val="auto"/>
          <w:sz w:val="24"/>
          <w:szCs w:val="24"/>
          <w:highlight w:val="none"/>
        </w:rPr>
        <w:t>）其他与项目有关的资料（自附）</w:t>
      </w:r>
    </w:p>
    <w:p w14:paraId="70B7A284">
      <w:pPr>
        <w:spacing w:line="360" w:lineRule="auto"/>
        <w:ind w:firstLine="480" w:firstLineChars="200"/>
        <w:jc w:val="center"/>
        <w:rPr>
          <w:rFonts w:hint="eastAsia" w:ascii="仿宋" w:hAnsi="仿宋" w:eastAsia="仿宋" w:cs="仿宋"/>
          <w:color w:val="auto"/>
          <w:sz w:val="24"/>
          <w:szCs w:val="24"/>
          <w:highlight w:val="none"/>
        </w:rPr>
      </w:pPr>
    </w:p>
    <w:p w14:paraId="7D8BDBB7">
      <w:pPr>
        <w:rPr>
          <w:rFonts w:ascii="微软雅黑" w:hAnsi="微软雅黑" w:eastAsia="微软雅黑"/>
          <w:color w:val="auto"/>
          <w:highlight w:val="none"/>
        </w:rPr>
      </w:pPr>
    </w:p>
    <w:p w14:paraId="7160E957">
      <w:pPr>
        <w:rPr>
          <w:rFonts w:ascii="微软雅黑" w:hAnsi="微软雅黑" w:eastAsia="微软雅黑"/>
          <w:color w:val="auto"/>
          <w:highlight w:val="none"/>
        </w:rPr>
      </w:pPr>
    </w:p>
    <w:p w14:paraId="4326CE11">
      <w:pPr>
        <w:rPr>
          <w:rFonts w:ascii="微软雅黑" w:hAnsi="微软雅黑" w:eastAsia="微软雅黑"/>
          <w:color w:val="auto"/>
          <w:highlight w:val="none"/>
        </w:rPr>
      </w:pPr>
    </w:p>
    <w:p w14:paraId="168470A2">
      <w:pPr>
        <w:pStyle w:val="25"/>
        <w:rPr>
          <w:rFonts w:ascii="微软雅黑" w:hAnsi="微软雅黑" w:eastAsia="微软雅黑"/>
          <w:color w:val="auto"/>
          <w:highlight w:val="none"/>
        </w:rPr>
      </w:pPr>
    </w:p>
    <w:p w14:paraId="797F2908">
      <w:pPr>
        <w:rPr>
          <w:rFonts w:ascii="微软雅黑" w:hAnsi="微软雅黑" w:eastAsia="微软雅黑"/>
          <w:color w:val="auto"/>
          <w:highlight w:val="none"/>
        </w:rPr>
      </w:pPr>
    </w:p>
    <w:p w14:paraId="59B25A60">
      <w:pPr>
        <w:spacing w:line="40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（结束）</w:t>
      </w:r>
    </w:p>
    <w:bookmarkEnd w:id="20"/>
    <w:p w14:paraId="4F0493C7">
      <w:pPr>
        <w:rPr>
          <w:color w:val="auto"/>
          <w:highlight w:val="none"/>
        </w:rPr>
      </w:pPr>
    </w:p>
    <w:p w14:paraId="6FE1C8EF">
      <w:pPr>
        <w:rPr>
          <w:color w:val="auto"/>
          <w:highlight w:val="none"/>
        </w:rPr>
      </w:pPr>
    </w:p>
    <w:sectPr>
      <w:headerReference r:id="rId6" w:type="default"/>
      <w:footerReference r:id="rId7" w:type="default"/>
      <w:pgSz w:w="11907" w:h="16840"/>
      <w:pgMar w:top="1134" w:right="1191" w:bottom="1134" w:left="1304" w:header="964" w:footer="992" w:gutter="0"/>
      <w:cols w:space="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AD6D0DA5-7F22-4221-B817-5B825973B4F8}"/>
  </w:font>
  <w:font w:name="微软雅黑">
    <w:panose1 w:val="020B0503020204020204"/>
    <w:charset w:val="86"/>
    <w:family w:val="swiss"/>
    <w:pitch w:val="default"/>
    <w:sig w:usb0="80000287" w:usb1="280F3C52" w:usb2="00000016" w:usb3="00000000" w:csb0="0004001F" w:csb1="00000000"/>
    <w:embedRegular r:id="rId2" w:fontKey="{D3729BC6-0128-498A-B970-2CD7865D08E1}"/>
  </w:font>
  <w:font w:name="方正仿宋_GBK">
    <w:panose1 w:val="03000509000000000000"/>
    <w:charset w:val="86"/>
    <w:family w:val="auto"/>
    <w:pitch w:val="default"/>
    <w:sig w:usb0="00000001" w:usb1="080E0000" w:usb2="00000000" w:usb3="00000000" w:csb0="00040000" w:csb1="00000000"/>
    <w:embedRegular r:id="rId3" w:fontKey="{85BAD437-5C60-4091-B79A-34FBB1829D16}"/>
  </w:font>
  <w:font w:name="方正仿宋_GB2312">
    <w:panose1 w:val="02000000000000000000"/>
    <w:charset w:val="86"/>
    <w:family w:val="auto"/>
    <w:pitch w:val="default"/>
    <w:sig w:usb0="A00002BF" w:usb1="184F6CFA" w:usb2="00000012" w:usb3="00000000" w:csb0="00040001" w:csb1="00000000"/>
    <w:embedRegular r:id="rId4" w:fontKey="{8DB9AB9C-4505-4B39-8202-F600519B3C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E83CC1">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610419">
                          <w:pPr>
                            <w:pStyle w:val="12"/>
                            <w:rPr>
                              <w:rFonts w:eastAsia="宋体"/>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3aJyc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92icnNwIAAG8EAAAOAAAAAAAAAAEAIAAAAB8BAABkcnMvZTJvRG9jLnht&#10;bFBLBQYAAAAABgAGAFkBAADIBQAAAAA=&#10;">
              <v:fill on="f" focussize="0,0"/>
              <v:stroke on="f" weight="0.5pt"/>
              <v:imagedata o:title=""/>
              <o:lock v:ext="edit" aspectratio="f"/>
              <v:textbox inset="0mm,0mm,0mm,0mm" style="mso-fit-shape-to-text:t;">
                <w:txbxContent>
                  <w:p w14:paraId="24610419">
                    <w:pPr>
                      <w:pStyle w:val="12"/>
                      <w:rPr>
                        <w:rFonts w:eastAsia="宋体"/>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B3262">
    <w:pPr>
      <w:pStyle w:val="12"/>
    </w:pPr>
    <w:r>
      <mc:AlternateContent>
        <mc:Choice Requires="wps">
          <w:drawing>
            <wp:anchor distT="0" distB="0" distL="114300" distR="114300" simplePos="0" relativeHeight="251659264" behindDoc="0" locked="0" layoutInCell="1" allowOverlap="1">
              <wp:simplePos x="0" y="0"/>
              <wp:positionH relativeFrom="margin">
                <wp:posOffset>3027680</wp:posOffset>
              </wp:positionH>
              <wp:positionV relativeFrom="paragraph">
                <wp:posOffset>0</wp:posOffset>
              </wp:positionV>
              <wp:extent cx="159385" cy="1828800"/>
              <wp:effectExtent l="0" t="0" r="0" b="0"/>
              <wp:wrapNone/>
              <wp:docPr id="38" name="文本框 2"/>
              <wp:cNvGraphicFramePr/>
              <a:graphic xmlns:a="http://schemas.openxmlformats.org/drawingml/2006/main">
                <a:graphicData uri="http://schemas.microsoft.com/office/word/2010/wordprocessingShape">
                  <wps:wsp>
                    <wps:cNvSpPr txBox="1"/>
                    <wps:spPr>
                      <a:xfrm>
                        <a:off x="0" y="0"/>
                        <a:ext cx="159385" cy="1828800"/>
                      </a:xfrm>
                      <a:prstGeom prst="rect">
                        <a:avLst/>
                      </a:prstGeom>
                      <a:noFill/>
                      <a:ln w="6350">
                        <a:noFill/>
                      </a:ln>
                      <a:effectLst/>
                    </wps:spPr>
                    <wps:txbx>
                      <w:txbxContent>
                        <w:p w14:paraId="2924FC7F">
                          <w:pPr>
                            <w:pStyle w:val="12"/>
                            <w:rPr>
                              <w:rFonts w:eastAsia="宋体"/>
                            </w:rPr>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文本框 2" o:spid="_x0000_s1026" o:spt="202" type="#_x0000_t202" style="position:absolute;left:0pt;margin-left:238.4pt;margin-top:0pt;height:144pt;width:12.55pt;mso-position-horizontal-relative:margin;z-index:251659264;mso-width-relative:page;mso-height-relative:page;" filled="f" stroked="f" coordsize="21600,21600" o:gfxdata="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Ic7pP7XAAAACAEAAA8AAAAAAAAAAQAgAAAAIgAAAGRy&#10;cy9kb3ducmV2LnhtbFBLAQIUABQAAAAIAIdO4kDHVrujPwIAAHEEAAAOAAAAAAAAAAEAIAAAACYB&#10;AABkcnMvZTJvRG9jLnhtbFBLBQYAAAAABgAGAFkBAADXBQAAAAA=&#10;">
              <v:fill on="f" focussize="0,0"/>
              <v:stroke on="f" weight="0.5pt"/>
              <v:imagedata o:title=""/>
              <o:lock v:ext="edit" aspectratio="f"/>
              <v:textbox inset="0mm,0mm,0mm,0mm" style="mso-fit-shape-to-text:t;">
                <w:txbxContent>
                  <w:p w14:paraId="2924FC7F">
                    <w:pPr>
                      <w:pStyle w:val="12"/>
                      <w:rPr>
                        <w:rFonts w:eastAsia="宋体"/>
                      </w:rPr>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5433D6">
    <w:pPr>
      <w:pStyle w:val="12"/>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F43904F">
                          <w:pPr>
                            <w:pStyle w:val="12"/>
                            <w:rPr>
                              <w:rFonts w:eastAsia="宋体"/>
                            </w:rPr>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DN/lQAOgIAAHAEAAAOAAAAAAAAAAEAIAAAAB8BAABkcnMvZTJvRG9j&#10;LnhtbFBLBQYAAAAABgAGAFkBAADLBQAAAAA=&#10;">
              <v:fill on="f" focussize="0,0"/>
              <v:stroke on="f" weight="0.5pt"/>
              <v:imagedata o:title=""/>
              <o:lock v:ext="edit" aspectratio="f"/>
              <v:textbox inset="0mm,0mm,0mm,0mm" style="mso-fit-shape-to-text:t;">
                <w:txbxContent>
                  <w:p w14:paraId="3F43904F">
                    <w:pPr>
                      <w:pStyle w:val="12"/>
                      <w:rPr>
                        <w:rFonts w:eastAsia="宋体"/>
                      </w:rPr>
                    </w:pPr>
                    <w:r>
                      <w:fldChar w:fldCharType="begin"/>
                    </w:r>
                    <w:r>
                      <w:instrText xml:space="preserve"> PAGE  \* MERGEFORMAT </w:instrText>
                    </w:r>
                    <w:r>
                      <w:fldChar w:fldCharType="separate"/>
                    </w:r>
                    <w:r>
                      <w:t>55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13D53">
    <w:pPr>
      <w:pStyle w:val="13"/>
      <w:pBdr>
        <w:bottom w:val="single" w:color="auto" w:sz="4" w:space="1"/>
      </w:pBdr>
      <w:ind w:firstLine="3570" w:firstLineChars="1700"/>
      <w:jc w:val="both"/>
      <w:rPr>
        <w:rFonts w:ascii="方正仿宋_GBK" w:eastAsia="方正仿宋_GBK"/>
        <w:sz w:val="21"/>
        <w:szCs w:val="24"/>
      </w:rPr>
    </w:pPr>
    <w:r>
      <w:rPr>
        <w:rFonts w:hint="eastAsia" w:ascii="仿宋" w:hAnsi="仿宋" w:eastAsia="仿宋" w:cs="仿宋"/>
        <w:sz w:val="21"/>
        <w:szCs w:val="24"/>
      </w:rPr>
      <w:t xml:space="preserve">                                         竟争性谈判文件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9AF26">
    <w:pPr>
      <w:pStyle w:val="13"/>
      <w:pBdr>
        <w:bottom w:val="single" w:color="auto" w:sz="4" w:space="1"/>
      </w:pBdr>
      <w:ind w:firstLine="3150" w:firstLineChars="1500"/>
      <w:jc w:val="both"/>
      <w:rPr>
        <w:rFonts w:ascii="方正仿宋_GBK" w:eastAsia="方正仿宋_GBK"/>
        <w:sz w:val="21"/>
        <w:szCs w:val="24"/>
      </w:rPr>
    </w:pPr>
    <w:r>
      <w:rPr>
        <w:rFonts w:hint="eastAsia" w:ascii="仿宋" w:hAnsi="仿宋" w:eastAsia="仿宋" w:cs="仿宋"/>
        <w:sz w:val="21"/>
        <w:szCs w:val="24"/>
      </w:rPr>
      <w:t xml:space="preserve">                                         竟争性谈判文件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677412"/>
    <w:multiLevelType w:val="singleLevel"/>
    <w:tmpl w:val="A6677412"/>
    <w:lvl w:ilvl="0" w:tentative="0">
      <w:start w:val="3"/>
      <w:numFmt w:val="chineseCounting"/>
      <w:suff w:val="nothing"/>
      <w:lvlText w:val="（%1）"/>
      <w:lvlJc w:val="left"/>
      <w:rPr>
        <w:rFonts w:hint="eastAsia"/>
      </w:rPr>
    </w:lvl>
  </w:abstractNum>
  <w:abstractNum w:abstractNumId="1">
    <w:nsid w:val="D26BCE7F"/>
    <w:multiLevelType w:val="singleLevel"/>
    <w:tmpl w:val="D26BCE7F"/>
    <w:lvl w:ilvl="0" w:tentative="0">
      <w:start w:val="6"/>
      <w:numFmt w:val="chineseCounting"/>
      <w:suff w:val="space"/>
      <w:lvlText w:val="第%1篇"/>
      <w:lvlJc w:val="left"/>
      <w:rPr>
        <w:rFonts w:hint="eastAsia"/>
      </w:rPr>
    </w:lvl>
  </w:abstractNum>
  <w:abstractNum w:abstractNumId="2">
    <w:nsid w:val="1785F605"/>
    <w:multiLevelType w:val="singleLevel"/>
    <w:tmpl w:val="1785F605"/>
    <w:lvl w:ilvl="0" w:tentative="0">
      <w:start w:val="1"/>
      <w:numFmt w:val="chineseCounting"/>
      <w:suff w:val="nothing"/>
      <w:lvlText w:val="%1、"/>
      <w:lvlJc w:val="left"/>
      <w:rPr>
        <w:rFonts w:hint="eastAsia"/>
      </w:rPr>
    </w:lvl>
  </w:abstractNum>
  <w:abstractNum w:abstractNumId="3">
    <w:nsid w:val="2DCFB5AB"/>
    <w:multiLevelType w:val="singleLevel"/>
    <w:tmpl w:val="2DCFB5AB"/>
    <w:lvl w:ilvl="0" w:tentative="0">
      <w:start w:val="4"/>
      <w:numFmt w:val="chineseCounting"/>
      <w:suff w:val="nothing"/>
      <w:lvlText w:val="（%1）"/>
      <w:lvlJc w:val="left"/>
      <w:rPr>
        <w:rFonts w:hint="eastAsia"/>
      </w:rPr>
    </w:lvl>
  </w:abstractNum>
  <w:abstractNum w:abstractNumId="4">
    <w:nsid w:val="61D8C894"/>
    <w:multiLevelType w:val="singleLevel"/>
    <w:tmpl w:val="61D8C894"/>
    <w:lvl w:ilvl="0" w:tentative="0">
      <w:start w:val="2"/>
      <w:numFmt w:val="chineseCounting"/>
      <w:suff w:val="nothing"/>
      <w:lvlText w:val="（%1）"/>
      <w:lvlJc w:val="left"/>
      <w:rPr>
        <w:rFonts w:hint="eastAsia"/>
      </w:rPr>
    </w:lvl>
  </w:abstractNum>
  <w:abstractNum w:abstractNumId="5">
    <w:nsid w:val="75B6679A"/>
    <w:multiLevelType w:val="singleLevel"/>
    <w:tmpl w:val="75B6679A"/>
    <w:lvl w:ilvl="0" w:tentative="0">
      <w:start w:val="3"/>
      <w:numFmt w:val="chineseCounting"/>
      <w:suff w:val="nothing"/>
      <w:lvlText w:val="%1、"/>
      <w:lvlJc w:val="left"/>
      <w:rPr>
        <w:rFonts w:hint="eastAsia"/>
      </w:r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kZmFiYTg5YjFhNzNmYWU3MDBhZGJlZDI3ODIzYTIifQ=="/>
  </w:docVars>
  <w:rsids>
    <w:rsidRoot w:val="51405190"/>
    <w:rsid w:val="014D3E65"/>
    <w:rsid w:val="03B5246B"/>
    <w:rsid w:val="063F41D5"/>
    <w:rsid w:val="076E0F59"/>
    <w:rsid w:val="07B51FC7"/>
    <w:rsid w:val="0B097861"/>
    <w:rsid w:val="0CB832CD"/>
    <w:rsid w:val="0EA56AE9"/>
    <w:rsid w:val="0FB145AE"/>
    <w:rsid w:val="103435D2"/>
    <w:rsid w:val="10A92E43"/>
    <w:rsid w:val="10C761F4"/>
    <w:rsid w:val="122049AD"/>
    <w:rsid w:val="15C42D02"/>
    <w:rsid w:val="15CA0FAF"/>
    <w:rsid w:val="166362E5"/>
    <w:rsid w:val="1AAC0209"/>
    <w:rsid w:val="1E562965"/>
    <w:rsid w:val="20796DDF"/>
    <w:rsid w:val="210A1607"/>
    <w:rsid w:val="235558E1"/>
    <w:rsid w:val="24A67C1B"/>
    <w:rsid w:val="27734588"/>
    <w:rsid w:val="27FB66D2"/>
    <w:rsid w:val="28B644A0"/>
    <w:rsid w:val="2BBA63EC"/>
    <w:rsid w:val="2BFA5DC9"/>
    <w:rsid w:val="2C2051E2"/>
    <w:rsid w:val="2C844B41"/>
    <w:rsid w:val="2CF26643"/>
    <w:rsid w:val="2D636006"/>
    <w:rsid w:val="2F2C1457"/>
    <w:rsid w:val="2FA21EAE"/>
    <w:rsid w:val="31F532C8"/>
    <w:rsid w:val="332B3F69"/>
    <w:rsid w:val="33EC6C5A"/>
    <w:rsid w:val="340F0DC0"/>
    <w:rsid w:val="3491429F"/>
    <w:rsid w:val="34B30267"/>
    <w:rsid w:val="388A747A"/>
    <w:rsid w:val="39EB6200"/>
    <w:rsid w:val="3A325BDD"/>
    <w:rsid w:val="3A3F1290"/>
    <w:rsid w:val="3A881CA1"/>
    <w:rsid w:val="3CA31014"/>
    <w:rsid w:val="3CB925E5"/>
    <w:rsid w:val="3DF8538F"/>
    <w:rsid w:val="3EC6578A"/>
    <w:rsid w:val="412A3AB2"/>
    <w:rsid w:val="414508EB"/>
    <w:rsid w:val="416F7716"/>
    <w:rsid w:val="44EE545C"/>
    <w:rsid w:val="45C70A04"/>
    <w:rsid w:val="48724017"/>
    <w:rsid w:val="4B187071"/>
    <w:rsid w:val="4B2B6C32"/>
    <w:rsid w:val="4DAC1F1A"/>
    <w:rsid w:val="50854860"/>
    <w:rsid w:val="51405190"/>
    <w:rsid w:val="53444D9F"/>
    <w:rsid w:val="54C0055D"/>
    <w:rsid w:val="54D45DB6"/>
    <w:rsid w:val="58A678B0"/>
    <w:rsid w:val="597A4A53"/>
    <w:rsid w:val="5B2B4256"/>
    <w:rsid w:val="60956D42"/>
    <w:rsid w:val="610159B0"/>
    <w:rsid w:val="635E2679"/>
    <w:rsid w:val="63A50987"/>
    <w:rsid w:val="63B868A3"/>
    <w:rsid w:val="692C2866"/>
    <w:rsid w:val="693370F8"/>
    <w:rsid w:val="6A7554EE"/>
    <w:rsid w:val="6AD541DF"/>
    <w:rsid w:val="6C5D4AB5"/>
    <w:rsid w:val="6C80536B"/>
    <w:rsid w:val="6DA02F94"/>
    <w:rsid w:val="6DF6759C"/>
    <w:rsid w:val="6E494027"/>
    <w:rsid w:val="6F0C014F"/>
    <w:rsid w:val="70433998"/>
    <w:rsid w:val="75D43A11"/>
    <w:rsid w:val="760D6F22"/>
    <w:rsid w:val="773329B9"/>
    <w:rsid w:val="77553269"/>
    <w:rsid w:val="78F543CA"/>
    <w:rsid w:val="798B4E50"/>
    <w:rsid w:val="79951ED7"/>
    <w:rsid w:val="7A765842"/>
    <w:rsid w:val="7A831D5F"/>
    <w:rsid w:val="7C5A3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2"/>
    <w:basedOn w:val="1"/>
    <w:next w:val="1"/>
    <w:link w:val="22"/>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link w:val="24"/>
    <w:qFormat/>
    <w:uiPriority w:val="0"/>
    <w:pPr>
      <w:keepNext/>
      <w:keepLines/>
      <w:spacing w:before="260" w:after="260" w:line="413" w:lineRule="auto"/>
      <w:outlineLvl w:val="2"/>
    </w:pPr>
    <w:rPr>
      <w:b/>
      <w:sz w:val="32"/>
    </w:rPr>
  </w:style>
  <w:style w:type="character" w:default="1" w:styleId="18">
    <w:name w:val="Default Paragraph Font"/>
    <w:semiHidden/>
    <w:qFormat/>
    <w:uiPriority w:val="0"/>
  </w:style>
  <w:style w:type="table" w:default="1" w:styleId="17">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Body Text 3"/>
    <w:basedOn w:val="1"/>
    <w:qFormat/>
    <w:uiPriority w:val="0"/>
    <w:pPr>
      <w:adjustRightInd w:val="0"/>
      <w:snapToGrid w:val="0"/>
      <w:spacing w:after="120" w:line="360" w:lineRule="auto"/>
    </w:pPr>
    <w:rPr>
      <w:sz w:val="16"/>
    </w:rPr>
  </w:style>
  <w:style w:type="paragraph" w:styleId="6">
    <w:name w:val="Body Text"/>
    <w:basedOn w:val="1"/>
    <w:next w:val="1"/>
    <w:qFormat/>
    <w:uiPriority w:val="0"/>
    <w:rPr>
      <w:rFonts w:ascii="仿宋_GB2312" w:eastAsia="仿宋_GB2312"/>
      <w:sz w:val="32"/>
    </w:rPr>
  </w:style>
  <w:style w:type="paragraph" w:styleId="7">
    <w:name w:val="Body Text Indent"/>
    <w:basedOn w:val="1"/>
    <w:qFormat/>
    <w:uiPriority w:val="0"/>
    <w:pPr>
      <w:spacing w:line="700" w:lineRule="exact"/>
      <w:ind w:left="960"/>
    </w:pPr>
    <w:rPr>
      <w:rFonts w:asciiTheme="minorHAnsi" w:hAnsiTheme="minorHAnsi" w:eastAsiaTheme="minorEastAsia" w:cstheme="minorBidi"/>
      <w:sz w:val="44"/>
      <w:szCs w:val="22"/>
    </w:rPr>
  </w:style>
  <w:style w:type="paragraph" w:styleId="8">
    <w:name w:val="toc 3"/>
    <w:basedOn w:val="1"/>
    <w:next w:val="1"/>
    <w:qFormat/>
    <w:uiPriority w:val="39"/>
    <w:pPr>
      <w:ind w:left="840" w:leftChars="400"/>
    </w:pPr>
  </w:style>
  <w:style w:type="paragraph" w:styleId="9">
    <w:name w:val="Plain Text"/>
    <w:basedOn w:val="1"/>
    <w:qFormat/>
    <w:uiPriority w:val="0"/>
    <w:rPr>
      <w:rFonts w:ascii="宋体" w:hAnsi="Courier New"/>
      <w:sz w:val="21"/>
    </w:rPr>
  </w:style>
  <w:style w:type="paragraph" w:styleId="10">
    <w:name w:val="Date"/>
    <w:basedOn w:val="1"/>
    <w:next w:val="1"/>
    <w:qFormat/>
    <w:uiPriority w:val="0"/>
    <w:rPr>
      <w:rFonts w:asciiTheme="minorHAnsi" w:hAnsiTheme="minorHAnsi" w:eastAsiaTheme="minorEastAsia" w:cstheme="minorBidi"/>
      <w:szCs w:val="22"/>
    </w:rPr>
  </w:style>
  <w:style w:type="paragraph" w:styleId="11">
    <w:name w:val="Body Text Indent 2"/>
    <w:basedOn w:val="1"/>
    <w:qFormat/>
    <w:uiPriority w:val="0"/>
    <w:pPr>
      <w:snapToGrid w:val="0"/>
      <w:spacing w:line="560" w:lineRule="atLeast"/>
      <w:ind w:firstLine="540"/>
    </w:pPr>
    <w:rPr>
      <w:rFonts w:asciiTheme="minorHAnsi" w:hAnsiTheme="minorHAnsi" w:eastAsiaTheme="minorEastAsia" w:cstheme="minorBidi"/>
      <w:szCs w:val="22"/>
    </w:rPr>
  </w:style>
  <w:style w:type="paragraph" w:styleId="12">
    <w:name w:val="footer"/>
    <w:basedOn w:val="1"/>
    <w:qFormat/>
    <w:uiPriority w:val="0"/>
    <w:pPr>
      <w:tabs>
        <w:tab w:val="center" w:pos="4153"/>
        <w:tab w:val="right" w:pos="8306"/>
      </w:tabs>
      <w:snapToGrid w:val="0"/>
      <w:jc w:val="left"/>
    </w:pPr>
    <w:rPr>
      <w:rFonts w:asciiTheme="minorHAnsi" w:hAnsiTheme="minorHAnsi" w:eastAsiaTheme="minorEastAsia" w:cstheme="minorBidi"/>
      <w:sz w:val="18"/>
      <w:szCs w:val="22"/>
    </w:rPr>
  </w:style>
  <w:style w:type="paragraph" w:styleId="13">
    <w:name w:val="header"/>
    <w:basedOn w:val="1"/>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22"/>
    </w:rPr>
  </w:style>
  <w:style w:type="paragraph" w:styleId="14">
    <w:name w:val="toc 1"/>
    <w:basedOn w:val="1"/>
    <w:next w:val="1"/>
    <w:qFormat/>
    <w:uiPriority w:val="39"/>
    <w:pPr>
      <w:spacing w:line="180" w:lineRule="auto"/>
      <w:jc w:val="center"/>
    </w:pPr>
    <w:rPr>
      <w:sz w:val="30"/>
    </w:rPr>
  </w:style>
  <w:style w:type="paragraph" w:styleId="15">
    <w:name w:val="toc 2"/>
    <w:basedOn w:val="1"/>
    <w:next w:val="1"/>
    <w:qFormat/>
    <w:uiPriority w:val="39"/>
    <w:pPr>
      <w:ind w:left="420" w:leftChars="200"/>
    </w:pPr>
  </w:style>
  <w:style w:type="paragraph" w:styleId="16">
    <w:name w:val="Body Text First Indent"/>
    <w:basedOn w:val="6"/>
    <w:qFormat/>
    <w:uiPriority w:val="0"/>
    <w:pPr>
      <w:spacing w:line="360" w:lineRule="auto"/>
      <w:ind w:firstLine="420"/>
    </w:pPr>
    <w:rPr>
      <w:rFonts w:ascii="宋体" w:hAnsi="宋体"/>
      <w:sz w:val="24"/>
    </w:rPr>
  </w:style>
  <w:style w:type="character" w:styleId="19">
    <w:name w:val="Strong"/>
    <w:basedOn w:val="18"/>
    <w:qFormat/>
    <w:uiPriority w:val="0"/>
    <w:rPr>
      <w:b/>
    </w:rPr>
  </w:style>
  <w:style w:type="paragraph" w:customStyle="1" w:styleId="20">
    <w:name w:val="目录 53"/>
    <w:next w:val="1"/>
    <w:qFormat/>
    <w:uiPriority w:val="99"/>
    <w:pPr>
      <w:wordWrap w:val="0"/>
      <w:ind w:left="1275"/>
      <w:jc w:val="both"/>
    </w:pPr>
    <w:rPr>
      <w:rFonts w:ascii="Calibri" w:hAnsi="Calibri" w:eastAsia="宋体" w:cs="Times New Roman"/>
      <w:sz w:val="21"/>
      <w:lang w:val="en-US" w:eastAsia="zh-CN" w:bidi="ar-SA"/>
    </w:rPr>
  </w:style>
  <w:style w:type="paragraph" w:styleId="21">
    <w:name w:val="List Paragraph"/>
    <w:basedOn w:val="1"/>
    <w:qFormat/>
    <w:uiPriority w:val="99"/>
    <w:pPr>
      <w:ind w:firstLine="420" w:firstLineChars="200"/>
    </w:pPr>
    <w:rPr>
      <w:rFonts w:ascii="Calibri" w:hAnsi="Calibri"/>
      <w:sz w:val="21"/>
      <w:szCs w:val="22"/>
    </w:rPr>
  </w:style>
  <w:style w:type="character" w:customStyle="1" w:styleId="22">
    <w:name w:val="标题 2 Char"/>
    <w:basedOn w:val="18"/>
    <w:link w:val="2"/>
    <w:qFormat/>
    <w:uiPriority w:val="0"/>
    <w:rPr>
      <w:rFonts w:ascii="Arial" w:hAnsi="Arial" w:eastAsia="黑体"/>
      <w:b/>
      <w:sz w:val="32"/>
    </w:rPr>
  </w:style>
  <w:style w:type="paragraph" w:customStyle="1" w:styleId="23">
    <w:name w:val="1"/>
    <w:basedOn w:val="1"/>
    <w:next w:val="9"/>
    <w:qFormat/>
    <w:uiPriority w:val="0"/>
    <w:rPr>
      <w:rFonts w:ascii="宋体" w:hAnsi="Courier New"/>
      <w:sz w:val="21"/>
    </w:rPr>
  </w:style>
  <w:style w:type="character" w:customStyle="1" w:styleId="24">
    <w:name w:val="标题 3 Char"/>
    <w:basedOn w:val="18"/>
    <w:link w:val="3"/>
    <w:qFormat/>
    <w:uiPriority w:val="0"/>
    <w:rPr>
      <w:b/>
      <w:sz w:val="32"/>
    </w:rPr>
  </w:style>
  <w:style w:type="paragraph" w:customStyle="1" w:styleId="25">
    <w:name w:val="Heading1"/>
    <w:basedOn w:val="1"/>
    <w:next w:val="1"/>
    <w:qFormat/>
    <w:uiPriority w:val="0"/>
    <w:pPr>
      <w:keepNext/>
      <w:tabs>
        <w:tab w:val="left" w:pos="3360"/>
      </w:tabs>
      <w:snapToGrid w:val="0"/>
      <w:spacing w:before="312" w:after="156" w:line="800" w:lineRule="atLeast"/>
      <w:jc w:val="center"/>
      <w:textAlignment w:val="baseline"/>
    </w:pPr>
    <w:rPr>
      <w:rFonts w:eastAsia="黑体"/>
      <w:kern w:val="2"/>
      <w:sz w:val="44"/>
      <w:lang w:val="en-US" w:eastAsia="zh-CN" w:bidi="ar-SA"/>
    </w:rPr>
  </w:style>
  <w:style w:type="character" w:customStyle="1" w:styleId="26">
    <w:name w:val="15"/>
    <w:basedOn w:val="1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10604</Words>
  <Characters>11007</Characters>
  <Lines>1</Lines>
  <Paragraphs>1</Paragraphs>
  <TotalTime>6</TotalTime>
  <ScaleCrop>false</ScaleCrop>
  <LinksUpToDate>false</LinksUpToDate>
  <CharactersWithSpaces>11150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2024-08-09T08:05:00Z</dcterms:created>
  <dc:creator>小木易=_=</dc:creator>
  <cp:lastModifiedBy>。</cp:lastModifiedBy>
  <dcterms:modified xsi:type="dcterms:W3CDTF">2025-07-29T06:51:16Z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7CC0F5FBEBCA4DF9B01848EA070383DA_13</vt:lpwstr>
  </property>
  <property fmtid="{D5CDD505-2E9C-101B-9397-08002B2CF9AE}" pid="4" name="KSOTemplateDocerSaveRecord">
    <vt:lpwstr>eyJoZGlkIjoiMjYwNWQxMzVkYTgxYjViYWIxZDMwNGJhZWRlNWJlZWQiLCJ1c2VySWQiOiI0MTA4MTYxNDQifQ==</vt:lpwstr>
  </property>
</Properties>
</file>