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668"/>
        <w:jc w:val="center"/>
        <w:rPr>
          <w:rFonts w:ascii="Arial Unicode MS" w:hAnsi="华文中宋" w:eastAsia="Arial Unicode MS"/>
          <w:bCs/>
          <w:sz w:val="84"/>
          <w:szCs w:val="84"/>
        </w:rPr>
      </w:pPr>
    </w:p>
    <w:p>
      <w:pPr>
        <w:ind w:firstLine="1896" w:firstLineChars="400"/>
        <w:rPr>
          <w:rFonts w:ascii="方正黑体_GBK" w:hAnsi="方正黑体_GBK" w:eastAsia="方正黑体_GBK" w:cs="方正黑体_GBK"/>
          <w:bCs/>
          <w:sz w:val="48"/>
          <w:szCs w:val="48"/>
        </w:rPr>
      </w:pPr>
      <w:r>
        <w:rPr>
          <w:rFonts w:hint="eastAsia" w:ascii="方正黑体_GBK" w:hAnsi="方正黑体_GBK" w:eastAsia="方正黑体_GBK" w:cs="方正黑体_GBK"/>
          <w:bCs/>
          <w:sz w:val="48"/>
          <w:szCs w:val="48"/>
        </w:rPr>
        <w:t>重庆市沙坪坝区人民医院</w:t>
      </w:r>
    </w:p>
    <w:p>
      <w:pPr>
        <w:jc w:val="center"/>
        <w:rPr>
          <w:rFonts w:ascii="方正黑体_GBK" w:hAnsi="方正黑体_GBK" w:eastAsia="方正黑体_GBK" w:cs="方正黑体_GBK"/>
          <w:bCs/>
          <w:sz w:val="84"/>
          <w:szCs w:val="84"/>
        </w:rPr>
      </w:pPr>
      <w:r>
        <w:rPr>
          <w:rFonts w:hint="eastAsia" w:ascii="方正黑体_GBK" w:hAnsi="方正黑体_GBK" w:eastAsia="方正黑体_GBK" w:cs="方正黑体_GBK"/>
          <w:bCs/>
          <w:sz w:val="84"/>
          <w:szCs w:val="84"/>
        </w:rPr>
        <w:t>询比采购文件</w:t>
      </w:r>
    </w:p>
    <w:p>
      <w:pPr>
        <w:ind w:firstLine="2844" w:firstLineChars="600"/>
        <w:rPr>
          <w:rFonts w:ascii="方正黑体_GBK" w:hAnsi="方正黑体_GBK" w:eastAsia="方正黑体_GBK" w:cs="方正黑体_GBK"/>
          <w:bCs/>
          <w:sz w:val="48"/>
          <w:szCs w:val="48"/>
        </w:rPr>
      </w:pPr>
      <w:r>
        <w:rPr>
          <w:rFonts w:hint="eastAsia" w:ascii="方正黑体_GBK" w:hAnsi="方正黑体_GBK" w:eastAsia="方正黑体_GBK" w:cs="方正黑体_GBK"/>
          <w:bCs/>
          <w:sz w:val="48"/>
          <w:szCs w:val="48"/>
        </w:rPr>
        <w:t>（综合评分法）</w:t>
      </w:r>
    </w:p>
    <w:p>
      <w:pPr>
        <w:ind w:firstLine="1669"/>
        <w:rPr>
          <w:rFonts w:ascii="华文中宋" w:hAnsi="华文中宋" w:eastAsia="华文中宋"/>
          <w:b/>
          <w:bCs/>
          <w:sz w:val="84"/>
          <w:szCs w:val="84"/>
        </w:rPr>
      </w:pPr>
    </w:p>
    <w:p>
      <w:pPr>
        <w:pStyle w:val="3"/>
        <w:ind w:firstLine="630"/>
        <w:jc w:val="both"/>
      </w:pPr>
    </w:p>
    <w:p>
      <w:pPr>
        <w:spacing w:line="0" w:lineRule="atLeast"/>
        <w:ind w:firstLine="1770" w:firstLineChars="500"/>
        <w:rPr>
          <w:rFonts w:ascii="宋体" w:hAnsi="宋体"/>
          <w:bCs/>
          <w:snapToGrid w:val="0"/>
          <w:kern w:val="0"/>
          <w:sz w:val="32"/>
          <w:szCs w:val="32"/>
        </w:rPr>
      </w:pPr>
      <w:r>
        <w:rPr>
          <w:rFonts w:hint="eastAsia" w:ascii="宋体" w:hAnsi="宋体"/>
          <w:bCs/>
          <w:snapToGrid w:val="0"/>
          <w:kern w:val="0"/>
          <w:sz w:val="36"/>
          <w:szCs w:val="36"/>
        </w:rPr>
        <w:t>项目名称：</w:t>
      </w:r>
      <w:r>
        <w:rPr>
          <w:rFonts w:hint="eastAsia" w:ascii="宋体" w:hAnsi="宋体"/>
          <w:bCs/>
          <w:snapToGrid w:val="0"/>
          <w:kern w:val="0"/>
          <w:sz w:val="32"/>
          <w:szCs w:val="32"/>
        </w:rPr>
        <w:t>重庆市沙坪坝区人民医院</w:t>
      </w:r>
    </w:p>
    <w:p>
      <w:pPr>
        <w:snapToGrid w:val="0"/>
        <w:spacing w:line="320" w:lineRule="exact"/>
        <w:jc w:val="center"/>
        <w:rPr>
          <w:rFonts w:ascii="宋体" w:hAnsi="宋体"/>
          <w:bCs/>
          <w:snapToGrid w:val="0"/>
          <w:kern w:val="0"/>
          <w:sz w:val="32"/>
          <w:szCs w:val="32"/>
        </w:rPr>
      </w:pPr>
      <w:r>
        <w:rPr>
          <w:rFonts w:hint="eastAsia" w:ascii="宋体" w:hAnsi="宋体"/>
          <w:bCs/>
          <w:snapToGrid w:val="0"/>
          <w:kern w:val="0"/>
          <w:sz w:val="32"/>
          <w:szCs w:val="32"/>
          <w:lang w:val="en-US" w:eastAsia="zh-CN"/>
        </w:rPr>
        <w:t xml:space="preserve">  分子病理外检</w:t>
      </w:r>
      <w:r>
        <w:rPr>
          <w:rFonts w:hint="eastAsia" w:ascii="宋体" w:hAnsi="宋体"/>
          <w:bCs/>
          <w:snapToGrid w:val="0"/>
          <w:kern w:val="0"/>
          <w:sz w:val="32"/>
          <w:szCs w:val="32"/>
        </w:rPr>
        <w:t>服务</w:t>
      </w:r>
    </w:p>
    <w:p>
      <w:pPr>
        <w:adjustRightInd w:val="0"/>
        <w:snapToGrid w:val="0"/>
        <w:spacing w:line="560" w:lineRule="exact"/>
        <w:ind w:firstLine="1770" w:firstLineChars="500"/>
        <w:rPr>
          <w:rFonts w:hint="default" w:ascii="宋体" w:hAnsi="宋体" w:eastAsia="宋体"/>
          <w:bCs/>
          <w:snapToGrid w:val="0"/>
          <w:kern w:val="0"/>
          <w:sz w:val="36"/>
          <w:szCs w:val="36"/>
          <w:lang w:val="en-US" w:eastAsia="zh-CN"/>
        </w:rPr>
      </w:pPr>
      <w:r>
        <w:rPr>
          <w:rFonts w:hint="eastAsia" w:ascii="宋体" w:hAnsi="宋体"/>
          <w:bCs/>
          <w:snapToGrid w:val="0"/>
          <w:kern w:val="0"/>
          <w:sz w:val="36"/>
          <w:szCs w:val="36"/>
        </w:rPr>
        <w:t>项目计划号：YN2025H02</w:t>
      </w:r>
      <w:r>
        <w:rPr>
          <w:rFonts w:hint="eastAsia" w:ascii="宋体" w:hAnsi="宋体"/>
          <w:bCs/>
          <w:snapToGrid w:val="0"/>
          <w:kern w:val="0"/>
          <w:sz w:val="36"/>
          <w:szCs w:val="36"/>
          <w:lang w:val="en-US" w:eastAsia="zh-CN"/>
        </w:rPr>
        <w:t>5</w:t>
      </w:r>
      <w:r>
        <w:rPr>
          <w:rFonts w:hint="eastAsia" w:ascii="宋体" w:hAnsi="宋体"/>
          <w:bCs/>
          <w:snapToGrid w:val="0"/>
          <w:kern w:val="0"/>
          <w:sz w:val="36"/>
          <w:szCs w:val="36"/>
        </w:rPr>
        <w:t>-</w:t>
      </w:r>
      <w:r>
        <w:rPr>
          <w:rFonts w:hint="eastAsia" w:ascii="宋体" w:hAnsi="宋体"/>
          <w:bCs/>
          <w:snapToGrid w:val="0"/>
          <w:kern w:val="0"/>
          <w:sz w:val="36"/>
          <w:szCs w:val="36"/>
          <w:lang w:val="en-US" w:eastAsia="zh-CN"/>
        </w:rPr>
        <w:t>143072</w:t>
      </w:r>
    </w:p>
    <w:p>
      <w:pPr>
        <w:adjustRightInd w:val="0"/>
        <w:snapToGrid w:val="0"/>
        <w:spacing w:line="560" w:lineRule="exact"/>
        <w:ind w:firstLine="1586" w:firstLineChars="448"/>
        <w:rPr>
          <w:rFonts w:ascii="宋体" w:hAnsi="宋体"/>
          <w:bCs/>
          <w:snapToGrid w:val="0"/>
          <w:kern w:val="0"/>
          <w:sz w:val="36"/>
          <w:szCs w:val="36"/>
        </w:rPr>
      </w:pPr>
    </w:p>
    <w:p>
      <w:pPr>
        <w:ind w:firstLine="596"/>
        <w:rPr>
          <w:rFonts w:ascii="宋体" w:hAnsi="宋体"/>
          <w:bCs/>
          <w:spacing w:val="-28"/>
          <w:sz w:val="36"/>
          <w:szCs w:val="36"/>
        </w:rPr>
      </w:pPr>
    </w:p>
    <w:p>
      <w:pPr>
        <w:ind w:firstLine="596"/>
        <w:rPr>
          <w:rFonts w:ascii="宋体" w:hAnsi="宋体"/>
          <w:bCs/>
          <w:spacing w:val="-28"/>
          <w:sz w:val="36"/>
          <w:szCs w:val="36"/>
        </w:rPr>
      </w:pPr>
    </w:p>
    <w:p>
      <w:pPr>
        <w:ind w:firstLine="2086" w:firstLineChars="700"/>
        <w:rPr>
          <w:rFonts w:ascii="宋体" w:hAnsi="宋体"/>
          <w:bCs/>
          <w:snapToGrid w:val="0"/>
          <w:spacing w:val="-28"/>
          <w:kern w:val="0"/>
          <w:sz w:val="36"/>
          <w:szCs w:val="36"/>
        </w:rPr>
      </w:pPr>
      <w:r>
        <w:rPr>
          <w:rFonts w:hint="eastAsia" w:ascii="宋体" w:hAnsi="宋体"/>
          <w:bCs/>
          <w:snapToGrid w:val="0"/>
          <w:spacing w:val="-28"/>
          <w:kern w:val="0"/>
          <w:sz w:val="36"/>
          <w:szCs w:val="36"/>
        </w:rPr>
        <w:t>采购人：重庆市沙坪坝区人民医院</w:t>
      </w:r>
    </w:p>
    <w:p>
      <w:pPr>
        <w:ind w:firstLine="3624" w:firstLineChars="1200"/>
        <w:rPr>
          <w:rFonts w:ascii="宋体" w:hAnsi="宋体"/>
          <w:snapToGrid w:val="0"/>
          <w:kern w:val="0"/>
          <w:sz w:val="32"/>
          <w:szCs w:val="32"/>
        </w:rPr>
      </w:pPr>
      <w:r>
        <w:rPr>
          <w:rFonts w:hint="eastAsia" w:ascii="宋体" w:hAnsi="宋体"/>
          <w:bCs/>
          <w:snapToGrid w:val="0"/>
          <w:spacing w:val="-26"/>
          <w:kern w:val="0"/>
          <w:sz w:val="36"/>
          <w:szCs w:val="36"/>
        </w:rPr>
        <w:t>2025年 7月</w:t>
      </w:r>
    </w:p>
    <w:p>
      <w:pPr>
        <w:ind w:firstLine="871"/>
        <w:rPr>
          <w:rFonts w:ascii="宋体" w:hAnsi="宋体"/>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134" w:left="1418" w:header="851" w:footer="567" w:gutter="0"/>
          <w:cols w:space="720" w:num="1"/>
          <w:docGrid w:type="linesAndChars" w:linePitch="375" w:charSpace="-1260"/>
        </w:sectPr>
      </w:pPr>
    </w:p>
    <w:p>
      <w:pPr>
        <w:spacing w:line="360" w:lineRule="auto"/>
        <w:ind w:firstLine="868"/>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目　　录</w:t>
      </w:r>
    </w:p>
    <w:p>
      <w:pPr>
        <w:numPr>
          <w:ilvl w:val="0"/>
          <w:numId w:val="1"/>
        </w:numPr>
        <w:spacing w:line="360" w:lineRule="auto"/>
        <w:ind w:firstLine="548"/>
        <w:rPr>
          <w:rFonts w:ascii="仿宋_GB2312" w:hAnsi="宋体" w:eastAsia="仿宋_GB2312"/>
          <w:sz w:val="28"/>
          <w:szCs w:val="28"/>
        </w:rPr>
      </w:pPr>
      <w:r>
        <w:rPr>
          <w:rFonts w:hint="eastAsia" w:ascii="仿宋_GB2312" w:hAnsi="宋体" w:eastAsia="仿宋_GB2312"/>
          <w:sz w:val="28"/>
          <w:szCs w:val="28"/>
        </w:rPr>
        <w:t>采购邀请</w:t>
      </w:r>
    </w:p>
    <w:p>
      <w:pPr>
        <w:numPr>
          <w:ilvl w:val="0"/>
          <w:numId w:val="1"/>
        </w:numPr>
        <w:spacing w:line="360" w:lineRule="auto"/>
        <w:ind w:firstLine="548"/>
        <w:rPr>
          <w:rFonts w:ascii="仿宋_GB2312" w:hAnsi="宋体" w:eastAsia="仿宋_GB2312"/>
          <w:sz w:val="28"/>
          <w:szCs w:val="28"/>
        </w:rPr>
      </w:pPr>
      <w:r>
        <w:rPr>
          <w:rFonts w:hint="eastAsia" w:ascii="仿宋_GB2312" w:hAnsi="宋体" w:eastAsia="仿宋_GB2312"/>
          <w:sz w:val="28"/>
          <w:szCs w:val="28"/>
        </w:rPr>
        <w:t>项目技术（服务）及商务需求</w:t>
      </w:r>
    </w:p>
    <w:p>
      <w:pPr>
        <w:numPr>
          <w:ilvl w:val="0"/>
          <w:numId w:val="1"/>
        </w:numPr>
        <w:spacing w:line="360" w:lineRule="auto"/>
        <w:ind w:firstLine="548"/>
        <w:rPr>
          <w:rFonts w:ascii="仿宋_GB2312" w:hAnsi="宋体" w:eastAsia="仿宋_GB2312"/>
          <w:sz w:val="28"/>
          <w:szCs w:val="28"/>
        </w:rPr>
      </w:pPr>
      <w:r>
        <w:rPr>
          <w:rFonts w:hint="eastAsia" w:ascii="仿宋_GB2312" w:hAnsi="宋体" w:eastAsia="仿宋_GB2312"/>
          <w:sz w:val="28"/>
          <w:szCs w:val="28"/>
        </w:rPr>
        <w:t>采购程序及评审方法</w:t>
      </w:r>
    </w:p>
    <w:p>
      <w:pPr>
        <w:spacing w:line="360" w:lineRule="auto"/>
        <w:ind w:firstLine="548" w:firstLineChars="200"/>
        <w:rPr>
          <w:rFonts w:ascii="仿宋_GB2312" w:hAnsi="宋体" w:eastAsia="仿宋_GB2312"/>
          <w:sz w:val="28"/>
          <w:szCs w:val="28"/>
        </w:rPr>
      </w:pPr>
      <w:r>
        <w:rPr>
          <w:rFonts w:hint="eastAsia" w:ascii="仿宋_GB2312" w:hAnsi="宋体" w:eastAsia="仿宋_GB2312"/>
          <w:sz w:val="28"/>
          <w:szCs w:val="28"/>
        </w:rPr>
        <w:t>第四部分  供应商须知</w:t>
      </w:r>
    </w:p>
    <w:p>
      <w:pPr>
        <w:spacing w:line="360" w:lineRule="auto"/>
        <w:ind w:firstLine="548" w:firstLineChars="200"/>
        <w:rPr>
          <w:rFonts w:ascii="仿宋_GB2312" w:hAnsi="宋体" w:eastAsia="仿宋_GB2312"/>
          <w:sz w:val="28"/>
          <w:szCs w:val="28"/>
        </w:rPr>
      </w:pPr>
      <w:r>
        <w:rPr>
          <w:rFonts w:hint="eastAsia" w:ascii="仿宋_GB2312" w:hAnsi="宋体" w:eastAsia="仿宋_GB2312"/>
          <w:sz w:val="28"/>
          <w:szCs w:val="28"/>
        </w:rPr>
        <w:t>第五部分  合同主要条款和格式合同</w:t>
      </w:r>
    </w:p>
    <w:p>
      <w:pPr>
        <w:spacing w:line="360" w:lineRule="auto"/>
        <w:ind w:firstLine="548" w:firstLineChars="200"/>
        <w:rPr>
          <w:rFonts w:ascii="仿宋_GB2312" w:hAnsi="宋体" w:eastAsia="仿宋_GB2312"/>
          <w:sz w:val="28"/>
          <w:szCs w:val="28"/>
        </w:rPr>
      </w:pPr>
      <w:r>
        <w:rPr>
          <w:rFonts w:hint="eastAsia" w:ascii="仿宋_GB2312" w:hAnsi="宋体" w:eastAsia="仿宋_GB2312"/>
          <w:sz w:val="28"/>
          <w:szCs w:val="28"/>
        </w:rPr>
        <w:t>第六部分  响应文件格式</w:t>
      </w:r>
    </w:p>
    <w:p>
      <w:pPr>
        <w:spacing w:line="360" w:lineRule="auto"/>
        <w:ind w:firstLine="548" w:firstLineChars="200"/>
        <w:rPr>
          <w:rFonts w:ascii="仿宋_GB2312" w:hAnsi="宋体" w:eastAsia="仿宋_GB2312"/>
          <w:sz w:val="28"/>
          <w:szCs w:val="28"/>
        </w:rPr>
      </w:pPr>
      <w:bookmarkStart w:id="0" w:name="_Toc279567050"/>
      <w:bookmarkStart w:id="1" w:name="_Toc231610029"/>
    </w:p>
    <w:p>
      <w:pPr>
        <w:pStyle w:val="2"/>
        <w:tabs>
          <w:tab w:val="center" w:pos="4677"/>
        </w:tabs>
        <w:spacing w:before="0" w:afterLines="100" w:line="560" w:lineRule="exact"/>
        <w:ind w:firstLine="869"/>
        <w:rPr>
          <w:rFonts w:ascii="华文中宋" w:hAnsi="华文中宋" w:eastAsia="华文中宋"/>
          <w:szCs w:val="44"/>
        </w:rPr>
      </w:pPr>
    </w:p>
    <w:p>
      <w:pPr>
        <w:pStyle w:val="2"/>
        <w:tabs>
          <w:tab w:val="center" w:pos="4677"/>
        </w:tabs>
        <w:spacing w:before="0" w:afterLines="100" w:line="560" w:lineRule="exact"/>
        <w:ind w:firstLine="869"/>
        <w:rPr>
          <w:rFonts w:ascii="华文中宋" w:hAnsi="华文中宋" w:eastAsia="华文中宋"/>
          <w:szCs w:val="44"/>
        </w:rPr>
      </w:pPr>
    </w:p>
    <w:p>
      <w:pPr>
        <w:pStyle w:val="2"/>
        <w:tabs>
          <w:tab w:val="center" w:pos="4677"/>
        </w:tabs>
        <w:spacing w:before="0" w:afterLines="100" w:line="560" w:lineRule="exact"/>
        <w:ind w:firstLine="869"/>
        <w:rPr>
          <w:rFonts w:ascii="华文中宋" w:hAnsi="华文中宋" w:eastAsia="华文中宋"/>
          <w:szCs w:val="44"/>
        </w:rPr>
      </w:pPr>
    </w:p>
    <w:p>
      <w:pPr>
        <w:pStyle w:val="2"/>
        <w:tabs>
          <w:tab w:val="center" w:pos="4677"/>
        </w:tabs>
        <w:spacing w:before="0" w:afterLines="100" w:line="560" w:lineRule="exact"/>
        <w:ind w:firstLine="869"/>
        <w:rPr>
          <w:rFonts w:ascii="华文中宋" w:hAnsi="华文中宋" w:eastAsia="华文中宋"/>
          <w:szCs w:val="44"/>
        </w:rPr>
      </w:pPr>
    </w:p>
    <w:p>
      <w:pPr>
        <w:pStyle w:val="2"/>
        <w:tabs>
          <w:tab w:val="center" w:pos="4677"/>
        </w:tabs>
        <w:spacing w:before="0" w:afterLines="100" w:line="560" w:lineRule="exact"/>
        <w:ind w:firstLine="869"/>
        <w:rPr>
          <w:rFonts w:ascii="华文中宋" w:hAnsi="华文中宋" w:eastAsia="华文中宋"/>
          <w:szCs w:val="44"/>
        </w:rPr>
      </w:pPr>
    </w:p>
    <w:p>
      <w:pPr>
        <w:pStyle w:val="2"/>
        <w:tabs>
          <w:tab w:val="center" w:pos="4677"/>
        </w:tabs>
        <w:spacing w:before="0" w:afterLines="100" w:line="560" w:lineRule="exact"/>
        <w:ind w:firstLine="869"/>
        <w:rPr>
          <w:rFonts w:ascii="华文中宋" w:hAnsi="华文中宋" w:eastAsia="华文中宋"/>
          <w:szCs w:val="44"/>
        </w:rPr>
      </w:pPr>
    </w:p>
    <w:p>
      <w:pPr>
        <w:pStyle w:val="2"/>
        <w:tabs>
          <w:tab w:val="center" w:pos="4677"/>
        </w:tabs>
        <w:spacing w:before="0" w:afterLines="100" w:line="560" w:lineRule="exact"/>
        <w:ind w:firstLine="869"/>
        <w:rPr>
          <w:rFonts w:ascii="华文中宋" w:hAnsi="华文中宋" w:eastAsia="华文中宋"/>
          <w:szCs w:val="44"/>
        </w:rPr>
      </w:pPr>
    </w:p>
    <w:p>
      <w:pPr>
        <w:rPr>
          <w:rFonts w:ascii="华文中宋" w:hAnsi="华文中宋" w:eastAsia="华文中宋"/>
          <w:szCs w:val="44"/>
        </w:rPr>
      </w:pPr>
    </w:p>
    <w:p>
      <w:pPr>
        <w:rPr>
          <w:rFonts w:ascii="华文中宋" w:hAnsi="华文中宋" w:eastAsia="华文中宋"/>
          <w:szCs w:val="44"/>
        </w:rPr>
      </w:pPr>
    </w:p>
    <w:p>
      <w:pPr>
        <w:rPr>
          <w:rFonts w:ascii="华文中宋" w:hAnsi="华文中宋" w:eastAsia="华文中宋"/>
          <w:szCs w:val="44"/>
        </w:rPr>
      </w:pPr>
    </w:p>
    <w:p>
      <w:pPr>
        <w:rPr>
          <w:rFonts w:ascii="华文中宋" w:hAnsi="华文中宋" w:eastAsia="华文中宋"/>
          <w:szCs w:val="44"/>
        </w:rPr>
      </w:pPr>
    </w:p>
    <w:p>
      <w:pPr>
        <w:pStyle w:val="2"/>
        <w:tabs>
          <w:tab w:val="center" w:pos="4677"/>
        </w:tabs>
        <w:spacing w:before="0" w:afterLines="100" w:line="560" w:lineRule="exact"/>
        <w:ind w:firstLine="869"/>
        <w:rPr>
          <w:rFonts w:ascii="方正黑体_GBK" w:hAnsi="方正黑体_GBK" w:eastAsia="方正黑体_GBK" w:cs="方正黑体_GBK"/>
          <w:b w:val="0"/>
        </w:rPr>
      </w:pPr>
      <w:r>
        <w:rPr>
          <w:rFonts w:ascii="华文中宋" w:hAnsi="华文中宋" w:eastAsia="华文中宋"/>
          <w:szCs w:val="44"/>
        </w:rPr>
        <w:tab/>
      </w:r>
      <w:r>
        <w:rPr>
          <w:rFonts w:hint="eastAsia" w:ascii="方正黑体_GBK" w:hAnsi="方正黑体_GBK" w:eastAsia="方正黑体_GBK" w:cs="方正黑体_GBK"/>
          <w:b w:val="0"/>
        </w:rPr>
        <w:t xml:space="preserve">第一部分  </w:t>
      </w:r>
      <w:bookmarkEnd w:id="0"/>
      <w:bookmarkEnd w:id="1"/>
      <w:r>
        <w:rPr>
          <w:rFonts w:hint="eastAsia" w:ascii="方正黑体_GBK" w:hAnsi="方正黑体_GBK" w:eastAsia="方正黑体_GBK" w:cs="方正黑体_GBK"/>
          <w:b w:val="0"/>
        </w:rPr>
        <w:t>采购邀请</w:t>
      </w:r>
    </w:p>
    <w:p>
      <w:pPr>
        <w:pStyle w:val="57"/>
        <w:numPr>
          <w:ilvl w:val="0"/>
          <w:numId w:val="2"/>
        </w:numPr>
        <w:autoSpaceDE w:val="0"/>
        <w:autoSpaceDN w:val="0"/>
        <w:adjustRightInd w:val="0"/>
        <w:snapToGrid w:val="0"/>
        <w:spacing w:line="400" w:lineRule="exact"/>
        <w:ind w:firstLineChars="0"/>
        <w:outlineLvl w:val="0"/>
        <w:rPr>
          <w:rFonts w:hint="eastAsia" w:ascii="黑体" w:hAnsi="宋体" w:eastAsia="黑体" w:cs="宋体"/>
          <w:bCs/>
          <w:kern w:val="0"/>
          <w:lang w:val="zh-CN"/>
        </w:rPr>
      </w:pPr>
      <w:r>
        <w:rPr>
          <w:rFonts w:hint="eastAsia" w:ascii="黑体" w:hAnsi="宋体" w:eastAsia="黑体" w:cs="宋体"/>
          <w:bCs/>
        </w:rPr>
        <w:t>采购</w:t>
      </w:r>
      <w:r>
        <w:rPr>
          <w:rFonts w:hint="eastAsia" w:ascii="黑体" w:hAnsi="宋体" w:eastAsia="黑体" w:cs="宋体"/>
          <w:bCs/>
          <w:lang w:val="zh-CN"/>
        </w:rPr>
        <w:t>项目</w:t>
      </w:r>
      <w:r>
        <w:rPr>
          <w:rFonts w:hint="eastAsia" w:ascii="黑体" w:hAnsi="宋体" w:eastAsia="黑体" w:cs="宋体"/>
          <w:bCs/>
          <w:kern w:val="0"/>
          <w:lang w:val="zh-CN"/>
        </w:rPr>
        <w:t>名称</w:t>
      </w:r>
    </w:p>
    <w:p>
      <w:pPr>
        <w:autoSpaceDE w:val="0"/>
        <w:autoSpaceDN w:val="0"/>
        <w:adjustRightInd w:val="0"/>
        <w:snapToGrid w:val="0"/>
        <w:spacing w:line="400" w:lineRule="exact"/>
        <w:outlineLvl w:val="0"/>
        <w:rPr>
          <w:rFonts w:hint="eastAsia" w:ascii="黑体" w:hAnsi="宋体" w:eastAsia="黑体" w:cs="宋体"/>
          <w:bCs/>
          <w:kern w:val="0"/>
          <w:lang w:val="zh-CN"/>
        </w:rPr>
      </w:pPr>
    </w:p>
    <w:tbl>
      <w:tblPr>
        <w:tblStyle w:val="26"/>
        <w:tblW w:w="10206" w:type="dxa"/>
        <w:tblInd w:w="-459" w:type="dxa"/>
        <w:tblLayout w:type="autofit"/>
        <w:tblCellMar>
          <w:top w:w="0" w:type="dxa"/>
          <w:left w:w="108" w:type="dxa"/>
          <w:bottom w:w="0" w:type="dxa"/>
          <w:right w:w="108" w:type="dxa"/>
        </w:tblCellMar>
      </w:tblPr>
      <w:tblGrid>
        <w:gridCol w:w="3686"/>
        <w:gridCol w:w="1134"/>
        <w:gridCol w:w="1134"/>
        <w:gridCol w:w="1414"/>
        <w:gridCol w:w="2838"/>
      </w:tblGrid>
      <w:tr>
        <w:tblPrEx>
          <w:tblCellMar>
            <w:top w:w="0" w:type="dxa"/>
            <w:left w:w="108" w:type="dxa"/>
            <w:bottom w:w="0" w:type="dxa"/>
            <w:right w:w="108" w:type="dxa"/>
          </w:tblCellMar>
        </w:tblPrEx>
        <w:trPr>
          <w:trHeight w:val="540" w:hRule="atLeast"/>
        </w:trPr>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项目内容</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预估金额</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服务年限</w:t>
            </w:r>
          </w:p>
        </w:tc>
        <w:tc>
          <w:tcPr>
            <w:tcW w:w="141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拟成交</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供应商</w:t>
            </w:r>
          </w:p>
        </w:tc>
        <w:tc>
          <w:tcPr>
            <w:tcW w:w="28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1080" w:hRule="atLeast"/>
        </w:trPr>
        <w:tc>
          <w:tcPr>
            <w:tcW w:w="36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重庆市沙坪坝区人民医院</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 xml:space="preserve">  分子病理外检</w:t>
            </w:r>
            <w:r>
              <w:rPr>
                <w:rFonts w:hint="eastAsia" w:ascii="宋体" w:hAnsi="宋体" w:cs="宋体"/>
                <w:color w:val="000000"/>
                <w:kern w:val="0"/>
                <w:sz w:val="22"/>
                <w:szCs w:val="22"/>
              </w:rPr>
              <w:t>服务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30</w:t>
            </w:r>
            <w:r>
              <w:rPr>
                <w:rFonts w:hint="eastAsia" w:ascii="宋体" w:hAnsi="宋体" w:cs="宋体"/>
                <w:color w:val="000000"/>
                <w:kern w:val="0"/>
                <w:sz w:val="22"/>
                <w:szCs w:val="22"/>
              </w:rPr>
              <w:t>万元/年</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年</w:t>
            </w:r>
          </w:p>
        </w:tc>
        <w:tc>
          <w:tcPr>
            <w:tcW w:w="14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两家</w:t>
            </w:r>
          </w:p>
        </w:tc>
        <w:tc>
          <w:tcPr>
            <w:tcW w:w="2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报价包含材料费、制作费、人工费、辅材费、运输费、税费、安装费等完成本项目所有工作内容的费用。</w:t>
            </w:r>
          </w:p>
        </w:tc>
      </w:tr>
    </w:tbl>
    <w:p>
      <w:pPr>
        <w:autoSpaceDE w:val="0"/>
        <w:autoSpaceDN w:val="0"/>
        <w:adjustRightInd w:val="0"/>
        <w:snapToGrid w:val="0"/>
        <w:spacing w:line="400" w:lineRule="exact"/>
        <w:outlineLvl w:val="0"/>
        <w:rPr>
          <w:rFonts w:ascii="黑体" w:hAnsi="宋体" w:eastAsia="黑体"/>
        </w:rPr>
      </w:pPr>
    </w:p>
    <w:p>
      <w:pPr>
        <w:pStyle w:val="37"/>
        <w:numPr>
          <w:ilvl w:val="0"/>
          <w:numId w:val="3"/>
        </w:numPr>
        <w:snapToGrid w:val="0"/>
        <w:spacing w:line="240" w:lineRule="auto"/>
        <w:ind w:firstLine="548"/>
        <w:jc w:val="both"/>
        <w:rPr>
          <w:rFonts w:ascii="黑体" w:hAnsi="宋体" w:eastAsia="黑体"/>
          <w:color w:val="auto"/>
          <w:sz w:val="28"/>
          <w:szCs w:val="28"/>
        </w:rPr>
      </w:pPr>
      <w:r>
        <w:rPr>
          <w:rFonts w:hint="eastAsia" w:ascii="黑体" w:hAnsi="宋体" w:eastAsia="黑体"/>
          <w:color w:val="auto"/>
          <w:sz w:val="28"/>
          <w:szCs w:val="28"/>
        </w:rPr>
        <w:t>供应商资格条件</w:t>
      </w:r>
    </w:p>
    <w:p>
      <w:pPr>
        <w:numPr>
          <w:ilvl w:val="0"/>
          <w:numId w:val="4"/>
        </w:numPr>
        <w:spacing w:line="400" w:lineRule="exact"/>
        <w:ind w:firstLine="468"/>
        <w:rPr>
          <w:rFonts w:ascii="方正仿宋_GBK" w:hAnsi="宋体" w:eastAsia="方正仿宋_GBK"/>
          <w:szCs w:val="24"/>
        </w:rPr>
      </w:pPr>
      <w:r>
        <w:rPr>
          <w:rFonts w:hint="eastAsia" w:ascii="方正仿宋_GBK" w:hAnsi="宋体" w:eastAsia="方正仿宋_GBK"/>
          <w:szCs w:val="24"/>
        </w:rPr>
        <w:t>一般条件：具备《政府采购法》第二十二条规定条件，须提供以下资料</w:t>
      </w:r>
    </w:p>
    <w:p>
      <w:pPr>
        <w:pStyle w:val="8"/>
        <w:spacing w:line="400" w:lineRule="exact"/>
        <w:ind w:firstLine="465"/>
        <w:rPr>
          <w:rFonts w:ascii="方正仿宋_GBK" w:hAnsi="宋体" w:eastAsia="方正仿宋_GBK"/>
          <w:szCs w:val="24"/>
        </w:rPr>
      </w:pPr>
      <w:r>
        <w:rPr>
          <w:rFonts w:hint="eastAsia" w:ascii="方正仿宋_GBK" w:hAnsi="宋体" w:eastAsia="方正仿宋_GBK"/>
          <w:szCs w:val="24"/>
        </w:rPr>
        <w:t>1.供应商法人营业执照（三证合一）复印件（加盖供应商公章鲜章）、供应商法定代表人身份证明/法定代表人授权代表委托书</w:t>
      </w:r>
    </w:p>
    <w:p>
      <w:pPr>
        <w:pStyle w:val="22"/>
        <w:numPr>
          <w:ilvl w:val="0"/>
          <w:numId w:val="5"/>
        </w:numPr>
        <w:spacing w:line="400" w:lineRule="exact"/>
        <w:ind w:firstLine="465"/>
        <w:rPr>
          <w:rFonts w:ascii="方正仿宋_GBK" w:hAnsi="宋体" w:eastAsia="方正仿宋_GBK"/>
          <w:szCs w:val="24"/>
        </w:rPr>
      </w:pPr>
      <w:r>
        <w:rPr>
          <w:rFonts w:hint="eastAsia" w:ascii="方正仿宋_GBK" w:hAnsi="宋体" w:eastAsia="方正仿宋_GBK"/>
          <w:szCs w:val="24"/>
        </w:rPr>
        <w:t>供应商以书面形式提供规定格式的《基本资格条件承诺函》（加盖供应商公章鲜章）</w:t>
      </w:r>
    </w:p>
    <w:p>
      <w:pPr>
        <w:pStyle w:val="22"/>
        <w:numPr>
          <w:ilvl w:val="0"/>
          <w:numId w:val="4"/>
        </w:numPr>
        <w:spacing w:line="400" w:lineRule="exact"/>
        <w:ind w:firstLine="468"/>
        <w:rPr>
          <w:rFonts w:ascii="方正仿宋_GBK" w:hAnsi="宋体" w:eastAsia="方正仿宋_GBK"/>
          <w:szCs w:val="24"/>
        </w:rPr>
      </w:pPr>
      <w:r>
        <w:rPr>
          <w:rFonts w:hint="eastAsia" w:ascii="方正仿宋_GBK" w:hAnsi="宋体" w:eastAsia="方正仿宋_GBK"/>
          <w:szCs w:val="24"/>
        </w:rPr>
        <w:t>落实政府采购政策需满足的资格要求：无</w:t>
      </w:r>
    </w:p>
    <w:p>
      <w:pPr>
        <w:numPr>
          <w:ilvl w:val="0"/>
          <w:numId w:val="4"/>
        </w:numPr>
        <w:spacing w:line="400" w:lineRule="exact"/>
        <w:ind w:firstLine="468"/>
        <w:rPr>
          <w:rFonts w:ascii="方正仿宋_GBK" w:hAnsi="宋体" w:eastAsia="方正仿宋_GBK"/>
          <w:szCs w:val="24"/>
        </w:rPr>
      </w:pPr>
      <w:r>
        <w:rPr>
          <w:rFonts w:hint="eastAsia" w:ascii="方正仿宋_GBK" w:hAnsi="宋体" w:eastAsia="方正仿宋_GBK"/>
          <w:szCs w:val="24"/>
        </w:rPr>
        <w:t>特定资格条件：</w:t>
      </w:r>
    </w:p>
    <w:p>
      <w:pPr>
        <w:pStyle w:val="22"/>
        <w:numPr>
          <w:ilvl w:val="0"/>
          <w:numId w:val="0"/>
        </w:numPr>
        <w:spacing w:line="400" w:lineRule="exact"/>
        <w:ind w:firstLine="468" w:firstLineChars="200"/>
        <w:rPr>
          <w:rFonts w:hint="eastAsia" w:ascii="方正仿宋_GBK" w:hAnsi="宋体" w:eastAsia="方正仿宋_GBK"/>
          <w:szCs w:val="24"/>
        </w:rPr>
      </w:pPr>
      <w:r>
        <w:rPr>
          <w:rFonts w:hint="eastAsia" w:ascii="方正仿宋_GBK" w:hAnsi="宋体" w:eastAsia="方正仿宋_GBK"/>
          <w:szCs w:val="24"/>
        </w:rPr>
        <w:t>1.</w:t>
      </w:r>
      <w:r>
        <w:rPr>
          <w:rFonts w:hint="eastAsia" w:ascii="方正仿宋_GBK" w:hAnsi="宋体" w:eastAsia="方正仿宋_GBK"/>
          <w:szCs w:val="24"/>
          <w:lang w:val="en-US" w:eastAsia="zh-CN"/>
        </w:rPr>
        <w:t>供应商</w:t>
      </w:r>
      <w:r>
        <w:rPr>
          <w:rFonts w:hint="eastAsia" w:ascii="方正仿宋_GBK" w:hAnsi="宋体" w:eastAsia="方正仿宋_GBK"/>
          <w:szCs w:val="24"/>
        </w:rPr>
        <w:t>具有医疗机构执业许可证（提供证书复印件并加盖投标人公章）</w:t>
      </w:r>
    </w:p>
    <w:p>
      <w:pPr>
        <w:pStyle w:val="22"/>
        <w:numPr>
          <w:ilvl w:val="0"/>
          <w:numId w:val="0"/>
        </w:numPr>
        <w:spacing w:line="400" w:lineRule="exact"/>
        <w:ind w:firstLine="468" w:firstLineChars="200"/>
        <w:rPr>
          <w:rFonts w:hint="eastAsia" w:ascii="方正仿宋_GBK" w:hAnsi="宋体" w:eastAsia="方正仿宋_GBK"/>
          <w:szCs w:val="24"/>
        </w:rPr>
      </w:pPr>
      <w:r>
        <w:rPr>
          <w:rFonts w:hint="eastAsia" w:ascii="方正仿宋_GBK" w:hAnsi="宋体" w:eastAsia="方正仿宋_GBK"/>
          <w:szCs w:val="24"/>
        </w:rPr>
        <w:t>2.</w:t>
      </w:r>
      <w:r>
        <w:rPr>
          <w:rFonts w:hint="eastAsia" w:ascii="方正仿宋_GBK" w:hAnsi="宋体" w:eastAsia="方正仿宋_GBK"/>
          <w:szCs w:val="24"/>
          <w:lang w:val="en-US" w:eastAsia="zh-CN"/>
        </w:rPr>
        <w:t>供应商</w:t>
      </w:r>
      <w:r>
        <w:rPr>
          <w:rFonts w:hint="eastAsia" w:ascii="方正仿宋_GBK" w:hAnsi="宋体" w:eastAsia="方正仿宋_GBK"/>
          <w:szCs w:val="24"/>
        </w:rPr>
        <w:t>具有二级及以上生物安全实验室备案；且实验室取得临床基因扩增检验技术PCR资格。（提供证明材料复印件加盖投标人公章）</w:t>
      </w:r>
    </w:p>
    <w:p>
      <w:pPr>
        <w:pStyle w:val="22"/>
        <w:numPr>
          <w:ilvl w:val="0"/>
          <w:numId w:val="0"/>
        </w:numPr>
        <w:spacing w:line="400" w:lineRule="exact"/>
        <w:ind w:firstLine="468" w:firstLineChars="200"/>
        <w:rPr>
          <w:rFonts w:hint="default" w:ascii="方正仿宋_GBK" w:hAnsi="宋体" w:eastAsia="方正仿宋_GBK"/>
          <w:szCs w:val="24"/>
          <w:lang w:val="en-US" w:eastAsia="zh-CN"/>
        </w:rPr>
      </w:pPr>
      <w:r>
        <w:rPr>
          <w:rFonts w:hint="eastAsia" w:ascii="方正仿宋_GBK" w:hAnsi="宋体" w:eastAsia="方正仿宋_GBK"/>
          <w:szCs w:val="24"/>
          <w:lang w:val="en-US" w:eastAsia="zh-CN"/>
        </w:rPr>
        <w:t>3.供应商2022年-2024年每年国家级室间质评均为合格（提供合格报告，</w:t>
      </w:r>
      <w:r>
        <w:rPr>
          <w:rFonts w:hint="eastAsia" w:ascii="方正仿宋_GBK" w:hAnsi="宋体" w:eastAsia="方正仿宋_GBK"/>
          <w:szCs w:val="24"/>
        </w:rPr>
        <w:t>提供证明材料复印件加盖投标人公章）</w:t>
      </w:r>
    </w:p>
    <w:p>
      <w:pPr>
        <w:pStyle w:val="22"/>
        <w:numPr>
          <w:ilvl w:val="0"/>
          <w:numId w:val="0"/>
        </w:numPr>
        <w:spacing w:line="400" w:lineRule="exact"/>
        <w:ind w:firstLine="468" w:firstLineChars="200"/>
        <w:rPr>
          <w:rFonts w:hint="eastAsia" w:ascii="方正仿宋_GBK" w:hAnsi="宋体" w:eastAsia="方正仿宋_GBK"/>
          <w:szCs w:val="24"/>
        </w:rPr>
      </w:pPr>
      <w:r>
        <w:rPr>
          <w:rFonts w:hint="eastAsia" w:ascii="方正仿宋_GBK" w:hAnsi="宋体" w:eastAsia="方正仿宋_GBK"/>
          <w:szCs w:val="24"/>
          <w:lang w:val="en-US" w:eastAsia="zh-CN"/>
        </w:rPr>
        <w:t>4.基因检测机构或医疗机构的下属科室具备病理诊断的资质，实现形态学与分子检测结合</w:t>
      </w:r>
      <w:r>
        <w:rPr>
          <w:rFonts w:hint="eastAsia" w:ascii="方正仿宋_GBK" w:hAnsi="宋体" w:eastAsia="方正仿宋_GBK"/>
          <w:szCs w:val="24"/>
        </w:rPr>
        <w:t>（提供证明材料复印件加盖投标人公章）</w:t>
      </w:r>
    </w:p>
    <w:p>
      <w:pPr>
        <w:pStyle w:val="37"/>
        <w:snapToGrid w:val="0"/>
        <w:spacing w:line="400" w:lineRule="exact"/>
        <w:ind w:firstLine="0"/>
        <w:jc w:val="both"/>
        <w:rPr>
          <w:rFonts w:ascii="黑体" w:eastAsia="黑体"/>
          <w:color w:val="auto"/>
          <w:kern w:val="2"/>
          <w:sz w:val="28"/>
          <w:szCs w:val="28"/>
        </w:rPr>
      </w:pPr>
      <w:r>
        <w:rPr>
          <w:rFonts w:hint="eastAsia" w:ascii="黑体" w:eastAsia="黑体"/>
          <w:color w:val="auto"/>
          <w:kern w:val="2"/>
          <w:sz w:val="28"/>
          <w:szCs w:val="28"/>
        </w:rPr>
        <w:t>三、投标、开标相关说明</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一）凡有意参加本采购项目的供应商，请在行采家-电子竞采（https://www.gec123.com/）下载本项目采购文件以及图纸、澄清等公布的所有项目资料，无论供应商下载或领取与否，均视为已知晓所有本次采购项目实质性要求内容。</w:t>
      </w:r>
    </w:p>
    <w:p>
      <w:pPr>
        <w:pStyle w:val="37"/>
        <w:snapToGrid w:val="0"/>
        <w:spacing w:line="400" w:lineRule="exact"/>
        <w:jc w:val="both"/>
        <w:rPr>
          <w:rFonts w:ascii="方正仿宋_GBK" w:hAnsi="宋体" w:eastAsia="方正仿宋_GBK"/>
          <w:szCs w:val="24"/>
          <w:u w:val="single"/>
        </w:rPr>
      </w:pPr>
      <w:r>
        <w:rPr>
          <w:rFonts w:hint="eastAsia" w:ascii="方正仿宋_GBK" w:hAnsi="宋体" w:eastAsia="方正仿宋_GBK"/>
          <w:szCs w:val="24"/>
        </w:rPr>
        <w:t>（二）采购公告期限：自采购公告发布之日起三个工作日，即</w:t>
      </w:r>
      <w:r>
        <w:rPr>
          <w:rFonts w:hint="eastAsia" w:ascii="方正仿宋_GBK" w:hAnsi="宋体" w:eastAsia="方正仿宋_GBK"/>
          <w:szCs w:val="24"/>
          <w:u w:val="single"/>
        </w:rPr>
        <w:t>2025年</w:t>
      </w:r>
      <w:r>
        <w:rPr>
          <w:rFonts w:hint="eastAsia" w:ascii="方正仿宋_GBK" w:hAnsi="宋体" w:eastAsia="方正仿宋_GBK"/>
          <w:szCs w:val="24"/>
          <w:u w:val="single"/>
          <w:lang w:val="en-US" w:eastAsia="zh-CN"/>
        </w:rPr>
        <w:t>7</w:t>
      </w:r>
      <w:r>
        <w:rPr>
          <w:rFonts w:hint="eastAsia" w:ascii="方正仿宋_GBK" w:hAnsi="宋体" w:eastAsia="方正仿宋_GBK"/>
          <w:szCs w:val="24"/>
          <w:u w:val="single"/>
        </w:rPr>
        <w:t>月</w:t>
      </w:r>
      <w:r>
        <w:rPr>
          <w:rFonts w:hint="eastAsia" w:ascii="方正仿宋_GBK" w:hAnsi="宋体" w:eastAsia="方正仿宋_GBK"/>
          <w:szCs w:val="24"/>
          <w:u w:val="single"/>
          <w:lang w:val="en-US" w:eastAsia="zh-CN"/>
        </w:rPr>
        <w:t>21</w:t>
      </w:r>
      <w:r>
        <w:rPr>
          <w:rFonts w:hint="eastAsia" w:ascii="方正仿宋_GBK" w:hAnsi="宋体" w:eastAsia="方正仿宋_GBK"/>
          <w:szCs w:val="24"/>
          <w:u w:val="single"/>
        </w:rPr>
        <w:t>日至2025年</w:t>
      </w:r>
      <w:r>
        <w:rPr>
          <w:rFonts w:hint="eastAsia" w:ascii="方正仿宋_GBK" w:hAnsi="宋体" w:eastAsia="方正仿宋_GBK"/>
          <w:szCs w:val="24"/>
          <w:u w:val="single"/>
          <w:lang w:val="en-US" w:eastAsia="zh-CN"/>
        </w:rPr>
        <w:t>7</w:t>
      </w:r>
      <w:r>
        <w:rPr>
          <w:rFonts w:hint="eastAsia" w:ascii="方正仿宋_GBK" w:hAnsi="宋体" w:eastAsia="方正仿宋_GBK"/>
          <w:szCs w:val="24"/>
          <w:u w:val="single"/>
        </w:rPr>
        <w:t>月</w:t>
      </w:r>
      <w:r>
        <w:rPr>
          <w:rFonts w:hint="eastAsia" w:ascii="方正仿宋_GBK" w:hAnsi="宋体" w:eastAsia="方正仿宋_GBK"/>
          <w:szCs w:val="24"/>
          <w:u w:val="single"/>
          <w:lang w:val="en-US" w:eastAsia="zh-CN"/>
        </w:rPr>
        <w:t>24</w:t>
      </w:r>
      <w:r>
        <w:rPr>
          <w:rFonts w:hint="eastAsia" w:ascii="方正仿宋_GBK" w:hAnsi="宋体" w:eastAsia="方正仿宋_GBK"/>
          <w:szCs w:val="24"/>
          <w:u w:val="single"/>
        </w:rPr>
        <w:t>日</w:t>
      </w:r>
    </w:p>
    <w:p>
      <w:pPr>
        <w:pStyle w:val="37"/>
        <w:snapToGrid w:val="0"/>
        <w:spacing w:line="400" w:lineRule="exact"/>
        <w:ind w:firstLine="468" w:firstLineChars="200"/>
        <w:jc w:val="both"/>
        <w:rPr>
          <w:rFonts w:ascii="方正仿宋_GBK" w:hAnsi="宋体" w:eastAsia="方正仿宋_GBK"/>
          <w:szCs w:val="24"/>
        </w:rPr>
      </w:pPr>
      <w:r>
        <w:rPr>
          <w:rFonts w:hint="eastAsia" w:ascii="方正仿宋_GBK" w:hAnsi="宋体" w:eastAsia="方正仿宋_GBK"/>
          <w:szCs w:val="24"/>
        </w:rPr>
        <w:t>（三）递交响应文件时间、地点、方式</w:t>
      </w:r>
    </w:p>
    <w:p>
      <w:pPr>
        <w:spacing w:line="400" w:lineRule="exact"/>
        <w:ind w:firstLine="468" w:firstLineChars="200"/>
        <w:rPr>
          <w:rFonts w:ascii="方正仿宋_GBK" w:hAnsi="宋体" w:eastAsia="方正仿宋_GBK"/>
          <w:szCs w:val="24"/>
          <w:u w:val="single"/>
        </w:rPr>
      </w:pPr>
      <w:r>
        <w:rPr>
          <w:rFonts w:hint="eastAsia" w:ascii="方正仿宋_GBK" w:hAnsi="宋体" w:eastAsia="方正仿宋_GBK"/>
          <w:szCs w:val="24"/>
        </w:rPr>
        <w:t>递交起止时间：</w:t>
      </w:r>
      <w:r>
        <w:rPr>
          <w:rFonts w:hint="eastAsia" w:ascii="方正仿宋_GBK" w:hAnsi="宋体" w:eastAsia="方正仿宋_GBK"/>
          <w:szCs w:val="24"/>
          <w:u w:val="single"/>
        </w:rPr>
        <w:t>2025年</w:t>
      </w:r>
      <w:r>
        <w:rPr>
          <w:rFonts w:hint="eastAsia" w:ascii="方正仿宋_GBK" w:hAnsi="宋体" w:eastAsia="方正仿宋_GBK"/>
          <w:szCs w:val="24"/>
          <w:u w:val="single"/>
          <w:lang w:val="en-US" w:eastAsia="zh-CN"/>
        </w:rPr>
        <w:t>7</w:t>
      </w:r>
      <w:r>
        <w:rPr>
          <w:rFonts w:hint="eastAsia" w:ascii="方正仿宋_GBK" w:hAnsi="宋体" w:eastAsia="方正仿宋_GBK"/>
          <w:szCs w:val="24"/>
          <w:u w:val="single"/>
        </w:rPr>
        <w:t>月</w:t>
      </w:r>
      <w:r>
        <w:rPr>
          <w:rFonts w:hint="eastAsia" w:ascii="方正仿宋_GBK" w:hAnsi="宋体" w:eastAsia="方正仿宋_GBK"/>
          <w:szCs w:val="24"/>
          <w:u w:val="single"/>
          <w:lang w:val="en-US" w:eastAsia="zh-CN"/>
        </w:rPr>
        <w:t>25</w:t>
      </w:r>
      <w:r>
        <w:rPr>
          <w:rFonts w:hint="eastAsia" w:ascii="方正仿宋_GBK" w:hAnsi="宋体" w:eastAsia="方正仿宋_GBK"/>
          <w:szCs w:val="24"/>
          <w:u w:val="single"/>
        </w:rPr>
        <w:t>日上午8点30分-9点</w:t>
      </w:r>
    </w:p>
    <w:p>
      <w:pPr>
        <w:spacing w:line="400" w:lineRule="exact"/>
        <w:ind w:firstLine="468" w:firstLineChars="200"/>
        <w:rPr>
          <w:rFonts w:ascii="方正仿宋_GBK" w:hAnsi="宋体" w:eastAsia="方正仿宋_GBK"/>
          <w:szCs w:val="24"/>
          <w:u w:val="single"/>
        </w:rPr>
      </w:pPr>
      <w:r>
        <w:rPr>
          <w:rFonts w:hint="eastAsia" w:ascii="方正仿宋_GBK" w:hAnsi="宋体" w:eastAsia="方正仿宋_GBK"/>
          <w:szCs w:val="24"/>
        </w:rPr>
        <w:t>递交地点：</w:t>
      </w:r>
      <w:r>
        <w:rPr>
          <w:rFonts w:hint="eastAsia" w:ascii="方正仿宋_GBK" w:hAnsi="宋体" w:eastAsia="方正仿宋_GBK"/>
          <w:szCs w:val="24"/>
          <w:u w:val="single"/>
        </w:rPr>
        <w:t xml:space="preserve">沙坪坝区井口街道嘉朗路2号沙坪坝区人民医院新院区行政楼二楼招标采购办213 办公室  </w:t>
      </w:r>
    </w:p>
    <w:p>
      <w:pPr>
        <w:spacing w:line="400" w:lineRule="exact"/>
        <w:ind w:firstLine="468" w:firstLineChars="200"/>
        <w:rPr>
          <w:rFonts w:ascii="方正仿宋_GBK" w:hAnsi="宋体" w:eastAsia="方正仿宋_GBK"/>
          <w:szCs w:val="24"/>
          <w:u w:val="single"/>
        </w:rPr>
      </w:pPr>
      <w:r>
        <w:rPr>
          <w:rFonts w:hint="eastAsia" w:ascii="方正仿宋_GBK" w:hAnsi="宋体" w:eastAsia="方正仿宋_GBK"/>
          <w:szCs w:val="24"/>
        </w:rPr>
        <w:t>开标时间：</w:t>
      </w:r>
      <w:r>
        <w:rPr>
          <w:rFonts w:hint="eastAsia" w:ascii="方正仿宋_GBK" w:hAnsi="宋体" w:eastAsia="方正仿宋_GBK"/>
          <w:szCs w:val="24"/>
          <w:u w:val="single"/>
        </w:rPr>
        <w:t xml:space="preserve">2025年 </w:t>
      </w:r>
      <w:r>
        <w:rPr>
          <w:rFonts w:hint="eastAsia" w:ascii="方正仿宋_GBK" w:hAnsi="宋体" w:eastAsia="方正仿宋_GBK"/>
          <w:szCs w:val="24"/>
          <w:u w:val="single"/>
          <w:lang w:val="en-US" w:eastAsia="zh-CN"/>
        </w:rPr>
        <w:t>7</w:t>
      </w:r>
      <w:r>
        <w:rPr>
          <w:rFonts w:hint="eastAsia" w:ascii="方正仿宋_GBK" w:hAnsi="宋体" w:eastAsia="方正仿宋_GBK"/>
          <w:szCs w:val="24"/>
          <w:u w:val="single"/>
        </w:rPr>
        <w:t>月</w:t>
      </w:r>
      <w:r>
        <w:rPr>
          <w:rFonts w:hint="eastAsia" w:ascii="方正仿宋_GBK" w:hAnsi="宋体" w:eastAsia="方正仿宋_GBK"/>
          <w:szCs w:val="24"/>
          <w:u w:val="single"/>
          <w:lang w:val="en-US" w:eastAsia="zh-CN"/>
        </w:rPr>
        <w:t>25</w:t>
      </w:r>
      <w:r>
        <w:rPr>
          <w:rFonts w:hint="eastAsia" w:ascii="方正仿宋_GBK" w:hAnsi="宋体" w:eastAsia="方正仿宋_GBK"/>
          <w:szCs w:val="24"/>
          <w:u w:val="single"/>
        </w:rPr>
        <w:t>日上午9点30分</w:t>
      </w:r>
      <w:bookmarkStart w:id="60" w:name="_GoBack"/>
      <w:bookmarkEnd w:id="60"/>
    </w:p>
    <w:p>
      <w:pPr>
        <w:spacing w:line="400" w:lineRule="exact"/>
        <w:ind w:firstLine="468" w:firstLineChars="200"/>
        <w:rPr>
          <w:rFonts w:ascii="方正仿宋_GBK" w:hAnsi="宋体" w:eastAsia="方正仿宋_GBK"/>
          <w:szCs w:val="24"/>
          <w:u w:val="single"/>
        </w:rPr>
      </w:pPr>
      <w:r>
        <w:rPr>
          <w:rFonts w:hint="eastAsia" w:ascii="方正仿宋_GBK" w:hAnsi="宋体" w:eastAsia="方正仿宋_GBK"/>
          <w:szCs w:val="24"/>
        </w:rPr>
        <w:t>开标地点：</w:t>
      </w:r>
      <w:r>
        <w:rPr>
          <w:rFonts w:hint="eastAsia" w:ascii="方正仿宋_GBK" w:hAnsi="宋体" w:eastAsia="方正仿宋_GBK"/>
          <w:szCs w:val="24"/>
          <w:u w:val="single"/>
        </w:rPr>
        <w:t xml:space="preserve">沙坪坝区人民医院新院区行政楼212会议室    </w:t>
      </w:r>
    </w:p>
    <w:p>
      <w:pPr>
        <w:spacing w:line="400" w:lineRule="exact"/>
        <w:ind w:left="234" w:leftChars="100" w:firstLine="468" w:firstLineChars="200"/>
        <w:rPr>
          <w:rFonts w:ascii="方正仿宋_GBK" w:hAnsi="宋体" w:eastAsia="方正仿宋_GBK"/>
          <w:szCs w:val="24"/>
        </w:rPr>
      </w:pPr>
      <w:r>
        <w:rPr>
          <w:rFonts w:hint="eastAsia" w:ascii="方正仿宋_GBK" w:hAnsi="宋体" w:eastAsia="方正仿宋_GBK"/>
          <w:szCs w:val="24"/>
        </w:rPr>
        <w:t>递交方式：</w:t>
      </w:r>
      <w:r>
        <w:rPr>
          <w:rFonts w:hint="eastAsia" w:ascii="方正仿宋_GBK" w:hAnsi="宋体" w:eastAsia="方正仿宋_GBK"/>
          <w:b/>
          <w:bCs/>
          <w:szCs w:val="24"/>
        </w:rPr>
        <w:t>按照“行采家”采购公告规定时间上传响应文件电子版</w:t>
      </w:r>
      <w:r>
        <w:rPr>
          <w:rFonts w:hint="eastAsia" w:ascii="方正仿宋_GBK" w:hAnsi="宋体" w:eastAsia="方正仿宋_GBK"/>
          <w:szCs w:val="24"/>
        </w:rPr>
        <w:t>；</w:t>
      </w:r>
      <w:r>
        <w:rPr>
          <w:rFonts w:hint="eastAsia" w:ascii="方正仿宋_GBK" w:hAnsi="宋体" w:eastAsia="方正仿宋_GBK"/>
          <w:b/>
          <w:bCs/>
          <w:szCs w:val="24"/>
        </w:rPr>
        <w:t>现场递交响应文件正本原件1份。</w:t>
      </w:r>
      <w:r>
        <w:rPr>
          <w:rFonts w:hint="eastAsia" w:ascii="方正仿宋_GBK" w:hAnsi="宋体" w:eastAsia="方正仿宋_GBK"/>
          <w:szCs w:val="24"/>
        </w:rPr>
        <w:t>现场递交的响应文件用牛皮纸袋密封并在封口处加盖投标供应商公章鲜章（投标人为自然人的应本人亲笔签名）送达。不在规定递交时间内递交的响应文件不予接收，未按要求提供的响应文件不予接收。</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（四）履约保证金</w:t>
      </w:r>
    </w:p>
    <w:p>
      <w:pPr>
        <w:snapToGrid w:val="0"/>
        <w:spacing w:line="400" w:lineRule="exact"/>
        <w:ind w:firstLine="468" w:firstLineChars="200"/>
        <w:rPr>
          <w:rFonts w:ascii="方正仿宋_GB2312" w:hAnsi="方正仿宋_GB2312" w:eastAsia="方正仿宋_GB2312" w:cs="方正仿宋_GB2312"/>
          <w:color w:val="000000"/>
          <w:kern w:val="0"/>
          <w:szCs w:val="24"/>
          <w:u w:val="single"/>
        </w:rPr>
      </w:pPr>
      <w:r>
        <w:rPr>
          <w:rFonts w:ascii="方正仿宋_GB2312" w:hAnsi="方正仿宋_GB2312" w:eastAsia="方正仿宋_GB2312" w:cs="方正仿宋_GB2312"/>
          <w:color w:val="000000"/>
          <w:kern w:val="0"/>
          <w:szCs w:val="24"/>
        </w:rPr>
        <w:t>中标供应商应在签订合同前将履约保证金以非现金形式提交至采购人指定账户（以支票、汇票、本票或者金融机构、担保机构出具的保函等非现金形式提交），</w:t>
      </w:r>
      <w:r>
        <w:rPr>
          <w:rFonts w:hint="eastAsia" w:ascii="方正仿宋_GB2312" w:hAnsi="方正仿宋_GB2312" w:eastAsia="方正仿宋_GB2312" w:cs="方正仿宋_GB2312"/>
          <w:color w:val="000000"/>
          <w:kern w:val="0"/>
          <w:szCs w:val="24"/>
        </w:rPr>
        <w:t>本项目</w:t>
      </w:r>
      <w:r>
        <w:rPr>
          <w:rFonts w:ascii="方正仿宋_GB2312" w:hAnsi="方正仿宋_GB2312" w:eastAsia="方正仿宋_GB2312" w:cs="方正仿宋_GB2312"/>
          <w:color w:val="000000"/>
          <w:kern w:val="0"/>
          <w:szCs w:val="24"/>
        </w:rPr>
        <w:t>履约保证金</w:t>
      </w:r>
      <w:r>
        <w:rPr>
          <w:rFonts w:hint="eastAsia" w:ascii="方正仿宋_GB2312" w:hAnsi="方正仿宋_GB2312" w:eastAsia="方正仿宋_GB2312" w:cs="方正仿宋_GB2312"/>
          <w:color w:val="000000"/>
          <w:kern w:val="0"/>
          <w:szCs w:val="24"/>
        </w:rPr>
        <w:t>：0</w:t>
      </w:r>
      <w:r>
        <w:rPr>
          <w:rFonts w:hint="eastAsia" w:ascii="方正仿宋_GB2312" w:hAnsi="方正仿宋_GB2312" w:eastAsia="方正仿宋_GB2312" w:cs="方正仿宋_GB2312"/>
          <w:color w:val="000000"/>
          <w:kern w:val="0"/>
          <w:szCs w:val="24"/>
          <w:u w:val="single"/>
        </w:rPr>
        <w:t xml:space="preserve">% </w:t>
      </w:r>
      <w:r>
        <w:rPr>
          <w:rFonts w:ascii="方正仿宋_GB2312" w:hAnsi="方正仿宋_GB2312" w:eastAsia="方正仿宋_GB2312" w:cs="方正仿宋_GB2312"/>
          <w:color w:val="000000"/>
          <w:kern w:val="0"/>
          <w:szCs w:val="24"/>
          <w:u w:val="single"/>
        </w:rPr>
        <w:t>。</w:t>
      </w:r>
    </w:p>
    <w:p>
      <w:pPr>
        <w:snapToGrid w:val="0"/>
        <w:spacing w:line="400" w:lineRule="exact"/>
        <w:ind w:firstLine="468" w:firstLineChars="200"/>
        <w:rPr>
          <w:rFonts w:ascii="方正仿宋_GB2312" w:hAnsi="方正仿宋_GB2312" w:eastAsia="方正仿宋_GB2312" w:cs="方正仿宋_GB2312"/>
          <w:color w:val="000000"/>
          <w:kern w:val="0"/>
          <w:szCs w:val="24"/>
        </w:rPr>
      </w:pPr>
      <w:r>
        <w:rPr>
          <w:rFonts w:ascii="方正仿宋_GB2312" w:hAnsi="方正仿宋_GB2312" w:eastAsia="方正仿宋_GB2312" w:cs="方正仿宋_GB2312"/>
          <w:color w:val="000000"/>
          <w:kern w:val="0"/>
          <w:szCs w:val="24"/>
        </w:rPr>
        <w:t>（</w:t>
      </w:r>
      <w:r>
        <w:rPr>
          <w:rFonts w:hint="eastAsia" w:ascii="方正仿宋_GB2312" w:hAnsi="方正仿宋_GB2312" w:eastAsia="方正仿宋_GB2312" w:cs="方正仿宋_GB2312"/>
          <w:color w:val="000000"/>
          <w:kern w:val="0"/>
          <w:szCs w:val="24"/>
        </w:rPr>
        <w:t>五</w:t>
      </w:r>
      <w:r>
        <w:rPr>
          <w:rFonts w:ascii="方正仿宋_GB2312" w:hAnsi="方正仿宋_GB2312" w:eastAsia="方正仿宋_GB2312" w:cs="方正仿宋_GB2312"/>
          <w:color w:val="000000"/>
          <w:kern w:val="0"/>
          <w:szCs w:val="24"/>
        </w:rPr>
        <w:t>）本项目</w:t>
      </w:r>
      <w:r>
        <w:rPr>
          <w:rFonts w:ascii="方正仿宋_GB2312" w:hAnsi="方正仿宋_GB2312" w:eastAsia="方正仿宋_GB2312" w:cs="方正仿宋_GB2312"/>
          <w:color w:val="000000"/>
          <w:kern w:val="0"/>
          <w:szCs w:val="24"/>
          <w:u w:val="single"/>
        </w:rPr>
        <w:t>不接受</w:t>
      </w:r>
      <w:r>
        <w:rPr>
          <w:rFonts w:ascii="方正仿宋_GB2312" w:hAnsi="方正仿宋_GB2312" w:eastAsia="方正仿宋_GB2312" w:cs="方正仿宋_GB2312"/>
          <w:color w:val="000000"/>
          <w:kern w:val="0"/>
          <w:szCs w:val="24"/>
        </w:rPr>
        <w:t>联合体参与投标，否则按无效投标处理。</w:t>
      </w:r>
    </w:p>
    <w:p>
      <w:pPr>
        <w:snapToGrid w:val="0"/>
        <w:spacing w:line="400" w:lineRule="exact"/>
        <w:ind w:firstLine="468" w:firstLineChars="200"/>
        <w:rPr>
          <w:rFonts w:ascii="方正仿宋_GB2312" w:hAnsi="方正仿宋_GB2312" w:eastAsia="方正仿宋_GB2312" w:cs="方正仿宋_GB2312"/>
          <w:color w:val="000000"/>
          <w:kern w:val="0"/>
          <w:szCs w:val="24"/>
        </w:rPr>
      </w:pPr>
      <w:r>
        <w:rPr>
          <w:rFonts w:ascii="方正仿宋_GB2312" w:hAnsi="方正仿宋_GB2312" w:eastAsia="方正仿宋_GB2312" w:cs="方正仿宋_GB2312"/>
          <w:color w:val="000000"/>
          <w:kern w:val="0"/>
          <w:szCs w:val="24"/>
        </w:rPr>
        <w:t>（</w:t>
      </w:r>
      <w:r>
        <w:rPr>
          <w:rFonts w:hint="eastAsia" w:ascii="方正仿宋_GB2312" w:hAnsi="方正仿宋_GB2312" w:eastAsia="方正仿宋_GB2312" w:cs="方正仿宋_GB2312"/>
          <w:color w:val="000000"/>
          <w:kern w:val="0"/>
          <w:szCs w:val="24"/>
        </w:rPr>
        <w:t>六</w:t>
      </w:r>
      <w:r>
        <w:rPr>
          <w:rFonts w:ascii="方正仿宋_GB2312" w:hAnsi="方正仿宋_GB2312" w:eastAsia="方正仿宋_GB2312" w:cs="方正仿宋_GB2312"/>
          <w:color w:val="000000"/>
          <w:kern w:val="0"/>
          <w:szCs w:val="24"/>
        </w:rPr>
        <w:t>）本项目</w:t>
      </w:r>
      <w:r>
        <w:rPr>
          <w:rFonts w:ascii="方正仿宋_GB2312" w:hAnsi="方正仿宋_GB2312" w:eastAsia="方正仿宋_GB2312" w:cs="方正仿宋_GB2312"/>
          <w:color w:val="000000"/>
          <w:kern w:val="0"/>
          <w:szCs w:val="24"/>
          <w:u w:val="single"/>
        </w:rPr>
        <w:t>不接受</w:t>
      </w:r>
      <w:r>
        <w:rPr>
          <w:rFonts w:ascii="方正仿宋_GB2312" w:hAnsi="方正仿宋_GB2312" w:eastAsia="方正仿宋_GB2312" w:cs="方正仿宋_GB2312"/>
          <w:color w:val="000000"/>
          <w:kern w:val="0"/>
          <w:szCs w:val="24"/>
        </w:rPr>
        <w:t>合同分包，否则按无效投标处理。</w:t>
      </w:r>
    </w:p>
    <w:p>
      <w:pPr>
        <w:snapToGrid w:val="0"/>
        <w:spacing w:line="400" w:lineRule="exact"/>
        <w:ind w:firstLine="468" w:firstLineChars="200"/>
        <w:rPr>
          <w:rFonts w:eastAsia="方正仿宋_GBK"/>
          <w:szCs w:val="24"/>
        </w:rPr>
      </w:pPr>
      <w:r>
        <w:rPr>
          <w:rFonts w:hint="eastAsia" w:ascii="方正仿宋_GB2312" w:hAnsi="方正仿宋_GB2312" w:eastAsia="方正仿宋_GB2312" w:cs="方正仿宋_GB2312"/>
          <w:kern w:val="0"/>
          <w:szCs w:val="24"/>
        </w:rPr>
        <w:t>（七）在我院采购活动中有不良信息记录的供应商</w:t>
      </w:r>
      <w:r>
        <w:rPr>
          <w:rFonts w:hint="eastAsia" w:eastAsia="方正仿宋_GBK"/>
          <w:szCs w:val="24"/>
        </w:rPr>
        <w:t>将被</w:t>
      </w:r>
      <w:r>
        <w:rPr>
          <w:rFonts w:eastAsia="方正仿宋_GBK"/>
          <w:szCs w:val="24"/>
        </w:rPr>
        <w:t>拒绝参与</w:t>
      </w:r>
      <w:r>
        <w:rPr>
          <w:rFonts w:hint="eastAsia" w:eastAsia="方正仿宋_GBK"/>
          <w:szCs w:val="24"/>
        </w:rPr>
        <w:t>本项目</w:t>
      </w:r>
      <w:r>
        <w:rPr>
          <w:rFonts w:eastAsia="方正仿宋_GBK"/>
          <w:szCs w:val="24"/>
        </w:rPr>
        <w:t>采购。</w:t>
      </w:r>
    </w:p>
    <w:p>
      <w:pPr>
        <w:pStyle w:val="37"/>
        <w:snapToGrid w:val="0"/>
        <w:spacing w:line="400" w:lineRule="exact"/>
        <w:ind w:firstLine="548" w:firstLineChars="200"/>
        <w:jc w:val="both"/>
        <w:rPr>
          <w:rFonts w:hint="eastAsia" w:ascii="黑体" w:eastAsia="黑体"/>
          <w:color w:val="auto"/>
          <w:kern w:val="2"/>
          <w:sz w:val="28"/>
          <w:szCs w:val="28"/>
        </w:rPr>
      </w:pPr>
      <w:r>
        <w:rPr>
          <w:rFonts w:hint="eastAsia" w:ascii="黑体" w:eastAsia="黑体"/>
          <w:color w:val="auto"/>
          <w:kern w:val="2"/>
          <w:sz w:val="28"/>
          <w:szCs w:val="28"/>
        </w:rPr>
        <w:t>四、报价要求</w:t>
      </w:r>
    </w:p>
    <w:p>
      <w:pPr>
        <w:spacing w:line="400" w:lineRule="exact"/>
        <w:ind w:firstLine="702" w:firstLineChars="300"/>
        <w:rPr>
          <w:rFonts w:hint="eastAsia" w:ascii="方正仿宋_GBK" w:hAnsi="方正仿宋_GBK" w:eastAsia="方正仿宋_GBK" w:cs="方正仿宋_GBK"/>
          <w:color w:val="auto"/>
          <w:sz w:val="24"/>
          <w:szCs w:val="24"/>
          <w:highlight w:val="none"/>
          <w:lang w:val="en-US" w:eastAsia="zh-CN"/>
        </w:rPr>
      </w:pPr>
      <w:r>
        <w:rPr>
          <w:rFonts w:hint="eastAsia" w:ascii="方正仿宋_GB2312" w:hAnsi="方正仿宋_GB2312" w:eastAsia="方正仿宋_GB2312" w:cs="方正仿宋_GB2312"/>
          <w:color w:val="000000"/>
          <w:kern w:val="0"/>
          <w:szCs w:val="24"/>
          <w:lang w:val="en-US" w:eastAsia="zh-CN"/>
        </w:rPr>
        <w:t>1、</w:t>
      </w:r>
      <w:r>
        <w:rPr>
          <w:rFonts w:hint="eastAsia" w:ascii="方正仿宋_GB2312" w:hAnsi="方正仿宋_GB2312" w:eastAsia="方正仿宋_GB2312" w:cs="方正仿宋_GB2312"/>
          <w:color w:val="000000"/>
          <w:kern w:val="0"/>
          <w:szCs w:val="24"/>
        </w:rPr>
        <w:t>本次报价须为人民币报价</w:t>
      </w:r>
      <w:r>
        <w:rPr>
          <w:rFonts w:hint="eastAsia" w:ascii="方正仿宋_GB2312" w:hAnsi="方正仿宋_GB2312" w:eastAsia="方正仿宋_GB2312" w:cs="方正仿宋_GB2312"/>
          <w:color w:val="000000"/>
          <w:kern w:val="0"/>
          <w:szCs w:val="24"/>
          <w:lang w:eastAsia="zh-CN"/>
        </w:rPr>
        <w:t>，</w:t>
      </w:r>
      <w:r>
        <w:rPr>
          <w:rFonts w:hint="eastAsia" w:ascii="方正仿宋_GBK" w:hAnsi="方正仿宋_GBK" w:eastAsia="方正仿宋_GBK" w:cs="方正仿宋_GBK"/>
          <w:color w:val="auto"/>
          <w:sz w:val="24"/>
          <w:szCs w:val="24"/>
          <w:highlight w:val="none"/>
          <w:lang w:val="en-US" w:eastAsia="zh-CN"/>
        </w:rPr>
        <w:t>执行</w:t>
      </w:r>
      <w:r>
        <w:rPr>
          <w:rFonts w:hint="eastAsia" w:ascii="方正仿宋_GBK" w:hAnsi="方正仿宋_GBK" w:eastAsia="方正仿宋_GBK" w:cs="方正仿宋_GBK"/>
          <w:dstrike w:val="0"/>
          <w:color w:val="auto"/>
          <w:sz w:val="24"/>
          <w:szCs w:val="24"/>
          <w:highlight w:val="none"/>
          <w:lang w:val="en-US" w:eastAsia="zh-CN"/>
        </w:rPr>
        <w:t>包干</w:t>
      </w:r>
      <w:r>
        <w:rPr>
          <w:rFonts w:hint="eastAsia" w:ascii="方正仿宋_GBK" w:hAnsi="方正仿宋_GBK" w:eastAsia="方正仿宋_GBK" w:cs="方正仿宋_GBK"/>
          <w:color w:val="auto"/>
          <w:sz w:val="24"/>
          <w:szCs w:val="24"/>
          <w:highlight w:val="none"/>
          <w:lang w:val="en-US" w:eastAsia="zh-CN"/>
        </w:rPr>
        <w:t>报价，单价以重庆市</w:t>
      </w:r>
      <w:r>
        <w:rPr>
          <w:rFonts w:hint="eastAsia" w:ascii="方正仿宋_GBK" w:hAnsi="方正仿宋_GBK" w:eastAsia="方正仿宋_GBK" w:cs="方正仿宋_GBK"/>
          <w:color w:val="auto"/>
          <w:kern w:val="2"/>
          <w:sz w:val="24"/>
          <w:szCs w:val="24"/>
          <w:highlight w:val="none"/>
          <w:lang w:val="en-US" w:eastAsia="zh-CN"/>
        </w:rPr>
        <w:t>三</w:t>
      </w:r>
      <w:r>
        <w:rPr>
          <w:rFonts w:hint="eastAsia" w:ascii="方正仿宋_GBK" w:hAnsi="方正仿宋_GBK" w:eastAsia="方正仿宋_GBK" w:cs="方正仿宋_GBK"/>
          <w:color w:val="auto"/>
          <w:sz w:val="24"/>
          <w:szCs w:val="24"/>
          <w:highlight w:val="none"/>
          <w:lang w:val="en-US" w:eastAsia="zh-CN"/>
        </w:rPr>
        <w:t>级甲等医院</w:t>
      </w:r>
      <w:r>
        <w:rPr>
          <w:rFonts w:hint="eastAsia" w:ascii="方正仿宋_GBK" w:hAnsi="方正仿宋_GBK" w:eastAsia="方正仿宋_GBK" w:cs="方正仿宋_GBK"/>
          <w:color w:val="auto"/>
          <w:kern w:val="2"/>
          <w:sz w:val="24"/>
          <w:szCs w:val="24"/>
          <w:highlight w:val="none"/>
          <w:lang w:val="en-US" w:eastAsia="zh-CN"/>
        </w:rPr>
        <w:t>物价标准</w:t>
      </w:r>
      <w:r>
        <w:rPr>
          <w:rFonts w:hint="eastAsia" w:ascii="方正仿宋_GBK" w:hAnsi="方正仿宋_GBK" w:eastAsia="方正仿宋_GBK" w:cs="方正仿宋_GBK"/>
          <w:color w:val="auto"/>
          <w:sz w:val="24"/>
          <w:szCs w:val="24"/>
          <w:highlight w:val="none"/>
          <w:lang w:val="en-US" w:eastAsia="zh-CN"/>
        </w:rPr>
        <w:t>为基准价，该项目最高限价为：</w:t>
      </w:r>
      <w:r>
        <w:rPr>
          <w:rFonts w:hint="eastAsia" w:ascii="方正仿宋_GBK" w:hAnsi="方正仿宋_GBK" w:eastAsia="方正仿宋_GBK" w:cs="方正仿宋_GBK"/>
          <w:b w:val="0"/>
          <w:bCs w:val="0"/>
          <w:color w:val="auto"/>
          <w:sz w:val="24"/>
          <w:szCs w:val="24"/>
          <w:highlight w:val="none"/>
          <w:lang w:val="en-US" w:eastAsia="zh-CN"/>
        </w:rPr>
        <w:t>基准价*</w:t>
      </w:r>
      <w:r>
        <w:rPr>
          <w:rFonts w:hint="eastAsia" w:ascii="方正仿宋_GBK" w:hAnsi="方正仿宋_GBK" w:eastAsia="方正仿宋_GBK" w:cs="方正仿宋_GBK"/>
          <w:b w:val="0"/>
          <w:bCs w:val="0"/>
          <w:color w:val="auto"/>
          <w:kern w:val="2"/>
          <w:sz w:val="24"/>
          <w:szCs w:val="24"/>
          <w:highlight w:val="none"/>
          <w:lang w:val="en-US" w:eastAsia="zh-CN"/>
        </w:rPr>
        <w:t>70%</w:t>
      </w:r>
      <w:r>
        <w:rPr>
          <w:rFonts w:hint="eastAsia" w:ascii="方正仿宋_GBK" w:hAnsi="方正仿宋_GBK" w:eastAsia="方正仿宋_GBK" w:cs="方正仿宋_GBK"/>
          <w:color w:val="auto"/>
          <w:kern w:val="2"/>
          <w:sz w:val="24"/>
          <w:szCs w:val="24"/>
          <w:highlight w:val="none"/>
          <w:lang w:val="en-US" w:eastAsia="zh-CN"/>
        </w:rPr>
        <w:t>，超过最高报价的为无效报价（我院未进行物价备案的项目按设定的最高收费标准为基准价进行报价，超过最高收费价格为无效报价）。</w:t>
      </w:r>
    </w:p>
    <w:p>
      <w:pPr>
        <w:pStyle w:val="37"/>
        <w:snapToGrid w:val="0"/>
        <w:spacing w:line="400" w:lineRule="exact"/>
        <w:jc w:val="both"/>
        <w:rPr>
          <w:rFonts w:hint="eastAsia" w:ascii="方正仿宋_GB2312" w:hAnsi="方正仿宋_GB2312" w:eastAsia="方正仿宋_GB2312" w:cs="方正仿宋_GB2312"/>
          <w:color w:val="000000"/>
          <w:kern w:val="0"/>
          <w:szCs w:val="24"/>
        </w:rPr>
      </w:pPr>
      <w:r>
        <w:rPr>
          <w:rFonts w:hint="eastAsia" w:ascii="方正仿宋_GBK" w:hAnsi="方正仿宋_GBK" w:eastAsia="方正仿宋_GBK" w:cs="方正仿宋_GBK"/>
          <w:color w:val="auto"/>
          <w:kern w:val="2"/>
          <w:sz w:val="24"/>
          <w:szCs w:val="24"/>
          <w:highlight w:val="none"/>
          <w:lang w:val="en-US" w:eastAsia="zh-CN"/>
        </w:rPr>
        <w:t>2、报价包括完成本项目所需的服务费、标本检测项目费用、人工费、标本送取运输搬运费用、储存费、通讯费、培训费、保险费、各种应纳的税费等完成本项目所需的一切费用。因成交供应商自身原因造成漏报、少报皆由其自行承担责任，采购人不再补偿。</w:t>
      </w:r>
      <w:bookmarkStart w:id="2" w:name="OLE_LINK3"/>
      <w:bookmarkStart w:id="3" w:name="OLE_LINK4"/>
    </w:p>
    <w:bookmarkEnd w:id="2"/>
    <w:bookmarkEnd w:id="3"/>
    <w:p>
      <w:pPr>
        <w:autoSpaceDE w:val="0"/>
        <w:autoSpaceDN w:val="0"/>
        <w:adjustRightInd w:val="0"/>
        <w:snapToGrid w:val="0"/>
        <w:spacing w:line="400" w:lineRule="exact"/>
        <w:ind w:firstLine="548" w:firstLineChars="200"/>
        <w:rPr>
          <w:rFonts w:ascii="黑体" w:hAnsi="宋体" w:eastAsia="黑体" w:cs="宋体"/>
          <w:bCs/>
          <w:kern w:val="0"/>
          <w:sz w:val="28"/>
          <w:szCs w:val="28"/>
          <w:lang w:val="zh-CN"/>
        </w:rPr>
      </w:pPr>
      <w:r>
        <w:rPr>
          <w:rFonts w:hint="eastAsia" w:ascii="黑体" w:hAnsi="宋体" w:eastAsia="黑体" w:cs="宋体"/>
          <w:bCs/>
          <w:kern w:val="0"/>
          <w:sz w:val="28"/>
          <w:szCs w:val="28"/>
        </w:rPr>
        <w:t>五</w:t>
      </w:r>
      <w:r>
        <w:rPr>
          <w:rFonts w:hint="eastAsia" w:ascii="黑体" w:hAnsi="宋体" w:eastAsia="黑体" w:cs="宋体"/>
          <w:bCs/>
          <w:kern w:val="0"/>
          <w:sz w:val="28"/>
          <w:szCs w:val="28"/>
          <w:lang w:val="zh-CN"/>
        </w:rPr>
        <w:t>、联系方式</w:t>
      </w:r>
    </w:p>
    <w:p>
      <w:pPr>
        <w:pStyle w:val="37"/>
        <w:snapToGrid w:val="0"/>
        <w:spacing w:line="400" w:lineRule="exact"/>
        <w:ind w:firstLine="468" w:firstLineChars="200"/>
        <w:jc w:val="both"/>
        <w:rPr>
          <w:rFonts w:ascii="方正仿宋_GBK" w:hAnsi="宋体" w:eastAsia="方正仿宋_GBK"/>
          <w:szCs w:val="24"/>
        </w:rPr>
      </w:pPr>
      <w:r>
        <w:rPr>
          <w:rFonts w:hint="eastAsia" w:ascii="方正仿宋_GBK" w:hAnsi="宋体" w:eastAsia="方正仿宋_GBK"/>
          <w:szCs w:val="24"/>
        </w:rPr>
        <w:t xml:space="preserve">联 系 人：阮老师  </w:t>
      </w:r>
    </w:p>
    <w:p>
      <w:pPr>
        <w:pStyle w:val="37"/>
        <w:snapToGrid w:val="0"/>
        <w:spacing w:line="400" w:lineRule="exact"/>
        <w:ind w:firstLine="468" w:firstLineChars="200"/>
        <w:jc w:val="both"/>
        <w:rPr>
          <w:rFonts w:ascii="方正仿宋_GBK" w:hAnsi="宋体" w:eastAsia="方正仿宋_GBK"/>
          <w:szCs w:val="24"/>
        </w:rPr>
        <w:sectPr>
          <w:headerReference r:id="rId10" w:type="first"/>
          <w:footerReference r:id="rId12" w:type="first"/>
          <w:headerReference r:id="rId9" w:type="default"/>
          <w:footerReference r:id="rId11" w:type="default"/>
          <w:pgSz w:w="11906" w:h="16838"/>
          <w:pgMar w:top="1418" w:right="1134" w:bottom="1134" w:left="1418" w:header="851" w:footer="851" w:gutter="0"/>
          <w:pgNumType w:start="1"/>
          <w:cols w:space="720" w:num="1"/>
          <w:docGrid w:type="linesAndChars" w:linePitch="396" w:charSpace="-1260"/>
        </w:sectPr>
      </w:pPr>
      <w:r>
        <w:rPr>
          <w:rFonts w:hint="eastAsia" w:ascii="方正仿宋_GBK" w:hAnsi="宋体" w:eastAsia="方正仿宋_GBK"/>
          <w:szCs w:val="24"/>
        </w:rPr>
        <w:t>联系电话：65542556</w:t>
      </w:r>
    </w:p>
    <w:p>
      <w:pPr>
        <w:pStyle w:val="2"/>
        <w:keepNext w:val="0"/>
        <w:keepLines w:val="0"/>
        <w:tabs>
          <w:tab w:val="center" w:pos="4677"/>
        </w:tabs>
        <w:spacing w:before="0" w:after="0" w:line="240" w:lineRule="auto"/>
        <w:ind w:firstLine="871"/>
        <w:rPr>
          <w:rFonts w:ascii="方正黑体_GBK" w:hAnsi="方正黑体_GBK" w:eastAsia="方正黑体_GBK" w:cs="方正黑体_GBK"/>
          <w:b w:val="0"/>
          <w:lang w:val="zh-CN"/>
        </w:rPr>
      </w:pPr>
      <w:bookmarkStart w:id="4" w:name="_Toc279567051"/>
      <w:r>
        <w:tab/>
      </w:r>
      <w:r>
        <w:rPr>
          <w:rFonts w:hint="eastAsia" w:ascii="方正黑体_GBK" w:hAnsi="方正黑体_GBK" w:eastAsia="方正黑体_GBK" w:cs="方正黑体_GBK"/>
          <w:b w:val="0"/>
        </w:rPr>
        <w:t xml:space="preserve">第二部分  </w:t>
      </w:r>
      <w:bookmarkEnd w:id="4"/>
      <w:bookmarkStart w:id="5" w:name="_Toc231610030"/>
      <w:bookmarkStart w:id="6" w:name="_Toc279567052"/>
      <w:r>
        <w:rPr>
          <w:rFonts w:hint="eastAsia" w:ascii="方正黑体_GBK" w:hAnsi="方正黑体_GBK" w:eastAsia="方正黑体_GBK" w:cs="方正黑体_GBK"/>
          <w:b w:val="0"/>
        </w:rPr>
        <w:t>项目技术、服务及商务需求</w:t>
      </w:r>
    </w:p>
    <w:p>
      <w:pPr>
        <w:pStyle w:val="37"/>
        <w:snapToGrid w:val="0"/>
        <w:spacing w:line="400" w:lineRule="exact"/>
        <w:ind w:firstLine="548" w:firstLineChars="200"/>
        <w:jc w:val="both"/>
        <w:rPr>
          <w:rFonts w:ascii="黑体" w:eastAsia="黑体"/>
          <w:color w:val="auto"/>
          <w:kern w:val="2"/>
          <w:sz w:val="28"/>
          <w:szCs w:val="28"/>
        </w:rPr>
      </w:pPr>
      <w:bookmarkStart w:id="7" w:name="_Toc106030879"/>
      <w:bookmarkStart w:id="8" w:name="_Toc423441128"/>
      <w:bookmarkStart w:id="9" w:name="_Toc344475116"/>
      <w:bookmarkStart w:id="10" w:name="_Toc313536013"/>
      <w:r>
        <w:rPr>
          <w:rFonts w:hint="eastAsia" w:ascii="黑体" w:eastAsia="黑体"/>
          <w:color w:val="auto"/>
          <w:kern w:val="2"/>
          <w:sz w:val="28"/>
          <w:szCs w:val="28"/>
        </w:rPr>
        <w:t>一、项目基本概况介绍</w:t>
      </w:r>
      <w:bookmarkEnd w:id="7"/>
    </w:p>
    <w:p>
      <w:pPr>
        <w:spacing w:line="0" w:lineRule="atLeast"/>
        <w:ind w:firstLine="702" w:firstLineChars="300"/>
        <w:rPr>
          <w:rFonts w:hint="eastAsia" w:ascii="方正仿宋_GBK" w:hAnsi="方正仿宋_GBK" w:eastAsia="方正仿宋_GBK" w:cs="方正仿宋_GBK"/>
          <w:lang w:val="en-US" w:eastAsia="zh-CN"/>
        </w:rPr>
      </w:pPr>
      <w:bookmarkStart w:id="11" w:name="OLE_LINK1"/>
      <w:r>
        <w:rPr>
          <w:rFonts w:hint="eastAsia" w:ascii="方正仿宋_GBK" w:hAnsi="方正仿宋_GBK" w:eastAsia="方正仿宋_GBK" w:cs="方正仿宋_GBK"/>
          <w:lang w:val="en-US" w:eastAsia="zh-CN"/>
        </w:rPr>
        <w:t>为临床各类穿刺、手术等送检到病理科的蜡块标本、玻片标本及血液标本提供</w:t>
      </w:r>
      <w:r>
        <w:rPr>
          <w:rFonts w:hint="eastAsia" w:ascii="方正仿宋_GBK" w:hAnsi="方正仿宋_GBK" w:eastAsia="方正仿宋_GBK" w:cs="方正仿宋_GBK"/>
        </w:rPr>
        <w:t>病理诊断检查</w:t>
      </w:r>
      <w:r>
        <w:rPr>
          <w:rFonts w:hint="eastAsia" w:ascii="方正仿宋_GBK" w:hAnsi="方正仿宋_GBK" w:eastAsia="方正仿宋_GBK" w:cs="方正仿宋_GBK"/>
          <w:lang w:eastAsia="zh-CN"/>
        </w:rPr>
        <w:t>、免疫</w:t>
      </w:r>
      <w:r>
        <w:rPr>
          <w:rFonts w:hint="eastAsia" w:ascii="方正仿宋_GBK" w:hAnsi="方正仿宋_GBK" w:eastAsia="方正仿宋_GBK" w:cs="方正仿宋_GBK"/>
          <w:lang w:val="en-US" w:eastAsia="zh-CN"/>
        </w:rPr>
        <w:t>组织化学染色检查，原位杂交、荧光PCR</w:t>
      </w:r>
      <w:r>
        <w:rPr>
          <w:rFonts w:hint="eastAsia" w:ascii="方正仿宋_GBK" w:hAnsi="方正仿宋_GBK" w:eastAsia="方正仿宋_GBK" w:cs="方正仿宋_GBK"/>
          <w:lang w:eastAsia="zh-CN"/>
        </w:rPr>
        <w:t>病理检查、</w:t>
      </w:r>
      <w:r>
        <w:rPr>
          <w:rFonts w:hint="eastAsia" w:ascii="方正仿宋_GBK" w:hAnsi="方正仿宋_GBK" w:eastAsia="方正仿宋_GBK" w:cs="方正仿宋_GBK"/>
          <w:lang w:val="en-US" w:eastAsia="zh-CN"/>
        </w:rPr>
        <w:t>分子病理检测、</w:t>
      </w:r>
      <w:r>
        <w:rPr>
          <w:rFonts w:hint="eastAsia" w:ascii="方正仿宋_GBK" w:hAnsi="方正仿宋_GBK" w:eastAsia="方正仿宋_GBK" w:cs="方正仿宋_GBK"/>
          <w:lang w:eastAsia="zh-CN"/>
        </w:rPr>
        <w:t>超微结构电子显微镜检查</w:t>
      </w:r>
      <w:r>
        <w:rPr>
          <w:rFonts w:hint="eastAsia" w:ascii="方正仿宋_GBK" w:hAnsi="方正仿宋_GBK" w:eastAsia="方正仿宋_GBK" w:cs="方正仿宋_GBK"/>
          <w:lang w:val="en-US" w:eastAsia="zh-CN"/>
        </w:rPr>
        <w:t>服务。</w:t>
      </w:r>
    </w:p>
    <w:bookmarkEnd w:id="11"/>
    <w:p>
      <w:pPr>
        <w:pStyle w:val="37"/>
        <w:numPr>
          <w:ilvl w:val="0"/>
          <w:numId w:val="0"/>
        </w:numPr>
        <w:snapToGrid w:val="0"/>
        <w:spacing w:line="500" w:lineRule="exact"/>
        <w:ind w:left="466" w:leftChars="0"/>
        <w:jc w:val="both"/>
        <w:rPr>
          <w:rFonts w:ascii="黑体" w:eastAsia="黑体"/>
          <w:color w:val="auto"/>
          <w:kern w:val="2"/>
          <w:sz w:val="28"/>
          <w:szCs w:val="28"/>
        </w:rPr>
      </w:pPr>
      <w:r>
        <w:rPr>
          <w:rFonts w:hint="eastAsia" w:ascii="黑体" w:eastAsia="黑体"/>
          <w:color w:val="auto"/>
          <w:kern w:val="2"/>
          <w:sz w:val="28"/>
          <w:szCs w:val="28"/>
          <w:lang w:val="en-US" w:eastAsia="zh-CN"/>
        </w:rPr>
        <w:t>二、</w:t>
      </w:r>
      <w:r>
        <w:rPr>
          <w:rFonts w:hint="eastAsia" w:ascii="黑体" w:eastAsia="黑体"/>
          <w:color w:val="auto"/>
          <w:kern w:val="2"/>
          <w:sz w:val="28"/>
          <w:szCs w:val="28"/>
        </w:rPr>
        <w:t>服务内容及服务标准</w:t>
      </w:r>
    </w:p>
    <w:p>
      <w:pPr>
        <w:spacing w:line="0" w:lineRule="atLeast"/>
        <w:ind w:firstLine="468" w:firstLineChars="200"/>
        <w:rPr>
          <w:rFonts w:ascii="黑体" w:eastAsia="黑体"/>
          <w:sz w:val="28"/>
          <w:szCs w:val="28"/>
        </w:rPr>
      </w:pPr>
      <w:r>
        <w:rPr>
          <w:rFonts w:hint="eastAsia" w:ascii="方正仿宋_GBK" w:hAnsi="方正仿宋_GB2312" w:eastAsia="方正仿宋_GBK" w:cs="方正仿宋_GB2312"/>
          <w:b/>
          <w:bCs/>
          <w:color w:val="000000"/>
          <w:kern w:val="0"/>
          <w:szCs w:val="24"/>
          <w:u w:color="000000"/>
        </w:rPr>
        <w:t>1. 服务内容：</w:t>
      </w:r>
    </w:p>
    <w:bookmarkEnd w:id="8"/>
    <w:bookmarkEnd w:id="9"/>
    <w:bookmarkEnd w:id="10"/>
    <w:p>
      <w:pPr>
        <w:ind w:firstLine="1884" w:firstLineChars="600"/>
        <w:rPr>
          <w:rFonts w:hint="eastAsia"/>
          <w:lang w:val="en-US" w:eastAsia="zh-CN"/>
        </w:rPr>
      </w:pPr>
      <w:r>
        <w:rPr>
          <w:rFonts w:hint="eastAsia" w:ascii="方正黑体_GBK" w:hAnsi="方正黑体_GBK" w:eastAsia="方正黑体_GBK" w:cs="方正黑体_GBK"/>
          <w:b w:val="0"/>
          <w:bCs w:val="0"/>
          <w:sz w:val="32"/>
          <w:szCs w:val="32"/>
          <w:lang w:val="en-US" w:eastAsia="zh-CN"/>
        </w:rPr>
        <w:t>外检项目清单与物价（共计34项）</w:t>
      </w:r>
    </w:p>
    <w:tbl>
      <w:tblPr>
        <w:tblStyle w:val="26"/>
        <w:tblW w:w="92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9"/>
        <w:gridCol w:w="937"/>
        <w:gridCol w:w="1188"/>
        <w:gridCol w:w="1461"/>
        <w:gridCol w:w="913"/>
        <w:gridCol w:w="668"/>
        <w:gridCol w:w="600"/>
        <w:gridCol w:w="1037"/>
        <w:gridCol w:w="709"/>
        <w:gridCol w:w="1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93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医嘱名称</w:t>
            </w:r>
          </w:p>
        </w:tc>
        <w:tc>
          <w:tcPr>
            <w:tcW w:w="118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物价收费编码</w:t>
            </w:r>
          </w:p>
        </w:tc>
        <w:tc>
          <w:tcPr>
            <w:tcW w:w="146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项目名称</w:t>
            </w:r>
          </w:p>
        </w:tc>
        <w:tc>
          <w:tcPr>
            <w:tcW w:w="91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计价单位</w:t>
            </w:r>
          </w:p>
        </w:tc>
        <w:tc>
          <w:tcPr>
            <w:tcW w:w="66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单价</w:t>
            </w:r>
          </w:p>
        </w:tc>
        <w:tc>
          <w:tcPr>
            <w:tcW w:w="60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数量</w:t>
            </w:r>
          </w:p>
        </w:tc>
        <w:tc>
          <w:tcPr>
            <w:tcW w:w="1037" w:type="dxa"/>
            <w:tcBorders>
              <w:top w:val="single" w:color="000000" w:sz="8" w:space="0"/>
              <w:left w:val="nil"/>
              <w:bottom w:val="single" w:color="000000" w:sz="8" w:space="0"/>
              <w:right w:val="single" w:color="auto"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价格合计（基准价）</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预估数量</w:t>
            </w:r>
          </w:p>
        </w:tc>
        <w:tc>
          <w:tcPr>
            <w:tcW w:w="11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37" w:type="dxa"/>
            <w:vMerge w:val="restart"/>
            <w:tcBorders>
              <w:top w:val="nil"/>
              <w:left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人类MGMT基因甲基化检测(7个CpG位点)+病理彩色图文分析报告</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（病理标本）</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1451.8</w:t>
            </w:r>
          </w:p>
        </w:tc>
        <w:tc>
          <w:tcPr>
            <w:tcW w:w="709"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73"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left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left w:val="nil"/>
              <w:right w:val="single" w:color="000000" w:sz="8" w:space="0"/>
            </w:tcBorders>
            <w:noWrap/>
            <w:vAlign w:val="center"/>
          </w:tcPr>
          <w:p>
            <w:pPr>
              <w:rPr>
                <w:rFonts w:hint="eastAsia" w:ascii="宋体" w:hAnsi="宋体" w:eastAsia="宋体" w:cs="宋体"/>
                <w:i w:val="0"/>
                <w:iCs w:val="0"/>
                <w:color w:val="000000"/>
                <w:sz w:val="22"/>
                <w:szCs w:val="22"/>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280000016</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每增加一个位点加收100*6</w:t>
            </w:r>
          </w:p>
        </w:tc>
        <w:tc>
          <w:tcPr>
            <w:tcW w:w="913"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位点</w:t>
            </w:r>
          </w:p>
        </w:tc>
        <w:tc>
          <w:tcPr>
            <w:tcW w:w="668"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left w:val="nil"/>
              <w:bottom w:val="single" w:color="000000" w:sz="8" w:space="0"/>
              <w:right w:val="single" w:color="000000" w:sz="8" w:space="0"/>
            </w:tcBorders>
            <w:noWrap/>
            <w:vAlign w:val="center"/>
          </w:tcPr>
          <w:p>
            <w:pPr>
              <w:rPr>
                <w:rFonts w:hint="eastAsia" w:ascii="宋体" w:hAnsi="宋体" w:eastAsia="宋体" w:cs="宋体"/>
                <w:i w:val="0"/>
                <w:iCs w:val="0"/>
                <w:color w:val="000000"/>
                <w:sz w:val="22"/>
                <w:szCs w:val="22"/>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280000016</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基因甲基化检测828*1</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次（位点）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人类SDC2基因甲基化检测（粪便标本））</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923.8</w:t>
            </w:r>
          </w:p>
        </w:tc>
        <w:tc>
          <w:tcPr>
            <w:tcW w:w="709"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73"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250700024</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人类SDC2甲基化检测900*1</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3"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人SHOX2、RASSF1A基因甲基化DNA检测</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951.8</w:t>
            </w:r>
          </w:p>
        </w:tc>
        <w:tc>
          <w:tcPr>
            <w:tcW w:w="709"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73"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280000016</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基因甲基化检测828*1</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280000016</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每增加一个位点加收100元</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人Twist1基因甲基化检测</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851.8</w:t>
            </w:r>
          </w:p>
        </w:tc>
        <w:tc>
          <w:tcPr>
            <w:tcW w:w="709"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73"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280000016</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基因甲基化检测828*1</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280000016</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每增加一个位点加收100元</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人ASTN1/DLX1/ITGA4/RXFP3/SOX17/ZNF671基因甲基化检测</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1351.8</w:t>
            </w:r>
          </w:p>
        </w:tc>
        <w:tc>
          <w:tcPr>
            <w:tcW w:w="709"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73"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280000016</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基因甲基化检测828*1</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280000016</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每增加一个位点加收100元</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（自费）结核杆菌基因分型检测（病理组织标本）</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223.8</w:t>
            </w:r>
          </w:p>
        </w:tc>
        <w:tc>
          <w:tcPr>
            <w:tcW w:w="709"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73"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核酸多聚酶链反应检查诊断200*1</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人类KRAS基因突变检测（荧光PCR法）（病理标本）</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2223.8</w:t>
            </w:r>
          </w:p>
        </w:tc>
        <w:tc>
          <w:tcPr>
            <w:tcW w:w="709"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73"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核酸多聚酶链反应检查诊断200*11</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人类EGFR基因突变检测（荧光PCR法）（病理标本）</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1423.8</w:t>
            </w:r>
          </w:p>
        </w:tc>
        <w:tc>
          <w:tcPr>
            <w:tcW w:w="709"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73"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核酸多聚酶链反应检查诊断200*7</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人类BRAF基因V600E突变检测（荧光PCR法）（病理标本）</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223.8</w:t>
            </w:r>
          </w:p>
        </w:tc>
        <w:tc>
          <w:tcPr>
            <w:tcW w:w="709"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73"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核酸多聚酶链反应检查诊断200*1</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人类NRAS基因突变检测（荧光PCR法）（病理标本）</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1423.8</w:t>
            </w:r>
          </w:p>
        </w:tc>
        <w:tc>
          <w:tcPr>
            <w:tcW w:w="709"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73"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核酸多聚酶链反应检查诊断200*7</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人类PIK3CA基因突变检测（荧光PCR法）（病理标本）</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1023.8</w:t>
            </w:r>
          </w:p>
        </w:tc>
        <w:tc>
          <w:tcPr>
            <w:tcW w:w="709"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73"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核酸多聚酶链反应检查诊断200*5</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人BRAF/TERT/CCDC6-RET基因突变检测（荧光PCR法）（病理标本）</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1823.8</w:t>
            </w:r>
          </w:p>
        </w:tc>
        <w:tc>
          <w:tcPr>
            <w:tcW w:w="709"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73"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核酸多聚酶链反应检查诊断200*9</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人类ALK基因融合和ROS1基因融合联合检测（荧光PCR法）（病理标本）</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1423.8</w:t>
            </w:r>
          </w:p>
        </w:tc>
        <w:tc>
          <w:tcPr>
            <w:tcW w:w="709"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73"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核酸多聚酶链反应检查诊断200*7</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脑胶质瘤IDH1基因突变位点检测</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903.8</w:t>
            </w:r>
          </w:p>
        </w:tc>
        <w:tc>
          <w:tcPr>
            <w:tcW w:w="709"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73"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脱氧核糖核酸(DNA)测序440*2</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脑胶质瘤TERT基因突变位点检测（病理组织标本）</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903.8</w:t>
            </w:r>
          </w:p>
        </w:tc>
        <w:tc>
          <w:tcPr>
            <w:tcW w:w="709"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73"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脱氧核糖核酸(DNA)测序440*2</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微卫星不稳定MSI检测（病理组织标本）</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2223.8</w:t>
            </w:r>
          </w:p>
        </w:tc>
        <w:tc>
          <w:tcPr>
            <w:tcW w:w="709"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73"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脱氧核糖核酸(DNA)测序440*5</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BRCA1/2基因检测（血液标本）</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5743.8</w:t>
            </w:r>
          </w:p>
        </w:tc>
        <w:tc>
          <w:tcPr>
            <w:tcW w:w="709"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73"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脱氧核糖核酸(DNA)测序440*13</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肺癌13驱动基因检测（病理组织标本）</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6623.8</w:t>
            </w:r>
          </w:p>
        </w:tc>
        <w:tc>
          <w:tcPr>
            <w:tcW w:w="709"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173"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79485.6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脱氧核糖核酸(DNA)测序440*15</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人类10基因突变高通量测序（组织标本）</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7503.8</w:t>
            </w:r>
          </w:p>
        </w:tc>
        <w:tc>
          <w:tcPr>
            <w:tcW w:w="709"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73"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脱氧核糖核酸(DNA)测序440*17</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（自费)116基因测序（病理标本）</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7503.8</w:t>
            </w:r>
          </w:p>
        </w:tc>
        <w:tc>
          <w:tcPr>
            <w:tcW w:w="709"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73"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脱氧核糖核酸(DNA)测序440*17</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（自费)116基因测序（血液标本）</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7503.8</w:t>
            </w:r>
          </w:p>
        </w:tc>
        <w:tc>
          <w:tcPr>
            <w:tcW w:w="709"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73"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脱氧核糖核酸(DNA)测序440*17</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非小细胞肺癌组织TMB检测</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9703.8</w:t>
            </w:r>
          </w:p>
        </w:tc>
        <w:tc>
          <w:tcPr>
            <w:tcW w:w="709"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73"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脱氧核糖核酸(DNA)测序440*22</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（自费)425基因测序（病理标本）</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9703.8</w:t>
            </w:r>
          </w:p>
        </w:tc>
        <w:tc>
          <w:tcPr>
            <w:tcW w:w="709"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73"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19407.6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脱氧核糖核酸(DNA)测序440*22</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（自费)425基因测序（血液标本）</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9703.8</w:t>
            </w:r>
          </w:p>
        </w:tc>
        <w:tc>
          <w:tcPr>
            <w:tcW w:w="709"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73" w:type="dxa"/>
            <w:vMerge w:val="restart"/>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脱氧核糖核酸(DNA)测序440*22</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9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（自费)静脉血栓LeidenV因子和凝血酶原2021OA基因检测</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脱氧核糖核酸(DNA)测序440*2</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880</w:t>
            </w:r>
          </w:p>
        </w:tc>
        <w:tc>
          <w:tcPr>
            <w:tcW w:w="709"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73"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9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(PD-1)程序性死亡蛋白-1检测</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270700006</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程序性死亡蛋白-1检测</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70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7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8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9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病原微生物转录组（RNA）高通量测序</w:t>
            </w:r>
          </w:p>
        </w:tc>
        <w:tc>
          <w:tcPr>
            <w:tcW w:w="1188"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250700028</w:t>
            </w:r>
          </w:p>
        </w:tc>
        <w:tc>
          <w:tcPr>
            <w:tcW w:w="146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病原微生物高通量测序</w:t>
            </w:r>
          </w:p>
        </w:tc>
        <w:tc>
          <w:tcPr>
            <w:tcW w:w="913"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1900</w:t>
            </w:r>
          </w:p>
        </w:tc>
        <w:tc>
          <w:tcPr>
            <w:tcW w:w="600"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1900</w:t>
            </w:r>
          </w:p>
        </w:tc>
        <w:tc>
          <w:tcPr>
            <w:tcW w:w="709"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73"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58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9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病原微生物（DNA）高通量测序</w:t>
            </w:r>
          </w:p>
        </w:tc>
        <w:tc>
          <w:tcPr>
            <w:tcW w:w="1188"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46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13"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668"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600"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EB病毒基因检测</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128.3</w:t>
            </w:r>
          </w:p>
        </w:tc>
        <w:tc>
          <w:tcPr>
            <w:tcW w:w="709"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73"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270800006</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显微摄影术 X1次</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每个视野</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270700001</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原位杂交技术 X1次</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FISH检测技术（组织标本）</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848.8</w:t>
            </w:r>
          </w:p>
        </w:tc>
        <w:tc>
          <w:tcPr>
            <w:tcW w:w="709"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73"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270800006</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显微摄影术 X2次</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每个视野</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A270700004</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荧光原位杂交技术 X次</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HER2/TOPOIIa荧光原位杂交检测（组织标本）</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1618.8</w:t>
            </w:r>
          </w:p>
        </w:tc>
        <w:tc>
          <w:tcPr>
            <w:tcW w:w="709"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73"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A270700004</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荧光原位杂交技术 X2次</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270800006</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显微摄影术 X2次</w:t>
            </w:r>
          </w:p>
        </w:tc>
        <w:tc>
          <w:tcPr>
            <w:tcW w:w="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每个视野</w:t>
            </w:r>
          </w:p>
        </w:tc>
        <w:tc>
          <w:tcPr>
            <w:tcW w:w="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4"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937"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脑胶质瘤1p/19q基因检测（FISH）（病理组织标本）</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1618.8</w:t>
            </w:r>
          </w:p>
        </w:tc>
        <w:tc>
          <w:tcPr>
            <w:tcW w:w="70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73"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A270700004</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荧光原位杂交技术 X2次</w:t>
            </w:r>
          </w:p>
        </w:tc>
        <w:tc>
          <w:tcPr>
            <w:tcW w:w="913"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770</w:t>
            </w:r>
          </w:p>
        </w:tc>
        <w:tc>
          <w:tcPr>
            <w:tcW w:w="6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37"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270800006</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显微摄影术 X2次</w:t>
            </w:r>
          </w:p>
        </w:tc>
        <w:tc>
          <w:tcPr>
            <w:tcW w:w="913"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每个视野</w:t>
            </w:r>
          </w:p>
        </w:tc>
        <w:tc>
          <w:tcPr>
            <w:tcW w:w="66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w:t>
            </w:r>
          </w:p>
        </w:tc>
        <w:tc>
          <w:tcPr>
            <w:tcW w:w="600"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37"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70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c>
          <w:tcPr>
            <w:tcW w:w="117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9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程序性死亡受体-配体1检测</w:t>
            </w:r>
          </w:p>
        </w:tc>
        <w:tc>
          <w:tcPr>
            <w:tcW w:w="118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270700007</w:t>
            </w:r>
          </w:p>
        </w:tc>
        <w:tc>
          <w:tcPr>
            <w:tcW w:w="146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程序性死亡受体-配体1检测</w:t>
            </w:r>
          </w:p>
        </w:tc>
        <w:tc>
          <w:tcPr>
            <w:tcW w:w="913"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single" w:color="000000" w:sz="8"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6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70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73" w:type="dxa"/>
            <w:tcBorders>
              <w:top w:val="single" w:color="000000" w:sz="4" w:space="0"/>
              <w:left w:val="single" w:color="000000" w:sz="4" w:space="0"/>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tcBorders>
              <w:top w:val="nil"/>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937"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线下疑难病理会诊（蜡块及玻片）</w:t>
            </w:r>
          </w:p>
        </w:tc>
        <w:tc>
          <w:tcPr>
            <w:tcW w:w="1188"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270800007.YW</w:t>
            </w:r>
          </w:p>
        </w:tc>
        <w:tc>
          <w:tcPr>
            <w:tcW w:w="1461"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疑难病理会诊（三甲医院）</w:t>
            </w:r>
          </w:p>
        </w:tc>
        <w:tc>
          <w:tcPr>
            <w:tcW w:w="913" w:type="dxa"/>
            <w:tcBorders>
              <w:top w:val="single" w:color="000000" w:sz="8" w:space="0"/>
              <w:left w:val="single" w:color="000000" w:sz="8"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single" w:color="000000" w:sz="8" w:space="0"/>
              <w:left w:val="single" w:color="000000" w:sz="8"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330</w:t>
            </w:r>
          </w:p>
        </w:tc>
        <w:tc>
          <w:tcPr>
            <w:tcW w:w="600" w:type="dxa"/>
            <w:tcBorders>
              <w:top w:val="single" w:color="000000" w:sz="8"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000000" w:sz="8"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408.8</w:t>
            </w:r>
          </w:p>
        </w:tc>
        <w:tc>
          <w:tcPr>
            <w:tcW w:w="709" w:type="dxa"/>
            <w:tcBorders>
              <w:top w:val="single" w:color="000000" w:sz="8"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73" w:type="dxa"/>
            <w:tcBorders>
              <w:top w:val="single" w:color="000000" w:sz="8" w:space="0"/>
              <w:left w:val="single" w:color="000000" w:sz="4" w:space="0"/>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817.6</w:t>
            </w:r>
          </w:p>
        </w:tc>
      </w:tr>
    </w:tbl>
    <w:p>
      <w:pPr>
        <w:spacing w:line="0" w:lineRule="atLeast"/>
        <w:rPr>
          <w:rFonts w:ascii="方正仿宋_GBK" w:hAnsi="方正仿宋_GBK" w:eastAsia="方正仿宋_GBK" w:cs="方正仿宋_GBK"/>
        </w:rPr>
      </w:pPr>
    </w:p>
    <w:p>
      <w:pPr>
        <w:numPr>
          <w:ilvl w:val="0"/>
          <w:numId w:val="0"/>
        </w:numPr>
        <w:spacing w:line="0" w:lineRule="atLeast"/>
        <w:rPr>
          <w:rFonts w:hint="eastAsia" w:ascii="方正仿宋_GBK" w:hAnsi="宋体" w:eastAsia="方正仿宋_GBK" w:cs="Times New Roman"/>
          <w:b/>
          <w:bCs/>
          <w:color w:val="auto"/>
          <w:szCs w:val="24"/>
          <w:highlight w:val="none"/>
          <w:lang w:val="en-US" w:eastAsia="zh-CN"/>
        </w:rPr>
      </w:pPr>
      <w:r>
        <w:rPr>
          <w:rFonts w:hint="eastAsia" w:ascii="方正仿宋_GBK" w:hAnsi="方正仿宋_GBK" w:eastAsia="方正仿宋_GBK" w:cs="方正仿宋_GBK"/>
          <w:b/>
          <w:bCs/>
          <w:lang w:val="en-US" w:eastAsia="zh-CN"/>
        </w:rPr>
        <w:t>3.</w:t>
      </w:r>
      <w:r>
        <w:rPr>
          <w:rFonts w:hint="eastAsia" w:ascii="方正仿宋_GBK" w:hAnsi="方正仿宋_GBK" w:eastAsia="方正仿宋_GBK" w:cs="方正仿宋_GBK"/>
          <w:b/>
          <w:bCs/>
        </w:rPr>
        <w:t>服务标准</w:t>
      </w:r>
      <w:r>
        <w:rPr>
          <w:rFonts w:hint="eastAsia" w:ascii="方正仿宋_GBK" w:hAnsi="宋体" w:eastAsia="方正仿宋_GBK" w:cs="Times New Roman"/>
          <w:b/>
          <w:bCs/>
          <w:color w:val="auto"/>
          <w:szCs w:val="24"/>
          <w:highlight w:val="none"/>
          <w:lang w:val="en-US" w:eastAsia="zh-CN"/>
        </w:rPr>
        <w:t>（提供检测服务方案及物流运输方案、</w:t>
      </w:r>
      <w:r>
        <w:rPr>
          <w:rFonts w:hint="eastAsia" w:ascii="方正仿宋_GBK" w:hAnsi="宋体" w:eastAsia="方正仿宋_GBK" w:cs="Times New Roman"/>
          <w:b/>
          <w:bCs/>
          <w:color w:val="auto"/>
          <w:sz w:val="24"/>
          <w:szCs w:val="24"/>
          <w:highlight w:val="none"/>
          <w:lang w:val="en-US" w:eastAsia="zh-CN"/>
        </w:rPr>
        <w:t>学科建设支持方案</w:t>
      </w:r>
      <w:r>
        <w:rPr>
          <w:rFonts w:hint="eastAsia" w:ascii="方正仿宋_GBK" w:hAnsi="宋体" w:eastAsia="方正仿宋_GBK" w:cs="Times New Roman"/>
          <w:b/>
          <w:bCs/>
          <w:color w:val="auto"/>
          <w:szCs w:val="24"/>
          <w:highlight w:val="none"/>
          <w:lang w:val="en-US" w:eastAsia="zh-CN"/>
        </w:rPr>
        <w:t>）</w:t>
      </w:r>
    </w:p>
    <w:p>
      <w:pPr>
        <w:spacing w:line="400" w:lineRule="exact"/>
        <w:ind w:firstLine="234" w:firstLineChars="100"/>
        <w:rPr>
          <w:rFonts w:hint="eastAsia" w:ascii="方正仿宋_GBK" w:hAnsi="方正仿宋_GB2312" w:eastAsia="方正仿宋_GBK" w:cs="方正仿宋_GB2312"/>
          <w:b w:val="0"/>
          <w:bCs w:val="0"/>
          <w:color w:val="auto"/>
          <w:kern w:val="0"/>
          <w:szCs w:val="24"/>
          <w:highlight w:val="none"/>
          <w:lang w:val="en-US" w:eastAsia="zh-CN"/>
        </w:rPr>
      </w:pPr>
      <w:r>
        <w:rPr>
          <w:rFonts w:hint="eastAsia" w:ascii="方正仿宋_GBK" w:hAnsi="方正仿宋_GB2312" w:eastAsia="方正仿宋_GBK" w:cs="方正仿宋_GB2312"/>
          <w:b w:val="0"/>
          <w:bCs w:val="0"/>
          <w:color w:val="auto"/>
          <w:kern w:val="0"/>
          <w:szCs w:val="24"/>
          <w:highlight w:val="none"/>
          <w:lang w:val="en-US" w:eastAsia="zh-CN"/>
        </w:rPr>
        <w:t>3.1标本管理</w:t>
      </w:r>
    </w:p>
    <w:p>
      <w:pPr>
        <w:spacing w:line="400" w:lineRule="exact"/>
        <w:ind w:firstLine="468" w:firstLineChars="200"/>
        <w:rPr>
          <w:rFonts w:hint="eastAsia" w:ascii="方正仿宋_GBK" w:hAnsi="方正仿宋_GB2312" w:eastAsia="方正仿宋_GBK" w:cs="方正仿宋_GB2312"/>
          <w:b w:val="0"/>
          <w:bCs w:val="0"/>
          <w:color w:val="auto"/>
          <w:kern w:val="0"/>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3.1.1</w:t>
      </w:r>
      <w:r>
        <w:rPr>
          <w:rFonts w:hint="eastAsia" w:ascii="方正仿宋_GBK" w:hAnsi="宋体" w:eastAsia="方正仿宋_GBK" w:cs="Times New Roman"/>
          <w:color w:val="auto"/>
          <w:sz w:val="24"/>
          <w:szCs w:val="24"/>
          <w:highlight w:val="none"/>
        </w:rPr>
        <w:t>样本运送要求：样本运输应严格按照《重庆市医疗机构外送样本检测管理办法（试行）》文件规定实施。</w:t>
      </w:r>
      <w:r>
        <w:rPr>
          <w:rFonts w:hint="eastAsia" w:ascii="方正仿宋_GBK" w:hAnsi="宋体" w:eastAsia="方正仿宋_GBK" w:cs="Times New Roman"/>
          <w:color w:val="auto"/>
          <w:sz w:val="24"/>
          <w:szCs w:val="24"/>
          <w:highlight w:val="none"/>
          <w:lang w:val="en-US" w:eastAsia="zh-CN"/>
        </w:rPr>
        <w:t>同时满足《中华人民共和国生物安全法》、《病原微生物实验室生物安全管理条例》、《中华人民共和国人类遗传资源管理条例》等法律法规的规定。</w:t>
      </w:r>
    </w:p>
    <w:p>
      <w:pPr>
        <w:spacing w:line="400" w:lineRule="exact"/>
        <w:ind w:firstLine="468" w:firstLineChars="200"/>
        <w:rPr>
          <w:rFonts w:hint="eastAsia" w:ascii="方正仿宋_GBK" w:hAnsi="方正仿宋_GB2312" w:eastAsia="方正仿宋_GBK" w:cs="方正仿宋_GB2312"/>
          <w:b w:val="0"/>
          <w:bCs w:val="0"/>
          <w:color w:val="auto"/>
          <w:kern w:val="0"/>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rPr>
        <w:t>3.1.2标本管理：</w:t>
      </w:r>
      <w:r>
        <w:rPr>
          <w:rFonts w:hint="eastAsia" w:ascii="方正仿宋_GBK" w:hAnsi="方正仿宋_GB2312" w:eastAsia="方正仿宋_GBK" w:cs="方正仿宋_GB2312"/>
          <w:b w:val="0"/>
          <w:bCs w:val="0"/>
          <w:color w:val="auto"/>
          <w:kern w:val="0"/>
          <w:szCs w:val="24"/>
          <w:highlight w:val="none"/>
          <w:lang w:val="en-US" w:eastAsia="zh-CN"/>
        </w:rPr>
        <w:t>专人取送标本，标本接收人员负责标本质量的初检、标识的核对、标本的接收登记及包装储存；必须配置专用标本箱，标本箱每周至少一次的清洁消毒；规范化进行标本接收、登记和包装流程，保证标本质量和安全，特别注意玻片(玻璃制品)送检时防止压碎或者摔碎。</w:t>
      </w:r>
    </w:p>
    <w:p>
      <w:pPr>
        <w:spacing w:line="400" w:lineRule="exact"/>
        <w:ind w:firstLine="468" w:firstLineChars="200"/>
        <w:rPr>
          <w:rFonts w:hint="eastAsia" w:ascii="方正仿宋_GBK" w:hAnsi="方正仿宋_GB2312" w:eastAsia="方正仿宋_GBK" w:cs="方正仿宋_GB2312"/>
          <w:b w:val="0"/>
          <w:bCs w:val="0"/>
          <w:color w:val="auto"/>
          <w:kern w:val="0"/>
          <w:szCs w:val="24"/>
          <w:highlight w:val="none"/>
          <w:lang w:val="en-US" w:eastAsia="zh-CN"/>
        </w:rPr>
      </w:pPr>
      <w:r>
        <w:rPr>
          <w:rFonts w:hint="eastAsia" w:ascii="方正仿宋_GBK" w:hAnsi="方正仿宋_GB2312" w:eastAsia="方正仿宋_GBK" w:cs="方正仿宋_GB2312"/>
          <w:b w:val="0"/>
          <w:bCs w:val="0"/>
          <w:color w:val="auto"/>
          <w:kern w:val="0"/>
          <w:szCs w:val="24"/>
          <w:highlight w:val="none"/>
          <w:lang w:val="en-US" w:eastAsia="zh-CN"/>
        </w:rPr>
        <w:t>3.1.3标</w:t>
      </w:r>
      <w:r>
        <w:rPr>
          <w:rFonts w:hint="eastAsia" w:ascii="方正仿宋_GBK" w:hAnsi="宋体" w:eastAsia="方正仿宋_GBK" w:cs="Times New Roman"/>
          <w:color w:val="auto"/>
          <w:sz w:val="24"/>
          <w:szCs w:val="24"/>
          <w:highlight w:val="none"/>
          <w:lang w:val="en-US" w:eastAsia="zh-CN"/>
        </w:rPr>
        <w:t>本收取时间：</w:t>
      </w:r>
      <w:r>
        <w:rPr>
          <w:rFonts w:hint="eastAsia" w:ascii="方正仿宋_GBK" w:hAnsi="方正仿宋_GB2312" w:eastAsia="方正仿宋_GBK" w:cs="方正仿宋_GB2312"/>
          <w:b w:val="0"/>
          <w:bCs w:val="0"/>
          <w:color w:val="auto"/>
          <w:kern w:val="0"/>
          <w:szCs w:val="24"/>
          <w:highlight w:val="none"/>
          <w:lang w:val="en-US" w:eastAsia="zh-CN"/>
        </w:rPr>
        <w:t>每日来院接收标本的服务，来院服务时间为：上午8：30至17：30，服务频次为：每日下午15:00前的标本，当天送达，超过15:00的标本，第二日到达，节假日除外。遇特殊标本如血液标本有时限要求，可紧急收取后当天到达检测机构。</w:t>
      </w:r>
    </w:p>
    <w:p>
      <w:pPr>
        <w:spacing w:line="400" w:lineRule="exact"/>
        <w:ind w:firstLine="468" w:firstLineChars="200"/>
        <w:rPr>
          <w:rFonts w:hint="eastAsia" w:ascii="方正仿宋_GBK" w:hAnsi="方正仿宋_GB2312" w:eastAsia="方正仿宋_GBK" w:cs="方正仿宋_GB2312"/>
          <w:b w:val="0"/>
          <w:bCs w:val="0"/>
          <w:color w:val="auto"/>
          <w:kern w:val="0"/>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rPr>
        <w:t>3.1.4剩余样本处置方式:按照国家相关法律法规进行管理及处置，</w:t>
      </w:r>
      <w:r>
        <w:rPr>
          <w:rFonts w:hint="eastAsia" w:ascii="方正仿宋_GBK" w:hAnsi="方正仿宋_GB2312" w:eastAsia="方正仿宋_GBK" w:cs="方正仿宋_GB2312"/>
          <w:b w:val="0"/>
          <w:bCs w:val="0"/>
          <w:color w:val="auto"/>
          <w:kern w:val="0"/>
          <w:sz w:val="24"/>
          <w:szCs w:val="24"/>
          <w:highlight w:val="none"/>
          <w:lang w:val="en-US" w:eastAsia="zh-CN"/>
        </w:rPr>
        <w:t>保证对医疗机构送检的标本按规定保存时限进行保存，以备医疗机构复查。</w:t>
      </w:r>
      <w:r>
        <w:rPr>
          <w:rFonts w:hint="eastAsia" w:ascii="方正仿宋_GBK" w:hAnsi="宋体" w:eastAsia="方正仿宋_GBK" w:cs="Times New Roman"/>
          <w:color w:val="auto"/>
          <w:sz w:val="24"/>
          <w:szCs w:val="24"/>
          <w:highlight w:val="none"/>
          <w:lang w:val="en-US" w:eastAsia="zh-CN"/>
        </w:rPr>
        <w:t>同时满足《中华人民共和国生物安全法》、《病原微生物实验室生物安全管理条例》、《中华人民共和国人类遗传资源管理条例》等法律法规的规定。</w:t>
      </w:r>
    </w:p>
    <w:p>
      <w:pPr>
        <w:spacing w:line="400" w:lineRule="exact"/>
        <w:ind w:firstLine="468" w:firstLineChars="200"/>
        <w:rPr>
          <w:rFonts w:hint="eastAsia" w:ascii="方正仿宋_GBK" w:hAnsi="宋体" w:eastAsia="方正仿宋_GBK" w:cs="Times New Roman"/>
          <w:b w:val="0"/>
          <w:bCs w:val="0"/>
          <w:color w:val="auto"/>
          <w:kern w:val="2"/>
          <w:szCs w:val="24"/>
          <w:highlight w:val="none"/>
          <w:lang w:val="en-US" w:eastAsia="zh-CN"/>
        </w:rPr>
      </w:pPr>
      <w:r>
        <w:rPr>
          <w:rFonts w:hint="eastAsia" w:ascii="方正仿宋_GBK" w:hAnsi="宋体" w:eastAsia="方正仿宋_GBK" w:cs="Times New Roman"/>
          <w:b w:val="0"/>
          <w:bCs w:val="0"/>
          <w:color w:val="auto"/>
          <w:kern w:val="2"/>
          <w:szCs w:val="24"/>
          <w:highlight w:val="none"/>
          <w:lang w:val="en-US" w:eastAsia="zh-CN"/>
        </w:rPr>
        <w:t>3.1.5标本运输：具有生物标本运输资质或提供与具有生物标本运输资质公司的委托运输合同（提供证明材料复印件加盖投标人公章）</w:t>
      </w:r>
    </w:p>
    <w:p>
      <w:pPr>
        <w:spacing w:line="400" w:lineRule="exact"/>
        <w:ind w:firstLine="468" w:firstLineChars="200"/>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3.1.6</w:t>
      </w:r>
      <w:r>
        <w:rPr>
          <w:rFonts w:hint="eastAsia" w:ascii="方正仿宋_GBK" w:hAnsi="方正仿宋_GBK" w:eastAsia="方正仿宋_GBK" w:cs="方正仿宋_GBK"/>
          <w:color w:val="auto"/>
          <w:sz w:val="24"/>
          <w:szCs w:val="24"/>
          <w:highlight w:val="none"/>
        </w:rPr>
        <w:t>标本冷链物流</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要求</w:t>
      </w:r>
      <w:r>
        <w:rPr>
          <w:rFonts w:hint="eastAsia" w:ascii="方正仿宋_GBK" w:hAnsi="方正仿宋_GBK" w:eastAsia="方正仿宋_GBK" w:cs="方正仿宋_GBK"/>
          <w:color w:val="auto"/>
          <w:kern w:val="0"/>
          <w:sz w:val="24"/>
          <w:szCs w:val="24"/>
          <w:highlight w:val="none"/>
          <w:lang w:val="en-US" w:eastAsia="zh-CN"/>
        </w:rPr>
        <w:t>石蜡标本送检前后一致，转运前后外观保持一致；血液标本需在2小时内安全送达检测机构，且保证送检血液标本到达检测结构仍可正常使用；玻片(易碎品)，转运前后需保持外观一致。</w:t>
      </w:r>
    </w:p>
    <w:p>
      <w:pPr>
        <w:spacing w:line="400" w:lineRule="exact"/>
        <w:ind w:firstLine="468" w:firstLineChars="200"/>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3.1.7</w:t>
      </w:r>
      <w:r>
        <w:rPr>
          <w:rFonts w:hint="eastAsia" w:ascii="方正仿宋_GBK" w:hAnsi="方正仿宋_GB2312" w:eastAsia="方正仿宋_GBK" w:cs="方正仿宋_GB2312"/>
          <w:b w:val="0"/>
          <w:bCs w:val="0"/>
          <w:color w:val="auto"/>
          <w:kern w:val="0"/>
          <w:szCs w:val="24"/>
          <w:highlight w:val="none"/>
          <w:lang w:val="en-US" w:eastAsia="zh-CN"/>
        </w:rPr>
        <w:t>紧急情况下1小时内能到达现场收取标本。（提供承诺书，格式自拟）</w:t>
      </w:r>
    </w:p>
    <w:p>
      <w:pPr>
        <w:spacing w:line="400" w:lineRule="exact"/>
        <w:rPr>
          <w:rFonts w:hint="default" w:ascii="方正仿宋_GBK" w:hAnsi="方正仿宋_GB2312" w:eastAsia="方正仿宋_GBK" w:cs="方正仿宋_GB2312"/>
          <w:b/>
          <w:bCs/>
          <w:color w:val="auto"/>
          <w:kern w:val="0"/>
          <w:szCs w:val="24"/>
          <w:highlight w:val="none"/>
          <w:lang w:val="en-US" w:eastAsia="zh-CN"/>
        </w:rPr>
      </w:pPr>
      <w:r>
        <w:rPr>
          <w:rFonts w:hint="eastAsia" w:ascii="方正仿宋_GBK" w:hAnsi="方正仿宋_GB2312" w:eastAsia="方正仿宋_GBK" w:cs="方正仿宋_GB2312"/>
          <w:b/>
          <w:bCs/>
          <w:color w:val="auto"/>
          <w:kern w:val="0"/>
          <w:szCs w:val="24"/>
          <w:highlight w:val="none"/>
          <w:lang w:val="en-US" w:eastAsia="zh-CN"/>
        </w:rPr>
        <w:t>3.2物价收费</w:t>
      </w:r>
    </w:p>
    <w:p>
      <w:pPr>
        <w:spacing w:line="400" w:lineRule="exact"/>
        <w:ind w:firstLine="468" w:firstLineChars="200"/>
        <w:rPr>
          <w:rFonts w:hint="eastAsia" w:ascii="方正仿宋_GBK" w:hAnsi="方正仿宋_GB2312" w:eastAsia="方正仿宋_GBK" w:cs="方正仿宋_GB2312"/>
          <w:b w:val="0"/>
          <w:bCs w:val="0"/>
          <w:color w:val="auto"/>
          <w:kern w:val="0"/>
          <w:szCs w:val="24"/>
          <w:highlight w:val="none"/>
          <w:lang w:val="en-US" w:eastAsia="zh-CN"/>
        </w:rPr>
      </w:pPr>
      <w:r>
        <w:rPr>
          <w:rFonts w:hint="eastAsia" w:ascii="方正仿宋_GBK" w:hAnsi="方正仿宋_GB2312" w:eastAsia="方正仿宋_GBK" w:cs="方正仿宋_GB2312"/>
          <w:b w:val="0"/>
          <w:bCs w:val="0"/>
          <w:color w:val="auto"/>
          <w:kern w:val="0"/>
          <w:szCs w:val="24"/>
          <w:highlight w:val="none"/>
          <w:lang w:val="en-US" w:eastAsia="zh-CN"/>
        </w:rPr>
        <w:t>中标供应商实验室开展检验项目必须符合重庆市物价管理相关规定，严禁对检验检查项目套收和分解收费，并且对医保物价检查结果负责，如存在违规行为须等额承担医保物价罚款处罚。如果存在对物价收费标准疑问，需要通过沙坪坝区物价局和医院物价部门备案。（提供承诺书，格式自拟）</w:t>
      </w:r>
    </w:p>
    <w:p>
      <w:pPr>
        <w:spacing w:line="400" w:lineRule="exact"/>
        <w:rPr>
          <w:rFonts w:hint="eastAsia" w:ascii="方正仿宋_GBK" w:hAnsi="宋体" w:eastAsia="方正仿宋_GBK" w:cs="Times New Roman"/>
          <w:b/>
          <w:bCs/>
          <w:color w:val="auto"/>
          <w:kern w:val="2"/>
          <w:szCs w:val="24"/>
          <w:highlight w:val="none"/>
          <w:lang w:val="en-US" w:eastAsia="zh-CN"/>
        </w:rPr>
      </w:pPr>
      <w:r>
        <w:rPr>
          <w:rFonts w:hint="eastAsia" w:ascii="方正仿宋_GBK" w:hAnsi="方正仿宋_GB2312" w:eastAsia="方正仿宋_GBK" w:cs="方正仿宋_GB2312"/>
          <w:b/>
          <w:bCs/>
          <w:color w:val="auto"/>
          <w:kern w:val="0"/>
          <w:szCs w:val="24"/>
          <w:highlight w:val="none"/>
          <w:lang w:val="en-US" w:eastAsia="zh-CN"/>
        </w:rPr>
        <w:t>3.3检测</w:t>
      </w:r>
      <w:r>
        <w:rPr>
          <w:rFonts w:hint="eastAsia" w:ascii="方正仿宋_GBK" w:hAnsi="宋体" w:eastAsia="方正仿宋_GBK" w:cs="Times New Roman"/>
          <w:b/>
          <w:bCs/>
          <w:color w:val="auto"/>
          <w:kern w:val="2"/>
          <w:szCs w:val="24"/>
          <w:highlight w:val="none"/>
          <w:lang w:val="en-US" w:eastAsia="zh-CN"/>
        </w:rPr>
        <w:t>质量保证</w:t>
      </w:r>
    </w:p>
    <w:p>
      <w:pPr>
        <w:spacing w:line="400" w:lineRule="exact"/>
        <w:ind w:firstLine="234" w:firstLineChars="100"/>
        <w:rPr>
          <w:rFonts w:hint="eastAsia" w:ascii="方正仿宋_GBK" w:hAnsi="方正仿宋_GB2312" w:eastAsia="方正仿宋_GBK" w:cs="方正仿宋_GB2312"/>
          <w:b w:val="0"/>
          <w:bCs w:val="0"/>
          <w:color w:val="auto"/>
          <w:kern w:val="0"/>
          <w:szCs w:val="24"/>
          <w:highlight w:val="none"/>
          <w:lang w:val="en-US" w:eastAsia="zh-CN"/>
        </w:rPr>
      </w:pPr>
      <w:r>
        <w:rPr>
          <w:rFonts w:hint="eastAsia" w:ascii="方正仿宋_GBK" w:hAnsi="方正仿宋_GB2312" w:eastAsia="方正仿宋_GBK" w:cs="方正仿宋_GB2312"/>
          <w:b w:val="0"/>
          <w:bCs w:val="0"/>
          <w:color w:val="auto"/>
          <w:kern w:val="0"/>
          <w:szCs w:val="24"/>
          <w:highlight w:val="none"/>
          <w:lang w:val="en-US" w:eastAsia="zh-CN"/>
        </w:rPr>
        <w:t>3.3.1所有项目需作日常室内质评活动，并定期提供相关材料；</w:t>
      </w:r>
    </w:p>
    <w:p>
      <w:pPr>
        <w:spacing w:line="400" w:lineRule="exact"/>
        <w:ind w:firstLine="234" w:firstLineChars="100"/>
        <w:rPr>
          <w:rFonts w:hint="eastAsia" w:ascii="方正仿宋_GBK" w:hAnsi="方正仿宋_GB2312" w:eastAsia="方正仿宋_GBK" w:cs="方正仿宋_GB2312"/>
          <w:b w:val="0"/>
          <w:bCs w:val="0"/>
          <w:color w:val="auto"/>
          <w:kern w:val="0"/>
          <w:szCs w:val="24"/>
          <w:highlight w:val="none"/>
          <w:lang w:val="en-US" w:eastAsia="zh-CN"/>
        </w:rPr>
      </w:pPr>
      <w:r>
        <w:rPr>
          <w:rFonts w:hint="eastAsia" w:ascii="方正仿宋_GBK" w:hAnsi="方正仿宋_GB2312" w:eastAsia="方正仿宋_GBK" w:cs="方正仿宋_GB2312"/>
          <w:b w:val="0"/>
          <w:bCs w:val="0"/>
          <w:color w:val="auto"/>
          <w:kern w:val="0"/>
          <w:szCs w:val="24"/>
          <w:highlight w:val="none"/>
          <w:lang w:val="en-US" w:eastAsia="zh-CN"/>
        </w:rPr>
        <w:t>3.3.2病理标本遗失、损坏，次数累计每年度≤1例；服务期内报告的延迟≤1/1000例；</w:t>
      </w:r>
    </w:p>
    <w:p>
      <w:pPr>
        <w:spacing w:line="400" w:lineRule="exact"/>
        <w:ind w:firstLine="234" w:firstLineChars="100"/>
        <w:rPr>
          <w:rFonts w:hint="eastAsia"/>
          <w:lang w:val="en-US" w:eastAsia="zh-CN"/>
        </w:rPr>
      </w:pPr>
      <w:r>
        <w:rPr>
          <w:rFonts w:hint="eastAsia" w:ascii="方正仿宋_GBK" w:hAnsi="方正仿宋_GB2312" w:eastAsia="方正仿宋_GBK" w:cs="方正仿宋_GB2312"/>
          <w:b w:val="0"/>
          <w:bCs w:val="0"/>
          <w:color w:val="auto"/>
          <w:kern w:val="0"/>
          <w:szCs w:val="24"/>
          <w:highlight w:val="none"/>
          <w:lang w:val="en-US" w:eastAsia="zh-CN"/>
        </w:rPr>
        <w:t>3.3.3检测结果的差错比≤1/10000；检测结果与临床诊断相符程度≥99%，不可出现前后矛盾或者检测项目与医嘱不符，若需变动项目，需提前沟通送检单位后确定。</w:t>
      </w:r>
    </w:p>
    <w:p>
      <w:pPr>
        <w:spacing w:line="400" w:lineRule="exact"/>
        <w:ind w:firstLine="234" w:firstLineChars="100"/>
        <w:rPr>
          <w:rFonts w:hint="eastAsia" w:ascii="方正仿宋_GBK" w:hAnsi="方正仿宋_GB2312" w:eastAsia="方正仿宋_GBK" w:cs="方正仿宋_GB2312"/>
          <w:b w:val="0"/>
          <w:bCs w:val="0"/>
          <w:color w:val="auto"/>
          <w:kern w:val="0"/>
          <w:szCs w:val="24"/>
          <w:highlight w:val="none"/>
          <w:lang w:val="en-US" w:eastAsia="zh-CN"/>
        </w:rPr>
      </w:pPr>
      <w:r>
        <w:rPr>
          <w:rFonts w:hint="eastAsia" w:ascii="方正仿宋_GBK" w:hAnsi="方正仿宋_GB2312" w:eastAsia="方正仿宋_GBK" w:cs="方正仿宋_GB2312"/>
          <w:b w:val="0"/>
          <w:bCs w:val="0"/>
          <w:color w:val="auto"/>
          <w:kern w:val="0"/>
          <w:szCs w:val="24"/>
          <w:highlight w:val="none"/>
          <w:lang w:val="en-US" w:eastAsia="zh-CN"/>
        </w:rPr>
        <w:t>3.3.4投标人所使用的检验检查试剂及耗材质量标准均符合国家食药监局要求及医用耗材管理相关规定，必须提供相应注册证，或者提供临床治疗试剂满足第三类试剂证书。（提供承诺书，格式自拟）</w:t>
      </w:r>
    </w:p>
    <w:p>
      <w:pPr>
        <w:spacing w:line="400" w:lineRule="exact"/>
        <w:rPr>
          <w:rFonts w:hint="eastAsia" w:ascii="方正仿宋_GBK" w:hAnsi="方正仿宋_GB2312" w:eastAsia="方正仿宋_GBK" w:cs="方正仿宋_GB2312"/>
          <w:b/>
          <w:bCs/>
          <w:color w:val="auto"/>
          <w:kern w:val="0"/>
          <w:szCs w:val="24"/>
          <w:highlight w:val="none"/>
          <w:lang w:val="en-US" w:eastAsia="zh-CN"/>
        </w:rPr>
      </w:pPr>
      <w:r>
        <w:rPr>
          <w:rFonts w:hint="eastAsia" w:ascii="方正仿宋_GBK" w:hAnsi="方正仿宋_GB2312" w:eastAsia="方正仿宋_GBK" w:cs="方正仿宋_GB2312"/>
          <w:b/>
          <w:bCs/>
          <w:color w:val="auto"/>
          <w:kern w:val="0"/>
          <w:szCs w:val="24"/>
          <w:highlight w:val="none"/>
          <w:lang w:val="en-US" w:eastAsia="zh-CN"/>
        </w:rPr>
        <w:t>3.4报告出具</w:t>
      </w:r>
    </w:p>
    <w:p>
      <w:pPr>
        <w:spacing w:line="400" w:lineRule="exact"/>
        <w:ind w:firstLine="234" w:firstLineChars="100"/>
        <w:rPr>
          <w:rFonts w:hint="eastAsia" w:ascii="方正仿宋_GBK" w:hAnsi="方正仿宋_GB2312" w:eastAsia="方正仿宋_GBK" w:cs="方正仿宋_GB2312"/>
          <w:color w:val="auto"/>
          <w:kern w:val="0"/>
          <w:sz w:val="24"/>
          <w:szCs w:val="24"/>
          <w:highlight w:val="none"/>
          <w:lang w:val="en-US" w:eastAsia="zh-CN"/>
        </w:rPr>
      </w:pPr>
      <w:r>
        <w:rPr>
          <w:rFonts w:hint="eastAsia" w:ascii="方正仿宋_GBK" w:hAnsi="方正仿宋_GB2312" w:eastAsia="方正仿宋_GBK" w:cs="方正仿宋_GB2312"/>
          <w:b w:val="0"/>
          <w:bCs w:val="0"/>
          <w:color w:val="auto"/>
          <w:kern w:val="0"/>
          <w:szCs w:val="24"/>
          <w:highlight w:val="none"/>
          <w:lang w:val="en-US" w:eastAsia="zh-CN"/>
        </w:rPr>
        <w:t>3.4.1</w:t>
      </w:r>
      <w:r>
        <w:rPr>
          <w:rFonts w:hint="eastAsia" w:ascii="方正仿宋_GBK" w:hAnsi="方正仿宋_GB2312" w:eastAsia="方正仿宋_GBK" w:cs="方正仿宋_GB2312"/>
          <w:color w:val="auto"/>
          <w:kern w:val="0"/>
          <w:sz w:val="24"/>
          <w:szCs w:val="24"/>
          <w:highlight w:val="none"/>
          <w:lang w:val="en-US" w:eastAsia="zh-CN"/>
        </w:rPr>
        <w:t>出具分子病理诊断报告须副主任医师及以上医师签字审核。</w:t>
      </w:r>
    </w:p>
    <w:p>
      <w:pPr>
        <w:spacing w:line="400" w:lineRule="exact"/>
        <w:ind w:firstLine="234" w:firstLineChars="100"/>
        <w:rPr>
          <w:rFonts w:hint="eastAsia" w:ascii="方正仿宋_GBK" w:hAnsi="方正仿宋_GB2312" w:eastAsia="方正仿宋_GBK" w:cs="方正仿宋_GB2312"/>
          <w:color w:val="auto"/>
          <w:kern w:val="0"/>
          <w:sz w:val="24"/>
          <w:szCs w:val="24"/>
          <w:highlight w:val="none"/>
          <w:lang w:val="en-US" w:eastAsia="zh-CN"/>
        </w:rPr>
      </w:pPr>
      <w:r>
        <w:rPr>
          <w:rFonts w:hint="eastAsia" w:ascii="方正仿宋_GBK" w:hAnsi="方正仿宋_GB2312" w:eastAsia="方正仿宋_GBK" w:cs="方正仿宋_GB2312"/>
          <w:color w:val="auto"/>
          <w:kern w:val="0"/>
          <w:sz w:val="24"/>
          <w:szCs w:val="24"/>
          <w:highlight w:val="none"/>
          <w:lang w:val="en-US" w:eastAsia="zh-CN"/>
        </w:rPr>
        <w:t>3.4.2针对疑难病理报告会诊，出具病理会诊报告医师资质须由副主任医师及以上医师签字审核。</w:t>
      </w:r>
    </w:p>
    <w:p>
      <w:pPr>
        <w:spacing w:line="400" w:lineRule="exact"/>
        <w:ind w:firstLine="234" w:firstLineChars="1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3.4.3出具报告时间</w:t>
      </w:r>
    </w:p>
    <w:p>
      <w:pPr>
        <w:spacing w:line="400" w:lineRule="exact"/>
        <w:ind w:firstLine="234" w:firstLineChars="100"/>
        <w:rPr>
          <w:rFonts w:hint="default" w:ascii="方正仿宋_GBK" w:hAnsi="方正仿宋_GB2312" w:eastAsia="方正仿宋_GBK" w:cs="方正仿宋_GB2312"/>
          <w:b w:val="0"/>
          <w:bCs w:val="0"/>
          <w:color w:val="auto"/>
          <w:kern w:val="0"/>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自检测科室收到标本开始至发放到临床科室，疑难病理报告时间不超过5个工作日。分子病理报告自分子检测实验室收到申请单开始不超过10个工作日。如遇特殊或疑难病例，双方协商后增加检测项目或需会诊讨论，则适当延长时间。如因检测失败需重新采集样本、邮寄其他蜡块或者退费，通知时间不超过2个工作日。</w:t>
      </w:r>
    </w:p>
    <w:p>
      <w:pPr>
        <w:spacing w:line="400" w:lineRule="exact"/>
        <w:rPr>
          <w:rFonts w:hint="eastAsia" w:ascii="方正仿宋_GBK" w:hAnsi="宋体" w:eastAsia="方正仿宋_GBK" w:cs="Times New Roman"/>
          <w:b/>
          <w:bCs/>
          <w:color w:val="auto"/>
          <w:kern w:val="2"/>
          <w:sz w:val="24"/>
          <w:szCs w:val="24"/>
          <w:highlight w:val="none"/>
          <w:lang w:val="en-US" w:eastAsia="zh-CN"/>
        </w:rPr>
      </w:pPr>
      <w:r>
        <w:rPr>
          <w:rFonts w:hint="eastAsia" w:ascii="方正仿宋_GBK" w:hAnsi="方正仿宋_GB2312" w:eastAsia="方正仿宋_GBK" w:cs="方正仿宋_GB2312"/>
          <w:b/>
          <w:bCs/>
          <w:color w:val="auto"/>
          <w:kern w:val="0"/>
          <w:sz w:val="24"/>
          <w:szCs w:val="24"/>
          <w:highlight w:val="none"/>
          <w:lang w:val="en-US" w:eastAsia="zh-CN"/>
        </w:rPr>
        <w:t>3.5</w:t>
      </w:r>
      <w:r>
        <w:rPr>
          <w:rFonts w:hint="eastAsia" w:ascii="方正仿宋_GBK" w:hAnsi="宋体" w:eastAsia="方正仿宋_GBK" w:cs="Times New Roman"/>
          <w:b/>
          <w:bCs/>
          <w:color w:val="auto"/>
          <w:kern w:val="2"/>
          <w:sz w:val="24"/>
          <w:szCs w:val="24"/>
          <w:highlight w:val="none"/>
          <w:lang w:val="en-US" w:eastAsia="zh-CN"/>
        </w:rPr>
        <w:t>科研支撑：</w:t>
      </w:r>
    </w:p>
    <w:p>
      <w:pPr>
        <w:spacing w:line="400" w:lineRule="exact"/>
        <w:rPr>
          <w:rFonts w:hint="eastAsia" w:ascii="方正仿宋_GBK" w:hAnsi="宋体" w:eastAsia="方正仿宋_GBK" w:cs="Times New Roman"/>
          <w:b/>
          <w:bCs/>
          <w:color w:val="auto"/>
          <w:sz w:val="24"/>
          <w:szCs w:val="24"/>
          <w:highlight w:val="none"/>
          <w:lang w:val="en-US" w:eastAsia="zh-CN"/>
        </w:rPr>
      </w:pPr>
      <w:r>
        <w:rPr>
          <w:rFonts w:hint="eastAsia" w:ascii="方正仿宋_GBK" w:hAnsi="宋体" w:eastAsia="方正仿宋_GBK" w:cs="Times New Roman"/>
          <w:color w:val="auto"/>
          <w:sz w:val="24"/>
          <w:szCs w:val="24"/>
          <w:highlight w:val="none"/>
        </w:rPr>
        <w:t>供应商具备较强的科研能力，</w:t>
      </w:r>
      <w:r>
        <w:rPr>
          <w:rFonts w:hint="eastAsia" w:ascii="方正仿宋_GBK" w:hAnsi="宋体" w:eastAsia="方正仿宋_GBK" w:cs="Times New Roman"/>
          <w:color w:val="auto"/>
          <w:sz w:val="24"/>
          <w:szCs w:val="24"/>
          <w:highlight w:val="none"/>
          <w:lang w:val="en-US" w:eastAsia="zh-CN"/>
        </w:rPr>
        <w:t>有相应的人才平台、技术平台和能力，并为采购人提供科研</w:t>
      </w:r>
      <w:r>
        <w:rPr>
          <w:rFonts w:hint="eastAsia" w:ascii="方正仿宋_GBK" w:hAnsi="宋体" w:eastAsia="方正仿宋_GBK" w:cs="Times New Roman"/>
          <w:color w:val="auto"/>
          <w:sz w:val="24"/>
          <w:szCs w:val="24"/>
          <w:highlight w:val="none"/>
          <w:lang w:eastAsia="zh-CN"/>
        </w:rPr>
        <w:t>协助</w:t>
      </w:r>
      <w:r>
        <w:rPr>
          <w:rFonts w:hint="eastAsia" w:ascii="方正仿宋_GBK" w:hAnsi="宋体" w:eastAsia="方正仿宋_GBK" w:cs="Times New Roman"/>
          <w:color w:val="auto"/>
          <w:sz w:val="24"/>
          <w:szCs w:val="24"/>
          <w:highlight w:val="none"/>
          <w:lang w:val="en-US" w:eastAsia="zh-CN"/>
        </w:rPr>
        <w:t>服务。</w:t>
      </w:r>
      <w:r>
        <w:rPr>
          <w:rFonts w:hint="eastAsia" w:ascii="方正仿宋_GBK" w:hAnsi="宋体" w:eastAsia="方正仿宋_GBK" w:cs="Times New Roman"/>
          <w:color w:val="auto"/>
          <w:sz w:val="24"/>
          <w:szCs w:val="24"/>
          <w:highlight w:val="none"/>
          <w:lang w:eastAsia="zh-CN"/>
        </w:rPr>
        <w:t>具体内容包括但不限于相关人员的理论/实验技能培训和学术交流以及继续教育培训机会，授课和科研支持（</w:t>
      </w:r>
      <w:r>
        <w:rPr>
          <w:rFonts w:hint="eastAsia" w:ascii="方正仿宋_GBK" w:hAnsi="宋体" w:eastAsia="方正仿宋_GBK" w:cs="Times New Roman"/>
          <w:color w:val="auto"/>
          <w:sz w:val="24"/>
          <w:szCs w:val="24"/>
          <w:highlight w:val="none"/>
          <w:lang w:val="en-US" w:eastAsia="zh-CN"/>
        </w:rPr>
        <w:t>协助</w:t>
      </w:r>
      <w:r>
        <w:rPr>
          <w:rFonts w:hint="eastAsia" w:ascii="方正仿宋_GBK" w:hAnsi="方正仿宋_GB2312" w:eastAsia="方正仿宋_GBK" w:cs="方正仿宋_GB2312"/>
          <w:b w:val="0"/>
          <w:bCs w:val="0"/>
          <w:color w:val="auto"/>
          <w:kern w:val="0"/>
          <w:szCs w:val="24"/>
          <w:highlight w:val="none"/>
          <w:lang w:val="en-US" w:eastAsia="zh-CN"/>
        </w:rPr>
        <w:t>创建省市重点专科建设、ISO15189实验室）；提供科研方面的帮助，包括提供科研项目的实验平台（只适当收取试剂、耗材的成本费）；</w:t>
      </w:r>
      <w:r>
        <w:rPr>
          <w:rFonts w:hint="eastAsia" w:ascii="方正仿宋_GBK" w:hAnsi="宋体" w:eastAsia="方正仿宋_GBK" w:cs="Times New Roman"/>
          <w:color w:val="auto"/>
          <w:sz w:val="24"/>
          <w:szCs w:val="24"/>
          <w:highlight w:val="none"/>
          <w:lang w:eastAsia="zh-CN"/>
        </w:rPr>
        <w:t>项目宣传支持，为</w:t>
      </w:r>
      <w:r>
        <w:rPr>
          <w:rFonts w:hint="eastAsia" w:ascii="方正仿宋_GBK" w:hAnsi="宋体" w:eastAsia="方正仿宋_GBK" w:cs="Times New Roman"/>
          <w:color w:val="auto"/>
          <w:sz w:val="24"/>
          <w:szCs w:val="24"/>
          <w:highlight w:val="none"/>
          <w:lang w:val="en-US" w:eastAsia="zh-CN"/>
        </w:rPr>
        <w:t>甲方</w:t>
      </w:r>
      <w:r>
        <w:rPr>
          <w:rFonts w:hint="eastAsia" w:ascii="方正仿宋_GBK" w:hAnsi="宋体" w:eastAsia="方正仿宋_GBK" w:cs="Times New Roman"/>
          <w:color w:val="auto"/>
          <w:sz w:val="24"/>
          <w:szCs w:val="24"/>
          <w:highlight w:val="none"/>
          <w:lang w:eastAsia="zh-CN"/>
        </w:rPr>
        <w:t>提供免费检测数据共享，为临床科室提供咨询支持，协助临床科室报告解读。</w:t>
      </w:r>
    </w:p>
    <w:p>
      <w:pPr>
        <w:spacing w:line="400" w:lineRule="exact"/>
        <w:rPr>
          <w:rFonts w:hint="eastAsia" w:ascii="方正仿宋_GBK" w:hAnsi="宋体" w:eastAsia="方正仿宋_GBK" w:cs="Times New Roman"/>
          <w:b/>
          <w:bCs/>
          <w:color w:val="auto"/>
          <w:sz w:val="24"/>
          <w:szCs w:val="24"/>
          <w:highlight w:val="none"/>
          <w:lang w:val="en-US" w:eastAsia="zh-CN"/>
        </w:rPr>
      </w:pPr>
      <w:r>
        <w:rPr>
          <w:rFonts w:hint="eastAsia" w:ascii="方正仿宋_GBK" w:hAnsi="宋体" w:eastAsia="方正仿宋_GBK" w:cs="Times New Roman"/>
          <w:b/>
          <w:bCs/>
          <w:color w:val="auto"/>
          <w:sz w:val="24"/>
          <w:szCs w:val="24"/>
          <w:highlight w:val="none"/>
          <w:lang w:val="en-US" w:eastAsia="zh-CN"/>
        </w:rPr>
        <w:t>3.6人员、设备、试剂及软件要求：</w:t>
      </w:r>
    </w:p>
    <w:p>
      <w:pPr>
        <w:spacing w:line="400" w:lineRule="exact"/>
        <w:ind w:firstLine="234" w:firstLineChars="100"/>
        <w:rPr>
          <w:rFonts w:hint="eastAsia" w:ascii="方正仿宋_GBK" w:hAnsi="宋体" w:eastAsia="方正仿宋_GBK" w:cs="Times New Roman"/>
          <w:color w:val="auto"/>
          <w:kern w:val="2"/>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rPr>
        <w:t>3.6.1人员要求：具有病理学专业执业范围及副主任医师及以上职称的医师</w:t>
      </w:r>
      <w:r>
        <w:rPr>
          <w:rFonts w:hint="eastAsia" w:ascii="方正仿宋_GBK" w:hAnsi="宋体" w:eastAsia="方正仿宋_GBK" w:cs="Times New Roman"/>
          <w:color w:val="auto"/>
          <w:sz w:val="24"/>
          <w:szCs w:val="24"/>
          <w:highlight w:val="none"/>
          <w:lang w:val="en-US" w:eastAsia="zh-CN"/>
        </w:rPr>
        <w:t>，</w:t>
      </w:r>
      <w:r>
        <w:rPr>
          <w:rFonts w:hint="eastAsia" w:ascii="方正仿宋_GBK" w:hAnsi="宋体" w:eastAsia="方正仿宋_GBK" w:cs="Times New Roman"/>
          <w:color w:val="auto"/>
          <w:kern w:val="2"/>
          <w:sz w:val="24"/>
          <w:szCs w:val="24"/>
          <w:highlight w:val="none"/>
          <w:lang w:val="en-US" w:eastAsia="zh-CN"/>
        </w:rPr>
        <w:t>且须长期从事临床一线工作审核、会诊报告；技师需取得病理技术职称，且有PCR操作相关资质</w:t>
      </w:r>
      <w:r>
        <w:rPr>
          <w:rFonts w:hint="eastAsia" w:ascii="方正仿宋_GBK" w:hAnsi="宋体" w:eastAsia="方正仿宋_GBK" w:cs="Times New Roman"/>
          <w:color w:val="auto"/>
          <w:sz w:val="24"/>
          <w:szCs w:val="24"/>
          <w:highlight w:val="none"/>
          <w:lang w:val="en-US" w:eastAsia="zh-CN"/>
        </w:rPr>
        <w:t>。（</w:t>
      </w:r>
      <w:r>
        <w:rPr>
          <w:rFonts w:hint="eastAsia" w:ascii="方正仿宋_GBK" w:hAnsi="方正仿宋_GBK" w:eastAsia="方正仿宋_GBK" w:cs="方正仿宋_GBK"/>
          <w:color w:val="auto"/>
          <w:kern w:val="0"/>
          <w:sz w:val="24"/>
          <w:szCs w:val="24"/>
          <w:highlight w:val="none"/>
        </w:rPr>
        <w:t>提供实验室内参与服务的中高级专业技术人员职称证明文件</w:t>
      </w:r>
      <w:r>
        <w:rPr>
          <w:rFonts w:hint="eastAsia" w:ascii="方正仿宋_GBK" w:hAnsi="方正仿宋_GBK" w:eastAsia="方正仿宋_GBK" w:cs="方正仿宋_GBK"/>
          <w:color w:val="auto"/>
          <w:kern w:val="0"/>
          <w:sz w:val="24"/>
          <w:szCs w:val="24"/>
          <w:highlight w:val="none"/>
          <w:lang w:eastAsia="zh-CN"/>
        </w:rPr>
        <w:t>）</w:t>
      </w:r>
    </w:p>
    <w:p>
      <w:pPr>
        <w:spacing w:line="400" w:lineRule="exact"/>
        <w:ind w:firstLine="234" w:firstLineChars="100"/>
        <w:rPr>
          <w:rFonts w:hint="default" w:ascii="方正仿宋_GBK" w:hAnsi="宋体" w:eastAsia="方正仿宋_GBK" w:cs="Times New Roman"/>
          <w:color w:val="auto"/>
          <w:kern w:val="2"/>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rPr>
        <w:t>3.6.2设备要求：需具备完整的一代测序、二代测序、三代测序、PCR、FISH平台，ALK及PD-L1平台需有“临床基因测序仪”医疗器械注册证。（提供相应设备清单及其对应医疗器械注册证）</w:t>
      </w:r>
    </w:p>
    <w:p>
      <w:pPr>
        <w:spacing w:line="400" w:lineRule="exact"/>
        <w:ind w:firstLine="234" w:firstLineChars="1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kern w:val="2"/>
          <w:sz w:val="24"/>
          <w:szCs w:val="24"/>
          <w:highlight w:val="none"/>
          <w:lang w:val="en-US" w:eastAsia="zh-CN"/>
        </w:rPr>
        <w:t>3.6.3试剂要求：用于</w:t>
      </w:r>
      <w:r>
        <w:rPr>
          <w:rFonts w:hint="eastAsia" w:ascii="方正仿宋_GBK" w:hAnsi="宋体" w:eastAsia="方正仿宋_GBK" w:cs="Times New Roman"/>
          <w:color w:val="auto"/>
          <w:sz w:val="24"/>
          <w:szCs w:val="24"/>
          <w:highlight w:val="none"/>
          <w:lang w:val="en-US" w:eastAsia="zh-CN"/>
        </w:rPr>
        <w:t>基因检测的检测试剂需具备医疗器械注册证。</w:t>
      </w:r>
      <w:r>
        <w:rPr>
          <w:rFonts w:hint="eastAsia" w:ascii="方正仿宋_GBK" w:hAnsi="宋体" w:eastAsia="方正仿宋_GBK" w:cs="Times New Roman"/>
          <w:color w:val="auto"/>
          <w:sz w:val="24"/>
          <w:szCs w:val="24"/>
          <w:highlight w:val="none"/>
        </w:rPr>
        <w:t>（提供</w:t>
      </w:r>
      <w:r>
        <w:rPr>
          <w:rFonts w:hint="eastAsia" w:ascii="方正仿宋_GBK" w:hAnsi="宋体" w:eastAsia="方正仿宋_GBK" w:cs="Times New Roman"/>
          <w:color w:val="auto"/>
          <w:sz w:val="24"/>
          <w:szCs w:val="24"/>
          <w:highlight w:val="none"/>
          <w:lang w:val="en-US" w:eastAsia="zh-CN"/>
        </w:rPr>
        <w:t>承诺函</w:t>
      </w:r>
      <w:r>
        <w:rPr>
          <w:rFonts w:hint="eastAsia" w:ascii="方正仿宋_GBK" w:hAnsi="宋体" w:eastAsia="方正仿宋_GBK" w:cs="Times New Roman"/>
          <w:color w:val="auto"/>
          <w:sz w:val="24"/>
          <w:szCs w:val="24"/>
          <w:highlight w:val="none"/>
        </w:rPr>
        <w:t>）</w:t>
      </w:r>
    </w:p>
    <w:p>
      <w:pPr>
        <w:spacing w:line="400" w:lineRule="exact"/>
        <w:ind w:firstLine="234" w:firstLineChars="100"/>
        <w:rPr>
          <w:rFonts w:hint="eastAsia" w:ascii="方正仿宋_GBK" w:hAnsi="宋体" w:eastAsia="方正仿宋_GBK" w:cs="Times New Roman"/>
          <w:color w:val="auto"/>
          <w:kern w:val="2"/>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rPr>
        <w:t>3.6.4软件要求：供应商免费为采购人提供系统接入LIS服务，或在自有系统开通线上报告查询途径</w:t>
      </w:r>
      <w:r>
        <w:rPr>
          <w:rFonts w:hint="eastAsia" w:ascii="方正仿宋_GBK" w:hAnsi="宋体" w:eastAsia="方正仿宋_GBK" w:cs="Times New Roman"/>
          <w:b w:val="0"/>
          <w:bCs w:val="0"/>
          <w:color w:val="auto"/>
          <w:kern w:val="2"/>
          <w:sz w:val="24"/>
          <w:szCs w:val="24"/>
          <w:highlight w:val="none"/>
          <w:lang w:val="en-US" w:eastAsia="zh-CN"/>
        </w:rPr>
        <w:t>（提供承诺函）</w:t>
      </w:r>
      <w:r>
        <w:rPr>
          <w:rFonts w:hint="eastAsia" w:ascii="方正仿宋_GBK" w:hAnsi="宋体" w:eastAsia="方正仿宋_GBK" w:cs="Times New Roman"/>
          <w:color w:val="auto"/>
          <w:kern w:val="2"/>
          <w:sz w:val="24"/>
          <w:szCs w:val="24"/>
          <w:highlight w:val="none"/>
          <w:lang w:val="en-US" w:eastAsia="zh-CN"/>
        </w:rPr>
        <w:t>，</w:t>
      </w:r>
      <w:r>
        <w:rPr>
          <w:rFonts w:hint="eastAsia" w:ascii="方正仿宋_GBK" w:hAnsi="宋体" w:eastAsia="方正仿宋_GBK" w:cs="Times New Roman"/>
          <w:b w:val="0"/>
          <w:bCs w:val="0"/>
          <w:color w:val="auto"/>
          <w:kern w:val="2"/>
          <w:szCs w:val="24"/>
          <w:highlight w:val="none"/>
          <w:lang w:val="en-US" w:eastAsia="zh-CN"/>
        </w:rPr>
        <w:t>检测方按项目手册中承诺的时间发出报告，并提供系统使用的必要培训与技术支持。</w:t>
      </w:r>
      <w:r>
        <w:rPr>
          <w:rFonts w:hint="eastAsia" w:ascii="方正仿宋_GBK" w:hAnsi="宋体" w:eastAsia="方正仿宋_GBK" w:cs="Times New Roman"/>
          <w:color w:val="auto"/>
          <w:kern w:val="2"/>
          <w:sz w:val="24"/>
          <w:szCs w:val="24"/>
          <w:highlight w:val="none"/>
          <w:lang w:val="en-US" w:eastAsia="zh-CN"/>
        </w:rPr>
        <w:t>必要时按采购人要求提供样本检测信息、质控信息、检测结果等数据。</w:t>
      </w:r>
    </w:p>
    <w:p>
      <w:pPr>
        <w:pStyle w:val="37"/>
        <w:snapToGrid w:val="0"/>
        <w:spacing w:line="500" w:lineRule="exact"/>
        <w:ind w:left="0" w:leftChars="0" w:firstLine="274" w:firstLineChars="100"/>
        <w:jc w:val="both"/>
        <w:rPr>
          <w:rFonts w:ascii="黑体" w:eastAsia="黑体"/>
          <w:color w:val="auto"/>
          <w:kern w:val="2"/>
          <w:sz w:val="28"/>
          <w:szCs w:val="28"/>
        </w:rPr>
      </w:pPr>
      <w:r>
        <w:rPr>
          <w:rFonts w:hint="eastAsia" w:ascii="黑体" w:eastAsia="黑体"/>
          <w:color w:val="auto"/>
          <w:kern w:val="2"/>
          <w:sz w:val="28"/>
          <w:szCs w:val="28"/>
        </w:rPr>
        <w:t xml:space="preserve">三、商务需求   </w:t>
      </w:r>
    </w:p>
    <w:p>
      <w:pPr>
        <w:snapToGrid w:val="0"/>
        <w:spacing w:line="400" w:lineRule="exact"/>
        <w:ind w:firstLine="468" w:firstLineChars="200"/>
        <w:rPr>
          <w:rFonts w:ascii="方正仿宋_GBK" w:hAnsi="方正仿宋_GB2312" w:eastAsia="方正仿宋_GBK" w:cs="方正仿宋_GB2312"/>
          <w:b/>
          <w:bCs/>
          <w:color w:val="000000"/>
          <w:kern w:val="0"/>
          <w:szCs w:val="24"/>
        </w:rPr>
      </w:pPr>
      <w:r>
        <w:rPr>
          <w:rFonts w:hint="eastAsia"/>
          <w:color w:val="auto"/>
          <w:highlight w:val="none"/>
        </w:rPr>
        <w:t>★</w:t>
      </w:r>
      <w:r>
        <w:rPr>
          <w:rFonts w:hint="eastAsia" w:ascii="方正仿宋_GBK" w:hAnsi="方正仿宋_GB2312" w:eastAsia="方正仿宋_GBK" w:cs="方正仿宋_GB2312"/>
          <w:b/>
          <w:bCs/>
          <w:color w:val="000000"/>
          <w:kern w:val="0"/>
          <w:szCs w:val="24"/>
        </w:rPr>
        <w:t>（一）服务时间</w:t>
      </w:r>
    </w:p>
    <w:p>
      <w:pPr>
        <w:snapToGrid w:val="0"/>
        <w:spacing w:line="400" w:lineRule="exact"/>
        <w:ind w:firstLine="585" w:firstLineChars="250"/>
        <w:rPr>
          <w:rFonts w:ascii="方正仿宋_GBK" w:hAnsi="方正仿宋_GB2312" w:eastAsia="方正仿宋_GBK" w:cs="方正仿宋_GB2312"/>
          <w:color w:val="000000"/>
          <w:kern w:val="0"/>
          <w:szCs w:val="24"/>
          <w:highlight w:val="none"/>
        </w:rPr>
      </w:pPr>
      <w:r>
        <w:rPr>
          <w:rFonts w:hint="eastAsia" w:ascii="方正仿宋_GBK" w:hAnsi="方正仿宋_GB2312" w:eastAsia="方正仿宋_GBK" w:cs="方正仿宋_GB2312"/>
          <w:color w:val="000000"/>
          <w:kern w:val="0"/>
          <w:szCs w:val="24"/>
          <w:highlight w:val="none"/>
          <w:lang w:val="en-US" w:eastAsia="zh-CN"/>
        </w:rPr>
        <w:t>自合同签订之日起1年。</w:t>
      </w:r>
    </w:p>
    <w:p>
      <w:pPr>
        <w:snapToGrid w:val="0"/>
        <w:spacing w:line="400" w:lineRule="exact"/>
        <w:ind w:firstLine="468" w:firstLineChars="200"/>
        <w:rPr>
          <w:rFonts w:ascii="方正仿宋_GBK" w:hAnsi="方正仿宋_GB2312" w:eastAsia="方正仿宋_GBK" w:cs="方正仿宋_GB2312"/>
          <w:b/>
          <w:bCs/>
          <w:color w:val="000000"/>
          <w:kern w:val="0"/>
          <w:szCs w:val="24"/>
        </w:rPr>
      </w:pPr>
      <w:r>
        <w:rPr>
          <w:rFonts w:hint="eastAsia"/>
          <w:color w:val="auto"/>
          <w:highlight w:val="none"/>
        </w:rPr>
        <w:t>★</w:t>
      </w:r>
      <w:r>
        <w:rPr>
          <w:rFonts w:hint="eastAsia" w:ascii="方正仿宋_GBK" w:hAnsi="方正仿宋_GB2312" w:eastAsia="方正仿宋_GBK" w:cs="方正仿宋_GB2312"/>
          <w:b/>
          <w:bCs/>
          <w:color w:val="000000"/>
          <w:kern w:val="0"/>
          <w:szCs w:val="24"/>
        </w:rPr>
        <w:t>（二）服务地点</w:t>
      </w:r>
    </w:p>
    <w:p>
      <w:pPr>
        <w:snapToGrid w:val="0"/>
        <w:spacing w:line="400" w:lineRule="exact"/>
        <w:ind w:firstLine="585" w:firstLineChars="250"/>
        <w:rPr>
          <w:rFonts w:ascii="方正仿宋_GBK" w:hAnsi="方正仿宋_GB2312" w:eastAsia="方正仿宋_GBK" w:cs="方正仿宋_GB2312"/>
          <w:color w:val="000000"/>
          <w:kern w:val="0"/>
          <w:szCs w:val="24"/>
        </w:rPr>
      </w:pPr>
      <w:r>
        <w:rPr>
          <w:rFonts w:hint="eastAsia" w:ascii="方正仿宋_GBK" w:hAnsi="方正仿宋_GB2312" w:eastAsia="方正仿宋_GBK" w:cs="方正仿宋_GB2312"/>
          <w:color w:val="000000"/>
          <w:kern w:val="0"/>
          <w:szCs w:val="24"/>
        </w:rPr>
        <w:t>采购人指定地点。</w:t>
      </w:r>
    </w:p>
    <w:p>
      <w:pPr>
        <w:snapToGrid w:val="0"/>
        <w:spacing w:line="400" w:lineRule="exact"/>
        <w:ind w:firstLine="468" w:firstLineChars="200"/>
        <w:rPr>
          <w:rFonts w:ascii="方正仿宋_GBK" w:hAnsi="方正仿宋_GB2312" w:eastAsia="方正仿宋_GBK" w:cs="方正仿宋_GB2312"/>
          <w:b/>
          <w:bCs/>
          <w:color w:val="000000"/>
          <w:kern w:val="0"/>
          <w:szCs w:val="24"/>
        </w:rPr>
      </w:pPr>
      <w:r>
        <w:rPr>
          <w:rFonts w:hint="eastAsia"/>
          <w:color w:val="auto"/>
          <w:highlight w:val="none"/>
        </w:rPr>
        <w:t>★</w:t>
      </w:r>
      <w:r>
        <w:rPr>
          <w:rFonts w:hint="eastAsia" w:ascii="方正仿宋_GBK" w:hAnsi="方正仿宋_GB2312" w:eastAsia="方正仿宋_GBK" w:cs="方正仿宋_GB2312"/>
          <w:b/>
          <w:bCs/>
          <w:color w:val="000000"/>
          <w:kern w:val="0"/>
          <w:szCs w:val="24"/>
        </w:rPr>
        <w:t>（三）付款方式</w:t>
      </w:r>
    </w:p>
    <w:p>
      <w:pPr>
        <w:pageBreakBefore w:val="0"/>
        <w:widowControl w:val="0"/>
        <w:numPr>
          <w:ilvl w:val="0"/>
          <w:numId w:val="0"/>
        </w:numPr>
        <w:kinsoku/>
        <w:wordWrap/>
        <w:overflowPunct/>
        <w:topLinePunct w:val="0"/>
        <w:autoSpaceDE/>
        <w:autoSpaceDN/>
        <w:bidi w:val="0"/>
        <w:adjustRightInd/>
        <w:snapToGrid w:val="0"/>
        <w:spacing w:line="360" w:lineRule="exact"/>
        <w:ind w:firstLine="702" w:firstLineChars="3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1采购人按成交的检测项结算费用标准和实际开展例数</w:t>
      </w:r>
      <w:r>
        <w:rPr>
          <w:rFonts w:hint="eastAsia" w:ascii="方正仿宋_GBK" w:hAnsi="方正仿宋_GBK" w:eastAsia="方正仿宋_GBK" w:cs="方正仿宋_GBK"/>
          <w:b/>
          <w:bCs/>
          <w:color w:val="auto"/>
          <w:kern w:val="0"/>
          <w:sz w:val="24"/>
          <w:szCs w:val="24"/>
          <w:highlight w:val="none"/>
          <w:lang w:val="en-US" w:eastAsia="zh-CN"/>
        </w:rPr>
        <w:t>按季度据实结算</w:t>
      </w:r>
      <w:r>
        <w:rPr>
          <w:rFonts w:hint="eastAsia" w:ascii="方正仿宋_GBK" w:hAnsi="方正仿宋_GBK" w:eastAsia="方正仿宋_GBK" w:cs="方正仿宋_GBK"/>
          <w:color w:val="auto"/>
          <w:kern w:val="0"/>
          <w:sz w:val="24"/>
          <w:szCs w:val="24"/>
          <w:highlight w:val="none"/>
          <w:lang w:val="en-US" w:eastAsia="zh-CN"/>
        </w:rPr>
        <w:t>，次月支付上季度服务费。</w:t>
      </w:r>
    </w:p>
    <w:p>
      <w:pPr>
        <w:numPr>
          <w:ilvl w:val="0"/>
          <w:numId w:val="0"/>
        </w:numPr>
        <w:snapToGrid w:val="0"/>
        <w:spacing w:line="360" w:lineRule="exact"/>
        <w:ind w:firstLine="702" w:firstLineChars="300"/>
        <w:rPr>
          <w:rFonts w:hint="eastAsia"/>
          <w:color w:val="auto"/>
        </w:rPr>
      </w:pPr>
      <w:r>
        <w:rPr>
          <w:rFonts w:hint="eastAsia" w:ascii="方正仿宋_GBK" w:hAnsi="方正仿宋_GBK" w:eastAsia="方正仿宋_GBK" w:cs="方正仿宋_GBK"/>
          <w:color w:val="auto"/>
          <w:kern w:val="0"/>
          <w:sz w:val="24"/>
          <w:szCs w:val="24"/>
          <w:highlight w:val="none"/>
          <w:lang w:val="en-US" w:eastAsia="zh-CN"/>
        </w:rPr>
        <w:t>2成交供应商应在每次付款前向采购人提供合法有效的完税发票及完整的结算凭证。采购人应在收到符合要求的发票及结算凭证后10个工作日内，支付上季度费用。</w:t>
      </w:r>
    </w:p>
    <w:p>
      <w:pPr>
        <w:snapToGrid w:val="0"/>
        <w:spacing w:line="400" w:lineRule="exact"/>
        <w:ind w:firstLine="468" w:firstLineChars="200"/>
        <w:rPr>
          <w:rFonts w:ascii="方正仿宋_GBK" w:hAnsi="方正仿宋_GB2312" w:eastAsia="方正仿宋_GBK" w:cs="方正仿宋_GB2312"/>
          <w:b/>
          <w:bCs/>
          <w:color w:val="000000"/>
          <w:kern w:val="0"/>
          <w:szCs w:val="24"/>
        </w:rPr>
      </w:pPr>
      <w:r>
        <w:rPr>
          <w:rFonts w:hint="eastAsia"/>
          <w:color w:val="auto"/>
          <w:highlight w:val="none"/>
        </w:rPr>
        <w:t>★</w:t>
      </w:r>
      <w:r>
        <w:rPr>
          <w:rFonts w:hint="eastAsia" w:ascii="方正仿宋_GBK" w:hAnsi="方正仿宋_GB2312" w:eastAsia="方正仿宋_GBK" w:cs="方正仿宋_GB2312"/>
          <w:b/>
          <w:bCs/>
          <w:color w:val="000000"/>
          <w:kern w:val="0"/>
          <w:szCs w:val="24"/>
        </w:rPr>
        <w:t>（四）验收要求</w:t>
      </w:r>
    </w:p>
    <w:p>
      <w:pPr>
        <w:pStyle w:val="24"/>
        <w:numPr>
          <w:ilvl w:val="0"/>
          <w:numId w:val="0"/>
        </w:numPr>
        <w:spacing w:line="400" w:lineRule="exact"/>
        <w:ind w:firstLine="702" w:firstLineChars="300"/>
        <w:rPr>
          <w:rFonts w:hint="eastAsia" w:ascii="方正仿宋_GBK" w:hAnsi="方正仿宋_GBK" w:eastAsia="方正仿宋_GBK" w:cs="方正仿宋_GBK"/>
          <w:color w:val="auto"/>
          <w:kern w:val="0"/>
          <w:szCs w:val="24"/>
          <w:highlight w:val="none"/>
        </w:rPr>
      </w:pPr>
      <w:r>
        <w:rPr>
          <w:rFonts w:hint="eastAsia" w:ascii="方正仿宋_GBK" w:hAnsi="方正仿宋_GBK" w:eastAsia="方正仿宋_GBK" w:cs="方正仿宋_GBK"/>
          <w:color w:val="auto"/>
          <w:kern w:val="0"/>
          <w:sz w:val="24"/>
          <w:szCs w:val="24"/>
          <w:highlight w:val="none"/>
          <w:lang w:val="en-US" w:eastAsia="zh-CN"/>
        </w:rPr>
        <w:t>每月提供检测服务后，由中标供应商提出验收申请，</w:t>
      </w:r>
      <w:r>
        <w:rPr>
          <w:rFonts w:hint="eastAsia" w:ascii="方正仿宋_GBK" w:hAnsi="方正仿宋_GBK" w:eastAsia="方正仿宋_GBK" w:cs="方正仿宋_GBK"/>
          <w:dstrike w:val="0"/>
          <w:color w:val="auto"/>
          <w:kern w:val="0"/>
          <w:sz w:val="24"/>
          <w:szCs w:val="24"/>
          <w:highlight w:val="none"/>
          <w:lang w:val="en-US" w:eastAsia="zh-CN"/>
        </w:rPr>
        <w:t>采购人</w:t>
      </w:r>
      <w:r>
        <w:rPr>
          <w:rFonts w:hint="eastAsia" w:ascii="方正仿宋_GBK" w:hAnsi="方正仿宋_GBK" w:eastAsia="方正仿宋_GBK" w:cs="方正仿宋_GBK"/>
          <w:color w:val="auto"/>
          <w:kern w:val="0"/>
          <w:sz w:val="24"/>
          <w:szCs w:val="24"/>
          <w:highlight w:val="none"/>
          <w:lang w:val="en-US" w:eastAsia="zh-CN"/>
        </w:rPr>
        <w:t>同意后，根据采购文件、投标文件、合同等项目文件约定内容对项目进行综合运行验收。如验收达不到规定要求，采购人有权要求拒绝付款，成交供应商若违约，采购人将依法追究相应法律责任。</w:t>
      </w:r>
    </w:p>
    <w:p>
      <w:pPr>
        <w:snapToGrid w:val="0"/>
        <w:spacing w:line="400" w:lineRule="exact"/>
        <w:ind w:firstLine="468" w:firstLineChars="200"/>
        <w:rPr>
          <w:rFonts w:ascii="方正仿宋_GBK" w:hAnsi="方正仿宋_GB2312" w:eastAsia="方正仿宋_GBK" w:cs="方正仿宋_GB2312"/>
          <w:b/>
          <w:bCs/>
          <w:color w:val="000000"/>
          <w:kern w:val="0"/>
          <w:szCs w:val="24"/>
        </w:rPr>
      </w:pPr>
      <w:r>
        <w:rPr>
          <w:rFonts w:hint="eastAsia"/>
          <w:color w:val="auto"/>
          <w:highlight w:val="none"/>
        </w:rPr>
        <w:t>★</w:t>
      </w:r>
      <w:r>
        <w:rPr>
          <w:rFonts w:hint="eastAsia" w:ascii="方正仿宋_GBK" w:hAnsi="方正仿宋_GB2312" w:eastAsia="方正仿宋_GBK" w:cs="方正仿宋_GB2312"/>
          <w:b/>
          <w:bCs/>
          <w:color w:val="000000"/>
          <w:kern w:val="0"/>
          <w:szCs w:val="24"/>
        </w:rPr>
        <w:t>（五）售后服务内容</w:t>
      </w:r>
    </w:p>
    <w:p>
      <w:pPr>
        <w:pageBreakBefore w:val="0"/>
        <w:widowControl/>
        <w:numPr>
          <w:ilvl w:val="2"/>
          <w:numId w:val="0"/>
        </w:numPr>
        <w:kinsoku/>
        <w:wordWrap/>
        <w:overflowPunct/>
        <w:topLinePunct w:val="0"/>
        <w:autoSpaceDE/>
        <w:autoSpaceDN/>
        <w:bidi w:val="0"/>
        <w:adjustRightInd/>
        <w:snapToGrid/>
        <w:spacing w:line="0" w:lineRule="atLeast"/>
        <w:ind w:firstLine="468" w:firstLineChars="200"/>
        <w:textAlignment w:val="auto"/>
        <w:rPr>
          <w:rFonts w:hint="eastAsia" w:ascii="方正仿宋_GBK" w:hAnsi="宋体" w:eastAsia="方正仿宋_GBK" w:cs="Times New Roman"/>
          <w:color w:val="auto"/>
          <w:kern w:val="2"/>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rPr>
        <w:t>有明确的售后服务机构和指定人员、服务响应时间。</w:t>
      </w:r>
    </w:p>
    <w:p>
      <w:pPr>
        <w:pageBreakBefore w:val="0"/>
        <w:widowControl/>
        <w:numPr>
          <w:ilvl w:val="2"/>
          <w:numId w:val="0"/>
        </w:numPr>
        <w:kinsoku/>
        <w:wordWrap/>
        <w:overflowPunct/>
        <w:topLinePunct w:val="0"/>
        <w:autoSpaceDE/>
        <w:autoSpaceDN/>
        <w:bidi w:val="0"/>
        <w:adjustRightInd/>
        <w:snapToGrid/>
        <w:spacing w:line="0" w:lineRule="atLeast"/>
        <w:ind w:firstLine="468" w:firstLineChars="200"/>
        <w:textAlignment w:val="auto"/>
        <w:rPr>
          <w:rFonts w:hint="eastAsia" w:ascii="方正仿宋_GBK" w:hAnsi="宋体" w:eastAsia="方正仿宋_GBK" w:cs="Times New Roman"/>
          <w:color w:val="auto"/>
          <w:kern w:val="2"/>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rPr>
        <w:t>成交供应商应按采购文件规定的技术要求、质量标准向采购人提供服务。如出现违约事项的，按约定采取通知整改、要求赔偿损失和/或终止合同。</w:t>
      </w:r>
    </w:p>
    <w:p>
      <w:pPr>
        <w:pageBreakBefore w:val="0"/>
        <w:widowControl/>
        <w:numPr>
          <w:ilvl w:val="2"/>
          <w:numId w:val="0"/>
        </w:numPr>
        <w:kinsoku/>
        <w:wordWrap/>
        <w:overflowPunct/>
        <w:topLinePunct w:val="0"/>
        <w:autoSpaceDE/>
        <w:autoSpaceDN/>
        <w:bidi w:val="0"/>
        <w:adjustRightInd/>
        <w:snapToGrid/>
        <w:spacing w:line="0" w:lineRule="atLeast"/>
        <w:ind w:firstLine="468" w:firstLineChars="200"/>
        <w:textAlignment w:val="auto"/>
        <w:rPr>
          <w:rFonts w:hint="eastAsia" w:ascii="方正仿宋_GBK" w:hAnsi="宋体" w:eastAsia="方正仿宋_GBK" w:cs="Times New Roman"/>
          <w:color w:val="auto"/>
          <w:kern w:val="2"/>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rPr>
        <w:t>根据采购人按检验标准出具的检验结果或当地质检部门检验结果，在合同期内，如果服务的数量、质量或规格与合同不符，或证实服务是有缺陷的，包括潜在的缺陷或使用不符合要求的材料等，采购人应通知成交供应商，并要求整改。成交供应商在收到通知后，应在24小时内提出整改方案，并在1周内完成整改。如果成交供应商在收到通知后没有进行整改，采购人可采取必要的补救措施，但风险和费用将由成交供应商承担。</w:t>
      </w:r>
    </w:p>
    <w:p>
      <w:pPr>
        <w:pStyle w:val="24"/>
        <w:spacing w:line="360" w:lineRule="exact"/>
        <w:ind w:firstLineChars="0"/>
        <w:rPr>
          <w:rFonts w:hint="eastAsia" w:ascii="方正仿宋_GBK" w:hAnsi="宋体" w:eastAsia="方正仿宋_GBK" w:cs="Times New Roman"/>
          <w:color w:val="auto"/>
          <w:kern w:val="2"/>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rPr>
        <w:t>成交供应商保证向采购人提供的有关资质材料真实有效，由此引起的责任或费用均由成交供应商承担。</w:t>
      </w:r>
    </w:p>
    <w:p>
      <w:pPr>
        <w:pStyle w:val="24"/>
        <w:spacing w:line="360" w:lineRule="exact"/>
        <w:ind w:firstLineChars="0"/>
        <w:rPr>
          <w:rFonts w:hint="eastAsia" w:ascii="方正仿宋_GBK" w:hAnsi="宋体" w:eastAsia="方正仿宋_GBK" w:cs="Times New Roman"/>
          <w:color w:val="auto"/>
          <w:kern w:val="2"/>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rPr>
        <w:t>提供应急处置方案，应急处理措施包括但不限于检测过程中的安全保障措施、检测过程中遇到突发情况的应急处理措施、检测相关设施设备故障应急措施、检测结果出现失误或无法在规定时间出具检测报告的补救措施等。</w:t>
      </w:r>
    </w:p>
    <w:p>
      <w:pPr>
        <w:pStyle w:val="8"/>
        <w:spacing w:after="0" w:line="400" w:lineRule="exact"/>
        <w:ind w:firstLine="468" w:firstLineChars="200"/>
        <w:rPr>
          <w:rFonts w:ascii="方正仿宋_GBK" w:hAnsi="方正仿宋_GB2312" w:eastAsia="方正仿宋_GBK" w:cs="方正仿宋_GB2312"/>
          <w:b/>
          <w:bCs/>
          <w:color w:val="000000"/>
          <w:kern w:val="0"/>
          <w:szCs w:val="24"/>
        </w:rPr>
      </w:pPr>
      <w:r>
        <w:rPr>
          <w:rFonts w:hint="eastAsia"/>
          <w:color w:val="auto"/>
          <w:highlight w:val="none"/>
        </w:rPr>
        <w:t>★</w:t>
      </w:r>
      <w:r>
        <w:rPr>
          <w:rFonts w:hint="eastAsia" w:ascii="方正仿宋_GBK" w:hAnsi="方正仿宋_GB2312" w:eastAsia="方正仿宋_GBK" w:cs="方正仿宋_GB2312"/>
          <w:b/>
          <w:bCs/>
          <w:color w:val="000000"/>
          <w:kern w:val="0"/>
          <w:szCs w:val="24"/>
        </w:rPr>
        <w:t>（六）安全条款</w:t>
      </w:r>
      <w:r>
        <w:rPr>
          <w:rFonts w:hint="eastAsia" w:ascii="方正仿宋_GBK" w:hAnsi="方正仿宋_GBK" w:eastAsia="方正仿宋_GBK" w:cs="方正仿宋_GBK"/>
          <w:b w:val="0"/>
          <w:bCs w:val="0"/>
          <w:color w:val="auto"/>
          <w:sz w:val="24"/>
          <w:szCs w:val="24"/>
          <w:highlight w:val="none"/>
          <w:lang w:val="en-US" w:eastAsia="zh-CN"/>
        </w:rPr>
        <w:t>（提供加盖公章的安全承诺书）</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default"/>
          <w:color w:val="auto"/>
          <w:highlight w:val="none"/>
          <w:lang w:val="en-US"/>
        </w:rPr>
      </w:pPr>
      <w:bookmarkStart w:id="12" w:name="_Toc1784"/>
      <w:bookmarkStart w:id="13" w:name="_Toc6641"/>
      <w:r>
        <w:rPr>
          <w:rFonts w:hint="eastAsia" w:ascii="方正仿宋_GBK" w:hAnsi="方正仿宋_GBK" w:eastAsia="方正仿宋_GBK" w:cs="方正仿宋_GBK"/>
          <w:color w:val="auto"/>
          <w:kern w:val="0"/>
          <w:sz w:val="24"/>
          <w:szCs w:val="24"/>
          <w:highlight w:val="none"/>
          <w:lang w:val="en-US" w:eastAsia="zh-CN"/>
        </w:rPr>
        <w:t>成交供应商应确保服务过程中无安全事故发生，若因成交供应商责任出现安全事故其责任和所造成的损失由成交供应商承担，采购人不承担任何法律责任。包括但不限于以下：</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1.成交供应商应保证检测程序和检测方法准确，如因检测程序、方法及数据分析、报告解读等原因导致检测报告错误而产生的纠纷或由此原因给采购人造成经济损失的，由成交供应商承担责任。采购人承担了相应责任的，享有对成交供应商的追偿权。</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2.如果因为成交供应商的试剂质量、市场准入、检测方案或者分析软件导致最终的检测报告有误和试验无法完成，合同期内所检测的结果成交供应商承担以下责任：</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200" w:firstLine="0" w:firstLineChars="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2.1如因成交供应商原因导致检测结果迟延</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0" w:firstLineChars="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或无法检测，视为中标人违约，成交供应商承担患者及采购人所有损失。</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200" w:firstLine="0" w:firstLineChars="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2.2如因成交供应商原因导致采购人面对任何</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0" w:firstLineChars="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索赔、指控时，中标人应承担相应法律责任，并使采购人免于承担任何责任。</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3.本项目检测结果由成交供应商保证，即使合同服务终止，成交供应商仍需对合同期内所检测的结果承担以下责任：如因成交供应商原因导致采购人面对任何索赔、指控时，成交供应商应承担相应法律责任并使采购人免于承担任何责任。</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4.成交供应商负责提供检测技术，对送检的合格样本进行检测，提供检测报告并对检测报告结果负责。</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5.成交供应商应按照相关法律法规规定保存相关样本、信息资料等，并对于采购人所提供样品的相关信息负有保密责任，不得将样品的相关信息泄露给任何第三方，也不得将与样品有关的技术资料用于任何经营及开发活动。</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68"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6.成交供应商负责提供检测项目的知情同意书及检测申请单。</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7.成交供应商应按照相关法律法规规定开展检测业务，在样本检测过程中，应当及时、准确、如实记录操作人员、仪器、试剂及检测数据等相关信息。</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8.成交供应商对于采购人送检样本质控不合格的，应及时告知采购人。由采购人决定是否继续检测，如继续检测造成检测结果错误的，由采购人自行承担责任。如采购人决定重新送样的，重新送样产生的费用由采购人承担。</w:t>
      </w:r>
    </w:p>
    <w:p>
      <w:pPr>
        <w:numPr>
          <w:ilvl w:val="0"/>
          <w:numId w:val="0"/>
        </w:numPr>
        <w:snapToGrid w:val="0"/>
        <w:spacing w:line="400" w:lineRule="exact"/>
        <w:ind w:firstLine="468" w:firstLineChars="200"/>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9.成交供应商在负责对样本收集、运输、检测过程中出现的样本丢失，由成交供应商自行承担责任。</w:t>
      </w:r>
    </w:p>
    <w:p>
      <w:pPr>
        <w:snapToGrid w:val="0"/>
        <w:spacing w:line="400" w:lineRule="exact"/>
        <w:ind w:firstLine="468" w:firstLineChars="200"/>
        <w:rPr>
          <w:rFonts w:ascii="方正仿宋_GB2312" w:hAnsi="方正仿宋_GB2312" w:eastAsia="方正仿宋_GB2312" w:cs="方正仿宋_GB2312"/>
          <w:b/>
          <w:bCs/>
          <w:kern w:val="0"/>
          <w:szCs w:val="24"/>
        </w:rPr>
      </w:pPr>
      <w:r>
        <w:rPr>
          <w:rFonts w:hint="eastAsia" w:ascii="方正仿宋_GB2312" w:hAnsi="方正仿宋_GB2312" w:eastAsia="方正仿宋_GB2312" w:cs="方正仿宋_GB2312"/>
          <w:b/>
          <w:bCs/>
          <w:kern w:val="0"/>
          <w:szCs w:val="24"/>
        </w:rPr>
        <w:t>（七）知识产权</w:t>
      </w:r>
      <w:bookmarkEnd w:id="12"/>
      <w:bookmarkEnd w:id="13"/>
    </w:p>
    <w:p>
      <w:pPr>
        <w:spacing w:line="400" w:lineRule="exact"/>
        <w:ind w:firstLine="468" w:firstLineChars="200"/>
        <w:rPr>
          <w:rFonts w:ascii="方正仿宋_GBK" w:hAnsi="方正仿宋_GBK" w:eastAsia="方正仿宋_GBK" w:cs="方正仿宋_GBK"/>
          <w:kern w:val="0"/>
          <w:szCs w:val="24"/>
          <w:u w:color="000000"/>
        </w:rPr>
      </w:pPr>
      <w:bookmarkStart w:id="14" w:name="_Toc25598"/>
      <w:bookmarkStart w:id="15" w:name="_Toc31030"/>
      <w:r>
        <w:rPr>
          <w:rFonts w:hint="eastAsia" w:ascii="方正仿宋_GBK" w:hAnsi="方正仿宋_GBK" w:eastAsia="方正仿宋_GBK" w:cs="方正仿宋_GBK"/>
          <w:kern w:val="0"/>
          <w:szCs w:val="24"/>
          <w:u w:color="000000"/>
        </w:rPr>
        <w:t>采购人在中华人民共和国境内使用中标人提供的货物及服务时免受第三方提出的侵犯其专利权或其它知识产权的起诉。如果第三方提出侵权指控，中标人应承担由此而引起的一切法律责任和费用。</w:t>
      </w:r>
      <w:bookmarkEnd w:id="14"/>
      <w:bookmarkEnd w:id="15"/>
    </w:p>
    <w:p>
      <w:pPr>
        <w:pStyle w:val="22"/>
        <w:spacing w:line="400" w:lineRule="exact"/>
      </w:pPr>
      <w:bookmarkStart w:id="16" w:name="_Toc17558"/>
      <w:bookmarkStart w:id="17" w:name="_Toc24921"/>
      <w:r>
        <w:rPr>
          <w:rFonts w:hint="eastAsia" w:ascii="方正仿宋_GBK" w:hAnsi="方正仿宋_GBK" w:eastAsia="方正仿宋_GBK" w:cs="方正仿宋_GBK"/>
          <w:kern w:val="0"/>
          <w:szCs w:val="24"/>
          <w:u w:color="000000"/>
        </w:rPr>
        <w:t>（注：若涉及软件开发等服务类项目知识产权的，知识产权归采购人所有）</w:t>
      </w:r>
      <w:bookmarkEnd w:id="16"/>
      <w:bookmarkEnd w:id="17"/>
    </w:p>
    <w:p>
      <w:pPr>
        <w:numPr>
          <w:ilvl w:val="0"/>
          <w:numId w:val="0"/>
        </w:numPr>
        <w:snapToGrid w:val="0"/>
        <w:spacing w:line="400" w:lineRule="exact"/>
        <w:ind w:firstLine="234" w:firstLineChars="100"/>
        <w:rPr>
          <w:rFonts w:hint="eastAsia" w:ascii="仿宋_GB2312" w:hAnsi="仿宋" w:eastAsia="仿宋_GB2312" w:cs="Times New Roman"/>
          <w:color w:val="auto"/>
          <w:kern w:val="2"/>
          <w:sz w:val="28"/>
          <w:szCs w:val="28"/>
          <w:highlight w:val="none"/>
          <w:lang w:val="en-US" w:eastAsia="zh-CN"/>
        </w:rPr>
      </w:pPr>
      <w:r>
        <w:rPr>
          <w:rFonts w:hint="eastAsia"/>
          <w:color w:val="auto"/>
          <w:highlight w:val="none"/>
        </w:rPr>
        <w:t>★</w:t>
      </w:r>
      <w:r>
        <w:rPr>
          <w:rFonts w:hint="eastAsia" w:ascii="方正仿宋_GBK" w:hAnsi="方正仿宋_GB2312" w:eastAsia="方正仿宋_GBK" w:cs="方正仿宋_GB2312"/>
          <w:b/>
          <w:bCs/>
          <w:color w:val="000000"/>
          <w:kern w:val="0"/>
          <w:sz w:val="24"/>
          <w:szCs w:val="24"/>
          <w:lang w:val="en-US" w:eastAsia="zh-CN" w:bidi="ar-SA"/>
        </w:rPr>
        <w:t>.（八）检验检查结果争议处理</w:t>
      </w:r>
    </w:p>
    <w:p>
      <w:pPr>
        <w:pStyle w:val="24"/>
        <w:spacing w:line="400" w:lineRule="exact"/>
        <w:rPr>
          <w:rFonts w:hint="eastAsia" w:ascii="方正仿宋_GBK" w:hAnsi="方正仿宋_GB2312" w:eastAsia="方正仿宋_GBK" w:cs="方正仿宋_GB2312"/>
          <w:color w:val="auto"/>
          <w:kern w:val="0"/>
          <w:sz w:val="24"/>
          <w:szCs w:val="24"/>
          <w:highlight w:val="none"/>
          <w:lang w:val="en-US" w:eastAsia="zh-CN"/>
        </w:rPr>
      </w:pPr>
      <w:r>
        <w:rPr>
          <w:rFonts w:hint="eastAsia" w:ascii="方正仿宋_GBK" w:hAnsi="方正仿宋_GB2312" w:eastAsia="方正仿宋_GBK" w:cs="方正仿宋_GB2312"/>
          <w:color w:val="auto"/>
          <w:kern w:val="0"/>
          <w:sz w:val="24"/>
          <w:szCs w:val="24"/>
          <w:highlight w:val="none"/>
          <w:lang w:val="en-US" w:eastAsia="zh-CN"/>
        </w:rPr>
        <w:t>1.结果差异确认</w:t>
      </w:r>
    </w:p>
    <w:p>
      <w:pPr>
        <w:pStyle w:val="24"/>
        <w:spacing w:line="400" w:lineRule="exact"/>
        <w:rPr>
          <w:rFonts w:hint="eastAsia" w:ascii="方正仿宋_GBK" w:hAnsi="方正仿宋_GB2312" w:eastAsia="方正仿宋_GBK" w:cs="方正仿宋_GB2312"/>
          <w:color w:val="auto"/>
          <w:kern w:val="0"/>
          <w:sz w:val="24"/>
          <w:szCs w:val="24"/>
          <w:highlight w:val="none"/>
          <w:lang w:val="en-US" w:eastAsia="zh-CN"/>
        </w:rPr>
      </w:pPr>
      <w:r>
        <w:rPr>
          <w:rFonts w:hint="eastAsia" w:ascii="方正仿宋_GBK" w:hAnsi="方正仿宋_GB2312" w:eastAsia="方正仿宋_GBK" w:cs="方正仿宋_GB2312"/>
          <w:color w:val="auto"/>
          <w:kern w:val="0"/>
          <w:sz w:val="24"/>
          <w:szCs w:val="24"/>
          <w:highlight w:val="none"/>
          <w:lang w:val="en-US" w:eastAsia="zh-CN"/>
        </w:rPr>
        <w:t>当供应商出具的报告结果与其他医疗机构结果存在显著差异（超出医学允许误差范围）时，供应商应在收到书面异议后【3个工作日内】启动复核程序。</w:t>
      </w:r>
    </w:p>
    <w:p>
      <w:pPr>
        <w:pStyle w:val="24"/>
        <w:spacing w:line="400" w:lineRule="exact"/>
        <w:ind w:firstLine="0"/>
        <w:rPr>
          <w:rFonts w:hint="default" w:ascii="方正仿宋_GBK" w:hAnsi="方正仿宋_GB2312" w:eastAsia="方正仿宋_GBK" w:cs="方正仿宋_GB2312"/>
          <w:color w:val="auto"/>
          <w:kern w:val="0"/>
          <w:sz w:val="24"/>
          <w:szCs w:val="24"/>
          <w:highlight w:val="none"/>
          <w:lang w:val="en-US" w:eastAsia="zh-CN"/>
        </w:rPr>
      </w:pPr>
      <w:r>
        <w:rPr>
          <w:rFonts w:hint="eastAsia" w:ascii="方正仿宋_GBK" w:hAnsi="方正仿宋_GB2312" w:eastAsia="方正仿宋_GBK" w:cs="方正仿宋_GB2312"/>
          <w:color w:val="auto"/>
          <w:kern w:val="0"/>
          <w:sz w:val="24"/>
          <w:szCs w:val="24"/>
          <w:highlight w:val="none"/>
          <w:lang w:val="en-US" w:eastAsia="zh-CN"/>
        </w:rPr>
        <w:t>供应商需提供原始检测数据、质控记录及操作流程说明，配合医院进行溯源调查。</w:t>
      </w:r>
    </w:p>
    <w:p>
      <w:pPr>
        <w:pStyle w:val="24"/>
        <w:spacing w:line="400" w:lineRule="exact"/>
        <w:rPr>
          <w:rFonts w:hint="eastAsia" w:ascii="方正仿宋_GBK" w:hAnsi="方正仿宋_GB2312" w:eastAsia="方正仿宋_GBK" w:cs="方正仿宋_GB2312"/>
          <w:color w:val="auto"/>
          <w:kern w:val="0"/>
          <w:sz w:val="24"/>
          <w:szCs w:val="24"/>
          <w:highlight w:val="none"/>
          <w:lang w:val="en-US" w:eastAsia="zh-CN"/>
        </w:rPr>
      </w:pPr>
      <w:r>
        <w:rPr>
          <w:rFonts w:hint="eastAsia" w:ascii="方正仿宋_GBK" w:hAnsi="方正仿宋_GB2312" w:eastAsia="方正仿宋_GBK" w:cs="方正仿宋_GB2312"/>
          <w:color w:val="auto"/>
          <w:kern w:val="0"/>
          <w:sz w:val="24"/>
          <w:szCs w:val="24"/>
          <w:highlight w:val="none"/>
          <w:lang w:val="en-US" w:eastAsia="zh-CN"/>
        </w:rPr>
        <w:t>2.复检与验证</w:t>
      </w:r>
    </w:p>
    <w:p>
      <w:pPr>
        <w:pStyle w:val="24"/>
        <w:spacing w:line="400" w:lineRule="exact"/>
        <w:rPr>
          <w:rFonts w:hint="eastAsia" w:ascii="方正仿宋_GBK" w:hAnsi="方正仿宋_GB2312" w:eastAsia="方正仿宋_GBK" w:cs="方正仿宋_GB2312"/>
          <w:color w:val="auto"/>
          <w:kern w:val="0"/>
          <w:sz w:val="24"/>
          <w:szCs w:val="24"/>
          <w:highlight w:val="none"/>
          <w:lang w:val="en-US" w:eastAsia="zh-CN"/>
        </w:rPr>
      </w:pPr>
      <w:r>
        <w:rPr>
          <w:rFonts w:hint="eastAsia" w:ascii="方正仿宋_GBK" w:hAnsi="方正仿宋_GB2312" w:eastAsia="方正仿宋_GBK" w:cs="方正仿宋_GB2312"/>
          <w:color w:val="auto"/>
          <w:kern w:val="0"/>
          <w:sz w:val="24"/>
          <w:szCs w:val="24"/>
          <w:highlight w:val="none"/>
          <w:lang w:val="en-US" w:eastAsia="zh-CN"/>
        </w:rPr>
        <w:t>首次复检：由供应商免费对原样本（如保存条件允许）或新采集样本进行复检，并在【7个工作日内】提交书面复检报告。</w:t>
      </w:r>
    </w:p>
    <w:p>
      <w:pPr>
        <w:pStyle w:val="24"/>
        <w:spacing w:line="400" w:lineRule="exact"/>
        <w:rPr>
          <w:rFonts w:hint="eastAsia" w:ascii="方正仿宋_GBK" w:hAnsi="方正仿宋_GB2312" w:eastAsia="方正仿宋_GBK" w:cs="方正仿宋_GB2312"/>
          <w:color w:val="auto"/>
          <w:kern w:val="0"/>
          <w:sz w:val="24"/>
          <w:szCs w:val="24"/>
          <w:highlight w:val="none"/>
          <w:lang w:val="en-US" w:eastAsia="zh-CN"/>
        </w:rPr>
      </w:pPr>
      <w:r>
        <w:rPr>
          <w:rFonts w:hint="eastAsia" w:ascii="方正仿宋_GBK" w:hAnsi="方正仿宋_GB2312" w:eastAsia="方正仿宋_GBK" w:cs="方正仿宋_GB2312"/>
          <w:color w:val="auto"/>
          <w:kern w:val="0"/>
          <w:sz w:val="24"/>
          <w:szCs w:val="24"/>
          <w:highlight w:val="none"/>
          <w:lang w:val="en-US" w:eastAsia="zh-CN"/>
        </w:rPr>
        <w:t>第三方仲裁：若复检结果仍存争议，双方应共同委托【省级及以上医学检验质控中心/双方认可的第三方权威机构】进行仲裁检测，费用由仲裁认定的责任方承担。</w:t>
      </w:r>
    </w:p>
    <w:p>
      <w:pPr>
        <w:pStyle w:val="24"/>
        <w:spacing w:line="400" w:lineRule="exact"/>
        <w:rPr>
          <w:rFonts w:hint="eastAsia" w:ascii="方正仿宋_GBK" w:hAnsi="方正仿宋_GB2312" w:eastAsia="方正仿宋_GBK" w:cs="方正仿宋_GB2312"/>
          <w:color w:val="auto"/>
          <w:kern w:val="0"/>
          <w:sz w:val="24"/>
          <w:szCs w:val="24"/>
          <w:highlight w:val="none"/>
          <w:lang w:val="en-US" w:eastAsia="zh-CN"/>
        </w:rPr>
      </w:pPr>
      <w:r>
        <w:rPr>
          <w:rFonts w:hint="eastAsia" w:ascii="方正仿宋_GBK" w:hAnsi="方正仿宋_GB2312" w:eastAsia="方正仿宋_GBK" w:cs="方正仿宋_GB2312"/>
          <w:color w:val="auto"/>
          <w:kern w:val="0"/>
          <w:sz w:val="24"/>
          <w:szCs w:val="24"/>
          <w:highlight w:val="none"/>
          <w:lang w:val="en-US" w:eastAsia="zh-CN"/>
        </w:rPr>
        <w:t>3.责任认定与赔偿</w:t>
      </w:r>
    </w:p>
    <w:p>
      <w:pPr>
        <w:pStyle w:val="24"/>
        <w:spacing w:line="400" w:lineRule="exact"/>
        <w:rPr>
          <w:rFonts w:hint="eastAsia" w:ascii="方正仿宋_GBK" w:hAnsi="方正仿宋_GB2312" w:eastAsia="方正仿宋_GBK" w:cs="方正仿宋_GB2312"/>
          <w:color w:val="auto"/>
          <w:kern w:val="0"/>
          <w:sz w:val="24"/>
          <w:szCs w:val="24"/>
          <w:highlight w:val="none"/>
          <w:lang w:val="en-US" w:eastAsia="zh-CN"/>
        </w:rPr>
      </w:pPr>
      <w:r>
        <w:rPr>
          <w:rFonts w:hint="eastAsia" w:ascii="方正仿宋_GBK" w:hAnsi="方正仿宋_GB2312" w:eastAsia="方正仿宋_GBK" w:cs="方正仿宋_GB2312"/>
          <w:color w:val="auto"/>
          <w:kern w:val="0"/>
          <w:sz w:val="24"/>
          <w:szCs w:val="24"/>
          <w:highlight w:val="none"/>
          <w:lang w:val="en-US" w:eastAsia="zh-CN"/>
        </w:rPr>
        <w:t>若争议由供应商检测流程失误（如设备故障、操作违规、质控缺失）导致，供应商需承担复检、仲裁及相关临床处置费用。</w:t>
      </w:r>
    </w:p>
    <w:p>
      <w:pPr>
        <w:pStyle w:val="24"/>
        <w:spacing w:line="400" w:lineRule="exact"/>
        <w:ind w:firstLine="468" w:firstLineChars="200"/>
        <w:rPr>
          <w:rFonts w:hint="eastAsia" w:ascii="方正仿宋_GBK" w:hAnsi="方正仿宋_GB2312" w:eastAsia="方正仿宋_GBK" w:cs="方正仿宋_GB2312"/>
          <w:color w:val="auto"/>
          <w:kern w:val="0"/>
          <w:sz w:val="24"/>
          <w:szCs w:val="24"/>
          <w:highlight w:val="none"/>
          <w:lang w:val="en-US" w:eastAsia="zh-CN"/>
        </w:rPr>
      </w:pPr>
      <w:r>
        <w:rPr>
          <w:rFonts w:hint="eastAsia" w:ascii="方正仿宋_GBK" w:hAnsi="方正仿宋_GB2312" w:eastAsia="方正仿宋_GBK" w:cs="方正仿宋_GB2312"/>
          <w:color w:val="auto"/>
          <w:kern w:val="0"/>
          <w:sz w:val="24"/>
          <w:szCs w:val="24"/>
          <w:highlight w:val="none"/>
          <w:lang w:val="en-US" w:eastAsia="zh-CN"/>
        </w:rPr>
        <w:t>4.临床沟通与患者告知</w:t>
      </w:r>
    </w:p>
    <w:p>
      <w:pPr>
        <w:numPr>
          <w:ilvl w:val="0"/>
          <w:numId w:val="0"/>
        </w:numPr>
        <w:snapToGrid w:val="0"/>
        <w:spacing w:line="400" w:lineRule="exact"/>
        <w:ind w:firstLine="468" w:firstLineChars="200"/>
        <w:rPr>
          <w:rFonts w:hint="eastAsia" w:ascii="方正仿宋_GBK" w:hAnsi="方正仿宋_GB2312" w:eastAsia="方正仿宋_GBK" w:cs="方正仿宋_GB2312"/>
          <w:b/>
          <w:bCs/>
          <w:color w:val="000000"/>
          <w:kern w:val="0"/>
          <w:szCs w:val="24"/>
        </w:rPr>
      </w:pPr>
      <w:r>
        <w:rPr>
          <w:rFonts w:hint="eastAsia" w:ascii="方正仿宋_GBK" w:hAnsi="方正仿宋_GB2312" w:eastAsia="方正仿宋_GBK" w:cs="方正仿宋_GB2312"/>
          <w:color w:val="auto"/>
          <w:kern w:val="0"/>
          <w:sz w:val="24"/>
          <w:szCs w:val="24"/>
          <w:highlight w:val="none"/>
          <w:lang w:val="en-US" w:eastAsia="zh-CN"/>
        </w:rPr>
        <w:t>供应商需在争议期间配合医院进行临床解释，必要时参与多学科会诊。争议结果确认前，双方不得单方面向患者发布结论性意见，避免引发医患纠纷。</w:t>
      </w:r>
    </w:p>
    <w:p>
      <w:pPr>
        <w:snapToGrid w:val="0"/>
        <w:spacing w:line="400" w:lineRule="exact"/>
        <w:ind w:firstLine="468" w:firstLineChars="200"/>
        <w:rPr>
          <w:rFonts w:hint="default" w:ascii="方正仿宋_GBK" w:hAnsi="方正仿宋_GB2312" w:eastAsia="方正仿宋_GBK" w:cs="方正仿宋_GB2312"/>
          <w:b/>
          <w:bCs/>
          <w:color w:val="000000"/>
          <w:kern w:val="0"/>
          <w:szCs w:val="24"/>
          <w:lang w:val="en-US" w:eastAsia="zh-CN"/>
        </w:rPr>
      </w:pPr>
      <w:r>
        <w:rPr>
          <w:rFonts w:hint="eastAsia" w:ascii="方正仿宋_GBK" w:hAnsi="方正仿宋_GB2312" w:eastAsia="方正仿宋_GBK" w:cs="方正仿宋_GB2312"/>
          <w:b/>
          <w:bCs/>
          <w:color w:val="000000"/>
          <w:kern w:val="0"/>
          <w:szCs w:val="24"/>
          <w:lang w:eastAsia="zh-CN"/>
        </w:rPr>
        <w:t>（</w:t>
      </w:r>
      <w:r>
        <w:rPr>
          <w:rFonts w:hint="eastAsia" w:ascii="方正仿宋_GBK" w:hAnsi="方正仿宋_GB2312" w:eastAsia="方正仿宋_GBK" w:cs="方正仿宋_GB2312"/>
          <w:b/>
          <w:bCs/>
          <w:color w:val="000000"/>
          <w:kern w:val="0"/>
          <w:szCs w:val="24"/>
          <w:lang w:val="en-US" w:eastAsia="zh-CN"/>
        </w:rPr>
        <w:t>九</w:t>
      </w:r>
      <w:r>
        <w:rPr>
          <w:rFonts w:hint="eastAsia" w:ascii="方正仿宋_GBK" w:hAnsi="方正仿宋_GB2312" w:eastAsia="方正仿宋_GBK" w:cs="方正仿宋_GB2312"/>
          <w:b/>
          <w:bCs/>
          <w:color w:val="000000"/>
          <w:kern w:val="0"/>
          <w:szCs w:val="24"/>
          <w:lang w:eastAsia="zh-CN"/>
        </w:rPr>
        <w:t>）</w:t>
      </w:r>
      <w:r>
        <w:rPr>
          <w:rFonts w:hint="eastAsia" w:ascii="方正仿宋_GBK" w:hAnsi="方正仿宋_GB2312" w:eastAsia="方正仿宋_GBK" w:cs="方正仿宋_GB2312"/>
          <w:b/>
          <w:bCs/>
          <w:color w:val="000000"/>
          <w:kern w:val="0"/>
          <w:szCs w:val="24"/>
          <w:lang w:val="en-US" w:eastAsia="zh-CN"/>
        </w:rPr>
        <w:t>其他</w:t>
      </w:r>
    </w:p>
    <w:p>
      <w:pPr>
        <w:snapToGrid w:val="0"/>
        <w:spacing w:line="400" w:lineRule="exact"/>
        <w:ind w:firstLine="468" w:firstLineChars="200"/>
        <w:rPr>
          <w:rFonts w:eastAsia="方正仿宋_GBK"/>
          <w:b w:val="0"/>
          <w:bCs w:val="0"/>
        </w:rPr>
      </w:pPr>
      <w:r>
        <w:rPr>
          <w:rFonts w:hint="eastAsia" w:ascii="方正仿宋_GBK" w:hAnsi="方正仿宋_GB2312" w:eastAsia="方正仿宋_GBK" w:cs="方正仿宋_GB2312"/>
          <w:b w:val="0"/>
          <w:bCs w:val="0"/>
          <w:color w:val="000000"/>
          <w:kern w:val="0"/>
          <w:szCs w:val="24"/>
        </w:rPr>
        <w:t>其他未尽事宜由双方在采购合同中详细约定。</w:t>
      </w:r>
    </w:p>
    <w:p>
      <w:pPr>
        <w:spacing w:line="400" w:lineRule="exact"/>
        <w:rPr>
          <w:rFonts w:ascii="方正黑体_GBK" w:hAnsi="方正黑体_GBK" w:eastAsia="方正黑体_GBK" w:cs="方正黑体_GBK"/>
        </w:rPr>
      </w:pPr>
      <w:r>
        <w:rPr>
          <w:rFonts w:hint="eastAsia" w:ascii="方正黑体_GBK" w:hAnsi="方正黑体_GBK" w:eastAsia="方正黑体_GBK" w:cs="方正黑体_GBK"/>
        </w:rPr>
        <w:br w:type="page"/>
      </w:r>
    </w:p>
    <w:p>
      <w:pPr>
        <w:pStyle w:val="2"/>
        <w:keepNext w:val="0"/>
        <w:keepLines w:val="0"/>
        <w:tabs>
          <w:tab w:val="center" w:pos="4677"/>
        </w:tabs>
        <w:spacing w:before="0" w:after="0" w:line="240" w:lineRule="auto"/>
        <w:ind w:firstLine="1736" w:firstLineChars="400"/>
        <w:rPr>
          <w:rFonts w:ascii="方正黑体_GBK" w:hAnsi="方正黑体_GBK" w:eastAsia="方正黑体_GBK" w:cs="方正黑体_GBK"/>
          <w:b w:val="0"/>
        </w:rPr>
      </w:pPr>
      <w:r>
        <w:rPr>
          <w:rFonts w:hint="eastAsia" w:ascii="方正黑体_GBK" w:hAnsi="方正黑体_GBK" w:eastAsia="方正黑体_GBK" w:cs="方正黑体_GBK"/>
          <w:b w:val="0"/>
        </w:rPr>
        <w:t>第三部分 采购程序及评审方法</w:t>
      </w:r>
    </w:p>
    <w:bookmarkEnd w:id="5"/>
    <w:bookmarkEnd w:id="6"/>
    <w:p>
      <w:pPr>
        <w:pStyle w:val="3"/>
        <w:adjustRightInd w:val="0"/>
        <w:snapToGrid w:val="0"/>
        <w:spacing w:before="0" w:after="0" w:line="400" w:lineRule="exact"/>
        <w:ind w:firstLine="548" w:firstLineChars="200"/>
        <w:rPr>
          <w:rFonts w:ascii="黑体" w:hAnsi="Times New Roman"/>
          <w:b w:val="0"/>
          <w:kern w:val="2"/>
          <w:sz w:val="28"/>
          <w:szCs w:val="28"/>
          <w:u w:color="000000"/>
        </w:rPr>
      </w:pPr>
      <w:bookmarkStart w:id="18" w:name="_Toc76462333"/>
      <w:bookmarkStart w:id="19" w:name="_Toc106030888"/>
      <w:r>
        <w:rPr>
          <w:rFonts w:hint="eastAsia" w:ascii="黑体" w:hAnsi="Times New Roman"/>
          <w:b w:val="0"/>
          <w:kern w:val="2"/>
          <w:sz w:val="28"/>
          <w:szCs w:val="28"/>
          <w:u w:color="000000"/>
        </w:rPr>
        <w:t>一、采购程序及评审方法</w:t>
      </w:r>
      <w:bookmarkEnd w:id="18"/>
      <w:bookmarkEnd w:id="19"/>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（一）本次采购按照采购文件规定的时间和地点进行，供应商须有法定代表人（或其授权代表）或自然人参加并签到。由采购人成立评审小组进行评审。</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（二）密封性检查。由评审小组、监督代表共同检查，确认无误后，由工作人员统一拆封。</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三）资格条件、响应文件的有效性、完整性和响应程度进行审查。资格性审查内容包括供应商营业执照和基本资格条件承诺函、供应商法定代表人身份证明书和委托书、授权代表身份证明、落实政府采购政策需满足的资格要求（如有）、特定资格条件证明文件等。符合性审查内容包括投标文件上法定代表人（或其授权代表）或自然人（投标人为自然人）的签署或盖章齐全、</w:t>
      </w:r>
      <w:r>
        <w:rPr>
          <w:rFonts w:hint="eastAsia" w:ascii="方正仿宋_GBK" w:hAnsi="宋体" w:eastAsia="方正仿宋_GBK"/>
          <w:szCs w:val="24"/>
          <w:lang w:val="zh-CN"/>
        </w:rPr>
        <w:t>只有一个</w:t>
      </w:r>
      <w:r>
        <w:rPr>
          <w:rFonts w:hint="eastAsia" w:ascii="方正仿宋_GBK" w:hAnsi="宋体" w:eastAsia="方正仿宋_GBK"/>
          <w:szCs w:val="24"/>
        </w:rPr>
        <w:t>投标</w:t>
      </w:r>
      <w:r>
        <w:rPr>
          <w:rFonts w:hint="eastAsia" w:ascii="方正仿宋_GBK" w:hAnsi="宋体" w:eastAsia="方正仿宋_GBK"/>
          <w:szCs w:val="24"/>
          <w:lang w:val="zh-CN"/>
        </w:rPr>
        <w:t>方案、在预算金额和最高限价内报价</w:t>
      </w:r>
      <w:r>
        <w:rPr>
          <w:rFonts w:hint="eastAsia" w:ascii="方正仿宋_GBK" w:hAnsi="宋体" w:eastAsia="方正仿宋_GBK"/>
          <w:szCs w:val="24"/>
        </w:rPr>
        <w:t>且只有一个有效报价，</w:t>
      </w:r>
      <w:r>
        <w:rPr>
          <w:rFonts w:hint="eastAsia" w:ascii="方正仿宋_GBK" w:hAnsi="宋体" w:eastAsia="方正仿宋_GBK"/>
          <w:szCs w:val="24"/>
          <w:lang w:val="zh-CN"/>
        </w:rPr>
        <w:t>投标文件正、副本数量（含电子文档）符合</w:t>
      </w:r>
      <w:r>
        <w:rPr>
          <w:rFonts w:hint="eastAsia" w:ascii="方正仿宋_GBK" w:hAnsi="宋体" w:eastAsia="方正仿宋_GBK"/>
          <w:szCs w:val="24"/>
        </w:rPr>
        <w:t>采购</w:t>
      </w:r>
      <w:r>
        <w:rPr>
          <w:rFonts w:hint="eastAsia" w:ascii="方正仿宋_GBK" w:hAnsi="宋体" w:eastAsia="方正仿宋_GBK"/>
          <w:szCs w:val="24"/>
          <w:lang w:val="zh-CN"/>
        </w:rPr>
        <w:t>文件要求、</w:t>
      </w:r>
      <w:r>
        <w:rPr>
          <w:rFonts w:hint="eastAsia" w:ascii="方正仿宋_GBK" w:hAnsi="宋体" w:eastAsia="方正仿宋_GBK"/>
          <w:szCs w:val="24"/>
        </w:rPr>
        <w:t>采购文件第二部分技术（服务）和商务部分内容，投标有效期为投标截止时间起90天</w:t>
      </w:r>
      <w:r>
        <w:rPr>
          <w:rFonts w:hint="eastAsia" w:ascii="仿宋" w:hAnsi="仿宋" w:eastAsia="仿宋" w:cs="仿宋"/>
          <w:kern w:val="0"/>
          <w:sz w:val="21"/>
          <w:szCs w:val="21"/>
        </w:rPr>
        <w:t>。</w:t>
      </w:r>
      <w:r>
        <w:rPr>
          <w:rFonts w:hint="eastAsia" w:ascii="方正仿宋_GBK" w:hAnsi="宋体" w:eastAsia="方正仿宋_GBK"/>
          <w:szCs w:val="24"/>
        </w:rPr>
        <w:t>评审小组填写《资格性、符合性审查表》。</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四）询问和答疑。评审小组对响应文件中含义不明确、同类问题表述不一致或者有明显文字和计算错误的内容等，可要求供应商作出必要的澄清、说明或者更正。供应商的澄清、说明或者更正不得超出响应文件的范围或者改变响应文件的实质性内容。供应商的澄清、说明或者更正应当由法定代表人或其授权代表签字或者加盖公章。</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（五）技术（服务）及商务评审。评审小组按照评审标准，采用</w:t>
      </w:r>
      <w:r>
        <w:rPr>
          <w:rFonts w:hint="eastAsia" w:ascii="方正仿宋_GBK" w:hAnsi="宋体" w:eastAsia="方正仿宋_GBK"/>
          <w:szCs w:val="24"/>
          <w:u w:val="single"/>
        </w:rPr>
        <w:t>综合评分法</w:t>
      </w:r>
      <w:r>
        <w:rPr>
          <w:rFonts w:hint="eastAsia" w:ascii="方正仿宋_GBK" w:hAnsi="宋体" w:eastAsia="方正仿宋_GBK"/>
          <w:szCs w:val="24"/>
        </w:rPr>
        <w:t>对各供应商最终服务、技术、商务响应文件及最后报价进行综合评分，填写《综合评分表》。</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（六）复核评审情况。评审结束后，评审小组应当对评审过程资料及文件逐一复核。</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（七）推荐候选成交供应商。评审小组根据采购文件要求和复核的评审结果，按照满足采购文件全部实质性要求且综合得分高低的原则确定成交候选供应商排序，按综合得分从高到低的原则确定</w:t>
      </w:r>
      <w:r>
        <w:rPr>
          <w:rFonts w:hint="eastAsia" w:ascii="方正仿宋_GBK" w:hAnsi="宋体" w:eastAsia="方正仿宋_GBK"/>
          <w:szCs w:val="24"/>
          <w:u w:val="single"/>
        </w:rPr>
        <w:t>1家</w:t>
      </w:r>
      <w:r>
        <w:rPr>
          <w:rFonts w:hint="eastAsia" w:ascii="方正仿宋_GBK" w:hAnsi="宋体" w:eastAsia="方正仿宋_GBK"/>
          <w:szCs w:val="24"/>
        </w:rPr>
        <w:t>供应商，并拟写评审报告。如得分相同，由评审小组随机选择。</w:t>
      </w:r>
    </w:p>
    <w:p>
      <w:pPr>
        <w:spacing w:line="400" w:lineRule="exact"/>
        <w:ind w:firstLine="468" w:firstLineChars="200"/>
        <w:rPr>
          <w:rFonts w:ascii="方正仿宋_GBK" w:hAnsi="宋体" w:eastAsia="方正仿宋_GBK"/>
          <w:szCs w:val="24"/>
        </w:rPr>
      </w:pPr>
    </w:p>
    <w:p>
      <w:pPr>
        <w:pStyle w:val="3"/>
        <w:numPr>
          <w:ilvl w:val="0"/>
          <w:numId w:val="3"/>
        </w:numPr>
        <w:adjustRightInd w:val="0"/>
        <w:snapToGrid w:val="0"/>
        <w:spacing w:before="0" w:after="0" w:line="400" w:lineRule="exact"/>
        <w:ind w:firstLine="548"/>
        <w:rPr>
          <w:rFonts w:ascii="黑体" w:hAnsi="Times New Roman"/>
          <w:b w:val="0"/>
          <w:kern w:val="2"/>
          <w:sz w:val="28"/>
          <w:szCs w:val="28"/>
          <w:u w:color="000000"/>
        </w:rPr>
      </w:pPr>
      <w:bookmarkStart w:id="20" w:name="_Toc106030889"/>
      <w:bookmarkStart w:id="21" w:name="_Toc76462334"/>
      <w:bookmarkStart w:id="22" w:name="_Toc102227320"/>
      <w:bookmarkStart w:id="23" w:name="_Toc342913394"/>
      <w:r>
        <w:rPr>
          <w:rFonts w:hint="eastAsia" w:ascii="黑体" w:hAnsi="Times New Roman"/>
          <w:b w:val="0"/>
          <w:kern w:val="2"/>
          <w:sz w:val="28"/>
          <w:szCs w:val="28"/>
          <w:u w:color="000000"/>
        </w:rPr>
        <w:t>评审标准</w:t>
      </w:r>
      <w:bookmarkEnd w:id="20"/>
      <w:bookmarkEnd w:id="21"/>
    </w:p>
    <w:tbl>
      <w:tblPr>
        <w:tblStyle w:val="26"/>
        <w:tblW w:w="5000" w:type="pct"/>
        <w:tblInd w:w="0" w:type="dxa"/>
        <w:tblLayout w:type="fixed"/>
        <w:tblCellMar>
          <w:top w:w="0" w:type="dxa"/>
          <w:left w:w="108" w:type="dxa"/>
          <w:bottom w:w="0" w:type="dxa"/>
          <w:right w:w="108" w:type="dxa"/>
        </w:tblCellMar>
      </w:tblPr>
      <w:tblGrid>
        <w:gridCol w:w="1023"/>
        <w:gridCol w:w="895"/>
        <w:gridCol w:w="4925"/>
        <w:gridCol w:w="2727"/>
      </w:tblGrid>
      <w:tr>
        <w:tblPrEx>
          <w:tblCellMar>
            <w:top w:w="0" w:type="dxa"/>
            <w:left w:w="108" w:type="dxa"/>
            <w:bottom w:w="0" w:type="dxa"/>
            <w:right w:w="108" w:type="dxa"/>
          </w:tblCellMar>
        </w:tblPrEx>
        <w:trPr>
          <w:trHeight w:val="720" w:hRule="atLeast"/>
        </w:trPr>
        <w:tc>
          <w:tcPr>
            <w:tcW w:w="53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评分因素及权重</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分值</w:t>
            </w:r>
          </w:p>
        </w:tc>
        <w:tc>
          <w:tcPr>
            <w:tcW w:w="25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评分标准</w:t>
            </w:r>
          </w:p>
        </w:tc>
        <w:tc>
          <w:tcPr>
            <w:tcW w:w="14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说明</w:t>
            </w:r>
          </w:p>
        </w:tc>
      </w:tr>
      <w:tr>
        <w:tblPrEx>
          <w:tblCellMar>
            <w:top w:w="0" w:type="dxa"/>
            <w:left w:w="108" w:type="dxa"/>
            <w:bottom w:w="0" w:type="dxa"/>
            <w:right w:w="108" w:type="dxa"/>
          </w:tblCellMar>
        </w:tblPrEx>
        <w:trPr>
          <w:trHeight w:val="1080" w:hRule="atLeast"/>
        </w:trPr>
        <w:tc>
          <w:tcPr>
            <w:tcW w:w="5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报价要求（</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5%）</w:t>
            </w:r>
          </w:p>
          <w:p>
            <w:pPr>
              <w:widowControl/>
              <w:spacing w:line="300" w:lineRule="exact"/>
              <w:jc w:val="center"/>
              <w:textAlignment w:val="center"/>
              <w:rPr>
                <w:rFonts w:hint="eastAsia" w:ascii="宋体" w:hAnsi="宋体" w:eastAsia="宋体" w:cs="宋体"/>
                <w:color w:val="auto"/>
                <w:sz w:val="21"/>
                <w:szCs w:val="21"/>
                <w:highlight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自主报价</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5分</w:t>
            </w:r>
          </w:p>
        </w:tc>
        <w:tc>
          <w:tcPr>
            <w:tcW w:w="2573"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有效投标报价中的最低价为评标基准价，其价格分为满分。其他投标人的价格分统一按照下列公式计算：</w:t>
            </w:r>
          </w:p>
          <w:p>
            <w:pPr>
              <w:widowControl/>
              <w:spacing w:line="300" w:lineRule="exact"/>
              <w:jc w:val="both"/>
              <w:textAlignment w:val="center"/>
              <w:rPr>
                <w:rFonts w:hint="eastAsia" w:ascii="宋体" w:hAnsi="宋体" w:eastAsia="宋体" w:cs="宋体"/>
                <w:color w:val="auto"/>
                <w:kern w:val="0"/>
                <w:sz w:val="21"/>
                <w:szCs w:val="21"/>
                <w:highlight w:val="none"/>
              </w:rPr>
            </w:pPr>
            <w:r>
              <w:rPr>
                <w:rFonts w:hint="eastAsia" w:ascii="方正仿宋_GBK" w:hAnsi="方正仿宋_GBK" w:eastAsia="方正仿宋_GBK" w:cs="方正仿宋_GBK"/>
                <w:color w:val="auto"/>
                <w:kern w:val="0"/>
                <w:sz w:val="24"/>
                <w:szCs w:val="24"/>
                <w:highlight w:val="none"/>
                <w:lang w:val="en-US" w:eastAsia="zh-CN" w:bidi="ar-SA"/>
              </w:rPr>
              <w:t>投标报价得分=（评标基准价/投标报价）×价格权重×100</w:t>
            </w:r>
          </w:p>
        </w:tc>
        <w:tc>
          <w:tcPr>
            <w:tcW w:w="1424" w:type="pct"/>
            <w:tcBorders>
              <w:top w:val="single" w:color="000000" w:sz="4" w:space="0"/>
              <w:left w:val="single" w:color="000000" w:sz="4" w:space="0"/>
              <w:bottom w:val="single" w:color="000000" w:sz="4" w:space="0"/>
              <w:right w:val="single" w:color="000000" w:sz="4" w:space="0"/>
            </w:tcBorders>
            <w:noWrap/>
            <w:vAlign w:val="center"/>
          </w:tcPr>
          <w:p>
            <w:pPr>
              <w:pStyle w:val="24"/>
              <w:spacing w:line="240" w:lineRule="auto"/>
              <w:ind w:left="0" w:leftChars="0" w:firstLine="0" w:firstLineChars="0"/>
              <w:jc w:val="both"/>
              <w:rPr>
                <w:rFonts w:hint="eastAsia"/>
              </w:rPr>
            </w:pPr>
            <w:r>
              <w:rPr>
                <w:rFonts w:hint="eastAsia" w:ascii="宋体" w:hAnsi="宋体" w:eastAsia="宋体" w:cs="宋体"/>
                <w:color w:val="auto"/>
                <w:kern w:val="0"/>
                <w:sz w:val="21"/>
                <w:szCs w:val="21"/>
                <w:highlight w:val="none"/>
              </w:rPr>
              <w:t>【注：计算结果有小数点的保留两位小数，小数点后第三位“四舍五入”】</w:t>
            </w:r>
          </w:p>
        </w:tc>
      </w:tr>
      <w:tr>
        <w:tblPrEx>
          <w:tblCellMar>
            <w:top w:w="0" w:type="dxa"/>
            <w:left w:w="108" w:type="dxa"/>
            <w:bottom w:w="0" w:type="dxa"/>
            <w:right w:w="108" w:type="dxa"/>
          </w:tblCellMar>
        </w:tblPrEx>
        <w:trPr>
          <w:trHeight w:val="1060" w:hRule="atLeast"/>
        </w:trPr>
        <w:tc>
          <w:tcPr>
            <w:tcW w:w="53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技术部分60%</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检测服务方案20</w:t>
            </w:r>
            <w:r>
              <w:rPr>
                <w:rFonts w:hint="eastAsia" w:ascii="宋体" w:hAnsi="宋体" w:eastAsia="宋体" w:cs="宋体"/>
                <w:color w:val="auto"/>
                <w:kern w:val="0"/>
                <w:sz w:val="21"/>
                <w:szCs w:val="21"/>
                <w:highlight w:val="none"/>
              </w:rPr>
              <w:t>分</w:t>
            </w:r>
          </w:p>
        </w:tc>
        <w:tc>
          <w:tcPr>
            <w:tcW w:w="2573"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投标人提供检测服务方案，方案内容包括但不限于：</w:t>
            </w:r>
          </w:p>
          <w:p>
            <w:pPr>
              <w:numPr>
                <w:ilvl w:val="0"/>
                <w:numId w:val="6"/>
              </w:numPr>
              <w:spacing w:line="360" w:lineRule="exact"/>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b/>
                <w:bCs/>
                <w:color w:val="auto"/>
                <w:kern w:val="0"/>
                <w:sz w:val="24"/>
                <w:szCs w:val="24"/>
                <w:highlight w:val="none"/>
                <w:lang w:val="en-US" w:eastAsia="zh-CN"/>
              </w:rPr>
              <w:t>全流程质控方案</w:t>
            </w:r>
            <w:r>
              <w:rPr>
                <w:rFonts w:hint="eastAsia" w:ascii="方正仿宋_GBK" w:hAnsi="方正仿宋_GBK" w:eastAsia="方正仿宋_GBK" w:cs="方正仿宋_GBK"/>
                <w:color w:val="auto"/>
                <w:kern w:val="0"/>
                <w:sz w:val="24"/>
                <w:szCs w:val="24"/>
                <w:highlight w:val="none"/>
                <w:lang w:val="en-US" w:eastAsia="zh-CN"/>
              </w:rPr>
              <w:t>，涵盖从样本接收数据分析的全流程质控流程</w:t>
            </w:r>
          </w:p>
          <w:p>
            <w:pPr>
              <w:numPr>
                <w:ilvl w:val="0"/>
                <w:numId w:val="0"/>
              </w:numPr>
              <w:spacing w:line="360" w:lineRule="exact"/>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合理且可行得4分；欠合理、 可行性较差、针对性不强得1分；未提供方案不得分</w:t>
            </w:r>
          </w:p>
          <w:p>
            <w:pPr>
              <w:numPr>
                <w:ilvl w:val="0"/>
                <w:numId w:val="6"/>
              </w:numPr>
              <w:spacing w:line="360" w:lineRule="exact"/>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b/>
                <w:bCs/>
                <w:color w:val="auto"/>
                <w:kern w:val="0"/>
                <w:sz w:val="24"/>
                <w:szCs w:val="24"/>
                <w:highlight w:val="none"/>
                <w:lang w:val="en-US" w:eastAsia="zh-CN"/>
              </w:rPr>
              <w:t>检测过程中遇到突发情况的应急处理措施</w:t>
            </w:r>
            <w:r>
              <w:rPr>
                <w:rFonts w:hint="eastAsia" w:ascii="方正仿宋_GBK" w:hAnsi="方正仿宋_GBK" w:eastAsia="方正仿宋_GBK" w:cs="方正仿宋_GBK"/>
                <w:color w:val="auto"/>
                <w:kern w:val="0"/>
                <w:sz w:val="24"/>
                <w:szCs w:val="24"/>
                <w:highlight w:val="none"/>
                <w:lang w:val="en-US" w:eastAsia="zh-CN"/>
              </w:rPr>
              <w:t>，如样本运输失败、设备故障、数据丢失等突发情况的应对方案</w:t>
            </w:r>
          </w:p>
          <w:p>
            <w:pPr>
              <w:numPr>
                <w:ilvl w:val="0"/>
                <w:numId w:val="0"/>
              </w:numPr>
              <w:spacing w:line="36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lang w:val="en-US" w:eastAsia="zh-CN"/>
              </w:rPr>
              <w:t>合理且可行得4分；欠合理、 可行性较差、针对性不强得1分；未提供方案不得分</w:t>
            </w:r>
          </w:p>
          <w:p>
            <w:pPr>
              <w:numPr>
                <w:ilvl w:val="0"/>
                <w:numId w:val="0"/>
              </w:numPr>
              <w:spacing w:line="36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kern w:val="0"/>
                <w:sz w:val="24"/>
                <w:szCs w:val="24"/>
                <w:highlight w:val="none"/>
                <w:lang w:val="en-US" w:eastAsia="zh-CN"/>
              </w:rPr>
              <w:t>3.</w:t>
            </w:r>
            <w:r>
              <w:rPr>
                <w:rFonts w:hint="eastAsia" w:ascii="方正仿宋_GBK" w:hAnsi="方正仿宋_GBK" w:eastAsia="方正仿宋_GBK" w:cs="方正仿宋_GBK"/>
                <w:b/>
                <w:bCs/>
                <w:color w:val="auto"/>
                <w:kern w:val="0"/>
                <w:sz w:val="24"/>
                <w:szCs w:val="24"/>
                <w:highlight w:val="none"/>
                <w:lang w:val="en-US" w:eastAsia="zh-CN"/>
              </w:rPr>
              <w:t>延迟交付的应急预案</w:t>
            </w:r>
            <w:r>
              <w:rPr>
                <w:rFonts w:hint="eastAsia" w:ascii="方正仿宋_GBK" w:hAnsi="方正仿宋_GBK" w:eastAsia="方正仿宋_GBK" w:cs="方正仿宋_GBK"/>
                <w:color w:val="auto"/>
                <w:kern w:val="0"/>
                <w:sz w:val="24"/>
                <w:szCs w:val="24"/>
                <w:highlight w:val="none"/>
                <w:lang w:val="en-US" w:eastAsia="zh-CN"/>
              </w:rPr>
              <w:t>（如设备故障或样本复测时的处理流程）（</w:t>
            </w:r>
            <w:r>
              <w:rPr>
                <w:rFonts w:hint="eastAsia" w:ascii="方正仿宋_GBK" w:hAnsi="方正仿宋_GBK" w:eastAsia="方正仿宋_GBK" w:cs="方正仿宋_GBK"/>
                <w:color w:val="auto"/>
                <w:sz w:val="24"/>
                <w:szCs w:val="24"/>
                <w:highlight w:val="none"/>
                <w:lang w:val="en-US" w:eastAsia="zh-CN"/>
              </w:rPr>
              <w:t>合理且可行得4分，欠合理、 可行性较差、针对性不强得1分；未提供方案不得分。</w:t>
            </w:r>
            <w:r>
              <w:rPr>
                <w:rFonts w:hint="eastAsia" w:ascii="方正仿宋_GBK" w:hAnsi="方正仿宋_GBK" w:eastAsia="方正仿宋_GBK" w:cs="方正仿宋_GBK"/>
                <w:color w:val="auto"/>
                <w:kern w:val="0"/>
                <w:sz w:val="24"/>
                <w:szCs w:val="24"/>
                <w:highlight w:val="none"/>
                <w:lang w:val="en-US" w:eastAsia="zh-CN"/>
              </w:rPr>
              <w:t>）</w:t>
            </w:r>
          </w:p>
          <w:p>
            <w:pPr>
              <w:spacing w:line="360" w:lineRule="exact"/>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4.</w:t>
            </w:r>
            <w:r>
              <w:rPr>
                <w:rFonts w:hint="eastAsia" w:ascii="方正仿宋_GBK" w:hAnsi="方正仿宋_GBK" w:eastAsia="方正仿宋_GBK" w:cs="方正仿宋_GBK"/>
                <w:b/>
                <w:bCs/>
                <w:color w:val="auto"/>
                <w:kern w:val="0"/>
                <w:sz w:val="24"/>
                <w:szCs w:val="24"/>
                <w:highlight w:val="none"/>
                <w:lang w:val="en-US" w:eastAsia="zh-CN"/>
              </w:rPr>
              <w:t>临时加急标本的处理措施</w:t>
            </w:r>
            <w:r>
              <w:rPr>
                <w:rFonts w:hint="eastAsia" w:ascii="方正仿宋_GBK" w:hAnsi="方正仿宋_GBK" w:eastAsia="方正仿宋_GBK" w:cs="方正仿宋_GBK"/>
                <w:color w:val="auto"/>
                <w:kern w:val="0"/>
                <w:sz w:val="24"/>
                <w:szCs w:val="24"/>
                <w:highlight w:val="none"/>
                <w:lang w:val="en-US" w:eastAsia="zh-CN"/>
              </w:rPr>
              <w:t>（</w:t>
            </w:r>
            <w:r>
              <w:rPr>
                <w:rFonts w:hint="eastAsia" w:ascii="方正仿宋_GBK" w:hAnsi="方正仿宋_GBK" w:eastAsia="方正仿宋_GBK" w:cs="方正仿宋_GBK"/>
                <w:color w:val="auto"/>
                <w:sz w:val="24"/>
                <w:szCs w:val="24"/>
                <w:highlight w:val="none"/>
                <w:lang w:val="en-US" w:eastAsia="zh-CN"/>
              </w:rPr>
              <w:t>合理且可行得4分，欠合理、 可行性较差、针对性不强得1分；未提供方案不得分。</w:t>
            </w:r>
            <w:r>
              <w:rPr>
                <w:rFonts w:hint="eastAsia" w:ascii="方正仿宋_GBK" w:hAnsi="方正仿宋_GBK" w:eastAsia="方正仿宋_GBK" w:cs="方正仿宋_GBK"/>
                <w:color w:val="auto"/>
                <w:kern w:val="0"/>
                <w:sz w:val="24"/>
                <w:szCs w:val="24"/>
                <w:highlight w:val="none"/>
                <w:lang w:val="en-US" w:eastAsia="zh-CN"/>
              </w:rPr>
              <w:t>）</w:t>
            </w:r>
          </w:p>
          <w:p>
            <w:pPr>
              <w:widowControl/>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val="en-US" w:eastAsia="zh-CN"/>
              </w:rPr>
              <w:t>5.</w:t>
            </w:r>
            <w:r>
              <w:rPr>
                <w:rFonts w:hint="eastAsia" w:ascii="方正仿宋_GBK" w:hAnsi="方正仿宋_GBK" w:eastAsia="方正仿宋_GBK" w:cs="方正仿宋_GBK"/>
                <w:b/>
                <w:bCs/>
                <w:color w:val="auto"/>
                <w:kern w:val="0"/>
                <w:sz w:val="24"/>
                <w:szCs w:val="24"/>
                <w:highlight w:val="none"/>
                <w:lang w:val="en-US" w:eastAsia="zh-CN"/>
              </w:rPr>
              <w:t>专职客服和临床支持方案</w:t>
            </w:r>
            <w:r>
              <w:rPr>
                <w:rFonts w:hint="eastAsia" w:ascii="方正仿宋_GBK" w:hAnsi="方正仿宋_GBK" w:eastAsia="方正仿宋_GBK" w:cs="方正仿宋_GBK"/>
                <w:color w:val="auto"/>
                <w:kern w:val="0"/>
                <w:sz w:val="24"/>
                <w:szCs w:val="24"/>
                <w:highlight w:val="none"/>
                <w:lang w:val="en-US" w:eastAsia="zh-CN"/>
              </w:rPr>
              <w:t>，响应时间为24小时内解答疑问。（</w:t>
            </w:r>
            <w:r>
              <w:rPr>
                <w:rFonts w:hint="eastAsia" w:ascii="方正仿宋_GBK" w:hAnsi="方正仿宋_GBK" w:eastAsia="方正仿宋_GBK" w:cs="方正仿宋_GBK"/>
                <w:color w:val="auto"/>
                <w:sz w:val="24"/>
                <w:szCs w:val="24"/>
                <w:highlight w:val="none"/>
                <w:lang w:val="en-US" w:eastAsia="zh-CN"/>
              </w:rPr>
              <w:t>合理且可行得4分，欠合理、 可行性较差、针对性不强得1分；未提供方案不得分。</w:t>
            </w:r>
            <w:r>
              <w:rPr>
                <w:rFonts w:hint="eastAsia" w:ascii="方正仿宋_GBK" w:hAnsi="方正仿宋_GBK" w:eastAsia="方正仿宋_GBK" w:cs="方正仿宋_GBK"/>
                <w:color w:val="auto"/>
                <w:kern w:val="0"/>
                <w:sz w:val="24"/>
                <w:szCs w:val="24"/>
                <w:highlight w:val="none"/>
                <w:lang w:val="en-US" w:eastAsia="zh-CN"/>
              </w:rPr>
              <w:t>）</w:t>
            </w:r>
          </w:p>
        </w:tc>
        <w:tc>
          <w:tcPr>
            <w:tcW w:w="1424"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提供方案并</w:t>
            </w:r>
            <w:r>
              <w:rPr>
                <w:rFonts w:hint="eastAsia" w:ascii="宋体" w:hAnsi="宋体" w:eastAsia="宋体" w:cs="宋体"/>
                <w:color w:val="auto"/>
                <w:sz w:val="21"/>
                <w:szCs w:val="21"/>
                <w:highlight w:val="none"/>
                <w:lang w:bidi="ar"/>
              </w:rPr>
              <w:t>加盖投标人公章</w:t>
            </w:r>
          </w:p>
        </w:tc>
      </w:tr>
      <w:tr>
        <w:tblPrEx>
          <w:tblCellMar>
            <w:top w:w="0" w:type="dxa"/>
            <w:left w:w="108" w:type="dxa"/>
            <w:bottom w:w="0" w:type="dxa"/>
            <w:right w:w="108" w:type="dxa"/>
          </w:tblCellMar>
        </w:tblPrEx>
        <w:trPr>
          <w:trHeight w:val="760" w:hRule="atLeast"/>
        </w:trPr>
        <w:tc>
          <w:tcPr>
            <w:tcW w:w="5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auto"/>
                <w:sz w:val="21"/>
                <w:szCs w:val="21"/>
                <w:highlight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质控能力</w:t>
            </w:r>
          </w:p>
          <w:p>
            <w:pPr>
              <w:pStyle w:val="24"/>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c>
          <w:tcPr>
            <w:tcW w:w="257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60" w:lineRule="exact"/>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单位获得国家病理质控中心（PQCC）相关分子病理质控证书，提供一份得0.5分，最高不超过4分；</w:t>
            </w:r>
          </w:p>
          <w:p>
            <w:pPr>
              <w:numPr>
                <w:ilvl w:val="0"/>
                <w:numId w:val="0"/>
              </w:numPr>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2.单位获批卫生部颁发的病理类国家级示范中心得4分，未提供不得分；</w:t>
            </w:r>
          </w:p>
          <w:p>
            <w:pPr>
              <w:widowControl/>
              <w:numPr>
                <w:ilvl w:val="0"/>
                <w:numId w:val="0"/>
              </w:numPr>
              <w:spacing w:line="360" w:lineRule="exac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3.投标单位获批卫健委颁发的病理类省级示范质控中心得2分，未提供不得分；</w:t>
            </w:r>
          </w:p>
        </w:tc>
        <w:tc>
          <w:tcPr>
            <w:tcW w:w="142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提供相关证书证明材料复印件</w:t>
            </w:r>
            <w:bookmarkStart w:id="24" w:name="OLE_LINK2"/>
            <w:r>
              <w:rPr>
                <w:rFonts w:hint="eastAsia" w:ascii="宋体" w:hAnsi="宋体" w:eastAsia="宋体" w:cs="宋体"/>
                <w:color w:val="auto"/>
                <w:sz w:val="21"/>
                <w:szCs w:val="21"/>
                <w:highlight w:val="none"/>
                <w:lang w:bidi="ar"/>
              </w:rPr>
              <w:t>加盖投标人公章</w:t>
            </w:r>
            <w:bookmarkEnd w:id="24"/>
          </w:p>
        </w:tc>
      </w:tr>
      <w:tr>
        <w:tblPrEx>
          <w:tblCellMar>
            <w:top w:w="0" w:type="dxa"/>
            <w:left w:w="108" w:type="dxa"/>
            <w:bottom w:w="0" w:type="dxa"/>
            <w:right w:w="108" w:type="dxa"/>
          </w:tblCellMar>
        </w:tblPrEx>
        <w:trPr>
          <w:trHeight w:val="1200" w:hRule="atLeast"/>
        </w:trPr>
        <w:tc>
          <w:tcPr>
            <w:tcW w:w="5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auto"/>
                <w:sz w:val="21"/>
                <w:szCs w:val="21"/>
                <w:highlight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人员配备</w:t>
            </w:r>
          </w:p>
          <w:p>
            <w:pPr>
              <w:pStyle w:val="24"/>
              <w:ind w:left="0" w:leftChars="0" w:firstLine="0" w:firstLineChars="0"/>
              <w:jc w:val="center"/>
              <w:rPr>
                <w:rFonts w:hint="eastAsia" w:ascii="宋体" w:hAnsi="宋体" w:eastAsia="宋体" w:cs="宋体"/>
                <w:color w:val="auto"/>
                <w:sz w:val="21"/>
                <w:szCs w:val="21"/>
                <w:highlight w:val="none"/>
                <w:lang w:val="en-US" w:eastAsia="zh-CN"/>
              </w:rPr>
            </w:pPr>
            <w:r>
              <w:rPr>
                <w:rFonts w:hint="eastAsia"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c>
          <w:tcPr>
            <w:tcW w:w="257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提供实验室内参与服务的中高级专业技术人员职称证明文件</w:t>
            </w:r>
            <w:r>
              <w:rPr>
                <w:rFonts w:hint="eastAsia" w:ascii="方正仿宋_GBK" w:hAnsi="方正仿宋_GBK" w:eastAsia="方正仿宋_GBK" w:cs="方正仿宋_GBK"/>
                <w:color w:val="auto"/>
                <w:kern w:val="0"/>
                <w:sz w:val="24"/>
                <w:szCs w:val="24"/>
                <w:highlight w:val="none"/>
                <w:lang w:eastAsia="zh-CN"/>
              </w:rPr>
              <w:t>：</w:t>
            </w:r>
          </w:p>
          <w:p>
            <w:pPr>
              <w:widowControl/>
              <w:numPr>
                <w:ilvl w:val="0"/>
                <w:numId w:val="7"/>
              </w:numPr>
              <w:spacing w:line="360" w:lineRule="exact"/>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提供中级职称一名得0.</w:t>
            </w:r>
            <w:r>
              <w:rPr>
                <w:rFonts w:hint="eastAsia" w:ascii="方正仿宋_GBK" w:hAnsi="方正仿宋_GBK" w:eastAsia="方正仿宋_GBK" w:cs="方正仿宋_GBK"/>
                <w:color w:val="auto"/>
                <w:kern w:val="0"/>
                <w:sz w:val="24"/>
                <w:szCs w:val="24"/>
                <w:highlight w:val="none"/>
                <w:lang w:val="en-US" w:eastAsia="zh-CN"/>
              </w:rPr>
              <w:t>2</w:t>
            </w:r>
            <w:r>
              <w:rPr>
                <w:rFonts w:hint="eastAsia" w:ascii="方正仿宋_GBK" w:hAnsi="方正仿宋_GBK" w:eastAsia="方正仿宋_GBK" w:cs="方正仿宋_GBK"/>
                <w:color w:val="auto"/>
                <w:kern w:val="0"/>
                <w:sz w:val="24"/>
                <w:szCs w:val="24"/>
                <w:highlight w:val="none"/>
              </w:rPr>
              <w:t>分，最高得</w:t>
            </w:r>
            <w:r>
              <w:rPr>
                <w:rFonts w:hint="eastAsia" w:ascii="方正仿宋_GBK" w:hAnsi="方正仿宋_GBK" w:eastAsia="方正仿宋_GBK" w:cs="方正仿宋_GBK"/>
                <w:color w:val="auto"/>
                <w:kern w:val="0"/>
                <w:sz w:val="24"/>
                <w:szCs w:val="24"/>
                <w:highlight w:val="none"/>
                <w:lang w:val="en-US" w:eastAsia="zh-CN"/>
              </w:rPr>
              <w:t>2</w:t>
            </w:r>
            <w:r>
              <w:rPr>
                <w:rFonts w:hint="eastAsia" w:ascii="方正仿宋_GBK" w:hAnsi="方正仿宋_GBK" w:eastAsia="方正仿宋_GBK" w:cs="方正仿宋_GBK"/>
                <w:color w:val="auto"/>
                <w:kern w:val="0"/>
                <w:sz w:val="24"/>
                <w:szCs w:val="24"/>
                <w:highlight w:val="none"/>
              </w:rPr>
              <w:t>分；</w:t>
            </w:r>
          </w:p>
          <w:p>
            <w:pPr>
              <w:widowControl/>
              <w:numPr>
                <w:ilvl w:val="0"/>
                <w:numId w:val="7"/>
              </w:numPr>
              <w:spacing w:line="360" w:lineRule="exac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提供副高级职称一名得1分，正高级职称一名得2分，最高得</w:t>
            </w:r>
            <w:r>
              <w:rPr>
                <w:rFonts w:hint="eastAsia" w:ascii="方正仿宋_GBK" w:hAnsi="方正仿宋_GBK" w:eastAsia="方正仿宋_GBK" w:cs="方正仿宋_GBK"/>
                <w:color w:val="auto"/>
                <w:kern w:val="0"/>
                <w:sz w:val="24"/>
                <w:szCs w:val="24"/>
                <w:highlight w:val="none"/>
                <w:lang w:val="en-US" w:eastAsia="zh-CN"/>
              </w:rPr>
              <w:t>8</w:t>
            </w:r>
            <w:r>
              <w:rPr>
                <w:rFonts w:hint="eastAsia" w:ascii="方正仿宋_GBK" w:hAnsi="方正仿宋_GBK" w:eastAsia="方正仿宋_GBK" w:cs="方正仿宋_GBK"/>
                <w:color w:val="auto"/>
                <w:kern w:val="0"/>
                <w:sz w:val="24"/>
                <w:szCs w:val="24"/>
                <w:highlight w:val="none"/>
              </w:rPr>
              <w:t>分；</w:t>
            </w:r>
          </w:p>
        </w:tc>
        <w:tc>
          <w:tcPr>
            <w:tcW w:w="142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需提供国家主管单位颁发的职称证明、医师证明、技师证明</w:t>
            </w:r>
            <w:r>
              <w:rPr>
                <w:rFonts w:hint="eastAsia" w:ascii="宋体" w:hAnsi="宋体" w:eastAsia="宋体" w:cs="宋体"/>
                <w:color w:val="auto"/>
                <w:kern w:val="0"/>
                <w:sz w:val="21"/>
                <w:szCs w:val="21"/>
                <w:highlight w:val="none"/>
                <w:lang w:val="en-US" w:eastAsia="zh-CN"/>
              </w:rPr>
              <w:t>复印件并加盖投标人公章</w:t>
            </w:r>
          </w:p>
        </w:tc>
      </w:tr>
      <w:tr>
        <w:tblPrEx>
          <w:tblCellMar>
            <w:top w:w="0" w:type="dxa"/>
            <w:left w:w="108" w:type="dxa"/>
            <w:bottom w:w="0" w:type="dxa"/>
            <w:right w:w="108" w:type="dxa"/>
          </w:tblCellMar>
        </w:tblPrEx>
        <w:trPr>
          <w:trHeight w:val="411" w:hRule="atLeast"/>
        </w:trPr>
        <w:tc>
          <w:tcPr>
            <w:tcW w:w="5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auto"/>
                <w:sz w:val="21"/>
                <w:szCs w:val="21"/>
                <w:highlight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物流方案</w:t>
            </w:r>
          </w:p>
          <w:p>
            <w:pPr>
              <w:widowControl/>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15分</w:t>
            </w:r>
          </w:p>
        </w:tc>
        <w:tc>
          <w:tcPr>
            <w:tcW w:w="2573" w:type="pct"/>
            <w:tcBorders>
              <w:top w:val="single" w:color="000000" w:sz="4" w:space="0"/>
              <w:left w:val="single" w:color="000000" w:sz="4" w:space="0"/>
              <w:right w:val="single" w:color="000000" w:sz="4" w:space="0"/>
            </w:tcBorders>
            <w:noWrap w:val="0"/>
            <w:vAlign w:val="center"/>
          </w:tcPr>
          <w:p>
            <w:pPr>
              <w:spacing w:line="360" w:lineRule="exac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kern w:val="0"/>
                <w:sz w:val="24"/>
                <w:szCs w:val="24"/>
                <w:highlight w:val="none"/>
                <w:lang w:val="en-US" w:eastAsia="zh-CN"/>
              </w:rPr>
              <w:t>投</w:t>
            </w:r>
            <w:r>
              <w:rPr>
                <w:rFonts w:hint="eastAsia" w:ascii="方正仿宋_GBK" w:hAnsi="方正仿宋_GBK" w:eastAsia="方正仿宋_GBK" w:cs="方正仿宋_GBK"/>
                <w:color w:val="auto"/>
                <w:sz w:val="24"/>
                <w:szCs w:val="24"/>
                <w:highlight w:val="none"/>
              </w:rPr>
              <w:t>标人提供</w:t>
            </w:r>
            <w:r>
              <w:rPr>
                <w:rFonts w:hint="eastAsia" w:ascii="方正仿宋_GBK" w:hAnsi="方正仿宋_GBK" w:eastAsia="方正仿宋_GBK" w:cs="方正仿宋_GBK"/>
                <w:color w:val="auto"/>
                <w:sz w:val="24"/>
                <w:szCs w:val="24"/>
                <w:highlight w:val="none"/>
                <w:lang w:val="en-US" w:eastAsia="zh-CN"/>
              </w:rPr>
              <w:t>物流方案，方案中应包含但不限于</w:t>
            </w:r>
            <w:r>
              <w:rPr>
                <w:rFonts w:hint="eastAsia" w:ascii="方正仿宋_GBK" w:hAnsi="方正仿宋_GBK" w:eastAsia="方正仿宋_GBK" w:cs="方正仿宋_GBK"/>
                <w:color w:val="auto"/>
                <w:sz w:val="24"/>
                <w:szCs w:val="24"/>
                <w:highlight w:val="none"/>
              </w:rPr>
              <w:t>标本冷链物流方案</w:t>
            </w:r>
          </w:p>
          <w:p>
            <w:pPr>
              <w:numPr>
                <w:ilvl w:val="0"/>
                <w:numId w:val="0"/>
              </w:numPr>
              <w:spacing w:line="36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冷链物流车辆相关证明文件（如车辆行驶证复印件及车辆照片）</w:t>
            </w:r>
            <w:r>
              <w:rPr>
                <w:rFonts w:hint="eastAsia" w:ascii="方正仿宋_GBK" w:hAnsi="方正仿宋_GBK" w:eastAsia="方正仿宋_GBK" w:cs="方正仿宋_GBK"/>
                <w:color w:val="auto"/>
                <w:sz w:val="24"/>
                <w:szCs w:val="24"/>
                <w:highlight w:val="none"/>
                <w:lang w:val="en-US" w:eastAsia="zh-CN"/>
              </w:rPr>
              <w:t>（满足3分，未满足得0分。）</w:t>
            </w:r>
          </w:p>
          <w:p>
            <w:pPr>
              <w:numPr>
                <w:ilvl w:val="0"/>
                <w:numId w:val="0"/>
              </w:numPr>
              <w:spacing w:line="36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物流人员安排</w:t>
            </w:r>
            <w:r>
              <w:rPr>
                <w:rFonts w:hint="eastAsia" w:ascii="方正仿宋_GBK" w:hAnsi="方正仿宋_GBK" w:eastAsia="方正仿宋_GBK" w:cs="方正仿宋_GBK"/>
                <w:color w:val="auto"/>
                <w:sz w:val="24"/>
                <w:szCs w:val="24"/>
                <w:highlight w:val="none"/>
                <w:lang w:val="en-US" w:eastAsia="zh-CN"/>
              </w:rPr>
              <w:t>方案（合理且可行得3分）</w:t>
            </w:r>
          </w:p>
          <w:p>
            <w:pPr>
              <w:numPr>
                <w:ilvl w:val="0"/>
                <w:numId w:val="0"/>
              </w:numPr>
              <w:spacing w:line="36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车辆运输情况安排、路线接收安排</w:t>
            </w:r>
            <w:r>
              <w:rPr>
                <w:rFonts w:hint="eastAsia" w:ascii="方正仿宋_GBK" w:hAnsi="方正仿宋_GBK" w:eastAsia="方正仿宋_GBK" w:cs="方正仿宋_GBK"/>
                <w:color w:val="auto"/>
                <w:sz w:val="24"/>
                <w:szCs w:val="24"/>
                <w:highlight w:val="none"/>
                <w:lang w:val="en-US" w:eastAsia="zh-CN"/>
              </w:rPr>
              <w:t>（合理且可行得3分；欠合理、 可行性较差、针对性不强得0.5分；未提供方案不得分。）</w:t>
            </w:r>
          </w:p>
          <w:p>
            <w:pPr>
              <w:numPr>
                <w:ilvl w:val="0"/>
                <w:numId w:val="0"/>
              </w:numPr>
              <w:spacing w:line="36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物流运输质量保障措施、温控措施</w:t>
            </w:r>
            <w:r>
              <w:rPr>
                <w:rFonts w:hint="eastAsia" w:ascii="方正仿宋_GBK" w:hAnsi="方正仿宋_GBK" w:eastAsia="方正仿宋_GBK" w:cs="方正仿宋_GBK"/>
                <w:color w:val="auto"/>
                <w:sz w:val="24"/>
                <w:szCs w:val="24"/>
                <w:highlight w:val="none"/>
                <w:lang w:val="en-US" w:eastAsia="zh-CN"/>
              </w:rPr>
              <w:t>（合理且可行得3分；欠合理、 可行性较差、针对性不强得0.5分；未提供方案不得分。）</w:t>
            </w:r>
          </w:p>
          <w:p>
            <w:pPr>
              <w:numPr>
                <w:ilvl w:val="0"/>
                <w:numId w:val="0"/>
              </w:numPr>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运输应急处理</w:t>
            </w:r>
            <w:r>
              <w:rPr>
                <w:rFonts w:hint="eastAsia" w:ascii="方正仿宋_GBK" w:hAnsi="方正仿宋_GBK" w:eastAsia="方正仿宋_GBK" w:cs="方正仿宋_GBK"/>
                <w:color w:val="auto"/>
                <w:sz w:val="24"/>
                <w:szCs w:val="24"/>
                <w:highlight w:val="none"/>
                <w:lang w:val="en-US" w:eastAsia="zh-CN"/>
              </w:rPr>
              <w:t>措施</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如中途车辆出现事故等</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合理且可行得3分；欠合理、 可行性较差、针对性不强得0.5分；未提供方案不得分。）</w:t>
            </w:r>
          </w:p>
        </w:tc>
        <w:tc>
          <w:tcPr>
            <w:tcW w:w="1424" w:type="pct"/>
            <w:tcBorders>
              <w:top w:val="single" w:color="000000" w:sz="4" w:space="0"/>
              <w:left w:val="single" w:color="000000" w:sz="4" w:space="0"/>
              <w:right w:val="single" w:color="000000" w:sz="4" w:space="0"/>
            </w:tcBorders>
            <w:noWrap w:val="0"/>
            <w:vAlign w:val="center"/>
          </w:tcPr>
          <w:p>
            <w:pPr>
              <w:spacing w:line="300" w:lineRule="exact"/>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提供方案并加盖投标人公章</w:t>
            </w:r>
          </w:p>
        </w:tc>
      </w:tr>
      <w:tr>
        <w:tblPrEx>
          <w:tblCellMar>
            <w:top w:w="0" w:type="dxa"/>
            <w:left w:w="108" w:type="dxa"/>
            <w:bottom w:w="0" w:type="dxa"/>
            <w:right w:w="108" w:type="dxa"/>
          </w:tblCellMar>
        </w:tblPrEx>
        <w:trPr>
          <w:trHeight w:val="189" w:hRule="atLeast"/>
        </w:trPr>
        <w:tc>
          <w:tcPr>
            <w:tcW w:w="5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auto"/>
                <w:sz w:val="21"/>
                <w:szCs w:val="21"/>
                <w:highlight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信息系统对接</w:t>
            </w:r>
          </w:p>
          <w:p>
            <w:pPr>
              <w:widowControl/>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2573"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36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免费提供报告线上查询服务并保证24小时随时可供采购人查询报告</w:t>
            </w:r>
          </w:p>
          <w:p>
            <w:pPr>
              <w:widowControl/>
              <w:numPr>
                <w:ilvl w:val="0"/>
                <w:numId w:val="0"/>
              </w:numPr>
              <w:spacing w:line="360" w:lineRule="exact"/>
              <w:jc w:val="left"/>
              <w:textAlignment w:val="auto"/>
              <w:rPr>
                <w:rFonts w:hint="eastAsia" w:ascii="方正仿宋_GBK" w:hAnsi="方正仿宋_GBK" w:eastAsia="方正仿宋_GBK" w:cs="方正仿宋_GBK"/>
                <w:color w:val="auto"/>
                <w:kern w:val="2"/>
                <w:sz w:val="24"/>
                <w:szCs w:val="24"/>
                <w:highlight w:val="none"/>
              </w:rPr>
            </w:pPr>
            <w:r>
              <w:rPr>
                <w:rFonts w:hint="eastAsia" w:ascii="方正仿宋_GBK" w:hAnsi="方正仿宋_GBK" w:eastAsia="方正仿宋_GBK" w:cs="方正仿宋_GBK"/>
                <w:color w:val="auto"/>
                <w:kern w:val="2"/>
                <w:sz w:val="24"/>
                <w:szCs w:val="24"/>
                <w:highlight w:val="none"/>
              </w:rPr>
              <w:t>（1）能完成5分</w:t>
            </w:r>
            <w:r>
              <w:rPr>
                <w:rFonts w:hint="eastAsia" w:ascii="方正仿宋_GBK" w:hAnsi="方正仿宋_GBK" w:eastAsia="方正仿宋_GBK" w:cs="方正仿宋_GBK"/>
                <w:color w:val="auto"/>
                <w:kern w:val="2"/>
                <w:sz w:val="24"/>
                <w:szCs w:val="24"/>
                <w:highlight w:val="none"/>
                <w:lang w:eastAsia="zh-CN"/>
              </w:rPr>
              <w:t>；</w:t>
            </w:r>
          </w:p>
          <w:p>
            <w:pPr>
              <w:widowControl/>
              <w:numPr>
                <w:ilvl w:val="0"/>
                <w:numId w:val="0"/>
              </w:numPr>
              <w:spacing w:line="360" w:lineRule="exac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kern w:val="2"/>
                <w:sz w:val="24"/>
                <w:szCs w:val="24"/>
                <w:highlight w:val="none"/>
              </w:rPr>
              <w:t>（2）不能完成0分。</w:t>
            </w:r>
          </w:p>
        </w:tc>
        <w:tc>
          <w:tcPr>
            <w:tcW w:w="142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须提供承诺函，同时提供投标人实施过的系统对接案例方案或合同1份，并加盖投标人公章</w:t>
            </w:r>
          </w:p>
        </w:tc>
      </w:tr>
      <w:tr>
        <w:tblPrEx>
          <w:tblCellMar>
            <w:top w:w="0" w:type="dxa"/>
            <w:left w:w="108" w:type="dxa"/>
            <w:bottom w:w="0" w:type="dxa"/>
            <w:right w:w="108" w:type="dxa"/>
          </w:tblCellMar>
        </w:tblPrEx>
        <w:trPr>
          <w:trHeight w:val="1080" w:hRule="atLeast"/>
        </w:trPr>
        <w:tc>
          <w:tcPr>
            <w:tcW w:w="534"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auto"/>
                <w:kern w:val="0"/>
                <w:sz w:val="21"/>
                <w:szCs w:val="21"/>
                <w:highlight w:val="none"/>
              </w:rPr>
            </w:pPr>
          </w:p>
          <w:p>
            <w:pPr>
              <w:widowControl/>
              <w:spacing w:line="300" w:lineRule="exact"/>
              <w:jc w:val="center"/>
              <w:textAlignment w:val="center"/>
              <w:rPr>
                <w:rFonts w:hint="eastAsia" w:ascii="宋体" w:hAnsi="宋体" w:eastAsia="宋体" w:cs="宋体"/>
                <w:color w:val="auto"/>
                <w:kern w:val="0"/>
                <w:sz w:val="21"/>
                <w:szCs w:val="21"/>
                <w:highlight w:val="none"/>
              </w:rPr>
            </w:pPr>
          </w:p>
          <w:p>
            <w:pPr>
              <w:widowControl/>
              <w:spacing w:line="300" w:lineRule="exact"/>
              <w:jc w:val="center"/>
              <w:textAlignment w:val="center"/>
              <w:rPr>
                <w:rFonts w:hint="eastAsia" w:ascii="宋体" w:hAnsi="宋体" w:eastAsia="宋体" w:cs="宋体"/>
                <w:color w:val="auto"/>
                <w:kern w:val="0"/>
                <w:sz w:val="21"/>
                <w:szCs w:val="21"/>
                <w:highlight w:val="none"/>
              </w:rPr>
            </w:pPr>
          </w:p>
          <w:p>
            <w:pPr>
              <w:widowControl/>
              <w:spacing w:line="300" w:lineRule="exact"/>
              <w:jc w:val="center"/>
              <w:textAlignment w:val="center"/>
              <w:rPr>
                <w:rFonts w:hint="eastAsia" w:ascii="宋体" w:hAnsi="宋体" w:eastAsia="宋体" w:cs="宋体"/>
                <w:color w:val="auto"/>
                <w:kern w:val="0"/>
                <w:sz w:val="21"/>
                <w:szCs w:val="21"/>
                <w:highlight w:val="none"/>
              </w:rPr>
            </w:pPr>
          </w:p>
          <w:p>
            <w:pPr>
              <w:widowControl/>
              <w:spacing w:line="300" w:lineRule="exact"/>
              <w:jc w:val="center"/>
              <w:textAlignment w:val="center"/>
              <w:rPr>
                <w:rFonts w:hint="eastAsia" w:ascii="宋体" w:hAnsi="宋体" w:eastAsia="宋体" w:cs="宋体"/>
                <w:color w:val="auto"/>
                <w:kern w:val="0"/>
                <w:sz w:val="21"/>
                <w:szCs w:val="21"/>
                <w:highlight w:val="none"/>
              </w:rPr>
            </w:pPr>
          </w:p>
          <w:p>
            <w:pPr>
              <w:widowControl/>
              <w:spacing w:line="300" w:lineRule="exact"/>
              <w:jc w:val="center"/>
              <w:textAlignment w:val="center"/>
              <w:rPr>
                <w:rFonts w:hint="eastAsia" w:ascii="宋体" w:hAnsi="宋体" w:eastAsia="宋体" w:cs="宋体"/>
                <w:color w:val="auto"/>
                <w:kern w:val="0"/>
                <w:sz w:val="21"/>
                <w:szCs w:val="21"/>
                <w:highlight w:val="none"/>
              </w:rPr>
            </w:pPr>
          </w:p>
          <w:p>
            <w:pPr>
              <w:widowControl/>
              <w:spacing w:line="300" w:lineRule="exact"/>
              <w:jc w:val="center"/>
              <w:textAlignment w:val="center"/>
              <w:rPr>
                <w:rFonts w:hint="eastAsia" w:ascii="宋体" w:hAnsi="宋体" w:eastAsia="宋体" w:cs="宋体"/>
                <w:color w:val="auto"/>
                <w:kern w:val="0"/>
                <w:sz w:val="21"/>
                <w:szCs w:val="21"/>
                <w:highlight w:val="none"/>
              </w:rPr>
            </w:pPr>
          </w:p>
          <w:p>
            <w:pPr>
              <w:widowControl/>
              <w:spacing w:line="300" w:lineRule="exact"/>
              <w:jc w:val="center"/>
              <w:textAlignment w:val="center"/>
              <w:rPr>
                <w:rFonts w:hint="eastAsia" w:ascii="宋体" w:hAnsi="宋体" w:eastAsia="宋体" w:cs="宋体"/>
                <w:color w:val="auto"/>
                <w:kern w:val="0"/>
                <w:sz w:val="21"/>
                <w:szCs w:val="21"/>
                <w:highlight w:val="none"/>
              </w:rPr>
            </w:pPr>
          </w:p>
          <w:p>
            <w:pPr>
              <w:widowControl/>
              <w:spacing w:line="300" w:lineRule="exact"/>
              <w:jc w:val="center"/>
              <w:textAlignment w:val="center"/>
              <w:rPr>
                <w:rFonts w:hint="eastAsia" w:ascii="宋体" w:hAnsi="宋体" w:eastAsia="宋体" w:cs="宋体"/>
                <w:color w:val="auto"/>
                <w:kern w:val="0"/>
                <w:sz w:val="21"/>
                <w:szCs w:val="21"/>
                <w:highlight w:val="none"/>
              </w:rPr>
            </w:pPr>
          </w:p>
          <w:p>
            <w:pPr>
              <w:widowControl/>
              <w:spacing w:line="300" w:lineRule="exact"/>
              <w:jc w:val="center"/>
              <w:textAlignment w:val="center"/>
              <w:rPr>
                <w:rFonts w:hint="eastAsia" w:ascii="宋体" w:hAnsi="宋体" w:eastAsia="宋体" w:cs="宋体"/>
                <w:color w:val="auto"/>
                <w:kern w:val="0"/>
                <w:sz w:val="21"/>
                <w:szCs w:val="21"/>
                <w:highlight w:val="none"/>
              </w:rPr>
            </w:pPr>
          </w:p>
          <w:p>
            <w:pPr>
              <w:widowControl/>
              <w:spacing w:line="300" w:lineRule="exact"/>
              <w:jc w:val="center"/>
              <w:textAlignment w:val="center"/>
              <w:rPr>
                <w:rFonts w:hint="eastAsia" w:ascii="宋体" w:hAnsi="宋体" w:eastAsia="宋体" w:cs="宋体"/>
                <w:color w:val="auto"/>
                <w:kern w:val="0"/>
                <w:sz w:val="21"/>
                <w:szCs w:val="21"/>
                <w:highlight w:val="none"/>
              </w:rPr>
            </w:pPr>
          </w:p>
          <w:p>
            <w:pPr>
              <w:widowControl/>
              <w:spacing w:line="300" w:lineRule="exact"/>
              <w:jc w:val="center"/>
              <w:textAlignment w:val="center"/>
              <w:rPr>
                <w:rFonts w:hint="eastAsia" w:ascii="宋体" w:hAnsi="宋体" w:eastAsia="宋体" w:cs="宋体"/>
                <w:color w:val="auto"/>
                <w:kern w:val="0"/>
                <w:sz w:val="21"/>
                <w:szCs w:val="21"/>
                <w:highlight w:val="none"/>
              </w:rPr>
            </w:pPr>
          </w:p>
          <w:p>
            <w:pPr>
              <w:widowControl/>
              <w:spacing w:line="30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w:t>
            </w:r>
          </w:p>
          <w:p>
            <w:pPr>
              <w:widowControl/>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要求（</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企业案例5</w:t>
            </w:r>
            <w:r>
              <w:rPr>
                <w:rFonts w:hint="eastAsia" w:ascii="宋体" w:hAnsi="宋体" w:eastAsia="宋体" w:cs="宋体"/>
                <w:color w:val="auto"/>
                <w:kern w:val="0"/>
                <w:sz w:val="21"/>
                <w:szCs w:val="21"/>
                <w:highlight w:val="none"/>
              </w:rPr>
              <w:t>分</w:t>
            </w:r>
          </w:p>
        </w:tc>
        <w:tc>
          <w:tcPr>
            <w:tcW w:w="2573"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tabs>
                <w:tab w:val="left" w:pos="312"/>
              </w:tabs>
              <w:spacing w:line="360" w:lineRule="exact"/>
              <w:jc w:val="left"/>
              <w:textAlignment w:val="auto"/>
              <w:rPr>
                <w:rFonts w:hint="eastAsia" w:ascii="方正仿宋_GBK" w:hAnsi="方正仿宋_GBK" w:eastAsia="方正仿宋_GBK" w:cs="方正仿宋_GBK"/>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rPr>
              <w:t>提供2022</w:t>
            </w:r>
            <w:r>
              <w:rPr>
                <w:rFonts w:hint="eastAsia" w:ascii="方正仿宋_GBK" w:hAnsi="方正仿宋_GBK" w:eastAsia="方正仿宋_GBK" w:cs="方正仿宋_GBK"/>
                <w:dstrike w:val="0"/>
                <w:color w:val="auto"/>
                <w:kern w:val="2"/>
                <w:sz w:val="24"/>
                <w:szCs w:val="24"/>
                <w:highlight w:val="none"/>
                <w:lang w:val="en-US" w:eastAsia="zh-CN"/>
              </w:rPr>
              <w:t>年</w:t>
            </w:r>
            <w:r>
              <w:rPr>
                <w:rFonts w:hint="eastAsia" w:ascii="方正仿宋_GBK" w:hAnsi="方正仿宋_GBK" w:eastAsia="方正仿宋_GBK" w:cs="方正仿宋_GBK"/>
                <w:color w:val="auto"/>
                <w:kern w:val="2"/>
                <w:sz w:val="24"/>
                <w:szCs w:val="24"/>
                <w:highlight w:val="none"/>
                <w:lang w:val="en-US" w:eastAsia="zh-CN"/>
              </w:rPr>
              <w:t>6月1日至开标之日</w:t>
            </w:r>
            <w:r>
              <w:rPr>
                <w:rFonts w:hint="eastAsia" w:ascii="方正仿宋_GBK" w:hAnsi="方正仿宋_GBK" w:eastAsia="方正仿宋_GBK" w:cs="方正仿宋_GBK"/>
                <w:dstrike w:val="0"/>
                <w:color w:val="auto"/>
                <w:kern w:val="2"/>
                <w:sz w:val="24"/>
                <w:szCs w:val="24"/>
                <w:highlight w:val="none"/>
                <w:lang w:val="en-US" w:eastAsia="zh-CN"/>
              </w:rPr>
              <w:t>类似项</w:t>
            </w:r>
            <w:r>
              <w:rPr>
                <w:rFonts w:hint="eastAsia" w:ascii="方正仿宋_GBK" w:hAnsi="方正仿宋_GBK" w:eastAsia="方正仿宋_GBK" w:cs="方正仿宋_GBK"/>
                <w:color w:val="auto"/>
                <w:kern w:val="2"/>
                <w:sz w:val="24"/>
                <w:szCs w:val="24"/>
                <w:highlight w:val="none"/>
                <w:lang w:val="en-US" w:eastAsia="zh-CN"/>
              </w:rPr>
              <w:t>目的合作案例</w:t>
            </w:r>
          </w:p>
          <w:p>
            <w:pPr>
              <w:widowControl/>
              <w:numPr>
                <w:ilvl w:val="0"/>
                <w:numId w:val="0"/>
              </w:numPr>
              <w:tabs>
                <w:tab w:val="left" w:pos="312"/>
              </w:tabs>
              <w:spacing w:line="360" w:lineRule="exact"/>
              <w:jc w:val="left"/>
              <w:textAlignment w:val="auto"/>
              <w:rPr>
                <w:rFonts w:hint="eastAsia" w:ascii="方正仿宋_GBK" w:hAnsi="方正仿宋_GBK" w:eastAsia="方正仿宋_GBK" w:cs="方正仿宋_GBK"/>
                <w:color w:val="auto"/>
                <w:kern w:val="2"/>
                <w:sz w:val="24"/>
                <w:szCs w:val="24"/>
                <w:highlight w:val="none"/>
              </w:rPr>
            </w:pPr>
            <w:r>
              <w:rPr>
                <w:rFonts w:hint="eastAsia" w:ascii="方正仿宋_GBK" w:hAnsi="方正仿宋_GBK" w:eastAsia="方正仿宋_GBK" w:cs="方正仿宋_GBK"/>
                <w:color w:val="auto"/>
                <w:kern w:val="2"/>
                <w:sz w:val="24"/>
                <w:szCs w:val="24"/>
                <w:highlight w:val="none"/>
              </w:rPr>
              <w:t>（1）提供</w:t>
            </w:r>
            <w:r>
              <w:rPr>
                <w:rFonts w:hint="eastAsia" w:ascii="方正仿宋_GBK" w:hAnsi="方正仿宋_GBK" w:eastAsia="方正仿宋_GBK" w:cs="方正仿宋_GBK"/>
                <w:color w:val="auto"/>
                <w:kern w:val="2"/>
                <w:sz w:val="24"/>
                <w:szCs w:val="24"/>
                <w:highlight w:val="none"/>
                <w:lang w:val="en-US" w:eastAsia="zh-CN"/>
              </w:rPr>
              <w:t>5</w:t>
            </w:r>
            <w:r>
              <w:rPr>
                <w:rFonts w:hint="eastAsia" w:ascii="方正仿宋_GBK" w:hAnsi="方正仿宋_GBK" w:eastAsia="方正仿宋_GBK" w:cs="方正仿宋_GBK"/>
                <w:color w:val="auto"/>
                <w:kern w:val="2"/>
                <w:sz w:val="24"/>
                <w:szCs w:val="24"/>
                <w:highlight w:val="none"/>
              </w:rPr>
              <w:t>家</w:t>
            </w:r>
            <w:r>
              <w:rPr>
                <w:rFonts w:hint="eastAsia" w:ascii="方正仿宋_GBK" w:hAnsi="方正仿宋_GBK" w:eastAsia="方正仿宋_GBK" w:cs="方正仿宋_GBK"/>
                <w:color w:val="auto"/>
                <w:kern w:val="2"/>
                <w:sz w:val="24"/>
                <w:szCs w:val="24"/>
                <w:highlight w:val="none"/>
                <w:lang w:val="en-US" w:eastAsia="zh-CN"/>
              </w:rPr>
              <w:t>以下</w:t>
            </w:r>
            <w:r>
              <w:rPr>
                <w:rFonts w:hint="eastAsia" w:ascii="方正仿宋_GBK" w:hAnsi="方正仿宋_GBK" w:eastAsia="方正仿宋_GBK" w:cs="方正仿宋_GBK"/>
                <w:color w:val="auto"/>
                <w:kern w:val="2"/>
                <w:sz w:val="24"/>
                <w:szCs w:val="24"/>
                <w:highlight w:val="none"/>
              </w:rPr>
              <w:t>已签协议得</w:t>
            </w:r>
            <w:r>
              <w:rPr>
                <w:rFonts w:hint="eastAsia" w:ascii="方正仿宋_GBK" w:hAnsi="方正仿宋_GBK" w:eastAsia="方正仿宋_GBK" w:cs="方正仿宋_GBK"/>
                <w:color w:val="auto"/>
                <w:kern w:val="2"/>
                <w:sz w:val="24"/>
                <w:szCs w:val="24"/>
                <w:highlight w:val="none"/>
                <w:lang w:val="en-US" w:eastAsia="zh-CN"/>
              </w:rPr>
              <w:t>0</w:t>
            </w:r>
            <w:r>
              <w:rPr>
                <w:rFonts w:hint="eastAsia" w:ascii="方正仿宋_GBK" w:hAnsi="方正仿宋_GBK" w:eastAsia="方正仿宋_GBK" w:cs="方正仿宋_GBK"/>
                <w:color w:val="auto"/>
                <w:kern w:val="2"/>
                <w:sz w:val="24"/>
                <w:szCs w:val="24"/>
                <w:highlight w:val="none"/>
              </w:rPr>
              <w:t>分</w:t>
            </w:r>
            <w:r>
              <w:rPr>
                <w:rFonts w:hint="eastAsia" w:ascii="方正仿宋_GBK" w:hAnsi="方正仿宋_GBK" w:eastAsia="方正仿宋_GBK" w:cs="方正仿宋_GBK"/>
                <w:color w:val="auto"/>
                <w:kern w:val="2"/>
                <w:sz w:val="24"/>
                <w:szCs w:val="24"/>
                <w:highlight w:val="none"/>
                <w:lang w:eastAsia="zh-CN"/>
              </w:rPr>
              <w:t>；</w:t>
            </w:r>
          </w:p>
          <w:p>
            <w:pPr>
              <w:widowControl/>
              <w:numPr>
                <w:ilvl w:val="0"/>
                <w:numId w:val="0"/>
              </w:numPr>
              <w:tabs>
                <w:tab w:val="left" w:pos="312"/>
              </w:tabs>
              <w:spacing w:line="360" w:lineRule="exact"/>
              <w:textAlignment w:val="auto"/>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rPr>
              <w:t>（</w:t>
            </w:r>
            <w:r>
              <w:rPr>
                <w:rFonts w:hint="eastAsia" w:ascii="方正仿宋_GBK" w:hAnsi="方正仿宋_GBK" w:eastAsia="方正仿宋_GBK" w:cs="方正仿宋_GBK"/>
                <w:color w:val="auto"/>
                <w:kern w:val="2"/>
                <w:sz w:val="24"/>
                <w:szCs w:val="24"/>
                <w:highlight w:val="none"/>
                <w:lang w:val="en-US" w:eastAsia="zh-CN"/>
              </w:rPr>
              <w:t>2</w:t>
            </w:r>
            <w:r>
              <w:rPr>
                <w:rFonts w:hint="eastAsia" w:ascii="方正仿宋_GBK" w:hAnsi="方正仿宋_GBK" w:eastAsia="方正仿宋_GBK" w:cs="方正仿宋_GBK"/>
                <w:color w:val="auto"/>
                <w:kern w:val="2"/>
                <w:sz w:val="24"/>
                <w:szCs w:val="24"/>
                <w:highlight w:val="none"/>
              </w:rPr>
              <w:t>）提供</w:t>
            </w:r>
            <w:r>
              <w:rPr>
                <w:rFonts w:hint="eastAsia" w:ascii="方正仿宋_GBK" w:hAnsi="方正仿宋_GBK" w:eastAsia="方正仿宋_GBK" w:cs="方正仿宋_GBK"/>
                <w:color w:val="auto"/>
                <w:kern w:val="2"/>
                <w:sz w:val="24"/>
                <w:szCs w:val="24"/>
                <w:highlight w:val="none"/>
                <w:lang w:val="en-US" w:eastAsia="zh-CN"/>
              </w:rPr>
              <w:t>5</w:t>
            </w:r>
            <w:r>
              <w:rPr>
                <w:rFonts w:hint="eastAsia" w:ascii="方正仿宋_GBK" w:hAnsi="方正仿宋_GBK" w:eastAsia="方正仿宋_GBK" w:cs="方正仿宋_GBK"/>
                <w:color w:val="auto"/>
                <w:kern w:val="2"/>
                <w:sz w:val="24"/>
                <w:szCs w:val="24"/>
                <w:highlight w:val="none"/>
              </w:rPr>
              <w:t>家已签协议得</w:t>
            </w:r>
            <w:r>
              <w:rPr>
                <w:rFonts w:hint="eastAsia" w:ascii="方正仿宋_GBK" w:hAnsi="方正仿宋_GBK" w:eastAsia="方正仿宋_GBK" w:cs="方正仿宋_GBK"/>
                <w:color w:val="auto"/>
                <w:kern w:val="2"/>
                <w:sz w:val="24"/>
                <w:szCs w:val="24"/>
                <w:highlight w:val="none"/>
                <w:lang w:val="en-US" w:eastAsia="zh-CN"/>
              </w:rPr>
              <w:t>3</w:t>
            </w:r>
            <w:r>
              <w:rPr>
                <w:rFonts w:hint="eastAsia" w:ascii="方正仿宋_GBK" w:hAnsi="方正仿宋_GBK" w:eastAsia="方正仿宋_GBK" w:cs="方正仿宋_GBK"/>
                <w:color w:val="auto"/>
                <w:kern w:val="2"/>
                <w:sz w:val="24"/>
                <w:szCs w:val="24"/>
                <w:highlight w:val="none"/>
              </w:rPr>
              <w:t>分</w:t>
            </w:r>
            <w:r>
              <w:rPr>
                <w:rFonts w:hint="eastAsia" w:ascii="方正仿宋_GBK" w:hAnsi="方正仿宋_GBK" w:eastAsia="方正仿宋_GBK" w:cs="方正仿宋_GBK"/>
                <w:color w:val="auto"/>
                <w:kern w:val="2"/>
                <w:sz w:val="24"/>
                <w:szCs w:val="24"/>
                <w:highlight w:val="none"/>
                <w:lang w:eastAsia="zh-CN"/>
              </w:rPr>
              <w:t>。</w:t>
            </w:r>
          </w:p>
          <w:p>
            <w:pPr>
              <w:widowControl/>
              <w:numPr>
                <w:ilvl w:val="0"/>
                <w:numId w:val="0"/>
              </w:numPr>
              <w:tabs>
                <w:tab w:val="left" w:pos="312"/>
              </w:tabs>
              <w:spacing w:line="360" w:lineRule="exact"/>
              <w:textAlignment w:val="auto"/>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rPr>
              <w:t>（</w:t>
            </w:r>
            <w:r>
              <w:rPr>
                <w:rFonts w:hint="eastAsia" w:ascii="方正仿宋_GBK" w:hAnsi="方正仿宋_GBK" w:eastAsia="方正仿宋_GBK" w:cs="方正仿宋_GBK"/>
                <w:color w:val="auto"/>
                <w:kern w:val="2"/>
                <w:sz w:val="24"/>
                <w:szCs w:val="24"/>
                <w:highlight w:val="none"/>
                <w:lang w:val="en-US" w:eastAsia="zh-CN"/>
              </w:rPr>
              <w:t>3</w:t>
            </w:r>
            <w:r>
              <w:rPr>
                <w:rFonts w:hint="eastAsia" w:ascii="方正仿宋_GBK" w:hAnsi="方正仿宋_GBK" w:eastAsia="方正仿宋_GBK" w:cs="方正仿宋_GBK"/>
                <w:color w:val="auto"/>
                <w:kern w:val="2"/>
                <w:sz w:val="24"/>
                <w:szCs w:val="24"/>
                <w:highlight w:val="none"/>
              </w:rPr>
              <w:t>）提供</w:t>
            </w:r>
            <w:r>
              <w:rPr>
                <w:rFonts w:hint="eastAsia" w:ascii="方正仿宋_GBK" w:hAnsi="方正仿宋_GBK" w:eastAsia="方正仿宋_GBK" w:cs="方正仿宋_GBK"/>
                <w:color w:val="auto"/>
                <w:kern w:val="2"/>
                <w:sz w:val="24"/>
                <w:szCs w:val="24"/>
                <w:highlight w:val="none"/>
                <w:lang w:val="en-US" w:eastAsia="zh-CN"/>
              </w:rPr>
              <w:t>6</w:t>
            </w:r>
            <w:r>
              <w:rPr>
                <w:rFonts w:hint="eastAsia" w:ascii="方正仿宋_GBK" w:hAnsi="方正仿宋_GBK" w:eastAsia="方正仿宋_GBK" w:cs="方正仿宋_GBK"/>
                <w:color w:val="auto"/>
                <w:kern w:val="2"/>
                <w:sz w:val="24"/>
                <w:szCs w:val="24"/>
                <w:highlight w:val="none"/>
              </w:rPr>
              <w:t>家</w:t>
            </w:r>
            <w:r>
              <w:rPr>
                <w:rFonts w:hint="eastAsia" w:ascii="方正仿宋_GBK" w:hAnsi="方正仿宋_GBK" w:eastAsia="方正仿宋_GBK" w:cs="方正仿宋_GBK"/>
                <w:color w:val="auto"/>
                <w:kern w:val="2"/>
                <w:sz w:val="24"/>
                <w:szCs w:val="24"/>
                <w:highlight w:val="none"/>
                <w:lang w:val="en-US" w:eastAsia="zh-CN"/>
              </w:rPr>
              <w:t>及以上</w:t>
            </w:r>
            <w:r>
              <w:rPr>
                <w:rFonts w:hint="eastAsia" w:ascii="方正仿宋_GBK" w:hAnsi="方正仿宋_GBK" w:eastAsia="方正仿宋_GBK" w:cs="方正仿宋_GBK"/>
                <w:color w:val="auto"/>
                <w:kern w:val="2"/>
                <w:sz w:val="24"/>
                <w:szCs w:val="24"/>
                <w:highlight w:val="none"/>
              </w:rPr>
              <w:t>已签协议</w:t>
            </w:r>
            <w:r>
              <w:rPr>
                <w:rFonts w:hint="eastAsia" w:ascii="方正仿宋_GBK" w:hAnsi="方正仿宋_GBK" w:eastAsia="方正仿宋_GBK" w:cs="方正仿宋_GBK"/>
                <w:color w:val="auto"/>
                <w:kern w:val="2"/>
                <w:sz w:val="24"/>
                <w:szCs w:val="24"/>
                <w:highlight w:val="none"/>
                <w:lang w:val="en-US" w:eastAsia="zh-CN"/>
              </w:rPr>
              <w:t>，</w:t>
            </w:r>
            <w:r>
              <w:rPr>
                <w:rFonts w:hint="eastAsia" w:ascii="方正仿宋_GBK" w:hAnsi="方正仿宋_GBK" w:eastAsia="方正仿宋_GBK" w:cs="方正仿宋_GBK"/>
                <w:color w:val="auto"/>
                <w:kern w:val="2"/>
                <w:sz w:val="24"/>
                <w:szCs w:val="24"/>
                <w:highlight w:val="none"/>
              </w:rPr>
              <w:t>得</w:t>
            </w:r>
            <w:r>
              <w:rPr>
                <w:rFonts w:hint="eastAsia" w:ascii="方正仿宋_GBK" w:hAnsi="方正仿宋_GBK" w:eastAsia="方正仿宋_GBK" w:cs="方正仿宋_GBK"/>
                <w:color w:val="auto"/>
                <w:kern w:val="2"/>
                <w:sz w:val="24"/>
                <w:szCs w:val="24"/>
                <w:highlight w:val="none"/>
                <w:lang w:val="en-US" w:eastAsia="zh-CN"/>
              </w:rPr>
              <w:t>5</w:t>
            </w:r>
            <w:r>
              <w:rPr>
                <w:rFonts w:hint="eastAsia" w:ascii="方正仿宋_GBK" w:hAnsi="方正仿宋_GBK" w:eastAsia="方正仿宋_GBK" w:cs="方正仿宋_GBK"/>
                <w:color w:val="auto"/>
                <w:kern w:val="2"/>
                <w:sz w:val="24"/>
                <w:szCs w:val="24"/>
                <w:highlight w:val="none"/>
              </w:rPr>
              <w:t>分</w:t>
            </w:r>
            <w:r>
              <w:rPr>
                <w:rFonts w:hint="eastAsia" w:ascii="方正仿宋_GBK" w:hAnsi="方正仿宋_GBK" w:eastAsia="方正仿宋_GBK" w:cs="方正仿宋_GBK"/>
                <w:color w:val="auto"/>
                <w:kern w:val="2"/>
                <w:sz w:val="24"/>
                <w:szCs w:val="24"/>
                <w:highlight w:val="none"/>
                <w:lang w:eastAsia="zh-CN"/>
              </w:rPr>
              <w:t>。</w:t>
            </w:r>
          </w:p>
        </w:tc>
        <w:tc>
          <w:tcPr>
            <w:tcW w:w="142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提供合同（或协议）复印件，并加盖投标人公章</w:t>
            </w:r>
          </w:p>
        </w:tc>
      </w:tr>
      <w:tr>
        <w:tblPrEx>
          <w:tblCellMar>
            <w:top w:w="0" w:type="dxa"/>
            <w:left w:w="108" w:type="dxa"/>
            <w:bottom w:w="0" w:type="dxa"/>
            <w:right w:w="108" w:type="dxa"/>
          </w:tblCellMar>
        </w:tblPrEx>
        <w:trPr>
          <w:trHeight w:val="2300" w:hRule="atLeast"/>
        </w:trPr>
        <w:tc>
          <w:tcPr>
            <w:tcW w:w="534"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auto"/>
                <w:sz w:val="21"/>
                <w:szCs w:val="21"/>
                <w:highlight w:val="none"/>
              </w:rPr>
            </w:pPr>
          </w:p>
        </w:tc>
        <w:tc>
          <w:tcPr>
            <w:tcW w:w="467"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科研服务10分</w:t>
            </w:r>
          </w:p>
        </w:tc>
        <w:tc>
          <w:tcPr>
            <w:tcW w:w="2573"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firstLine="234" w:firstLineChars="100"/>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投标单位实验室拥有与项目相关的科研服务的能力，有专业的科研工作团队，能够根据医院临床科室发展需要，协助完成科研课题研究</w:t>
            </w:r>
            <w:r>
              <w:rPr>
                <w:rFonts w:hint="eastAsia" w:ascii="方正仿宋_GBK" w:hAnsi="方正仿宋_GBK" w:eastAsia="方正仿宋_GBK" w:cs="方正仿宋_GBK"/>
                <w:color w:val="auto"/>
                <w:kern w:val="0"/>
                <w:sz w:val="24"/>
                <w:szCs w:val="24"/>
                <w:highlight w:val="none"/>
                <w:lang w:eastAsia="zh-CN"/>
              </w:rPr>
              <w:t>：</w:t>
            </w:r>
            <w:r>
              <w:rPr>
                <w:rFonts w:hint="eastAsia" w:ascii="方正仿宋_GBK" w:hAnsi="方正仿宋_GBK" w:eastAsia="方正仿宋_GBK" w:cs="方正仿宋_GBK"/>
                <w:color w:val="auto"/>
                <w:kern w:val="0"/>
                <w:sz w:val="24"/>
                <w:szCs w:val="24"/>
                <w:highlight w:val="none"/>
              </w:rPr>
              <w:t>提供近三年内SCI已发表文章，且文章通讯作者是本实验</w:t>
            </w:r>
            <w:r>
              <w:rPr>
                <w:rFonts w:hint="eastAsia" w:ascii="方正仿宋_GBK" w:hAnsi="方正仿宋_GBK" w:eastAsia="方正仿宋_GBK" w:cs="方正仿宋_GBK"/>
                <w:color w:val="auto"/>
                <w:kern w:val="0"/>
                <w:sz w:val="24"/>
                <w:szCs w:val="24"/>
                <w:highlight w:val="none"/>
                <w:lang w:val="en-US" w:eastAsia="zh-CN"/>
              </w:rPr>
              <w:t>室</w:t>
            </w:r>
            <w:r>
              <w:rPr>
                <w:rFonts w:hint="eastAsia" w:ascii="方正仿宋_GBK" w:hAnsi="方正仿宋_GBK" w:eastAsia="方正仿宋_GBK" w:cs="方正仿宋_GBK"/>
                <w:color w:val="auto"/>
                <w:kern w:val="0"/>
                <w:sz w:val="24"/>
                <w:szCs w:val="24"/>
                <w:highlight w:val="none"/>
              </w:rPr>
              <w:t>或</w:t>
            </w:r>
            <w:r>
              <w:rPr>
                <w:rFonts w:hint="eastAsia" w:ascii="方正仿宋_GBK" w:hAnsi="方正仿宋_GBK" w:eastAsia="方正仿宋_GBK" w:cs="方正仿宋_GBK"/>
                <w:color w:val="auto"/>
                <w:kern w:val="0"/>
                <w:sz w:val="24"/>
                <w:szCs w:val="24"/>
                <w:highlight w:val="none"/>
                <w:lang w:val="en-US" w:eastAsia="zh-CN"/>
              </w:rPr>
              <w:t>本实验室所属</w:t>
            </w:r>
            <w:r>
              <w:rPr>
                <w:rFonts w:hint="eastAsia" w:ascii="方正仿宋_GBK" w:hAnsi="方正仿宋_GBK" w:eastAsia="方正仿宋_GBK" w:cs="方正仿宋_GBK"/>
                <w:color w:val="auto"/>
                <w:kern w:val="0"/>
                <w:sz w:val="24"/>
                <w:szCs w:val="24"/>
                <w:highlight w:val="none"/>
              </w:rPr>
              <w:t>科研团队成员。每篇得1分，最多得</w:t>
            </w:r>
            <w:r>
              <w:rPr>
                <w:rFonts w:hint="eastAsia" w:ascii="方正仿宋_GBK" w:hAnsi="方正仿宋_GBK" w:eastAsia="方正仿宋_GBK" w:cs="方正仿宋_GBK"/>
                <w:color w:val="auto"/>
                <w:kern w:val="0"/>
                <w:sz w:val="24"/>
                <w:szCs w:val="24"/>
                <w:highlight w:val="none"/>
                <w:lang w:val="en-US" w:eastAsia="zh-CN"/>
              </w:rPr>
              <w:t>6</w:t>
            </w:r>
            <w:r>
              <w:rPr>
                <w:rFonts w:hint="eastAsia" w:ascii="方正仿宋_GBK" w:hAnsi="方正仿宋_GBK" w:eastAsia="方正仿宋_GBK" w:cs="方正仿宋_GBK"/>
                <w:color w:val="auto"/>
                <w:kern w:val="0"/>
                <w:sz w:val="24"/>
                <w:szCs w:val="24"/>
                <w:highlight w:val="none"/>
              </w:rPr>
              <w:t>分，没有证明材料不得分。</w:t>
            </w:r>
          </w:p>
        </w:tc>
        <w:tc>
          <w:tcPr>
            <w:tcW w:w="142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需</w:t>
            </w:r>
            <w:r>
              <w:rPr>
                <w:rFonts w:hint="eastAsia" w:ascii="宋体" w:hAnsi="宋体" w:eastAsia="宋体" w:cs="宋体"/>
                <w:color w:val="auto"/>
                <w:sz w:val="21"/>
                <w:szCs w:val="21"/>
                <w:highlight w:val="none"/>
                <w:lang w:val="en-US" w:eastAsia="zh-CN" w:bidi="ar"/>
              </w:rPr>
              <w:t>提供</w:t>
            </w:r>
            <w:r>
              <w:rPr>
                <w:rFonts w:hint="eastAsia" w:ascii="宋体" w:hAnsi="宋体" w:eastAsia="宋体" w:cs="宋体"/>
                <w:color w:val="auto"/>
                <w:sz w:val="21"/>
                <w:szCs w:val="21"/>
                <w:highlight w:val="none"/>
                <w:lang w:bidi="ar"/>
              </w:rPr>
              <w:t>已发表文章截图或复印件</w:t>
            </w:r>
            <w:r>
              <w:rPr>
                <w:rFonts w:hint="eastAsia" w:ascii="宋体" w:hAnsi="宋体" w:eastAsia="宋体" w:cs="宋体"/>
                <w:color w:val="auto"/>
                <w:sz w:val="21"/>
                <w:szCs w:val="21"/>
                <w:highlight w:val="none"/>
                <w:lang w:val="en-US" w:eastAsia="zh-CN" w:bidi="ar"/>
              </w:rPr>
              <w:t>以及文章作者与投标供应商的劳动合同和社保缴纳情况证明</w:t>
            </w:r>
            <w:r>
              <w:rPr>
                <w:rFonts w:hint="eastAsia" w:ascii="宋体" w:hAnsi="宋体" w:cs="宋体"/>
                <w:color w:val="auto"/>
                <w:sz w:val="21"/>
                <w:szCs w:val="21"/>
                <w:highlight w:val="none"/>
                <w:lang w:val="en-US" w:eastAsia="zh-CN" w:bidi="ar"/>
              </w:rPr>
              <w:t>及相关承诺函</w:t>
            </w:r>
            <w:r>
              <w:rPr>
                <w:rFonts w:hint="eastAsia" w:ascii="宋体" w:hAnsi="宋体" w:eastAsia="宋体" w:cs="宋体"/>
                <w:color w:val="auto"/>
                <w:sz w:val="21"/>
                <w:szCs w:val="21"/>
                <w:highlight w:val="none"/>
                <w:lang w:bidi="ar"/>
              </w:rPr>
              <w:t>并加盖投标人公章</w:t>
            </w:r>
          </w:p>
          <w:p>
            <w:pPr>
              <w:widowControl/>
              <w:spacing w:line="300" w:lineRule="exact"/>
              <w:textAlignment w:val="center"/>
              <w:rPr>
                <w:rFonts w:hint="eastAsia" w:ascii="宋体" w:hAnsi="宋体" w:eastAsia="宋体" w:cs="宋体"/>
                <w:color w:val="auto"/>
                <w:sz w:val="21"/>
                <w:szCs w:val="21"/>
                <w:highlight w:val="none"/>
                <w:lang w:bidi="ar"/>
              </w:rPr>
            </w:pPr>
          </w:p>
          <w:p>
            <w:pPr>
              <w:widowControl/>
              <w:spacing w:line="300" w:lineRule="exact"/>
              <w:textAlignment w:val="center"/>
              <w:rPr>
                <w:rFonts w:hint="eastAsia" w:ascii="宋体" w:hAnsi="宋体" w:eastAsia="宋体" w:cs="宋体"/>
                <w:color w:val="auto"/>
                <w:sz w:val="21"/>
                <w:szCs w:val="21"/>
                <w:highlight w:val="none"/>
                <w:lang w:bidi="ar"/>
              </w:rPr>
            </w:pPr>
          </w:p>
        </w:tc>
      </w:tr>
      <w:tr>
        <w:tblPrEx>
          <w:tblCellMar>
            <w:top w:w="0" w:type="dxa"/>
            <w:left w:w="108" w:type="dxa"/>
            <w:bottom w:w="0" w:type="dxa"/>
            <w:right w:w="108" w:type="dxa"/>
          </w:tblCellMar>
        </w:tblPrEx>
        <w:trPr>
          <w:trHeight w:val="1560" w:hRule="atLeast"/>
        </w:trPr>
        <w:tc>
          <w:tcPr>
            <w:tcW w:w="534"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auto"/>
                <w:sz w:val="21"/>
                <w:szCs w:val="21"/>
                <w:highlight w:val="none"/>
              </w:rPr>
            </w:pPr>
          </w:p>
        </w:tc>
        <w:tc>
          <w:tcPr>
            <w:tcW w:w="467"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auto"/>
                <w:kern w:val="0"/>
                <w:sz w:val="21"/>
                <w:szCs w:val="21"/>
                <w:highlight w:val="none"/>
              </w:rPr>
            </w:pPr>
          </w:p>
        </w:tc>
        <w:tc>
          <w:tcPr>
            <w:tcW w:w="2573"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投标人提供学科建设支持方案，方案内容包括但不限于：</w:t>
            </w:r>
          </w:p>
          <w:p>
            <w:pPr>
              <w:pStyle w:val="24"/>
              <w:widowControl w:val="0"/>
              <w:numPr>
                <w:ilvl w:val="0"/>
                <w:numId w:val="8"/>
              </w:numPr>
              <w:spacing w:line="360" w:lineRule="exact"/>
              <w:ind w:firstLine="0"/>
              <w:rPr>
                <w:rFonts w:hint="eastAsia" w:ascii="方正仿宋_GBK" w:hAnsi="方正仿宋_GBK" w:eastAsia="方正仿宋_GBK" w:cs="方正仿宋_GBK"/>
                <w:color w:val="auto"/>
                <w:kern w:val="0"/>
                <w:sz w:val="24"/>
                <w:szCs w:val="24"/>
                <w:highlight w:val="none"/>
                <w:lang w:eastAsia="zh-CN"/>
              </w:rPr>
            </w:pPr>
            <w:r>
              <w:rPr>
                <w:rFonts w:hint="eastAsia" w:ascii="方正仿宋_GBK" w:hAnsi="方正仿宋_GBK" w:eastAsia="方正仿宋_GBK" w:cs="方正仿宋_GBK"/>
                <w:color w:val="auto"/>
                <w:kern w:val="0"/>
                <w:sz w:val="24"/>
                <w:szCs w:val="24"/>
                <w:highlight w:val="none"/>
                <w:lang w:val="en-US" w:eastAsia="zh-CN"/>
              </w:rPr>
              <w:t>能够为医院</w:t>
            </w:r>
            <w:r>
              <w:rPr>
                <w:rFonts w:hint="eastAsia" w:ascii="方正仿宋_GBK" w:hAnsi="方正仿宋_GBK" w:eastAsia="方正仿宋_GBK" w:cs="方正仿宋_GBK"/>
                <w:color w:val="auto"/>
                <w:kern w:val="0"/>
                <w:sz w:val="24"/>
                <w:szCs w:val="24"/>
                <w:highlight w:val="none"/>
                <w:lang w:eastAsia="zh-CN"/>
              </w:rPr>
              <w:t>相关人员</w:t>
            </w:r>
            <w:r>
              <w:rPr>
                <w:rFonts w:hint="eastAsia" w:ascii="方正仿宋_GBK" w:hAnsi="方正仿宋_GBK" w:eastAsia="方正仿宋_GBK" w:cs="方正仿宋_GBK"/>
                <w:color w:val="auto"/>
                <w:kern w:val="0"/>
                <w:sz w:val="24"/>
                <w:szCs w:val="24"/>
                <w:highlight w:val="none"/>
                <w:lang w:val="en-US" w:eastAsia="zh-CN"/>
              </w:rPr>
              <w:t>提供</w:t>
            </w:r>
            <w:r>
              <w:rPr>
                <w:rFonts w:hint="eastAsia" w:ascii="方正仿宋_GBK" w:hAnsi="方正仿宋_GBK" w:eastAsia="方正仿宋_GBK" w:cs="方正仿宋_GBK"/>
                <w:color w:val="auto"/>
                <w:kern w:val="0"/>
                <w:sz w:val="24"/>
                <w:szCs w:val="24"/>
                <w:highlight w:val="none"/>
                <w:lang w:eastAsia="zh-CN"/>
              </w:rPr>
              <w:t>理论/实验技能培训和学术交流以及继续教育培训机会，授课，</w:t>
            </w:r>
            <w:r>
              <w:rPr>
                <w:rFonts w:hint="eastAsia" w:ascii="方正仿宋_GBK" w:hAnsi="方正仿宋_GBK" w:eastAsia="方正仿宋_GBK" w:cs="方正仿宋_GBK"/>
                <w:color w:val="auto"/>
                <w:kern w:val="0"/>
                <w:sz w:val="24"/>
                <w:szCs w:val="24"/>
                <w:highlight w:val="none"/>
                <w:lang w:val="en-US" w:eastAsia="zh-CN"/>
              </w:rPr>
              <w:t>协助</w:t>
            </w:r>
            <w:r>
              <w:rPr>
                <w:rFonts w:hint="eastAsia" w:ascii="方正仿宋_GBK" w:hAnsi="方正仿宋_GBK" w:eastAsia="方正仿宋_GBK" w:cs="方正仿宋_GBK"/>
                <w:b w:val="0"/>
                <w:bCs w:val="0"/>
                <w:color w:val="auto"/>
                <w:kern w:val="0"/>
                <w:sz w:val="24"/>
                <w:szCs w:val="24"/>
                <w:highlight w:val="none"/>
                <w:lang w:val="en-US" w:eastAsia="zh-CN"/>
              </w:rPr>
              <w:t>创建省市重点专科建设、ISO15189实验室。</w:t>
            </w:r>
          </w:p>
          <w:p>
            <w:pPr>
              <w:pStyle w:val="24"/>
              <w:widowControl w:val="0"/>
              <w:numPr>
                <w:ilvl w:val="0"/>
                <w:numId w:val="0"/>
              </w:numPr>
              <w:spacing w:line="360" w:lineRule="exact"/>
              <w:ind w:firstLine="0"/>
              <w:rPr>
                <w:rFonts w:hint="eastAsia" w:ascii="方正仿宋_GBK" w:hAnsi="方正仿宋_GBK" w:eastAsia="方正仿宋_GBK" w:cs="方正仿宋_GBK"/>
                <w:color w:val="auto"/>
                <w:kern w:val="0"/>
                <w:sz w:val="24"/>
                <w:szCs w:val="24"/>
                <w:highlight w:val="none"/>
                <w:lang w:eastAsia="zh-CN"/>
              </w:rPr>
            </w:pPr>
            <w:r>
              <w:rPr>
                <w:rFonts w:hint="eastAsia" w:ascii="方正仿宋_GBK" w:hAnsi="方正仿宋_GBK" w:eastAsia="方正仿宋_GBK" w:cs="方正仿宋_GBK"/>
                <w:b w:val="0"/>
                <w:bCs w:val="0"/>
                <w:color w:val="auto"/>
                <w:kern w:val="0"/>
                <w:sz w:val="24"/>
                <w:szCs w:val="24"/>
                <w:highlight w:val="none"/>
                <w:lang w:val="en-US" w:eastAsia="zh-CN"/>
              </w:rPr>
              <w:t>（2）提供科研项目的实验平台（只适当收取试剂、耗材的成本费）；</w:t>
            </w:r>
            <w:r>
              <w:rPr>
                <w:rFonts w:hint="eastAsia" w:ascii="方正仿宋_GBK" w:hAnsi="方正仿宋_GBK" w:eastAsia="方正仿宋_GBK" w:cs="方正仿宋_GBK"/>
                <w:color w:val="auto"/>
                <w:kern w:val="0"/>
                <w:sz w:val="24"/>
                <w:szCs w:val="24"/>
                <w:highlight w:val="none"/>
                <w:lang w:eastAsia="zh-CN"/>
              </w:rPr>
              <w:t>为</w:t>
            </w:r>
            <w:r>
              <w:rPr>
                <w:rFonts w:hint="eastAsia" w:ascii="方正仿宋_GBK" w:hAnsi="方正仿宋_GBK" w:eastAsia="方正仿宋_GBK" w:cs="方正仿宋_GBK"/>
                <w:color w:val="auto"/>
                <w:kern w:val="0"/>
                <w:sz w:val="24"/>
                <w:szCs w:val="24"/>
                <w:highlight w:val="none"/>
                <w:lang w:val="en-US" w:eastAsia="zh-CN"/>
              </w:rPr>
              <w:t>甲方</w:t>
            </w:r>
            <w:r>
              <w:rPr>
                <w:rFonts w:hint="eastAsia" w:ascii="方正仿宋_GBK" w:hAnsi="方正仿宋_GBK" w:eastAsia="方正仿宋_GBK" w:cs="方正仿宋_GBK"/>
                <w:color w:val="auto"/>
                <w:kern w:val="0"/>
                <w:sz w:val="24"/>
                <w:szCs w:val="24"/>
                <w:highlight w:val="none"/>
                <w:lang w:eastAsia="zh-CN"/>
              </w:rPr>
              <w:t>提供免费检测数据共享，为临床科室提供咨询支持，协助临床科室报告解读。</w:t>
            </w:r>
          </w:p>
          <w:p>
            <w:pPr>
              <w:pStyle w:val="24"/>
              <w:widowControl w:val="0"/>
              <w:numPr>
                <w:ilvl w:val="0"/>
                <w:numId w:val="0"/>
              </w:numPr>
              <w:spacing w:line="360" w:lineRule="exact"/>
              <w:ind w:firstLine="0"/>
              <w:rPr>
                <w:rFonts w:hint="eastAsia" w:ascii="方正仿宋_GBK" w:hAnsi="方正仿宋_GBK" w:eastAsia="方正仿宋_GBK" w:cs="方正仿宋_GBK"/>
                <w:color w:val="auto"/>
                <w:kern w:val="0"/>
                <w:sz w:val="24"/>
                <w:szCs w:val="24"/>
                <w:highlight w:val="none"/>
                <w:lang w:eastAsia="zh-CN"/>
              </w:rPr>
            </w:pPr>
            <w:r>
              <w:rPr>
                <w:rFonts w:hint="eastAsia" w:ascii="方正仿宋_GBK" w:hAnsi="方正仿宋_GBK" w:eastAsia="方正仿宋_GBK" w:cs="方正仿宋_GBK"/>
                <w:b w:val="0"/>
                <w:bCs w:val="0"/>
                <w:color w:val="auto"/>
                <w:kern w:val="0"/>
                <w:sz w:val="24"/>
                <w:szCs w:val="24"/>
                <w:highlight w:val="none"/>
                <w:lang w:val="en-US" w:eastAsia="zh-CN"/>
              </w:rPr>
              <w:t>方案</w:t>
            </w:r>
            <w:r>
              <w:rPr>
                <w:rFonts w:hint="eastAsia" w:ascii="方正仿宋_GBK" w:hAnsi="方正仿宋_GBK" w:eastAsia="方正仿宋_GBK" w:cs="方正仿宋_GBK"/>
                <w:color w:val="auto"/>
                <w:kern w:val="0"/>
                <w:sz w:val="24"/>
                <w:szCs w:val="24"/>
                <w:highlight w:val="none"/>
                <w:lang w:val="en-US" w:eastAsia="zh-CN"/>
              </w:rPr>
              <w:t>合理且可行得4分；欠合理、 可行性较差、针对性不强或未提供方案不得分。</w:t>
            </w:r>
          </w:p>
          <w:p>
            <w:pPr>
              <w:pStyle w:val="24"/>
              <w:widowControl w:val="0"/>
              <w:numPr>
                <w:ilvl w:val="0"/>
                <w:numId w:val="0"/>
              </w:numPr>
              <w:spacing w:line="360" w:lineRule="exact"/>
              <w:ind w:firstLine="0"/>
              <w:rPr>
                <w:rFonts w:hint="eastAsia" w:ascii="方正仿宋_GBK" w:hAnsi="方正仿宋_GBK" w:eastAsia="方正仿宋_GBK" w:cs="方正仿宋_GBK"/>
                <w:color w:val="auto"/>
                <w:kern w:val="0"/>
                <w:sz w:val="24"/>
                <w:szCs w:val="24"/>
                <w:highlight w:val="none"/>
                <w:lang w:eastAsia="zh-CN"/>
              </w:rPr>
            </w:pPr>
          </w:p>
          <w:p>
            <w:pPr>
              <w:pStyle w:val="24"/>
              <w:widowControl w:val="0"/>
              <w:numPr>
                <w:ilvl w:val="0"/>
                <w:numId w:val="0"/>
              </w:numPr>
              <w:spacing w:line="360" w:lineRule="exact"/>
              <w:ind w:firstLine="0"/>
              <w:rPr>
                <w:rFonts w:hint="eastAsia" w:ascii="方正仿宋_GBK" w:hAnsi="方正仿宋_GBK" w:eastAsia="方正仿宋_GBK" w:cs="方正仿宋_GBK"/>
                <w:b w:val="0"/>
                <w:bCs w:val="0"/>
                <w:color w:val="auto"/>
                <w:kern w:val="0"/>
                <w:sz w:val="24"/>
                <w:szCs w:val="24"/>
                <w:highlight w:val="none"/>
                <w:lang w:val="en-US" w:eastAsia="zh-CN"/>
              </w:rPr>
            </w:pPr>
          </w:p>
          <w:p>
            <w:pPr>
              <w:widowControl/>
              <w:spacing w:line="360" w:lineRule="exact"/>
              <w:textAlignment w:val="center"/>
              <w:rPr>
                <w:rFonts w:hint="eastAsia" w:ascii="方正仿宋_GBK" w:hAnsi="方正仿宋_GBK" w:eastAsia="方正仿宋_GBK" w:cs="方正仿宋_GBK"/>
                <w:color w:val="auto"/>
                <w:kern w:val="0"/>
                <w:sz w:val="24"/>
                <w:szCs w:val="24"/>
                <w:highlight w:val="none"/>
              </w:rPr>
            </w:pPr>
          </w:p>
        </w:tc>
        <w:tc>
          <w:tcPr>
            <w:tcW w:w="142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提供方案并加盖投标人公章</w:t>
            </w:r>
          </w:p>
        </w:tc>
      </w:tr>
    </w:tbl>
    <w:p/>
    <w:p>
      <w:pPr>
        <w:snapToGrid w:val="0"/>
        <w:spacing w:line="400" w:lineRule="exact"/>
        <w:ind w:firstLine="468" w:firstLineChars="200"/>
        <w:rPr>
          <w:rFonts w:ascii="方正仿宋_GBK" w:hAnsi="方正仿宋_GBK" w:eastAsia="方正仿宋_GBK" w:cs="方正仿宋_GBK"/>
          <w:kern w:val="0"/>
          <w:szCs w:val="24"/>
        </w:rPr>
      </w:pPr>
      <w:bookmarkStart w:id="25" w:name="_Toc76462335"/>
      <w:bookmarkStart w:id="26" w:name="_Toc106030890"/>
      <w:r>
        <w:rPr>
          <w:rFonts w:hint="eastAsia" w:ascii="方正仿宋_GBK" w:hAnsi="方正仿宋_GBK" w:eastAsia="方正仿宋_GBK" w:cs="方正仿宋_GBK"/>
          <w:kern w:val="0"/>
          <w:szCs w:val="24"/>
        </w:rPr>
        <w:t>说明：所有要求提供的证明资料、合同、证书、承诺函件、服务方案等，均需加盖投标供应商公章。合同签订前采购人可要求查验原件或进行核实，如无法提供或核实不符的视为提供虚假资料应标，采购人有权从合格的成交候选人中另行确定成交供应商或重新组织开展采购活动。</w:t>
      </w:r>
    </w:p>
    <w:p>
      <w:pPr>
        <w:pStyle w:val="3"/>
        <w:adjustRightInd w:val="0"/>
        <w:snapToGrid w:val="0"/>
        <w:spacing w:before="0" w:after="0" w:line="400" w:lineRule="exact"/>
        <w:ind w:firstLine="548" w:firstLineChars="200"/>
        <w:rPr>
          <w:rFonts w:ascii="黑体" w:hAnsi="Times New Roman"/>
          <w:b w:val="0"/>
          <w:kern w:val="2"/>
          <w:sz w:val="28"/>
          <w:szCs w:val="28"/>
          <w:u w:color="000000"/>
        </w:rPr>
      </w:pPr>
      <w:r>
        <w:rPr>
          <w:rFonts w:hint="eastAsia" w:ascii="黑体" w:hAnsi="Times New Roman"/>
          <w:b w:val="0"/>
          <w:kern w:val="2"/>
          <w:sz w:val="28"/>
          <w:szCs w:val="28"/>
          <w:u w:color="000000"/>
        </w:rPr>
        <w:t>三、无效响应</w:t>
      </w:r>
      <w:bookmarkEnd w:id="25"/>
      <w:bookmarkEnd w:id="26"/>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供应商发生以下条款情况之一者，视为无效响应，其响应文件将被拒绝：</w:t>
      </w:r>
    </w:p>
    <w:p>
      <w:pPr>
        <w:numPr>
          <w:ilvl w:val="0"/>
          <w:numId w:val="9"/>
        </w:numPr>
        <w:snapToGrid w:val="0"/>
        <w:spacing w:line="400" w:lineRule="exact"/>
        <w:ind w:firstLine="468"/>
        <w:rPr>
          <w:rFonts w:ascii="方正仿宋_GBK" w:hAnsi="宋体" w:eastAsia="方正仿宋_GBK"/>
          <w:szCs w:val="24"/>
        </w:rPr>
      </w:pPr>
      <w:bookmarkStart w:id="27" w:name="_Toc106030891"/>
      <w:bookmarkStart w:id="28" w:name="_Toc76462336"/>
      <w:r>
        <w:rPr>
          <w:rFonts w:hint="eastAsia" w:ascii="方正仿宋_GBK" w:hAnsi="宋体" w:eastAsia="方正仿宋_GBK"/>
          <w:szCs w:val="24"/>
        </w:rPr>
        <w:t>未按照采购文件要求密封、签署和盖章的。</w:t>
      </w:r>
    </w:p>
    <w:p>
      <w:pPr>
        <w:numPr>
          <w:ilvl w:val="0"/>
          <w:numId w:val="9"/>
        </w:numPr>
        <w:snapToGrid w:val="0"/>
        <w:spacing w:line="400" w:lineRule="exact"/>
        <w:ind w:firstLine="468"/>
        <w:rPr>
          <w:rFonts w:ascii="方正仿宋_GBK" w:hAnsi="宋体" w:eastAsia="方正仿宋_GBK"/>
          <w:szCs w:val="24"/>
        </w:rPr>
      </w:pPr>
      <w:r>
        <w:rPr>
          <w:rFonts w:hint="eastAsia" w:ascii="方正仿宋_GBK" w:hAnsi="宋体" w:eastAsia="方正仿宋_GBK"/>
          <w:szCs w:val="24"/>
        </w:rPr>
        <w:t>不具备采购文件中规定的基本资格条件或特定资格条件的。</w:t>
      </w:r>
    </w:p>
    <w:p>
      <w:pPr>
        <w:numPr>
          <w:ilvl w:val="0"/>
          <w:numId w:val="9"/>
        </w:numPr>
        <w:snapToGrid w:val="0"/>
        <w:spacing w:line="400" w:lineRule="exact"/>
        <w:ind w:firstLine="468"/>
        <w:rPr>
          <w:rFonts w:ascii="方正仿宋_GBK" w:hAnsi="宋体" w:eastAsia="方正仿宋_GBK"/>
          <w:szCs w:val="24"/>
        </w:rPr>
      </w:pPr>
      <w:bookmarkStart w:id="29" w:name="OLE_LINK6"/>
      <w:r>
        <w:rPr>
          <w:rFonts w:hint="eastAsia" w:ascii="方正仿宋_GBK" w:hAnsi="宋体" w:eastAsia="方正仿宋_GBK"/>
          <w:szCs w:val="24"/>
        </w:rPr>
        <w:t>报价文件有效期少于规定期限的</w:t>
      </w:r>
      <w:bookmarkEnd w:id="29"/>
      <w:r>
        <w:rPr>
          <w:rFonts w:hint="eastAsia" w:ascii="方正仿宋_GBK" w:hAnsi="宋体" w:eastAsia="方正仿宋_GBK"/>
          <w:szCs w:val="24"/>
        </w:rPr>
        <w:t>。</w:t>
      </w:r>
    </w:p>
    <w:p>
      <w:pPr>
        <w:numPr>
          <w:ilvl w:val="0"/>
          <w:numId w:val="9"/>
        </w:numPr>
        <w:snapToGrid w:val="0"/>
        <w:spacing w:line="400" w:lineRule="exact"/>
        <w:ind w:firstLine="468"/>
        <w:rPr>
          <w:rFonts w:ascii="方正仿宋_GBK" w:hAnsi="宋体" w:eastAsia="方正仿宋_GBK"/>
          <w:szCs w:val="24"/>
        </w:rPr>
      </w:pPr>
      <w:r>
        <w:rPr>
          <w:rFonts w:hint="eastAsia" w:ascii="方正仿宋_GBK" w:hAnsi="宋体" w:eastAsia="方正仿宋_GBK"/>
          <w:szCs w:val="24"/>
        </w:rPr>
        <w:t>报价超过采购预算或最高限价的。</w:t>
      </w:r>
    </w:p>
    <w:p>
      <w:pPr>
        <w:numPr>
          <w:ilvl w:val="0"/>
          <w:numId w:val="9"/>
        </w:numPr>
        <w:snapToGrid w:val="0"/>
        <w:spacing w:line="400" w:lineRule="exact"/>
        <w:ind w:firstLine="468"/>
        <w:rPr>
          <w:rFonts w:ascii="方正仿宋_GBK" w:hAnsi="宋体" w:eastAsia="方正仿宋_GBK"/>
          <w:szCs w:val="24"/>
        </w:rPr>
      </w:pPr>
      <w:r>
        <w:rPr>
          <w:rFonts w:hint="eastAsia" w:ascii="方正仿宋_GBK" w:hAnsi="宋体" w:eastAsia="方正仿宋_GBK"/>
          <w:szCs w:val="24"/>
        </w:rPr>
        <w:t>资格性、符合性审查不合格或者技术（服务）、商务响应内容不能满足采购文件实质性要求的。</w:t>
      </w:r>
    </w:p>
    <w:p>
      <w:pPr>
        <w:numPr>
          <w:ilvl w:val="0"/>
          <w:numId w:val="9"/>
        </w:numPr>
        <w:snapToGrid w:val="0"/>
        <w:spacing w:line="400" w:lineRule="exact"/>
        <w:ind w:firstLine="468"/>
        <w:rPr>
          <w:rFonts w:ascii="方正仿宋_GBK" w:hAnsi="宋体" w:eastAsia="方正仿宋_GBK"/>
          <w:szCs w:val="24"/>
        </w:rPr>
      </w:pPr>
      <w:r>
        <w:rPr>
          <w:rFonts w:hint="eastAsia" w:ascii="方正仿宋_GBK" w:hAnsi="宋体" w:eastAsia="方正仿宋_GBK"/>
          <w:szCs w:val="24"/>
        </w:rPr>
        <w:t>供应商响应文件内容有与国家现行法律法规相违背的内容，或附有采购人无法接受的条件。</w:t>
      </w:r>
    </w:p>
    <w:p>
      <w:pPr>
        <w:pStyle w:val="3"/>
        <w:adjustRightInd w:val="0"/>
        <w:snapToGrid w:val="0"/>
        <w:spacing w:before="0" w:after="0" w:line="400" w:lineRule="exact"/>
        <w:ind w:firstLine="548" w:firstLineChars="200"/>
        <w:rPr>
          <w:rFonts w:ascii="黑体" w:hAnsi="Times New Roman"/>
          <w:b w:val="0"/>
          <w:kern w:val="2"/>
          <w:sz w:val="28"/>
          <w:szCs w:val="28"/>
          <w:u w:color="000000"/>
        </w:rPr>
      </w:pPr>
      <w:r>
        <w:rPr>
          <w:rFonts w:hint="eastAsia" w:ascii="黑体" w:hAnsi="Times New Roman"/>
          <w:b w:val="0"/>
          <w:kern w:val="2"/>
          <w:sz w:val="28"/>
          <w:szCs w:val="28"/>
          <w:u w:color="000000"/>
        </w:rPr>
        <w:t>四、</w:t>
      </w:r>
      <w:bookmarkEnd w:id="22"/>
      <w:bookmarkEnd w:id="23"/>
      <w:r>
        <w:rPr>
          <w:rFonts w:hint="eastAsia" w:ascii="黑体" w:hAnsi="Times New Roman"/>
          <w:b w:val="0"/>
          <w:kern w:val="2"/>
          <w:sz w:val="28"/>
          <w:szCs w:val="28"/>
          <w:u w:color="000000"/>
        </w:rPr>
        <w:t>采购终止</w:t>
      </w:r>
      <w:bookmarkEnd w:id="27"/>
      <w:bookmarkEnd w:id="28"/>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发生以下条款情况之一者，采购人可终止采购活动并有权重新组织采购：</w:t>
      </w:r>
    </w:p>
    <w:p>
      <w:pPr>
        <w:numPr>
          <w:ilvl w:val="0"/>
          <w:numId w:val="10"/>
        </w:num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满足资格或对采购文件实质性要求作出响应的供应商不足</w:t>
      </w:r>
      <w:r>
        <w:rPr>
          <w:rFonts w:hint="eastAsia" w:ascii="方正仿宋_GBK" w:hAnsi="宋体" w:eastAsia="方正仿宋_GBK"/>
          <w:szCs w:val="24"/>
          <w:lang w:val="en-US" w:eastAsia="zh-CN"/>
        </w:rPr>
        <w:t>5</w:t>
      </w:r>
      <w:r>
        <w:rPr>
          <w:rFonts w:hint="eastAsia" w:ascii="方正仿宋_GBK" w:hAnsi="宋体" w:eastAsia="方正仿宋_GBK"/>
          <w:szCs w:val="24"/>
        </w:rPr>
        <w:t>家。</w:t>
      </w:r>
    </w:p>
    <w:p>
      <w:pPr>
        <w:numPr>
          <w:ilvl w:val="0"/>
          <w:numId w:val="10"/>
        </w:numPr>
        <w:snapToGrid w:val="0"/>
        <w:spacing w:line="400" w:lineRule="exact"/>
        <w:ind w:firstLine="468" w:firstLineChars="200"/>
        <w:rPr>
          <w:rFonts w:ascii="方正仿宋_GBK" w:hAnsi="宋体" w:eastAsia="方正仿宋_GBK"/>
          <w:szCs w:val="24"/>
        </w:rPr>
      </w:pPr>
      <w:r>
        <w:rPr>
          <w:rFonts w:hint="eastAsia" w:ascii="仿宋" w:hAnsi="仿宋" w:eastAsia="仿宋" w:cs="仿宋"/>
          <w:szCs w:val="24"/>
        </w:rPr>
        <w:t>供应商报价均超过了采购预算，采购人不能支付的。</w:t>
      </w:r>
    </w:p>
    <w:p>
      <w:pPr>
        <w:numPr>
          <w:ilvl w:val="0"/>
          <w:numId w:val="10"/>
        </w:num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因重大变故，取消采购任务的。</w:t>
      </w:r>
    </w:p>
    <w:p>
      <w:pPr>
        <w:numPr>
          <w:ilvl w:val="0"/>
          <w:numId w:val="10"/>
        </w:num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其他无法继续开展采购评审或无法成交的情形。</w:t>
      </w:r>
    </w:p>
    <w:p>
      <w:r>
        <w:rPr>
          <w:rFonts w:hint="eastAsia"/>
        </w:rPr>
        <w:br w:type="page"/>
      </w:r>
    </w:p>
    <w:p>
      <w:pPr>
        <w:pStyle w:val="2"/>
        <w:keepNext w:val="0"/>
        <w:keepLines w:val="0"/>
        <w:tabs>
          <w:tab w:val="center" w:pos="4677"/>
        </w:tabs>
        <w:spacing w:before="0" w:after="0" w:line="240" w:lineRule="auto"/>
        <w:ind w:firstLine="868"/>
        <w:jc w:val="center"/>
        <w:rPr>
          <w:rFonts w:ascii="方正黑体_GBK" w:hAnsi="方正黑体_GBK" w:eastAsia="方正黑体_GBK" w:cs="方正黑体_GBK"/>
          <w:b w:val="0"/>
        </w:rPr>
      </w:pPr>
      <w:r>
        <w:rPr>
          <w:rFonts w:hint="eastAsia" w:ascii="方正黑体_GBK" w:hAnsi="方正黑体_GBK" w:eastAsia="方正黑体_GBK" w:cs="方正黑体_GBK"/>
          <w:b w:val="0"/>
        </w:rPr>
        <w:t>第四部分 供应商须知</w:t>
      </w:r>
    </w:p>
    <w:p>
      <w:pPr>
        <w:pStyle w:val="3"/>
        <w:adjustRightInd w:val="0"/>
        <w:snapToGrid w:val="0"/>
        <w:spacing w:before="0" w:after="0" w:line="400" w:lineRule="exact"/>
        <w:ind w:firstLine="548" w:firstLineChars="200"/>
        <w:rPr>
          <w:rFonts w:ascii="黑体" w:hAnsi="宋体"/>
          <w:b w:val="0"/>
          <w:sz w:val="28"/>
          <w:szCs w:val="28"/>
        </w:rPr>
      </w:pPr>
      <w:r>
        <w:rPr>
          <w:rFonts w:hint="eastAsia" w:ascii="黑体" w:hAnsi="宋体"/>
          <w:b w:val="0"/>
          <w:sz w:val="28"/>
          <w:szCs w:val="28"/>
        </w:rPr>
        <w:t>一、</w:t>
      </w:r>
      <w:bookmarkStart w:id="30" w:name="_Toc76462338"/>
      <w:bookmarkStart w:id="31" w:name="_Toc106030893"/>
      <w:bookmarkStart w:id="32" w:name="_Toc342913389"/>
      <w:r>
        <w:rPr>
          <w:rFonts w:hint="eastAsia" w:ascii="黑体" w:hAnsi="宋体"/>
          <w:b w:val="0"/>
          <w:sz w:val="28"/>
          <w:szCs w:val="28"/>
        </w:rPr>
        <w:t>采购费用</w:t>
      </w:r>
      <w:bookmarkEnd w:id="30"/>
      <w:bookmarkEnd w:id="31"/>
      <w:bookmarkEnd w:id="32"/>
    </w:p>
    <w:p>
      <w:pPr>
        <w:pStyle w:val="2"/>
        <w:keepNext w:val="0"/>
        <w:keepLines w:val="0"/>
        <w:snapToGrid w:val="0"/>
        <w:spacing w:before="0" w:after="0" w:line="400" w:lineRule="exact"/>
        <w:ind w:firstLine="468" w:firstLineChars="200"/>
        <w:rPr>
          <w:rFonts w:ascii="方正仿宋_GBK" w:hAnsi="宋体" w:eastAsia="方正仿宋_GBK"/>
          <w:b w:val="0"/>
          <w:kern w:val="2"/>
          <w:sz w:val="24"/>
          <w:szCs w:val="24"/>
        </w:rPr>
      </w:pPr>
      <w:r>
        <w:rPr>
          <w:rFonts w:hint="eastAsia" w:ascii="方正仿宋_GBK" w:hAnsi="宋体" w:eastAsia="方正仿宋_GBK"/>
          <w:b w:val="0"/>
          <w:kern w:val="2"/>
          <w:sz w:val="24"/>
          <w:szCs w:val="24"/>
        </w:rPr>
        <w:t>参与采购项目的供应商应承担其编制响应文件与递交响应文件所涉及的一切费用，不论结果如何，采购人和采购代理机构在任何情况下无义务也无责任承担这些费用。</w:t>
      </w:r>
    </w:p>
    <w:p>
      <w:pPr>
        <w:snapToGrid w:val="0"/>
        <w:spacing w:line="400" w:lineRule="exact"/>
        <w:ind w:firstLine="548" w:firstLineChars="200"/>
        <w:rPr>
          <w:rFonts w:ascii="黑体" w:hAnsi="宋体" w:eastAsia="黑体"/>
          <w:kern w:val="0"/>
          <w:sz w:val="28"/>
          <w:szCs w:val="28"/>
        </w:rPr>
      </w:pPr>
      <w:r>
        <w:rPr>
          <w:rFonts w:hint="eastAsia" w:ascii="黑体" w:hAnsi="宋体" w:eastAsia="黑体"/>
          <w:kern w:val="0"/>
          <w:sz w:val="28"/>
          <w:szCs w:val="28"/>
        </w:rPr>
        <w:t>二、采购文件</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采购文件由采购邀请、技术（服务）及商务需求、采购程序及评审方法、供应商须知</w:t>
      </w:r>
      <w:r>
        <w:rPr>
          <w:rFonts w:hint="eastAsia" w:ascii="方正仿宋_GBK" w:hAnsi="宋体" w:eastAsia="方正仿宋_GBK"/>
          <w:b/>
          <w:szCs w:val="24"/>
        </w:rPr>
        <w:t>、</w:t>
      </w:r>
      <w:r>
        <w:rPr>
          <w:rFonts w:hint="eastAsia" w:ascii="方正仿宋_GBK" w:hAnsi="宋体" w:eastAsia="方正仿宋_GBK"/>
          <w:szCs w:val="24"/>
        </w:rPr>
        <w:t>合同主要条款和格式合同、响应文件格式六部分组成。采购人所作的一切有效的书面通知、修改及补充，都是采购文件不可分割的部分。</w:t>
      </w:r>
    </w:p>
    <w:p>
      <w:pPr>
        <w:pStyle w:val="2"/>
        <w:keepNext w:val="0"/>
        <w:keepLines w:val="0"/>
        <w:snapToGrid w:val="0"/>
        <w:spacing w:before="0" w:after="0" w:line="400" w:lineRule="exact"/>
        <w:ind w:firstLine="548" w:firstLineChars="200"/>
        <w:rPr>
          <w:rFonts w:ascii="黑体" w:hAnsi="华文中宋" w:eastAsia="黑体"/>
          <w:b w:val="0"/>
          <w:sz w:val="28"/>
          <w:szCs w:val="28"/>
        </w:rPr>
      </w:pPr>
      <w:r>
        <w:rPr>
          <w:rFonts w:hint="eastAsia" w:ascii="黑体" w:hAnsi="宋体" w:eastAsia="黑体"/>
          <w:b w:val="0"/>
          <w:sz w:val="28"/>
          <w:szCs w:val="28"/>
        </w:rPr>
        <w:t>三、响应文件构成</w:t>
      </w:r>
    </w:p>
    <w:p>
      <w:pPr>
        <w:pStyle w:val="13"/>
        <w:snapToGrid w:val="0"/>
        <w:spacing w:line="400" w:lineRule="exact"/>
        <w:ind w:firstLine="468"/>
        <w:rPr>
          <w:rFonts w:ascii="方正仿宋_GBK" w:hAnsi="宋体" w:eastAsia="方正仿宋_GBK"/>
          <w:szCs w:val="28"/>
        </w:rPr>
      </w:pPr>
      <w:r>
        <w:rPr>
          <w:rFonts w:hint="eastAsia" w:ascii="方正仿宋_GBK" w:hAnsi="宋体" w:eastAsia="方正仿宋_GBK"/>
          <w:sz w:val="24"/>
          <w:szCs w:val="24"/>
        </w:rPr>
        <w:t>（一） 相关资格证明文件</w:t>
      </w:r>
    </w:p>
    <w:p>
      <w:pPr>
        <w:pStyle w:val="13"/>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1. 法人营业执照（副本）</w:t>
      </w:r>
    </w:p>
    <w:p>
      <w:pPr>
        <w:pStyle w:val="13"/>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2. 法定代表人资格证明书、法定代表人授权书(格式）（二选一）</w:t>
      </w:r>
    </w:p>
    <w:p>
      <w:pPr>
        <w:pStyle w:val="13"/>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3. 基本资格条件承诺函（格式）</w:t>
      </w:r>
    </w:p>
    <w:p>
      <w:pPr>
        <w:pStyle w:val="13"/>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4. 特定资格证明文件</w:t>
      </w:r>
    </w:p>
    <w:p>
      <w:pPr>
        <w:pStyle w:val="13"/>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（二）购销诚信及不参与围标串标承诺书（格式）</w:t>
      </w:r>
    </w:p>
    <w:p>
      <w:pPr>
        <w:pStyle w:val="13"/>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（三）投标函（格式）</w:t>
      </w:r>
    </w:p>
    <w:p>
      <w:pPr>
        <w:pStyle w:val="13"/>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（四）报价表（格式）</w:t>
      </w:r>
    </w:p>
    <w:p>
      <w:pPr>
        <w:pStyle w:val="13"/>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（五）需求响应偏离表（格式）</w:t>
      </w:r>
    </w:p>
    <w:p>
      <w:pPr>
        <w:pStyle w:val="13"/>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（六）其他资料（格式自拟）如业绩、方案等其他佐证资料</w:t>
      </w:r>
    </w:p>
    <w:p>
      <w:pPr>
        <w:snapToGrid w:val="0"/>
        <w:spacing w:line="400" w:lineRule="exact"/>
        <w:ind w:firstLine="468" w:firstLineChars="200"/>
        <w:rPr>
          <w:rFonts w:ascii="方正仿宋_GBK" w:hAnsi="宋体" w:eastAsia="方正仿宋_GBK"/>
          <w:b/>
          <w:bCs/>
          <w:szCs w:val="24"/>
        </w:rPr>
      </w:pPr>
      <w:r>
        <w:rPr>
          <w:rFonts w:hint="eastAsia" w:ascii="方正仿宋_GBK" w:hAnsi="宋体" w:eastAsia="方正仿宋_GBK"/>
          <w:b/>
          <w:bCs/>
          <w:szCs w:val="24"/>
        </w:rPr>
        <w:t>说明：所提交的报价函及相关</w:t>
      </w:r>
      <w:bookmarkStart w:id="33" w:name="OLE_LINK15"/>
      <w:r>
        <w:rPr>
          <w:rFonts w:hint="eastAsia" w:ascii="方正仿宋_GBK" w:hAnsi="宋体" w:eastAsia="方正仿宋_GBK"/>
          <w:b/>
          <w:bCs/>
          <w:szCs w:val="24"/>
        </w:rPr>
        <w:t>资格证明</w:t>
      </w:r>
      <w:bookmarkEnd w:id="33"/>
      <w:r>
        <w:rPr>
          <w:rFonts w:hint="eastAsia" w:ascii="方正仿宋_GBK" w:hAnsi="宋体" w:eastAsia="方正仿宋_GBK"/>
          <w:b/>
          <w:bCs/>
          <w:szCs w:val="24"/>
        </w:rPr>
        <w:t>文件需逐页加盖投标人公章，各类服务方案、证明及提供的合同复印件等佐证资料需骑缝加盖投标人公章。</w:t>
      </w:r>
    </w:p>
    <w:p>
      <w:pPr>
        <w:pStyle w:val="13"/>
        <w:snapToGrid w:val="0"/>
        <w:spacing w:line="400" w:lineRule="exact"/>
        <w:ind w:firstLine="548"/>
        <w:rPr>
          <w:rFonts w:ascii="仿宋_GB2312" w:hAnsi="宋体" w:eastAsia="仿宋_GB2312"/>
          <w:szCs w:val="28"/>
        </w:rPr>
      </w:pPr>
      <w:r>
        <w:rPr>
          <w:rFonts w:hint="eastAsia" w:ascii="黑体" w:hAnsi="宋体" w:eastAsia="黑体"/>
          <w:szCs w:val="28"/>
        </w:rPr>
        <w:t>四、响应文件提交</w:t>
      </w:r>
    </w:p>
    <w:p>
      <w:pPr>
        <w:pStyle w:val="11"/>
        <w:spacing w:line="400" w:lineRule="exact"/>
        <w:ind w:firstLine="468" w:firstLineChars="200"/>
        <w:rPr>
          <w:rFonts w:ascii="方正仿宋_GBK" w:hAnsi="宋体" w:eastAsia="方正仿宋_GBK"/>
          <w:sz w:val="24"/>
          <w:szCs w:val="24"/>
        </w:rPr>
      </w:pPr>
      <w:r>
        <w:rPr>
          <w:rFonts w:hint="eastAsia" w:ascii="方正仿宋_GBK" w:hAnsi="宋体" w:eastAsia="方正仿宋_GBK" w:cs="Times New Roman"/>
          <w:sz w:val="24"/>
          <w:szCs w:val="24"/>
        </w:rPr>
        <w:t>（一）响应文件一式1份，包含</w:t>
      </w:r>
      <w:r>
        <w:rPr>
          <w:rFonts w:hint="eastAsia" w:ascii="方正仿宋_GBK" w:hAnsi="宋体" w:eastAsia="方正仿宋_GBK"/>
          <w:sz w:val="24"/>
          <w:szCs w:val="24"/>
        </w:rPr>
        <w:t>正本1份。</w:t>
      </w:r>
    </w:p>
    <w:p>
      <w:pPr>
        <w:pStyle w:val="13"/>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（二）响应文件用牛皮纸袋密封，在封套上注明项目名称、供应商名称，并在封口处加盖报价单位公章鲜章（投标人为自然人的应本人亲笔签名）。</w:t>
      </w:r>
    </w:p>
    <w:p>
      <w:pPr>
        <w:pStyle w:val="13"/>
        <w:snapToGrid w:val="0"/>
        <w:spacing w:line="400" w:lineRule="exact"/>
        <w:ind w:firstLine="351" w:firstLineChars="150"/>
        <w:rPr>
          <w:rFonts w:ascii="方正仿宋_GBK" w:hAnsi="宋体" w:eastAsia="方正仿宋_GBK"/>
          <w:sz w:val="24"/>
          <w:szCs w:val="24"/>
        </w:rPr>
      </w:pPr>
      <w:r>
        <w:rPr>
          <w:rFonts w:hint="eastAsia" w:ascii="方正仿宋_GBK" w:hAnsi="宋体" w:eastAsia="方正仿宋_GBK"/>
          <w:color w:val="000000" w:themeColor="text1"/>
          <w:sz w:val="24"/>
          <w:szCs w:val="24"/>
          <w14:textFill>
            <w14:solidFill>
              <w14:schemeClr w14:val="tx1"/>
            </w14:solidFill>
          </w14:textFill>
        </w:rPr>
        <w:t>（三）</w:t>
      </w:r>
      <w:r>
        <w:rPr>
          <w:rFonts w:hint="eastAsia" w:ascii="方正仿宋_GBK" w:hAnsi="宋体" w:eastAsia="方正仿宋_GBK"/>
          <w:color w:val="000000" w:themeColor="text1"/>
          <w:sz w:val="24"/>
          <w14:textFill>
            <w14:solidFill>
              <w14:schemeClr w14:val="tx1"/>
            </w14:solidFill>
          </w14:textFill>
        </w:rPr>
        <w:t>响应文件的本</w:t>
      </w:r>
      <w:r>
        <w:rPr>
          <w:rFonts w:hint="eastAsia" w:ascii="方正仿宋_GBK" w:hAnsi="宋体" w:eastAsia="方正仿宋_GBK"/>
          <w:sz w:val="24"/>
        </w:rPr>
        <w:t>应密封送达指定地点，不在规定时间</w:t>
      </w:r>
      <w:r>
        <w:rPr>
          <w:rFonts w:hint="eastAsia" w:ascii="方正仿宋_GBK" w:hAnsi="宋体" w:eastAsia="方正仿宋_GBK"/>
          <w:sz w:val="24"/>
          <w:szCs w:val="24"/>
        </w:rPr>
        <w:t>送达的概不接受。</w:t>
      </w:r>
    </w:p>
    <w:p>
      <w:pPr>
        <w:pStyle w:val="13"/>
        <w:snapToGrid w:val="0"/>
        <w:spacing w:line="400" w:lineRule="exact"/>
        <w:ind w:firstLine="548"/>
        <w:rPr>
          <w:rFonts w:ascii="黑体" w:hAnsi="宋体" w:eastAsia="黑体"/>
          <w:szCs w:val="28"/>
        </w:rPr>
      </w:pPr>
      <w:r>
        <w:rPr>
          <w:rFonts w:hint="eastAsia" w:ascii="黑体" w:hAnsi="宋体" w:eastAsia="黑体"/>
          <w:szCs w:val="28"/>
        </w:rPr>
        <w:t>五、供应商参与人员</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各供应商应当派1-2名代表参与本项目，至少1人应为法定代表人或其授权代表。</w:t>
      </w:r>
    </w:p>
    <w:p>
      <w:pPr>
        <w:pStyle w:val="13"/>
        <w:snapToGrid w:val="0"/>
        <w:spacing w:line="400" w:lineRule="exact"/>
        <w:ind w:firstLineChars="0"/>
        <w:rPr>
          <w:rFonts w:ascii="黑体" w:hAnsi="宋体" w:eastAsia="黑体"/>
          <w:szCs w:val="28"/>
        </w:rPr>
      </w:pPr>
      <w:r>
        <w:rPr>
          <w:rFonts w:hint="eastAsia" w:ascii="黑体" w:hAnsi="宋体" w:eastAsia="黑体"/>
          <w:szCs w:val="28"/>
        </w:rPr>
        <w:t>六、评审</w:t>
      </w:r>
      <w:bookmarkStart w:id="34" w:name="_Toc231610031"/>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（一）采购评审小组</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根据本次采购项目的性质，采购人成立由本单位3人组成的评审小组，院内纪检人员负责对采购过程进行监督。</w:t>
      </w:r>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（二）评审要求</w:t>
      </w:r>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1.评审小组应当公平、公正、客观，不带任何倾向性和启发性，评审小组成员不得私下与报价方接触。</w:t>
      </w:r>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2.评审过程严格保密，凡是属于审查、澄清、评审和比较有关资料以及成交建议等，所有知情人均不得向本次参加投标的供应商或其他无关人员透露。</w:t>
      </w:r>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3.任何单位和个人都不得干扰、影响采购活动的正常进行。投标供应商采购过程中所进行的试图影响成交结果的一切不符合法律或采购规定的活动都可能导致其投标被拒绝。</w:t>
      </w:r>
    </w:p>
    <w:p>
      <w:pPr>
        <w:tabs>
          <w:tab w:val="left" w:pos="1320"/>
        </w:tabs>
        <w:autoSpaceDE w:val="0"/>
        <w:autoSpaceDN w:val="0"/>
        <w:adjustRightInd w:val="0"/>
        <w:snapToGrid w:val="0"/>
        <w:spacing w:line="400" w:lineRule="exact"/>
        <w:ind w:firstLine="548" w:firstLineChars="200"/>
        <w:rPr>
          <w:rFonts w:ascii="黑体" w:hAnsi="宋体" w:eastAsia="黑体" w:cs="宋体"/>
          <w:sz w:val="28"/>
          <w:szCs w:val="28"/>
          <w:lang w:val="zh-CN"/>
        </w:rPr>
      </w:pPr>
      <w:r>
        <w:rPr>
          <w:rFonts w:hint="eastAsia" w:ascii="黑体" w:eastAsia="黑体" w:cs="宋体"/>
          <w:sz w:val="28"/>
          <w:szCs w:val="28"/>
        </w:rPr>
        <w:t>七</w:t>
      </w:r>
      <w:r>
        <w:rPr>
          <w:rFonts w:hint="eastAsia" w:ascii="黑体" w:eastAsia="黑体" w:cs="宋体"/>
          <w:sz w:val="28"/>
          <w:szCs w:val="28"/>
          <w:lang w:val="zh-CN"/>
        </w:rPr>
        <w:t>、</w:t>
      </w:r>
      <w:r>
        <w:rPr>
          <w:rFonts w:hint="eastAsia" w:ascii="黑体" w:eastAsia="黑体"/>
          <w:sz w:val="28"/>
          <w:szCs w:val="28"/>
        </w:rPr>
        <w:t>确定成交供应商</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由评审小组按照评审报告的得分由高到低的原则，确定排序</w:t>
      </w:r>
      <w:r>
        <w:rPr>
          <w:rFonts w:hint="eastAsia" w:ascii="方正仿宋_GBK" w:hAnsi="宋体" w:eastAsia="方正仿宋_GBK"/>
          <w:szCs w:val="24"/>
          <w:u w:val="single"/>
        </w:rPr>
        <w:t>前</w:t>
      </w:r>
      <w:r>
        <w:rPr>
          <w:rFonts w:hint="eastAsia" w:ascii="方正仿宋_GBK" w:hAnsi="宋体" w:eastAsia="方正仿宋_GBK"/>
          <w:szCs w:val="24"/>
          <w:u w:val="single"/>
          <w:lang w:val="en-US" w:eastAsia="zh-CN"/>
        </w:rPr>
        <w:t>两</w:t>
      </w:r>
      <w:r>
        <w:rPr>
          <w:rFonts w:hint="eastAsia" w:ascii="方正仿宋_GBK" w:hAnsi="宋体" w:eastAsia="方正仿宋_GBK"/>
          <w:szCs w:val="24"/>
          <w:u w:val="single"/>
        </w:rPr>
        <w:t>名</w:t>
      </w:r>
      <w:r>
        <w:rPr>
          <w:rFonts w:hint="eastAsia" w:ascii="方正仿宋_GBK" w:hAnsi="宋体" w:eastAsia="方正仿宋_GBK"/>
          <w:szCs w:val="24"/>
        </w:rPr>
        <w:t>的供应商为成交供应商。</w:t>
      </w:r>
      <w:r>
        <w:rPr>
          <w:rFonts w:hint="eastAsia" w:ascii="方正仿宋_GBK" w:eastAsia="方正仿宋_GBK"/>
        </w:rPr>
        <w:t>如成交供应商拒绝与采购人签订合同的，采购人可以确定排名顺位下一候选人为成交供应商，也可以重新开展采购活动。</w:t>
      </w:r>
    </w:p>
    <w:p>
      <w:pPr>
        <w:snapToGrid w:val="0"/>
        <w:spacing w:line="400" w:lineRule="exact"/>
        <w:ind w:firstLine="468" w:firstLineChars="200"/>
        <w:rPr>
          <w:rFonts w:ascii="方正仿宋_GBK" w:eastAsia="方正仿宋_GBK"/>
        </w:rPr>
      </w:pPr>
      <w:r>
        <w:rPr>
          <w:rFonts w:hint="eastAsia" w:ascii="方正仿宋_GBK" w:eastAsia="方正仿宋_GBK"/>
        </w:rPr>
        <w:t>采购方发出《成交通知书》，并作为签订合同的依据。</w:t>
      </w:r>
    </w:p>
    <w:bookmarkEnd w:id="34"/>
    <w:p>
      <w:pPr>
        <w:pStyle w:val="13"/>
        <w:snapToGrid w:val="0"/>
        <w:spacing w:line="400" w:lineRule="exact"/>
        <w:ind w:firstLine="548"/>
        <w:rPr>
          <w:rFonts w:ascii="黑体" w:eastAsia="黑体"/>
          <w:szCs w:val="28"/>
        </w:rPr>
      </w:pPr>
      <w:bookmarkStart w:id="35" w:name="_Toc231610034"/>
      <w:bookmarkStart w:id="36" w:name="_Toc279567053"/>
      <w:r>
        <w:rPr>
          <w:rFonts w:hint="eastAsia" w:ascii="黑体" w:eastAsia="黑体"/>
          <w:szCs w:val="28"/>
        </w:rPr>
        <w:t>八、答疑与投诉</w:t>
      </w:r>
    </w:p>
    <w:p>
      <w:pPr>
        <w:snapToGrid w:val="0"/>
        <w:spacing w:line="400" w:lineRule="exact"/>
        <w:ind w:firstLine="468" w:firstLineChars="200"/>
        <w:rPr>
          <w:rFonts w:ascii="方正仿宋_GBK" w:hAnsi="宋体" w:eastAsia="方正仿宋_GBK"/>
          <w:szCs w:val="24"/>
        </w:rPr>
      </w:pPr>
      <w:r>
        <w:rPr>
          <w:rFonts w:hint="eastAsia" w:ascii="仿宋_GB2312" w:hAnsi="宋体" w:eastAsia="仿宋_GB2312"/>
          <w:szCs w:val="28"/>
        </w:rPr>
        <w:t>（</w:t>
      </w:r>
      <w:r>
        <w:rPr>
          <w:rFonts w:hint="eastAsia" w:ascii="方正仿宋_GBK" w:hAnsi="宋体" w:eastAsia="方正仿宋_GBK"/>
          <w:szCs w:val="24"/>
        </w:rPr>
        <w:t>一）参与投标的供应商对本次采购活动相关事项有疑问的，可以向采购方提出询问，采购方应当及时做出答复，但答复的内容不得涉及商业秘密。</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二）参与投标的供应商认为采购方工作人员、评审小组成员及其他相关人员，在本次采购活动中与其他供应商有利害关系的，可以申请其回避。如果认为采购过程存在不公，可在采购活动结束后2个工作日内向院纪检监督电话</w:t>
      </w:r>
      <w:r>
        <w:rPr>
          <w:rFonts w:hint="eastAsia" w:ascii="方正仿宋_GBK" w:hAnsi="宋体" w:eastAsia="方正仿宋_GBK"/>
          <w:szCs w:val="24"/>
          <w:u w:val="single"/>
        </w:rPr>
        <w:t>65542551</w:t>
      </w:r>
      <w:r>
        <w:rPr>
          <w:rFonts w:hint="eastAsia" w:ascii="方正仿宋_GBK" w:hAnsi="宋体" w:eastAsia="方正仿宋_GBK"/>
          <w:szCs w:val="24"/>
        </w:rPr>
        <w:t>进行投诉。</w:t>
      </w:r>
    </w:p>
    <w:p>
      <w:pPr>
        <w:pStyle w:val="3"/>
        <w:adjustRightInd w:val="0"/>
        <w:snapToGrid w:val="0"/>
        <w:spacing w:before="0" w:after="0" w:line="400" w:lineRule="exact"/>
        <w:ind w:firstLine="548" w:firstLineChars="200"/>
        <w:rPr>
          <w:rFonts w:ascii="黑体" w:hAnsi="Times New Roman"/>
          <w:b w:val="0"/>
          <w:kern w:val="2"/>
          <w:sz w:val="28"/>
          <w:szCs w:val="28"/>
        </w:rPr>
      </w:pPr>
      <w:r>
        <w:rPr>
          <w:rFonts w:hint="eastAsia" w:ascii="黑体" w:hAnsi="Times New Roman"/>
          <w:b w:val="0"/>
          <w:kern w:val="2"/>
          <w:sz w:val="28"/>
          <w:szCs w:val="28"/>
        </w:rPr>
        <w:t>九</w:t>
      </w:r>
      <w:bookmarkStart w:id="37" w:name="_Toc102227322"/>
      <w:bookmarkStart w:id="38" w:name="_Toc106030901"/>
      <w:bookmarkStart w:id="39" w:name="_Toc342913396"/>
      <w:bookmarkStart w:id="40" w:name="_Toc76462346"/>
      <w:r>
        <w:rPr>
          <w:rFonts w:hint="eastAsia" w:ascii="黑体" w:hAnsi="Times New Roman"/>
          <w:b w:val="0"/>
          <w:kern w:val="2"/>
          <w:sz w:val="28"/>
          <w:szCs w:val="28"/>
        </w:rPr>
        <w:t>、签订</w:t>
      </w:r>
      <w:bookmarkEnd w:id="37"/>
      <w:r>
        <w:rPr>
          <w:rFonts w:hint="eastAsia" w:ascii="黑体" w:hAnsi="Times New Roman"/>
          <w:b w:val="0"/>
          <w:kern w:val="2"/>
          <w:sz w:val="28"/>
          <w:szCs w:val="28"/>
        </w:rPr>
        <w:t>合同</w:t>
      </w:r>
      <w:bookmarkEnd w:id="38"/>
      <w:bookmarkEnd w:id="39"/>
      <w:bookmarkEnd w:id="40"/>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成交供应商</w:t>
      </w:r>
      <w:r>
        <w:rPr>
          <w:rFonts w:hint="eastAsia" w:ascii="方正仿宋_GBK" w:hAnsi="方正仿宋_GBK" w:eastAsia="方正仿宋_GBK"/>
        </w:rPr>
        <w:t>原则上应在成交通知书发出之日起15日内和采购人签订采购合同，无正当理由不得拒绝或拖延合同签订</w:t>
      </w:r>
      <w:r>
        <w:rPr>
          <w:rFonts w:hint="eastAsia" w:ascii="方正仿宋_GBK" w:hAnsi="宋体" w:eastAsia="方正仿宋_GBK"/>
          <w:szCs w:val="24"/>
        </w:rPr>
        <w:t>。所签订的合同不得对本次采购文件和供应商响应文件作实质性修改。其他未尽事宜由采购人和成交供应商在采购合同中详细约定。</w:t>
      </w:r>
    </w:p>
    <w:p>
      <w:pPr>
        <w:pStyle w:val="3"/>
        <w:adjustRightInd w:val="0"/>
        <w:snapToGrid w:val="0"/>
        <w:spacing w:before="0" w:after="0" w:line="400" w:lineRule="exact"/>
        <w:ind w:firstLine="548" w:firstLineChars="200"/>
        <w:rPr>
          <w:rFonts w:ascii="黑体" w:hAnsi="Times New Roman"/>
          <w:b w:val="0"/>
          <w:kern w:val="2"/>
          <w:sz w:val="28"/>
          <w:szCs w:val="28"/>
        </w:rPr>
      </w:pPr>
      <w:bookmarkStart w:id="41" w:name="_Toc106030902"/>
      <w:r>
        <w:rPr>
          <w:rFonts w:hint="eastAsia" w:ascii="黑体" w:hAnsi="Times New Roman"/>
          <w:b w:val="0"/>
          <w:kern w:val="2"/>
          <w:sz w:val="28"/>
          <w:szCs w:val="28"/>
        </w:rPr>
        <w:t>十、项目验收</w:t>
      </w:r>
      <w:bookmarkEnd w:id="41"/>
    </w:p>
    <w:p>
      <w:pPr>
        <w:spacing w:line="400" w:lineRule="exact"/>
        <w:ind w:firstLine="468" w:firstLineChars="200"/>
        <w:rPr>
          <w:rFonts w:ascii="方正仿宋_GBK" w:hAnsi="宋体" w:eastAsia="方正仿宋_GBK"/>
          <w:szCs w:val="24"/>
        </w:rPr>
      </w:pPr>
      <w:r>
        <w:rPr>
          <w:rFonts w:hint="eastAsia" w:ascii="方正仿宋_GBK" w:hAnsi="方正仿宋_GBK" w:eastAsia="方正仿宋_GBK"/>
        </w:rPr>
        <w:t>合同执行完毕，采购人在约定期限内组织履约情况验收。</w:t>
      </w:r>
    </w:p>
    <w:p>
      <w:pPr>
        <w:pStyle w:val="13"/>
        <w:snapToGrid w:val="0"/>
        <w:spacing w:line="400" w:lineRule="exact"/>
        <w:ind w:firstLine="548"/>
        <w:rPr>
          <w:rFonts w:ascii="黑体" w:hAnsi="宋体" w:eastAsia="黑体"/>
          <w:snapToGrid w:val="0"/>
          <w:kern w:val="0"/>
          <w:szCs w:val="28"/>
        </w:rPr>
      </w:pPr>
      <w:r>
        <w:rPr>
          <w:rFonts w:hint="eastAsia" w:ascii="黑体" w:hAnsi="宋体" w:eastAsia="黑体"/>
          <w:snapToGrid w:val="0"/>
          <w:kern w:val="0"/>
          <w:szCs w:val="28"/>
        </w:rPr>
        <w:t>十一、其他事项</w:t>
      </w:r>
    </w:p>
    <w:p>
      <w:pPr>
        <w:spacing w:line="400" w:lineRule="exact"/>
        <w:ind w:firstLine="468" w:firstLineChars="200"/>
        <w:rPr>
          <w:rFonts w:ascii="方正仿宋_GBK" w:hAnsi="方正仿宋_GBK" w:eastAsia="方正仿宋_GBK"/>
        </w:rPr>
      </w:pPr>
      <w:r>
        <w:rPr>
          <w:rFonts w:hint="eastAsia" w:ascii="方正仿宋_GBK" w:hAnsi="方正仿宋_GBK" w:eastAsia="方正仿宋_GBK"/>
        </w:rPr>
        <w:t>（一）单位负责人为同一人或者存在直接控股、管理关系的不同投标人，不得参加同一合同项（包）下的采购活动。</w:t>
      </w:r>
    </w:p>
    <w:p>
      <w:pPr>
        <w:spacing w:line="400" w:lineRule="exact"/>
        <w:ind w:firstLine="468" w:firstLineChars="200"/>
        <w:rPr>
          <w:rFonts w:ascii="方正仿宋_GBK" w:hAnsi="方正仿宋_GBK" w:eastAsia="方正仿宋_GBK"/>
        </w:rPr>
      </w:pPr>
      <w:r>
        <w:rPr>
          <w:rFonts w:hint="eastAsia" w:ascii="方正仿宋_GBK" w:hAnsi="方正仿宋_GBK" w:eastAsia="方正仿宋_GBK"/>
        </w:rPr>
        <w:t>（二）为采购项目提供整体设计、规范编制或者项目管理、监理、检测等服务的投标人，不得再参加该采购项目的其他采购活动。</w:t>
      </w:r>
    </w:p>
    <w:p>
      <w:pPr>
        <w:snapToGrid w:val="0"/>
        <w:spacing w:line="400" w:lineRule="exact"/>
        <w:ind w:firstLine="468" w:firstLineChars="200"/>
        <w:rPr>
          <w:rFonts w:ascii="方正仿宋_GBK" w:hAnsi="宋体" w:eastAsia="方正仿宋_GBK"/>
          <w:szCs w:val="24"/>
        </w:rPr>
        <w:sectPr>
          <w:footerReference r:id="rId14" w:type="first"/>
          <w:footerReference r:id="rId13" w:type="default"/>
          <w:pgSz w:w="11906" w:h="16838"/>
          <w:pgMar w:top="1418" w:right="1134" w:bottom="1134" w:left="1418" w:header="851" w:footer="851" w:gutter="0"/>
          <w:cols w:space="720" w:num="1"/>
          <w:titlePg/>
          <w:docGrid w:type="linesAndChars" w:linePitch="396" w:charSpace="-1260"/>
        </w:sectPr>
      </w:pPr>
      <w:r>
        <w:rPr>
          <w:rFonts w:hint="eastAsia" w:ascii="方正仿宋_GBK" w:hAnsi="宋体" w:eastAsia="方正仿宋_GBK"/>
          <w:szCs w:val="24"/>
        </w:rPr>
        <w:t>（三）本次采购的相关事宜由重庆沙坪坝区人民医院招标采购办负责解释。</w:t>
      </w:r>
    </w:p>
    <w:p>
      <w:pPr>
        <w:pStyle w:val="2"/>
        <w:tabs>
          <w:tab w:val="left" w:pos="3360"/>
        </w:tabs>
        <w:spacing w:line="240" w:lineRule="auto"/>
        <w:ind w:firstLine="440" w:firstLineChars="100"/>
        <w:rPr>
          <w:rFonts w:eastAsia="方正仿宋_GBK"/>
        </w:rPr>
      </w:pPr>
      <w:r>
        <w:rPr>
          <w:rFonts w:hint="eastAsia" w:ascii="方正黑体_GBK" w:hAnsi="方正黑体_GBK" w:eastAsia="方正黑体_GBK" w:cs="方正黑体_GBK"/>
          <w:b w:val="0"/>
        </w:rPr>
        <w:t>第五部分  合同主要条款和格式合同（样本）</w:t>
      </w:r>
    </w:p>
    <w:p>
      <w:pPr>
        <w:pStyle w:val="3"/>
        <w:spacing w:before="0" w:after="0" w:line="240" w:lineRule="auto"/>
        <w:ind w:firstLine="482"/>
        <w:rPr>
          <w:rFonts w:ascii="Times New Roman" w:hAnsi="Times New Roman" w:eastAsia="仿宋"/>
          <w:sz w:val="24"/>
        </w:rPr>
      </w:pPr>
      <w:r>
        <w:rPr>
          <w:rFonts w:ascii="Times New Roman" w:hAnsi="Times New Roman" w:eastAsia="仿宋"/>
          <w:sz w:val="24"/>
        </w:rPr>
        <w:t>一、合同主要条款</w:t>
      </w:r>
    </w:p>
    <w:p>
      <w:pPr>
        <w:snapToGrid w:val="0"/>
        <w:spacing w:line="400" w:lineRule="exact"/>
        <w:ind w:firstLine="480" w:firstLineChars="200"/>
        <w:outlineLvl w:val="0"/>
        <w:rPr>
          <w:rFonts w:eastAsia="仿宋"/>
          <w:bCs/>
        </w:rPr>
      </w:pPr>
      <w:r>
        <w:rPr>
          <w:rFonts w:eastAsia="仿宋"/>
          <w:bCs/>
        </w:rPr>
        <w:t>1.定义</w:t>
      </w:r>
    </w:p>
    <w:p>
      <w:pPr>
        <w:snapToGrid w:val="0"/>
        <w:spacing w:line="400" w:lineRule="exact"/>
        <w:ind w:firstLine="480" w:firstLineChars="200"/>
        <w:outlineLvl w:val="0"/>
        <w:rPr>
          <w:rFonts w:eastAsia="仿宋"/>
          <w:bCs/>
        </w:rPr>
      </w:pPr>
      <w:r>
        <w:rPr>
          <w:rFonts w:eastAsia="仿宋"/>
          <w:bCs/>
        </w:rPr>
        <w:t>1.1甲方（需方）即采购人，</w:t>
      </w:r>
      <w:r>
        <w:rPr>
          <w:rFonts w:hint="eastAsia" w:eastAsia="仿宋"/>
          <w:bCs/>
        </w:rPr>
        <w:t>重庆市沙坪坝区人民医院。</w:t>
      </w:r>
    </w:p>
    <w:p>
      <w:pPr>
        <w:snapToGrid w:val="0"/>
        <w:spacing w:line="400" w:lineRule="exact"/>
        <w:ind w:firstLine="480" w:firstLineChars="200"/>
        <w:outlineLvl w:val="0"/>
        <w:rPr>
          <w:rFonts w:eastAsia="仿宋"/>
          <w:bCs/>
        </w:rPr>
      </w:pPr>
      <w:r>
        <w:rPr>
          <w:rFonts w:eastAsia="仿宋"/>
          <w:bCs/>
        </w:rPr>
        <w:t>1.2乙方（供方）即中标供应商，是指中标后提供合同货物和服务的自然人、法人及其他组织。</w:t>
      </w:r>
    </w:p>
    <w:p>
      <w:pPr>
        <w:snapToGrid w:val="0"/>
        <w:spacing w:line="400" w:lineRule="exact"/>
        <w:ind w:firstLine="480" w:firstLineChars="200"/>
        <w:outlineLvl w:val="0"/>
        <w:rPr>
          <w:rFonts w:eastAsia="仿宋"/>
          <w:bCs/>
        </w:rPr>
      </w:pPr>
      <w:r>
        <w:rPr>
          <w:rFonts w:eastAsia="仿宋"/>
          <w:bCs/>
        </w:rPr>
        <w:t>1.3合同是指由甲乙双方按照</w:t>
      </w:r>
      <w:r>
        <w:rPr>
          <w:rFonts w:hint="eastAsia" w:eastAsia="仿宋"/>
          <w:bCs/>
        </w:rPr>
        <w:t>采购</w:t>
      </w:r>
      <w:r>
        <w:rPr>
          <w:rFonts w:eastAsia="仿宋"/>
          <w:bCs/>
        </w:rPr>
        <w:t>文件和投标文件的实质性内容，通过协商一致达成的书面协议。</w:t>
      </w:r>
    </w:p>
    <w:p>
      <w:pPr>
        <w:snapToGrid w:val="0"/>
        <w:spacing w:line="400" w:lineRule="exact"/>
        <w:ind w:firstLine="480" w:firstLineChars="200"/>
        <w:outlineLvl w:val="0"/>
        <w:rPr>
          <w:rFonts w:eastAsia="仿宋"/>
          <w:bCs/>
        </w:rPr>
      </w:pPr>
      <w:r>
        <w:rPr>
          <w:rFonts w:eastAsia="仿宋"/>
          <w:bCs/>
        </w:rPr>
        <w:t>1.4合同价格指以中标价格为依据，在供方全面履行合同义务后，需方应支付给供方的金额。</w:t>
      </w:r>
    </w:p>
    <w:p>
      <w:pPr>
        <w:snapToGrid w:val="0"/>
        <w:spacing w:line="400" w:lineRule="exact"/>
        <w:ind w:firstLine="480" w:firstLineChars="200"/>
        <w:outlineLvl w:val="0"/>
        <w:rPr>
          <w:rFonts w:eastAsia="仿宋"/>
          <w:bCs/>
        </w:rPr>
      </w:pPr>
      <w:r>
        <w:rPr>
          <w:rFonts w:eastAsia="仿宋"/>
          <w:bCs/>
        </w:rPr>
        <w:t>1.5技术资料是指合同货物及其相关的设计、制造、监造、检验、验收等文件（包括图纸、各种文字说明、标准）。</w:t>
      </w:r>
    </w:p>
    <w:p>
      <w:pPr>
        <w:snapToGrid w:val="0"/>
        <w:spacing w:line="400" w:lineRule="exact"/>
        <w:ind w:firstLine="480" w:firstLineChars="200"/>
        <w:outlineLvl w:val="0"/>
        <w:rPr>
          <w:rFonts w:eastAsia="仿宋"/>
          <w:bCs/>
        </w:rPr>
      </w:pPr>
      <w:r>
        <w:rPr>
          <w:rFonts w:eastAsia="仿宋"/>
          <w:bCs/>
        </w:rPr>
        <w:t>2.货物内容</w:t>
      </w:r>
    </w:p>
    <w:p>
      <w:pPr>
        <w:snapToGrid w:val="0"/>
        <w:spacing w:line="400" w:lineRule="exact"/>
        <w:ind w:firstLine="480" w:firstLineChars="200"/>
        <w:outlineLvl w:val="0"/>
        <w:rPr>
          <w:rFonts w:eastAsia="仿宋"/>
          <w:bCs/>
        </w:rPr>
      </w:pPr>
      <w:r>
        <w:rPr>
          <w:rFonts w:eastAsia="仿宋"/>
          <w:bCs/>
        </w:rPr>
        <w:t>合同包括以下内容：货物名称、型号规格、数量（单位）等内容。</w:t>
      </w:r>
    </w:p>
    <w:p>
      <w:pPr>
        <w:snapToGrid w:val="0"/>
        <w:spacing w:line="400" w:lineRule="exact"/>
        <w:ind w:firstLine="480" w:firstLineChars="200"/>
        <w:outlineLvl w:val="0"/>
        <w:rPr>
          <w:rFonts w:eastAsia="仿宋"/>
          <w:bCs/>
        </w:rPr>
      </w:pPr>
      <w:r>
        <w:rPr>
          <w:rFonts w:eastAsia="仿宋"/>
          <w:bCs/>
        </w:rPr>
        <w:t>3.合同价格</w:t>
      </w:r>
    </w:p>
    <w:p>
      <w:pPr>
        <w:snapToGrid w:val="0"/>
        <w:spacing w:line="400" w:lineRule="exact"/>
        <w:ind w:firstLine="480" w:firstLineChars="200"/>
        <w:outlineLvl w:val="0"/>
        <w:rPr>
          <w:rFonts w:eastAsia="仿宋"/>
          <w:bCs/>
        </w:rPr>
      </w:pPr>
      <w:r>
        <w:rPr>
          <w:rFonts w:eastAsia="仿宋"/>
          <w:bCs/>
        </w:rPr>
        <w:t>3.1合同价格即合同总价。</w:t>
      </w:r>
    </w:p>
    <w:p>
      <w:pPr>
        <w:snapToGrid w:val="0"/>
        <w:spacing w:line="400" w:lineRule="exact"/>
        <w:ind w:firstLine="480" w:firstLineChars="200"/>
        <w:outlineLvl w:val="0"/>
        <w:rPr>
          <w:rFonts w:eastAsia="仿宋"/>
          <w:bCs/>
        </w:rPr>
      </w:pPr>
      <w:r>
        <w:rPr>
          <w:rFonts w:eastAsia="仿宋"/>
          <w:bCs/>
        </w:rPr>
        <w:t>3.2合同价格包括合同货物、技术资料、合同货物的税费、运杂费、保险费、包装费、装卸费及与货物有关的供方应纳的税费，所有税费由乙方负担。</w:t>
      </w:r>
    </w:p>
    <w:p>
      <w:pPr>
        <w:snapToGrid w:val="0"/>
        <w:spacing w:line="400" w:lineRule="exact"/>
        <w:ind w:firstLine="480" w:firstLineChars="200"/>
        <w:outlineLvl w:val="0"/>
        <w:rPr>
          <w:rFonts w:eastAsia="仿宋"/>
          <w:bCs/>
        </w:rPr>
      </w:pPr>
      <w:r>
        <w:rPr>
          <w:rFonts w:eastAsia="仿宋"/>
          <w:bCs/>
        </w:rPr>
        <w:t>3.3合同货物单价为不变价。</w:t>
      </w:r>
    </w:p>
    <w:p>
      <w:pPr>
        <w:snapToGrid w:val="0"/>
        <w:spacing w:line="400" w:lineRule="exact"/>
        <w:ind w:firstLine="480" w:firstLineChars="200"/>
        <w:outlineLvl w:val="0"/>
        <w:rPr>
          <w:rFonts w:eastAsia="仿宋"/>
          <w:bCs/>
        </w:rPr>
      </w:pPr>
      <w:r>
        <w:rPr>
          <w:rFonts w:eastAsia="仿宋"/>
          <w:bCs/>
        </w:rPr>
        <w:t>4.转包或分包</w:t>
      </w:r>
    </w:p>
    <w:p>
      <w:pPr>
        <w:snapToGrid w:val="0"/>
        <w:spacing w:line="400" w:lineRule="exact"/>
        <w:ind w:firstLine="480" w:firstLineChars="200"/>
        <w:outlineLvl w:val="0"/>
        <w:rPr>
          <w:rFonts w:eastAsia="仿宋"/>
          <w:bCs/>
        </w:rPr>
      </w:pPr>
      <w:r>
        <w:rPr>
          <w:rFonts w:eastAsia="仿宋"/>
          <w:bCs/>
        </w:rPr>
        <w:t>4.1本合同范围的货物，应由乙方直接供应，不得转让他人供应</w:t>
      </w:r>
      <w:r>
        <w:rPr>
          <w:rFonts w:hint="eastAsia" w:eastAsia="仿宋"/>
          <w:bCs/>
        </w:rPr>
        <w:t>。</w:t>
      </w:r>
    </w:p>
    <w:p>
      <w:pPr>
        <w:snapToGrid w:val="0"/>
        <w:spacing w:line="400" w:lineRule="exact"/>
        <w:ind w:firstLine="480" w:firstLineChars="200"/>
        <w:outlineLvl w:val="0"/>
        <w:rPr>
          <w:rFonts w:eastAsia="仿宋"/>
          <w:bCs/>
        </w:rPr>
      </w:pPr>
      <w:r>
        <w:rPr>
          <w:rFonts w:eastAsia="仿宋"/>
          <w:bCs/>
        </w:rPr>
        <w:t>4.2非经甲方书面同意，乙方不得将本合同范围的货物全部或部分分包给他人供应</w:t>
      </w:r>
      <w:r>
        <w:rPr>
          <w:rFonts w:hint="eastAsia" w:eastAsia="仿宋"/>
          <w:bCs/>
        </w:rPr>
        <w:t>。</w:t>
      </w:r>
    </w:p>
    <w:p>
      <w:pPr>
        <w:snapToGrid w:val="0"/>
        <w:spacing w:line="400" w:lineRule="exact"/>
        <w:ind w:firstLine="480" w:firstLineChars="200"/>
        <w:outlineLvl w:val="0"/>
        <w:rPr>
          <w:rFonts w:eastAsia="仿宋"/>
          <w:bCs/>
        </w:rPr>
      </w:pPr>
      <w:r>
        <w:rPr>
          <w:rFonts w:eastAsia="仿宋"/>
          <w:bCs/>
        </w:rPr>
        <w:t>4.3如有转让和未经甲方同意的分包行为，甲方有权解除合同，没收履约保证金并追究乙方的违约责任。</w:t>
      </w:r>
    </w:p>
    <w:p>
      <w:pPr>
        <w:pStyle w:val="11"/>
        <w:spacing w:line="400" w:lineRule="exact"/>
        <w:ind w:firstLine="480" w:firstLineChars="200"/>
        <w:rPr>
          <w:rFonts w:ascii="Times New Roman" w:hAnsi="Times New Roman" w:eastAsia="仿宋"/>
          <w:sz w:val="24"/>
        </w:rPr>
      </w:pPr>
      <w:r>
        <w:rPr>
          <w:rFonts w:ascii="Times New Roman" w:hAnsi="Times New Roman" w:eastAsia="仿宋"/>
          <w:bCs/>
          <w:sz w:val="24"/>
        </w:rPr>
        <w:t>5.质量保证及售后服务</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5.1乙方应按</w:t>
      </w:r>
      <w:r>
        <w:rPr>
          <w:rFonts w:hint="eastAsia" w:ascii="Times New Roman" w:hAnsi="Times New Roman" w:eastAsia="仿宋"/>
          <w:sz w:val="24"/>
        </w:rPr>
        <w:t>采购</w:t>
      </w:r>
      <w:r>
        <w:rPr>
          <w:rFonts w:ascii="Times New Roman" w:hAnsi="Times New Roman" w:eastAsia="仿宋"/>
          <w:sz w:val="24"/>
        </w:rPr>
        <w:t>文件规定的货物性能、技术要求、质量标准向甲方提供未经使用的全新产品。</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5.2乙方提供的货物在质保期内因货物本身的质量问题发生故障，乙方应负责免费更换。对达不到技术要求者，根据实际情况，经双方协商，可按以下办法处理：</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5.2.1更换：由乙方承担所发生的全部费用。</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5.2.2贬值处理：由甲乙双方合议定价。</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5.2.3退货处理：乙方应退还甲方支付的合同款，同时应承担该货物的直接费用（运输、保险、检验、货款利息及银行手续费等）。</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5.3如在使用过程中发生质量问题，乙方应按</w:t>
      </w:r>
      <w:r>
        <w:rPr>
          <w:rFonts w:hint="eastAsia" w:ascii="Times New Roman" w:hAnsi="Times New Roman" w:eastAsia="仿宋"/>
          <w:sz w:val="24"/>
        </w:rPr>
        <w:t>采购文件中所提</w:t>
      </w:r>
      <w:r>
        <w:rPr>
          <w:rFonts w:ascii="Times New Roman" w:hAnsi="Times New Roman" w:eastAsia="仿宋"/>
          <w:sz w:val="24"/>
        </w:rPr>
        <w:t>要求处理。</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5.4在质保期内，乙方应对货物出现的质量及安全问题负责处理解决并承担一切费用。</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5.5 如甲方要求乙方提供履约保证金的，履约保证金的收取和退还应按</w:t>
      </w:r>
      <w:r>
        <w:rPr>
          <w:rFonts w:hint="eastAsia" w:ascii="Times New Roman" w:hAnsi="Times New Roman" w:eastAsia="仿宋"/>
          <w:sz w:val="24"/>
        </w:rPr>
        <w:t>采购文件所提要求</w:t>
      </w:r>
      <w:r>
        <w:rPr>
          <w:rFonts w:ascii="Times New Roman" w:hAnsi="Times New Roman" w:eastAsia="仿宋"/>
          <w:sz w:val="24"/>
        </w:rPr>
        <w:t>处理。</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6.付款</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6.1本合同使用货币币制如未作特别说明均为人民币。</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6.2付款方式：银行转账、现金支票。</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6.3付款方法：同</w:t>
      </w:r>
      <w:r>
        <w:rPr>
          <w:rFonts w:hint="eastAsia" w:ascii="Times New Roman" w:hAnsi="Times New Roman" w:eastAsia="仿宋"/>
          <w:sz w:val="24"/>
        </w:rPr>
        <w:t>采购文件</w:t>
      </w:r>
      <w:r>
        <w:rPr>
          <w:rFonts w:ascii="Times New Roman" w:hAnsi="Times New Roman" w:eastAsia="仿宋"/>
          <w:sz w:val="24"/>
        </w:rPr>
        <w:t>中关于付款方式的约定。</w:t>
      </w:r>
    </w:p>
    <w:p>
      <w:pPr>
        <w:pStyle w:val="11"/>
        <w:numPr>
          <w:ilvl w:val="0"/>
          <w:numId w:val="9"/>
        </w:numPr>
        <w:spacing w:line="400" w:lineRule="exact"/>
        <w:ind w:firstLine="468"/>
        <w:rPr>
          <w:rFonts w:ascii="Times New Roman" w:hAnsi="Times New Roman" w:eastAsia="仿宋"/>
          <w:sz w:val="24"/>
        </w:rPr>
      </w:pPr>
      <w:r>
        <w:rPr>
          <w:rFonts w:ascii="Times New Roman" w:hAnsi="Times New Roman" w:eastAsia="仿宋"/>
          <w:sz w:val="24"/>
        </w:rPr>
        <w:t>验收</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7.1供方应随货物提供合格证和质量证明文件，如是国外进口的货物还须提供入关证明。</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7.2货物验收</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供方所交货物的各种质量指标不得低于供方提供样品的质量指标（无样品时按供方的投标时提供的“服务文件”执行），售后服务质量要求按照招标文件和投标文件的内容执行。供方交货时，需方可根据需要随机抽取一部分货物送有关权威检测部门检测，如检测不合格，供方负责赔偿需方一切损失。</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7.3货物验收报告应由需方、供方经办人签字，并加盖双方公章，以此作为支付凭据。</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8.索赔</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供方对货物与合同要求不符负有责任，并且需方已于规定交货内和质量保证期内提出索赔，供方应按需方同意的下述一种或多种方法解决索赔事宜。</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8.2根据货物的疵劣和受损程度以及需方遭受损失的金额，经双方同意降低货物价格。</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9.知识产权</w:t>
      </w:r>
    </w:p>
    <w:p>
      <w:pPr>
        <w:pStyle w:val="11"/>
        <w:spacing w:line="400" w:lineRule="exact"/>
        <w:ind w:firstLine="480" w:firstLineChars="200"/>
        <w:rPr>
          <w:rFonts w:ascii="Times New Roman" w:hAnsi="Times New Roman" w:eastAsia="仿宋"/>
          <w:sz w:val="24"/>
        </w:rPr>
      </w:pPr>
      <w:r>
        <w:rPr>
          <w:rFonts w:ascii="Times New Roman" w:hAnsi="Times New Roman" w:eastAsia="仿宋"/>
          <w:kern w:val="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pPr>
        <w:snapToGrid w:val="0"/>
        <w:spacing w:line="400" w:lineRule="exact"/>
        <w:ind w:firstLine="480" w:firstLineChars="200"/>
        <w:outlineLvl w:val="0"/>
        <w:rPr>
          <w:rFonts w:eastAsia="仿宋"/>
          <w:bCs/>
        </w:rPr>
      </w:pPr>
      <w:r>
        <w:rPr>
          <w:rFonts w:eastAsia="仿宋"/>
          <w:bCs/>
        </w:rPr>
        <w:t>10.合同争议的解决</w:t>
      </w:r>
    </w:p>
    <w:p>
      <w:pPr>
        <w:snapToGrid w:val="0"/>
        <w:spacing w:line="400" w:lineRule="exact"/>
        <w:ind w:firstLine="480" w:firstLineChars="200"/>
        <w:outlineLvl w:val="0"/>
        <w:rPr>
          <w:rFonts w:eastAsia="仿宋"/>
          <w:bCs/>
        </w:rPr>
      </w:pPr>
      <w:r>
        <w:rPr>
          <w:rFonts w:eastAsia="仿宋"/>
          <w:bCs/>
        </w:rPr>
        <w:t>10.1当事人友好协商达成一致</w:t>
      </w:r>
    </w:p>
    <w:p>
      <w:pPr>
        <w:snapToGrid w:val="0"/>
        <w:spacing w:line="400" w:lineRule="exact"/>
        <w:ind w:firstLine="480" w:firstLineChars="200"/>
        <w:outlineLvl w:val="0"/>
        <w:rPr>
          <w:rFonts w:eastAsia="仿宋"/>
          <w:bCs/>
        </w:rPr>
      </w:pPr>
      <w:r>
        <w:rPr>
          <w:rFonts w:eastAsia="仿宋"/>
          <w:bCs/>
        </w:rPr>
        <w:t>10.2在60天内当事人协商不能达成协议的，可提请采购人当地人民法院提请诉讼。</w:t>
      </w:r>
    </w:p>
    <w:p>
      <w:pPr>
        <w:snapToGrid w:val="0"/>
        <w:spacing w:line="400" w:lineRule="exact"/>
        <w:ind w:firstLine="480" w:firstLineChars="200"/>
        <w:outlineLvl w:val="0"/>
        <w:rPr>
          <w:rFonts w:eastAsia="仿宋"/>
          <w:bCs/>
        </w:rPr>
      </w:pPr>
      <w:r>
        <w:rPr>
          <w:rFonts w:eastAsia="仿宋"/>
          <w:bCs/>
        </w:rPr>
        <w:t>11.违约责任</w:t>
      </w:r>
    </w:p>
    <w:p>
      <w:pPr>
        <w:snapToGrid w:val="0"/>
        <w:spacing w:line="400" w:lineRule="exact"/>
        <w:ind w:firstLine="480" w:firstLineChars="200"/>
        <w:outlineLvl w:val="0"/>
        <w:rPr>
          <w:rFonts w:eastAsia="仿宋"/>
          <w:bCs/>
        </w:rPr>
      </w:pPr>
      <w:r>
        <w:rPr>
          <w:rFonts w:eastAsia="仿宋"/>
          <w:bCs/>
        </w:rPr>
        <w:t>按《中华人民共和国</w:t>
      </w:r>
      <w:r>
        <w:rPr>
          <w:rFonts w:hint="eastAsia" w:eastAsia="仿宋"/>
          <w:bCs/>
        </w:rPr>
        <w:t>民法典</w:t>
      </w:r>
      <w:r>
        <w:rPr>
          <w:rFonts w:eastAsia="仿宋"/>
          <w:bCs/>
        </w:rPr>
        <w:t>》有关条款，或由供需双方约定。</w:t>
      </w:r>
    </w:p>
    <w:p>
      <w:pPr>
        <w:snapToGrid w:val="0"/>
        <w:spacing w:line="400" w:lineRule="exact"/>
        <w:ind w:firstLine="480" w:firstLineChars="200"/>
        <w:outlineLvl w:val="0"/>
        <w:rPr>
          <w:rFonts w:eastAsia="仿宋"/>
          <w:bCs/>
        </w:rPr>
      </w:pPr>
      <w:r>
        <w:rPr>
          <w:rFonts w:eastAsia="仿宋"/>
          <w:bCs/>
        </w:rPr>
        <w:t>12.合同生效及其它</w:t>
      </w:r>
    </w:p>
    <w:p>
      <w:pPr>
        <w:snapToGrid w:val="0"/>
        <w:spacing w:line="400" w:lineRule="exact"/>
        <w:ind w:firstLine="480" w:firstLineChars="200"/>
        <w:outlineLvl w:val="0"/>
        <w:rPr>
          <w:rFonts w:eastAsia="仿宋"/>
          <w:bCs/>
        </w:rPr>
      </w:pPr>
      <w:r>
        <w:rPr>
          <w:rFonts w:eastAsia="仿宋"/>
          <w:bCs/>
        </w:rPr>
        <w:t>12.1合同生效及其效力应符合《中华人民共和国</w:t>
      </w:r>
      <w:r>
        <w:rPr>
          <w:rFonts w:hint="eastAsia" w:eastAsia="仿宋"/>
          <w:bCs/>
        </w:rPr>
        <w:t>民法典</w:t>
      </w:r>
      <w:r>
        <w:rPr>
          <w:rFonts w:eastAsia="仿宋"/>
          <w:bCs/>
        </w:rPr>
        <w:t>》有关规定。</w:t>
      </w:r>
    </w:p>
    <w:p>
      <w:pPr>
        <w:snapToGrid w:val="0"/>
        <w:spacing w:line="400" w:lineRule="exact"/>
        <w:ind w:firstLine="480" w:firstLineChars="200"/>
        <w:outlineLvl w:val="0"/>
        <w:rPr>
          <w:rFonts w:eastAsia="仿宋"/>
          <w:bCs/>
        </w:rPr>
      </w:pPr>
      <w:r>
        <w:rPr>
          <w:rFonts w:eastAsia="仿宋"/>
          <w:bCs/>
        </w:rPr>
        <w:t>12.2合同应经当事人法定代表人或委托代理人签字，加盖双方合同专用章或公章。</w:t>
      </w:r>
    </w:p>
    <w:p>
      <w:pPr>
        <w:snapToGrid w:val="0"/>
        <w:spacing w:line="400" w:lineRule="exact"/>
        <w:ind w:firstLine="480" w:firstLineChars="200"/>
        <w:outlineLvl w:val="0"/>
        <w:rPr>
          <w:rFonts w:eastAsia="仿宋"/>
          <w:bCs/>
        </w:rPr>
      </w:pPr>
      <w:r>
        <w:rPr>
          <w:rFonts w:eastAsia="仿宋"/>
          <w:bCs/>
        </w:rPr>
        <w:t>12.3合同所包括附件，是合同不可分割的一部分，具有同等法法律效力。</w:t>
      </w:r>
    </w:p>
    <w:p>
      <w:pPr>
        <w:snapToGrid w:val="0"/>
        <w:spacing w:line="400" w:lineRule="exact"/>
        <w:ind w:firstLine="480" w:firstLineChars="200"/>
        <w:outlineLvl w:val="0"/>
        <w:rPr>
          <w:rFonts w:eastAsia="仿宋"/>
          <w:bCs/>
        </w:rPr>
      </w:pPr>
      <w:r>
        <w:rPr>
          <w:rFonts w:eastAsia="仿宋"/>
          <w:bCs/>
        </w:rPr>
        <w:t>12.5本合同条件未尽事宜由供需双方共同协商确定。</w:t>
      </w:r>
    </w:p>
    <w:p>
      <w:pPr>
        <w:snapToGrid w:val="0"/>
        <w:spacing w:line="500" w:lineRule="exact"/>
        <w:ind w:firstLine="880"/>
        <w:jc w:val="center"/>
        <w:outlineLvl w:val="0"/>
        <w:rPr>
          <w:rFonts w:eastAsia="仿宋"/>
          <w:sz w:val="44"/>
        </w:rPr>
        <w:sectPr>
          <w:headerReference r:id="rId15" w:type="default"/>
          <w:pgSz w:w="11907" w:h="16840"/>
          <w:pgMar w:top="1134" w:right="1191" w:bottom="1134" w:left="1304" w:header="709" w:footer="544" w:gutter="0"/>
          <w:pgNumType w:fmt="numberInDash"/>
          <w:cols w:space="720" w:num="1"/>
          <w:docGrid w:linePitch="312" w:charSpace="0"/>
        </w:sectPr>
      </w:pPr>
    </w:p>
    <w:p>
      <w:pPr>
        <w:pStyle w:val="3"/>
        <w:spacing w:line="500" w:lineRule="exact"/>
        <w:ind w:firstLine="482" w:firstLineChars="200"/>
        <w:rPr>
          <w:rFonts w:ascii="Times New Roman" w:hAnsi="Times New Roman" w:eastAsia="仿宋"/>
          <w:sz w:val="24"/>
        </w:rPr>
      </w:pPr>
      <w:bookmarkStart w:id="42" w:name="_Toc277084871"/>
      <w:bookmarkStart w:id="43" w:name="_Toc493506317"/>
      <w:bookmarkStart w:id="44" w:name="_Toc285722713"/>
      <w:r>
        <w:rPr>
          <w:rFonts w:ascii="Times New Roman" w:hAnsi="Times New Roman" w:eastAsia="仿宋"/>
          <w:sz w:val="24"/>
        </w:rPr>
        <w:t>二、采购合同（</w:t>
      </w:r>
      <w:r>
        <w:rPr>
          <w:rFonts w:hint="eastAsia" w:ascii="Times New Roman" w:hAnsi="Times New Roman" w:eastAsia="仿宋"/>
          <w:sz w:val="24"/>
        </w:rPr>
        <w:t>参考</w:t>
      </w:r>
      <w:r>
        <w:rPr>
          <w:rFonts w:ascii="Times New Roman" w:hAnsi="Times New Roman" w:eastAsia="仿宋"/>
          <w:sz w:val="24"/>
        </w:rPr>
        <w:t>格式</w:t>
      </w:r>
      <w:r>
        <w:rPr>
          <w:rFonts w:hint="eastAsia" w:ascii="Times New Roman" w:hAnsi="Times New Roman" w:eastAsia="仿宋"/>
          <w:sz w:val="24"/>
        </w:rPr>
        <w:t>，可根据实际情况进行调整</w:t>
      </w:r>
      <w:r>
        <w:rPr>
          <w:rFonts w:ascii="Times New Roman" w:hAnsi="Times New Roman" w:eastAsia="仿宋"/>
          <w:sz w:val="24"/>
        </w:rPr>
        <w:t>）</w:t>
      </w:r>
      <w:bookmarkEnd w:id="42"/>
      <w:bookmarkEnd w:id="43"/>
      <w:bookmarkEnd w:id="44"/>
    </w:p>
    <w:p>
      <w:pPr>
        <w:spacing w:line="500" w:lineRule="exact"/>
        <w:ind w:firstLine="883"/>
        <w:jc w:val="center"/>
        <w:rPr>
          <w:rFonts w:eastAsia="仿宋"/>
          <w:b/>
          <w:sz w:val="44"/>
        </w:rPr>
      </w:pPr>
      <w:r>
        <w:rPr>
          <w:rFonts w:eastAsia="仿宋"/>
          <w:b/>
          <w:sz w:val="44"/>
        </w:rPr>
        <w:t>重庆市</w:t>
      </w:r>
      <w:r>
        <w:rPr>
          <w:rFonts w:hint="eastAsia" w:eastAsia="仿宋"/>
          <w:b/>
          <w:sz w:val="44"/>
        </w:rPr>
        <w:t>沙坪坝区人民医院</w:t>
      </w:r>
    </w:p>
    <w:p>
      <w:pPr>
        <w:spacing w:line="500" w:lineRule="exact"/>
        <w:ind w:firstLine="883"/>
        <w:jc w:val="center"/>
        <w:rPr>
          <w:rFonts w:eastAsia="仿宋"/>
          <w:b/>
          <w:sz w:val="44"/>
        </w:rPr>
      </w:pPr>
      <w:r>
        <w:rPr>
          <w:rFonts w:eastAsia="仿宋"/>
          <w:b/>
          <w:sz w:val="44"/>
        </w:rPr>
        <w:t>采购合同</w:t>
      </w:r>
    </w:p>
    <w:p>
      <w:pPr>
        <w:spacing w:line="500" w:lineRule="exact"/>
        <w:ind w:firstLine="480"/>
        <w:jc w:val="center"/>
        <w:rPr>
          <w:rFonts w:eastAsia="仿宋"/>
        </w:rPr>
      </w:pPr>
      <w:r>
        <w:rPr>
          <w:rFonts w:eastAsia="仿宋"/>
        </w:rPr>
        <w:t>（项目号：     ）</w:t>
      </w:r>
    </w:p>
    <w:p>
      <w:pPr>
        <w:spacing w:line="500" w:lineRule="exact"/>
        <w:ind w:firstLine="480"/>
        <w:rPr>
          <w:rFonts w:eastAsia="仿宋"/>
        </w:rPr>
      </w:pPr>
      <w:r>
        <w:rPr>
          <w:rFonts w:eastAsia="仿宋"/>
        </w:rPr>
        <w:t xml:space="preserve">甲方（需方）：___________________________     </w:t>
      </w:r>
    </w:p>
    <w:p>
      <w:pPr>
        <w:spacing w:line="500" w:lineRule="exact"/>
        <w:ind w:firstLine="480"/>
        <w:rPr>
          <w:rFonts w:eastAsia="仿宋"/>
        </w:rPr>
      </w:pPr>
      <w:r>
        <w:rPr>
          <w:rFonts w:eastAsia="仿宋"/>
        </w:rPr>
        <w:t xml:space="preserve">乙方（供方）：___________________________       </w:t>
      </w:r>
    </w:p>
    <w:p>
      <w:pPr>
        <w:spacing w:line="500" w:lineRule="exact"/>
        <w:ind w:firstLine="480" w:firstLineChars="200"/>
        <w:rPr>
          <w:rFonts w:eastAsia="仿宋"/>
          <w:bCs/>
        </w:rPr>
      </w:pPr>
      <w:r>
        <w:rPr>
          <w:rFonts w:eastAsia="仿宋"/>
          <w:bCs/>
        </w:rPr>
        <w:t>甲乙双方根据   年   月  日沙坪坝区</w:t>
      </w:r>
      <w:r>
        <w:rPr>
          <w:rFonts w:hint="eastAsia" w:eastAsia="仿宋"/>
          <w:bCs/>
        </w:rPr>
        <w:t>人民医院</w:t>
      </w:r>
      <w:r>
        <w:rPr>
          <w:rFonts w:eastAsia="仿宋"/>
          <w:bCs/>
        </w:rPr>
        <w:t>采购项目（项目名称）</w:t>
      </w:r>
      <w:r>
        <w:rPr>
          <w:rFonts w:hint="eastAsia" w:eastAsia="仿宋"/>
          <w:bCs/>
        </w:rPr>
        <w:t>计划号()中选</w:t>
      </w:r>
      <w:r>
        <w:rPr>
          <w:rFonts w:eastAsia="仿宋"/>
          <w:bCs/>
        </w:rPr>
        <w:t>结果及相关</w:t>
      </w:r>
      <w:r>
        <w:rPr>
          <w:rFonts w:hint="eastAsia" w:eastAsia="仿宋"/>
          <w:bCs/>
        </w:rPr>
        <w:t>采购及响应</w:t>
      </w:r>
      <w:r>
        <w:rPr>
          <w:rFonts w:eastAsia="仿宋"/>
          <w:bCs/>
        </w:rPr>
        <w:t>文件，经协商一致订立本合同，供双方共同遵守：</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517"/>
        <w:gridCol w:w="1095"/>
        <w:gridCol w:w="870"/>
        <w:gridCol w:w="120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vAlign w:val="center"/>
          </w:tcPr>
          <w:p>
            <w:pPr>
              <w:spacing w:line="240" w:lineRule="atLeast"/>
              <w:jc w:val="center"/>
              <w:rPr>
                <w:rFonts w:eastAsia="仿宋"/>
                <w:sz w:val="21"/>
                <w:szCs w:val="21"/>
              </w:rPr>
            </w:pPr>
            <w:r>
              <w:rPr>
                <w:rFonts w:eastAsia="仿宋"/>
                <w:sz w:val="21"/>
                <w:szCs w:val="21"/>
              </w:rPr>
              <w:t>商品名称</w:t>
            </w:r>
          </w:p>
        </w:tc>
        <w:tc>
          <w:tcPr>
            <w:tcW w:w="1958" w:type="dxa"/>
            <w:vAlign w:val="center"/>
          </w:tcPr>
          <w:p>
            <w:pPr>
              <w:spacing w:line="240" w:lineRule="atLeast"/>
              <w:ind w:firstLine="420"/>
              <w:rPr>
                <w:rFonts w:eastAsia="仿宋"/>
                <w:sz w:val="21"/>
                <w:szCs w:val="21"/>
              </w:rPr>
            </w:pPr>
            <w:r>
              <w:rPr>
                <w:rFonts w:eastAsia="仿宋"/>
                <w:sz w:val="21"/>
                <w:szCs w:val="21"/>
              </w:rPr>
              <w:t>规格型号</w:t>
            </w:r>
          </w:p>
        </w:tc>
        <w:tc>
          <w:tcPr>
            <w:tcW w:w="645" w:type="dxa"/>
            <w:vAlign w:val="center"/>
          </w:tcPr>
          <w:p>
            <w:pPr>
              <w:spacing w:line="240" w:lineRule="atLeast"/>
              <w:jc w:val="center"/>
              <w:rPr>
                <w:rFonts w:eastAsia="仿宋"/>
                <w:sz w:val="21"/>
                <w:szCs w:val="21"/>
              </w:rPr>
            </w:pPr>
            <w:r>
              <w:rPr>
                <w:rFonts w:eastAsia="仿宋"/>
                <w:sz w:val="21"/>
                <w:szCs w:val="21"/>
              </w:rPr>
              <w:t>数量</w:t>
            </w:r>
          </w:p>
        </w:tc>
        <w:tc>
          <w:tcPr>
            <w:tcW w:w="945" w:type="dxa"/>
            <w:gridSpan w:val="2"/>
            <w:vAlign w:val="center"/>
          </w:tcPr>
          <w:p>
            <w:pPr>
              <w:spacing w:line="240" w:lineRule="atLeast"/>
              <w:jc w:val="center"/>
              <w:rPr>
                <w:rFonts w:eastAsia="仿宋"/>
                <w:sz w:val="21"/>
                <w:szCs w:val="21"/>
              </w:rPr>
            </w:pPr>
            <w:r>
              <w:rPr>
                <w:rFonts w:hint="eastAsia" w:eastAsia="仿宋"/>
                <w:sz w:val="21"/>
                <w:szCs w:val="21"/>
              </w:rPr>
              <w:t>单位</w:t>
            </w:r>
          </w:p>
        </w:tc>
        <w:tc>
          <w:tcPr>
            <w:tcW w:w="1095" w:type="dxa"/>
            <w:vAlign w:val="center"/>
          </w:tcPr>
          <w:p>
            <w:pPr>
              <w:spacing w:line="240" w:lineRule="atLeast"/>
              <w:jc w:val="center"/>
              <w:rPr>
                <w:rFonts w:eastAsia="仿宋"/>
                <w:sz w:val="21"/>
                <w:szCs w:val="21"/>
              </w:rPr>
            </w:pPr>
            <w:r>
              <w:rPr>
                <w:rFonts w:eastAsia="仿宋"/>
                <w:sz w:val="21"/>
                <w:szCs w:val="21"/>
              </w:rPr>
              <w:t>综合单价</w:t>
            </w:r>
            <w:r>
              <w:rPr>
                <w:rFonts w:hint="eastAsia" w:eastAsia="仿宋"/>
                <w:sz w:val="21"/>
                <w:szCs w:val="21"/>
              </w:rPr>
              <w:t>（元）</w:t>
            </w:r>
          </w:p>
        </w:tc>
        <w:tc>
          <w:tcPr>
            <w:tcW w:w="870" w:type="dxa"/>
            <w:vAlign w:val="center"/>
          </w:tcPr>
          <w:p>
            <w:pPr>
              <w:spacing w:line="240" w:lineRule="atLeast"/>
              <w:jc w:val="center"/>
              <w:rPr>
                <w:rFonts w:eastAsia="仿宋"/>
                <w:sz w:val="21"/>
                <w:szCs w:val="21"/>
              </w:rPr>
            </w:pPr>
            <w:r>
              <w:rPr>
                <w:rFonts w:eastAsia="仿宋"/>
                <w:sz w:val="21"/>
                <w:szCs w:val="21"/>
              </w:rPr>
              <w:t>总价</w:t>
            </w:r>
            <w:r>
              <w:rPr>
                <w:rFonts w:hint="eastAsia" w:eastAsia="仿宋"/>
                <w:sz w:val="21"/>
                <w:szCs w:val="21"/>
              </w:rPr>
              <w:t>（元）</w:t>
            </w:r>
          </w:p>
        </w:tc>
        <w:tc>
          <w:tcPr>
            <w:tcW w:w="1203" w:type="dxa"/>
            <w:vAlign w:val="center"/>
          </w:tcPr>
          <w:p>
            <w:pPr>
              <w:spacing w:line="240" w:lineRule="atLeast"/>
              <w:jc w:val="center"/>
              <w:rPr>
                <w:rFonts w:eastAsia="仿宋"/>
                <w:sz w:val="21"/>
                <w:szCs w:val="21"/>
              </w:rPr>
            </w:pPr>
            <w:r>
              <w:rPr>
                <w:rFonts w:eastAsia="仿宋"/>
                <w:sz w:val="21"/>
                <w:szCs w:val="21"/>
              </w:rPr>
              <w:t>交货时间</w:t>
            </w:r>
          </w:p>
        </w:tc>
        <w:tc>
          <w:tcPr>
            <w:tcW w:w="1582" w:type="dxa"/>
            <w:vAlign w:val="center"/>
          </w:tcPr>
          <w:p>
            <w:pPr>
              <w:spacing w:line="240" w:lineRule="atLeast"/>
              <w:jc w:val="center"/>
              <w:rPr>
                <w:rFonts w:eastAsia="仿宋"/>
                <w:sz w:val="21"/>
                <w:szCs w:val="21"/>
              </w:rPr>
            </w:pPr>
            <w:r>
              <w:rPr>
                <w:rFonts w:eastAsia="仿宋"/>
                <w:sz w:val="21"/>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rPr>
            </w:pPr>
          </w:p>
        </w:tc>
        <w:tc>
          <w:tcPr>
            <w:tcW w:w="1958" w:type="dxa"/>
            <w:vAlign w:val="center"/>
          </w:tcPr>
          <w:p>
            <w:pPr>
              <w:spacing w:line="240" w:lineRule="atLeast"/>
              <w:ind w:firstLine="420"/>
              <w:jc w:val="center"/>
              <w:rPr>
                <w:rFonts w:eastAsia="仿宋"/>
                <w:sz w:val="21"/>
                <w:szCs w:val="21"/>
              </w:rPr>
            </w:pPr>
          </w:p>
        </w:tc>
        <w:tc>
          <w:tcPr>
            <w:tcW w:w="645" w:type="dxa"/>
            <w:vAlign w:val="center"/>
          </w:tcPr>
          <w:p>
            <w:pPr>
              <w:spacing w:line="240" w:lineRule="atLeast"/>
              <w:ind w:firstLine="420"/>
              <w:jc w:val="center"/>
              <w:rPr>
                <w:rFonts w:eastAsia="仿宋"/>
                <w:sz w:val="21"/>
                <w:szCs w:val="21"/>
              </w:rPr>
            </w:pPr>
          </w:p>
        </w:tc>
        <w:tc>
          <w:tcPr>
            <w:tcW w:w="945" w:type="dxa"/>
            <w:gridSpan w:val="2"/>
            <w:vAlign w:val="center"/>
          </w:tcPr>
          <w:p>
            <w:pPr>
              <w:spacing w:line="240" w:lineRule="atLeast"/>
              <w:ind w:firstLine="420"/>
              <w:jc w:val="center"/>
              <w:rPr>
                <w:rFonts w:eastAsia="仿宋"/>
                <w:sz w:val="21"/>
                <w:szCs w:val="21"/>
              </w:rPr>
            </w:pPr>
          </w:p>
        </w:tc>
        <w:tc>
          <w:tcPr>
            <w:tcW w:w="1095" w:type="dxa"/>
            <w:vAlign w:val="center"/>
          </w:tcPr>
          <w:p>
            <w:pPr>
              <w:spacing w:line="240" w:lineRule="atLeast"/>
              <w:ind w:firstLine="420"/>
              <w:jc w:val="center"/>
              <w:rPr>
                <w:rFonts w:eastAsia="仿宋"/>
                <w:sz w:val="21"/>
                <w:szCs w:val="21"/>
              </w:rPr>
            </w:pPr>
          </w:p>
        </w:tc>
        <w:tc>
          <w:tcPr>
            <w:tcW w:w="870" w:type="dxa"/>
            <w:vAlign w:val="center"/>
          </w:tcPr>
          <w:p>
            <w:pPr>
              <w:spacing w:line="240" w:lineRule="atLeast"/>
              <w:ind w:firstLine="420"/>
              <w:jc w:val="center"/>
              <w:rPr>
                <w:rFonts w:eastAsia="仿宋"/>
                <w:sz w:val="21"/>
                <w:szCs w:val="21"/>
              </w:rPr>
            </w:pPr>
          </w:p>
        </w:tc>
        <w:tc>
          <w:tcPr>
            <w:tcW w:w="1203" w:type="dxa"/>
            <w:vAlign w:val="center"/>
          </w:tcPr>
          <w:p>
            <w:pPr>
              <w:spacing w:line="240" w:lineRule="atLeast"/>
              <w:ind w:firstLine="420"/>
              <w:jc w:val="center"/>
              <w:rPr>
                <w:rFonts w:eastAsia="仿宋"/>
                <w:sz w:val="21"/>
                <w:szCs w:val="21"/>
              </w:rPr>
            </w:pPr>
          </w:p>
        </w:tc>
        <w:tc>
          <w:tcPr>
            <w:tcW w:w="1582" w:type="dxa"/>
            <w:vAlign w:val="center"/>
          </w:tcPr>
          <w:p>
            <w:pPr>
              <w:spacing w:line="240" w:lineRule="atLeast"/>
              <w:ind w:firstLine="420"/>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rPr>
            </w:pPr>
          </w:p>
        </w:tc>
        <w:tc>
          <w:tcPr>
            <w:tcW w:w="1958" w:type="dxa"/>
            <w:vAlign w:val="center"/>
          </w:tcPr>
          <w:p>
            <w:pPr>
              <w:spacing w:line="240" w:lineRule="atLeast"/>
              <w:ind w:firstLine="420"/>
              <w:jc w:val="center"/>
              <w:rPr>
                <w:rFonts w:eastAsia="仿宋"/>
                <w:sz w:val="21"/>
                <w:szCs w:val="21"/>
              </w:rPr>
            </w:pPr>
          </w:p>
        </w:tc>
        <w:tc>
          <w:tcPr>
            <w:tcW w:w="645" w:type="dxa"/>
            <w:vAlign w:val="center"/>
          </w:tcPr>
          <w:p>
            <w:pPr>
              <w:spacing w:line="240" w:lineRule="atLeast"/>
              <w:ind w:firstLine="420"/>
              <w:jc w:val="center"/>
              <w:rPr>
                <w:rFonts w:eastAsia="仿宋"/>
                <w:sz w:val="21"/>
                <w:szCs w:val="21"/>
              </w:rPr>
            </w:pPr>
          </w:p>
        </w:tc>
        <w:tc>
          <w:tcPr>
            <w:tcW w:w="945" w:type="dxa"/>
            <w:gridSpan w:val="2"/>
            <w:vAlign w:val="center"/>
          </w:tcPr>
          <w:p>
            <w:pPr>
              <w:spacing w:line="240" w:lineRule="atLeast"/>
              <w:ind w:firstLine="420"/>
              <w:jc w:val="center"/>
              <w:rPr>
                <w:rFonts w:eastAsia="仿宋"/>
                <w:sz w:val="21"/>
                <w:szCs w:val="21"/>
              </w:rPr>
            </w:pPr>
          </w:p>
        </w:tc>
        <w:tc>
          <w:tcPr>
            <w:tcW w:w="1095" w:type="dxa"/>
            <w:vAlign w:val="center"/>
          </w:tcPr>
          <w:p>
            <w:pPr>
              <w:spacing w:line="240" w:lineRule="atLeast"/>
              <w:ind w:firstLine="420"/>
              <w:jc w:val="center"/>
              <w:rPr>
                <w:rFonts w:eastAsia="仿宋"/>
                <w:sz w:val="21"/>
                <w:szCs w:val="21"/>
              </w:rPr>
            </w:pPr>
          </w:p>
        </w:tc>
        <w:tc>
          <w:tcPr>
            <w:tcW w:w="870" w:type="dxa"/>
            <w:vAlign w:val="center"/>
          </w:tcPr>
          <w:p>
            <w:pPr>
              <w:spacing w:line="240" w:lineRule="atLeast"/>
              <w:ind w:firstLine="420"/>
              <w:jc w:val="center"/>
              <w:rPr>
                <w:rFonts w:eastAsia="仿宋"/>
                <w:sz w:val="21"/>
                <w:szCs w:val="21"/>
              </w:rPr>
            </w:pPr>
          </w:p>
        </w:tc>
        <w:tc>
          <w:tcPr>
            <w:tcW w:w="1203" w:type="dxa"/>
            <w:vAlign w:val="center"/>
          </w:tcPr>
          <w:p>
            <w:pPr>
              <w:spacing w:line="240" w:lineRule="atLeast"/>
              <w:ind w:firstLine="420"/>
              <w:jc w:val="center"/>
              <w:rPr>
                <w:rFonts w:eastAsia="仿宋"/>
                <w:sz w:val="21"/>
                <w:szCs w:val="21"/>
              </w:rPr>
            </w:pPr>
          </w:p>
        </w:tc>
        <w:tc>
          <w:tcPr>
            <w:tcW w:w="1582" w:type="dxa"/>
            <w:vAlign w:val="center"/>
          </w:tcPr>
          <w:p>
            <w:pPr>
              <w:spacing w:line="240" w:lineRule="atLeast"/>
              <w:ind w:firstLine="420"/>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rPr>
            </w:pPr>
          </w:p>
        </w:tc>
        <w:tc>
          <w:tcPr>
            <w:tcW w:w="1958" w:type="dxa"/>
            <w:vAlign w:val="center"/>
          </w:tcPr>
          <w:p>
            <w:pPr>
              <w:spacing w:line="240" w:lineRule="atLeast"/>
              <w:ind w:firstLine="420"/>
              <w:jc w:val="center"/>
              <w:rPr>
                <w:rFonts w:eastAsia="仿宋"/>
                <w:sz w:val="21"/>
                <w:szCs w:val="21"/>
              </w:rPr>
            </w:pPr>
          </w:p>
        </w:tc>
        <w:tc>
          <w:tcPr>
            <w:tcW w:w="645" w:type="dxa"/>
            <w:vAlign w:val="center"/>
          </w:tcPr>
          <w:p>
            <w:pPr>
              <w:spacing w:line="240" w:lineRule="atLeast"/>
              <w:ind w:firstLine="420"/>
              <w:jc w:val="center"/>
              <w:rPr>
                <w:rFonts w:eastAsia="仿宋"/>
                <w:sz w:val="21"/>
                <w:szCs w:val="21"/>
              </w:rPr>
            </w:pPr>
          </w:p>
        </w:tc>
        <w:tc>
          <w:tcPr>
            <w:tcW w:w="945" w:type="dxa"/>
            <w:gridSpan w:val="2"/>
            <w:vAlign w:val="center"/>
          </w:tcPr>
          <w:p>
            <w:pPr>
              <w:spacing w:line="240" w:lineRule="atLeast"/>
              <w:ind w:firstLine="420"/>
              <w:jc w:val="center"/>
              <w:rPr>
                <w:rFonts w:eastAsia="仿宋"/>
                <w:sz w:val="21"/>
                <w:szCs w:val="21"/>
              </w:rPr>
            </w:pPr>
          </w:p>
        </w:tc>
        <w:tc>
          <w:tcPr>
            <w:tcW w:w="1095" w:type="dxa"/>
            <w:vAlign w:val="center"/>
          </w:tcPr>
          <w:p>
            <w:pPr>
              <w:spacing w:line="240" w:lineRule="atLeast"/>
              <w:ind w:firstLine="420"/>
              <w:jc w:val="center"/>
              <w:rPr>
                <w:rFonts w:eastAsia="仿宋"/>
                <w:sz w:val="21"/>
                <w:szCs w:val="21"/>
              </w:rPr>
            </w:pPr>
          </w:p>
        </w:tc>
        <w:tc>
          <w:tcPr>
            <w:tcW w:w="870" w:type="dxa"/>
            <w:vAlign w:val="center"/>
          </w:tcPr>
          <w:p>
            <w:pPr>
              <w:spacing w:line="240" w:lineRule="atLeast"/>
              <w:ind w:firstLine="420"/>
              <w:jc w:val="center"/>
              <w:rPr>
                <w:rFonts w:eastAsia="仿宋"/>
                <w:sz w:val="21"/>
                <w:szCs w:val="21"/>
              </w:rPr>
            </w:pPr>
          </w:p>
        </w:tc>
        <w:tc>
          <w:tcPr>
            <w:tcW w:w="1203" w:type="dxa"/>
            <w:vAlign w:val="center"/>
          </w:tcPr>
          <w:p>
            <w:pPr>
              <w:spacing w:line="240" w:lineRule="atLeast"/>
              <w:ind w:firstLine="420"/>
              <w:jc w:val="center"/>
              <w:rPr>
                <w:rFonts w:eastAsia="仿宋"/>
                <w:sz w:val="21"/>
                <w:szCs w:val="21"/>
              </w:rPr>
            </w:pPr>
          </w:p>
        </w:tc>
        <w:tc>
          <w:tcPr>
            <w:tcW w:w="1582" w:type="dxa"/>
            <w:vAlign w:val="center"/>
          </w:tcPr>
          <w:p>
            <w:pPr>
              <w:spacing w:line="240" w:lineRule="atLeast"/>
              <w:ind w:firstLine="420"/>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rPr>
            </w:pPr>
          </w:p>
        </w:tc>
        <w:tc>
          <w:tcPr>
            <w:tcW w:w="1958" w:type="dxa"/>
            <w:vAlign w:val="center"/>
          </w:tcPr>
          <w:p>
            <w:pPr>
              <w:spacing w:line="240" w:lineRule="atLeast"/>
              <w:ind w:firstLine="420"/>
              <w:jc w:val="center"/>
              <w:rPr>
                <w:rFonts w:eastAsia="仿宋"/>
                <w:sz w:val="21"/>
                <w:szCs w:val="21"/>
              </w:rPr>
            </w:pPr>
          </w:p>
        </w:tc>
        <w:tc>
          <w:tcPr>
            <w:tcW w:w="645" w:type="dxa"/>
            <w:vAlign w:val="center"/>
          </w:tcPr>
          <w:p>
            <w:pPr>
              <w:spacing w:line="240" w:lineRule="atLeast"/>
              <w:ind w:firstLine="420"/>
              <w:jc w:val="center"/>
              <w:rPr>
                <w:rFonts w:eastAsia="仿宋"/>
                <w:sz w:val="21"/>
                <w:szCs w:val="21"/>
              </w:rPr>
            </w:pPr>
          </w:p>
        </w:tc>
        <w:tc>
          <w:tcPr>
            <w:tcW w:w="945" w:type="dxa"/>
            <w:gridSpan w:val="2"/>
            <w:vAlign w:val="center"/>
          </w:tcPr>
          <w:p>
            <w:pPr>
              <w:spacing w:line="240" w:lineRule="atLeast"/>
              <w:ind w:firstLine="420"/>
              <w:jc w:val="center"/>
              <w:rPr>
                <w:rFonts w:eastAsia="仿宋"/>
                <w:sz w:val="21"/>
                <w:szCs w:val="21"/>
              </w:rPr>
            </w:pPr>
          </w:p>
        </w:tc>
        <w:tc>
          <w:tcPr>
            <w:tcW w:w="1095" w:type="dxa"/>
            <w:vAlign w:val="center"/>
          </w:tcPr>
          <w:p>
            <w:pPr>
              <w:spacing w:line="240" w:lineRule="atLeast"/>
              <w:ind w:firstLine="420"/>
              <w:jc w:val="center"/>
              <w:rPr>
                <w:rFonts w:eastAsia="仿宋"/>
                <w:sz w:val="21"/>
                <w:szCs w:val="21"/>
              </w:rPr>
            </w:pPr>
          </w:p>
        </w:tc>
        <w:tc>
          <w:tcPr>
            <w:tcW w:w="870" w:type="dxa"/>
            <w:vAlign w:val="center"/>
          </w:tcPr>
          <w:p>
            <w:pPr>
              <w:spacing w:line="240" w:lineRule="atLeast"/>
              <w:ind w:firstLine="420"/>
              <w:jc w:val="center"/>
              <w:rPr>
                <w:rFonts w:eastAsia="仿宋"/>
                <w:sz w:val="21"/>
                <w:szCs w:val="21"/>
              </w:rPr>
            </w:pPr>
          </w:p>
        </w:tc>
        <w:tc>
          <w:tcPr>
            <w:tcW w:w="1203" w:type="dxa"/>
            <w:vAlign w:val="center"/>
          </w:tcPr>
          <w:p>
            <w:pPr>
              <w:spacing w:line="240" w:lineRule="atLeast"/>
              <w:ind w:firstLine="420"/>
              <w:jc w:val="center"/>
              <w:rPr>
                <w:rFonts w:eastAsia="仿宋"/>
                <w:sz w:val="21"/>
                <w:szCs w:val="21"/>
              </w:rPr>
            </w:pPr>
          </w:p>
        </w:tc>
        <w:tc>
          <w:tcPr>
            <w:tcW w:w="1582" w:type="dxa"/>
            <w:vAlign w:val="center"/>
          </w:tcPr>
          <w:p>
            <w:pPr>
              <w:spacing w:line="240" w:lineRule="atLeast"/>
              <w:ind w:firstLine="420"/>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rPr>
            </w:pPr>
          </w:p>
        </w:tc>
        <w:tc>
          <w:tcPr>
            <w:tcW w:w="1958" w:type="dxa"/>
            <w:vAlign w:val="center"/>
          </w:tcPr>
          <w:p>
            <w:pPr>
              <w:spacing w:line="240" w:lineRule="atLeast"/>
              <w:ind w:firstLine="420"/>
              <w:jc w:val="center"/>
              <w:rPr>
                <w:rFonts w:eastAsia="仿宋"/>
                <w:sz w:val="21"/>
                <w:szCs w:val="21"/>
              </w:rPr>
            </w:pPr>
          </w:p>
        </w:tc>
        <w:tc>
          <w:tcPr>
            <w:tcW w:w="645" w:type="dxa"/>
            <w:vAlign w:val="center"/>
          </w:tcPr>
          <w:p>
            <w:pPr>
              <w:spacing w:line="240" w:lineRule="atLeast"/>
              <w:ind w:firstLine="420"/>
              <w:jc w:val="center"/>
              <w:rPr>
                <w:rFonts w:eastAsia="仿宋"/>
                <w:sz w:val="21"/>
                <w:szCs w:val="21"/>
              </w:rPr>
            </w:pPr>
          </w:p>
        </w:tc>
        <w:tc>
          <w:tcPr>
            <w:tcW w:w="945" w:type="dxa"/>
            <w:gridSpan w:val="2"/>
            <w:vAlign w:val="center"/>
          </w:tcPr>
          <w:p>
            <w:pPr>
              <w:spacing w:line="240" w:lineRule="atLeast"/>
              <w:ind w:firstLine="420"/>
              <w:jc w:val="center"/>
              <w:rPr>
                <w:rFonts w:eastAsia="仿宋"/>
                <w:sz w:val="21"/>
                <w:szCs w:val="21"/>
              </w:rPr>
            </w:pPr>
          </w:p>
        </w:tc>
        <w:tc>
          <w:tcPr>
            <w:tcW w:w="1095" w:type="dxa"/>
            <w:vAlign w:val="center"/>
          </w:tcPr>
          <w:p>
            <w:pPr>
              <w:spacing w:line="240" w:lineRule="atLeast"/>
              <w:ind w:firstLine="420"/>
              <w:jc w:val="center"/>
              <w:rPr>
                <w:rFonts w:eastAsia="仿宋"/>
                <w:sz w:val="21"/>
                <w:szCs w:val="21"/>
              </w:rPr>
            </w:pPr>
          </w:p>
        </w:tc>
        <w:tc>
          <w:tcPr>
            <w:tcW w:w="870" w:type="dxa"/>
            <w:vAlign w:val="center"/>
          </w:tcPr>
          <w:p>
            <w:pPr>
              <w:spacing w:line="240" w:lineRule="atLeast"/>
              <w:ind w:firstLine="420"/>
              <w:jc w:val="center"/>
              <w:rPr>
                <w:rFonts w:eastAsia="仿宋"/>
                <w:sz w:val="21"/>
                <w:szCs w:val="21"/>
              </w:rPr>
            </w:pPr>
          </w:p>
        </w:tc>
        <w:tc>
          <w:tcPr>
            <w:tcW w:w="1203" w:type="dxa"/>
            <w:vAlign w:val="center"/>
          </w:tcPr>
          <w:p>
            <w:pPr>
              <w:spacing w:line="240" w:lineRule="atLeast"/>
              <w:ind w:firstLine="420"/>
              <w:jc w:val="center"/>
              <w:rPr>
                <w:rFonts w:eastAsia="仿宋"/>
                <w:sz w:val="21"/>
                <w:szCs w:val="21"/>
              </w:rPr>
            </w:pPr>
          </w:p>
        </w:tc>
        <w:tc>
          <w:tcPr>
            <w:tcW w:w="1582" w:type="dxa"/>
            <w:vAlign w:val="center"/>
          </w:tcPr>
          <w:p>
            <w:pPr>
              <w:spacing w:line="240" w:lineRule="atLeast"/>
              <w:ind w:firstLine="420"/>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rPr>
            </w:pPr>
          </w:p>
        </w:tc>
        <w:tc>
          <w:tcPr>
            <w:tcW w:w="1958" w:type="dxa"/>
            <w:vAlign w:val="center"/>
          </w:tcPr>
          <w:p>
            <w:pPr>
              <w:spacing w:line="240" w:lineRule="atLeast"/>
              <w:ind w:firstLine="420"/>
              <w:jc w:val="center"/>
              <w:rPr>
                <w:rFonts w:eastAsia="仿宋"/>
                <w:sz w:val="21"/>
                <w:szCs w:val="21"/>
              </w:rPr>
            </w:pPr>
          </w:p>
        </w:tc>
        <w:tc>
          <w:tcPr>
            <w:tcW w:w="645" w:type="dxa"/>
            <w:vAlign w:val="center"/>
          </w:tcPr>
          <w:p>
            <w:pPr>
              <w:spacing w:line="240" w:lineRule="atLeast"/>
              <w:ind w:firstLine="420"/>
              <w:jc w:val="center"/>
              <w:rPr>
                <w:rFonts w:eastAsia="仿宋"/>
                <w:sz w:val="21"/>
                <w:szCs w:val="21"/>
              </w:rPr>
            </w:pPr>
          </w:p>
        </w:tc>
        <w:tc>
          <w:tcPr>
            <w:tcW w:w="945" w:type="dxa"/>
            <w:gridSpan w:val="2"/>
            <w:vAlign w:val="center"/>
          </w:tcPr>
          <w:p>
            <w:pPr>
              <w:spacing w:line="240" w:lineRule="atLeast"/>
              <w:ind w:firstLine="420"/>
              <w:jc w:val="center"/>
              <w:rPr>
                <w:rFonts w:eastAsia="仿宋"/>
                <w:sz w:val="21"/>
                <w:szCs w:val="21"/>
              </w:rPr>
            </w:pPr>
          </w:p>
        </w:tc>
        <w:tc>
          <w:tcPr>
            <w:tcW w:w="1095" w:type="dxa"/>
            <w:vAlign w:val="center"/>
          </w:tcPr>
          <w:p>
            <w:pPr>
              <w:spacing w:line="240" w:lineRule="atLeast"/>
              <w:ind w:firstLine="420"/>
              <w:jc w:val="center"/>
              <w:rPr>
                <w:rFonts w:eastAsia="仿宋"/>
                <w:sz w:val="21"/>
                <w:szCs w:val="21"/>
              </w:rPr>
            </w:pPr>
          </w:p>
        </w:tc>
        <w:tc>
          <w:tcPr>
            <w:tcW w:w="870" w:type="dxa"/>
            <w:vAlign w:val="center"/>
          </w:tcPr>
          <w:p>
            <w:pPr>
              <w:spacing w:line="240" w:lineRule="atLeast"/>
              <w:ind w:firstLine="420"/>
              <w:jc w:val="center"/>
              <w:rPr>
                <w:rFonts w:eastAsia="仿宋"/>
                <w:sz w:val="21"/>
                <w:szCs w:val="21"/>
              </w:rPr>
            </w:pPr>
          </w:p>
        </w:tc>
        <w:tc>
          <w:tcPr>
            <w:tcW w:w="1203" w:type="dxa"/>
            <w:vAlign w:val="center"/>
          </w:tcPr>
          <w:p>
            <w:pPr>
              <w:spacing w:line="240" w:lineRule="atLeast"/>
              <w:ind w:firstLine="420"/>
              <w:jc w:val="center"/>
              <w:rPr>
                <w:rFonts w:eastAsia="仿宋"/>
                <w:sz w:val="21"/>
                <w:szCs w:val="21"/>
              </w:rPr>
            </w:pPr>
          </w:p>
        </w:tc>
        <w:tc>
          <w:tcPr>
            <w:tcW w:w="1582" w:type="dxa"/>
            <w:vAlign w:val="center"/>
          </w:tcPr>
          <w:p>
            <w:pPr>
              <w:spacing w:line="240" w:lineRule="atLeast"/>
              <w:ind w:firstLine="420"/>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rPr>
            </w:pPr>
          </w:p>
        </w:tc>
        <w:tc>
          <w:tcPr>
            <w:tcW w:w="1958" w:type="dxa"/>
            <w:vAlign w:val="center"/>
          </w:tcPr>
          <w:p>
            <w:pPr>
              <w:spacing w:line="240" w:lineRule="atLeast"/>
              <w:ind w:firstLine="420"/>
              <w:jc w:val="center"/>
              <w:rPr>
                <w:rFonts w:eastAsia="仿宋"/>
                <w:sz w:val="21"/>
                <w:szCs w:val="21"/>
              </w:rPr>
            </w:pPr>
          </w:p>
        </w:tc>
        <w:tc>
          <w:tcPr>
            <w:tcW w:w="645" w:type="dxa"/>
            <w:vAlign w:val="center"/>
          </w:tcPr>
          <w:p>
            <w:pPr>
              <w:spacing w:line="240" w:lineRule="atLeast"/>
              <w:ind w:firstLine="420"/>
              <w:jc w:val="center"/>
              <w:rPr>
                <w:rFonts w:eastAsia="仿宋"/>
                <w:sz w:val="21"/>
                <w:szCs w:val="21"/>
              </w:rPr>
            </w:pPr>
          </w:p>
        </w:tc>
        <w:tc>
          <w:tcPr>
            <w:tcW w:w="945" w:type="dxa"/>
            <w:gridSpan w:val="2"/>
            <w:vAlign w:val="center"/>
          </w:tcPr>
          <w:p>
            <w:pPr>
              <w:spacing w:line="240" w:lineRule="atLeast"/>
              <w:ind w:firstLine="420"/>
              <w:jc w:val="center"/>
              <w:rPr>
                <w:rFonts w:eastAsia="仿宋"/>
                <w:sz w:val="21"/>
                <w:szCs w:val="21"/>
              </w:rPr>
            </w:pPr>
          </w:p>
        </w:tc>
        <w:tc>
          <w:tcPr>
            <w:tcW w:w="1095" w:type="dxa"/>
            <w:vAlign w:val="center"/>
          </w:tcPr>
          <w:p>
            <w:pPr>
              <w:spacing w:line="240" w:lineRule="atLeast"/>
              <w:ind w:firstLine="420"/>
              <w:jc w:val="center"/>
              <w:rPr>
                <w:rFonts w:eastAsia="仿宋"/>
                <w:sz w:val="21"/>
                <w:szCs w:val="21"/>
              </w:rPr>
            </w:pPr>
          </w:p>
        </w:tc>
        <w:tc>
          <w:tcPr>
            <w:tcW w:w="870" w:type="dxa"/>
            <w:vAlign w:val="center"/>
          </w:tcPr>
          <w:p>
            <w:pPr>
              <w:spacing w:line="240" w:lineRule="atLeast"/>
              <w:ind w:firstLine="420"/>
              <w:jc w:val="center"/>
              <w:rPr>
                <w:rFonts w:eastAsia="仿宋"/>
                <w:sz w:val="21"/>
                <w:szCs w:val="21"/>
              </w:rPr>
            </w:pPr>
          </w:p>
        </w:tc>
        <w:tc>
          <w:tcPr>
            <w:tcW w:w="1203" w:type="dxa"/>
            <w:vAlign w:val="center"/>
          </w:tcPr>
          <w:p>
            <w:pPr>
              <w:spacing w:line="240" w:lineRule="atLeast"/>
              <w:ind w:firstLine="420"/>
              <w:jc w:val="center"/>
              <w:rPr>
                <w:rFonts w:eastAsia="仿宋"/>
                <w:sz w:val="21"/>
                <w:szCs w:val="21"/>
              </w:rPr>
            </w:pPr>
          </w:p>
        </w:tc>
        <w:tc>
          <w:tcPr>
            <w:tcW w:w="1582" w:type="dxa"/>
            <w:vAlign w:val="center"/>
          </w:tcPr>
          <w:p>
            <w:pPr>
              <w:spacing w:line="240" w:lineRule="atLeast"/>
              <w:ind w:firstLine="420"/>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rPr>
            </w:pPr>
          </w:p>
        </w:tc>
        <w:tc>
          <w:tcPr>
            <w:tcW w:w="1958" w:type="dxa"/>
            <w:vAlign w:val="center"/>
          </w:tcPr>
          <w:p>
            <w:pPr>
              <w:spacing w:line="240" w:lineRule="atLeast"/>
              <w:ind w:firstLine="420"/>
              <w:jc w:val="center"/>
              <w:rPr>
                <w:rFonts w:eastAsia="仿宋"/>
                <w:sz w:val="21"/>
                <w:szCs w:val="21"/>
              </w:rPr>
            </w:pPr>
          </w:p>
        </w:tc>
        <w:tc>
          <w:tcPr>
            <w:tcW w:w="645" w:type="dxa"/>
            <w:vAlign w:val="center"/>
          </w:tcPr>
          <w:p>
            <w:pPr>
              <w:spacing w:line="240" w:lineRule="atLeast"/>
              <w:ind w:firstLine="420"/>
              <w:jc w:val="center"/>
              <w:rPr>
                <w:rFonts w:eastAsia="仿宋"/>
                <w:sz w:val="21"/>
                <w:szCs w:val="21"/>
              </w:rPr>
            </w:pPr>
          </w:p>
        </w:tc>
        <w:tc>
          <w:tcPr>
            <w:tcW w:w="945" w:type="dxa"/>
            <w:gridSpan w:val="2"/>
            <w:vAlign w:val="center"/>
          </w:tcPr>
          <w:p>
            <w:pPr>
              <w:spacing w:line="240" w:lineRule="atLeast"/>
              <w:ind w:firstLine="420"/>
              <w:jc w:val="center"/>
              <w:rPr>
                <w:rFonts w:eastAsia="仿宋"/>
                <w:sz w:val="21"/>
                <w:szCs w:val="21"/>
              </w:rPr>
            </w:pPr>
          </w:p>
        </w:tc>
        <w:tc>
          <w:tcPr>
            <w:tcW w:w="1095" w:type="dxa"/>
            <w:vAlign w:val="center"/>
          </w:tcPr>
          <w:p>
            <w:pPr>
              <w:spacing w:line="240" w:lineRule="atLeast"/>
              <w:ind w:firstLine="420"/>
              <w:jc w:val="center"/>
              <w:rPr>
                <w:rFonts w:eastAsia="仿宋"/>
                <w:sz w:val="21"/>
                <w:szCs w:val="21"/>
              </w:rPr>
            </w:pPr>
          </w:p>
        </w:tc>
        <w:tc>
          <w:tcPr>
            <w:tcW w:w="870" w:type="dxa"/>
            <w:vAlign w:val="center"/>
          </w:tcPr>
          <w:p>
            <w:pPr>
              <w:spacing w:line="240" w:lineRule="atLeast"/>
              <w:ind w:firstLine="420"/>
              <w:jc w:val="center"/>
              <w:rPr>
                <w:rFonts w:eastAsia="仿宋"/>
                <w:sz w:val="21"/>
                <w:szCs w:val="21"/>
              </w:rPr>
            </w:pPr>
          </w:p>
        </w:tc>
        <w:tc>
          <w:tcPr>
            <w:tcW w:w="1203" w:type="dxa"/>
            <w:vAlign w:val="center"/>
          </w:tcPr>
          <w:p>
            <w:pPr>
              <w:spacing w:line="240" w:lineRule="atLeast"/>
              <w:ind w:firstLine="420"/>
              <w:jc w:val="center"/>
              <w:rPr>
                <w:rFonts w:eastAsia="仿宋"/>
                <w:sz w:val="21"/>
                <w:szCs w:val="21"/>
              </w:rPr>
            </w:pPr>
          </w:p>
        </w:tc>
        <w:tc>
          <w:tcPr>
            <w:tcW w:w="1582" w:type="dxa"/>
            <w:vAlign w:val="center"/>
          </w:tcPr>
          <w:p>
            <w:pPr>
              <w:spacing w:line="240" w:lineRule="atLeast"/>
              <w:ind w:firstLine="420"/>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pPr>
              <w:spacing w:line="240" w:lineRule="atLeast"/>
              <w:ind w:firstLine="420"/>
              <w:rPr>
                <w:rFonts w:eastAsia="仿宋"/>
                <w:sz w:val="21"/>
                <w:szCs w:val="21"/>
              </w:rPr>
            </w:pPr>
            <w:r>
              <w:rPr>
                <w:rFonts w:eastAsia="仿宋"/>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pPr>
              <w:spacing w:line="240" w:lineRule="atLeast"/>
              <w:ind w:firstLine="420"/>
              <w:rPr>
                <w:rFonts w:eastAsia="仿宋"/>
                <w:sz w:val="21"/>
                <w:szCs w:val="21"/>
              </w:rPr>
            </w:pPr>
            <w:r>
              <w:rPr>
                <w:rFonts w:eastAsia="仿宋"/>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28" w:type="dxa"/>
            <w:gridSpan w:val="9"/>
          </w:tcPr>
          <w:p>
            <w:pPr>
              <w:spacing w:line="240" w:lineRule="atLeast"/>
              <w:ind w:firstLine="420"/>
              <w:rPr>
                <w:rFonts w:eastAsia="仿宋"/>
                <w:sz w:val="21"/>
                <w:szCs w:val="21"/>
              </w:rPr>
            </w:pPr>
            <w:r>
              <w:rPr>
                <w:rFonts w:eastAsia="仿宋"/>
                <w:sz w:val="21"/>
                <w:szCs w:val="21"/>
              </w:rPr>
              <w:t>一、质量要求和技术标准。供方提供的商品必须是全新，完全符合国家有关技术标准，供方</w:t>
            </w:r>
            <w:r>
              <w:rPr>
                <w:rFonts w:hint="eastAsia" w:eastAsia="仿宋"/>
                <w:sz w:val="21"/>
                <w:szCs w:val="21"/>
              </w:rPr>
              <w:t>对</w:t>
            </w:r>
            <w:r>
              <w:rPr>
                <w:rFonts w:eastAsia="仿宋"/>
                <w:sz w:val="21"/>
                <w:szCs w:val="21"/>
              </w:rPr>
              <w:t>质量保证及售后服务承诺如下：</w:t>
            </w:r>
          </w:p>
          <w:p>
            <w:pPr>
              <w:spacing w:line="240" w:lineRule="atLeast"/>
              <w:ind w:firstLine="420"/>
              <w:rPr>
                <w:rFonts w:eastAsia="仿宋"/>
                <w:sz w:val="21"/>
                <w:szCs w:val="21"/>
              </w:rPr>
            </w:pPr>
            <w:r>
              <w:rPr>
                <w:rFonts w:eastAsia="仿宋"/>
                <w:sz w:val="21"/>
                <w:szCs w:val="21"/>
              </w:rPr>
              <w:t>1、质保期限：</w:t>
            </w:r>
          </w:p>
          <w:p>
            <w:pPr>
              <w:spacing w:line="240" w:lineRule="atLeast"/>
              <w:ind w:firstLine="420"/>
              <w:rPr>
                <w:rFonts w:eastAsia="仿宋"/>
                <w:sz w:val="21"/>
                <w:szCs w:val="21"/>
              </w:rPr>
            </w:pPr>
            <w:r>
              <w:rPr>
                <w:rFonts w:eastAsia="仿宋"/>
                <w:sz w:val="21"/>
                <w:szCs w:val="21"/>
              </w:rPr>
              <w:t>2、</w:t>
            </w:r>
            <w:r>
              <w:rPr>
                <w:rFonts w:hint="eastAsia" w:eastAsia="仿宋"/>
                <w:sz w:val="21"/>
                <w:szCs w:val="21"/>
              </w:rPr>
              <w:t>质保</w:t>
            </w:r>
            <w:r>
              <w:rPr>
                <w:rFonts w:eastAsia="仿宋"/>
                <w:sz w:val="21"/>
                <w:szCs w:val="21"/>
              </w:rPr>
              <w:t>范围：</w:t>
            </w:r>
          </w:p>
          <w:p>
            <w:pPr>
              <w:spacing w:line="240" w:lineRule="atLeast"/>
              <w:ind w:firstLine="420"/>
              <w:rPr>
                <w:rFonts w:eastAsia="仿宋"/>
                <w:sz w:val="21"/>
                <w:szCs w:val="21"/>
              </w:rPr>
            </w:pPr>
            <w:r>
              <w:rPr>
                <w:rFonts w:eastAsia="仿宋"/>
                <w:sz w:val="21"/>
                <w:szCs w:val="21"/>
              </w:rPr>
              <w:t>3、服务措施：</w:t>
            </w:r>
          </w:p>
          <w:p>
            <w:pPr>
              <w:spacing w:line="240" w:lineRule="atLeast"/>
              <w:ind w:firstLine="420"/>
              <w:rPr>
                <w:rFonts w:eastAsia="仿宋"/>
                <w:sz w:val="21"/>
                <w:szCs w:val="21"/>
              </w:rPr>
            </w:pPr>
            <w:r>
              <w:rPr>
                <w:rFonts w:eastAsia="仿宋"/>
                <w:sz w:val="21"/>
                <w:szCs w:val="21"/>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tcPr>
          <w:p>
            <w:pPr>
              <w:spacing w:line="240" w:lineRule="atLeast"/>
              <w:ind w:firstLine="420"/>
              <w:rPr>
                <w:rFonts w:eastAsia="仿宋"/>
                <w:sz w:val="21"/>
                <w:szCs w:val="21"/>
              </w:rPr>
            </w:pPr>
            <w:r>
              <w:rPr>
                <w:rFonts w:eastAsia="仿宋"/>
                <w:sz w:val="21"/>
                <w:szCs w:val="21"/>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tcPr>
          <w:p>
            <w:pPr>
              <w:spacing w:line="240" w:lineRule="atLeast"/>
              <w:ind w:firstLine="420"/>
              <w:rPr>
                <w:rFonts w:eastAsia="仿宋"/>
                <w:sz w:val="21"/>
                <w:szCs w:val="21"/>
              </w:rPr>
            </w:pPr>
            <w:r>
              <w:rPr>
                <w:rFonts w:eastAsia="仿宋"/>
                <w:sz w:val="21"/>
                <w:szCs w:val="21"/>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pPr>
              <w:spacing w:line="240" w:lineRule="atLeast"/>
              <w:ind w:firstLine="420"/>
              <w:rPr>
                <w:rFonts w:eastAsia="仿宋"/>
                <w:sz w:val="21"/>
                <w:szCs w:val="21"/>
              </w:rPr>
            </w:pPr>
            <w:r>
              <w:rPr>
                <w:rFonts w:eastAsia="仿宋"/>
                <w:sz w:val="21"/>
                <w:szCs w:val="21"/>
              </w:rPr>
              <w:t>四、验收标准、方法：</w:t>
            </w:r>
          </w:p>
          <w:p>
            <w:pPr>
              <w:spacing w:line="240" w:lineRule="atLeast"/>
              <w:ind w:firstLine="420"/>
              <w:rPr>
                <w:rFonts w:eastAsia="仿宋"/>
                <w:sz w:val="21"/>
                <w:szCs w:val="21"/>
              </w:rPr>
            </w:pPr>
            <w:r>
              <w:rPr>
                <w:rFonts w:eastAsia="仿宋"/>
                <w:sz w:val="21"/>
                <w:szCs w:val="21"/>
              </w:rPr>
              <w:t>如</w:t>
            </w:r>
            <w:r>
              <w:rPr>
                <w:rFonts w:hint="eastAsia" w:eastAsia="仿宋"/>
                <w:sz w:val="21"/>
                <w:szCs w:val="21"/>
              </w:rPr>
              <w:t>对验收结果</w:t>
            </w:r>
            <w:r>
              <w:rPr>
                <w:rFonts w:eastAsia="仿宋"/>
                <w:sz w:val="21"/>
                <w:szCs w:val="21"/>
              </w:rPr>
              <w:t>有异议，请于      日内</w:t>
            </w:r>
            <w:r>
              <w:rPr>
                <w:rFonts w:hint="eastAsia" w:eastAsia="仿宋"/>
                <w:sz w:val="21"/>
                <w:szCs w:val="21"/>
              </w:rPr>
              <w:t>向甲方书面</w:t>
            </w:r>
            <w:r>
              <w:rPr>
                <w:rFonts w:eastAsia="仿宋"/>
                <w:sz w:val="21"/>
                <w:szCs w:val="21"/>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ind w:firstLine="420"/>
              <w:rPr>
                <w:rFonts w:eastAsia="仿宋"/>
                <w:sz w:val="21"/>
                <w:szCs w:val="21"/>
              </w:rPr>
            </w:pPr>
            <w:r>
              <w:rPr>
                <w:rFonts w:eastAsia="仿宋"/>
                <w:sz w:val="21"/>
                <w:szCs w:val="21"/>
              </w:rPr>
              <w:t>五、付款方式：</w:t>
            </w:r>
          </w:p>
          <w:p>
            <w:pPr>
              <w:pStyle w:val="12"/>
              <w:spacing w:line="240" w:lineRule="atLeast"/>
              <w:ind w:firstLine="420"/>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ind w:firstLine="420"/>
              <w:rPr>
                <w:rFonts w:eastAsia="仿宋"/>
                <w:sz w:val="21"/>
                <w:szCs w:val="21"/>
              </w:rPr>
            </w:pPr>
            <w:r>
              <w:rPr>
                <w:rFonts w:eastAsia="仿宋"/>
                <w:sz w:val="21"/>
                <w:szCs w:val="21"/>
              </w:rPr>
              <w:t>六、违约责任：</w:t>
            </w:r>
          </w:p>
          <w:p>
            <w:pPr>
              <w:spacing w:line="240" w:lineRule="atLeast"/>
              <w:ind w:firstLine="420"/>
              <w:rPr>
                <w:rFonts w:eastAsia="仿宋"/>
                <w:sz w:val="21"/>
                <w:szCs w:val="21"/>
              </w:rPr>
            </w:pPr>
            <w:r>
              <w:rPr>
                <w:rFonts w:eastAsia="仿宋"/>
                <w:sz w:val="21"/>
                <w:szCs w:val="21"/>
              </w:rPr>
              <w:t>按《中华人民共和国民法</w:t>
            </w:r>
            <w:r>
              <w:rPr>
                <w:rFonts w:hint="eastAsia" w:eastAsia="仿宋"/>
                <w:sz w:val="21"/>
                <w:szCs w:val="21"/>
              </w:rPr>
              <w:t>典</w:t>
            </w:r>
            <w:r>
              <w:rPr>
                <w:rFonts w:eastAsia="仿宋"/>
                <w:sz w:val="21"/>
                <w:szCs w:val="21"/>
              </w:rPr>
              <w:t>》执行，或按双方约定。(按项目实际情况完整填写)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pPr>
              <w:spacing w:line="240" w:lineRule="atLeast"/>
              <w:ind w:firstLine="420"/>
              <w:rPr>
                <w:rFonts w:eastAsia="仿宋"/>
                <w:sz w:val="21"/>
                <w:szCs w:val="21"/>
              </w:rPr>
            </w:pPr>
            <w:r>
              <w:rPr>
                <w:rFonts w:eastAsia="仿宋"/>
                <w:sz w:val="21"/>
                <w:szCs w:val="21"/>
              </w:rPr>
              <w:t>七、其他约定事项：</w:t>
            </w:r>
          </w:p>
          <w:p>
            <w:pPr>
              <w:spacing w:line="240" w:lineRule="atLeast"/>
              <w:ind w:firstLine="420"/>
              <w:rPr>
                <w:rFonts w:eastAsia="仿宋"/>
                <w:sz w:val="21"/>
                <w:szCs w:val="21"/>
              </w:rPr>
            </w:pPr>
            <w:r>
              <w:rPr>
                <w:rFonts w:eastAsia="仿宋"/>
                <w:sz w:val="21"/>
                <w:szCs w:val="21"/>
              </w:rPr>
              <w:t>1.</w:t>
            </w:r>
            <w:r>
              <w:rPr>
                <w:rFonts w:hint="eastAsia" w:eastAsia="仿宋"/>
                <w:sz w:val="21"/>
                <w:szCs w:val="21"/>
              </w:rPr>
              <w:t>采购</w:t>
            </w:r>
            <w:r>
              <w:rPr>
                <w:rFonts w:eastAsia="仿宋"/>
                <w:sz w:val="21"/>
                <w:szCs w:val="21"/>
              </w:rPr>
              <w:t>文件及其补遗文件、</w:t>
            </w:r>
            <w:r>
              <w:rPr>
                <w:rFonts w:hint="eastAsia" w:eastAsia="仿宋"/>
                <w:sz w:val="21"/>
                <w:szCs w:val="21"/>
              </w:rPr>
              <w:t>响应</w:t>
            </w:r>
            <w:r>
              <w:rPr>
                <w:rFonts w:eastAsia="仿宋"/>
                <w:sz w:val="21"/>
                <w:szCs w:val="21"/>
              </w:rPr>
              <w:t>文件和承诺是本合同不可分割的部分</w:t>
            </w:r>
            <w:r>
              <w:rPr>
                <w:rFonts w:hint="eastAsia" w:eastAsia="仿宋"/>
                <w:sz w:val="21"/>
                <w:szCs w:val="21"/>
              </w:rPr>
              <w:t>。</w:t>
            </w:r>
          </w:p>
          <w:p>
            <w:pPr>
              <w:spacing w:line="240" w:lineRule="atLeast"/>
              <w:ind w:firstLine="420"/>
              <w:rPr>
                <w:rFonts w:eastAsia="仿宋"/>
                <w:sz w:val="21"/>
                <w:szCs w:val="21"/>
              </w:rPr>
            </w:pPr>
            <w:r>
              <w:rPr>
                <w:rFonts w:hint="eastAsia" w:eastAsia="仿宋"/>
                <w:sz w:val="21"/>
                <w:szCs w:val="21"/>
              </w:rPr>
              <w:t>2.本合同不得分包或转包。</w:t>
            </w:r>
          </w:p>
          <w:p>
            <w:pPr>
              <w:spacing w:line="240" w:lineRule="atLeast"/>
              <w:ind w:firstLine="420"/>
              <w:rPr>
                <w:rFonts w:eastAsia="仿宋"/>
                <w:sz w:val="21"/>
                <w:szCs w:val="21"/>
              </w:rPr>
            </w:pPr>
            <w:r>
              <w:rPr>
                <w:rFonts w:hint="eastAsia" w:eastAsia="仿宋"/>
                <w:sz w:val="21"/>
                <w:szCs w:val="21"/>
              </w:rPr>
              <w:t>3</w:t>
            </w:r>
            <w:r>
              <w:rPr>
                <w:rFonts w:eastAsia="仿宋"/>
                <w:sz w:val="21"/>
                <w:szCs w:val="21"/>
              </w:rPr>
              <w:t>.本合同如发生争议由双方协商解决，协商不成向</w:t>
            </w:r>
            <w:r>
              <w:rPr>
                <w:rFonts w:hint="eastAsia" w:eastAsia="仿宋"/>
                <w:sz w:val="21"/>
                <w:szCs w:val="21"/>
              </w:rPr>
              <w:t>需方</w:t>
            </w:r>
            <w:r>
              <w:rPr>
                <w:rFonts w:eastAsia="仿宋"/>
                <w:sz w:val="21"/>
                <w:szCs w:val="21"/>
              </w:rPr>
              <w:t>所在人民法院提请诉讼。</w:t>
            </w:r>
          </w:p>
          <w:p>
            <w:pPr>
              <w:spacing w:line="240" w:lineRule="atLeast"/>
              <w:ind w:firstLine="420"/>
              <w:rPr>
                <w:rFonts w:eastAsia="仿宋"/>
                <w:sz w:val="21"/>
                <w:szCs w:val="21"/>
              </w:rPr>
            </w:pPr>
            <w:r>
              <w:rPr>
                <w:rFonts w:hint="eastAsia" w:eastAsia="仿宋"/>
                <w:sz w:val="21"/>
                <w:szCs w:val="21"/>
              </w:rPr>
              <w:t>4</w:t>
            </w:r>
            <w:r>
              <w:rPr>
                <w:rFonts w:eastAsia="仿宋"/>
                <w:sz w:val="21"/>
                <w:szCs w:val="21"/>
              </w:rPr>
              <w:t>.本合同一式__份， 需方__份，供方__份，具备同等法律效力。</w:t>
            </w:r>
          </w:p>
          <w:p>
            <w:pPr>
              <w:spacing w:line="240" w:lineRule="atLeast"/>
              <w:ind w:firstLine="420"/>
              <w:rPr>
                <w:rFonts w:eastAsia="仿宋"/>
                <w:sz w:val="21"/>
                <w:szCs w:val="21"/>
              </w:rPr>
            </w:pPr>
            <w:r>
              <w:rPr>
                <w:rFonts w:hint="eastAsia" w:eastAsia="仿宋"/>
                <w:sz w:val="21"/>
                <w:szCs w:val="21"/>
              </w:rPr>
              <w:t>5</w:t>
            </w:r>
            <w:r>
              <w:rPr>
                <w:rFonts w:eastAsia="仿宋"/>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tcPr>
          <w:p>
            <w:pPr>
              <w:spacing w:line="240" w:lineRule="atLeast"/>
              <w:ind w:firstLine="420"/>
              <w:rPr>
                <w:rFonts w:eastAsia="仿宋"/>
                <w:sz w:val="21"/>
                <w:szCs w:val="21"/>
              </w:rPr>
            </w:pPr>
            <w:r>
              <w:rPr>
                <w:rFonts w:eastAsia="仿宋"/>
                <w:sz w:val="21"/>
                <w:szCs w:val="21"/>
              </w:rPr>
              <w:t>需方：</w:t>
            </w:r>
          </w:p>
          <w:p>
            <w:pPr>
              <w:spacing w:line="240" w:lineRule="atLeast"/>
              <w:ind w:firstLine="420"/>
              <w:rPr>
                <w:rFonts w:eastAsia="仿宋"/>
                <w:sz w:val="21"/>
                <w:szCs w:val="21"/>
              </w:rPr>
            </w:pPr>
            <w:r>
              <w:rPr>
                <w:rFonts w:eastAsia="仿宋"/>
                <w:sz w:val="21"/>
                <w:szCs w:val="21"/>
              </w:rPr>
              <w:t>地址：</w:t>
            </w:r>
          </w:p>
          <w:p>
            <w:pPr>
              <w:spacing w:line="240" w:lineRule="atLeast"/>
              <w:ind w:firstLine="420"/>
              <w:rPr>
                <w:rFonts w:eastAsia="仿宋"/>
                <w:sz w:val="21"/>
                <w:szCs w:val="21"/>
              </w:rPr>
            </w:pPr>
            <w:r>
              <w:rPr>
                <w:rFonts w:eastAsia="仿宋"/>
                <w:sz w:val="21"/>
                <w:szCs w:val="21"/>
              </w:rPr>
              <w:t>联系电话：</w:t>
            </w:r>
          </w:p>
          <w:p>
            <w:pPr>
              <w:spacing w:line="240" w:lineRule="atLeast"/>
              <w:ind w:firstLine="420"/>
              <w:rPr>
                <w:rFonts w:eastAsia="仿宋"/>
                <w:sz w:val="21"/>
                <w:szCs w:val="21"/>
              </w:rPr>
            </w:pPr>
            <w:r>
              <w:rPr>
                <w:rFonts w:eastAsia="仿宋"/>
                <w:sz w:val="21"/>
                <w:szCs w:val="21"/>
              </w:rPr>
              <w:t>授权代表：</w:t>
            </w:r>
          </w:p>
        </w:tc>
        <w:tc>
          <w:tcPr>
            <w:tcW w:w="5267" w:type="dxa"/>
            <w:gridSpan w:val="5"/>
          </w:tcPr>
          <w:p>
            <w:pPr>
              <w:spacing w:line="240" w:lineRule="atLeast"/>
              <w:ind w:firstLine="420"/>
              <w:rPr>
                <w:rFonts w:eastAsia="仿宋"/>
                <w:sz w:val="21"/>
                <w:szCs w:val="21"/>
              </w:rPr>
            </w:pPr>
            <w:r>
              <w:rPr>
                <w:rFonts w:eastAsia="仿宋"/>
                <w:sz w:val="21"/>
                <w:szCs w:val="21"/>
              </w:rPr>
              <w:t>供方：</w:t>
            </w:r>
          </w:p>
          <w:p>
            <w:pPr>
              <w:spacing w:line="240" w:lineRule="atLeast"/>
              <w:ind w:firstLine="420"/>
              <w:rPr>
                <w:rFonts w:eastAsia="仿宋"/>
                <w:sz w:val="21"/>
                <w:szCs w:val="21"/>
              </w:rPr>
            </w:pPr>
            <w:r>
              <w:rPr>
                <w:rFonts w:eastAsia="仿宋"/>
                <w:sz w:val="21"/>
                <w:szCs w:val="21"/>
              </w:rPr>
              <w:t>地址：</w:t>
            </w:r>
          </w:p>
          <w:p>
            <w:pPr>
              <w:spacing w:line="240" w:lineRule="atLeast"/>
              <w:ind w:firstLine="420"/>
              <w:rPr>
                <w:rFonts w:eastAsia="仿宋"/>
                <w:sz w:val="21"/>
                <w:szCs w:val="21"/>
              </w:rPr>
            </w:pPr>
            <w:r>
              <w:rPr>
                <w:rFonts w:eastAsia="仿宋"/>
                <w:sz w:val="21"/>
                <w:szCs w:val="21"/>
              </w:rPr>
              <w:t>电话：</w:t>
            </w:r>
          </w:p>
          <w:p>
            <w:pPr>
              <w:spacing w:line="240" w:lineRule="atLeast"/>
              <w:ind w:firstLine="420"/>
              <w:rPr>
                <w:rFonts w:eastAsia="仿宋"/>
                <w:sz w:val="21"/>
                <w:szCs w:val="21"/>
              </w:rPr>
            </w:pPr>
            <w:r>
              <w:rPr>
                <w:rFonts w:eastAsia="仿宋"/>
                <w:sz w:val="21"/>
                <w:szCs w:val="21"/>
              </w:rPr>
              <w:t>传真：</w:t>
            </w:r>
          </w:p>
          <w:p>
            <w:pPr>
              <w:spacing w:line="240" w:lineRule="atLeast"/>
              <w:ind w:firstLine="420"/>
              <w:rPr>
                <w:rFonts w:eastAsia="仿宋"/>
                <w:sz w:val="21"/>
                <w:szCs w:val="21"/>
              </w:rPr>
            </w:pPr>
            <w:r>
              <w:rPr>
                <w:rFonts w:eastAsia="仿宋"/>
                <w:sz w:val="21"/>
                <w:szCs w:val="21"/>
              </w:rPr>
              <w:t>开户银行：</w:t>
            </w:r>
          </w:p>
          <w:p>
            <w:pPr>
              <w:spacing w:line="240" w:lineRule="atLeast"/>
              <w:ind w:firstLine="420"/>
              <w:rPr>
                <w:rFonts w:eastAsia="仿宋"/>
                <w:sz w:val="21"/>
                <w:szCs w:val="21"/>
              </w:rPr>
            </w:pPr>
            <w:r>
              <w:rPr>
                <w:rFonts w:eastAsia="仿宋"/>
                <w:sz w:val="21"/>
                <w:szCs w:val="21"/>
              </w:rPr>
              <w:t>账号：</w:t>
            </w:r>
          </w:p>
          <w:p>
            <w:pPr>
              <w:spacing w:line="240" w:lineRule="atLeast"/>
              <w:ind w:firstLine="420"/>
              <w:rPr>
                <w:rFonts w:eastAsia="仿宋"/>
                <w:sz w:val="21"/>
                <w:szCs w:val="21"/>
              </w:rPr>
            </w:pPr>
            <w:r>
              <w:rPr>
                <w:rFonts w:eastAsia="仿宋"/>
                <w:sz w:val="21"/>
                <w:szCs w:val="21"/>
              </w:rPr>
              <w:t>授权代表：</w:t>
            </w:r>
          </w:p>
          <w:p>
            <w:pPr>
              <w:widowControl/>
              <w:spacing w:line="240" w:lineRule="atLeast"/>
              <w:ind w:firstLine="420"/>
              <w:jc w:val="left"/>
              <w:rPr>
                <w:rFonts w:eastAsia="仿宋"/>
                <w:sz w:val="21"/>
                <w:szCs w:val="21"/>
              </w:rPr>
            </w:pPr>
          </w:p>
          <w:p>
            <w:pPr>
              <w:spacing w:line="240" w:lineRule="atLeast"/>
              <w:ind w:firstLine="420"/>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pPr>
              <w:spacing w:line="240" w:lineRule="atLeast"/>
              <w:ind w:firstLine="420"/>
              <w:rPr>
                <w:rFonts w:eastAsia="仿宋"/>
                <w:sz w:val="21"/>
                <w:szCs w:val="21"/>
              </w:rPr>
            </w:pPr>
            <w:r>
              <w:rPr>
                <w:rFonts w:eastAsia="仿宋"/>
                <w:sz w:val="21"/>
                <w:szCs w:val="21"/>
              </w:rPr>
              <w:t>备注：</w:t>
            </w:r>
          </w:p>
          <w:p>
            <w:pPr>
              <w:spacing w:line="240" w:lineRule="atLeast"/>
              <w:ind w:firstLine="420"/>
              <w:rPr>
                <w:rFonts w:eastAsia="仿宋"/>
                <w:sz w:val="21"/>
                <w:szCs w:val="21"/>
              </w:rPr>
            </w:pPr>
          </w:p>
          <w:p>
            <w:pPr>
              <w:spacing w:line="240" w:lineRule="atLeast"/>
              <w:ind w:firstLine="420"/>
              <w:rPr>
                <w:rFonts w:eastAsia="仿宋"/>
                <w:sz w:val="21"/>
                <w:szCs w:val="21"/>
              </w:rPr>
            </w:pPr>
          </w:p>
        </w:tc>
      </w:tr>
    </w:tbl>
    <w:p>
      <w:pPr>
        <w:spacing w:line="500" w:lineRule="exact"/>
        <w:ind w:firstLine="480" w:firstLineChars="200"/>
        <w:rPr>
          <w:rFonts w:eastAsia="仿宋"/>
        </w:rPr>
      </w:pPr>
      <w:r>
        <w:rPr>
          <w:rFonts w:eastAsia="仿宋"/>
        </w:rPr>
        <w:t>签约时间：           年   月   日      签约地点：</w:t>
      </w:r>
    </w:p>
    <w:p>
      <w:pPr>
        <w:pStyle w:val="2"/>
        <w:tabs>
          <w:tab w:val="left" w:pos="3360"/>
        </w:tabs>
        <w:spacing w:line="500" w:lineRule="exact"/>
        <w:ind w:firstLine="482"/>
        <w:rPr>
          <w:rFonts w:eastAsia="方正仿宋_GBK"/>
          <w:bCs/>
          <w:sz w:val="24"/>
        </w:rPr>
      </w:pPr>
    </w:p>
    <w:p>
      <w:pPr>
        <w:spacing w:line="560" w:lineRule="exact"/>
        <w:ind w:firstLine="480"/>
        <w:rPr>
          <w:rFonts w:eastAsia="仿宋"/>
          <w:b/>
          <w:kern w:val="0"/>
        </w:rPr>
      </w:pPr>
      <w:r>
        <w:rPr>
          <w:rFonts w:eastAsia="方正仿宋_GBK"/>
        </w:rPr>
        <w:br w:type="page"/>
      </w:r>
      <w:r>
        <w:rPr>
          <w:rFonts w:hint="eastAsia" w:eastAsia="仿宋"/>
          <w:b/>
          <w:kern w:val="0"/>
        </w:rPr>
        <w:t>三、廉政合同（格式）</w:t>
      </w:r>
    </w:p>
    <w:p>
      <w:pPr>
        <w:spacing w:line="500" w:lineRule="exact"/>
        <w:ind w:firstLine="883"/>
        <w:jc w:val="center"/>
        <w:rPr>
          <w:rFonts w:eastAsia="仿宋"/>
          <w:b/>
          <w:sz w:val="44"/>
        </w:rPr>
      </w:pPr>
      <w:r>
        <w:rPr>
          <w:rFonts w:hint="eastAsia" w:eastAsia="仿宋"/>
          <w:b/>
          <w:sz w:val="44"/>
        </w:rPr>
        <w:t>重庆市沙坪坝区人民医院</w:t>
      </w:r>
    </w:p>
    <w:p>
      <w:pPr>
        <w:spacing w:line="500" w:lineRule="exact"/>
        <w:ind w:firstLine="883"/>
        <w:jc w:val="center"/>
        <w:rPr>
          <w:rFonts w:eastAsia="仿宋"/>
          <w:b/>
          <w:sz w:val="44"/>
        </w:rPr>
      </w:pPr>
      <w:r>
        <w:rPr>
          <w:rFonts w:hint="eastAsia" w:eastAsia="仿宋"/>
          <w:b/>
          <w:sz w:val="44"/>
        </w:rPr>
        <w:t>廉政合同</w:t>
      </w:r>
    </w:p>
    <w:p>
      <w:pPr>
        <w:tabs>
          <w:tab w:val="left" w:pos="6300"/>
        </w:tabs>
        <w:snapToGrid w:val="0"/>
        <w:spacing w:line="500" w:lineRule="exact"/>
        <w:ind w:firstLine="560" w:firstLineChars="200"/>
        <w:rPr>
          <w:rFonts w:ascii="方正仿宋_GBK" w:hAnsi="仿宋" w:eastAsia="方正仿宋_GBK"/>
          <w:sz w:val="28"/>
          <w:szCs w:val="28"/>
        </w:rPr>
      </w:pP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甲方：重庆市沙坪坝区人民医院</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 xml:space="preserve">乙方：                      </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为扎实有效地杜绝采购领域中的商业贿赂，认真推进行风建设，规范货物类、服务类、工程类采购行为，重庆市沙坪坝区人民医院（以下简称甲方）与                      公司（以下简称乙方），签定廉政合同书，双方必须遵照执行。</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一、甲乙双方共同遵守的条款：</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1．甲、乙双方必须严格遵守国家法律、法规政策及各项廉政规定，恪守职业道德规范。</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2．甲、乙双方在货物类、服务类、工程类采购行为中，必须严格遵守招投标法规定的原则、方式、程序，保证公平、公正、公开。</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3．甲、乙双方不得相互串通，损害国家利益、单位利益，社会公共利益及其他当事人的合法权益。</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4．甲方工作人员及其配偶、子女不得以任何形式或名义索要、接受乙方的现金、有价证券、支付凭证和其他馈赠礼品。乙方不得以任何形式或名义向甲方工作人员及其配偶、子女、评标人员赠送现金、有价证券、支付凭证和礼品或采取其他不正当手段达到中标目的。</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5．甲方工作人员及其配偶、子女不得以任何形式或者名义接受乙方的宴请、请钓、旅游、健身和其他娱乐活动。乙方不得以任何形式或名义邀请甲方或丙方工作人员及其配偶、子女请吃、请钓、旅游、健身和其他娱乐活动。</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6．甲方工作人员及其配偶、子女不得以打“业务牌”等形式变相接受乙方的钱物。乙方不得以打“业务牌”的形式向甲方工作人员及其配偶、子女变相送钱物。</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7．甲方工作人员及其配偶、子女不得在乙方报销应由个人支付的费用或领取报酬。乙方不得为甲方工作人员及其配偶、子女报销应由个人支付的费用或发放报酬。</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二、甲乙双方的违约责任：</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1．甲方发生违约行为，一经查实将视情节轻重对直接责任人进行严肃处理。如情节严重的将移交上级部门或司法机关处理。</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2．乙方发生违约行为，甲方将立即解除合同。同时上报相关部门，取消供货资格，并将其列入“黑名单”，三年内不得参与沙坪坝区人民医院一切货物类、服务类、工程类购销活动。</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三、甲、乙双方所签定的廉政合同的时效与采购合同时效等同。</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 xml:space="preserve">四、本合同一式二份，甲、乙各执一份。 </w:t>
      </w:r>
    </w:p>
    <w:p>
      <w:pPr>
        <w:tabs>
          <w:tab w:val="left" w:pos="6300"/>
        </w:tabs>
        <w:snapToGrid w:val="0"/>
        <w:spacing w:line="500" w:lineRule="exact"/>
        <w:ind w:firstLine="560" w:firstLineChars="200"/>
        <w:rPr>
          <w:rFonts w:ascii="方正仿宋_GBK" w:hAnsi="仿宋" w:eastAsia="方正仿宋_GBK"/>
          <w:sz w:val="28"/>
          <w:szCs w:val="28"/>
        </w:rPr>
      </w:pP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甲方单位（部门）：                乙方单位：</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负 责 人：                       负 责 人：</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经 办 人：                       经 办 人（销售代表）：</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签订时间：                       签订时间：</w:t>
      </w:r>
    </w:p>
    <w:p>
      <w:pPr>
        <w:spacing w:line="560" w:lineRule="exact"/>
        <w:ind w:firstLine="880"/>
        <w:jc w:val="center"/>
        <w:rPr>
          <w:rFonts w:ascii="方正黑体_GBK" w:hAnsi="方正黑体_GBK" w:eastAsia="方正黑体_GBK" w:cs="方正黑体_GBK"/>
          <w:kern w:val="44"/>
          <w:sz w:val="44"/>
        </w:rPr>
      </w:pPr>
    </w:p>
    <w:p>
      <w:pPr>
        <w:spacing w:line="560" w:lineRule="exact"/>
        <w:ind w:firstLine="880"/>
        <w:jc w:val="center"/>
        <w:rPr>
          <w:rFonts w:ascii="方正黑体_GBK" w:hAnsi="方正黑体_GBK" w:eastAsia="方正黑体_GBK" w:cs="方正黑体_GBK"/>
          <w:kern w:val="44"/>
          <w:sz w:val="44"/>
        </w:rPr>
      </w:pPr>
    </w:p>
    <w:p>
      <w:pPr>
        <w:spacing w:line="560" w:lineRule="exact"/>
        <w:ind w:firstLine="880"/>
        <w:jc w:val="center"/>
        <w:rPr>
          <w:rFonts w:ascii="方正黑体_GBK" w:hAnsi="方正黑体_GBK" w:eastAsia="方正黑体_GBK" w:cs="方正黑体_GBK"/>
          <w:kern w:val="44"/>
          <w:sz w:val="44"/>
        </w:rPr>
      </w:pPr>
    </w:p>
    <w:p>
      <w:pPr>
        <w:spacing w:line="560" w:lineRule="exact"/>
        <w:ind w:firstLine="880"/>
        <w:jc w:val="center"/>
        <w:rPr>
          <w:rFonts w:ascii="方正黑体_GBK" w:hAnsi="方正黑体_GBK" w:eastAsia="方正黑体_GBK" w:cs="方正黑体_GBK"/>
          <w:kern w:val="44"/>
          <w:sz w:val="44"/>
        </w:rPr>
      </w:pPr>
    </w:p>
    <w:p>
      <w:pPr>
        <w:spacing w:line="560" w:lineRule="exact"/>
        <w:ind w:firstLine="880"/>
        <w:jc w:val="center"/>
        <w:rPr>
          <w:rFonts w:ascii="方正黑体_GBK" w:hAnsi="方正黑体_GBK" w:eastAsia="方正黑体_GBK" w:cs="方正黑体_GBK"/>
          <w:kern w:val="44"/>
          <w:sz w:val="44"/>
        </w:rPr>
      </w:pPr>
    </w:p>
    <w:p>
      <w:pPr>
        <w:spacing w:line="560" w:lineRule="exact"/>
        <w:ind w:firstLine="880"/>
        <w:jc w:val="center"/>
        <w:rPr>
          <w:rFonts w:ascii="方正黑体_GBK" w:hAnsi="方正黑体_GBK" w:eastAsia="方正黑体_GBK" w:cs="方正黑体_GBK"/>
          <w:kern w:val="44"/>
          <w:sz w:val="44"/>
        </w:rPr>
      </w:pPr>
    </w:p>
    <w:p>
      <w:pPr>
        <w:spacing w:line="560" w:lineRule="exact"/>
        <w:ind w:firstLine="880"/>
        <w:jc w:val="center"/>
        <w:rPr>
          <w:rFonts w:ascii="方正黑体_GBK" w:hAnsi="方正黑体_GBK" w:eastAsia="方正黑体_GBK" w:cs="方正黑体_GBK"/>
          <w:kern w:val="44"/>
          <w:sz w:val="44"/>
        </w:rPr>
      </w:pPr>
    </w:p>
    <w:p>
      <w:pPr>
        <w:pStyle w:val="8"/>
        <w:ind w:firstLine="880"/>
        <w:rPr>
          <w:rFonts w:ascii="方正黑体_GBK" w:hAnsi="方正黑体_GBK" w:eastAsia="方正黑体_GBK" w:cs="方正黑体_GBK"/>
          <w:kern w:val="44"/>
          <w:sz w:val="44"/>
        </w:rPr>
      </w:pPr>
    </w:p>
    <w:p>
      <w:pPr>
        <w:pStyle w:val="22"/>
        <w:ind w:firstLine="480"/>
      </w:pPr>
    </w:p>
    <w:p>
      <w:pPr>
        <w:spacing w:line="560" w:lineRule="exact"/>
        <w:ind w:firstLine="880"/>
        <w:jc w:val="center"/>
        <w:rPr>
          <w:rFonts w:ascii="方正黑体_GBK" w:hAnsi="方正黑体_GBK" w:eastAsia="方正黑体_GBK" w:cs="方正黑体_GBK"/>
          <w:kern w:val="44"/>
          <w:sz w:val="44"/>
        </w:rPr>
      </w:pPr>
    </w:p>
    <w:p>
      <w:pPr>
        <w:spacing w:line="560" w:lineRule="exact"/>
        <w:ind w:firstLine="880"/>
        <w:jc w:val="center"/>
        <w:rPr>
          <w:rFonts w:ascii="方正黑体_GBK" w:hAnsi="方正黑体_GBK" w:eastAsia="方正黑体_GBK" w:cs="方正黑体_GBK"/>
          <w:kern w:val="44"/>
          <w:sz w:val="44"/>
        </w:rPr>
      </w:pPr>
    </w:p>
    <w:p>
      <w:pPr>
        <w:spacing w:line="560" w:lineRule="exact"/>
        <w:ind w:firstLine="880"/>
        <w:jc w:val="center"/>
        <w:rPr>
          <w:rFonts w:ascii="方正黑体_GBK" w:hAnsi="方正黑体_GBK" w:eastAsia="方正黑体_GBK" w:cs="方正黑体_GBK"/>
          <w:kern w:val="44"/>
          <w:sz w:val="44"/>
        </w:rPr>
      </w:pPr>
    </w:p>
    <w:p>
      <w:pPr>
        <w:pStyle w:val="2"/>
        <w:keepNext w:val="0"/>
        <w:keepLines w:val="0"/>
        <w:tabs>
          <w:tab w:val="center" w:pos="4677"/>
        </w:tabs>
        <w:spacing w:before="0" w:after="0" w:line="240" w:lineRule="auto"/>
        <w:ind w:firstLine="2200" w:firstLineChars="500"/>
        <w:rPr>
          <w:rFonts w:ascii="方正黑体_GBK" w:hAnsi="方正黑体_GBK" w:eastAsia="方正黑体_GBK" w:cs="方正黑体_GBK"/>
          <w:b w:val="0"/>
        </w:rPr>
      </w:pPr>
      <w:r>
        <w:rPr>
          <w:rFonts w:hint="eastAsia" w:ascii="方正黑体_GBK" w:hAnsi="方正黑体_GBK" w:eastAsia="方正黑体_GBK" w:cs="方正黑体_GBK"/>
          <w:b w:val="0"/>
        </w:rPr>
        <w:t>第六部分  响应文件格式</w:t>
      </w:r>
      <w:bookmarkEnd w:id="35"/>
      <w:bookmarkEnd w:id="36"/>
    </w:p>
    <w:p>
      <w:pPr>
        <w:spacing w:line="560" w:lineRule="exact"/>
        <w:ind w:firstLine="880"/>
        <w:jc w:val="center"/>
        <w:rPr>
          <w:rFonts w:ascii="Arial Unicode MS" w:hAnsi="华文中宋" w:eastAsia="Arial Unicode MS"/>
          <w:sz w:val="44"/>
          <w:szCs w:val="44"/>
        </w:rPr>
      </w:pPr>
    </w:p>
    <w:p>
      <w:pPr>
        <w:spacing w:line="560" w:lineRule="exact"/>
        <w:ind w:firstLine="880"/>
        <w:jc w:val="center"/>
        <w:rPr>
          <w:rFonts w:ascii="Arial Unicode MS" w:hAnsi="华文中宋" w:eastAsia="Arial Unicode MS"/>
          <w:sz w:val="44"/>
          <w:szCs w:val="44"/>
        </w:rPr>
      </w:pPr>
    </w:p>
    <w:p>
      <w:pPr>
        <w:pStyle w:val="2"/>
        <w:keepNext w:val="0"/>
        <w:keepLines w:val="0"/>
        <w:tabs>
          <w:tab w:val="center" w:pos="4677"/>
        </w:tabs>
        <w:spacing w:before="0" w:after="0" w:line="240" w:lineRule="auto"/>
        <w:ind w:firstLine="2200" w:firstLineChars="500"/>
        <w:rPr>
          <w:rFonts w:ascii="方正黑体_GBK" w:hAnsi="方正黑体_GBK" w:eastAsia="方正黑体_GBK" w:cs="方正黑体_GBK"/>
          <w:b w:val="0"/>
        </w:rPr>
      </w:pPr>
    </w:p>
    <w:p>
      <w:pPr>
        <w:pStyle w:val="2"/>
        <w:keepNext w:val="0"/>
        <w:keepLines w:val="0"/>
        <w:tabs>
          <w:tab w:val="center" w:pos="4677"/>
        </w:tabs>
        <w:spacing w:before="0" w:after="0" w:line="240" w:lineRule="auto"/>
        <w:ind w:firstLine="2200" w:firstLineChars="500"/>
        <w:rPr>
          <w:rFonts w:ascii="方正黑体_GBK" w:hAnsi="方正黑体_GBK" w:eastAsia="方正黑体_GBK" w:cs="方正黑体_GBK"/>
          <w:b w:val="0"/>
        </w:rPr>
      </w:pPr>
    </w:p>
    <w:p>
      <w:pPr>
        <w:pStyle w:val="2"/>
        <w:keepNext w:val="0"/>
        <w:keepLines w:val="0"/>
        <w:tabs>
          <w:tab w:val="center" w:pos="4677"/>
        </w:tabs>
        <w:spacing w:before="0" w:after="0" w:line="240" w:lineRule="auto"/>
        <w:ind w:firstLine="2200" w:firstLineChars="500"/>
        <w:rPr>
          <w:rFonts w:ascii="方正黑体_GBK" w:hAnsi="方正黑体_GBK" w:eastAsia="方正黑体_GBK" w:cs="方正黑体_GBK"/>
          <w:b w:val="0"/>
        </w:rPr>
      </w:pPr>
      <w:r>
        <w:rPr>
          <w:rFonts w:hint="eastAsia" w:ascii="方正黑体_GBK" w:hAnsi="方正黑体_GBK" w:eastAsia="方正黑体_GBK" w:cs="方正黑体_GBK"/>
          <w:b w:val="0"/>
        </w:rPr>
        <w:t>重庆市沙坪坝区人民医院</w:t>
      </w:r>
    </w:p>
    <w:p>
      <w:pPr>
        <w:pStyle w:val="2"/>
        <w:keepNext w:val="0"/>
        <w:keepLines w:val="0"/>
        <w:tabs>
          <w:tab w:val="center" w:pos="4677"/>
        </w:tabs>
        <w:spacing w:before="0" w:after="0" w:line="240" w:lineRule="auto"/>
        <w:ind w:firstLine="1320" w:firstLineChars="300"/>
        <w:rPr>
          <w:rFonts w:ascii="方正黑体_GBK" w:hAnsi="方正黑体_GBK" w:eastAsia="方正黑体_GBK" w:cs="方正黑体_GBK"/>
          <w:b w:val="0"/>
        </w:rPr>
      </w:pPr>
    </w:p>
    <w:p>
      <w:pPr>
        <w:pStyle w:val="2"/>
        <w:keepNext w:val="0"/>
        <w:keepLines w:val="0"/>
        <w:tabs>
          <w:tab w:val="center" w:pos="4677"/>
        </w:tabs>
        <w:spacing w:before="0" w:after="0" w:line="240" w:lineRule="auto"/>
        <w:ind w:firstLine="3080" w:firstLineChars="700"/>
        <w:rPr>
          <w:rFonts w:ascii="方正黑体_GBK" w:hAnsi="方正黑体_GBK" w:eastAsia="方正黑体_GBK" w:cs="方正黑体_GBK"/>
          <w:b w:val="0"/>
        </w:rPr>
      </w:pPr>
      <w:r>
        <w:rPr>
          <w:rFonts w:hint="eastAsia" w:ascii="方正黑体_GBK" w:hAnsi="方正黑体_GBK" w:eastAsia="方正黑体_GBK" w:cs="方正黑体_GBK"/>
          <w:b w:val="0"/>
        </w:rPr>
        <w:t>（项目名称）</w:t>
      </w:r>
    </w:p>
    <w:p>
      <w:pPr>
        <w:tabs>
          <w:tab w:val="left" w:pos="3600"/>
          <w:tab w:val="left" w:pos="4480"/>
          <w:tab w:val="left" w:pos="5360"/>
        </w:tabs>
        <w:autoSpaceDE w:val="0"/>
        <w:autoSpaceDN w:val="0"/>
        <w:adjustRightInd w:val="0"/>
        <w:snapToGrid w:val="0"/>
        <w:spacing w:line="360" w:lineRule="auto"/>
        <w:ind w:firstLine="880"/>
        <w:jc w:val="left"/>
        <w:rPr>
          <w:rFonts w:ascii="宋体" w:hAnsi="宋体" w:cs="宋体"/>
          <w:kern w:val="0"/>
          <w:sz w:val="44"/>
          <w:szCs w:val="44"/>
        </w:rPr>
      </w:pPr>
    </w:p>
    <w:p>
      <w:pPr>
        <w:pStyle w:val="2"/>
        <w:keepNext w:val="0"/>
        <w:keepLines w:val="0"/>
        <w:tabs>
          <w:tab w:val="center" w:pos="4677"/>
        </w:tabs>
        <w:spacing w:before="0" w:after="0" w:line="240" w:lineRule="auto"/>
        <w:ind w:firstLine="2520" w:firstLineChars="300"/>
        <w:rPr>
          <w:rFonts w:ascii="方正黑体_GBK" w:hAnsi="方正黑体_GBK" w:eastAsia="方正黑体_GBK" w:cs="方正黑体_GBK"/>
          <w:b w:val="0"/>
          <w:sz w:val="84"/>
          <w:szCs w:val="84"/>
        </w:rPr>
      </w:pPr>
      <w:r>
        <w:rPr>
          <w:rFonts w:hint="eastAsia" w:ascii="方正黑体_GBK" w:hAnsi="方正黑体_GBK" w:eastAsia="方正黑体_GBK" w:cs="方正黑体_GBK"/>
          <w:b w:val="0"/>
          <w:sz w:val="84"/>
          <w:szCs w:val="84"/>
        </w:rPr>
        <w:t>响 应 文 件</w:t>
      </w:r>
    </w:p>
    <w:p>
      <w:pPr>
        <w:autoSpaceDE w:val="0"/>
        <w:autoSpaceDN w:val="0"/>
        <w:adjustRightInd w:val="0"/>
        <w:snapToGrid w:val="0"/>
        <w:spacing w:line="360" w:lineRule="auto"/>
        <w:ind w:firstLine="320"/>
        <w:jc w:val="left"/>
        <w:rPr>
          <w:rFonts w:ascii="宋体" w:hAnsi="宋体" w:cs="宋体"/>
          <w:kern w:val="0"/>
          <w:sz w:val="16"/>
          <w:szCs w:val="16"/>
        </w:rPr>
      </w:pPr>
    </w:p>
    <w:p>
      <w:pPr>
        <w:autoSpaceDE w:val="0"/>
        <w:autoSpaceDN w:val="0"/>
        <w:adjustRightInd w:val="0"/>
        <w:snapToGrid w:val="0"/>
        <w:spacing w:line="360" w:lineRule="auto"/>
        <w:ind w:firstLine="402"/>
        <w:jc w:val="left"/>
        <w:rPr>
          <w:rFonts w:ascii="宋体" w:hAnsi="宋体" w:cs="宋体"/>
          <w:b/>
          <w:kern w:val="0"/>
          <w:sz w:val="20"/>
        </w:rPr>
      </w:pPr>
    </w:p>
    <w:p>
      <w:pPr>
        <w:autoSpaceDE w:val="0"/>
        <w:autoSpaceDN w:val="0"/>
        <w:adjustRightInd w:val="0"/>
        <w:snapToGrid w:val="0"/>
        <w:spacing w:line="360" w:lineRule="auto"/>
        <w:ind w:firstLine="402"/>
        <w:jc w:val="left"/>
        <w:rPr>
          <w:rFonts w:ascii="宋体" w:hAnsi="宋体" w:cs="宋体"/>
          <w:b/>
          <w:kern w:val="0"/>
          <w:sz w:val="20"/>
        </w:rPr>
      </w:pPr>
    </w:p>
    <w:p>
      <w:pPr>
        <w:autoSpaceDE w:val="0"/>
        <w:autoSpaceDN w:val="0"/>
        <w:adjustRightInd w:val="0"/>
        <w:snapToGrid w:val="0"/>
        <w:spacing w:line="360" w:lineRule="auto"/>
        <w:ind w:firstLine="402"/>
        <w:jc w:val="left"/>
        <w:rPr>
          <w:rFonts w:ascii="宋体" w:hAnsi="宋体" w:cs="宋体"/>
          <w:b/>
          <w:kern w:val="0"/>
          <w:sz w:val="20"/>
        </w:rPr>
      </w:pPr>
    </w:p>
    <w:p>
      <w:pPr>
        <w:autoSpaceDE w:val="0"/>
        <w:autoSpaceDN w:val="0"/>
        <w:adjustRightInd w:val="0"/>
        <w:snapToGrid w:val="0"/>
        <w:spacing w:line="360" w:lineRule="auto"/>
        <w:ind w:firstLine="402"/>
        <w:jc w:val="left"/>
        <w:rPr>
          <w:rFonts w:ascii="宋体" w:hAnsi="宋体" w:cs="宋体"/>
          <w:b/>
          <w:kern w:val="0"/>
          <w:sz w:val="20"/>
        </w:rPr>
      </w:pPr>
    </w:p>
    <w:p>
      <w:pPr>
        <w:autoSpaceDE w:val="0"/>
        <w:autoSpaceDN w:val="0"/>
        <w:adjustRightInd w:val="0"/>
        <w:snapToGrid w:val="0"/>
        <w:spacing w:line="360" w:lineRule="auto"/>
        <w:ind w:firstLine="402"/>
        <w:jc w:val="left"/>
        <w:rPr>
          <w:rFonts w:ascii="宋体" w:hAnsi="宋体" w:cs="宋体"/>
          <w:b/>
          <w:kern w:val="0"/>
          <w:sz w:val="20"/>
        </w:rPr>
      </w:pPr>
    </w:p>
    <w:p>
      <w:pPr>
        <w:autoSpaceDE w:val="0"/>
        <w:autoSpaceDN w:val="0"/>
        <w:adjustRightInd w:val="0"/>
        <w:snapToGrid w:val="0"/>
        <w:spacing w:line="360" w:lineRule="auto"/>
        <w:ind w:firstLine="402"/>
        <w:jc w:val="left"/>
        <w:rPr>
          <w:rFonts w:ascii="宋体" w:hAnsi="宋体" w:cs="宋体"/>
          <w:b/>
          <w:kern w:val="0"/>
          <w:sz w:val="20"/>
        </w:rPr>
      </w:pPr>
    </w:p>
    <w:p>
      <w:pPr>
        <w:pStyle w:val="4"/>
        <w:ind w:firstLine="402"/>
        <w:rPr>
          <w:rFonts w:ascii="宋体" w:hAnsi="宋体" w:cs="宋体"/>
          <w:sz w:val="20"/>
          <w:szCs w:val="20"/>
        </w:rPr>
      </w:pPr>
    </w:p>
    <w:p>
      <w:pPr>
        <w:ind w:firstLine="480"/>
        <w:rPr>
          <w:rFonts w:ascii="宋体" w:hAnsi="宋体" w:cs="宋体"/>
        </w:rPr>
      </w:pPr>
    </w:p>
    <w:p>
      <w:pPr>
        <w:autoSpaceDE w:val="0"/>
        <w:autoSpaceDN w:val="0"/>
        <w:adjustRightInd w:val="0"/>
        <w:snapToGrid w:val="0"/>
        <w:spacing w:line="360" w:lineRule="auto"/>
        <w:ind w:firstLine="402"/>
        <w:jc w:val="left"/>
        <w:rPr>
          <w:rFonts w:ascii="宋体" w:hAnsi="宋体" w:cs="宋体"/>
          <w:b/>
          <w:kern w:val="0"/>
          <w:sz w:val="20"/>
        </w:rPr>
      </w:pPr>
    </w:p>
    <w:p>
      <w:pPr>
        <w:tabs>
          <w:tab w:val="left" w:pos="6080"/>
          <w:tab w:val="left" w:pos="6640"/>
        </w:tabs>
        <w:autoSpaceDE w:val="0"/>
        <w:autoSpaceDN w:val="0"/>
        <w:adjustRightInd w:val="0"/>
        <w:snapToGrid w:val="0"/>
        <w:spacing w:line="360" w:lineRule="auto"/>
        <w:ind w:firstLine="558"/>
        <w:jc w:val="center"/>
        <w:rPr>
          <w:rFonts w:ascii="宋体" w:hAnsi="宋体" w:cs="宋体"/>
          <w:b/>
          <w:w w:val="99"/>
          <w:kern w:val="0"/>
          <w:sz w:val="28"/>
          <w:szCs w:val="28"/>
        </w:rPr>
      </w:pPr>
      <w:r>
        <w:rPr>
          <w:rFonts w:hint="eastAsia" w:ascii="宋体" w:hAnsi="宋体" w:cs="宋体"/>
          <w:b/>
          <w:w w:val="99"/>
          <w:kern w:val="0"/>
          <w:sz w:val="28"/>
          <w:szCs w:val="28"/>
        </w:rPr>
        <w:t xml:space="preserve">   报名人</w:t>
      </w:r>
      <w:r>
        <w:rPr>
          <w:rFonts w:hint="eastAsia" w:ascii="宋体" w:hAnsi="宋体" w:cs="宋体"/>
          <w:b/>
          <w:spacing w:val="1"/>
          <w:w w:val="99"/>
          <w:kern w:val="0"/>
          <w:sz w:val="28"/>
          <w:szCs w:val="28"/>
        </w:rPr>
        <w:t>：</w:t>
      </w:r>
      <w:r>
        <w:rPr>
          <w:rFonts w:hint="eastAsia" w:ascii="宋体" w:hAnsi="宋体" w:cs="宋体"/>
          <w:b/>
          <w:w w:val="198"/>
          <w:kern w:val="0"/>
          <w:sz w:val="28"/>
          <w:szCs w:val="28"/>
          <w:u w:val="single"/>
        </w:rPr>
        <w:t xml:space="preserve"> 　　　　 　　</w:t>
      </w:r>
      <w:r>
        <w:rPr>
          <w:rFonts w:hint="eastAsia" w:ascii="宋体" w:hAnsi="宋体" w:cs="宋体"/>
          <w:b/>
          <w:w w:val="99"/>
          <w:kern w:val="0"/>
          <w:sz w:val="28"/>
          <w:szCs w:val="28"/>
        </w:rPr>
        <w:t>（盖单位公章）</w:t>
      </w:r>
    </w:p>
    <w:p>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w w:val="99"/>
          <w:kern w:val="0"/>
          <w:sz w:val="28"/>
          <w:szCs w:val="28"/>
          <w:u w:val="single"/>
        </w:rPr>
      </w:pPr>
    </w:p>
    <w:p>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kern w:val="0"/>
          <w:sz w:val="28"/>
          <w:szCs w:val="28"/>
        </w:rPr>
      </w:pPr>
      <w:r>
        <w:rPr>
          <w:rFonts w:hint="eastAsia" w:ascii="宋体" w:hAnsi="宋体" w:cs="宋体"/>
          <w:b/>
          <w:w w:val="99"/>
          <w:kern w:val="0"/>
          <w:sz w:val="28"/>
          <w:szCs w:val="28"/>
          <w:u w:val="single"/>
        </w:rPr>
        <w:t xml:space="preserve">   　</w:t>
      </w:r>
      <w:r>
        <w:rPr>
          <w:rFonts w:hint="eastAsia" w:ascii="宋体" w:hAnsi="宋体" w:cs="宋体"/>
          <w:b/>
          <w:w w:val="99"/>
          <w:kern w:val="0"/>
          <w:sz w:val="28"/>
          <w:szCs w:val="28"/>
        </w:rPr>
        <w:t>年</w:t>
      </w:r>
      <w:r>
        <w:rPr>
          <w:rFonts w:hint="eastAsia" w:ascii="宋体" w:hAnsi="宋体" w:cs="宋体"/>
          <w:b/>
          <w:w w:val="99"/>
          <w:kern w:val="0"/>
          <w:sz w:val="28"/>
          <w:szCs w:val="28"/>
          <w:u w:val="single"/>
        </w:rPr>
        <w:t xml:space="preserve">   　</w:t>
      </w:r>
      <w:r>
        <w:rPr>
          <w:rFonts w:hint="eastAsia" w:ascii="宋体" w:hAnsi="宋体" w:cs="宋体"/>
          <w:b/>
          <w:w w:val="99"/>
          <w:kern w:val="0"/>
          <w:sz w:val="28"/>
          <w:szCs w:val="28"/>
        </w:rPr>
        <w:t>月</w:t>
      </w:r>
      <w:r>
        <w:rPr>
          <w:rFonts w:hint="eastAsia" w:ascii="宋体" w:hAnsi="宋体" w:cs="宋体"/>
          <w:b/>
          <w:w w:val="99"/>
          <w:kern w:val="0"/>
          <w:sz w:val="28"/>
          <w:szCs w:val="28"/>
          <w:u w:val="single"/>
        </w:rPr>
        <w:t xml:space="preserve">   　</w:t>
      </w:r>
      <w:r>
        <w:rPr>
          <w:rFonts w:hint="eastAsia" w:ascii="宋体" w:hAnsi="宋体" w:cs="宋体"/>
          <w:b/>
          <w:w w:val="99"/>
          <w:kern w:val="0"/>
          <w:sz w:val="28"/>
          <w:szCs w:val="28"/>
        </w:rPr>
        <w:t>日</w:t>
      </w:r>
    </w:p>
    <w:p>
      <w:pPr>
        <w:spacing w:line="560" w:lineRule="exact"/>
        <w:ind w:firstLine="480"/>
        <w:rPr>
          <w:rFonts w:ascii="黑体" w:hAnsi="宋体" w:eastAsia="黑体"/>
          <w:sz w:val="28"/>
          <w:szCs w:val="28"/>
        </w:rPr>
      </w:pPr>
      <w:r>
        <w:rPr>
          <w:rFonts w:hint="eastAsia" w:ascii="宋体" w:hAnsi="宋体" w:cs="宋体"/>
          <w:kern w:val="0"/>
          <w:szCs w:val="21"/>
        </w:rPr>
        <w:br w:type="page"/>
      </w:r>
    </w:p>
    <w:p>
      <w:pPr>
        <w:spacing w:line="360" w:lineRule="auto"/>
        <w:ind w:firstLine="643"/>
        <w:jc w:val="center"/>
        <w:rPr>
          <w:rFonts w:ascii="宋体" w:hAnsi="宋体" w:cs="宋体"/>
          <w:b/>
          <w:bCs/>
          <w:sz w:val="32"/>
          <w:szCs w:val="32"/>
        </w:rPr>
      </w:pPr>
    </w:p>
    <w:p>
      <w:pPr>
        <w:spacing w:line="560" w:lineRule="exact"/>
        <w:ind w:firstLine="88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目   录</w:t>
      </w:r>
    </w:p>
    <w:p>
      <w:pPr>
        <w:autoSpaceDE w:val="0"/>
        <w:autoSpaceDN w:val="0"/>
        <w:adjustRightInd w:val="0"/>
        <w:snapToGrid w:val="0"/>
        <w:spacing w:line="360" w:lineRule="auto"/>
        <w:ind w:firstLine="482"/>
        <w:jc w:val="left"/>
        <w:rPr>
          <w:rFonts w:ascii="宋体" w:hAnsi="宋体" w:cs="宋体"/>
          <w:b/>
          <w:kern w:val="0"/>
        </w:rPr>
      </w:pPr>
    </w:p>
    <w:p>
      <w:pPr>
        <w:numPr>
          <w:ilvl w:val="0"/>
          <w:numId w:val="11"/>
        </w:numPr>
        <w:tabs>
          <w:tab w:val="left" w:pos="6300"/>
        </w:tabs>
        <w:snapToGrid w:val="0"/>
        <w:spacing w:line="312" w:lineRule="auto"/>
        <w:ind w:firstLine="560"/>
        <w:rPr>
          <w:rFonts w:ascii="方正仿宋_GBK" w:hAnsi="宋体" w:eastAsia="方正仿宋_GBK"/>
          <w:sz w:val="28"/>
          <w:szCs w:val="28"/>
        </w:rPr>
      </w:pPr>
      <w:bookmarkStart w:id="45" w:name="_Toc7663"/>
      <w:bookmarkStart w:id="46" w:name="_Toc30510"/>
      <w:bookmarkStart w:id="47" w:name="_Toc25168"/>
      <w:r>
        <w:rPr>
          <w:rFonts w:hint="eastAsia" w:ascii="方正仿宋_GBK" w:hAnsi="宋体" w:eastAsia="方正仿宋_GBK"/>
          <w:sz w:val="28"/>
          <w:szCs w:val="28"/>
        </w:rPr>
        <w:t>资格文件</w:t>
      </w:r>
    </w:p>
    <w:p>
      <w:pPr>
        <w:snapToGrid w:val="0"/>
        <w:spacing w:line="300" w:lineRule="exact"/>
        <w:ind w:firstLine="1200" w:firstLineChars="5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1. 法人营业执照（副本）</w:t>
      </w:r>
    </w:p>
    <w:p>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2. 法定代表人资格证明书</w:t>
      </w:r>
      <w:bookmarkStart w:id="48" w:name="_Toc9514"/>
      <w:bookmarkStart w:id="49" w:name="_Toc1330"/>
      <w:bookmarkStart w:id="50" w:name="_Toc15674"/>
      <w:r>
        <w:rPr>
          <w:rFonts w:hint="eastAsia" w:ascii="方正仿宋_GBK" w:hAnsi="方正仿宋_GBK" w:eastAsia="方正仿宋_GBK" w:cs="方正仿宋_GBK"/>
          <w:color w:val="000000" w:themeColor="text1"/>
          <w:szCs w:val="24"/>
          <w14:textFill>
            <w14:solidFill>
              <w14:schemeClr w14:val="tx1"/>
            </w14:solidFill>
          </w14:textFill>
        </w:rPr>
        <w:t>、法定代表人授权书(格式）（二选一）</w:t>
      </w:r>
      <w:bookmarkEnd w:id="48"/>
      <w:bookmarkEnd w:id="49"/>
      <w:bookmarkEnd w:id="50"/>
      <w:bookmarkStart w:id="51" w:name="_Toc29581"/>
      <w:bookmarkStart w:id="52" w:name="_Toc28970"/>
      <w:bookmarkStart w:id="53" w:name="_Toc26589"/>
    </w:p>
    <w:p>
      <w:pPr>
        <w:tabs>
          <w:tab w:val="left" w:pos="6300"/>
        </w:tabs>
        <w:snapToGrid w:val="0"/>
        <w:spacing w:line="300" w:lineRule="exact"/>
        <w:ind w:left="480" w:leftChars="200" w:firstLine="720" w:firstLineChars="300"/>
        <w:rPr>
          <w:rFonts w:ascii="方正仿宋_GBK" w:hAnsi="宋体" w:eastAsia="方正仿宋_GBK"/>
          <w:szCs w:val="24"/>
        </w:rPr>
      </w:pPr>
      <w:r>
        <w:rPr>
          <w:rFonts w:hint="eastAsia" w:ascii="方正仿宋_GBK" w:hAnsi="方正仿宋_GBK" w:eastAsia="方正仿宋_GBK" w:cs="方正仿宋_GBK"/>
          <w:color w:val="000000" w:themeColor="text1"/>
          <w:szCs w:val="24"/>
          <w14:textFill>
            <w14:solidFill>
              <w14:schemeClr w14:val="tx1"/>
            </w14:solidFill>
          </w14:textFill>
        </w:rPr>
        <w:t xml:space="preserve">3. </w:t>
      </w:r>
      <w:r>
        <w:rPr>
          <w:rFonts w:hint="eastAsia" w:ascii="方正仿宋_GBK" w:hAnsi="宋体" w:eastAsia="方正仿宋_GBK"/>
          <w:szCs w:val="24"/>
        </w:rPr>
        <w:t>基本资格条件承诺函</w:t>
      </w:r>
      <w:bookmarkEnd w:id="51"/>
      <w:bookmarkEnd w:id="52"/>
      <w:bookmarkEnd w:id="53"/>
      <w:r>
        <w:rPr>
          <w:rFonts w:hint="eastAsia" w:ascii="方正仿宋_GBK" w:hAnsi="宋体" w:eastAsia="方正仿宋_GBK"/>
          <w:szCs w:val="24"/>
        </w:rPr>
        <w:t>（格式）</w:t>
      </w:r>
    </w:p>
    <w:bookmarkEnd w:id="45"/>
    <w:bookmarkEnd w:id="46"/>
    <w:bookmarkEnd w:id="47"/>
    <w:p>
      <w:pPr>
        <w:numPr>
          <w:ilvl w:val="0"/>
          <w:numId w:val="11"/>
        </w:numPr>
        <w:tabs>
          <w:tab w:val="left" w:pos="6300"/>
        </w:tabs>
        <w:snapToGrid w:val="0"/>
        <w:spacing w:line="312" w:lineRule="auto"/>
        <w:ind w:firstLine="560"/>
        <w:rPr>
          <w:rFonts w:ascii="方正仿宋_GBK" w:hAnsi="宋体" w:eastAsia="方正仿宋_GBK"/>
          <w:sz w:val="28"/>
          <w:szCs w:val="28"/>
        </w:rPr>
      </w:pPr>
      <w:r>
        <w:rPr>
          <w:rFonts w:hint="eastAsia" w:ascii="方正仿宋_GBK" w:hAnsi="宋体" w:eastAsia="方正仿宋_GBK"/>
          <w:sz w:val="28"/>
          <w:szCs w:val="28"/>
        </w:rPr>
        <w:t>购销诚信及不参与围标串标承诺书（格式）</w:t>
      </w:r>
    </w:p>
    <w:p>
      <w:pPr>
        <w:numPr>
          <w:ilvl w:val="0"/>
          <w:numId w:val="11"/>
        </w:numPr>
        <w:tabs>
          <w:tab w:val="left" w:pos="6300"/>
        </w:tabs>
        <w:snapToGrid w:val="0"/>
        <w:spacing w:line="312" w:lineRule="auto"/>
        <w:ind w:firstLine="560"/>
        <w:rPr>
          <w:rFonts w:ascii="方正仿宋_GBK" w:hAnsi="宋体" w:eastAsia="方正仿宋_GBK"/>
          <w:sz w:val="28"/>
          <w:szCs w:val="28"/>
        </w:rPr>
      </w:pPr>
      <w:r>
        <w:rPr>
          <w:rFonts w:hint="eastAsia" w:ascii="方正仿宋_GBK" w:hAnsi="宋体" w:eastAsia="方正仿宋_GBK"/>
          <w:sz w:val="28"/>
          <w:szCs w:val="28"/>
        </w:rPr>
        <w:t>投标函</w:t>
      </w:r>
      <w:bookmarkStart w:id="54" w:name="_Toc22974"/>
      <w:bookmarkStart w:id="55" w:name="_Toc27822"/>
      <w:bookmarkStart w:id="56" w:name="_Toc28270"/>
      <w:r>
        <w:rPr>
          <w:rFonts w:hint="eastAsia" w:ascii="方正仿宋_GBK" w:hAnsi="宋体" w:eastAsia="方正仿宋_GBK"/>
          <w:sz w:val="28"/>
          <w:szCs w:val="28"/>
        </w:rPr>
        <w:t>（格式）</w:t>
      </w:r>
    </w:p>
    <w:bookmarkEnd w:id="54"/>
    <w:bookmarkEnd w:id="55"/>
    <w:bookmarkEnd w:id="56"/>
    <w:p>
      <w:pPr>
        <w:numPr>
          <w:ilvl w:val="0"/>
          <w:numId w:val="11"/>
        </w:numPr>
        <w:tabs>
          <w:tab w:val="left" w:pos="6300"/>
        </w:tabs>
        <w:snapToGrid w:val="0"/>
        <w:spacing w:line="312" w:lineRule="auto"/>
        <w:ind w:firstLine="560"/>
        <w:rPr>
          <w:rFonts w:ascii="方正仿宋_GBK" w:hAnsi="宋体" w:eastAsia="方正仿宋_GBK"/>
          <w:sz w:val="28"/>
          <w:szCs w:val="28"/>
        </w:rPr>
      </w:pPr>
      <w:bookmarkStart w:id="57" w:name="_Toc29091"/>
      <w:bookmarkStart w:id="58" w:name="_Toc30915"/>
      <w:bookmarkStart w:id="59" w:name="_Toc30643"/>
      <w:r>
        <w:rPr>
          <w:rFonts w:hint="eastAsia" w:ascii="方正仿宋_GBK" w:hAnsi="宋体" w:eastAsia="方正仿宋_GBK"/>
          <w:sz w:val="28"/>
          <w:szCs w:val="28"/>
        </w:rPr>
        <w:t>报价表（格式）</w:t>
      </w:r>
    </w:p>
    <w:bookmarkEnd w:id="57"/>
    <w:bookmarkEnd w:id="58"/>
    <w:bookmarkEnd w:id="59"/>
    <w:p>
      <w:pPr>
        <w:numPr>
          <w:ilvl w:val="0"/>
          <w:numId w:val="11"/>
        </w:numPr>
        <w:tabs>
          <w:tab w:val="left" w:pos="6300"/>
        </w:tabs>
        <w:snapToGrid w:val="0"/>
        <w:spacing w:line="312" w:lineRule="auto"/>
        <w:ind w:firstLine="560"/>
        <w:rPr>
          <w:rFonts w:ascii="方正仿宋_GBK" w:hAnsi="宋体" w:eastAsia="方正仿宋_GBK"/>
          <w:sz w:val="28"/>
          <w:szCs w:val="28"/>
        </w:rPr>
      </w:pPr>
      <w:r>
        <w:rPr>
          <w:rFonts w:hint="eastAsia" w:ascii="方正仿宋_GBK" w:hAnsi="宋体" w:eastAsia="方正仿宋_GBK"/>
          <w:sz w:val="28"/>
          <w:szCs w:val="28"/>
        </w:rPr>
        <w:t>需求响应偏离表（格式）</w:t>
      </w:r>
    </w:p>
    <w:p>
      <w:pPr>
        <w:numPr>
          <w:ilvl w:val="0"/>
          <w:numId w:val="11"/>
        </w:numPr>
        <w:tabs>
          <w:tab w:val="left" w:pos="6300"/>
        </w:tabs>
        <w:snapToGrid w:val="0"/>
        <w:spacing w:line="312" w:lineRule="auto"/>
        <w:ind w:firstLine="560"/>
        <w:rPr>
          <w:rFonts w:ascii="方正仿宋_GBK" w:hAnsi="宋体" w:eastAsia="方正仿宋_GBK"/>
          <w:sz w:val="28"/>
          <w:szCs w:val="28"/>
        </w:rPr>
      </w:pPr>
      <w:r>
        <w:rPr>
          <w:rFonts w:hint="eastAsia" w:ascii="方正仿宋_GBK" w:hAnsi="宋体" w:eastAsia="方正仿宋_GBK"/>
          <w:sz w:val="28"/>
          <w:szCs w:val="28"/>
        </w:rPr>
        <w:t>其他资料（格式自拟）</w:t>
      </w:r>
    </w:p>
    <w:p>
      <w:pPr>
        <w:pStyle w:val="13"/>
        <w:snapToGrid w:val="0"/>
        <w:spacing w:line="400" w:lineRule="exact"/>
        <w:ind w:firstLine="1200" w:firstLineChars="500"/>
        <w:rPr>
          <w:rFonts w:ascii="方正仿宋_GBK" w:hAnsi="宋体" w:eastAsia="方正仿宋_GBK"/>
          <w:sz w:val="24"/>
          <w:szCs w:val="24"/>
        </w:rPr>
      </w:pPr>
      <w:r>
        <w:rPr>
          <w:rFonts w:hint="eastAsia" w:ascii="方正仿宋_GBK" w:hAnsi="宋体" w:eastAsia="方正仿宋_GBK"/>
          <w:sz w:val="24"/>
          <w:szCs w:val="24"/>
          <w:highlight w:val="none"/>
          <w:lang w:val="en-US" w:eastAsia="zh-CN"/>
        </w:rPr>
        <w:t>特定资格、</w:t>
      </w:r>
      <w:r>
        <w:rPr>
          <w:rFonts w:hint="eastAsia" w:ascii="方正仿宋_GBK" w:hAnsi="宋体" w:eastAsia="方正仿宋_GBK"/>
          <w:sz w:val="24"/>
          <w:szCs w:val="24"/>
          <w:highlight w:val="none"/>
        </w:rPr>
        <w:t>业绩、方案等其他佐</w:t>
      </w:r>
      <w:r>
        <w:rPr>
          <w:rFonts w:hint="eastAsia" w:ascii="方正仿宋_GBK" w:hAnsi="宋体" w:eastAsia="方正仿宋_GBK"/>
          <w:sz w:val="24"/>
          <w:szCs w:val="24"/>
        </w:rPr>
        <w:t>证资料</w:t>
      </w:r>
    </w:p>
    <w:p>
      <w:pPr>
        <w:spacing w:line="560" w:lineRule="exact"/>
        <w:ind w:firstLine="560"/>
        <w:rPr>
          <w:rFonts w:ascii="黑体" w:hAnsi="宋体" w:eastAsia="黑体"/>
          <w:sz w:val="28"/>
          <w:szCs w:val="28"/>
        </w:rPr>
      </w:pPr>
      <w:r>
        <w:rPr>
          <w:rFonts w:hint="eastAsia" w:ascii="黑体" w:hAnsi="宋体" w:eastAsia="黑体"/>
          <w:sz w:val="28"/>
          <w:szCs w:val="28"/>
        </w:rPr>
        <w:t xml:space="preserve">         ......</w:t>
      </w:r>
    </w:p>
    <w:p>
      <w:pPr>
        <w:spacing w:line="560" w:lineRule="exact"/>
        <w:ind w:firstLine="560"/>
        <w:rPr>
          <w:rFonts w:ascii="黑体" w:hAnsi="宋体" w:eastAsia="黑体"/>
          <w:sz w:val="28"/>
          <w:szCs w:val="28"/>
        </w:rPr>
      </w:pPr>
    </w:p>
    <w:p>
      <w:pPr>
        <w:spacing w:line="560" w:lineRule="exact"/>
        <w:ind w:firstLine="560"/>
        <w:rPr>
          <w:rFonts w:ascii="黑体" w:hAnsi="宋体" w:eastAsia="黑体"/>
          <w:sz w:val="28"/>
          <w:szCs w:val="28"/>
        </w:rPr>
      </w:pPr>
    </w:p>
    <w:p>
      <w:pPr>
        <w:spacing w:line="560" w:lineRule="exact"/>
        <w:ind w:firstLine="560"/>
        <w:rPr>
          <w:rFonts w:ascii="黑体" w:hAnsi="宋体" w:eastAsia="黑体"/>
          <w:sz w:val="28"/>
          <w:szCs w:val="28"/>
        </w:rPr>
      </w:pPr>
    </w:p>
    <w:p>
      <w:pPr>
        <w:spacing w:line="560" w:lineRule="exact"/>
        <w:ind w:firstLine="560"/>
        <w:rPr>
          <w:rFonts w:ascii="黑体" w:hAnsi="宋体" w:eastAsia="黑体"/>
          <w:sz w:val="28"/>
          <w:szCs w:val="28"/>
        </w:rPr>
      </w:pPr>
    </w:p>
    <w:p>
      <w:pPr>
        <w:spacing w:line="560" w:lineRule="exact"/>
        <w:ind w:firstLine="560"/>
        <w:rPr>
          <w:rFonts w:ascii="黑体" w:hAnsi="宋体" w:eastAsia="黑体"/>
          <w:sz w:val="28"/>
          <w:szCs w:val="28"/>
        </w:rPr>
      </w:pPr>
    </w:p>
    <w:p>
      <w:pPr>
        <w:spacing w:line="560" w:lineRule="exact"/>
        <w:ind w:firstLine="560"/>
        <w:rPr>
          <w:rFonts w:ascii="黑体" w:hAnsi="宋体" w:eastAsia="黑体"/>
          <w:sz w:val="28"/>
          <w:szCs w:val="28"/>
        </w:rPr>
      </w:pPr>
    </w:p>
    <w:p>
      <w:pPr>
        <w:spacing w:line="560" w:lineRule="exact"/>
        <w:ind w:firstLine="560"/>
        <w:rPr>
          <w:rFonts w:ascii="黑体" w:hAnsi="宋体" w:eastAsia="黑体"/>
          <w:sz w:val="28"/>
          <w:szCs w:val="28"/>
        </w:rPr>
      </w:pPr>
    </w:p>
    <w:p>
      <w:pPr>
        <w:spacing w:line="560" w:lineRule="exact"/>
        <w:ind w:firstLine="560"/>
        <w:rPr>
          <w:rFonts w:ascii="黑体" w:hAnsi="宋体" w:eastAsia="黑体"/>
          <w:sz w:val="28"/>
          <w:szCs w:val="28"/>
        </w:rPr>
      </w:pPr>
    </w:p>
    <w:p>
      <w:pPr>
        <w:spacing w:line="560" w:lineRule="exact"/>
        <w:ind w:firstLine="560"/>
        <w:rPr>
          <w:rFonts w:ascii="黑体" w:hAnsi="宋体" w:eastAsia="黑体"/>
          <w:sz w:val="28"/>
          <w:szCs w:val="28"/>
        </w:rPr>
      </w:pPr>
    </w:p>
    <w:p>
      <w:pPr>
        <w:pStyle w:val="8"/>
        <w:ind w:firstLine="560"/>
        <w:rPr>
          <w:rFonts w:ascii="黑体" w:hAnsi="宋体" w:eastAsia="黑体"/>
          <w:sz w:val="28"/>
          <w:szCs w:val="28"/>
        </w:rPr>
      </w:pPr>
    </w:p>
    <w:p>
      <w:pPr>
        <w:pStyle w:val="22"/>
        <w:ind w:firstLine="480"/>
      </w:pPr>
    </w:p>
    <w:p>
      <w:pPr>
        <w:pStyle w:val="22"/>
        <w:ind w:firstLine="480"/>
      </w:pPr>
    </w:p>
    <w:p>
      <w:pPr>
        <w:pStyle w:val="22"/>
        <w:ind w:firstLine="480"/>
      </w:pPr>
    </w:p>
    <w:p>
      <w:pPr>
        <w:numPr>
          <w:ilvl w:val="0"/>
          <w:numId w:val="12"/>
        </w:numPr>
        <w:tabs>
          <w:tab w:val="left" w:pos="6300"/>
        </w:tabs>
        <w:snapToGrid w:val="0"/>
        <w:spacing w:line="312" w:lineRule="auto"/>
        <w:ind w:firstLine="560"/>
        <w:rPr>
          <w:rFonts w:ascii="方正仿宋_GBK" w:hAnsi="宋体" w:eastAsia="方正仿宋_GBK"/>
          <w:sz w:val="28"/>
          <w:szCs w:val="28"/>
        </w:rPr>
      </w:pPr>
      <w:r>
        <w:rPr>
          <w:rFonts w:hint="eastAsia" w:ascii="方正仿宋_GBK" w:hAnsi="宋体" w:eastAsia="方正仿宋_GBK"/>
          <w:sz w:val="28"/>
          <w:szCs w:val="28"/>
        </w:rPr>
        <w:t>资格文件</w:t>
      </w:r>
    </w:p>
    <w:p>
      <w:pPr>
        <w:snapToGrid w:val="0"/>
        <w:spacing w:line="300" w:lineRule="exact"/>
        <w:ind w:firstLine="1200" w:firstLineChars="5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1. 法人营业执照（副本）加盖供应商公章</w:t>
      </w:r>
    </w:p>
    <w:p>
      <w:pPr>
        <w:spacing w:line="560" w:lineRule="exact"/>
        <w:ind w:firstLine="880"/>
        <w:rPr>
          <w:rFonts w:ascii="方正黑体_GBK" w:hAnsi="方正黑体_GBK" w:eastAsia="方正黑体_GBK" w:cs="方正黑体_GBK"/>
          <w:kern w:val="44"/>
          <w:sz w:val="44"/>
        </w:rPr>
      </w:pPr>
    </w:p>
    <w:p>
      <w:pPr>
        <w:spacing w:line="560" w:lineRule="exact"/>
        <w:ind w:firstLine="880"/>
        <w:rPr>
          <w:rFonts w:ascii="方正黑体_GBK" w:hAnsi="方正黑体_GBK" w:eastAsia="方正黑体_GBK" w:cs="方正黑体_GBK"/>
          <w:kern w:val="44"/>
          <w:sz w:val="44"/>
        </w:rPr>
      </w:pPr>
    </w:p>
    <w:p>
      <w:pPr>
        <w:spacing w:line="560" w:lineRule="exact"/>
        <w:rPr>
          <w:rFonts w:ascii="方正黑体_GBK" w:hAnsi="方正黑体_GBK" w:eastAsia="方正黑体_GBK" w:cs="方正黑体_GBK"/>
          <w:kern w:val="44"/>
          <w:sz w:val="44"/>
        </w:rPr>
      </w:pPr>
    </w:p>
    <w:p>
      <w:pPr>
        <w:spacing w:line="560" w:lineRule="exact"/>
        <w:ind w:firstLine="880"/>
        <w:rPr>
          <w:rFonts w:ascii="方正黑体_GBK" w:hAnsi="方正黑体_GBK" w:eastAsia="方正黑体_GBK" w:cs="方正黑体_GBK"/>
          <w:kern w:val="44"/>
          <w:sz w:val="44"/>
        </w:rPr>
      </w:pPr>
    </w:p>
    <w:p>
      <w:pPr>
        <w:spacing w:line="560" w:lineRule="exact"/>
        <w:ind w:firstLine="880"/>
        <w:rPr>
          <w:rFonts w:ascii="方正黑体_GBK" w:hAnsi="方正黑体_GBK" w:eastAsia="方正黑体_GBK" w:cs="方正黑体_GBK"/>
          <w:kern w:val="44"/>
          <w:sz w:val="44"/>
        </w:rPr>
      </w:pPr>
    </w:p>
    <w:p>
      <w:pPr>
        <w:spacing w:line="560" w:lineRule="exact"/>
        <w:ind w:firstLine="880"/>
        <w:rPr>
          <w:rFonts w:ascii="方正黑体_GBK" w:hAnsi="方正黑体_GBK" w:eastAsia="方正黑体_GBK" w:cs="方正黑体_GBK"/>
          <w:kern w:val="44"/>
          <w:sz w:val="44"/>
        </w:rPr>
      </w:pPr>
    </w:p>
    <w:p>
      <w:pPr>
        <w:spacing w:line="560" w:lineRule="exact"/>
        <w:ind w:firstLine="880"/>
        <w:rPr>
          <w:rFonts w:ascii="方正黑体_GBK" w:hAnsi="方正黑体_GBK" w:eastAsia="方正黑体_GBK" w:cs="方正黑体_GBK"/>
          <w:kern w:val="44"/>
          <w:sz w:val="44"/>
        </w:rPr>
      </w:pPr>
    </w:p>
    <w:p>
      <w:pPr>
        <w:rPr>
          <w:rFonts w:ascii="方正黑体_GBK" w:hAnsi="方正黑体_GBK" w:eastAsia="方正黑体_GBK" w:cs="方正黑体_GBK"/>
          <w:kern w:val="44"/>
          <w:sz w:val="44"/>
        </w:rPr>
      </w:pPr>
      <w:r>
        <w:rPr>
          <w:rFonts w:ascii="方正黑体_GBK" w:hAnsi="方正黑体_GBK" w:eastAsia="方正黑体_GBK" w:cs="方正黑体_GBK"/>
          <w:kern w:val="44"/>
          <w:sz w:val="44"/>
        </w:rPr>
        <w:br w:type="page"/>
      </w:r>
    </w:p>
    <w:p>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2. 法定代表人资格证明书、法定代表人授权书(格式）（二选一）</w:t>
      </w:r>
    </w:p>
    <w:p>
      <w:pPr>
        <w:spacing w:line="560" w:lineRule="exact"/>
        <w:ind w:firstLine="880"/>
        <w:rPr>
          <w:rFonts w:ascii="方正黑体_GBK" w:hAnsi="方正黑体_GBK" w:eastAsia="方正黑体_GBK" w:cs="方正黑体_GBK"/>
          <w:kern w:val="44"/>
          <w:sz w:val="44"/>
        </w:rPr>
      </w:pPr>
    </w:p>
    <w:p>
      <w:pPr>
        <w:spacing w:line="560" w:lineRule="exact"/>
        <w:ind w:firstLine="2640" w:firstLineChars="600"/>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法定代表人资格证明书</w:t>
      </w:r>
    </w:p>
    <w:p>
      <w:pPr>
        <w:spacing w:line="560" w:lineRule="exact"/>
        <w:ind w:firstLine="561"/>
        <w:rPr>
          <w:rFonts w:ascii="楷体_GB2312" w:hAnsi="宋体" w:eastAsia="楷体_GB2312"/>
          <w:b/>
          <w:kern w:val="0"/>
          <w:sz w:val="28"/>
          <w:szCs w:val="28"/>
        </w:rPr>
      </w:pPr>
    </w:p>
    <w:p>
      <w:pPr>
        <w:spacing w:line="560" w:lineRule="exact"/>
        <w:ind w:firstLine="561"/>
        <w:rPr>
          <w:rFonts w:ascii="楷体_GB2312" w:hAnsi="宋体" w:eastAsia="楷体_GB2312"/>
          <w:b/>
          <w:kern w:val="0"/>
          <w:sz w:val="28"/>
          <w:szCs w:val="28"/>
        </w:rPr>
      </w:pPr>
      <w:r>
        <w:rPr>
          <w:rFonts w:hint="eastAsia" w:ascii="楷体_GB2312" w:hAnsi="宋体" w:eastAsia="楷体_GB2312"/>
          <w:b/>
          <w:kern w:val="0"/>
          <w:sz w:val="28"/>
          <w:szCs w:val="28"/>
        </w:rPr>
        <w:t>项目名称：</w:t>
      </w:r>
    </w:p>
    <w:p>
      <w:pPr>
        <w:tabs>
          <w:tab w:val="left" w:pos="6300"/>
        </w:tabs>
        <w:snapToGrid w:val="0"/>
        <w:spacing w:line="500" w:lineRule="exact"/>
        <w:ind w:firstLine="562"/>
        <w:rPr>
          <w:rFonts w:ascii="方正仿宋_GBK" w:hAnsi="宋体" w:eastAsia="方正仿宋_GBK"/>
          <w:b/>
          <w:bCs/>
          <w:sz w:val="28"/>
          <w:szCs w:val="28"/>
        </w:rPr>
      </w:pPr>
      <w:r>
        <w:rPr>
          <w:rFonts w:hint="eastAsia" w:ascii="方正仿宋_GBK" w:hAnsi="宋体" w:eastAsia="方正仿宋_GBK"/>
          <w:b/>
          <w:bCs/>
          <w:sz w:val="28"/>
          <w:szCs w:val="28"/>
        </w:rPr>
        <w:t>重庆市沙坪坝区人民医院：</w:t>
      </w:r>
    </w:p>
    <w:p>
      <w:pPr>
        <w:tabs>
          <w:tab w:val="left" w:pos="6300"/>
        </w:tabs>
        <w:snapToGrid w:val="0"/>
        <w:spacing w:line="500" w:lineRule="exact"/>
        <w:ind w:firstLine="560"/>
        <w:rPr>
          <w:rFonts w:ascii="方正仿宋_GBK" w:hAnsi="宋体" w:eastAsia="方正仿宋_GBK"/>
          <w:sz w:val="28"/>
          <w:szCs w:val="28"/>
        </w:rPr>
      </w:pPr>
      <w:r>
        <w:rPr>
          <w:rFonts w:hint="eastAsia" w:ascii="方正仿宋_GBK" w:hAnsi="宋体" w:eastAsia="方正仿宋_GBK"/>
          <w:sz w:val="28"/>
          <w:szCs w:val="28"/>
          <w:u w:val="single"/>
        </w:rPr>
        <w:t>（法定代表人名称及身份证号码）</w:t>
      </w:r>
      <w:r>
        <w:rPr>
          <w:rFonts w:hint="eastAsia" w:ascii="方正仿宋_GBK" w:hAnsi="宋体" w:eastAsia="方正仿宋_GBK"/>
          <w:sz w:val="28"/>
          <w:szCs w:val="28"/>
        </w:rPr>
        <w:t>是</w:t>
      </w:r>
      <w:r>
        <w:rPr>
          <w:rFonts w:hint="eastAsia" w:ascii="方正仿宋_GBK" w:hAnsi="宋体" w:eastAsia="方正仿宋_GBK"/>
          <w:sz w:val="28"/>
          <w:szCs w:val="28"/>
          <w:u w:val="single"/>
        </w:rPr>
        <w:t>（供应商名称）</w:t>
      </w:r>
      <w:r>
        <w:rPr>
          <w:rFonts w:hint="eastAsia" w:ascii="方正仿宋_GBK" w:hAnsi="宋体" w:eastAsia="方正仿宋_GBK"/>
          <w:sz w:val="28"/>
          <w:szCs w:val="28"/>
        </w:rPr>
        <w:t>的法定代表人，电话</w:t>
      </w:r>
      <w:r>
        <w:rPr>
          <w:rFonts w:ascii="方正仿宋_GBK" w:hAnsi="宋体" w:eastAsia="方正仿宋_GBK"/>
          <w:sz w:val="28"/>
          <w:szCs w:val="28"/>
        </w:rPr>
        <w:t>，</w:t>
      </w:r>
      <w:r>
        <w:rPr>
          <w:rFonts w:hint="eastAsia" w:ascii="方正仿宋_GBK" w:hAnsi="宋体" w:eastAsia="方正仿宋_GBK"/>
          <w:sz w:val="28"/>
          <w:szCs w:val="28"/>
        </w:rPr>
        <w:t>代表我单位全权办理上述项目的报价、签约等具体工作，并签署全部有关文件、协议及合同，一经签字负全部责任。</w:t>
      </w:r>
    </w:p>
    <w:p>
      <w:pPr>
        <w:tabs>
          <w:tab w:val="left" w:pos="6300"/>
        </w:tabs>
        <w:snapToGrid w:val="0"/>
        <w:spacing w:line="500" w:lineRule="exact"/>
        <w:ind w:firstLine="560"/>
        <w:rPr>
          <w:rFonts w:ascii="方正仿宋_GBK" w:hAnsi="宋体" w:eastAsia="方正仿宋_GBK"/>
          <w:sz w:val="28"/>
          <w:szCs w:val="28"/>
        </w:rPr>
      </w:pPr>
    </w:p>
    <w:p>
      <w:pPr>
        <w:tabs>
          <w:tab w:val="left" w:pos="6300"/>
        </w:tabs>
        <w:snapToGrid w:val="0"/>
        <w:spacing w:line="500" w:lineRule="exact"/>
        <w:ind w:firstLine="560"/>
        <w:rPr>
          <w:rFonts w:ascii="方正仿宋_GBK" w:hAnsi="宋体" w:eastAsia="方正仿宋_GBK"/>
          <w:sz w:val="28"/>
          <w:szCs w:val="28"/>
        </w:rPr>
      </w:pPr>
      <w:r>
        <w:rPr>
          <w:rFonts w:hint="eastAsia" w:ascii="方正仿宋_GBK" w:hAnsi="宋体" w:eastAsia="方正仿宋_GBK"/>
          <w:sz w:val="28"/>
          <w:szCs w:val="28"/>
        </w:rPr>
        <w:t>特此证明。</w:t>
      </w:r>
    </w:p>
    <w:p>
      <w:pPr>
        <w:tabs>
          <w:tab w:val="left" w:pos="6300"/>
        </w:tabs>
        <w:snapToGrid w:val="0"/>
        <w:spacing w:line="500" w:lineRule="exact"/>
        <w:ind w:firstLine="560"/>
        <w:rPr>
          <w:rFonts w:ascii="方正仿宋_GBK" w:hAnsi="宋体" w:eastAsia="方正仿宋_GBK"/>
          <w:sz w:val="28"/>
          <w:szCs w:val="28"/>
        </w:rPr>
      </w:pPr>
    </w:p>
    <w:p>
      <w:pPr>
        <w:tabs>
          <w:tab w:val="left" w:pos="6300"/>
        </w:tabs>
        <w:snapToGrid w:val="0"/>
        <w:spacing w:line="500" w:lineRule="exact"/>
        <w:ind w:firstLine="560"/>
        <w:rPr>
          <w:rFonts w:ascii="方正仿宋_GBK" w:hAnsi="宋体" w:eastAsia="方正仿宋_GBK"/>
          <w:sz w:val="28"/>
          <w:szCs w:val="28"/>
        </w:rPr>
      </w:pPr>
    </w:p>
    <w:p>
      <w:pPr>
        <w:tabs>
          <w:tab w:val="left" w:pos="6300"/>
        </w:tabs>
        <w:snapToGrid w:val="0"/>
        <w:spacing w:line="500" w:lineRule="exact"/>
        <w:ind w:firstLine="560"/>
        <w:rPr>
          <w:rFonts w:ascii="方正仿宋_GBK" w:hAnsi="宋体" w:eastAsia="方正仿宋_GBK"/>
          <w:sz w:val="28"/>
          <w:szCs w:val="28"/>
        </w:rPr>
      </w:pPr>
      <w:r>
        <w:rPr>
          <w:rFonts w:hint="eastAsia" w:ascii="方正仿宋_GBK" w:hAnsi="宋体" w:eastAsia="方正仿宋_GBK"/>
          <w:sz w:val="28"/>
          <w:szCs w:val="28"/>
        </w:rPr>
        <w:t xml:space="preserve">                                             （供应商公章）</w:t>
      </w:r>
    </w:p>
    <w:p>
      <w:pPr>
        <w:tabs>
          <w:tab w:val="left" w:pos="6300"/>
        </w:tabs>
        <w:snapToGrid w:val="0"/>
        <w:spacing w:line="500" w:lineRule="exact"/>
        <w:ind w:firstLine="560"/>
        <w:rPr>
          <w:rFonts w:ascii="方正仿宋_GBK" w:hAnsi="宋体" w:eastAsia="方正仿宋_GBK"/>
          <w:sz w:val="28"/>
          <w:szCs w:val="28"/>
        </w:rPr>
      </w:pPr>
    </w:p>
    <w:p>
      <w:pPr>
        <w:tabs>
          <w:tab w:val="left" w:pos="6300"/>
        </w:tabs>
        <w:snapToGrid w:val="0"/>
        <w:spacing w:line="500" w:lineRule="exact"/>
        <w:ind w:firstLine="560"/>
        <w:rPr>
          <w:rFonts w:ascii="方正仿宋_GBK" w:hAnsi="宋体" w:eastAsia="方正仿宋_GBK"/>
          <w:sz w:val="28"/>
          <w:szCs w:val="28"/>
        </w:rPr>
      </w:pPr>
      <w:r>
        <w:rPr>
          <w:rFonts w:hint="eastAsia" w:ascii="方正仿宋_GBK" w:hAnsi="宋体" w:eastAsia="方正仿宋_GBK"/>
          <w:sz w:val="28"/>
          <w:szCs w:val="28"/>
        </w:rPr>
        <w:t xml:space="preserve">                                             年   月   日</w:t>
      </w:r>
    </w:p>
    <w:p>
      <w:pPr>
        <w:tabs>
          <w:tab w:val="left" w:pos="6300"/>
        </w:tabs>
        <w:snapToGrid w:val="0"/>
        <w:spacing w:line="500" w:lineRule="exact"/>
        <w:ind w:firstLine="480"/>
        <w:rPr>
          <w:rFonts w:ascii="方正仿宋_GBK" w:hAnsi="仿宋" w:eastAsia="方正仿宋_GBK"/>
        </w:rPr>
      </w:pPr>
      <w:r>
        <w:rPr>
          <w:rFonts w:hint="eastAsia" w:ascii="方正仿宋_GBK" w:hAnsi="仿宋" w:eastAsia="方正仿宋_GBK"/>
        </w:rPr>
        <w:t>法定代表人电话：XXXXXXX      电子邮箱：XXXXXX@XXXXX（若授权他人办理并签署响应文件的可不填写）</w:t>
      </w:r>
    </w:p>
    <w:p>
      <w:pPr>
        <w:tabs>
          <w:tab w:val="left" w:pos="6300"/>
        </w:tabs>
        <w:snapToGrid w:val="0"/>
        <w:spacing w:line="500" w:lineRule="exact"/>
        <w:ind w:firstLine="480"/>
        <w:rPr>
          <w:rFonts w:ascii="方正仿宋_GBK" w:hAnsi="宋体" w:eastAsia="方正仿宋_GBK"/>
        </w:rPr>
      </w:pPr>
      <w:r>
        <w:rPr>
          <w:rFonts w:hint="eastAsia" w:ascii="方正仿宋_GBK" w:hAnsi="仿宋" w:eastAsia="方正仿宋_GBK"/>
        </w:rPr>
        <w:t>（附：法定代表人身份证正反面复印件）</w:t>
      </w:r>
    </w:p>
    <w:p>
      <w:pPr>
        <w:ind w:firstLine="560"/>
        <w:rPr>
          <w:rFonts w:ascii="仿宋_GB2312" w:hAnsi="宋体" w:eastAsia="仿宋_GB2312"/>
          <w:kern w:val="0"/>
          <w:sz w:val="28"/>
          <w:szCs w:val="28"/>
        </w:rPr>
      </w:pPr>
    </w:p>
    <w:p>
      <w:pPr>
        <w:ind w:firstLine="560"/>
        <w:rPr>
          <w:rFonts w:ascii="仿宋_GB2312" w:hAnsi="宋体" w:eastAsia="仿宋_GB2312"/>
          <w:kern w:val="0"/>
          <w:sz w:val="28"/>
          <w:szCs w:val="28"/>
        </w:rPr>
      </w:pPr>
    </w:p>
    <w:p>
      <w:pPr>
        <w:ind w:firstLine="5600" w:firstLineChars="1750"/>
        <w:rPr>
          <w:rFonts w:ascii="仿宋_GB2312" w:hAnsi="宋体" w:eastAsia="仿宋_GB2312"/>
          <w:kern w:val="0"/>
          <w:sz w:val="28"/>
          <w:szCs w:val="28"/>
        </w:rPr>
      </w:pPr>
      <w:r>
        <w:rPr>
          <w:rFonts w:ascii="仿宋_GB2312" w:hAnsi="宋体" w:eastAsia="仿宋_GB2312"/>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3083560</wp:posOffset>
                </wp:positionH>
                <wp:positionV relativeFrom="paragraph">
                  <wp:posOffset>35560</wp:posOffset>
                </wp:positionV>
                <wp:extent cx="3096260" cy="1952625"/>
                <wp:effectExtent l="5080" t="4445" r="22860" b="5080"/>
                <wp:wrapNone/>
                <wp:docPr id="3"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242.8pt;margin-top:2.8pt;height:153.75pt;width:243.8pt;z-index:251661312;v-text-anchor:middle;mso-width-relative:page;mso-height-relative:page;" fillcolor="#FFFFFF" filled="t" stroked="t" coordsize="21600,21600" o:gfxdata="UEsDBAoAAAAAAIdO4kAAAAAAAAAAAAAAAAAEAAAAZHJzL1BLAwQUAAAACACHTuJAQhQHwNYAAAAJ&#10;AQAADwAAAGRycy9kb3ducmV2LnhtbE2PzU7DMBCE70i8g7VI3KjtBkIasukBVI5IpDyAEy9JVP9E&#10;sftDnh73BKfRakYz31bbizXsRHMYvUOQKwGMXOf16HqEr/3uoQAWonJaGe8I4YcCbOvbm0qV2p/d&#10;J52a2LNU4kKpEIYYp5Lz0A1kVVj5iVzyvv1sVUzn3HM9q3Mqt4avhci5VaNLC4Oa6HWg7tAcLcLH&#10;pqB+eQudOOwa+94uJiy5RLy/k+IFWKRL/AvDFT+hQ52YWn90OjCD8Fg85SmKcJXkb56zNbAWIZOZ&#10;BF5X/P8H9S9QSwMEFAAAAAgAh07iQOP3C/cgAgAAYAQAAA4AAABkcnMvZTJvRG9jLnhtbK1UzW7b&#10;MAy+D9g7CLovdlIkaI04BdYsuwzbgHYPwEiyLUB/kJTEeYHtDXbaZfc9V55jlOxmbbdDDtNBpkTq&#10;I/mR9PK214rshQ/SmppOJyUlwjDLpWlr+uVh8+aakhDBcFDWiJoeRaC3q9evlgdXiZntrOLCEwQx&#10;oTq4mnYxuqooAuuEhjCxThhUNtZriHj0bcE9HBBdq2JWloviYD133jIRAt6uByUdEf0lgLZpJBNr&#10;y3ZamDigeqEgYkqhky7QVY62aQSLn5omiEhUTTHTmHd0gvI27cVqCVXrwXWSjSHAJSG8yEmDNOj0&#10;DLWGCGTn5V9QWjJvg23ihFldDIlkRjCLafmCm/sOnMi5INXBnUkP/w+Wfdx/9kTyml5RYkBjwU/f&#10;v51+/Dr9/Eqm14mfgwsVmt07NIz9W9tj1zzeB7xMafeN1+mLCRHUI7vHM7uij4Th5VV5s5gtUMVQ&#10;N72ZzxazecIp/jx3PsT3wmqShJp6LF9mFfYfQhxMH02St2CV5BupVD74dnunPNkDlnqT14j+zEwZ&#10;cqgpep9jIID922DfoKgdchBMm/09exGeApd5/Qs4BbaG0A0BcJSSFVRaRuGz1Ang7wwn8eiQZoPT&#10;RVMsWnBKlMBhTFK2jCDVJZZInTLJicitPpKUCjYUJkmx3/YImsSt5UcsIhjWWZwBFj0dD3dxmImd&#10;87LtkPpc4SI9wsbLNRqHJHX20zPKT38M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CFAfA1gAA&#10;AAkBAAAPAAAAAAAAAAEAIAAAACIAAABkcnMvZG93bnJldi54bWxQSwECFAAUAAAACACHTuJA4/cL&#10;9yACAABgBAAADgAAAAAAAAABACAAAAAlAQAAZHJzL2Uyb0RvYy54bWxQSwUGAAAAAAYABgBZAQAA&#10;twU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r>
        <w:rPr>
          <w:rFonts w:ascii="仿宋_GB2312" w:hAnsi="宋体" w:eastAsia="仿宋_GB2312"/>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35560</wp:posOffset>
                </wp:positionV>
                <wp:extent cx="3096260" cy="1952625"/>
                <wp:effectExtent l="5080" t="4445" r="22860" b="5080"/>
                <wp:wrapNone/>
                <wp:docPr id="1"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15.95pt;margin-top:2.8pt;height:153.75pt;width:243.8pt;z-index:251660288;v-text-anchor:middle;mso-width-relative:page;mso-height-relative:page;" fillcolor="#FFFFFF" filled="t" stroked="t" coordsize="21600,21600" o:gfxdata="UEsDBAoAAAAAAIdO4kAAAAAAAAAAAAAAAAAEAAAAZHJzL1BLAwQUAAAACACHTuJARkgjrtYAAAAJ&#10;AQAADwAAAGRycy9kb3ducmV2LnhtbE2PzU7DMBCE70i8g7VI3FrbhIQ2xOkBVI5IpDyAEy9JVHsd&#10;xe4PeXrMCY6jGc18U+2uzrIzzmH0pECuBTCkzpuRegWfh/1qAyxETUZbT6jgGwPs6tubSpfGX+gD&#10;z03sWSqhUGoFQ4xTyXnoBnQ6rP2ElLwvPzsdk5x7bmZ9SeXO8gchCu70SGlh0BO+DNgdm5NT8L7d&#10;YL+8hk4c9417axcblkIqdX8nxTOwiNf4F4Zf/IQOdWJq/YlMYFbBKpPbFFWQF8CS/5jnT8BaBZnM&#10;JPC64v8f1D9QSwMEFAAAAAgAh07iQLadAikfAgAAYAQAAA4AAABkcnMvZTJvRG9jLnhtbK1UzY7T&#10;MBC+I/EOlu80aVGr3ajpSmwpFwRIuzzA1HYaS/6T7TbpC8AbcOLCnefqczB2QukuHHrAB2fsGX8z&#10;881Mlne9VuQgfJDW1HQ6KSkRhlkuza6mnx83r24oCREMB2WNqOlRBHq3evli2blKzGxrFReeIIgJ&#10;Vedq2sboqqIIrBUawsQ6YVDZWK8h4tHvCu6hQ3StillZLorOeu68ZSIEvF0PSjoi+msAbdNIJtaW&#10;7bUwcUD1QkHElEIrXaCrHG3TCBY/Nk0QkaiaYqYx7+gE5W3ai9USqp0H10o2hgDXhPAsJw3SoNMz&#10;1BoikL2Xf0FpybwNtokTZnUxJJIZwSym5TNuHlpwIueCVAd3Jj38P1j24fDJE8mxEygxoLHgp29f&#10;T99/nn58IdObxE/nQoVmDw4NY//G9sl2vA94mdLuG6/TFxMiqEd2j2d2RR8Jw8vX5e1itkAVQ930&#10;dj5bzOYJp/jz3PkQ3wmrSRJq6rF8mVU4vA9xMP1tkrwFqyTfSKXywe+298qTA2CpN3mN6E/MlCFd&#10;TdH7HAMB7N8G+wZF7ZCDYHbZ35MX4RK4zOtfwCmwNYR2CICjlKyg0jIKn6VWAH9rOIlHhzQbnC6a&#10;YtGCU6IEDmOSsmUEqa6xROqUSU5EbvWRpFSwoTBJiv22R9Akbi0/YhHBsNbiDLDo6Xi4j8NM7J2X&#10;uxapzxUu0iNsvFyjcUhSZ1+eUb78Ma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ZII67WAAAA&#10;CQEAAA8AAAAAAAAAAQAgAAAAIgAAAGRycy9kb3ducmV2LnhtbFBLAQIUABQAAAAIAIdO4kC2nQIp&#10;HwIAAGAEAAAOAAAAAAAAAAEAIAAAACUBAABkcnMvZTJvRG9jLnhtbFBLBQYAAAAABgAGAFkBAAC2&#10;BQ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pPr>
        <w:ind w:firstLine="5980" w:firstLineChars="1869"/>
        <w:jc w:val="left"/>
        <w:rPr>
          <w:rFonts w:ascii="仿宋_GB2312" w:hAnsi="宋体" w:eastAsia="仿宋_GB2312"/>
          <w:kern w:val="0"/>
          <w:sz w:val="32"/>
          <w:szCs w:val="32"/>
        </w:rPr>
      </w:pPr>
    </w:p>
    <w:p>
      <w:pPr>
        <w:ind w:firstLine="5980" w:firstLineChars="1869"/>
        <w:jc w:val="left"/>
        <w:rPr>
          <w:rFonts w:ascii="宋体" w:hAnsi="宋体"/>
          <w:kern w:val="0"/>
          <w:sz w:val="32"/>
          <w:szCs w:val="32"/>
        </w:rPr>
      </w:pPr>
    </w:p>
    <w:p>
      <w:pPr>
        <w:ind w:firstLine="5980" w:firstLineChars="1869"/>
        <w:jc w:val="left"/>
        <w:rPr>
          <w:rFonts w:ascii="宋体" w:hAnsi="宋体"/>
          <w:kern w:val="0"/>
          <w:sz w:val="32"/>
          <w:szCs w:val="32"/>
        </w:rPr>
      </w:pPr>
    </w:p>
    <w:p>
      <w:pPr>
        <w:spacing w:line="560" w:lineRule="exact"/>
        <w:ind w:firstLine="480"/>
        <w:rPr>
          <w:rFonts w:ascii="宋体" w:hAnsi="宋体"/>
        </w:rPr>
      </w:pPr>
    </w:p>
    <w:p>
      <w:pPr>
        <w:spacing w:line="560" w:lineRule="exact"/>
        <w:ind w:firstLine="560"/>
        <w:rPr>
          <w:rFonts w:ascii="黑体" w:hAnsi="宋体" w:eastAsia="黑体"/>
          <w:sz w:val="28"/>
          <w:szCs w:val="28"/>
        </w:rPr>
      </w:pPr>
    </w:p>
    <w:p>
      <w:pPr>
        <w:spacing w:line="560" w:lineRule="exact"/>
        <w:ind w:firstLine="560"/>
        <w:rPr>
          <w:rFonts w:ascii="黑体" w:hAnsi="宋体" w:eastAsia="黑体"/>
          <w:sz w:val="28"/>
          <w:szCs w:val="28"/>
        </w:rPr>
      </w:pPr>
    </w:p>
    <w:p>
      <w:pPr>
        <w:spacing w:line="560" w:lineRule="exact"/>
        <w:ind w:firstLine="880"/>
        <w:jc w:val="center"/>
        <w:rPr>
          <w:rFonts w:ascii="方正黑体_GBK" w:hAnsi="方正黑体_GBK" w:eastAsia="方正黑体_GBK" w:cs="方正黑体_GBK"/>
          <w:kern w:val="44"/>
          <w:sz w:val="44"/>
        </w:rPr>
      </w:pPr>
    </w:p>
    <w:p>
      <w:pPr>
        <w:spacing w:line="560" w:lineRule="exact"/>
        <w:ind w:firstLine="3080" w:firstLineChars="700"/>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法定代表人授权书</w:t>
      </w:r>
    </w:p>
    <w:p>
      <w:pPr>
        <w:tabs>
          <w:tab w:val="left" w:pos="6300"/>
        </w:tabs>
        <w:snapToGrid w:val="0"/>
        <w:spacing w:line="500" w:lineRule="exact"/>
        <w:ind w:firstLine="562"/>
        <w:rPr>
          <w:rFonts w:ascii="方正仿宋_GBK" w:hAnsi="宋体" w:eastAsia="方正仿宋_GBK"/>
          <w:b/>
          <w:sz w:val="28"/>
          <w:szCs w:val="28"/>
        </w:rPr>
      </w:pPr>
    </w:p>
    <w:p>
      <w:pPr>
        <w:tabs>
          <w:tab w:val="left" w:pos="6300"/>
        </w:tabs>
        <w:snapToGrid w:val="0"/>
        <w:spacing w:line="500" w:lineRule="exact"/>
        <w:ind w:firstLine="562"/>
        <w:rPr>
          <w:rFonts w:ascii="方正仿宋_GBK" w:hAnsi="宋体" w:eastAsia="方正仿宋_GBK"/>
          <w:b/>
          <w:sz w:val="28"/>
          <w:szCs w:val="28"/>
        </w:rPr>
      </w:pPr>
      <w:r>
        <w:rPr>
          <w:rFonts w:hint="eastAsia" w:ascii="方正仿宋_GBK" w:hAnsi="宋体" w:eastAsia="方正仿宋_GBK"/>
          <w:b/>
          <w:sz w:val="28"/>
          <w:szCs w:val="28"/>
        </w:rPr>
        <w:t>项目名称：</w:t>
      </w:r>
    </w:p>
    <w:p>
      <w:pPr>
        <w:spacing w:line="560" w:lineRule="exact"/>
        <w:ind w:firstLine="562"/>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重庆市沙坪坝区人民医院：</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u w:val="single"/>
        </w:rPr>
        <w:t>（供应商法定代表人名称）</w:t>
      </w:r>
      <w:r>
        <w:rPr>
          <w:rFonts w:hint="eastAsia" w:ascii="方正仿宋_GBK" w:hAnsi="宋体" w:eastAsia="方正仿宋_GBK"/>
          <w:sz w:val="28"/>
          <w:szCs w:val="28"/>
        </w:rPr>
        <w:t>是</w:t>
      </w:r>
      <w:r>
        <w:rPr>
          <w:rFonts w:hint="eastAsia" w:ascii="方正仿宋_GBK" w:hAnsi="宋体" w:eastAsia="方正仿宋_GBK"/>
          <w:sz w:val="28"/>
          <w:szCs w:val="28"/>
          <w:u w:val="single"/>
        </w:rPr>
        <w:t>（供应商名称）</w:t>
      </w:r>
      <w:r>
        <w:rPr>
          <w:rFonts w:hint="eastAsia" w:ascii="方正仿宋_GBK" w:hAnsi="宋体" w:eastAsia="方正仿宋_GBK"/>
          <w:sz w:val="28"/>
          <w:szCs w:val="28"/>
        </w:rPr>
        <w:t>的法定代表人，特授权</w:t>
      </w:r>
      <w:r>
        <w:rPr>
          <w:rFonts w:hint="eastAsia" w:ascii="方正仿宋_GBK" w:hAnsi="宋体" w:eastAsia="方正仿宋_GBK"/>
          <w:sz w:val="28"/>
          <w:szCs w:val="28"/>
          <w:u w:val="single"/>
        </w:rPr>
        <w:t>（被授权人姓名及身份证号码）</w:t>
      </w:r>
      <w:r>
        <w:rPr>
          <w:rFonts w:hint="eastAsia" w:ascii="方正仿宋_GBK" w:hAnsi="宋体" w:eastAsia="方正仿宋_GBK"/>
          <w:sz w:val="28"/>
          <w:szCs w:val="28"/>
        </w:rPr>
        <w:t>代表我单位全权办理上述项目的报价、签约等具体工作，并签署全部有关文件、协议及合同。我单位对被授权人的签署负全部责任。</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在撤销授权的书面通知以前，本授权书一直有效。被授权人在授权书有效期内签署的所有文件不因授权的撤销而失效。</w:t>
      </w:r>
    </w:p>
    <w:p>
      <w:pPr>
        <w:tabs>
          <w:tab w:val="left" w:pos="6300"/>
        </w:tabs>
        <w:snapToGrid w:val="0"/>
        <w:spacing w:line="500" w:lineRule="exact"/>
        <w:ind w:firstLine="560"/>
        <w:rPr>
          <w:rFonts w:ascii="方正仿宋_GBK" w:hAnsi="宋体" w:eastAsia="方正仿宋_GBK"/>
          <w:sz w:val="28"/>
          <w:szCs w:val="28"/>
        </w:rPr>
      </w:pPr>
    </w:p>
    <w:p>
      <w:pPr>
        <w:tabs>
          <w:tab w:val="left" w:pos="6300"/>
        </w:tabs>
        <w:snapToGrid w:val="0"/>
        <w:spacing w:line="500" w:lineRule="exact"/>
        <w:ind w:firstLine="480"/>
        <w:rPr>
          <w:rFonts w:ascii="方正仿宋_GBK" w:hAnsi="宋体" w:eastAsia="方正仿宋_GBK"/>
        </w:rPr>
      </w:pP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被授权人：                                 供应商法定代表人：</w:t>
      </w:r>
    </w:p>
    <w:p>
      <w:pPr>
        <w:tabs>
          <w:tab w:val="left" w:pos="6300"/>
        </w:tabs>
        <w:snapToGrid w:val="0"/>
        <w:spacing w:line="500" w:lineRule="exact"/>
        <w:ind w:firstLine="560"/>
        <w:rPr>
          <w:rFonts w:ascii="方正仿宋_GBK" w:hAnsi="宋体" w:eastAsia="方正仿宋_GBK"/>
          <w:sz w:val="28"/>
          <w:szCs w:val="28"/>
        </w:rPr>
      </w:pPr>
      <w:r>
        <w:rPr>
          <w:rFonts w:hint="eastAsia" w:ascii="方正仿宋_GBK" w:hAnsi="宋体" w:eastAsia="方正仿宋_GBK"/>
          <w:sz w:val="28"/>
          <w:szCs w:val="28"/>
        </w:rPr>
        <w:t>（签署或盖章）                              （签署或盖章）</w:t>
      </w:r>
    </w:p>
    <w:p>
      <w:pPr>
        <w:spacing w:line="560" w:lineRule="exact"/>
        <w:ind w:firstLine="280" w:firstLineChars="100"/>
        <w:rPr>
          <w:rFonts w:ascii="方正仿宋_GBK" w:hAnsi="宋体" w:eastAsia="方正仿宋_GBK"/>
          <w:sz w:val="28"/>
          <w:szCs w:val="28"/>
        </w:rPr>
      </w:pPr>
      <w:r>
        <w:rPr>
          <w:rFonts w:hint="eastAsia" w:ascii="方正仿宋_GBK" w:hAnsi="宋体" w:eastAsia="方正仿宋_GBK"/>
          <w:sz w:val="28"/>
          <w:szCs w:val="28"/>
        </w:rPr>
        <w:t>电    话：</w:t>
      </w:r>
    </w:p>
    <w:p>
      <w:pPr>
        <w:tabs>
          <w:tab w:val="left" w:pos="6300"/>
        </w:tabs>
        <w:snapToGrid w:val="0"/>
        <w:spacing w:line="500" w:lineRule="exact"/>
        <w:ind w:firstLine="560"/>
        <w:rPr>
          <w:rFonts w:ascii="方正仿宋_GBK" w:hAnsi="宋体" w:eastAsia="方正仿宋_GBK"/>
          <w:sz w:val="28"/>
          <w:szCs w:val="28"/>
        </w:rPr>
      </w:pPr>
    </w:p>
    <w:p>
      <w:pPr>
        <w:tabs>
          <w:tab w:val="left" w:pos="6300"/>
        </w:tabs>
        <w:snapToGrid w:val="0"/>
        <w:spacing w:line="500" w:lineRule="exact"/>
        <w:ind w:firstLine="560"/>
        <w:rPr>
          <w:rFonts w:ascii="方正仿宋_GBK" w:hAnsi="宋体" w:eastAsia="方正仿宋_GBK"/>
          <w:sz w:val="28"/>
          <w:szCs w:val="28"/>
        </w:rPr>
      </w:pPr>
      <w:r>
        <w:rPr>
          <w:rFonts w:hint="eastAsia" w:ascii="方正仿宋_GBK" w:hAnsi="宋体" w:eastAsia="方正仿宋_GBK"/>
          <w:sz w:val="28"/>
          <w:szCs w:val="28"/>
        </w:rPr>
        <w:t>（附：</w:t>
      </w:r>
      <w:r>
        <w:rPr>
          <w:rFonts w:hint="eastAsia" w:ascii="宋体" w:hAnsi="宋体"/>
          <w:szCs w:val="24"/>
        </w:rPr>
        <w:t>被授权人、法定代表人身份证正反面复印件</w:t>
      </w:r>
      <w:r>
        <w:rPr>
          <w:rFonts w:hint="eastAsia" w:ascii="方正仿宋_GBK" w:hAnsi="宋体" w:eastAsia="方正仿宋_GBK"/>
          <w:sz w:val="28"/>
          <w:szCs w:val="28"/>
        </w:rPr>
        <w:t>）</w:t>
      </w:r>
    </w:p>
    <w:p>
      <w:pPr>
        <w:ind w:firstLine="480"/>
        <w:rPr>
          <w:rFonts w:ascii="宋体" w:hAnsi="宋体"/>
          <w:kern w:val="0"/>
          <w:szCs w:val="24"/>
        </w:rPr>
      </w:pPr>
    </w:p>
    <w:p>
      <w:pPr>
        <w:ind w:firstLine="480"/>
        <w:jc w:val="center"/>
      </w:pPr>
    </w:p>
    <w:p>
      <w:pPr>
        <w:ind w:firstLine="480"/>
      </w:pPr>
      <w:r>
        <w:rPr>
          <w:rFonts w:ascii="宋体" w:hAnsi="宋体"/>
          <w:kern w:val="0"/>
          <w:szCs w:val="24"/>
        </w:rPr>
        <mc:AlternateContent>
          <mc:Choice Requires="wps">
            <w:drawing>
              <wp:anchor distT="0" distB="0" distL="114300" distR="114300" simplePos="0" relativeHeight="251663360" behindDoc="0" locked="0" layoutInCell="1" allowOverlap="1">
                <wp:simplePos x="0" y="0"/>
                <wp:positionH relativeFrom="column">
                  <wp:posOffset>3065145</wp:posOffset>
                </wp:positionH>
                <wp:positionV relativeFrom="paragraph">
                  <wp:posOffset>98425</wp:posOffset>
                </wp:positionV>
                <wp:extent cx="2886075" cy="1952625"/>
                <wp:effectExtent l="4445" t="4445" r="5080" b="5080"/>
                <wp:wrapNone/>
                <wp:docPr id="4"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wps:txbx>
                      <wps:bodyPr anchor="ctr" anchorCtr="0" upright="1"/>
                    </wps:wsp>
                  </a:graphicData>
                </a:graphic>
              </wp:anchor>
            </w:drawing>
          </mc:Choice>
          <mc:Fallback>
            <w:pict>
              <v:shape id="文本框 19" o:spid="_x0000_s1026" o:spt="202" type="#_x0000_t202" style="position:absolute;left:0pt;margin-left:241.35pt;margin-top:7.75pt;height:153.75pt;width:227.25pt;z-index:251663360;v-text-anchor:middle;mso-width-relative:page;mso-height-relative:page;" fillcolor="#FFFFFF" filled="t" stroked="t" coordsize="21600,21600" o:gfxdata="UEsDBAoAAAAAAIdO4kAAAAAAAAAAAAAAAAAEAAAAZHJzL1BLAwQUAAAACACHTuJAHj7E+dcAAAAK&#10;AQAADwAAAGRycy9kb3ducmV2LnhtbE2Py07DMBBF90j8gzVI7KidhLZpiNMFqCyRCHyAEw9J1Hgc&#10;xe6DfD3DCpaje3TvmXJ/daM44xwGTxqSlQKB1Ho7UKfh8+PwkIMI0ZA1oyfU8I0B9tXtTWkK6y/0&#10;juc6doJLKBRGQx/jVEgZ2h6dCSs/IXH25WdnIp9zJ+1sLlzuRpkqtZHODMQLvZnwucf2WJ+chrdd&#10;jt3yElp1PNTutVnGsGwSre/vEvUEIuI1/sHwq8/qULFT409kgxg1PObpllEO1msQDOyybQqi0ZCl&#10;mQJZlfL/C9UPUEsDBBQAAAAIAIdO4kBhR+y6IAIAAGAEAAAOAAAAZHJzL2Uyb0RvYy54bWytVM2O&#10;0zAQviPxDpbvNGlFSzdquhJbygUB0sIDuP5JLPlPttukLwBvwIkLd56rz7FjJ1u6C4ceyCH5bI+/&#10;mflmJqvbXit04D5Ia2o8nZQYcUMtk6ap8dcv21dLjEIkhhFlDa/xkQd8u375YtW5is9saxXjHgGJ&#10;CVXnatzG6KqiCLTlmoSJddzAobBekwhL3xTMkw7YtSpmZbkoOuuZ85byEGB3MxzikdFfQ2iFkJRv&#10;LN1rbuLA6rkiEVIKrXQBr3O0QnAaPwkReESqxpBpzG9wAniX3sV6RarGE9dKOoZArgnhWU6aSANO&#10;z1QbEgnae/kXlZbU22BFnFCriyGRrAhkMS2faXPfEsdzLiB1cGfRw/+jpR8Pnz2SrMavMTJEQ8FP&#10;P76ffv4+/fqGpjdJn86FCszuHRjG/q3toWse9wNsprR74XX6QkIIzkHd41ld3kdEYXO2XC7KN3OM&#10;KJxNb+azxWyeeIo/150P8T23GiVQYw/ly6qSw4cQB9NHk+QtWCXZViqVF77Z3SmPDgRKvc3PyP7E&#10;TBnU1Ri8p0AI9K+AvgGoHWgQTJP9PbkRLonL/PyLOAW2IaEdAmCAkhWptIzcZ9Rywt4ZhuLRgcwG&#10;pgunWDRnGCkOw5hQtoxEqmssQTplkhOeW30UKRVsKExCsd/1QJrgzrIjFJEY2lqYARo9Hhd3cZiJ&#10;vfOyaUH6XOEiXYLGyzUahyR19uUa8OWPY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j7E+dcA&#10;AAAKAQAADwAAAAAAAAABACAAAAAiAAAAZHJzL2Rvd25yZXYueG1sUEsBAhQAFAAAAAgAh07iQGFH&#10;7LogAgAAYAQAAA4AAAAAAAAAAQAgAAAAJgEAAGRycy9lMm9Eb2MueG1sUEsFBgAAAAAGAAYAWQEA&#10;ALgFA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v:textbox>
              </v:shape>
            </w:pict>
          </mc:Fallback>
        </mc:AlternateContent>
      </w:r>
      <w:r>
        <w:rPr>
          <w:rFonts w:ascii="宋体" w:hAnsi="宋体"/>
          <w:kern w:val="0"/>
          <w:szCs w:val="24"/>
        </w:rPr>
        <mc:AlternateContent>
          <mc:Choice Requires="wps">
            <w:drawing>
              <wp:anchor distT="0" distB="0" distL="114300" distR="114300" simplePos="0" relativeHeight="251662336" behindDoc="0" locked="0" layoutInCell="1" allowOverlap="1">
                <wp:simplePos x="0" y="0"/>
                <wp:positionH relativeFrom="column">
                  <wp:posOffset>-268605</wp:posOffset>
                </wp:positionH>
                <wp:positionV relativeFrom="paragraph">
                  <wp:posOffset>92075</wp:posOffset>
                </wp:positionV>
                <wp:extent cx="2886075" cy="1952625"/>
                <wp:effectExtent l="4445" t="4445" r="5080" b="5080"/>
                <wp:wrapNone/>
                <wp:docPr id="2"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9" o:spid="_x0000_s1026" o:spt="202" type="#_x0000_t202" style="position:absolute;left:0pt;margin-left:-21.15pt;margin-top:7.25pt;height:153.75pt;width:227.25pt;z-index:251662336;v-text-anchor:middle;mso-width-relative:page;mso-height-relative:page;" fillcolor="#FFFFFF" filled="t" stroked="t" coordsize="21600,21600" o:gfxdata="UEsDBAoAAAAAAIdO4kAAAAAAAAAAAAAAAAAEAAAAZHJzL1BLAwQUAAAACACHTuJA8RIDGdYAAAAK&#10;AQAADwAAAGRycy9kb3ducmV2LnhtbE2Py07DMBBF90j8gzVI7Fo7bqhKiNMFqCyRCHyAEw9J1Hgc&#10;xe6DfD3DCpaje3TvmXJ/9aM44xyHQAaytQKB1AY3UGfg8+Ow2oGIyZKzYyA08I0R9tXtTWkLFy70&#10;juc6dYJLKBbWQJ/SVEgZ2x69jeswIXH2FWZvE59zJ91sL1zuR6mV2kpvB+KF3k743GN7rE/ewNvj&#10;DrvlJbbqeKj9a7OMcdlmxtzfZeoJRMJr+oPhV5/VoWKnJpzIRTEaWOV6wygH+QMIBvJMaxCNgY3W&#10;CmRVyv8vVD9QSwMEFAAAAAgAh07iQN//hgMgAgAAYAQAAA4AAABkcnMvZTJvRG9jLnhtbK1UzY7T&#10;MBC+I/EOlu80aaSWbtR0JbaUCwKkhQdwbSe25D/ZbpO+ALwBJy7cea59DsZOtnQXDj2QQ/LZHn8z&#10;881M1reDVujIfZDWNHg+KzHihlomTdfgL593r1YYhUgMI8oa3uATD/h28/LFunc1r6ywinGPgMSE&#10;uncNFjG6uigCFVyTMLOOGzhsrdckwtJ3BfOkB3atiqosl0VvPXPeUh4C7G7HQzwx+msIbdtKyreW&#10;HjQ3cWT1XJEIKQUhXcCbHG3bcho/tm3gEakGQ6Yxv8EJ4H16F5s1qTtPnJB0CoFcE8KznDSRBpye&#10;qbYkEnTw8i8qLam3wbZxRq0uxkSyIpDFvHymzb0gjudcQOrgzqKH/0dLPxw/eSRZgyuMDNFQ8Ifv&#10;3x5+/Hr4+RXNb5I+vQs1mN07MIzDGztA1zzuB9hMaQ+t1+kLCSE4B3VPZ3X5EBGFzWq1WpavFxhR&#10;OJvfLKpltUg8xZ/rzof4jluNEmiwh/JlVcnxfYij6aNJ8haskmwnlcoL3+3vlEdHAqXe5Wdif2Km&#10;DOobDN5TIAT6t4W+AagdaBBMl/09uREuicv8/Is4BbYlQYwBMEDJitRaRu4zEpywt4aheHIgs4Hp&#10;wikWzRlGisMwJpQtI5HqGkuQTpnkhOdWn0RKBRsLk1Ac9gOQJri37ARFJIYKCzNAo8fT4i6OM3Fw&#10;XnYCpM8VLtIlaLxco2lIUmdfrgFf/hg2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EgMZ1gAA&#10;AAoBAAAPAAAAAAAAAAEAIAAAACIAAABkcnMvZG93bnJldi54bWxQSwECFAAUAAAACACHTuJA3/+G&#10;AyACAABgBAAADgAAAAAAAAABACAAAAAlAQAAZHJzL2Uyb0RvYy54bWxQSwUGAAAAAAYABgBZAQAA&#10;twU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pPr>
        <w:ind w:firstLine="480"/>
      </w:pPr>
    </w:p>
    <w:p>
      <w:pPr>
        <w:ind w:firstLine="480"/>
      </w:pPr>
    </w:p>
    <w:p>
      <w:pPr>
        <w:tabs>
          <w:tab w:val="left" w:pos="8595"/>
        </w:tabs>
        <w:ind w:firstLine="480"/>
      </w:pPr>
      <w:r>
        <w:tab/>
      </w:r>
    </w:p>
    <w:p>
      <w:pPr>
        <w:tabs>
          <w:tab w:val="left" w:pos="8595"/>
        </w:tabs>
        <w:ind w:firstLine="480"/>
      </w:pPr>
    </w:p>
    <w:p>
      <w:pPr>
        <w:ind w:firstLine="560"/>
        <w:rPr>
          <w:rFonts w:ascii="黑体" w:hAnsi="华文中宋" w:eastAsia="黑体"/>
          <w:color w:val="000000"/>
          <w:sz w:val="28"/>
          <w:szCs w:val="28"/>
        </w:rPr>
      </w:pPr>
    </w:p>
    <w:p>
      <w:pPr>
        <w:ind w:firstLine="560"/>
        <w:rPr>
          <w:rFonts w:ascii="黑体" w:hAnsi="华文中宋" w:eastAsia="黑体"/>
          <w:color w:val="000000"/>
          <w:sz w:val="28"/>
          <w:szCs w:val="28"/>
        </w:rPr>
      </w:pPr>
    </w:p>
    <w:p>
      <w:pPr>
        <w:ind w:firstLine="560"/>
        <w:rPr>
          <w:rFonts w:ascii="黑体" w:hAnsi="华文中宋" w:eastAsia="黑体"/>
          <w:color w:val="000000"/>
          <w:sz w:val="28"/>
          <w:szCs w:val="28"/>
        </w:rPr>
      </w:pPr>
      <w:r>
        <w:rPr>
          <w:rFonts w:hint="eastAsia" w:ascii="黑体" w:hAnsi="华文中宋" w:eastAsia="黑体"/>
          <w:color w:val="000000"/>
          <w:sz w:val="28"/>
          <w:szCs w:val="28"/>
        </w:rPr>
        <w:t>附件4</w:t>
      </w:r>
    </w:p>
    <w:p>
      <w:pPr>
        <w:spacing w:line="560" w:lineRule="exact"/>
        <w:ind w:firstLine="560"/>
        <w:rPr>
          <w:rFonts w:ascii="黑体" w:hAnsi="宋体" w:eastAsia="黑体"/>
          <w:sz w:val="28"/>
          <w:szCs w:val="28"/>
        </w:rPr>
      </w:pPr>
    </w:p>
    <w:p>
      <w:pPr>
        <w:spacing w:line="560" w:lineRule="exact"/>
        <w:ind w:firstLine="880"/>
        <w:jc w:val="center"/>
        <w:rPr>
          <w:rFonts w:ascii="方正黑体_GBK" w:hAnsi="方正黑体_GBK" w:eastAsia="方正黑体_GBK" w:cs="方正黑体_GBK"/>
          <w:kern w:val="44"/>
          <w:sz w:val="44"/>
        </w:rPr>
      </w:pPr>
    </w:p>
    <w:p>
      <w:pPr>
        <w:spacing w:line="560" w:lineRule="exact"/>
        <w:ind w:firstLine="880"/>
        <w:jc w:val="center"/>
        <w:rPr>
          <w:rFonts w:ascii="方正黑体_GBK" w:hAnsi="方正黑体_GBK" w:eastAsia="方正黑体_GBK" w:cs="方正黑体_GBK"/>
          <w:kern w:val="44"/>
          <w:sz w:val="44"/>
        </w:rPr>
      </w:pPr>
    </w:p>
    <w:p>
      <w:pPr>
        <w:spacing w:line="560" w:lineRule="exact"/>
        <w:rPr>
          <w:rFonts w:ascii="方正黑体_GBK" w:hAnsi="方正黑体_GBK" w:eastAsia="方正黑体_GBK" w:cs="方正黑体_GBK"/>
          <w:kern w:val="44"/>
          <w:sz w:val="44"/>
        </w:rPr>
      </w:pPr>
    </w:p>
    <w:p>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p>
    <w:p>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 xml:space="preserve">3. </w:t>
      </w:r>
      <w:r>
        <w:rPr>
          <w:rFonts w:hint="eastAsia" w:ascii="方正仿宋_GBK" w:hAnsi="宋体" w:eastAsia="方正仿宋_GBK"/>
          <w:szCs w:val="24"/>
        </w:rPr>
        <w:t>基本资格条件承诺函（格式）</w:t>
      </w:r>
    </w:p>
    <w:p>
      <w:pPr>
        <w:spacing w:line="560" w:lineRule="exact"/>
        <w:ind w:firstLine="88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基本资格条件承诺函</w:t>
      </w:r>
    </w:p>
    <w:p>
      <w:pPr>
        <w:tabs>
          <w:tab w:val="left" w:pos="6300"/>
        </w:tabs>
        <w:snapToGrid w:val="0"/>
        <w:spacing w:line="500" w:lineRule="exact"/>
        <w:ind w:firstLine="562"/>
        <w:rPr>
          <w:rFonts w:ascii="方正仿宋_GBK" w:hAnsi="宋体" w:eastAsia="方正仿宋_GBK"/>
          <w:b/>
          <w:sz w:val="28"/>
          <w:szCs w:val="28"/>
        </w:rPr>
      </w:pPr>
    </w:p>
    <w:p>
      <w:pPr>
        <w:tabs>
          <w:tab w:val="left" w:pos="6300"/>
        </w:tabs>
        <w:snapToGrid w:val="0"/>
        <w:spacing w:line="500" w:lineRule="exact"/>
        <w:ind w:firstLine="562"/>
        <w:rPr>
          <w:rFonts w:ascii="仿宋_GB2312" w:hAnsi="仿宋_GB2312" w:eastAsia="仿宋_GB2312" w:cs="仿宋_GB2312"/>
          <w:sz w:val="28"/>
          <w:szCs w:val="28"/>
        </w:rPr>
      </w:pPr>
      <w:r>
        <w:rPr>
          <w:rFonts w:hint="eastAsia" w:ascii="方正仿宋_GBK" w:hAnsi="宋体" w:eastAsia="方正仿宋_GBK"/>
          <w:b/>
          <w:sz w:val="28"/>
          <w:szCs w:val="28"/>
        </w:rPr>
        <w:t>项目名称：</w:t>
      </w:r>
      <w:r>
        <w:rPr>
          <w:rFonts w:ascii="仿宋_GB2312" w:hAnsi="仿宋_GB2312" w:eastAsia="仿宋_GB2312" w:cs="仿宋_GB2312"/>
          <w:sz w:val="28"/>
          <w:szCs w:val="28"/>
        </w:rPr>
        <w:tab/>
      </w:r>
    </w:p>
    <w:p>
      <w:pPr>
        <w:spacing w:line="560" w:lineRule="exact"/>
        <w:ind w:firstLine="562"/>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u w:val="single"/>
        </w:rPr>
        <w:t>重庆市沙坪坝区人民医院：</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（供应商名称）郑重承诺：</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1.我方具有良好的商业信誉和健全的财务会计制度，具有履行合同所必需的设备和专业技术能力，具</w:t>
      </w:r>
      <w:r>
        <w:rPr>
          <w:rFonts w:hint="eastAsia" w:ascii="方正仿宋_GBK" w:hAnsi="仿宋" w:eastAsia="方正仿宋_GBK"/>
          <w:sz w:val="28"/>
          <w:szCs w:val="28"/>
          <w:lang w:val="zh-CN"/>
        </w:rPr>
        <w:t>有依法缴纳税收和社会保障金的良好记录</w:t>
      </w:r>
      <w:r>
        <w:rPr>
          <w:rFonts w:hint="eastAsia" w:ascii="方正仿宋_GBK" w:hAnsi="仿宋" w:eastAsia="方正仿宋_GBK"/>
          <w:sz w:val="28"/>
          <w:szCs w:val="28"/>
        </w:rPr>
        <w:t>，参加本项目采购活动前三年内无重大违法活动记录。</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我方对以上承诺负全部法律责任。</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特此承诺。</w:t>
      </w:r>
    </w:p>
    <w:p>
      <w:pPr>
        <w:tabs>
          <w:tab w:val="left" w:pos="6300"/>
        </w:tabs>
        <w:snapToGrid w:val="0"/>
        <w:spacing w:line="500" w:lineRule="exact"/>
        <w:ind w:firstLine="560" w:firstLineChars="200"/>
        <w:rPr>
          <w:rFonts w:ascii="方正仿宋_GBK" w:hAnsi="仿宋" w:eastAsia="方正仿宋_GBK"/>
          <w:sz w:val="28"/>
          <w:szCs w:val="28"/>
        </w:rPr>
      </w:pPr>
    </w:p>
    <w:p>
      <w:pPr>
        <w:tabs>
          <w:tab w:val="left" w:pos="6300"/>
        </w:tabs>
        <w:snapToGrid w:val="0"/>
        <w:spacing w:line="500" w:lineRule="exact"/>
        <w:ind w:firstLine="560" w:firstLineChars="200"/>
        <w:jc w:val="right"/>
        <w:rPr>
          <w:rFonts w:ascii="方正仿宋_GBK" w:hAnsi="仿宋" w:eastAsia="方正仿宋_GBK"/>
          <w:sz w:val="28"/>
          <w:szCs w:val="28"/>
        </w:rPr>
      </w:pPr>
    </w:p>
    <w:p>
      <w:pPr>
        <w:tabs>
          <w:tab w:val="left" w:pos="6300"/>
        </w:tabs>
        <w:snapToGrid w:val="0"/>
        <w:spacing w:line="500" w:lineRule="exact"/>
        <w:ind w:firstLine="560" w:firstLineChars="200"/>
        <w:jc w:val="right"/>
        <w:rPr>
          <w:rFonts w:ascii="方正仿宋_GBK" w:hAnsi="仿宋" w:eastAsia="方正仿宋_GBK"/>
          <w:sz w:val="28"/>
          <w:szCs w:val="28"/>
        </w:rPr>
      </w:pPr>
    </w:p>
    <w:p>
      <w:pPr>
        <w:tabs>
          <w:tab w:val="left" w:pos="6300"/>
        </w:tabs>
        <w:snapToGrid w:val="0"/>
        <w:spacing w:line="500" w:lineRule="exact"/>
        <w:ind w:firstLine="560" w:firstLineChars="200"/>
        <w:jc w:val="right"/>
        <w:rPr>
          <w:rFonts w:ascii="方正仿宋_GBK" w:hAnsi="仿宋" w:eastAsia="方正仿宋_GBK"/>
          <w:sz w:val="28"/>
          <w:szCs w:val="28"/>
        </w:rPr>
      </w:pPr>
    </w:p>
    <w:p>
      <w:pPr>
        <w:tabs>
          <w:tab w:val="left" w:pos="6300"/>
        </w:tabs>
        <w:snapToGrid w:val="0"/>
        <w:spacing w:line="500" w:lineRule="exact"/>
        <w:ind w:firstLine="560" w:firstLineChars="200"/>
        <w:jc w:val="right"/>
        <w:rPr>
          <w:rFonts w:ascii="方正仿宋_GBK" w:hAnsi="仿宋" w:eastAsia="方正仿宋_GBK"/>
          <w:sz w:val="28"/>
          <w:szCs w:val="28"/>
        </w:rPr>
      </w:pPr>
    </w:p>
    <w:p>
      <w:pPr>
        <w:tabs>
          <w:tab w:val="left" w:pos="6300"/>
        </w:tabs>
        <w:snapToGrid w:val="0"/>
        <w:spacing w:line="500" w:lineRule="exact"/>
        <w:ind w:firstLine="560" w:firstLineChars="200"/>
        <w:jc w:val="center"/>
        <w:rPr>
          <w:rFonts w:ascii="方正仿宋_GBK" w:hAnsi="仿宋" w:eastAsia="方正仿宋_GBK"/>
          <w:sz w:val="28"/>
          <w:szCs w:val="28"/>
        </w:rPr>
      </w:pPr>
      <w:r>
        <w:rPr>
          <w:rFonts w:hint="eastAsia" w:ascii="方正仿宋_GBK" w:hAnsi="仿宋" w:eastAsia="方正仿宋_GBK"/>
          <w:sz w:val="28"/>
          <w:szCs w:val="28"/>
        </w:rPr>
        <w:t>（供应商公章）</w:t>
      </w:r>
    </w:p>
    <w:p>
      <w:pPr>
        <w:tabs>
          <w:tab w:val="left" w:pos="6300"/>
        </w:tabs>
        <w:snapToGrid w:val="0"/>
        <w:spacing w:line="500" w:lineRule="exact"/>
        <w:ind w:firstLine="560"/>
        <w:jc w:val="right"/>
        <w:rPr>
          <w:rFonts w:ascii="方正仿宋_GBK" w:hAnsi="宋体" w:eastAsia="方正仿宋_GBK"/>
          <w:sz w:val="28"/>
          <w:szCs w:val="28"/>
        </w:rPr>
      </w:pPr>
      <w:r>
        <w:rPr>
          <w:rFonts w:hint="eastAsia" w:ascii="方正仿宋_GBK" w:hAnsi="仿宋" w:eastAsia="方正仿宋_GBK"/>
          <w:sz w:val="28"/>
          <w:szCs w:val="28"/>
        </w:rPr>
        <w:t>年   月   日</w:t>
      </w:r>
    </w:p>
    <w:p>
      <w:pPr>
        <w:tabs>
          <w:tab w:val="left" w:pos="8595"/>
        </w:tabs>
        <w:ind w:firstLine="480"/>
        <w:jc w:val="right"/>
      </w:pPr>
    </w:p>
    <w:p>
      <w:pPr>
        <w:tabs>
          <w:tab w:val="left" w:pos="8595"/>
        </w:tabs>
        <w:ind w:firstLine="480"/>
        <w:jc w:val="right"/>
      </w:pPr>
    </w:p>
    <w:p>
      <w:pPr>
        <w:tabs>
          <w:tab w:val="left" w:pos="8595"/>
        </w:tabs>
        <w:ind w:firstLine="480"/>
      </w:pPr>
    </w:p>
    <w:p>
      <w:pPr>
        <w:tabs>
          <w:tab w:val="left" w:pos="8595"/>
        </w:tabs>
        <w:ind w:firstLine="480"/>
      </w:pPr>
    </w:p>
    <w:p>
      <w:pPr>
        <w:tabs>
          <w:tab w:val="left" w:pos="8595"/>
        </w:tabs>
        <w:ind w:firstLine="480"/>
      </w:pPr>
    </w:p>
    <w:p>
      <w:pPr>
        <w:spacing w:line="560" w:lineRule="exact"/>
        <w:rPr>
          <w:rFonts w:ascii="方正黑体_GBK" w:hAnsi="方正黑体_GBK" w:eastAsia="方正黑体_GBK" w:cs="方正黑体_GBK"/>
          <w:kern w:val="44"/>
          <w:sz w:val="44"/>
        </w:rPr>
      </w:pPr>
    </w:p>
    <w:p>
      <w:r>
        <w:rPr>
          <w:rFonts w:hint="eastAsia" w:ascii="方正仿宋_GB2312" w:hAnsi="方正仿宋_GB2312" w:eastAsia="方正仿宋_GB2312" w:cs="方正仿宋_GB2312"/>
          <w:sz w:val="28"/>
          <w:szCs w:val="28"/>
        </w:rPr>
        <w:br w:type="page"/>
      </w:r>
    </w:p>
    <w:p>
      <w:pPr>
        <w:tabs>
          <w:tab w:val="left" w:pos="6300"/>
        </w:tabs>
        <w:snapToGrid w:val="0"/>
        <w:spacing w:line="312" w:lineRule="auto"/>
        <w:ind w:left="-94" w:firstLine="560"/>
        <w:rPr>
          <w:rFonts w:ascii="方正仿宋_GBK" w:hAnsi="宋体" w:eastAsia="方正仿宋_GBK"/>
          <w:sz w:val="28"/>
          <w:szCs w:val="28"/>
        </w:rPr>
      </w:pPr>
      <w:r>
        <w:rPr>
          <w:rFonts w:hint="eastAsia" w:ascii="方正仿宋_GB2312" w:hAnsi="方正仿宋_GB2312" w:eastAsia="方正仿宋_GB2312" w:cs="方正仿宋_GB2312"/>
          <w:sz w:val="28"/>
          <w:szCs w:val="28"/>
        </w:rPr>
        <w:t>（二）</w:t>
      </w:r>
      <w:r>
        <w:rPr>
          <w:rFonts w:hint="eastAsia" w:ascii="方正仿宋_GBK" w:hAnsi="宋体" w:eastAsia="方正仿宋_GBK"/>
          <w:sz w:val="28"/>
          <w:szCs w:val="28"/>
        </w:rPr>
        <w:t>购销诚信及不参与围标串标承诺书（格式）</w:t>
      </w:r>
    </w:p>
    <w:p>
      <w:pPr>
        <w:spacing w:line="560" w:lineRule="exact"/>
        <w:ind w:firstLine="880"/>
        <w:jc w:val="center"/>
        <w:rPr>
          <w:rFonts w:ascii="方正黑体_GBK" w:hAnsi="方正黑体_GBK" w:eastAsia="方正黑体_GBK" w:cs="方正黑体_GBK"/>
          <w:kern w:val="44"/>
          <w:sz w:val="44"/>
        </w:rPr>
      </w:pPr>
    </w:p>
    <w:p>
      <w:pPr>
        <w:spacing w:line="560" w:lineRule="exact"/>
        <w:ind w:firstLine="88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购销诚信及不参与围标串标承诺书</w:t>
      </w:r>
    </w:p>
    <w:p>
      <w:pPr>
        <w:ind w:firstLine="480"/>
      </w:pPr>
    </w:p>
    <w:p>
      <w:pPr>
        <w:spacing w:line="560" w:lineRule="exact"/>
        <w:ind w:firstLine="560"/>
        <w:rPr>
          <w:rFonts w:ascii="方正仿宋_GBK" w:eastAsia="方正仿宋_GBK"/>
          <w:b/>
          <w:bCs/>
          <w:sz w:val="28"/>
          <w:szCs w:val="28"/>
        </w:rPr>
      </w:pPr>
      <w:r>
        <w:rPr>
          <w:rFonts w:hint="eastAsia" w:ascii="方正仿宋_GBK" w:eastAsia="方正仿宋_GBK"/>
          <w:b/>
          <w:bCs/>
          <w:sz w:val="28"/>
          <w:szCs w:val="28"/>
        </w:rPr>
        <w:t>重庆市沙坪坝区人民医院</w:t>
      </w:r>
      <w:r>
        <w:rPr>
          <w:rFonts w:ascii="方正仿宋_GBK" w:eastAsia="方正仿宋_GBK"/>
          <w:b/>
          <w:bCs/>
          <w:sz w:val="28"/>
          <w:szCs w:val="28"/>
        </w:rPr>
        <w:t>:</w:t>
      </w:r>
    </w:p>
    <w:p>
      <w:pPr>
        <w:spacing w:line="560" w:lineRule="exact"/>
        <w:ind w:left="365" w:leftChars="152" w:firstLine="280" w:firstLineChars="100"/>
        <w:rPr>
          <w:rFonts w:ascii="方正仿宋_GBK" w:eastAsia="方正仿宋_GBK"/>
          <w:sz w:val="28"/>
          <w:szCs w:val="28"/>
        </w:rPr>
      </w:pPr>
      <w:r>
        <w:rPr>
          <w:rFonts w:hint="eastAsia" w:ascii="方正仿宋_GBK" w:eastAsia="方正仿宋_GBK"/>
          <w:sz w:val="28"/>
          <w:szCs w:val="28"/>
        </w:rPr>
        <w:t>我单位参加贵单位(项目名称)的竞标，</w:t>
      </w:r>
      <w:r>
        <w:rPr>
          <w:rFonts w:ascii="方正仿宋_GBK" w:eastAsia="方正仿宋_GBK"/>
          <w:sz w:val="28"/>
          <w:szCs w:val="28"/>
        </w:rPr>
        <w:t>为保</w:t>
      </w:r>
      <w:r>
        <w:rPr>
          <w:rFonts w:hint="eastAsia" w:ascii="方正仿宋_GBK" w:eastAsia="方正仿宋_GBK"/>
          <w:sz w:val="28"/>
          <w:szCs w:val="28"/>
        </w:rPr>
        <w:t>证</w:t>
      </w:r>
      <w:r>
        <w:rPr>
          <w:rFonts w:ascii="方正仿宋_GBK" w:eastAsia="方正仿宋_GBK"/>
          <w:sz w:val="28"/>
          <w:szCs w:val="28"/>
        </w:rPr>
        <w:t>采购活动公开、公平、公正，</w:t>
      </w:r>
    </w:p>
    <w:p>
      <w:pPr>
        <w:spacing w:line="560" w:lineRule="exact"/>
        <w:rPr>
          <w:rFonts w:ascii="方正仿宋_GBK" w:eastAsia="方正仿宋_GBK"/>
          <w:sz w:val="28"/>
          <w:szCs w:val="28"/>
        </w:rPr>
      </w:pPr>
      <w:r>
        <w:rPr>
          <w:rFonts w:ascii="方正仿宋_GBK" w:eastAsia="方正仿宋_GBK"/>
          <w:sz w:val="28"/>
          <w:szCs w:val="28"/>
        </w:rPr>
        <w:t>防止发生侵占、</w:t>
      </w:r>
      <w:r>
        <w:rPr>
          <w:rFonts w:hint="eastAsia" w:ascii="方正仿宋_GBK" w:eastAsia="方正仿宋_GBK"/>
          <w:sz w:val="28"/>
          <w:szCs w:val="28"/>
        </w:rPr>
        <w:t>欺</w:t>
      </w:r>
      <w:r>
        <w:rPr>
          <w:rFonts w:ascii="方正仿宋_GBK" w:eastAsia="方正仿宋_GBK"/>
          <w:sz w:val="28"/>
          <w:szCs w:val="28"/>
        </w:rPr>
        <w:t>诈</w:t>
      </w:r>
      <w:r>
        <w:rPr>
          <w:rFonts w:hint="eastAsia" w:ascii="方正仿宋_GBK" w:eastAsia="方正仿宋_GBK"/>
          <w:sz w:val="28"/>
          <w:szCs w:val="28"/>
        </w:rPr>
        <w:t>、不正当竞争、行贿受贿</w:t>
      </w:r>
      <w:r>
        <w:rPr>
          <w:rFonts w:ascii="方正仿宋_GBK" w:eastAsia="方正仿宋_GBK"/>
          <w:sz w:val="28"/>
          <w:szCs w:val="28"/>
        </w:rPr>
        <w:t>等违法违纪</w:t>
      </w:r>
      <w:r>
        <w:rPr>
          <w:rFonts w:hint="eastAsia" w:ascii="方正仿宋_GBK" w:eastAsia="方正仿宋_GBK"/>
          <w:sz w:val="28"/>
          <w:szCs w:val="28"/>
        </w:rPr>
        <w:t>违规</w:t>
      </w:r>
      <w:r>
        <w:rPr>
          <w:rFonts w:ascii="方正仿宋_GBK" w:eastAsia="方正仿宋_GBK"/>
          <w:sz w:val="28"/>
          <w:szCs w:val="28"/>
        </w:rPr>
        <w:t>行为，</w:t>
      </w:r>
      <w:r>
        <w:rPr>
          <w:rFonts w:hint="eastAsia" w:ascii="方正仿宋_GBK" w:eastAsia="方正仿宋_GBK"/>
          <w:sz w:val="28"/>
          <w:szCs w:val="28"/>
        </w:rPr>
        <w:t>现我单位法定代表人/授权委托人对以下事项作出承诺:</w:t>
      </w:r>
    </w:p>
    <w:p>
      <w:pPr>
        <w:numPr>
          <w:ilvl w:val="0"/>
          <w:numId w:val="13"/>
        </w:numPr>
        <w:spacing w:line="560" w:lineRule="exact"/>
        <w:ind w:firstLine="560"/>
        <w:rPr>
          <w:rFonts w:ascii="方正仿宋_GBK" w:eastAsia="方正仿宋_GBK"/>
          <w:sz w:val="28"/>
          <w:szCs w:val="28"/>
        </w:rPr>
      </w:pPr>
      <w:r>
        <w:rPr>
          <w:rFonts w:ascii="方正仿宋_GBK" w:eastAsia="方正仿宋_GBK"/>
          <w:sz w:val="28"/>
          <w:szCs w:val="28"/>
        </w:rPr>
        <w:t>在任何采购环节，不以任何理由向</w:t>
      </w:r>
      <w:r>
        <w:rPr>
          <w:rFonts w:hint="eastAsia" w:ascii="方正仿宋_GBK" w:eastAsia="方正仿宋_GBK"/>
          <w:sz w:val="28"/>
          <w:szCs w:val="28"/>
        </w:rPr>
        <w:t>医院或委托采购代理机构</w:t>
      </w:r>
      <w:r>
        <w:rPr>
          <w:rFonts w:ascii="方正仿宋_GBK" w:eastAsia="方正仿宋_GBK"/>
          <w:sz w:val="28"/>
          <w:szCs w:val="28"/>
        </w:rPr>
        <w:t>人员行贿，包括但不限于送钱、物、购物卡、有价证券、免费提供劳务</w:t>
      </w:r>
      <w:r>
        <w:rPr>
          <w:rFonts w:hint="eastAsia" w:ascii="方正仿宋_GBK" w:eastAsia="方正仿宋_GBK"/>
          <w:sz w:val="28"/>
          <w:szCs w:val="28"/>
        </w:rPr>
        <w:t>等</w:t>
      </w:r>
      <w:r>
        <w:rPr>
          <w:rFonts w:ascii="方正仿宋_GBK" w:eastAsia="方正仿宋_GBK"/>
          <w:sz w:val="28"/>
          <w:szCs w:val="28"/>
        </w:rPr>
        <w:t>其他各种变相行贿行为</w:t>
      </w:r>
      <w:r>
        <w:rPr>
          <w:rFonts w:hint="eastAsia" w:ascii="方正仿宋_GBK" w:eastAsia="方正仿宋_GBK"/>
          <w:sz w:val="28"/>
          <w:szCs w:val="28"/>
        </w:rPr>
        <w:t>或提供不正当利益</w:t>
      </w:r>
      <w:r>
        <w:rPr>
          <w:rFonts w:ascii="方正仿宋_GBK" w:eastAsia="方正仿宋_GBK"/>
          <w:sz w:val="28"/>
          <w:szCs w:val="28"/>
        </w:rPr>
        <w:t>。</w:t>
      </w:r>
    </w:p>
    <w:p>
      <w:pPr>
        <w:numPr>
          <w:ilvl w:val="0"/>
          <w:numId w:val="13"/>
        </w:numPr>
        <w:spacing w:line="560" w:lineRule="exact"/>
        <w:ind w:firstLine="560"/>
        <w:rPr>
          <w:rFonts w:ascii="方正仿宋_GBK" w:eastAsia="方正仿宋_GBK"/>
          <w:sz w:val="28"/>
          <w:szCs w:val="28"/>
        </w:rPr>
      </w:pPr>
      <w:r>
        <w:rPr>
          <w:rFonts w:hint="eastAsia" w:ascii="方正仿宋_GBK" w:eastAsia="方正仿宋_GBK"/>
          <w:sz w:val="28"/>
          <w:szCs w:val="28"/>
        </w:rPr>
        <w:t>在本项目招投标活动中与招标人、与其它投标人均不存在关联关系。我单位和我本人在本项目招投标活动中，未参与围标、串标。</w:t>
      </w:r>
    </w:p>
    <w:p>
      <w:pPr>
        <w:numPr>
          <w:ilvl w:val="0"/>
          <w:numId w:val="13"/>
        </w:numPr>
        <w:spacing w:line="560" w:lineRule="exact"/>
        <w:ind w:firstLine="560"/>
        <w:rPr>
          <w:rFonts w:ascii="方正仿宋_GBK" w:eastAsia="方正仿宋_GBK"/>
          <w:sz w:val="28"/>
          <w:szCs w:val="28"/>
        </w:rPr>
      </w:pPr>
      <w:r>
        <w:rPr>
          <w:rFonts w:ascii="方正仿宋_GBK" w:eastAsia="方正仿宋_GBK"/>
          <w:sz w:val="28"/>
          <w:szCs w:val="28"/>
        </w:rPr>
        <w:t>诚信交易，</w:t>
      </w:r>
      <w:r>
        <w:rPr>
          <w:rFonts w:hint="eastAsia" w:ascii="方正仿宋_GBK" w:eastAsia="方正仿宋_GBK"/>
          <w:sz w:val="28"/>
          <w:szCs w:val="28"/>
        </w:rPr>
        <w:t>所提供资料和所承诺事项真实可靠。</w:t>
      </w:r>
      <w:r>
        <w:rPr>
          <w:rFonts w:ascii="方正仿宋_GBK" w:eastAsia="方正仿宋_GBK"/>
          <w:sz w:val="28"/>
          <w:szCs w:val="28"/>
        </w:rPr>
        <w:t>不掺杂掺假、以假充真、以次充好、以不合格冒充合格</w:t>
      </w:r>
      <w:r>
        <w:rPr>
          <w:rFonts w:hint="eastAsia" w:ascii="方正仿宋_GBK" w:eastAsia="方正仿宋_GBK"/>
          <w:sz w:val="28"/>
          <w:szCs w:val="28"/>
        </w:rPr>
        <w:t>。</w:t>
      </w:r>
    </w:p>
    <w:p>
      <w:pPr>
        <w:numPr>
          <w:ilvl w:val="0"/>
          <w:numId w:val="13"/>
        </w:numPr>
        <w:spacing w:line="560" w:lineRule="exact"/>
        <w:ind w:firstLine="560"/>
        <w:rPr>
          <w:rFonts w:ascii="方正仿宋_GBK" w:eastAsia="方正仿宋_GBK"/>
          <w:sz w:val="28"/>
          <w:szCs w:val="28"/>
        </w:rPr>
      </w:pPr>
      <w:r>
        <w:rPr>
          <w:rFonts w:hint="eastAsia" w:ascii="方正仿宋_GBK" w:eastAsia="方正仿宋_GBK"/>
          <w:sz w:val="28"/>
          <w:szCs w:val="28"/>
        </w:rPr>
        <w:t>如发现医院或委托采购代理机构</w:t>
      </w:r>
      <w:r>
        <w:rPr>
          <w:rFonts w:ascii="方正仿宋_GBK" w:eastAsia="方正仿宋_GBK"/>
          <w:sz w:val="28"/>
          <w:szCs w:val="28"/>
        </w:rPr>
        <w:t>人员提出拿、卡、要等违背本承诺书要求</w:t>
      </w:r>
      <w:r>
        <w:rPr>
          <w:rFonts w:hint="eastAsia" w:ascii="方正仿宋_GBK" w:eastAsia="方正仿宋_GBK"/>
          <w:sz w:val="28"/>
          <w:szCs w:val="28"/>
        </w:rPr>
        <w:t>时</w:t>
      </w:r>
      <w:r>
        <w:rPr>
          <w:rFonts w:ascii="方正仿宋_GBK" w:eastAsia="方正仿宋_GBK"/>
          <w:sz w:val="28"/>
          <w:szCs w:val="28"/>
        </w:rPr>
        <w:t>,我方及时主动</w:t>
      </w:r>
      <w:r>
        <w:rPr>
          <w:rFonts w:hint="eastAsia" w:ascii="方正仿宋_GBK" w:eastAsia="方正仿宋_GBK"/>
          <w:sz w:val="28"/>
          <w:szCs w:val="28"/>
        </w:rPr>
        <w:t>向医院纪检</w:t>
      </w:r>
      <w:r>
        <w:rPr>
          <w:rFonts w:ascii="方正仿宋_GBK" w:eastAsia="方正仿宋_GBK"/>
          <w:sz w:val="28"/>
          <w:szCs w:val="28"/>
        </w:rPr>
        <w:t>部门举报</w:t>
      </w:r>
      <w:r>
        <w:rPr>
          <w:rFonts w:hint="eastAsia" w:ascii="方正仿宋_GBK" w:eastAsia="方正仿宋_GBK"/>
          <w:sz w:val="28"/>
          <w:szCs w:val="28"/>
        </w:rPr>
        <w:t>。我方知悉举报</w:t>
      </w:r>
      <w:r>
        <w:rPr>
          <w:rFonts w:ascii="方正仿宋_GBK" w:eastAsia="方正仿宋_GBK"/>
          <w:sz w:val="28"/>
          <w:szCs w:val="28"/>
        </w:rPr>
        <w:t>电话:</w:t>
      </w:r>
      <w:r>
        <w:rPr>
          <w:rFonts w:hint="eastAsia" w:ascii="方正仿宋_GBK" w:eastAsia="方正仿宋_GBK"/>
          <w:sz w:val="28"/>
          <w:szCs w:val="28"/>
        </w:rPr>
        <w:t>65542551。</w:t>
      </w:r>
    </w:p>
    <w:p>
      <w:pPr>
        <w:numPr>
          <w:ilvl w:val="0"/>
          <w:numId w:val="13"/>
        </w:numPr>
        <w:spacing w:line="560" w:lineRule="exact"/>
        <w:ind w:firstLine="560"/>
        <w:rPr>
          <w:rFonts w:ascii="方正仿宋_GBK" w:eastAsia="方正仿宋_GBK"/>
          <w:sz w:val="28"/>
          <w:szCs w:val="28"/>
        </w:rPr>
      </w:pPr>
      <w:r>
        <w:rPr>
          <w:rFonts w:ascii="方正仿宋_GBK" w:eastAsia="方正仿宋_GBK"/>
          <w:sz w:val="28"/>
          <w:szCs w:val="28"/>
        </w:rPr>
        <w:t>我方将严格遵守本承诺，如有违反，</w:t>
      </w:r>
      <w:r>
        <w:rPr>
          <w:rFonts w:hint="eastAsia" w:ascii="方正仿宋_GBK" w:eastAsia="方正仿宋_GBK"/>
          <w:sz w:val="28"/>
          <w:szCs w:val="28"/>
        </w:rPr>
        <w:t>我单位和我本人承担相应法律责任，接受相应行政处罚和失信惩戒。医院</w:t>
      </w:r>
      <w:r>
        <w:rPr>
          <w:rFonts w:ascii="方正仿宋_GBK" w:eastAsia="方正仿宋_GBK"/>
          <w:sz w:val="28"/>
          <w:szCs w:val="28"/>
        </w:rPr>
        <w:t>可单方面取消本次合作项目(如</w:t>
      </w:r>
      <w:r>
        <w:rPr>
          <w:rFonts w:hint="eastAsia" w:ascii="方正仿宋_GBK" w:eastAsia="方正仿宋_GBK"/>
          <w:sz w:val="28"/>
          <w:szCs w:val="28"/>
        </w:rPr>
        <w:t>已</w:t>
      </w:r>
      <w:r>
        <w:rPr>
          <w:rFonts w:ascii="方正仿宋_GBK" w:eastAsia="方正仿宋_GBK"/>
          <w:sz w:val="28"/>
          <w:szCs w:val="28"/>
        </w:rPr>
        <w:t>中标，则中标无效</w:t>
      </w:r>
      <w:r>
        <w:rPr>
          <w:rFonts w:hint="eastAsia" w:ascii="方正仿宋_GBK" w:eastAsia="方正仿宋_GBK"/>
          <w:sz w:val="28"/>
          <w:szCs w:val="28"/>
        </w:rPr>
        <w:t>。已</w:t>
      </w:r>
      <w:r>
        <w:rPr>
          <w:rFonts w:ascii="方正仿宋_GBK" w:eastAsia="方正仿宋_GBK"/>
          <w:sz w:val="28"/>
          <w:szCs w:val="28"/>
        </w:rPr>
        <w:t>签订合同的，中止或终止执行)</w:t>
      </w:r>
      <w:r>
        <w:rPr>
          <w:rFonts w:hint="eastAsia" w:ascii="方正仿宋_GBK" w:eastAsia="方正仿宋_GBK"/>
          <w:sz w:val="28"/>
          <w:szCs w:val="28"/>
        </w:rPr>
        <w:t>，</w:t>
      </w:r>
      <w:r>
        <w:rPr>
          <w:rFonts w:ascii="方正仿宋_GBK" w:eastAsia="方正仿宋_GBK"/>
          <w:sz w:val="28"/>
          <w:szCs w:val="28"/>
        </w:rPr>
        <w:t>同时</w:t>
      </w:r>
      <w:r>
        <w:rPr>
          <w:rFonts w:hint="eastAsia" w:ascii="方正仿宋_GBK" w:eastAsia="方正仿宋_GBK"/>
          <w:sz w:val="28"/>
          <w:szCs w:val="28"/>
        </w:rPr>
        <w:t>两</w:t>
      </w:r>
      <w:r>
        <w:rPr>
          <w:rFonts w:ascii="方正仿宋_GBK" w:eastAsia="方正仿宋_GBK"/>
          <w:sz w:val="28"/>
          <w:szCs w:val="28"/>
        </w:rPr>
        <w:t>年内不参</w:t>
      </w:r>
      <w:r>
        <w:rPr>
          <w:rFonts w:hint="eastAsia" w:ascii="方正仿宋_GBK" w:eastAsia="方正仿宋_GBK"/>
          <w:sz w:val="28"/>
          <w:szCs w:val="28"/>
        </w:rPr>
        <w:t>医院</w:t>
      </w:r>
      <w:r>
        <w:rPr>
          <w:rFonts w:ascii="方正仿宋_GBK" w:eastAsia="方正仿宋_GBK"/>
          <w:sz w:val="28"/>
          <w:szCs w:val="28"/>
        </w:rPr>
        <w:t>组织的所有采购活动。</w:t>
      </w:r>
    </w:p>
    <w:p>
      <w:pPr>
        <w:spacing w:line="560" w:lineRule="exact"/>
        <w:ind w:firstLine="560"/>
        <w:rPr>
          <w:rFonts w:ascii="方正仿宋_GBK" w:eastAsia="方正仿宋_GBK"/>
          <w:sz w:val="28"/>
          <w:szCs w:val="28"/>
        </w:rPr>
      </w:pPr>
    </w:p>
    <w:p>
      <w:pPr>
        <w:spacing w:line="560" w:lineRule="exact"/>
        <w:ind w:firstLine="560"/>
        <w:rPr>
          <w:rFonts w:ascii="方正仿宋_GBK" w:eastAsia="方正仿宋_GBK"/>
          <w:sz w:val="28"/>
          <w:szCs w:val="28"/>
        </w:rPr>
      </w:pPr>
    </w:p>
    <w:p>
      <w:pPr>
        <w:spacing w:line="560" w:lineRule="exact"/>
        <w:ind w:firstLine="5600" w:firstLineChars="2000"/>
        <w:rPr>
          <w:rFonts w:ascii="方正仿宋_GBK" w:eastAsia="方正仿宋_GBK"/>
          <w:sz w:val="28"/>
          <w:szCs w:val="28"/>
        </w:rPr>
      </w:pPr>
      <w:r>
        <w:rPr>
          <w:rFonts w:ascii="方正仿宋_GBK" w:eastAsia="方正仿宋_GBK"/>
          <w:sz w:val="28"/>
          <w:szCs w:val="28"/>
        </w:rPr>
        <w:t>承诺人:</w:t>
      </w:r>
    </w:p>
    <w:p>
      <w:pPr>
        <w:spacing w:line="560" w:lineRule="exact"/>
        <w:ind w:firstLine="5600" w:firstLineChars="2000"/>
        <w:rPr>
          <w:rFonts w:ascii="方正仿宋_GBK" w:eastAsia="方正仿宋_GBK"/>
          <w:sz w:val="28"/>
          <w:szCs w:val="28"/>
        </w:rPr>
      </w:pPr>
      <w:r>
        <w:rPr>
          <w:rFonts w:ascii="方正仿宋_GBK" w:eastAsia="方正仿宋_GBK"/>
          <w:sz w:val="28"/>
          <w:szCs w:val="28"/>
        </w:rPr>
        <w:t>承诺日期:年月日</w:t>
      </w:r>
    </w:p>
    <w:p>
      <w:pPr>
        <w:pStyle w:val="8"/>
        <w:rPr>
          <w:rFonts w:ascii="方正仿宋_GBK" w:hAnsi="宋体" w:eastAsia="方正仿宋_GBK"/>
          <w:sz w:val="28"/>
          <w:szCs w:val="28"/>
        </w:rPr>
      </w:pPr>
    </w:p>
    <w:p>
      <w:pPr>
        <w:pStyle w:val="8"/>
        <w:ind w:firstLine="560"/>
        <w:rPr>
          <w:rFonts w:ascii="方正仿宋_GBK" w:hAnsi="宋体" w:eastAsia="方正仿宋_GBK"/>
          <w:sz w:val="28"/>
          <w:szCs w:val="28"/>
        </w:rPr>
      </w:pPr>
      <w:r>
        <w:rPr>
          <w:rFonts w:hint="eastAsia" w:ascii="方正仿宋_GBK" w:hAnsi="宋体" w:eastAsia="方正仿宋_GBK"/>
          <w:sz w:val="28"/>
          <w:szCs w:val="28"/>
        </w:rPr>
        <w:t>（三）投标函</w:t>
      </w:r>
    </w:p>
    <w:p>
      <w:pPr>
        <w:spacing w:line="560" w:lineRule="exact"/>
        <w:ind w:firstLine="880"/>
        <w:jc w:val="center"/>
        <w:rPr>
          <w:rFonts w:ascii="方正黑体_GBK" w:hAnsi="方正黑体_GBK" w:eastAsia="方正黑体_GBK" w:cs="方正黑体_GBK"/>
          <w:kern w:val="44"/>
          <w:sz w:val="44"/>
        </w:rPr>
      </w:pPr>
    </w:p>
    <w:p>
      <w:pPr>
        <w:spacing w:line="560" w:lineRule="exact"/>
        <w:ind w:firstLine="88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投标函</w:t>
      </w:r>
    </w:p>
    <w:p>
      <w:pPr>
        <w:tabs>
          <w:tab w:val="left" w:pos="6300"/>
        </w:tabs>
        <w:snapToGrid w:val="0"/>
        <w:spacing w:line="312" w:lineRule="auto"/>
        <w:ind w:firstLine="560" w:firstLineChars="200"/>
        <w:rPr>
          <w:rFonts w:ascii="方正仿宋_GBK" w:hAnsi="宋体" w:eastAsia="方正仿宋_GBK"/>
          <w:sz w:val="28"/>
          <w:szCs w:val="28"/>
        </w:rPr>
      </w:pPr>
    </w:p>
    <w:p>
      <w:pPr>
        <w:tabs>
          <w:tab w:val="left" w:pos="6300"/>
        </w:tabs>
        <w:snapToGrid w:val="0"/>
        <w:spacing w:line="312"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我方收到贵单位</w:t>
      </w:r>
      <w:r>
        <w:rPr>
          <w:rFonts w:hint="eastAsia" w:ascii="方正仿宋_GBK" w:hAnsi="宋体" w:eastAsia="方正仿宋_GBK"/>
          <w:sz w:val="28"/>
          <w:szCs w:val="28"/>
          <w:u w:val="single"/>
        </w:rPr>
        <w:t>（项目名称）</w:t>
      </w:r>
      <w:r>
        <w:rPr>
          <w:rFonts w:hint="eastAsia" w:ascii="方正仿宋_GBK" w:hAnsi="宋体" w:eastAsia="方正仿宋_GBK"/>
          <w:sz w:val="28"/>
          <w:szCs w:val="28"/>
        </w:rPr>
        <w:t>采购文件，经详细研究，决定参加该采购项目。</w:t>
      </w:r>
    </w:p>
    <w:p>
      <w:pPr>
        <w:tabs>
          <w:tab w:val="left" w:pos="6300"/>
        </w:tabs>
        <w:snapToGrid w:val="0"/>
        <w:spacing w:line="312"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1.我方已完全理解《询比采购文件》的全部内容，愿意按照文件中的要求，提供本项目的服务，报价详细见明细报价表。</w:t>
      </w:r>
    </w:p>
    <w:p>
      <w:pPr>
        <w:tabs>
          <w:tab w:val="left" w:pos="6300"/>
        </w:tabs>
        <w:snapToGrid w:val="0"/>
        <w:spacing w:line="312"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2.我方承诺：本报价文件有效期为提交响应文件截止时间起90日。</w:t>
      </w:r>
    </w:p>
    <w:p>
      <w:pPr>
        <w:tabs>
          <w:tab w:val="left" w:pos="6300"/>
        </w:tabs>
        <w:snapToGrid w:val="0"/>
        <w:spacing w:line="312"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3.我方若成为成交供应商，将按照最终采购结果签订合同，并且严格履行合同义务。本承诺函将成为合同不可分割的一部分，与合同具有同等的法律效力。</w:t>
      </w:r>
    </w:p>
    <w:p>
      <w:pPr>
        <w:tabs>
          <w:tab w:val="left" w:pos="6300"/>
        </w:tabs>
        <w:snapToGrid w:val="0"/>
        <w:spacing w:line="360"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4.我方同意按照询比采购文件规定，交纳询比采购文件要求的保证金。</w:t>
      </w:r>
    </w:p>
    <w:p>
      <w:pPr>
        <w:tabs>
          <w:tab w:val="left" w:pos="6300"/>
        </w:tabs>
        <w:snapToGrid w:val="0"/>
        <w:spacing w:line="360"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5.我方理解，最低报价不是成交的唯一条件。</w:t>
      </w:r>
    </w:p>
    <w:p>
      <w:pPr>
        <w:tabs>
          <w:tab w:val="left" w:pos="6300"/>
        </w:tabs>
        <w:snapToGrid w:val="0"/>
        <w:spacing w:line="360"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6.我方未为采购项目提供整体设计、规范编制或者项目管理、监理、检测等服务。</w:t>
      </w:r>
    </w:p>
    <w:p>
      <w:pPr>
        <w:tabs>
          <w:tab w:val="left" w:pos="6300"/>
        </w:tabs>
        <w:snapToGrid w:val="0"/>
        <w:spacing w:line="312" w:lineRule="auto"/>
        <w:ind w:firstLine="560" w:firstLineChars="200"/>
        <w:rPr>
          <w:rFonts w:ascii="方正仿宋_GBK" w:hAnsi="宋体" w:eastAsia="方正仿宋_GBK"/>
          <w:sz w:val="28"/>
          <w:szCs w:val="28"/>
        </w:rPr>
      </w:pPr>
    </w:p>
    <w:p>
      <w:pPr>
        <w:tabs>
          <w:tab w:val="left" w:pos="6300"/>
        </w:tabs>
        <w:snapToGrid w:val="0"/>
        <w:spacing w:line="312" w:lineRule="auto"/>
        <w:ind w:firstLine="560"/>
        <w:rPr>
          <w:rFonts w:ascii="方正仿宋_GBK" w:hAnsi="宋体" w:eastAsia="方正仿宋_GBK"/>
          <w:sz w:val="28"/>
          <w:szCs w:val="28"/>
        </w:rPr>
      </w:pPr>
      <w:r>
        <w:rPr>
          <w:rFonts w:hint="eastAsia" w:ascii="方正仿宋_GBK" w:hAnsi="宋体" w:eastAsia="方正仿宋_GBK"/>
          <w:sz w:val="28"/>
          <w:szCs w:val="28"/>
        </w:rPr>
        <w:t>供应商（公章）或自然人签署：</w:t>
      </w:r>
    </w:p>
    <w:p>
      <w:pPr>
        <w:tabs>
          <w:tab w:val="left" w:pos="6300"/>
        </w:tabs>
        <w:snapToGrid w:val="0"/>
        <w:spacing w:line="312" w:lineRule="auto"/>
        <w:ind w:firstLine="560"/>
        <w:rPr>
          <w:rFonts w:ascii="方正仿宋_GBK" w:hAnsi="宋体" w:eastAsia="方正仿宋_GBK"/>
          <w:sz w:val="28"/>
          <w:szCs w:val="28"/>
        </w:rPr>
      </w:pPr>
      <w:r>
        <w:rPr>
          <w:rFonts w:hint="eastAsia" w:ascii="方正仿宋_GBK" w:hAnsi="宋体" w:eastAsia="方正仿宋_GBK"/>
          <w:sz w:val="28"/>
          <w:szCs w:val="28"/>
        </w:rPr>
        <w:t xml:space="preserve">地址：  </w:t>
      </w:r>
    </w:p>
    <w:p>
      <w:pPr>
        <w:tabs>
          <w:tab w:val="left" w:pos="6300"/>
        </w:tabs>
        <w:snapToGrid w:val="0"/>
        <w:spacing w:line="312" w:lineRule="auto"/>
        <w:ind w:firstLine="560"/>
        <w:rPr>
          <w:rFonts w:ascii="方正仿宋_GBK" w:hAnsi="宋体" w:eastAsia="方正仿宋_GBK"/>
          <w:sz w:val="28"/>
          <w:szCs w:val="28"/>
        </w:rPr>
      </w:pPr>
      <w:r>
        <w:rPr>
          <w:rFonts w:hint="eastAsia" w:ascii="方正仿宋_GBK" w:hAnsi="宋体" w:eastAsia="方正仿宋_GBK"/>
          <w:sz w:val="28"/>
          <w:szCs w:val="28"/>
        </w:rPr>
        <w:t xml:space="preserve">联系人：电话：     </w:t>
      </w:r>
    </w:p>
    <w:p>
      <w:pPr>
        <w:tabs>
          <w:tab w:val="left" w:pos="6300"/>
        </w:tabs>
        <w:snapToGrid w:val="0"/>
        <w:spacing w:line="312" w:lineRule="auto"/>
        <w:ind w:firstLine="560"/>
        <w:rPr>
          <w:rFonts w:ascii="仿宋_GB2312" w:hAnsi="宋体" w:eastAsia="仿宋_GB2312"/>
          <w:sz w:val="28"/>
          <w:szCs w:val="28"/>
        </w:rPr>
      </w:pPr>
      <w:r>
        <w:rPr>
          <w:rFonts w:hint="eastAsia" w:ascii="仿宋_GB2312" w:hAnsi="宋体" w:eastAsia="仿宋_GB2312"/>
          <w:sz w:val="28"/>
          <w:szCs w:val="28"/>
        </w:rPr>
        <w:t xml:space="preserve">开户名称： </w:t>
      </w:r>
    </w:p>
    <w:p>
      <w:pPr>
        <w:tabs>
          <w:tab w:val="left" w:pos="6300"/>
        </w:tabs>
        <w:snapToGrid w:val="0"/>
        <w:spacing w:line="312" w:lineRule="auto"/>
        <w:ind w:firstLine="560"/>
        <w:rPr>
          <w:rFonts w:ascii="仿宋_GB2312" w:hAnsi="宋体" w:eastAsia="仿宋_GB2312"/>
          <w:sz w:val="28"/>
          <w:szCs w:val="28"/>
        </w:rPr>
      </w:pPr>
      <w:r>
        <w:rPr>
          <w:rFonts w:hint="eastAsia" w:ascii="仿宋_GB2312" w:hAnsi="宋体" w:eastAsia="仿宋_GB2312"/>
          <w:sz w:val="28"/>
          <w:szCs w:val="28"/>
        </w:rPr>
        <w:t xml:space="preserve">开户银行：                       </w:t>
      </w:r>
    </w:p>
    <w:p>
      <w:pPr>
        <w:snapToGrid w:val="0"/>
        <w:spacing w:line="312" w:lineRule="auto"/>
        <w:ind w:firstLine="560" w:firstLineChars="200"/>
        <w:rPr>
          <w:rFonts w:ascii="方正仿宋_GBK" w:hAnsi="宋体" w:eastAsia="方正仿宋_GBK"/>
          <w:sz w:val="28"/>
          <w:szCs w:val="28"/>
        </w:rPr>
      </w:pPr>
      <w:r>
        <w:rPr>
          <w:rFonts w:hint="eastAsia" w:ascii="仿宋_GB2312" w:hAnsi="宋体" w:eastAsia="仿宋_GB2312"/>
          <w:sz w:val="28"/>
          <w:szCs w:val="28"/>
        </w:rPr>
        <w:t xml:space="preserve">银行账号： </w:t>
      </w:r>
    </w:p>
    <w:p>
      <w:pPr>
        <w:snapToGrid w:val="0"/>
        <w:spacing w:line="312" w:lineRule="auto"/>
        <w:ind w:firstLine="5740" w:firstLineChars="2050"/>
        <w:rPr>
          <w:rFonts w:ascii="方正仿宋_GBK" w:hAnsi="宋体" w:eastAsia="方正仿宋_GBK"/>
          <w:sz w:val="28"/>
          <w:szCs w:val="28"/>
        </w:rPr>
        <w:sectPr>
          <w:headerReference r:id="rId16" w:type="default"/>
          <w:footerReference r:id="rId17"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8"/>
          <w:szCs w:val="28"/>
        </w:rPr>
        <w:t xml:space="preserve">         年   月   日</w:t>
      </w:r>
    </w:p>
    <w:p>
      <w:pPr>
        <w:pStyle w:val="8"/>
        <w:ind w:firstLine="560"/>
        <w:rPr>
          <w:rFonts w:ascii="方正仿宋_GBK" w:hAnsi="宋体" w:eastAsia="方正仿宋_GBK"/>
          <w:sz w:val="28"/>
          <w:szCs w:val="28"/>
        </w:rPr>
      </w:pPr>
      <w:r>
        <w:rPr>
          <w:rFonts w:hint="eastAsia" w:ascii="方正仿宋_GBK" w:hAnsi="宋体" w:eastAsia="方正仿宋_GBK"/>
          <w:sz w:val="28"/>
          <w:szCs w:val="28"/>
        </w:rPr>
        <w:t>（四）明细报价表</w:t>
      </w:r>
    </w:p>
    <w:p>
      <w:pPr>
        <w:pStyle w:val="4"/>
        <w:spacing w:before="0" w:after="0" w:line="360" w:lineRule="auto"/>
        <w:jc w:val="center"/>
        <w:rPr>
          <w:rFonts w:hint="eastAsia" w:ascii="宋体" w:hAnsi="宋体"/>
        </w:rPr>
      </w:pPr>
      <w:r>
        <w:rPr>
          <w:rFonts w:hint="eastAsia" w:ascii="宋体" w:hAnsi="宋体"/>
        </w:rPr>
        <w:t>明细报价表</w:t>
      </w:r>
    </w:p>
    <w:p>
      <w:pPr>
        <w:spacing w:line="360" w:lineRule="auto"/>
        <w:rPr>
          <w:rFonts w:hint="eastAsia"/>
        </w:rPr>
      </w:pPr>
      <w:r>
        <w:rPr>
          <w:rFonts w:hint="eastAsia" w:ascii="宋体" w:hAnsi="宋体"/>
          <w:szCs w:val="24"/>
        </w:rPr>
        <w:t>项目名称：                                                         单位：元</w:t>
      </w:r>
    </w:p>
    <w:tbl>
      <w:tblPr>
        <w:tblStyle w:val="26"/>
        <w:tblpPr w:leftFromText="180" w:rightFromText="180" w:vertAnchor="text" w:horzAnchor="page" w:tblpX="285" w:tblpY="630"/>
        <w:tblOverlap w:val="never"/>
        <w:tblW w:w="111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0"/>
        <w:gridCol w:w="1512"/>
        <w:gridCol w:w="1200"/>
        <w:gridCol w:w="1530"/>
        <w:gridCol w:w="555"/>
        <w:gridCol w:w="570"/>
        <w:gridCol w:w="495"/>
        <w:gridCol w:w="283"/>
        <w:gridCol w:w="692"/>
        <w:gridCol w:w="633"/>
        <w:gridCol w:w="1365"/>
        <w:gridCol w:w="930"/>
        <w:gridCol w:w="870"/>
        <w:gridCol w:w="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医嘱名称</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物价收费编码</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项目名称</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计价单位</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单价</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数量</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价格合计（基准价）</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预估数量</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最高限价单价</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供应商单价报价</w:t>
            </w: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报价小计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6"/>
                <w:szCs w:val="16"/>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6"/>
                <w:szCs w:val="16"/>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6"/>
                <w:szCs w:val="16"/>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6"/>
                <w:szCs w:val="16"/>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6"/>
                <w:szCs w:val="16"/>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（基准价*70%）</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人类MGMT基因甲基化检测(7个CpG位点)+病理彩色图文分析报告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1451.8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1016.26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（病理标本）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280000016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每增加一个位点加收100*6</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基因甲基化检测828*1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6"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人类SDC2基因甲基化检测（粪便标本））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646.66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250700024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人类SDC2甲基化检测900*1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人SHOX2、RASSF1A基因甲基化DNA检测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951.8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666.26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280000016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基因甲基化检测828*1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每增加一个位点加收100元</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人Twist1基因甲基化检测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851.8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596.26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280000016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基因甲基化检测828*1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每增加一个位点加收100元</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人ASTN1/DLX1/ITGA4/RXFP3/SOX17/ZNF671基因甲基化检测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1351.8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946.26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280000016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基因甲基化检测828*1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每增加一个位点加收100元</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（自费）结核杆菌基因分型检测（病理组织标本）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#NAME?</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人类KRAS基因突变检测（荧光PCR法）（病理标本）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1556.66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核酸多聚酶链反应检查诊断200*11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人类EGFR基因突变检测（荧光PCR法）（病理标本）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996.66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核酸多聚酶链反应检查诊断200*7</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人类BRAF基因V600E突变检测（荧光PCR法）（病理标本）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人类NRAS基因突变检测（荧光PCR法）（病理标本）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996.66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核酸多聚酶链反应检查诊断200*7</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人类PIK3CA基因突变检测（荧光PCR法）（病理标本）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#NAME?</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人BRAF/TERT/CCDC6-RET基因突变检测（荧光PCR法）（病理标本）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1276.66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核酸多聚酶链反应检查诊断200*9</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人类ALK基因融合和ROS1基因融合联合检测（荧光PCR法）（病理标本）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996.66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核酸多聚酶链反应检查诊断200*7</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脑胶质瘤IDH1基因突变位点检测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632.66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脑胶质瘤TERT基因突变位点检测（病理组织标本）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632.66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微卫星不稳定MSI检测（病理组织标本）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1556.66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BRCA1/2基因检测（血液标本）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5743.8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4020.66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脱氧核糖核酸(DNA)测序440*13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肺癌13驱动基因检测（病理组织标本）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6623.8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4636.66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脱氧核糖核酸(DNA)测序440*15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人类10基因突变高通量测序（组织标本）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7503.8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5252.66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脱氧核糖核酸(DNA)测序440*17</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（自费)116基因测序（病理标本）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7503.8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5252.66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脱氧核糖核酸(DNA)测序440*17</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（自费)116基因测序（血液标本）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7503.8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5252.66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脱氧核糖核酸(DNA)测序440*17</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非小细胞肺癌组织TMB检测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9703.8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6792.66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脱氧核糖核酸(DNA)测序440*22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（自费)425基因测序（病理标本）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9703.8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6792.66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脱氧核糖核酸(DNA)测序440*22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（自费)425基因测序（血液标本）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9703.8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6792.66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脱氧核糖核酸(DNA)测序440*22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1222"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（自费)静脉血栓LeidenV因子和凝血酶原2021OA基因检测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1222"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(PD-1)程序性死亡蛋白-1检测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程序性死亡蛋白-1检测</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656"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病原微生物转录组（RNA）高通量测序</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250700028</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病原微生物高通量测序</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1900</w:t>
            </w:r>
          </w:p>
        </w:tc>
        <w:tc>
          <w:tcPr>
            <w:tcW w:w="7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1900</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1330</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641"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病原微生物（DNA）高通量测序</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EB病毒基因检测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128.3</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89.81</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270800006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显微摄影术 X1次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每个视野</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原位杂交技术 X1次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FISH检测技术（组织标本）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848.8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594.16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270800006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显微摄影术 X2次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每个视野</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1222"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A270700004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荧光原位杂交技术 X次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770</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HER2/TOPOIIa荧光原位杂交检测（组织标本）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1618.8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1133.16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1222"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A270700004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荧光原位杂交技术 X2次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770</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270800006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显微摄影术 X2次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每个视野</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2124"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脑胶质瘤1p/19q基因检测（FISH）（病理组织标本）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1618.8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1133.16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1222"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A270700004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荧光原位杂交技术 X2次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770</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270800006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显微摄影术 X2次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每个视野</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1222"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程序性死亡受体-配体1检测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程序性死亡受体-配体1检测</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1222"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线下疑难病理会诊（蜡块及玻片）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270800007.YW</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疑难病理会诊（三甲医院）</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330</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408.8</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286.16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874"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97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小写：                               大写：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Pr>
        <w:rPr>
          <w:rFonts w:hint="eastAsia" w:ascii="宋体" w:hAnsi="宋体"/>
        </w:rPr>
      </w:pPr>
    </w:p>
    <w:p>
      <w:pPr>
        <w:rPr>
          <w:rFonts w:hint="eastAsia" w:ascii="宋体" w:hAnsi="宋体"/>
        </w:rPr>
      </w:pPr>
    </w:p>
    <w:p>
      <w:pPr>
        <w:spacing w:line="500" w:lineRule="exact"/>
        <w:ind w:firstLine="480"/>
        <w:rPr>
          <w:rFonts w:eastAsia="方正仿宋_GBK"/>
          <w:szCs w:val="28"/>
        </w:rPr>
      </w:pPr>
      <w:r>
        <w:rPr>
          <w:rFonts w:eastAsia="方正仿宋_GBK"/>
          <w:szCs w:val="28"/>
        </w:rPr>
        <w:t>投标供应商：                      法定代表人（或法定代表人授权代表）：</w:t>
      </w:r>
    </w:p>
    <w:p>
      <w:pPr>
        <w:spacing w:line="500" w:lineRule="exact"/>
        <w:ind w:firstLine="480"/>
        <w:rPr>
          <w:rFonts w:eastAsia="方正仿宋_GBK"/>
          <w:szCs w:val="28"/>
        </w:rPr>
      </w:pPr>
      <w:r>
        <w:rPr>
          <w:rFonts w:eastAsia="方正仿宋_GBK"/>
          <w:szCs w:val="28"/>
        </w:rPr>
        <w:t xml:space="preserve">  （投标供应商公章）                               （签署或盖章）</w:t>
      </w:r>
    </w:p>
    <w:p>
      <w:pPr>
        <w:spacing w:line="500" w:lineRule="exact"/>
        <w:ind w:firstLine="480"/>
        <w:rPr>
          <w:rFonts w:eastAsia="方正仿宋_GBK"/>
          <w:szCs w:val="28"/>
        </w:rPr>
      </w:pPr>
    </w:p>
    <w:p>
      <w:pPr>
        <w:spacing w:line="500" w:lineRule="exact"/>
        <w:ind w:firstLine="480"/>
        <w:rPr>
          <w:rFonts w:eastAsia="方正仿宋_GBK"/>
          <w:szCs w:val="28"/>
        </w:rPr>
      </w:pPr>
      <w:r>
        <w:rPr>
          <w:rFonts w:eastAsia="方正仿宋_GBK"/>
          <w:szCs w:val="28"/>
        </w:rPr>
        <w:t xml:space="preserve">   年     月     日</w:t>
      </w:r>
    </w:p>
    <w:p>
      <w:pPr>
        <w:snapToGrid w:val="0"/>
        <w:spacing w:line="500" w:lineRule="exact"/>
        <w:ind w:firstLine="480" w:firstLineChars="200"/>
        <w:rPr>
          <w:rFonts w:eastAsia="方正仿宋_GBK"/>
          <w:szCs w:val="28"/>
        </w:rPr>
      </w:pPr>
    </w:p>
    <w:p>
      <w:pPr>
        <w:snapToGrid w:val="0"/>
        <w:spacing w:line="500" w:lineRule="exact"/>
        <w:ind w:firstLine="480" w:firstLineChars="200"/>
        <w:rPr>
          <w:rFonts w:eastAsia="方正仿宋_GBK"/>
          <w:szCs w:val="28"/>
        </w:rPr>
      </w:pPr>
      <w:r>
        <w:rPr>
          <w:rFonts w:eastAsia="方正仿宋_GBK"/>
          <w:szCs w:val="28"/>
        </w:rPr>
        <w:t>说明：</w:t>
      </w:r>
    </w:p>
    <w:p>
      <w:pPr>
        <w:snapToGrid w:val="0"/>
        <w:spacing w:line="500" w:lineRule="exact"/>
        <w:ind w:firstLine="480" w:firstLineChars="200"/>
        <w:rPr>
          <w:rFonts w:eastAsia="方正仿宋_GBK"/>
          <w:szCs w:val="28"/>
        </w:rPr>
      </w:pPr>
      <w:r>
        <w:rPr>
          <w:rFonts w:eastAsia="方正仿宋_GBK"/>
          <w:szCs w:val="28"/>
        </w:rPr>
        <w:t>1.按格式填列</w:t>
      </w:r>
      <w:r>
        <w:rPr>
          <w:rFonts w:hint="eastAsia" w:eastAsia="方正仿宋_GBK"/>
          <w:szCs w:val="28"/>
        </w:rPr>
        <w:t>。</w:t>
      </w:r>
    </w:p>
    <w:p>
      <w:pPr>
        <w:snapToGrid w:val="0"/>
        <w:spacing w:line="500" w:lineRule="exact"/>
        <w:ind w:firstLine="480" w:firstLineChars="200"/>
        <w:rPr>
          <w:rFonts w:eastAsia="方正仿宋_GBK"/>
          <w:b/>
          <w:bCs/>
          <w:szCs w:val="28"/>
        </w:rPr>
      </w:pPr>
      <w:r>
        <w:rPr>
          <w:rFonts w:eastAsia="方正仿宋_GBK"/>
          <w:szCs w:val="28"/>
        </w:rPr>
        <w:t>2.务必填写清楚，准确无误</w:t>
      </w:r>
      <w:r>
        <w:rPr>
          <w:rFonts w:hint="eastAsia" w:eastAsia="方正仿宋_GBK"/>
          <w:szCs w:val="28"/>
        </w:rPr>
        <w:t>。</w:t>
      </w:r>
      <w:r>
        <w:rPr>
          <w:rFonts w:hint="eastAsia" w:ascii="方正仿宋_GBK" w:hAnsi="方正仿宋_GBK" w:eastAsia="方正仿宋_GBK" w:cs="方正仿宋_GBK"/>
          <w:b/>
          <w:bCs/>
          <w:color w:val="auto"/>
          <w:sz w:val="24"/>
          <w:szCs w:val="24"/>
          <w:highlight w:val="none"/>
          <w:lang w:val="en-US" w:eastAsia="zh-CN"/>
        </w:rPr>
        <w:t>该项目最高单价限价为</w:t>
      </w:r>
      <w:r>
        <w:rPr>
          <w:rFonts w:hint="eastAsia" w:eastAsia="方正仿宋_GBK"/>
          <w:b/>
          <w:bCs/>
          <w:szCs w:val="28"/>
          <w:lang w:val="en-US" w:eastAsia="zh-CN"/>
        </w:rPr>
        <w:t>：基准价*70%，超过最高报价的为无效报价（我院未进行物价备案的项目按设定的最高收费标准为基准价进行报价，超过最高收费价格为无效报价）</w:t>
      </w:r>
    </w:p>
    <w:p>
      <w:pPr>
        <w:pStyle w:val="8"/>
      </w:pPr>
      <w:r>
        <w:rPr>
          <w:rFonts w:eastAsia="方正仿宋_GBK"/>
          <w:szCs w:val="28"/>
        </w:rPr>
        <w:br w:type="page"/>
      </w:r>
    </w:p>
    <w:p>
      <w:pPr>
        <w:spacing w:line="560" w:lineRule="exact"/>
        <w:ind w:firstLine="560"/>
        <w:rPr>
          <w:rFonts w:ascii="黑体" w:hAnsi="宋体" w:eastAsia="黑体"/>
          <w:sz w:val="28"/>
          <w:szCs w:val="28"/>
        </w:rPr>
        <w:sectPr>
          <w:headerReference r:id="rId19" w:type="first"/>
          <w:headerReference r:id="rId18" w:type="default"/>
          <w:footerReference r:id="rId20" w:type="default"/>
          <w:pgSz w:w="11906" w:h="16838"/>
          <w:pgMar w:top="737" w:right="1134" w:bottom="737" w:left="1304" w:header="851" w:footer="851" w:gutter="0"/>
          <w:cols w:space="720" w:num="1"/>
          <w:titlePg/>
          <w:docGrid w:type="lines" w:linePitch="396" w:charSpace="-1260"/>
        </w:sectPr>
      </w:pPr>
    </w:p>
    <w:p>
      <w:pPr>
        <w:pStyle w:val="8"/>
        <w:ind w:firstLine="560"/>
        <w:rPr>
          <w:rFonts w:ascii="方正仿宋_GBK" w:hAnsi="宋体" w:eastAsia="方正仿宋_GBK"/>
          <w:sz w:val="28"/>
          <w:szCs w:val="28"/>
        </w:rPr>
      </w:pPr>
      <w:r>
        <w:rPr>
          <w:rFonts w:hint="eastAsia" w:ascii="方正仿宋_GBK" w:hAnsi="宋体" w:eastAsia="方正仿宋_GBK"/>
          <w:sz w:val="28"/>
          <w:szCs w:val="28"/>
        </w:rPr>
        <w:t>（五）需求响应偏离表</w:t>
      </w:r>
    </w:p>
    <w:p>
      <w:pPr>
        <w:spacing w:line="560" w:lineRule="exact"/>
        <w:ind w:firstLine="88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需求响应偏离表</w:t>
      </w:r>
    </w:p>
    <w:p>
      <w:pPr>
        <w:tabs>
          <w:tab w:val="left" w:pos="1780"/>
        </w:tabs>
        <w:snapToGrid w:val="0"/>
        <w:spacing w:line="500" w:lineRule="exact"/>
        <w:ind w:firstLine="562"/>
        <w:rPr>
          <w:rFonts w:ascii="方正仿宋_GBK" w:hAnsi="宋体" w:eastAsia="方正仿宋_GBK"/>
          <w:b/>
          <w:sz w:val="28"/>
          <w:szCs w:val="28"/>
        </w:rPr>
      </w:pPr>
      <w:r>
        <w:rPr>
          <w:rFonts w:hint="eastAsia" w:ascii="方正仿宋_GBK" w:hAnsi="宋体" w:eastAsia="方正仿宋_GBK"/>
          <w:b/>
          <w:sz w:val="28"/>
          <w:szCs w:val="28"/>
        </w:rPr>
        <w:t>项目名称：</w:t>
      </w:r>
    </w:p>
    <w:tbl>
      <w:tblPr>
        <w:tblStyle w:val="26"/>
        <w:tblW w:w="5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874"/>
        <w:gridCol w:w="2954"/>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0" w:type="pct"/>
            <w:noWrap/>
            <w:vAlign w:val="center"/>
          </w:tcPr>
          <w:p>
            <w:pPr>
              <w:tabs>
                <w:tab w:val="left" w:pos="6300"/>
              </w:tabs>
              <w:snapToGrid w:val="0"/>
              <w:spacing w:line="500" w:lineRule="exact"/>
              <w:jc w:val="left"/>
              <w:outlineLvl w:val="0"/>
              <w:rPr>
                <w:rFonts w:ascii="方正仿宋_GBK" w:hAnsi="宋体" w:eastAsia="方正仿宋_GBK"/>
                <w:b/>
                <w:szCs w:val="24"/>
              </w:rPr>
            </w:pPr>
            <w:r>
              <w:rPr>
                <w:rFonts w:hint="eastAsia" w:ascii="方正仿宋_GBK" w:hAnsi="宋体" w:eastAsia="方正仿宋_GBK"/>
                <w:b/>
                <w:szCs w:val="24"/>
              </w:rPr>
              <w:t>序号</w:t>
            </w:r>
          </w:p>
        </w:tc>
        <w:tc>
          <w:tcPr>
            <w:tcW w:w="2473" w:type="pct"/>
            <w:noWrap/>
            <w:vAlign w:val="center"/>
          </w:tcPr>
          <w:p>
            <w:pPr>
              <w:tabs>
                <w:tab w:val="left" w:pos="6300"/>
              </w:tabs>
              <w:snapToGrid w:val="0"/>
              <w:spacing w:line="500" w:lineRule="exact"/>
              <w:ind w:firstLine="1687" w:firstLineChars="700"/>
              <w:outlineLvl w:val="0"/>
              <w:rPr>
                <w:rFonts w:ascii="方正仿宋_GBK" w:hAnsi="宋体" w:eastAsia="方正仿宋_GBK"/>
                <w:b/>
                <w:szCs w:val="24"/>
              </w:rPr>
            </w:pPr>
            <w:r>
              <w:rPr>
                <w:rFonts w:hint="eastAsia" w:ascii="方正仿宋_GBK" w:hAnsi="宋体" w:eastAsia="方正仿宋_GBK"/>
                <w:b/>
                <w:szCs w:val="24"/>
              </w:rPr>
              <w:t>服务需求</w:t>
            </w:r>
          </w:p>
        </w:tc>
        <w:tc>
          <w:tcPr>
            <w:tcW w:w="1499" w:type="pct"/>
            <w:noWrap/>
            <w:vAlign w:val="center"/>
          </w:tcPr>
          <w:p>
            <w:pPr>
              <w:tabs>
                <w:tab w:val="left" w:pos="6300"/>
              </w:tabs>
              <w:snapToGrid w:val="0"/>
              <w:spacing w:line="500" w:lineRule="exact"/>
              <w:ind w:firstLine="482"/>
              <w:jc w:val="center"/>
              <w:outlineLvl w:val="0"/>
              <w:rPr>
                <w:rFonts w:ascii="方正仿宋_GBK" w:hAnsi="宋体" w:eastAsia="方正仿宋_GBK"/>
                <w:b/>
                <w:szCs w:val="24"/>
              </w:rPr>
            </w:pPr>
            <w:r>
              <w:rPr>
                <w:rFonts w:hint="eastAsia" w:ascii="方正仿宋_GBK" w:hAnsi="宋体" w:eastAsia="方正仿宋_GBK"/>
                <w:b/>
                <w:szCs w:val="24"/>
              </w:rPr>
              <w:t>响应情况</w:t>
            </w:r>
          </w:p>
        </w:tc>
        <w:tc>
          <w:tcPr>
            <w:tcW w:w="606" w:type="pct"/>
            <w:noWrap/>
            <w:vAlign w:val="center"/>
          </w:tcPr>
          <w:p>
            <w:pPr>
              <w:tabs>
                <w:tab w:val="left" w:pos="6300"/>
              </w:tabs>
              <w:snapToGrid w:val="0"/>
              <w:spacing w:line="500" w:lineRule="exact"/>
              <w:outlineLvl w:val="0"/>
              <w:rPr>
                <w:rFonts w:ascii="方正仿宋_GBK" w:hAnsi="宋体" w:eastAsia="方正仿宋_GBK"/>
                <w:b/>
                <w:szCs w:val="24"/>
              </w:rPr>
            </w:pPr>
            <w:r>
              <w:rPr>
                <w:rFonts w:hint="eastAsia" w:ascii="方正仿宋_GBK" w:hAnsi="宋体" w:eastAsia="方正仿宋_GBK"/>
                <w:b/>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2473" w:type="pct"/>
            <w:noWrap/>
            <w:vAlign w:val="center"/>
          </w:tcPr>
          <w:p>
            <w:pPr>
              <w:tabs>
                <w:tab w:val="left" w:pos="6300"/>
              </w:tabs>
              <w:snapToGrid w:val="0"/>
              <w:spacing w:line="420" w:lineRule="exact"/>
              <w:jc w:val="left"/>
              <w:outlineLvl w:val="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1.服务内容</w:t>
            </w:r>
          </w:p>
        </w:tc>
        <w:tc>
          <w:tcPr>
            <w:tcW w:w="1499" w:type="pct"/>
            <w:noWrap/>
            <w:vAlign w:val="center"/>
          </w:tcPr>
          <w:p>
            <w:pPr>
              <w:tabs>
                <w:tab w:val="left" w:pos="6300"/>
              </w:tabs>
              <w:snapToGrid w:val="0"/>
              <w:spacing w:line="500" w:lineRule="exact"/>
              <w:ind w:firstLine="420"/>
              <w:outlineLvl w:val="0"/>
              <w:rPr>
                <w:rFonts w:ascii="方正仿宋_GBK" w:hAnsi="宋体" w:eastAsia="方正仿宋_GBK"/>
                <w:sz w:val="21"/>
                <w:szCs w:val="21"/>
              </w:rPr>
            </w:pPr>
          </w:p>
        </w:tc>
        <w:tc>
          <w:tcPr>
            <w:tcW w:w="606"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2473" w:type="pct"/>
            <w:noWrap/>
            <w:vAlign w:val="center"/>
          </w:tcPr>
          <w:p>
            <w:pPr>
              <w:tabs>
                <w:tab w:val="left" w:pos="6300"/>
              </w:tabs>
              <w:snapToGrid w:val="0"/>
              <w:spacing w:line="420" w:lineRule="exact"/>
              <w:jc w:val="left"/>
              <w:outlineLvl w:val="0"/>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rPr>
              <w:t>2.服务标准</w:t>
            </w:r>
            <w:r>
              <w:rPr>
                <w:rFonts w:hint="eastAsia" w:ascii="方正仿宋_GBK" w:hAnsi="方正仿宋_GBK" w:eastAsia="方正仿宋_GBK" w:cs="方正仿宋_GBK"/>
                <w:sz w:val="22"/>
                <w:szCs w:val="22"/>
                <w:lang w:val="en-US" w:eastAsia="zh-CN"/>
              </w:rPr>
              <w:t>及要求</w:t>
            </w:r>
          </w:p>
        </w:tc>
        <w:tc>
          <w:tcPr>
            <w:tcW w:w="1499" w:type="pct"/>
            <w:noWrap/>
            <w:vAlign w:val="center"/>
          </w:tcPr>
          <w:p>
            <w:pPr>
              <w:tabs>
                <w:tab w:val="left" w:pos="6300"/>
              </w:tabs>
              <w:snapToGrid w:val="0"/>
              <w:spacing w:line="500" w:lineRule="exact"/>
              <w:ind w:firstLine="420"/>
              <w:outlineLvl w:val="0"/>
              <w:rPr>
                <w:rFonts w:ascii="方正仿宋_GBK" w:hAnsi="宋体" w:eastAsia="方正仿宋_GBK"/>
                <w:sz w:val="21"/>
                <w:szCs w:val="21"/>
              </w:rPr>
            </w:pPr>
          </w:p>
        </w:tc>
        <w:tc>
          <w:tcPr>
            <w:tcW w:w="606"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20" w:type="pct"/>
            <w:noWrap/>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b/>
                <w:szCs w:val="24"/>
              </w:rPr>
              <w:t>序号</w:t>
            </w:r>
          </w:p>
        </w:tc>
        <w:tc>
          <w:tcPr>
            <w:tcW w:w="2473" w:type="pct"/>
            <w:noWrap/>
            <w:vAlign w:val="center"/>
          </w:tcPr>
          <w:p>
            <w:pPr>
              <w:pStyle w:val="37"/>
              <w:snapToGrid w:val="0"/>
              <w:spacing w:line="240" w:lineRule="exact"/>
              <w:ind w:firstLine="1687" w:firstLineChars="700"/>
              <w:jc w:val="both"/>
              <w:rPr>
                <w:rFonts w:ascii="方正仿宋_GBK" w:hAnsi="方正仿宋_GBK" w:eastAsia="方正仿宋_GBK" w:cs="方正仿宋_GBK"/>
                <w:sz w:val="22"/>
                <w:szCs w:val="22"/>
              </w:rPr>
            </w:pPr>
            <w:r>
              <w:rPr>
                <w:rFonts w:hint="eastAsia" w:ascii="方正仿宋_GBK" w:hAnsi="宋体" w:eastAsia="方正仿宋_GBK"/>
                <w:b/>
                <w:szCs w:val="24"/>
              </w:rPr>
              <w:t>商务需求</w:t>
            </w:r>
          </w:p>
        </w:tc>
        <w:tc>
          <w:tcPr>
            <w:tcW w:w="1499" w:type="pct"/>
            <w:noWrap/>
            <w:vAlign w:val="center"/>
          </w:tcPr>
          <w:p>
            <w:pPr>
              <w:tabs>
                <w:tab w:val="left" w:pos="6300"/>
              </w:tabs>
              <w:snapToGrid w:val="0"/>
              <w:spacing w:line="500" w:lineRule="exact"/>
              <w:ind w:firstLine="723" w:firstLineChars="300"/>
              <w:outlineLvl w:val="0"/>
              <w:rPr>
                <w:rFonts w:ascii="方正仿宋_GBK" w:hAnsi="宋体" w:eastAsia="方正仿宋_GBK"/>
                <w:sz w:val="21"/>
                <w:szCs w:val="21"/>
              </w:rPr>
            </w:pPr>
            <w:r>
              <w:rPr>
                <w:rFonts w:hint="eastAsia" w:ascii="方正仿宋_GBK" w:hAnsi="宋体" w:eastAsia="方正仿宋_GBK"/>
                <w:b/>
                <w:szCs w:val="24"/>
              </w:rPr>
              <w:t>响应情况</w:t>
            </w:r>
          </w:p>
        </w:tc>
        <w:tc>
          <w:tcPr>
            <w:tcW w:w="606" w:type="pct"/>
            <w:noWrap/>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b/>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2473" w:type="pct"/>
            <w:noWrap/>
            <w:vAlign w:val="center"/>
          </w:tcPr>
          <w:p>
            <w:pPr>
              <w:tabs>
                <w:tab w:val="left" w:pos="6300"/>
              </w:tabs>
              <w:snapToGrid w:val="0"/>
              <w:spacing w:line="500" w:lineRule="exact"/>
              <w:jc w:val="left"/>
              <w:outlineLvl w:val="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1.服务时间</w:t>
            </w:r>
          </w:p>
        </w:tc>
        <w:tc>
          <w:tcPr>
            <w:tcW w:w="1499"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2473" w:type="pct"/>
            <w:noWrap/>
            <w:vAlign w:val="center"/>
          </w:tcPr>
          <w:p>
            <w:pPr>
              <w:tabs>
                <w:tab w:val="left" w:pos="6300"/>
              </w:tabs>
              <w:snapToGrid w:val="0"/>
              <w:spacing w:line="500" w:lineRule="exact"/>
              <w:jc w:val="left"/>
              <w:outlineLvl w:val="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2.服务地点</w:t>
            </w:r>
          </w:p>
        </w:tc>
        <w:tc>
          <w:tcPr>
            <w:tcW w:w="1499"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2473" w:type="pct"/>
            <w:noWrap/>
            <w:vAlign w:val="center"/>
          </w:tcPr>
          <w:p>
            <w:pPr>
              <w:tabs>
                <w:tab w:val="left" w:pos="6300"/>
              </w:tabs>
              <w:snapToGrid w:val="0"/>
              <w:spacing w:line="500" w:lineRule="exact"/>
              <w:jc w:val="left"/>
              <w:outlineLvl w:val="0"/>
              <w:rPr>
                <w:rFonts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sz w:val="22"/>
                <w:szCs w:val="22"/>
                <w:lang w:val="en-US" w:eastAsia="zh-CN"/>
              </w:rPr>
              <w:t>3</w:t>
            </w:r>
            <w:r>
              <w:rPr>
                <w:rFonts w:hint="eastAsia" w:ascii="方正仿宋_GBK" w:hAnsi="方正仿宋_GBK" w:eastAsia="方正仿宋_GBK" w:cs="方正仿宋_GBK"/>
                <w:sz w:val="22"/>
                <w:szCs w:val="22"/>
              </w:rPr>
              <w:t>.付款方式</w:t>
            </w:r>
          </w:p>
        </w:tc>
        <w:tc>
          <w:tcPr>
            <w:tcW w:w="1499"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2473" w:type="pct"/>
            <w:noWrap/>
            <w:vAlign w:val="center"/>
          </w:tcPr>
          <w:p>
            <w:pPr>
              <w:tabs>
                <w:tab w:val="left" w:pos="6300"/>
              </w:tabs>
              <w:snapToGrid w:val="0"/>
              <w:spacing w:line="500" w:lineRule="exact"/>
              <w:jc w:val="left"/>
              <w:outlineLvl w:val="0"/>
              <w:rPr>
                <w:rFonts w:ascii="方正仿宋_GBK" w:hAnsi="宋体" w:eastAsia="方正仿宋_GBK" w:cs="Times New Roman"/>
                <w:b/>
                <w:kern w:val="2"/>
                <w:sz w:val="24"/>
                <w:szCs w:val="24"/>
                <w:lang w:val="en-US" w:eastAsia="zh-CN" w:bidi="ar-SA"/>
              </w:rPr>
            </w:pPr>
            <w:r>
              <w:rPr>
                <w:rFonts w:hint="eastAsia" w:ascii="方正仿宋_GBK" w:hAnsi="方正仿宋_GBK" w:eastAsia="方正仿宋_GBK" w:cs="方正仿宋_GBK"/>
                <w:sz w:val="22"/>
                <w:szCs w:val="22"/>
                <w:lang w:val="en-US" w:eastAsia="zh-CN"/>
              </w:rPr>
              <w:t>4</w:t>
            </w:r>
            <w:r>
              <w:rPr>
                <w:rFonts w:hint="eastAsia" w:ascii="方正仿宋_GBK" w:hAnsi="方正仿宋_GBK" w:eastAsia="方正仿宋_GBK" w:cs="方正仿宋_GBK"/>
                <w:sz w:val="22"/>
                <w:szCs w:val="22"/>
              </w:rPr>
              <w:t>.验收要求</w:t>
            </w:r>
          </w:p>
        </w:tc>
        <w:tc>
          <w:tcPr>
            <w:tcW w:w="1499"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2473" w:type="pct"/>
            <w:noWrap/>
            <w:vAlign w:val="center"/>
          </w:tcPr>
          <w:p>
            <w:pPr>
              <w:tabs>
                <w:tab w:val="left" w:pos="6300"/>
              </w:tabs>
              <w:snapToGrid w:val="0"/>
              <w:spacing w:line="500" w:lineRule="exact"/>
              <w:jc w:val="left"/>
              <w:outlineLvl w:val="0"/>
              <w:rPr>
                <w:rFonts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sz w:val="22"/>
                <w:szCs w:val="22"/>
                <w:lang w:val="en-US" w:eastAsia="zh-CN"/>
              </w:rPr>
              <w:t>5</w:t>
            </w:r>
            <w:r>
              <w:rPr>
                <w:rFonts w:hint="eastAsia" w:ascii="方正仿宋_GBK" w:hAnsi="方正仿宋_GBK" w:eastAsia="方正仿宋_GBK" w:cs="方正仿宋_GBK"/>
                <w:sz w:val="22"/>
                <w:szCs w:val="22"/>
              </w:rPr>
              <w:t>.售后服务内容</w:t>
            </w:r>
          </w:p>
        </w:tc>
        <w:tc>
          <w:tcPr>
            <w:tcW w:w="1499" w:type="pct"/>
            <w:noWrap/>
            <w:vAlign w:val="center"/>
          </w:tcPr>
          <w:p>
            <w:pPr>
              <w:tabs>
                <w:tab w:val="left" w:pos="6300"/>
              </w:tabs>
              <w:snapToGrid w:val="0"/>
              <w:spacing w:line="500" w:lineRule="exact"/>
              <w:ind w:firstLine="482"/>
              <w:jc w:val="center"/>
              <w:outlineLvl w:val="0"/>
              <w:rPr>
                <w:rFonts w:ascii="方正仿宋_GBK" w:hAnsi="宋体" w:eastAsia="方正仿宋_GBK"/>
                <w:b/>
                <w:szCs w:val="24"/>
              </w:rPr>
            </w:pPr>
          </w:p>
        </w:tc>
        <w:tc>
          <w:tcPr>
            <w:tcW w:w="606" w:type="pct"/>
            <w:noWrap/>
            <w:vAlign w:val="center"/>
          </w:tcPr>
          <w:p>
            <w:pPr>
              <w:tabs>
                <w:tab w:val="left" w:pos="6300"/>
              </w:tabs>
              <w:snapToGrid w:val="0"/>
              <w:spacing w:line="500" w:lineRule="exact"/>
              <w:outlineLvl w:val="0"/>
              <w:rPr>
                <w:rFonts w:ascii="方正仿宋_GBK" w:hAnsi="宋体" w:eastAsia="方正仿宋_GBK"/>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2473" w:type="pct"/>
            <w:noWrap/>
            <w:vAlign w:val="center"/>
          </w:tcPr>
          <w:p>
            <w:pPr>
              <w:tabs>
                <w:tab w:val="left" w:pos="6300"/>
              </w:tabs>
              <w:snapToGrid w:val="0"/>
              <w:spacing w:line="500" w:lineRule="exact"/>
              <w:jc w:val="left"/>
              <w:outlineLvl w:val="0"/>
              <w:rPr>
                <w:rFonts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sz w:val="22"/>
                <w:szCs w:val="22"/>
                <w:lang w:val="en-US" w:eastAsia="zh-CN"/>
              </w:rPr>
              <w:t>6</w:t>
            </w:r>
            <w:r>
              <w:rPr>
                <w:rFonts w:hint="eastAsia" w:ascii="方正仿宋_GBK" w:hAnsi="方正仿宋_GBK" w:eastAsia="方正仿宋_GBK" w:cs="方正仿宋_GBK"/>
                <w:sz w:val="22"/>
                <w:szCs w:val="22"/>
              </w:rPr>
              <w:t>.安全条款</w:t>
            </w:r>
          </w:p>
        </w:tc>
        <w:tc>
          <w:tcPr>
            <w:tcW w:w="1499"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2473" w:type="pct"/>
            <w:noWrap/>
            <w:vAlign w:val="center"/>
          </w:tcPr>
          <w:p>
            <w:pPr>
              <w:tabs>
                <w:tab w:val="left" w:pos="6300"/>
              </w:tabs>
              <w:snapToGrid w:val="0"/>
              <w:spacing w:line="500" w:lineRule="exact"/>
              <w:jc w:val="left"/>
              <w:outlineLvl w:val="0"/>
              <w:rPr>
                <w:rFonts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sz w:val="22"/>
                <w:szCs w:val="22"/>
                <w:lang w:val="en-US" w:eastAsia="zh-CN"/>
              </w:rPr>
              <w:t>7.</w:t>
            </w:r>
            <w:r>
              <w:rPr>
                <w:rFonts w:hint="eastAsia" w:ascii="方正仿宋_GBK" w:hAnsi="方正仿宋_GBK" w:eastAsia="方正仿宋_GBK" w:cs="方正仿宋_GBK"/>
                <w:sz w:val="22"/>
                <w:szCs w:val="22"/>
              </w:rPr>
              <w:t>知识产权</w:t>
            </w:r>
          </w:p>
        </w:tc>
        <w:tc>
          <w:tcPr>
            <w:tcW w:w="1499"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2473" w:type="pct"/>
            <w:noWrap/>
            <w:vAlign w:val="center"/>
          </w:tcPr>
          <w:p>
            <w:pPr>
              <w:tabs>
                <w:tab w:val="left" w:pos="6300"/>
              </w:tabs>
              <w:snapToGrid w:val="0"/>
              <w:spacing w:line="500" w:lineRule="exact"/>
              <w:jc w:val="left"/>
              <w:outlineLvl w:val="0"/>
              <w:rPr>
                <w:rFonts w:hint="default"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sz w:val="22"/>
                <w:szCs w:val="22"/>
                <w:lang w:val="en-US" w:eastAsia="zh-CN"/>
              </w:rPr>
              <w:t>8</w:t>
            </w: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检查结果争议处理</w:t>
            </w:r>
          </w:p>
        </w:tc>
        <w:tc>
          <w:tcPr>
            <w:tcW w:w="1499"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2473" w:type="pct"/>
            <w:noWrap/>
            <w:vAlign w:val="center"/>
          </w:tcPr>
          <w:p>
            <w:pPr>
              <w:tabs>
                <w:tab w:val="left" w:pos="6300"/>
              </w:tabs>
              <w:snapToGrid w:val="0"/>
              <w:spacing w:line="500" w:lineRule="exact"/>
              <w:jc w:val="left"/>
              <w:outlineLvl w:val="0"/>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9.</w:t>
            </w:r>
            <w:r>
              <w:rPr>
                <w:rFonts w:hint="eastAsia" w:ascii="方正仿宋_GBK" w:hAnsi="方正仿宋_GBK" w:eastAsia="方正仿宋_GBK" w:cs="方正仿宋_GBK"/>
                <w:sz w:val="22"/>
                <w:szCs w:val="22"/>
              </w:rPr>
              <w:t>其他</w:t>
            </w:r>
          </w:p>
        </w:tc>
        <w:tc>
          <w:tcPr>
            <w:tcW w:w="1499"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2473" w:type="pct"/>
            <w:noWrap/>
            <w:vAlign w:val="center"/>
          </w:tcPr>
          <w:p>
            <w:pPr>
              <w:tabs>
                <w:tab w:val="left" w:pos="6300"/>
              </w:tabs>
              <w:snapToGrid w:val="0"/>
              <w:spacing w:line="500" w:lineRule="exact"/>
              <w:jc w:val="left"/>
              <w:outlineLvl w:val="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Cs w:val="28"/>
        </w:rPr>
      </w:pPr>
      <w:r>
        <w:rPr>
          <w:rFonts w:hint="eastAsia" w:ascii="方正仿宋_GBK" w:hAnsi="宋体" w:eastAsia="方正仿宋_GBK"/>
          <w:szCs w:val="28"/>
        </w:rPr>
        <w:t xml:space="preserve">供应商：                            </w:t>
      </w:r>
      <w:r>
        <w:rPr>
          <w:rFonts w:hint="eastAsia" w:ascii="方正仿宋_GBK" w:hAnsi="宋体" w:eastAsia="方正仿宋_GBK"/>
          <w:szCs w:val="24"/>
        </w:rPr>
        <w:t>法定代表人（或其授权代表）：</w:t>
      </w:r>
    </w:p>
    <w:p>
      <w:pPr>
        <w:spacing w:line="500" w:lineRule="exact"/>
        <w:ind w:firstLine="480"/>
        <w:rPr>
          <w:rFonts w:ascii="方正仿宋_GBK" w:hAnsi="宋体" w:eastAsia="方正仿宋_GBK"/>
          <w:szCs w:val="28"/>
        </w:rPr>
      </w:pPr>
    </w:p>
    <w:p>
      <w:pPr>
        <w:spacing w:line="500" w:lineRule="exact"/>
        <w:ind w:firstLine="720" w:firstLineChars="300"/>
        <w:rPr>
          <w:rFonts w:ascii="方正仿宋_GBK" w:hAnsi="宋体" w:eastAsia="方正仿宋_GBK"/>
          <w:szCs w:val="28"/>
        </w:rPr>
      </w:pPr>
      <w:r>
        <w:rPr>
          <w:rFonts w:hint="eastAsia" w:ascii="方正仿宋_GBK" w:hAnsi="宋体" w:eastAsia="方正仿宋_GBK"/>
          <w:szCs w:val="28"/>
        </w:rPr>
        <w:t>（供应商公章）                               （签署或盖章）</w:t>
      </w:r>
    </w:p>
    <w:p>
      <w:pPr>
        <w:tabs>
          <w:tab w:val="left" w:pos="6300"/>
        </w:tabs>
        <w:snapToGrid w:val="0"/>
        <w:spacing w:line="500" w:lineRule="exact"/>
        <w:ind w:firstLine="480"/>
        <w:rPr>
          <w:rFonts w:ascii="方正仿宋_GBK" w:hAnsi="宋体" w:eastAsia="方正仿宋_GBK"/>
        </w:rPr>
      </w:pPr>
      <w:r>
        <w:rPr>
          <w:rFonts w:hint="eastAsia" w:ascii="方正仿宋_GBK" w:hAnsi="宋体" w:eastAsia="方正仿宋_GBK"/>
          <w:szCs w:val="28"/>
        </w:rPr>
        <w:t xml:space="preserve">                                              年     月     日</w:t>
      </w:r>
    </w:p>
    <w:p>
      <w:pPr>
        <w:tabs>
          <w:tab w:val="left" w:pos="6300"/>
        </w:tabs>
        <w:snapToGrid w:val="0"/>
        <w:spacing w:line="500" w:lineRule="exact"/>
        <w:ind w:firstLine="480" w:firstLineChars="200"/>
        <w:rPr>
          <w:rFonts w:ascii="方正仿宋_GBK" w:hAnsi="宋体" w:eastAsia="方正仿宋_GBK"/>
        </w:rPr>
      </w:pPr>
      <w:r>
        <w:rPr>
          <w:rFonts w:hint="eastAsia" w:ascii="方正仿宋_GBK" w:hAnsi="宋体" w:eastAsia="方正仿宋_GBK"/>
        </w:rPr>
        <w:t>注：</w:t>
      </w:r>
    </w:p>
    <w:p>
      <w:pPr>
        <w:tabs>
          <w:tab w:val="left" w:pos="6300"/>
        </w:tabs>
        <w:snapToGrid w:val="0"/>
        <w:spacing w:line="500" w:lineRule="exact"/>
        <w:ind w:firstLine="480" w:firstLineChars="200"/>
        <w:rPr>
          <w:rFonts w:ascii="方正仿宋_GBK" w:hAnsi="宋体" w:eastAsia="方正仿宋_GBK"/>
        </w:rPr>
      </w:pPr>
      <w:r>
        <w:rPr>
          <w:rFonts w:hint="eastAsia" w:ascii="方正仿宋_GBK" w:hAnsi="宋体" w:eastAsia="方正仿宋_GBK"/>
          <w:szCs w:val="24"/>
        </w:rPr>
        <w:t>1</w:t>
      </w:r>
      <w:r>
        <w:rPr>
          <w:rFonts w:hint="eastAsia" w:ascii="方正仿宋_GBK" w:hAnsi="宋体" w:eastAsia="方正仿宋_GBK"/>
        </w:rPr>
        <w:t>.</w:t>
      </w:r>
      <w:r>
        <w:rPr>
          <w:rFonts w:hint="eastAsia" w:ascii="方正仿宋_GBK" w:hAnsi="仿宋" w:eastAsia="方正仿宋_GBK"/>
          <w:szCs w:val="24"/>
        </w:rPr>
        <w:t>本表即为对本项目“第二部分 项目技术、服务及商务需求”中所列条款具体内容进行</w:t>
      </w:r>
      <w:r>
        <w:rPr>
          <w:rFonts w:hint="eastAsia" w:ascii="方正仿宋_GBK" w:hAnsi="仿宋" w:eastAsia="方正仿宋_GBK"/>
          <w:b/>
          <w:bCs/>
          <w:szCs w:val="24"/>
        </w:rPr>
        <w:t>逐条比较和响应。</w:t>
      </w:r>
    </w:p>
    <w:p>
      <w:pPr>
        <w:snapToGrid w:val="0"/>
        <w:spacing w:line="400" w:lineRule="exact"/>
        <w:ind w:firstLine="480" w:firstLineChars="200"/>
        <w:jc w:val="left"/>
        <w:rPr>
          <w:rFonts w:ascii="方正仿宋_GBK" w:hAnsi="宋体" w:eastAsia="方正仿宋_GBK"/>
          <w:sz w:val="28"/>
          <w:szCs w:val="28"/>
        </w:rPr>
      </w:pPr>
      <w:r>
        <w:rPr>
          <w:rFonts w:hint="eastAsia" w:ascii="方正仿宋_GBK" w:hAnsi="宋体" w:eastAsia="方正仿宋_GBK"/>
        </w:rPr>
        <w:t>2.本表可扩展。</w:t>
      </w:r>
    </w:p>
    <w:p>
      <w:pPr>
        <w:pStyle w:val="8"/>
        <w:ind w:firstLine="560" w:firstLineChars="200"/>
        <w:rPr>
          <w:rFonts w:ascii="方正黑体_GBK" w:hAnsi="方正黑体_GBK" w:eastAsia="方正黑体_GBK" w:cs="方正黑体_GBK"/>
          <w:kern w:val="44"/>
          <w:sz w:val="44"/>
        </w:rPr>
      </w:pPr>
      <w:r>
        <w:rPr>
          <w:rFonts w:hint="eastAsia" w:ascii="方正仿宋_GBK" w:hAnsi="宋体" w:eastAsia="方正仿宋_GBK"/>
          <w:sz w:val="28"/>
          <w:szCs w:val="28"/>
        </w:rPr>
        <w:t>（六）其他资料</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如：</w:t>
      </w:r>
      <w:r>
        <w:rPr>
          <w:rFonts w:hint="eastAsia" w:ascii="方正仿宋_GBK" w:hAnsi="仿宋" w:eastAsia="方正仿宋_GBK"/>
          <w:sz w:val="28"/>
          <w:szCs w:val="28"/>
          <w:lang w:val="en-US" w:eastAsia="zh-CN"/>
        </w:rPr>
        <w:t>特定资格、</w:t>
      </w:r>
      <w:r>
        <w:rPr>
          <w:rFonts w:hint="eastAsia" w:ascii="方正仿宋_GBK" w:hAnsi="仿宋" w:eastAsia="方正仿宋_GBK"/>
          <w:sz w:val="28"/>
          <w:szCs w:val="28"/>
        </w:rPr>
        <w:t>业绩、方案等其他佐证资料，格式自拟（加盖供应商公章）</w:t>
      </w:r>
    </w:p>
    <w:p>
      <w:pPr>
        <w:pStyle w:val="8"/>
        <w:rPr>
          <w:rFonts w:ascii="方正仿宋_GBK" w:hAnsi="仿宋" w:eastAsia="方正仿宋_GBK"/>
          <w:sz w:val="28"/>
          <w:szCs w:val="28"/>
        </w:rPr>
      </w:pPr>
    </w:p>
    <w:p>
      <w:pPr>
        <w:rPr>
          <w:rFonts w:ascii="方正仿宋_GBK" w:hAnsi="仿宋" w:eastAsia="方正仿宋_GBK"/>
          <w:sz w:val="28"/>
          <w:szCs w:val="28"/>
        </w:rPr>
      </w:pPr>
    </w:p>
    <w:p>
      <w:pPr>
        <w:pStyle w:val="8"/>
        <w:rPr>
          <w:rFonts w:ascii="方正仿宋_GBK" w:hAnsi="仿宋" w:eastAsia="方正仿宋_GBK"/>
          <w:sz w:val="28"/>
          <w:szCs w:val="28"/>
        </w:rPr>
      </w:pPr>
    </w:p>
    <w:p>
      <w:pPr>
        <w:rPr>
          <w:rFonts w:ascii="方正仿宋_GBK" w:hAnsi="仿宋" w:eastAsia="方正仿宋_GBK"/>
          <w:sz w:val="28"/>
          <w:szCs w:val="28"/>
        </w:rPr>
      </w:pPr>
    </w:p>
    <w:p>
      <w:pPr>
        <w:pStyle w:val="8"/>
        <w:rPr>
          <w:rFonts w:eastAsia="方正仿宋_GBK"/>
        </w:rPr>
      </w:pPr>
      <w:r>
        <w:rPr>
          <w:rFonts w:hint="eastAsia" w:ascii="方正仿宋_GBK" w:hAnsi="仿宋" w:eastAsia="方正仿宋_GBK"/>
          <w:sz w:val="28"/>
          <w:szCs w:val="28"/>
        </w:rPr>
        <w:t xml:space="preserve">                          （完）</w:t>
      </w:r>
    </w:p>
    <w:p/>
    <w:p/>
    <w:sectPr>
      <w:pgSz w:w="11906" w:h="16838"/>
      <w:pgMar w:top="737" w:right="1134" w:bottom="737" w:left="1304" w:header="851" w:footer="850" w:gutter="0"/>
      <w:cols w:space="0" w:num="1"/>
      <w:titlePg/>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5F3BD5-4BBB-484F-BE36-31A2F820D5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81AF2E3-1F4C-4DB9-88C2-90F41003C1F9}"/>
  </w:font>
  <w:font w:name="仿宋">
    <w:panose1 w:val="02010609060101010101"/>
    <w:charset w:val="86"/>
    <w:family w:val="modern"/>
    <w:pitch w:val="default"/>
    <w:sig w:usb0="800002BF" w:usb1="38CF7CFA" w:usb2="00000016" w:usb3="00000000" w:csb0="00040001" w:csb1="00000000"/>
    <w:embedRegular r:id="rId3" w:fontKey="{0EF8596F-0A9D-47B9-ABC8-CAC15B8A770D}"/>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embedRegular r:id="rId4" w:fontKey="{D5E757F8-19E3-45A9-8067-16BCD413C09E}"/>
  </w:font>
  <w:font w:name="华文中宋">
    <w:panose1 w:val="02010600040101010101"/>
    <w:charset w:val="86"/>
    <w:family w:val="auto"/>
    <w:pitch w:val="default"/>
    <w:sig w:usb0="00000287" w:usb1="080F0000" w:usb2="00000000" w:usb3="00000000" w:csb0="0004009F" w:csb1="DFD70000"/>
    <w:embedRegular r:id="rId5" w:fontKey="{9C8BE5C4-02CA-460C-B37D-75C37EC4D4D4}"/>
  </w:font>
  <w:font w:name="方正黑体_GBK">
    <w:panose1 w:val="03000509000000000000"/>
    <w:charset w:val="86"/>
    <w:family w:val="script"/>
    <w:pitch w:val="default"/>
    <w:sig w:usb0="00000001" w:usb1="080E0000" w:usb2="00000000" w:usb3="00000000" w:csb0="00040000" w:csb1="00000000"/>
    <w:embedRegular r:id="rId6" w:fontKey="{B51493D8-DF21-44BF-A581-051052A3C448}"/>
  </w:font>
  <w:font w:name="方正仿宋_GBK">
    <w:panose1 w:val="03000509000000000000"/>
    <w:charset w:val="86"/>
    <w:family w:val="script"/>
    <w:pitch w:val="default"/>
    <w:sig w:usb0="00000001" w:usb1="080E0000" w:usb2="00000000" w:usb3="00000000" w:csb0="00040000" w:csb1="00000000"/>
    <w:embedRegular r:id="rId7" w:fontKey="{3B433950-9B11-4F9B-A64B-D3D78CEB4C0C}"/>
  </w:font>
  <w:font w:name="方正仿宋_GB2312">
    <w:panose1 w:val="02000000000000000000"/>
    <w:charset w:val="86"/>
    <w:family w:val="auto"/>
    <w:pitch w:val="default"/>
    <w:sig w:usb0="A00002BF" w:usb1="184F6CFA" w:usb2="00000012" w:usb3="00000000" w:csb0="00040001" w:csb1="00000000"/>
    <w:embedRegular r:id="rId8" w:fontKey="{50A0EB0E-91B1-4F42-A96D-DDC1EEF9A1FD}"/>
  </w:font>
  <w:font w:name="楷体_GB2312">
    <w:panose1 w:val="02010609030101010101"/>
    <w:charset w:val="86"/>
    <w:family w:val="modern"/>
    <w:pitch w:val="default"/>
    <w:sig w:usb0="00000001" w:usb1="080E0000" w:usb2="00000000" w:usb3="00000000" w:csb0="00040000" w:csb1="00000000"/>
    <w:embedRegular r:id="rId9" w:fontKey="{FD18B032-5C21-480C-BA12-1BD1454B43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3</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30</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3</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30</w:t>
                    </w:r>
                    <w:r>
                      <w:rPr>
                        <w:rStyle w:val="29"/>
                      </w:rPr>
                      <w:fldChar w:fldCharType="end"/>
                    </w:r>
                    <w:r>
                      <w:rPr>
                        <w:rStyle w:val="29"/>
                      </w:rPr>
                      <w:t xml:space="preserve"> 页</w:t>
                    </w:r>
                  </w:p>
                </w:txbxContent>
              </v:textbox>
            </v:shape>
          </w:pict>
        </mc:Fallback>
      </mc:AlternateContent>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w:t>
    </w:r>
    <w:r>
      <w:rPr>
        <w:rFonts w:ascii="宋体" w:hAnsi="宋体"/>
        <w:sz w:val="21"/>
        <w:szCs w:val="21"/>
      </w:rPr>
      <w:t xml:space="preserve"> 3 -</w:t>
    </w:r>
    <w:r>
      <w:rPr>
        <w:rFonts w:ascii="宋体" w:hAnsi="宋体"/>
        <w:sz w:val="21"/>
        <w:szCs w:val="21"/>
      </w:rPr>
      <w:fldChar w:fldCharType="end"/>
    </w:r>
  </w:p>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- 15 -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31</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- 15 -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31</w:t>
                    </w:r>
                    <w:r>
                      <w:rPr>
                        <w:rStyle w:val="29"/>
                      </w:rPr>
                      <w:fldChar w:fldCharType="end"/>
                    </w:r>
                    <w:r>
                      <w:rPr>
                        <w:rStyle w:val="29"/>
                      </w:rPr>
                      <w:t xml:space="preserve"> 页</w:t>
                    </w:r>
                  </w:p>
                </w:txbxContent>
              </v:textbox>
            </v:shape>
          </w:pict>
        </mc:Fallback>
      </mc:AlternateContent>
    </w:r>
  </w:p>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22</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31</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22</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31</w:t>
                    </w:r>
                    <w:r>
                      <w:rPr>
                        <w:rStyle w:val="29"/>
                      </w:rPr>
                      <w:fldChar w:fldCharType="end"/>
                    </w:r>
                    <w:r>
                      <w:rPr>
                        <w:rStyle w:val="29"/>
                      </w:rPr>
                      <w:t xml:space="preserve"> 页</w:t>
                    </w:r>
                  </w:p>
                </w:txbxContent>
              </v:textbox>
            </v:shape>
          </w:pict>
        </mc:Fallback>
      </mc:AlternateContent>
    </w:r>
  </w:p>
  <w:p>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30</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32</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30</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32</w:t>
                    </w:r>
                    <w:r>
                      <w:rPr>
                        <w:rStyle w:val="29"/>
                      </w:rPr>
                      <w:fldChar w:fldCharType="end"/>
                    </w:r>
                    <w:r>
                      <w:rPr>
                        <w:rStyle w:val="29"/>
                      </w:rPr>
                      <w:t xml:space="preserve"> 页</w:t>
                    </w:r>
                  </w:p>
                </w:txbxContent>
              </v:textbox>
            </v:shape>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楷体_GB2312" w:eastAsia="楷体_GB2312"/>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8F251"/>
    <w:multiLevelType w:val="singleLevel"/>
    <w:tmpl w:val="9908F251"/>
    <w:lvl w:ilvl="0" w:tentative="0">
      <w:start w:val="1"/>
      <w:numFmt w:val="decimal"/>
      <w:suff w:val="nothing"/>
      <w:lvlText w:val="（%1）"/>
      <w:lvlJc w:val="left"/>
    </w:lvl>
  </w:abstractNum>
  <w:abstractNum w:abstractNumId="1">
    <w:nsid w:val="AFDA5D8E"/>
    <w:multiLevelType w:val="singleLevel"/>
    <w:tmpl w:val="AFDA5D8E"/>
    <w:lvl w:ilvl="0" w:tentative="0">
      <w:start w:val="1"/>
      <w:numFmt w:val="decimal"/>
      <w:lvlText w:val="%1."/>
      <w:lvlJc w:val="left"/>
      <w:pPr>
        <w:tabs>
          <w:tab w:val="left" w:pos="312"/>
        </w:tabs>
      </w:pPr>
    </w:lvl>
  </w:abstractNum>
  <w:abstractNum w:abstractNumId="2">
    <w:nsid w:val="B3161D6A"/>
    <w:multiLevelType w:val="singleLevel"/>
    <w:tmpl w:val="B3161D6A"/>
    <w:lvl w:ilvl="0" w:tentative="0">
      <w:start w:val="1"/>
      <w:numFmt w:val="decimal"/>
      <w:suff w:val="space"/>
      <w:lvlText w:val="%1."/>
      <w:lvlJc w:val="left"/>
    </w:lvl>
  </w:abstractNum>
  <w:abstractNum w:abstractNumId="3">
    <w:nsid w:val="B38F8E0E"/>
    <w:multiLevelType w:val="singleLevel"/>
    <w:tmpl w:val="B38F8E0E"/>
    <w:lvl w:ilvl="0" w:tentative="0">
      <w:start w:val="2"/>
      <w:numFmt w:val="chineseCounting"/>
      <w:suff w:val="nothing"/>
      <w:lvlText w:val="%1、"/>
      <w:lvlJc w:val="left"/>
      <w:pPr>
        <w:ind w:left="-82"/>
      </w:pPr>
      <w:rPr>
        <w:rFonts w:hint="eastAsia"/>
      </w:rPr>
    </w:lvl>
  </w:abstractNum>
  <w:abstractNum w:abstractNumId="4">
    <w:nsid w:val="C4CD0464"/>
    <w:multiLevelType w:val="singleLevel"/>
    <w:tmpl w:val="C4CD0464"/>
    <w:lvl w:ilvl="0" w:tentative="0">
      <w:start w:val="2"/>
      <w:numFmt w:val="decimal"/>
      <w:lvlText w:val="%1."/>
      <w:lvlJc w:val="left"/>
      <w:pPr>
        <w:tabs>
          <w:tab w:val="left" w:pos="312"/>
        </w:tabs>
      </w:pPr>
    </w:lvl>
  </w:abstractNum>
  <w:abstractNum w:abstractNumId="5">
    <w:nsid w:val="D2CA5518"/>
    <w:multiLevelType w:val="singleLevel"/>
    <w:tmpl w:val="D2CA5518"/>
    <w:lvl w:ilvl="0" w:tentative="0">
      <w:start w:val="1"/>
      <w:numFmt w:val="decimal"/>
      <w:suff w:val="space"/>
      <w:lvlText w:val="%1."/>
      <w:lvlJc w:val="left"/>
    </w:lvl>
  </w:abstractNum>
  <w:abstractNum w:abstractNumId="6">
    <w:nsid w:val="D6911A99"/>
    <w:multiLevelType w:val="singleLevel"/>
    <w:tmpl w:val="D6911A99"/>
    <w:lvl w:ilvl="0" w:tentative="0">
      <w:start w:val="1"/>
      <w:numFmt w:val="chineseCounting"/>
      <w:suff w:val="nothing"/>
      <w:lvlText w:val="（%1）"/>
      <w:lvlJc w:val="left"/>
      <w:pPr>
        <w:ind w:left="-235"/>
      </w:pPr>
      <w:rPr>
        <w:rFonts w:hint="eastAsia"/>
      </w:rPr>
    </w:lvl>
  </w:abstractNum>
  <w:abstractNum w:abstractNumId="7">
    <w:nsid w:val="D6B1C78C"/>
    <w:multiLevelType w:val="singleLevel"/>
    <w:tmpl w:val="D6B1C78C"/>
    <w:lvl w:ilvl="0" w:tentative="0">
      <w:start w:val="1"/>
      <w:numFmt w:val="decimal"/>
      <w:suff w:val="space"/>
      <w:lvlText w:val="%1."/>
      <w:lvlJc w:val="left"/>
      <w:pPr>
        <w:ind w:left="-10"/>
      </w:pPr>
    </w:lvl>
  </w:abstractNum>
  <w:abstractNum w:abstractNumId="8">
    <w:nsid w:val="E223A8D1"/>
    <w:multiLevelType w:val="singleLevel"/>
    <w:tmpl w:val="E223A8D1"/>
    <w:lvl w:ilvl="0" w:tentative="0">
      <w:start w:val="1"/>
      <w:numFmt w:val="chineseCounting"/>
      <w:suff w:val="nothing"/>
      <w:lvlText w:val="（%1）"/>
      <w:lvlJc w:val="left"/>
      <w:pPr>
        <w:ind w:left="-94"/>
      </w:pPr>
      <w:rPr>
        <w:rFonts w:hint="eastAsia" w:ascii="方正仿宋_GB2312" w:hAnsi="方正仿宋_GB2312" w:eastAsia="方正仿宋_GB2312" w:cs="方正仿宋_GB2312"/>
      </w:rPr>
    </w:lvl>
  </w:abstractNum>
  <w:abstractNum w:abstractNumId="9">
    <w:nsid w:val="1B516254"/>
    <w:multiLevelType w:val="singleLevel"/>
    <w:tmpl w:val="1B516254"/>
    <w:lvl w:ilvl="0" w:tentative="0">
      <w:start w:val="1"/>
      <w:numFmt w:val="chineseCounting"/>
      <w:suff w:val="nothing"/>
      <w:lvlText w:val="（%1）"/>
      <w:lvlJc w:val="left"/>
      <w:pPr>
        <w:ind w:left="-94"/>
      </w:pPr>
      <w:rPr>
        <w:rFonts w:hint="eastAsia" w:ascii="方正仿宋_GB2312" w:hAnsi="方正仿宋_GB2312" w:eastAsia="方正仿宋_GB2312" w:cs="方正仿宋_GB2312"/>
      </w:rPr>
    </w:lvl>
  </w:abstractNum>
  <w:abstractNum w:abstractNumId="10">
    <w:nsid w:val="1DFAAB1A"/>
    <w:multiLevelType w:val="singleLevel"/>
    <w:tmpl w:val="1DFAAB1A"/>
    <w:lvl w:ilvl="0" w:tentative="0">
      <w:start w:val="1"/>
      <w:numFmt w:val="decimal"/>
      <w:lvlText w:val="%1."/>
      <w:lvlJc w:val="left"/>
      <w:pPr>
        <w:tabs>
          <w:tab w:val="left" w:pos="312"/>
        </w:tabs>
      </w:pPr>
    </w:lvl>
  </w:abstractNum>
  <w:abstractNum w:abstractNumId="11">
    <w:nsid w:val="2B22BBCA"/>
    <w:multiLevelType w:val="singleLevel"/>
    <w:tmpl w:val="2B22BBCA"/>
    <w:lvl w:ilvl="0" w:tentative="0">
      <w:start w:val="1"/>
      <w:numFmt w:val="chineseCounting"/>
      <w:suff w:val="space"/>
      <w:lvlText w:val="第%1部分"/>
      <w:lvlJc w:val="left"/>
      <w:pPr>
        <w:ind w:left="14"/>
      </w:pPr>
      <w:rPr>
        <w:rFonts w:hint="eastAsia"/>
      </w:rPr>
    </w:lvl>
  </w:abstractNum>
  <w:abstractNum w:abstractNumId="12">
    <w:nsid w:val="61B8228F"/>
    <w:multiLevelType w:val="multilevel"/>
    <w:tmpl w:val="61B8228F"/>
    <w:lvl w:ilvl="0" w:tentative="0">
      <w:start w:val="1"/>
      <w:numFmt w:val="japaneseCounting"/>
      <w:lvlText w:val="%1、"/>
      <w:lvlJc w:val="left"/>
      <w:pPr>
        <w:ind w:left="1133" w:hanging="585"/>
      </w:pPr>
      <w:rPr>
        <w:rFonts w:hint="default"/>
      </w:rPr>
    </w:lvl>
    <w:lvl w:ilvl="1" w:tentative="0">
      <w:start w:val="1"/>
      <w:numFmt w:val="lowerLetter"/>
      <w:lvlText w:val="%2)"/>
      <w:lvlJc w:val="left"/>
      <w:pPr>
        <w:ind w:left="1388" w:hanging="420"/>
      </w:pPr>
    </w:lvl>
    <w:lvl w:ilvl="2" w:tentative="0">
      <w:start w:val="1"/>
      <w:numFmt w:val="lowerRoman"/>
      <w:lvlText w:val="%3."/>
      <w:lvlJc w:val="right"/>
      <w:pPr>
        <w:ind w:left="1808" w:hanging="420"/>
      </w:pPr>
    </w:lvl>
    <w:lvl w:ilvl="3" w:tentative="0">
      <w:start w:val="1"/>
      <w:numFmt w:val="decimal"/>
      <w:lvlText w:val="%4."/>
      <w:lvlJc w:val="left"/>
      <w:pPr>
        <w:ind w:left="2228" w:hanging="420"/>
      </w:pPr>
    </w:lvl>
    <w:lvl w:ilvl="4" w:tentative="0">
      <w:start w:val="1"/>
      <w:numFmt w:val="lowerLetter"/>
      <w:lvlText w:val="%5)"/>
      <w:lvlJc w:val="left"/>
      <w:pPr>
        <w:ind w:left="2648" w:hanging="420"/>
      </w:pPr>
    </w:lvl>
    <w:lvl w:ilvl="5" w:tentative="0">
      <w:start w:val="1"/>
      <w:numFmt w:val="lowerRoman"/>
      <w:lvlText w:val="%6."/>
      <w:lvlJc w:val="right"/>
      <w:pPr>
        <w:ind w:left="3068" w:hanging="420"/>
      </w:pPr>
    </w:lvl>
    <w:lvl w:ilvl="6" w:tentative="0">
      <w:start w:val="1"/>
      <w:numFmt w:val="decimal"/>
      <w:lvlText w:val="%7."/>
      <w:lvlJc w:val="left"/>
      <w:pPr>
        <w:ind w:left="3488" w:hanging="420"/>
      </w:pPr>
    </w:lvl>
    <w:lvl w:ilvl="7" w:tentative="0">
      <w:start w:val="1"/>
      <w:numFmt w:val="lowerLetter"/>
      <w:lvlText w:val="%8)"/>
      <w:lvlJc w:val="left"/>
      <w:pPr>
        <w:ind w:left="3908" w:hanging="420"/>
      </w:pPr>
    </w:lvl>
    <w:lvl w:ilvl="8" w:tentative="0">
      <w:start w:val="1"/>
      <w:numFmt w:val="lowerRoman"/>
      <w:lvlText w:val="%9."/>
      <w:lvlJc w:val="right"/>
      <w:pPr>
        <w:ind w:left="4328" w:hanging="420"/>
      </w:pPr>
    </w:lvl>
  </w:abstractNum>
  <w:num w:numId="1">
    <w:abstractNumId w:val="11"/>
  </w:num>
  <w:num w:numId="2">
    <w:abstractNumId w:val="12"/>
  </w:num>
  <w:num w:numId="3">
    <w:abstractNumId w:val="3"/>
  </w:num>
  <w:num w:numId="4">
    <w:abstractNumId w:val="6"/>
  </w:num>
  <w:num w:numId="5">
    <w:abstractNumId w:val="4"/>
  </w:num>
  <w:num w:numId="6">
    <w:abstractNumId w:val="10"/>
  </w:num>
  <w:num w:numId="7">
    <w:abstractNumId w:val="1"/>
  </w:num>
  <w:num w:numId="8">
    <w:abstractNumId w:val="0"/>
  </w:num>
  <w:num w:numId="9">
    <w:abstractNumId w:val="5"/>
  </w:num>
  <w:num w:numId="10">
    <w:abstractNumId w:val="2"/>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9"/>
  <w:drawingGridVerticalSpacing w:val="1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Njk5MjZmZjQ5M2MzOGM4ZmZjOGNjN2I4Njk5ZWQifQ=="/>
  </w:docVars>
  <w:rsids>
    <w:rsidRoot w:val="00122A73"/>
    <w:rsid w:val="00001BE2"/>
    <w:rsid w:val="00023845"/>
    <w:rsid w:val="000620B5"/>
    <w:rsid w:val="000A729E"/>
    <w:rsid w:val="000C79B9"/>
    <w:rsid w:val="000D0DD9"/>
    <w:rsid w:val="000D7C80"/>
    <w:rsid w:val="000F5645"/>
    <w:rsid w:val="0011245C"/>
    <w:rsid w:val="00116833"/>
    <w:rsid w:val="00122A73"/>
    <w:rsid w:val="00137EE0"/>
    <w:rsid w:val="00167545"/>
    <w:rsid w:val="001B5D6F"/>
    <w:rsid w:val="001C1EAE"/>
    <w:rsid w:val="001F07C8"/>
    <w:rsid w:val="00210531"/>
    <w:rsid w:val="0021657E"/>
    <w:rsid w:val="00252116"/>
    <w:rsid w:val="00262202"/>
    <w:rsid w:val="002B1DAC"/>
    <w:rsid w:val="002B75D8"/>
    <w:rsid w:val="002E139F"/>
    <w:rsid w:val="002F4234"/>
    <w:rsid w:val="0030084D"/>
    <w:rsid w:val="0032251E"/>
    <w:rsid w:val="003326DF"/>
    <w:rsid w:val="00334EBD"/>
    <w:rsid w:val="00341F4A"/>
    <w:rsid w:val="00356609"/>
    <w:rsid w:val="0037037F"/>
    <w:rsid w:val="003B2B26"/>
    <w:rsid w:val="003B3286"/>
    <w:rsid w:val="003B717B"/>
    <w:rsid w:val="003E3908"/>
    <w:rsid w:val="003F7D58"/>
    <w:rsid w:val="0040022F"/>
    <w:rsid w:val="004165A5"/>
    <w:rsid w:val="00455C16"/>
    <w:rsid w:val="004C70C6"/>
    <w:rsid w:val="004F52BC"/>
    <w:rsid w:val="00505F9C"/>
    <w:rsid w:val="00506427"/>
    <w:rsid w:val="00515572"/>
    <w:rsid w:val="00522029"/>
    <w:rsid w:val="0058011B"/>
    <w:rsid w:val="00585F75"/>
    <w:rsid w:val="00595090"/>
    <w:rsid w:val="00604B4F"/>
    <w:rsid w:val="00660511"/>
    <w:rsid w:val="0067086E"/>
    <w:rsid w:val="00692591"/>
    <w:rsid w:val="00695797"/>
    <w:rsid w:val="006C65E0"/>
    <w:rsid w:val="006F6BFF"/>
    <w:rsid w:val="00733855"/>
    <w:rsid w:val="00747E80"/>
    <w:rsid w:val="0075244F"/>
    <w:rsid w:val="00755004"/>
    <w:rsid w:val="007555FB"/>
    <w:rsid w:val="00767830"/>
    <w:rsid w:val="00776A6A"/>
    <w:rsid w:val="007A1590"/>
    <w:rsid w:val="007B78AD"/>
    <w:rsid w:val="007C614C"/>
    <w:rsid w:val="00800BDD"/>
    <w:rsid w:val="008577F0"/>
    <w:rsid w:val="00884D87"/>
    <w:rsid w:val="008A418F"/>
    <w:rsid w:val="008C1416"/>
    <w:rsid w:val="008C4523"/>
    <w:rsid w:val="008D27A4"/>
    <w:rsid w:val="008D6D65"/>
    <w:rsid w:val="00904740"/>
    <w:rsid w:val="009309E5"/>
    <w:rsid w:val="009C0F6A"/>
    <w:rsid w:val="009D1D20"/>
    <w:rsid w:val="009D36FA"/>
    <w:rsid w:val="00A005EC"/>
    <w:rsid w:val="00A13F20"/>
    <w:rsid w:val="00A34CD5"/>
    <w:rsid w:val="00A5319B"/>
    <w:rsid w:val="00AE5DBA"/>
    <w:rsid w:val="00AF11C8"/>
    <w:rsid w:val="00B21A0A"/>
    <w:rsid w:val="00B32D9E"/>
    <w:rsid w:val="00B35CE7"/>
    <w:rsid w:val="00B538F6"/>
    <w:rsid w:val="00C03AEC"/>
    <w:rsid w:val="00C34B62"/>
    <w:rsid w:val="00C3529C"/>
    <w:rsid w:val="00C75BE7"/>
    <w:rsid w:val="00C7611C"/>
    <w:rsid w:val="00CD2FDE"/>
    <w:rsid w:val="00CD6A13"/>
    <w:rsid w:val="00D07958"/>
    <w:rsid w:val="00D936CF"/>
    <w:rsid w:val="00DA3239"/>
    <w:rsid w:val="00DB5383"/>
    <w:rsid w:val="00E72C67"/>
    <w:rsid w:val="00E76920"/>
    <w:rsid w:val="00EA19F0"/>
    <w:rsid w:val="00EB3694"/>
    <w:rsid w:val="00ED30B1"/>
    <w:rsid w:val="00ED3249"/>
    <w:rsid w:val="00F036C9"/>
    <w:rsid w:val="00F06A57"/>
    <w:rsid w:val="00F77480"/>
    <w:rsid w:val="00F866CA"/>
    <w:rsid w:val="00F92A55"/>
    <w:rsid w:val="00FA719C"/>
    <w:rsid w:val="00FB2305"/>
    <w:rsid w:val="00FF023E"/>
    <w:rsid w:val="01536131"/>
    <w:rsid w:val="01B97F5E"/>
    <w:rsid w:val="01BB3CD7"/>
    <w:rsid w:val="01C604D0"/>
    <w:rsid w:val="01D6466C"/>
    <w:rsid w:val="01E81FA3"/>
    <w:rsid w:val="02074881"/>
    <w:rsid w:val="022573A2"/>
    <w:rsid w:val="024261A6"/>
    <w:rsid w:val="02441B31"/>
    <w:rsid w:val="025B2DC4"/>
    <w:rsid w:val="026003DA"/>
    <w:rsid w:val="029C7664"/>
    <w:rsid w:val="02E4587F"/>
    <w:rsid w:val="0377098B"/>
    <w:rsid w:val="03C36E72"/>
    <w:rsid w:val="03D5021F"/>
    <w:rsid w:val="03DF17D9"/>
    <w:rsid w:val="043F3383"/>
    <w:rsid w:val="04411074"/>
    <w:rsid w:val="0451447E"/>
    <w:rsid w:val="04640655"/>
    <w:rsid w:val="04675A50"/>
    <w:rsid w:val="04842AA6"/>
    <w:rsid w:val="049C7878"/>
    <w:rsid w:val="04AF06BB"/>
    <w:rsid w:val="04B35139"/>
    <w:rsid w:val="04CB5FDF"/>
    <w:rsid w:val="04DC0C65"/>
    <w:rsid w:val="04EB0520"/>
    <w:rsid w:val="051203BD"/>
    <w:rsid w:val="05143E2A"/>
    <w:rsid w:val="056401E1"/>
    <w:rsid w:val="059469C8"/>
    <w:rsid w:val="059A2398"/>
    <w:rsid w:val="05AA653C"/>
    <w:rsid w:val="05B71F0C"/>
    <w:rsid w:val="05CD6E46"/>
    <w:rsid w:val="06085010"/>
    <w:rsid w:val="06475B39"/>
    <w:rsid w:val="06626219"/>
    <w:rsid w:val="067F229B"/>
    <w:rsid w:val="068723D9"/>
    <w:rsid w:val="06B156A8"/>
    <w:rsid w:val="06C62F02"/>
    <w:rsid w:val="073360BD"/>
    <w:rsid w:val="075E75DE"/>
    <w:rsid w:val="077A3CEC"/>
    <w:rsid w:val="07893F2F"/>
    <w:rsid w:val="07A56FBB"/>
    <w:rsid w:val="07DC15D4"/>
    <w:rsid w:val="08033CE1"/>
    <w:rsid w:val="08070674"/>
    <w:rsid w:val="080D4B60"/>
    <w:rsid w:val="082F2D28"/>
    <w:rsid w:val="08D12C20"/>
    <w:rsid w:val="08FA3336"/>
    <w:rsid w:val="08FB6E0A"/>
    <w:rsid w:val="08FC70AE"/>
    <w:rsid w:val="090C355C"/>
    <w:rsid w:val="094D72DD"/>
    <w:rsid w:val="09774987"/>
    <w:rsid w:val="098B21E0"/>
    <w:rsid w:val="09AE0018"/>
    <w:rsid w:val="09C86F91"/>
    <w:rsid w:val="09E10052"/>
    <w:rsid w:val="09FC4872"/>
    <w:rsid w:val="0A2A19F9"/>
    <w:rsid w:val="0A3E6DFF"/>
    <w:rsid w:val="0A526024"/>
    <w:rsid w:val="0A5B7E05"/>
    <w:rsid w:val="0AA81F23"/>
    <w:rsid w:val="0AF3628F"/>
    <w:rsid w:val="0AFD0EBC"/>
    <w:rsid w:val="0B0E217A"/>
    <w:rsid w:val="0B3E4ECE"/>
    <w:rsid w:val="0B4E1717"/>
    <w:rsid w:val="0B61144B"/>
    <w:rsid w:val="0B9335CE"/>
    <w:rsid w:val="0BC419DA"/>
    <w:rsid w:val="0BD601A7"/>
    <w:rsid w:val="0BDF080B"/>
    <w:rsid w:val="0C3E5484"/>
    <w:rsid w:val="0C6A5E1A"/>
    <w:rsid w:val="0C6F1945"/>
    <w:rsid w:val="0C7A7253"/>
    <w:rsid w:val="0C811679"/>
    <w:rsid w:val="0C994C14"/>
    <w:rsid w:val="0C9F66CF"/>
    <w:rsid w:val="0C9F7E51"/>
    <w:rsid w:val="0CAA3225"/>
    <w:rsid w:val="0CCA74C4"/>
    <w:rsid w:val="0D162709"/>
    <w:rsid w:val="0D314E4D"/>
    <w:rsid w:val="0D3627FC"/>
    <w:rsid w:val="0D42705A"/>
    <w:rsid w:val="0D444B80"/>
    <w:rsid w:val="0DA1467F"/>
    <w:rsid w:val="0DEA322D"/>
    <w:rsid w:val="0DED5218"/>
    <w:rsid w:val="0DF02F5A"/>
    <w:rsid w:val="0DF540CC"/>
    <w:rsid w:val="0E010CC3"/>
    <w:rsid w:val="0E651252"/>
    <w:rsid w:val="0E707BF7"/>
    <w:rsid w:val="0E720FA7"/>
    <w:rsid w:val="0E792F4F"/>
    <w:rsid w:val="0E813BB2"/>
    <w:rsid w:val="0E8F2773"/>
    <w:rsid w:val="0EEF3211"/>
    <w:rsid w:val="0F2B4A9E"/>
    <w:rsid w:val="0F71204C"/>
    <w:rsid w:val="0F827BE2"/>
    <w:rsid w:val="0FFC7994"/>
    <w:rsid w:val="101F3682"/>
    <w:rsid w:val="10234F21"/>
    <w:rsid w:val="102E38C6"/>
    <w:rsid w:val="10330CA8"/>
    <w:rsid w:val="106A2B50"/>
    <w:rsid w:val="10A65B52"/>
    <w:rsid w:val="10B71B0D"/>
    <w:rsid w:val="10B93AD7"/>
    <w:rsid w:val="10C7690A"/>
    <w:rsid w:val="10D821AF"/>
    <w:rsid w:val="10E70373"/>
    <w:rsid w:val="10EE19D3"/>
    <w:rsid w:val="110430A3"/>
    <w:rsid w:val="11196324"/>
    <w:rsid w:val="111D4066"/>
    <w:rsid w:val="1142587A"/>
    <w:rsid w:val="115832F0"/>
    <w:rsid w:val="11667B9B"/>
    <w:rsid w:val="118063A3"/>
    <w:rsid w:val="11940027"/>
    <w:rsid w:val="121F796A"/>
    <w:rsid w:val="123A29F6"/>
    <w:rsid w:val="12443874"/>
    <w:rsid w:val="125735A8"/>
    <w:rsid w:val="12767ED2"/>
    <w:rsid w:val="129103D6"/>
    <w:rsid w:val="12922DA3"/>
    <w:rsid w:val="12B16027"/>
    <w:rsid w:val="12D9220E"/>
    <w:rsid w:val="12D93FBD"/>
    <w:rsid w:val="12FA1077"/>
    <w:rsid w:val="133631BD"/>
    <w:rsid w:val="135C425F"/>
    <w:rsid w:val="13BC117B"/>
    <w:rsid w:val="13E77575"/>
    <w:rsid w:val="13FE3A24"/>
    <w:rsid w:val="14223741"/>
    <w:rsid w:val="14CD18FF"/>
    <w:rsid w:val="14F95211"/>
    <w:rsid w:val="151C4634"/>
    <w:rsid w:val="152F6116"/>
    <w:rsid w:val="154C6CC8"/>
    <w:rsid w:val="154D773B"/>
    <w:rsid w:val="15695ACC"/>
    <w:rsid w:val="15747FCD"/>
    <w:rsid w:val="157C23F9"/>
    <w:rsid w:val="1588653C"/>
    <w:rsid w:val="15AB60E4"/>
    <w:rsid w:val="15B7620C"/>
    <w:rsid w:val="15EB5B02"/>
    <w:rsid w:val="16565924"/>
    <w:rsid w:val="165A5253"/>
    <w:rsid w:val="16704C38"/>
    <w:rsid w:val="167F5B5C"/>
    <w:rsid w:val="16C86822"/>
    <w:rsid w:val="16D15682"/>
    <w:rsid w:val="16F750AD"/>
    <w:rsid w:val="16FA6C12"/>
    <w:rsid w:val="17143815"/>
    <w:rsid w:val="171C091C"/>
    <w:rsid w:val="1763654B"/>
    <w:rsid w:val="176A5B2B"/>
    <w:rsid w:val="178A2A52"/>
    <w:rsid w:val="178F10EE"/>
    <w:rsid w:val="17AE3500"/>
    <w:rsid w:val="17B02937"/>
    <w:rsid w:val="17D26918"/>
    <w:rsid w:val="17EC02EE"/>
    <w:rsid w:val="182F31F2"/>
    <w:rsid w:val="187B732A"/>
    <w:rsid w:val="189F358D"/>
    <w:rsid w:val="189F4F2C"/>
    <w:rsid w:val="190042B5"/>
    <w:rsid w:val="19017DC9"/>
    <w:rsid w:val="190769BA"/>
    <w:rsid w:val="191161D8"/>
    <w:rsid w:val="19B779A8"/>
    <w:rsid w:val="19B92D13"/>
    <w:rsid w:val="19DD25E4"/>
    <w:rsid w:val="1A0A7151"/>
    <w:rsid w:val="1A6E5932"/>
    <w:rsid w:val="1A7D7923"/>
    <w:rsid w:val="1A7F3910"/>
    <w:rsid w:val="1A824F3A"/>
    <w:rsid w:val="1A9133CF"/>
    <w:rsid w:val="1AA32829"/>
    <w:rsid w:val="1AA50C28"/>
    <w:rsid w:val="1AC8400A"/>
    <w:rsid w:val="1AF23E6D"/>
    <w:rsid w:val="1B040045"/>
    <w:rsid w:val="1B1262BE"/>
    <w:rsid w:val="1B487F31"/>
    <w:rsid w:val="1B79633D"/>
    <w:rsid w:val="1B7E2FCF"/>
    <w:rsid w:val="1B974A15"/>
    <w:rsid w:val="1BA86C22"/>
    <w:rsid w:val="1BC51582"/>
    <w:rsid w:val="1BEA5C68"/>
    <w:rsid w:val="1C2D7127"/>
    <w:rsid w:val="1C6B5996"/>
    <w:rsid w:val="1C8C20A0"/>
    <w:rsid w:val="1C9A0A4A"/>
    <w:rsid w:val="1CBB6E99"/>
    <w:rsid w:val="1CC41839"/>
    <w:rsid w:val="1CCD6AD3"/>
    <w:rsid w:val="1CDD28FB"/>
    <w:rsid w:val="1CE26164"/>
    <w:rsid w:val="1CEB14BC"/>
    <w:rsid w:val="1CF739BD"/>
    <w:rsid w:val="1D305121"/>
    <w:rsid w:val="1D5406E1"/>
    <w:rsid w:val="1D835997"/>
    <w:rsid w:val="1D9E208B"/>
    <w:rsid w:val="1DEB1048"/>
    <w:rsid w:val="1DF83E91"/>
    <w:rsid w:val="1E326C77"/>
    <w:rsid w:val="1E37603B"/>
    <w:rsid w:val="1E51534F"/>
    <w:rsid w:val="1E534243"/>
    <w:rsid w:val="1E652BA8"/>
    <w:rsid w:val="1E8F5859"/>
    <w:rsid w:val="1EAC6A29"/>
    <w:rsid w:val="1EB853CE"/>
    <w:rsid w:val="1EE53CE9"/>
    <w:rsid w:val="1EE700E8"/>
    <w:rsid w:val="1F1F369F"/>
    <w:rsid w:val="1F693088"/>
    <w:rsid w:val="1F6F0182"/>
    <w:rsid w:val="1F7C289F"/>
    <w:rsid w:val="1F9574BD"/>
    <w:rsid w:val="203E3E8D"/>
    <w:rsid w:val="205630F0"/>
    <w:rsid w:val="20D83B05"/>
    <w:rsid w:val="20E64474"/>
    <w:rsid w:val="20F75181"/>
    <w:rsid w:val="20F900A6"/>
    <w:rsid w:val="211F1734"/>
    <w:rsid w:val="21246D4B"/>
    <w:rsid w:val="21313216"/>
    <w:rsid w:val="219E4D4F"/>
    <w:rsid w:val="21AF6A69"/>
    <w:rsid w:val="21BD442B"/>
    <w:rsid w:val="21D841C9"/>
    <w:rsid w:val="21DC3ECF"/>
    <w:rsid w:val="2228286B"/>
    <w:rsid w:val="225418B2"/>
    <w:rsid w:val="2267320D"/>
    <w:rsid w:val="22765384"/>
    <w:rsid w:val="228F4698"/>
    <w:rsid w:val="229E2B2D"/>
    <w:rsid w:val="22FA4C77"/>
    <w:rsid w:val="232F19D7"/>
    <w:rsid w:val="236D4E20"/>
    <w:rsid w:val="239E669D"/>
    <w:rsid w:val="24024244"/>
    <w:rsid w:val="244513A3"/>
    <w:rsid w:val="24861ACA"/>
    <w:rsid w:val="24E0567E"/>
    <w:rsid w:val="24EB7A61"/>
    <w:rsid w:val="250E5D48"/>
    <w:rsid w:val="252A68FA"/>
    <w:rsid w:val="25694473"/>
    <w:rsid w:val="257F27A2"/>
    <w:rsid w:val="25BC39F6"/>
    <w:rsid w:val="25C42B4A"/>
    <w:rsid w:val="25E1255A"/>
    <w:rsid w:val="25F533FB"/>
    <w:rsid w:val="26064C71"/>
    <w:rsid w:val="26086C3B"/>
    <w:rsid w:val="262308A7"/>
    <w:rsid w:val="26997893"/>
    <w:rsid w:val="26BB2733"/>
    <w:rsid w:val="26C32B62"/>
    <w:rsid w:val="26CA788D"/>
    <w:rsid w:val="26F947D6"/>
    <w:rsid w:val="27656A6F"/>
    <w:rsid w:val="27BC756B"/>
    <w:rsid w:val="27EC54DB"/>
    <w:rsid w:val="281D44F4"/>
    <w:rsid w:val="28233AD4"/>
    <w:rsid w:val="284A0FF5"/>
    <w:rsid w:val="28BE5CD7"/>
    <w:rsid w:val="28E15521"/>
    <w:rsid w:val="28FB65E3"/>
    <w:rsid w:val="29021EC6"/>
    <w:rsid w:val="29567CBD"/>
    <w:rsid w:val="29622B06"/>
    <w:rsid w:val="297C222F"/>
    <w:rsid w:val="298011DE"/>
    <w:rsid w:val="298505A2"/>
    <w:rsid w:val="29956B55"/>
    <w:rsid w:val="299C33C3"/>
    <w:rsid w:val="29A30A29"/>
    <w:rsid w:val="29B16579"/>
    <w:rsid w:val="29B64C00"/>
    <w:rsid w:val="29BB3FC4"/>
    <w:rsid w:val="29BF5862"/>
    <w:rsid w:val="29CE23EA"/>
    <w:rsid w:val="29D357B2"/>
    <w:rsid w:val="29DF5F05"/>
    <w:rsid w:val="29F21E73"/>
    <w:rsid w:val="29F86FC6"/>
    <w:rsid w:val="2A1262DA"/>
    <w:rsid w:val="2A1831C5"/>
    <w:rsid w:val="2A1D4C7F"/>
    <w:rsid w:val="2A3E70CF"/>
    <w:rsid w:val="2A666276"/>
    <w:rsid w:val="2A6F31F9"/>
    <w:rsid w:val="2A97058D"/>
    <w:rsid w:val="2A9B6CC7"/>
    <w:rsid w:val="2A9F5694"/>
    <w:rsid w:val="2AB57B7D"/>
    <w:rsid w:val="2AC6485F"/>
    <w:rsid w:val="2ADF00F3"/>
    <w:rsid w:val="2B200583"/>
    <w:rsid w:val="2B231E21"/>
    <w:rsid w:val="2B54647E"/>
    <w:rsid w:val="2B65243A"/>
    <w:rsid w:val="2B726905"/>
    <w:rsid w:val="2B8760F7"/>
    <w:rsid w:val="2B8C79C6"/>
    <w:rsid w:val="2BC65F5F"/>
    <w:rsid w:val="2BD355F5"/>
    <w:rsid w:val="2BEE68D3"/>
    <w:rsid w:val="2BF10171"/>
    <w:rsid w:val="2BF2064B"/>
    <w:rsid w:val="2C24507B"/>
    <w:rsid w:val="2C3167C0"/>
    <w:rsid w:val="2C487CBA"/>
    <w:rsid w:val="2C4B4A59"/>
    <w:rsid w:val="2C5030EA"/>
    <w:rsid w:val="2C640683"/>
    <w:rsid w:val="2C667E1A"/>
    <w:rsid w:val="2C857A8F"/>
    <w:rsid w:val="2C8D1C48"/>
    <w:rsid w:val="2CB2345D"/>
    <w:rsid w:val="2D35408E"/>
    <w:rsid w:val="2D4B38B1"/>
    <w:rsid w:val="2D536826"/>
    <w:rsid w:val="2D870D8D"/>
    <w:rsid w:val="2DC07A48"/>
    <w:rsid w:val="2DC07DFB"/>
    <w:rsid w:val="2DD613CD"/>
    <w:rsid w:val="2DEA067A"/>
    <w:rsid w:val="2DFB52D7"/>
    <w:rsid w:val="2DFD2DFD"/>
    <w:rsid w:val="2E7A61FC"/>
    <w:rsid w:val="2E7D0262"/>
    <w:rsid w:val="2EF57F78"/>
    <w:rsid w:val="2F234AE5"/>
    <w:rsid w:val="2F594063"/>
    <w:rsid w:val="2F6F3887"/>
    <w:rsid w:val="2FAF126E"/>
    <w:rsid w:val="2FAF6379"/>
    <w:rsid w:val="2FC75471"/>
    <w:rsid w:val="30191A45"/>
    <w:rsid w:val="30422D49"/>
    <w:rsid w:val="3075311F"/>
    <w:rsid w:val="30843362"/>
    <w:rsid w:val="309537C1"/>
    <w:rsid w:val="3096787D"/>
    <w:rsid w:val="309D61D2"/>
    <w:rsid w:val="309F73DC"/>
    <w:rsid w:val="30A47560"/>
    <w:rsid w:val="30D06101"/>
    <w:rsid w:val="30E97ADA"/>
    <w:rsid w:val="30F32296"/>
    <w:rsid w:val="30F5600E"/>
    <w:rsid w:val="314F5092"/>
    <w:rsid w:val="3159659D"/>
    <w:rsid w:val="31774C75"/>
    <w:rsid w:val="31837ABD"/>
    <w:rsid w:val="31A35A6A"/>
    <w:rsid w:val="31BA24B5"/>
    <w:rsid w:val="31D0491A"/>
    <w:rsid w:val="3202010C"/>
    <w:rsid w:val="321A7DF3"/>
    <w:rsid w:val="321B5F48"/>
    <w:rsid w:val="326A6587"/>
    <w:rsid w:val="32757CBE"/>
    <w:rsid w:val="32A561F9"/>
    <w:rsid w:val="32C57C62"/>
    <w:rsid w:val="33012DB3"/>
    <w:rsid w:val="3301711E"/>
    <w:rsid w:val="33095DA0"/>
    <w:rsid w:val="33257A5C"/>
    <w:rsid w:val="33753436"/>
    <w:rsid w:val="33A31D51"/>
    <w:rsid w:val="343A499A"/>
    <w:rsid w:val="345F75BF"/>
    <w:rsid w:val="34894B8C"/>
    <w:rsid w:val="348C6C89"/>
    <w:rsid w:val="349F69BC"/>
    <w:rsid w:val="34DC2F20"/>
    <w:rsid w:val="34E46AC5"/>
    <w:rsid w:val="3510699D"/>
    <w:rsid w:val="35743A63"/>
    <w:rsid w:val="36067106"/>
    <w:rsid w:val="3619454C"/>
    <w:rsid w:val="363E2205"/>
    <w:rsid w:val="3687595A"/>
    <w:rsid w:val="37092813"/>
    <w:rsid w:val="371F2036"/>
    <w:rsid w:val="37362EDC"/>
    <w:rsid w:val="37386C54"/>
    <w:rsid w:val="377C1237"/>
    <w:rsid w:val="37CB7AC8"/>
    <w:rsid w:val="384A6C3F"/>
    <w:rsid w:val="38B642D4"/>
    <w:rsid w:val="38BE13DB"/>
    <w:rsid w:val="38F60B75"/>
    <w:rsid w:val="394B2350"/>
    <w:rsid w:val="395E1AD5"/>
    <w:rsid w:val="39673821"/>
    <w:rsid w:val="396B3311"/>
    <w:rsid w:val="39867E8F"/>
    <w:rsid w:val="39873EC3"/>
    <w:rsid w:val="39AD02F7"/>
    <w:rsid w:val="39C173D5"/>
    <w:rsid w:val="39C75D41"/>
    <w:rsid w:val="39F8091D"/>
    <w:rsid w:val="3A2A31CC"/>
    <w:rsid w:val="3A2D05C6"/>
    <w:rsid w:val="3A374711"/>
    <w:rsid w:val="3A3A0F35"/>
    <w:rsid w:val="3A9F2920"/>
    <w:rsid w:val="3ACF5B21"/>
    <w:rsid w:val="3AD91DAF"/>
    <w:rsid w:val="3AF9494C"/>
    <w:rsid w:val="3B155047"/>
    <w:rsid w:val="3B2753A7"/>
    <w:rsid w:val="3B3E6803"/>
    <w:rsid w:val="3BBF7944"/>
    <w:rsid w:val="3BC767F9"/>
    <w:rsid w:val="3BD57167"/>
    <w:rsid w:val="3BE47D21"/>
    <w:rsid w:val="3C067F9F"/>
    <w:rsid w:val="3C106016"/>
    <w:rsid w:val="3C29300F"/>
    <w:rsid w:val="3C2B322B"/>
    <w:rsid w:val="3C7B7D0F"/>
    <w:rsid w:val="3C876795"/>
    <w:rsid w:val="3CA174DE"/>
    <w:rsid w:val="3CA36517"/>
    <w:rsid w:val="3CC1149A"/>
    <w:rsid w:val="3CC13740"/>
    <w:rsid w:val="3CCA2A44"/>
    <w:rsid w:val="3CF03B2D"/>
    <w:rsid w:val="3CF16AA7"/>
    <w:rsid w:val="3CF26365"/>
    <w:rsid w:val="3D12209C"/>
    <w:rsid w:val="3D1E68EC"/>
    <w:rsid w:val="3D6313C6"/>
    <w:rsid w:val="3DF17B5D"/>
    <w:rsid w:val="3DF61140"/>
    <w:rsid w:val="3E0B0C1F"/>
    <w:rsid w:val="3E350E18"/>
    <w:rsid w:val="3E5720B6"/>
    <w:rsid w:val="3E7E7594"/>
    <w:rsid w:val="3E8A6E68"/>
    <w:rsid w:val="3EC3599D"/>
    <w:rsid w:val="3ECA2888"/>
    <w:rsid w:val="3EE25143"/>
    <w:rsid w:val="3EF20030"/>
    <w:rsid w:val="3EF25677"/>
    <w:rsid w:val="3EF43DA9"/>
    <w:rsid w:val="3F0044FB"/>
    <w:rsid w:val="3F4C14EF"/>
    <w:rsid w:val="3F5B3E28"/>
    <w:rsid w:val="3FD80FD4"/>
    <w:rsid w:val="3FD85478"/>
    <w:rsid w:val="3FE059F3"/>
    <w:rsid w:val="3FE327E0"/>
    <w:rsid w:val="406D3E12"/>
    <w:rsid w:val="4084115C"/>
    <w:rsid w:val="4088173D"/>
    <w:rsid w:val="40A4535A"/>
    <w:rsid w:val="40C66F91"/>
    <w:rsid w:val="40E02836"/>
    <w:rsid w:val="414C54F5"/>
    <w:rsid w:val="41591156"/>
    <w:rsid w:val="416A65A4"/>
    <w:rsid w:val="41760AA5"/>
    <w:rsid w:val="41911D83"/>
    <w:rsid w:val="41B0748D"/>
    <w:rsid w:val="4258464E"/>
    <w:rsid w:val="426537A8"/>
    <w:rsid w:val="42725710"/>
    <w:rsid w:val="429A34D5"/>
    <w:rsid w:val="42D27F5D"/>
    <w:rsid w:val="42EB7271"/>
    <w:rsid w:val="4348021F"/>
    <w:rsid w:val="43607C5E"/>
    <w:rsid w:val="43792CB4"/>
    <w:rsid w:val="4392593E"/>
    <w:rsid w:val="43BE6733"/>
    <w:rsid w:val="43C111A2"/>
    <w:rsid w:val="442944F4"/>
    <w:rsid w:val="443C597D"/>
    <w:rsid w:val="4447497A"/>
    <w:rsid w:val="447339C1"/>
    <w:rsid w:val="44DE52DF"/>
    <w:rsid w:val="44E02B28"/>
    <w:rsid w:val="44FF7003"/>
    <w:rsid w:val="450B59A8"/>
    <w:rsid w:val="455A53D0"/>
    <w:rsid w:val="45655826"/>
    <w:rsid w:val="456A0921"/>
    <w:rsid w:val="457C68A6"/>
    <w:rsid w:val="45AD4CB1"/>
    <w:rsid w:val="45DB35CC"/>
    <w:rsid w:val="45FD1795"/>
    <w:rsid w:val="462C182F"/>
    <w:rsid w:val="464A2D4F"/>
    <w:rsid w:val="4663590C"/>
    <w:rsid w:val="466435C2"/>
    <w:rsid w:val="4679722E"/>
    <w:rsid w:val="46BD73A0"/>
    <w:rsid w:val="46C87FF5"/>
    <w:rsid w:val="46C978C9"/>
    <w:rsid w:val="46F47070"/>
    <w:rsid w:val="47356D0C"/>
    <w:rsid w:val="4743767B"/>
    <w:rsid w:val="476211E5"/>
    <w:rsid w:val="477B590A"/>
    <w:rsid w:val="47835CCA"/>
    <w:rsid w:val="478657BA"/>
    <w:rsid w:val="47F25B59"/>
    <w:rsid w:val="48013092"/>
    <w:rsid w:val="480239B3"/>
    <w:rsid w:val="48052B82"/>
    <w:rsid w:val="48497300"/>
    <w:rsid w:val="48855A71"/>
    <w:rsid w:val="48AA54D8"/>
    <w:rsid w:val="48EC3D42"/>
    <w:rsid w:val="48F30C2D"/>
    <w:rsid w:val="49172B6D"/>
    <w:rsid w:val="49382AE4"/>
    <w:rsid w:val="49417BEA"/>
    <w:rsid w:val="495D1418"/>
    <w:rsid w:val="496F6F75"/>
    <w:rsid w:val="49AC4E2D"/>
    <w:rsid w:val="49FC1D63"/>
    <w:rsid w:val="4A056E6A"/>
    <w:rsid w:val="4A0C159C"/>
    <w:rsid w:val="4A9401EE"/>
    <w:rsid w:val="4A995804"/>
    <w:rsid w:val="4A9E3BB8"/>
    <w:rsid w:val="4AD04C71"/>
    <w:rsid w:val="4AF313B8"/>
    <w:rsid w:val="4AFB5760"/>
    <w:rsid w:val="4B0A55CE"/>
    <w:rsid w:val="4B176459"/>
    <w:rsid w:val="4B7F49FA"/>
    <w:rsid w:val="4B943EF6"/>
    <w:rsid w:val="4BB27E2C"/>
    <w:rsid w:val="4BBC7A1E"/>
    <w:rsid w:val="4BE64A79"/>
    <w:rsid w:val="4BF35F94"/>
    <w:rsid w:val="4C4243A5"/>
    <w:rsid w:val="4C5D11DF"/>
    <w:rsid w:val="4C611ED3"/>
    <w:rsid w:val="4C653BF0"/>
    <w:rsid w:val="4C765DFD"/>
    <w:rsid w:val="4CB93F3C"/>
    <w:rsid w:val="4CCE3E8B"/>
    <w:rsid w:val="4CCF19B1"/>
    <w:rsid w:val="4CD13823"/>
    <w:rsid w:val="4CD51490"/>
    <w:rsid w:val="4CDE1977"/>
    <w:rsid w:val="4CE865CF"/>
    <w:rsid w:val="4CFB09F8"/>
    <w:rsid w:val="4CFB6302"/>
    <w:rsid w:val="4D213A30"/>
    <w:rsid w:val="4D454D55"/>
    <w:rsid w:val="4D50397A"/>
    <w:rsid w:val="4D5C14B4"/>
    <w:rsid w:val="4D6B3488"/>
    <w:rsid w:val="4D720CBA"/>
    <w:rsid w:val="4D8207D1"/>
    <w:rsid w:val="4D826A23"/>
    <w:rsid w:val="4DB90697"/>
    <w:rsid w:val="4DF74D1B"/>
    <w:rsid w:val="4E113C23"/>
    <w:rsid w:val="4E21448E"/>
    <w:rsid w:val="4E2B0F4A"/>
    <w:rsid w:val="4E4E1B7C"/>
    <w:rsid w:val="4E4E53B3"/>
    <w:rsid w:val="4E5F63A3"/>
    <w:rsid w:val="4E684F3B"/>
    <w:rsid w:val="4E7520E4"/>
    <w:rsid w:val="4E8B1908"/>
    <w:rsid w:val="4EB26E94"/>
    <w:rsid w:val="4EB3158A"/>
    <w:rsid w:val="4ED220E5"/>
    <w:rsid w:val="4EDB3734"/>
    <w:rsid w:val="4EFE20DA"/>
    <w:rsid w:val="4F0A4F22"/>
    <w:rsid w:val="4F245FE4"/>
    <w:rsid w:val="4F376DC8"/>
    <w:rsid w:val="4F4F0B87"/>
    <w:rsid w:val="4F5618E0"/>
    <w:rsid w:val="4F5F526E"/>
    <w:rsid w:val="4F864B84"/>
    <w:rsid w:val="4F870321"/>
    <w:rsid w:val="4FDF1F0B"/>
    <w:rsid w:val="4FE439C5"/>
    <w:rsid w:val="4FE51120"/>
    <w:rsid w:val="500117D1"/>
    <w:rsid w:val="502838B2"/>
    <w:rsid w:val="50483F54"/>
    <w:rsid w:val="507408A5"/>
    <w:rsid w:val="507C775A"/>
    <w:rsid w:val="50B9391E"/>
    <w:rsid w:val="50C555A5"/>
    <w:rsid w:val="50DF75EC"/>
    <w:rsid w:val="50F73284"/>
    <w:rsid w:val="523C53F3"/>
    <w:rsid w:val="523E66DB"/>
    <w:rsid w:val="525F7333"/>
    <w:rsid w:val="528024FB"/>
    <w:rsid w:val="528145D8"/>
    <w:rsid w:val="528261F1"/>
    <w:rsid w:val="52844E28"/>
    <w:rsid w:val="52CC1B65"/>
    <w:rsid w:val="52D675F5"/>
    <w:rsid w:val="52E71802"/>
    <w:rsid w:val="531C6FD2"/>
    <w:rsid w:val="53383EC1"/>
    <w:rsid w:val="538A6ABB"/>
    <w:rsid w:val="54082F69"/>
    <w:rsid w:val="54176117"/>
    <w:rsid w:val="54420CBA"/>
    <w:rsid w:val="54562E9A"/>
    <w:rsid w:val="54574766"/>
    <w:rsid w:val="545C4D54"/>
    <w:rsid w:val="548D462B"/>
    <w:rsid w:val="54B55930"/>
    <w:rsid w:val="54FA6A32"/>
    <w:rsid w:val="550146D2"/>
    <w:rsid w:val="554A0159"/>
    <w:rsid w:val="55B856D8"/>
    <w:rsid w:val="55CC2F32"/>
    <w:rsid w:val="55E85B4B"/>
    <w:rsid w:val="56097CE2"/>
    <w:rsid w:val="56144411"/>
    <w:rsid w:val="56206DD9"/>
    <w:rsid w:val="562B6483"/>
    <w:rsid w:val="56384123"/>
    <w:rsid w:val="56574EF1"/>
    <w:rsid w:val="565E0C26"/>
    <w:rsid w:val="56892BD1"/>
    <w:rsid w:val="56AE2637"/>
    <w:rsid w:val="56BA722E"/>
    <w:rsid w:val="570024CB"/>
    <w:rsid w:val="57170D93"/>
    <w:rsid w:val="571A1E04"/>
    <w:rsid w:val="574D2CCC"/>
    <w:rsid w:val="574D3995"/>
    <w:rsid w:val="574F578B"/>
    <w:rsid w:val="57684EDC"/>
    <w:rsid w:val="57914433"/>
    <w:rsid w:val="57B974E6"/>
    <w:rsid w:val="57CE2F91"/>
    <w:rsid w:val="57E36310"/>
    <w:rsid w:val="58065769"/>
    <w:rsid w:val="584D19EF"/>
    <w:rsid w:val="585F1E3B"/>
    <w:rsid w:val="58647451"/>
    <w:rsid w:val="586C4558"/>
    <w:rsid w:val="58737694"/>
    <w:rsid w:val="58B02697"/>
    <w:rsid w:val="58C2400F"/>
    <w:rsid w:val="58E74DA8"/>
    <w:rsid w:val="5943350B"/>
    <w:rsid w:val="5947124D"/>
    <w:rsid w:val="59510EA7"/>
    <w:rsid w:val="596040BD"/>
    <w:rsid w:val="59844B22"/>
    <w:rsid w:val="59F40CA9"/>
    <w:rsid w:val="5A0709DC"/>
    <w:rsid w:val="5A225074"/>
    <w:rsid w:val="5AC10B8B"/>
    <w:rsid w:val="5AD85ED5"/>
    <w:rsid w:val="5ADD34EB"/>
    <w:rsid w:val="5AFF16B3"/>
    <w:rsid w:val="5B092532"/>
    <w:rsid w:val="5B13515F"/>
    <w:rsid w:val="5B215ACE"/>
    <w:rsid w:val="5B4A6DD2"/>
    <w:rsid w:val="5B7C2D04"/>
    <w:rsid w:val="5B8147BE"/>
    <w:rsid w:val="5C043FEA"/>
    <w:rsid w:val="5C0A0310"/>
    <w:rsid w:val="5C1E5D13"/>
    <w:rsid w:val="5C4D007C"/>
    <w:rsid w:val="5C6E6E9E"/>
    <w:rsid w:val="5C734107"/>
    <w:rsid w:val="5C761E49"/>
    <w:rsid w:val="5C7834CB"/>
    <w:rsid w:val="5C7B427E"/>
    <w:rsid w:val="5D00039A"/>
    <w:rsid w:val="5D6121B1"/>
    <w:rsid w:val="5D7B00ED"/>
    <w:rsid w:val="5DC310BE"/>
    <w:rsid w:val="5DCA16DF"/>
    <w:rsid w:val="5DFC1EDA"/>
    <w:rsid w:val="5E115985"/>
    <w:rsid w:val="5E267881"/>
    <w:rsid w:val="5E2C6C63"/>
    <w:rsid w:val="5E341674"/>
    <w:rsid w:val="5E387D74"/>
    <w:rsid w:val="5E394EDC"/>
    <w:rsid w:val="5E63445E"/>
    <w:rsid w:val="5E6C7060"/>
    <w:rsid w:val="5E802B0B"/>
    <w:rsid w:val="5EA04F5B"/>
    <w:rsid w:val="5EB36A3D"/>
    <w:rsid w:val="5EE72B8A"/>
    <w:rsid w:val="5F13430A"/>
    <w:rsid w:val="5F795ED8"/>
    <w:rsid w:val="5F8A1E93"/>
    <w:rsid w:val="5FB023BC"/>
    <w:rsid w:val="5FD34296"/>
    <w:rsid w:val="5FED2422"/>
    <w:rsid w:val="601A48AB"/>
    <w:rsid w:val="6021243D"/>
    <w:rsid w:val="604E1113"/>
    <w:rsid w:val="60597AB8"/>
    <w:rsid w:val="609B1E7E"/>
    <w:rsid w:val="610D4572"/>
    <w:rsid w:val="61564BE3"/>
    <w:rsid w:val="61616C24"/>
    <w:rsid w:val="61914A31"/>
    <w:rsid w:val="61CB0541"/>
    <w:rsid w:val="61D373F6"/>
    <w:rsid w:val="61F71336"/>
    <w:rsid w:val="62120443"/>
    <w:rsid w:val="622A170C"/>
    <w:rsid w:val="623E0D13"/>
    <w:rsid w:val="625958B0"/>
    <w:rsid w:val="625D388F"/>
    <w:rsid w:val="625E3163"/>
    <w:rsid w:val="62613F3B"/>
    <w:rsid w:val="62680180"/>
    <w:rsid w:val="62747372"/>
    <w:rsid w:val="628D3A49"/>
    <w:rsid w:val="62AF7E63"/>
    <w:rsid w:val="62B34425"/>
    <w:rsid w:val="62B57BE2"/>
    <w:rsid w:val="62B64D4D"/>
    <w:rsid w:val="62BB6808"/>
    <w:rsid w:val="62C0797A"/>
    <w:rsid w:val="62CC27C3"/>
    <w:rsid w:val="62DD4049"/>
    <w:rsid w:val="62FB4E56"/>
    <w:rsid w:val="63065CD5"/>
    <w:rsid w:val="632C3261"/>
    <w:rsid w:val="632F68AE"/>
    <w:rsid w:val="633B5709"/>
    <w:rsid w:val="63514A76"/>
    <w:rsid w:val="637846F9"/>
    <w:rsid w:val="63AB687C"/>
    <w:rsid w:val="63B374DF"/>
    <w:rsid w:val="63BF0193"/>
    <w:rsid w:val="63C81593"/>
    <w:rsid w:val="64094ED5"/>
    <w:rsid w:val="641F1628"/>
    <w:rsid w:val="642D54E3"/>
    <w:rsid w:val="642F6A57"/>
    <w:rsid w:val="643B2EEC"/>
    <w:rsid w:val="64B66A48"/>
    <w:rsid w:val="64CA4AE0"/>
    <w:rsid w:val="65637788"/>
    <w:rsid w:val="656E5DB3"/>
    <w:rsid w:val="65850CB8"/>
    <w:rsid w:val="65B3280B"/>
    <w:rsid w:val="65C94D98"/>
    <w:rsid w:val="65F75DA9"/>
    <w:rsid w:val="65FD2C93"/>
    <w:rsid w:val="660D4895"/>
    <w:rsid w:val="6616621C"/>
    <w:rsid w:val="66196311"/>
    <w:rsid w:val="661F0E5C"/>
    <w:rsid w:val="66633354"/>
    <w:rsid w:val="666351EC"/>
    <w:rsid w:val="669C66C4"/>
    <w:rsid w:val="66AD6727"/>
    <w:rsid w:val="66D70D85"/>
    <w:rsid w:val="67362901"/>
    <w:rsid w:val="67563D37"/>
    <w:rsid w:val="67762CFD"/>
    <w:rsid w:val="677801B2"/>
    <w:rsid w:val="67A07D7A"/>
    <w:rsid w:val="67B90D32"/>
    <w:rsid w:val="67DD0FCE"/>
    <w:rsid w:val="680718E8"/>
    <w:rsid w:val="68110608"/>
    <w:rsid w:val="68141D21"/>
    <w:rsid w:val="68287580"/>
    <w:rsid w:val="685272C6"/>
    <w:rsid w:val="688C0519"/>
    <w:rsid w:val="68EC14C9"/>
    <w:rsid w:val="6937518B"/>
    <w:rsid w:val="69A07559"/>
    <w:rsid w:val="69B01D77"/>
    <w:rsid w:val="69C9180A"/>
    <w:rsid w:val="69E55F18"/>
    <w:rsid w:val="6A3A2708"/>
    <w:rsid w:val="6A4E61D4"/>
    <w:rsid w:val="6A537326"/>
    <w:rsid w:val="6A9736B6"/>
    <w:rsid w:val="6ACA583A"/>
    <w:rsid w:val="6ADF1441"/>
    <w:rsid w:val="6B064398"/>
    <w:rsid w:val="6B066537"/>
    <w:rsid w:val="6B317D3A"/>
    <w:rsid w:val="6B376C47"/>
    <w:rsid w:val="6B543355"/>
    <w:rsid w:val="6B71521A"/>
    <w:rsid w:val="6B8F438D"/>
    <w:rsid w:val="6B9A256C"/>
    <w:rsid w:val="6BD66460"/>
    <w:rsid w:val="6BD821D8"/>
    <w:rsid w:val="6BF050C8"/>
    <w:rsid w:val="6C0528A2"/>
    <w:rsid w:val="6C061F17"/>
    <w:rsid w:val="6C0A0D1E"/>
    <w:rsid w:val="6C276CBC"/>
    <w:rsid w:val="6C44161C"/>
    <w:rsid w:val="6C657D25"/>
    <w:rsid w:val="6C7C0DB6"/>
    <w:rsid w:val="6C9500C9"/>
    <w:rsid w:val="6CB71DEE"/>
    <w:rsid w:val="6CBF0CA2"/>
    <w:rsid w:val="6CCA7D73"/>
    <w:rsid w:val="6CDB4489"/>
    <w:rsid w:val="6CF52916"/>
    <w:rsid w:val="6CF92406"/>
    <w:rsid w:val="6D06067F"/>
    <w:rsid w:val="6D102F76"/>
    <w:rsid w:val="6D21370B"/>
    <w:rsid w:val="6D635AD2"/>
    <w:rsid w:val="6D7E4248"/>
    <w:rsid w:val="6DAE30EF"/>
    <w:rsid w:val="6DDB7D5E"/>
    <w:rsid w:val="6DDD5884"/>
    <w:rsid w:val="6DE86C19"/>
    <w:rsid w:val="6DF5734B"/>
    <w:rsid w:val="6E2C680B"/>
    <w:rsid w:val="6E3B25AB"/>
    <w:rsid w:val="6E3B4575"/>
    <w:rsid w:val="6E447033"/>
    <w:rsid w:val="6E457135"/>
    <w:rsid w:val="6E970129"/>
    <w:rsid w:val="6EA2087C"/>
    <w:rsid w:val="6EAC0D44"/>
    <w:rsid w:val="6EB04D47"/>
    <w:rsid w:val="6ED70525"/>
    <w:rsid w:val="6F0A5389"/>
    <w:rsid w:val="6F235519"/>
    <w:rsid w:val="6F2F0361"/>
    <w:rsid w:val="6F3E0091"/>
    <w:rsid w:val="6F800BBD"/>
    <w:rsid w:val="6F806C87"/>
    <w:rsid w:val="6FB6774A"/>
    <w:rsid w:val="6FC860C0"/>
    <w:rsid w:val="6FF62C2D"/>
    <w:rsid w:val="6FFB0243"/>
    <w:rsid w:val="70117A67"/>
    <w:rsid w:val="70156D97"/>
    <w:rsid w:val="70157E72"/>
    <w:rsid w:val="70294DB1"/>
    <w:rsid w:val="70481468"/>
    <w:rsid w:val="70524960"/>
    <w:rsid w:val="706A31E5"/>
    <w:rsid w:val="706C7393"/>
    <w:rsid w:val="706D5EE0"/>
    <w:rsid w:val="70970F86"/>
    <w:rsid w:val="70A17D74"/>
    <w:rsid w:val="70C04599"/>
    <w:rsid w:val="70EC5DDE"/>
    <w:rsid w:val="715D4172"/>
    <w:rsid w:val="717E112C"/>
    <w:rsid w:val="71995F66"/>
    <w:rsid w:val="71A52B5D"/>
    <w:rsid w:val="71B2527A"/>
    <w:rsid w:val="71BC3112"/>
    <w:rsid w:val="71D074AE"/>
    <w:rsid w:val="71E847F7"/>
    <w:rsid w:val="71EF5B86"/>
    <w:rsid w:val="71EF7F37"/>
    <w:rsid w:val="720528DC"/>
    <w:rsid w:val="7242215A"/>
    <w:rsid w:val="725E6E9D"/>
    <w:rsid w:val="72681AAA"/>
    <w:rsid w:val="72783DCD"/>
    <w:rsid w:val="72952BD1"/>
    <w:rsid w:val="72A66B8C"/>
    <w:rsid w:val="7329331A"/>
    <w:rsid w:val="73605CCB"/>
    <w:rsid w:val="738D38A8"/>
    <w:rsid w:val="73B250BD"/>
    <w:rsid w:val="73BE7F06"/>
    <w:rsid w:val="73C52AEC"/>
    <w:rsid w:val="73D36613"/>
    <w:rsid w:val="73E3736A"/>
    <w:rsid w:val="740578E3"/>
    <w:rsid w:val="747B49BC"/>
    <w:rsid w:val="74CE2400"/>
    <w:rsid w:val="74D36E46"/>
    <w:rsid w:val="74DD43BC"/>
    <w:rsid w:val="75071439"/>
    <w:rsid w:val="75273889"/>
    <w:rsid w:val="75466405"/>
    <w:rsid w:val="75734D20"/>
    <w:rsid w:val="757A4300"/>
    <w:rsid w:val="758E56B6"/>
    <w:rsid w:val="75A1363B"/>
    <w:rsid w:val="75BA294F"/>
    <w:rsid w:val="75BC2223"/>
    <w:rsid w:val="75FB4D1F"/>
    <w:rsid w:val="75FB53BC"/>
    <w:rsid w:val="75FC2F67"/>
    <w:rsid w:val="76045978"/>
    <w:rsid w:val="764A3CD3"/>
    <w:rsid w:val="7662101C"/>
    <w:rsid w:val="766A6E7D"/>
    <w:rsid w:val="76D128FC"/>
    <w:rsid w:val="76F6623C"/>
    <w:rsid w:val="76FB2034"/>
    <w:rsid w:val="770C0F88"/>
    <w:rsid w:val="77890D18"/>
    <w:rsid w:val="778F5192"/>
    <w:rsid w:val="77B141CB"/>
    <w:rsid w:val="77E26D03"/>
    <w:rsid w:val="780D320A"/>
    <w:rsid w:val="78135B31"/>
    <w:rsid w:val="78570929"/>
    <w:rsid w:val="785B3F75"/>
    <w:rsid w:val="78663C24"/>
    <w:rsid w:val="78670B6C"/>
    <w:rsid w:val="787B0173"/>
    <w:rsid w:val="78D930EC"/>
    <w:rsid w:val="78E50AF4"/>
    <w:rsid w:val="79336CDD"/>
    <w:rsid w:val="793547C6"/>
    <w:rsid w:val="794C1619"/>
    <w:rsid w:val="794F33AE"/>
    <w:rsid w:val="798162D9"/>
    <w:rsid w:val="79960FDD"/>
    <w:rsid w:val="79D51B05"/>
    <w:rsid w:val="7A032415"/>
    <w:rsid w:val="7A4078C7"/>
    <w:rsid w:val="7A6F5AB6"/>
    <w:rsid w:val="7A8377B3"/>
    <w:rsid w:val="7AD251DF"/>
    <w:rsid w:val="7AE42945"/>
    <w:rsid w:val="7AFD2A36"/>
    <w:rsid w:val="7B254DCA"/>
    <w:rsid w:val="7B4038F6"/>
    <w:rsid w:val="7B656EB9"/>
    <w:rsid w:val="7B81486C"/>
    <w:rsid w:val="7B827A6B"/>
    <w:rsid w:val="7BE61DA8"/>
    <w:rsid w:val="7C374CF9"/>
    <w:rsid w:val="7C835849"/>
    <w:rsid w:val="7CB974BC"/>
    <w:rsid w:val="7CCF418F"/>
    <w:rsid w:val="7CE17A55"/>
    <w:rsid w:val="7D020E63"/>
    <w:rsid w:val="7D133070"/>
    <w:rsid w:val="7D6F3270"/>
    <w:rsid w:val="7D72647E"/>
    <w:rsid w:val="7D745762"/>
    <w:rsid w:val="7D7F0706"/>
    <w:rsid w:val="7D937D0D"/>
    <w:rsid w:val="7DAC454A"/>
    <w:rsid w:val="7DAF6776"/>
    <w:rsid w:val="7DD92C9C"/>
    <w:rsid w:val="7E1B5460"/>
    <w:rsid w:val="7E29402C"/>
    <w:rsid w:val="7E835FD4"/>
    <w:rsid w:val="7ED700CE"/>
    <w:rsid w:val="7F005876"/>
    <w:rsid w:val="7F3D2627"/>
    <w:rsid w:val="7F587460"/>
    <w:rsid w:val="7F676266"/>
    <w:rsid w:val="7F7A2197"/>
    <w:rsid w:val="7FBF5085"/>
    <w:rsid w:val="7FD10B7C"/>
    <w:rsid w:val="7FDD1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widowControl/>
      <w:spacing w:before="260" w:after="260" w:line="413" w:lineRule="auto"/>
      <w:jc w:val="left"/>
      <w:outlineLvl w:val="1"/>
    </w:pPr>
    <w:rPr>
      <w:rFonts w:ascii="Arial" w:hAnsi="Arial" w:eastAsia="黑体"/>
      <w:b/>
      <w:kern w:val="0"/>
      <w:sz w:val="32"/>
    </w:rPr>
  </w:style>
  <w:style w:type="paragraph" w:styleId="4">
    <w:name w:val="heading 3"/>
    <w:basedOn w:val="1"/>
    <w:next w:val="1"/>
    <w:link w:val="42"/>
    <w:autoRedefine/>
    <w:qFormat/>
    <w:uiPriority w:val="0"/>
    <w:pPr>
      <w:keepNext/>
      <w:keepLines/>
      <w:spacing w:before="260" w:after="260" w:line="416" w:lineRule="auto"/>
      <w:outlineLvl w:val="2"/>
    </w:pPr>
    <w:rPr>
      <w:b/>
      <w:bCs/>
      <w:kern w:val="0"/>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4"/>
    <w:autoRedefine/>
    <w:qFormat/>
    <w:uiPriority w:val="0"/>
    <w:rPr>
      <w:rFonts w:ascii="宋体"/>
      <w:sz w:val="18"/>
    </w:rPr>
  </w:style>
  <w:style w:type="paragraph" w:styleId="7">
    <w:name w:val="annotation text"/>
    <w:basedOn w:val="1"/>
    <w:autoRedefine/>
    <w:qFormat/>
    <w:uiPriority w:val="0"/>
    <w:pPr>
      <w:jc w:val="left"/>
    </w:pPr>
  </w:style>
  <w:style w:type="paragraph" w:styleId="8">
    <w:name w:val="Body Text"/>
    <w:basedOn w:val="1"/>
    <w:next w:val="1"/>
    <w:link w:val="46"/>
    <w:autoRedefine/>
    <w:qFormat/>
    <w:uiPriority w:val="0"/>
    <w:pPr>
      <w:spacing w:after="120"/>
    </w:pPr>
  </w:style>
  <w:style w:type="paragraph" w:styleId="9">
    <w:name w:val="Body Text Indent"/>
    <w:basedOn w:val="1"/>
    <w:link w:val="58"/>
    <w:autoRedefine/>
    <w:qFormat/>
    <w:uiPriority w:val="0"/>
    <w:pPr>
      <w:spacing w:after="120"/>
      <w:ind w:left="420" w:leftChars="200"/>
    </w:pPr>
  </w:style>
  <w:style w:type="paragraph" w:styleId="10">
    <w:name w:val="toc 3"/>
    <w:basedOn w:val="1"/>
    <w:next w:val="1"/>
    <w:autoRedefine/>
    <w:qFormat/>
    <w:uiPriority w:val="0"/>
    <w:pPr>
      <w:widowControl/>
      <w:spacing w:after="100" w:line="276" w:lineRule="auto"/>
      <w:ind w:left="440"/>
    </w:pPr>
    <w:rPr>
      <w:rFonts w:ascii="Calibri" w:hAnsi="Calibri"/>
      <w:kern w:val="0"/>
      <w:sz w:val="22"/>
    </w:rPr>
  </w:style>
  <w:style w:type="paragraph" w:styleId="11">
    <w:name w:val="Plain Text"/>
    <w:basedOn w:val="1"/>
    <w:link w:val="45"/>
    <w:autoRedefine/>
    <w:qFormat/>
    <w:uiPriority w:val="99"/>
    <w:rPr>
      <w:rFonts w:ascii="宋体" w:hAnsi="Courier New" w:cs="Courier New"/>
      <w:sz w:val="21"/>
      <w:szCs w:val="21"/>
    </w:rPr>
  </w:style>
  <w:style w:type="paragraph" w:styleId="12">
    <w:name w:val="Date"/>
    <w:basedOn w:val="1"/>
    <w:next w:val="1"/>
    <w:autoRedefine/>
    <w:qFormat/>
    <w:uiPriority w:val="0"/>
  </w:style>
  <w:style w:type="paragraph" w:styleId="13">
    <w:name w:val="Body Text Indent 2"/>
    <w:basedOn w:val="1"/>
    <w:autoRedefine/>
    <w:qFormat/>
    <w:uiPriority w:val="0"/>
    <w:pPr>
      <w:widowControl/>
      <w:ind w:firstLine="560" w:firstLineChars="200"/>
    </w:pPr>
    <w:rPr>
      <w:sz w:val="28"/>
    </w:rPr>
  </w:style>
  <w:style w:type="paragraph" w:styleId="14">
    <w:name w:val="Balloon Text"/>
    <w:basedOn w:val="1"/>
    <w:link w:val="33"/>
    <w:autoRedefine/>
    <w:qFormat/>
    <w:uiPriority w:val="0"/>
    <w:rPr>
      <w:sz w:val="18"/>
    </w:rPr>
  </w:style>
  <w:style w:type="paragraph" w:styleId="15">
    <w:name w:val="footer"/>
    <w:basedOn w:val="1"/>
    <w:link w:val="35"/>
    <w:autoRedefine/>
    <w:qFormat/>
    <w:uiPriority w:val="99"/>
    <w:pPr>
      <w:tabs>
        <w:tab w:val="center" w:pos="4153"/>
        <w:tab w:val="right" w:pos="8306"/>
      </w:tabs>
      <w:snapToGrid w:val="0"/>
    </w:pPr>
    <w:rPr>
      <w:sz w:val="18"/>
    </w:rPr>
  </w:style>
  <w:style w:type="paragraph" w:styleId="16">
    <w:name w:val="header"/>
    <w:basedOn w:val="1"/>
    <w:link w:val="41"/>
    <w:autoRedefine/>
    <w:qFormat/>
    <w:uiPriority w:val="99"/>
    <w:pPr>
      <w:pBdr>
        <w:bottom w:val="single" w:color="auto" w:sz="6" w:space="1"/>
      </w:pBdr>
      <w:tabs>
        <w:tab w:val="center" w:pos="4153"/>
        <w:tab w:val="right" w:pos="8306"/>
      </w:tabs>
      <w:snapToGrid w:val="0"/>
    </w:pPr>
    <w:rPr>
      <w:sz w:val="18"/>
    </w:rPr>
  </w:style>
  <w:style w:type="paragraph" w:styleId="17">
    <w:name w:val="toc 1"/>
    <w:basedOn w:val="1"/>
    <w:next w:val="1"/>
    <w:autoRedefine/>
    <w:qFormat/>
    <w:uiPriority w:val="39"/>
    <w:pPr>
      <w:widowControl/>
      <w:spacing w:after="100" w:line="276" w:lineRule="auto"/>
    </w:pPr>
    <w:rPr>
      <w:rFonts w:ascii="Calibri" w:hAnsi="Calibri"/>
      <w:kern w:val="0"/>
      <w:sz w:val="22"/>
    </w:rPr>
  </w:style>
  <w:style w:type="paragraph" w:styleId="18">
    <w:name w:val="List"/>
    <w:basedOn w:val="1"/>
    <w:autoRedefine/>
    <w:semiHidden/>
    <w:qFormat/>
    <w:uiPriority w:val="0"/>
    <w:pPr>
      <w:ind w:left="200" w:hanging="200" w:hangingChars="200"/>
    </w:pPr>
  </w:style>
  <w:style w:type="paragraph" w:styleId="19">
    <w:name w:val="footnote text"/>
    <w:basedOn w:val="1"/>
    <w:autoRedefine/>
    <w:qFormat/>
    <w:uiPriority w:val="0"/>
    <w:pPr>
      <w:snapToGrid w:val="0"/>
    </w:pPr>
    <w:rPr>
      <w:sz w:val="18"/>
    </w:rPr>
  </w:style>
  <w:style w:type="paragraph" w:styleId="20">
    <w:name w:val="Body Text Indent 3"/>
    <w:basedOn w:val="1"/>
    <w:link w:val="39"/>
    <w:autoRedefine/>
    <w:unhideWhenUsed/>
    <w:qFormat/>
    <w:uiPriority w:val="99"/>
    <w:pPr>
      <w:spacing w:after="120"/>
      <w:ind w:left="420" w:leftChars="200"/>
    </w:pPr>
    <w:rPr>
      <w:sz w:val="16"/>
      <w:szCs w:val="16"/>
    </w:rPr>
  </w:style>
  <w:style w:type="paragraph" w:styleId="21">
    <w:name w:val="toc 2"/>
    <w:basedOn w:val="1"/>
    <w:next w:val="1"/>
    <w:autoRedefine/>
    <w:qFormat/>
    <w:uiPriority w:val="0"/>
    <w:pPr>
      <w:widowControl/>
      <w:spacing w:after="100" w:line="276" w:lineRule="auto"/>
      <w:ind w:left="220"/>
    </w:pPr>
    <w:rPr>
      <w:rFonts w:ascii="Calibri" w:hAnsi="Calibri"/>
      <w:kern w:val="0"/>
      <w:sz w:val="22"/>
    </w:rPr>
  </w:style>
  <w:style w:type="paragraph" w:styleId="22">
    <w:name w:val="Body Text 2"/>
    <w:basedOn w:val="1"/>
    <w:autoRedefine/>
    <w:qFormat/>
    <w:uiPriority w:val="0"/>
    <w:pPr>
      <w:adjustRightInd w:val="0"/>
      <w:snapToGrid w:val="0"/>
      <w:spacing w:after="120" w:line="480" w:lineRule="auto"/>
    </w:pPr>
  </w:style>
  <w:style w:type="paragraph" w:styleId="23">
    <w:name w:val="Normal (Web)"/>
    <w:basedOn w:val="1"/>
    <w:autoRedefine/>
    <w:qFormat/>
    <w:uiPriority w:val="0"/>
    <w:pPr>
      <w:spacing w:beforeAutospacing="1" w:afterAutospacing="1"/>
      <w:jc w:val="left"/>
    </w:pPr>
    <w:rPr>
      <w:kern w:val="0"/>
    </w:rPr>
  </w:style>
  <w:style w:type="paragraph" w:styleId="24">
    <w:name w:val="Body Text First Indent"/>
    <w:basedOn w:val="1"/>
    <w:next w:val="1"/>
    <w:autoRedefine/>
    <w:qFormat/>
    <w:uiPriority w:val="0"/>
    <w:pPr>
      <w:spacing w:line="360" w:lineRule="auto"/>
      <w:ind w:firstLine="420"/>
    </w:pPr>
    <w:rPr>
      <w:rFonts w:ascii="宋体" w:hAnsi="宋体"/>
    </w:rPr>
  </w:style>
  <w:style w:type="paragraph" w:styleId="25">
    <w:name w:val="Body Text First Indent 2"/>
    <w:basedOn w:val="9"/>
    <w:link w:val="59"/>
    <w:autoRedefine/>
    <w:qFormat/>
    <w:uiPriority w:val="0"/>
    <w:pPr>
      <w:ind w:firstLine="420" w:firstLineChars="200"/>
    </w:pPr>
  </w:style>
  <w:style w:type="table" w:styleId="27">
    <w:name w:val="Table Grid"/>
    <w:basedOn w:val="2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Emphasis"/>
    <w:basedOn w:val="28"/>
    <w:autoRedefine/>
    <w:qFormat/>
    <w:uiPriority w:val="0"/>
    <w:rPr>
      <w:i/>
    </w:rPr>
  </w:style>
  <w:style w:type="character" w:styleId="31">
    <w:name w:val="Hyperlink"/>
    <w:basedOn w:val="28"/>
    <w:autoRedefine/>
    <w:qFormat/>
    <w:uiPriority w:val="99"/>
    <w:rPr>
      <w:color w:val="0000FF"/>
      <w:u w:val="single"/>
    </w:rPr>
  </w:style>
  <w:style w:type="character" w:styleId="32">
    <w:name w:val="footnote reference"/>
    <w:basedOn w:val="28"/>
    <w:autoRedefine/>
    <w:qFormat/>
    <w:uiPriority w:val="0"/>
    <w:rPr>
      <w:rFonts w:ascii="宋体" w:eastAsia="宋体"/>
      <w:sz w:val="18"/>
      <w:vertAlign w:val="superscript"/>
    </w:rPr>
  </w:style>
  <w:style w:type="character" w:customStyle="1" w:styleId="33">
    <w:name w:val="批注框文本 Char"/>
    <w:basedOn w:val="28"/>
    <w:link w:val="14"/>
    <w:autoRedefine/>
    <w:qFormat/>
    <w:uiPriority w:val="0"/>
    <w:rPr>
      <w:kern w:val="2"/>
      <w:sz w:val="18"/>
    </w:rPr>
  </w:style>
  <w:style w:type="character" w:customStyle="1" w:styleId="34">
    <w:name w:val="文档结构图 Char"/>
    <w:basedOn w:val="28"/>
    <w:link w:val="6"/>
    <w:autoRedefine/>
    <w:qFormat/>
    <w:uiPriority w:val="0"/>
    <w:rPr>
      <w:rFonts w:ascii="宋体"/>
      <w:kern w:val="2"/>
      <w:sz w:val="18"/>
    </w:rPr>
  </w:style>
  <w:style w:type="character" w:customStyle="1" w:styleId="35">
    <w:name w:val="页脚 Char"/>
    <w:basedOn w:val="28"/>
    <w:link w:val="15"/>
    <w:autoRedefine/>
    <w:qFormat/>
    <w:uiPriority w:val="99"/>
    <w:rPr>
      <w:kern w:val="2"/>
      <w:sz w:val="18"/>
    </w:rPr>
  </w:style>
  <w:style w:type="paragraph" w:customStyle="1" w:styleId="36">
    <w:name w:val="Char Char Char"/>
    <w:basedOn w:val="1"/>
    <w:autoRedefine/>
    <w:qFormat/>
    <w:uiPriority w:val="0"/>
    <w:rPr>
      <w:rFonts w:ascii="Tahoma" w:hAnsi="Tahoma"/>
    </w:rPr>
  </w:style>
  <w:style w:type="paragraph" w:customStyle="1" w:styleId="37">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38">
    <w:name w:val="TOC 标题1"/>
    <w:basedOn w:val="2"/>
    <w:next w:val="1"/>
    <w:autoRedefine/>
    <w:qFormat/>
    <w:uiPriority w:val="39"/>
    <w:pPr>
      <w:widowControl/>
      <w:spacing w:before="480" w:after="0" w:line="276" w:lineRule="auto"/>
      <w:outlineLvl w:val="9"/>
    </w:pPr>
    <w:rPr>
      <w:rFonts w:ascii="Cambria" w:hAnsi="Cambria"/>
      <w:color w:val="365F91"/>
      <w:kern w:val="0"/>
      <w:sz w:val="28"/>
    </w:rPr>
  </w:style>
  <w:style w:type="character" w:customStyle="1" w:styleId="39">
    <w:name w:val="正文文本缩进 3 Char"/>
    <w:basedOn w:val="28"/>
    <w:link w:val="20"/>
    <w:autoRedefine/>
    <w:semiHidden/>
    <w:qFormat/>
    <w:uiPriority w:val="99"/>
    <w:rPr>
      <w:kern w:val="2"/>
      <w:sz w:val="16"/>
      <w:szCs w:val="16"/>
    </w:rPr>
  </w:style>
  <w:style w:type="paragraph" w:customStyle="1" w:styleId="40">
    <w:name w:val="列出段落1"/>
    <w:basedOn w:val="1"/>
    <w:autoRedefine/>
    <w:qFormat/>
    <w:uiPriority w:val="34"/>
    <w:pPr>
      <w:ind w:firstLine="420" w:firstLineChars="200"/>
    </w:pPr>
  </w:style>
  <w:style w:type="character" w:customStyle="1" w:styleId="41">
    <w:name w:val="页眉 Char"/>
    <w:link w:val="16"/>
    <w:autoRedefine/>
    <w:qFormat/>
    <w:uiPriority w:val="99"/>
    <w:rPr>
      <w:kern w:val="2"/>
      <w:sz w:val="18"/>
    </w:rPr>
  </w:style>
  <w:style w:type="character" w:customStyle="1" w:styleId="42">
    <w:name w:val="标题 3 Char"/>
    <w:basedOn w:val="28"/>
    <w:link w:val="4"/>
    <w:autoRedefine/>
    <w:qFormat/>
    <w:uiPriority w:val="0"/>
    <w:rPr>
      <w:b/>
      <w:bCs/>
      <w:sz w:val="32"/>
      <w:szCs w:val="32"/>
    </w:rPr>
  </w:style>
  <w:style w:type="paragraph" w:customStyle="1" w:styleId="43">
    <w:name w:val="图例"/>
    <w:basedOn w:val="1"/>
    <w:autoRedefine/>
    <w:qFormat/>
    <w:uiPriority w:val="0"/>
    <w:pPr>
      <w:spacing w:before="120" w:after="120" w:line="360" w:lineRule="auto"/>
      <w:jc w:val="center"/>
    </w:pPr>
    <w:rPr>
      <w:rFonts w:eastAsia="仿宋_GB2312"/>
      <w:b/>
    </w:rPr>
  </w:style>
  <w:style w:type="paragraph" w:customStyle="1" w:styleId="44">
    <w:name w:val="1"/>
    <w:basedOn w:val="1"/>
    <w:next w:val="11"/>
    <w:autoRedefine/>
    <w:qFormat/>
    <w:uiPriority w:val="0"/>
    <w:rPr>
      <w:rFonts w:ascii="宋体" w:hAnsi="Courier New"/>
      <w:sz w:val="21"/>
    </w:rPr>
  </w:style>
  <w:style w:type="character" w:customStyle="1" w:styleId="45">
    <w:name w:val="纯文本 Char"/>
    <w:basedOn w:val="28"/>
    <w:link w:val="11"/>
    <w:autoRedefine/>
    <w:qFormat/>
    <w:uiPriority w:val="99"/>
    <w:rPr>
      <w:rFonts w:ascii="宋体" w:hAnsi="Courier New" w:cs="Courier New"/>
      <w:kern w:val="2"/>
      <w:sz w:val="21"/>
      <w:szCs w:val="21"/>
    </w:rPr>
  </w:style>
  <w:style w:type="character" w:customStyle="1" w:styleId="46">
    <w:name w:val="正文文本 Char"/>
    <w:basedOn w:val="28"/>
    <w:link w:val="8"/>
    <w:autoRedefine/>
    <w:qFormat/>
    <w:uiPriority w:val="0"/>
    <w:rPr>
      <w:kern w:val="2"/>
      <w:sz w:val="24"/>
    </w:rPr>
  </w:style>
  <w:style w:type="character" w:customStyle="1" w:styleId="47">
    <w:name w:val="font21"/>
    <w:basedOn w:val="28"/>
    <w:autoRedefine/>
    <w:qFormat/>
    <w:uiPriority w:val="0"/>
    <w:rPr>
      <w:rFonts w:hint="eastAsia" w:ascii="宋体" w:hAnsi="宋体" w:eastAsia="宋体" w:cs="宋体"/>
      <w:b/>
      <w:bCs/>
      <w:color w:val="000000"/>
      <w:sz w:val="22"/>
      <w:szCs w:val="22"/>
      <w:u w:val="none"/>
    </w:rPr>
  </w:style>
  <w:style w:type="character" w:customStyle="1" w:styleId="48">
    <w:name w:val="font11"/>
    <w:basedOn w:val="28"/>
    <w:autoRedefine/>
    <w:qFormat/>
    <w:uiPriority w:val="0"/>
    <w:rPr>
      <w:rFonts w:hint="eastAsia" w:ascii="宋体" w:hAnsi="宋体" w:eastAsia="宋体" w:cs="宋体"/>
      <w:color w:val="000000"/>
      <w:sz w:val="22"/>
      <w:szCs w:val="22"/>
      <w:u w:val="none"/>
    </w:rPr>
  </w:style>
  <w:style w:type="character" w:customStyle="1" w:styleId="49">
    <w:name w:val="font31"/>
    <w:basedOn w:val="28"/>
    <w:autoRedefine/>
    <w:qFormat/>
    <w:uiPriority w:val="0"/>
    <w:rPr>
      <w:rFonts w:hint="eastAsia" w:ascii="宋体" w:hAnsi="宋体" w:eastAsia="宋体" w:cs="宋体"/>
      <w:b/>
      <w:bCs/>
      <w:color w:val="000000"/>
      <w:sz w:val="24"/>
      <w:szCs w:val="24"/>
      <w:u w:val="none"/>
    </w:rPr>
  </w:style>
  <w:style w:type="character" w:customStyle="1" w:styleId="50">
    <w:name w:val="font01"/>
    <w:basedOn w:val="28"/>
    <w:autoRedefine/>
    <w:qFormat/>
    <w:uiPriority w:val="0"/>
    <w:rPr>
      <w:rFonts w:hint="eastAsia" w:ascii="宋体" w:hAnsi="宋体" w:eastAsia="宋体" w:cs="宋体"/>
      <w:color w:val="000000"/>
      <w:sz w:val="24"/>
      <w:szCs w:val="24"/>
      <w:u w:val="none"/>
    </w:rPr>
  </w:style>
  <w:style w:type="character" w:customStyle="1" w:styleId="51">
    <w:name w:val="font61"/>
    <w:basedOn w:val="28"/>
    <w:autoRedefine/>
    <w:qFormat/>
    <w:uiPriority w:val="0"/>
    <w:rPr>
      <w:rFonts w:hint="eastAsia" w:ascii="宋体" w:hAnsi="宋体" w:eastAsia="宋体" w:cs="宋体"/>
      <w:b/>
      <w:bCs/>
      <w:color w:val="000000"/>
      <w:sz w:val="18"/>
      <w:szCs w:val="18"/>
      <w:u w:val="none"/>
    </w:rPr>
  </w:style>
  <w:style w:type="character" w:customStyle="1" w:styleId="52">
    <w:name w:val="font71"/>
    <w:basedOn w:val="28"/>
    <w:autoRedefine/>
    <w:qFormat/>
    <w:uiPriority w:val="0"/>
    <w:rPr>
      <w:rFonts w:hint="eastAsia" w:ascii="宋体" w:hAnsi="宋体" w:eastAsia="宋体" w:cs="宋体"/>
      <w:b/>
      <w:bCs/>
      <w:color w:val="000000"/>
      <w:sz w:val="18"/>
      <w:szCs w:val="18"/>
      <w:u w:val="none"/>
    </w:rPr>
  </w:style>
  <w:style w:type="character" w:customStyle="1" w:styleId="53">
    <w:name w:val="font81"/>
    <w:basedOn w:val="28"/>
    <w:autoRedefine/>
    <w:qFormat/>
    <w:uiPriority w:val="0"/>
    <w:rPr>
      <w:rFonts w:hint="eastAsia" w:ascii="宋体" w:hAnsi="宋体" w:eastAsia="宋体" w:cs="宋体"/>
      <w:b/>
      <w:bCs/>
      <w:color w:val="000000"/>
      <w:sz w:val="18"/>
      <w:szCs w:val="18"/>
      <w:u w:val="none"/>
    </w:rPr>
  </w:style>
  <w:style w:type="character" w:customStyle="1" w:styleId="54">
    <w:name w:val="font51"/>
    <w:basedOn w:val="28"/>
    <w:autoRedefine/>
    <w:qFormat/>
    <w:uiPriority w:val="0"/>
    <w:rPr>
      <w:rFonts w:hint="eastAsia" w:ascii="宋体" w:hAnsi="宋体" w:eastAsia="宋体" w:cs="宋体"/>
      <w:b/>
      <w:bCs/>
      <w:color w:val="000000"/>
      <w:sz w:val="18"/>
      <w:szCs w:val="18"/>
      <w:u w:val="none"/>
    </w:rPr>
  </w:style>
  <w:style w:type="paragraph" w:customStyle="1" w:styleId="55">
    <w:name w:val="电建正文"/>
    <w:basedOn w:val="56"/>
    <w:autoRedefine/>
    <w:qFormat/>
    <w:uiPriority w:val="0"/>
    <w:pPr>
      <w:tabs>
        <w:tab w:val="left" w:pos="720"/>
      </w:tabs>
      <w:spacing w:line="360" w:lineRule="auto"/>
      <w:ind w:firstLine="200" w:firstLineChars="200"/>
    </w:pPr>
    <w:rPr>
      <w:rFonts w:ascii="Tahoma" w:hAnsi="Tahoma"/>
      <w:sz w:val="24"/>
    </w:rPr>
  </w:style>
  <w:style w:type="paragraph" w:customStyle="1" w:styleId="56">
    <w:name w:val="List First"/>
    <w:basedOn w:val="18"/>
    <w:next w:val="18"/>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57">
    <w:name w:val="List Paragraph"/>
    <w:basedOn w:val="1"/>
    <w:autoRedefine/>
    <w:qFormat/>
    <w:uiPriority w:val="34"/>
    <w:pPr>
      <w:ind w:firstLine="420" w:firstLineChars="200"/>
    </w:pPr>
    <w:rPr>
      <w:rFonts w:ascii="仿宋_GB2312" w:hAnsi="仿宋" w:eastAsia="仿宋_GB2312"/>
      <w:sz w:val="28"/>
      <w:szCs w:val="28"/>
    </w:rPr>
  </w:style>
  <w:style w:type="character" w:customStyle="1" w:styleId="58">
    <w:name w:val="正文文本缩进 Char"/>
    <w:basedOn w:val="28"/>
    <w:link w:val="9"/>
    <w:autoRedefine/>
    <w:qFormat/>
    <w:uiPriority w:val="0"/>
    <w:rPr>
      <w:kern w:val="2"/>
      <w:sz w:val="24"/>
    </w:rPr>
  </w:style>
  <w:style w:type="character" w:customStyle="1" w:styleId="59">
    <w:name w:val="正文首行缩进 2 Char"/>
    <w:basedOn w:val="58"/>
    <w:link w:val="25"/>
    <w:autoRedefine/>
    <w:qFormat/>
    <w:uiPriority w:val="0"/>
  </w:style>
  <w:style w:type="paragraph" w:customStyle="1" w:styleId="60">
    <w:name w:val="无缩进15"/>
    <w:basedOn w:val="1"/>
    <w:autoRedefine/>
    <w:qFormat/>
    <w:uiPriority w:val="0"/>
    <w:pPr>
      <w:spacing w:line="300" w:lineRule="exact"/>
    </w:pPr>
  </w:style>
  <w:style w:type="paragraph" w:customStyle="1" w:styleId="61">
    <w:name w:val="Table Text"/>
    <w:basedOn w:val="1"/>
    <w:autoRedefine/>
    <w:semiHidden/>
    <w:qFormat/>
    <w:uiPriority w:val="0"/>
    <w:rPr>
      <w:rFonts w:ascii="仿宋" w:hAnsi="仿宋" w:eastAsia="仿宋" w:cs="仿宋"/>
      <w:sz w:val="20"/>
      <w:lang w:eastAsia="en-US"/>
    </w:rPr>
  </w:style>
  <w:style w:type="table" w:customStyle="1" w:styleId="62">
    <w:name w:val="Table Normal"/>
    <w:autoRedefine/>
    <w:unhideWhenUsed/>
    <w:qFormat/>
    <w:uiPriority w:val="0"/>
    <w:tblPr>
      <w:tblCellMar>
        <w:top w:w="0" w:type="dxa"/>
        <w:left w:w="0" w:type="dxa"/>
        <w:bottom w:w="0" w:type="dxa"/>
        <w:right w:w="0" w:type="dxa"/>
      </w:tblCellMar>
    </w:tblPr>
  </w:style>
  <w:style w:type="paragraph" w:customStyle="1" w:styleId="63">
    <w:name w:val="正文（绿盟科技）"/>
    <w:next w:val="1"/>
    <w:autoRedefine/>
    <w:qFormat/>
    <w:uiPriority w:val="0"/>
    <w:pPr>
      <w:spacing w:line="300" w:lineRule="auto"/>
    </w:pPr>
    <w:rPr>
      <w:rFonts w:ascii="Arial" w:hAnsi="Arial" w:eastAsia="宋体" w:cs="黑体"/>
      <w:sz w:val="21"/>
      <w:szCs w:val="21"/>
      <w:lang w:val="en-US" w:eastAsia="zh-CN" w:bidi="ar-SA"/>
    </w:rPr>
  </w:style>
  <w:style w:type="paragraph" w:customStyle="1" w:styleId="64">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6">
    <w:name w:val="No Spacing"/>
    <w:autoRedefine/>
    <w:qFormat/>
    <w:uiPriority w:val="0"/>
    <w:pPr>
      <w:adjustRightInd w:val="0"/>
      <w:snapToGrid w:val="0"/>
    </w:pPr>
    <w:rPr>
      <w:rFonts w:ascii="Tahoma" w:hAnsi="Tahoma" w:eastAsia="微软雅黑" w:cs="Times New Roman"/>
      <w:sz w:val="22"/>
      <w:szCs w:val="22"/>
      <w:lang w:val="en-US" w:eastAsia="zh-CN" w:bidi="ar-SA"/>
    </w:rPr>
  </w:style>
  <w:style w:type="character" w:customStyle="1" w:styleId="67">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CQSPB</Company>
  <Pages>31</Pages>
  <Words>2216</Words>
  <Characters>12635</Characters>
  <Lines>105</Lines>
  <Paragraphs>29</Paragraphs>
  <TotalTime>23</TotalTime>
  <ScaleCrop>false</ScaleCrop>
  <LinksUpToDate>false</LinksUpToDate>
  <CharactersWithSpaces>14822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2023-05-23T05:11:00Z</dcterms:created>
  <dc:creator>田彦刚</dc:creator>
  <cp:lastModifiedBy>阮雪漫</cp:lastModifiedBy>
  <cp:lastPrinted>2024-12-18T01:05:00Z</cp:lastPrinted>
  <dcterms:modified xsi:type="dcterms:W3CDTF">2025-07-21T06:24:50Z</dcterms:modified>
  <dc:title>物资采购文本（询价）</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9C1F49BC7B2D4EAE869081BD39AAA04B_13</vt:lpwstr>
  </property>
  <property fmtid="{D5CDD505-2E9C-101B-9397-08002B2CF9AE}" pid="4" name="KSOTemplateDocerSaveRecord">
    <vt:lpwstr>eyJoZGlkIjoiMzM1MjNjZmVjZDIzZGMxOWZiYzc0NWNkYjM0NTA4YzgiLCJ1c2VySWQiOiIxNjc3NzY1NDA1In0=</vt:lpwstr>
  </property>
</Properties>
</file>