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3853"/>
      <w:bookmarkStart w:id="2" w:name="_Toc19115519"/>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Ansi="宋体" w:cs="宋体"/>
          <w:b/>
          <w:sz w:val="40"/>
          <w:szCs w:val="40"/>
          <w:highlight w:val="none"/>
        </w:rPr>
      </w:pPr>
      <w:r>
        <w:rPr>
          <w:rFonts w:hint="eastAsia" w:hAnsi="宋体" w:cs="宋体"/>
          <w:b/>
          <w:sz w:val="40"/>
          <w:szCs w:val="40"/>
          <w:highlight w:val="none"/>
        </w:rPr>
        <w:t>网络安全等级保护测评服务采购</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5033</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highlight w:val="none"/>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eastAsia="zh-CN"/>
        </w:rPr>
        <w:t>五</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Ansi="宋体" w:cs="宋体"/>
          <w:b/>
          <w:bCs/>
          <w:sz w:val="36"/>
          <w:szCs w:val="36"/>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"_Toc98942871" </w:instrText>
      </w:r>
      <w:r>
        <w:rPr>
          <w:highlight w:val="none"/>
        </w:rPr>
        <w:fldChar w:fldCharType="separate"/>
      </w:r>
      <w:r>
        <w:rPr>
          <w:rStyle w:val="14"/>
          <w:rFonts w:hint="eastAsia"/>
          <w:highlight w:val="none"/>
        </w:rPr>
        <w:t>第一篇投标邀请书</w:t>
      </w:r>
      <w:r>
        <w:rPr>
          <w:highlight w:val="none"/>
        </w:rPr>
        <w:tab/>
      </w:r>
      <w:r>
        <w:rPr>
          <w:highlight w:val="none"/>
        </w:rPr>
        <w:fldChar w:fldCharType="begin"/>
      </w:r>
      <w:r>
        <w:rPr>
          <w:highlight w:val="none"/>
        </w:rPr>
        <w:instrText xml:space="preserve"> PAGEREF _Toc98942871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"_Toc98942872" </w:instrText>
      </w:r>
      <w:r>
        <w:rPr>
          <w:highlight w:val="none"/>
        </w:rPr>
        <w:fldChar w:fldCharType="separate"/>
      </w:r>
      <w:r>
        <w:rPr>
          <w:rStyle w:val="14"/>
          <w:rFonts w:hint="eastAsia" w:ascii="宋体" w:hAnsi="宋体" w:cs="宋体"/>
          <w:highlight w:val="none"/>
        </w:rPr>
        <w:t>一、</w:t>
      </w:r>
      <w:r>
        <w:rPr>
          <w:rStyle w:val="14"/>
          <w:rFonts w:hint="eastAsia" w:ascii="宋体" w:hAnsi="宋体" w:cs="宋体"/>
          <w:highlight w:val="none"/>
          <w:lang w:eastAsia="zh-CN"/>
        </w:rPr>
        <w:t>采购项目</w:t>
      </w:r>
      <w:r>
        <w:rPr>
          <w:rStyle w:val="14"/>
          <w:rFonts w:hint="eastAsia" w:ascii="宋体" w:hAnsi="宋体" w:cs="宋体"/>
          <w:highlight w:val="none"/>
        </w:rPr>
        <w:t>内容</w:t>
      </w:r>
      <w:r>
        <w:rPr>
          <w:highlight w:val="none"/>
        </w:rPr>
        <w:tab/>
      </w:r>
      <w:r>
        <w:rPr>
          <w:highlight w:val="none"/>
        </w:rPr>
        <w:fldChar w:fldCharType="begin"/>
      </w:r>
      <w:r>
        <w:rPr>
          <w:highlight w:val="none"/>
        </w:rPr>
        <w:instrText xml:space="preserve"> PAGEREF _Toc98942872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"_Toc98942873" </w:instrText>
      </w:r>
      <w:r>
        <w:rPr>
          <w:highlight w:val="none"/>
        </w:rPr>
        <w:fldChar w:fldCharType="separate"/>
      </w:r>
      <w:r>
        <w:rPr>
          <w:rStyle w:val="14"/>
          <w:rFonts w:hint="eastAsia"/>
          <w:highlight w:val="none"/>
        </w:rPr>
        <w:t>二、资金来源</w:t>
      </w:r>
      <w:r>
        <w:rPr>
          <w:highlight w:val="none"/>
        </w:rPr>
        <w:tab/>
      </w:r>
      <w:r>
        <w:rPr>
          <w:highlight w:val="none"/>
        </w:rPr>
        <w:fldChar w:fldCharType="begin"/>
      </w:r>
      <w:r>
        <w:rPr>
          <w:highlight w:val="none"/>
        </w:rPr>
        <w:instrText xml:space="preserve"> PAGEREF _Toc98942873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"_Toc98942874" </w:instrText>
      </w:r>
      <w:r>
        <w:rPr>
          <w:highlight w:val="none"/>
        </w:rPr>
        <w:fldChar w:fldCharType="separate"/>
      </w:r>
      <w:r>
        <w:rPr>
          <w:rStyle w:val="14"/>
          <w:rFonts w:hint="eastAsia"/>
          <w:highlight w:val="none"/>
        </w:rPr>
        <w:t>三、采购方式</w:t>
      </w:r>
      <w:r>
        <w:rPr>
          <w:highlight w:val="none"/>
        </w:rPr>
        <w:tab/>
      </w:r>
      <w:r>
        <w:rPr>
          <w:highlight w:val="none"/>
        </w:rPr>
        <w:fldChar w:fldCharType="begin"/>
      </w:r>
      <w:r>
        <w:rPr>
          <w:highlight w:val="none"/>
        </w:rPr>
        <w:instrText xml:space="preserve"> PAGEREF _Toc98942874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"_Toc98942875" </w:instrText>
      </w:r>
      <w:r>
        <w:rPr>
          <w:highlight w:val="none"/>
        </w:rPr>
        <w:fldChar w:fldCharType="separate"/>
      </w:r>
      <w:r>
        <w:rPr>
          <w:rStyle w:val="14"/>
          <w:rFonts w:hint="eastAsia"/>
          <w:highlight w:val="none"/>
        </w:rPr>
        <w:t>四、投标人资格要求</w:t>
      </w:r>
      <w:r>
        <w:rPr>
          <w:highlight w:val="none"/>
        </w:rPr>
        <w:tab/>
      </w:r>
      <w:r>
        <w:rPr>
          <w:highlight w:val="none"/>
        </w:rPr>
        <w:fldChar w:fldCharType="begin"/>
      </w:r>
      <w:r>
        <w:rPr>
          <w:highlight w:val="none"/>
        </w:rPr>
        <w:instrText xml:space="preserve"> PAGEREF _Toc98942875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"_Toc98942876" </w:instrText>
      </w:r>
      <w:r>
        <w:rPr>
          <w:highlight w:val="none"/>
        </w:rPr>
        <w:fldChar w:fldCharType="separate"/>
      </w:r>
      <w:r>
        <w:rPr>
          <w:rStyle w:val="14"/>
          <w:rFonts w:hint="eastAsia"/>
          <w:highlight w:val="none"/>
        </w:rPr>
        <w:t>五、招标书获取及投标时间要求</w:t>
      </w:r>
      <w:r>
        <w:rPr>
          <w:highlight w:val="none"/>
        </w:rPr>
        <w:tab/>
      </w:r>
      <w:r>
        <w:rPr>
          <w:highlight w:val="none"/>
        </w:rPr>
        <w:fldChar w:fldCharType="begin"/>
      </w:r>
      <w:r>
        <w:rPr>
          <w:highlight w:val="none"/>
        </w:rPr>
        <w:instrText xml:space="preserve"> PAGEREF _Toc98942876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"_Toc98942877" </w:instrText>
      </w:r>
      <w:r>
        <w:rPr>
          <w:highlight w:val="none"/>
        </w:rPr>
        <w:fldChar w:fldCharType="separate"/>
      </w:r>
      <w:r>
        <w:rPr>
          <w:rStyle w:val="14"/>
          <w:rFonts w:hint="eastAsia"/>
          <w:highlight w:val="none"/>
        </w:rPr>
        <w:t>六、其它有关规定</w:t>
      </w:r>
      <w:r>
        <w:rPr>
          <w:highlight w:val="none"/>
        </w:rPr>
        <w:tab/>
      </w:r>
      <w:r>
        <w:rPr>
          <w:highlight w:val="none"/>
        </w:rPr>
        <w:fldChar w:fldCharType="begin"/>
      </w:r>
      <w:r>
        <w:rPr>
          <w:highlight w:val="none"/>
        </w:rPr>
        <w:instrText xml:space="preserve"> PAGEREF _Toc98942877 \h </w:instrText>
      </w:r>
      <w:r>
        <w:rPr>
          <w:highlight w:val="none"/>
        </w:rPr>
        <w:fldChar w:fldCharType="separate"/>
      </w:r>
      <w:r>
        <w:rPr>
          <w:highlight w:val="none"/>
        </w:rPr>
        <w:t>5</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"_Toc98942878" </w:instrText>
      </w:r>
      <w:r>
        <w:rPr>
          <w:highlight w:val="none"/>
        </w:rPr>
        <w:fldChar w:fldCharType="separate"/>
      </w:r>
      <w:r>
        <w:rPr>
          <w:rStyle w:val="14"/>
          <w:rFonts w:hint="eastAsia"/>
          <w:highlight w:val="none"/>
        </w:rPr>
        <w:t>七、联系方式</w:t>
      </w:r>
      <w:r>
        <w:rPr>
          <w:highlight w:val="none"/>
        </w:rPr>
        <w:tab/>
      </w:r>
      <w:r>
        <w:rPr>
          <w:highlight w:val="none"/>
        </w:rPr>
        <w:fldChar w:fldCharType="begin"/>
      </w:r>
      <w:r>
        <w:rPr>
          <w:highlight w:val="none"/>
        </w:rPr>
        <w:instrText xml:space="preserve"> PAGEREF _Toc98942878 \h </w:instrText>
      </w:r>
      <w:r>
        <w:rPr>
          <w:highlight w:val="none"/>
        </w:rPr>
        <w:fldChar w:fldCharType="separate"/>
      </w:r>
      <w:r>
        <w:rPr>
          <w:highlight w:val="none"/>
        </w:rPr>
        <w:t>5</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"_Toc98942879" </w:instrText>
      </w:r>
      <w:r>
        <w:rPr>
          <w:highlight w:val="none"/>
        </w:rPr>
        <w:fldChar w:fldCharType="separate"/>
      </w:r>
      <w:r>
        <w:rPr>
          <w:rStyle w:val="14"/>
          <w:rFonts w:hint="eastAsia" w:hAnsi="宋体" w:cs="宋体"/>
          <w:highlight w:val="none"/>
        </w:rPr>
        <w:t>第二篇项目技术要求</w:t>
      </w:r>
      <w:r>
        <w:rPr>
          <w:highlight w:val="none"/>
        </w:rPr>
        <w:tab/>
      </w:r>
      <w:r>
        <w:rPr>
          <w:highlight w:val="none"/>
        </w:rPr>
        <w:fldChar w:fldCharType="begin"/>
      </w:r>
      <w:r>
        <w:rPr>
          <w:highlight w:val="none"/>
        </w:rPr>
        <w:instrText xml:space="preserve"> PAGEREF _Toc98942879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"_Toc98942880" </w:instrText>
      </w:r>
      <w:r>
        <w:rPr>
          <w:highlight w:val="none"/>
        </w:rPr>
        <w:fldChar w:fldCharType="separate"/>
      </w:r>
      <w:r>
        <w:rPr>
          <w:rStyle w:val="14"/>
          <w:rFonts w:hint="eastAsia"/>
          <w:highlight w:val="none"/>
        </w:rPr>
        <w:t>一、</w:t>
      </w:r>
      <w:r>
        <w:rPr>
          <w:rStyle w:val="14"/>
          <w:rFonts w:hint="eastAsia"/>
          <w:highlight w:val="none"/>
          <w:lang w:eastAsia="zh-CN"/>
        </w:rPr>
        <w:t>采购项目</w:t>
      </w:r>
      <w:r>
        <w:rPr>
          <w:rStyle w:val="14"/>
          <w:rFonts w:hint="eastAsia"/>
          <w:highlight w:val="none"/>
        </w:rPr>
        <w:t>一览表</w:t>
      </w:r>
      <w:r>
        <w:rPr>
          <w:highlight w:val="none"/>
        </w:rPr>
        <w:tab/>
      </w:r>
      <w:r>
        <w:rPr>
          <w:highlight w:val="none"/>
        </w:rPr>
        <w:fldChar w:fldCharType="begin"/>
      </w:r>
      <w:r>
        <w:rPr>
          <w:highlight w:val="none"/>
        </w:rPr>
        <w:instrText xml:space="preserve"> PAGEREF _Toc98942880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"_Toc98942881" </w:instrText>
      </w:r>
      <w:r>
        <w:rPr>
          <w:highlight w:val="none"/>
        </w:rPr>
        <w:fldChar w:fldCharType="separate"/>
      </w:r>
      <w:r>
        <w:rPr>
          <w:rStyle w:val="14"/>
          <w:rFonts w:hint="eastAsia"/>
          <w:highlight w:val="none"/>
        </w:rPr>
        <w:t>二、</w:t>
      </w:r>
      <w:r>
        <w:rPr>
          <w:rStyle w:val="14"/>
          <w:rFonts w:hint="eastAsia"/>
          <w:highlight w:val="none"/>
          <w:lang w:eastAsia="zh-CN"/>
        </w:rPr>
        <w:t>采购项目</w:t>
      </w:r>
      <w:r>
        <w:rPr>
          <w:rStyle w:val="14"/>
          <w:rFonts w:hint="eastAsia"/>
          <w:highlight w:val="none"/>
        </w:rPr>
        <w:t>技术要求</w:t>
      </w:r>
      <w:r>
        <w:rPr>
          <w:highlight w:val="none"/>
        </w:rPr>
        <w:tab/>
      </w:r>
      <w:r>
        <w:rPr>
          <w:highlight w:val="none"/>
        </w:rPr>
        <w:fldChar w:fldCharType="begin"/>
      </w:r>
      <w:r>
        <w:rPr>
          <w:highlight w:val="none"/>
        </w:rPr>
        <w:instrText xml:space="preserve"> PAGEREF _Toc98942881 \h </w:instrText>
      </w:r>
      <w:r>
        <w:rPr>
          <w:highlight w:val="none"/>
        </w:rPr>
        <w:fldChar w:fldCharType="separate"/>
      </w:r>
      <w:r>
        <w:rPr>
          <w:highlight w:val="none"/>
        </w:rPr>
        <w:t>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"_Toc98942882" </w:instrText>
      </w:r>
      <w:r>
        <w:rPr>
          <w:highlight w:val="none"/>
        </w:rPr>
        <w:fldChar w:fldCharType="separate"/>
      </w:r>
      <w:r>
        <w:rPr>
          <w:rStyle w:val="14"/>
          <w:rFonts w:hint="eastAsia" w:hAnsi="宋体" w:cs="宋体"/>
          <w:highlight w:val="none"/>
        </w:rPr>
        <w:t>第三篇项目商务要求</w:t>
      </w:r>
      <w:r>
        <w:rPr>
          <w:highlight w:val="none"/>
        </w:rPr>
        <w:tab/>
      </w:r>
      <w:r>
        <w:rPr>
          <w:highlight w:val="none"/>
        </w:rPr>
        <w:fldChar w:fldCharType="begin"/>
      </w:r>
      <w:r>
        <w:rPr>
          <w:highlight w:val="none"/>
        </w:rPr>
        <w:instrText xml:space="preserve"> PAGEREF _Toc98942882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"_Toc98942883" </w:instrText>
      </w:r>
      <w:r>
        <w:rPr>
          <w:highlight w:val="none"/>
        </w:rPr>
        <w:fldChar w:fldCharType="separate"/>
      </w:r>
      <w:r>
        <w:rPr>
          <w:rStyle w:val="14"/>
          <w:rFonts w:hint="eastAsia"/>
          <w:highlight w:val="none"/>
        </w:rPr>
        <w:t>一、交货期、交货地点及验收方式</w:t>
      </w:r>
      <w:r>
        <w:rPr>
          <w:highlight w:val="none"/>
        </w:rPr>
        <w:tab/>
      </w:r>
      <w:r>
        <w:rPr>
          <w:highlight w:val="none"/>
        </w:rPr>
        <w:fldChar w:fldCharType="begin"/>
      </w:r>
      <w:r>
        <w:rPr>
          <w:highlight w:val="none"/>
        </w:rPr>
        <w:instrText xml:space="preserve"> PAGEREF _Toc98942883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"_Toc98942884" </w:instrText>
      </w:r>
      <w:r>
        <w:rPr>
          <w:highlight w:val="none"/>
        </w:rPr>
        <w:fldChar w:fldCharType="separate"/>
      </w:r>
      <w:r>
        <w:rPr>
          <w:rStyle w:val="14"/>
          <w:rFonts w:hint="eastAsia"/>
          <w:highlight w:val="none"/>
        </w:rPr>
        <w:t>二、报价要求</w:t>
      </w:r>
      <w:r>
        <w:rPr>
          <w:highlight w:val="none"/>
        </w:rPr>
        <w:tab/>
      </w:r>
      <w:r>
        <w:rPr>
          <w:highlight w:val="none"/>
        </w:rPr>
        <w:fldChar w:fldCharType="begin"/>
      </w:r>
      <w:r>
        <w:rPr>
          <w:highlight w:val="none"/>
        </w:rPr>
        <w:instrText xml:space="preserve"> PAGEREF _Toc98942884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"_Toc98942885" </w:instrText>
      </w:r>
      <w:r>
        <w:rPr>
          <w:highlight w:val="none"/>
        </w:rPr>
        <w:fldChar w:fldCharType="separate"/>
      </w:r>
      <w:r>
        <w:rPr>
          <w:rStyle w:val="14"/>
          <w:rFonts w:hint="eastAsia"/>
          <w:highlight w:val="none"/>
        </w:rPr>
        <w:t>三、质量保证及售后服务</w:t>
      </w:r>
      <w:r>
        <w:rPr>
          <w:highlight w:val="none"/>
        </w:rPr>
        <w:tab/>
      </w:r>
      <w:r>
        <w:rPr>
          <w:highlight w:val="none"/>
        </w:rPr>
        <w:fldChar w:fldCharType="begin"/>
      </w:r>
      <w:r>
        <w:rPr>
          <w:highlight w:val="none"/>
        </w:rPr>
        <w:instrText xml:space="preserve"> PAGEREF _Toc98942885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"_Toc98942886" </w:instrText>
      </w:r>
      <w:r>
        <w:rPr>
          <w:highlight w:val="none"/>
        </w:rPr>
        <w:fldChar w:fldCharType="separate"/>
      </w:r>
      <w:r>
        <w:rPr>
          <w:rStyle w:val="14"/>
          <w:rFonts w:hint="eastAsia"/>
          <w:highlight w:val="none"/>
        </w:rPr>
        <w:t>四、付款方式</w:t>
      </w:r>
      <w:r>
        <w:rPr>
          <w:highlight w:val="none"/>
        </w:rPr>
        <w:tab/>
      </w:r>
      <w:r>
        <w:rPr>
          <w:highlight w:val="none"/>
        </w:rPr>
        <w:fldChar w:fldCharType="begin"/>
      </w:r>
      <w:r>
        <w:rPr>
          <w:highlight w:val="none"/>
        </w:rPr>
        <w:instrText xml:space="preserve"> PAGEREF _Toc98942886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"_Toc98942887" </w:instrText>
      </w:r>
      <w:r>
        <w:rPr>
          <w:highlight w:val="none"/>
        </w:rPr>
        <w:fldChar w:fldCharType="separate"/>
      </w:r>
      <w:r>
        <w:rPr>
          <w:rStyle w:val="14"/>
          <w:rFonts w:hint="eastAsia"/>
          <w:highlight w:val="none"/>
        </w:rPr>
        <w:t>五、知识产权</w:t>
      </w:r>
      <w:r>
        <w:rPr>
          <w:highlight w:val="none"/>
        </w:rPr>
        <w:tab/>
      </w:r>
      <w:r>
        <w:rPr>
          <w:highlight w:val="none"/>
        </w:rPr>
        <w:fldChar w:fldCharType="begin"/>
      </w:r>
      <w:r>
        <w:rPr>
          <w:highlight w:val="none"/>
        </w:rPr>
        <w:instrText xml:space="preserve"> PAGEREF _Toc98942887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"_Toc98942888" </w:instrText>
      </w:r>
      <w:r>
        <w:rPr>
          <w:highlight w:val="none"/>
        </w:rPr>
        <w:fldChar w:fldCharType="separate"/>
      </w:r>
      <w:r>
        <w:rPr>
          <w:rStyle w:val="14"/>
          <w:rFonts w:hint="eastAsia"/>
          <w:highlight w:val="none"/>
        </w:rPr>
        <w:t>六、培训</w:t>
      </w:r>
      <w:r>
        <w:rPr>
          <w:highlight w:val="none"/>
        </w:rPr>
        <w:tab/>
      </w:r>
      <w:r>
        <w:rPr>
          <w:highlight w:val="none"/>
        </w:rPr>
        <w:fldChar w:fldCharType="begin"/>
      </w:r>
      <w:r>
        <w:rPr>
          <w:highlight w:val="none"/>
        </w:rPr>
        <w:instrText xml:space="preserve"> PAGEREF _Toc98942888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"_Toc98942889" </w:instrText>
      </w:r>
      <w:r>
        <w:rPr>
          <w:highlight w:val="none"/>
        </w:rPr>
        <w:fldChar w:fldCharType="separate"/>
      </w:r>
      <w:r>
        <w:rPr>
          <w:rStyle w:val="14"/>
          <w:rFonts w:hint="eastAsia"/>
          <w:highlight w:val="none"/>
        </w:rPr>
        <w:t>七、其他商务要求内容</w:t>
      </w:r>
      <w:r>
        <w:rPr>
          <w:highlight w:val="none"/>
        </w:rPr>
        <w:tab/>
      </w:r>
      <w:r>
        <w:rPr>
          <w:highlight w:val="none"/>
        </w:rPr>
        <w:fldChar w:fldCharType="begin"/>
      </w:r>
      <w:r>
        <w:rPr>
          <w:highlight w:val="none"/>
        </w:rPr>
        <w:instrText xml:space="preserve"> PAGEREF _Toc98942889 \h </w:instrText>
      </w:r>
      <w:r>
        <w:rPr>
          <w:highlight w:val="none"/>
        </w:rPr>
        <w:fldChar w:fldCharType="separate"/>
      </w:r>
      <w:r>
        <w:rPr>
          <w:highlight w:val="none"/>
        </w:rPr>
        <w:t>10</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"_Toc98942890" </w:instrText>
      </w:r>
      <w:r>
        <w:rPr>
          <w:highlight w:val="none"/>
        </w:rPr>
        <w:fldChar w:fldCharType="separate"/>
      </w:r>
      <w:r>
        <w:rPr>
          <w:rStyle w:val="14"/>
          <w:rFonts w:hint="eastAsia" w:hAnsi="宋体" w:cs="宋体"/>
          <w:highlight w:val="none"/>
        </w:rPr>
        <w:t>第四篇资格审查及评分办法</w:t>
      </w:r>
      <w:r>
        <w:rPr>
          <w:highlight w:val="none"/>
        </w:rPr>
        <w:tab/>
      </w:r>
      <w:r>
        <w:rPr>
          <w:highlight w:val="none"/>
        </w:rPr>
        <w:fldChar w:fldCharType="begin"/>
      </w:r>
      <w:r>
        <w:rPr>
          <w:highlight w:val="none"/>
        </w:rPr>
        <w:instrText xml:space="preserve"> PAGEREF _Toc98942890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"_Toc98942891" </w:instrText>
      </w:r>
      <w:r>
        <w:rPr>
          <w:highlight w:val="none"/>
        </w:rPr>
        <w:fldChar w:fldCharType="separate"/>
      </w:r>
      <w:r>
        <w:rPr>
          <w:rStyle w:val="14"/>
          <w:rFonts w:hint="eastAsia"/>
          <w:highlight w:val="none"/>
        </w:rPr>
        <w:t>一、资格审查</w:t>
      </w:r>
      <w:r>
        <w:rPr>
          <w:highlight w:val="none"/>
        </w:rPr>
        <w:tab/>
      </w:r>
      <w:r>
        <w:rPr>
          <w:highlight w:val="none"/>
        </w:rPr>
        <w:fldChar w:fldCharType="begin"/>
      </w:r>
      <w:r>
        <w:rPr>
          <w:highlight w:val="none"/>
        </w:rPr>
        <w:instrText xml:space="preserve"> PAGEREF _Toc98942891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"_Toc98942892" </w:instrText>
      </w:r>
      <w:r>
        <w:rPr>
          <w:highlight w:val="none"/>
        </w:rPr>
        <w:fldChar w:fldCharType="separate"/>
      </w:r>
      <w:r>
        <w:rPr>
          <w:rStyle w:val="14"/>
          <w:rFonts w:hint="eastAsia"/>
          <w:highlight w:val="none"/>
        </w:rPr>
        <w:t>二、评标方法</w:t>
      </w:r>
      <w:r>
        <w:rPr>
          <w:highlight w:val="none"/>
        </w:rPr>
        <w:tab/>
      </w:r>
      <w:r>
        <w:rPr>
          <w:highlight w:val="none"/>
        </w:rPr>
        <w:fldChar w:fldCharType="begin"/>
      </w:r>
      <w:r>
        <w:rPr>
          <w:highlight w:val="none"/>
        </w:rPr>
        <w:instrText xml:space="preserve"> PAGEREF _Toc98942892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"_Toc98942893" </w:instrText>
      </w:r>
      <w:r>
        <w:rPr>
          <w:highlight w:val="none"/>
        </w:rPr>
        <w:fldChar w:fldCharType="separate"/>
      </w:r>
      <w:r>
        <w:rPr>
          <w:rStyle w:val="14"/>
          <w:rFonts w:hint="eastAsia"/>
          <w:highlight w:val="none"/>
        </w:rPr>
        <w:t>三、评分标准</w:t>
      </w:r>
      <w:r>
        <w:rPr>
          <w:highlight w:val="none"/>
        </w:rPr>
        <w:tab/>
      </w:r>
      <w:r>
        <w:rPr>
          <w:highlight w:val="none"/>
        </w:rPr>
        <w:fldChar w:fldCharType="begin"/>
      </w:r>
      <w:r>
        <w:rPr>
          <w:highlight w:val="none"/>
        </w:rPr>
        <w:instrText xml:space="preserve"> PAGEREF _Toc98942893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"_Toc98942894" </w:instrText>
      </w:r>
      <w:r>
        <w:rPr>
          <w:highlight w:val="none"/>
        </w:rPr>
        <w:fldChar w:fldCharType="separate"/>
      </w:r>
      <w:r>
        <w:rPr>
          <w:rStyle w:val="14"/>
          <w:rFonts w:hint="eastAsia"/>
          <w:highlight w:val="none"/>
        </w:rPr>
        <w:t>四、无效投标条款</w:t>
      </w:r>
      <w:r>
        <w:rPr>
          <w:highlight w:val="none"/>
        </w:rPr>
        <w:tab/>
      </w:r>
      <w:r>
        <w:rPr>
          <w:highlight w:val="none"/>
        </w:rPr>
        <w:fldChar w:fldCharType="begin"/>
      </w:r>
      <w:r>
        <w:rPr>
          <w:highlight w:val="none"/>
        </w:rPr>
        <w:instrText xml:space="preserve"> PAGEREF _Toc98942894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"_Toc98942895" </w:instrText>
      </w:r>
      <w:r>
        <w:rPr>
          <w:highlight w:val="none"/>
        </w:rPr>
        <w:fldChar w:fldCharType="separate"/>
      </w:r>
      <w:r>
        <w:rPr>
          <w:rStyle w:val="14"/>
          <w:rFonts w:hint="eastAsia"/>
          <w:highlight w:val="none"/>
        </w:rPr>
        <w:t>五、废标条款</w:t>
      </w:r>
      <w:r>
        <w:rPr>
          <w:highlight w:val="none"/>
        </w:rPr>
        <w:tab/>
      </w:r>
      <w:r>
        <w:rPr>
          <w:highlight w:val="none"/>
        </w:rPr>
        <w:fldChar w:fldCharType="begin"/>
      </w:r>
      <w:r>
        <w:rPr>
          <w:highlight w:val="none"/>
        </w:rPr>
        <w:instrText xml:space="preserve"> PAGEREF _Toc98942895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"_Toc98942896" </w:instrText>
      </w:r>
      <w:r>
        <w:rPr>
          <w:highlight w:val="none"/>
        </w:rPr>
        <w:fldChar w:fldCharType="separate"/>
      </w:r>
      <w:r>
        <w:rPr>
          <w:rStyle w:val="14"/>
          <w:rFonts w:hint="eastAsia" w:hAnsi="宋体"/>
          <w:highlight w:val="none"/>
        </w:rPr>
        <w:t>第五篇投标人须知</w:t>
      </w:r>
      <w:r>
        <w:rPr>
          <w:highlight w:val="none"/>
        </w:rPr>
        <w:tab/>
      </w:r>
      <w:r>
        <w:rPr>
          <w:highlight w:val="none"/>
        </w:rPr>
        <w:fldChar w:fldCharType="begin"/>
      </w:r>
      <w:r>
        <w:rPr>
          <w:highlight w:val="none"/>
        </w:rPr>
        <w:instrText xml:space="preserve"> PAGEREF _Toc98942896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"_Toc98942897" </w:instrText>
      </w:r>
      <w:r>
        <w:rPr>
          <w:highlight w:val="none"/>
        </w:rPr>
        <w:fldChar w:fldCharType="separate"/>
      </w:r>
      <w:r>
        <w:rPr>
          <w:rStyle w:val="14"/>
          <w:rFonts w:hint="eastAsia"/>
          <w:highlight w:val="none"/>
        </w:rPr>
        <w:t>一、投标人</w:t>
      </w:r>
      <w:r>
        <w:rPr>
          <w:highlight w:val="none"/>
        </w:rPr>
        <w:tab/>
      </w:r>
      <w:r>
        <w:rPr>
          <w:highlight w:val="none"/>
        </w:rPr>
        <w:fldChar w:fldCharType="begin"/>
      </w:r>
      <w:r>
        <w:rPr>
          <w:highlight w:val="none"/>
        </w:rPr>
        <w:instrText xml:space="preserve"> PAGEREF _Toc98942897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"_Toc98942898" </w:instrText>
      </w:r>
      <w:r>
        <w:rPr>
          <w:highlight w:val="none"/>
        </w:rPr>
        <w:fldChar w:fldCharType="separate"/>
      </w:r>
      <w:r>
        <w:rPr>
          <w:rStyle w:val="14"/>
          <w:rFonts w:hint="eastAsia"/>
          <w:highlight w:val="none"/>
        </w:rPr>
        <w:t>二、</w:t>
      </w:r>
      <w:r>
        <w:rPr>
          <w:rStyle w:val="14"/>
          <w:rFonts w:hint="eastAsia"/>
          <w:highlight w:val="none"/>
          <w:lang w:eastAsia="zh-CN"/>
        </w:rPr>
        <w:t>竞争性比选文件</w:t>
      </w:r>
      <w:r>
        <w:rPr>
          <w:highlight w:val="none"/>
        </w:rPr>
        <w:tab/>
      </w:r>
      <w:r>
        <w:rPr>
          <w:highlight w:val="none"/>
        </w:rPr>
        <w:fldChar w:fldCharType="begin"/>
      </w:r>
      <w:r>
        <w:rPr>
          <w:highlight w:val="none"/>
        </w:rPr>
        <w:instrText xml:space="preserve"> PAGEREF _Toc98942898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"_Toc98942899" </w:instrText>
      </w:r>
      <w:r>
        <w:rPr>
          <w:highlight w:val="none"/>
        </w:rPr>
        <w:fldChar w:fldCharType="separate"/>
      </w:r>
      <w:r>
        <w:rPr>
          <w:rStyle w:val="14"/>
          <w:rFonts w:hint="eastAsia"/>
          <w:highlight w:val="none"/>
        </w:rPr>
        <w:t>三、</w:t>
      </w:r>
      <w:r>
        <w:rPr>
          <w:rStyle w:val="14"/>
          <w:rFonts w:hint="eastAsia"/>
          <w:highlight w:val="none"/>
          <w:lang w:eastAsia="zh-CN"/>
        </w:rPr>
        <w:t>响应文件</w:t>
      </w:r>
      <w:r>
        <w:rPr>
          <w:highlight w:val="none"/>
        </w:rPr>
        <w:tab/>
      </w:r>
      <w:r>
        <w:rPr>
          <w:highlight w:val="none"/>
        </w:rPr>
        <w:fldChar w:fldCharType="begin"/>
      </w:r>
      <w:r>
        <w:rPr>
          <w:highlight w:val="none"/>
        </w:rPr>
        <w:instrText xml:space="preserve"> PAGEREF _Toc98942899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"_Toc98942900" </w:instrText>
      </w:r>
      <w:r>
        <w:rPr>
          <w:highlight w:val="none"/>
        </w:rPr>
        <w:fldChar w:fldCharType="separate"/>
      </w:r>
      <w:r>
        <w:rPr>
          <w:rStyle w:val="14"/>
          <w:rFonts w:hint="eastAsia"/>
          <w:highlight w:val="none"/>
        </w:rPr>
        <w:t>四、评标</w:t>
      </w:r>
      <w:r>
        <w:rPr>
          <w:highlight w:val="none"/>
        </w:rPr>
        <w:tab/>
      </w:r>
      <w:r>
        <w:rPr>
          <w:highlight w:val="none"/>
        </w:rPr>
        <w:fldChar w:fldCharType="begin"/>
      </w:r>
      <w:r>
        <w:rPr>
          <w:highlight w:val="none"/>
        </w:rPr>
        <w:instrText xml:space="preserve"> PAGEREF _Toc98942900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"_Toc98942901" </w:instrText>
      </w:r>
      <w:r>
        <w:rPr>
          <w:highlight w:val="none"/>
        </w:rPr>
        <w:fldChar w:fldCharType="separate"/>
      </w:r>
      <w:r>
        <w:rPr>
          <w:rStyle w:val="14"/>
          <w:rFonts w:hint="eastAsia"/>
          <w:highlight w:val="none"/>
        </w:rPr>
        <w:t>五、定标</w:t>
      </w:r>
      <w:r>
        <w:rPr>
          <w:highlight w:val="none"/>
        </w:rPr>
        <w:tab/>
      </w:r>
      <w:r>
        <w:rPr>
          <w:highlight w:val="none"/>
        </w:rPr>
        <w:fldChar w:fldCharType="begin"/>
      </w:r>
      <w:r>
        <w:rPr>
          <w:highlight w:val="none"/>
        </w:rPr>
        <w:instrText xml:space="preserve"> PAGEREF _Toc98942901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"_Toc98942902" </w:instrText>
      </w:r>
      <w:r>
        <w:rPr>
          <w:highlight w:val="none"/>
        </w:rPr>
        <w:fldChar w:fldCharType="separate"/>
      </w:r>
      <w:r>
        <w:rPr>
          <w:rStyle w:val="14"/>
          <w:rFonts w:hint="eastAsia"/>
          <w:highlight w:val="none"/>
        </w:rPr>
        <w:t>六、询问、质疑和投诉</w:t>
      </w:r>
      <w:r>
        <w:rPr>
          <w:highlight w:val="none"/>
        </w:rPr>
        <w:tab/>
      </w:r>
      <w:r>
        <w:rPr>
          <w:highlight w:val="none"/>
        </w:rPr>
        <w:fldChar w:fldCharType="begin"/>
      </w:r>
      <w:r>
        <w:rPr>
          <w:highlight w:val="none"/>
        </w:rPr>
        <w:instrText xml:space="preserve"> PAGEREF _Toc98942902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"_Toc98942903" </w:instrText>
      </w:r>
      <w:r>
        <w:rPr>
          <w:highlight w:val="none"/>
        </w:rPr>
        <w:fldChar w:fldCharType="separate"/>
      </w:r>
      <w:r>
        <w:rPr>
          <w:rStyle w:val="14"/>
          <w:rFonts w:hint="eastAsia"/>
          <w:highlight w:val="none"/>
        </w:rPr>
        <w:t>七、签订合同</w:t>
      </w:r>
      <w:r>
        <w:rPr>
          <w:highlight w:val="none"/>
        </w:rPr>
        <w:tab/>
      </w:r>
      <w:r>
        <w:rPr>
          <w:highlight w:val="none"/>
        </w:rPr>
        <w:fldChar w:fldCharType="begin"/>
      </w:r>
      <w:r>
        <w:rPr>
          <w:highlight w:val="none"/>
        </w:rPr>
        <w:instrText xml:space="preserve"> PAGEREF _Toc98942903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"_Toc98942904" </w:instrText>
      </w:r>
      <w:r>
        <w:rPr>
          <w:highlight w:val="none"/>
        </w:rPr>
        <w:fldChar w:fldCharType="separate"/>
      </w:r>
      <w:r>
        <w:rPr>
          <w:rStyle w:val="14"/>
          <w:rFonts w:hint="eastAsia" w:hAnsi="宋体" w:cs="宋体"/>
          <w:highlight w:val="none"/>
        </w:rPr>
        <w:t>第六篇</w:t>
      </w:r>
      <w:r>
        <w:rPr>
          <w:rStyle w:val="14"/>
          <w:rFonts w:hint="eastAsia" w:hAnsi="宋体" w:cs="宋体"/>
          <w:highlight w:val="none"/>
          <w:lang w:eastAsia="zh-CN"/>
        </w:rPr>
        <w:t>响应文件</w:t>
      </w:r>
      <w:r>
        <w:rPr>
          <w:rStyle w:val="14"/>
          <w:rFonts w:hint="eastAsia" w:hAnsi="宋体" w:cs="宋体"/>
          <w:highlight w:val="none"/>
        </w:rPr>
        <w:t>格式要求</w:t>
      </w:r>
      <w:r>
        <w:rPr>
          <w:highlight w:val="none"/>
        </w:rPr>
        <w:tab/>
      </w:r>
      <w:r>
        <w:rPr>
          <w:highlight w:val="none"/>
        </w:rPr>
        <w:fldChar w:fldCharType="begin"/>
      </w:r>
      <w:r>
        <w:rPr>
          <w:highlight w:val="none"/>
        </w:rPr>
        <w:instrText xml:space="preserve"> PAGEREF _Toc98942904 \h </w:instrText>
      </w:r>
      <w:r>
        <w:rPr>
          <w:highlight w:val="none"/>
        </w:rPr>
        <w:fldChar w:fldCharType="separate"/>
      </w:r>
      <w:r>
        <w:rPr>
          <w:highlight w:val="none"/>
        </w:rPr>
        <w:t>17</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"_Toc98942905" </w:instrText>
      </w:r>
      <w:r>
        <w:rPr>
          <w:highlight w:val="none"/>
        </w:rPr>
        <w:fldChar w:fldCharType="separate"/>
      </w:r>
      <w:r>
        <w:rPr>
          <w:rStyle w:val="14"/>
          <w:rFonts w:hint="eastAsia"/>
          <w:highlight w:val="none"/>
        </w:rPr>
        <w:t>一、经济文件</w:t>
      </w:r>
      <w:r>
        <w:rPr>
          <w:highlight w:val="none"/>
        </w:rPr>
        <w:tab/>
      </w:r>
      <w:r>
        <w:rPr>
          <w:highlight w:val="none"/>
        </w:rPr>
        <w:fldChar w:fldCharType="begin"/>
      </w:r>
      <w:r>
        <w:rPr>
          <w:highlight w:val="none"/>
        </w:rPr>
        <w:instrText xml:space="preserve"> PAGEREF _Toc98942905 \h </w:instrText>
      </w:r>
      <w:r>
        <w:rPr>
          <w:highlight w:val="none"/>
        </w:rPr>
        <w:fldChar w:fldCharType="separate"/>
      </w:r>
      <w:r>
        <w:rPr>
          <w:highlight w:val="none"/>
        </w:rPr>
        <w:t>18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"_Toc98942906" </w:instrText>
      </w:r>
      <w:r>
        <w:rPr>
          <w:highlight w:val="none"/>
        </w:rPr>
        <w:fldChar w:fldCharType="separate"/>
      </w:r>
      <w:r>
        <w:rPr>
          <w:rStyle w:val="14"/>
          <w:rFonts w:hint="eastAsia"/>
          <w:highlight w:val="none"/>
        </w:rPr>
        <w:t>二、技术文件</w:t>
      </w:r>
      <w:r>
        <w:rPr>
          <w:highlight w:val="none"/>
        </w:rPr>
        <w:tab/>
      </w:r>
      <w:r>
        <w:rPr>
          <w:highlight w:val="none"/>
        </w:rPr>
        <w:fldChar w:fldCharType="begin"/>
      </w:r>
      <w:r>
        <w:rPr>
          <w:highlight w:val="none"/>
        </w:rPr>
        <w:instrText xml:space="preserve"> PAGEREF _Toc98942906 \h </w:instrText>
      </w:r>
      <w:r>
        <w:rPr>
          <w:highlight w:val="none"/>
        </w:rPr>
        <w:fldChar w:fldCharType="separate"/>
      </w:r>
      <w:r>
        <w:rPr>
          <w:highlight w:val="none"/>
        </w:rPr>
        <w:t>20</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"_Toc98942907" </w:instrText>
      </w:r>
      <w:r>
        <w:rPr>
          <w:highlight w:val="none"/>
        </w:rPr>
        <w:fldChar w:fldCharType="separate"/>
      </w:r>
      <w:r>
        <w:rPr>
          <w:rStyle w:val="14"/>
          <w:rFonts w:hint="eastAsia"/>
          <w:highlight w:val="none"/>
        </w:rPr>
        <w:t>三、商务文件</w:t>
      </w:r>
      <w:r>
        <w:rPr>
          <w:highlight w:val="none"/>
        </w:rPr>
        <w:tab/>
      </w:r>
      <w:r>
        <w:rPr>
          <w:highlight w:val="none"/>
        </w:rPr>
        <w:fldChar w:fldCharType="begin"/>
      </w:r>
      <w:r>
        <w:rPr>
          <w:highlight w:val="none"/>
        </w:rPr>
        <w:instrText xml:space="preserve"> PAGEREF _Toc98942907 \h </w:instrText>
      </w:r>
      <w:r>
        <w:rPr>
          <w:highlight w:val="none"/>
        </w:rPr>
        <w:fldChar w:fldCharType="separate"/>
      </w:r>
      <w:r>
        <w:rPr>
          <w:highlight w:val="none"/>
        </w:rPr>
        <w:t>22</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"_Toc98942908" </w:instrText>
      </w:r>
      <w:r>
        <w:rPr>
          <w:highlight w:val="none"/>
        </w:rPr>
        <w:fldChar w:fldCharType="separate"/>
      </w:r>
      <w:r>
        <w:rPr>
          <w:rStyle w:val="14"/>
          <w:rFonts w:hint="eastAsia"/>
          <w:highlight w:val="none"/>
        </w:rPr>
        <w:t>四、其他与项目有关的资料（自附）</w:t>
      </w:r>
      <w:r>
        <w:rPr>
          <w:highlight w:val="none"/>
        </w:rPr>
        <w:tab/>
      </w:r>
      <w:r>
        <w:rPr>
          <w:highlight w:val="none"/>
        </w:rPr>
        <w:fldChar w:fldCharType="begin"/>
      </w:r>
      <w:r>
        <w:rPr>
          <w:highlight w:val="none"/>
        </w:rPr>
        <w:instrText xml:space="preserve"> PAGEREF _Toc98942908 \h </w:instrText>
      </w:r>
      <w:r>
        <w:rPr>
          <w:highlight w:val="none"/>
        </w:rPr>
        <w:fldChar w:fldCharType="separate"/>
      </w:r>
      <w:r>
        <w:rPr>
          <w:highlight w:val="none"/>
        </w:rPr>
        <w:t>25</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"_Toc98942909" </w:instrText>
      </w:r>
      <w:r>
        <w:rPr>
          <w:highlight w:val="none"/>
        </w:rPr>
        <w:fldChar w:fldCharType="separate"/>
      </w:r>
      <w:r>
        <w:rPr>
          <w:rStyle w:val="14"/>
          <w:rFonts w:hint="eastAsia"/>
          <w:highlight w:val="none"/>
        </w:rPr>
        <w:t>五、资格文件</w:t>
      </w:r>
      <w:r>
        <w:rPr>
          <w:highlight w:val="none"/>
        </w:rPr>
        <w:tab/>
      </w:r>
      <w:r>
        <w:rPr>
          <w:highlight w:val="none"/>
        </w:rPr>
        <w:fldChar w:fldCharType="begin"/>
      </w:r>
      <w:r>
        <w:rPr>
          <w:highlight w:val="none"/>
        </w:rPr>
        <w:instrText xml:space="preserve"> PAGEREF _Toc98942909 \h </w:instrText>
      </w:r>
      <w:r>
        <w:rPr>
          <w:highlight w:val="none"/>
        </w:rPr>
        <w:fldChar w:fldCharType="separate"/>
      </w:r>
      <w:r>
        <w:rPr>
          <w:highlight w:val="none"/>
        </w:rPr>
        <w:t>26</w:t>
      </w:r>
      <w:r>
        <w:rPr>
          <w:highlight w:val="none"/>
        </w:rPr>
        <w:fldChar w:fldCharType="end"/>
      </w:r>
      <w:r>
        <w:rPr>
          <w:highlight w:val="none"/>
        </w:rPr>
        <w:fldChar w:fldCharType="end"/>
      </w:r>
    </w:p>
    <w:p>
      <w:pPr>
        <w:pStyle w:val="2"/>
        <w:rPr>
          <w:highlight w:val="none"/>
        </w:rPr>
      </w:pPr>
      <w:r>
        <w:rPr>
          <w:rFonts w:hint="eastAsia"/>
          <w:sz w:val="28"/>
          <w:szCs w:val="28"/>
          <w:highlight w:val="none"/>
        </w:rPr>
        <w:fldChar w:fldCharType="end"/>
      </w:r>
      <w:r>
        <w:rPr>
          <w:rFonts w:hint="eastAsia"/>
          <w:sz w:val="28"/>
          <w:szCs w:val="28"/>
          <w:highlight w:val="none"/>
        </w:rPr>
        <w:br w:type="page"/>
      </w:r>
      <w:bookmarkStart w:id="7" w:name="_Toc98942871"/>
      <w:r>
        <w:rPr>
          <w:rFonts w:hint="eastAsia"/>
          <w:highlight w:val="none"/>
        </w:rPr>
        <w:t>第一篇 投标邀请书</w:t>
      </w:r>
      <w:bookmarkEnd w:id="6"/>
      <w:bookmarkEnd w:id="7"/>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重庆医科大学附属口腔医院（简称“口腔医院”）对网络安全等级保护测评服务进行采购，欢迎有资格、有实力的投标人参加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3"/>
        <w:spacing w:line="360" w:lineRule="auto"/>
        <w:rPr>
          <w:rFonts w:ascii="宋体" w:hAnsi="宋体" w:cs="宋体"/>
          <w:kern w:val="0"/>
          <w:szCs w:val="28"/>
          <w:highlight w:val="none"/>
        </w:rPr>
      </w:pPr>
      <w:bookmarkStart w:id="8" w:name="_Toc98942872"/>
      <w:r>
        <w:rPr>
          <w:rFonts w:hint="eastAsia" w:ascii="宋体" w:hAnsi="宋体" w:cs="宋体"/>
          <w:bCs w:val="0"/>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1890" w:type="dxa"/>
          </w:tcPr>
          <w:p>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p>
            <w:pPr>
              <w:jc w:val="center"/>
              <w:rPr>
                <w:rFonts w:hAnsi="宋体" w:cs="宋体"/>
                <w:b/>
                <w:bCs/>
                <w:sz w:val="24"/>
                <w:szCs w:val="24"/>
                <w:highlight w:val="none"/>
              </w:rPr>
            </w:pPr>
            <w:r>
              <w:rPr>
                <w:rFonts w:hint="eastAsia" w:hAnsi="宋体" w:cs="宋体"/>
                <w:b/>
                <w:bCs/>
                <w:sz w:val="24"/>
                <w:szCs w:val="24"/>
                <w:highlight w:val="none"/>
              </w:rPr>
              <w:t>（万元）</w:t>
            </w:r>
          </w:p>
        </w:tc>
        <w:tc>
          <w:tcPr>
            <w:tcW w:w="1558"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sz w:val="24"/>
                <w:szCs w:val="24"/>
                <w:highlight w:val="none"/>
              </w:rPr>
            </w:pPr>
            <w:r>
              <w:rPr>
                <w:rFonts w:hint="eastAsia" w:hAnsi="宋体" w:cs="宋体"/>
                <w:sz w:val="24"/>
                <w:szCs w:val="24"/>
                <w:highlight w:val="none"/>
              </w:rPr>
              <w:t>重庆医科大学附属口腔医院   网络安全等级保护测评服务采购</w:t>
            </w:r>
          </w:p>
        </w:tc>
        <w:tc>
          <w:tcPr>
            <w:tcW w:w="1890" w:type="dxa"/>
            <w:vAlign w:val="center"/>
          </w:tcPr>
          <w:p>
            <w:pPr>
              <w:jc w:val="center"/>
              <w:rPr>
                <w:rFonts w:hAnsi="宋体" w:cs="宋体"/>
                <w:sz w:val="24"/>
                <w:szCs w:val="24"/>
                <w:highlight w:val="none"/>
              </w:rPr>
            </w:pPr>
            <w:r>
              <w:rPr>
                <w:rFonts w:hint="eastAsia" w:hAnsi="宋体" w:cs="宋体"/>
                <w:sz w:val="24"/>
                <w:szCs w:val="24"/>
                <w:highlight w:val="none"/>
              </w:rPr>
              <w:t>1</w:t>
            </w:r>
          </w:p>
        </w:tc>
        <w:tc>
          <w:tcPr>
            <w:tcW w:w="1485" w:type="dxa"/>
            <w:vAlign w:val="center"/>
          </w:tcPr>
          <w:p>
            <w:pPr>
              <w:jc w:val="center"/>
              <w:rPr>
                <w:rFonts w:hAnsi="宋体" w:cs="宋体"/>
                <w:sz w:val="24"/>
                <w:szCs w:val="24"/>
                <w:highlight w:val="none"/>
              </w:rPr>
            </w:pPr>
            <w:r>
              <w:rPr>
                <w:rFonts w:hint="eastAsia" w:hAnsi="宋体" w:cs="宋体"/>
                <w:sz w:val="24"/>
                <w:szCs w:val="24"/>
                <w:highlight w:val="none"/>
                <w:lang w:val="en-US" w:eastAsia="zh-CN"/>
              </w:rPr>
              <w:t>11</w:t>
            </w:r>
            <w:r>
              <w:rPr>
                <w:rFonts w:hint="eastAsia" w:hAnsi="宋体" w:cs="宋体"/>
                <w:sz w:val="24"/>
                <w:szCs w:val="24"/>
                <w:highlight w:val="none"/>
              </w:rPr>
              <w:t xml:space="preserve"> </w:t>
            </w:r>
          </w:p>
        </w:tc>
        <w:tc>
          <w:tcPr>
            <w:tcW w:w="1558" w:type="dxa"/>
            <w:vAlign w:val="center"/>
          </w:tcPr>
          <w:p>
            <w:pPr>
              <w:jc w:val="center"/>
              <w:rPr>
                <w:rFonts w:hAnsi="宋体" w:cs="宋体"/>
                <w:sz w:val="24"/>
                <w:szCs w:val="24"/>
                <w:highlight w:val="none"/>
              </w:rPr>
            </w:pPr>
          </w:p>
        </w:tc>
      </w:tr>
    </w:tbl>
    <w:p>
      <w:pPr>
        <w:spacing w:line="360" w:lineRule="auto"/>
        <w:ind w:firstLine="560" w:firstLineChars="200"/>
        <w:rPr>
          <w:rFonts w:hAnsi="宋体" w:cs="宋体"/>
          <w:sz w:val="28"/>
          <w:szCs w:val="28"/>
          <w:highlight w:val="none"/>
        </w:rPr>
      </w:pPr>
    </w:p>
    <w:p>
      <w:pPr>
        <w:rPr>
          <w:highlight w:val="none"/>
        </w:rPr>
      </w:pPr>
    </w:p>
    <w:p>
      <w:pPr>
        <w:rPr>
          <w:highlight w:val="none"/>
        </w:rPr>
      </w:pPr>
    </w:p>
    <w:p>
      <w:pPr>
        <w:rPr>
          <w:rStyle w:val="15"/>
          <w:rFonts w:hint="eastAsia"/>
          <w:highlight w:val="none"/>
        </w:rPr>
      </w:pPr>
      <w:bookmarkStart w:id="9" w:name="_Toc98942873"/>
    </w:p>
    <w:p>
      <w:pPr>
        <w:rPr>
          <w:sz w:val="28"/>
          <w:szCs w:val="28"/>
          <w:highlight w:val="none"/>
        </w:rPr>
      </w:pPr>
      <w:r>
        <w:rPr>
          <w:rStyle w:val="15"/>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98942874"/>
      <w:r>
        <w:rPr>
          <w:rStyle w:val="15"/>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3"/>
        <w:rPr>
          <w:highlight w:val="none"/>
        </w:rPr>
      </w:pPr>
      <w:bookmarkStart w:id="11" w:name="_Toc98942875"/>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12" w:lineRule="auto"/>
        <w:ind w:firstLine="480" w:firstLineChars="20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1、供应商应为国家网络安全等级测评与检测评估机构（提供网络安全服务认证证书等级保护测评服务认证）</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并在公安部网络安全等级保护网（www.djbh.net）最新发布的全国网络安全等级测评与检测评估机构目录中在列</w:t>
      </w:r>
      <w:r>
        <w:rPr>
          <w:rFonts w:hint="eastAsia" w:ascii="宋体" w:hAnsi="宋体" w:eastAsia="宋体" w:cs="宋体"/>
          <w:kern w:val="2"/>
          <w:sz w:val="24"/>
          <w:szCs w:val="24"/>
          <w:highlight w:val="none"/>
          <w:lang w:eastAsia="zh-CN"/>
        </w:rPr>
        <w:t>。</w:t>
      </w:r>
    </w:p>
    <w:p>
      <w:pPr>
        <w:spacing w:line="312" w:lineRule="auto"/>
        <w:ind w:firstLine="480" w:firstLineChars="200"/>
        <w:rPr>
          <w:rFonts w:hint="eastAsia" w:hAnsi="宋体" w:cs="宋体"/>
          <w:sz w:val="24"/>
          <w:szCs w:val="24"/>
          <w:highlight w:val="none"/>
          <w:lang w:eastAsia="zh-CN"/>
        </w:rPr>
      </w:pPr>
      <w:r>
        <w:rPr>
          <w:rFonts w:hint="eastAsia" w:ascii="宋体" w:hAnsi="宋体" w:eastAsia="宋体" w:cs="宋体"/>
          <w:kern w:val="2"/>
          <w:sz w:val="24"/>
          <w:szCs w:val="24"/>
          <w:highlight w:val="none"/>
        </w:rPr>
        <w:t>2、供应商具备中国合格评定国家认可委员会颁发的检验机构认可证书（CNAS）或具备带（CNAS）标的ISO27001 认证证书且检验项目包含网络(信息)安全等级测评，认可的检验能力范围为“网络安全等级保护测评”。</w:t>
      </w:r>
    </w:p>
    <w:p>
      <w:pPr>
        <w:spacing w:line="360" w:lineRule="auto"/>
        <w:rPr>
          <w:highlight w:val="none"/>
        </w:rPr>
      </w:pPr>
      <w:bookmarkStart w:id="12" w:name="_Toc98942876"/>
      <w:r>
        <w:rPr>
          <w:rFonts w:hint="eastAsia"/>
          <w:highlight w:val="none"/>
        </w:rPr>
        <w:t>五、</w:t>
      </w:r>
      <w:r>
        <w:rPr>
          <w:rFonts w:hint="eastAsia"/>
          <w:highlight w:val="none"/>
          <w:lang w:eastAsia="zh-CN"/>
        </w:rPr>
        <w:t>比选文件</w:t>
      </w:r>
      <w:r>
        <w:rPr>
          <w:rFonts w:hint="eastAsia"/>
          <w:highlight w:val="none"/>
        </w:rPr>
        <w:t>获取及投标时间要求</w:t>
      </w:r>
      <w:bookmarkEnd w:id="12"/>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29</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5</w:t>
      </w:r>
      <w:r>
        <w:rPr>
          <w:rFonts w:hint="eastAsia" w:hAnsi="宋体" w:cs="宋体"/>
          <w:sz w:val="24"/>
          <w:szCs w:val="24"/>
          <w:highlight w:val="none"/>
        </w:rPr>
        <w:t>日 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29</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5</w:t>
      </w:r>
      <w:r>
        <w:rPr>
          <w:rFonts w:hint="eastAsia" w:hAnsi="宋体" w:cs="宋体"/>
          <w:sz w:val="24"/>
          <w:szCs w:val="24"/>
          <w:highlight w:val="none"/>
        </w:rPr>
        <w:t>日 17:30(工作时间)递交到重庆医科大学附</w:t>
      </w:r>
      <w:r>
        <w:rPr>
          <w:rFonts w:hint="eastAsia" w:hAnsi="宋体" w:cs="宋体"/>
          <w:sz w:val="24"/>
          <w:szCs w:val="24"/>
          <w:highlight w:val="none"/>
        </w:rPr>
        <w:t>属口腔医院(重庆渝北区松石北路426号)综合楼</w:t>
      </w:r>
      <w:r>
        <w:rPr>
          <w:rFonts w:hint="eastAsia" w:hAnsi="宋体" w:cs="宋体"/>
          <w:sz w:val="24"/>
          <w:szCs w:val="24"/>
          <w:highlight w:val="none"/>
          <w:lang w:eastAsia="zh-CN"/>
        </w:rPr>
        <w:t>七楼审计科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老师 88602318）。逾期送达的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定），具体评审时间及地点由医院确定，投标人无须参加。</w:t>
      </w:r>
    </w:p>
    <w:p>
      <w:pPr>
        <w:pStyle w:val="3"/>
        <w:rPr>
          <w:highlight w:val="none"/>
        </w:rPr>
      </w:pPr>
      <w:bookmarkStart w:id="13" w:name="_Toc98942877"/>
      <w:bookmarkStart w:id="14" w:name="_Toc60133133"/>
      <w:r>
        <w:rPr>
          <w:rFonts w:hint="eastAsia"/>
          <w:highlight w:val="none"/>
        </w:rPr>
        <w:t>六、其它有关规定</w:t>
      </w:r>
      <w:bookmarkEnd w:id="13"/>
      <w:bookmarkEnd w:id="14"/>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5" w:name="OLE_LINK2"/>
      <w:bookmarkStart w:id="16" w:name="OLE_LINK1"/>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供应商，将拒绝其参与政府采购活动。</w:t>
      </w:r>
    </w:p>
    <w:p>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3"/>
        <w:rPr>
          <w:highlight w:val="none"/>
        </w:rPr>
      </w:pPr>
      <w:bookmarkStart w:id="17" w:name="_Toc98942878"/>
      <w:r>
        <w:rPr>
          <w:rFonts w:hint="eastAsia"/>
          <w:highlight w:val="none"/>
        </w:rPr>
        <w:t>七、联系方式</w:t>
      </w:r>
      <w:bookmarkEnd w:id="17"/>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023- 88860001       88602318（</w:t>
      </w:r>
      <w:r>
        <w:rPr>
          <w:rFonts w:hint="eastAsia" w:hAnsi="宋体" w:cs="宋体"/>
          <w:sz w:val="24"/>
          <w:szCs w:val="24"/>
          <w:highlight w:val="none"/>
        </w:rPr>
        <w:t>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2"/>
        <w:spacing w:line="360" w:lineRule="auto"/>
        <w:rPr>
          <w:rFonts w:ascii="宋体" w:hAnsi="宋体" w:eastAsia="宋体" w:cs="宋体"/>
          <w:highlight w:val="none"/>
        </w:rPr>
      </w:pPr>
      <w:bookmarkStart w:id="18" w:name="_Toc98942879"/>
      <w:bookmarkStart w:id="19" w:name="_Toc19113857"/>
      <w:r>
        <w:rPr>
          <w:rFonts w:hint="eastAsia" w:ascii="宋体" w:hAnsi="宋体" w:eastAsia="宋体" w:cs="宋体"/>
          <w:highlight w:val="none"/>
        </w:rPr>
        <w:t>第二篇 项目技术要求</w:t>
      </w:r>
      <w:bookmarkEnd w:id="18"/>
      <w:bookmarkEnd w:id="19"/>
    </w:p>
    <w:p>
      <w:pPr>
        <w:pStyle w:val="3"/>
        <w:rPr>
          <w:highlight w:val="none"/>
        </w:rPr>
      </w:pPr>
      <w:bookmarkStart w:id="20" w:name="_Toc98942880"/>
      <w:bookmarkStart w:id="21" w:name="_Toc19113858"/>
      <w:bookmarkStart w:id="22" w:name="_Toc98942882"/>
      <w:bookmarkStart w:id="23" w:name="_Toc267320049"/>
      <w:r>
        <w:rPr>
          <w:rFonts w:hint="eastAsia"/>
          <w:highlight w:val="none"/>
        </w:rPr>
        <w:t>一、</w:t>
      </w:r>
      <w:r>
        <w:rPr>
          <w:rFonts w:hint="eastAsia"/>
          <w:highlight w:val="none"/>
          <w:lang w:eastAsia="zh-CN"/>
        </w:rPr>
        <w:t>采购</w:t>
      </w:r>
      <w:r>
        <w:rPr>
          <w:rFonts w:hint="eastAsia"/>
          <w:highlight w:val="none"/>
        </w:rPr>
        <w:t>项目一览表</w:t>
      </w:r>
      <w:bookmarkEnd w:id="20"/>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eastAsia="仿宋_GB2312"/>
                <w:color w:val="000000"/>
                <w:sz w:val="24"/>
                <w:szCs w:val="24"/>
                <w:highlight w:val="none"/>
              </w:rPr>
              <w:t>重庆医科大学附属口腔医院医院信息系统HIS（包括HIS、LIS、PACS、EMR）（三级）</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highlight w:val="none"/>
                <w:lang w:val="en-US" w:eastAsia="zh-CN"/>
              </w:rPr>
            </w:pPr>
            <w:r>
              <w:rPr>
                <w:rFonts w:hint="eastAsia" w:hAnsi="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highlight w:val="none"/>
                <w:lang w:val="en-US" w:eastAsia="zh-CN"/>
              </w:rPr>
            </w:pPr>
            <w:r>
              <w:rPr>
                <w:rFonts w:hint="eastAsia" w:ascii="方正仿宋_GBK" w:eastAsia="方正仿宋_GBK"/>
                <w:sz w:val="21"/>
                <w:szCs w:val="21"/>
                <w:highlight w:val="none"/>
                <w:lang w:val="en-US" w:eastAsia="zh-CN"/>
              </w:rPr>
              <w:t>2</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00"/>
                <w:sz w:val="24"/>
                <w:szCs w:val="24"/>
                <w:highlight w:val="none"/>
              </w:rPr>
            </w:pPr>
            <w:r>
              <w:rPr>
                <w:rFonts w:hint="eastAsia" w:eastAsia="仿宋_GB2312"/>
                <w:color w:val="000000"/>
                <w:sz w:val="24"/>
                <w:szCs w:val="24"/>
                <w:highlight w:val="none"/>
              </w:rPr>
              <w:t>互联网医院（包含互联网医院、微信挂号、包含OA、科研教学等）（三级）</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highlight w:val="none"/>
                <w:lang w:val="en-US" w:eastAsia="zh-CN"/>
              </w:rPr>
            </w:pPr>
            <w:r>
              <w:rPr>
                <w:rFonts w:hint="eastAsia" w:ascii="方正仿宋_GBK" w:eastAsia="方正仿宋_GBK"/>
                <w:sz w:val="21"/>
                <w:szCs w:val="21"/>
                <w:highlight w:val="none"/>
                <w:lang w:val="en-US" w:eastAsia="zh-CN"/>
              </w:rPr>
              <w:t>3</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00"/>
                <w:sz w:val="24"/>
                <w:szCs w:val="24"/>
                <w:highlight w:val="none"/>
              </w:rPr>
            </w:pPr>
            <w:r>
              <w:rPr>
                <w:rFonts w:hint="eastAsia" w:eastAsia="仿宋_GB2312"/>
                <w:color w:val="000000"/>
                <w:sz w:val="24"/>
                <w:szCs w:val="24"/>
                <w:highlight w:val="none"/>
              </w:rPr>
              <w:t>集成</w:t>
            </w:r>
            <w:r>
              <w:rPr>
                <w:rFonts w:eastAsia="仿宋_GB2312"/>
                <w:color w:val="000000"/>
                <w:sz w:val="24"/>
                <w:szCs w:val="24"/>
                <w:highlight w:val="none"/>
              </w:rPr>
              <w:t>平台系统</w:t>
            </w:r>
            <w:r>
              <w:rPr>
                <w:rFonts w:hint="eastAsia" w:eastAsia="仿宋_GB2312"/>
                <w:color w:val="000000"/>
                <w:sz w:val="24"/>
                <w:szCs w:val="24"/>
                <w:highlight w:val="none"/>
              </w:rPr>
              <w:t>（三级）</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1</w:t>
            </w:r>
          </w:p>
        </w:tc>
      </w:tr>
    </w:tbl>
    <w:p>
      <w:pPr>
        <w:rPr>
          <w:highlight w:val="none"/>
        </w:rPr>
      </w:pPr>
    </w:p>
    <w:p>
      <w:pPr>
        <w:pStyle w:val="3"/>
        <w:rPr>
          <w:highlight w:val="none"/>
        </w:rPr>
      </w:pPr>
      <w:bookmarkStart w:id="24" w:name="_Toc98942881"/>
      <w:r>
        <w:rPr>
          <w:rFonts w:hint="eastAsia"/>
          <w:highlight w:val="none"/>
        </w:rPr>
        <w:t>二、</w:t>
      </w:r>
      <w:r>
        <w:rPr>
          <w:rFonts w:hint="eastAsia"/>
          <w:highlight w:val="none"/>
          <w:lang w:eastAsia="zh-CN"/>
        </w:rPr>
        <w:t>采购</w:t>
      </w:r>
      <w:r>
        <w:rPr>
          <w:rFonts w:hint="eastAsia"/>
          <w:highlight w:val="none"/>
        </w:rPr>
        <w:t>项目技术</w:t>
      </w:r>
      <w:r>
        <w:rPr>
          <w:rFonts w:hint="eastAsia"/>
          <w:highlight w:val="none"/>
          <w:lang w:val="en-US" w:eastAsia="zh-CN"/>
        </w:rPr>
        <w:t>/服务</w:t>
      </w:r>
      <w:r>
        <w:rPr>
          <w:rFonts w:hint="eastAsia"/>
          <w:highlight w:val="none"/>
        </w:rPr>
        <w:t>要求</w:t>
      </w:r>
      <w:bookmarkEnd w:id="24"/>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（一）项目依据</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测评指标和对象选择须符合《GB/T 28448-2019 信息安全技术 网络安全等级保护测评要求》标准的相关要求。本项目测评人员应依据测评目的和测评内容，选取、实施特定测评操作的方式方法。除按照现行国家和行业信息安全相关规定进行外，主要规范性文件依据有：</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《中华人民共和国网络安全法》</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《信息安全等级保护管理办法》（公通字〔2007〕43号）</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《中华人民共和国计算机信息系统安全保护条例》（国务院147号令）</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《信息安全等级保护备案实施细则》</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22240-2008 《信息安全技术信息系统安全保护等级定级指南》；</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17859-1999 《计算机信息系统安全等级保护划分准则》；</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25058-2019 《信息安全技术信息系统安全等级保护实施指南》；</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28448-2019《信息安全技术信息系统安全等级保护测评要求》；</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28449-2019《信息安全技术信息系统安全等级保护测评过程指南》；</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25070-2019 《信息安全技术信息系统等级保护安全设计技术要求》；</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20271-2006 《信息安全技术信息系统通用安全技术要求》；</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20270-2006 《信息安全技术网络基础安全技术要求》；</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21052-2007 《信息安全技术信息系统物理安全技术要求》；</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20274 《信息安全技术信息系统安全保障评估框架》；</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20282-2006 《信息安全技术信息系统安全工程管理要求》；</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20269-2006 《信息安全技术信息系统安全管理要求》；</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20984-2007 《信息安全技术信息安全风险评估规范》；</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本次需要测评的系统包括被测系统运行密不可分的物理环境、网络区域环境、安全计算环境、安全管理中心及安全管理制度等，最终形成《网络安全等级测评报告》（含基线检查报告，可单独输出）。具体内容包括：</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210" w:firstLineChars="10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序号</w:t>
            </w:r>
          </w:p>
        </w:tc>
        <w:tc>
          <w:tcPr>
            <w:tcW w:w="4080" w:type="pct"/>
            <w:noWrap/>
            <w:vAlign w:val="center"/>
          </w:tcPr>
          <w:p>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ind w:firstLine="480"/>
              <w:jc w:val="center"/>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安全物理环境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物理位置选择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物理访问控制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防盗窃和防破坏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防水和防潮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7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8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温湿度控制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9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10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电磁防护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安全通信网络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11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12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通信传输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13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安全区域边界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14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边界防护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15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16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17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恶意代码和垃圾邮件防范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18</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19</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20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21</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22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23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24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恶意代码防范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25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26</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数据完整性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27</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数据保密性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28</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数据备份与恢复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29</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剩余信息保护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30</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个人信息保护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31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32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审计管理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33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34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集中管控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35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36</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37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制定和发布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38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评审和修订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bookmarkStart w:id="25" w:name="RANGE!B48"/>
            <w:r>
              <w:rPr>
                <w:rFonts w:hint="eastAsia" w:ascii="宋体" w:hAnsi="宋体" w:eastAsia="宋体" w:cs="仿宋"/>
                <w:color w:val="000000"/>
                <w:kern w:val="2"/>
                <w:sz w:val="21"/>
                <w:szCs w:val="21"/>
                <w:highlight w:val="none"/>
              </w:rPr>
              <w:t>安全管理机构</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39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26" w:name="RANGE!B49"/>
            <w:r>
              <w:rPr>
                <w:rFonts w:hint="eastAsia" w:ascii="宋体" w:hAnsi="宋体" w:eastAsia="宋体" w:cs="仿宋"/>
                <w:color w:val="000000"/>
                <w:kern w:val="2"/>
                <w:sz w:val="21"/>
                <w:szCs w:val="21"/>
                <w:highlight w:val="none"/>
              </w:rPr>
              <w:t>岗位设置</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40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27" w:name="RANGE!B50"/>
            <w:r>
              <w:rPr>
                <w:rFonts w:hint="eastAsia" w:ascii="宋体" w:hAnsi="宋体" w:eastAsia="宋体" w:cs="仿宋"/>
                <w:color w:val="000000"/>
                <w:kern w:val="2"/>
                <w:sz w:val="21"/>
                <w:szCs w:val="21"/>
                <w:highlight w:val="none"/>
              </w:rPr>
              <w:t>人员配备</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41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28" w:name="RANGE!B51"/>
            <w:r>
              <w:rPr>
                <w:rFonts w:hint="eastAsia" w:ascii="宋体" w:hAnsi="宋体" w:eastAsia="宋体" w:cs="仿宋"/>
                <w:color w:val="000000"/>
                <w:kern w:val="2"/>
                <w:sz w:val="21"/>
                <w:szCs w:val="21"/>
                <w:highlight w:val="none"/>
              </w:rPr>
              <w:t>授权和审批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42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29" w:name="RANGE!B52"/>
            <w:r>
              <w:rPr>
                <w:rFonts w:hint="eastAsia" w:ascii="宋体" w:hAnsi="宋体" w:eastAsia="宋体" w:cs="仿宋"/>
                <w:color w:val="000000"/>
                <w:kern w:val="2"/>
                <w:sz w:val="21"/>
                <w:szCs w:val="21"/>
                <w:highlight w:val="none"/>
              </w:rPr>
              <w:t>沟通和合作</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43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30" w:name="RANGE!B53"/>
            <w:r>
              <w:rPr>
                <w:rFonts w:hint="eastAsia" w:ascii="宋体" w:hAnsi="宋体" w:eastAsia="宋体" w:cs="仿宋"/>
                <w:color w:val="000000"/>
                <w:kern w:val="2"/>
                <w:sz w:val="21"/>
                <w:szCs w:val="21"/>
                <w:highlight w:val="none"/>
              </w:rPr>
              <w:t>审核和检查</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bookmarkStart w:id="31" w:name="RANGE!B54"/>
            <w:r>
              <w:rPr>
                <w:rFonts w:hint="eastAsia" w:ascii="宋体" w:hAnsi="宋体" w:eastAsia="宋体" w:cs="仿宋"/>
                <w:color w:val="000000"/>
                <w:kern w:val="2"/>
                <w:sz w:val="21"/>
                <w:szCs w:val="21"/>
                <w:highlight w:val="none"/>
              </w:rPr>
              <w:t>安全管理</w:t>
            </w:r>
            <w:bookmarkEnd w:id="31"/>
            <w:r>
              <w:rPr>
                <w:rFonts w:hint="eastAsia" w:ascii="宋体" w:hAnsi="宋体" w:eastAsia="宋体" w:cs="仿宋"/>
                <w:color w:val="000000"/>
                <w:kern w:val="2"/>
                <w:sz w:val="21"/>
                <w:szCs w:val="21"/>
                <w:highlight w:val="none"/>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44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32" w:name="RANGE!B55"/>
            <w:r>
              <w:rPr>
                <w:rFonts w:hint="eastAsia" w:ascii="宋体" w:hAnsi="宋体" w:eastAsia="宋体" w:cs="仿宋"/>
                <w:color w:val="000000"/>
                <w:kern w:val="2"/>
                <w:sz w:val="21"/>
                <w:szCs w:val="21"/>
                <w:highlight w:val="none"/>
              </w:rPr>
              <w:t>人员录用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45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33" w:name="RANGE!B56"/>
            <w:r>
              <w:rPr>
                <w:rFonts w:hint="eastAsia" w:ascii="宋体" w:hAnsi="宋体" w:eastAsia="宋体" w:cs="仿宋"/>
                <w:color w:val="000000"/>
                <w:kern w:val="2"/>
                <w:sz w:val="21"/>
                <w:szCs w:val="21"/>
                <w:highlight w:val="none"/>
              </w:rPr>
              <w:t>人员离岗</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46</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34" w:name="RANGE!B58"/>
            <w:r>
              <w:rPr>
                <w:rFonts w:hint="eastAsia" w:ascii="宋体" w:hAnsi="宋体" w:eastAsia="宋体" w:cs="仿宋"/>
                <w:color w:val="000000"/>
                <w:kern w:val="2"/>
                <w:sz w:val="21"/>
                <w:szCs w:val="21"/>
                <w:highlight w:val="none"/>
              </w:rPr>
              <w:t>安全意识教育和培训</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47</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35" w:name="RANGE!B59"/>
            <w:r>
              <w:rPr>
                <w:rFonts w:hint="eastAsia" w:ascii="宋体" w:hAnsi="宋体" w:eastAsia="宋体" w:cs="仿宋"/>
                <w:color w:val="000000"/>
                <w:kern w:val="2"/>
                <w:sz w:val="21"/>
                <w:szCs w:val="21"/>
                <w:highlight w:val="none"/>
              </w:rPr>
              <w:t>外部人员访问管理</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bookmarkStart w:id="36" w:name="RANGE!B60"/>
            <w:r>
              <w:rPr>
                <w:rFonts w:hint="eastAsia" w:ascii="宋体" w:hAnsi="宋体" w:eastAsia="宋体" w:cs="仿宋"/>
                <w:color w:val="000000"/>
                <w:kern w:val="2"/>
                <w:sz w:val="21"/>
                <w:szCs w:val="21"/>
                <w:highlight w:val="none"/>
              </w:rPr>
              <w:t>安全建设管理</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48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37" w:name="RANGE!B61"/>
            <w:r>
              <w:rPr>
                <w:rFonts w:hint="eastAsia" w:ascii="宋体" w:hAnsi="宋体" w:eastAsia="宋体" w:cs="仿宋"/>
                <w:color w:val="000000"/>
                <w:kern w:val="2"/>
                <w:sz w:val="21"/>
                <w:szCs w:val="21"/>
                <w:highlight w:val="none"/>
              </w:rPr>
              <w:t>定级</w:t>
            </w:r>
            <w:bookmarkEnd w:id="37"/>
            <w:r>
              <w:rPr>
                <w:rFonts w:hint="eastAsia" w:ascii="宋体" w:hAnsi="宋体" w:eastAsia="宋体" w:cs="仿宋"/>
                <w:color w:val="000000"/>
                <w:kern w:val="2"/>
                <w:sz w:val="21"/>
                <w:szCs w:val="21"/>
                <w:highlight w:val="none"/>
              </w:rPr>
              <w:t>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49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38" w:name="RANGE!B62"/>
            <w:r>
              <w:rPr>
                <w:rFonts w:hint="eastAsia" w:ascii="宋体" w:hAnsi="宋体" w:eastAsia="宋体" w:cs="仿宋"/>
                <w:color w:val="000000"/>
                <w:kern w:val="2"/>
                <w:sz w:val="21"/>
                <w:szCs w:val="21"/>
                <w:highlight w:val="none"/>
              </w:rPr>
              <w:t>安全方案设计</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50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39" w:name="RANGE!B63"/>
            <w:r>
              <w:rPr>
                <w:rFonts w:hint="eastAsia" w:ascii="宋体" w:hAnsi="宋体" w:eastAsia="宋体" w:cs="仿宋"/>
                <w:color w:val="000000"/>
                <w:kern w:val="2"/>
                <w:sz w:val="21"/>
                <w:szCs w:val="21"/>
                <w:highlight w:val="none"/>
              </w:rPr>
              <w:t>产品采购和使用</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51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0" w:name="RANGE!B64"/>
            <w:r>
              <w:rPr>
                <w:rFonts w:hint="eastAsia" w:ascii="宋体" w:hAnsi="宋体" w:eastAsia="宋体" w:cs="仿宋"/>
                <w:color w:val="000000"/>
                <w:kern w:val="2"/>
                <w:sz w:val="21"/>
                <w:szCs w:val="21"/>
                <w:highlight w:val="none"/>
              </w:rPr>
              <w:t>自行软件开</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52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1" w:name="RANGE!B65"/>
            <w:r>
              <w:rPr>
                <w:rFonts w:hint="eastAsia" w:ascii="宋体" w:hAnsi="宋体" w:eastAsia="宋体" w:cs="仿宋"/>
                <w:color w:val="000000"/>
                <w:kern w:val="2"/>
                <w:sz w:val="21"/>
                <w:szCs w:val="21"/>
                <w:highlight w:val="none"/>
              </w:rPr>
              <w:t>外包软件开发</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53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2" w:name="RANGE!B66"/>
            <w:r>
              <w:rPr>
                <w:rFonts w:hint="eastAsia" w:ascii="宋体" w:hAnsi="宋体" w:eastAsia="宋体" w:cs="仿宋"/>
                <w:color w:val="000000"/>
                <w:kern w:val="2"/>
                <w:sz w:val="21"/>
                <w:szCs w:val="21"/>
                <w:highlight w:val="none"/>
              </w:rPr>
              <w:t>工程实施</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54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3" w:name="RANGE!B67"/>
            <w:r>
              <w:rPr>
                <w:rFonts w:hint="eastAsia" w:ascii="宋体" w:hAnsi="宋体" w:eastAsia="宋体" w:cs="仿宋"/>
                <w:color w:val="000000"/>
                <w:kern w:val="2"/>
                <w:sz w:val="21"/>
                <w:szCs w:val="21"/>
                <w:highlight w:val="none"/>
              </w:rPr>
              <w:t>测试验收</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55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4" w:name="RANGE!B68"/>
            <w:r>
              <w:rPr>
                <w:rFonts w:hint="eastAsia" w:ascii="宋体" w:hAnsi="宋体" w:eastAsia="宋体" w:cs="仿宋"/>
                <w:color w:val="000000"/>
                <w:kern w:val="2"/>
                <w:sz w:val="21"/>
                <w:szCs w:val="21"/>
                <w:highlight w:val="none"/>
              </w:rPr>
              <w:t>系统交付</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56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5" w:name="RANGE!B70"/>
            <w:r>
              <w:rPr>
                <w:rFonts w:hint="eastAsia" w:ascii="宋体" w:hAnsi="宋体" w:eastAsia="宋体" w:cs="仿宋"/>
                <w:color w:val="000000"/>
                <w:kern w:val="2"/>
                <w:sz w:val="21"/>
                <w:szCs w:val="21"/>
                <w:highlight w:val="none"/>
              </w:rPr>
              <w:t>等级测评</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57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6" w:name="RANGE!B71"/>
            <w:r>
              <w:rPr>
                <w:rFonts w:hint="eastAsia" w:ascii="宋体" w:hAnsi="宋体" w:eastAsia="宋体" w:cs="仿宋"/>
                <w:color w:val="000000"/>
                <w:kern w:val="2"/>
                <w:sz w:val="21"/>
                <w:szCs w:val="21"/>
                <w:highlight w:val="none"/>
              </w:rPr>
              <w:t>服务商供应商选择</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highlight w:val="none"/>
              </w:rPr>
            </w:pPr>
            <w:bookmarkStart w:id="47" w:name="RANGE!B72"/>
            <w:r>
              <w:rPr>
                <w:rFonts w:hint="eastAsia" w:ascii="宋体" w:hAnsi="宋体" w:eastAsia="宋体" w:cs="仿宋"/>
                <w:color w:val="000000"/>
                <w:kern w:val="2"/>
                <w:sz w:val="21"/>
                <w:szCs w:val="21"/>
                <w:highlight w:val="none"/>
              </w:rPr>
              <w:t>安全运维管理</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58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8" w:name="RANGE!B73"/>
            <w:r>
              <w:rPr>
                <w:rFonts w:hint="eastAsia" w:ascii="宋体" w:hAnsi="宋体" w:eastAsia="宋体" w:cs="仿宋"/>
                <w:color w:val="000000"/>
                <w:kern w:val="2"/>
                <w:sz w:val="21"/>
                <w:szCs w:val="21"/>
                <w:highlight w:val="none"/>
              </w:rPr>
              <w:t>环境管理</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59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49" w:name="RANGE!B74"/>
            <w:r>
              <w:rPr>
                <w:rFonts w:hint="eastAsia" w:ascii="宋体" w:hAnsi="宋体" w:eastAsia="宋体" w:cs="仿宋"/>
                <w:color w:val="000000"/>
                <w:kern w:val="2"/>
                <w:sz w:val="21"/>
                <w:szCs w:val="21"/>
                <w:highlight w:val="none"/>
              </w:rPr>
              <w:t>资产管理</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60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0" w:name="RANGE!B75"/>
            <w:r>
              <w:rPr>
                <w:rFonts w:hint="eastAsia" w:ascii="宋体" w:hAnsi="宋体" w:eastAsia="宋体" w:cs="仿宋"/>
                <w:color w:val="000000"/>
                <w:kern w:val="2"/>
                <w:sz w:val="21"/>
                <w:szCs w:val="21"/>
                <w:highlight w:val="none"/>
              </w:rPr>
              <w:t>介质管理</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61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1" w:name="RANGE!B76"/>
            <w:r>
              <w:rPr>
                <w:rFonts w:hint="eastAsia" w:ascii="宋体" w:hAnsi="宋体" w:eastAsia="宋体" w:cs="仿宋"/>
                <w:color w:val="000000"/>
                <w:kern w:val="2"/>
                <w:sz w:val="21"/>
                <w:szCs w:val="21"/>
                <w:highlight w:val="none"/>
              </w:rPr>
              <w:t>设备维护管理</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62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漏洞和风险管理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63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2" w:name="RANGE!B78"/>
            <w:r>
              <w:rPr>
                <w:rFonts w:hint="eastAsia" w:ascii="宋体" w:hAnsi="宋体" w:eastAsia="宋体" w:cs="仿宋"/>
                <w:color w:val="000000"/>
                <w:kern w:val="2"/>
                <w:sz w:val="21"/>
                <w:szCs w:val="21"/>
                <w:highlight w:val="none"/>
              </w:rPr>
              <w:t>网络和系统安全管理</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64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3" w:name="RANGE!B80"/>
            <w:r>
              <w:rPr>
                <w:rFonts w:hint="eastAsia" w:ascii="宋体" w:hAnsi="宋体" w:eastAsia="宋体" w:cs="仿宋"/>
                <w:color w:val="000000"/>
                <w:kern w:val="2"/>
                <w:sz w:val="21"/>
                <w:szCs w:val="21"/>
                <w:highlight w:val="none"/>
              </w:rPr>
              <w:t>恶意代码防范管理</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65</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66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4" w:name="RANGE!B81"/>
            <w:r>
              <w:rPr>
                <w:rFonts w:hint="eastAsia" w:ascii="宋体" w:hAnsi="宋体" w:eastAsia="宋体" w:cs="仿宋"/>
                <w:color w:val="000000"/>
                <w:kern w:val="2"/>
                <w:sz w:val="21"/>
                <w:szCs w:val="21"/>
                <w:highlight w:val="none"/>
              </w:rPr>
              <w:t>密码管理</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67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5" w:name="RANGE!B82"/>
            <w:r>
              <w:rPr>
                <w:rFonts w:hint="eastAsia" w:ascii="宋体" w:hAnsi="宋体" w:eastAsia="宋体" w:cs="仿宋"/>
                <w:color w:val="000000"/>
                <w:kern w:val="2"/>
                <w:sz w:val="21"/>
                <w:szCs w:val="21"/>
                <w:highlight w:val="none"/>
              </w:rPr>
              <w:t>变更管理</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68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6" w:name="RANGE!B83"/>
            <w:r>
              <w:rPr>
                <w:rFonts w:hint="eastAsia" w:ascii="宋体" w:hAnsi="宋体" w:eastAsia="宋体" w:cs="仿宋"/>
                <w:color w:val="000000"/>
                <w:kern w:val="2"/>
                <w:sz w:val="21"/>
                <w:szCs w:val="21"/>
                <w:highlight w:val="none"/>
              </w:rPr>
              <w:t>备份与恢复管理</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69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7" w:name="RANGE!B84"/>
            <w:r>
              <w:rPr>
                <w:rFonts w:hint="eastAsia" w:ascii="宋体" w:hAnsi="宋体" w:eastAsia="宋体" w:cs="仿宋"/>
                <w:color w:val="000000"/>
                <w:kern w:val="2"/>
                <w:sz w:val="21"/>
                <w:szCs w:val="21"/>
                <w:highlight w:val="none"/>
              </w:rPr>
              <w:t>安全事件处置</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70 </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bookmarkStart w:id="58" w:name="RANGE!B85"/>
            <w:r>
              <w:rPr>
                <w:rFonts w:hint="eastAsia" w:ascii="宋体" w:hAnsi="宋体" w:eastAsia="宋体" w:cs="仿宋"/>
                <w:color w:val="000000"/>
                <w:kern w:val="2"/>
                <w:sz w:val="21"/>
                <w:szCs w:val="21"/>
                <w:highlight w:val="none"/>
              </w:rPr>
              <w:t>应急预案管理</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71</w:t>
            </w:r>
          </w:p>
        </w:tc>
        <w:tc>
          <w:tcPr>
            <w:tcW w:w="4080" w:type="pct"/>
            <w:noWrap/>
            <w:vAlign w:val="center"/>
          </w:tcPr>
          <w:p>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外包运维管理</w:t>
            </w:r>
          </w:p>
        </w:tc>
      </w:tr>
    </w:tbl>
    <w:p>
      <w:pPr>
        <w:keepNext/>
        <w:keepLines/>
        <w:widowControl w:val="0"/>
        <w:spacing w:before="0" w:after="0" w:line="312" w:lineRule="auto"/>
        <w:jc w:val="both"/>
        <w:outlineLvl w:val="2"/>
        <w:rPr>
          <w:rFonts w:ascii="宋体" w:hAnsi="宋体" w:eastAsia="宋体" w:cs="宋体"/>
          <w:b/>
          <w:kern w:val="2"/>
          <w:sz w:val="24"/>
          <w:szCs w:val="24"/>
          <w:highlight w:val="none"/>
          <w:lang w:val="en-US" w:eastAsia="zh-CN" w:bidi="ar-SA"/>
        </w:rPr>
      </w:pPr>
    </w:p>
    <w:p>
      <w:pPr>
        <w:keepNext/>
        <w:keepLines/>
        <w:widowControl w:val="0"/>
        <w:spacing w:before="0" w:after="0" w:line="312" w:lineRule="auto"/>
        <w:jc w:val="both"/>
        <w:outlineLvl w:val="2"/>
        <w:rPr>
          <w:rFonts w:ascii="宋体" w:hAnsi="宋体" w:eastAsia="宋体" w:cs="宋体"/>
          <w:b/>
          <w:kern w:val="2"/>
          <w:sz w:val="24"/>
          <w:szCs w:val="24"/>
          <w:highlight w:val="none"/>
          <w:lang w:val="en-US" w:eastAsia="zh-CN" w:bidi="ar-SA"/>
        </w:rPr>
      </w:pPr>
    </w:p>
    <w:p>
      <w:pPr>
        <w:keepNext/>
        <w:keepLines/>
        <w:widowControl w:val="0"/>
        <w:spacing w:before="0" w:after="0" w:line="312" w:lineRule="auto"/>
        <w:jc w:val="both"/>
        <w:outlineLvl w:val="2"/>
        <w:rPr>
          <w:rFonts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五、实施要求</w:t>
      </w:r>
    </w:p>
    <w:p>
      <w:pPr>
        <w:spacing w:line="312"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1、测评指标和测评对象确定须符合国家标准《GB/T 22239-2019信息安全技术-网络安全等级保护基本要求》等相关标准的要求。测评中应严格按照GBT28449-2018《信息系统安全等级保护测评过程指南》标准的要求实施,加强人员及项目过程管控,明确风险隐患，确保各项工作高质量推进。</w:t>
      </w:r>
    </w:p>
    <w:p>
      <w:pPr>
        <w:spacing w:line="312"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2、供应商应加强本项目资料的保密管控，与采购人签订《保密协议》。</w:t>
      </w:r>
    </w:p>
    <w:p>
      <w:pPr>
        <w:spacing w:line="312"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3、在项目实施过程中，投标方应根据项目内容制定技术方案和时间计划，严格按照项目方案及计划开展工作，确保项目实施不影响系统的正常运行。</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4、测评过程中应结合国家法律法规和政策方针为采购人提供网络安全规划和管理制度体系咨询服务，同时对被测系统涉及的配置调整、漏洞修复、安全加固等工作提供技术指导。</w:t>
      </w:r>
    </w:p>
    <w:p>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5、供应商必须为本项目成立等级保护测评小组，测评人员均具有公安部认证的测评师证书，持证上岗。测评小组至少3-4人构成，为保证项目实施质量，测评服务提供方应为本项目指定一名高级测评师为该项目负责人现场主持测评工作。供应商需具有应急服务团队（团队成员必须为供应商单位正式员工并具备信息安全相关专业资质和测评师资质），当发生突发网络安全公共事件时，能在1小时内派出技术团队到达现场协助处置突发事件，事件处置要求高级测评师现场参与。</w:t>
      </w:r>
    </w:p>
    <w:p>
      <w:pPr>
        <w:spacing w:line="312"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在项目服务周期内，为招标人提供数据安全相关咨询服务，以满足招标人下一步数据安全合规工作的开展，以及落实国家数据安全协调机制相关工作要求和招标人数据安全保护义务。投标人需要具有相关服务能力并提供相应的证明材料（国家/省级数据安全协调机制办公室认定的第三方评估机构或相关国家或部委认可的数据安全服务机构）。</w:t>
      </w:r>
    </w:p>
    <w:p>
      <w:pPr>
        <w:ind w:firstLine="680" w:firstLineChars="200"/>
        <w:rPr>
          <w:rFonts w:hint="eastAsia" w:ascii="宋体" w:hAnsi="宋体" w:eastAsia="宋体" w:cs="宋体"/>
          <w:highlight w:val="none"/>
        </w:rPr>
      </w:pPr>
      <w:r>
        <w:rPr>
          <w:rFonts w:hint="eastAsia" w:ascii="宋体" w:hAnsi="宋体" w:eastAsia="宋体" w:cs="宋体"/>
          <w:highlight w:val="none"/>
        </w:rPr>
        <w:br w:type="page"/>
      </w:r>
    </w:p>
    <w:p>
      <w:pPr>
        <w:pStyle w:val="2"/>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21"/>
      <w:bookmarkEnd w:id="22"/>
      <w:bookmarkStart w:id="59" w:name="_Toc505608529"/>
    </w:p>
    <w:bookmarkEnd w:id="23"/>
    <w:bookmarkEnd w:id="59"/>
    <w:p>
      <w:pPr>
        <w:snapToGrid w:val="0"/>
        <w:spacing w:line="360" w:lineRule="auto"/>
        <w:rPr>
          <w:sz w:val="24"/>
          <w:highlight w:val="none"/>
        </w:rPr>
      </w:pPr>
    </w:p>
    <w:p>
      <w:pPr>
        <w:pStyle w:val="3"/>
        <w:spacing w:line="360" w:lineRule="auto"/>
        <w:rPr>
          <w:highlight w:val="none"/>
        </w:rPr>
      </w:pPr>
      <w:bookmarkStart w:id="60" w:name="_Toc98942883"/>
      <w:r>
        <w:rPr>
          <w:rFonts w:hint="eastAsia"/>
          <w:highlight w:val="none"/>
        </w:rPr>
        <w:t>一、交货期、交货地点及验收方式</w:t>
      </w:r>
      <w:bookmarkEnd w:id="60"/>
    </w:p>
    <w:p>
      <w:pPr>
        <w:snapToGrid w:val="0"/>
        <w:spacing w:line="276" w:lineRule="auto"/>
        <w:ind w:firstLine="480" w:firstLineChars="200"/>
        <w:rPr>
          <w:sz w:val="24"/>
          <w:highlight w:val="none"/>
        </w:rPr>
      </w:pPr>
      <w:r>
        <w:rPr>
          <w:rFonts w:hint="eastAsia"/>
          <w:sz w:val="24"/>
          <w:highlight w:val="none"/>
        </w:rPr>
        <w:t>1.1交货期</w:t>
      </w:r>
    </w:p>
    <w:p>
      <w:pPr>
        <w:snapToGrid w:val="0"/>
        <w:spacing w:line="276" w:lineRule="auto"/>
        <w:ind w:firstLine="480" w:firstLineChars="200"/>
        <w:rPr>
          <w:rFonts w:hint="eastAsia" w:eastAsia="宋体"/>
          <w:sz w:val="24"/>
          <w:highlight w:val="none"/>
          <w:lang w:eastAsia="zh-CN"/>
        </w:rPr>
      </w:pPr>
      <w:r>
        <w:rPr>
          <w:rFonts w:hint="eastAsia"/>
          <w:color w:val="auto"/>
          <w:sz w:val="24"/>
          <w:highlight w:val="none"/>
        </w:rPr>
        <w:t>中标人应在采购合同签订后，根据采购人的通知前来测评,测试工期两个月</w:t>
      </w:r>
      <w:r>
        <w:rPr>
          <w:rFonts w:hint="eastAsia" w:hAnsi="宋体"/>
          <w:sz w:val="24"/>
          <w:szCs w:val="24"/>
          <w:highlight w:val="none"/>
        </w:rPr>
        <w:t>。</w:t>
      </w:r>
    </w:p>
    <w:p>
      <w:pPr>
        <w:snapToGrid w:val="0"/>
        <w:spacing w:line="276" w:lineRule="auto"/>
        <w:ind w:firstLine="480" w:firstLineChars="200"/>
        <w:rPr>
          <w:sz w:val="24"/>
          <w:highlight w:val="none"/>
        </w:rPr>
      </w:pPr>
      <w:r>
        <w:rPr>
          <w:rFonts w:hint="eastAsia"/>
          <w:sz w:val="24"/>
          <w:highlight w:val="none"/>
        </w:rPr>
        <w:t>1.2交货地点</w:t>
      </w:r>
    </w:p>
    <w:p>
      <w:pPr>
        <w:snapToGrid w:val="0"/>
        <w:spacing w:line="276" w:lineRule="auto"/>
        <w:ind w:firstLine="480" w:firstLineChars="200"/>
        <w:rPr>
          <w:sz w:val="24"/>
          <w:highlight w:val="none"/>
        </w:rPr>
      </w:pPr>
      <w:r>
        <w:rPr>
          <w:rFonts w:hint="eastAsia"/>
          <w:sz w:val="24"/>
          <w:highlight w:val="none"/>
        </w:rPr>
        <w:t>交货地点：采购人指定地点。</w:t>
      </w:r>
    </w:p>
    <w:p>
      <w:pPr>
        <w:snapToGrid w:val="0"/>
        <w:spacing w:line="276" w:lineRule="auto"/>
        <w:ind w:firstLine="480" w:firstLineChars="200"/>
        <w:rPr>
          <w:sz w:val="24"/>
          <w:highlight w:val="none"/>
        </w:rPr>
      </w:pPr>
      <w:r>
        <w:rPr>
          <w:rFonts w:hint="eastAsia"/>
          <w:sz w:val="24"/>
          <w:highlight w:val="none"/>
        </w:rPr>
        <w:t>1.3验收方式</w:t>
      </w:r>
    </w:p>
    <w:p>
      <w:pPr>
        <w:snapToGrid w:val="0"/>
        <w:spacing w:line="276" w:lineRule="auto"/>
        <w:ind w:firstLine="480" w:firstLineChars="200"/>
        <w:rPr>
          <w:sz w:val="24"/>
          <w:highlight w:val="none"/>
        </w:rPr>
      </w:pPr>
      <w:r>
        <w:rPr>
          <w:rFonts w:hint="eastAsia"/>
          <w:sz w:val="24"/>
          <w:highlight w:val="none"/>
        </w:rPr>
        <w:t>1.3.1.</w:t>
      </w:r>
      <w:r>
        <w:rPr>
          <w:rFonts w:hint="eastAsia"/>
          <w:color w:val="auto"/>
          <w:sz w:val="24"/>
          <w:highlight w:val="none"/>
        </w:rPr>
        <w:t>服务内容与采购合同一致，达到合同及招投标规定的标准</w:t>
      </w:r>
      <w:r>
        <w:rPr>
          <w:rFonts w:hint="eastAsia"/>
          <w:sz w:val="24"/>
          <w:highlight w:val="none"/>
        </w:rPr>
        <w:t>。</w:t>
      </w:r>
    </w:p>
    <w:p>
      <w:pPr>
        <w:snapToGrid w:val="0"/>
        <w:spacing w:line="276" w:lineRule="auto"/>
        <w:ind w:firstLine="480" w:firstLineChars="200"/>
        <w:rPr>
          <w:sz w:val="24"/>
          <w:highlight w:val="none"/>
        </w:rPr>
      </w:pPr>
      <w:r>
        <w:rPr>
          <w:rFonts w:hint="eastAsia"/>
          <w:sz w:val="24"/>
          <w:highlight w:val="none"/>
        </w:rPr>
        <w:t>1.3.2.</w:t>
      </w:r>
      <w:r>
        <w:rPr>
          <w:rFonts w:hint="eastAsia"/>
          <w:color w:val="auto"/>
          <w:sz w:val="24"/>
          <w:highlight w:val="none"/>
        </w:rPr>
        <w:t>在规定时间内完成交货并验收，并经采购人确认</w:t>
      </w:r>
      <w:r>
        <w:rPr>
          <w:rFonts w:hint="eastAsia"/>
          <w:sz w:val="24"/>
          <w:highlight w:val="none"/>
        </w:rPr>
        <w:t>。</w:t>
      </w:r>
    </w:p>
    <w:p>
      <w:pPr>
        <w:snapToGrid w:val="0"/>
        <w:spacing w:line="276" w:lineRule="auto"/>
        <w:ind w:firstLine="480" w:firstLineChars="200"/>
        <w:rPr>
          <w:rFonts w:hint="eastAsia" w:eastAsia="宋体"/>
          <w:sz w:val="24"/>
          <w:highlight w:val="none"/>
          <w:lang w:eastAsia="zh-CN"/>
        </w:rPr>
      </w:pPr>
      <w:r>
        <w:rPr>
          <w:rFonts w:hint="eastAsia"/>
          <w:sz w:val="24"/>
          <w:highlight w:val="none"/>
        </w:rPr>
        <w:t>1.3.3.</w:t>
      </w:r>
      <w:r>
        <w:rPr>
          <w:rFonts w:hint="eastAsia"/>
          <w:color w:val="auto"/>
          <w:sz w:val="24"/>
          <w:highlight w:val="none"/>
        </w:rPr>
        <w:t>投标人提供的服务未达到招标文件规定要求，且对采购人造成损失的，由投标人承担一切责任，并赔偿所造成的损失</w:t>
      </w:r>
      <w:r>
        <w:rPr>
          <w:rFonts w:hint="eastAsia"/>
          <w:color w:val="auto"/>
          <w:sz w:val="24"/>
          <w:highlight w:val="none"/>
          <w:lang w:eastAsia="zh-CN"/>
        </w:rPr>
        <w:t>。</w:t>
      </w:r>
    </w:p>
    <w:p>
      <w:pPr>
        <w:pStyle w:val="3"/>
        <w:rPr>
          <w:highlight w:val="none"/>
        </w:rPr>
      </w:pPr>
      <w:bookmarkStart w:id="61" w:name="_Toc98942884"/>
      <w:bookmarkStart w:id="62" w:name="_Toc505608530"/>
      <w:bookmarkStart w:id="63" w:name="_Toc267320050"/>
      <w:r>
        <w:rPr>
          <w:rFonts w:hint="eastAsia"/>
          <w:highlight w:val="none"/>
        </w:rPr>
        <w:t>二、报价要求</w:t>
      </w:r>
      <w:bookmarkEnd w:id="61"/>
      <w:bookmarkEnd w:id="62"/>
    </w:p>
    <w:p>
      <w:pPr>
        <w:snapToGrid w:val="0"/>
        <w:spacing w:line="360" w:lineRule="auto"/>
        <w:ind w:firstLine="480" w:firstLineChars="200"/>
        <w:rPr>
          <w:sz w:val="24"/>
          <w:highlight w:val="none"/>
        </w:rPr>
      </w:pPr>
      <w:bookmarkStart w:id="64" w:name="_Toc505608531"/>
      <w:r>
        <w:rPr>
          <w:rFonts w:hint="eastAsia"/>
          <w:sz w:val="24"/>
          <w:highlight w:val="none"/>
        </w:rPr>
        <w:t>2.1.本次报价须为人民币报价，包含：产品价、运输费（含装卸费）、保险费、安装费、调试费、售后服务费、税费、培训费等货到采购人指定地点的所有费用。</w:t>
      </w:r>
    </w:p>
    <w:p>
      <w:pPr>
        <w:pStyle w:val="3"/>
        <w:rPr>
          <w:highlight w:val="none"/>
        </w:rPr>
      </w:pPr>
      <w:bookmarkStart w:id="65" w:name="_Toc98942885"/>
      <w:r>
        <w:rPr>
          <w:rFonts w:hint="eastAsia"/>
          <w:highlight w:val="none"/>
        </w:rPr>
        <w:t>三、质量保证及售后服务</w:t>
      </w:r>
      <w:bookmarkEnd w:id="63"/>
      <w:bookmarkEnd w:id="64"/>
      <w:bookmarkEnd w:id="65"/>
    </w:p>
    <w:p>
      <w:pPr>
        <w:snapToGrid w:val="0"/>
        <w:spacing w:line="400" w:lineRule="exact"/>
        <w:ind w:firstLine="482" w:firstLineChars="200"/>
        <w:rPr>
          <w:b/>
          <w:sz w:val="24"/>
          <w:highlight w:val="none"/>
        </w:rPr>
      </w:pPr>
      <w:r>
        <w:rPr>
          <w:rFonts w:hint="eastAsia"/>
          <w:b/>
          <w:sz w:val="24"/>
          <w:highlight w:val="none"/>
        </w:rPr>
        <w:t>3.1产品质量保证期</w:t>
      </w:r>
    </w:p>
    <w:p>
      <w:pPr>
        <w:snapToGrid w:val="0"/>
        <w:spacing w:line="360" w:lineRule="auto"/>
        <w:ind w:firstLine="480" w:firstLineChars="200"/>
        <w:rPr>
          <w:rFonts w:hAnsi="宋体" w:cs="宋体"/>
          <w:sz w:val="24"/>
          <w:szCs w:val="24"/>
          <w:highlight w:val="none"/>
        </w:rPr>
      </w:pPr>
      <w:r>
        <w:rPr>
          <w:rFonts w:hint="eastAsia"/>
          <w:sz w:val="24"/>
          <w:highlight w:val="none"/>
        </w:rPr>
        <w:t>3.1.</w:t>
      </w:r>
      <w:r>
        <w:rPr>
          <w:rFonts w:hint="eastAsia" w:hAnsi="宋体" w:cs="宋体"/>
          <w:sz w:val="24"/>
          <w:szCs w:val="24"/>
          <w:highlight w:val="none"/>
        </w:rPr>
        <w:t>1.投标人应明确承诺：其投标</w:t>
      </w:r>
      <w:r>
        <w:rPr>
          <w:rFonts w:hint="eastAsia" w:hAnsi="宋体" w:cs="宋体"/>
          <w:sz w:val="24"/>
          <w:szCs w:val="24"/>
          <w:highlight w:val="none"/>
          <w:lang w:val="en-US" w:eastAsia="zh-CN"/>
        </w:rPr>
        <w:t>服务</w:t>
      </w:r>
      <w:r>
        <w:rPr>
          <w:rFonts w:hint="eastAsia" w:hAnsi="宋体" w:cs="宋体"/>
          <w:sz w:val="24"/>
          <w:szCs w:val="24"/>
          <w:highlight w:val="none"/>
        </w:rPr>
        <w:t>质量保证期</w:t>
      </w:r>
      <w:r>
        <w:rPr>
          <w:rFonts w:hint="eastAsia" w:hAnsi="宋体" w:cs="宋体"/>
          <w:sz w:val="24"/>
          <w:szCs w:val="24"/>
          <w:highlight w:val="none"/>
          <w:lang w:eastAsia="zh-CN"/>
        </w:rPr>
        <w:t>达到</w:t>
      </w:r>
      <w:r>
        <w:rPr>
          <w:rFonts w:hint="eastAsia" w:hAnsi="宋体" w:cs="宋体"/>
          <w:sz w:val="24"/>
          <w:szCs w:val="24"/>
          <w:highlight w:val="none"/>
          <w:u w:val="single"/>
        </w:rPr>
        <w:t xml:space="preserve"> </w:t>
      </w:r>
      <w:r>
        <w:rPr>
          <w:rFonts w:hint="eastAsia" w:hAnsi="宋体" w:cs="宋体"/>
          <w:sz w:val="24"/>
          <w:szCs w:val="24"/>
          <w:highlight w:val="none"/>
          <w:u w:val="single"/>
          <w:lang w:val="en-US" w:eastAsia="zh-CN"/>
        </w:rPr>
        <w:t>一</w:t>
      </w:r>
      <w:r>
        <w:rPr>
          <w:rFonts w:hint="eastAsia" w:hAnsi="宋体" w:cs="宋体"/>
          <w:sz w:val="24"/>
          <w:szCs w:val="24"/>
          <w:highlight w:val="none"/>
          <w:u w:val="single"/>
        </w:rPr>
        <w:t xml:space="preserve"> </w:t>
      </w:r>
      <w:r>
        <w:rPr>
          <w:rFonts w:hint="eastAsia" w:hAnsi="宋体" w:cs="宋体"/>
          <w:sz w:val="24"/>
          <w:szCs w:val="24"/>
          <w:highlight w:val="none"/>
        </w:rPr>
        <w:t>年。</w:t>
      </w:r>
    </w:p>
    <w:p>
      <w:pPr>
        <w:snapToGrid w:val="0"/>
        <w:spacing w:line="400" w:lineRule="exact"/>
        <w:ind w:firstLine="482" w:firstLineChars="200"/>
        <w:rPr>
          <w:b/>
          <w:sz w:val="24"/>
          <w:highlight w:val="none"/>
        </w:rPr>
      </w:pPr>
      <w:r>
        <w:rPr>
          <w:rFonts w:hint="eastAsia"/>
          <w:b/>
          <w:sz w:val="24"/>
          <w:highlight w:val="none"/>
        </w:rPr>
        <w:t>3.2.售后服务内容</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1、支撑保障服务，在测评年度内以及下一年测评前，在项目执行期间，中标的等保测评单位须配合用户单位开展重要信息安全专项检查及网络安全保障任务，按要求提供包括远程协助和现场支援在内的专业技术支持服务。（如发生安全事故，1小时到达事故现场）。提供医院新系统上线前的安全扫描服务。提供重大节假日或重大网络安全安保工作前的系统安全检测服务。</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2、安全咨询服务，在测评年度内以及下一年测评前，结合国家法律法规和政策方针为采购人提供网络安全规划和管理制度体系咨询服务，同时对被测系统涉及的配置调整、漏洞修复、安全加固等工作提供技术指导，满足GBT22239-2019《信息安全技术-信息系统安全等级保护基本要求》等标准、规范的相关要求。同时，为招标人提供数据安全相关咨询服务，以满足招标人下一步数据安全合规工作的开展，以及落实国家数据安全协调机制相关工作要求和招标人数据安全保护义务。</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3、安全培训，在测评年度内以及下一年测评前，提供一次网络安全等级保护相关的安全培训，参会人数由招标方自拟。</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4、安全检测，在测评年度内以及下一年测评前，除等保测评报告外，免费提供一次以上所有系统的安全检测服务出扫描报告。</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5、在项目服务周期内，为招标人提供数据安全相关咨询服务，以满足招标人下一步数据安全合规工作的开展，以及落实国家数据安全协调机制相关工作要求和招标人数据安全保护义务。</w:t>
      </w:r>
    </w:p>
    <w:p>
      <w:pPr>
        <w:snapToGrid w:val="0"/>
        <w:spacing w:line="400" w:lineRule="exact"/>
        <w:ind w:firstLine="482" w:firstLineChars="200"/>
        <w:rPr>
          <w:b/>
          <w:sz w:val="24"/>
          <w:highlight w:val="none"/>
        </w:rPr>
      </w:pPr>
      <w:r>
        <w:rPr>
          <w:rFonts w:hint="eastAsia"/>
          <w:b/>
          <w:sz w:val="24"/>
          <w:highlight w:val="none"/>
        </w:rPr>
        <w:t>3.3.备品备件及易损件</w:t>
      </w:r>
    </w:p>
    <w:p>
      <w:pPr>
        <w:snapToGrid w:val="0"/>
        <w:spacing w:line="400" w:lineRule="exact"/>
        <w:ind w:firstLine="480" w:firstLineChars="200"/>
        <w:rPr>
          <w:sz w:val="24"/>
          <w:highlight w:val="none"/>
        </w:rPr>
      </w:pPr>
      <w:r>
        <w:rPr>
          <w:rFonts w:hint="eastAsia"/>
          <w:sz w:val="24"/>
          <w:highlight w:val="none"/>
        </w:rPr>
        <w:t>中标人和制造商售后服务中，维修使用的备品备件及易损件应为原厂配件，未经采购人同意不得使用非原厂配件。</w:t>
      </w:r>
    </w:p>
    <w:p>
      <w:pPr>
        <w:pStyle w:val="3"/>
        <w:rPr>
          <w:highlight w:val="none"/>
        </w:rPr>
      </w:pPr>
      <w:bookmarkStart w:id="66" w:name="_Toc267320051"/>
      <w:bookmarkStart w:id="67" w:name="_Toc505608532"/>
      <w:bookmarkStart w:id="68" w:name="_Toc98942886"/>
      <w:r>
        <w:rPr>
          <w:rFonts w:hint="eastAsia"/>
          <w:highlight w:val="none"/>
        </w:rPr>
        <w:t>四、付款方式</w:t>
      </w:r>
      <w:bookmarkEnd w:id="66"/>
      <w:bookmarkEnd w:id="67"/>
      <w:bookmarkEnd w:id="68"/>
    </w:p>
    <w:p>
      <w:pPr>
        <w:ind w:firstLine="424" w:firstLineChars="177"/>
        <w:rPr>
          <w:rFonts w:hint="eastAsia" w:ascii="宋体" w:hAnsi="Times New Roman" w:eastAsia="宋体" w:cs="Times New Roman"/>
          <w:sz w:val="24"/>
          <w:szCs w:val="24"/>
          <w:highlight w:val="none"/>
        </w:rPr>
      </w:pPr>
      <w:bookmarkStart w:id="69" w:name="_Toc98942887"/>
      <w:bookmarkStart w:id="70" w:name="_Toc505608533"/>
      <w:bookmarkStart w:id="71" w:name="_Toc267320052"/>
      <w:r>
        <w:rPr>
          <w:rFonts w:hint="eastAsia" w:ascii="宋体" w:hAnsi="Times New Roman" w:eastAsia="宋体" w:cs="Times New Roman"/>
          <w:sz w:val="24"/>
          <w:szCs w:val="24"/>
          <w:highlight w:val="none"/>
        </w:rPr>
        <w:t>项目通过采购人验收合格，并移交最终测评报告与发票后30个工作日内，采购人支付测评合同金额的95%；剩余5%自采购人签署验收报告之日起1年内</w:t>
      </w:r>
      <w:r>
        <w:rPr>
          <w:rFonts w:hint="eastAsia" w:ascii="宋体" w:hAnsi="Times New Roman" w:eastAsia="宋体" w:cs="Times New Roman"/>
          <w:sz w:val="24"/>
          <w:szCs w:val="24"/>
          <w:highlight w:val="none"/>
          <w:lang w:eastAsia="zh-CN"/>
        </w:rPr>
        <w:t>中标人</w:t>
      </w:r>
      <w:r>
        <w:rPr>
          <w:rFonts w:hint="eastAsia" w:ascii="宋体" w:hAnsi="Times New Roman" w:eastAsia="宋体" w:cs="Times New Roman"/>
          <w:sz w:val="24"/>
          <w:szCs w:val="24"/>
          <w:highlight w:val="none"/>
        </w:rPr>
        <w:t>完成安全监测服务后，一次性付清。</w:t>
      </w:r>
    </w:p>
    <w:p>
      <w:pPr>
        <w:pStyle w:val="3"/>
        <w:rPr>
          <w:highlight w:val="none"/>
        </w:rPr>
      </w:pPr>
      <w:r>
        <w:rPr>
          <w:rFonts w:hint="eastAsia"/>
          <w:highlight w:val="none"/>
        </w:rPr>
        <w:t>五、知识产权</w:t>
      </w:r>
      <w:bookmarkEnd w:id="69"/>
      <w:bookmarkEnd w:id="70"/>
      <w:bookmarkEnd w:id="71"/>
    </w:p>
    <w:p>
      <w:pPr>
        <w:ind w:firstLine="424" w:firstLineChars="177"/>
        <w:rPr>
          <w:sz w:val="24"/>
          <w:szCs w:val="24"/>
          <w:highlight w:val="none"/>
        </w:rPr>
      </w:pPr>
      <w:r>
        <w:rPr>
          <w:rFonts w:hint="eastAsia"/>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highlight w:val="none"/>
        </w:rPr>
      </w:pPr>
      <w:bookmarkStart w:id="72" w:name="_Toc98942888"/>
      <w:bookmarkStart w:id="73" w:name="_Toc267320053"/>
      <w:bookmarkStart w:id="74" w:name="_Toc505608534"/>
      <w:r>
        <w:rPr>
          <w:rFonts w:hint="eastAsia"/>
          <w:highlight w:val="none"/>
        </w:rPr>
        <w:t>六、培训</w:t>
      </w:r>
      <w:bookmarkEnd w:id="72"/>
      <w:bookmarkEnd w:id="73"/>
      <w:bookmarkEnd w:id="74"/>
    </w:p>
    <w:p>
      <w:pPr>
        <w:ind w:firstLine="424" w:firstLineChars="177"/>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在测评年度内以及下一年测评前，提供一次网络安全等级保护相关的安全培训，参会人数由招标方自拟。</w:t>
      </w:r>
    </w:p>
    <w:p>
      <w:pPr>
        <w:pStyle w:val="3"/>
        <w:rPr>
          <w:highlight w:val="none"/>
        </w:rPr>
      </w:pPr>
      <w:bookmarkStart w:id="75" w:name="_Toc267320054"/>
      <w:bookmarkStart w:id="76" w:name="_Toc505608536"/>
      <w:bookmarkStart w:id="77" w:name="_Toc98942889"/>
      <w:r>
        <w:rPr>
          <w:rFonts w:hint="eastAsia"/>
          <w:highlight w:val="none"/>
        </w:rPr>
        <w:t>七、</w:t>
      </w:r>
      <w:bookmarkEnd w:id="75"/>
      <w:r>
        <w:rPr>
          <w:rFonts w:hint="eastAsia"/>
          <w:highlight w:val="none"/>
        </w:rPr>
        <w:t>其他商务要求内容</w:t>
      </w:r>
      <w:bookmarkEnd w:id="76"/>
      <w:bookmarkEnd w:id="77"/>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w:t>
      </w:r>
      <w:r>
        <w:rPr>
          <w:rFonts w:hint="eastAsia" w:hAnsi="宋体" w:cs="宋体"/>
          <w:sz w:val="24"/>
          <w:szCs w:val="24"/>
          <w:highlight w:val="none"/>
          <w:lang w:eastAsia="zh-CN"/>
        </w:rPr>
        <w:t>响应文件</w:t>
      </w:r>
      <w:r>
        <w:rPr>
          <w:rFonts w:hint="eastAsia" w:hAnsi="宋体" w:cs="宋体"/>
          <w:sz w:val="24"/>
          <w:szCs w:val="24"/>
          <w:highlight w:val="none"/>
        </w:rPr>
        <w:t>中对以上条款和服务承诺明确列出，承诺内容必须达到本篇及</w:t>
      </w:r>
      <w:r>
        <w:rPr>
          <w:rFonts w:hint="eastAsia" w:hAnsi="宋体" w:cs="宋体"/>
          <w:sz w:val="24"/>
          <w:szCs w:val="24"/>
          <w:highlight w:val="none"/>
          <w:lang w:eastAsia="zh-CN"/>
        </w:rPr>
        <w:t>竞争性比选文件</w:t>
      </w:r>
      <w:r>
        <w:rPr>
          <w:rFonts w:hint="eastAsia" w:hAnsi="宋体" w:cs="宋体"/>
          <w:sz w:val="24"/>
          <w:szCs w:val="24"/>
          <w:highlight w:val="none"/>
        </w:rPr>
        <w:t>其他条款的要求。</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w:t>
      </w:r>
      <w:r>
        <w:rPr>
          <w:rFonts w:hint="eastAsia" w:hAnsi="宋体" w:cs="方正仿宋_GBK"/>
          <w:sz w:val="24"/>
          <w:szCs w:val="24"/>
          <w:highlight w:val="none"/>
          <w:lang w:eastAsia="zh-CN"/>
        </w:rPr>
        <w:t>响应文件</w:t>
      </w:r>
      <w:r>
        <w:rPr>
          <w:rFonts w:hint="eastAsia" w:hAnsi="宋体" w:cs="方正仿宋_GBK"/>
          <w:sz w:val="24"/>
          <w:szCs w:val="24"/>
          <w:highlight w:val="none"/>
        </w:rPr>
        <w:t>中所承诺的所有经济、技术和商务条款都要纳入成交合同中。</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highlight w:val="none"/>
          <w:lang w:eastAsia="zh-CN"/>
        </w:rPr>
        <w:t>响应文件</w:t>
      </w:r>
      <w:r>
        <w:rPr>
          <w:rFonts w:hint="eastAsia" w:hAnsi="宋体" w:cs="方正仿宋_GBK"/>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highlight w:val="none"/>
          <w:lang w:eastAsia="zh-CN"/>
        </w:rPr>
        <w:t>二</w:t>
      </w:r>
      <w:r>
        <w:rPr>
          <w:rFonts w:hint="eastAsia" w:hAnsi="宋体" w:cs="方正仿宋_GBK"/>
          <w:sz w:val="24"/>
          <w:szCs w:val="24"/>
          <w:highlight w:val="none"/>
        </w:rPr>
        <w:t>十赔付采购人延误损失。</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7.5.</w:t>
      </w:r>
      <w:r>
        <w:rPr>
          <w:rFonts w:hint="eastAsia" w:hAnsi="宋体" w:cs="方正仿宋_GBK"/>
          <w:sz w:val="24"/>
          <w:szCs w:val="24"/>
          <w:highlight w:val="none"/>
          <w:lang w:eastAsia="zh-CN"/>
        </w:rPr>
        <w:t>竞争性比选文件</w:t>
      </w:r>
      <w:r>
        <w:rPr>
          <w:rFonts w:hint="eastAsia" w:hAnsi="宋体" w:cs="方正仿宋_GBK"/>
          <w:sz w:val="24"/>
          <w:szCs w:val="24"/>
          <w:highlight w:val="none"/>
        </w:rPr>
        <w:t>、中标人的</w:t>
      </w:r>
      <w:r>
        <w:rPr>
          <w:rFonts w:hint="eastAsia" w:hAnsi="宋体" w:cs="方正仿宋_GBK"/>
          <w:sz w:val="24"/>
          <w:szCs w:val="24"/>
          <w:highlight w:val="none"/>
          <w:lang w:eastAsia="zh-CN"/>
        </w:rPr>
        <w:t>响应</w:t>
      </w:r>
      <w:r>
        <w:rPr>
          <w:rFonts w:hint="eastAsia" w:hAnsi="宋体" w:cs="方正仿宋_GBK"/>
          <w:sz w:val="24"/>
          <w:szCs w:val="24"/>
          <w:highlight w:val="none"/>
        </w:rPr>
        <w:t>文件及有效承诺文件等，均为签订合同的依据，是合同不可分割的一部分。</w:t>
      </w: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2"/>
        <w:spacing w:line="360" w:lineRule="auto"/>
        <w:rPr>
          <w:rFonts w:ascii="宋体" w:hAnsi="宋体" w:eastAsia="宋体" w:cs="宋体"/>
          <w:highlight w:val="none"/>
        </w:rPr>
      </w:pPr>
      <w:bookmarkStart w:id="78" w:name="_Toc19113859"/>
      <w:bookmarkStart w:id="79" w:name="_Toc98942890"/>
      <w:r>
        <w:rPr>
          <w:rFonts w:hint="eastAsia" w:ascii="宋体" w:hAnsi="宋体" w:eastAsia="宋体" w:cs="宋体"/>
          <w:highlight w:val="none"/>
        </w:rPr>
        <w:t>第四篇 资格审查及评分办法</w:t>
      </w:r>
      <w:bookmarkEnd w:id="78"/>
      <w:bookmarkEnd w:id="79"/>
    </w:p>
    <w:p>
      <w:pPr>
        <w:pStyle w:val="3"/>
        <w:rPr>
          <w:highlight w:val="none"/>
        </w:rPr>
      </w:pPr>
      <w:bookmarkStart w:id="80" w:name="_Toc98942891"/>
      <w:r>
        <w:rPr>
          <w:rFonts w:hint="eastAsia"/>
          <w:highlight w:val="none"/>
        </w:rPr>
        <w:t>一、资格审查</w:t>
      </w:r>
      <w:bookmarkEnd w:id="80"/>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highlight w:val="none"/>
        </w:rPr>
      </w:pPr>
      <w:bookmarkStart w:id="81" w:name="_Toc98942892"/>
      <w:bookmarkStart w:id="82" w:name="_Toc10474389"/>
      <w:r>
        <w:rPr>
          <w:rFonts w:hint="eastAsia"/>
          <w:highlight w:val="none"/>
        </w:rPr>
        <w:t>二、评标方法</w:t>
      </w:r>
      <w:bookmarkEnd w:id="81"/>
      <w:bookmarkEnd w:id="82"/>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w:t>
            </w:r>
            <w:r>
              <w:rPr>
                <w:rFonts w:hint="eastAsia" w:hAnsi="宋体" w:cs="宋体"/>
                <w:sz w:val="21"/>
                <w:szCs w:val="21"/>
                <w:highlight w:val="none"/>
                <w:lang w:eastAsia="zh-CN"/>
              </w:rPr>
              <w:t>全部内容响应无负偏离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w:t>
            </w:r>
            <w:r>
              <w:rPr>
                <w:rFonts w:hint="eastAsia" w:hAnsi="宋体" w:cs="宋体"/>
                <w:sz w:val="21"/>
                <w:szCs w:val="21"/>
                <w:highlight w:val="none"/>
                <w:lang w:eastAsia="zh-CN"/>
              </w:rPr>
              <w:t>全部内容响应无负偏离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pPr>
        <w:pStyle w:val="3"/>
        <w:ind w:firstLine="480" w:firstLineChars="200"/>
        <w:rPr>
          <w:rFonts w:hint="eastAsia"/>
          <w:highlight w:val="none"/>
        </w:rPr>
      </w:pPr>
      <w:bookmarkStart w:id="83" w:name="_Toc25996"/>
      <w:bookmarkStart w:id="84" w:name="_Toc98942893"/>
      <w:r>
        <w:rPr>
          <w:rFonts w:hint="eastAsia" w:hAnsi="宋体" w:cs="宋体"/>
          <w:color w:val="auto"/>
          <w:sz w:val="24"/>
          <w:szCs w:val="24"/>
          <w:highlight w:val="none"/>
        </w:rPr>
        <w:t>采用最低评标价法的</w:t>
      </w:r>
      <w:r>
        <w:rPr>
          <w:rFonts w:hint="eastAsia" w:hAnsi="宋体" w:cs="宋体"/>
          <w:color w:val="auto"/>
          <w:sz w:val="24"/>
          <w:szCs w:val="24"/>
          <w:highlight w:val="none"/>
          <w:lang w:eastAsia="zh-CN"/>
        </w:rPr>
        <w:t>项目</w:t>
      </w:r>
      <w:r>
        <w:rPr>
          <w:rFonts w:hint="eastAsia" w:hAnsi="宋体" w:cs="宋体"/>
          <w:color w:val="auto"/>
          <w:sz w:val="24"/>
          <w:szCs w:val="24"/>
          <w:highlight w:val="none"/>
        </w:rPr>
        <w:t>，评标结果按投标报价由低到高顺序排列</w:t>
      </w:r>
      <w:r>
        <w:rPr>
          <w:rFonts w:hint="eastAsia" w:hAnsi="宋体" w:cs="宋体"/>
          <w:color w:val="auto"/>
          <w:sz w:val="24"/>
          <w:szCs w:val="24"/>
          <w:highlight w:val="none"/>
          <w:lang w:eastAsia="zh-CN"/>
        </w:rPr>
        <w:t>前三的推荐为中标候选人</w:t>
      </w:r>
      <w:r>
        <w:rPr>
          <w:rFonts w:hint="eastAsia" w:hAnsi="宋体" w:cs="宋体"/>
          <w:color w:val="auto"/>
          <w:sz w:val="24"/>
          <w:szCs w:val="24"/>
          <w:highlight w:val="none"/>
        </w:rPr>
        <w:t>，投标报价相同的，按服务部分优劣顺序排列；若投标报价、服务指标均相同的，按商务部分的优劣顺序排列。</w:t>
      </w:r>
      <w:bookmarkEnd w:id="83"/>
      <w:bookmarkStart w:id="140" w:name="_GoBack"/>
      <w:bookmarkEnd w:id="140"/>
    </w:p>
    <w:bookmarkEnd w:id="84"/>
    <w:p>
      <w:pPr>
        <w:pStyle w:val="3"/>
        <w:rPr>
          <w:rFonts w:hint="eastAsia" w:ascii="宋体" w:hAnsi="宋体" w:eastAsia="宋体" w:cs="宋体"/>
          <w:highlight w:val="none"/>
        </w:rPr>
      </w:pPr>
      <w:bookmarkStart w:id="85" w:name="_Toc21425658"/>
      <w:bookmarkStart w:id="86" w:name="_Toc98942894"/>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bookmarkEnd w:id="85"/>
      <w:bookmarkEnd w:id="86"/>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pStyle w:val="3"/>
        <w:rPr>
          <w:rFonts w:hint="eastAsia" w:ascii="宋体" w:hAnsi="宋体" w:eastAsia="宋体" w:cs="宋体"/>
          <w:highlight w:val="none"/>
        </w:rPr>
      </w:pPr>
      <w:bookmarkStart w:id="87" w:name="_Toc21425659"/>
      <w:bookmarkStart w:id="88" w:name="_Toc98942895"/>
      <w:r>
        <w:rPr>
          <w:rFonts w:hint="eastAsia" w:ascii="宋体" w:hAnsi="宋体" w:cs="宋体"/>
          <w:highlight w:val="none"/>
          <w:lang w:eastAsia="zh-CN"/>
        </w:rPr>
        <w:t>四</w:t>
      </w:r>
      <w:r>
        <w:rPr>
          <w:rFonts w:hint="eastAsia" w:ascii="宋体" w:hAnsi="宋体" w:eastAsia="宋体" w:cs="宋体"/>
          <w:highlight w:val="none"/>
        </w:rPr>
        <w:t>、废标条款</w:t>
      </w:r>
      <w:bookmarkEnd w:id="87"/>
      <w:bookmarkEnd w:id="88"/>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89" w:name="_Toc21425660"/>
      <w:bookmarkStart w:id="90" w:name="_Toc98942896"/>
      <w:r>
        <w:rPr>
          <w:rFonts w:hint="eastAsia" w:ascii="宋体" w:hAnsi="宋体" w:eastAsia="宋体"/>
          <w:b w:val="0"/>
          <w:highlight w:val="none"/>
        </w:rPr>
        <w:br w:type="page"/>
      </w:r>
    </w:p>
    <w:p>
      <w:pPr>
        <w:pStyle w:val="2"/>
        <w:tabs>
          <w:tab w:val="left" w:pos="3360"/>
        </w:tabs>
        <w:spacing w:line="360" w:lineRule="auto"/>
        <w:rPr>
          <w:rFonts w:ascii="宋体" w:hAnsi="宋体" w:eastAsia="宋体"/>
          <w:b w:val="0"/>
          <w:highlight w:val="none"/>
        </w:rPr>
      </w:pPr>
      <w:r>
        <w:rPr>
          <w:rFonts w:hint="eastAsia" w:ascii="宋体" w:hAnsi="宋体" w:eastAsia="宋体"/>
          <w:b w:val="0"/>
          <w:highlight w:val="none"/>
        </w:rPr>
        <w:t>第五篇  投标人须知</w:t>
      </w:r>
      <w:bookmarkEnd w:id="89"/>
      <w:bookmarkEnd w:id="90"/>
    </w:p>
    <w:p>
      <w:pPr>
        <w:pStyle w:val="3"/>
        <w:rPr>
          <w:rFonts w:hint="eastAsia" w:ascii="宋体" w:hAnsi="宋体" w:eastAsia="宋体" w:cs="宋体"/>
          <w:highlight w:val="none"/>
        </w:rPr>
      </w:pPr>
      <w:bookmarkStart w:id="91" w:name="_Toc98942897"/>
      <w:bookmarkStart w:id="92" w:name="_Toc21425661"/>
      <w:r>
        <w:rPr>
          <w:rFonts w:hint="eastAsia"/>
          <w:highlight w:val="none"/>
        </w:rPr>
        <w:t>一、</w:t>
      </w:r>
      <w:r>
        <w:rPr>
          <w:rFonts w:hint="eastAsia" w:ascii="宋体" w:hAnsi="宋体" w:eastAsia="宋体" w:cs="宋体"/>
          <w:highlight w:val="none"/>
        </w:rPr>
        <w:t>投标人</w:t>
      </w:r>
      <w:bookmarkEnd w:id="91"/>
      <w:bookmarkEnd w:id="92"/>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highlight w:val="none"/>
          <w:lang w:eastAsia="zh-CN"/>
        </w:rPr>
      </w:pPr>
      <w:bookmarkStart w:id="93" w:name="_Toc21425662"/>
      <w:bookmarkStart w:id="94" w:name="_Toc98942898"/>
      <w:r>
        <w:rPr>
          <w:rFonts w:hint="eastAsia" w:ascii="宋体" w:hAnsi="宋体" w:eastAsia="宋体" w:cs="宋体"/>
          <w:highlight w:val="none"/>
        </w:rPr>
        <w:t>二、</w:t>
      </w:r>
      <w:bookmarkEnd w:id="93"/>
      <w:bookmarkEnd w:id="94"/>
      <w:r>
        <w:rPr>
          <w:rFonts w:hint="eastAsia" w:ascii="宋体" w:hAnsi="宋体" w:cs="宋体"/>
          <w:highlight w:val="none"/>
          <w:lang w:eastAsia="zh-CN"/>
        </w:rPr>
        <w:t>竞争性比选文件</w:t>
      </w:r>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3"/>
        <w:rPr>
          <w:rFonts w:hint="eastAsia" w:ascii="宋体" w:hAnsi="宋体" w:eastAsia="宋体" w:cs="宋体"/>
          <w:highlight w:val="none"/>
          <w:lang w:eastAsia="zh-CN"/>
        </w:rPr>
      </w:pPr>
      <w:bookmarkStart w:id="95" w:name="_Toc21425663"/>
      <w:bookmarkStart w:id="96" w:name="_Toc98942899"/>
      <w:r>
        <w:rPr>
          <w:rFonts w:hint="eastAsia" w:ascii="宋体" w:hAnsi="宋体" w:eastAsia="宋体" w:cs="宋体"/>
          <w:highlight w:val="none"/>
        </w:rPr>
        <w:t>三、</w:t>
      </w:r>
      <w:bookmarkEnd w:id="95"/>
      <w:bookmarkEnd w:id="96"/>
      <w:r>
        <w:rPr>
          <w:rFonts w:hint="eastAsia" w:ascii="宋体" w:hAnsi="宋体" w:cs="宋体"/>
          <w:highlight w:val="none"/>
          <w:lang w:eastAsia="zh-CN"/>
        </w:rPr>
        <w:t>响应文件</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6"/>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3"/>
        <w:rPr>
          <w:rFonts w:hint="eastAsia" w:ascii="宋体" w:hAnsi="宋体" w:eastAsia="宋体" w:cs="宋体"/>
          <w:highlight w:val="none"/>
        </w:rPr>
      </w:pPr>
      <w:bookmarkStart w:id="97" w:name="_Toc21425665"/>
      <w:bookmarkStart w:id="98" w:name="_Toc98942900"/>
      <w:r>
        <w:rPr>
          <w:rFonts w:hint="eastAsia" w:ascii="宋体" w:hAnsi="宋体" w:eastAsia="宋体" w:cs="宋体"/>
          <w:highlight w:val="none"/>
        </w:rPr>
        <w:t>四、评标</w:t>
      </w:r>
      <w:bookmarkEnd w:id="97"/>
      <w:bookmarkEnd w:id="98"/>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3"/>
        <w:rPr>
          <w:rFonts w:hint="eastAsia" w:ascii="宋体" w:hAnsi="宋体" w:eastAsia="宋体" w:cs="宋体"/>
          <w:highlight w:val="none"/>
        </w:rPr>
      </w:pPr>
      <w:bookmarkStart w:id="99" w:name="_Toc21425666"/>
      <w:bookmarkStart w:id="100" w:name="_Toc98942901"/>
      <w:r>
        <w:rPr>
          <w:rFonts w:hint="eastAsia" w:ascii="宋体" w:hAnsi="宋体" w:eastAsia="宋体" w:cs="宋体"/>
          <w:highlight w:val="none"/>
        </w:rPr>
        <w:t>五、定标</w:t>
      </w:r>
      <w:bookmarkEnd w:id="99"/>
      <w:bookmarkEnd w:id="100"/>
    </w:p>
    <w:p>
      <w:pPr>
        <w:pStyle w:val="6"/>
        <w:spacing w:line="400" w:lineRule="exact"/>
        <w:ind w:firstLine="480" w:firstLineChars="200"/>
        <w:rPr>
          <w:rFonts w:hint="eastAsia" w:ascii="宋体" w:hAnsi="宋体" w:eastAsia="宋体" w:cs="宋体"/>
          <w:sz w:val="24"/>
          <w:highlight w:val="none"/>
        </w:rPr>
      </w:pPr>
      <w:bookmarkStart w:id="101"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highlight w:val="none"/>
        </w:rPr>
      </w:pPr>
      <w:bookmarkStart w:id="102" w:name="_Toc98942902"/>
      <w:r>
        <w:rPr>
          <w:rFonts w:hint="eastAsia" w:ascii="宋体" w:hAnsi="宋体" w:eastAsia="宋体" w:cs="宋体"/>
          <w:highlight w:val="none"/>
        </w:rPr>
        <w:t>六、询问、质疑和投诉</w:t>
      </w:r>
      <w:bookmarkEnd w:id="101"/>
      <w:bookmarkEnd w:id="102"/>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highlight w:val="none"/>
        </w:rPr>
      </w:pPr>
      <w:bookmarkStart w:id="103" w:name="_Toc98942903"/>
      <w:bookmarkStart w:id="104" w:name="_Toc21425671"/>
      <w:r>
        <w:rPr>
          <w:rFonts w:hint="eastAsia" w:ascii="宋体" w:hAnsi="宋体" w:eastAsia="宋体" w:cs="宋体"/>
          <w:highlight w:val="none"/>
        </w:rPr>
        <w:t>七、签订合同</w:t>
      </w:r>
      <w:bookmarkEnd w:id="103"/>
      <w:bookmarkEnd w:id="104"/>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105" w:name="_Toc509321006"/>
      <w:bookmarkStart w:id="106"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2"/>
        <w:spacing w:line="360" w:lineRule="auto"/>
        <w:rPr>
          <w:rFonts w:hint="eastAsia" w:ascii="宋体" w:hAnsi="宋体" w:eastAsia="宋体" w:cs="宋体"/>
          <w:highlight w:val="none"/>
        </w:rPr>
      </w:pPr>
      <w:bookmarkStart w:id="107" w:name="_Toc98942904"/>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105"/>
      <w:r>
        <w:rPr>
          <w:rFonts w:hint="eastAsia" w:ascii="宋体" w:hAnsi="宋体" w:eastAsia="宋体" w:cs="宋体"/>
          <w:highlight w:val="none"/>
        </w:rPr>
        <w:t>要求</w:t>
      </w:r>
      <w:bookmarkEnd w:id="106"/>
      <w:bookmarkEnd w:id="107"/>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eastAsia"/>
          <w:sz w:val="52"/>
          <w:szCs w:val="52"/>
          <w:highlight w:val="none"/>
        </w:rPr>
      </w:pPr>
      <w:r>
        <w:rPr>
          <w:rFonts w:hint="eastAsia"/>
          <w:sz w:val="52"/>
          <w:szCs w:val="52"/>
          <w:highlight w:val="none"/>
        </w:rPr>
        <w:t>项目编号：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108" w:name="_Toc509321007"/>
      <w:bookmarkStart w:id="109" w:name="_Toc429584884"/>
      <w:bookmarkStart w:id="110" w:name="_Toc19113861"/>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bookmarkStart w:id="111" w:name="_Toc98942905"/>
      <w:r>
        <w:rPr>
          <w:rFonts w:hint="eastAsia"/>
          <w:szCs w:val="28"/>
          <w:highlight w:val="none"/>
        </w:rPr>
        <w:br w:type="page"/>
      </w:r>
    </w:p>
    <w:p>
      <w:pPr>
        <w:pStyle w:val="3"/>
        <w:rPr>
          <w:szCs w:val="28"/>
          <w:highlight w:val="none"/>
        </w:rPr>
      </w:pPr>
      <w:r>
        <w:rPr>
          <w:rFonts w:hint="eastAsia"/>
          <w:szCs w:val="28"/>
          <w:highlight w:val="none"/>
        </w:rPr>
        <w:t>一、经济文件</w:t>
      </w:r>
      <w:bookmarkEnd w:id="108"/>
      <w:bookmarkEnd w:id="109"/>
      <w:bookmarkEnd w:id="110"/>
      <w:bookmarkEnd w:id="111"/>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7"/>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3"/>
        <w:rPr>
          <w:highlight w:val="none"/>
        </w:rPr>
      </w:pPr>
      <w:bookmarkStart w:id="112" w:name="_Toc98942906"/>
      <w:r>
        <w:rPr>
          <w:rFonts w:hint="eastAsia"/>
          <w:highlight w:val="none"/>
        </w:rPr>
        <w:t>二、技术文件</w:t>
      </w:r>
      <w:bookmarkEnd w:id="112"/>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113"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113"/>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114" w:name="_Toc19113863"/>
            <w:r>
              <w:rPr>
                <w:rFonts w:hint="eastAsia" w:hAnsi="宋体" w:cs="宋体"/>
                <w:sz w:val="28"/>
                <w:szCs w:val="28"/>
                <w:highlight w:val="none"/>
              </w:rPr>
              <w:t>序号</w:t>
            </w:r>
            <w:bookmarkEnd w:id="114"/>
          </w:p>
        </w:tc>
        <w:tc>
          <w:tcPr>
            <w:tcW w:w="2428" w:type="dxa"/>
            <w:vAlign w:val="center"/>
          </w:tcPr>
          <w:p>
            <w:pPr>
              <w:spacing w:line="360" w:lineRule="auto"/>
              <w:jc w:val="center"/>
              <w:rPr>
                <w:rFonts w:hAnsi="宋体" w:cs="宋体"/>
                <w:sz w:val="28"/>
                <w:szCs w:val="28"/>
                <w:highlight w:val="none"/>
              </w:rPr>
            </w:pPr>
            <w:bookmarkStart w:id="115" w:name="_Toc19113864"/>
            <w:r>
              <w:rPr>
                <w:rFonts w:hint="eastAsia" w:hAnsi="宋体" w:cs="宋体"/>
                <w:sz w:val="28"/>
                <w:szCs w:val="28"/>
                <w:highlight w:val="none"/>
              </w:rPr>
              <w:t>招标要求</w:t>
            </w:r>
            <w:bookmarkEnd w:id="115"/>
          </w:p>
        </w:tc>
        <w:tc>
          <w:tcPr>
            <w:tcW w:w="2520" w:type="dxa"/>
            <w:vAlign w:val="center"/>
          </w:tcPr>
          <w:p>
            <w:pPr>
              <w:spacing w:line="360" w:lineRule="auto"/>
              <w:jc w:val="center"/>
              <w:rPr>
                <w:rFonts w:hAnsi="宋体" w:cs="宋体"/>
                <w:sz w:val="28"/>
                <w:szCs w:val="28"/>
                <w:highlight w:val="none"/>
              </w:rPr>
            </w:pPr>
            <w:bookmarkStart w:id="116" w:name="_Toc19113865"/>
            <w:r>
              <w:rPr>
                <w:rFonts w:hint="eastAsia" w:hAnsi="宋体" w:cs="宋体"/>
                <w:sz w:val="28"/>
                <w:szCs w:val="28"/>
                <w:highlight w:val="none"/>
              </w:rPr>
              <w:t>投标应答</w:t>
            </w:r>
            <w:bookmarkEnd w:id="116"/>
          </w:p>
        </w:tc>
        <w:tc>
          <w:tcPr>
            <w:tcW w:w="1888" w:type="dxa"/>
            <w:vAlign w:val="center"/>
          </w:tcPr>
          <w:p>
            <w:pPr>
              <w:spacing w:line="360" w:lineRule="auto"/>
              <w:jc w:val="center"/>
              <w:rPr>
                <w:rFonts w:hAnsi="宋体" w:cs="宋体"/>
                <w:sz w:val="28"/>
                <w:szCs w:val="28"/>
                <w:highlight w:val="none"/>
              </w:rPr>
            </w:pPr>
            <w:bookmarkStart w:id="117" w:name="_Toc19113866"/>
            <w:r>
              <w:rPr>
                <w:rFonts w:hint="eastAsia" w:hAnsi="宋体" w:cs="宋体"/>
                <w:sz w:val="28"/>
                <w:szCs w:val="28"/>
                <w:highlight w:val="none"/>
              </w:rPr>
              <w:t>差异说明</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118" w:name="_Toc493178791"/>
      <w:bookmarkStart w:id="119" w:name="_Toc492721039"/>
      <w:bookmarkStart w:id="120" w:name="_Toc19113867"/>
      <w:bookmarkStart w:id="121" w:name="_Toc50932100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bookmarkStart w:id="122" w:name="_Toc98942907"/>
      <w:r>
        <w:rPr>
          <w:rFonts w:hint="eastAsia"/>
          <w:highlight w:val="none"/>
        </w:rPr>
        <w:t>三、商务文件</w:t>
      </w:r>
      <w:bookmarkEnd w:id="118"/>
      <w:bookmarkEnd w:id="119"/>
      <w:bookmarkEnd w:id="120"/>
      <w:bookmarkEnd w:id="121"/>
      <w:bookmarkEnd w:id="122"/>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123" w:name="_Toc19113868"/>
      <w:r>
        <w:rPr>
          <w:rFonts w:hint="eastAsia" w:hAnsi="宋体" w:cs="宋体"/>
          <w:sz w:val="28"/>
          <w:szCs w:val="28"/>
          <w:highlight w:val="none"/>
        </w:rPr>
        <w:t>（二）商务条款差异表</w:t>
      </w:r>
      <w:bookmarkEnd w:id="123"/>
    </w:p>
    <w:p>
      <w:pPr>
        <w:spacing w:line="360" w:lineRule="auto"/>
        <w:jc w:val="left"/>
        <w:rPr>
          <w:rFonts w:hAnsi="宋体" w:cs="宋体"/>
          <w:sz w:val="28"/>
          <w:szCs w:val="28"/>
          <w:highlight w:val="none"/>
        </w:rPr>
      </w:pPr>
      <w:bookmarkStart w:id="124"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124"/>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125" w:name="_Toc19113870"/>
            <w:r>
              <w:rPr>
                <w:rFonts w:hint="eastAsia" w:hAnsi="宋体" w:cs="宋体"/>
                <w:sz w:val="28"/>
                <w:szCs w:val="28"/>
                <w:highlight w:val="none"/>
              </w:rPr>
              <w:t>序号</w:t>
            </w:r>
            <w:bookmarkEnd w:id="125"/>
          </w:p>
        </w:tc>
        <w:tc>
          <w:tcPr>
            <w:tcW w:w="2428" w:type="dxa"/>
            <w:vAlign w:val="center"/>
          </w:tcPr>
          <w:p>
            <w:pPr>
              <w:spacing w:line="360" w:lineRule="auto"/>
              <w:jc w:val="center"/>
              <w:rPr>
                <w:rFonts w:hAnsi="宋体" w:cs="宋体"/>
                <w:sz w:val="28"/>
                <w:szCs w:val="28"/>
                <w:highlight w:val="none"/>
              </w:rPr>
            </w:pPr>
            <w:bookmarkStart w:id="126" w:name="_Toc19113871"/>
            <w:r>
              <w:rPr>
                <w:rFonts w:hint="eastAsia" w:hAnsi="宋体" w:cs="宋体"/>
                <w:sz w:val="28"/>
                <w:szCs w:val="28"/>
                <w:highlight w:val="none"/>
              </w:rPr>
              <w:t>招标商务要求</w:t>
            </w:r>
            <w:bookmarkEnd w:id="126"/>
          </w:p>
        </w:tc>
        <w:tc>
          <w:tcPr>
            <w:tcW w:w="2520" w:type="dxa"/>
            <w:vAlign w:val="center"/>
          </w:tcPr>
          <w:p>
            <w:pPr>
              <w:spacing w:line="360" w:lineRule="auto"/>
              <w:jc w:val="center"/>
              <w:rPr>
                <w:rFonts w:hAnsi="宋体" w:cs="宋体"/>
                <w:sz w:val="28"/>
                <w:szCs w:val="28"/>
                <w:highlight w:val="none"/>
              </w:rPr>
            </w:pPr>
            <w:bookmarkStart w:id="127" w:name="_Toc19113872"/>
            <w:r>
              <w:rPr>
                <w:rFonts w:hint="eastAsia" w:hAnsi="宋体" w:cs="宋体"/>
                <w:sz w:val="28"/>
                <w:szCs w:val="28"/>
                <w:highlight w:val="none"/>
              </w:rPr>
              <w:t>投标商务应答</w:t>
            </w:r>
            <w:bookmarkEnd w:id="127"/>
          </w:p>
        </w:tc>
        <w:tc>
          <w:tcPr>
            <w:tcW w:w="1888" w:type="dxa"/>
            <w:vAlign w:val="center"/>
          </w:tcPr>
          <w:p>
            <w:pPr>
              <w:spacing w:line="360" w:lineRule="auto"/>
              <w:jc w:val="center"/>
              <w:rPr>
                <w:rFonts w:hAnsi="宋体" w:cs="宋体"/>
                <w:sz w:val="28"/>
                <w:szCs w:val="28"/>
                <w:highlight w:val="none"/>
              </w:rPr>
            </w:pPr>
            <w:bookmarkStart w:id="128" w:name="_Toc19113873"/>
            <w:r>
              <w:rPr>
                <w:rFonts w:hint="eastAsia" w:hAnsi="宋体" w:cs="宋体"/>
                <w:sz w:val="28"/>
                <w:szCs w:val="28"/>
                <w:highlight w:val="none"/>
              </w:rPr>
              <w:t>差异说明</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129" w:name="_Toc19113874"/>
      <w:r>
        <w:rPr>
          <w:rFonts w:hint="eastAsia"/>
          <w:highlight w:val="none"/>
        </w:rPr>
        <w:t>（三）商务条款相关支撑资料</w:t>
      </w:r>
      <w:bookmarkEnd w:id="129"/>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130" w:name="_Toc509321010"/>
      <w:bookmarkStart w:id="131" w:name="_Toc492721041"/>
      <w:bookmarkStart w:id="132" w:name="_Toc493178792"/>
      <w:bookmarkStart w:id="133"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3"/>
        <w:rPr>
          <w:highlight w:val="none"/>
        </w:rPr>
      </w:pPr>
      <w:bookmarkStart w:id="134" w:name="_Toc98942908"/>
      <w:r>
        <w:rPr>
          <w:rFonts w:hint="eastAsia"/>
          <w:highlight w:val="none"/>
        </w:rPr>
        <w:t>四、</w:t>
      </w:r>
      <w:bookmarkEnd w:id="130"/>
      <w:bookmarkEnd w:id="131"/>
      <w:bookmarkEnd w:id="132"/>
      <w:r>
        <w:rPr>
          <w:rFonts w:hint="eastAsia"/>
          <w:highlight w:val="none"/>
        </w:rPr>
        <w:t>其他与项目有关的资料（自附）</w:t>
      </w:r>
      <w:bookmarkEnd w:id="133"/>
      <w:bookmarkEnd w:id="134"/>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3"/>
        <w:rPr>
          <w:highlight w:val="none"/>
        </w:rPr>
      </w:pPr>
      <w:bookmarkStart w:id="135" w:name="_Toc19113880"/>
      <w:bookmarkStart w:id="136" w:name="_Toc98942909"/>
      <w:bookmarkStart w:id="137" w:name="_Toc493178793"/>
      <w:bookmarkStart w:id="138" w:name="_Toc492721038"/>
      <w:bookmarkStart w:id="139" w:name="_Toc509321011"/>
      <w:r>
        <w:rPr>
          <w:rFonts w:hint="eastAsia"/>
          <w:highlight w:val="none"/>
        </w:rPr>
        <w:t>五、资格文件</w:t>
      </w:r>
      <w:bookmarkEnd w:id="135"/>
      <w:bookmarkEnd w:id="136"/>
      <w:bookmarkEnd w:id="137"/>
      <w:bookmarkEnd w:id="138"/>
      <w:bookmarkEnd w:id="139"/>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1E0C0D57"/>
    <w:rsid w:val="305B7ED0"/>
    <w:rsid w:val="354C5318"/>
    <w:rsid w:val="47C409B8"/>
    <w:rsid w:val="47F94888"/>
    <w:rsid w:val="4FC11690"/>
    <w:rsid w:val="54002D27"/>
    <w:rsid w:val="57DC5039"/>
    <w:rsid w:val="6D3E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11963</Words>
  <Characters>12531</Characters>
  <Lines>0</Lines>
  <Paragraphs>0</Paragraphs>
  <TotalTime>5</TotalTime>
  <ScaleCrop>false</ScaleCrop>
  <LinksUpToDate>false</LinksUpToDate>
  <CharactersWithSpaces>13457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2025-05-29T00:40:16Z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89156965DAA749DBABB372D9A32F0FC6_13</vt:lpwstr>
  </property>
</Properties>
</file>