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148B0A">
      <w:pPr>
        <w:rPr>
          <w:rFonts w:ascii="仿宋" w:hAnsi="仿宋" w:eastAsia="仿宋" w:cs="仿宋"/>
          <w:color w:val="auto"/>
          <w:sz w:val="32"/>
        </w:rPr>
      </w:pPr>
    </w:p>
    <w:p w14:paraId="43B56273">
      <w:pPr>
        <w:jc w:val="center"/>
        <w:outlineLvl w:val="0"/>
        <w:rPr>
          <w:rFonts w:hint="eastAsia" w:ascii="仿宋" w:hAnsi="仿宋" w:eastAsia="仿宋" w:cs="仿宋"/>
          <w:b/>
          <w:bCs/>
          <w:color w:val="auto"/>
          <w:spacing w:val="80"/>
          <w:sz w:val="112"/>
          <w:szCs w:val="112"/>
        </w:rPr>
      </w:pPr>
    </w:p>
    <w:p w14:paraId="4C26E79B">
      <w:pPr>
        <w:jc w:val="center"/>
        <w:outlineLvl w:val="0"/>
        <w:rPr>
          <w:rFonts w:ascii="仿宋" w:hAnsi="仿宋" w:eastAsia="仿宋" w:cs="仿宋"/>
          <w:b/>
          <w:bCs/>
          <w:color w:val="auto"/>
          <w:spacing w:val="80"/>
          <w:sz w:val="112"/>
          <w:szCs w:val="112"/>
        </w:rPr>
      </w:pPr>
      <w:r>
        <w:rPr>
          <w:rFonts w:hint="eastAsia" w:ascii="仿宋" w:hAnsi="仿宋" w:eastAsia="仿宋" w:cs="仿宋"/>
          <w:b/>
          <w:bCs/>
          <w:color w:val="auto"/>
          <w:spacing w:val="80"/>
          <w:sz w:val="112"/>
          <w:szCs w:val="112"/>
        </w:rPr>
        <w:t>竞争性比选文件</w:t>
      </w:r>
    </w:p>
    <w:p w14:paraId="0B901182">
      <w:pPr>
        <w:spacing w:line="700" w:lineRule="exact"/>
        <w:jc w:val="center"/>
        <w:rPr>
          <w:rFonts w:ascii="仿宋" w:hAnsi="仿宋" w:eastAsia="仿宋" w:cs="仿宋"/>
          <w:color w:val="auto"/>
          <w:sz w:val="32"/>
        </w:rPr>
      </w:pPr>
    </w:p>
    <w:p w14:paraId="4BADA905">
      <w:pPr>
        <w:spacing w:line="700" w:lineRule="exact"/>
        <w:jc w:val="both"/>
        <w:rPr>
          <w:rFonts w:ascii="仿宋" w:hAnsi="仿宋" w:eastAsia="仿宋" w:cs="仿宋"/>
          <w:color w:val="auto"/>
          <w:sz w:val="32"/>
        </w:rPr>
      </w:pPr>
    </w:p>
    <w:p w14:paraId="603A0420">
      <w:pPr>
        <w:spacing w:line="700" w:lineRule="exact"/>
        <w:jc w:val="center"/>
        <w:rPr>
          <w:rFonts w:ascii="仿宋" w:hAnsi="仿宋" w:eastAsia="仿宋" w:cs="仿宋"/>
          <w:color w:val="auto"/>
          <w:sz w:val="32"/>
        </w:rPr>
      </w:pPr>
    </w:p>
    <w:p w14:paraId="2CBD1B44">
      <w:pPr>
        <w:spacing w:line="700" w:lineRule="exact"/>
        <w:rPr>
          <w:rFonts w:ascii="仿宋" w:hAnsi="仿宋" w:eastAsia="仿宋" w:cs="仿宋"/>
          <w:color w:val="auto"/>
          <w:sz w:val="32"/>
        </w:rPr>
      </w:pPr>
    </w:p>
    <w:p w14:paraId="6DCBB8CC">
      <w:pPr>
        <w:spacing w:line="700" w:lineRule="exact"/>
        <w:ind w:firstLine="1756" w:firstLineChars="486"/>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采购计划编号：HH-0260</w:t>
      </w:r>
      <w:r>
        <w:rPr>
          <w:rFonts w:hint="eastAsia" w:ascii="仿宋" w:hAnsi="仿宋" w:eastAsia="仿宋" w:cs="仿宋"/>
          <w:b/>
          <w:color w:val="auto"/>
          <w:sz w:val="36"/>
          <w:szCs w:val="36"/>
          <w:lang w:val="en-US" w:eastAsia="zh-CN"/>
        </w:rPr>
        <w:t>4028</w:t>
      </w:r>
    </w:p>
    <w:p w14:paraId="3B7D53AF">
      <w:pPr>
        <w:spacing w:line="700" w:lineRule="exact"/>
        <w:ind w:firstLine="1756" w:firstLineChars="486"/>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采购项目名称：</w:t>
      </w:r>
      <w:bookmarkStart w:id="0" w:name="OLE_LINK1"/>
      <w:r>
        <w:rPr>
          <w:rFonts w:hint="eastAsia" w:ascii="仿宋" w:hAnsi="仿宋" w:eastAsia="仿宋" w:cs="仿宋"/>
          <w:b/>
          <w:color w:val="auto"/>
          <w:sz w:val="36"/>
          <w:szCs w:val="36"/>
          <w:lang w:eastAsia="zh-CN"/>
        </w:rPr>
        <w:t>南川区1个总体应急预案和9个专项应急预案修编项目</w:t>
      </w:r>
    </w:p>
    <w:bookmarkEnd w:id="0"/>
    <w:p w14:paraId="520037DD">
      <w:pPr>
        <w:spacing w:line="700" w:lineRule="exact"/>
        <w:ind w:firstLine="1749" w:firstLineChars="486"/>
        <w:rPr>
          <w:rFonts w:ascii="仿宋" w:hAnsi="仿宋" w:eastAsia="仿宋" w:cs="仿宋"/>
          <w:color w:val="auto"/>
          <w:sz w:val="36"/>
          <w:szCs w:val="30"/>
        </w:rPr>
      </w:pPr>
    </w:p>
    <w:p w14:paraId="6D6C0A93">
      <w:pPr>
        <w:spacing w:line="700" w:lineRule="exact"/>
        <w:jc w:val="center"/>
        <w:rPr>
          <w:rFonts w:ascii="仿宋" w:hAnsi="仿宋" w:eastAsia="仿宋" w:cs="仿宋"/>
          <w:b/>
          <w:color w:val="auto"/>
          <w:sz w:val="30"/>
          <w:szCs w:val="30"/>
        </w:rPr>
      </w:pPr>
    </w:p>
    <w:p w14:paraId="4B0C88DA">
      <w:pPr>
        <w:spacing w:line="700" w:lineRule="exact"/>
        <w:rPr>
          <w:rFonts w:ascii="仿宋" w:hAnsi="仿宋" w:eastAsia="仿宋" w:cs="仿宋"/>
          <w:b/>
          <w:color w:val="auto"/>
          <w:sz w:val="30"/>
          <w:szCs w:val="30"/>
        </w:rPr>
      </w:pPr>
    </w:p>
    <w:p w14:paraId="3AEAEA90">
      <w:pPr>
        <w:spacing w:line="500" w:lineRule="exact"/>
        <w:jc w:val="center"/>
        <w:outlineLvl w:val="0"/>
        <w:rPr>
          <w:rFonts w:hint="eastAsia" w:ascii="仿宋" w:hAnsi="仿宋" w:eastAsia="仿宋" w:cs="仿宋"/>
          <w:b/>
          <w:bCs/>
          <w:color w:val="auto"/>
          <w:sz w:val="36"/>
          <w:szCs w:val="30"/>
          <w:lang w:eastAsia="zh-CN"/>
        </w:rPr>
      </w:pPr>
      <w:r>
        <w:rPr>
          <w:rFonts w:hint="eastAsia" w:ascii="仿宋" w:hAnsi="仿宋" w:eastAsia="仿宋" w:cs="仿宋"/>
          <w:b/>
          <w:bCs/>
          <w:color w:val="auto"/>
          <w:sz w:val="36"/>
          <w:szCs w:val="30"/>
        </w:rPr>
        <w:t>采购人：</w:t>
      </w:r>
      <w:r>
        <w:rPr>
          <w:rFonts w:hint="eastAsia" w:ascii="仿宋" w:hAnsi="仿宋" w:eastAsia="仿宋" w:cs="仿宋"/>
          <w:b/>
          <w:bCs/>
          <w:color w:val="auto"/>
          <w:sz w:val="36"/>
          <w:szCs w:val="30"/>
          <w:lang w:eastAsia="zh-CN"/>
        </w:rPr>
        <w:t>重庆市南川区应急管理局</w:t>
      </w:r>
    </w:p>
    <w:p w14:paraId="61356835">
      <w:pPr>
        <w:spacing w:line="700" w:lineRule="exact"/>
        <w:jc w:val="center"/>
        <w:rPr>
          <w:rFonts w:ascii="仿宋" w:hAnsi="仿宋" w:eastAsia="仿宋" w:cs="仿宋"/>
          <w:b/>
          <w:bCs/>
          <w:color w:val="auto"/>
          <w:sz w:val="36"/>
          <w:szCs w:val="30"/>
        </w:rPr>
      </w:pPr>
      <w:r>
        <w:rPr>
          <w:rFonts w:hint="eastAsia" w:ascii="仿宋" w:hAnsi="仿宋" w:eastAsia="仿宋" w:cs="仿宋"/>
          <w:b/>
          <w:bCs/>
          <w:color w:val="auto"/>
          <w:sz w:val="36"/>
          <w:szCs w:val="30"/>
        </w:rPr>
        <w:t>采购代理机构：重庆市汇昊招标代理有限公司</w:t>
      </w:r>
    </w:p>
    <w:p w14:paraId="58EBA78C">
      <w:pPr>
        <w:spacing w:line="720" w:lineRule="exact"/>
        <w:jc w:val="center"/>
        <w:outlineLvl w:val="0"/>
        <w:rPr>
          <w:rFonts w:ascii="仿宋" w:hAnsi="仿宋" w:eastAsia="仿宋" w:cs="仿宋"/>
          <w:color w:val="auto"/>
          <w:sz w:val="48"/>
          <w:szCs w:val="32"/>
        </w:rPr>
      </w:pPr>
    </w:p>
    <w:p w14:paraId="63878E15">
      <w:pPr>
        <w:spacing w:line="500" w:lineRule="exact"/>
        <w:jc w:val="center"/>
        <w:outlineLvl w:val="0"/>
        <w:rPr>
          <w:rFonts w:ascii="仿宋" w:hAnsi="仿宋" w:eastAsia="仿宋" w:cs="仿宋"/>
          <w:b/>
          <w:bCs/>
          <w:color w:val="auto"/>
          <w:sz w:val="36"/>
          <w:szCs w:val="30"/>
        </w:rPr>
      </w:pPr>
      <w:r>
        <w:rPr>
          <w:rFonts w:hint="eastAsia" w:ascii="仿宋" w:hAnsi="仿宋" w:eastAsia="仿宋" w:cs="仿宋"/>
          <w:b/>
          <w:bCs/>
          <w:color w:val="auto"/>
          <w:sz w:val="36"/>
          <w:szCs w:val="30"/>
        </w:rPr>
        <w:t>二〇二六年</w:t>
      </w:r>
      <w:r>
        <w:rPr>
          <w:rFonts w:hint="eastAsia" w:ascii="仿宋" w:hAnsi="仿宋" w:eastAsia="仿宋" w:cs="仿宋"/>
          <w:b/>
          <w:bCs/>
          <w:color w:val="auto"/>
          <w:sz w:val="36"/>
          <w:szCs w:val="30"/>
          <w:lang w:val="en-US" w:eastAsia="zh-CN"/>
        </w:rPr>
        <w:t>五</w:t>
      </w:r>
      <w:r>
        <w:rPr>
          <w:rFonts w:hint="eastAsia" w:ascii="仿宋" w:hAnsi="仿宋" w:eastAsia="仿宋" w:cs="仿宋"/>
          <w:b/>
          <w:bCs/>
          <w:color w:val="auto"/>
          <w:sz w:val="36"/>
          <w:szCs w:val="30"/>
        </w:rPr>
        <w:t>月</w:t>
      </w:r>
    </w:p>
    <w:p w14:paraId="6262AEDE">
      <w:pPr>
        <w:spacing w:line="440" w:lineRule="exact"/>
        <w:jc w:val="center"/>
        <w:outlineLvl w:val="0"/>
        <w:rPr>
          <w:rFonts w:ascii="仿宋" w:hAnsi="仿宋" w:eastAsia="仿宋" w:cs="仿宋"/>
          <w:color w:val="auto"/>
          <w:sz w:val="44"/>
          <w:szCs w:val="44"/>
        </w:rPr>
      </w:pPr>
      <w:r>
        <w:rPr>
          <w:rFonts w:hint="eastAsia" w:ascii="仿宋" w:hAnsi="仿宋" w:eastAsia="仿宋" w:cs="仿宋"/>
          <w:color w:val="auto"/>
          <w:sz w:val="44"/>
          <w:szCs w:val="28"/>
        </w:rPr>
        <w:br w:type="page"/>
      </w:r>
      <w:r>
        <w:rPr>
          <w:rFonts w:hint="eastAsia" w:ascii="仿宋" w:hAnsi="仿宋" w:eastAsia="仿宋" w:cs="仿宋"/>
          <w:color w:val="auto"/>
          <w:szCs w:val="28"/>
        </w:rPr>
        <w:t xml:space="preserve">  </w:t>
      </w:r>
      <w:r>
        <w:rPr>
          <w:rFonts w:hint="eastAsia" w:ascii="仿宋" w:hAnsi="仿宋" w:eastAsia="仿宋" w:cs="仿宋"/>
          <w:color w:val="auto"/>
          <w:sz w:val="44"/>
          <w:szCs w:val="44"/>
        </w:rPr>
        <w:t>目   录</w:t>
      </w:r>
    </w:p>
    <w:p w14:paraId="4263B175">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TOC \o "1-3" \h \z </w:instrText>
      </w:r>
      <w:r>
        <w:rPr>
          <w:rFonts w:hint="eastAsia" w:ascii="仿宋" w:hAnsi="仿宋" w:eastAsia="仿宋" w:cs="仿宋"/>
          <w:color w:val="auto"/>
          <w:szCs w:val="28"/>
        </w:rPr>
        <w:fldChar w:fldCharType="separate"/>
      </w: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_Toc940 </w:instrText>
      </w:r>
      <w:r>
        <w:rPr>
          <w:rFonts w:hint="eastAsia" w:ascii="仿宋" w:hAnsi="仿宋" w:eastAsia="仿宋" w:cs="仿宋"/>
          <w:color w:val="auto"/>
          <w:szCs w:val="28"/>
        </w:rPr>
        <w:fldChar w:fldCharType="separate"/>
      </w:r>
      <w:r>
        <w:rPr>
          <w:rFonts w:hint="eastAsia" w:ascii="仿宋" w:hAnsi="仿宋" w:eastAsia="仿宋" w:cs="仿宋"/>
          <w:bCs/>
          <w:color w:val="auto"/>
          <w:szCs w:val="44"/>
        </w:rPr>
        <w:t>第一篇  竞争性比选邀请书</w:t>
      </w:r>
      <w:r>
        <w:rPr>
          <w:color w:val="auto"/>
        </w:rPr>
        <w:tab/>
      </w:r>
      <w:r>
        <w:rPr>
          <w:color w:val="auto"/>
        </w:rPr>
        <w:fldChar w:fldCharType="begin"/>
      </w:r>
      <w:r>
        <w:rPr>
          <w:color w:val="auto"/>
        </w:rPr>
        <w:instrText xml:space="preserve"> PAGEREF _Toc940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78CF6FD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_Toc17575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一、竞争性比选内容</w:t>
      </w:r>
      <w:r>
        <w:rPr>
          <w:color w:val="auto"/>
        </w:rPr>
        <w:tab/>
      </w:r>
      <w:r>
        <w:rPr>
          <w:color w:val="auto"/>
        </w:rPr>
        <w:fldChar w:fldCharType="begin"/>
      </w:r>
      <w:r>
        <w:rPr>
          <w:color w:val="auto"/>
        </w:rPr>
        <w:instrText xml:space="preserve"> PAGEREF _Toc17575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40950FA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_Toc8542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二、资金来源</w:t>
      </w:r>
      <w:r>
        <w:rPr>
          <w:color w:val="auto"/>
        </w:rPr>
        <w:tab/>
      </w:r>
      <w:r>
        <w:rPr>
          <w:color w:val="auto"/>
        </w:rPr>
        <w:fldChar w:fldCharType="begin"/>
      </w:r>
      <w:r>
        <w:rPr>
          <w:color w:val="auto"/>
        </w:rPr>
        <w:instrText xml:space="preserve"> PAGEREF _Toc8542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5BA729DE">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_Toc22837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三、比选供应商资格条件</w:t>
      </w:r>
      <w:r>
        <w:rPr>
          <w:color w:val="auto"/>
        </w:rPr>
        <w:tab/>
      </w:r>
      <w:r>
        <w:rPr>
          <w:color w:val="auto"/>
        </w:rPr>
        <w:fldChar w:fldCharType="begin"/>
      </w:r>
      <w:r>
        <w:rPr>
          <w:color w:val="auto"/>
        </w:rPr>
        <w:instrText xml:space="preserve"> PAGEREF _Toc22837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325D483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_Toc236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四、比选有关说明</w:t>
      </w:r>
      <w:r>
        <w:rPr>
          <w:color w:val="auto"/>
        </w:rPr>
        <w:tab/>
      </w:r>
      <w:r>
        <w:rPr>
          <w:color w:val="auto"/>
        </w:rPr>
        <w:fldChar w:fldCharType="begin"/>
      </w:r>
      <w:r>
        <w:rPr>
          <w:color w:val="auto"/>
        </w:rPr>
        <w:instrText xml:space="preserve"> PAGEREF _Toc236 \h </w:instrText>
      </w:r>
      <w:r>
        <w:rPr>
          <w:color w:val="auto"/>
        </w:rPr>
        <w:fldChar w:fldCharType="separate"/>
      </w:r>
      <w:r>
        <w:rPr>
          <w:color w:val="auto"/>
        </w:rPr>
        <w:t>- 4 -</w:t>
      </w:r>
      <w:r>
        <w:rPr>
          <w:color w:val="auto"/>
        </w:rPr>
        <w:fldChar w:fldCharType="end"/>
      </w:r>
      <w:r>
        <w:rPr>
          <w:rFonts w:hint="eastAsia" w:ascii="仿宋" w:hAnsi="仿宋" w:eastAsia="仿宋" w:cs="仿宋"/>
          <w:color w:val="auto"/>
          <w:szCs w:val="28"/>
        </w:rPr>
        <w:fldChar w:fldCharType="end"/>
      </w:r>
    </w:p>
    <w:p w14:paraId="3561D22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_Toc12424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五、比选保证金</w:t>
      </w:r>
      <w:r>
        <w:rPr>
          <w:color w:val="auto"/>
        </w:rPr>
        <w:tab/>
      </w:r>
      <w:r>
        <w:rPr>
          <w:color w:val="auto"/>
        </w:rPr>
        <w:fldChar w:fldCharType="begin"/>
      </w:r>
      <w:r>
        <w:rPr>
          <w:color w:val="auto"/>
        </w:rPr>
        <w:instrText xml:space="preserve"> PAGEREF _Toc12424 \h </w:instrText>
      </w:r>
      <w:r>
        <w:rPr>
          <w:color w:val="auto"/>
        </w:rPr>
        <w:fldChar w:fldCharType="separate"/>
      </w:r>
      <w:r>
        <w:rPr>
          <w:color w:val="auto"/>
        </w:rPr>
        <w:t>- 5 -</w:t>
      </w:r>
      <w:r>
        <w:rPr>
          <w:color w:val="auto"/>
        </w:rPr>
        <w:fldChar w:fldCharType="end"/>
      </w:r>
      <w:r>
        <w:rPr>
          <w:rFonts w:hint="eastAsia" w:ascii="仿宋" w:hAnsi="仿宋" w:eastAsia="仿宋" w:cs="仿宋"/>
          <w:color w:val="auto"/>
          <w:szCs w:val="28"/>
        </w:rPr>
        <w:fldChar w:fldCharType="end"/>
      </w:r>
    </w:p>
    <w:p w14:paraId="238E6A09">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_Toc12321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七、其它有关规定</w:t>
      </w:r>
      <w:r>
        <w:rPr>
          <w:color w:val="auto"/>
        </w:rPr>
        <w:tab/>
      </w:r>
      <w:r>
        <w:rPr>
          <w:color w:val="auto"/>
        </w:rPr>
        <w:fldChar w:fldCharType="begin"/>
      </w:r>
      <w:r>
        <w:rPr>
          <w:color w:val="auto"/>
        </w:rPr>
        <w:instrText xml:space="preserve"> PAGEREF _Toc12321 \h </w:instrText>
      </w:r>
      <w:r>
        <w:rPr>
          <w:color w:val="auto"/>
        </w:rPr>
        <w:fldChar w:fldCharType="separate"/>
      </w:r>
      <w:r>
        <w:rPr>
          <w:color w:val="auto"/>
        </w:rPr>
        <w:t>- 5 -</w:t>
      </w:r>
      <w:r>
        <w:rPr>
          <w:color w:val="auto"/>
        </w:rPr>
        <w:fldChar w:fldCharType="end"/>
      </w:r>
      <w:r>
        <w:rPr>
          <w:rFonts w:hint="eastAsia" w:ascii="仿宋" w:hAnsi="仿宋" w:eastAsia="仿宋" w:cs="仿宋"/>
          <w:color w:val="auto"/>
          <w:szCs w:val="28"/>
        </w:rPr>
        <w:fldChar w:fldCharType="end"/>
      </w:r>
    </w:p>
    <w:p w14:paraId="0EF1B8DF">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_Toc15869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八、联系方式</w:t>
      </w:r>
      <w:r>
        <w:rPr>
          <w:color w:val="auto"/>
        </w:rPr>
        <w:tab/>
      </w:r>
      <w:r>
        <w:rPr>
          <w:color w:val="auto"/>
        </w:rPr>
        <w:fldChar w:fldCharType="begin"/>
      </w:r>
      <w:r>
        <w:rPr>
          <w:color w:val="auto"/>
        </w:rPr>
        <w:instrText xml:space="preserve"> PAGEREF _Toc15869 \h </w:instrText>
      </w:r>
      <w:r>
        <w:rPr>
          <w:color w:val="auto"/>
        </w:rPr>
        <w:fldChar w:fldCharType="separate"/>
      </w:r>
      <w:r>
        <w:rPr>
          <w:color w:val="auto"/>
        </w:rPr>
        <w:t>- 6 -</w:t>
      </w:r>
      <w:r>
        <w:rPr>
          <w:color w:val="auto"/>
        </w:rPr>
        <w:fldChar w:fldCharType="end"/>
      </w:r>
      <w:r>
        <w:rPr>
          <w:rFonts w:hint="eastAsia" w:ascii="仿宋" w:hAnsi="仿宋" w:eastAsia="仿宋" w:cs="仿宋"/>
          <w:color w:val="auto"/>
          <w:szCs w:val="28"/>
        </w:rPr>
        <w:fldChar w:fldCharType="end"/>
      </w:r>
    </w:p>
    <w:p w14:paraId="1531B83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_Toc1697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第二篇  项目服务需求</w:t>
      </w:r>
      <w:r>
        <w:rPr>
          <w:color w:val="auto"/>
        </w:rPr>
        <w:tab/>
      </w:r>
      <w:r>
        <w:rPr>
          <w:color w:val="auto"/>
        </w:rPr>
        <w:fldChar w:fldCharType="begin"/>
      </w:r>
      <w:r>
        <w:rPr>
          <w:color w:val="auto"/>
        </w:rPr>
        <w:instrText xml:space="preserve"> PAGEREF _Toc1697 \h </w:instrText>
      </w:r>
      <w:r>
        <w:rPr>
          <w:color w:val="auto"/>
        </w:rPr>
        <w:fldChar w:fldCharType="separate"/>
      </w:r>
      <w:r>
        <w:rPr>
          <w:color w:val="auto"/>
        </w:rPr>
        <w:t>- 8 -</w:t>
      </w:r>
      <w:r>
        <w:rPr>
          <w:color w:val="auto"/>
        </w:rPr>
        <w:fldChar w:fldCharType="end"/>
      </w:r>
      <w:r>
        <w:rPr>
          <w:rFonts w:hint="eastAsia" w:ascii="仿宋" w:hAnsi="仿宋" w:eastAsia="仿宋" w:cs="仿宋"/>
          <w:color w:val="auto"/>
          <w:szCs w:val="28"/>
        </w:rPr>
        <w:fldChar w:fldCharType="end"/>
      </w:r>
    </w:p>
    <w:p w14:paraId="5B536FEA">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_Toc19838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※一、项目概况</w:t>
      </w:r>
      <w:r>
        <w:rPr>
          <w:color w:val="auto"/>
        </w:rPr>
        <w:tab/>
      </w:r>
      <w:r>
        <w:rPr>
          <w:color w:val="auto"/>
        </w:rPr>
        <w:fldChar w:fldCharType="begin"/>
      </w:r>
      <w:r>
        <w:rPr>
          <w:color w:val="auto"/>
        </w:rPr>
        <w:instrText xml:space="preserve"> PAGEREF _Toc19838 \h </w:instrText>
      </w:r>
      <w:r>
        <w:rPr>
          <w:color w:val="auto"/>
        </w:rPr>
        <w:fldChar w:fldCharType="separate"/>
      </w:r>
      <w:r>
        <w:rPr>
          <w:color w:val="auto"/>
        </w:rPr>
        <w:t>- 8 -</w:t>
      </w:r>
      <w:r>
        <w:rPr>
          <w:color w:val="auto"/>
        </w:rPr>
        <w:fldChar w:fldCharType="end"/>
      </w:r>
      <w:r>
        <w:rPr>
          <w:rFonts w:hint="eastAsia" w:ascii="仿宋" w:hAnsi="仿宋" w:eastAsia="仿宋" w:cs="仿宋"/>
          <w:color w:val="auto"/>
          <w:szCs w:val="28"/>
        </w:rPr>
        <w:fldChar w:fldCharType="end"/>
      </w:r>
    </w:p>
    <w:p w14:paraId="696D8A26">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_Toc28727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※二、服务需求</w:t>
      </w:r>
      <w:r>
        <w:rPr>
          <w:color w:val="auto"/>
        </w:rPr>
        <w:tab/>
      </w:r>
      <w:r>
        <w:rPr>
          <w:color w:val="auto"/>
        </w:rPr>
        <w:fldChar w:fldCharType="begin"/>
      </w:r>
      <w:r>
        <w:rPr>
          <w:color w:val="auto"/>
        </w:rPr>
        <w:instrText xml:space="preserve"> PAGEREF _Toc28727 \h </w:instrText>
      </w:r>
      <w:r>
        <w:rPr>
          <w:color w:val="auto"/>
        </w:rPr>
        <w:fldChar w:fldCharType="separate"/>
      </w:r>
      <w:r>
        <w:rPr>
          <w:color w:val="auto"/>
        </w:rPr>
        <w:t>- 10 -</w:t>
      </w:r>
      <w:r>
        <w:rPr>
          <w:color w:val="auto"/>
        </w:rPr>
        <w:fldChar w:fldCharType="end"/>
      </w:r>
      <w:r>
        <w:rPr>
          <w:rFonts w:hint="eastAsia" w:ascii="仿宋" w:hAnsi="仿宋" w:eastAsia="仿宋" w:cs="仿宋"/>
          <w:color w:val="auto"/>
          <w:szCs w:val="28"/>
        </w:rPr>
        <w:fldChar w:fldCharType="end"/>
      </w:r>
    </w:p>
    <w:p w14:paraId="76D6584E">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_Toc21774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※三、服务</w:t>
      </w:r>
      <w:r>
        <w:rPr>
          <w:rFonts w:hint="eastAsia" w:ascii="仿宋" w:hAnsi="仿宋" w:eastAsia="仿宋" w:cs="仿宋"/>
          <w:color w:val="auto"/>
          <w:kern w:val="2"/>
          <w:lang w:val="en-US" w:eastAsia="zh-CN"/>
        </w:rPr>
        <w:t>质量要求</w:t>
      </w:r>
      <w:r>
        <w:rPr>
          <w:color w:val="auto"/>
        </w:rPr>
        <w:tab/>
      </w:r>
      <w:r>
        <w:rPr>
          <w:color w:val="auto"/>
        </w:rPr>
        <w:fldChar w:fldCharType="begin"/>
      </w:r>
      <w:r>
        <w:rPr>
          <w:color w:val="auto"/>
        </w:rPr>
        <w:instrText xml:space="preserve"> PAGEREF _Toc21774 \h </w:instrText>
      </w:r>
      <w:r>
        <w:rPr>
          <w:color w:val="auto"/>
        </w:rPr>
        <w:fldChar w:fldCharType="separate"/>
      </w:r>
      <w:r>
        <w:rPr>
          <w:color w:val="auto"/>
        </w:rPr>
        <w:t>- 12 -</w:t>
      </w:r>
      <w:r>
        <w:rPr>
          <w:color w:val="auto"/>
        </w:rPr>
        <w:fldChar w:fldCharType="end"/>
      </w:r>
      <w:r>
        <w:rPr>
          <w:rFonts w:hint="eastAsia" w:ascii="仿宋" w:hAnsi="仿宋" w:eastAsia="仿宋" w:cs="仿宋"/>
          <w:color w:val="auto"/>
          <w:szCs w:val="28"/>
        </w:rPr>
        <w:fldChar w:fldCharType="end"/>
      </w:r>
    </w:p>
    <w:p w14:paraId="6025962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_Toc26296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※四、成果要求</w:t>
      </w:r>
      <w:r>
        <w:rPr>
          <w:color w:val="auto"/>
        </w:rPr>
        <w:tab/>
      </w:r>
      <w:r>
        <w:rPr>
          <w:color w:val="auto"/>
        </w:rPr>
        <w:fldChar w:fldCharType="begin"/>
      </w:r>
      <w:r>
        <w:rPr>
          <w:color w:val="auto"/>
        </w:rPr>
        <w:instrText xml:space="preserve"> PAGEREF _Toc26296 \h </w:instrText>
      </w:r>
      <w:r>
        <w:rPr>
          <w:color w:val="auto"/>
        </w:rPr>
        <w:fldChar w:fldCharType="separate"/>
      </w:r>
      <w:r>
        <w:rPr>
          <w:color w:val="auto"/>
        </w:rPr>
        <w:t>- 13 -</w:t>
      </w:r>
      <w:r>
        <w:rPr>
          <w:color w:val="auto"/>
        </w:rPr>
        <w:fldChar w:fldCharType="end"/>
      </w:r>
      <w:r>
        <w:rPr>
          <w:rFonts w:hint="eastAsia" w:ascii="仿宋" w:hAnsi="仿宋" w:eastAsia="仿宋" w:cs="仿宋"/>
          <w:color w:val="auto"/>
          <w:szCs w:val="28"/>
        </w:rPr>
        <w:fldChar w:fldCharType="end"/>
      </w:r>
    </w:p>
    <w:p w14:paraId="3784053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_Toc15258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五</w:t>
      </w:r>
      <w:r>
        <w:rPr>
          <w:rFonts w:hint="eastAsia" w:ascii="仿宋" w:hAnsi="仿宋" w:eastAsia="仿宋" w:cs="仿宋"/>
          <w:color w:val="auto"/>
          <w:kern w:val="2"/>
        </w:rPr>
        <w:t>、踏勘现场</w:t>
      </w:r>
      <w:r>
        <w:rPr>
          <w:color w:val="auto"/>
        </w:rPr>
        <w:tab/>
      </w:r>
      <w:r>
        <w:rPr>
          <w:color w:val="auto"/>
        </w:rPr>
        <w:fldChar w:fldCharType="begin"/>
      </w:r>
      <w:r>
        <w:rPr>
          <w:color w:val="auto"/>
        </w:rPr>
        <w:instrText xml:space="preserve"> PAGEREF _Toc15258 \h </w:instrText>
      </w:r>
      <w:r>
        <w:rPr>
          <w:color w:val="auto"/>
        </w:rPr>
        <w:fldChar w:fldCharType="separate"/>
      </w:r>
      <w:r>
        <w:rPr>
          <w:color w:val="auto"/>
        </w:rPr>
        <w:t>- 14 -</w:t>
      </w:r>
      <w:r>
        <w:rPr>
          <w:color w:val="auto"/>
        </w:rPr>
        <w:fldChar w:fldCharType="end"/>
      </w:r>
      <w:r>
        <w:rPr>
          <w:rFonts w:hint="eastAsia" w:ascii="仿宋" w:hAnsi="仿宋" w:eastAsia="仿宋" w:cs="仿宋"/>
          <w:color w:val="auto"/>
          <w:szCs w:val="28"/>
        </w:rPr>
        <w:fldChar w:fldCharType="end"/>
      </w:r>
    </w:p>
    <w:p w14:paraId="4DE1F64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六</w:t>
      </w:r>
      <w:r>
        <w:rPr>
          <w:rFonts w:hint="eastAsia" w:ascii="仿宋" w:hAnsi="仿宋" w:eastAsia="仿宋" w:cs="仿宋"/>
          <w:color w:val="auto"/>
          <w:kern w:val="2"/>
        </w:rPr>
        <w:t>、其他要求</w:t>
      </w:r>
      <w:r>
        <w:rPr>
          <w:color w:val="auto"/>
        </w:rPr>
        <w:tab/>
      </w:r>
      <w:r>
        <w:rPr>
          <w:color w:val="auto"/>
        </w:rPr>
        <w:fldChar w:fldCharType="begin"/>
      </w:r>
      <w:r>
        <w:rPr>
          <w:color w:val="auto"/>
        </w:rPr>
        <w:instrText xml:space="preserve"> PAGEREF _Toc4 \h </w:instrText>
      </w:r>
      <w:r>
        <w:rPr>
          <w:color w:val="auto"/>
        </w:rPr>
        <w:fldChar w:fldCharType="separate"/>
      </w:r>
      <w:r>
        <w:rPr>
          <w:color w:val="auto"/>
        </w:rPr>
        <w:t>- 14 -</w:t>
      </w:r>
      <w:r>
        <w:rPr>
          <w:color w:val="auto"/>
        </w:rPr>
        <w:fldChar w:fldCharType="end"/>
      </w:r>
      <w:r>
        <w:rPr>
          <w:rFonts w:hint="eastAsia" w:ascii="仿宋" w:hAnsi="仿宋" w:eastAsia="仿宋" w:cs="仿宋"/>
          <w:color w:val="auto"/>
          <w:szCs w:val="28"/>
        </w:rPr>
        <w:fldChar w:fldCharType="end"/>
      </w:r>
    </w:p>
    <w:p w14:paraId="1CFD3EE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_Toc1930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第三篇  项目商务需求</w:t>
      </w:r>
      <w:r>
        <w:rPr>
          <w:color w:val="auto"/>
        </w:rPr>
        <w:tab/>
      </w:r>
      <w:r>
        <w:rPr>
          <w:color w:val="auto"/>
        </w:rPr>
        <w:fldChar w:fldCharType="begin"/>
      </w:r>
      <w:r>
        <w:rPr>
          <w:color w:val="auto"/>
        </w:rPr>
        <w:instrText xml:space="preserve"> PAGEREF _Toc1930 \h </w:instrText>
      </w:r>
      <w:r>
        <w:rPr>
          <w:color w:val="auto"/>
        </w:rPr>
        <w:fldChar w:fldCharType="separate"/>
      </w:r>
      <w:r>
        <w:rPr>
          <w:color w:val="auto"/>
        </w:rPr>
        <w:t>- 15 -</w:t>
      </w:r>
      <w:r>
        <w:rPr>
          <w:color w:val="auto"/>
        </w:rPr>
        <w:fldChar w:fldCharType="end"/>
      </w:r>
      <w:r>
        <w:rPr>
          <w:rFonts w:hint="eastAsia" w:ascii="仿宋" w:hAnsi="仿宋" w:eastAsia="仿宋" w:cs="仿宋"/>
          <w:color w:val="auto"/>
          <w:szCs w:val="28"/>
        </w:rPr>
        <w:fldChar w:fldCharType="end"/>
      </w:r>
    </w:p>
    <w:p w14:paraId="59C0A0C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_Toc22748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※一、服务期限、地点及验收方式</w:t>
      </w:r>
      <w:r>
        <w:rPr>
          <w:color w:val="auto"/>
        </w:rPr>
        <w:tab/>
      </w:r>
      <w:r>
        <w:rPr>
          <w:color w:val="auto"/>
        </w:rPr>
        <w:fldChar w:fldCharType="begin"/>
      </w:r>
      <w:r>
        <w:rPr>
          <w:color w:val="auto"/>
        </w:rPr>
        <w:instrText xml:space="preserve"> PAGEREF _Toc22748 \h </w:instrText>
      </w:r>
      <w:r>
        <w:rPr>
          <w:color w:val="auto"/>
        </w:rPr>
        <w:fldChar w:fldCharType="separate"/>
      </w:r>
      <w:r>
        <w:rPr>
          <w:color w:val="auto"/>
        </w:rPr>
        <w:t>- 15 -</w:t>
      </w:r>
      <w:r>
        <w:rPr>
          <w:color w:val="auto"/>
        </w:rPr>
        <w:fldChar w:fldCharType="end"/>
      </w:r>
      <w:r>
        <w:rPr>
          <w:rFonts w:hint="eastAsia" w:ascii="仿宋" w:hAnsi="仿宋" w:eastAsia="仿宋" w:cs="仿宋"/>
          <w:color w:val="auto"/>
          <w:szCs w:val="28"/>
        </w:rPr>
        <w:fldChar w:fldCharType="end"/>
      </w:r>
    </w:p>
    <w:p w14:paraId="02D8BAFD">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_Toc15015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※二、售后服务要求</w:t>
      </w:r>
      <w:r>
        <w:rPr>
          <w:color w:val="auto"/>
        </w:rPr>
        <w:tab/>
      </w:r>
      <w:r>
        <w:rPr>
          <w:color w:val="auto"/>
        </w:rPr>
        <w:fldChar w:fldCharType="begin"/>
      </w:r>
      <w:r>
        <w:rPr>
          <w:color w:val="auto"/>
        </w:rPr>
        <w:instrText xml:space="preserve"> PAGEREF _Toc15015 \h </w:instrText>
      </w:r>
      <w:r>
        <w:rPr>
          <w:color w:val="auto"/>
        </w:rPr>
        <w:fldChar w:fldCharType="separate"/>
      </w:r>
      <w:r>
        <w:rPr>
          <w:color w:val="auto"/>
        </w:rPr>
        <w:t>- 16 -</w:t>
      </w:r>
      <w:r>
        <w:rPr>
          <w:color w:val="auto"/>
        </w:rPr>
        <w:fldChar w:fldCharType="end"/>
      </w:r>
      <w:r>
        <w:rPr>
          <w:rFonts w:hint="eastAsia" w:ascii="仿宋" w:hAnsi="仿宋" w:eastAsia="仿宋" w:cs="仿宋"/>
          <w:color w:val="auto"/>
          <w:szCs w:val="28"/>
        </w:rPr>
        <w:fldChar w:fldCharType="end"/>
      </w:r>
    </w:p>
    <w:p w14:paraId="76B9DE3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_Toc11183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※三、报价要求</w:t>
      </w:r>
      <w:r>
        <w:rPr>
          <w:color w:val="auto"/>
        </w:rPr>
        <w:tab/>
      </w:r>
      <w:r>
        <w:rPr>
          <w:color w:val="auto"/>
        </w:rPr>
        <w:fldChar w:fldCharType="begin"/>
      </w:r>
      <w:r>
        <w:rPr>
          <w:color w:val="auto"/>
        </w:rPr>
        <w:instrText xml:space="preserve"> PAGEREF _Toc11183 \h </w:instrText>
      </w:r>
      <w:r>
        <w:rPr>
          <w:color w:val="auto"/>
        </w:rPr>
        <w:fldChar w:fldCharType="separate"/>
      </w:r>
      <w:r>
        <w:rPr>
          <w:color w:val="auto"/>
        </w:rPr>
        <w:t>- 17 -</w:t>
      </w:r>
      <w:r>
        <w:rPr>
          <w:color w:val="auto"/>
        </w:rPr>
        <w:fldChar w:fldCharType="end"/>
      </w:r>
      <w:r>
        <w:rPr>
          <w:rFonts w:hint="eastAsia" w:ascii="仿宋" w:hAnsi="仿宋" w:eastAsia="仿宋" w:cs="仿宋"/>
          <w:color w:val="auto"/>
          <w:szCs w:val="28"/>
        </w:rPr>
        <w:fldChar w:fldCharType="end"/>
      </w:r>
    </w:p>
    <w:p w14:paraId="1562ECF9">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_Toc3659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※四、付款方式</w:t>
      </w:r>
      <w:r>
        <w:rPr>
          <w:color w:val="auto"/>
        </w:rPr>
        <w:tab/>
      </w:r>
      <w:r>
        <w:rPr>
          <w:color w:val="auto"/>
        </w:rPr>
        <w:fldChar w:fldCharType="begin"/>
      </w:r>
      <w:r>
        <w:rPr>
          <w:color w:val="auto"/>
        </w:rPr>
        <w:instrText xml:space="preserve"> PAGEREF _Toc3659 \h </w:instrText>
      </w:r>
      <w:r>
        <w:rPr>
          <w:color w:val="auto"/>
        </w:rPr>
        <w:fldChar w:fldCharType="separate"/>
      </w:r>
      <w:r>
        <w:rPr>
          <w:color w:val="auto"/>
        </w:rPr>
        <w:t>- 17 -</w:t>
      </w:r>
      <w:r>
        <w:rPr>
          <w:color w:val="auto"/>
        </w:rPr>
        <w:fldChar w:fldCharType="end"/>
      </w:r>
      <w:r>
        <w:rPr>
          <w:rFonts w:hint="eastAsia" w:ascii="仿宋" w:hAnsi="仿宋" w:eastAsia="仿宋" w:cs="仿宋"/>
          <w:color w:val="auto"/>
          <w:szCs w:val="28"/>
        </w:rPr>
        <w:fldChar w:fldCharType="end"/>
      </w:r>
    </w:p>
    <w:p w14:paraId="2E3CD1C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_Toc6797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※五、知识产权</w:t>
      </w:r>
      <w:r>
        <w:rPr>
          <w:color w:val="auto"/>
        </w:rPr>
        <w:tab/>
      </w:r>
      <w:r>
        <w:rPr>
          <w:color w:val="auto"/>
        </w:rPr>
        <w:fldChar w:fldCharType="begin"/>
      </w:r>
      <w:r>
        <w:rPr>
          <w:color w:val="auto"/>
        </w:rPr>
        <w:instrText xml:space="preserve"> PAGEREF _Toc6797 \h </w:instrText>
      </w:r>
      <w:r>
        <w:rPr>
          <w:color w:val="auto"/>
        </w:rPr>
        <w:fldChar w:fldCharType="separate"/>
      </w:r>
      <w:r>
        <w:rPr>
          <w:color w:val="auto"/>
        </w:rPr>
        <w:t>- 17 -</w:t>
      </w:r>
      <w:r>
        <w:rPr>
          <w:color w:val="auto"/>
        </w:rPr>
        <w:fldChar w:fldCharType="end"/>
      </w:r>
      <w:r>
        <w:rPr>
          <w:rFonts w:hint="eastAsia" w:ascii="仿宋" w:hAnsi="仿宋" w:eastAsia="仿宋" w:cs="仿宋"/>
          <w:color w:val="auto"/>
          <w:szCs w:val="28"/>
        </w:rPr>
        <w:fldChar w:fldCharType="end"/>
      </w:r>
    </w:p>
    <w:p w14:paraId="178AA53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_Toc6648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※六、转包、分包</w:t>
      </w:r>
      <w:r>
        <w:rPr>
          <w:color w:val="auto"/>
        </w:rPr>
        <w:tab/>
      </w:r>
      <w:r>
        <w:rPr>
          <w:color w:val="auto"/>
        </w:rPr>
        <w:fldChar w:fldCharType="begin"/>
      </w:r>
      <w:r>
        <w:rPr>
          <w:color w:val="auto"/>
        </w:rPr>
        <w:instrText xml:space="preserve"> PAGEREF _Toc6648 \h </w:instrText>
      </w:r>
      <w:r>
        <w:rPr>
          <w:color w:val="auto"/>
        </w:rPr>
        <w:fldChar w:fldCharType="separate"/>
      </w:r>
      <w:r>
        <w:rPr>
          <w:color w:val="auto"/>
        </w:rPr>
        <w:t>- 18 -</w:t>
      </w:r>
      <w:r>
        <w:rPr>
          <w:color w:val="auto"/>
        </w:rPr>
        <w:fldChar w:fldCharType="end"/>
      </w:r>
      <w:r>
        <w:rPr>
          <w:rFonts w:hint="eastAsia" w:ascii="仿宋" w:hAnsi="仿宋" w:eastAsia="仿宋" w:cs="仿宋"/>
          <w:color w:val="auto"/>
          <w:szCs w:val="28"/>
        </w:rPr>
        <w:fldChar w:fldCharType="end"/>
      </w:r>
    </w:p>
    <w:p w14:paraId="05D3F3B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_Toc11734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七</w:t>
      </w:r>
      <w:r>
        <w:rPr>
          <w:rFonts w:hint="eastAsia" w:ascii="仿宋" w:hAnsi="仿宋" w:eastAsia="仿宋" w:cs="仿宋"/>
          <w:color w:val="auto"/>
          <w:kern w:val="2"/>
        </w:rPr>
        <w:t>、保密要求</w:t>
      </w:r>
      <w:r>
        <w:rPr>
          <w:color w:val="auto"/>
        </w:rPr>
        <w:tab/>
      </w:r>
      <w:r>
        <w:rPr>
          <w:color w:val="auto"/>
        </w:rPr>
        <w:fldChar w:fldCharType="begin"/>
      </w:r>
      <w:r>
        <w:rPr>
          <w:color w:val="auto"/>
        </w:rPr>
        <w:instrText xml:space="preserve"> PAGEREF _Toc11734 \h </w:instrText>
      </w:r>
      <w:r>
        <w:rPr>
          <w:color w:val="auto"/>
        </w:rPr>
        <w:fldChar w:fldCharType="separate"/>
      </w:r>
      <w:r>
        <w:rPr>
          <w:color w:val="auto"/>
        </w:rPr>
        <w:t>- 18 -</w:t>
      </w:r>
      <w:r>
        <w:rPr>
          <w:color w:val="auto"/>
        </w:rPr>
        <w:fldChar w:fldCharType="end"/>
      </w:r>
      <w:r>
        <w:rPr>
          <w:rFonts w:hint="eastAsia" w:ascii="仿宋" w:hAnsi="仿宋" w:eastAsia="仿宋" w:cs="仿宋"/>
          <w:color w:val="auto"/>
          <w:szCs w:val="28"/>
        </w:rPr>
        <w:fldChar w:fldCharType="end"/>
      </w:r>
    </w:p>
    <w:p w14:paraId="166964A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_Toc32714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w:t>
      </w:r>
      <w:r>
        <w:rPr>
          <w:rFonts w:hint="eastAsia" w:ascii="仿宋" w:hAnsi="仿宋" w:eastAsia="仿宋" w:cs="仿宋"/>
          <w:color w:val="auto"/>
          <w:kern w:val="2"/>
          <w:lang w:val="en-US" w:eastAsia="zh-CN"/>
        </w:rPr>
        <w:t>八</w:t>
      </w:r>
      <w:r>
        <w:rPr>
          <w:rFonts w:hint="eastAsia" w:ascii="仿宋" w:hAnsi="仿宋" w:eastAsia="仿宋" w:cs="仿宋"/>
          <w:color w:val="auto"/>
          <w:kern w:val="2"/>
        </w:rPr>
        <w:t>、其他</w:t>
      </w:r>
      <w:r>
        <w:rPr>
          <w:color w:val="auto"/>
        </w:rPr>
        <w:tab/>
      </w:r>
      <w:r>
        <w:rPr>
          <w:color w:val="auto"/>
        </w:rPr>
        <w:fldChar w:fldCharType="begin"/>
      </w:r>
      <w:r>
        <w:rPr>
          <w:color w:val="auto"/>
        </w:rPr>
        <w:instrText xml:space="preserve"> PAGEREF _Toc32714 \h </w:instrText>
      </w:r>
      <w:r>
        <w:rPr>
          <w:color w:val="auto"/>
        </w:rPr>
        <w:fldChar w:fldCharType="separate"/>
      </w:r>
      <w:r>
        <w:rPr>
          <w:color w:val="auto"/>
        </w:rPr>
        <w:t>- 18 -</w:t>
      </w:r>
      <w:r>
        <w:rPr>
          <w:color w:val="auto"/>
        </w:rPr>
        <w:fldChar w:fldCharType="end"/>
      </w:r>
      <w:r>
        <w:rPr>
          <w:rFonts w:hint="eastAsia" w:ascii="仿宋" w:hAnsi="仿宋" w:eastAsia="仿宋" w:cs="仿宋"/>
          <w:color w:val="auto"/>
          <w:szCs w:val="28"/>
        </w:rPr>
        <w:fldChar w:fldCharType="end"/>
      </w:r>
    </w:p>
    <w:p w14:paraId="0421F6B9">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_Toc21874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第四篇  比选程序及方法、评审标准、无效响应和</w:t>
      </w:r>
      <w:r>
        <w:rPr>
          <w:rFonts w:hint="eastAsia" w:ascii="仿宋" w:hAnsi="仿宋" w:eastAsia="仿宋" w:cs="仿宋"/>
          <w:bCs/>
          <w:color w:val="auto"/>
          <w:szCs w:val="36"/>
        </w:rPr>
        <w:t>采购终止</w:t>
      </w:r>
      <w:r>
        <w:rPr>
          <w:color w:val="auto"/>
        </w:rPr>
        <w:tab/>
      </w:r>
      <w:r>
        <w:rPr>
          <w:color w:val="auto"/>
        </w:rPr>
        <w:fldChar w:fldCharType="begin"/>
      </w:r>
      <w:r>
        <w:rPr>
          <w:color w:val="auto"/>
        </w:rPr>
        <w:instrText xml:space="preserve"> PAGEREF _Toc21874 \h </w:instrText>
      </w:r>
      <w:r>
        <w:rPr>
          <w:color w:val="auto"/>
        </w:rPr>
        <w:fldChar w:fldCharType="separate"/>
      </w:r>
      <w:r>
        <w:rPr>
          <w:color w:val="auto"/>
        </w:rPr>
        <w:t>- 19 -</w:t>
      </w:r>
      <w:r>
        <w:rPr>
          <w:color w:val="auto"/>
        </w:rPr>
        <w:fldChar w:fldCharType="end"/>
      </w:r>
      <w:r>
        <w:rPr>
          <w:rFonts w:hint="eastAsia" w:ascii="仿宋" w:hAnsi="仿宋" w:eastAsia="仿宋" w:cs="仿宋"/>
          <w:color w:val="auto"/>
          <w:szCs w:val="28"/>
        </w:rPr>
        <w:fldChar w:fldCharType="end"/>
      </w:r>
    </w:p>
    <w:p w14:paraId="4E54FAB4">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_Toc21860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一、比选程序及方法</w:t>
      </w:r>
      <w:r>
        <w:rPr>
          <w:color w:val="auto"/>
        </w:rPr>
        <w:tab/>
      </w:r>
      <w:r>
        <w:rPr>
          <w:color w:val="auto"/>
        </w:rPr>
        <w:fldChar w:fldCharType="begin"/>
      </w:r>
      <w:r>
        <w:rPr>
          <w:color w:val="auto"/>
        </w:rPr>
        <w:instrText xml:space="preserve"> PAGEREF _Toc21860 \h </w:instrText>
      </w:r>
      <w:r>
        <w:rPr>
          <w:color w:val="auto"/>
        </w:rPr>
        <w:fldChar w:fldCharType="separate"/>
      </w:r>
      <w:r>
        <w:rPr>
          <w:color w:val="auto"/>
        </w:rPr>
        <w:t>- 19 -</w:t>
      </w:r>
      <w:r>
        <w:rPr>
          <w:color w:val="auto"/>
        </w:rPr>
        <w:fldChar w:fldCharType="end"/>
      </w:r>
      <w:r>
        <w:rPr>
          <w:rFonts w:hint="eastAsia" w:ascii="仿宋" w:hAnsi="仿宋" w:eastAsia="仿宋" w:cs="仿宋"/>
          <w:color w:val="auto"/>
          <w:szCs w:val="28"/>
        </w:rPr>
        <w:fldChar w:fldCharType="end"/>
      </w:r>
    </w:p>
    <w:p w14:paraId="61DBD354">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_Toc26753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二、评审标准</w:t>
      </w:r>
      <w:r>
        <w:rPr>
          <w:color w:val="auto"/>
        </w:rPr>
        <w:tab/>
      </w:r>
      <w:r>
        <w:rPr>
          <w:color w:val="auto"/>
        </w:rPr>
        <w:fldChar w:fldCharType="begin"/>
      </w:r>
      <w:r>
        <w:rPr>
          <w:color w:val="auto"/>
        </w:rPr>
        <w:instrText xml:space="preserve"> PAGEREF _Toc26753 \h </w:instrText>
      </w:r>
      <w:r>
        <w:rPr>
          <w:color w:val="auto"/>
        </w:rPr>
        <w:fldChar w:fldCharType="separate"/>
      </w:r>
      <w:r>
        <w:rPr>
          <w:color w:val="auto"/>
        </w:rPr>
        <w:t>- 21 -</w:t>
      </w:r>
      <w:r>
        <w:rPr>
          <w:color w:val="auto"/>
        </w:rPr>
        <w:fldChar w:fldCharType="end"/>
      </w:r>
      <w:r>
        <w:rPr>
          <w:rFonts w:hint="eastAsia" w:ascii="仿宋" w:hAnsi="仿宋" w:eastAsia="仿宋" w:cs="仿宋"/>
          <w:color w:val="auto"/>
          <w:szCs w:val="28"/>
        </w:rPr>
        <w:fldChar w:fldCharType="end"/>
      </w:r>
    </w:p>
    <w:p w14:paraId="3BE80A9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_Toc910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三、无效响应</w:t>
      </w:r>
      <w:r>
        <w:rPr>
          <w:color w:val="auto"/>
        </w:rPr>
        <w:tab/>
      </w:r>
      <w:r>
        <w:rPr>
          <w:color w:val="auto"/>
        </w:rPr>
        <w:fldChar w:fldCharType="begin"/>
      </w:r>
      <w:r>
        <w:rPr>
          <w:color w:val="auto"/>
        </w:rPr>
        <w:instrText xml:space="preserve"> PAGEREF _Toc910 \h </w:instrText>
      </w:r>
      <w:r>
        <w:rPr>
          <w:color w:val="auto"/>
        </w:rPr>
        <w:fldChar w:fldCharType="separate"/>
      </w:r>
      <w:r>
        <w:rPr>
          <w:color w:val="auto"/>
        </w:rPr>
        <w:t>- 23 -</w:t>
      </w:r>
      <w:r>
        <w:rPr>
          <w:color w:val="auto"/>
        </w:rPr>
        <w:fldChar w:fldCharType="end"/>
      </w:r>
      <w:r>
        <w:rPr>
          <w:rFonts w:hint="eastAsia" w:ascii="仿宋" w:hAnsi="仿宋" w:eastAsia="仿宋" w:cs="仿宋"/>
          <w:color w:val="auto"/>
          <w:szCs w:val="28"/>
        </w:rPr>
        <w:fldChar w:fldCharType="end"/>
      </w:r>
    </w:p>
    <w:p w14:paraId="24D0B1AE">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_Toc10837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四、采购终止</w:t>
      </w:r>
      <w:r>
        <w:rPr>
          <w:color w:val="auto"/>
        </w:rPr>
        <w:tab/>
      </w:r>
      <w:r>
        <w:rPr>
          <w:color w:val="auto"/>
        </w:rPr>
        <w:fldChar w:fldCharType="begin"/>
      </w:r>
      <w:r>
        <w:rPr>
          <w:color w:val="auto"/>
        </w:rPr>
        <w:instrText xml:space="preserve"> PAGEREF _Toc10837 \h </w:instrText>
      </w:r>
      <w:r>
        <w:rPr>
          <w:color w:val="auto"/>
        </w:rPr>
        <w:fldChar w:fldCharType="separate"/>
      </w:r>
      <w:r>
        <w:rPr>
          <w:color w:val="auto"/>
        </w:rPr>
        <w:t>- 24 -</w:t>
      </w:r>
      <w:r>
        <w:rPr>
          <w:color w:val="auto"/>
        </w:rPr>
        <w:fldChar w:fldCharType="end"/>
      </w:r>
      <w:r>
        <w:rPr>
          <w:rFonts w:hint="eastAsia" w:ascii="仿宋" w:hAnsi="仿宋" w:eastAsia="仿宋" w:cs="仿宋"/>
          <w:color w:val="auto"/>
          <w:szCs w:val="28"/>
        </w:rPr>
        <w:fldChar w:fldCharType="end"/>
      </w:r>
    </w:p>
    <w:p w14:paraId="59FD18C6">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_Toc2826 </w:instrText>
      </w:r>
      <w:r>
        <w:rPr>
          <w:rFonts w:hint="eastAsia" w:ascii="仿宋" w:hAnsi="仿宋" w:eastAsia="仿宋" w:cs="仿宋"/>
          <w:color w:val="auto"/>
          <w:szCs w:val="28"/>
        </w:rPr>
        <w:fldChar w:fldCharType="separate"/>
      </w:r>
      <w:r>
        <w:rPr>
          <w:rFonts w:hint="eastAsia" w:ascii="仿宋" w:hAnsi="仿宋" w:eastAsia="仿宋" w:cs="仿宋"/>
          <w:bCs/>
          <w:color w:val="auto"/>
          <w:szCs w:val="30"/>
        </w:rPr>
        <w:t>第五篇  供应商须知</w:t>
      </w:r>
      <w:r>
        <w:rPr>
          <w:color w:val="auto"/>
        </w:rPr>
        <w:tab/>
      </w:r>
      <w:r>
        <w:rPr>
          <w:color w:val="auto"/>
        </w:rPr>
        <w:fldChar w:fldCharType="begin"/>
      </w:r>
      <w:r>
        <w:rPr>
          <w:color w:val="auto"/>
        </w:rPr>
        <w:instrText xml:space="preserve"> PAGEREF _Toc2826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2F37671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_Toc11259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一、比选费用</w:t>
      </w:r>
      <w:r>
        <w:rPr>
          <w:color w:val="auto"/>
        </w:rPr>
        <w:tab/>
      </w:r>
      <w:r>
        <w:rPr>
          <w:color w:val="auto"/>
        </w:rPr>
        <w:fldChar w:fldCharType="begin"/>
      </w:r>
      <w:r>
        <w:rPr>
          <w:color w:val="auto"/>
        </w:rPr>
        <w:instrText xml:space="preserve"> PAGEREF _Toc11259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78D7EE2F">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_Toc31082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二、竞争性比选文件</w:t>
      </w:r>
      <w:r>
        <w:rPr>
          <w:color w:val="auto"/>
        </w:rPr>
        <w:tab/>
      </w:r>
      <w:r>
        <w:rPr>
          <w:color w:val="auto"/>
        </w:rPr>
        <w:fldChar w:fldCharType="begin"/>
      </w:r>
      <w:r>
        <w:rPr>
          <w:color w:val="auto"/>
        </w:rPr>
        <w:instrText xml:space="preserve"> PAGEREF _Toc31082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25CF89F1">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_Toc21515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三、比选要求</w:t>
      </w:r>
      <w:r>
        <w:rPr>
          <w:color w:val="auto"/>
        </w:rPr>
        <w:tab/>
      </w:r>
      <w:r>
        <w:rPr>
          <w:color w:val="auto"/>
        </w:rPr>
        <w:fldChar w:fldCharType="begin"/>
      </w:r>
      <w:r>
        <w:rPr>
          <w:color w:val="auto"/>
        </w:rPr>
        <w:instrText xml:space="preserve"> PAGEREF _Toc21515 \h </w:instrText>
      </w:r>
      <w:r>
        <w:rPr>
          <w:color w:val="auto"/>
        </w:rPr>
        <w:fldChar w:fldCharType="separate"/>
      </w:r>
      <w:r>
        <w:rPr>
          <w:color w:val="auto"/>
        </w:rPr>
        <w:t>- 25 -</w:t>
      </w:r>
      <w:r>
        <w:rPr>
          <w:color w:val="auto"/>
        </w:rPr>
        <w:fldChar w:fldCharType="end"/>
      </w:r>
      <w:r>
        <w:rPr>
          <w:rFonts w:hint="eastAsia" w:ascii="仿宋" w:hAnsi="仿宋" w:eastAsia="仿宋" w:cs="仿宋"/>
          <w:color w:val="auto"/>
          <w:szCs w:val="28"/>
        </w:rPr>
        <w:fldChar w:fldCharType="end"/>
      </w:r>
    </w:p>
    <w:p w14:paraId="122F690D">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_Toc16466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四、成交供应商的确认和变更</w:t>
      </w:r>
      <w:r>
        <w:rPr>
          <w:color w:val="auto"/>
        </w:rPr>
        <w:tab/>
      </w:r>
      <w:r>
        <w:rPr>
          <w:color w:val="auto"/>
        </w:rPr>
        <w:fldChar w:fldCharType="begin"/>
      </w:r>
      <w:r>
        <w:rPr>
          <w:color w:val="auto"/>
        </w:rPr>
        <w:instrText xml:space="preserve"> PAGEREF _Toc16466 \h </w:instrText>
      </w:r>
      <w:r>
        <w:rPr>
          <w:color w:val="auto"/>
        </w:rPr>
        <w:fldChar w:fldCharType="separate"/>
      </w:r>
      <w:r>
        <w:rPr>
          <w:color w:val="auto"/>
        </w:rPr>
        <w:t>- 26 -</w:t>
      </w:r>
      <w:r>
        <w:rPr>
          <w:color w:val="auto"/>
        </w:rPr>
        <w:fldChar w:fldCharType="end"/>
      </w:r>
      <w:r>
        <w:rPr>
          <w:rFonts w:hint="eastAsia" w:ascii="仿宋" w:hAnsi="仿宋" w:eastAsia="仿宋" w:cs="仿宋"/>
          <w:color w:val="auto"/>
          <w:szCs w:val="28"/>
        </w:rPr>
        <w:fldChar w:fldCharType="end"/>
      </w:r>
    </w:p>
    <w:p w14:paraId="087FA99F">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_Toc30764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五、成交通知</w:t>
      </w:r>
      <w:r>
        <w:rPr>
          <w:color w:val="auto"/>
        </w:rPr>
        <w:tab/>
      </w:r>
      <w:r>
        <w:rPr>
          <w:color w:val="auto"/>
        </w:rPr>
        <w:fldChar w:fldCharType="begin"/>
      </w:r>
      <w:r>
        <w:rPr>
          <w:color w:val="auto"/>
        </w:rPr>
        <w:instrText xml:space="preserve"> PAGEREF _Toc30764 \h </w:instrText>
      </w:r>
      <w:r>
        <w:rPr>
          <w:color w:val="auto"/>
        </w:rPr>
        <w:fldChar w:fldCharType="separate"/>
      </w:r>
      <w:r>
        <w:rPr>
          <w:color w:val="auto"/>
        </w:rPr>
        <w:t>- 26 -</w:t>
      </w:r>
      <w:r>
        <w:rPr>
          <w:color w:val="auto"/>
        </w:rPr>
        <w:fldChar w:fldCharType="end"/>
      </w:r>
      <w:r>
        <w:rPr>
          <w:rFonts w:hint="eastAsia" w:ascii="仿宋" w:hAnsi="仿宋" w:eastAsia="仿宋" w:cs="仿宋"/>
          <w:color w:val="auto"/>
          <w:szCs w:val="28"/>
        </w:rPr>
        <w:fldChar w:fldCharType="end"/>
      </w:r>
    </w:p>
    <w:p w14:paraId="2254A88A">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_Toc18172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六、关于质疑和投诉</w:t>
      </w:r>
      <w:r>
        <w:rPr>
          <w:color w:val="auto"/>
        </w:rPr>
        <w:tab/>
      </w:r>
      <w:r>
        <w:rPr>
          <w:color w:val="auto"/>
        </w:rPr>
        <w:fldChar w:fldCharType="begin"/>
      </w:r>
      <w:r>
        <w:rPr>
          <w:color w:val="auto"/>
        </w:rPr>
        <w:instrText xml:space="preserve"> PAGEREF _Toc18172 \h </w:instrText>
      </w:r>
      <w:r>
        <w:rPr>
          <w:color w:val="auto"/>
        </w:rPr>
        <w:fldChar w:fldCharType="separate"/>
      </w:r>
      <w:r>
        <w:rPr>
          <w:color w:val="auto"/>
        </w:rPr>
        <w:t>- 26 -</w:t>
      </w:r>
      <w:r>
        <w:rPr>
          <w:color w:val="auto"/>
        </w:rPr>
        <w:fldChar w:fldCharType="end"/>
      </w:r>
      <w:r>
        <w:rPr>
          <w:rFonts w:hint="eastAsia" w:ascii="仿宋" w:hAnsi="仿宋" w:eastAsia="仿宋" w:cs="仿宋"/>
          <w:color w:val="auto"/>
          <w:szCs w:val="28"/>
        </w:rPr>
        <w:fldChar w:fldCharType="end"/>
      </w:r>
    </w:p>
    <w:p w14:paraId="3086068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_Toc29216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七、采购代理服务费</w:t>
      </w:r>
      <w:r>
        <w:rPr>
          <w:color w:val="auto"/>
        </w:rPr>
        <w:tab/>
      </w:r>
      <w:r>
        <w:rPr>
          <w:color w:val="auto"/>
        </w:rPr>
        <w:fldChar w:fldCharType="begin"/>
      </w:r>
      <w:r>
        <w:rPr>
          <w:color w:val="auto"/>
        </w:rPr>
        <w:instrText xml:space="preserve"> PAGEREF _Toc29216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396C333A">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_Toc31212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八、签订合同</w:t>
      </w:r>
      <w:r>
        <w:rPr>
          <w:color w:val="auto"/>
        </w:rPr>
        <w:tab/>
      </w:r>
      <w:r>
        <w:rPr>
          <w:color w:val="auto"/>
        </w:rPr>
        <w:fldChar w:fldCharType="begin"/>
      </w:r>
      <w:r>
        <w:rPr>
          <w:color w:val="auto"/>
        </w:rPr>
        <w:instrText xml:space="preserve"> PAGEREF _Toc31212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347D3A8D">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_Toc5908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九、项目验收</w:t>
      </w:r>
      <w:r>
        <w:rPr>
          <w:color w:val="auto"/>
        </w:rPr>
        <w:tab/>
      </w:r>
      <w:r>
        <w:rPr>
          <w:color w:val="auto"/>
        </w:rPr>
        <w:fldChar w:fldCharType="begin"/>
      </w:r>
      <w:r>
        <w:rPr>
          <w:color w:val="auto"/>
        </w:rPr>
        <w:instrText xml:space="preserve"> PAGEREF _Toc5908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4B18FCB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_Toc29027 </w:instrText>
      </w:r>
      <w:r>
        <w:rPr>
          <w:rFonts w:hint="eastAsia" w:ascii="仿宋" w:hAnsi="仿宋" w:eastAsia="仿宋" w:cs="仿宋"/>
          <w:color w:val="auto"/>
          <w:szCs w:val="28"/>
        </w:rPr>
        <w:fldChar w:fldCharType="separate"/>
      </w:r>
      <w:r>
        <w:rPr>
          <w:rFonts w:hint="eastAsia" w:ascii="仿宋" w:hAnsi="仿宋" w:eastAsia="仿宋" w:cs="仿宋"/>
          <w:color w:val="auto"/>
          <w:kern w:val="2"/>
        </w:rPr>
        <w:t>十、技术服务费</w:t>
      </w:r>
      <w:r>
        <w:rPr>
          <w:color w:val="auto"/>
        </w:rPr>
        <w:tab/>
      </w:r>
      <w:r>
        <w:rPr>
          <w:color w:val="auto"/>
        </w:rPr>
        <w:fldChar w:fldCharType="begin"/>
      </w:r>
      <w:r>
        <w:rPr>
          <w:color w:val="auto"/>
        </w:rPr>
        <w:instrText xml:space="preserve"> PAGEREF _Toc29027 \h </w:instrText>
      </w:r>
      <w:r>
        <w:rPr>
          <w:color w:val="auto"/>
        </w:rPr>
        <w:fldChar w:fldCharType="separate"/>
      </w:r>
      <w:r>
        <w:rPr>
          <w:color w:val="auto"/>
        </w:rPr>
        <w:t>- 28 -</w:t>
      </w:r>
      <w:r>
        <w:rPr>
          <w:color w:val="auto"/>
        </w:rPr>
        <w:fldChar w:fldCharType="end"/>
      </w:r>
      <w:r>
        <w:rPr>
          <w:rFonts w:hint="eastAsia" w:ascii="仿宋" w:hAnsi="仿宋" w:eastAsia="仿宋" w:cs="仿宋"/>
          <w:color w:val="auto"/>
          <w:szCs w:val="28"/>
        </w:rPr>
        <w:fldChar w:fldCharType="end"/>
      </w:r>
    </w:p>
    <w:p w14:paraId="155335EB">
      <w:pPr>
        <w:pStyle w:val="38"/>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_Toc7885 </w:instrText>
      </w:r>
      <w:r>
        <w:rPr>
          <w:rFonts w:hint="eastAsia" w:ascii="仿宋" w:hAnsi="仿宋" w:eastAsia="仿宋" w:cs="仿宋"/>
          <w:color w:val="auto"/>
          <w:szCs w:val="28"/>
        </w:rPr>
        <w:fldChar w:fldCharType="separate"/>
      </w:r>
      <w:r>
        <w:rPr>
          <w:rFonts w:hint="eastAsia" w:ascii="仿宋" w:hAnsi="仿宋" w:eastAsia="仿宋" w:cs="仿宋"/>
          <w:bCs/>
          <w:color w:val="auto"/>
          <w:szCs w:val="44"/>
        </w:rPr>
        <w:t>第六篇 合同草案条款和格式合同（样本）</w:t>
      </w:r>
      <w:r>
        <w:rPr>
          <w:color w:val="auto"/>
        </w:rPr>
        <w:tab/>
      </w:r>
      <w:r>
        <w:rPr>
          <w:color w:val="auto"/>
        </w:rPr>
        <w:fldChar w:fldCharType="begin"/>
      </w:r>
      <w:r>
        <w:rPr>
          <w:color w:val="auto"/>
        </w:rPr>
        <w:instrText xml:space="preserve"> PAGEREF _Toc7885 \h </w:instrText>
      </w:r>
      <w:r>
        <w:rPr>
          <w:color w:val="auto"/>
        </w:rPr>
        <w:fldChar w:fldCharType="separate"/>
      </w:r>
      <w:r>
        <w:rPr>
          <w:color w:val="auto"/>
        </w:rPr>
        <w:t>- 29 -</w:t>
      </w:r>
      <w:r>
        <w:rPr>
          <w:color w:val="auto"/>
        </w:rPr>
        <w:fldChar w:fldCharType="end"/>
      </w:r>
      <w:r>
        <w:rPr>
          <w:rFonts w:hint="eastAsia" w:ascii="仿宋" w:hAnsi="仿宋" w:eastAsia="仿宋" w:cs="仿宋"/>
          <w:color w:val="auto"/>
          <w:szCs w:val="28"/>
        </w:rPr>
        <w:fldChar w:fldCharType="end"/>
      </w:r>
    </w:p>
    <w:p w14:paraId="2AAE1C5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_Toc11390 </w:instrText>
      </w:r>
      <w:r>
        <w:rPr>
          <w:rFonts w:hint="eastAsia" w:ascii="仿宋" w:hAnsi="仿宋" w:eastAsia="仿宋" w:cs="仿宋"/>
          <w:color w:val="auto"/>
          <w:szCs w:val="28"/>
        </w:rPr>
        <w:fldChar w:fldCharType="separate"/>
      </w:r>
      <w:r>
        <w:rPr>
          <w:rFonts w:hint="eastAsia" w:ascii="仿宋" w:hAnsi="仿宋" w:eastAsia="仿宋" w:cs="仿宋"/>
          <w:color w:val="auto"/>
        </w:rPr>
        <w:t>一、合同说明</w:t>
      </w:r>
      <w:r>
        <w:rPr>
          <w:color w:val="auto"/>
        </w:rPr>
        <w:tab/>
      </w:r>
      <w:r>
        <w:rPr>
          <w:color w:val="auto"/>
        </w:rPr>
        <w:fldChar w:fldCharType="begin"/>
      </w:r>
      <w:r>
        <w:rPr>
          <w:color w:val="auto"/>
        </w:rPr>
        <w:instrText xml:space="preserve"> PAGEREF _Toc11390 \h </w:instrText>
      </w:r>
      <w:r>
        <w:rPr>
          <w:color w:val="auto"/>
        </w:rPr>
        <w:fldChar w:fldCharType="separate"/>
      </w:r>
      <w:r>
        <w:rPr>
          <w:color w:val="auto"/>
        </w:rPr>
        <w:t>- 29 -</w:t>
      </w:r>
      <w:r>
        <w:rPr>
          <w:color w:val="auto"/>
        </w:rPr>
        <w:fldChar w:fldCharType="end"/>
      </w:r>
      <w:r>
        <w:rPr>
          <w:rFonts w:hint="eastAsia" w:ascii="仿宋" w:hAnsi="仿宋" w:eastAsia="仿宋" w:cs="仿宋"/>
          <w:color w:val="auto"/>
          <w:szCs w:val="28"/>
        </w:rPr>
        <w:fldChar w:fldCharType="end"/>
      </w:r>
    </w:p>
    <w:p w14:paraId="263F189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_Toc8401 </w:instrText>
      </w:r>
      <w:r>
        <w:rPr>
          <w:rFonts w:hint="eastAsia" w:ascii="仿宋" w:hAnsi="仿宋" w:eastAsia="仿宋" w:cs="仿宋"/>
          <w:color w:val="auto"/>
          <w:szCs w:val="28"/>
        </w:rPr>
        <w:fldChar w:fldCharType="separate"/>
      </w:r>
      <w:r>
        <w:rPr>
          <w:rFonts w:hint="eastAsia" w:ascii="仿宋" w:hAnsi="仿宋" w:eastAsia="仿宋" w:cs="仿宋"/>
          <w:color w:val="auto"/>
        </w:rPr>
        <w:t>二、采购合同样本</w:t>
      </w:r>
      <w:r>
        <w:rPr>
          <w:color w:val="auto"/>
        </w:rPr>
        <w:tab/>
      </w:r>
      <w:r>
        <w:rPr>
          <w:color w:val="auto"/>
        </w:rPr>
        <w:fldChar w:fldCharType="begin"/>
      </w:r>
      <w:r>
        <w:rPr>
          <w:color w:val="auto"/>
        </w:rPr>
        <w:instrText xml:space="preserve"> PAGEREF _Toc8401 \h </w:instrText>
      </w:r>
      <w:r>
        <w:rPr>
          <w:color w:val="auto"/>
        </w:rPr>
        <w:fldChar w:fldCharType="separate"/>
      </w:r>
      <w:r>
        <w:rPr>
          <w:color w:val="auto"/>
        </w:rPr>
        <w:t>- 29 -</w:t>
      </w:r>
      <w:r>
        <w:rPr>
          <w:color w:val="auto"/>
        </w:rPr>
        <w:fldChar w:fldCharType="end"/>
      </w:r>
      <w:r>
        <w:rPr>
          <w:rFonts w:hint="eastAsia" w:ascii="仿宋" w:hAnsi="仿宋" w:eastAsia="仿宋" w:cs="仿宋"/>
          <w:color w:val="auto"/>
          <w:szCs w:val="28"/>
        </w:rPr>
        <w:fldChar w:fldCharType="end"/>
      </w:r>
    </w:p>
    <w:p w14:paraId="1D31DE79">
      <w:pPr>
        <w:pStyle w:val="38"/>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_Toc3607 </w:instrText>
      </w:r>
      <w:r>
        <w:rPr>
          <w:rFonts w:hint="eastAsia" w:ascii="仿宋" w:hAnsi="仿宋" w:eastAsia="仿宋" w:cs="仿宋"/>
          <w:color w:val="auto"/>
          <w:szCs w:val="28"/>
        </w:rPr>
        <w:fldChar w:fldCharType="separate"/>
      </w:r>
      <w:r>
        <w:rPr>
          <w:rFonts w:hint="eastAsia" w:ascii="仿宋" w:hAnsi="仿宋" w:eastAsia="仿宋" w:cs="仿宋"/>
          <w:bCs/>
          <w:color w:val="auto"/>
          <w:szCs w:val="44"/>
        </w:rPr>
        <w:t>第七篇 响应文件编制要求</w:t>
      </w:r>
      <w:r>
        <w:rPr>
          <w:color w:val="auto"/>
        </w:rPr>
        <w:tab/>
      </w:r>
      <w:r>
        <w:rPr>
          <w:color w:val="auto"/>
        </w:rPr>
        <w:fldChar w:fldCharType="begin"/>
      </w:r>
      <w:r>
        <w:rPr>
          <w:color w:val="auto"/>
        </w:rPr>
        <w:instrText xml:space="preserve"> PAGEREF _Toc3607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27A35AF8">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_Toc16441 </w:instrText>
      </w:r>
      <w:r>
        <w:rPr>
          <w:rFonts w:hint="eastAsia" w:ascii="仿宋" w:hAnsi="仿宋" w:eastAsia="仿宋" w:cs="仿宋"/>
          <w:color w:val="auto"/>
          <w:szCs w:val="28"/>
        </w:rPr>
        <w:fldChar w:fldCharType="separate"/>
      </w:r>
      <w:r>
        <w:rPr>
          <w:rFonts w:hint="eastAsia" w:ascii="仿宋" w:hAnsi="仿宋" w:eastAsia="仿宋" w:cs="仿宋"/>
          <w:color w:val="auto"/>
        </w:rPr>
        <w:t>一、经济部分</w:t>
      </w:r>
      <w:r>
        <w:rPr>
          <w:color w:val="auto"/>
        </w:rPr>
        <w:tab/>
      </w:r>
      <w:r>
        <w:rPr>
          <w:color w:val="auto"/>
        </w:rPr>
        <w:fldChar w:fldCharType="begin"/>
      </w:r>
      <w:r>
        <w:rPr>
          <w:color w:val="auto"/>
        </w:rPr>
        <w:instrText xml:space="preserve"> PAGEREF _Toc16441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446F71B0">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_Toc29156 </w:instrText>
      </w:r>
      <w:r>
        <w:rPr>
          <w:rFonts w:hint="eastAsia" w:ascii="仿宋" w:hAnsi="仿宋" w:eastAsia="仿宋" w:cs="仿宋"/>
          <w:color w:val="auto"/>
          <w:szCs w:val="28"/>
        </w:rPr>
        <w:fldChar w:fldCharType="separate"/>
      </w:r>
      <w:r>
        <w:rPr>
          <w:rFonts w:hint="eastAsia" w:ascii="仿宋" w:hAnsi="仿宋" w:eastAsia="仿宋" w:cs="仿宋"/>
          <w:color w:val="auto"/>
        </w:rPr>
        <w:t>二、技术部分</w:t>
      </w:r>
      <w:r>
        <w:rPr>
          <w:color w:val="auto"/>
        </w:rPr>
        <w:tab/>
      </w:r>
      <w:r>
        <w:rPr>
          <w:color w:val="auto"/>
        </w:rPr>
        <w:fldChar w:fldCharType="begin"/>
      </w:r>
      <w:r>
        <w:rPr>
          <w:color w:val="auto"/>
        </w:rPr>
        <w:instrText xml:space="preserve"> PAGEREF _Toc29156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55374162">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_Toc8926 </w:instrText>
      </w:r>
      <w:r>
        <w:rPr>
          <w:rFonts w:hint="eastAsia" w:ascii="仿宋" w:hAnsi="仿宋" w:eastAsia="仿宋" w:cs="仿宋"/>
          <w:color w:val="auto"/>
          <w:szCs w:val="28"/>
        </w:rPr>
        <w:fldChar w:fldCharType="separate"/>
      </w:r>
      <w:r>
        <w:rPr>
          <w:rFonts w:hint="eastAsia" w:ascii="仿宋" w:hAnsi="仿宋" w:eastAsia="仿宋" w:cs="仿宋"/>
          <w:color w:val="auto"/>
        </w:rPr>
        <w:t>三、商务部分</w:t>
      </w:r>
      <w:r>
        <w:rPr>
          <w:color w:val="auto"/>
        </w:rPr>
        <w:tab/>
      </w:r>
      <w:r>
        <w:rPr>
          <w:color w:val="auto"/>
        </w:rPr>
        <w:fldChar w:fldCharType="begin"/>
      </w:r>
      <w:r>
        <w:rPr>
          <w:color w:val="auto"/>
        </w:rPr>
        <w:instrText xml:space="preserve"> PAGEREF _Toc8926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7B1AD84B">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_Toc9071 </w:instrText>
      </w:r>
      <w:r>
        <w:rPr>
          <w:rFonts w:hint="eastAsia" w:ascii="仿宋" w:hAnsi="仿宋" w:eastAsia="仿宋" w:cs="仿宋"/>
          <w:color w:val="auto"/>
          <w:szCs w:val="28"/>
        </w:rPr>
        <w:fldChar w:fldCharType="separate"/>
      </w:r>
      <w:r>
        <w:rPr>
          <w:rFonts w:hint="eastAsia" w:ascii="仿宋" w:hAnsi="仿宋" w:eastAsia="仿宋" w:cs="仿宋"/>
          <w:color w:val="auto"/>
        </w:rPr>
        <w:t>四、资格条件</w:t>
      </w:r>
      <w:r>
        <w:rPr>
          <w:color w:val="auto"/>
        </w:rPr>
        <w:tab/>
      </w:r>
      <w:r>
        <w:rPr>
          <w:color w:val="auto"/>
        </w:rPr>
        <w:fldChar w:fldCharType="begin"/>
      </w:r>
      <w:r>
        <w:rPr>
          <w:color w:val="auto"/>
        </w:rPr>
        <w:instrText xml:space="preserve"> PAGEREF _Toc9071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278EB435">
      <w:pPr>
        <w:pStyle w:val="46"/>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_Toc30446 </w:instrText>
      </w:r>
      <w:r>
        <w:rPr>
          <w:rFonts w:hint="eastAsia" w:ascii="仿宋" w:hAnsi="仿宋" w:eastAsia="仿宋" w:cs="仿宋"/>
          <w:color w:val="auto"/>
          <w:szCs w:val="28"/>
        </w:rPr>
        <w:fldChar w:fldCharType="separate"/>
      </w:r>
      <w:r>
        <w:rPr>
          <w:rFonts w:hint="eastAsia" w:ascii="仿宋" w:hAnsi="仿宋" w:eastAsia="仿宋" w:cs="仿宋"/>
          <w:color w:val="auto"/>
        </w:rPr>
        <w:t>五、其他应提供的资料</w:t>
      </w:r>
      <w:r>
        <w:rPr>
          <w:color w:val="auto"/>
        </w:rPr>
        <w:tab/>
      </w:r>
      <w:r>
        <w:rPr>
          <w:color w:val="auto"/>
        </w:rPr>
        <w:fldChar w:fldCharType="begin"/>
      </w:r>
      <w:r>
        <w:rPr>
          <w:color w:val="auto"/>
        </w:rPr>
        <w:instrText xml:space="preserve"> PAGEREF _Toc30446 \h </w:instrText>
      </w:r>
      <w:r>
        <w:rPr>
          <w:color w:val="auto"/>
        </w:rPr>
        <w:fldChar w:fldCharType="separate"/>
      </w:r>
      <w:r>
        <w:rPr>
          <w:color w:val="auto"/>
        </w:rPr>
        <w:t>- 30 -</w:t>
      </w:r>
      <w:r>
        <w:rPr>
          <w:color w:val="auto"/>
        </w:rPr>
        <w:fldChar w:fldCharType="end"/>
      </w:r>
      <w:r>
        <w:rPr>
          <w:rFonts w:hint="eastAsia" w:ascii="仿宋" w:hAnsi="仿宋" w:eastAsia="仿宋" w:cs="仿宋"/>
          <w:color w:val="auto"/>
          <w:szCs w:val="28"/>
        </w:rPr>
        <w:fldChar w:fldCharType="end"/>
      </w:r>
    </w:p>
    <w:p w14:paraId="32FBCE6D">
      <w:pPr>
        <w:pStyle w:val="38"/>
        <w:tabs>
          <w:tab w:val="right" w:leader="dot" w:pos="9412"/>
        </w:tabs>
        <w:rPr>
          <w:color w:val="auto"/>
        </w:rPr>
      </w:pPr>
      <w:r>
        <w:rPr>
          <w:rFonts w:hint="eastAsia" w:ascii="仿宋" w:hAnsi="仿宋" w:eastAsia="仿宋" w:cs="仿宋"/>
          <w:color w:val="auto"/>
          <w:szCs w:val="28"/>
        </w:rPr>
        <w:fldChar w:fldCharType="begin"/>
      </w:r>
      <w:r>
        <w:rPr>
          <w:rFonts w:hint="eastAsia" w:ascii="仿宋" w:hAnsi="仿宋" w:eastAsia="仿宋" w:cs="仿宋"/>
          <w:color w:val="auto"/>
          <w:szCs w:val="28"/>
        </w:rPr>
        <w:instrText xml:space="preserve"> HYPERLINK \l _Toc3538 </w:instrText>
      </w:r>
      <w:r>
        <w:rPr>
          <w:rFonts w:hint="eastAsia" w:ascii="仿宋" w:hAnsi="仿宋" w:eastAsia="仿宋" w:cs="仿宋"/>
          <w:color w:val="auto"/>
          <w:szCs w:val="28"/>
        </w:rPr>
        <w:fldChar w:fldCharType="separate"/>
      </w:r>
      <w:r>
        <w:rPr>
          <w:rFonts w:hint="eastAsia" w:ascii="仿宋" w:hAnsi="仿宋" w:eastAsia="仿宋" w:cs="仿宋"/>
          <w:color w:val="auto"/>
          <w:szCs w:val="36"/>
        </w:rPr>
        <w:t>附件1：</w:t>
      </w:r>
      <w:r>
        <w:rPr>
          <w:color w:val="auto"/>
        </w:rPr>
        <w:tab/>
      </w:r>
      <w:r>
        <w:rPr>
          <w:color w:val="auto"/>
        </w:rPr>
        <w:fldChar w:fldCharType="begin"/>
      </w:r>
      <w:r>
        <w:rPr>
          <w:color w:val="auto"/>
        </w:rPr>
        <w:instrText xml:space="preserve"> PAGEREF _Toc3538 \h </w:instrText>
      </w:r>
      <w:r>
        <w:rPr>
          <w:color w:val="auto"/>
        </w:rPr>
        <w:fldChar w:fldCharType="separate"/>
      </w:r>
      <w:r>
        <w:rPr>
          <w:color w:val="auto"/>
        </w:rPr>
        <w:t>43</w:t>
      </w:r>
      <w:r>
        <w:rPr>
          <w:color w:val="auto"/>
        </w:rPr>
        <w:fldChar w:fldCharType="end"/>
      </w:r>
      <w:r>
        <w:rPr>
          <w:rFonts w:hint="eastAsia" w:ascii="仿宋" w:hAnsi="仿宋" w:eastAsia="仿宋" w:cs="仿宋"/>
          <w:color w:val="auto"/>
          <w:szCs w:val="28"/>
        </w:rPr>
        <w:fldChar w:fldCharType="end"/>
      </w:r>
    </w:p>
    <w:p w14:paraId="7C70999E">
      <w:pPr>
        <w:pStyle w:val="46"/>
        <w:tabs>
          <w:tab w:val="right" w:leader="dot" w:pos="9402"/>
        </w:tabs>
        <w:spacing w:line="440" w:lineRule="exact"/>
        <w:ind w:left="480"/>
        <w:rPr>
          <w:rFonts w:ascii="仿宋" w:hAnsi="仿宋" w:eastAsia="仿宋" w:cs="仿宋"/>
          <w:color w:val="auto"/>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454" w:footer="992" w:gutter="0"/>
          <w:pgNumType w:start="1"/>
          <w:cols w:space="720" w:num="1"/>
          <w:docGrid w:linePitch="381" w:charSpace="-5735"/>
        </w:sectPr>
      </w:pPr>
      <w:r>
        <w:rPr>
          <w:rFonts w:hint="eastAsia" w:ascii="仿宋" w:hAnsi="仿宋" w:eastAsia="仿宋" w:cs="仿宋"/>
          <w:color w:val="auto"/>
          <w:szCs w:val="28"/>
        </w:rPr>
        <w:fldChar w:fldCharType="end"/>
      </w:r>
    </w:p>
    <w:p w14:paraId="06C236C4">
      <w:pPr>
        <w:pStyle w:val="3"/>
        <w:spacing w:after="0" w:line="360" w:lineRule="auto"/>
        <w:jc w:val="center"/>
        <w:rPr>
          <w:rFonts w:ascii="仿宋" w:hAnsi="仿宋" w:eastAsia="仿宋" w:cs="仿宋"/>
          <w:bCs/>
          <w:color w:val="auto"/>
          <w:sz w:val="44"/>
          <w:szCs w:val="44"/>
        </w:rPr>
      </w:pPr>
      <w:bookmarkStart w:id="1" w:name="_Toc940"/>
      <w:bookmarkStart w:id="2" w:name="_Toc11641050"/>
      <w:bookmarkStart w:id="3" w:name="_Toc12789052"/>
      <w:r>
        <w:rPr>
          <w:rFonts w:hint="eastAsia" w:ascii="仿宋" w:hAnsi="仿宋" w:eastAsia="仿宋" w:cs="仿宋"/>
          <w:bCs/>
          <w:color w:val="auto"/>
          <w:sz w:val="44"/>
          <w:szCs w:val="44"/>
        </w:rPr>
        <w:t>第一篇  竞争性比选邀请书</w:t>
      </w:r>
      <w:bookmarkEnd w:id="1"/>
      <w:bookmarkEnd w:id="2"/>
      <w:bookmarkEnd w:id="3"/>
    </w:p>
    <w:p w14:paraId="63BBB420">
      <w:pPr>
        <w:spacing w:line="440" w:lineRule="exact"/>
        <w:ind w:firstLine="480" w:firstLineChars="200"/>
        <w:rPr>
          <w:rFonts w:ascii="仿宋" w:hAnsi="仿宋" w:eastAsia="仿宋" w:cs="仿宋"/>
          <w:color w:val="auto"/>
        </w:rPr>
      </w:pPr>
      <w:r>
        <w:rPr>
          <w:rFonts w:hint="eastAsia" w:ascii="仿宋" w:hAnsi="仿宋" w:eastAsia="仿宋" w:cs="仿宋"/>
          <w:color w:val="auto"/>
          <w:u w:val="single"/>
        </w:rPr>
        <w:t>重庆市汇昊招标代理有限公司</w:t>
      </w:r>
      <w:r>
        <w:rPr>
          <w:rFonts w:hint="eastAsia" w:ascii="仿宋" w:hAnsi="仿宋" w:eastAsia="仿宋" w:cs="仿宋"/>
          <w:color w:val="auto"/>
        </w:rPr>
        <w:t>受</w:t>
      </w:r>
      <w:r>
        <w:rPr>
          <w:rFonts w:hint="eastAsia" w:ascii="仿宋" w:hAnsi="仿宋" w:eastAsia="仿宋" w:cs="仿宋"/>
          <w:color w:val="auto"/>
          <w:u w:val="single"/>
          <w:lang w:eastAsia="zh-CN"/>
        </w:rPr>
        <w:t>重庆市南川区应急管理局</w:t>
      </w:r>
      <w:r>
        <w:rPr>
          <w:rFonts w:hint="eastAsia" w:ascii="仿宋" w:hAnsi="仿宋" w:eastAsia="仿宋" w:cs="仿宋"/>
          <w:color w:val="auto"/>
        </w:rPr>
        <w:t>的委托，对</w:t>
      </w:r>
      <w:r>
        <w:rPr>
          <w:rFonts w:hint="eastAsia" w:ascii="仿宋" w:hAnsi="仿宋" w:eastAsia="仿宋" w:cs="仿宋"/>
          <w:color w:val="auto"/>
          <w:u w:val="single"/>
          <w:lang w:eastAsia="zh-CN"/>
        </w:rPr>
        <w:t>南川区1个总体应急预案和9个专项应急预案修编项目</w:t>
      </w:r>
      <w:r>
        <w:rPr>
          <w:rFonts w:hint="eastAsia" w:ascii="仿宋" w:hAnsi="仿宋" w:eastAsia="仿宋" w:cs="仿宋"/>
          <w:color w:val="auto"/>
        </w:rPr>
        <w:t>进行竞争性比选采购，欢迎有资格的供应商参加比选。</w:t>
      </w:r>
    </w:p>
    <w:p w14:paraId="32FA0EEF">
      <w:pPr>
        <w:pStyle w:val="3"/>
        <w:widowControl w:val="0"/>
        <w:spacing w:before="0" w:after="0" w:line="500" w:lineRule="exact"/>
        <w:jc w:val="both"/>
        <w:rPr>
          <w:rFonts w:ascii="仿宋" w:hAnsi="仿宋" w:eastAsia="仿宋" w:cs="仿宋"/>
          <w:color w:val="auto"/>
          <w:kern w:val="2"/>
          <w:sz w:val="24"/>
        </w:rPr>
      </w:pPr>
      <w:bookmarkStart w:id="4" w:name="_Toc317775175"/>
      <w:bookmarkStart w:id="5" w:name="_Toc17575"/>
      <w:bookmarkStart w:id="6" w:name="_Toc313893526"/>
      <w:r>
        <w:rPr>
          <w:rFonts w:hint="eastAsia" w:ascii="仿宋" w:hAnsi="仿宋" w:eastAsia="仿宋" w:cs="仿宋"/>
          <w:color w:val="auto"/>
          <w:kern w:val="2"/>
          <w:sz w:val="24"/>
        </w:rPr>
        <w:t>一、竞争性比选内容</w:t>
      </w:r>
      <w:bookmarkEnd w:id="4"/>
      <w:bookmarkEnd w:id="5"/>
      <w:bookmarkEnd w:id="6"/>
    </w:p>
    <w:tbl>
      <w:tblPr>
        <w:tblStyle w:val="5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4"/>
        <w:gridCol w:w="1772"/>
        <w:gridCol w:w="1773"/>
        <w:gridCol w:w="2179"/>
      </w:tblGrid>
      <w:tr w14:paraId="635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74" w:type="dxa"/>
            <w:tcBorders>
              <w:top w:val="single" w:color="auto" w:sz="4" w:space="0"/>
              <w:left w:val="single" w:color="auto" w:sz="4" w:space="0"/>
              <w:right w:val="single" w:color="auto" w:sz="4" w:space="0"/>
            </w:tcBorders>
            <w:vAlign w:val="center"/>
          </w:tcPr>
          <w:p w14:paraId="3E1BC276">
            <w:pPr>
              <w:pStyle w:val="23"/>
              <w:spacing w:line="440" w:lineRule="exact"/>
              <w:ind w:left="0"/>
              <w:jc w:val="center"/>
              <w:outlineLvl w:val="0"/>
              <w:rPr>
                <w:rFonts w:ascii="仿宋" w:hAnsi="仿宋" w:eastAsia="仿宋" w:cs="仿宋"/>
                <w:b/>
                <w:bCs/>
                <w:color w:val="auto"/>
                <w:sz w:val="24"/>
                <w:szCs w:val="32"/>
              </w:rPr>
            </w:pPr>
            <w:r>
              <w:rPr>
                <w:rFonts w:hint="eastAsia" w:ascii="仿宋" w:hAnsi="仿宋" w:eastAsia="仿宋" w:cs="仿宋"/>
                <w:b/>
                <w:color w:val="auto"/>
                <w:sz w:val="24"/>
              </w:rPr>
              <w:t>项目名称</w:t>
            </w:r>
          </w:p>
        </w:tc>
        <w:tc>
          <w:tcPr>
            <w:tcW w:w="1772" w:type="dxa"/>
            <w:tcBorders>
              <w:top w:val="single" w:color="auto" w:sz="4" w:space="0"/>
              <w:left w:val="single" w:color="auto" w:sz="4" w:space="0"/>
              <w:right w:val="single" w:color="auto" w:sz="4" w:space="0"/>
            </w:tcBorders>
            <w:vAlign w:val="center"/>
          </w:tcPr>
          <w:p w14:paraId="4A000853">
            <w:pPr>
              <w:spacing w:line="380" w:lineRule="exact"/>
              <w:jc w:val="center"/>
              <w:rPr>
                <w:rFonts w:ascii="仿宋" w:hAnsi="仿宋" w:eastAsia="仿宋" w:cs="仿宋"/>
                <w:b/>
                <w:color w:val="auto"/>
              </w:rPr>
            </w:pPr>
            <w:r>
              <w:rPr>
                <w:rFonts w:hint="eastAsia" w:ascii="仿宋" w:hAnsi="仿宋" w:eastAsia="仿宋" w:cs="仿宋"/>
                <w:b/>
                <w:color w:val="auto"/>
              </w:rPr>
              <w:t>预算金额</w:t>
            </w:r>
          </w:p>
          <w:p w14:paraId="7E4C41B9">
            <w:pPr>
              <w:spacing w:line="380" w:lineRule="exact"/>
              <w:jc w:val="center"/>
              <w:rPr>
                <w:rFonts w:ascii="仿宋" w:hAnsi="仿宋" w:eastAsia="仿宋" w:cs="仿宋"/>
                <w:b/>
                <w:color w:val="auto"/>
              </w:rPr>
            </w:pPr>
            <w:r>
              <w:rPr>
                <w:rFonts w:hint="eastAsia" w:ascii="仿宋" w:hAnsi="仿宋" w:eastAsia="仿宋" w:cs="仿宋"/>
                <w:b/>
                <w:color w:val="auto"/>
              </w:rPr>
              <w:t>（元）</w:t>
            </w:r>
          </w:p>
        </w:tc>
        <w:tc>
          <w:tcPr>
            <w:tcW w:w="1773" w:type="dxa"/>
            <w:tcBorders>
              <w:top w:val="single" w:color="auto" w:sz="4" w:space="0"/>
              <w:left w:val="single" w:color="auto" w:sz="4" w:space="0"/>
              <w:right w:val="single" w:color="auto" w:sz="4" w:space="0"/>
            </w:tcBorders>
            <w:vAlign w:val="center"/>
          </w:tcPr>
          <w:p w14:paraId="4E8253C9">
            <w:pPr>
              <w:spacing w:line="380" w:lineRule="exact"/>
              <w:jc w:val="center"/>
              <w:rPr>
                <w:rFonts w:ascii="仿宋" w:hAnsi="仿宋" w:eastAsia="仿宋" w:cs="仿宋"/>
                <w:b/>
                <w:color w:val="auto"/>
              </w:rPr>
            </w:pPr>
            <w:r>
              <w:rPr>
                <w:rFonts w:hint="eastAsia" w:ascii="仿宋" w:hAnsi="仿宋" w:eastAsia="仿宋" w:cs="仿宋"/>
                <w:b/>
                <w:color w:val="auto"/>
              </w:rPr>
              <w:t>最高限价</w:t>
            </w:r>
          </w:p>
          <w:p w14:paraId="78D53057">
            <w:pPr>
              <w:jc w:val="center"/>
              <w:rPr>
                <w:rFonts w:ascii="仿宋" w:hAnsi="仿宋" w:eastAsia="仿宋" w:cs="仿宋"/>
                <w:b/>
                <w:color w:val="auto"/>
              </w:rPr>
            </w:pPr>
            <w:r>
              <w:rPr>
                <w:rFonts w:hint="eastAsia" w:ascii="仿宋" w:hAnsi="仿宋" w:eastAsia="仿宋" w:cs="仿宋"/>
                <w:b/>
                <w:color w:val="auto"/>
              </w:rPr>
              <w:t>（元）</w:t>
            </w:r>
          </w:p>
        </w:tc>
        <w:tc>
          <w:tcPr>
            <w:tcW w:w="2179" w:type="dxa"/>
            <w:tcBorders>
              <w:top w:val="single" w:color="auto" w:sz="4" w:space="0"/>
              <w:left w:val="single" w:color="auto" w:sz="4" w:space="0"/>
              <w:right w:val="single" w:color="auto" w:sz="4" w:space="0"/>
            </w:tcBorders>
            <w:vAlign w:val="center"/>
          </w:tcPr>
          <w:p w14:paraId="25AC7025">
            <w:pPr>
              <w:pStyle w:val="23"/>
              <w:spacing w:line="440" w:lineRule="exact"/>
              <w:ind w:left="0"/>
              <w:jc w:val="center"/>
              <w:outlineLvl w:val="0"/>
              <w:rPr>
                <w:rFonts w:ascii="仿宋" w:hAnsi="仿宋" w:eastAsia="仿宋" w:cs="仿宋"/>
                <w:b/>
                <w:color w:val="auto"/>
                <w:sz w:val="24"/>
              </w:rPr>
            </w:pPr>
            <w:r>
              <w:rPr>
                <w:rFonts w:hint="eastAsia" w:ascii="仿宋" w:hAnsi="仿宋" w:eastAsia="仿宋" w:cs="仿宋"/>
                <w:b/>
                <w:color w:val="auto"/>
                <w:sz w:val="24"/>
              </w:rPr>
              <w:t>成交供应商数量（名）</w:t>
            </w:r>
          </w:p>
        </w:tc>
      </w:tr>
      <w:tr w14:paraId="33B9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4074" w:type="dxa"/>
            <w:tcBorders>
              <w:top w:val="single" w:color="auto" w:sz="4" w:space="0"/>
              <w:left w:val="single" w:color="auto" w:sz="4" w:space="0"/>
              <w:bottom w:val="single" w:color="auto" w:sz="4" w:space="0"/>
              <w:right w:val="single" w:color="auto" w:sz="4" w:space="0"/>
            </w:tcBorders>
            <w:vAlign w:val="center"/>
          </w:tcPr>
          <w:p w14:paraId="1B23A782">
            <w:pPr>
              <w:spacing w:line="440" w:lineRule="exact"/>
              <w:jc w:val="center"/>
              <w:rPr>
                <w:rFonts w:hint="eastAsia" w:ascii="仿宋" w:hAnsi="仿宋" w:eastAsia="仿宋" w:cs="仿宋"/>
                <w:color w:val="auto"/>
                <w:szCs w:val="32"/>
                <w:lang w:eastAsia="zh-CN"/>
              </w:rPr>
            </w:pPr>
            <w:bookmarkStart w:id="7" w:name="_Hlk344477914"/>
            <w:r>
              <w:rPr>
                <w:rFonts w:hint="eastAsia" w:ascii="仿宋" w:hAnsi="仿宋" w:eastAsia="仿宋" w:cs="仿宋"/>
                <w:color w:val="auto"/>
                <w:szCs w:val="32"/>
                <w:lang w:eastAsia="zh-CN"/>
              </w:rPr>
              <w:t>南川区1个总体应急预案和9个专项应急预案修编项目</w:t>
            </w:r>
          </w:p>
        </w:tc>
        <w:tc>
          <w:tcPr>
            <w:tcW w:w="1772" w:type="dxa"/>
            <w:tcBorders>
              <w:top w:val="single" w:color="auto" w:sz="4" w:space="0"/>
              <w:left w:val="single" w:color="auto" w:sz="4" w:space="0"/>
              <w:bottom w:val="single" w:color="auto" w:sz="4" w:space="0"/>
              <w:right w:val="single" w:color="auto" w:sz="4" w:space="0"/>
            </w:tcBorders>
            <w:vAlign w:val="center"/>
          </w:tcPr>
          <w:p w14:paraId="41DDEA7D">
            <w:pPr>
              <w:spacing w:line="440" w:lineRule="exact"/>
              <w:jc w:val="center"/>
              <w:rPr>
                <w:rFonts w:ascii="仿宋" w:hAnsi="仿宋" w:eastAsia="仿宋" w:cs="仿宋"/>
                <w:color w:val="auto"/>
                <w:szCs w:val="32"/>
              </w:rPr>
            </w:pPr>
            <w:r>
              <w:rPr>
                <w:rFonts w:hint="eastAsia" w:ascii="仿宋" w:hAnsi="仿宋" w:eastAsia="仿宋" w:cs="仿宋"/>
                <w:color w:val="auto"/>
                <w:szCs w:val="32"/>
                <w:lang w:val="en-US" w:eastAsia="zh-CN"/>
              </w:rPr>
              <w:t>250</w:t>
            </w:r>
            <w:r>
              <w:rPr>
                <w:rFonts w:hint="eastAsia" w:ascii="仿宋" w:hAnsi="仿宋" w:eastAsia="仿宋" w:cs="仿宋"/>
                <w:color w:val="auto"/>
                <w:szCs w:val="32"/>
              </w:rPr>
              <w:t>000.00</w:t>
            </w:r>
          </w:p>
        </w:tc>
        <w:tc>
          <w:tcPr>
            <w:tcW w:w="1773" w:type="dxa"/>
            <w:tcBorders>
              <w:top w:val="single" w:color="auto" w:sz="4" w:space="0"/>
              <w:left w:val="single" w:color="auto" w:sz="4" w:space="0"/>
              <w:bottom w:val="single" w:color="auto" w:sz="4" w:space="0"/>
              <w:right w:val="single" w:color="auto" w:sz="4" w:space="0"/>
            </w:tcBorders>
            <w:vAlign w:val="center"/>
          </w:tcPr>
          <w:p w14:paraId="79798317">
            <w:pPr>
              <w:spacing w:line="440" w:lineRule="exact"/>
              <w:jc w:val="center"/>
              <w:rPr>
                <w:rFonts w:ascii="仿宋" w:hAnsi="仿宋" w:eastAsia="仿宋" w:cs="仿宋"/>
                <w:color w:val="auto"/>
                <w:szCs w:val="32"/>
              </w:rPr>
            </w:pPr>
            <w:r>
              <w:rPr>
                <w:rFonts w:hint="eastAsia" w:ascii="仿宋" w:hAnsi="仿宋" w:eastAsia="仿宋" w:cs="仿宋"/>
                <w:color w:val="auto"/>
                <w:szCs w:val="32"/>
                <w:lang w:val="en-US" w:eastAsia="zh-CN"/>
              </w:rPr>
              <w:t>250</w:t>
            </w:r>
            <w:r>
              <w:rPr>
                <w:rFonts w:hint="eastAsia" w:ascii="仿宋" w:hAnsi="仿宋" w:eastAsia="仿宋" w:cs="仿宋"/>
                <w:color w:val="auto"/>
                <w:szCs w:val="32"/>
              </w:rPr>
              <w:t>000.00</w:t>
            </w:r>
          </w:p>
        </w:tc>
        <w:tc>
          <w:tcPr>
            <w:tcW w:w="2179" w:type="dxa"/>
            <w:tcBorders>
              <w:top w:val="single" w:color="auto" w:sz="4" w:space="0"/>
              <w:left w:val="single" w:color="auto" w:sz="4" w:space="0"/>
              <w:bottom w:val="single" w:color="auto" w:sz="4" w:space="0"/>
              <w:right w:val="single" w:color="auto" w:sz="4" w:space="0"/>
            </w:tcBorders>
            <w:vAlign w:val="center"/>
          </w:tcPr>
          <w:p w14:paraId="45A706B6">
            <w:pPr>
              <w:spacing w:line="440" w:lineRule="exact"/>
              <w:jc w:val="center"/>
              <w:rPr>
                <w:rFonts w:ascii="仿宋" w:hAnsi="仿宋" w:eastAsia="仿宋" w:cs="仿宋"/>
                <w:color w:val="auto"/>
                <w:szCs w:val="32"/>
              </w:rPr>
            </w:pPr>
            <w:r>
              <w:rPr>
                <w:rFonts w:hint="eastAsia" w:ascii="仿宋" w:hAnsi="仿宋" w:eastAsia="仿宋" w:cs="仿宋"/>
                <w:color w:val="auto"/>
                <w:szCs w:val="32"/>
              </w:rPr>
              <w:t>1</w:t>
            </w:r>
          </w:p>
        </w:tc>
      </w:tr>
      <w:bookmarkEnd w:id="7"/>
    </w:tbl>
    <w:p w14:paraId="6649C92D">
      <w:pPr>
        <w:pStyle w:val="3"/>
        <w:widowControl w:val="0"/>
        <w:spacing w:before="0" w:after="0" w:line="500" w:lineRule="exact"/>
        <w:jc w:val="both"/>
        <w:rPr>
          <w:rFonts w:ascii="仿宋" w:hAnsi="仿宋" w:eastAsia="仿宋" w:cs="仿宋"/>
          <w:color w:val="auto"/>
          <w:kern w:val="2"/>
          <w:sz w:val="24"/>
        </w:rPr>
      </w:pPr>
      <w:bookmarkStart w:id="8" w:name="_Toc8542"/>
      <w:bookmarkStart w:id="9" w:name="_Toc373860293"/>
      <w:bookmarkStart w:id="10" w:name="_Toc317775178"/>
      <w:r>
        <w:rPr>
          <w:rFonts w:hint="eastAsia" w:ascii="仿宋" w:hAnsi="仿宋" w:eastAsia="仿宋" w:cs="仿宋"/>
          <w:color w:val="auto"/>
          <w:kern w:val="2"/>
          <w:sz w:val="24"/>
        </w:rPr>
        <w:t>二、资金来源</w:t>
      </w:r>
      <w:bookmarkEnd w:id="8"/>
    </w:p>
    <w:p w14:paraId="37B7A594">
      <w:pPr>
        <w:spacing w:line="440" w:lineRule="exact"/>
        <w:ind w:firstLine="480" w:firstLineChars="200"/>
        <w:rPr>
          <w:rFonts w:ascii="仿宋" w:hAnsi="仿宋" w:eastAsia="仿宋" w:cs="仿宋"/>
          <w:color w:val="auto"/>
        </w:rPr>
      </w:pPr>
      <w:r>
        <w:rPr>
          <w:rFonts w:hint="eastAsia" w:ascii="仿宋" w:hAnsi="仿宋" w:eastAsia="仿宋" w:cs="仿宋"/>
          <w:color w:val="auto"/>
        </w:rPr>
        <w:t>财政资金。</w:t>
      </w:r>
    </w:p>
    <w:p w14:paraId="1B57FDA1">
      <w:pPr>
        <w:pStyle w:val="3"/>
        <w:widowControl w:val="0"/>
        <w:spacing w:before="0" w:after="0" w:line="500" w:lineRule="exact"/>
        <w:jc w:val="both"/>
        <w:rPr>
          <w:rFonts w:ascii="仿宋" w:hAnsi="仿宋" w:eastAsia="仿宋" w:cs="仿宋"/>
          <w:color w:val="auto"/>
          <w:kern w:val="2"/>
          <w:sz w:val="24"/>
        </w:rPr>
      </w:pPr>
      <w:bookmarkStart w:id="11" w:name="_Toc22837"/>
      <w:r>
        <w:rPr>
          <w:rFonts w:hint="eastAsia" w:ascii="仿宋" w:hAnsi="仿宋" w:eastAsia="仿宋" w:cs="仿宋"/>
          <w:color w:val="auto"/>
          <w:kern w:val="2"/>
          <w:sz w:val="24"/>
        </w:rPr>
        <w:t>三、比选供应商资格条件</w:t>
      </w:r>
      <w:bookmarkEnd w:id="11"/>
    </w:p>
    <w:p w14:paraId="19A9BB51">
      <w:pPr>
        <w:spacing w:line="440" w:lineRule="exact"/>
        <w:ind w:firstLine="480" w:firstLineChars="200"/>
        <w:rPr>
          <w:rFonts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1F83E440">
      <w:pPr>
        <w:spacing w:line="440" w:lineRule="exact"/>
        <w:ind w:firstLine="480" w:firstLineChars="200"/>
        <w:rPr>
          <w:rFonts w:ascii="仿宋" w:hAnsi="仿宋" w:eastAsia="仿宋" w:cs="仿宋"/>
          <w:color w:val="auto"/>
        </w:rPr>
      </w:pPr>
      <w:r>
        <w:rPr>
          <w:rFonts w:hint="eastAsia" w:ascii="仿宋" w:hAnsi="仿宋" w:eastAsia="仿宋" w:cs="仿宋"/>
          <w:color w:val="auto"/>
        </w:rPr>
        <w:t>（一）一般资格条件</w:t>
      </w:r>
    </w:p>
    <w:p w14:paraId="21D82C37">
      <w:pPr>
        <w:spacing w:line="440" w:lineRule="exact"/>
        <w:ind w:firstLine="480" w:firstLineChars="200"/>
        <w:rPr>
          <w:rFonts w:ascii="仿宋" w:hAnsi="仿宋" w:eastAsia="仿宋" w:cs="仿宋"/>
          <w:color w:val="auto"/>
        </w:rPr>
      </w:pPr>
      <w:r>
        <w:rPr>
          <w:rFonts w:hint="eastAsia" w:ascii="仿宋" w:hAnsi="仿宋" w:eastAsia="仿宋" w:cs="仿宋"/>
          <w:color w:val="auto"/>
        </w:rPr>
        <w:t>1.具有独立法人资格，持有有效营业执照或事业单位法人证书；</w:t>
      </w:r>
    </w:p>
    <w:p w14:paraId="7D24FFF6">
      <w:pPr>
        <w:spacing w:line="440" w:lineRule="exact"/>
        <w:ind w:firstLine="480" w:firstLineChars="200"/>
        <w:rPr>
          <w:rFonts w:ascii="仿宋" w:hAnsi="仿宋" w:eastAsia="仿宋" w:cs="仿宋"/>
          <w:color w:val="auto"/>
        </w:rPr>
      </w:pPr>
      <w:r>
        <w:rPr>
          <w:rFonts w:hint="eastAsia" w:ascii="仿宋" w:hAnsi="仿宋" w:eastAsia="仿宋" w:cs="仿宋"/>
          <w:color w:val="auto"/>
        </w:rPr>
        <w:t>2.具备履行合同所需的专业技术能力，信息技术服务，人才培养，软件支持等；</w:t>
      </w:r>
    </w:p>
    <w:p w14:paraId="0F7C733C">
      <w:pPr>
        <w:spacing w:line="440" w:lineRule="exact"/>
        <w:ind w:firstLine="480" w:firstLineChars="200"/>
        <w:rPr>
          <w:rFonts w:ascii="仿宋" w:hAnsi="仿宋" w:eastAsia="仿宋" w:cs="仿宋"/>
          <w:color w:val="auto"/>
        </w:rPr>
      </w:pPr>
      <w:r>
        <w:rPr>
          <w:rFonts w:hint="eastAsia" w:ascii="仿宋" w:hAnsi="仿宋" w:eastAsia="仿宋" w:cs="仿宋"/>
          <w:color w:val="auto"/>
        </w:rPr>
        <w:t>3.财务状况良好，具有依法缴纳税收和社会保障资金的良好记录；</w:t>
      </w:r>
    </w:p>
    <w:p w14:paraId="345D89CF">
      <w:pPr>
        <w:spacing w:line="440" w:lineRule="exact"/>
        <w:ind w:firstLine="480" w:firstLineChars="200"/>
        <w:rPr>
          <w:rFonts w:ascii="仿宋" w:hAnsi="仿宋" w:eastAsia="仿宋" w:cs="仿宋"/>
          <w:color w:val="auto"/>
        </w:rPr>
      </w:pPr>
      <w:r>
        <w:rPr>
          <w:rFonts w:hint="eastAsia" w:ascii="仿宋" w:hAnsi="仿宋" w:eastAsia="仿宋" w:cs="仿宋"/>
          <w:color w:val="auto"/>
        </w:rPr>
        <w:t>4.参加政府采购活动前三年内无重大违法记录；</w:t>
      </w:r>
    </w:p>
    <w:p w14:paraId="037C88D8">
      <w:pPr>
        <w:spacing w:line="440" w:lineRule="exact"/>
        <w:ind w:firstLine="480" w:firstLineChars="200"/>
        <w:rPr>
          <w:rFonts w:ascii="仿宋" w:hAnsi="仿宋" w:eastAsia="仿宋" w:cs="仿宋"/>
          <w:color w:val="auto"/>
        </w:rPr>
      </w:pPr>
      <w:r>
        <w:rPr>
          <w:rFonts w:hint="eastAsia" w:ascii="仿宋" w:hAnsi="仿宋" w:eastAsia="仿宋" w:cs="仿宋"/>
          <w:color w:val="auto"/>
        </w:rPr>
        <w:t>5.未被列入“信用中国”等平台失信名单；</w:t>
      </w:r>
    </w:p>
    <w:p w14:paraId="5B9A7440">
      <w:pPr>
        <w:spacing w:line="440" w:lineRule="exact"/>
        <w:ind w:firstLine="480" w:firstLineChars="200"/>
        <w:rPr>
          <w:rFonts w:ascii="仿宋" w:hAnsi="仿宋" w:eastAsia="仿宋" w:cs="仿宋"/>
          <w:color w:val="auto"/>
        </w:rPr>
      </w:pPr>
      <w:r>
        <w:rPr>
          <w:rFonts w:hint="eastAsia" w:ascii="仿宋" w:hAnsi="仿宋" w:eastAsia="仿宋" w:cs="仿宋"/>
          <w:color w:val="auto"/>
        </w:rPr>
        <w:t>6.本项目不接受联合体参与，不得转包或分包</w:t>
      </w:r>
      <w:r>
        <w:rPr>
          <w:rFonts w:hint="eastAsia" w:ascii="仿宋" w:hAnsi="仿宋" w:eastAsia="仿宋" w:cs="仿宋"/>
          <w:color w:val="auto"/>
        </w:rPr>
        <w:tab/>
      </w:r>
    </w:p>
    <w:p w14:paraId="4F6A946A">
      <w:pPr>
        <w:spacing w:line="440" w:lineRule="exact"/>
        <w:ind w:firstLine="480" w:firstLineChars="200"/>
        <w:rPr>
          <w:rFonts w:ascii="仿宋" w:hAnsi="仿宋" w:eastAsia="仿宋" w:cs="仿宋"/>
          <w:color w:val="auto"/>
        </w:rPr>
      </w:pPr>
      <w:r>
        <w:rPr>
          <w:rFonts w:hint="eastAsia" w:ascii="仿宋" w:hAnsi="仿宋" w:eastAsia="仿宋" w:cs="仿宋"/>
          <w:color w:val="auto"/>
        </w:rPr>
        <w:t>（二）特定资格条件：</w:t>
      </w:r>
    </w:p>
    <w:p w14:paraId="46CC8631">
      <w:pPr>
        <w:spacing w:line="440" w:lineRule="exact"/>
        <w:ind w:firstLine="480" w:firstLineChars="200"/>
        <w:rPr>
          <w:rFonts w:ascii="仿宋" w:hAnsi="仿宋" w:eastAsia="仿宋" w:cs="仿宋"/>
          <w:color w:val="auto"/>
        </w:rPr>
      </w:pPr>
      <w:r>
        <w:rPr>
          <w:rFonts w:hint="eastAsia" w:ascii="仿宋" w:hAnsi="仿宋" w:eastAsia="仿宋" w:cs="仿宋"/>
          <w:color w:val="auto"/>
        </w:rPr>
        <w:t>无。</w:t>
      </w:r>
    </w:p>
    <w:p w14:paraId="2F44DDEB">
      <w:pPr>
        <w:pStyle w:val="3"/>
        <w:widowControl w:val="0"/>
        <w:spacing w:before="0" w:after="0" w:line="500" w:lineRule="exact"/>
        <w:jc w:val="both"/>
        <w:rPr>
          <w:rFonts w:ascii="仿宋" w:hAnsi="仿宋" w:eastAsia="仿宋" w:cs="仿宋"/>
          <w:color w:val="auto"/>
          <w:kern w:val="2"/>
          <w:sz w:val="24"/>
        </w:rPr>
      </w:pPr>
      <w:bookmarkStart w:id="12" w:name="_Toc236"/>
      <w:r>
        <w:rPr>
          <w:rFonts w:hint="eastAsia" w:ascii="仿宋" w:hAnsi="仿宋" w:eastAsia="仿宋" w:cs="仿宋"/>
          <w:color w:val="auto"/>
          <w:kern w:val="2"/>
          <w:sz w:val="24"/>
        </w:rPr>
        <w:t>四、比选有关说明</w:t>
      </w:r>
      <w:bookmarkEnd w:id="9"/>
      <w:bookmarkEnd w:id="12"/>
    </w:p>
    <w:p w14:paraId="00024B3B">
      <w:pPr>
        <w:spacing w:line="440" w:lineRule="exact"/>
        <w:ind w:firstLine="480" w:firstLineChars="200"/>
        <w:rPr>
          <w:rFonts w:ascii="仿宋" w:hAnsi="仿宋" w:eastAsia="仿宋" w:cs="仿宋"/>
          <w:color w:val="auto"/>
        </w:rPr>
      </w:pPr>
      <w:bookmarkStart w:id="13" w:name="_Toc373860294"/>
      <w:r>
        <w:rPr>
          <w:rFonts w:hint="eastAsia" w:ascii="仿宋" w:hAnsi="仿宋" w:eastAsia="仿宋" w:cs="仿宋"/>
          <w:color w:val="auto"/>
        </w:rPr>
        <w:t>（一）凡有意参加比选的供应商，请在“行采家（www.gec123.com）”下载本项目竞争性比选文件以及图纸、澄清等比选前公布的所有项目资料，无论供应商下载或领取与否，均视为已知晓所有比选实质性要求内容。</w:t>
      </w:r>
    </w:p>
    <w:p w14:paraId="730CB527">
      <w:pPr>
        <w:spacing w:line="440" w:lineRule="exact"/>
        <w:ind w:firstLine="480" w:firstLineChars="200"/>
        <w:rPr>
          <w:rFonts w:ascii="仿宋" w:hAnsi="仿宋" w:eastAsia="仿宋" w:cs="仿宋"/>
          <w:color w:val="auto"/>
        </w:rPr>
      </w:pPr>
      <w:r>
        <w:rPr>
          <w:rFonts w:hint="eastAsia" w:ascii="仿宋" w:hAnsi="仿宋" w:eastAsia="仿宋" w:cs="仿宋"/>
          <w:color w:val="auto"/>
        </w:rPr>
        <w:t>（二）比选文件公告期限：</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日-2026年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color w:val="auto"/>
        </w:rPr>
        <w:t>（开标前，工作时间）。</w:t>
      </w:r>
    </w:p>
    <w:p w14:paraId="498E8524">
      <w:pPr>
        <w:spacing w:line="440" w:lineRule="exact"/>
        <w:ind w:firstLine="480" w:firstLineChars="200"/>
        <w:rPr>
          <w:rFonts w:ascii="仿宋" w:hAnsi="仿宋" w:eastAsia="仿宋" w:cs="仿宋"/>
          <w:color w:val="auto"/>
        </w:rPr>
      </w:pPr>
      <w:r>
        <w:rPr>
          <w:rFonts w:hint="eastAsia" w:ascii="仿宋" w:hAnsi="仿宋" w:eastAsia="仿宋" w:cs="仿宋"/>
          <w:color w:val="auto"/>
        </w:rPr>
        <w:t>（三）文件购买费：招标文件购买费为300元/分包（售后不退）。</w:t>
      </w:r>
    </w:p>
    <w:p w14:paraId="7B9693F6">
      <w:pPr>
        <w:spacing w:line="440" w:lineRule="exact"/>
        <w:ind w:firstLine="480" w:firstLineChars="200"/>
        <w:rPr>
          <w:rFonts w:ascii="仿宋" w:hAnsi="仿宋" w:eastAsia="仿宋" w:cs="仿宋"/>
          <w:color w:val="auto"/>
        </w:rPr>
      </w:pPr>
      <w:r>
        <w:rPr>
          <w:rFonts w:hint="eastAsia" w:ascii="仿宋" w:hAnsi="仿宋" w:eastAsia="仿宋" w:cs="仿宋"/>
          <w:color w:val="auto"/>
        </w:rPr>
        <w:t>1.招标文件购买方式</w:t>
      </w:r>
    </w:p>
    <w:p w14:paraId="5AB7350F">
      <w:pPr>
        <w:spacing w:line="440" w:lineRule="exact"/>
        <w:ind w:firstLine="480" w:firstLineChars="200"/>
        <w:rPr>
          <w:rFonts w:ascii="仿宋" w:hAnsi="仿宋" w:eastAsia="仿宋" w:cs="仿宋"/>
          <w:color w:val="auto"/>
        </w:rPr>
      </w:pPr>
      <w:r>
        <w:rPr>
          <w:rFonts w:hint="eastAsia" w:ascii="仿宋" w:hAnsi="仿宋" w:eastAsia="仿宋" w:cs="仿宋"/>
          <w:color w:val="auto"/>
        </w:rPr>
        <w:t>1.1汇款购买</w:t>
      </w:r>
    </w:p>
    <w:p w14:paraId="417B617B">
      <w:pPr>
        <w:spacing w:line="440" w:lineRule="exact"/>
        <w:ind w:firstLine="480" w:firstLineChars="200"/>
        <w:rPr>
          <w:rFonts w:ascii="仿宋" w:hAnsi="仿宋" w:eastAsia="仿宋" w:cs="仿宋"/>
          <w:color w:val="auto"/>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在比选文件发售期内，供应商将比选文件购买费用汇至以下账户内进行购买。通过汇款方式购买比选文件的，将比选文件汇款凭证（注明项目编号）、《采购文件发售登记表》（加盖供应商公章）扫描后发送至</w:t>
      </w:r>
      <w:r>
        <w:rPr>
          <w:rFonts w:ascii="仿宋" w:hAnsi="仿宋" w:eastAsia="仿宋" w:cs="仿宋"/>
          <w:color w:val="auto"/>
        </w:rPr>
        <w:t>664313343@</w:t>
      </w:r>
      <w:r>
        <w:rPr>
          <w:rFonts w:hint="eastAsia" w:ascii="仿宋" w:hAnsi="仿宋" w:eastAsia="仿宋" w:cs="仿宋"/>
          <w:color w:val="auto"/>
        </w:rPr>
        <w:t>qq.com</w:t>
      </w:r>
    </w:p>
    <w:p w14:paraId="35578E24">
      <w:pPr>
        <w:spacing w:line="440" w:lineRule="exact"/>
        <w:ind w:firstLine="480" w:firstLineChars="200"/>
        <w:rPr>
          <w:rFonts w:ascii="仿宋" w:hAnsi="仿宋" w:eastAsia="仿宋" w:cs="仿宋"/>
          <w:color w:val="auto"/>
        </w:rPr>
      </w:pPr>
      <w:r>
        <w:rPr>
          <w:rFonts w:hint="eastAsia" w:ascii="仿宋" w:hAnsi="仿宋" w:eastAsia="仿宋" w:cs="仿宋"/>
          <w:color w:val="auto"/>
        </w:rPr>
        <w:t>户  名：重庆市汇昊招标代理有限公司</w:t>
      </w:r>
    </w:p>
    <w:p w14:paraId="7AF4C87A">
      <w:pPr>
        <w:spacing w:line="440" w:lineRule="exact"/>
        <w:ind w:firstLine="480" w:firstLineChars="200"/>
        <w:rPr>
          <w:rFonts w:ascii="仿宋" w:hAnsi="仿宋" w:eastAsia="仿宋" w:cs="仿宋"/>
          <w:color w:val="auto"/>
        </w:rPr>
      </w:pPr>
      <w:r>
        <w:rPr>
          <w:rFonts w:hint="eastAsia" w:ascii="仿宋" w:hAnsi="仿宋" w:eastAsia="仿宋" w:cs="仿宋"/>
          <w:color w:val="auto"/>
        </w:rPr>
        <w:t>开户行：中国工商银行股份有限公司南川西城支行</w:t>
      </w:r>
    </w:p>
    <w:p w14:paraId="1BBBE283">
      <w:pPr>
        <w:spacing w:line="440" w:lineRule="exact"/>
        <w:ind w:firstLine="480" w:firstLineChars="200"/>
        <w:rPr>
          <w:rFonts w:ascii="仿宋" w:hAnsi="仿宋" w:eastAsia="仿宋" w:cs="仿宋"/>
          <w:color w:val="auto"/>
        </w:rPr>
      </w:pPr>
      <w:r>
        <w:rPr>
          <w:rFonts w:hint="eastAsia" w:ascii="仿宋" w:hAnsi="仿宋" w:eastAsia="仿宋" w:cs="仿宋"/>
          <w:color w:val="auto"/>
        </w:rPr>
        <w:t>账  号：3100010109100027510</w:t>
      </w:r>
    </w:p>
    <w:p w14:paraId="11ED8E8A">
      <w:pPr>
        <w:spacing w:line="440" w:lineRule="exact"/>
        <w:ind w:firstLine="480" w:firstLineChars="200"/>
        <w:rPr>
          <w:rFonts w:ascii="仿宋" w:hAnsi="仿宋" w:eastAsia="仿宋" w:cs="仿宋"/>
          <w:color w:val="auto"/>
        </w:rPr>
      </w:pPr>
      <w:r>
        <w:rPr>
          <w:rFonts w:ascii="仿宋" w:hAnsi="仿宋" w:eastAsia="仿宋" w:cs="仿宋"/>
          <w:color w:val="auto"/>
        </w:rPr>
        <w:t>2</w:t>
      </w:r>
      <w:r>
        <w:rPr>
          <w:rFonts w:hint="eastAsia" w:ascii="仿宋" w:hAnsi="仿宋" w:eastAsia="仿宋" w:cs="仿宋"/>
          <w:color w:val="auto"/>
        </w:rPr>
        <w:t>、现金及微信转账</w:t>
      </w:r>
    </w:p>
    <w:p w14:paraId="6181FA87">
      <w:pPr>
        <w:spacing w:line="440" w:lineRule="exact"/>
        <w:ind w:firstLine="480" w:firstLineChars="200"/>
        <w:rPr>
          <w:rFonts w:ascii="仿宋" w:hAnsi="仿宋" w:eastAsia="仿宋" w:cs="仿宋"/>
          <w:color w:val="auto"/>
        </w:rPr>
      </w:pPr>
      <w:r>
        <w:rPr>
          <w:rFonts w:ascii="仿宋" w:hAnsi="仿宋" w:eastAsia="仿宋" w:cs="仿宋"/>
          <w:color w:val="auto"/>
        </w:rPr>
        <w:t>2.1</w:t>
      </w:r>
      <w:r>
        <w:rPr>
          <w:rFonts w:hint="eastAsia" w:ascii="仿宋" w:hAnsi="仿宋" w:eastAsia="仿宋" w:cs="仿宋"/>
          <w:color w:val="auto"/>
        </w:rPr>
        <w:t>在比选文件发售期内[</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日-2026年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color w:val="auto"/>
        </w:rPr>
        <w:t>（开标前，工作时间）],供应商到</w:t>
      </w:r>
      <w:r>
        <w:rPr>
          <w:rFonts w:ascii="仿宋" w:hAnsi="仿宋" w:eastAsia="仿宋" w:cs="仿宋"/>
          <w:color w:val="auto"/>
        </w:rPr>
        <w:t>重庆市南川区</w:t>
      </w:r>
      <w:r>
        <w:rPr>
          <w:rFonts w:hint="eastAsia" w:ascii="仿宋" w:hAnsi="仿宋" w:eastAsia="仿宋" w:cs="仿宋"/>
          <w:color w:val="auto"/>
        </w:rPr>
        <w:t>金川路168号汇昊招标，递交《采购文件发售登记表》（加盖供应商公章）并购买比选文件。</w:t>
      </w:r>
    </w:p>
    <w:p w14:paraId="5275084D">
      <w:pPr>
        <w:spacing w:line="440" w:lineRule="exact"/>
        <w:ind w:firstLine="480" w:firstLineChars="200"/>
        <w:rPr>
          <w:rFonts w:ascii="仿宋" w:hAnsi="仿宋" w:eastAsia="仿宋" w:cs="仿宋"/>
          <w:color w:val="auto"/>
        </w:rPr>
      </w:pPr>
      <w:r>
        <w:rPr>
          <w:rFonts w:hint="eastAsia" w:ascii="仿宋" w:hAnsi="仿宋" w:eastAsia="仿宋" w:cs="仿宋"/>
          <w:color w:val="auto"/>
        </w:rPr>
        <w:t>（四）供应商须满足以下三种要件，其响应文件才被接受：</w:t>
      </w:r>
    </w:p>
    <w:p w14:paraId="6ECC4417">
      <w:pPr>
        <w:spacing w:line="440" w:lineRule="exact"/>
        <w:ind w:firstLine="480" w:firstLineChars="200"/>
        <w:rPr>
          <w:rFonts w:ascii="仿宋" w:hAnsi="仿宋" w:eastAsia="仿宋" w:cs="仿宋"/>
          <w:color w:val="auto"/>
        </w:rPr>
      </w:pPr>
      <w:r>
        <w:rPr>
          <w:rFonts w:hint="eastAsia" w:ascii="仿宋" w:hAnsi="仿宋" w:eastAsia="仿宋" w:cs="仿宋"/>
          <w:color w:val="auto"/>
        </w:rPr>
        <w:t>1.按时递交了响应文件；</w:t>
      </w:r>
    </w:p>
    <w:p w14:paraId="2D5D298E">
      <w:pPr>
        <w:spacing w:line="440" w:lineRule="exact"/>
        <w:ind w:firstLine="480" w:firstLineChars="200"/>
        <w:rPr>
          <w:rFonts w:ascii="仿宋" w:hAnsi="仿宋" w:eastAsia="仿宋" w:cs="仿宋"/>
          <w:color w:val="auto"/>
        </w:rPr>
      </w:pPr>
      <w:r>
        <w:rPr>
          <w:rFonts w:hint="eastAsia" w:ascii="仿宋" w:hAnsi="仿宋" w:eastAsia="仿宋" w:cs="仿宋"/>
          <w:color w:val="auto"/>
        </w:rPr>
        <w:t>2</w:t>
      </w:r>
      <w:r>
        <w:rPr>
          <w:rFonts w:ascii="仿宋" w:hAnsi="仿宋" w:eastAsia="仿宋" w:cs="仿宋"/>
          <w:color w:val="auto"/>
        </w:rPr>
        <w:t>.</w:t>
      </w:r>
      <w:r>
        <w:rPr>
          <w:rFonts w:hint="eastAsia" w:ascii="仿宋" w:hAnsi="仿宋" w:eastAsia="仿宋" w:cs="仿宋"/>
          <w:color w:val="auto"/>
        </w:rPr>
        <w:t>按时报名签到；</w:t>
      </w:r>
    </w:p>
    <w:p w14:paraId="6A100885">
      <w:pPr>
        <w:spacing w:line="440" w:lineRule="exact"/>
        <w:ind w:firstLine="480" w:firstLineChars="200"/>
        <w:rPr>
          <w:rFonts w:ascii="仿宋" w:hAnsi="仿宋" w:eastAsia="仿宋" w:cs="仿宋"/>
          <w:color w:val="auto"/>
        </w:rPr>
      </w:pPr>
      <w:r>
        <w:rPr>
          <w:rFonts w:ascii="仿宋" w:hAnsi="仿宋" w:eastAsia="仿宋" w:cs="仿宋"/>
          <w:color w:val="auto"/>
        </w:rPr>
        <w:t>3</w:t>
      </w:r>
      <w:r>
        <w:rPr>
          <w:rFonts w:hint="eastAsia" w:ascii="仿宋" w:hAnsi="仿宋" w:eastAsia="仿宋" w:cs="仿宋"/>
          <w:color w:val="auto"/>
        </w:rPr>
        <w:t>.缴纳了文件购买费并登记递交《采购文件发售登记表》加盖供应商公章（《采购文件发售登记表》见文件最后页附件）。</w:t>
      </w:r>
    </w:p>
    <w:p w14:paraId="0423D1A7">
      <w:pPr>
        <w:spacing w:line="440" w:lineRule="exact"/>
        <w:ind w:firstLine="480" w:firstLineChars="200"/>
        <w:rPr>
          <w:rFonts w:ascii="仿宋" w:hAnsi="仿宋" w:eastAsia="仿宋" w:cs="仿宋"/>
          <w:color w:val="auto"/>
        </w:rPr>
      </w:pPr>
      <w:r>
        <w:rPr>
          <w:rFonts w:hint="eastAsia" w:ascii="仿宋" w:hAnsi="仿宋" w:eastAsia="仿宋" w:cs="仿宋"/>
          <w:color w:val="auto"/>
        </w:rPr>
        <w:t>（五）投标地点：</w:t>
      </w:r>
    </w:p>
    <w:p w14:paraId="6D2EA664">
      <w:pPr>
        <w:spacing w:line="440" w:lineRule="exact"/>
        <w:ind w:firstLine="480" w:firstLineChars="200"/>
        <w:rPr>
          <w:rFonts w:ascii="仿宋" w:hAnsi="仿宋" w:eastAsia="仿宋" w:cs="仿宋"/>
          <w:color w:val="auto"/>
        </w:rPr>
      </w:pPr>
      <w:r>
        <w:rPr>
          <w:rFonts w:hint="eastAsia" w:ascii="仿宋" w:hAnsi="仿宋" w:eastAsia="仿宋" w:cs="仿宋"/>
          <w:color w:val="auto"/>
        </w:rPr>
        <w:t>（六）投标开始时间：</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color w:val="auto"/>
        </w:rPr>
        <w:t>北京时间1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w:t>
      </w:r>
    </w:p>
    <w:p w14:paraId="31B24968">
      <w:pPr>
        <w:spacing w:line="440" w:lineRule="exact"/>
        <w:ind w:firstLine="480" w:firstLineChars="200"/>
        <w:rPr>
          <w:rFonts w:ascii="仿宋" w:hAnsi="仿宋" w:eastAsia="仿宋" w:cs="仿宋"/>
          <w:color w:val="auto"/>
        </w:rPr>
      </w:pPr>
      <w:r>
        <w:rPr>
          <w:rFonts w:hint="eastAsia" w:ascii="仿宋" w:hAnsi="仿宋" w:eastAsia="仿宋" w:cs="仿宋"/>
          <w:color w:val="auto"/>
        </w:rPr>
        <w:t>（七）投标截止时间</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color w:val="auto"/>
        </w:rPr>
        <w:t>北京时间1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1FB6F705">
      <w:pPr>
        <w:spacing w:line="440" w:lineRule="exact"/>
        <w:ind w:firstLine="480" w:firstLineChars="200"/>
        <w:rPr>
          <w:rFonts w:ascii="仿宋" w:hAnsi="仿宋" w:eastAsia="仿宋" w:cs="仿宋"/>
          <w:color w:val="auto"/>
        </w:rPr>
      </w:pPr>
      <w:r>
        <w:rPr>
          <w:rFonts w:hint="eastAsia" w:ascii="仿宋" w:hAnsi="仿宋" w:eastAsia="仿宋" w:cs="仿宋"/>
          <w:color w:val="auto"/>
        </w:rPr>
        <w:t>（八）开标时间：</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color w:val="auto"/>
        </w:rPr>
        <w:t>北京时间1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492F454B">
      <w:pPr>
        <w:spacing w:line="440" w:lineRule="exact"/>
        <w:ind w:firstLine="480" w:firstLineChars="200"/>
        <w:rPr>
          <w:rFonts w:ascii="仿宋" w:hAnsi="仿宋" w:eastAsia="仿宋" w:cs="仿宋"/>
          <w:color w:val="auto"/>
        </w:rPr>
      </w:pPr>
      <w:r>
        <w:rPr>
          <w:rFonts w:hint="eastAsia" w:ascii="仿宋" w:hAnsi="仿宋" w:eastAsia="仿宋" w:cs="仿宋"/>
          <w:color w:val="auto"/>
        </w:rPr>
        <w:t>（九）开标地点：重庆市南川区金川路168号汇昊招标</w:t>
      </w:r>
      <w:bookmarkStart w:id="132" w:name="_GoBack"/>
      <w:bookmarkEnd w:id="132"/>
    </w:p>
    <w:p w14:paraId="35823D37">
      <w:pPr>
        <w:spacing w:line="440" w:lineRule="exact"/>
        <w:ind w:firstLine="480" w:firstLineChars="200"/>
        <w:rPr>
          <w:rFonts w:ascii="仿宋" w:hAnsi="仿宋" w:eastAsia="仿宋" w:cs="仿宋"/>
          <w:color w:val="auto"/>
        </w:rPr>
      </w:pPr>
      <w:r>
        <w:rPr>
          <w:rFonts w:hint="eastAsia" w:ascii="仿宋" w:hAnsi="仿宋" w:eastAsia="仿宋" w:cs="仿宋"/>
          <w:color w:val="auto"/>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60734131">
      <w:pPr>
        <w:spacing w:line="440" w:lineRule="exact"/>
        <w:ind w:firstLine="480" w:firstLineChars="200"/>
        <w:rPr>
          <w:rFonts w:ascii="仿宋" w:hAnsi="仿宋" w:eastAsia="仿宋" w:cs="仿宋"/>
          <w:color w:val="auto"/>
        </w:rPr>
      </w:pPr>
      <w:r>
        <w:rPr>
          <w:rFonts w:hint="eastAsia" w:ascii="仿宋" w:hAnsi="仿宋" w:eastAsia="仿宋" w:cs="仿宋"/>
          <w:color w:val="auto"/>
        </w:rPr>
        <w:t>（十一）网上报价时间段：比选公告发布之日起至</w:t>
      </w:r>
      <w:r>
        <w:rPr>
          <w:rFonts w:hint="eastAsia" w:ascii="仿宋" w:hAnsi="仿宋" w:eastAsia="仿宋" w:cs="仿宋"/>
          <w:color w:val="auto"/>
          <w:highlight w:val="none"/>
        </w:rPr>
        <w:t>2026年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日</w:t>
      </w:r>
      <w:r>
        <w:rPr>
          <w:rFonts w:hint="eastAsia" w:ascii="仿宋" w:hAnsi="仿宋" w:eastAsia="仿宋" w:cs="仿宋"/>
          <w:color w:val="auto"/>
        </w:rPr>
        <w:t>北京时间10:00止</w:t>
      </w:r>
    </w:p>
    <w:p w14:paraId="4098E951">
      <w:pPr>
        <w:pStyle w:val="3"/>
        <w:widowControl w:val="0"/>
        <w:spacing w:before="0" w:after="0" w:line="500" w:lineRule="exact"/>
        <w:jc w:val="both"/>
        <w:rPr>
          <w:rFonts w:ascii="仿宋" w:hAnsi="仿宋" w:eastAsia="仿宋" w:cs="仿宋"/>
          <w:color w:val="auto"/>
          <w:kern w:val="2"/>
          <w:sz w:val="24"/>
        </w:rPr>
      </w:pPr>
      <w:bookmarkStart w:id="14" w:name="_Toc12424"/>
      <w:r>
        <w:rPr>
          <w:rFonts w:hint="eastAsia" w:ascii="仿宋" w:hAnsi="仿宋" w:eastAsia="仿宋" w:cs="仿宋"/>
          <w:color w:val="auto"/>
          <w:kern w:val="2"/>
          <w:sz w:val="24"/>
        </w:rPr>
        <w:t>五、比选保证金</w:t>
      </w:r>
      <w:bookmarkEnd w:id="13"/>
      <w:bookmarkEnd w:id="14"/>
    </w:p>
    <w:p w14:paraId="453B8D36">
      <w:pPr>
        <w:snapToGrid w:val="0"/>
        <w:spacing w:line="440" w:lineRule="exact"/>
        <w:ind w:firstLine="480" w:firstLineChars="200"/>
        <w:rPr>
          <w:rFonts w:ascii="仿宋" w:hAnsi="仿宋" w:eastAsia="仿宋" w:cs="仿宋"/>
          <w:bCs/>
          <w:color w:val="auto"/>
        </w:rPr>
      </w:pPr>
      <w:r>
        <w:rPr>
          <w:rFonts w:hint="eastAsia" w:ascii="仿宋" w:hAnsi="仿宋" w:eastAsia="仿宋" w:cs="仿宋"/>
          <w:bCs/>
          <w:color w:val="auto"/>
        </w:rPr>
        <w:t>本项目不设置。</w:t>
      </w:r>
    </w:p>
    <w:bookmarkEnd w:id="10"/>
    <w:p w14:paraId="18A520B8">
      <w:pPr>
        <w:pStyle w:val="3"/>
        <w:widowControl w:val="0"/>
        <w:spacing w:before="0" w:after="0" w:line="500" w:lineRule="exact"/>
        <w:jc w:val="both"/>
        <w:rPr>
          <w:rFonts w:ascii="仿宋" w:hAnsi="仿宋" w:eastAsia="仿宋" w:cs="仿宋"/>
          <w:color w:val="auto"/>
          <w:kern w:val="2"/>
          <w:sz w:val="24"/>
        </w:rPr>
      </w:pPr>
      <w:bookmarkStart w:id="15" w:name="_Toc12321"/>
      <w:r>
        <w:rPr>
          <w:rFonts w:hint="eastAsia" w:ascii="仿宋" w:hAnsi="仿宋" w:eastAsia="仿宋" w:cs="仿宋"/>
          <w:color w:val="auto"/>
          <w:kern w:val="2"/>
          <w:sz w:val="24"/>
        </w:rPr>
        <w:t>七、其它有关规定</w:t>
      </w:r>
      <w:bookmarkEnd w:id="15"/>
    </w:p>
    <w:p w14:paraId="11E4ECFE">
      <w:pPr>
        <w:spacing w:line="440" w:lineRule="exact"/>
        <w:ind w:firstLine="480" w:firstLineChars="200"/>
        <w:rPr>
          <w:rFonts w:ascii="仿宋" w:hAnsi="仿宋" w:eastAsia="仿宋" w:cs="仿宋"/>
          <w:color w:val="auto"/>
          <w:u w:val="single"/>
        </w:rPr>
      </w:pPr>
      <w:r>
        <w:rPr>
          <w:rFonts w:hint="eastAsia" w:ascii="仿宋" w:hAnsi="仿宋" w:eastAsia="仿宋" w:cs="仿宋"/>
          <w:color w:val="auto"/>
          <w:u w:val="single"/>
        </w:rPr>
        <w:t>（一）本项目根据《重庆市政府集中采购目录及采购限额标准》渝财规〔2023〕10 号文件要求，界定为非政府采购项目，采购活动由采购人委托代理机构负责组织实施。在实施过程中，参照《中华人民共和国政府采购法》及其相关配套政策文件的规定，但不完全按照上述法律法规的要求进行操作，具体采购方式和程序依据本项目实际情况进行适当调整。</w:t>
      </w:r>
    </w:p>
    <w:p w14:paraId="16647DF4">
      <w:pPr>
        <w:spacing w:line="440" w:lineRule="exact"/>
        <w:ind w:firstLine="480" w:firstLineChars="200"/>
        <w:rPr>
          <w:rFonts w:ascii="仿宋" w:hAnsi="仿宋" w:eastAsia="仿宋" w:cs="仿宋"/>
          <w:color w:val="auto"/>
        </w:rPr>
      </w:pPr>
      <w:r>
        <w:rPr>
          <w:rFonts w:hint="eastAsia" w:ascii="仿宋" w:hAnsi="仿宋" w:eastAsia="仿宋" w:cs="仿宋"/>
          <w:color w:val="auto"/>
          <w:u w:val="single"/>
        </w:rPr>
        <w:t>（二）本次采购按照公平、公正和公开的原则，保障各参与方在同等条件下进行竞争，杜绝任何形式的徇私舞弊行为。采购人和代理机构将严格遵循廉洁自律的原则，确保整个采购活动在透明、廉洁的基础上进行实施。</w:t>
      </w:r>
    </w:p>
    <w:p w14:paraId="2840BD87">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（三）单位负责人为同一人或者存在直接控股、管理关系的不同供应商，不得参加同一合同项（分包）下的采购活动，否则均为无效响应。</w:t>
      </w:r>
    </w:p>
    <w:p w14:paraId="56B3AD3F">
      <w:pPr>
        <w:spacing w:line="440" w:lineRule="exact"/>
        <w:ind w:firstLine="480" w:firstLineChars="200"/>
        <w:rPr>
          <w:rFonts w:ascii="仿宋" w:hAnsi="仿宋" w:eastAsia="仿宋" w:cs="仿宋"/>
          <w:color w:val="auto"/>
        </w:rPr>
      </w:pPr>
      <w:r>
        <w:rPr>
          <w:rFonts w:hint="eastAsia" w:ascii="仿宋" w:hAnsi="仿宋" w:eastAsia="仿宋" w:cs="仿宋"/>
          <w:color w:val="auto"/>
        </w:rPr>
        <w:t>（四）为采购项目提供整体设计、规范编制或者项目管理、监理、检测等服务的供应商，不得再参加该采购项目的其他采购活动。</w:t>
      </w:r>
    </w:p>
    <w:p w14:paraId="460A357C">
      <w:pPr>
        <w:spacing w:line="440" w:lineRule="exact"/>
        <w:ind w:firstLine="480" w:firstLineChars="200"/>
        <w:rPr>
          <w:rFonts w:ascii="仿宋" w:hAnsi="仿宋" w:eastAsia="仿宋" w:cs="仿宋"/>
          <w:color w:val="auto"/>
        </w:rPr>
      </w:pPr>
      <w:r>
        <w:rPr>
          <w:rFonts w:hint="eastAsia" w:ascii="仿宋" w:hAnsi="仿宋" w:eastAsia="仿宋" w:cs="仿宋"/>
          <w:color w:val="auto"/>
        </w:rPr>
        <w:t>（五）同一合同项（分包）下为单一品目或非单一品目核心产品品牌的货物类项目采购中，同一品牌同一型号产品有多家供应商参加比选的，只能按照一家供应商计算。</w:t>
      </w:r>
    </w:p>
    <w:p w14:paraId="10B2A998">
      <w:pPr>
        <w:spacing w:line="440" w:lineRule="exact"/>
        <w:ind w:firstLine="480" w:firstLineChars="200"/>
        <w:rPr>
          <w:rFonts w:ascii="仿宋" w:hAnsi="仿宋" w:eastAsia="仿宋" w:cs="仿宋"/>
          <w:color w:val="auto"/>
        </w:rPr>
      </w:pPr>
      <w:r>
        <w:rPr>
          <w:rFonts w:hint="eastAsia" w:ascii="仿宋" w:hAnsi="仿宋" w:eastAsia="仿宋" w:cs="仿宋"/>
          <w:color w:val="auto"/>
        </w:rPr>
        <w:t>（六）本项目的澄清文件（如果有）一律在“行采家（www.gec123.com）”上发布，请各供应商注意下载；无论供应商下载与否，均视同供应商已知晓本项目竞争性比选文件、澄清文件（如果有）的内容。</w:t>
      </w:r>
    </w:p>
    <w:p w14:paraId="3120F400">
      <w:pPr>
        <w:spacing w:line="440" w:lineRule="exact"/>
        <w:ind w:firstLine="480" w:firstLineChars="200"/>
        <w:rPr>
          <w:rFonts w:ascii="仿宋" w:hAnsi="仿宋" w:eastAsia="仿宋" w:cs="仿宋"/>
          <w:color w:val="auto"/>
        </w:rPr>
      </w:pPr>
      <w:r>
        <w:rPr>
          <w:rFonts w:hint="eastAsia" w:ascii="仿宋" w:hAnsi="仿宋" w:eastAsia="仿宋" w:cs="仿宋"/>
          <w:color w:val="auto"/>
        </w:rPr>
        <w:t>（七）超过投标截止时间递交的响应文件，恕不接收。</w:t>
      </w:r>
    </w:p>
    <w:p w14:paraId="583D7E4A">
      <w:pPr>
        <w:spacing w:line="440" w:lineRule="exact"/>
        <w:ind w:firstLine="480" w:firstLineChars="200"/>
        <w:rPr>
          <w:rFonts w:ascii="仿宋" w:hAnsi="仿宋" w:eastAsia="仿宋" w:cs="仿宋"/>
          <w:color w:val="auto"/>
        </w:rPr>
      </w:pPr>
      <w:r>
        <w:rPr>
          <w:rFonts w:hint="eastAsia" w:ascii="仿宋" w:hAnsi="仿宋" w:eastAsia="仿宋" w:cs="仿宋"/>
          <w:color w:val="auto"/>
        </w:rPr>
        <w:t>（八）比选费用：无论比选结果如何，供应商参与本项目比选的所有费用均应由供应商自行承担。</w:t>
      </w:r>
    </w:p>
    <w:p w14:paraId="4A22B200">
      <w:pPr>
        <w:snapToGrid w:val="0"/>
        <w:spacing w:line="440" w:lineRule="exact"/>
        <w:ind w:firstLine="482" w:firstLineChars="200"/>
        <w:rPr>
          <w:rFonts w:ascii="仿宋" w:hAnsi="仿宋" w:eastAsia="仿宋" w:cs="仿宋"/>
          <w:b/>
          <w:bCs/>
          <w:color w:val="auto"/>
        </w:rPr>
      </w:pPr>
      <w:r>
        <w:rPr>
          <w:rFonts w:hint="eastAsia" w:ascii="仿宋" w:hAnsi="仿宋" w:eastAsia="仿宋" w:cs="仿宋"/>
          <w:b/>
          <w:bCs/>
          <w:color w:val="auto"/>
        </w:rPr>
        <w:t>（九）</w:t>
      </w:r>
      <w:r>
        <w:rPr>
          <w:rFonts w:hint="eastAsia" w:ascii="仿宋" w:hAnsi="仿宋" w:eastAsia="仿宋" w:cs="仿宋"/>
          <w:b/>
          <w:color w:val="auto"/>
        </w:rPr>
        <w:t>本项目不接受联合体参与比选，否则按无效响应处理</w:t>
      </w:r>
      <w:r>
        <w:rPr>
          <w:rFonts w:hint="eastAsia" w:ascii="仿宋" w:hAnsi="仿宋" w:eastAsia="仿宋" w:cs="仿宋"/>
          <w:b/>
          <w:bCs/>
          <w:color w:val="auto"/>
        </w:rPr>
        <w:t>。</w:t>
      </w:r>
    </w:p>
    <w:p w14:paraId="30139107">
      <w:pPr>
        <w:snapToGrid w:val="0"/>
        <w:spacing w:line="440" w:lineRule="exact"/>
        <w:ind w:firstLine="482" w:firstLineChars="200"/>
        <w:rPr>
          <w:rFonts w:ascii="仿宋" w:hAnsi="仿宋" w:eastAsia="仿宋" w:cs="仿宋"/>
          <w:b/>
          <w:bCs/>
          <w:color w:val="auto"/>
        </w:rPr>
      </w:pPr>
      <w:r>
        <w:rPr>
          <w:rFonts w:hint="eastAsia" w:ascii="仿宋" w:hAnsi="仿宋" w:eastAsia="仿宋" w:cs="仿宋"/>
          <w:b/>
          <w:bCs/>
          <w:color w:val="auto"/>
        </w:rPr>
        <w:t>（十）</w:t>
      </w:r>
      <w:r>
        <w:rPr>
          <w:rFonts w:hint="eastAsia" w:ascii="仿宋" w:hAnsi="仿宋" w:eastAsia="仿宋" w:cs="仿宋"/>
          <w:b/>
          <w:color w:val="auto"/>
        </w:rPr>
        <w:t>本项目不接受合同分包，否则按无效响应处理</w:t>
      </w:r>
      <w:r>
        <w:rPr>
          <w:rFonts w:hint="eastAsia" w:ascii="仿宋" w:hAnsi="仿宋" w:eastAsia="仿宋" w:cs="仿宋"/>
          <w:b/>
          <w:bCs/>
          <w:color w:val="auto"/>
        </w:rPr>
        <w:t>。</w:t>
      </w:r>
    </w:p>
    <w:p w14:paraId="79AF8A03">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十一）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采购活动。</w:t>
      </w:r>
    </w:p>
    <w:p w14:paraId="5E4E9870">
      <w:pPr>
        <w:pStyle w:val="3"/>
        <w:widowControl w:val="0"/>
        <w:spacing w:before="0" w:after="0" w:line="500" w:lineRule="exact"/>
        <w:jc w:val="both"/>
        <w:rPr>
          <w:rFonts w:ascii="仿宋" w:hAnsi="仿宋" w:eastAsia="仿宋" w:cs="仿宋"/>
          <w:color w:val="auto"/>
          <w:kern w:val="2"/>
          <w:sz w:val="24"/>
        </w:rPr>
      </w:pPr>
      <w:bookmarkStart w:id="16" w:name="_Toc15869"/>
      <w:r>
        <w:rPr>
          <w:rFonts w:hint="eastAsia" w:ascii="仿宋" w:hAnsi="仿宋" w:eastAsia="仿宋" w:cs="仿宋"/>
          <w:color w:val="auto"/>
          <w:kern w:val="2"/>
          <w:sz w:val="24"/>
        </w:rPr>
        <w:t>八、联系方式</w:t>
      </w:r>
      <w:bookmarkEnd w:id="16"/>
    </w:p>
    <w:p w14:paraId="083AEA91">
      <w:pPr>
        <w:snapToGrid w:val="0"/>
        <w:spacing w:line="440" w:lineRule="exact"/>
        <w:rPr>
          <w:rFonts w:hint="eastAsia" w:ascii="仿宋" w:hAnsi="仿宋" w:eastAsia="仿宋" w:cs="仿宋"/>
          <w:color w:val="auto"/>
          <w:lang w:eastAsia="zh-CN"/>
        </w:rPr>
      </w:pPr>
      <w:bookmarkStart w:id="17" w:name="_Toc102227313"/>
      <w:r>
        <w:rPr>
          <w:rFonts w:hint="eastAsia" w:ascii="仿宋" w:hAnsi="仿宋" w:eastAsia="仿宋" w:cs="仿宋"/>
          <w:color w:val="auto"/>
        </w:rPr>
        <w:t>（一）采购人：</w:t>
      </w:r>
      <w:r>
        <w:rPr>
          <w:rFonts w:hint="eastAsia" w:ascii="仿宋" w:hAnsi="仿宋" w:eastAsia="仿宋" w:cs="仿宋"/>
          <w:color w:val="auto"/>
          <w:lang w:eastAsia="zh-CN"/>
        </w:rPr>
        <w:t>重庆市南川区应急管理局</w:t>
      </w:r>
    </w:p>
    <w:p w14:paraId="5745630A">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lang w:val="en-US" w:eastAsia="zh-CN"/>
        </w:rPr>
        <w:t>赵</w:t>
      </w:r>
      <w:r>
        <w:rPr>
          <w:rFonts w:hint="eastAsia" w:ascii="仿宋" w:hAnsi="仿宋" w:eastAsia="仿宋" w:cs="仿宋"/>
          <w:color w:val="auto"/>
        </w:rPr>
        <w:t>老师</w:t>
      </w:r>
    </w:p>
    <w:p w14:paraId="1BF55079">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电  话：17502384036</w:t>
      </w:r>
    </w:p>
    <w:p w14:paraId="2D1D03A1">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地  址：重庆市南川区西城街道金佛大道</w:t>
      </w:r>
      <w:r>
        <w:rPr>
          <w:rFonts w:hint="eastAsia" w:ascii="仿宋" w:hAnsi="仿宋" w:eastAsia="仿宋" w:cs="仿宋"/>
          <w:color w:val="auto"/>
          <w:lang w:val="en-US" w:eastAsia="zh-CN"/>
        </w:rPr>
        <w:t>54</w:t>
      </w:r>
      <w:r>
        <w:rPr>
          <w:rFonts w:hint="eastAsia" w:ascii="仿宋" w:hAnsi="仿宋" w:eastAsia="仿宋" w:cs="仿宋"/>
          <w:color w:val="auto"/>
        </w:rPr>
        <w:t>号金安大厦A栋</w:t>
      </w:r>
    </w:p>
    <w:p w14:paraId="4D2110E1">
      <w:pPr>
        <w:snapToGrid w:val="0"/>
        <w:spacing w:line="440" w:lineRule="exact"/>
        <w:ind w:firstLine="480" w:firstLineChars="200"/>
        <w:rPr>
          <w:rFonts w:ascii="仿宋" w:hAnsi="仿宋" w:eastAsia="仿宋" w:cs="仿宋"/>
          <w:color w:val="auto"/>
        </w:rPr>
      </w:pPr>
    </w:p>
    <w:p w14:paraId="089155F8">
      <w:pPr>
        <w:snapToGrid w:val="0"/>
        <w:spacing w:line="440" w:lineRule="exact"/>
        <w:rPr>
          <w:rFonts w:ascii="仿宋" w:hAnsi="仿宋" w:eastAsia="仿宋" w:cs="仿宋"/>
          <w:color w:val="auto"/>
        </w:rPr>
      </w:pPr>
      <w:r>
        <w:rPr>
          <w:rFonts w:hint="eastAsia" w:ascii="仿宋" w:hAnsi="仿宋" w:eastAsia="仿宋" w:cs="仿宋"/>
          <w:color w:val="auto"/>
        </w:rPr>
        <w:t>（二）采购代理机构：重庆市汇昊招标代理有限公司</w:t>
      </w:r>
    </w:p>
    <w:p w14:paraId="4A9BB07C">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联系人：张老师</w:t>
      </w:r>
    </w:p>
    <w:p w14:paraId="51CE5106">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电  话：15123690194</w:t>
      </w:r>
    </w:p>
    <w:p w14:paraId="7307340F">
      <w:pPr>
        <w:snapToGrid w:val="0"/>
        <w:spacing w:line="440" w:lineRule="exact"/>
        <w:ind w:firstLine="480" w:firstLineChars="200"/>
        <w:rPr>
          <w:rFonts w:ascii="仿宋" w:hAnsi="仿宋" w:eastAsia="仿宋" w:cs="仿宋"/>
          <w:color w:val="auto"/>
        </w:rPr>
      </w:pPr>
      <w:r>
        <w:rPr>
          <w:rFonts w:hint="eastAsia" w:ascii="仿宋" w:hAnsi="仿宋" w:eastAsia="仿宋" w:cs="仿宋"/>
          <w:color w:val="auto"/>
        </w:rPr>
        <w:t>地  址：重庆市南川区金川路168号</w:t>
      </w:r>
    </w:p>
    <w:p w14:paraId="76651E54">
      <w:pPr>
        <w:snapToGrid w:val="0"/>
        <w:spacing w:line="440" w:lineRule="exact"/>
        <w:rPr>
          <w:rFonts w:ascii="仿宋" w:hAnsi="仿宋" w:eastAsia="仿宋" w:cs="仿宋"/>
          <w:color w:val="auto"/>
        </w:rPr>
      </w:pPr>
      <w:bookmarkStart w:id="18" w:name="_Toc478823759"/>
      <w:r>
        <w:rPr>
          <w:rFonts w:hint="eastAsia" w:ascii="仿宋" w:hAnsi="仿宋" w:eastAsia="仿宋" w:cs="仿宋"/>
          <w:color w:val="auto"/>
        </w:rPr>
        <w:br w:type="page"/>
      </w:r>
    </w:p>
    <w:p w14:paraId="20497886">
      <w:pPr>
        <w:pStyle w:val="3"/>
        <w:pageBreakBefore/>
        <w:spacing w:before="0" w:after="0" w:line="360" w:lineRule="auto"/>
        <w:jc w:val="center"/>
        <w:rPr>
          <w:rFonts w:ascii="仿宋" w:hAnsi="仿宋" w:eastAsia="仿宋" w:cs="仿宋"/>
          <w:bCs/>
          <w:color w:val="auto"/>
          <w:sz w:val="36"/>
          <w:szCs w:val="30"/>
        </w:rPr>
      </w:pPr>
      <w:bookmarkStart w:id="19" w:name="_Toc1697"/>
      <w:r>
        <w:rPr>
          <w:rFonts w:hint="eastAsia" w:ascii="仿宋" w:hAnsi="仿宋" w:eastAsia="仿宋" w:cs="仿宋"/>
          <w:bCs/>
          <w:color w:val="auto"/>
          <w:sz w:val="36"/>
          <w:szCs w:val="30"/>
        </w:rPr>
        <w:t>第二篇  项目服务需求</w:t>
      </w:r>
      <w:bookmarkEnd w:id="18"/>
      <w:bookmarkEnd w:id="19"/>
    </w:p>
    <w:p w14:paraId="3DA177D5">
      <w:pPr>
        <w:snapToGrid w:val="0"/>
        <w:spacing w:line="440" w:lineRule="exact"/>
        <w:rPr>
          <w:rFonts w:ascii="仿宋" w:hAnsi="仿宋" w:eastAsia="仿宋" w:cs="仿宋"/>
          <w:color w:val="auto"/>
        </w:rPr>
      </w:pPr>
      <w:r>
        <w:rPr>
          <w:rFonts w:hint="eastAsia" w:ascii="仿宋" w:hAnsi="仿宋" w:eastAsia="仿宋" w:cs="仿宋"/>
          <w:color w:val="auto"/>
        </w:rPr>
        <w:t>“※”标注的服务需求为符合性审查中的实质性要求，响应文件若不满足按无效响应处理。</w:t>
      </w:r>
    </w:p>
    <w:p w14:paraId="767F0755">
      <w:pPr>
        <w:pStyle w:val="3"/>
        <w:widowControl w:val="0"/>
        <w:spacing w:before="0" w:after="0" w:line="500" w:lineRule="exact"/>
        <w:jc w:val="both"/>
        <w:rPr>
          <w:rFonts w:ascii="仿宋" w:hAnsi="仿宋" w:eastAsia="仿宋" w:cs="仿宋"/>
          <w:color w:val="auto"/>
          <w:kern w:val="2"/>
          <w:sz w:val="24"/>
        </w:rPr>
      </w:pPr>
      <w:bookmarkStart w:id="20" w:name="_Toc19838"/>
      <w:r>
        <w:rPr>
          <w:rFonts w:hint="eastAsia" w:ascii="仿宋" w:hAnsi="仿宋" w:eastAsia="仿宋" w:cs="仿宋"/>
          <w:color w:val="auto"/>
          <w:kern w:val="2"/>
          <w:sz w:val="24"/>
        </w:rPr>
        <w:t>※一、项目概况</w:t>
      </w:r>
      <w:bookmarkEnd w:id="20"/>
    </w:p>
    <w:p w14:paraId="59593289">
      <w:pPr>
        <w:snapToGrid w:val="0"/>
        <w:spacing w:line="560" w:lineRule="exact"/>
        <w:ind w:firstLine="480" w:firstLineChars="200"/>
        <w:rPr>
          <w:rFonts w:hint="eastAsia" w:ascii="仿宋" w:hAnsi="仿宋" w:eastAsia="仿宋" w:cs="仿宋"/>
          <w:color w:val="auto"/>
        </w:rPr>
      </w:pPr>
      <w:bookmarkStart w:id="21" w:name="_Toc340223141"/>
      <w:r>
        <w:rPr>
          <w:rFonts w:hint="eastAsia" w:ascii="仿宋" w:hAnsi="仿宋" w:eastAsia="仿宋" w:cs="仿宋"/>
          <w:color w:val="auto"/>
          <w:lang w:val="en-US" w:eastAsia="zh-CN"/>
        </w:rPr>
        <w:t>本项目核心任务是编制南川区突发事件总体应急预案及9个专项应急预案，同步完善配套编制资料，构建科学规范、务实管用、衔接顺畅的突发事件应急预案体系，全面提升南川区突发事件预防与处置、应急救援与保障、事后恢复与重建的综合能力，切实守护人民群众生命财产安全、维护社会大局稳定。</w:t>
      </w:r>
    </w:p>
    <w:p w14:paraId="6A04F6C9">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本项目编制工作严格遵循合规性、贴合性、可操作性、完整性四大核心原则，立足南川区实际情况，精准衔接国家、重庆市相关法律法规及上级主管部门工作要求，确保预案体系层级清晰、职责明确、流程规范、内容完整，能够直接指导基层一线开展应急处置工作。具体编制要求如下：</w:t>
      </w:r>
    </w:p>
    <w:p w14:paraId="0344DD5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一、合规性编制要求</w:t>
      </w:r>
    </w:p>
    <w:p w14:paraId="593DB32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严格依据《中华人民共和国突发事件应对法》《突发事件应急预案管理办法》《重庆市突发事件应急预案管理实施细则》等国家、重庆市最新现行有效的法律法规、政策标准及技术规范，同步衔接上级主管部门最新应急预案要求，编制依据需明确标注具体文件名称、文号及实施时间，坚决杜绝使用过期、失效依据。</w:t>
      </w:r>
    </w:p>
    <w:p w14:paraId="24517596">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预案内容需严格契合南川区机构职能设置现状，各部门职责分工精准匹配本区最新“三定方案”及应急管理工作权责清单，杜绝出现职责重叠、遗漏、脱节等问题；明确各部门应急工作具体责任人、联络人及联系方式，确保责任到人、联络畅通、响应高效。</w:t>
      </w:r>
    </w:p>
    <w:p w14:paraId="611C9874">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构建层级清晰、权责统一的应急预案体系，以总体预案为统领，统筹9个专项应急预案，明确专项预案之间交叉领域（如应急物资调配、医疗救治、交通保障等）的权责边界，形成“总体定框架、专项定流程、职责到部门、操作到岗位”的完整体系，确保各预案内容无矛盾、衔接无阻碍。</w:t>
      </w:r>
    </w:p>
    <w:p w14:paraId="4B38F8A6">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二、贴合性编制要求</w:t>
      </w:r>
    </w:p>
    <w:p w14:paraId="5FE5C29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以最新实地调研数据为编制基础，风险隐患分析、应急资源梳理需与本区实际情况高度契合，严禁照搬照抄其他地区预案内容，严禁使用过期、虚假数据，确保预案贴合实际、靶向精准。</w:t>
      </w:r>
    </w:p>
    <w:p w14:paraId="046A1DD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全面覆盖南川区行政区域内所有重点区域、重点行业、重点单位，深入分析各类风险隐患的分布位置、发生概率、危害程度、诱发因素及防控措施，同步编制《南川区突发事件风险隐患精准台账》（含图文标注），实现风险隐患底数清、情况明、管控准。</w:t>
      </w:r>
    </w:p>
    <w:p w14:paraId="24CDD18F">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全面核实南川区内所有应急队伍、应急物资、避难场所、医疗机构、交通枢纽等应急资源的实际数量、分布位置、可用状态及调配流程，编制《南川区应急资源动态管理台账》，确保应急资源可查、可调、可用，为应急处置工作提供坚实的资源支撑。</w:t>
      </w:r>
    </w:p>
    <w:p w14:paraId="0DE754A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三、可操作性编制要求</w:t>
      </w:r>
    </w:p>
    <w:p w14:paraId="287CED6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所有应急处置流程需实现步骤化、标准化、具象化，明确界定“谁来做、做什么、怎么做、什么时间做、用什么资源做”，坚决杜绝模糊化、原则性表述，确保基层单位、一线工作人员可直接对照预案开展应急处置工作，实现“照单操作、有据可依”。</w:t>
      </w:r>
    </w:p>
    <w:p w14:paraId="3F4E3AFC">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针对各类突发事件的不同等级、不同场景，制定差异化应急处置措施，明确应急响应启动条件、处置流程、终止标准；配套编制图文版简易操作手册，简化执行流程、提炼核心要点，便于一线人员快速掌握、高效执行。</w:t>
      </w:r>
    </w:p>
    <w:p w14:paraId="11C8734B">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明确预案中应急联动、资源调配、信息报告等关键环节的具体流程、时限要求及对接方式：信息报告需明确首报时限、续报频次、报告渠道及核心内容；应急物资调配需明确申请流程、审批权限、运输方式及送达时限，确保各环节衔接顺畅、高效运转，提升应急处置时效。</w:t>
      </w:r>
    </w:p>
    <w:p w14:paraId="4875B94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四、完整性编制要求</w:t>
      </w:r>
    </w:p>
    <w:p w14:paraId="1E835E91">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总体预案及9个专项预案均需涵盖总则、适用范围、风险概况、组织指挥体系、预防与应急准备、监测与预警、应急处置与救援、事后恢复与重建、应急保障、预案管理、附则、附件等全套核心框架，无缺项、漏项，确保预案体系完整、内容全面。</w:t>
      </w:r>
    </w:p>
    <w:p w14:paraId="32D4A36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附件需齐全规范，包含但不限于指挥机构组成人员及联系方式、风险隐患台账、应急资源台账、处置流程图、信息报告表、物资调配申请表、应急避难场所分布图等，所有附件需与预案正文内容一一对应，切实提升预案实用性。</w:t>
      </w:r>
    </w:p>
    <w:p w14:paraId="444570CE">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同步配套编制调研工作报告、意见征集汇总表、专家评审意见及修改说明、备案申请材料等全套编制资料，形成完整的编制档案，确保预案编制全流程可追溯，满足备案及后续管理相关要求。</w:t>
      </w:r>
    </w:p>
    <w:p w14:paraId="4561B21E">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本项目通过规范、系统的预案编制工作，全面提升南川区突发事件应急管理规范化、科学化水平，为有效防范化解各类突发事件风险、及时开展应急处置救援工作提供坚实的制度保障，助力筑牢南川区应急安全防线。</w:t>
      </w:r>
    </w:p>
    <w:p w14:paraId="509E5C88">
      <w:pPr>
        <w:pStyle w:val="3"/>
        <w:widowControl w:val="0"/>
        <w:spacing w:before="0" w:after="0" w:line="500" w:lineRule="exact"/>
        <w:jc w:val="both"/>
        <w:rPr>
          <w:rFonts w:hint="eastAsia" w:ascii="仿宋" w:hAnsi="仿宋" w:eastAsia="仿宋" w:cs="仿宋"/>
          <w:color w:val="auto"/>
          <w:kern w:val="2"/>
          <w:sz w:val="24"/>
        </w:rPr>
      </w:pPr>
      <w:bookmarkStart w:id="22" w:name="_Toc28727"/>
      <w:r>
        <w:rPr>
          <w:rFonts w:hint="eastAsia" w:ascii="仿宋" w:hAnsi="仿宋" w:eastAsia="仿宋" w:cs="仿宋"/>
          <w:color w:val="auto"/>
          <w:kern w:val="2"/>
          <w:sz w:val="24"/>
        </w:rPr>
        <w:t>※二、</w:t>
      </w:r>
      <w:bookmarkEnd w:id="21"/>
      <w:bookmarkStart w:id="23" w:name="_Toc313536013"/>
      <w:bookmarkStart w:id="24" w:name="_Toc344475116"/>
      <w:bookmarkStart w:id="25" w:name="_Toc106030881"/>
      <w:bookmarkStart w:id="26" w:name="_Toc76462326"/>
      <w:bookmarkStart w:id="27" w:name="_Toc12789058"/>
      <w:r>
        <w:rPr>
          <w:rFonts w:hint="eastAsia" w:ascii="仿宋" w:hAnsi="仿宋" w:eastAsia="仿宋" w:cs="仿宋"/>
          <w:color w:val="auto"/>
          <w:kern w:val="2"/>
          <w:sz w:val="24"/>
        </w:rPr>
        <w:t>服务需求</w:t>
      </w:r>
      <w:bookmarkEnd w:id="22"/>
    </w:p>
    <w:p w14:paraId="357117B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应急预案修订专项要求</w:t>
      </w:r>
    </w:p>
    <w:p w14:paraId="06F4AEE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（一）总体应急预案修订专项要求</w:t>
      </w:r>
    </w:p>
    <w:p w14:paraId="79F85364">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作为全区应急工作的“总纲领”，总体应急预案需明确本区突发事件应对的总体目标、工作原则、分级标准、组织体系及联动机制，统筹指导9个专项预案的编制与实施工作，确保全区应急工作有序衔接、整体推进。</w:t>
      </w:r>
    </w:p>
    <w:p w14:paraId="51E42B2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组织指挥体系方面，需明确区级应急总指挥部、各专项应急指挥机构、现场指挥机构及基层应急组织的层级关系、职责分工和联动流程，构建指挥统一、上下贯通、左右协同的应急指挥体系，保障应急处置指令高效传递、落地见效。</w:t>
      </w:r>
    </w:p>
    <w:p w14:paraId="16B2D798">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应急响应分级需严格与国家、重庆市相关标准保持一致，结合本区实际情况，细化一、二、三、四级应急响应的启动条件、启动主体、处置措施及响应终止标准，明确不同响应等级下各部门的具体工作职责和操作要求，确保应急响应科学规范、精准高效。</w:t>
      </w:r>
    </w:p>
    <w:p w14:paraId="57451863">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明确预案体系管理要求，细化预案备案、衔接、修订、演练及宣传培训的具体流程和时限，明确9个专项预案需与总体预案同步更新、同步完善，保障预案体系的时效性、针对性和适用性，确保预案能够适应新形势下的应急处置需求。</w:t>
      </w:r>
    </w:p>
    <w:p w14:paraId="6F22D94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（二）9个专项应急预案修订专项要求</w:t>
      </w:r>
    </w:p>
    <w:p w14:paraId="7BFD393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1.地震灾害专项应急预案</w:t>
      </w:r>
    </w:p>
    <w:p w14:paraId="7EE479E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细化地震预警接收、人员疏散、建筑抢险、次生灾害防控（含滑坡、泥石流、危化品泄漏等）等专业流程；明确地震应急避难场所的启用条件、安置标准及配套保障措施；制定不同震级下的差异化处置方案，同步配套地震应急救援队伍联动清单，提升地震灾害应急处置的专业性和针对性。</w:t>
      </w:r>
    </w:p>
    <w:p w14:paraId="37B3282B">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2.低温冰冻雨雪灾害专项应急预案</w:t>
      </w:r>
    </w:p>
    <w:p w14:paraId="2CA038C9">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聚焦道路除冰保通、市政设施抢修、农业防冻减灾、民生保障四大核心任务，明确交通、城管、电力、供水、农业等相关部门的抢险时限和作业标准；制定高速公路、城区主干道、乡村道路等不同路段的除冰保通专项方案，配套融雪剂、除冰设备等应急物资调配清单，全力保障群众出行安全和生产生活有序。</w:t>
      </w:r>
    </w:p>
    <w:p w14:paraId="132AEED2">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3.防汛抗旱专项应急预案</w:t>
      </w:r>
    </w:p>
    <w:p w14:paraId="4E157303">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分防汛、抗旱两大模块细化处置流程：明确本区河流、水库、山塘的防汛调度标准及人员转移撤离阈值，制定低洼地带、危房户等重点区域的转移路线、安置点及责任人；细化抗旱供水保障方案，明确应急水源地、送水路线及供水优先级，配套防汛抗旱物资、救援队伍台账，提升防汛抗旱应急处置能力。</w:t>
      </w:r>
    </w:p>
    <w:p w14:paraId="7D2DF54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4.森林防火专项应急预案</w:t>
      </w:r>
    </w:p>
    <w:p w14:paraId="062B7C8E">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明确本区森林防火区划分标准、火源管控措施及火险等级判定标准；细化火情发现、报告、初期处置、大规模扑救的专业流程；明确专业森林消防队、消防救援队伍、社会应急队伍的联动调配机制；制定火场清理、余火监控、灾后恢复的具体要求，配套森林防火物资储备清单、应急道路分布图，筑牢森林防火安全防线。</w:t>
      </w:r>
    </w:p>
    <w:p w14:paraId="18E50912">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5.危险化学品及烟花爆竹经营事故专项应急预案</w:t>
      </w:r>
    </w:p>
    <w:p w14:paraId="2FB3D1E5">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按泄漏、火灾爆炸、中毒三类事故类型，制定针对性专业处置方案；明确现场警戒范围、堵漏防爆措施、有毒气体监测标准及人员疏散距离等专业要求，严禁盲目施救；梳理本区危化品、烟花爆竹经营单位的风险等级及应急处置责任人，配套专业防化救援队伍、设备调配清单，防范化解重大安全风险。</w:t>
      </w:r>
    </w:p>
    <w:p w14:paraId="1F3ED296">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6.工贸行业生产安全事故专项应急预案</w:t>
      </w:r>
    </w:p>
    <w:p w14:paraId="361B0B3F">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聚焦有限空间作业、机械伤害、粉尘爆炸、火灾坍塌等高频事故类型，细化企业先期处置、政府应急救援联动流程；明确有限空间作业检测、监护、救援的专业要求；制定粉尘爆炸预防、处置、善后的具体措施，配套工贸企业风险点台账、专业救援设备清单，强化工贸行业安全生产应急保障。</w:t>
      </w:r>
    </w:p>
    <w:p w14:paraId="1FE12BFC">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7.非煤矿山生产安全事故专项应急预案</w:t>
      </w:r>
    </w:p>
    <w:p w14:paraId="672D48D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针对坍塌冒顶、透水、边坡滑塌等核心风险，细化矿山抢险支护、透水排水、人员搜救等专业流程；明确矿山企业主体责任及先期处置要求；制定不同事故类型的现场管控、次生灾害防范措施，配套矿山应急救援队伍、设备台账及人员撤离路线图，提升非煤矿山事故应急处置水平。</w:t>
      </w:r>
    </w:p>
    <w:p w14:paraId="30DE2F5A">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8.自然灾害救助专项应急预案</w:t>
      </w:r>
    </w:p>
    <w:p w14:paraId="7306A00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细化灾情核查、人员安置、生活物资保障、医疗救助、住房损毁救助等流程；明确救助物资发放标准、发放流程及公示要求；针对老人、儿童、残疾人、特困人员等特殊群体，制定专项救助方案；配套救助物资储备台账、安置点台账及社会捐赠联络方式，切实保障受灾群众基本生活。</w:t>
      </w:r>
    </w:p>
    <w:p w14:paraId="015F696F">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9.突发事件应急物资保障专项应急预案</w:t>
      </w:r>
    </w:p>
    <w:p w14:paraId="5799F388">
      <w:pPr>
        <w:snapToGrid w:val="0"/>
        <w:spacing w:line="560" w:lineRule="exact"/>
        <w:ind w:firstLine="480" w:firstLineChars="200"/>
        <w:rPr>
          <w:rFonts w:hint="eastAsia" w:ascii="仿宋" w:hAnsi="仿宋" w:eastAsia="仿宋" w:cs="仿宋"/>
          <w:color w:val="auto"/>
          <w:kern w:val="2"/>
          <w:sz w:val="24"/>
        </w:rPr>
      </w:pPr>
      <w:r>
        <w:rPr>
          <w:rFonts w:hint="eastAsia" w:ascii="仿宋" w:hAnsi="仿宋" w:eastAsia="仿宋" w:cs="仿宋"/>
          <w:color w:val="auto"/>
          <w:lang w:val="en-US" w:eastAsia="zh-CN"/>
        </w:rPr>
        <w:t>作为全区应急物资保障“总方案”，需细化应急物资分类储备、采购、调配、运输、管理、补充全流程工作机制；结合9个专项预案需求，制定本区应急物资储备目录及标准；明确政府储备、企业储备、社会储备的责任要求，建立应急物资跨部门、跨区域调配联动机制；配套应急物资储备点分布图、调配审批流程图、运输队伍台账，全面提升应急物资保障能力。</w:t>
      </w:r>
    </w:p>
    <w:p w14:paraId="75718DD2">
      <w:pPr>
        <w:pStyle w:val="3"/>
        <w:widowControl w:val="0"/>
        <w:spacing w:before="0" w:after="0" w:line="500" w:lineRule="exact"/>
        <w:jc w:val="both"/>
        <w:rPr>
          <w:rFonts w:hint="eastAsia" w:ascii="仿宋" w:hAnsi="仿宋" w:eastAsia="仿宋" w:cs="仿宋"/>
          <w:color w:val="auto"/>
          <w:kern w:val="2"/>
          <w:sz w:val="24"/>
          <w:lang w:val="en-US" w:eastAsia="zh-CN"/>
        </w:rPr>
      </w:pPr>
      <w:bookmarkStart w:id="28" w:name="_Toc21774"/>
      <w:r>
        <w:rPr>
          <w:rFonts w:hint="eastAsia" w:ascii="仿宋" w:hAnsi="仿宋" w:eastAsia="仿宋" w:cs="仿宋"/>
          <w:color w:val="auto"/>
          <w:kern w:val="2"/>
          <w:sz w:val="24"/>
        </w:rPr>
        <w:t>※三、服务</w:t>
      </w:r>
      <w:r>
        <w:rPr>
          <w:rFonts w:hint="eastAsia" w:ascii="仿宋" w:hAnsi="仿宋" w:eastAsia="仿宋" w:cs="仿宋"/>
          <w:color w:val="auto"/>
          <w:kern w:val="2"/>
          <w:sz w:val="24"/>
          <w:lang w:val="en-US" w:eastAsia="zh-CN"/>
        </w:rPr>
        <w:t>质量要求</w:t>
      </w:r>
      <w:bookmarkEnd w:id="28"/>
    </w:p>
    <w:p w14:paraId="62EA725B">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（一）实地调研阶段</w:t>
      </w:r>
    </w:p>
    <w:p w14:paraId="3909EEA1">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成交供应商须组建多专业复合型调研专班，涵盖应急管理、地质、水利、林业、化工、矿山等相关专业技术人员，对辖区内全部相关区级部门、乡镇（街道）、村（社区）、重点企事业单位、专业应急救援队伍、应急物资储备点位开展全覆盖、深层次实地摸排调研。调研完成后编制规范完整的正式调研报告，内容须包含调研范围、核心调研内容、综合调研结论、全域风险隐患研判分析、应急资源底数梳理、预案编制优化建议等关键模块。报告须加盖成交供应商公章，并由全体调研团队成员签字确认，经采购人审核批复通过后，方可启动后续预案编制工作。</w:t>
      </w:r>
    </w:p>
    <w:p w14:paraId="33D90479">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（二）意见征集阶段</w:t>
      </w:r>
    </w:p>
    <w:p w14:paraId="5ABBD755">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lang w:val="en-US" w:eastAsia="zh-CN"/>
        </w:rPr>
        <w:t>预案初稿编制完成后，成交供应商须协助采购人组织开展全覆盖意见征集工作，面向全区相关行业部门、乡镇（街道）、重点企事业单位广泛征求修改建议，意见征集覆盖率须达到100%。同步编制正式意见征集汇总台账，对各单位反馈意见分类梳理、逐条研判，逐项明确采纳、不予采纳、部分采纳的具体依据及修改说明；对未予以采纳的意见，须另行征得提报单位书面确认。意见征集汇总表需依次加盖各提报单位公章及成交供应商公章，留存归档备查。</w:t>
      </w:r>
    </w:p>
    <w:p w14:paraId="56AA71A7">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（三）备案印发阶段</w:t>
      </w:r>
    </w:p>
    <w:p w14:paraId="2B17545E">
      <w:pPr>
        <w:snapToGrid w:val="0"/>
        <w:spacing w:line="560" w:lineRule="exact"/>
        <w:ind w:firstLine="480" w:firstLineChars="200"/>
        <w:rPr>
          <w:rFonts w:hint="eastAsia"/>
          <w:color w:val="auto"/>
          <w:lang w:val="en-US" w:eastAsia="zh-CN"/>
        </w:rPr>
      </w:pPr>
      <w:r>
        <w:rPr>
          <w:rFonts w:hint="eastAsia" w:ascii="仿宋" w:hAnsi="仿宋" w:eastAsia="仿宋" w:cs="仿宋"/>
          <w:color w:val="auto"/>
          <w:lang w:val="en-US" w:eastAsia="zh-CN"/>
        </w:rPr>
        <w:t>成交供应商全程配合采购人完成预案层级备案与审核工作，严格按照备案主管部门规范要求，完整报送全套备案资料；依据备案审核反馈意见及时整改优化，确保全部预案顺利完成备案并取得正式备案凭证。同时协助采购人落实预案正式印发工作，严格遵照格式标准、行文规范排版制作印发文稿，保障内容严谨准确、印制份数充足，圆满完成定稿印发全流程配合工作。</w:t>
      </w:r>
    </w:p>
    <w:p w14:paraId="738FC7EB">
      <w:pPr>
        <w:pStyle w:val="3"/>
        <w:widowControl w:val="0"/>
        <w:spacing w:before="0" w:after="0" w:line="500" w:lineRule="exact"/>
        <w:jc w:val="both"/>
        <w:rPr>
          <w:rFonts w:ascii="仿宋" w:hAnsi="仿宋" w:eastAsia="仿宋" w:cs="仿宋"/>
          <w:color w:val="auto"/>
          <w:kern w:val="2"/>
          <w:sz w:val="24"/>
        </w:rPr>
      </w:pPr>
      <w:bookmarkStart w:id="29" w:name="_Toc26296"/>
      <w:r>
        <w:rPr>
          <w:rFonts w:hint="eastAsia" w:ascii="仿宋" w:hAnsi="仿宋" w:eastAsia="仿宋" w:cs="仿宋"/>
          <w:color w:val="auto"/>
          <w:kern w:val="2"/>
          <w:sz w:val="24"/>
        </w:rPr>
        <w:t>※四、成果要求</w:t>
      </w:r>
      <w:bookmarkEnd w:id="29"/>
    </w:p>
    <w:p w14:paraId="28CB5F13">
      <w:pPr>
        <w:snapToGrid w:val="0"/>
        <w:spacing w:line="560" w:lineRule="exact"/>
        <w:ind w:firstLine="480" w:firstLineChars="200"/>
        <w:rPr>
          <w:rFonts w:ascii="仿宋" w:hAnsi="仿宋" w:eastAsia="仿宋" w:cs="仿宋"/>
          <w:color w:val="auto"/>
        </w:rPr>
      </w:pPr>
      <w:r>
        <w:rPr>
          <w:rFonts w:ascii="仿宋" w:hAnsi="仿宋" w:eastAsia="仿宋" w:cs="仿宋"/>
          <w:color w:val="auto"/>
        </w:rPr>
        <w:t>（一）成果交付要求</w:t>
      </w:r>
    </w:p>
    <w:p w14:paraId="712952F5">
      <w:pPr>
        <w:snapToGrid w:val="0"/>
        <w:spacing w:line="560" w:lineRule="exact"/>
        <w:ind w:firstLine="480" w:firstLineChars="200"/>
        <w:rPr>
          <w:rFonts w:ascii="仿宋" w:hAnsi="仿宋" w:eastAsia="仿宋" w:cs="仿宋"/>
          <w:color w:val="auto"/>
        </w:rPr>
      </w:pPr>
      <w:r>
        <w:rPr>
          <w:rFonts w:ascii="仿宋" w:hAnsi="仿宋" w:eastAsia="仿宋" w:cs="仿宋"/>
          <w:color w:val="auto"/>
          <w:lang w:val="en-US" w:eastAsia="zh-CN"/>
        </w:rPr>
        <w:t>本项目全部预案成果须提交纸质版一式</w:t>
      </w:r>
      <w:r>
        <w:rPr>
          <w:rFonts w:hint="eastAsia" w:ascii="仿宋" w:hAnsi="仿宋" w:eastAsia="仿宋" w:cs="仿宋"/>
          <w:color w:val="auto"/>
          <w:lang w:val="en-US" w:eastAsia="zh-CN"/>
        </w:rPr>
        <w:t>15</w:t>
      </w:r>
      <w:r>
        <w:rPr>
          <w:rFonts w:ascii="仿宋" w:hAnsi="仿宋" w:eastAsia="仿宋" w:cs="仿宋"/>
          <w:color w:val="auto"/>
          <w:lang w:val="en-US" w:eastAsia="zh-CN"/>
        </w:rPr>
        <w:t>份，其中正本</w:t>
      </w:r>
      <w:r>
        <w:rPr>
          <w:rFonts w:hint="eastAsia" w:ascii="仿宋" w:hAnsi="仿宋" w:eastAsia="仿宋" w:cs="仿宋"/>
          <w:color w:val="auto"/>
          <w:lang w:val="en-US" w:eastAsia="zh-CN"/>
        </w:rPr>
        <w:t>5</w:t>
      </w:r>
      <w:r>
        <w:rPr>
          <w:rFonts w:ascii="仿宋" w:hAnsi="仿宋" w:eastAsia="仿宋" w:cs="仿宋"/>
          <w:color w:val="auto"/>
          <w:lang w:val="en-US" w:eastAsia="zh-CN"/>
        </w:rPr>
        <w:t>份、副本</w:t>
      </w:r>
      <w:r>
        <w:rPr>
          <w:rFonts w:hint="eastAsia" w:ascii="仿宋" w:hAnsi="仿宋" w:eastAsia="仿宋" w:cs="仿宋"/>
          <w:color w:val="auto"/>
          <w:lang w:val="en-US" w:eastAsia="zh-CN"/>
        </w:rPr>
        <w:t>10</w:t>
      </w:r>
      <w:r>
        <w:rPr>
          <w:rFonts w:ascii="仿宋" w:hAnsi="仿宋" w:eastAsia="仿宋" w:cs="仿宋"/>
          <w:color w:val="auto"/>
          <w:lang w:val="en-US" w:eastAsia="zh-CN"/>
        </w:rPr>
        <w:t>份，统一胶装成册并加盖成交单位公章；正本醒目标注“正本”标识，全册完整编制页码。同步提交电子版资料，含Word可编辑版、盖章PDF版各</w:t>
      </w:r>
      <w:r>
        <w:rPr>
          <w:rFonts w:hint="eastAsia" w:ascii="仿宋" w:hAnsi="仿宋" w:eastAsia="仿宋" w:cs="仿宋"/>
          <w:color w:val="auto"/>
          <w:lang w:val="en-US" w:eastAsia="zh-CN"/>
        </w:rPr>
        <w:t>1</w:t>
      </w:r>
      <w:r>
        <w:rPr>
          <w:rFonts w:ascii="仿宋" w:hAnsi="仿宋" w:eastAsia="仿宋" w:cs="仿宋"/>
          <w:color w:val="auto"/>
          <w:lang w:val="en-US" w:eastAsia="zh-CN"/>
        </w:rPr>
        <w:t>份，全部存入U盘密封报送。</w:t>
      </w:r>
    </w:p>
    <w:p w14:paraId="769C64C1">
      <w:pPr>
        <w:snapToGrid w:val="0"/>
        <w:spacing w:line="560" w:lineRule="exact"/>
        <w:ind w:firstLine="480" w:firstLineChars="200"/>
        <w:rPr>
          <w:rFonts w:ascii="仿宋" w:hAnsi="仿宋" w:eastAsia="仿宋" w:cs="仿宋"/>
          <w:color w:val="auto"/>
        </w:rPr>
      </w:pPr>
      <w:r>
        <w:rPr>
          <w:rFonts w:ascii="仿宋" w:hAnsi="仿宋" w:eastAsia="仿宋" w:cs="仿宋"/>
          <w:color w:val="auto"/>
          <w:lang w:val="en-US" w:eastAsia="zh-CN"/>
        </w:rPr>
        <w:t>须配套报送全套过程及佐证资料，包含调研工作报告、风险隐患台账、应急资源台账、意见征集汇总表、专家评审意见及修改说明、备案证明、编制档案等，纸质资料一式</w:t>
      </w:r>
      <w:r>
        <w:rPr>
          <w:rFonts w:hint="eastAsia" w:ascii="仿宋" w:hAnsi="仿宋" w:eastAsia="仿宋" w:cs="仿宋"/>
          <w:color w:val="auto"/>
          <w:lang w:val="en-US" w:eastAsia="zh-CN"/>
        </w:rPr>
        <w:t>5</w:t>
      </w:r>
      <w:r>
        <w:rPr>
          <w:rFonts w:ascii="仿宋" w:hAnsi="仿宋" w:eastAsia="仿宋" w:cs="仿宋"/>
          <w:color w:val="auto"/>
          <w:lang w:val="en-US" w:eastAsia="zh-CN"/>
        </w:rPr>
        <w:t>份、电子版</w:t>
      </w:r>
      <w:r>
        <w:rPr>
          <w:rFonts w:hint="eastAsia" w:ascii="仿宋" w:hAnsi="仿宋" w:eastAsia="仿宋" w:cs="仿宋"/>
          <w:color w:val="auto"/>
          <w:lang w:val="en-US" w:eastAsia="zh-CN"/>
        </w:rPr>
        <w:t>1</w:t>
      </w:r>
      <w:r>
        <w:rPr>
          <w:rFonts w:ascii="仿宋" w:hAnsi="仿宋" w:eastAsia="仿宋" w:cs="仿宋"/>
          <w:color w:val="auto"/>
          <w:lang w:val="en-US" w:eastAsia="zh-CN"/>
        </w:rPr>
        <w:t>份，所有材料分类归集、规范装订、整理归档。</w:t>
      </w:r>
    </w:p>
    <w:p w14:paraId="133EAA19">
      <w:pPr>
        <w:snapToGrid w:val="0"/>
        <w:spacing w:line="560" w:lineRule="exact"/>
        <w:ind w:firstLine="480" w:firstLineChars="200"/>
        <w:rPr>
          <w:rFonts w:ascii="仿宋" w:hAnsi="仿宋" w:eastAsia="仿宋" w:cs="仿宋"/>
          <w:color w:val="auto"/>
        </w:rPr>
      </w:pPr>
      <w:r>
        <w:rPr>
          <w:rFonts w:ascii="仿宋" w:hAnsi="仿宋" w:eastAsia="仿宋" w:cs="仿宋"/>
          <w:color w:val="auto"/>
          <w:lang w:val="en-US" w:eastAsia="zh-CN"/>
        </w:rPr>
        <w:t>所有交付成果须结构完整、内容详实、数据精准、表述规范、图表清晰；杜绝错字漏项、内容冲突、模糊化及原则性笼统表述，严格符合国家公文编制规范及行业相关标准。</w:t>
      </w:r>
    </w:p>
    <w:bookmarkEnd w:id="23"/>
    <w:bookmarkEnd w:id="24"/>
    <w:bookmarkEnd w:id="25"/>
    <w:bookmarkEnd w:id="26"/>
    <w:p w14:paraId="66104291">
      <w:pPr>
        <w:pStyle w:val="3"/>
        <w:widowControl w:val="0"/>
        <w:spacing w:before="0" w:after="0" w:line="500" w:lineRule="exact"/>
        <w:jc w:val="both"/>
        <w:rPr>
          <w:rFonts w:ascii="仿宋" w:hAnsi="仿宋" w:eastAsia="仿宋" w:cs="仿宋"/>
          <w:color w:val="auto"/>
          <w:kern w:val="2"/>
          <w:sz w:val="24"/>
        </w:rPr>
      </w:pPr>
      <w:bookmarkStart w:id="30" w:name="_Toc14189"/>
      <w:bookmarkStart w:id="31" w:name="_Toc15258"/>
      <w:bookmarkStart w:id="32" w:name="_Toc100219306"/>
      <w:bookmarkStart w:id="33" w:name="_Toc11115"/>
      <w:bookmarkStart w:id="34" w:name="_Toc9220"/>
      <w:bookmarkStart w:id="35" w:name="_Toc78793920"/>
      <w:bookmarkStart w:id="36" w:name="_Toc37860275"/>
      <w:bookmarkStart w:id="37" w:name="_Toc100652786"/>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五</w:t>
      </w:r>
      <w:r>
        <w:rPr>
          <w:rFonts w:hint="eastAsia" w:ascii="仿宋" w:hAnsi="仿宋" w:eastAsia="仿宋" w:cs="仿宋"/>
          <w:color w:val="auto"/>
          <w:kern w:val="2"/>
          <w:sz w:val="24"/>
        </w:rPr>
        <w:t>、踏勘现场</w:t>
      </w:r>
      <w:bookmarkEnd w:id="30"/>
      <w:bookmarkEnd w:id="31"/>
    </w:p>
    <w:p w14:paraId="18D6AB71">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rPr>
        <w:t>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2BDD60D8">
      <w:pPr>
        <w:pStyle w:val="3"/>
        <w:widowControl w:val="0"/>
        <w:spacing w:before="0" w:after="0" w:line="500" w:lineRule="exact"/>
        <w:jc w:val="both"/>
        <w:rPr>
          <w:rFonts w:ascii="仿宋" w:hAnsi="仿宋" w:eastAsia="仿宋" w:cs="仿宋"/>
          <w:color w:val="auto"/>
          <w:kern w:val="2"/>
          <w:sz w:val="24"/>
        </w:rPr>
      </w:pPr>
      <w:bookmarkStart w:id="38" w:name="_Toc4"/>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六</w:t>
      </w:r>
      <w:r>
        <w:rPr>
          <w:rFonts w:hint="eastAsia" w:ascii="仿宋" w:hAnsi="仿宋" w:eastAsia="仿宋" w:cs="仿宋"/>
          <w:color w:val="auto"/>
          <w:kern w:val="2"/>
          <w:sz w:val="24"/>
        </w:rPr>
        <w:t>、</w:t>
      </w:r>
      <w:bookmarkEnd w:id="32"/>
      <w:bookmarkStart w:id="39" w:name="_Toc20694"/>
      <w:r>
        <w:rPr>
          <w:rFonts w:hint="eastAsia" w:ascii="仿宋" w:hAnsi="仿宋" w:eastAsia="仿宋" w:cs="仿宋"/>
          <w:color w:val="auto"/>
          <w:kern w:val="2"/>
          <w:sz w:val="24"/>
        </w:rPr>
        <w:t>其他要求</w:t>
      </w:r>
      <w:bookmarkEnd w:id="33"/>
      <w:bookmarkEnd w:id="34"/>
      <w:bookmarkEnd w:id="35"/>
      <w:bookmarkEnd w:id="36"/>
      <w:bookmarkEnd w:id="37"/>
      <w:bookmarkEnd w:id="38"/>
      <w:bookmarkEnd w:id="39"/>
    </w:p>
    <w:p w14:paraId="66D900DA">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rPr>
        <w:t>1.成交供应商的工作人员在为采购人的服务期间，因疾病、工伤、意外伤害、疾病传染、劳动保护、职业病等所产生的一切费用，均由成交供应商自行负责。</w:t>
      </w:r>
    </w:p>
    <w:p w14:paraId="2E02A8DA">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37147E20">
      <w:pPr>
        <w:spacing w:line="300" w:lineRule="atLeast"/>
        <w:rPr>
          <w:rFonts w:ascii="仿宋" w:hAnsi="仿宋" w:eastAsia="仿宋" w:cs="仿宋"/>
          <w:color w:val="auto"/>
          <w:sz w:val="36"/>
          <w:szCs w:val="30"/>
        </w:rPr>
      </w:pPr>
      <w:r>
        <w:rPr>
          <w:rFonts w:hint="eastAsia" w:ascii="仿宋" w:hAnsi="仿宋" w:eastAsia="仿宋" w:cs="仿宋"/>
          <w:color w:val="auto"/>
          <w:sz w:val="36"/>
          <w:szCs w:val="30"/>
        </w:rPr>
        <w:br w:type="page"/>
      </w:r>
    </w:p>
    <w:p w14:paraId="28375DAE">
      <w:pPr>
        <w:pStyle w:val="3"/>
        <w:pageBreakBefore/>
        <w:spacing w:before="0" w:after="0" w:line="360" w:lineRule="auto"/>
        <w:jc w:val="center"/>
        <w:rPr>
          <w:rFonts w:ascii="仿宋" w:hAnsi="仿宋" w:eastAsia="仿宋" w:cs="仿宋"/>
          <w:bCs/>
          <w:color w:val="auto"/>
          <w:sz w:val="36"/>
          <w:szCs w:val="30"/>
        </w:rPr>
      </w:pPr>
      <w:bookmarkStart w:id="40" w:name="_Toc1930"/>
      <w:r>
        <w:rPr>
          <w:rFonts w:hint="eastAsia" w:ascii="仿宋" w:hAnsi="仿宋" w:eastAsia="仿宋" w:cs="仿宋"/>
          <w:bCs/>
          <w:color w:val="auto"/>
          <w:sz w:val="36"/>
          <w:szCs w:val="30"/>
        </w:rPr>
        <w:t>第三篇  项目商务需求</w:t>
      </w:r>
      <w:bookmarkEnd w:id="27"/>
      <w:bookmarkEnd w:id="40"/>
    </w:p>
    <w:p w14:paraId="6F119DB2">
      <w:pPr>
        <w:spacing w:line="400" w:lineRule="exact"/>
        <w:rPr>
          <w:rFonts w:ascii="仿宋" w:hAnsi="仿宋" w:eastAsia="仿宋" w:cs="仿宋"/>
          <w:color w:val="auto"/>
        </w:rPr>
      </w:pPr>
      <w:r>
        <w:rPr>
          <w:rFonts w:hint="eastAsia" w:ascii="仿宋" w:hAnsi="仿宋" w:eastAsia="仿宋" w:cs="仿宋"/>
          <w:color w:val="auto"/>
        </w:rPr>
        <w:t>“※”标注的商务需求为符合性审查中的实质性要求，响应文件若不满足按无效响应处理。</w:t>
      </w:r>
    </w:p>
    <w:p w14:paraId="11DBAC6E">
      <w:pPr>
        <w:pStyle w:val="3"/>
        <w:widowControl w:val="0"/>
        <w:spacing w:before="0" w:after="0" w:line="500" w:lineRule="exact"/>
        <w:jc w:val="both"/>
        <w:rPr>
          <w:rFonts w:ascii="仿宋" w:hAnsi="仿宋" w:eastAsia="仿宋" w:cs="仿宋"/>
          <w:color w:val="auto"/>
          <w:kern w:val="2"/>
          <w:sz w:val="24"/>
        </w:rPr>
      </w:pPr>
      <w:bookmarkStart w:id="41" w:name="_Toc15813"/>
      <w:bookmarkStart w:id="42" w:name="_Toc22748"/>
      <w:bookmarkStart w:id="43" w:name="_Toc62484881"/>
      <w:bookmarkStart w:id="44" w:name="_Toc344475120"/>
      <w:bookmarkStart w:id="45" w:name="_Toc478823770"/>
      <w:r>
        <w:rPr>
          <w:rFonts w:hint="eastAsia" w:ascii="仿宋" w:hAnsi="仿宋" w:eastAsia="仿宋" w:cs="仿宋"/>
          <w:color w:val="auto"/>
          <w:kern w:val="2"/>
          <w:sz w:val="24"/>
        </w:rPr>
        <w:t>※一、服务期限、地点及验收方式</w:t>
      </w:r>
      <w:bookmarkEnd w:id="41"/>
      <w:bookmarkEnd w:id="42"/>
      <w:bookmarkEnd w:id="43"/>
      <w:bookmarkEnd w:id="44"/>
    </w:p>
    <w:p w14:paraId="3372A7B1">
      <w:pPr>
        <w:snapToGrid w:val="0"/>
        <w:spacing w:line="560" w:lineRule="exact"/>
        <w:ind w:firstLine="480" w:firstLineChars="200"/>
        <w:rPr>
          <w:rFonts w:ascii="仿宋" w:hAnsi="仿宋" w:eastAsia="仿宋" w:cs="仿宋"/>
          <w:color w:val="auto"/>
          <w:highlight w:val="none"/>
        </w:rPr>
      </w:pPr>
      <w:r>
        <w:rPr>
          <w:rFonts w:hint="eastAsia" w:ascii="仿宋" w:hAnsi="仿宋" w:eastAsia="仿宋" w:cs="仿宋"/>
          <w:color w:val="auto"/>
        </w:rPr>
        <w:t>（一）服务期限：本合同自签订之日起生效。合同签订后，须于2026年6月1日前完成总体应急预案最终定稿并报送备案审核，2026年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30</w:t>
      </w:r>
      <w:r>
        <w:rPr>
          <w:rFonts w:hint="eastAsia" w:ascii="仿宋" w:hAnsi="仿宋" w:eastAsia="仿宋" w:cs="仿宋"/>
          <w:color w:val="auto"/>
        </w:rPr>
        <w:t>日前完成正式印发及落地实施；全部专项应急预案须于2027年12月1日前完成最终定稿与备案报审，2027年12月30日前完成正式印发实施。成交供应商须严格遵照采购人工作安排，按期完成全部成果交付并顺利通过验收，未经采购人书面同意，不得擅自拖延、延误项目实施进度。</w:t>
      </w:r>
    </w:p>
    <w:p w14:paraId="561AD539">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（二）服务地点：</w:t>
      </w:r>
      <w:bookmarkStart w:id="46" w:name="_Toc344475121"/>
      <w:bookmarkStart w:id="47" w:name="_Toc12411"/>
      <w:r>
        <w:rPr>
          <w:rFonts w:hint="eastAsia" w:ascii="仿宋" w:hAnsi="仿宋" w:eastAsia="仿宋" w:cs="仿宋"/>
          <w:color w:val="auto"/>
          <w:highlight w:val="none"/>
        </w:rPr>
        <w:t>采购人指定地点。</w:t>
      </w:r>
    </w:p>
    <w:p w14:paraId="0312E538">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验收方式：</w:t>
      </w:r>
    </w:p>
    <w:p w14:paraId="6F263E7B">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1.本项目验收工作由采购人自行组织实施。采购人可结合项目实际开展情况，根据工作需要酌情邀请相关专业技术人员协助开展验收工作。</w:t>
      </w:r>
    </w:p>
    <w:p w14:paraId="1F0A5460">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成交供应商完成各阶段服务内容后，须严格遵照采购人相关管理规定及工作要求，及时报送阶段性工作成果资料。待本项目预案编制工作全部完成、全套资料整理规范并完成归档后，成交供应商须向采购人提交最终验收申请，同步报送完整、规范、合规的全套验收材料。</w:t>
      </w:r>
    </w:p>
    <w:p w14:paraId="541C1EC0">
      <w:pPr>
        <w:snapToGrid w:val="0"/>
        <w:spacing w:line="56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由采购人负责随机抽取评审专家，成交供应商做好配合衔接工作，协助组建专项评审委员会。单场次评审专家数量不少于3名，专业领域须覆盖应急管理、地质、水利、林业、化工、矿山、法律等相关范畴，其中具备高级职称专家不少于2名。</w:t>
      </w:r>
    </w:p>
    <w:p w14:paraId="045DEDA5">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严格依照规范评审流程组织开展方案论证评审，形成正式书面专家评审意见，评审结论分为合格、不合格、修改后合格三类。成交供应商须严格对照专家评审意见，逐条逐项完成整改优化，同步编制整改对照说明；所有整改内容须经评审专家复核并签字确认后，方可推进预案定稿工作。</w:t>
      </w:r>
    </w:p>
    <w:p w14:paraId="325030AB">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分阶段考核管理</w:t>
      </w:r>
    </w:p>
    <w:p w14:paraId="2FF2A0A7">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人针对本项目应急预案编制全流程实行分阶段考核管理，考核环节全覆盖实地调研、初稿编制、意见征集、专家评审四大关键阶段。各阶段工作成果须提交采购人审核，审核验收合格后方可推进下一阶段工作；若阶段考核结果不合格，成交供应商须在3个工作日内无条件无偿完成整改优化。整改复审仍未达到要求的，采购人有权单方面解除合作协议，项目终止所造成的全部经济损失与责任，均由成交供应商自行承担。</w:t>
      </w:r>
    </w:p>
    <w:p w14:paraId="78B33CE2">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最终综合验收</w:t>
      </w:r>
    </w:p>
    <w:p w14:paraId="274CCA7A">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项目最终验收采用资料合规审核+专家专业复核+实地现场核查三位一体综合验收模式。验收重点核查内容如下：</w:t>
      </w:r>
    </w:p>
    <w:p w14:paraId="02B0FF6B">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6.1</w:t>
      </w:r>
      <w:r>
        <w:rPr>
          <w:rFonts w:hint="eastAsia" w:ascii="仿宋" w:hAnsi="仿宋" w:eastAsia="仿宋" w:cs="仿宋"/>
          <w:color w:val="auto"/>
          <w:highlight w:val="none"/>
        </w:rPr>
        <w:t>预案编制成果是否全面响应、严格契合本项目采购全部需求及规范要求；</w:t>
      </w:r>
    </w:p>
    <w:p w14:paraId="6DF248C2">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6.2</w:t>
      </w:r>
      <w:r>
        <w:rPr>
          <w:rFonts w:hint="eastAsia" w:ascii="仿宋" w:hAnsi="仿宋" w:eastAsia="仿宋" w:cs="仿宋"/>
          <w:color w:val="auto"/>
          <w:highlight w:val="none"/>
        </w:rPr>
        <w:t>项目配套佐证资料、过程资料是否齐全完备、规范有效；</w:t>
      </w:r>
    </w:p>
    <w:p w14:paraId="39CA5647">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6.3</w:t>
      </w:r>
      <w:r>
        <w:rPr>
          <w:rFonts w:hint="eastAsia" w:ascii="仿宋" w:hAnsi="仿宋" w:eastAsia="仿宋" w:cs="仿宋"/>
          <w:color w:val="auto"/>
          <w:highlight w:val="none"/>
        </w:rPr>
        <w:t>应急预案是否完成专家评审流程并取得合格评审意见；</w:t>
      </w:r>
    </w:p>
    <w:p w14:paraId="125CA851">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6.4</w:t>
      </w:r>
      <w:r>
        <w:rPr>
          <w:rFonts w:hint="eastAsia" w:ascii="仿宋" w:hAnsi="仿宋" w:eastAsia="仿宋" w:cs="仿宋"/>
          <w:color w:val="auto"/>
          <w:highlight w:val="none"/>
        </w:rPr>
        <w:t>预案是否按规定完成报备流程并取得正式备案证明文件；</w:t>
      </w:r>
    </w:p>
    <w:p w14:paraId="5983F37A">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6.5</w:t>
      </w:r>
      <w:r>
        <w:rPr>
          <w:rFonts w:hint="eastAsia" w:ascii="仿宋" w:hAnsi="仿宋" w:eastAsia="仿宋" w:cs="仿宋"/>
          <w:color w:val="auto"/>
          <w:highlight w:val="none"/>
        </w:rPr>
        <w:t>是否严格遵照采购人管理要求完成预案定稿与正式印发。</w:t>
      </w:r>
    </w:p>
    <w:p w14:paraId="4F7772A7">
      <w:pPr>
        <w:snapToGrid w:val="0"/>
        <w:spacing w:line="5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lang w:val="en-US" w:eastAsia="zh-CN"/>
        </w:rPr>
        <w:t>7.</w:t>
      </w:r>
      <w:r>
        <w:rPr>
          <w:rFonts w:ascii="仿宋" w:hAnsi="仿宋" w:eastAsia="仿宋" w:cs="仿宋"/>
          <w:color w:val="auto"/>
          <w:highlight w:val="none"/>
          <w:lang w:val="en-US" w:eastAsia="zh-CN"/>
        </w:rPr>
        <w:t>本项目最终验收实行全指标达标机制，任意一项验收内容不符合标准，即判定整体验收不合格。验收不合格的，成交供应商须在</w:t>
      </w:r>
      <w:r>
        <w:rPr>
          <w:rFonts w:hint="eastAsia" w:ascii="仿宋" w:hAnsi="仿宋" w:eastAsia="仿宋" w:cs="仿宋"/>
          <w:color w:val="auto"/>
          <w:highlight w:val="none"/>
          <w:lang w:val="en-US" w:eastAsia="zh-CN"/>
        </w:rPr>
        <w:t>7</w:t>
      </w:r>
      <w:r>
        <w:rPr>
          <w:rFonts w:ascii="仿宋" w:hAnsi="仿宋" w:eastAsia="仿宋" w:cs="仿宋"/>
          <w:color w:val="auto"/>
          <w:highlight w:val="none"/>
          <w:lang w:val="en-US" w:eastAsia="zh-CN"/>
        </w:rPr>
        <w:t>个工作日内完成全面无偿整改；整改复核后仍未通过验收的，采购人有权终止合作，不予结算及支付任何服务费用，并依法依规追究成交供应商违约责任。</w:t>
      </w:r>
    </w:p>
    <w:p w14:paraId="2723CAE0">
      <w:pPr>
        <w:snapToGrid w:val="0"/>
        <w:spacing w:line="5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lang w:val="en-US" w:eastAsia="zh-CN"/>
        </w:rPr>
        <w:t>8.</w:t>
      </w:r>
      <w:r>
        <w:rPr>
          <w:rFonts w:ascii="仿宋" w:hAnsi="仿宋" w:eastAsia="仿宋" w:cs="仿宋"/>
          <w:color w:val="auto"/>
          <w:highlight w:val="none"/>
          <w:lang w:val="en-US" w:eastAsia="zh-CN"/>
        </w:rPr>
        <w:t>最终验收合格后，成交供应商须按采购人统一要求，完整移交全套成果文件及项目归档资料。</w:t>
      </w:r>
    </w:p>
    <w:p w14:paraId="55C26AA6">
      <w:pPr>
        <w:pStyle w:val="3"/>
        <w:widowControl w:val="0"/>
        <w:spacing w:before="0" w:after="0" w:line="500" w:lineRule="exact"/>
        <w:jc w:val="both"/>
        <w:rPr>
          <w:rFonts w:ascii="仿宋" w:hAnsi="仿宋" w:eastAsia="仿宋" w:cs="仿宋"/>
          <w:color w:val="auto"/>
          <w:kern w:val="2"/>
          <w:sz w:val="24"/>
        </w:rPr>
      </w:pPr>
      <w:bookmarkStart w:id="48" w:name="_Toc15015"/>
      <w:r>
        <w:rPr>
          <w:rFonts w:hint="eastAsia" w:ascii="仿宋" w:hAnsi="仿宋" w:eastAsia="仿宋" w:cs="仿宋"/>
          <w:color w:val="auto"/>
          <w:kern w:val="2"/>
          <w:sz w:val="24"/>
        </w:rPr>
        <w:t>※二、售后服务要求</w:t>
      </w:r>
      <w:bookmarkEnd w:id="48"/>
    </w:p>
    <w:p w14:paraId="46B729FD">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成交单位须为本项目编制的应急预案体系提供不少于3年免费售后服务，服务期限自全部预案正式印发之日起算。</w:t>
      </w:r>
    </w:p>
    <w:p w14:paraId="6E50D1C9">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服务内容</w:t>
      </w:r>
    </w:p>
    <w:p w14:paraId="1442B4AD">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负责预案日常咨询、业务答疑及技术解读；</w:t>
      </w:r>
    </w:p>
    <w:p w14:paraId="43312F3A">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配合采购人开展预案宣贯、实操培训等相关工作；</w:t>
      </w:r>
    </w:p>
    <w:p w14:paraId="6588E9E5">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结合辖区内机构职能微调、上级政策小幅修订等情形，无偿提供预案调整、修订完善服务；</w:t>
      </w:r>
    </w:p>
    <w:p w14:paraId="5BB660F2">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全程配合采购人开展应急演练，提供技术支撑与专业指导。</w:t>
      </w:r>
    </w:p>
    <w:p w14:paraId="7024336C">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服务响应时效</w:t>
      </w:r>
    </w:p>
    <w:p w14:paraId="265EAD3C">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采购人提出服务需求后，成交单位须在2个工作日内完成响应，常规事项于5个工作日内办结；涉及内容量大、流程复杂的修订工作，双方可协商合理办理时限，最终办结时长最长不得超过15个工作日。</w:t>
      </w:r>
    </w:p>
    <w:p w14:paraId="7A2F6CF5">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专项服务要求</w:t>
      </w:r>
    </w:p>
    <w:p w14:paraId="1E8244B0">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highlight w:val="none"/>
          <w:lang w:val="en-US" w:eastAsia="zh-CN"/>
        </w:rPr>
        <w:t>服务期内，成交单位须无条件配合采购人组织开展不少于2次全区性预案宣传培训，同步配套提供标准化培训课件、应急演练方案、演练复盘总结报告等全套专业资料，保障培训及演练工作规范落地实施。</w:t>
      </w:r>
    </w:p>
    <w:p w14:paraId="0691DA60">
      <w:pPr>
        <w:pStyle w:val="3"/>
        <w:widowControl w:val="0"/>
        <w:spacing w:before="0" w:after="0" w:line="500" w:lineRule="exact"/>
        <w:jc w:val="both"/>
        <w:rPr>
          <w:rFonts w:ascii="仿宋" w:hAnsi="仿宋" w:eastAsia="仿宋" w:cs="仿宋"/>
          <w:color w:val="auto"/>
          <w:kern w:val="2"/>
          <w:sz w:val="24"/>
        </w:rPr>
      </w:pPr>
      <w:bookmarkStart w:id="49" w:name="_Toc11183"/>
      <w:r>
        <w:rPr>
          <w:rFonts w:hint="eastAsia" w:ascii="仿宋" w:hAnsi="仿宋" w:eastAsia="仿宋" w:cs="仿宋"/>
          <w:color w:val="auto"/>
          <w:kern w:val="2"/>
          <w:sz w:val="24"/>
        </w:rPr>
        <w:t>※三、</w:t>
      </w:r>
      <w:bookmarkEnd w:id="46"/>
      <w:r>
        <w:rPr>
          <w:rFonts w:hint="eastAsia" w:ascii="仿宋" w:hAnsi="仿宋" w:eastAsia="仿宋" w:cs="仿宋"/>
          <w:color w:val="auto"/>
          <w:kern w:val="2"/>
          <w:sz w:val="24"/>
        </w:rPr>
        <w:t>报价要求</w:t>
      </w:r>
      <w:bookmarkEnd w:id="47"/>
      <w:bookmarkEnd w:id="49"/>
    </w:p>
    <w:p w14:paraId="24733E76">
      <w:pPr>
        <w:snapToGrid w:val="0"/>
        <w:spacing w:line="560" w:lineRule="exact"/>
        <w:ind w:firstLine="480" w:firstLineChars="200"/>
        <w:rPr>
          <w:rFonts w:ascii="仿宋" w:hAnsi="仿宋" w:eastAsia="仿宋" w:cs="仿宋"/>
          <w:color w:val="auto"/>
        </w:rPr>
      </w:pPr>
      <w:bookmarkStart w:id="50" w:name="_Toc62484883"/>
      <w:bookmarkStart w:id="51" w:name="_Toc27349"/>
      <w:bookmarkStart w:id="52" w:name="_Toc344475122"/>
      <w:r>
        <w:rPr>
          <w:rFonts w:hint="eastAsia" w:ascii="仿宋" w:hAnsi="仿宋" w:eastAsia="仿宋" w:cs="仿宋"/>
          <w:color w:val="auto"/>
        </w:rPr>
        <w:t>供应商在编制报价时，应充分考虑《竞争性比选文件》、采购合同条款、国家现行技术及经济规范、行业标准及相关配套文件等要求，综合测算各项成本。报价应涵盖完成本项目范围内全部工作所需的人工费、材料费、机械费、</w:t>
      </w:r>
      <w:r>
        <w:rPr>
          <w:rFonts w:hint="eastAsia" w:ascii="仿宋" w:hAnsi="仿宋" w:eastAsia="仿宋" w:cs="仿宋"/>
          <w:color w:val="auto"/>
          <w:lang w:val="en-US" w:eastAsia="zh-CN"/>
        </w:rPr>
        <w:t>专家</w:t>
      </w:r>
      <w:r>
        <w:rPr>
          <w:rFonts w:hint="eastAsia" w:ascii="仿宋" w:hAnsi="仿宋" w:eastAsia="仿宋" w:cs="仿宋"/>
          <w:color w:val="auto"/>
        </w:rPr>
        <w:t>费、设计费、企业管理费、利润、风险费用、保险、规费、税金等一切费用。采购人不支付其它任何费用。因成交供应商自身原因造成漏报、少报皆由其自行承担责任，采购人不再补偿。</w:t>
      </w:r>
    </w:p>
    <w:p w14:paraId="7430076F">
      <w:pPr>
        <w:pStyle w:val="3"/>
        <w:widowControl w:val="0"/>
        <w:spacing w:before="0" w:after="0" w:line="500" w:lineRule="exact"/>
        <w:jc w:val="both"/>
        <w:rPr>
          <w:rFonts w:ascii="仿宋" w:hAnsi="仿宋" w:eastAsia="仿宋" w:cs="仿宋"/>
          <w:color w:val="auto"/>
          <w:kern w:val="2"/>
          <w:sz w:val="24"/>
        </w:rPr>
      </w:pPr>
      <w:bookmarkStart w:id="53" w:name="_Toc3659"/>
      <w:r>
        <w:rPr>
          <w:rFonts w:hint="eastAsia" w:ascii="仿宋" w:hAnsi="仿宋" w:eastAsia="仿宋" w:cs="仿宋"/>
          <w:color w:val="auto"/>
          <w:kern w:val="2"/>
          <w:sz w:val="24"/>
        </w:rPr>
        <w:t>※四、付款方式</w:t>
      </w:r>
      <w:bookmarkEnd w:id="50"/>
      <w:bookmarkEnd w:id="51"/>
      <w:bookmarkEnd w:id="52"/>
      <w:bookmarkEnd w:id="53"/>
      <w:bookmarkStart w:id="54" w:name="_Toc344475123"/>
    </w:p>
    <w:bookmarkEnd w:id="54"/>
    <w:p w14:paraId="719A33F8">
      <w:pPr>
        <w:snapToGrid w:val="0"/>
        <w:spacing w:line="560" w:lineRule="exact"/>
        <w:ind w:firstLine="480" w:firstLineChars="200"/>
        <w:rPr>
          <w:rFonts w:ascii="仿宋" w:hAnsi="仿宋" w:eastAsia="仿宋" w:cs="仿宋"/>
          <w:color w:val="auto"/>
        </w:rPr>
      </w:pPr>
      <w:bookmarkStart w:id="55" w:name="_Toc26661"/>
      <w:r>
        <w:rPr>
          <w:rFonts w:hint="eastAsia" w:ascii="仿宋" w:hAnsi="仿宋" w:eastAsia="仿宋" w:cs="仿宋"/>
          <w:color w:val="auto"/>
        </w:rPr>
        <w:t>成交供应商完成全部服务内容，提交完整项目成果资料并通过最终验收后，须向采购人开具等额、合法、有效的正规税务发票。采购人在收齐全部成果资料、发票等付款要件并审核无误后，按财务管理制度办理支付手续，一次性付清合同总金额100%款项。</w:t>
      </w:r>
    </w:p>
    <w:p w14:paraId="43C89AAB">
      <w:pPr>
        <w:pStyle w:val="3"/>
        <w:widowControl w:val="0"/>
        <w:spacing w:before="0" w:after="0" w:line="500" w:lineRule="exact"/>
        <w:jc w:val="both"/>
        <w:rPr>
          <w:rFonts w:ascii="仿宋" w:hAnsi="仿宋" w:eastAsia="仿宋" w:cs="仿宋"/>
          <w:color w:val="auto"/>
          <w:kern w:val="2"/>
          <w:sz w:val="24"/>
        </w:rPr>
      </w:pPr>
      <w:bookmarkStart w:id="56" w:name="_Toc6797"/>
      <w:r>
        <w:rPr>
          <w:rFonts w:hint="eastAsia" w:ascii="仿宋" w:hAnsi="仿宋" w:eastAsia="仿宋" w:cs="仿宋"/>
          <w:color w:val="auto"/>
          <w:kern w:val="2"/>
          <w:sz w:val="24"/>
        </w:rPr>
        <w:t>※五、知识产权</w:t>
      </w:r>
      <w:bookmarkEnd w:id="55"/>
      <w:bookmarkEnd w:id="56"/>
    </w:p>
    <w:p w14:paraId="3DA98B11">
      <w:pPr>
        <w:snapToGrid w:val="0"/>
        <w:spacing w:line="560" w:lineRule="exact"/>
        <w:ind w:firstLine="480" w:firstLineChars="200"/>
        <w:rPr>
          <w:rFonts w:ascii="仿宋" w:hAnsi="仿宋" w:eastAsia="仿宋" w:cs="仿宋"/>
          <w:color w:val="auto"/>
          <w:highlight w:val="none"/>
        </w:rPr>
      </w:pPr>
      <w:bookmarkStart w:id="57" w:name="_Toc344475124"/>
      <w:bookmarkStart w:id="58" w:name="_Toc15151"/>
      <w:r>
        <w:rPr>
          <w:rFonts w:ascii="仿宋" w:hAnsi="仿宋" w:eastAsia="仿宋" w:cs="仿宋"/>
          <w:color w:val="auto"/>
          <w:highlight w:val="none"/>
        </w:rPr>
        <w:t>（一）成交供应商应保证其为采购人提供的全部服务成果及相关素材、文件、作品、资料等，不侵犯任何第三方的专利权、著作权、商标权、商业秘密或其他合法权益。凡因成交供应商提供的相关内容引发的知识产权纠纷、侵权索赔、诉讼、仲裁等事项，均由成交供应商负责处理并承担由此产生的一切法律责任、经济责任及相关费用；因此给采购人造成损失的，成交供应商还应承担全部赔偿责任。</w:t>
      </w:r>
    </w:p>
    <w:p w14:paraId="18082006">
      <w:pPr>
        <w:snapToGrid w:val="0"/>
        <w:spacing w:line="560" w:lineRule="exact"/>
        <w:ind w:firstLine="480" w:firstLineChars="200"/>
        <w:rPr>
          <w:rFonts w:hint="eastAsia" w:ascii="仿宋" w:hAnsi="仿宋" w:eastAsia="仿宋" w:cs="仿宋"/>
          <w:color w:val="auto"/>
          <w:highlight w:val="none"/>
          <w:lang w:val="en-US" w:eastAsia="zh-CN"/>
        </w:rPr>
      </w:pPr>
      <w:r>
        <w:rPr>
          <w:rFonts w:ascii="仿宋" w:hAnsi="仿宋" w:eastAsia="仿宋" w:cs="仿宋"/>
          <w:color w:val="auto"/>
          <w:highlight w:val="none"/>
        </w:rPr>
        <w:t>（二）本项目属于定制化</w:t>
      </w:r>
      <w:r>
        <w:rPr>
          <w:rFonts w:hint="eastAsia" w:ascii="仿宋" w:hAnsi="仿宋" w:eastAsia="仿宋" w:cs="仿宋"/>
          <w:color w:val="auto"/>
          <w:highlight w:val="none"/>
          <w:lang w:val="en-US" w:eastAsia="zh-CN"/>
        </w:rPr>
        <w:t>应急预案</w:t>
      </w:r>
      <w:r>
        <w:rPr>
          <w:rFonts w:ascii="仿宋" w:hAnsi="仿宋" w:eastAsia="仿宋" w:cs="仿宋"/>
          <w:color w:val="auto"/>
          <w:highlight w:val="none"/>
        </w:rPr>
        <w:t>制作服务项目。成交供应商按照采购文件、响应文件及合同约定完成本项目全部服务内容，并经采购人验收合格后，就本项目实施过程中形成的全部交付成果，其著作财产权、使用权及其他依法可转让的相关权益归采购人所有。</w:t>
      </w:r>
      <w:r>
        <w:rPr>
          <w:rFonts w:hint="eastAsia" w:ascii="仿宋" w:hAnsi="仿宋" w:eastAsia="仿宋" w:cs="仿宋"/>
          <w:color w:val="auto"/>
          <w:highlight w:val="none"/>
          <w:lang w:val="en-US" w:eastAsia="zh-CN"/>
        </w:rPr>
        <w:t xml:space="preserve">  </w:t>
      </w:r>
    </w:p>
    <w:p w14:paraId="2F7FDEBE">
      <w:pPr>
        <w:pStyle w:val="3"/>
        <w:widowControl w:val="0"/>
        <w:spacing w:before="0" w:after="0" w:line="500" w:lineRule="exact"/>
        <w:jc w:val="both"/>
        <w:rPr>
          <w:rFonts w:ascii="仿宋" w:hAnsi="仿宋" w:eastAsia="仿宋" w:cs="仿宋"/>
          <w:color w:val="auto"/>
          <w:kern w:val="2"/>
          <w:sz w:val="24"/>
        </w:rPr>
      </w:pPr>
      <w:bookmarkStart w:id="59" w:name="_Toc6648"/>
      <w:r>
        <w:rPr>
          <w:rFonts w:hint="eastAsia" w:ascii="仿宋" w:hAnsi="仿宋" w:eastAsia="仿宋" w:cs="仿宋"/>
          <w:color w:val="auto"/>
          <w:kern w:val="2"/>
          <w:sz w:val="24"/>
        </w:rPr>
        <w:t>※六、转包、分包</w:t>
      </w:r>
      <w:bookmarkEnd w:id="59"/>
    </w:p>
    <w:p w14:paraId="5790F783">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rPr>
        <w:t>成交供应商未经采购人书面同意，不得将本项目转包、分包给第三方，如成交供应商将本项目转包、分包给第三方的，采购人有权解除合同，同时采购人有权要求成交供应商按合同总金额的10%支付违约金，因此给采购人造成的损失应由成交供应商承担赔偿责任。</w:t>
      </w:r>
    </w:p>
    <w:p w14:paraId="66097898">
      <w:pPr>
        <w:pStyle w:val="3"/>
        <w:widowControl w:val="0"/>
        <w:spacing w:before="0" w:after="0" w:line="500" w:lineRule="exact"/>
        <w:jc w:val="both"/>
        <w:rPr>
          <w:rFonts w:hint="eastAsia" w:ascii="仿宋" w:hAnsi="仿宋" w:eastAsia="仿宋" w:cs="仿宋"/>
          <w:color w:val="auto"/>
          <w:kern w:val="2"/>
          <w:sz w:val="24"/>
        </w:rPr>
      </w:pPr>
      <w:bookmarkStart w:id="60" w:name="_Toc11734"/>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七</w:t>
      </w:r>
      <w:r>
        <w:rPr>
          <w:rFonts w:hint="eastAsia" w:ascii="仿宋" w:hAnsi="仿宋" w:eastAsia="仿宋" w:cs="仿宋"/>
          <w:color w:val="auto"/>
          <w:kern w:val="2"/>
          <w:sz w:val="24"/>
        </w:rPr>
        <w:t>、保密要求</w:t>
      </w:r>
      <w:bookmarkEnd w:id="60"/>
    </w:p>
    <w:p w14:paraId="5FBDC001">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成交供应商应对在项目实施过程中知悉、获取或者接触到的与采购人有关的全部信息、资料及项目成果承担保密义务。未经采购人书面同意，成交供应商不得擅自复制、传播、披露、使用或向任何第三方提供。</w:t>
      </w:r>
    </w:p>
    <w:p w14:paraId="0D7BD5A3">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（二）成交供应商应采取必要的保密管理和安全防护措施，妥善保管项目资料及成果，严格控制接触范围，确保其工作人员、参与人员依法履行保密义务。</w:t>
      </w:r>
    </w:p>
    <w:p w14:paraId="62BF7793">
      <w:pPr>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（三）项目完成后，成交供应商应按照采购人要求移交相关资料；未经采购人书面同意，不得擅自留存、对外发布、用于商业宣传、案例展示或其他与本项目无关的用途。</w:t>
      </w:r>
    </w:p>
    <w:p w14:paraId="24A5E8F0">
      <w:pPr>
        <w:snapToGrid w:val="0"/>
        <w:spacing w:line="560" w:lineRule="exact"/>
        <w:ind w:firstLine="480" w:firstLineChars="200"/>
        <w:rPr>
          <w:rFonts w:hint="eastAsia" w:ascii="仿宋" w:hAnsi="仿宋" w:eastAsia="仿宋" w:cs="仿宋"/>
          <w:color w:val="auto"/>
        </w:rPr>
      </w:pPr>
      <w:r>
        <w:rPr>
          <w:rFonts w:hint="eastAsia" w:ascii="仿宋" w:hAnsi="仿宋" w:eastAsia="仿宋" w:cs="仿宋"/>
          <w:color w:val="auto"/>
          <w:highlight w:val="none"/>
        </w:rPr>
        <w:t>（四）因成交供应商违反保密义务造成采购人损失、社会影响或其他不良后果的，成交供应商应依法承担相应法律责任，并赔偿采购人因此遭受的全部损失。</w:t>
      </w:r>
    </w:p>
    <w:p w14:paraId="6F744A48">
      <w:pPr>
        <w:pStyle w:val="3"/>
        <w:widowControl w:val="0"/>
        <w:spacing w:before="0" w:after="0" w:line="500" w:lineRule="exact"/>
        <w:jc w:val="both"/>
        <w:rPr>
          <w:rFonts w:ascii="仿宋" w:hAnsi="仿宋" w:eastAsia="仿宋" w:cs="仿宋"/>
          <w:color w:val="auto"/>
          <w:kern w:val="2"/>
          <w:sz w:val="24"/>
        </w:rPr>
      </w:pPr>
      <w:bookmarkStart w:id="61" w:name="_Toc32714"/>
      <w:r>
        <w:rPr>
          <w:rFonts w:hint="eastAsia" w:ascii="仿宋" w:hAnsi="仿宋" w:eastAsia="仿宋" w:cs="仿宋"/>
          <w:color w:val="auto"/>
          <w:kern w:val="2"/>
          <w:sz w:val="24"/>
        </w:rPr>
        <w:t>※</w:t>
      </w:r>
      <w:r>
        <w:rPr>
          <w:rFonts w:hint="eastAsia" w:ascii="仿宋" w:hAnsi="仿宋" w:eastAsia="仿宋" w:cs="仿宋"/>
          <w:color w:val="auto"/>
          <w:kern w:val="2"/>
          <w:sz w:val="24"/>
          <w:lang w:val="en-US" w:eastAsia="zh-CN"/>
        </w:rPr>
        <w:t>八</w:t>
      </w:r>
      <w:r>
        <w:rPr>
          <w:rFonts w:hint="eastAsia" w:ascii="仿宋" w:hAnsi="仿宋" w:eastAsia="仿宋" w:cs="仿宋"/>
          <w:color w:val="auto"/>
          <w:kern w:val="2"/>
          <w:sz w:val="24"/>
        </w:rPr>
        <w:t>、</w:t>
      </w:r>
      <w:bookmarkEnd w:id="57"/>
      <w:bookmarkStart w:id="62" w:name="_Toc344475125"/>
      <w:r>
        <w:rPr>
          <w:rFonts w:hint="eastAsia" w:ascii="仿宋" w:hAnsi="仿宋" w:eastAsia="仿宋" w:cs="仿宋"/>
          <w:color w:val="auto"/>
          <w:kern w:val="2"/>
          <w:sz w:val="24"/>
        </w:rPr>
        <w:t>其他</w:t>
      </w:r>
      <w:bookmarkEnd w:id="58"/>
      <w:bookmarkEnd w:id="61"/>
    </w:p>
    <w:bookmarkEnd w:id="62"/>
    <w:p w14:paraId="0D381C58">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、因成交供应商服务质量未达到相关标准及要求，给采购人造成重大经济损失或者财政资金无法收回的，采购人有权视情况追究成交供应商的违约责任。</w:t>
      </w:r>
    </w:p>
    <w:p w14:paraId="3CA4215A">
      <w:pPr>
        <w:snapToGrid w:val="0"/>
        <w:spacing w:line="560" w:lineRule="exact"/>
        <w:ind w:firstLine="480" w:firstLineChars="200"/>
        <w:rPr>
          <w:rFonts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、其他未尽事宜由供需双方在采购合同中详细约定。</w:t>
      </w:r>
    </w:p>
    <w:p w14:paraId="7FA05B2C">
      <w:pPr>
        <w:pStyle w:val="3"/>
        <w:pageBreakBefore/>
        <w:spacing w:before="0" w:after="0" w:line="360" w:lineRule="auto"/>
        <w:jc w:val="center"/>
        <w:rPr>
          <w:rFonts w:ascii="仿宋" w:hAnsi="仿宋" w:eastAsia="仿宋" w:cs="仿宋"/>
          <w:bCs/>
          <w:color w:val="auto"/>
          <w:sz w:val="36"/>
          <w:szCs w:val="30"/>
        </w:rPr>
      </w:pPr>
      <w:bookmarkStart w:id="63" w:name="_Toc21874"/>
      <w:r>
        <w:rPr>
          <w:rFonts w:hint="eastAsia" w:ascii="仿宋" w:hAnsi="仿宋" w:eastAsia="仿宋" w:cs="仿宋"/>
          <w:bCs/>
          <w:color w:val="auto"/>
          <w:sz w:val="36"/>
          <w:szCs w:val="30"/>
        </w:rPr>
        <w:t>第四篇  比选程序及方法、评审标准、无效响应和</w:t>
      </w:r>
      <w:r>
        <w:rPr>
          <w:rFonts w:hint="eastAsia" w:ascii="仿宋" w:hAnsi="仿宋" w:eastAsia="仿宋" w:cs="仿宋"/>
          <w:bCs/>
          <w:color w:val="auto"/>
          <w:sz w:val="36"/>
          <w:szCs w:val="36"/>
        </w:rPr>
        <w:t>采购终止</w:t>
      </w:r>
      <w:bookmarkEnd w:id="45"/>
      <w:bookmarkEnd w:id="63"/>
    </w:p>
    <w:p w14:paraId="45D6B340">
      <w:pPr>
        <w:pStyle w:val="3"/>
        <w:widowControl w:val="0"/>
        <w:spacing w:before="0" w:after="0" w:line="500" w:lineRule="exact"/>
        <w:jc w:val="both"/>
        <w:rPr>
          <w:rFonts w:ascii="仿宋" w:hAnsi="仿宋" w:eastAsia="仿宋" w:cs="仿宋"/>
          <w:color w:val="auto"/>
          <w:kern w:val="2"/>
          <w:sz w:val="24"/>
        </w:rPr>
      </w:pPr>
      <w:bookmarkStart w:id="64" w:name="_Toc21860"/>
      <w:bookmarkStart w:id="65" w:name="_Toc478823771"/>
      <w:r>
        <w:rPr>
          <w:rFonts w:hint="eastAsia" w:ascii="仿宋" w:hAnsi="仿宋" w:eastAsia="仿宋" w:cs="仿宋"/>
          <w:color w:val="auto"/>
          <w:kern w:val="2"/>
          <w:sz w:val="24"/>
        </w:rPr>
        <w:t>一、比选程序及方法</w:t>
      </w:r>
      <w:bookmarkEnd w:id="64"/>
      <w:bookmarkEnd w:id="65"/>
    </w:p>
    <w:p w14:paraId="58A77949">
      <w:pPr>
        <w:spacing w:line="400" w:lineRule="exact"/>
        <w:ind w:firstLine="480" w:firstLineChars="200"/>
        <w:rPr>
          <w:rFonts w:ascii="仿宋" w:hAnsi="仿宋" w:eastAsia="仿宋" w:cs="仿宋"/>
          <w:color w:val="auto"/>
        </w:rPr>
      </w:pPr>
      <w:r>
        <w:rPr>
          <w:rFonts w:hint="eastAsia" w:ascii="仿宋" w:hAnsi="仿宋" w:eastAsia="仿宋" w:cs="仿宋"/>
          <w:color w:val="auto"/>
        </w:rPr>
        <w:t>（一）比选按竞争性比选文件规定的时间和地点进行，供应商须有法定代表人（或其授权代表）或自然人参加并签到。</w:t>
      </w:r>
    </w:p>
    <w:p w14:paraId="2BE4D9F6">
      <w:pPr>
        <w:spacing w:line="400" w:lineRule="exact"/>
        <w:ind w:firstLine="480" w:firstLineChars="200"/>
        <w:rPr>
          <w:rFonts w:ascii="仿宋" w:hAnsi="仿宋" w:eastAsia="仿宋" w:cs="仿宋"/>
          <w:color w:val="auto"/>
        </w:rPr>
      </w:pPr>
      <w:r>
        <w:rPr>
          <w:rFonts w:hint="eastAsia" w:ascii="仿宋" w:hAnsi="仿宋" w:eastAsia="仿宋" w:cs="仿宋"/>
          <w:color w:val="auto"/>
        </w:rPr>
        <w:t>（二）比选小组对各供应商的资格条件、响应文件的有效性、完整性和响应程度进行审查。各供应商只有在完全符合要求的前提下，才能参与正式比选。</w:t>
      </w:r>
    </w:p>
    <w:p w14:paraId="058A7030">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1.资格性审查。依据法律法规和竞争性比选文件的规定，对响应文件中的资格证明、等进行审查，以确定供应商是否具备比选资格。资格性审查资料表如下：</w:t>
      </w:r>
    </w:p>
    <w:tbl>
      <w:tblPr>
        <w:tblStyle w:val="59"/>
        <w:tblW w:w="977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65"/>
        <w:gridCol w:w="3405"/>
        <w:gridCol w:w="4354"/>
      </w:tblGrid>
      <w:tr w14:paraId="4EFF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2AFE8F4C">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序号</w:t>
            </w:r>
          </w:p>
        </w:tc>
        <w:tc>
          <w:tcPr>
            <w:tcW w:w="4470" w:type="dxa"/>
            <w:gridSpan w:val="2"/>
            <w:vAlign w:val="center"/>
          </w:tcPr>
          <w:p w14:paraId="02CC1062">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4354" w:type="dxa"/>
            <w:vAlign w:val="center"/>
          </w:tcPr>
          <w:p w14:paraId="699D34CC">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55A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vAlign w:val="center"/>
          </w:tcPr>
          <w:p w14:paraId="39370611">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（一）</w:t>
            </w:r>
          </w:p>
        </w:tc>
        <w:tc>
          <w:tcPr>
            <w:tcW w:w="1065" w:type="dxa"/>
            <w:vMerge w:val="restart"/>
            <w:vAlign w:val="center"/>
          </w:tcPr>
          <w:p w14:paraId="0EF087F4">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lang w:val="zh-CN"/>
              </w:rPr>
              <w:t>《中华人民共和国政府采购法》第二十二条规定</w:t>
            </w:r>
          </w:p>
        </w:tc>
        <w:tc>
          <w:tcPr>
            <w:tcW w:w="3405" w:type="dxa"/>
            <w:vAlign w:val="center"/>
          </w:tcPr>
          <w:p w14:paraId="3C9C63F2">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354" w:type="dxa"/>
            <w:vAlign w:val="center"/>
          </w:tcPr>
          <w:p w14:paraId="56B31F9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 xml:space="preserve">1.供应商法人营业执照（副本）或事业单位法人证书（副本）或个体工商户营业执照或有效的自然人身份证明或社会团体法人登记证书（提供复印件）。 </w:t>
            </w:r>
          </w:p>
          <w:p w14:paraId="30D0CF09">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2.供应商法定代表人身份证明和法定代表人授权代表委托书。</w:t>
            </w:r>
          </w:p>
        </w:tc>
      </w:tr>
      <w:tr w14:paraId="0769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52FD8C5">
            <w:pPr>
              <w:spacing w:line="400" w:lineRule="exact"/>
              <w:jc w:val="center"/>
              <w:rPr>
                <w:rFonts w:ascii="仿宋" w:hAnsi="仿宋" w:eastAsia="仿宋" w:cs="仿宋"/>
                <w:color w:val="auto"/>
                <w:sz w:val="21"/>
                <w:szCs w:val="21"/>
              </w:rPr>
            </w:pPr>
          </w:p>
        </w:tc>
        <w:tc>
          <w:tcPr>
            <w:tcW w:w="1065" w:type="dxa"/>
            <w:vMerge w:val="continue"/>
            <w:vAlign w:val="center"/>
          </w:tcPr>
          <w:p w14:paraId="479BE3C5">
            <w:pPr>
              <w:spacing w:line="400" w:lineRule="exact"/>
              <w:rPr>
                <w:rFonts w:ascii="仿宋" w:hAnsi="仿宋" w:eastAsia="仿宋" w:cs="仿宋"/>
                <w:color w:val="auto"/>
                <w:sz w:val="21"/>
                <w:szCs w:val="21"/>
                <w:lang w:val="zh-CN"/>
              </w:rPr>
            </w:pPr>
          </w:p>
        </w:tc>
        <w:tc>
          <w:tcPr>
            <w:tcW w:w="3405" w:type="dxa"/>
            <w:vAlign w:val="center"/>
          </w:tcPr>
          <w:p w14:paraId="427DCD1D">
            <w:pPr>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354" w:type="dxa"/>
            <w:vMerge w:val="restart"/>
            <w:vAlign w:val="center"/>
          </w:tcPr>
          <w:p w14:paraId="6F32B57D">
            <w:pPr>
              <w:spacing w:line="400" w:lineRule="exact"/>
              <w:rPr>
                <w:rFonts w:ascii="仿宋" w:hAnsi="仿宋" w:eastAsia="仿宋" w:cs="仿宋"/>
                <w:b/>
                <w:color w:val="auto"/>
                <w:sz w:val="21"/>
                <w:szCs w:val="21"/>
              </w:rPr>
            </w:pPr>
            <w:r>
              <w:rPr>
                <w:rFonts w:hint="eastAsia" w:ascii="仿宋" w:hAnsi="仿宋" w:eastAsia="仿宋" w:cs="仿宋"/>
                <w:b/>
                <w:color w:val="auto"/>
                <w:sz w:val="21"/>
                <w:szCs w:val="21"/>
              </w:rPr>
              <w:t>供应商提供“基本资格条件承诺函”（格式详见第七篇）。</w:t>
            </w:r>
          </w:p>
        </w:tc>
      </w:tr>
      <w:tr w14:paraId="2A75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0E4D290">
            <w:pPr>
              <w:spacing w:line="400" w:lineRule="exact"/>
              <w:jc w:val="center"/>
              <w:rPr>
                <w:rFonts w:ascii="仿宋" w:hAnsi="仿宋" w:eastAsia="仿宋" w:cs="仿宋"/>
                <w:color w:val="auto"/>
                <w:sz w:val="21"/>
                <w:szCs w:val="21"/>
              </w:rPr>
            </w:pPr>
          </w:p>
        </w:tc>
        <w:tc>
          <w:tcPr>
            <w:tcW w:w="1065" w:type="dxa"/>
            <w:vMerge w:val="continue"/>
            <w:vAlign w:val="center"/>
          </w:tcPr>
          <w:p w14:paraId="156EBFB9">
            <w:pPr>
              <w:spacing w:line="400" w:lineRule="exact"/>
              <w:rPr>
                <w:rFonts w:ascii="仿宋" w:hAnsi="仿宋" w:eastAsia="仿宋" w:cs="仿宋"/>
                <w:color w:val="auto"/>
                <w:sz w:val="21"/>
                <w:szCs w:val="21"/>
                <w:lang w:val="zh-CN"/>
              </w:rPr>
            </w:pPr>
          </w:p>
        </w:tc>
        <w:tc>
          <w:tcPr>
            <w:tcW w:w="3405" w:type="dxa"/>
            <w:vAlign w:val="center"/>
          </w:tcPr>
          <w:p w14:paraId="54BDD4C7">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354" w:type="dxa"/>
            <w:vMerge w:val="continue"/>
            <w:vAlign w:val="center"/>
          </w:tcPr>
          <w:p w14:paraId="1198B574">
            <w:pPr>
              <w:spacing w:line="400" w:lineRule="exact"/>
              <w:rPr>
                <w:rFonts w:ascii="仿宋" w:hAnsi="仿宋" w:eastAsia="仿宋" w:cs="仿宋"/>
                <w:color w:val="auto"/>
                <w:sz w:val="21"/>
                <w:szCs w:val="21"/>
              </w:rPr>
            </w:pPr>
          </w:p>
        </w:tc>
      </w:tr>
      <w:tr w14:paraId="2F43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9A54FCF">
            <w:pPr>
              <w:spacing w:line="400" w:lineRule="exact"/>
              <w:jc w:val="center"/>
              <w:rPr>
                <w:rFonts w:ascii="仿宋" w:hAnsi="仿宋" w:eastAsia="仿宋" w:cs="仿宋"/>
                <w:color w:val="auto"/>
                <w:sz w:val="21"/>
                <w:szCs w:val="21"/>
              </w:rPr>
            </w:pPr>
          </w:p>
        </w:tc>
        <w:tc>
          <w:tcPr>
            <w:tcW w:w="1065" w:type="dxa"/>
            <w:vMerge w:val="continue"/>
            <w:vAlign w:val="center"/>
          </w:tcPr>
          <w:p w14:paraId="25F37AAA">
            <w:pPr>
              <w:spacing w:line="400" w:lineRule="exact"/>
              <w:rPr>
                <w:rFonts w:ascii="仿宋" w:hAnsi="仿宋" w:eastAsia="仿宋" w:cs="仿宋"/>
                <w:color w:val="auto"/>
                <w:sz w:val="21"/>
                <w:szCs w:val="21"/>
                <w:lang w:val="zh-CN"/>
              </w:rPr>
            </w:pPr>
          </w:p>
        </w:tc>
        <w:tc>
          <w:tcPr>
            <w:tcW w:w="3405" w:type="dxa"/>
            <w:vAlign w:val="center"/>
          </w:tcPr>
          <w:p w14:paraId="08B583A8">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354" w:type="dxa"/>
            <w:vMerge w:val="continue"/>
            <w:vAlign w:val="center"/>
          </w:tcPr>
          <w:p w14:paraId="36888AD7">
            <w:pPr>
              <w:spacing w:line="400" w:lineRule="exact"/>
              <w:rPr>
                <w:rFonts w:ascii="仿宋" w:hAnsi="仿宋" w:eastAsia="仿宋" w:cs="仿宋"/>
                <w:color w:val="auto"/>
                <w:sz w:val="21"/>
                <w:szCs w:val="21"/>
              </w:rPr>
            </w:pPr>
          </w:p>
        </w:tc>
      </w:tr>
      <w:tr w14:paraId="19B6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3E2A13BC">
            <w:pPr>
              <w:spacing w:line="400" w:lineRule="exact"/>
              <w:jc w:val="center"/>
              <w:rPr>
                <w:rFonts w:ascii="仿宋" w:hAnsi="仿宋" w:eastAsia="仿宋" w:cs="仿宋"/>
                <w:color w:val="auto"/>
                <w:sz w:val="21"/>
                <w:szCs w:val="21"/>
              </w:rPr>
            </w:pPr>
          </w:p>
        </w:tc>
        <w:tc>
          <w:tcPr>
            <w:tcW w:w="1065" w:type="dxa"/>
            <w:vMerge w:val="continue"/>
            <w:vAlign w:val="center"/>
          </w:tcPr>
          <w:p w14:paraId="6F43F573">
            <w:pPr>
              <w:spacing w:line="400" w:lineRule="exact"/>
              <w:rPr>
                <w:rFonts w:ascii="仿宋" w:hAnsi="仿宋" w:eastAsia="仿宋" w:cs="仿宋"/>
                <w:color w:val="auto"/>
                <w:sz w:val="21"/>
                <w:szCs w:val="21"/>
                <w:lang w:val="zh-CN"/>
              </w:rPr>
            </w:pPr>
          </w:p>
        </w:tc>
        <w:tc>
          <w:tcPr>
            <w:tcW w:w="3405" w:type="dxa"/>
            <w:vAlign w:val="center"/>
          </w:tcPr>
          <w:p w14:paraId="1D2C3B09">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（5）参加采购活动前三年内，在经营活动中没有重大违法记录（注</w:t>
            </w:r>
            <w:r>
              <w:rPr>
                <w:rFonts w:hint="eastAsia" w:ascii="仿宋" w:hAnsi="仿宋" w:eastAsia="仿宋" w:cs="仿宋"/>
                <w:color w:val="auto"/>
              </w:rPr>
              <w:fldChar w:fldCharType="begin"/>
            </w:r>
            <w:r>
              <w:rPr>
                <w:rFonts w:hint="eastAsia" w:ascii="仿宋" w:hAnsi="仿宋" w:eastAsia="仿宋" w:cs="仿宋"/>
                <w:color w:val="auto"/>
              </w:rPr>
              <w:instrText xml:space="preserve"> eq \o\ac(○,</w:instrText>
            </w:r>
            <w:r>
              <w:rPr>
                <w:rFonts w:hint="eastAsia" w:ascii="仿宋" w:hAnsi="仿宋" w:eastAsia="仿宋" w:cs="仿宋"/>
                <w:color w:val="auto"/>
                <w:position w:val="3"/>
                <w:sz w:val="16"/>
              </w:rPr>
              <w:instrText xml:space="preserve">1</w:instrText>
            </w:r>
            <w:r>
              <w:rPr>
                <w:rFonts w:hint="eastAsia" w:ascii="仿宋" w:hAnsi="仿宋" w:eastAsia="仿宋" w:cs="仿宋"/>
                <w:color w:val="auto"/>
              </w:rPr>
              <w:instrText xml:space="preserve">)</w:instrText>
            </w:r>
            <w:r>
              <w:rPr>
                <w:rFonts w:hint="eastAsia" w:ascii="仿宋" w:hAnsi="仿宋" w:eastAsia="仿宋" w:cs="仿宋"/>
                <w:color w:val="auto"/>
              </w:rPr>
              <w:fldChar w:fldCharType="end"/>
            </w:r>
            <w:r>
              <w:rPr>
                <w:rFonts w:hint="eastAsia" w:ascii="仿宋" w:hAnsi="仿宋" w:eastAsia="仿宋" w:cs="仿宋"/>
                <w:color w:val="auto"/>
                <w:sz w:val="21"/>
                <w:szCs w:val="21"/>
              </w:rPr>
              <w:t>）</w:t>
            </w:r>
          </w:p>
        </w:tc>
        <w:tc>
          <w:tcPr>
            <w:tcW w:w="4354" w:type="dxa"/>
            <w:vMerge w:val="continue"/>
            <w:vAlign w:val="center"/>
          </w:tcPr>
          <w:p w14:paraId="44E17E4B">
            <w:pPr>
              <w:spacing w:line="400" w:lineRule="exact"/>
              <w:rPr>
                <w:rFonts w:ascii="仿宋" w:hAnsi="仿宋" w:eastAsia="仿宋" w:cs="仿宋"/>
                <w:color w:val="auto"/>
                <w:sz w:val="21"/>
                <w:szCs w:val="21"/>
              </w:rPr>
            </w:pPr>
          </w:p>
        </w:tc>
      </w:tr>
      <w:tr w14:paraId="715F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1715C920">
            <w:pPr>
              <w:spacing w:line="400" w:lineRule="exact"/>
              <w:jc w:val="center"/>
              <w:rPr>
                <w:rFonts w:ascii="仿宋" w:hAnsi="仿宋" w:eastAsia="仿宋" w:cs="仿宋"/>
                <w:color w:val="auto"/>
                <w:sz w:val="21"/>
                <w:szCs w:val="21"/>
              </w:rPr>
            </w:pPr>
          </w:p>
        </w:tc>
        <w:tc>
          <w:tcPr>
            <w:tcW w:w="1065" w:type="dxa"/>
            <w:vMerge w:val="continue"/>
            <w:vAlign w:val="center"/>
          </w:tcPr>
          <w:p w14:paraId="39D1853A">
            <w:pPr>
              <w:spacing w:line="400" w:lineRule="exact"/>
              <w:rPr>
                <w:rFonts w:ascii="仿宋" w:hAnsi="仿宋" w:eastAsia="仿宋" w:cs="仿宋"/>
                <w:color w:val="auto"/>
                <w:sz w:val="21"/>
                <w:szCs w:val="21"/>
                <w:lang w:val="zh-CN"/>
              </w:rPr>
            </w:pPr>
          </w:p>
        </w:tc>
        <w:tc>
          <w:tcPr>
            <w:tcW w:w="3405" w:type="dxa"/>
            <w:vAlign w:val="center"/>
          </w:tcPr>
          <w:p w14:paraId="35F0C92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354" w:type="dxa"/>
            <w:vAlign w:val="center"/>
          </w:tcPr>
          <w:p w14:paraId="7162ABA5">
            <w:pPr>
              <w:spacing w:line="400" w:lineRule="exact"/>
              <w:rPr>
                <w:rFonts w:ascii="仿宋" w:hAnsi="仿宋" w:eastAsia="仿宋" w:cs="仿宋"/>
                <w:color w:val="auto"/>
                <w:sz w:val="21"/>
                <w:szCs w:val="21"/>
              </w:rPr>
            </w:pPr>
          </w:p>
        </w:tc>
      </w:tr>
      <w:tr w14:paraId="1CAD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4343C8A">
            <w:pPr>
              <w:spacing w:line="400" w:lineRule="exact"/>
              <w:jc w:val="center"/>
              <w:rPr>
                <w:rFonts w:ascii="仿宋" w:hAnsi="仿宋" w:eastAsia="仿宋" w:cs="仿宋"/>
                <w:color w:val="auto"/>
                <w:sz w:val="21"/>
                <w:szCs w:val="21"/>
              </w:rPr>
            </w:pPr>
          </w:p>
        </w:tc>
        <w:tc>
          <w:tcPr>
            <w:tcW w:w="1065" w:type="dxa"/>
            <w:vMerge w:val="continue"/>
            <w:vAlign w:val="center"/>
          </w:tcPr>
          <w:p w14:paraId="6303249E">
            <w:pPr>
              <w:spacing w:line="400" w:lineRule="exact"/>
              <w:rPr>
                <w:rFonts w:ascii="仿宋" w:hAnsi="仿宋" w:eastAsia="仿宋" w:cs="仿宋"/>
                <w:color w:val="auto"/>
                <w:sz w:val="21"/>
                <w:szCs w:val="21"/>
                <w:lang w:val="zh-CN"/>
              </w:rPr>
            </w:pPr>
          </w:p>
        </w:tc>
        <w:tc>
          <w:tcPr>
            <w:tcW w:w="3405" w:type="dxa"/>
            <w:vAlign w:val="center"/>
          </w:tcPr>
          <w:p w14:paraId="0AA09AD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4354" w:type="dxa"/>
            <w:vAlign w:val="center"/>
          </w:tcPr>
          <w:p w14:paraId="4E61E57A">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按“第一篇三、比选供应商资格条件（三）特定资格要求”的要求提交（如果有）。</w:t>
            </w:r>
          </w:p>
        </w:tc>
      </w:tr>
      <w:tr w14:paraId="0EED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43615AC7">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（二）</w:t>
            </w:r>
          </w:p>
        </w:tc>
        <w:tc>
          <w:tcPr>
            <w:tcW w:w="4470" w:type="dxa"/>
            <w:gridSpan w:val="2"/>
            <w:vAlign w:val="center"/>
          </w:tcPr>
          <w:p w14:paraId="08E461A8">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比选保证金</w:t>
            </w:r>
          </w:p>
        </w:tc>
        <w:tc>
          <w:tcPr>
            <w:tcW w:w="4354" w:type="dxa"/>
            <w:vAlign w:val="center"/>
          </w:tcPr>
          <w:p w14:paraId="3C8329F2">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按照竞争性比选文件要求足额交纳所投包的比选保证金（如果有）。</w:t>
            </w:r>
          </w:p>
        </w:tc>
      </w:tr>
    </w:tbl>
    <w:p w14:paraId="35365BCC">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注：</w:t>
      </w:r>
    </w:p>
    <w:p w14:paraId="016C60CD">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eq \o\ac(○,</w:instrText>
      </w:r>
      <w:r>
        <w:rPr>
          <w:rFonts w:hint="eastAsia" w:ascii="仿宋" w:hAnsi="仿宋" w:eastAsia="仿宋" w:cs="仿宋"/>
          <w:color w:val="auto"/>
          <w:position w:val="3"/>
          <w:sz w:val="16"/>
        </w:rPr>
        <w:instrText xml:space="preserve">1</w:instrText>
      </w:r>
      <w:r>
        <w:rPr>
          <w:rFonts w:hint="eastAsia" w:ascii="仿宋" w:hAnsi="仿宋" w:eastAsia="仿宋" w:cs="仿宋"/>
          <w:color w:val="auto"/>
        </w:rPr>
        <w:instrText xml:space="preserve">)</w:instrText>
      </w:r>
      <w:r>
        <w:rPr>
          <w:rFonts w:hint="eastAsia" w:ascii="仿宋" w:hAnsi="仿宋" w:eastAsia="仿宋" w:cs="仿宋"/>
          <w:color w:val="auto"/>
        </w:rPr>
        <w:fldChar w:fldCharType="end"/>
      </w:r>
      <w:r>
        <w:rPr>
          <w:rFonts w:hint="eastAsia" w:ascii="仿宋" w:hAnsi="仿宋" w:eastAsia="仿宋" w:cs="仿宋"/>
          <w:color w:val="auto"/>
        </w:rPr>
        <w:t>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5CA5B16">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51EA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vAlign w:val="center"/>
          </w:tcPr>
          <w:p w14:paraId="2F1520D4">
            <w:pPr>
              <w:spacing w:line="400" w:lineRule="exact"/>
              <w:jc w:val="center"/>
              <w:rPr>
                <w:rFonts w:ascii="仿宋" w:hAnsi="仿宋" w:eastAsia="仿宋" w:cs="仿宋"/>
                <w:b/>
                <w:color w:val="auto"/>
                <w:sz w:val="21"/>
                <w:szCs w:val="21"/>
              </w:rPr>
            </w:pPr>
            <w:r>
              <w:rPr>
                <w:rFonts w:hint="eastAsia" w:ascii="仿宋" w:hAnsi="仿宋" w:eastAsia="仿宋" w:cs="仿宋"/>
                <w:color w:val="auto"/>
              </w:rPr>
              <w:t>序号</w:t>
            </w:r>
          </w:p>
        </w:tc>
        <w:tc>
          <w:tcPr>
            <w:tcW w:w="3453" w:type="dxa"/>
            <w:gridSpan w:val="2"/>
            <w:vAlign w:val="center"/>
          </w:tcPr>
          <w:p w14:paraId="58992F0B">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5409" w:type="dxa"/>
            <w:vAlign w:val="center"/>
          </w:tcPr>
          <w:p w14:paraId="07AEA486">
            <w:pPr>
              <w:spacing w:line="400" w:lineRule="exact"/>
              <w:jc w:val="center"/>
              <w:rPr>
                <w:rFonts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0B7F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24E17319">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1</w:t>
            </w:r>
          </w:p>
        </w:tc>
        <w:tc>
          <w:tcPr>
            <w:tcW w:w="1469" w:type="dxa"/>
            <w:vMerge w:val="restart"/>
            <w:vAlign w:val="center"/>
          </w:tcPr>
          <w:p w14:paraId="780939A1">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有效性审查</w:t>
            </w:r>
          </w:p>
        </w:tc>
        <w:tc>
          <w:tcPr>
            <w:tcW w:w="1984" w:type="dxa"/>
            <w:vAlign w:val="center"/>
          </w:tcPr>
          <w:p w14:paraId="14F4D47F">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响应文件签署或盖章</w:t>
            </w:r>
          </w:p>
        </w:tc>
        <w:tc>
          <w:tcPr>
            <w:tcW w:w="5409" w:type="dxa"/>
            <w:vAlign w:val="center"/>
          </w:tcPr>
          <w:p w14:paraId="0F88BB1F">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按竞争性比选文件“第七篇响应文件编制要求”要求签署或盖章。</w:t>
            </w:r>
          </w:p>
        </w:tc>
      </w:tr>
      <w:tr w14:paraId="1B94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2C4C16B5">
            <w:pPr>
              <w:spacing w:line="400" w:lineRule="exact"/>
              <w:jc w:val="center"/>
              <w:rPr>
                <w:rFonts w:ascii="仿宋" w:hAnsi="仿宋" w:eastAsia="仿宋" w:cs="仿宋"/>
                <w:color w:val="auto"/>
                <w:sz w:val="21"/>
                <w:szCs w:val="21"/>
              </w:rPr>
            </w:pPr>
          </w:p>
        </w:tc>
        <w:tc>
          <w:tcPr>
            <w:tcW w:w="1469" w:type="dxa"/>
            <w:vMerge w:val="continue"/>
            <w:vAlign w:val="center"/>
          </w:tcPr>
          <w:p w14:paraId="7E0FD57F">
            <w:pPr>
              <w:spacing w:line="400" w:lineRule="exact"/>
              <w:rPr>
                <w:rFonts w:ascii="仿宋" w:hAnsi="仿宋" w:eastAsia="仿宋" w:cs="仿宋"/>
                <w:color w:val="auto"/>
                <w:sz w:val="21"/>
                <w:szCs w:val="21"/>
              </w:rPr>
            </w:pPr>
          </w:p>
        </w:tc>
        <w:tc>
          <w:tcPr>
            <w:tcW w:w="1984" w:type="dxa"/>
            <w:vAlign w:val="center"/>
          </w:tcPr>
          <w:p w14:paraId="407E6EBC">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5409" w:type="dxa"/>
            <w:vAlign w:val="center"/>
          </w:tcPr>
          <w:p w14:paraId="4D6AF70A">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法定代表人身份证明及授权委托书有效，符合竞争性比选文件规定的格式，签署或盖章齐全。</w:t>
            </w:r>
          </w:p>
        </w:tc>
      </w:tr>
      <w:tr w14:paraId="58CE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vAlign w:val="center"/>
          </w:tcPr>
          <w:p w14:paraId="1D633ACB">
            <w:pPr>
              <w:spacing w:line="400" w:lineRule="exact"/>
              <w:jc w:val="center"/>
              <w:rPr>
                <w:rFonts w:ascii="仿宋" w:hAnsi="仿宋" w:eastAsia="仿宋" w:cs="仿宋"/>
                <w:color w:val="auto"/>
                <w:sz w:val="21"/>
                <w:szCs w:val="21"/>
              </w:rPr>
            </w:pPr>
          </w:p>
        </w:tc>
        <w:tc>
          <w:tcPr>
            <w:tcW w:w="1469" w:type="dxa"/>
            <w:vMerge w:val="continue"/>
            <w:vAlign w:val="center"/>
          </w:tcPr>
          <w:p w14:paraId="02D33280">
            <w:pPr>
              <w:spacing w:line="400" w:lineRule="exact"/>
              <w:rPr>
                <w:rFonts w:ascii="仿宋" w:hAnsi="仿宋" w:eastAsia="仿宋" w:cs="仿宋"/>
                <w:color w:val="auto"/>
                <w:sz w:val="21"/>
                <w:szCs w:val="21"/>
              </w:rPr>
            </w:pPr>
          </w:p>
        </w:tc>
        <w:tc>
          <w:tcPr>
            <w:tcW w:w="1984" w:type="dxa"/>
            <w:vAlign w:val="center"/>
          </w:tcPr>
          <w:p w14:paraId="7B45072D">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响应方案</w:t>
            </w:r>
          </w:p>
        </w:tc>
        <w:tc>
          <w:tcPr>
            <w:tcW w:w="5409" w:type="dxa"/>
            <w:vAlign w:val="center"/>
          </w:tcPr>
          <w:p w14:paraId="22314FC6">
            <w:pPr>
              <w:spacing w:line="400" w:lineRule="exact"/>
              <w:rPr>
                <w:rFonts w:ascii="仿宋" w:hAnsi="仿宋" w:eastAsia="仿宋" w:cs="仿宋"/>
                <w:color w:val="auto"/>
                <w:sz w:val="21"/>
                <w:szCs w:val="21"/>
              </w:rPr>
            </w:pPr>
            <w:r>
              <w:rPr>
                <w:rFonts w:hint="eastAsia" w:ascii="仿宋" w:hAnsi="仿宋" w:eastAsia="仿宋" w:cs="仿宋"/>
                <w:color w:val="auto"/>
                <w:sz w:val="21"/>
                <w:szCs w:val="21"/>
                <w:lang w:val="zh-CN"/>
              </w:rPr>
              <w:t>每个包只能有一个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0E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774B52EE">
            <w:pPr>
              <w:spacing w:line="400" w:lineRule="exact"/>
              <w:jc w:val="center"/>
              <w:rPr>
                <w:rFonts w:ascii="仿宋" w:hAnsi="仿宋" w:eastAsia="仿宋" w:cs="仿宋"/>
                <w:color w:val="auto"/>
                <w:sz w:val="21"/>
                <w:szCs w:val="21"/>
              </w:rPr>
            </w:pPr>
          </w:p>
        </w:tc>
        <w:tc>
          <w:tcPr>
            <w:tcW w:w="1469" w:type="dxa"/>
            <w:vMerge w:val="continue"/>
            <w:vAlign w:val="center"/>
          </w:tcPr>
          <w:p w14:paraId="1FB966BB">
            <w:pPr>
              <w:spacing w:line="400" w:lineRule="exact"/>
              <w:rPr>
                <w:rFonts w:ascii="仿宋" w:hAnsi="仿宋" w:eastAsia="仿宋" w:cs="仿宋"/>
                <w:color w:val="auto"/>
                <w:sz w:val="21"/>
                <w:szCs w:val="21"/>
              </w:rPr>
            </w:pPr>
          </w:p>
        </w:tc>
        <w:tc>
          <w:tcPr>
            <w:tcW w:w="1984" w:type="dxa"/>
            <w:vAlign w:val="center"/>
          </w:tcPr>
          <w:p w14:paraId="26A6C790">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5409" w:type="dxa"/>
            <w:vAlign w:val="center"/>
          </w:tcPr>
          <w:p w14:paraId="6742988E">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3801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Align w:val="center"/>
          </w:tcPr>
          <w:p w14:paraId="315CC90F">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2</w:t>
            </w:r>
          </w:p>
        </w:tc>
        <w:tc>
          <w:tcPr>
            <w:tcW w:w="1469" w:type="dxa"/>
            <w:vAlign w:val="center"/>
          </w:tcPr>
          <w:p w14:paraId="4F9A0929">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完整性审查</w:t>
            </w:r>
          </w:p>
        </w:tc>
        <w:tc>
          <w:tcPr>
            <w:tcW w:w="1984" w:type="dxa"/>
            <w:vAlign w:val="center"/>
          </w:tcPr>
          <w:p w14:paraId="635E3E86">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响应文件份数</w:t>
            </w:r>
          </w:p>
        </w:tc>
        <w:tc>
          <w:tcPr>
            <w:tcW w:w="5409" w:type="dxa"/>
            <w:vAlign w:val="center"/>
          </w:tcPr>
          <w:p w14:paraId="31918DFF">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响应文件数量和须提交的相关原件数量（如果有）符合竞争性比选文件要求。</w:t>
            </w:r>
          </w:p>
        </w:tc>
      </w:tr>
      <w:tr w14:paraId="2E5B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21CEDD21">
            <w:pPr>
              <w:spacing w:line="400" w:lineRule="exact"/>
              <w:jc w:val="center"/>
              <w:rPr>
                <w:rFonts w:ascii="仿宋" w:hAnsi="仿宋" w:eastAsia="仿宋" w:cs="仿宋"/>
                <w:color w:val="auto"/>
                <w:sz w:val="21"/>
                <w:szCs w:val="21"/>
              </w:rPr>
            </w:pPr>
            <w:r>
              <w:rPr>
                <w:rFonts w:hint="eastAsia" w:ascii="仿宋" w:hAnsi="仿宋" w:eastAsia="仿宋" w:cs="仿宋"/>
                <w:color w:val="auto"/>
                <w:sz w:val="21"/>
                <w:szCs w:val="21"/>
              </w:rPr>
              <w:t>3</w:t>
            </w:r>
          </w:p>
        </w:tc>
        <w:tc>
          <w:tcPr>
            <w:tcW w:w="1469" w:type="dxa"/>
            <w:vMerge w:val="restart"/>
            <w:vAlign w:val="center"/>
          </w:tcPr>
          <w:p w14:paraId="1805EF24">
            <w:pPr>
              <w:spacing w:line="400" w:lineRule="exact"/>
              <w:rPr>
                <w:rFonts w:ascii="仿宋" w:hAnsi="仿宋" w:eastAsia="仿宋" w:cs="仿宋"/>
                <w:color w:val="auto"/>
                <w:sz w:val="21"/>
                <w:szCs w:val="21"/>
                <w:lang w:val="zh-CN"/>
              </w:rPr>
            </w:pPr>
            <w:r>
              <w:rPr>
                <w:rFonts w:hint="eastAsia" w:ascii="仿宋" w:hAnsi="仿宋" w:eastAsia="仿宋" w:cs="仿宋"/>
                <w:color w:val="auto"/>
                <w:sz w:val="21"/>
                <w:szCs w:val="21"/>
              </w:rPr>
              <w:t>响应程度审查</w:t>
            </w:r>
          </w:p>
        </w:tc>
        <w:tc>
          <w:tcPr>
            <w:tcW w:w="1984" w:type="dxa"/>
            <w:vAlign w:val="center"/>
          </w:tcPr>
          <w:p w14:paraId="36B3FBBD">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实质性响应</w:t>
            </w:r>
          </w:p>
        </w:tc>
        <w:tc>
          <w:tcPr>
            <w:tcW w:w="5409" w:type="dxa"/>
            <w:vAlign w:val="center"/>
          </w:tcPr>
          <w:p w14:paraId="31CD5C53">
            <w:pPr>
              <w:pStyle w:val="33"/>
              <w:spacing w:line="400" w:lineRule="exact"/>
              <w:rPr>
                <w:rFonts w:ascii="仿宋" w:hAnsi="仿宋" w:eastAsia="仿宋" w:cs="仿宋"/>
                <w:color w:val="auto"/>
                <w:sz w:val="21"/>
                <w:szCs w:val="21"/>
              </w:rPr>
            </w:pPr>
            <w:r>
              <w:rPr>
                <w:rFonts w:hint="eastAsia" w:ascii="仿宋" w:hAnsi="仿宋" w:eastAsia="仿宋" w:cs="仿宋"/>
                <w:color w:val="auto"/>
                <w:sz w:val="21"/>
                <w:szCs w:val="21"/>
              </w:rPr>
              <w:t>对竞争性比选文件第二篇以※号标注的部分、第三篇以※号标注的部分。</w:t>
            </w:r>
          </w:p>
        </w:tc>
      </w:tr>
      <w:tr w14:paraId="369D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0E25712D">
            <w:pPr>
              <w:spacing w:line="400" w:lineRule="exact"/>
              <w:jc w:val="center"/>
              <w:rPr>
                <w:rFonts w:ascii="仿宋" w:hAnsi="仿宋" w:eastAsia="仿宋" w:cs="仿宋"/>
                <w:color w:val="auto"/>
                <w:sz w:val="21"/>
                <w:szCs w:val="21"/>
              </w:rPr>
            </w:pPr>
          </w:p>
        </w:tc>
        <w:tc>
          <w:tcPr>
            <w:tcW w:w="1469" w:type="dxa"/>
            <w:vMerge w:val="continue"/>
            <w:vAlign w:val="center"/>
          </w:tcPr>
          <w:p w14:paraId="4D737754">
            <w:pPr>
              <w:spacing w:line="400" w:lineRule="exact"/>
              <w:rPr>
                <w:rFonts w:ascii="仿宋" w:hAnsi="仿宋" w:eastAsia="仿宋" w:cs="仿宋"/>
                <w:color w:val="auto"/>
                <w:sz w:val="21"/>
                <w:szCs w:val="21"/>
                <w:lang w:val="zh-CN"/>
              </w:rPr>
            </w:pPr>
          </w:p>
        </w:tc>
        <w:tc>
          <w:tcPr>
            <w:tcW w:w="1984" w:type="dxa"/>
            <w:vAlign w:val="center"/>
          </w:tcPr>
          <w:p w14:paraId="61B5C341">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比选有效期</w:t>
            </w:r>
          </w:p>
        </w:tc>
        <w:tc>
          <w:tcPr>
            <w:tcW w:w="5409" w:type="dxa"/>
            <w:vAlign w:val="center"/>
          </w:tcPr>
          <w:p w14:paraId="15108A7A">
            <w:pPr>
              <w:spacing w:line="400" w:lineRule="exact"/>
              <w:rPr>
                <w:rFonts w:ascii="仿宋" w:hAnsi="仿宋" w:eastAsia="仿宋" w:cs="仿宋"/>
                <w:color w:val="auto"/>
                <w:sz w:val="21"/>
                <w:szCs w:val="21"/>
              </w:rPr>
            </w:pPr>
            <w:r>
              <w:rPr>
                <w:rFonts w:hint="eastAsia" w:ascii="仿宋" w:hAnsi="仿宋" w:eastAsia="仿宋" w:cs="仿宋"/>
                <w:color w:val="auto"/>
                <w:sz w:val="21"/>
                <w:szCs w:val="21"/>
              </w:rPr>
              <w:t>响应文件及有关承诺文件有效期为提交响应文件截止时间起90天。</w:t>
            </w:r>
          </w:p>
        </w:tc>
      </w:tr>
    </w:tbl>
    <w:p w14:paraId="48B19D0F">
      <w:pPr>
        <w:spacing w:line="400" w:lineRule="exact"/>
        <w:ind w:firstLine="480" w:firstLineChars="200"/>
        <w:rPr>
          <w:rFonts w:ascii="仿宋" w:hAnsi="仿宋" w:eastAsia="仿宋" w:cs="仿宋"/>
          <w:color w:val="auto"/>
        </w:rPr>
      </w:pPr>
      <w:bookmarkStart w:id="66" w:name="_Toc478823772"/>
      <w:r>
        <w:rPr>
          <w:rFonts w:hint="eastAsia" w:ascii="仿宋" w:hAnsi="仿宋" w:eastAsia="仿宋" w:cs="仿宋"/>
          <w:color w:val="auto"/>
        </w:rPr>
        <w:t>（三）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E32FB3">
      <w:pPr>
        <w:spacing w:line="400" w:lineRule="exact"/>
        <w:ind w:firstLine="480" w:firstLineChars="200"/>
        <w:rPr>
          <w:rFonts w:ascii="仿宋" w:hAnsi="仿宋" w:eastAsia="仿宋" w:cs="仿宋"/>
          <w:color w:val="auto"/>
        </w:rPr>
      </w:pPr>
      <w:r>
        <w:rPr>
          <w:rFonts w:hint="eastAsia" w:ascii="仿宋" w:hAnsi="仿宋" w:eastAsia="仿宋" w:cs="仿宋"/>
          <w:color w:val="auto"/>
        </w:rPr>
        <w:t>（四）比选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6A9CB69">
      <w:pPr>
        <w:spacing w:line="400" w:lineRule="exact"/>
        <w:ind w:firstLine="480" w:firstLineChars="200"/>
        <w:rPr>
          <w:rFonts w:ascii="仿宋" w:hAnsi="仿宋" w:eastAsia="仿宋" w:cs="仿宋"/>
          <w:color w:val="auto"/>
        </w:rPr>
      </w:pPr>
      <w:r>
        <w:rPr>
          <w:rFonts w:hint="eastAsia" w:ascii="仿宋" w:hAnsi="仿宋" w:eastAsia="仿宋" w:cs="仿宋"/>
          <w:color w:val="auto"/>
        </w:rPr>
        <w:t>（五）在比选过程中比选的任何一方不得向他人透露与比选有关的服务资料、价格或其他信息。</w:t>
      </w:r>
    </w:p>
    <w:p w14:paraId="3AED2568">
      <w:pPr>
        <w:spacing w:line="400" w:lineRule="exact"/>
        <w:ind w:firstLine="480" w:firstLineChars="200"/>
        <w:rPr>
          <w:rFonts w:ascii="仿宋" w:hAnsi="仿宋" w:eastAsia="仿宋" w:cs="仿宋"/>
          <w:color w:val="auto"/>
        </w:rPr>
      </w:pPr>
      <w:r>
        <w:rPr>
          <w:rFonts w:hint="eastAsia" w:ascii="仿宋" w:hAnsi="仿宋" w:eastAsia="仿宋" w:cs="仿宋"/>
          <w:color w:val="auto"/>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36C0CB57">
      <w:pPr>
        <w:spacing w:line="400" w:lineRule="exact"/>
        <w:ind w:firstLine="480" w:firstLineChars="200"/>
        <w:rPr>
          <w:rFonts w:ascii="仿宋" w:hAnsi="仿宋" w:eastAsia="仿宋" w:cs="仿宋"/>
          <w:color w:val="auto"/>
        </w:rPr>
      </w:pPr>
      <w:r>
        <w:rPr>
          <w:rFonts w:hint="eastAsia" w:ascii="仿宋" w:hAnsi="仿宋" w:eastAsia="仿宋" w:cs="仿宋"/>
          <w:color w:val="auto"/>
        </w:rPr>
        <w:t>（七）比选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1D45AA2A">
      <w:pPr>
        <w:spacing w:line="400" w:lineRule="exact"/>
        <w:ind w:firstLine="480" w:firstLineChars="200"/>
        <w:rPr>
          <w:rFonts w:ascii="仿宋" w:hAnsi="仿宋" w:eastAsia="仿宋" w:cs="仿宋"/>
          <w:color w:val="auto"/>
        </w:rPr>
      </w:pPr>
      <w:r>
        <w:rPr>
          <w:rFonts w:hint="eastAsia" w:ascii="仿宋" w:hAnsi="仿宋" w:eastAsia="仿宋" w:cs="仿宋"/>
          <w:color w:val="auto"/>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商务条款的优劣顺序排列推荐。不推荐服务部分得分为0分的供应商成为成交候选供应商。</w:t>
      </w:r>
    </w:p>
    <w:p w14:paraId="149DD3C5">
      <w:pPr>
        <w:pStyle w:val="3"/>
        <w:widowControl w:val="0"/>
        <w:spacing w:before="0" w:after="0" w:line="500" w:lineRule="exact"/>
        <w:jc w:val="both"/>
        <w:rPr>
          <w:rFonts w:ascii="仿宋" w:hAnsi="仿宋" w:eastAsia="仿宋" w:cs="仿宋"/>
          <w:color w:val="auto"/>
          <w:kern w:val="2"/>
          <w:sz w:val="24"/>
        </w:rPr>
      </w:pPr>
      <w:bookmarkStart w:id="67" w:name="_Toc26753"/>
      <w:r>
        <w:rPr>
          <w:rFonts w:hint="eastAsia" w:ascii="仿宋" w:hAnsi="仿宋" w:eastAsia="仿宋" w:cs="仿宋"/>
          <w:color w:val="auto"/>
          <w:kern w:val="2"/>
          <w:sz w:val="24"/>
        </w:rPr>
        <w:t>二、评审标准</w:t>
      </w:r>
      <w:bookmarkEnd w:id="66"/>
      <w:bookmarkEnd w:id="67"/>
    </w:p>
    <w:tbl>
      <w:tblPr>
        <w:tblStyle w:val="59"/>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82"/>
        <w:gridCol w:w="1023"/>
        <w:gridCol w:w="5851"/>
        <w:gridCol w:w="2059"/>
      </w:tblGrid>
      <w:tr w14:paraId="1B2E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33" w:type="dxa"/>
            <w:vAlign w:val="center"/>
          </w:tcPr>
          <w:p w14:paraId="05D1DD20">
            <w:pPr>
              <w:jc w:val="center"/>
              <w:rPr>
                <w:rFonts w:ascii="仿宋" w:hAnsi="仿宋" w:eastAsia="仿宋" w:cs="仿宋"/>
                <w:b/>
                <w:bCs/>
                <w:color w:val="auto"/>
              </w:rPr>
            </w:pPr>
            <w:r>
              <w:rPr>
                <w:rFonts w:hint="eastAsia" w:ascii="仿宋" w:hAnsi="仿宋" w:eastAsia="仿宋" w:cs="仿宋"/>
                <w:b/>
                <w:bCs/>
                <w:color w:val="auto"/>
              </w:rPr>
              <w:t>序号</w:t>
            </w:r>
          </w:p>
        </w:tc>
        <w:tc>
          <w:tcPr>
            <w:tcW w:w="982" w:type="dxa"/>
            <w:vAlign w:val="center"/>
          </w:tcPr>
          <w:p w14:paraId="5F1CBCB6">
            <w:pPr>
              <w:jc w:val="center"/>
              <w:rPr>
                <w:rFonts w:ascii="仿宋" w:hAnsi="仿宋" w:eastAsia="仿宋" w:cs="仿宋"/>
                <w:b/>
                <w:bCs/>
                <w:color w:val="auto"/>
              </w:rPr>
            </w:pPr>
            <w:r>
              <w:rPr>
                <w:rFonts w:hint="eastAsia" w:ascii="仿宋" w:hAnsi="仿宋" w:eastAsia="仿宋" w:cs="仿宋"/>
                <w:b/>
                <w:bCs/>
                <w:color w:val="auto"/>
              </w:rPr>
              <w:t>评分因素</w:t>
            </w:r>
          </w:p>
          <w:p w14:paraId="6C8072C6">
            <w:pPr>
              <w:jc w:val="center"/>
              <w:rPr>
                <w:rFonts w:ascii="仿宋" w:hAnsi="仿宋" w:eastAsia="仿宋" w:cs="仿宋"/>
                <w:b/>
                <w:bCs/>
                <w:color w:val="auto"/>
              </w:rPr>
            </w:pPr>
            <w:r>
              <w:rPr>
                <w:rFonts w:hint="eastAsia" w:ascii="仿宋" w:hAnsi="仿宋" w:eastAsia="仿宋" w:cs="仿宋"/>
                <w:b/>
                <w:bCs/>
                <w:color w:val="auto"/>
              </w:rPr>
              <w:t>及权重</w:t>
            </w:r>
          </w:p>
        </w:tc>
        <w:tc>
          <w:tcPr>
            <w:tcW w:w="1023" w:type="dxa"/>
            <w:vAlign w:val="center"/>
          </w:tcPr>
          <w:p w14:paraId="16BFFBE9">
            <w:pPr>
              <w:jc w:val="center"/>
              <w:rPr>
                <w:rFonts w:ascii="仿宋" w:hAnsi="仿宋" w:eastAsia="仿宋" w:cs="仿宋"/>
                <w:b/>
                <w:bCs/>
                <w:color w:val="auto"/>
              </w:rPr>
            </w:pPr>
            <w:r>
              <w:rPr>
                <w:rFonts w:hint="eastAsia" w:ascii="仿宋" w:hAnsi="仿宋" w:eastAsia="仿宋" w:cs="仿宋"/>
                <w:b/>
                <w:bCs/>
                <w:color w:val="auto"/>
              </w:rPr>
              <w:t>分值</w:t>
            </w:r>
          </w:p>
        </w:tc>
        <w:tc>
          <w:tcPr>
            <w:tcW w:w="5851" w:type="dxa"/>
            <w:vAlign w:val="center"/>
          </w:tcPr>
          <w:p w14:paraId="5E2FD55C">
            <w:pPr>
              <w:jc w:val="center"/>
              <w:rPr>
                <w:rFonts w:ascii="仿宋" w:hAnsi="仿宋" w:eastAsia="仿宋" w:cs="仿宋"/>
                <w:b/>
                <w:bCs/>
                <w:color w:val="auto"/>
              </w:rPr>
            </w:pPr>
            <w:r>
              <w:rPr>
                <w:rFonts w:hint="eastAsia" w:ascii="仿宋" w:hAnsi="仿宋" w:eastAsia="仿宋" w:cs="仿宋"/>
                <w:b/>
                <w:bCs/>
                <w:color w:val="auto"/>
              </w:rPr>
              <w:t>评分标准</w:t>
            </w:r>
          </w:p>
        </w:tc>
        <w:tc>
          <w:tcPr>
            <w:tcW w:w="2059" w:type="dxa"/>
            <w:vAlign w:val="center"/>
          </w:tcPr>
          <w:p w14:paraId="6C1921B5">
            <w:pPr>
              <w:jc w:val="center"/>
              <w:rPr>
                <w:rFonts w:ascii="仿宋" w:hAnsi="仿宋" w:eastAsia="仿宋" w:cs="仿宋"/>
                <w:b/>
                <w:bCs/>
                <w:color w:val="auto"/>
              </w:rPr>
            </w:pPr>
            <w:r>
              <w:rPr>
                <w:rFonts w:hint="eastAsia" w:ascii="仿宋" w:hAnsi="仿宋" w:eastAsia="仿宋" w:cs="仿宋"/>
                <w:b/>
                <w:bCs/>
                <w:color w:val="auto"/>
              </w:rPr>
              <w:t>说明</w:t>
            </w:r>
          </w:p>
        </w:tc>
      </w:tr>
      <w:tr w14:paraId="7F5B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533" w:type="dxa"/>
            <w:vAlign w:val="center"/>
          </w:tcPr>
          <w:p w14:paraId="74B3EB95">
            <w:pPr>
              <w:rPr>
                <w:rFonts w:ascii="仿宋" w:hAnsi="仿宋" w:eastAsia="仿宋" w:cs="仿宋"/>
                <w:color w:val="auto"/>
              </w:rPr>
            </w:pPr>
            <w:r>
              <w:rPr>
                <w:rFonts w:hint="eastAsia" w:ascii="仿宋" w:hAnsi="仿宋" w:eastAsia="仿宋" w:cs="仿宋"/>
                <w:color w:val="auto"/>
              </w:rPr>
              <w:t>1</w:t>
            </w:r>
          </w:p>
        </w:tc>
        <w:tc>
          <w:tcPr>
            <w:tcW w:w="982" w:type="dxa"/>
            <w:vAlign w:val="center"/>
          </w:tcPr>
          <w:p w14:paraId="3561A878">
            <w:pPr>
              <w:rPr>
                <w:rFonts w:ascii="仿宋" w:hAnsi="仿宋" w:eastAsia="仿宋" w:cs="仿宋"/>
                <w:color w:val="auto"/>
              </w:rPr>
            </w:pPr>
            <w:r>
              <w:rPr>
                <w:rFonts w:hint="eastAsia" w:ascii="仿宋" w:hAnsi="仿宋" w:eastAsia="仿宋" w:cs="仿宋"/>
                <w:color w:val="auto"/>
              </w:rPr>
              <w:t>投标报价</w:t>
            </w:r>
          </w:p>
          <w:p w14:paraId="7E88C84D">
            <w:pPr>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0%</w:t>
            </w:r>
          </w:p>
        </w:tc>
        <w:tc>
          <w:tcPr>
            <w:tcW w:w="1023" w:type="dxa"/>
            <w:vAlign w:val="center"/>
          </w:tcPr>
          <w:p w14:paraId="60792177">
            <w:pPr>
              <w:jc w:val="center"/>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0分</w:t>
            </w:r>
          </w:p>
        </w:tc>
        <w:tc>
          <w:tcPr>
            <w:tcW w:w="7910" w:type="dxa"/>
            <w:gridSpan w:val="2"/>
            <w:vAlign w:val="center"/>
          </w:tcPr>
          <w:p w14:paraId="2205B6DC">
            <w:pPr>
              <w:ind w:firstLine="240" w:firstLineChars="100"/>
              <w:rPr>
                <w:rFonts w:ascii="仿宋" w:hAnsi="仿宋" w:eastAsia="仿宋" w:cs="仿宋"/>
                <w:color w:val="auto"/>
              </w:rPr>
            </w:pPr>
            <w:r>
              <w:rPr>
                <w:rFonts w:hint="eastAsia" w:ascii="仿宋" w:hAnsi="仿宋" w:eastAsia="仿宋" w:cs="仿宋"/>
                <w:color w:val="auto"/>
              </w:rPr>
              <w:t>有效的比选报价中的最低价为评标基准价，其价格分为满分。其他供应商的价格分统一按照下列公式计算：</w:t>
            </w:r>
          </w:p>
          <w:p w14:paraId="5044ED96">
            <w:pPr>
              <w:ind w:firstLine="240" w:firstLineChars="100"/>
              <w:rPr>
                <w:rFonts w:ascii="仿宋" w:hAnsi="仿宋" w:eastAsia="仿宋" w:cs="仿宋"/>
                <w:color w:val="auto"/>
              </w:rPr>
            </w:pPr>
            <w:r>
              <w:rPr>
                <w:rFonts w:hint="eastAsia" w:ascii="仿宋" w:hAnsi="仿宋" w:eastAsia="仿宋" w:cs="仿宋"/>
                <w:color w:val="auto"/>
              </w:rPr>
              <w:t>投标报价得分＝（评标基准价/比选报价）×价格权重×100。</w:t>
            </w:r>
          </w:p>
        </w:tc>
      </w:tr>
      <w:tr w14:paraId="0BB3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jc w:val="center"/>
        </w:trPr>
        <w:tc>
          <w:tcPr>
            <w:tcW w:w="533" w:type="dxa"/>
            <w:vMerge w:val="restart"/>
            <w:vAlign w:val="center"/>
          </w:tcPr>
          <w:p w14:paraId="747AC526">
            <w:pPr>
              <w:rPr>
                <w:rFonts w:hint="eastAsia" w:ascii="仿宋" w:hAnsi="仿宋" w:eastAsia="仿宋" w:cs="仿宋"/>
                <w:color w:val="auto"/>
                <w:lang w:val="en-US" w:eastAsia="zh-CN"/>
              </w:rPr>
            </w:pPr>
          </w:p>
        </w:tc>
        <w:tc>
          <w:tcPr>
            <w:tcW w:w="982" w:type="dxa"/>
            <w:vMerge w:val="restart"/>
            <w:vAlign w:val="center"/>
          </w:tcPr>
          <w:p w14:paraId="24EA2C88">
            <w:pPr>
              <w:rPr>
                <w:rFonts w:ascii="仿宋" w:hAnsi="仿宋" w:eastAsia="仿宋" w:cs="仿宋"/>
                <w:color w:val="auto"/>
              </w:rPr>
            </w:pPr>
            <w:r>
              <w:rPr>
                <w:rFonts w:hint="eastAsia" w:ascii="仿宋" w:hAnsi="仿宋" w:eastAsia="仿宋" w:cs="仿宋"/>
                <w:color w:val="auto"/>
              </w:rPr>
              <w:t>服务部分（</w:t>
            </w:r>
            <w:r>
              <w:rPr>
                <w:rFonts w:hint="eastAsia" w:ascii="仿宋" w:hAnsi="仿宋" w:eastAsia="仿宋" w:cs="仿宋"/>
                <w:color w:val="auto"/>
                <w:lang w:val="en-US" w:eastAsia="zh-CN"/>
              </w:rPr>
              <w:t>8</w:t>
            </w:r>
            <w:r>
              <w:rPr>
                <w:rFonts w:hint="eastAsia" w:ascii="仿宋" w:hAnsi="仿宋" w:eastAsia="仿宋" w:cs="仿宋"/>
                <w:color w:val="auto"/>
              </w:rPr>
              <w:t>0%）</w:t>
            </w:r>
          </w:p>
        </w:tc>
        <w:tc>
          <w:tcPr>
            <w:tcW w:w="1023" w:type="dxa"/>
            <w:vAlign w:val="center"/>
          </w:tcPr>
          <w:p w14:paraId="21B62638">
            <w:pPr>
              <w:spacing w:line="400" w:lineRule="exact"/>
              <w:ind w:firstLine="28"/>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项目的理解（</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rPr>
              <w:t>分）</w:t>
            </w:r>
          </w:p>
          <w:p w14:paraId="03B8ABB1">
            <w:pPr>
              <w:spacing w:line="400" w:lineRule="exact"/>
              <w:ind w:firstLine="28" w:firstLineChars="0"/>
              <w:jc w:val="center"/>
              <w:rPr>
                <w:rFonts w:ascii="仿宋" w:hAnsi="仿宋" w:eastAsia="仿宋" w:cs="仿宋"/>
                <w:color w:val="auto"/>
              </w:rPr>
            </w:pPr>
          </w:p>
        </w:tc>
        <w:tc>
          <w:tcPr>
            <w:tcW w:w="5851" w:type="dxa"/>
            <w:vAlign w:val="center"/>
          </w:tcPr>
          <w:p w14:paraId="67E7DF4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供应商根据招标文件要求</w:t>
            </w:r>
            <w:r>
              <w:rPr>
                <w:rFonts w:hint="eastAsia" w:ascii="仿宋" w:hAnsi="仿宋" w:eastAsia="仿宋" w:cs="仿宋"/>
                <w:color w:val="auto"/>
                <w:sz w:val="24"/>
                <w:szCs w:val="24"/>
                <w:highlight w:val="none"/>
                <w:lang w:val="zh-CN"/>
              </w:rPr>
              <w:t>对本项目的理解进行论述，包括：</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zh-CN"/>
              </w:rPr>
              <w:t>工作背景；</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zh-CN"/>
              </w:rPr>
              <w:t>工作目标</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zh-CN"/>
              </w:rPr>
              <w:t>工作范围</w:t>
            </w:r>
            <w:r>
              <w:rPr>
                <w:rFonts w:hint="eastAsia" w:ascii="仿宋" w:hAnsi="仿宋" w:eastAsia="仿宋" w:cs="仿宋"/>
                <w:color w:val="auto"/>
                <w:sz w:val="24"/>
                <w:szCs w:val="24"/>
                <w:highlight w:val="none"/>
              </w:rPr>
              <w:t>；④</w:t>
            </w:r>
            <w:r>
              <w:rPr>
                <w:rFonts w:hint="eastAsia" w:ascii="仿宋" w:hAnsi="仿宋" w:eastAsia="仿宋" w:cs="仿宋"/>
                <w:color w:val="auto"/>
                <w:sz w:val="24"/>
                <w:szCs w:val="24"/>
                <w:highlight w:val="none"/>
                <w:lang w:val="zh-CN"/>
              </w:rPr>
              <w:t>工作内容</w:t>
            </w:r>
            <w:r>
              <w:rPr>
                <w:rFonts w:hint="eastAsia" w:ascii="仿宋" w:hAnsi="仿宋" w:eastAsia="仿宋" w:cs="仿宋"/>
                <w:color w:val="auto"/>
                <w:sz w:val="24"/>
                <w:szCs w:val="24"/>
                <w:highlight w:val="none"/>
              </w:rPr>
              <w:t>；⑤</w:t>
            </w:r>
            <w:r>
              <w:rPr>
                <w:rFonts w:hint="eastAsia" w:ascii="仿宋" w:hAnsi="仿宋" w:eastAsia="仿宋" w:cs="仿宋"/>
                <w:color w:val="auto"/>
                <w:sz w:val="24"/>
                <w:szCs w:val="24"/>
                <w:highlight w:val="none"/>
                <w:lang w:val="zh-CN"/>
              </w:rPr>
              <w:t>技术标准的理解</w:t>
            </w:r>
            <w:r>
              <w:rPr>
                <w:rFonts w:hint="eastAsia" w:ascii="仿宋" w:hAnsi="仿宋" w:eastAsia="仿宋" w:cs="仿宋"/>
                <w:color w:val="auto"/>
                <w:sz w:val="24"/>
                <w:szCs w:val="24"/>
                <w:highlight w:val="none"/>
              </w:rPr>
              <w:t>。</w:t>
            </w:r>
          </w:p>
          <w:p w14:paraId="73D383E6">
            <w:pPr>
              <w:adjustRightInd w:val="0"/>
              <w:snapToGrid w:val="0"/>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评审内容：</w:t>
            </w:r>
          </w:p>
          <w:p w14:paraId="538AD0A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7084186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0443AC2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12EBA14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48CD9C0F">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30B387C4">
            <w:pPr>
              <w:adjustRightInd w:val="0"/>
              <w:snapToGrid w:val="0"/>
              <w:spacing w:line="400" w:lineRule="exact"/>
              <w:rPr>
                <w:rFonts w:ascii="仿宋" w:hAnsi="仿宋" w:eastAsia="仿宋" w:cs="仿宋"/>
                <w:color w:val="auto"/>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restart"/>
            <w:vAlign w:val="center"/>
          </w:tcPr>
          <w:p w14:paraId="164265B0">
            <w:pPr>
              <w:spacing w:line="400" w:lineRule="exact"/>
              <w:ind w:firstLine="480" w:firstLineChars="200"/>
              <w:rPr>
                <w:rFonts w:ascii="仿宋" w:hAnsi="仿宋" w:eastAsia="仿宋" w:cs="仿宋"/>
                <w:color w:val="auto"/>
              </w:rPr>
            </w:pPr>
            <w:r>
              <w:rPr>
                <w:rFonts w:hint="eastAsia" w:ascii="仿宋" w:hAnsi="仿宋" w:eastAsia="仿宋" w:cs="仿宋"/>
                <w:color w:val="auto"/>
              </w:rPr>
              <w:t>1.供应商提供相关方案，格式自定。</w:t>
            </w:r>
          </w:p>
          <w:p w14:paraId="797EC369">
            <w:pPr>
              <w:spacing w:line="400" w:lineRule="exact"/>
              <w:ind w:firstLine="480" w:firstLineChars="200"/>
              <w:rPr>
                <w:rFonts w:ascii="仿宋" w:hAnsi="仿宋" w:eastAsia="仿宋" w:cs="仿宋"/>
                <w:color w:val="auto"/>
              </w:rPr>
            </w:pPr>
            <w:r>
              <w:rPr>
                <w:rFonts w:hint="eastAsia" w:ascii="仿宋" w:hAnsi="仿宋" w:eastAsia="仿宋" w:cs="仿宋"/>
                <w:color w:val="auto"/>
              </w:rPr>
              <w:t>注：本项内容中所称的“瑕疵”：</w:t>
            </w:r>
          </w:p>
          <w:p w14:paraId="700DA01F">
            <w:pPr>
              <w:spacing w:line="400" w:lineRule="exact"/>
              <w:ind w:firstLine="480" w:firstLineChars="200"/>
              <w:rPr>
                <w:rFonts w:ascii="仿宋" w:hAnsi="仿宋" w:eastAsia="仿宋" w:cs="仿宋"/>
                <w:color w:val="auto"/>
              </w:rPr>
            </w:pPr>
            <w:r>
              <w:rPr>
                <w:rFonts w:hint="eastAsia" w:ascii="仿宋" w:hAnsi="仿宋" w:eastAsia="仿宋" w:cs="仿宋"/>
                <w:color w:val="auto"/>
              </w:rPr>
              <w:t>①内容表述不完整或缺少关键分析点；</w:t>
            </w:r>
          </w:p>
          <w:p w14:paraId="6CD07FA9">
            <w:pPr>
              <w:spacing w:line="400" w:lineRule="exact"/>
              <w:ind w:firstLine="480" w:firstLineChars="200"/>
              <w:rPr>
                <w:rFonts w:ascii="仿宋" w:hAnsi="仿宋" w:eastAsia="仿宋" w:cs="仿宋"/>
                <w:color w:val="auto"/>
              </w:rPr>
            </w:pPr>
            <w:r>
              <w:rPr>
                <w:rFonts w:hint="eastAsia" w:ascii="仿宋" w:hAnsi="仿宋" w:eastAsia="仿宋" w:cs="仿宋"/>
                <w:color w:val="auto"/>
              </w:rPr>
              <w:t>②计划及措施不科学；</w:t>
            </w:r>
          </w:p>
          <w:p w14:paraId="00D7532E">
            <w:pPr>
              <w:spacing w:line="400" w:lineRule="exact"/>
              <w:ind w:firstLine="480" w:firstLineChars="200"/>
              <w:rPr>
                <w:rFonts w:ascii="仿宋" w:hAnsi="仿宋" w:eastAsia="仿宋" w:cs="仿宋"/>
                <w:color w:val="auto"/>
              </w:rPr>
            </w:pPr>
            <w:r>
              <w:rPr>
                <w:rFonts w:hint="eastAsia" w:ascii="仿宋" w:hAnsi="仿宋" w:eastAsia="仿宋" w:cs="仿宋"/>
                <w:color w:val="auto"/>
              </w:rPr>
              <w:t>③内容表述前后矛盾、无连贯性、内容存在逻辑漏洞；</w:t>
            </w:r>
          </w:p>
          <w:p w14:paraId="3CC92474">
            <w:pPr>
              <w:spacing w:line="400" w:lineRule="exact"/>
              <w:ind w:firstLine="480" w:firstLineChars="200"/>
              <w:rPr>
                <w:rFonts w:ascii="仿宋" w:hAnsi="仿宋" w:eastAsia="仿宋" w:cs="仿宋"/>
                <w:color w:val="auto"/>
              </w:rPr>
            </w:pPr>
            <w:r>
              <w:rPr>
                <w:rFonts w:hint="eastAsia" w:ascii="仿宋" w:hAnsi="仿宋" w:eastAsia="仿宋" w:cs="仿宋"/>
                <w:color w:val="auto"/>
              </w:rPr>
              <w:t>④常识性错误；</w:t>
            </w:r>
          </w:p>
          <w:p w14:paraId="27463050">
            <w:pPr>
              <w:spacing w:line="400" w:lineRule="exact"/>
              <w:ind w:firstLine="480" w:firstLineChars="200"/>
              <w:rPr>
                <w:rFonts w:ascii="仿宋" w:hAnsi="仿宋" w:eastAsia="仿宋" w:cs="仿宋"/>
                <w:color w:val="auto"/>
              </w:rPr>
            </w:pPr>
            <w:r>
              <w:rPr>
                <w:rFonts w:hint="eastAsia" w:ascii="仿宋" w:hAnsi="仿宋" w:eastAsia="仿宋" w:cs="仿宋"/>
                <w:color w:val="auto"/>
              </w:rPr>
              <w:t>⑤技术措施保障安排并不适用本项目特性或非专门针对本项目制定；</w:t>
            </w:r>
          </w:p>
          <w:p w14:paraId="52CBB313">
            <w:pPr>
              <w:spacing w:line="400" w:lineRule="exact"/>
              <w:ind w:firstLine="480" w:firstLineChars="200"/>
              <w:rPr>
                <w:rFonts w:ascii="仿宋" w:hAnsi="仿宋" w:eastAsia="仿宋" w:cs="仿宋"/>
                <w:color w:val="auto"/>
              </w:rPr>
            </w:pPr>
            <w:r>
              <w:rPr>
                <w:rFonts w:hint="eastAsia" w:ascii="仿宋" w:hAnsi="仿宋" w:eastAsia="仿宋" w:cs="仿宋"/>
                <w:color w:val="auto"/>
              </w:rPr>
              <w:t>⑥方案中提出的措施举措不利于本项目目标的实现；</w:t>
            </w:r>
          </w:p>
          <w:p w14:paraId="280EB253">
            <w:pPr>
              <w:spacing w:line="400" w:lineRule="exact"/>
              <w:ind w:firstLine="480" w:firstLineChars="200"/>
              <w:rPr>
                <w:rFonts w:ascii="仿宋" w:hAnsi="仿宋" w:eastAsia="仿宋" w:cs="仿宋"/>
                <w:color w:val="auto"/>
              </w:rPr>
            </w:pPr>
            <w:r>
              <w:rPr>
                <w:rFonts w:hint="eastAsia" w:ascii="仿宋" w:hAnsi="仿宋" w:eastAsia="仿宋" w:cs="仿宋"/>
                <w:color w:val="auto"/>
              </w:rPr>
              <w:t>⑦现有技术条件下不可能实现采购目标。</w:t>
            </w:r>
          </w:p>
        </w:tc>
      </w:tr>
      <w:tr w14:paraId="48A5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533" w:type="dxa"/>
            <w:vMerge w:val="continue"/>
            <w:vAlign w:val="center"/>
          </w:tcPr>
          <w:p w14:paraId="6E833CDE">
            <w:pPr>
              <w:rPr>
                <w:rFonts w:ascii="仿宋" w:hAnsi="仿宋" w:eastAsia="仿宋" w:cs="仿宋"/>
                <w:color w:val="auto"/>
              </w:rPr>
            </w:pPr>
          </w:p>
        </w:tc>
        <w:tc>
          <w:tcPr>
            <w:tcW w:w="982" w:type="dxa"/>
            <w:vMerge w:val="continue"/>
            <w:vAlign w:val="center"/>
          </w:tcPr>
          <w:p w14:paraId="3BC30324">
            <w:pPr>
              <w:rPr>
                <w:rFonts w:ascii="仿宋" w:hAnsi="仿宋" w:eastAsia="仿宋" w:cs="仿宋"/>
                <w:color w:val="auto"/>
              </w:rPr>
            </w:pPr>
          </w:p>
        </w:tc>
        <w:tc>
          <w:tcPr>
            <w:tcW w:w="1023" w:type="dxa"/>
            <w:vAlign w:val="center"/>
          </w:tcPr>
          <w:p w14:paraId="435C4489">
            <w:pPr>
              <w:spacing w:line="400" w:lineRule="exact"/>
              <w:ind w:firstLine="28" w:firstLineChars="0"/>
              <w:jc w:val="center"/>
              <w:rPr>
                <w:rFonts w:ascii="仿宋" w:hAnsi="仿宋" w:eastAsia="仿宋" w:cs="仿宋"/>
                <w:color w:val="auto"/>
              </w:rPr>
            </w:pPr>
            <w:r>
              <w:rPr>
                <w:rFonts w:hint="eastAsia" w:ascii="仿宋" w:hAnsi="仿宋" w:eastAsia="仿宋" w:cs="仿宋"/>
                <w:color w:val="auto"/>
                <w:sz w:val="24"/>
                <w:szCs w:val="24"/>
                <w:highlight w:val="none"/>
              </w:rPr>
              <w:t>实施方案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5851" w:type="dxa"/>
            <w:vAlign w:val="center"/>
          </w:tcPr>
          <w:p w14:paraId="65AFD4B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供应商针对本项目提供项目实施方案，方案内容包括：①项目执行总体思路；②项目实施时间、频次安排；③项目实施样区样地设置；④项目实施人员安排；⑤拟采取的调查方法；⑥项目费用测算。</w:t>
            </w:r>
          </w:p>
          <w:p w14:paraId="7A58DC5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p w14:paraId="2682F52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04A93F3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33D2D4F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4466934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66E12C2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46999DD7">
            <w:pPr>
              <w:adjustRightInd w:val="0"/>
              <w:snapToGrid w:val="0"/>
              <w:spacing w:line="400" w:lineRule="exact"/>
              <w:rPr>
                <w:rFonts w:ascii="仿宋" w:hAnsi="仿宋" w:eastAsia="仿宋" w:cs="仿宋"/>
                <w:color w:val="auto"/>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continue"/>
            <w:vAlign w:val="center"/>
          </w:tcPr>
          <w:p w14:paraId="7320B3FD">
            <w:pPr>
              <w:rPr>
                <w:rFonts w:ascii="仿宋" w:hAnsi="仿宋" w:eastAsia="仿宋" w:cs="仿宋"/>
                <w:color w:val="auto"/>
              </w:rPr>
            </w:pPr>
          </w:p>
        </w:tc>
      </w:tr>
      <w:tr w14:paraId="637D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33" w:type="dxa"/>
            <w:vMerge w:val="continue"/>
            <w:vAlign w:val="center"/>
          </w:tcPr>
          <w:p w14:paraId="205C4014">
            <w:pPr>
              <w:rPr>
                <w:rFonts w:ascii="仿宋" w:hAnsi="仿宋" w:eastAsia="仿宋" w:cs="仿宋"/>
                <w:color w:val="auto"/>
              </w:rPr>
            </w:pPr>
          </w:p>
        </w:tc>
        <w:tc>
          <w:tcPr>
            <w:tcW w:w="982" w:type="dxa"/>
            <w:vMerge w:val="continue"/>
            <w:vAlign w:val="center"/>
          </w:tcPr>
          <w:p w14:paraId="0E1304F4">
            <w:pPr>
              <w:rPr>
                <w:rFonts w:ascii="仿宋" w:hAnsi="仿宋" w:eastAsia="仿宋" w:cs="仿宋"/>
                <w:color w:val="auto"/>
              </w:rPr>
            </w:pPr>
          </w:p>
        </w:tc>
        <w:tc>
          <w:tcPr>
            <w:tcW w:w="1023" w:type="dxa"/>
            <w:vAlign w:val="center"/>
          </w:tcPr>
          <w:p w14:paraId="5E83ED7C">
            <w:pPr>
              <w:spacing w:line="400" w:lineRule="exact"/>
              <w:ind w:firstLine="28" w:firstLineChars="0"/>
              <w:jc w:val="center"/>
              <w:rPr>
                <w:rFonts w:ascii="仿宋" w:hAnsi="仿宋" w:eastAsia="仿宋" w:cs="仿宋"/>
                <w:color w:val="auto"/>
                <w:sz w:val="24"/>
              </w:rPr>
            </w:pPr>
            <w:r>
              <w:rPr>
                <w:rFonts w:hint="eastAsia" w:ascii="仿宋" w:hAnsi="仿宋" w:eastAsia="仿宋" w:cs="仿宋"/>
                <w:color w:val="auto"/>
                <w:sz w:val="24"/>
                <w:szCs w:val="24"/>
                <w:highlight w:val="none"/>
                <w:lang w:val="en-US" w:eastAsia="zh-CN"/>
              </w:rPr>
              <w:t>安全</w:t>
            </w:r>
            <w:r>
              <w:rPr>
                <w:rFonts w:hint="eastAsia" w:ascii="仿宋" w:hAnsi="仿宋" w:eastAsia="仿宋" w:cs="仿宋"/>
                <w:color w:val="auto"/>
                <w:sz w:val="24"/>
                <w:szCs w:val="24"/>
                <w:highlight w:val="none"/>
              </w:rPr>
              <w:t>控制措施方案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20分</w:t>
            </w:r>
            <w:r>
              <w:rPr>
                <w:rFonts w:hint="eastAsia" w:ascii="仿宋" w:hAnsi="仿宋" w:eastAsia="仿宋" w:cs="仿宋"/>
                <w:color w:val="auto"/>
                <w:sz w:val="24"/>
                <w:szCs w:val="24"/>
                <w:highlight w:val="none"/>
                <w:lang w:eastAsia="zh-CN"/>
              </w:rPr>
              <w:t>）</w:t>
            </w:r>
          </w:p>
        </w:tc>
        <w:tc>
          <w:tcPr>
            <w:tcW w:w="5851" w:type="dxa"/>
            <w:vAlign w:val="center"/>
          </w:tcPr>
          <w:p w14:paraId="198B3550">
            <w:pPr>
              <w:adjustRightInd w:val="0"/>
              <w:snapToGrid w:val="0"/>
              <w:spacing w:line="400" w:lineRule="exact"/>
              <w:ind w:left="-3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供应商针对本项目实际情况提供控制措施方案，包括：①质量控制措施；②工期保障措施；③安全监管；④数据保密措施；⑤数据保密；⑥</w:t>
            </w:r>
            <w:r>
              <w:rPr>
                <w:rFonts w:hint="eastAsia" w:ascii="仿宋" w:hAnsi="仿宋" w:eastAsia="仿宋" w:cs="仿宋"/>
                <w:color w:val="auto"/>
                <w:sz w:val="24"/>
                <w:szCs w:val="24"/>
                <w:highlight w:val="none"/>
                <w:lang w:val="en-US" w:eastAsia="zh-CN"/>
              </w:rPr>
              <w:t>应急预案</w:t>
            </w:r>
            <w:r>
              <w:rPr>
                <w:rFonts w:hint="eastAsia" w:ascii="仿宋" w:hAnsi="仿宋" w:eastAsia="仿宋" w:cs="仿宋"/>
                <w:color w:val="auto"/>
                <w:sz w:val="24"/>
                <w:szCs w:val="24"/>
                <w:highlight w:val="none"/>
              </w:rPr>
              <w:t>。</w:t>
            </w:r>
          </w:p>
          <w:p w14:paraId="7F4205B1">
            <w:pPr>
              <w:adjustRightInd w:val="0"/>
              <w:snapToGrid w:val="0"/>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评审内容：</w:t>
            </w:r>
          </w:p>
          <w:p w14:paraId="64680F56">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41016B2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66AA688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3D42D6F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2384F8E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5A6B7BE4">
            <w:pPr>
              <w:adjustRightInd w:val="0"/>
              <w:snapToGrid w:val="0"/>
              <w:spacing w:line="400" w:lineRule="exact"/>
              <w:ind w:left="-38" w:leftChars="0"/>
              <w:rPr>
                <w:rFonts w:ascii="仿宋" w:hAnsi="仿宋" w:eastAsia="仿宋" w:cs="仿宋"/>
                <w:color w:val="auto"/>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continue"/>
            <w:vAlign w:val="center"/>
          </w:tcPr>
          <w:p w14:paraId="4760B142">
            <w:pPr>
              <w:rPr>
                <w:rFonts w:ascii="仿宋" w:hAnsi="仿宋" w:eastAsia="仿宋" w:cs="仿宋"/>
                <w:color w:val="auto"/>
              </w:rPr>
            </w:pPr>
          </w:p>
        </w:tc>
      </w:tr>
      <w:tr w14:paraId="73D7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33" w:type="dxa"/>
            <w:vMerge w:val="continue"/>
            <w:vAlign w:val="center"/>
          </w:tcPr>
          <w:p w14:paraId="6E0B73E5">
            <w:pPr>
              <w:rPr>
                <w:rFonts w:ascii="仿宋" w:hAnsi="仿宋" w:eastAsia="仿宋" w:cs="仿宋"/>
                <w:color w:val="auto"/>
              </w:rPr>
            </w:pPr>
            <w:bookmarkStart w:id="68" w:name="_Toc478823773"/>
          </w:p>
        </w:tc>
        <w:tc>
          <w:tcPr>
            <w:tcW w:w="982" w:type="dxa"/>
            <w:vMerge w:val="continue"/>
            <w:vAlign w:val="center"/>
          </w:tcPr>
          <w:p w14:paraId="49B2E523">
            <w:pPr>
              <w:rPr>
                <w:rFonts w:ascii="仿宋" w:hAnsi="仿宋" w:eastAsia="仿宋" w:cs="仿宋"/>
                <w:color w:val="auto"/>
              </w:rPr>
            </w:pPr>
          </w:p>
        </w:tc>
        <w:tc>
          <w:tcPr>
            <w:tcW w:w="1023" w:type="dxa"/>
            <w:vAlign w:val="center"/>
          </w:tcPr>
          <w:p w14:paraId="623B4BC0">
            <w:pPr>
              <w:pStyle w:val="3"/>
              <w:widowControl w:val="0"/>
              <w:spacing w:before="0" w:after="0" w:line="320" w:lineRule="exact"/>
              <w:jc w:val="center"/>
              <w:rPr>
                <w:rFonts w:ascii="仿宋" w:hAnsi="仿宋" w:eastAsia="仿宋" w:cs="仿宋"/>
                <w:b w:val="0"/>
                <w:color w:val="auto"/>
                <w:kern w:val="2"/>
                <w:sz w:val="24"/>
              </w:rPr>
            </w:pPr>
            <w:bookmarkStart w:id="69" w:name="_Toc30015"/>
            <w:r>
              <w:rPr>
                <w:rFonts w:hint="eastAsia" w:ascii="仿宋" w:hAnsi="仿宋" w:eastAsia="仿宋" w:cs="仿宋"/>
                <w:b w:val="0"/>
                <w:color w:val="auto"/>
                <w:kern w:val="2"/>
                <w:sz w:val="24"/>
              </w:rPr>
              <w:t>质量保障方案</w:t>
            </w:r>
            <w:bookmarkEnd w:id="69"/>
          </w:p>
          <w:p w14:paraId="063E89B5">
            <w:pPr>
              <w:pStyle w:val="3"/>
              <w:widowControl w:val="0"/>
              <w:spacing w:before="0" w:after="0" w:line="320" w:lineRule="exact"/>
              <w:jc w:val="center"/>
              <w:rPr>
                <w:rFonts w:hint="eastAsia" w:ascii="仿宋" w:hAnsi="仿宋" w:eastAsia="仿宋" w:cs="仿宋"/>
                <w:color w:val="auto"/>
                <w:sz w:val="24"/>
                <w:szCs w:val="24"/>
                <w:highlight w:val="none"/>
                <w:lang w:val="en-US" w:eastAsia="zh-CN"/>
              </w:rPr>
            </w:pPr>
            <w:bookmarkStart w:id="70" w:name="_Toc16368"/>
            <w:r>
              <w:rPr>
                <w:rFonts w:hint="eastAsia" w:ascii="仿宋" w:hAnsi="仿宋" w:eastAsia="仿宋" w:cs="仿宋"/>
                <w:b w:val="0"/>
                <w:color w:val="auto"/>
                <w:kern w:val="2"/>
                <w:sz w:val="24"/>
              </w:rPr>
              <w:t>（20分）</w:t>
            </w:r>
            <w:bookmarkEnd w:id="70"/>
          </w:p>
        </w:tc>
        <w:tc>
          <w:tcPr>
            <w:tcW w:w="5851" w:type="dxa"/>
            <w:vAlign w:val="center"/>
          </w:tcPr>
          <w:p w14:paraId="1B7BB2DF">
            <w:pPr>
              <w:spacing w:line="400" w:lineRule="exact"/>
              <w:ind w:firstLine="480" w:firstLineChars="200"/>
              <w:rPr>
                <w:rFonts w:ascii="仿宋" w:hAnsi="仿宋" w:eastAsia="仿宋" w:cs="仿宋"/>
                <w:color w:val="auto"/>
              </w:rPr>
            </w:pPr>
            <w:r>
              <w:rPr>
                <w:rFonts w:hint="eastAsia" w:ascii="仿宋" w:hAnsi="仿宋" w:eastAsia="仿宋" w:cs="仿宋"/>
                <w:color w:val="auto"/>
              </w:rPr>
              <w:t>供应商提供针对本项目的质量保障方案，方案包含不限于质量保障措施、质量管理体系、应急处理预案等内容。</w:t>
            </w:r>
          </w:p>
          <w:p w14:paraId="1359E0C6">
            <w:pPr>
              <w:adjustRightInd w:val="0"/>
              <w:snapToGrid w:val="0"/>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评审内容：</w:t>
            </w:r>
          </w:p>
          <w:p w14:paraId="3B2258D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方案包含上述所有内容的基础上，不存在瑕疵得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p w14:paraId="2F49638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方案包含上述所有内容的基础上，方案内容存在1处瑕疵得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14:paraId="3F72113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方案包含上述所有内容的基础上，方案内容存在2处瑕疵得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14:paraId="4D95049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方案包含上述所有内容的基础上，方案内容存在3处瑕疵得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6310ECB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方案包含上述所有内容的基础上，方案内容存在</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处瑕疵得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35F88C7B">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方案包含上述内容不全或内容存在</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以上瑕疵的或未提供得0分。</w:t>
            </w:r>
          </w:p>
        </w:tc>
        <w:tc>
          <w:tcPr>
            <w:tcW w:w="2059" w:type="dxa"/>
            <w:vMerge w:val="continue"/>
            <w:vAlign w:val="center"/>
          </w:tcPr>
          <w:p w14:paraId="7681AB36">
            <w:pPr>
              <w:rPr>
                <w:rFonts w:ascii="仿宋" w:hAnsi="仿宋" w:eastAsia="仿宋" w:cs="仿宋"/>
                <w:color w:val="auto"/>
              </w:rPr>
            </w:pPr>
          </w:p>
        </w:tc>
      </w:tr>
      <w:tr w14:paraId="6D1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33" w:type="dxa"/>
            <w:vAlign w:val="center"/>
          </w:tcPr>
          <w:p w14:paraId="0C89A950">
            <w:pPr>
              <w:rPr>
                <w:rFonts w:ascii="仿宋" w:hAnsi="仿宋" w:eastAsia="仿宋" w:cs="仿宋"/>
                <w:color w:val="auto"/>
              </w:rPr>
            </w:pPr>
            <w:r>
              <w:rPr>
                <w:rFonts w:hint="eastAsia" w:ascii="仿宋" w:hAnsi="仿宋" w:eastAsia="仿宋" w:cs="仿宋"/>
                <w:color w:val="auto"/>
              </w:rPr>
              <w:t>3</w:t>
            </w:r>
          </w:p>
        </w:tc>
        <w:tc>
          <w:tcPr>
            <w:tcW w:w="982" w:type="dxa"/>
            <w:vAlign w:val="center"/>
          </w:tcPr>
          <w:p w14:paraId="183127AC">
            <w:pPr>
              <w:kinsoku w:val="0"/>
              <w:overflowPunct w:val="0"/>
              <w:autoSpaceDE w:val="0"/>
              <w:autoSpaceDN w:val="0"/>
              <w:snapToGrid w:val="0"/>
              <w:textAlignment w:val="top"/>
              <w:rPr>
                <w:rFonts w:ascii="仿宋" w:hAnsi="仿宋" w:eastAsia="仿宋" w:cs="仿宋"/>
                <w:color w:val="auto"/>
              </w:rPr>
            </w:pPr>
            <w:r>
              <w:rPr>
                <w:rFonts w:hint="eastAsia" w:ascii="仿宋" w:hAnsi="仿宋" w:eastAsia="仿宋" w:cs="仿宋"/>
                <w:color w:val="auto"/>
              </w:rPr>
              <w:t>商务部分10%</w:t>
            </w:r>
          </w:p>
        </w:tc>
        <w:tc>
          <w:tcPr>
            <w:tcW w:w="1023" w:type="dxa"/>
            <w:vAlign w:val="center"/>
          </w:tcPr>
          <w:p w14:paraId="0CB40AFA">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项目案例（10分）</w:t>
            </w:r>
          </w:p>
        </w:tc>
        <w:tc>
          <w:tcPr>
            <w:tcW w:w="5851" w:type="dxa"/>
            <w:vAlign w:val="center"/>
          </w:tcPr>
          <w:p w14:paraId="3249E8C1">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自2023年起至投标截止时间止，供应商</w:t>
            </w:r>
            <w:r>
              <w:rPr>
                <w:rFonts w:hint="eastAsia" w:ascii="仿宋" w:hAnsi="仿宋" w:eastAsia="仿宋" w:cs="仿宋"/>
                <w:color w:val="auto"/>
                <w:sz w:val="24"/>
                <w:szCs w:val="24"/>
                <w:highlight w:val="none"/>
                <w:lang w:val="en-US" w:eastAsia="zh-CN"/>
              </w:rPr>
              <w:t>具有类似应急预案编制</w:t>
            </w:r>
            <w:r>
              <w:rPr>
                <w:rFonts w:hint="eastAsia" w:ascii="仿宋" w:hAnsi="仿宋" w:eastAsia="仿宋" w:cs="仿宋"/>
                <w:color w:val="auto"/>
                <w:sz w:val="24"/>
                <w:szCs w:val="24"/>
                <w:highlight w:val="none"/>
              </w:rPr>
              <w:t>业绩的，每提供1项有效业绩得5分，本项最高得10分。</w:t>
            </w:r>
          </w:p>
        </w:tc>
        <w:tc>
          <w:tcPr>
            <w:tcW w:w="2059" w:type="dxa"/>
            <w:vAlign w:val="center"/>
          </w:tcPr>
          <w:p w14:paraId="11617564">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提供项目合同（协议）复印件或成交通知书复印件，并加盖供应商公章。</w:t>
            </w:r>
          </w:p>
          <w:p w14:paraId="4ED243F2">
            <w:pPr>
              <w:adjustRightInd w:val="0"/>
              <w:snapToGrid w:val="0"/>
              <w:spacing w:line="400" w:lineRule="exact"/>
              <w:ind w:lef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注：同一项目不重复计分。</w:t>
            </w:r>
          </w:p>
        </w:tc>
      </w:tr>
    </w:tbl>
    <w:p w14:paraId="6C70C7F8">
      <w:pPr>
        <w:pStyle w:val="3"/>
        <w:widowControl w:val="0"/>
        <w:spacing w:before="0" w:after="0" w:line="500" w:lineRule="exact"/>
        <w:jc w:val="both"/>
        <w:rPr>
          <w:rFonts w:ascii="仿宋" w:hAnsi="仿宋" w:eastAsia="仿宋" w:cs="仿宋"/>
          <w:color w:val="auto"/>
          <w:kern w:val="2"/>
          <w:sz w:val="24"/>
        </w:rPr>
      </w:pPr>
      <w:bookmarkStart w:id="71" w:name="_Toc910"/>
      <w:r>
        <w:rPr>
          <w:rFonts w:hint="eastAsia" w:ascii="仿宋" w:hAnsi="仿宋" w:eastAsia="仿宋" w:cs="仿宋"/>
          <w:color w:val="auto"/>
          <w:kern w:val="2"/>
          <w:sz w:val="24"/>
        </w:rPr>
        <w:t>三、无效响应</w:t>
      </w:r>
      <w:bookmarkEnd w:id="68"/>
      <w:bookmarkEnd w:id="71"/>
    </w:p>
    <w:p w14:paraId="3DB46902">
      <w:pPr>
        <w:snapToGrid w:val="0"/>
        <w:spacing w:line="400" w:lineRule="exact"/>
        <w:ind w:firstLine="465"/>
        <w:rPr>
          <w:rFonts w:ascii="仿宋" w:hAnsi="仿宋" w:eastAsia="仿宋" w:cs="仿宋"/>
          <w:color w:val="auto"/>
        </w:rPr>
      </w:pPr>
      <w:bookmarkStart w:id="72" w:name="_Toc478823775"/>
      <w:r>
        <w:rPr>
          <w:rFonts w:hint="eastAsia" w:ascii="仿宋" w:hAnsi="仿宋" w:eastAsia="仿宋" w:cs="仿宋"/>
          <w:color w:val="auto"/>
        </w:rPr>
        <w:t>供应商发生以下条款情况之一者，视为无效响应，其响应文件将被拒绝：</w:t>
      </w:r>
    </w:p>
    <w:p w14:paraId="4D2D4B91">
      <w:pPr>
        <w:snapToGrid w:val="0"/>
        <w:spacing w:line="400" w:lineRule="exact"/>
        <w:ind w:firstLine="465"/>
        <w:rPr>
          <w:rFonts w:ascii="仿宋" w:hAnsi="仿宋" w:eastAsia="仿宋" w:cs="仿宋"/>
          <w:color w:val="auto"/>
        </w:rPr>
      </w:pPr>
      <w:r>
        <w:rPr>
          <w:rFonts w:hint="eastAsia" w:ascii="仿宋" w:hAnsi="仿宋" w:eastAsia="仿宋" w:cs="仿宋"/>
          <w:color w:val="auto"/>
        </w:rPr>
        <w:t>（一）供应商不符合规定的资格条件的；</w:t>
      </w:r>
    </w:p>
    <w:p w14:paraId="5DB8CB59">
      <w:pPr>
        <w:snapToGrid w:val="0"/>
        <w:spacing w:line="400" w:lineRule="exact"/>
        <w:ind w:firstLine="465"/>
        <w:rPr>
          <w:rFonts w:ascii="仿宋" w:hAnsi="仿宋" w:eastAsia="仿宋" w:cs="仿宋"/>
          <w:color w:val="auto"/>
        </w:rPr>
      </w:pPr>
      <w:r>
        <w:rPr>
          <w:rFonts w:hint="eastAsia" w:ascii="仿宋" w:hAnsi="仿宋" w:eastAsia="仿宋" w:cs="仿宋"/>
          <w:color w:val="auto"/>
        </w:rPr>
        <w:t>（二）供应商的法定代表人（或其授权代表）或自然人未参加比选；</w:t>
      </w:r>
    </w:p>
    <w:p w14:paraId="155DEEB9">
      <w:pPr>
        <w:snapToGrid w:val="0"/>
        <w:spacing w:line="400" w:lineRule="exact"/>
        <w:ind w:firstLine="465"/>
        <w:rPr>
          <w:rFonts w:ascii="仿宋" w:hAnsi="仿宋" w:eastAsia="仿宋" w:cs="仿宋"/>
          <w:color w:val="auto"/>
        </w:rPr>
      </w:pPr>
      <w:r>
        <w:rPr>
          <w:rFonts w:hint="eastAsia" w:ascii="仿宋" w:hAnsi="仿宋" w:eastAsia="仿宋" w:cs="仿宋"/>
          <w:color w:val="auto"/>
        </w:rPr>
        <w:t>（三）供应商所提交的响应文件不按“第七篇响应文件编制要求”要求签署或盖章；</w:t>
      </w:r>
    </w:p>
    <w:p w14:paraId="4F9BFD6E">
      <w:pPr>
        <w:snapToGrid w:val="0"/>
        <w:spacing w:line="400" w:lineRule="exact"/>
        <w:ind w:firstLine="465"/>
        <w:rPr>
          <w:rFonts w:ascii="仿宋" w:hAnsi="仿宋" w:eastAsia="仿宋" w:cs="仿宋"/>
          <w:color w:val="auto"/>
        </w:rPr>
      </w:pPr>
      <w:r>
        <w:rPr>
          <w:rFonts w:hint="eastAsia" w:ascii="仿宋" w:hAnsi="仿宋" w:eastAsia="仿宋" w:cs="仿宋"/>
          <w:color w:val="auto"/>
        </w:rPr>
        <w:t>（四）供应商的报价超过采购预算或最高限价的；</w:t>
      </w:r>
    </w:p>
    <w:p w14:paraId="2E565714">
      <w:pPr>
        <w:snapToGrid w:val="0"/>
        <w:spacing w:line="400" w:lineRule="exact"/>
        <w:ind w:firstLine="465"/>
        <w:rPr>
          <w:rFonts w:ascii="仿宋" w:hAnsi="仿宋" w:eastAsia="仿宋" w:cs="仿宋"/>
          <w:color w:val="auto"/>
        </w:rPr>
      </w:pPr>
      <w:r>
        <w:rPr>
          <w:rFonts w:hint="eastAsia" w:ascii="仿宋" w:hAnsi="仿宋" w:eastAsia="仿宋" w:cs="仿宋"/>
          <w:color w:val="auto"/>
        </w:rPr>
        <w:t>（五）法定代表人为同一个人的两个及两个以上法人，母公司、全资子公司及其控股公司，在同一包采购中同时参与比选；</w:t>
      </w:r>
    </w:p>
    <w:p w14:paraId="4157663E">
      <w:pPr>
        <w:snapToGrid w:val="0"/>
        <w:spacing w:line="400" w:lineRule="exact"/>
        <w:ind w:firstLine="465"/>
        <w:rPr>
          <w:rFonts w:ascii="仿宋" w:hAnsi="仿宋" w:eastAsia="仿宋" w:cs="仿宋"/>
          <w:color w:val="auto"/>
        </w:rPr>
      </w:pPr>
      <w:r>
        <w:rPr>
          <w:rFonts w:hint="eastAsia" w:ascii="仿宋" w:hAnsi="仿宋" w:eastAsia="仿宋" w:cs="仿宋"/>
          <w:color w:val="auto"/>
        </w:rPr>
        <w:t>（六）单位负责人为同一人或者存在直接控股、管理关系的不同供应商，参加同一合同项下的采购活动的；</w:t>
      </w:r>
    </w:p>
    <w:p w14:paraId="50FA3968">
      <w:pPr>
        <w:snapToGrid w:val="0"/>
        <w:spacing w:line="400" w:lineRule="exact"/>
        <w:ind w:firstLine="465"/>
        <w:rPr>
          <w:rFonts w:ascii="仿宋" w:hAnsi="仿宋" w:eastAsia="仿宋" w:cs="仿宋"/>
          <w:color w:val="auto"/>
        </w:rPr>
      </w:pPr>
      <w:r>
        <w:rPr>
          <w:rFonts w:hint="eastAsia" w:ascii="仿宋" w:hAnsi="仿宋" w:eastAsia="仿宋" w:cs="仿宋"/>
          <w:color w:val="auto"/>
        </w:rPr>
        <w:t>（七）为采购项目提供整体设计、规范编制或者项目管理、监理、检测等服务的供应商，再参加该采购项目的其他采购活动；</w:t>
      </w:r>
    </w:p>
    <w:p w14:paraId="2A791F4D">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（八）供应商比选有效期不满足竞争性比选文件要求的；</w:t>
      </w:r>
    </w:p>
    <w:p w14:paraId="03B2A29F">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（九）供应商响应文件内容有与国家现行法律法规相违背的内容，或附有采购人无法接受的条件；</w:t>
      </w:r>
    </w:p>
    <w:p w14:paraId="77155279">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（十）供应商网上报价和线下报价不一致的；</w:t>
      </w:r>
    </w:p>
    <w:p w14:paraId="0809EC50">
      <w:pPr>
        <w:snapToGrid w:val="0"/>
        <w:spacing w:line="400" w:lineRule="exact"/>
        <w:ind w:firstLine="465"/>
        <w:rPr>
          <w:rFonts w:ascii="仿宋" w:hAnsi="仿宋" w:eastAsia="仿宋" w:cs="仿宋"/>
          <w:color w:val="auto"/>
        </w:rPr>
      </w:pPr>
      <w:r>
        <w:rPr>
          <w:rFonts w:hint="eastAsia" w:ascii="仿宋" w:hAnsi="仿宋" w:eastAsia="仿宋" w:cs="仿宋"/>
          <w:color w:val="auto"/>
        </w:rPr>
        <w:t>（十一）法律、法规和竞争性比选文件规定的其他无效情形。</w:t>
      </w:r>
    </w:p>
    <w:p w14:paraId="7FBB7261">
      <w:pPr>
        <w:pStyle w:val="3"/>
        <w:widowControl w:val="0"/>
        <w:spacing w:before="0" w:after="0" w:line="500" w:lineRule="exact"/>
        <w:jc w:val="both"/>
        <w:rPr>
          <w:rFonts w:ascii="仿宋" w:hAnsi="仿宋" w:eastAsia="仿宋" w:cs="仿宋"/>
          <w:color w:val="auto"/>
          <w:kern w:val="2"/>
          <w:sz w:val="24"/>
        </w:rPr>
      </w:pPr>
      <w:bookmarkStart w:id="73" w:name="_Toc10837"/>
      <w:r>
        <w:rPr>
          <w:rFonts w:hint="eastAsia" w:ascii="仿宋" w:hAnsi="仿宋" w:eastAsia="仿宋" w:cs="仿宋"/>
          <w:color w:val="auto"/>
          <w:kern w:val="2"/>
          <w:sz w:val="24"/>
        </w:rPr>
        <w:t>四、采购终止</w:t>
      </w:r>
      <w:bookmarkEnd w:id="73"/>
    </w:p>
    <w:p w14:paraId="551FF1B7">
      <w:pPr>
        <w:snapToGrid w:val="0"/>
        <w:spacing w:line="400" w:lineRule="exact"/>
        <w:ind w:firstLine="465"/>
        <w:rPr>
          <w:rFonts w:ascii="仿宋" w:hAnsi="仿宋" w:eastAsia="仿宋" w:cs="仿宋"/>
          <w:color w:val="auto"/>
        </w:rPr>
      </w:pPr>
      <w:r>
        <w:rPr>
          <w:rFonts w:hint="eastAsia" w:ascii="仿宋" w:hAnsi="仿宋" w:eastAsia="仿宋" w:cs="仿宋"/>
          <w:color w:val="auto"/>
        </w:rPr>
        <w:t>出现下列情形之一的，采购人或者采购代理机构应当终止竞争性比选采购活动，发布项目终止公告并说明原因，重新开展采购活动：</w:t>
      </w:r>
    </w:p>
    <w:p w14:paraId="4588EAB2">
      <w:pPr>
        <w:snapToGrid w:val="0"/>
        <w:spacing w:line="400" w:lineRule="exact"/>
        <w:ind w:firstLine="465"/>
        <w:rPr>
          <w:rFonts w:ascii="仿宋" w:hAnsi="仿宋" w:eastAsia="仿宋" w:cs="仿宋"/>
          <w:color w:val="auto"/>
        </w:rPr>
      </w:pPr>
      <w:r>
        <w:rPr>
          <w:rFonts w:hint="eastAsia" w:ascii="仿宋" w:hAnsi="仿宋" w:eastAsia="仿宋" w:cs="仿宋"/>
          <w:color w:val="auto"/>
        </w:rPr>
        <w:t>（一）因情况变化，不再符合规定的竞争性比选采购方式适用情形的；</w:t>
      </w:r>
    </w:p>
    <w:p w14:paraId="30A09A1D">
      <w:pPr>
        <w:snapToGrid w:val="0"/>
        <w:spacing w:line="400" w:lineRule="exact"/>
        <w:ind w:firstLine="465"/>
        <w:rPr>
          <w:rFonts w:ascii="仿宋" w:hAnsi="仿宋" w:eastAsia="仿宋" w:cs="仿宋"/>
          <w:color w:val="auto"/>
        </w:rPr>
      </w:pPr>
      <w:r>
        <w:rPr>
          <w:rFonts w:hint="eastAsia" w:ascii="仿宋" w:hAnsi="仿宋" w:eastAsia="仿宋" w:cs="仿宋"/>
          <w:color w:val="auto"/>
        </w:rPr>
        <w:t>（二）出现影响采购公正的违法、违规行为的；</w:t>
      </w:r>
    </w:p>
    <w:p w14:paraId="1C451025">
      <w:pPr>
        <w:snapToGrid w:val="0"/>
        <w:spacing w:line="400" w:lineRule="exact"/>
        <w:ind w:firstLine="465"/>
        <w:rPr>
          <w:rFonts w:ascii="仿宋" w:hAnsi="仿宋" w:eastAsia="仿宋" w:cs="仿宋"/>
          <w:color w:val="auto"/>
        </w:rPr>
      </w:pPr>
      <w:r>
        <w:rPr>
          <w:rFonts w:hint="eastAsia" w:ascii="仿宋" w:hAnsi="仿宋" w:eastAsia="仿宋" w:cs="仿宋"/>
          <w:color w:val="auto"/>
        </w:rPr>
        <w:t>（三）在采购过程中符合要求的供应商或者报价未超过采购预算的供应商不足3家。</w:t>
      </w:r>
    </w:p>
    <w:p w14:paraId="20892B78">
      <w:pPr>
        <w:snapToGrid w:val="0"/>
        <w:spacing w:line="400" w:lineRule="exact"/>
        <w:ind w:firstLine="465"/>
        <w:rPr>
          <w:rFonts w:ascii="仿宋" w:hAnsi="仿宋" w:eastAsia="仿宋" w:cs="仿宋"/>
          <w:color w:val="auto"/>
        </w:rPr>
      </w:pPr>
      <w:r>
        <w:rPr>
          <w:rFonts w:hint="eastAsia" w:ascii="仿宋" w:hAnsi="仿宋" w:eastAsia="仿宋" w:cs="仿宋"/>
          <w:color w:val="auto"/>
        </w:rPr>
        <w:br w:type="page"/>
      </w:r>
    </w:p>
    <w:bookmarkEnd w:id="72"/>
    <w:p w14:paraId="49554DC5">
      <w:pPr>
        <w:pStyle w:val="3"/>
        <w:pageBreakBefore/>
        <w:spacing w:before="0" w:after="0" w:line="360" w:lineRule="auto"/>
        <w:jc w:val="center"/>
        <w:rPr>
          <w:rFonts w:ascii="仿宋" w:hAnsi="仿宋" w:eastAsia="仿宋" w:cs="仿宋"/>
          <w:bCs/>
          <w:color w:val="auto"/>
          <w:sz w:val="36"/>
          <w:szCs w:val="30"/>
        </w:rPr>
      </w:pPr>
      <w:bookmarkStart w:id="74" w:name="_Toc2826"/>
      <w:bookmarkStart w:id="75" w:name="_Toc94016395"/>
      <w:bookmarkStart w:id="76" w:name="_Toc342913391"/>
      <w:bookmarkStart w:id="77" w:name="_Toc478823776"/>
      <w:r>
        <w:rPr>
          <w:rFonts w:hint="eastAsia" w:ascii="仿宋" w:hAnsi="仿宋" w:eastAsia="仿宋" w:cs="仿宋"/>
          <w:bCs/>
          <w:color w:val="auto"/>
          <w:sz w:val="36"/>
          <w:szCs w:val="30"/>
        </w:rPr>
        <w:t>第五篇  供应商须知</w:t>
      </w:r>
      <w:bookmarkEnd w:id="74"/>
    </w:p>
    <w:p w14:paraId="68955ABA">
      <w:pPr>
        <w:pStyle w:val="3"/>
        <w:widowControl w:val="0"/>
        <w:spacing w:before="0" w:after="0" w:line="500" w:lineRule="exact"/>
        <w:jc w:val="both"/>
        <w:rPr>
          <w:rFonts w:ascii="仿宋" w:hAnsi="仿宋" w:eastAsia="仿宋" w:cs="仿宋"/>
          <w:color w:val="auto"/>
          <w:kern w:val="2"/>
          <w:sz w:val="24"/>
        </w:rPr>
      </w:pPr>
      <w:bookmarkStart w:id="78" w:name="_Toc11259"/>
      <w:r>
        <w:rPr>
          <w:rFonts w:hint="eastAsia" w:ascii="仿宋" w:hAnsi="仿宋" w:eastAsia="仿宋" w:cs="仿宋"/>
          <w:color w:val="auto"/>
          <w:kern w:val="2"/>
          <w:sz w:val="24"/>
        </w:rPr>
        <w:t>一、比选费用</w:t>
      </w:r>
      <w:bookmarkEnd w:id="78"/>
    </w:p>
    <w:bookmarkEnd w:id="75"/>
    <w:bookmarkEnd w:id="76"/>
    <w:p w14:paraId="44C67B72">
      <w:pPr>
        <w:pStyle w:val="211"/>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参与比选的供应商应承担其编制响应文件与递交响应文件所涉及的一切费用，不论比选结果如何，采购人和采购代理机构在任何情况下无义务也无责任承担这些费用。</w:t>
      </w:r>
    </w:p>
    <w:p w14:paraId="0D7A9125">
      <w:pPr>
        <w:pStyle w:val="3"/>
        <w:widowControl w:val="0"/>
        <w:spacing w:before="0" w:after="0" w:line="500" w:lineRule="exact"/>
        <w:jc w:val="both"/>
        <w:rPr>
          <w:rFonts w:ascii="仿宋" w:hAnsi="仿宋" w:eastAsia="仿宋" w:cs="仿宋"/>
          <w:color w:val="auto"/>
          <w:kern w:val="2"/>
          <w:sz w:val="24"/>
        </w:rPr>
      </w:pPr>
      <w:bookmarkStart w:id="79" w:name="_Toc31082"/>
      <w:r>
        <w:rPr>
          <w:rFonts w:hint="eastAsia" w:ascii="仿宋" w:hAnsi="仿宋" w:eastAsia="仿宋" w:cs="仿宋"/>
          <w:color w:val="auto"/>
          <w:kern w:val="2"/>
          <w:sz w:val="24"/>
        </w:rPr>
        <w:t>二、竞争性比选文件</w:t>
      </w:r>
      <w:bookmarkEnd w:id="79"/>
    </w:p>
    <w:bookmarkEnd w:id="77"/>
    <w:p w14:paraId="321EEBEB">
      <w:pPr>
        <w:snapToGrid w:val="0"/>
        <w:spacing w:line="400" w:lineRule="exact"/>
        <w:ind w:firstLine="480" w:firstLineChars="200"/>
        <w:rPr>
          <w:rFonts w:ascii="仿宋" w:hAnsi="仿宋" w:eastAsia="仿宋" w:cs="仿宋"/>
          <w:color w:val="auto"/>
        </w:rPr>
      </w:pPr>
      <w:bookmarkStart w:id="80" w:name="_Toc478823778"/>
      <w:r>
        <w:rPr>
          <w:rFonts w:hint="eastAsia" w:ascii="仿宋" w:hAnsi="仿宋" w:eastAsia="仿宋" w:cs="仿宋"/>
          <w:color w:val="auto"/>
        </w:rPr>
        <w:t>（一）竞争性比选文件由采购邀请书、项目服务需求、供应商须知、项目商务需求、比选程序及方法、评审标准、无效响应和采购终止、供应商须知</w:t>
      </w:r>
      <w:r>
        <w:rPr>
          <w:rFonts w:hint="eastAsia" w:ascii="仿宋" w:hAnsi="仿宋" w:eastAsia="仿宋" w:cs="仿宋"/>
          <w:b/>
          <w:color w:val="auto"/>
        </w:rPr>
        <w:t>、</w:t>
      </w:r>
      <w:r>
        <w:rPr>
          <w:rFonts w:hint="eastAsia" w:ascii="仿宋" w:hAnsi="仿宋" w:eastAsia="仿宋" w:cs="仿宋"/>
          <w:color w:val="auto"/>
        </w:rPr>
        <w:t>采购合同</w:t>
      </w:r>
      <w:r>
        <w:rPr>
          <w:rFonts w:hint="eastAsia" w:ascii="仿宋" w:hAnsi="仿宋" w:eastAsia="仿宋" w:cs="仿宋"/>
          <w:b/>
          <w:color w:val="auto"/>
        </w:rPr>
        <w:t>、</w:t>
      </w:r>
      <w:r>
        <w:rPr>
          <w:rFonts w:hint="eastAsia" w:ascii="仿宋" w:hAnsi="仿宋" w:eastAsia="仿宋" w:cs="仿宋"/>
          <w:color w:val="auto"/>
        </w:rPr>
        <w:t>响应文件编制要求七部分组成。</w:t>
      </w:r>
    </w:p>
    <w:p w14:paraId="674D680A">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（二）采购人（或采购代理机构）所作的一切有效的书面通知、修改及补充，都是竞争性比选文件不可分割的部分。</w:t>
      </w:r>
    </w:p>
    <w:p w14:paraId="1F9D4763">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（三）竞争性比选文件的解释</w:t>
      </w:r>
    </w:p>
    <w:p w14:paraId="6FC86F30">
      <w:pPr>
        <w:spacing w:line="400" w:lineRule="exact"/>
        <w:ind w:firstLine="480" w:firstLineChars="200"/>
        <w:rPr>
          <w:rFonts w:ascii="仿宋" w:hAnsi="仿宋" w:eastAsia="仿宋" w:cs="仿宋"/>
          <w:color w:val="auto"/>
        </w:rPr>
      </w:pPr>
      <w:r>
        <w:rPr>
          <w:rFonts w:hint="eastAsia" w:ascii="仿宋" w:hAnsi="仿宋" w:eastAsia="仿宋" w:cs="仿宋"/>
          <w:color w:val="auto"/>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81" w:name="_Toc318159160"/>
      <w:bookmarkStart w:id="82" w:name="_Toc318166429"/>
      <w:bookmarkStart w:id="83" w:name="_Toc318159780"/>
      <w:bookmarkStart w:id="84" w:name="_Toc318159349"/>
    </w:p>
    <w:p w14:paraId="775E768D">
      <w:pPr>
        <w:spacing w:line="400" w:lineRule="exact"/>
        <w:ind w:firstLine="480" w:firstLineChars="200"/>
        <w:rPr>
          <w:rFonts w:ascii="仿宋" w:hAnsi="仿宋" w:eastAsia="仿宋" w:cs="仿宋"/>
          <w:color w:val="auto"/>
        </w:rPr>
      </w:pPr>
      <w:r>
        <w:rPr>
          <w:rFonts w:hint="eastAsia" w:ascii="仿宋" w:hAnsi="仿宋" w:eastAsia="仿宋" w:cs="仿宋"/>
          <w:color w:val="auto"/>
        </w:rPr>
        <w:t>（四）本竞争性比选文件中，比选小组根据与供应商进行比选可能实质性变动的内容为竞争性比选文件第二、三、六篇全部内容。</w:t>
      </w:r>
    </w:p>
    <w:p w14:paraId="7DF6F1A2">
      <w:pPr>
        <w:spacing w:line="400" w:lineRule="exact"/>
        <w:ind w:firstLine="480" w:firstLineChars="200"/>
        <w:rPr>
          <w:rFonts w:ascii="仿宋" w:hAnsi="仿宋" w:eastAsia="仿宋" w:cs="仿宋"/>
          <w:color w:val="auto"/>
        </w:rPr>
      </w:pPr>
      <w:r>
        <w:rPr>
          <w:rFonts w:hint="eastAsia" w:ascii="仿宋" w:hAnsi="仿宋" w:eastAsia="仿宋" w:cs="仿宋"/>
          <w:color w:val="auto"/>
        </w:rPr>
        <w:t>（五）评审的依据为竞争性比选文件和响应文件（含有效的书面承诺）。比选小组判断响应文件对竞争性比选文件的响应，仅基于响应文件本身而不靠外部证据。</w:t>
      </w:r>
    </w:p>
    <w:bookmarkEnd w:id="81"/>
    <w:bookmarkEnd w:id="82"/>
    <w:bookmarkEnd w:id="83"/>
    <w:bookmarkEnd w:id="84"/>
    <w:p w14:paraId="05A0E225">
      <w:pPr>
        <w:pStyle w:val="3"/>
        <w:widowControl w:val="0"/>
        <w:spacing w:before="0" w:after="0" w:line="500" w:lineRule="exact"/>
        <w:jc w:val="both"/>
        <w:rPr>
          <w:rFonts w:ascii="仿宋" w:hAnsi="仿宋" w:eastAsia="仿宋" w:cs="仿宋"/>
          <w:color w:val="auto"/>
          <w:kern w:val="2"/>
          <w:sz w:val="24"/>
        </w:rPr>
      </w:pPr>
      <w:bookmarkStart w:id="85" w:name="_Toc21515"/>
      <w:r>
        <w:rPr>
          <w:rFonts w:hint="eastAsia" w:ascii="仿宋" w:hAnsi="仿宋" w:eastAsia="仿宋" w:cs="仿宋"/>
          <w:color w:val="auto"/>
          <w:kern w:val="2"/>
          <w:sz w:val="24"/>
        </w:rPr>
        <w:t>三、比选要求</w:t>
      </w:r>
      <w:bookmarkEnd w:id="80"/>
      <w:bookmarkEnd w:id="85"/>
    </w:p>
    <w:p w14:paraId="08105686">
      <w:pPr>
        <w:spacing w:line="400" w:lineRule="exact"/>
        <w:ind w:firstLine="480" w:firstLineChars="200"/>
        <w:rPr>
          <w:rFonts w:ascii="仿宋" w:hAnsi="仿宋" w:eastAsia="仿宋" w:cs="仿宋"/>
          <w:color w:val="auto"/>
        </w:rPr>
      </w:pPr>
      <w:bookmarkStart w:id="86" w:name="_Toc478823779"/>
      <w:r>
        <w:rPr>
          <w:rFonts w:hint="eastAsia" w:ascii="仿宋" w:hAnsi="仿宋" w:eastAsia="仿宋" w:cs="仿宋"/>
          <w:color w:val="auto"/>
        </w:rPr>
        <w:t>（一）响应文件</w:t>
      </w:r>
    </w:p>
    <w:p w14:paraId="75D4052E">
      <w:pPr>
        <w:spacing w:line="400" w:lineRule="exact"/>
        <w:ind w:firstLine="480" w:firstLineChars="200"/>
        <w:rPr>
          <w:rFonts w:ascii="仿宋" w:hAnsi="仿宋" w:eastAsia="仿宋" w:cs="仿宋"/>
          <w:color w:val="auto"/>
        </w:rPr>
      </w:pPr>
      <w:r>
        <w:rPr>
          <w:rFonts w:hint="eastAsia" w:ascii="仿宋" w:hAnsi="仿宋" w:eastAsia="仿宋" w:cs="仿宋"/>
          <w:color w:val="auto"/>
        </w:rPr>
        <w:t>1.供应商应当按照竞争性比选文件的要求编制响应文件，并对竞争性比选文件提出的要求和条件作出实质性响应，响应文件原则上采用软面订本，同时应编制完整的页码、目录。</w:t>
      </w:r>
    </w:p>
    <w:p w14:paraId="61D79FE2">
      <w:pPr>
        <w:spacing w:line="400" w:lineRule="exact"/>
        <w:ind w:firstLine="480" w:firstLineChars="200"/>
        <w:rPr>
          <w:rFonts w:ascii="仿宋" w:hAnsi="仿宋" w:eastAsia="仿宋" w:cs="仿宋"/>
          <w:color w:val="auto"/>
        </w:rPr>
      </w:pPr>
      <w:r>
        <w:rPr>
          <w:rFonts w:hint="eastAsia" w:ascii="仿宋" w:hAnsi="仿宋" w:eastAsia="仿宋" w:cs="仿宋"/>
          <w:color w:val="auto"/>
        </w:rPr>
        <w:t>2.响应文件组成</w:t>
      </w:r>
    </w:p>
    <w:p w14:paraId="281D89C7">
      <w:pPr>
        <w:spacing w:line="400" w:lineRule="exact"/>
        <w:ind w:firstLine="480" w:firstLineChars="200"/>
        <w:rPr>
          <w:rFonts w:ascii="仿宋" w:hAnsi="仿宋" w:eastAsia="仿宋" w:cs="仿宋"/>
          <w:color w:val="auto"/>
        </w:rPr>
      </w:pPr>
      <w:r>
        <w:rPr>
          <w:rFonts w:hint="eastAsia" w:ascii="仿宋" w:hAnsi="仿宋" w:eastAsia="仿宋" w:cs="仿宋"/>
          <w:color w:val="auto"/>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03B679F">
      <w:pPr>
        <w:spacing w:line="400" w:lineRule="exact"/>
        <w:ind w:firstLine="480" w:firstLineChars="200"/>
        <w:rPr>
          <w:rFonts w:ascii="仿宋" w:hAnsi="仿宋" w:eastAsia="仿宋" w:cs="仿宋"/>
          <w:color w:val="auto"/>
        </w:rPr>
      </w:pPr>
      <w:r>
        <w:rPr>
          <w:rFonts w:hint="eastAsia" w:ascii="仿宋" w:hAnsi="仿宋" w:eastAsia="仿宋" w:cs="仿宋"/>
          <w:color w:val="auto"/>
        </w:rPr>
        <w:t>（二）联合体：本项目不接受联合体形式。</w:t>
      </w:r>
    </w:p>
    <w:p w14:paraId="5202E772">
      <w:pPr>
        <w:spacing w:line="400" w:lineRule="exact"/>
        <w:ind w:firstLine="480" w:firstLineChars="200"/>
        <w:rPr>
          <w:rFonts w:ascii="仿宋" w:hAnsi="仿宋" w:eastAsia="仿宋" w:cs="仿宋"/>
          <w:color w:val="auto"/>
        </w:rPr>
      </w:pPr>
      <w:r>
        <w:rPr>
          <w:rFonts w:hint="eastAsia" w:ascii="仿宋" w:hAnsi="仿宋" w:eastAsia="仿宋" w:cs="仿宋"/>
          <w:color w:val="auto"/>
        </w:rPr>
        <w:t>（三）比选有效期：响应文件及有关承诺文件有效期为提交响应文件截止时间起90天。</w:t>
      </w:r>
    </w:p>
    <w:p w14:paraId="5475F274">
      <w:pPr>
        <w:spacing w:line="400" w:lineRule="exact"/>
        <w:ind w:firstLine="480" w:firstLineChars="200"/>
        <w:rPr>
          <w:rFonts w:ascii="仿宋" w:hAnsi="仿宋" w:eastAsia="仿宋" w:cs="仿宋"/>
          <w:color w:val="auto"/>
        </w:rPr>
      </w:pPr>
      <w:r>
        <w:rPr>
          <w:rFonts w:hint="eastAsia" w:ascii="仿宋" w:hAnsi="仿宋" w:eastAsia="仿宋" w:cs="仿宋"/>
          <w:color w:val="auto"/>
        </w:rPr>
        <w:t>（四）修正错误</w:t>
      </w:r>
    </w:p>
    <w:p w14:paraId="4BE33783">
      <w:pPr>
        <w:spacing w:line="400" w:lineRule="exact"/>
        <w:ind w:firstLine="480" w:firstLineChars="200"/>
        <w:rPr>
          <w:rFonts w:ascii="仿宋" w:hAnsi="仿宋" w:eastAsia="仿宋" w:cs="仿宋"/>
          <w:color w:val="auto"/>
        </w:rPr>
      </w:pPr>
      <w:r>
        <w:rPr>
          <w:rFonts w:hint="eastAsia" w:ascii="仿宋" w:hAnsi="仿宋" w:eastAsia="仿宋" w:cs="仿宋"/>
          <w:color w:val="auto"/>
        </w:rPr>
        <w:t>1.若供应商所递交的响应文件或报价中的价格出现大写金额和小写金额不一致的错误，以大写金额修正为准。</w:t>
      </w:r>
    </w:p>
    <w:p w14:paraId="66D58197">
      <w:pPr>
        <w:spacing w:line="400" w:lineRule="exact"/>
        <w:ind w:firstLine="480" w:firstLineChars="200"/>
        <w:rPr>
          <w:rFonts w:ascii="仿宋" w:hAnsi="仿宋" w:eastAsia="仿宋"/>
          <w:color w:val="auto"/>
        </w:rPr>
      </w:pPr>
      <w:r>
        <w:rPr>
          <w:rFonts w:hint="eastAsia" w:ascii="仿宋" w:hAnsi="仿宋" w:eastAsia="仿宋"/>
          <w:color w:val="auto"/>
        </w:rPr>
        <w:t>2.比选小组按上述修正错误的原则及方法修正供应商的报价，供应商同意并签字确认后，修正后的报价对供应商具有约束作用。如果供应商不接受修正后的价格，将失去成为成交供应商的资格。</w:t>
      </w:r>
    </w:p>
    <w:p w14:paraId="27D9785D">
      <w:pPr>
        <w:snapToGrid w:val="0"/>
        <w:spacing w:line="400" w:lineRule="exact"/>
        <w:ind w:firstLine="480" w:firstLineChars="200"/>
        <w:rPr>
          <w:rFonts w:ascii="仿宋" w:hAnsi="仿宋" w:eastAsia="仿宋"/>
          <w:color w:val="auto"/>
        </w:rPr>
      </w:pPr>
      <w:r>
        <w:rPr>
          <w:rFonts w:hint="eastAsia" w:ascii="仿宋" w:hAnsi="仿宋" w:eastAsia="仿宋"/>
          <w:color w:val="auto"/>
        </w:rPr>
        <w:t>（五）提交响应文件的份数和签署</w:t>
      </w:r>
    </w:p>
    <w:p w14:paraId="5CEB60F3">
      <w:pPr>
        <w:snapToGrid w:val="0"/>
        <w:spacing w:line="400" w:lineRule="exact"/>
        <w:ind w:firstLine="480" w:firstLineChars="200"/>
        <w:rPr>
          <w:rFonts w:ascii="仿宋" w:hAnsi="仿宋" w:eastAsia="仿宋"/>
          <w:color w:val="auto"/>
        </w:rPr>
      </w:pPr>
      <w:r>
        <w:rPr>
          <w:rFonts w:hint="eastAsia" w:ascii="仿宋" w:hAnsi="仿宋" w:eastAsia="仿宋"/>
          <w:color w:val="auto"/>
        </w:rPr>
        <w:t>1.每个分包内的响应文件一式三份，其中正本一份，副本二份；副本可为正本的复印件，应与正本一致，如出现不一致情况以正本为准。</w:t>
      </w:r>
    </w:p>
    <w:p w14:paraId="4CF329F6">
      <w:pPr>
        <w:snapToGrid w:val="0"/>
        <w:spacing w:line="400" w:lineRule="exact"/>
        <w:ind w:firstLine="480" w:firstLineChars="200"/>
        <w:rPr>
          <w:rFonts w:ascii="仿宋" w:hAnsi="仿宋" w:eastAsia="仿宋"/>
          <w:color w:val="auto"/>
        </w:rPr>
      </w:pPr>
      <w:r>
        <w:rPr>
          <w:rFonts w:hint="eastAsia" w:ascii="仿宋" w:hAnsi="仿宋" w:eastAsia="仿宋"/>
          <w:color w:val="auto"/>
        </w:rPr>
        <w:t>2.响应文件按竞争性比选文件“第七篇响应文件编制要求”要求签署或盖章。</w:t>
      </w:r>
    </w:p>
    <w:p w14:paraId="279D9A7C">
      <w:pPr>
        <w:snapToGrid w:val="0"/>
        <w:spacing w:line="400" w:lineRule="exact"/>
        <w:ind w:firstLine="480" w:firstLineChars="200"/>
        <w:rPr>
          <w:rFonts w:ascii="仿宋" w:hAnsi="仿宋" w:eastAsia="仿宋"/>
          <w:color w:val="auto"/>
        </w:rPr>
      </w:pPr>
      <w:r>
        <w:rPr>
          <w:rFonts w:hint="eastAsia" w:ascii="仿宋" w:hAnsi="仿宋" w:eastAsia="仿宋"/>
          <w:color w:val="auto"/>
        </w:rPr>
        <w:t>（六）响应文件的递交</w:t>
      </w:r>
    </w:p>
    <w:p w14:paraId="643C51E6">
      <w:pPr>
        <w:pStyle w:val="31"/>
        <w:spacing w:line="400" w:lineRule="exact"/>
        <w:ind w:firstLine="480" w:firstLineChars="200"/>
        <w:rPr>
          <w:rFonts w:ascii="仿宋" w:hAnsi="仿宋" w:eastAsia="仿宋"/>
          <w:color w:val="auto"/>
          <w:sz w:val="24"/>
        </w:rPr>
      </w:pPr>
      <w:r>
        <w:rPr>
          <w:rFonts w:hint="eastAsia" w:ascii="仿宋" w:hAnsi="仿宋" w:eastAsia="仿宋"/>
          <w:color w:val="auto"/>
          <w:sz w:val="24"/>
        </w:rPr>
        <w:t>响应文件的正本、副本均应密封送达比选地点，应在封套上注明比选项目名称、供应商名称。若正本、副本分别进行密封的，还应在封套上注明“正本”、“副本”字样。</w:t>
      </w:r>
    </w:p>
    <w:p w14:paraId="791ED000">
      <w:pPr>
        <w:snapToGrid w:val="0"/>
        <w:spacing w:line="400" w:lineRule="exact"/>
        <w:ind w:firstLine="480" w:firstLineChars="200"/>
        <w:rPr>
          <w:rFonts w:ascii="仿宋" w:hAnsi="仿宋" w:eastAsia="仿宋"/>
          <w:color w:val="auto"/>
        </w:rPr>
      </w:pPr>
      <w:r>
        <w:rPr>
          <w:rFonts w:hint="eastAsia" w:ascii="仿宋" w:hAnsi="仿宋" w:eastAsia="仿宋"/>
          <w:color w:val="auto"/>
        </w:rPr>
        <w:t>（七）供应商参与人员</w:t>
      </w:r>
    </w:p>
    <w:p w14:paraId="2E1E7BF9">
      <w:pPr>
        <w:snapToGrid w:val="0"/>
        <w:spacing w:line="400" w:lineRule="exact"/>
        <w:ind w:firstLine="480" w:firstLineChars="200"/>
        <w:rPr>
          <w:rFonts w:ascii="仿宋" w:hAnsi="仿宋" w:eastAsia="仿宋"/>
          <w:color w:val="auto"/>
        </w:rPr>
      </w:pPr>
      <w:r>
        <w:rPr>
          <w:rFonts w:hint="eastAsia" w:ascii="仿宋" w:hAnsi="仿宋" w:eastAsia="仿宋"/>
          <w:color w:val="auto"/>
        </w:rPr>
        <w:t>各个供应商应当派1-2名代表参与比选，至少1人应为法定代表人（或其授权代表）或自然人（供应商为自然人）。</w:t>
      </w:r>
    </w:p>
    <w:p w14:paraId="6286CF8E">
      <w:pPr>
        <w:pStyle w:val="3"/>
        <w:widowControl w:val="0"/>
        <w:spacing w:before="0" w:after="0" w:line="500" w:lineRule="exact"/>
        <w:jc w:val="both"/>
        <w:rPr>
          <w:rFonts w:ascii="仿宋" w:hAnsi="仿宋" w:eastAsia="仿宋" w:cs="仿宋"/>
          <w:color w:val="auto"/>
          <w:kern w:val="2"/>
          <w:sz w:val="24"/>
        </w:rPr>
      </w:pPr>
      <w:bookmarkStart w:id="87" w:name="_Toc16466"/>
      <w:r>
        <w:rPr>
          <w:rFonts w:hint="eastAsia" w:ascii="仿宋" w:hAnsi="仿宋" w:eastAsia="仿宋" w:cs="仿宋"/>
          <w:color w:val="auto"/>
          <w:kern w:val="2"/>
          <w:sz w:val="24"/>
        </w:rPr>
        <w:t>四、成交供应商的确认和变更</w:t>
      </w:r>
      <w:bookmarkEnd w:id="86"/>
      <w:bookmarkEnd w:id="87"/>
    </w:p>
    <w:p w14:paraId="68D55B17">
      <w:pPr>
        <w:snapToGrid w:val="0"/>
        <w:spacing w:line="400" w:lineRule="exact"/>
        <w:ind w:firstLine="480" w:firstLineChars="200"/>
        <w:outlineLvl w:val="2"/>
        <w:rPr>
          <w:rFonts w:ascii="仿宋" w:hAnsi="仿宋" w:eastAsia="仿宋" w:cs="仿宋"/>
          <w:color w:val="auto"/>
        </w:rPr>
      </w:pPr>
      <w:bookmarkStart w:id="88" w:name="_Toc478823780"/>
      <w:r>
        <w:rPr>
          <w:rFonts w:hint="eastAsia" w:ascii="仿宋" w:hAnsi="仿宋" w:eastAsia="仿宋" w:cs="仿宋"/>
          <w:color w:val="auto"/>
        </w:rPr>
        <w:t>（一）成交供应商的确认</w:t>
      </w:r>
    </w:p>
    <w:p w14:paraId="5C147FC2">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19761FBA">
      <w:pPr>
        <w:snapToGrid w:val="0"/>
        <w:spacing w:line="400" w:lineRule="exact"/>
        <w:ind w:firstLine="480" w:firstLineChars="200"/>
        <w:outlineLvl w:val="2"/>
        <w:rPr>
          <w:rFonts w:ascii="仿宋" w:hAnsi="仿宋" w:eastAsia="仿宋" w:cs="仿宋"/>
          <w:color w:val="auto"/>
        </w:rPr>
      </w:pPr>
      <w:r>
        <w:rPr>
          <w:rFonts w:hint="eastAsia" w:ascii="仿宋" w:hAnsi="仿宋" w:eastAsia="仿宋" w:cs="仿宋"/>
          <w:color w:val="auto"/>
        </w:rPr>
        <w:t>（二）成交供应商的变更</w:t>
      </w:r>
    </w:p>
    <w:p w14:paraId="63ABEBC6">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成交供应商拒绝与采购人签订合同的，采购人可以按照评标报告推荐的成交候选供应商顺序，确定排名下一位的候选人为成交供应商，也可以重新开展采购活动。</w:t>
      </w:r>
    </w:p>
    <w:p w14:paraId="5580F687">
      <w:pPr>
        <w:pStyle w:val="3"/>
        <w:widowControl w:val="0"/>
        <w:spacing w:before="0" w:after="0" w:line="500" w:lineRule="exact"/>
        <w:jc w:val="both"/>
        <w:rPr>
          <w:rFonts w:ascii="仿宋" w:hAnsi="仿宋" w:eastAsia="仿宋" w:cs="仿宋"/>
          <w:color w:val="auto"/>
          <w:kern w:val="2"/>
          <w:sz w:val="24"/>
        </w:rPr>
      </w:pPr>
      <w:bookmarkStart w:id="89" w:name="_Toc30764"/>
      <w:r>
        <w:rPr>
          <w:rFonts w:hint="eastAsia" w:ascii="仿宋" w:hAnsi="仿宋" w:eastAsia="仿宋" w:cs="仿宋"/>
          <w:color w:val="auto"/>
          <w:kern w:val="2"/>
          <w:sz w:val="24"/>
        </w:rPr>
        <w:t>五、成交通知</w:t>
      </w:r>
      <w:bookmarkEnd w:id="88"/>
      <w:bookmarkEnd w:id="89"/>
    </w:p>
    <w:p w14:paraId="4F7E6C96">
      <w:pPr>
        <w:spacing w:line="400" w:lineRule="exact"/>
        <w:ind w:firstLine="480" w:firstLineChars="200"/>
        <w:rPr>
          <w:rFonts w:ascii="仿宋" w:hAnsi="仿宋" w:eastAsia="仿宋" w:cs="仿宋"/>
          <w:color w:val="auto"/>
        </w:rPr>
      </w:pPr>
      <w:bookmarkStart w:id="90" w:name="_Toc478823781"/>
      <w:r>
        <w:rPr>
          <w:rFonts w:hint="eastAsia" w:ascii="仿宋" w:hAnsi="仿宋" w:eastAsia="仿宋" w:cs="仿宋"/>
          <w:color w:val="auto"/>
        </w:rPr>
        <w:t>（一）成交供应商确定后，采购代理机构将在“行采家（www.gec123.com）”上发布成交结果公告。</w:t>
      </w:r>
    </w:p>
    <w:p w14:paraId="4018A4A3">
      <w:pPr>
        <w:spacing w:line="400" w:lineRule="exact"/>
        <w:ind w:firstLine="480" w:firstLineChars="200"/>
        <w:rPr>
          <w:rFonts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0C70DB82">
      <w:pPr>
        <w:spacing w:line="400" w:lineRule="exact"/>
        <w:ind w:firstLine="480" w:firstLineChars="200"/>
        <w:rPr>
          <w:rFonts w:ascii="仿宋" w:hAnsi="仿宋" w:eastAsia="仿宋" w:cs="仿宋"/>
          <w:color w:val="auto"/>
        </w:rPr>
      </w:pPr>
      <w:r>
        <w:rPr>
          <w:rFonts w:hint="eastAsia" w:ascii="仿宋" w:hAnsi="仿宋" w:eastAsia="仿宋" w:cs="仿宋"/>
          <w:color w:val="auto"/>
        </w:rPr>
        <w:t>（三）《成交通知书》将作为签订合同的依据。</w:t>
      </w:r>
    </w:p>
    <w:p w14:paraId="60A1B8FB">
      <w:pPr>
        <w:pStyle w:val="3"/>
        <w:widowControl w:val="0"/>
        <w:spacing w:before="0" w:after="0" w:line="500" w:lineRule="exact"/>
        <w:jc w:val="both"/>
        <w:rPr>
          <w:rFonts w:ascii="仿宋" w:hAnsi="仿宋" w:eastAsia="仿宋" w:cs="仿宋"/>
          <w:color w:val="auto"/>
          <w:kern w:val="2"/>
          <w:sz w:val="24"/>
        </w:rPr>
      </w:pPr>
      <w:bookmarkStart w:id="91" w:name="_Toc18172"/>
      <w:r>
        <w:rPr>
          <w:rFonts w:hint="eastAsia" w:ascii="仿宋" w:hAnsi="仿宋" w:eastAsia="仿宋" w:cs="仿宋"/>
          <w:color w:val="auto"/>
          <w:kern w:val="2"/>
          <w:sz w:val="24"/>
        </w:rPr>
        <w:t>六、关于质疑和投诉</w:t>
      </w:r>
      <w:bookmarkEnd w:id="90"/>
      <w:bookmarkEnd w:id="91"/>
    </w:p>
    <w:p w14:paraId="37425C36">
      <w:pPr>
        <w:spacing w:line="400" w:lineRule="exact"/>
        <w:ind w:firstLine="480" w:firstLineChars="200"/>
        <w:outlineLvl w:val="2"/>
        <w:rPr>
          <w:rFonts w:ascii="仿宋" w:hAnsi="仿宋" w:eastAsia="仿宋" w:cs="仿宋"/>
          <w:color w:val="auto"/>
        </w:rPr>
      </w:pPr>
      <w:bookmarkStart w:id="92" w:name="_Toc29401"/>
      <w:bookmarkStart w:id="93" w:name="_Toc76462344"/>
      <w:r>
        <w:rPr>
          <w:rFonts w:hint="eastAsia" w:ascii="仿宋" w:hAnsi="仿宋" w:eastAsia="仿宋" w:cs="仿宋"/>
          <w:color w:val="auto"/>
        </w:rPr>
        <w:t>（一）质疑</w:t>
      </w:r>
    </w:p>
    <w:p w14:paraId="07D85418">
      <w:pPr>
        <w:spacing w:line="400" w:lineRule="exact"/>
        <w:ind w:firstLine="480" w:firstLineChars="200"/>
        <w:rPr>
          <w:rFonts w:ascii="仿宋" w:hAnsi="仿宋" w:eastAsia="仿宋" w:cs="仿宋"/>
          <w:color w:val="auto"/>
        </w:rPr>
      </w:pPr>
      <w:r>
        <w:rPr>
          <w:rFonts w:hint="eastAsia" w:ascii="仿宋" w:hAnsi="仿宋" w:eastAsia="仿宋" w:cs="仿宋"/>
          <w:color w:val="auto"/>
        </w:rPr>
        <w:t>供应商认为采购文件、采购过程和成交结果使自己的权益收到伤害的，可向采购人或采购代理机构以书面形式提出质疑。</w:t>
      </w:r>
    </w:p>
    <w:p w14:paraId="111ED358">
      <w:pPr>
        <w:spacing w:line="400" w:lineRule="exact"/>
        <w:ind w:firstLine="480" w:firstLineChars="200"/>
        <w:rPr>
          <w:rFonts w:ascii="仿宋" w:hAnsi="仿宋" w:eastAsia="仿宋" w:cs="仿宋"/>
          <w:color w:val="auto"/>
        </w:rPr>
      </w:pPr>
      <w:r>
        <w:rPr>
          <w:rFonts w:hint="eastAsia" w:ascii="仿宋" w:hAnsi="仿宋" w:eastAsia="仿宋" w:cs="仿宋"/>
          <w:color w:val="auto"/>
        </w:rPr>
        <w:t xml:space="preserve">提出质疑的应当是参与所质疑项目采购活动的供应商。 </w:t>
      </w:r>
    </w:p>
    <w:p w14:paraId="669E9A67">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1.质疑时限、内容</w:t>
      </w:r>
    </w:p>
    <w:p w14:paraId="6D964D89">
      <w:pPr>
        <w:spacing w:line="400" w:lineRule="exact"/>
        <w:ind w:right="12" w:firstLine="480"/>
        <w:rPr>
          <w:rFonts w:ascii="仿宋" w:hAnsi="仿宋" w:eastAsia="仿宋" w:cs="仿宋"/>
          <w:color w:val="auto"/>
        </w:rPr>
      </w:pPr>
      <w:r>
        <w:rPr>
          <w:rFonts w:hint="eastAsia" w:ascii="仿宋" w:hAnsi="仿宋" w:eastAsia="仿宋" w:cs="仿宋"/>
          <w:color w:val="auto"/>
        </w:rPr>
        <w:t>供应商认为采购文件、采购过程、成交结果使自己的权益受到损害的，可以在知道或者应知其权益受到损害之日起7个工作日内，以书面形式向采购人、采购代理机构提出质疑。</w:t>
      </w:r>
    </w:p>
    <w:p w14:paraId="3A298518">
      <w:pPr>
        <w:spacing w:line="400" w:lineRule="exact"/>
        <w:ind w:right="12" w:firstLine="480"/>
        <w:rPr>
          <w:rFonts w:ascii="仿宋" w:hAnsi="仿宋" w:eastAsia="仿宋" w:cs="仿宋"/>
          <w:color w:val="auto"/>
        </w:rPr>
      </w:pPr>
      <w:r>
        <w:rPr>
          <w:rFonts w:hint="eastAsia" w:ascii="仿宋" w:hAnsi="仿宋" w:eastAsia="仿宋" w:cs="仿宋"/>
          <w:color w:val="auto"/>
        </w:rPr>
        <w:t>1.2供应商提出质疑应当提交质疑函和必要的证明材料，质疑函应当包括下列内容：</w:t>
      </w:r>
    </w:p>
    <w:p w14:paraId="65E3BB04">
      <w:pPr>
        <w:spacing w:line="400" w:lineRule="exact"/>
        <w:ind w:right="12" w:firstLine="480"/>
        <w:rPr>
          <w:rFonts w:ascii="仿宋" w:hAnsi="仿宋" w:eastAsia="仿宋" w:cs="仿宋"/>
          <w:color w:val="auto"/>
        </w:rPr>
      </w:pPr>
      <w:r>
        <w:rPr>
          <w:rFonts w:hint="eastAsia" w:ascii="仿宋" w:hAnsi="仿宋" w:eastAsia="仿宋" w:cs="仿宋"/>
          <w:color w:val="auto"/>
        </w:rPr>
        <w:t>1.2.1供应商的姓名或者名称、地址、邮编、联系人及联系电话；</w:t>
      </w:r>
    </w:p>
    <w:p w14:paraId="6C8A655D">
      <w:pPr>
        <w:spacing w:line="400" w:lineRule="exact"/>
        <w:ind w:right="12" w:firstLine="480"/>
        <w:rPr>
          <w:rFonts w:ascii="仿宋" w:hAnsi="仿宋" w:eastAsia="仿宋" w:cs="仿宋"/>
          <w:color w:val="auto"/>
        </w:rPr>
      </w:pPr>
      <w:r>
        <w:rPr>
          <w:rFonts w:hint="eastAsia" w:ascii="仿宋" w:hAnsi="仿宋" w:eastAsia="仿宋" w:cs="仿宋"/>
          <w:color w:val="auto"/>
        </w:rPr>
        <w:t>1.2.2质疑项目的名称、项目号以及采购执行编号；</w:t>
      </w:r>
    </w:p>
    <w:p w14:paraId="145F839E">
      <w:pPr>
        <w:spacing w:line="400" w:lineRule="exact"/>
        <w:ind w:right="12" w:firstLine="480"/>
        <w:rPr>
          <w:rFonts w:ascii="仿宋" w:hAnsi="仿宋" w:eastAsia="仿宋" w:cs="仿宋"/>
          <w:color w:val="auto"/>
        </w:rPr>
      </w:pPr>
      <w:r>
        <w:rPr>
          <w:rFonts w:hint="eastAsia" w:ascii="仿宋" w:hAnsi="仿宋" w:eastAsia="仿宋" w:cs="仿宋"/>
          <w:color w:val="auto"/>
        </w:rPr>
        <w:t>1.2.3具体、明确的质疑事项和与质疑事项相关的请求；</w:t>
      </w:r>
    </w:p>
    <w:p w14:paraId="2F490E5B">
      <w:pPr>
        <w:spacing w:line="400" w:lineRule="exact"/>
        <w:ind w:right="12" w:firstLine="480"/>
        <w:rPr>
          <w:rFonts w:ascii="仿宋" w:hAnsi="仿宋" w:eastAsia="仿宋" w:cs="仿宋"/>
          <w:color w:val="auto"/>
        </w:rPr>
      </w:pPr>
      <w:r>
        <w:rPr>
          <w:rFonts w:hint="eastAsia" w:ascii="仿宋" w:hAnsi="仿宋" w:eastAsia="仿宋" w:cs="仿宋"/>
          <w:color w:val="auto"/>
        </w:rPr>
        <w:t>1.2.4事实依据；</w:t>
      </w:r>
    </w:p>
    <w:p w14:paraId="20B87740">
      <w:pPr>
        <w:spacing w:line="400" w:lineRule="exact"/>
        <w:ind w:right="12" w:firstLine="480"/>
        <w:rPr>
          <w:rFonts w:ascii="仿宋" w:hAnsi="仿宋" w:eastAsia="仿宋" w:cs="仿宋"/>
          <w:color w:val="auto"/>
        </w:rPr>
      </w:pPr>
      <w:r>
        <w:rPr>
          <w:rFonts w:hint="eastAsia" w:ascii="仿宋" w:hAnsi="仿宋" w:eastAsia="仿宋" w:cs="仿宋"/>
          <w:color w:val="auto"/>
        </w:rPr>
        <w:t>1.2.5必要的法律依据；</w:t>
      </w:r>
    </w:p>
    <w:p w14:paraId="5FC3A2F2">
      <w:pPr>
        <w:spacing w:line="400" w:lineRule="exact"/>
        <w:ind w:right="12" w:firstLine="480"/>
        <w:rPr>
          <w:rFonts w:ascii="仿宋" w:hAnsi="仿宋" w:eastAsia="仿宋" w:cs="仿宋"/>
          <w:color w:val="auto"/>
        </w:rPr>
      </w:pPr>
      <w:r>
        <w:rPr>
          <w:rFonts w:hint="eastAsia" w:ascii="仿宋" w:hAnsi="仿宋" w:eastAsia="仿宋" w:cs="仿宋"/>
          <w:color w:val="auto"/>
        </w:rPr>
        <w:t>1.2.6提出质疑的日期；</w:t>
      </w:r>
    </w:p>
    <w:p w14:paraId="6F4F0FCD">
      <w:pPr>
        <w:spacing w:line="400" w:lineRule="exact"/>
        <w:ind w:right="12" w:firstLine="480"/>
        <w:rPr>
          <w:rFonts w:ascii="仿宋" w:hAnsi="仿宋" w:eastAsia="仿宋" w:cs="仿宋"/>
          <w:color w:val="auto"/>
        </w:rPr>
      </w:pPr>
      <w:r>
        <w:rPr>
          <w:rFonts w:hint="eastAsia" w:ascii="仿宋" w:hAnsi="仿宋" w:eastAsia="仿宋" w:cs="仿宋"/>
          <w:color w:val="auto"/>
        </w:rPr>
        <w:t>1.2.7营业执照（或事业单位法人证书，或个体工商户营业执照或有效的自然人身份证明）复印件；</w:t>
      </w:r>
    </w:p>
    <w:p w14:paraId="471E2F45">
      <w:pPr>
        <w:spacing w:line="400" w:lineRule="exact"/>
        <w:ind w:right="12" w:firstLine="480"/>
        <w:rPr>
          <w:rFonts w:ascii="仿宋" w:hAnsi="仿宋" w:eastAsia="仿宋" w:cs="仿宋"/>
          <w:color w:val="auto"/>
        </w:rPr>
      </w:pPr>
      <w:r>
        <w:rPr>
          <w:rFonts w:hint="eastAsia" w:ascii="仿宋" w:hAnsi="仿宋" w:eastAsia="仿宋" w:cs="仿宋"/>
          <w:color w:val="auto"/>
        </w:rPr>
        <w:t>1.2.8法定代表人授权委托书原件、法定代表人身份证复印件和其授权代表的身份证复印件（供应商为自然人的提供自然人身份证复印件）；</w:t>
      </w:r>
    </w:p>
    <w:p w14:paraId="6C085762">
      <w:pPr>
        <w:spacing w:line="400" w:lineRule="exact"/>
        <w:ind w:right="12" w:firstLine="480"/>
        <w:rPr>
          <w:rFonts w:ascii="仿宋" w:hAnsi="仿宋" w:eastAsia="仿宋" w:cs="仿宋"/>
          <w:color w:val="auto"/>
        </w:rPr>
      </w:pPr>
      <w:r>
        <w:rPr>
          <w:rFonts w:hint="eastAsia" w:ascii="仿宋" w:hAnsi="仿宋" w:eastAsia="仿宋" w:cs="仿宋"/>
          <w:color w:val="auto"/>
        </w:rPr>
        <w:t>1.3供应商为自然人的，质疑函应当由本人签字；供应商为法人或者其他组织的，质疑函应当由法定代表人、主要负责人，或者其授权代表签字或者盖章，并加盖公章。</w:t>
      </w:r>
    </w:p>
    <w:p w14:paraId="170D4B55">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2.质疑答复</w:t>
      </w:r>
    </w:p>
    <w:p w14:paraId="740FB19A">
      <w:pPr>
        <w:spacing w:line="400" w:lineRule="exact"/>
        <w:ind w:right="12" w:firstLine="480"/>
        <w:rPr>
          <w:rFonts w:ascii="仿宋" w:hAnsi="仿宋" w:eastAsia="仿宋" w:cs="仿宋"/>
          <w:color w:val="auto"/>
        </w:rPr>
      </w:pPr>
      <w:r>
        <w:rPr>
          <w:rFonts w:hint="eastAsia" w:ascii="仿宋" w:hAnsi="仿宋" w:eastAsia="仿宋" w:cs="仿宋"/>
          <w:color w:val="auto"/>
        </w:rPr>
        <w:t>采购人、采购代理机构应当在收到供应商的书面质疑后七个工作日内作出答复，并以书面形式通知质疑供应商和其他有关供应商。</w:t>
      </w:r>
    </w:p>
    <w:p w14:paraId="191D43DA">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3.其他</w:t>
      </w:r>
    </w:p>
    <w:p w14:paraId="12C0D30C">
      <w:pPr>
        <w:spacing w:line="400" w:lineRule="exact"/>
        <w:ind w:right="12" w:firstLine="480"/>
        <w:rPr>
          <w:rFonts w:ascii="仿宋" w:hAnsi="仿宋" w:eastAsia="仿宋" w:cs="仿宋"/>
          <w:color w:val="auto"/>
        </w:rPr>
      </w:pPr>
      <w:r>
        <w:rPr>
          <w:rFonts w:hint="eastAsia" w:ascii="仿宋" w:hAnsi="仿宋" w:eastAsia="仿宋" w:cs="仿宋"/>
          <w:color w:val="auto"/>
        </w:rPr>
        <w:t>3.1供应商应按照《政府采购质疑和投诉办法》（财政部令第94号）及相关法律法规要求，在法定质疑期内一次性提出针对同一采购程序环节的质疑。</w:t>
      </w:r>
    </w:p>
    <w:p w14:paraId="0A6D2677">
      <w:pPr>
        <w:spacing w:line="400" w:lineRule="exact"/>
        <w:ind w:right="12" w:firstLine="480"/>
        <w:rPr>
          <w:rFonts w:ascii="仿宋" w:hAnsi="仿宋" w:eastAsia="仿宋" w:cs="仿宋"/>
          <w:color w:val="auto"/>
        </w:rPr>
      </w:pPr>
      <w:r>
        <w:rPr>
          <w:rFonts w:hint="eastAsia" w:ascii="仿宋" w:hAnsi="仿宋" w:eastAsia="仿宋" w:cs="仿宋"/>
          <w:color w:val="auto"/>
        </w:rPr>
        <w:t>3.2质疑函范本可在财政部门户网站和中国政府采购网下载。</w:t>
      </w:r>
    </w:p>
    <w:p w14:paraId="18695210">
      <w:pPr>
        <w:spacing w:line="400" w:lineRule="exact"/>
        <w:ind w:right="12" w:firstLine="480"/>
        <w:outlineLvl w:val="2"/>
        <w:rPr>
          <w:rFonts w:ascii="仿宋" w:hAnsi="仿宋" w:eastAsia="仿宋" w:cs="仿宋"/>
          <w:color w:val="auto"/>
        </w:rPr>
      </w:pPr>
      <w:r>
        <w:rPr>
          <w:rFonts w:hint="eastAsia" w:ascii="仿宋" w:hAnsi="仿宋" w:eastAsia="仿宋" w:cs="仿宋"/>
          <w:color w:val="auto"/>
        </w:rPr>
        <w:t>（二）投诉</w:t>
      </w:r>
    </w:p>
    <w:p w14:paraId="1B7DF772">
      <w:pPr>
        <w:spacing w:line="400" w:lineRule="exact"/>
        <w:ind w:right="12" w:firstLine="480"/>
        <w:rPr>
          <w:rFonts w:ascii="仿宋" w:hAnsi="仿宋" w:eastAsia="仿宋" w:cs="仿宋"/>
          <w:color w:val="auto"/>
        </w:rPr>
      </w:pPr>
      <w:r>
        <w:rPr>
          <w:rFonts w:hint="eastAsia" w:ascii="仿宋" w:hAnsi="仿宋" w:eastAsia="仿宋" w:cs="仿宋"/>
          <w:color w:val="auto"/>
        </w:rPr>
        <w:t>1.供应商对采购人、采购代理机构的答复不满意，或者采购人、采购代理机构未在规定时间内作出答复的，可以在答复期满后15个工作日内参照相关法律法规向财政部门提起投诉。</w:t>
      </w:r>
    </w:p>
    <w:p w14:paraId="4A8A9CC4">
      <w:pPr>
        <w:spacing w:line="400" w:lineRule="exact"/>
        <w:ind w:right="12" w:firstLine="480"/>
        <w:rPr>
          <w:rFonts w:ascii="仿宋" w:hAnsi="仿宋" w:eastAsia="仿宋" w:cs="仿宋"/>
          <w:color w:val="auto"/>
        </w:rPr>
      </w:pPr>
      <w:r>
        <w:rPr>
          <w:rFonts w:hint="eastAsia" w:ascii="仿宋" w:hAnsi="仿宋" w:eastAsia="仿宋" w:cs="仿宋"/>
          <w:color w:val="auto"/>
        </w:rPr>
        <w:t>2.供应商应按照《政府采购质疑和投诉办法》（财政部令第94号）及相关法律法规要求递交投诉书和必要的证明材料。投诉书范本可在财政部门户网站和中国政府采购网下载。</w:t>
      </w:r>
    </w:p>
    <w:p w14:paraId="42ACE890">
      <w:pPr>
        <w:spacing w:line="400" w:lineRule="exact"/>
        <w:ind w:right="12" w:firstLine="480"/>
        <w:rPr>
          <w:rFonts w:ascii="仿宋" w:hAnsi="仿宋" w:eastAsia="仿宋" w:cs="仿宋"/>
          <w:color w:val="auto"/>
        </w:rPr>
      </w:pPr>
      <w:r>
        <w:rPr>
          <w:rFonts w:hint="eastAsia" w:ascii="仿宋" w:hAnsi="仿宋" w:eastAsia="仿宋" w:cs="仿宋"/>
          <w:color w:val="auto"/>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E62C296">
      <w:pPr>
        <w:spacing w:line="400" w:lineRule="exact"/>
        <w:ind w:firstLine="480" w:firstLineChars="200"/>
        <w:rPr>
          <w:rFonts w:ascii="仿宋" w:hAnsi="仿宋" w:eastAsia="仿宋" w:cs="仿宋"/>
          <w:color w:val="auto"/>
        </w:rPr>
      </w:pPr>
      <w:r>
        <w:rPr>
          <w:rFonts w:hint="eastAsia" w:ascii="仿宋" w:hAnsi="仿宋" w:eastAsia="仿宋" w:cs="仿宋"/>
          <w:color w:val="auto"/>
        </w:rPr>
        <w:t>4.在确定受理投诉后，财政部门自受理投诉之日起30个工作日内（需要检验、检测、鉴定、专家评审以及需要投诉人补正材料的，所需时间不计算在投诉处理期限内）对投诉事项做出处理决定。</w:t>
      </w:r>
    </w:p>
    <w:p w14:paraId="2DCFF260">
      <w:pPr>
        <w:pStyle w:val="3"/>
        <w:widowControl w:val="0"/>
        <w:spacing w:before="0" w:after="0" w:line="500" w:lineRule="exact"/>
        <w:jc w:val="both"/>
        <w:rPr>
          <w:rFonts w:ascii="仿宋" w:hAnsi="仿宋" w:eastAsia="仿宋" w:cs="仿宋"/>
          <w:color w:val="auto"/>
          <w:kern w:val="2"/>
          <w:sz w:val="24"/>
        </w:rPr>
      </w:pPr>
      <w:bookmarkStart w:id="94" w:name="_Toc29216"/>
      <w:r>
        <w:rPr>
          <w:rFonts w:hint="eastAsia" w:ascii="仿宋" w:hAnsi="仿宋" w:eastAsia="仿宋" w:cs="仿宋"/>
          <w:color w:val="auto"/>
          <w:kern w:val="2"/>
          <w:sz w:val="24"/>
        </w:rPr>
        <w:t>七、采购代理服务费</w:t>
      </w:r>
      <w:bookmarkEnd w:id="92"/>
      <w:bookmarkEnd w:id="93"/>
      <w:bookmarkEnd w:id="94"/>
    </w:p>
    <w:p w14:paraId="1D920659">
      <w:pPr>
        <w:spacing w:line="400" w:lineRule="exact"/>
        <w:ind w:right="12" w:firstLine="480"/>
        <w:rPr>
          <w:rFonts w:ascii="仿宋" w:hAnsi="仿宋" w:eastAsia="仿宋" w:cs="仿宋"/>
          <w:color w:val="auto"/>
        </w:rPr>
      </w:pPr>
      <w:bookmarkStart w:id="95" w:name="_Toc76462345"/>
      <w:bookmarkStart w:id="96" w:name="_Toc6464"/>
      <w:r>
        <w:rPr>
          <w:rFonts w:hint="eastAsia" w:ascii="仿宋" w:hAnsi="仿宋" w:eastAsia="仿宋" w:cs="仿宋"/>
          <w:color w:val="auto"/>
        </w:rPr>
        <w:t>1．成交供应商在领取成交通知书时，须向采购代理机构缴纳采购代理服务费，费用金额为</w:t>
      </w:r>
      <w:r>
        <w:rPr>
          <w:rFonts w:hint="eastAsia" w:ascii="仿宋" w:hAnsi="仿宋" w:eastAsia="仿宋" w:cs="仿宋"/>
          <w:color w:val="auto"/>
          <w:lang w:val="en-US" w:eastAsia="zh-CN"/>
        </w:rPr>
        <w:t>45</w:t>
      </w:r>
      <w:r>
        <w:rPr>
          <w:rFonts w:hint="eastAsia" w:ascii="仿宋" w:hAnsi="仿宋" w:eastAsia="仿宋" w:cs="仿宋"/>
          <w:color w:val="auto"/>
        </w:rPr>
        <w:t>00元（大写：</w:t>
      </w:r>
      <w:r>
        <w:rPr>
          <w:rFonts w:hint="eastAsia" w:ascii="仿宋" w:hAnsi="仿宋" w:eastAsia="仿宋" w:cs="仿宋"/>
          <w:color w:val="auto"/>
          <w:lang w:val="en-US" w:eastAsia="zh-CN"/>
        </w:rPr>
        <w:t>肆仟伍佰</w:t>
      </w:r>
      <w:r>
        <w:rPr>
          <w:rFonts w:hint="eastAsia" w:ascii="仿宋" w:hAnsi="仿宋" w:eastAsia="仿宋" w:cs="仿宋"/>
          <w:color w:val="auto"/>
        </w:rPr>
        <w:t>元整）。</w:t>
      </w:r>
    </w:p>
    <w:p w14:paraId="060A4406">
      <w:pPr>
        <w:spacing w:line="400" w:lineRule="exact"/>
        <w:ind w:firstLine="480" w:firstLineChars="200"/>
        <w:rPr>
          <w:rFonts w:ascii="仿宋" w:hAnsi="仿宋" w:eastAsia="仿宋" w:cs="仿宋"/>
          <w:color w:val="auto"/>
        </w:rPr>
      </w:pPr>
      <w:r>
        <w:rPr>
          <w:rFonts w:hint="eastAsia" w:ascii="仿宋" w:hAnsi="仿宋" w:eastAsia="仿宋" w:cs="仿宋"/>
          <w:color w:val="auto"/>
        </w:rPr>
        <w:t>2．服务费以转帐或者现金形式支付。</w:t>
      </w:r>
    </w:p>
    <w:p w14:paraId="52E05CCA">
      <w:pPr>
        <w:spacing w:line="400" w:lineRule="exact"/>
        <w:ind w:firstLine="480" w:firstLineChars="200"/>
        <w:rPr>
          <w:rFonts w:ascii="仿宋" w:hAnsi="仿宋" w:eastAsia="仿宋" w:cs="仿宋"/>
          <w:color w:val="auto"/>
        </w:rPr>
      </w:pPr>
      <w:r>
        <w:rPr>
          <w:rFonts w:hint="eastAsia" w:ascii="仿宋" w:hAnsi="仿宋" w:eastAsia="仿宋" w:cs="仿宋"/>
          <w:color w:val="auto"/>
        </w:rPr>
        <w:t>3．采购代理服务费缴纳账号：</w:t>
      </w:r>
    </w:p>
    <w:p w14:paraId="04549D95">
      <w:pPr>
        <w:spacing w:line="400" w:lineRule="exact"/>
        <w:ind w:firstLine="480" w:firstLineChars="200"/>
        <w:rPr>
          <w:rFonts w:ascii="仿宋" w:hAnsi="仿宋" w:eastAsia="仿宋" w:cs="仿宋"/>
          <w:color w:val="auto"/>
        </w:rPr>
      </w:pPr>
      <w:r>
        <w:rPr>
          <w:rFonts w:hint="eastAsia" w:ascii="仿宋" w:hAnsi="仿宋" w:eastAsia="仿宋" w:cs="仿宋"/>
          <w:color w:val="auto"/>
        </w:rPr>
        <w:t>户  名：重庆市汇昊招标代理有限公司</w:t>
      </w:r>
    </w:p>
    <w:p w14:paraId="3D2E1BB2">
      <w:pPr>
        <w:spacing w:line="400" w:lineRule="exact"/>
        <w:ind w:firstLine="480" w:firstLineChars="200"/>
        <w:rPr>
          <w:rFonts w:ascii="仿宋" w:hAnsi="仿宋" w:eastAsia="仿宋" w:cs="仿宋"/>
          <w:color w:val="auto"/>
        </w:rPr>
      </w:pPr>
      <w:r>
        <w:rPr>
          <w:rFonts w:hint="eastAsia" w:ascii="仿宋" w:hAnsi="仿宋" w:eastAsia="仿宋" w:cs="仿宋"/>
          <w:color w:val="auto"/>
        </w:rPr>
        <w:t>开户行：中国工商银行股份有限公司南川支行</w:t>
      </w:r>
    </w:p>
    <w:p w14:paraId="2CE948D7">
      <w:pPr>
        <w:spacing w:line="400" w:lineRule="exact"/>
        <w:ind w:firstLine="480" w:firstLineChars="200"/>
        <w:rPr>
          <w:rFonts w:ascii="仿宋" w:hAnsi="仿宋" w:eastAsia="仿宋" w:cs="仿宋"/>
          <w:color w:val="auto"/>
        </w:rPr>
      </w:pPr>
      <w:r>
        <w:rPr>
          <w:rFonts w:hint="eastAsia" w:ascii="仿宋" w:hAnsi="仿宋" w:eastAsia="仿宋" w:cs="仿宋"/>
          <w:color w:val="auto"/>
        </w:rPr>
        <w:t>账  号：3100010109100027510</w:t>
      </w:r>
    </w:p>
    <w:p w14:paraId="0C9C3D65">
      <w:pPr>
        <w:pStyle w:val="3"/>
        <w:widowControl w:val="0"/>
        <w:spacing w:before="0" w:after="0" w:line="500" w:lineRule="exact"/>
        <w:jc w:val="both"/>
        <w:rPr>
          <w:rFonts w:ascii="仿宋" w:hAnsi="仿宋" w:eastAsia="仿宋" w:cs="仿宋"/>
          <w:color w:val="auto"/>
          <w:kern w:val="2"/>
          <w:sz w:val="24"/>
        </w:rPr>
      </w:pPr>
      <w:bookmarkStart w:id="97" w:name="_Toc31212"/>
      <w:r>
        <w:rPr>
          <w:rFonts w:hint="eastAsia" w:ascii="仿宋" w:hAnsi="仿宋" w:eastAsia="仿宋" w:cs="仿宋"/>
          <w:color w:val="auto"/>
          <w:kern w:val="2"/>
          <w:sz w:val="24"/>
        </w:rPr>
        <w:t>八</w:t>
      </w:r>
      <w:bookmarkEnd w:id="95"/>
      <w:bookmarkEnd w:id="96"/>
      <w:bookmarkStart w:id="98" w:name="_Toc14780"/>
      <w:bookmarkStart w:id="99" w:name="_Toc94016403"/>
      <w:r>
        <w:rPr>
          <w:rFonts w:hint="eastAsia" w:ascii="仿宋" w:hAnsi="仿宋" w:eastAsia="仿宋" w:cs="仿宋"/>
          <w:color w:val="auto"/>
          <w:kern w:val="2"/>
          <w:sz w:val="24"/>
        </w:rPr>
        <w:t>、签订合同</w:t>
      </w:r>
      <w:bookmarkEnd w:id="97"/>
    </w:p>
    <w:p w14:paraId="60EC04A3">
      <w:pPr>
        <w:spacing w:line="400" w:lineRule="exact"/>
        <w:ind w:firstLine="360" w:firstLineChars="150"/>
        <w:rPr>
          <w:rFonts w:ascii="仿宋" w:hAnsi="仿宋" w:eastAsia="仿宋" w:cs="仿宋"/>
          <w:color w:val="auto"/>
        </w:rPr>
      </w:pPr>
      <w:r>
        <w:rPr>
          <w:rFonts w:hint="eastAsia" w:ascii="仿宋" w:hAnsi="仿宋" w:eastAsia="仿宋" w:cs="仿宋"/>
          <w:color w:val="auto"/>
        </w:rPr>
        <w:t>（一）采购人原则上应在成交通知书发出之日起二十日内和成交供应商签订采购合同，无正当理由不得拒绝或拖延合同签订。所签订的合同不得对竞争性比选文件和供应商的响应文件作实质性修改。其他未尽事宜由采购人和成交供应商在采购合同中详细约定。</w:t>
      </w:r>
    </w:p>
    <w:p w14:paraId="597ABCDA">
      <w:pPr>
        <w:spacing w:line="400" w:lineRule="exact"/>
        <w:ind w:firstLine="360" w:firstLineChars="150"/>
        <w:rPr>
          <w:rFonts w:ascii="仿宋" w:hAnsi="仿宋" w:eastAsia="仿宋" w:cs="仿宋"/>
          <w:color w:val="auto"/>
        </w:rPr>
      </w:pPr>
      <w:r>
        <w:rPr>
          <w:rFonts w:hint="eastAsia" w:ascii="仿宋" w:hAnsi="仿宋" w:eastAsia="仿宋" w:cs="仿宋"/>
          <w:color w:val="auto"/>
        </w:rPr>
        <w:t>（二）竞争性比选文件、供应商的响应文件及澄清文件等，均为签订采购合同的依据。</w:t>
      </w:r>
    </w:p>
    <w:p w14:paraId="54ABD6A7">
      <w:pPr>
        <w:spacing w:line="400" w:lineRule="exact"/>
        <w:ind w:firstLine="360" w:firstLineChars="150"/>
        <w:rPr>
          <w:rFonts w:ascii="仿宋" w:hAnsi="仿宋" w:eastAsia="仿宋" w:cs="仿宋"/>
          <w:color w:val="auto"/>
        </w:rPr>
      </w:pPr>
      <w:r>
        <w:rPr>
          <w:rFonts w:hint="eastAsia" w:ascii="仿宋" w:hAnsi="仿宋" w:eastAsia="仿宋" w:cs="仿宋"/>
          <w:color w:val="auto"/>
        </w:rPr>
        <w:t>（三）合同生效条款由供需双方约定，法律、行政法规规定应当办理批准、登记等手续后生效的合同，依照其规定。</w:t>
      </w:r>
    </w:p>
    <w:p w14:paraId="5F56AE3E">
      <w:pPr>
        <w:spacing w:line="400" w:lineRule="exact"/>
        <w:ind w:firstLine="360" w:firstLineChars="150"/>
        <w:rPr>
          <w:rFonts w:ascii="仿宋" w:hAnsi="仿宋" w:eastAsia="仿宋" w:cs="仿宋"/>
          <w:color w:val="auto"/>
        </w:rPr>
      </w:pPr>
      <w:r>
        <w:rPr>
          <w:rFonts w:hint="eastAsia" w:ascii="仿宋" w:hAnsi="仿宋" w:eastAsia="仿宋" w:cs="仿宋"/>
          <w:color w:val="auto"/>
        </w:rPr>
        <w:t>（四）合同原则上应参照《采购合同》签订，相关单位要求适用合同通用格式版本的，应按其要求另行签订其他合同。</w:t>
      </w:r>
    </w:p>
    <w:p w14:paraId="1B6757BE">
      <w:pPr>
        <w:spacing w:line="400" w:lineRule="exact"/>
        <w:ind w:firstLine="360" w:firstLineChars="150"/>
        <w:rPr>
          <w:rFonts w:ascii="仿宋" w:hAnsi="仿宋" w:eastAsia="仿宋" w:cs="仿宋"/>
          <w:color w:val="auto"/>
        </w:rPr>
      </w:pPr>
      <w:r>
        <w:rPr>
          <w:rFonts w:hint="eastAsia" w:ascii="仿宋" w:hAnsi="仿宋" w:eastAsia="仿宋" w:cs="仿宋"/>
          <w:color w:val="auto"/>
        </w:rPr>
        <w:t>（五）采购人要求成交供应商提供履约保证金的，应当在竞争性比选文件中予以约定。成交供应商履约完毕后，采购人根据采购文件规定无息退还其履约保证金。</w:t>
      </w:r>
    </w:p>
    <w:p w14:paraId="669DD7FB">
      <w:pPr>
        <w:pStyle w:val="3"/>
        <w:widowControl w:val="0"/>
        <w:spacing w:before="0" w:after="0" w:line="500" w:lineRule="exact"/>
        <w:jc w:val="both"/>
        <w:rPr>
          <w:rFonts w:ascii="仿宋" w:hAnsi="仿宋" w:eastAsia="仿宋" w:cs="仿宋"/>
          <w:color w:val="auto"/>
          <w:kern w:val="2"/>
          <w:sz w:val="24"/>
        </w:rPr>
      </w:pPr>
      <w:bookmarkStart w:id="100" w:name="_Toc5908"/>
      <w:r>
        <w:rPr>
          <w:rFonts w:hint="eastAsia" w:ascii="仿宋" w:hAnsi="仿宋" w:eastAsia="仿宋" w:cs="仿宋"/>
          <w:color w:val="auto"/>
          <w:kern w:val="2"/>
          <w:sz w:val="24"/>
        </w:rPr>
        <w:t>九、项目验收</w:t>
      </w:r>
      <w:bookmarkEnd w:id="100"/>
    </w:p>
    <w:p w14:paraId="5073AEB8">
      <w:pPr>
        <w:spacing w:line="400" w:lineRule="exact"/>
        <w:ind w:firstLine="480" w:firstLineChars="200"/>
        <w:rPr>
          <w:rFonts w:ascii="仿宋" w:hAnsi="仿宋" w:eastAsia="仿宋" w:cs="仿宋"/>
          <w:color w:val="auto"/>
        </w:rPr>
      </w:pPr>
      <w:r>
        <w:rPr>
          <w:rFonts w:hint="eastAsia" w:ascii="仿宋" w:hAnsi="仿宋" w:eastAsia="仿宋" w:cs="仿宋"/>
          <w:color w:val="auto"/>
        </w:rPr>
        <w:t>合同执行完毕，采购人或采购代理机构原则上应在3个工作日内组织履约情况验收，不得无故拖延或附加额外条件。</w:t>
      </w:r>
    </w:p>
    <w:bookmarkEnd w:id="98"/>
    <w:bookmarkEnd w:id="99"/>
    <w:p w14:paraId="0102B053">
      <w:pPr>
        <w:pStyle w:val="3"/>
        <w:widowControl w:val="0"/>
        <w:spacing w:before="0" w:after="0" w:line="500" w:lineRule="exact"/>
        <w:jc w:val="both"/>
        <w:rPr>
          <w:rFonts w:ascii="仿宋" w:hAnsi="仿宋" w:eastAsia="仿宋" w:cs="仿宋"/>
          <w:color w:val="auto"/>
          <w:kern w:val="2"/>
          <w:sz w:val="24"/>
        </w:rPr>
      </w:pPr>
      <w:bookmarkStart w:id="101" w:name="_Toc214293065"/>
      <w:bookmarkStart w:id="102" w:name="_Toc29027"/>
      <w:bookmarkStart w:id="103" w:name="_Toc478823786"/>
      <w:r>
        <w:rPr>
          <w:rFonts w:hint="eastAsia" w:ascii="仿宋" w:hAnsi="仿宋" w:eastAsia="仿宋" w:cs="仿宋"/>
          <w:color w:val="auto"/>
          <w:kern w:val="2"/>
          <w:sz w:val="24"/>
        </w:rPr>
        <w:t>十、技术服务费</w:t>
      </w:r>
      <w:bookmarkEnd w:id="101"/>
      <w:bookmarkEnd w:id="102"/>
    </w:p>
    <w:p w14:paraId="5F330DB5">
      <w:pPr>
        <w:spacing w:line="400" w:lineRule="exact"/>
        <w:ind w:firstLine="480" w:firstLineChars="200"/>
        <w:rPr>
          <w:rFonts w:ascii="仿宋" w:hAnsi="仿宋" w:eastAsia="仿宋" w:cs="仿宋"/>
          <w:color w:val="auto"/>
        </w:rPr>
      </w:pPr>
      <w:r>
        <w:rPr>
          <w:rFonts w:hint="eastAsia" w:ascii="仿宋" w:hAnsi="仿宋" w:eastAsia="仿宋" w:cs="仿宋"/>
          <w:color w:val="auto"/>
        </w:rPr>
        <w:t>该费用由行采家平台（www.gec123.com）收取，成交供应商需向行采家平台缴纳技术服务费。具体收费标准、收费方式等，请咨询网站服务支持电话023-88158017 (工作日)、18183107831 (节假日)。</w:t>
      </w:r>
    </w:p>
    <w:p w14:paraId="44A1C361">
      <w:pPr>
        <w:spacing w:line="400" w:lineRule="exact"/>
        <w:ind w:firstLine="480" w:firstLineChars="200"/>
        <w:rPr>
          <w:rFonts w:ascii="仿宋" w:hAnsi="仿宋" w:eastAsia="仿宋" w:cs="仿宋"/>
          <w:color w:val="auto"/>
        </w:rPr>
      </w:pPr>
      <w:r>
        <w:rPr>
          <w:rFonts w:hint="eastAsia" w:ascii="仿宋" w:hAnsi="仿宋" w:eastAsia="仿宋" w:cs="仿宋"/>
          <w:color w:val="auto"/>
        </w:rPr>
        <w:br w:type="page"/>
      </w:r>
    </w:p>
    <w:p w14:paraId="0CD13164">
      <w:pPr>
        <w:pStyle w:val="2"/>
        <w:numPr>
          <w:ilvl w:val="0"/>
          <w:numId w:val="13"/>
        </w:numPr>
        <w:jc w:val="center"/>
        <w:rPr>
          <w:rFonts w:ascii="仿宋" w:hAnsi="仿宋" w:eastAsia="仿宋" w:cs="仿宋"/>
          <w:b/>
          <w:bCs/>
          <w:color w:val="auto"/>
          <w:sz w:val="44"/>
          <w:szCs w:val="44"/>
        </w:rPr>
      </w:pPr>
      <w:bookmarkStart w:id="104" w:name="_Toc7885"/>
      <w:r>
        <w:rPr>
          <w:rFonts w:hint="eastAsia" w:ascii="仿宋" w:hAnsi="仿宋" w:eastAsia="仿宋" w:cs="仿宋"/>
          <w:b/>
          <w:bCs/>
          <w:color w:val="auto"/>
          <w:sz w:val="44"/>
          <w:szCs w:val="44"/>
        </w:rPr>
        <w:t>合同草案条款</w:t>
      </w:r>
      <w:bookmarkEnd w:id="103"/>
      <w:r>
        <w:rPr>
          <w:rFonts w:hint="eastAsia" w:ascii="仿宋" w:hAnsi="仿宋" w:eastAsia="仿宋" w:cs="仿宋"/>
          <w:b/>
          <w:bCs/>
          <w:color w:val="auto"/>
          <w:sz w:val="44"/>
          <w:szCs w:val="44"/>
        </w:rPr>
        <w:t>和格式合同（样本）</w:t>
      </w:r>
      <w:bookmarkEnd w:id="104"/>
    </w:p>
    <w:p w14:paraId="506071F0">
      <w:pPr>
        <w:pStyle w:val="3"/>
        <w:adjustRightInd w:val="0"/>
        <w:snapToGrid w:val="0"/>
        <w:spacing w:before="0" w:after="0"/>
        <w:ind w:firstLine="482" w:firstLineChars="200"/>
        <w:rPr>
          <w:rFonts w:ascii="仿宋" w:hAnsi="仿宋" w:eastAsia="仿宋" w:cs="仿宋"/>
          <w:color w:val="auto"/>
          <w:sz w:val="24"/>
        </w:rPr>
      </w:pPr>
      <w:bookmarkStart w:id="105" w:name="_Toc75793538"/>
      <w:bookmarkStart w:id="106" w:name="_Toc285722713"/>
      <w:bookmarkStart w:id="107" w:name="_Toc277084871"/>
      <w:bookmarkStart w:id="108" w:name="_Toc11390"/>
      <w:r>
        <w:rPr>
          <w:rFonts w:hint="eastAsia" w:ascii="仿宋" w:hAnsi="仿宋" w:eastAsia="仿宋" w:cs="仿宋"/>
          <w:color w:val="auto"/>
          <w:sz w:val="24"/>
        </w:rPr>
        <w:t>一、</w:t>
      </w:r>
      <w:bookmarkEnd w:id="105"/>
      <w:bookmarkEnd w:id="106"/>
      <w:bookmarkEnd w:id="107"/>
      <w:r>
        <w:rPr>
          <w:rFonts w:hint="eastAsia" w:ascii="仿宋" w:hAnsi="仿宋" w:eastAsia="仿宋" w:cs="仿宋"/>
          <w:color w:val="auto"/>
          <w:sz w:val="24"/>
        </w:rPr>
        <w:t>合同说明</w:t>
      </w:r>
      <w:bookmarkEnd w:id="108"/>
    </w:p>
    <w:p w14:paraId="1EFFEF43">
      <w:pPr>
        <w:spacing w:line="400" w:lineRule="exact"/>
        <w:ind w:firstLine="480" w:firstLineChars="200"/>
        <w:rPr>
          <w:rFonts w:ascii="仿宋" w:hAnsi="仿宋" w:eastAsia="仿宋" w:cs="仿宋"/>
          <w:color w:val="auto"/>
        </w:rPr>
      </w:pPr>
      <w:r>
        <w:rPr>
          <w:rFonts w:hint="eastAsia" w:ascii="仿宋" w:hAnsi="仿宋" w:eastAsia="仿宋" w:cs="仿宋"/>
          <w:color w:val="auto"/>
        </w:rPr>
        <w:t>本篇仅为合同样本，最终以双方协商一致签订的合同为准。</w:t>
      </w:r>
    </w:p>
    <w:p w14:paraId="5B8AA678">
      <w:pPr>
        <w:pStyle w:val="3"/>
        <w:adjustRightInd w:val="0"/>
        <w:snapToGrid w:val="0"/>
        <w:spacing w:before="0" w:after="0"/>
        <w:ind w:firstLine="482" w:firstLineChars="200"/>
        <w:rPr>
          <w:rFonts w:ascii="仿宋" w:hAnsi="仿宋" w:eastAsia="仿宋" w:cs="仿宋"/>
          <w:color w:val="auto"/>
          <w:sz w:val="24"/>
        </w:rPr>
      </w:pPr>
      <w:bookmarkStart w:id="109" w:name="_Toc8401"/>
      <w:r>
        <w:rPr>
          <w:rFonts w:hint="eastAsia" w:ascii="仿宋" w:hAnsi="仿宋" w:eastAsia="仿宋" w:cs="仿宋"/>
          <w:color w:val="auto"/>
          <w:sz w:val="24"/>
        </w:rPr>
        <w:t>二、采购合同样本</w:t>
      </w:r>
      <w:bookmarkEnd w:id="109"/>
    </w:p>
    <w:p w14:paraId="71212E38">
      <w:pPr>
        <w:spacing w:line="500" w:lineRule="exact"/>
        <w:jc w:val="center"/>
        <w:rPr>
          <w:rFonts w:ascii="仿宋" w:hAnsi="仿宋" w:eastAsia="仿宋" w:cs="仿宋"/>
          <w:b/>
          <w:color w:val="auto"/>
          <w:sz w:val="44"/>
        </w:rPr>
      </w:pPr>
      <w:r>
        <w:rPr>
          <w:rFonts w:hint="eastAsia" w:ascii="仿宋" w:hAnsi="仿宋" w:eastAsia="仿宋" w:cs="仿宋"/>
          <w:b/>
          <w:color w:val="auto"/>
          <w:sz w:val="44"/>
        </w:rPr>
        <w:t>采购合同</w:t>
      </w:r>
    </w:p>
    <w:p w14:paraId="20F71860">
      <w:pPr>
        <w:spacing w:line="500" w:lineRule="exact"/>
        <w:jc w:val="center"/>
        <w:rPr>
          <w:rFonts w:ascii="仿宋" w:hAnsi="仿宋" w:eastAsia="仿宋" w:cs="仿宋"/>
          <w:color w:val="auto"/>
        </w:rPr>
      </w:pPr>
      <w:r>
        <w:rPr>
          <w:rFonts w:hint="eastAsia" w:ascii="仿宋" w:hAnsi="仿宋" w:eastAsia="仿宋" w:cs="仿宋"/>
          <w:color w:val="auto"/>
        </w:rPr>
        <w:t>（项目号：     ）</w:t>
      </w:r>
    </w:p>
    <w:p w14:paraId="426EE248">
      <w:pPr>
        <w:spacing w:line="500" w:lineRule="exact"/>
        <w:rPr>
          <w:rFonts w:ascii="仿宋" w:hAnsi="仿宋" w:eastAsia="仿宋" w:cs="仿宋"/>
          <w:color w:val="auto"/>
        </w:rPr>
      </w:pPr>
      <w:r>
        <w:rPr>
          <w:rFonts w:hint="eastAsia" w:ascii="仿宋" w:hAnsi="仿宋" w:eastAsia="仿宋" w:cs="仿宋"/>
          <w:color w:val="auto"/>
        </w:rPr>
        <w:t>甲方（需方）：___________________________      计价单位：____________</w:t>
      </w:r>
    </w:p>
    <w:p w14:paraId="32EBC1F8">
      <w:pPr>
        <w:spacing w:line="500" w:lineRule="exact"/>
        <w:rPr>
          <w:rFonts w:ascii="仿宋" w:hAnsi="仿宋" w:eastAsia="仿宋" w:cs="仿宋"/>
          <w:color w:val="auto"/>
        </w:rPr>
      </w:pPr>
      <w:r>
        <w:rPr>
          <w:rFonts w:hint="eastAsia" w:ascii="仿宋" w:hAnsi="仿宋" w:eastAsia="仿宋" w:cs="仿宋"/>
          <w:color w:val="auto"/>
        </w:rPr>
        <w:t>乙方（供方）：___________________________      计量单位：_____________</w:t>
      </w:r>
    </w:p>
    <w:p w14:paraId="197D0A75">
      <w:pPr>
        <w:spacing w:line="500" w:lineRule="exact"/>
        <w:rPr>
          <w:rFonts w:ascii="仿宋" w:hAnsi="仿宋" w:eastAsia="仿宋" w:cs="仿宋"/>
          <w:color w:val="auto"/>
        </w:rPr>
      </w:pPr>
      <w:r>
        <w:rPr>
          <w:rFonts w:hint="eastAsia" w:ascii="仿宋" w:hAnsi="仿宋" w:eastAsia="仿宋" w:cs="仿宋"/>
          <w:color w:val="auto"/>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D1F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vAlign w:val="center"/>
          </w:tcPr>
          <w:p w14:paraId="6D06E94B">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比选项目名称</w:t>
            </w:r>
          </w:p>
        </w:tc>
        <w:tc>
          <w:tcPr>
            <w:tcW w:w="984" w:type="dxa"/>
            <w:vAlign w:val="center"/>
          </w:tcPr>
          <w:p w14:paraId="3D30C454">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12E89B84">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00A2D7FF">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0244F83B">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2AF39174">
            <w:pPr>
              <w:spacing w:line="240" w:lineRule="atLeast"/>
              <w:jc w:val="center"/>
              <w:rPr>
                <w:rFonts w:ascii="仿宋" w:hAnsi="仿宋" w:eastAsia="仿宋" w:cs="仿宋"/>
                <w:color w:val="auto"/>
                <w:sz w:val="21"/>
                <w:szCs w:val="21"/>
              </w:rPr>
            </w:pPr>
            <w:r>
              <w:rPr>
                <w:rFonts w:hint="eastAsia" w:ascii="仿宋" w:hAnsi="仿宋" w:eastAsia="仿宋" w:cs="仿宋"/>
                <w:color w:val="auto"/>
                <w:sz w:val="21"/>
                <w:szCs w:val="21"/>
              </w:rPr>
              <w:t>服务地点</w:t>
            </w:r>
          </w:p>
        </w:tc>
      </w:tr>
      <w:tr w14:paraId="7C63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ADF3F70">
            <w:pPr>
              <w:spacing w:line="240" w:lineRule="atLeast"/>
              <w:jc w:val="center"/>
              <w:rPr>
                <w:rFonts w:ascii="仿宋" w:hAnsi="仿宋" w:eastAsia="仿宋" w:cs="仿宋"/>
                <w:color w:val="auto"/>
                <w:sz w:val="21"/>
                <w:szCs w:val="21"/>
              </w:rPr>
            </w:pPr>
          </w:p>
        </w:tc>
        <w:tc>
          <w:tcPr>
            <w:tcW w:w="984" w:type="dxa"/>
            <w:vAlign w:val="center"/>
          </w:tcPr>
          <w:p w14:paraId="519178DD">
            <w:pPr>
              <w:spacing w:line="240" w:lineRule="atLeast"/>
              <w:jc w:val="center"/>
              <w:rPr>
                <w:rFonts w:ascii="仿宋" w:hAnsi="仿宋" w:eastAsia="仿宋" w:cs="仿宋"/>
                <w:color w:val="auto"/>
                <w:sz w:val="21"/>
                <w:szCs w:val="21"/>
              </w:rPr>
            </w:pPr>
          </w:p>
        </w:tc>
        <w:tc>
          <w:tcPr>
            <w:tcW w:w="1298" w:type="dxa"/>
            <w:gridSpan w:val="2"/>
            <w:vAlign w:val="center"/>
          </w:tcPr>
          <w:p w14:paraId="54D69392">
            <w:pPr>
              <w:spacing w:line="240" w:lineRule="atLeast"/>
              <w:jc w:val="center"/>
              <w:rPr>
                <w:rFonts w:ascii="仿宋" w:hAnsi="仿宋" w:eastAsia="仿宋" w:cs="仿宋"/>
                <w:color w:val="auto"/>
                <w:sz w:val="21"/>
                <w:szCs w:val="21"/>
              </w:rPr>
            </w:pPr>
          </w:p>
        </w:tc>
        <w:tc>
          <w:tcPr>
            <w:tcW w:w="1134" w:type="dxa"/>
            <w:vAlign w:val="center"/>
          </w:tcPr>
          <w:p w14:paraId="46E82759">
            <w:pPr>
              <w:spacing w:line="240" w:lineRule="atLeast"/>
              <w:jc w:val="center"/>
              <w:rPr>
                <w:rFonts w:ascii="仿宋" w:hAnsi="仿宋" w:eastAsia="仿宋" w:cs="仿宋"/>
                <w:color w:val="auto"/>
                <w:sz w:val="21"/>
                <w:szCs w:val="21"/>
              </w:rPr>
            </w:pPr>
          </w:p>
        </w:tc>
        <w:tc>
          <w:tcPr>
            <w:tcW w:w="1559" w:type="dxa"/>
            <w:vAlign w:val="center"/>
          </w:tcPr>
          <w:p w14:paraId="533A5CF8">
            <w:pPr>
              <w:spacing w:line="240" w:lineRule="atLeast"/>
              <w:jc w:val="center"/>
              <w:rPr>
                <w:rFonts w:ascii="仿宋" w:hAnsi="仿宋" w:eastAsia="仿宋" w:cs="仿宋"/>
                <w:color w:val="auto"/>
                <w:sz w:val="21"/>
                <w:szCs w:val="21"/>
              </w:rPr>
            </w:pPr>
          </w:p>
        </w:tc>
        <w:tc>
          <w:tcPr>
            <w:tcW w:w="1567" w:type="dxa"/>
            <w:vAlign w:val="center"/>
          </w:tcPr>
          <w:p w14:paraId="010D758E">
            <w:pPr>
              <w:spacing w:line="240" w:lineRule="atLeast"/>
              <w:jc w:val="center"/>
              <w:rPr>
                <w:rFonts w:ascii="仿宋" w:hAnsi="仿宋" w:eastAsia="仿宋" w:cs="仿宋"/>
                <w:color w:val="auto"/>
                <w:sz w:val="21"/>
                <w:szCs w:val="21"/>
              </w:rPr>
            </w:pPr>
          </w:p>
        </w:tc>
      </w:tr>
      <w:tr w14:paraId="79C2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1F6E855">
            <w:pPr>
              <w:spacing w:line="240" w:lineRule="atLeast"/>
              <w:jc w:val="center"/>
              <w:rPr>
                <w:rFonts w:ascii="仿宋" w:hAnsi="仿宋" w:eastAsia="仿宋" w:cs="仿宋"/>
                <w:color w:val="auto"/>
                <w:sz w:val="21"/>
                <w:szCs w:val="21"/>
              </w:rPr>
            </w:pPr>
          </w:p>
        </w:tc>
        <w:tc>
          <w:tcPr>
            <w:tcW w:w="984" w:type="dxa"/>
            <w:vAlign w:val="center"/>
          </w:tcPr>
          <w:p w14:paraId="483BAE04">
            <w:pPr>
              <w:spacing w:line="240" w:lineRule="atLeast"/>
              <w:jc w:val="center"/>
              <w:rPr>
                <w:rFonts w:ascii="仿宋" w:hAnsi="仿宋" w:eastAsia="仿宋" w:cs="仿宋"/>
                <w:color w:val="auto"/>
                <w:sz w:val="21"/>
                <w:szCs w:val="21"/>
              </w:rPr>
            </w:pPr>
          </w:p>
        </w:tc>
        <w:tc>
          <w:tcPr>
            <w:tcW w:w="1298" w:type="dxa"/>
            <w:gridSpan w:val="2"/>
            <w:vAlign w:val="center"/>
          </w:tcPr>
          <w:p w14:paraId="348F9E94">
            <w:pPr>
              <w:spacing w:line="240" w:lineRule="atLeast"/>
              <w:jc w:val="center"/>
              <w:rPr>
                <w:rFonts w:ascii="仿宋" w:hAnsi="仿宋" w:eastAsia="仿宋" w:cs="仿宋"/>
                <w:color w:val="auto"/>
                <w:sz w:val="21"/>
                <w:szCs w:val="21"/>
              </w:rPr>
            </w:pPr>
          </w:p>
        </w:tc>
        <w:tc>
          <w:tcPr>
            <w:tcW w:w="1134" w:type="dxa"/>
            <w:vAlign w:val="center"/>
          </w:tcPr>
          <w:p w14:paraId="04C3666A">
            <w:pPr>
              <w:spacing w:line="240" w:lineRule="atLeast"/>
              <w:jc w:val="center"/>
              <w:rPr>
                <w:rFonts w:ascii="仿宋" w:hAnsi="仿宋" w:eastAsia="仿宋" w:cs="仿宋"/>
                <w:color w:val="auto"/>
                <w:sz w:val="21"/>
                <w:szCs w:val="21"/>
              </w:rPr>
            </w:pPr>
          </w:p>
        </w:tc>
        <w:tc>
          <w:tcPr>
            <w:tcW w:w="1559" w:type="dxa"/>
            <w:vAlign w:val="center"/>
          </w:tcPr>
          <w:p w14:paraId="573CB165">
            <w:pPr>
              <w:spacing w:line="240" w:lineRule="atLeast"/>
              <w:jc w:val="center"/>
              <w:rPr>
                <w:rFonts w:ascii="仿宋" w:hAnsi="仿宋" w:eastAsia="仿宋" w:cs="仿宋"/>
                <w:color w:val="auto"/>
                <w:sz w:val="21"/>
                <w:szCs w:val="21"/>
              </w:rPr>
            </w:pPr>
          </w:p>
        </w:tc>
        <w:tc>
          <w:tcPr>
            <w:tcW w:w="1567" w:type="dxa"/>
            <w:vAlign w:val="center"/>
          </w:tcPr>
          <w:p w14:paraId="4E6E5512">
            <w:pPr>
              <w:spacing w:line="240" w:lineRule="atLeast"/>
              <w:jc w:val="center"/>
              <w:rPr>
                <w:rFonts w:ascii="仿宋" w:hAnsi="仿宋" w:eastAsia="仿宋" w:cs="仿宋"/>
                <w:color w:val="auto"/>
                <w:sz w:val="21"/>
                <w:szCs w:val="21"/>
              </w:rPr>
            </w:pPr>
          </w:p>
        </w:tc>
      </w:tr>
      <w:tr w14:paraId="7EC7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18963D2">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75B0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9B87D6D">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0BBC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4" w:hRule="atLeast"/>
        </w:trPr>
        <w:tc>
          <w:tcPr>
            <w:tcW w:w="9613" w:type="dxa"/>
            <w:gridSpan w:val="7"/>
          </w:tcPr>
          <w:p w14:paraId="11C69E85">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一、服务要求</w:t>
            </w:r>
          </w:p>
        </w:tc>
      </w:tr>
      <w:tr w14:paraId="19C6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28" w:type="dxa"/>
            <w:gridSpan w:val="8"/>
          </w:tcPr>
          <w:p w14:paraId="480242B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二、考核方式</w:t>
            </w:r>
          </w:p>
        </w:tc>
      </w:tr>
      <w:tr w14:paraId="667E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85EC37C">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三、付款方式：</w:t>
            </w:r>
          </w:p>
        </w:tc>
      </w:tr>
      <w:tr w14:paraId="0F8F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8B5BFE6">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四、履约保证金：</w:t>
            </w:r>
          </w:p>
        </w:tc>
      </w:tr>
      <w:tr w14:paraId="1EEF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43C9892">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五、违约责任：</w:t>
            </w:r>
          </w:p>
          <w:p w14:paraId="73B5C266">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0B18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AE9BD59">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六、其他约定事项：</w:t>
            </w:r>
          </w:p>
          <w:p w14:paraId="2411EEAD">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5EFE398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59F2430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3E02C3A7">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4.其他：</w:t>
            </w:r>
          </w:p>
        </w:tc>
      </w:tr>
      <w:tr w14:paraId="65F0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FEB54E3">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需方：</w:t>
            </w:r>
          </w:p>
          <w:p w14:paraId="122469E0">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地址：</w:t>
            </w:r>
          </w:p>
          <w:p w14:paraId="19FE6EF3">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联系电话：</w:t>
            </w:r>
          </w:p>
          <w:p w14:paraId="50F31913">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1915BB9B">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供方：</w:t>
            </w:r>
          </w:p>
          <w:p w14:paraId="71CAEAA5">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地址：</w:t>
            </w:r>
          </w:p>
          <w:p w14:paraId="1098A4C5">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电话：</w:t>
            </w:r>
          </w:p>
          <w:p w14:paraId="4AF5D18A">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传真：</w:t>
            </w:r>
          </w:p>
          <w:p w14:paraId="537468E8">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开户银行：</w:t>
            </w:r>
          </w:p>
          <w:p w14:paraId="33E97AF4">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账号：</w:t>
            </w:r>
          </w:p>
          <w:p w14:paraId="1F1EA0FC">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授权代表：</w:t>
            </w:r>
          </w:p>
          <w:p w14:paraId="75129BD1">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3A8C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8010796">
            <w:pPr>
              <w:spacing w:line="240" w:lineRule="atLeast"/>
              <w:rPr>
                <w:rFonts w:ascii="仿宋" w:hAnsi="仿宋" w:eastAsia="仿宋" w:cs="仿宋"/>
                <w:color w:val="auto"/>
                <w:sz w:val="21"/>
                <w:szCs w:val="21"/>
              </w:rPr>
            </w:pPr>
            <w:r>
              <w:rPr>
                <w:rFonts w:hint="eastAsia" w:ascii="仿宋" w:hAnsi="仿宋" w:eastAsia="仿宋" w:cs="仿宋"/>
                <w:color w:val="auto"/>
                <w:sz w:val="21"/>
                <w:szCs w:val="21"/>
              </w:rPr>
              <w:t>备注：</w:t>
            </w:r>
          </w:p>
        </w:tc>
      </w:tr>
    </w:tbl>
    <w:p w14:paraId="4B3ADC36">
      <w:pPr>
        <w:rPr>
          <w:rFonts w:ascii="仿宋" w:hAnsi="仿宋" w:eastAsia="仿宋" w:cs="仿宋"/>
          <w:color w:val="auto"/>
        </w:rPr>
      </w:pPr>
      <w:r>
        <w:rPr>
          <w:rFonts w:hint="eastAsia" w:ascii="仿宋" w:hAnsi="仿宋" w:eastAsia="仿宋" w:cs="仿宋"/>
          <w:color w:val="auto"/>
        </w:rPr>
        <w:t>签约时间：           年   月   日      签约地点：</w:t>
      </w:r>
    </w:p>
    <w:p w14:paraId="2C1EE793">
      <w:pPr>
        <w:rPr>
          <w:rFonts w:ascii="仿宋" w:hAnsi="仿宋" w:eastAsia="仿宋" w:cs="仿宋"/>
          <w:color w:val="auto"/>
          <w:sz w:val="44"/>
          <w:szCs w:val="44"/>
        </w:rPr>
      </w:pPr>
      <w:r>
        <w:rPr>
          <w:rFonts w:hint="eastAsia" w:ascii="仿宋" w:hAnsi="仿宋" w:eastAsia="仿宋" w:cs="仿宋"/>
          <w:color w:val="auto"/>
          <w:sz w:val="44"/>
          <w:szCs w:val="44"/>
        </w:rPr>
        <w:br w:type="page"/>
      </w:r>
    </w:p>
    <w:p w14:paraId="38A6B1B8">
      <w:pPr>
        <w:pStyle w:val="2"/>
        <w:numPr>
          <w:ilvl w:val="0"/>
          <w:numId w:val="13"/>
        </w:numPr>
        <w:jc w:val="center"/>
        <w:rPr>
          <w:rFonts w:ascii="仿宋" w:hAnsi="仿宋" w:eastAsia="仿宋" w:cs="仿宋"/>
          <w:b/>
          <w:bCs/>
          <w:color w:val="auto"/>
          <w:sz w:val="44"/>
          <w:szCs w:val="44"/>
        </w:rPr>
      </w:pPr>
      <w:bookmarkStart w:id="110" w:name="_Toc478823787"/>
      <w:r>
        <w:rPr>
          <w:rFonts w:hint="eastAsia" w:ascii="仿宋" w:hAnsi="仿宋" w:eastAsia="仿宋" w:cs="仿宋"/>
          <w:b/>
          <w:bCs/>
          <w:color w:val="auto"/>
          <w:sz w:val="44"/>
          <w:szCs w:val="44"/>
        </w:rPr>
        <w:t xml:space="preserve"> </w:t>
      </w:r>
      <w:bookmarkStart w:id="111" w:name="_Toc3607"/>
      <w:r>
        <w:rPr>
          <w:rFonts w:hint="eastAsia" w:ascii="仿宋" w:hAnsi="仿宋" w:eastAsia="仿宋" w:cs="仿宋"/>
          <w:b/>
          <w:bCs/>
          <w:color w:val="auto"/>
          <w:sz w:val="44"/>
          <w:szCs w:val="44"/>
        </w:rPr>
        <w:t>响应文件编制要求</w:t>
      </w:r>
      <w:bookmarkEnd w:id="110"/>
      <w:bookmarkEnd w:id="111"/>
    </w:p>
    <w:p w14:paraId="6DFCA5F9">
      <w:pPr>
        <w:spacing w:line="400" w:lineRule="exact"/>
        <w:rPr>
          <w:rFonts w:ascii="仿宋" w:hAnsi="仿宋" w:eastAsia="仿宋" w:cs="仿宋"/>
          <w:color w:val="auto"/>
        </w:rPr>
      </w:pPr>
    </w:p>
    <w:p w14:paraId="10784243">
      <w:pPr>
        <w:pStyle w:val="3"/>
        <w:adjustRightInd w:val="0"/>
        <w:snapToGrid w:val="0"/>
        <w:spacing w:before="0" w:after="0"/>
        <w:ind w:firstLine="482" w:firstLineChars="200"/>
        <w:rPr>
          <w:rFonts w:ascii="仿宋" w:hAnsi="仿宋" w:eastAsia="仿宋" w:cs="仿宋"/>
          <w:color w:val="auto"/>
          <w:sz w:val="24"/>
        </w:rPr>
      </w:pPr>
      <w:bookmarkStart w:id="112" w:name="_Toc16441"/>
      <w:r>
        <w:rPr>
          <w:rFonts w:hint="eastAsia" w:ascii="仿宋" w:hAnsi="仿宋" w:eastAsia="仿宋" w:cs="仿宋"/>
          <w:color w:val="auto"/>
          <w:sz w:val="24"/>
        </w:rPr>
        <w:t>一、经济部分</w:t>
      </w:r>
      <w:bookmarkEnd w:id="112"/>
    </w:p>
    <w:p w14:paraId="7092C11B">
      <w:pPr>
        <w:spacing w:line="400" w:lineRule="exact"/>
        <w:ind w:firstLine="480" w:firstLineChars="200"/>
        <w:rPr>
          <w:rFonts w:ascii="仿宋" w:hAnsi="仿宋" w:eastAsia="仿宋" w:cs="仿宋"/>
          <w:color w:val="auto"/>
        </w:rPr>
      </w:pPr>
      <w:r>
        <w:rPr>
          <w:rFonts w:hint="eastAsia" w:ascii="仿宋" w:hAnsi="仿宋" w:eastAsia="仿宋" w:cs="仿宋"/>
          <w:color w:val="auto"/>
        </w:rPr>
        <w:t>（一）竞争性比选报价函</w:t>
      </w:r>
    </w:p>
    <w:p w14:paraId="49070E90">
      <w:pPr>
        <w:spacing w:line="400" w:lineRule="exact"/>
        <w:ind w:firstLine="480" w:firstLineChars="200"/>
        <w:rPr>
          <w:rFonts w:ascii="仿宋" w:hAnsi="仿宋" w:eastAsia="仿宋" w:cs="仿宋"/>
          <w:color w:val="auto"/>
        </w:rPr>
      </w:pPr>
      <w:r>
        <w:rPr>
          <w:rFonts w:hint="eastAsia" w:ascii="仿宋" w:hAnsi="仿宋" w:eastAsia="仿宋" w:cs="仿宋"/>
          <w:color w:val="auto"/>
        </w:rPr>
        <w:t>（二）明细报价表</w:t>
      </w:r>
    </w:p>
    <w:p w14:paraId="2EC6776A">
      <w:pPr>
        <w:pStyle w:val="3"/>
        <w:adjustRightInd w:val="0"/>
        <w:snapToGrid w:val="0"/>
        <w:spacing w:before="0" w:after="0"/>
        <w:ind w:firstLine="482" w:firstLineChars="200"/>
        <w:rPr>
          <w:rFonts w:ascii="仿宋" w:hAnsi="仿宋" w:eastAsia="仿宋" w:cs="仿宋"/>
          <w:color w:val="auto"/>
          <w:sz w:val="24"/>
        </w:rPr>
      </w:pPr>
      <w:bookmarkStart w:id="113" w:name="_Toc29156"/>
      <w:r>
        <w:rPr>
          <w:rFonts w:hint="eastAsia" w:ascii="仿宋" w:hAnsi="仿宋" w:eastAsia="仿宋" w:cs="仿宋"/>
          <w:color w:val="auto"/>
          <w:sz w:val="24"/>
        </w:rPr>
        <w:t>二、技术部分</w:t>
      </w:r>
      <w:bookmarkEnd w:id="113"/>
    </w:p>
    <w:p w14:paraId="0EDFF3D4">
      <w:pPr>
        <w:spacing w:line="400" w:lineRule="exact"/>
        <w:ind w:firstLine="480" w:firstLineChars="200"/>
        <w:rPr>
          <w:rFonts w:ascii="仿宋" w:hAnsi="仿宋" w:eastAsia="仿宋" w:cs="仿宋"/>
          <w:color w:val="auto"/>
        </w:rPr>
      </w:pPr>
      <w:r>
        <w:rPr>
          <w:rFonts w:hint="eastAsia" w:ascii="仿宋" w:hAnsi="仿宋" w:eastAsia="仿宋" w:cs="仿宋"/>
          <w:color w:val="auto"/>
        </w:rPr>
        <w:t>（一）服务响应偏离表</w:t>
      </w:r>
    </w:p>
    <w:p w14:paraId="4099C915">
      <w:pPr>
        <w:spacing w:line="400" w:lineRule="exact"/>
        <w:ind w:firstLine="480" w:firstLineChars="200"/>
        <w:rPr>
          <w:rFonts w:ascii="仿宋" w:hAnsi="仿宋" w:eastAsia="仿宋" w:cs="仿宋"/>
          <w:color w:val="auto"/>
        </w:rPr>
      </w:pPr>
      <w:r>
        <w:rPr>
          <w:rFonts w:hint="eastAsia" w:ascii="仿宋" w:hAnsi="仿宋" w:eastAsia="仿宋" w:cs="仿宋"/>
          <w:color w:val="auto"/>
        </w:rPr>
        <w:t>（二）其他资料（根据采购需求和评审因素的要求自拟）</w:t>
      </w:r>
    </w:p>
    <w:p w14:paraId="66C405E4">
      <w:pPr>
        <w:pStyle w:val="3"/>
        <w:adjustRightInd w:val="0"/>
        <w:snapToGrid w:val="0"/>
        <w:spacing w:before="0" w:after="0"/>
        <w:ind w:firstLine="482" w:firstLineChars="200"/>
        <w:rPr>
          <w:rFonts w:ascii="仿宋" w:hAnsi="仿宋" w:eastAsia="仿宋" w:cs="仿宋"/>
          <w:color w:val="auto"/>
          <w:sz w:val="24"/>
        </w:rPr>
      </w:pPr>
      <w:bookmarkStart w:id="114" w:name="_Toc8926"/>
      <w:r>
        <w:rPr>
          <w:rFonts w:hint="eastAsia" w:ascii="仿宋" w:hAnsi="仿宋" w:eastAsia="仿宋" w:cs="仿宋"/>
          <w:color w:val="auto"/>
          <w:sz w:val="24"/>
        </w:rPr>
        <w:t>三、商务部分</w:t>
      </w:r>
      <w:bookmarkEnd w:id="114"/>
    </w:p>
    <w:p w14:paraId="0922DED0">
      <w:pPr>
        <w:spacing w:line="400" w:lineRule="exact"/>
        <w:ind w:firstLine="480" w:firstLineChars="200"/>
        <w:rPr>
          <w:rFonts w:ascii="仿宋" w:hAnsi="仿宋" w:eastAsia="仿宋" w:cs="仿宋"/>
          <w:color w:val="auto"/>
        </w:rPr>
      </w:pPr>
      <w:r>
        <w:rPr>
          <w:rFonts w:hint="eastAsia" w:ascii="仿宋" w:hAnsi="仿宋" w:eastAsia="仿宋" w:cs="仿宋"/>
          <w:color w:val="auto"/>
        </w:rPr>
        <w:t>（一）商务响应偏离表</w:t>
      </w:r>
    </w:p>
    <w:p w14:paraId="19CA8305">
      <w:pPr>
        <w:spacing w:line="400" w:lineRule="exact"/>
        <w:ind w:firstLine="480" w:firstLineChars="200"/>
        <w:rPr>
          <w:rFonts w:ascii="仿宋" w:hAnsi="仿宋" w:eastAsia="仿宋" w:cs="仿宋"/>
          <w:color w:val="auto"/>
        </w:rPr>
      </w:pPr>
      <w:r>
        <w:rPr>
          <w:rFonts w:hint="eastAsia" w:ascii="仿宋" w:hAnsi="仿宋" w:eastAsia="仿宋" w:cs="仿宋"/>
          <w:color w:val="auto"/>
        </w:rPr>
        <w:t>（二）其它优惠服务承诺（格式自拟）</w:t>
      </w:r>
    </w:p>
    <w:p w14:paraId="091105CD">
      <w:pPr>
        <w:pStyle w:val="3"/>
        <w:adjustRightInd w:val="0"/>
        <w:snapToGrid w:val="0"/>
        <w:spacing w:before="0" w:after="0"/>
        <w:ind w:firstLine="482" w:firstLineChars="200"/>
        <w:rPr>
          <w:rFonts w:ascii="仿宋" w:hAnsi="仿宋" w:eastAsia="仿宋" w:cs="仿宋"/>
          <w:color w:val="auto"/>
          <w:sz w:val="24"/>
        </w:rPr>
      </w:pPr>
      <w:bookmarkStart w:id="115" w:name="_Toc9071"/>
      <w:r>
        <w:rPr>
          <w:rFonts w:hint="eastAsia" w:ascii="仿宋" w:hAnsi="仿宋" w:eastAsia="仿宋" w:cs="仿宋"/>
          <w:color w:val="auto"/>
          <w:sz w:val="24"/>
        </w:rPr>
        <w:t>四、资格条件</w:t>
      </w:r>
      <w:bookmarkEnd w:id="115"/>
    </w:p>
    <w:p w14:paraId="6D1838AD">
      <w:pPr>
        <w:spacing w:line="400" w:lineRule="exact"/>
        <w:ind w:firstLine="480" w:firstLineChars="200"/>
        <w:rPr>
          <w:rFonts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55432F52">
      <w:pPr>
        <w:spacing w:line="400" w:lineRule="exact"/>
        <w:ind w:firstLine="480" w:firstLineChars="200"/>
        <w:rPr>
          <w:rFonts w:ascii="仿宋" w:hAnsi="仿宋" w:eastAsia="仿宋" w:cs="仿宋"/>
          <w:color w:val="auto"/>
        </w:rPr>
      </w:pPr>
      <w:r>
        <w:rPr>
          <w:rFonts w:hint="eastAsia" w:ascii="仿宋" w:hAnsi="仿宋" w:eastAsia="仿宋" w:cs="仿宋"/>
          <w:color w:val="auto"/>
        </w:rPr>
        <w:t>（二）法定代表人身份证明书（格式）</w:t>
      </w:r>
    </w:p>
    <w:p w14:paraId="0D7B3AFA">
      <w:pPr>
        <w:spacing w:line="400" w:lineRule="exact"/>
        <w:ind w:firstLine="480" w:firstLineChars="200"/>
        <w:rPr>
          <w:rFonts w:ascii="仿宋" w:hAnsi="仿宋" w:eastAsia="仿宋" w:cs="仿宋"/>
          <w:color w:val="auto"/>
        </w:rPr>
      </w:pPr>
      <w:r>
        <w:rPr>
          <w:rFonts w:hint="eastAsia" w:ascii="仿宋" w:hAnsi="仿宋" w:eastAsia="仿宋" w:cs="仿宋"/>
          <w:color w:val="auto"/>
        </w:rPr>
        <w:t>（三）法定代表人授权委托书（格式）</w:t>
      </w:r>
    </w:p>
    <w:p w14:paraId="4B9248A9">
      <w:pPr>
        <w:spacing w:line="400" w:lineRule="exact"/>
        <w:ind w:firstLine="480" w:firstLineChars="200"/>
        <w:rPr>
          <w:rFonts w:ascii="仿宋" w:hAnsi="仿宋" w:eastAsia="仿宋" w:cs="仿宋"/>
          <w:color w:val="auto"/>
        </w:rPr>
      </w:pPr>
      <w:r>
        <w:rPr>
          <w:rFonts w:hint="eastAsia" w:ascii="仿宋" w:hAnsi="仿宋" w:eastAsia="仿宋" w:cs="仿宋"/>
          <w:color w:val="auto"/>
        </w:rPr>
        <w:t>（四）基本资格条件承诺函（格式）</w:t>
      </w:r>
    </w:p>
    <w:p w14:paraId="45FA4BF1">
      <w:pPr>
        <w:spacing w:line="400" w:lineRule="exact"/>
        <w:ind w:firstLine="480" w:firstLineChars="200"/>
        <w:rPr>
          <w:rFonts w:ascii="仿宋" w:hAnsi="仿宋" w:eastAsia="仿宋" w:cs="仿宋"/>
          <w:color w:val="auto"/>
        </w:rPr>
      </w:pPr>
      <w:r>
        <w:rPr>
          <w:rFonts w:hint="eastAsia" w:ascii="仿宋" w:hAnsi="仿宋" w:eastAsia="仿宋" w:cs="仿宋"/>
          <w:color w:val="auto"/>
        </w:rPr>
        <w:t>（五）特定资格条件证书或证明文件（如有）</w:t>
      </w:r>
    </w:p>
    <w:p w14:paraId="2E404082">
      <w:pPr>
        <w:pStyle w:val="3"/>
        <w:adjustRightInd w:val="0"/>
        <w:snapToGrid w:val="0"/>
        <w:spacing w:before="0" w:after="0"/>
        <w:ind w:firstLine="482" w:firstLineChars="200"/>
        <w:rPr>
          <w:rFonts w:ascii="仿宋" w:hAnsi="仿宋" w:eastAsia="仿宋" w:cs="仿宋"/>
          <w:color w:val="auto"/>
          <w:sz w:val="24"/>
        </w:rPr>
      </w:pPr>
      <w:bookmarkStart w:id="116" w:name="_Toc30446"/>
      <w:r>
        <w:rPr>
          <w:rFonts w:hint="eastAsia" w:ascii="仿宋" w:hAnsi="仿宋" w:eastAsia="仿宋" w:cs="仿宋"/>
          <w:color w:val="auto"/>
          <w:sz w:val="24"/>
        </w:rPr>
        <w:t>五、其他应提供的资料</w:t>
      </w:r>
      <w:bookmarkEnd w:id="116"/>
    </w:p>
    <w:p w14:paraId="71F77A8A">
      <w:pPr>
        <w:spacing w:line="400" w:lineRule="exact"/>
        <w:ind w:firstLine="480" w:firstLineChars="200"/>
        <w:rPr>
          <w:rFonts w:ascii="仿宋" w:hAnsi="仿宋" w:eastAsia="仿宋" w:cs="仿宋"/>
          <w:color w:val="auto"/>
        </w:rPr>
      </w:pPr>
      <w:r>
        <w:rPr>
          <w:rFonts w:hint="eastAsia" w:ascii="仿宋" w:hAnsi="仿宋" w:eastAsia="仿宋" w:cs="仿宋"/>
          <w:color w:val="auto"/>
        </w:rPr>
        <w:t>（一）其他与项目有关的资料（自附）</w:t>
      </w:r>
    </w:p>
    <w:p w14:paraId="3E24ECA1">
      <w:pPr>
        <w:spacing w:line="400" w:lineRule="exact"/>
        <w:rPr>
          <w:rFonts w:ascii="仿宋" w:hAnsi="仿宋" w:eastAsia="仿宋" w:cs="仿宋"/>
          <w:color w:val="auto"/>
        </w:rPr>
      </w:pPr>
      <w:bookmarkStart w:id="117" w:name="_Toc313008356"/>
      <w:bookmarkStart w:id="118" w:name="_Toc94016406"/>
      <w:bookmarkStart w:id="119" w:name="_Toc342913419"/>
      <w:bookmarkStart w:id="120" w:name="_Toc313888360"/>
      <w:bookmarkStart w:id="121" w:name="_Toc12789073"/>
      <w:bookmarkStart w:id="122" w:name="_Toc283382454"/>
      <w:r>
        <w:rPr>
          <w:rFonts w:hint="eastAsia" w:ascii="仿宋" w:hAnsi="仿宋" w:eastAsia="仿宋" w:cs="仿宋"/>
          <w:color w:val="auto"/>
        </w:rPr>
        <w:br w:type="page"/>
      </w:r>
    </w:p>
    <w:p w14:paraId="2996B6EE">
      <w:pPr>
        <w:spacing w:line="400" w:lineRule="exact"/>
        <w:rPr>
          <w:rFonts w:ascii="仿宋" w:hAnsi="仿宋" w:eastAsia="仿宋" w:cs="仿宋"/>
          <w:color w:val="auto"/>
        </w:rPr>
      </w:pPr>
    </w:p>
    <w:p w14:paraId="15F48528">
      <w:pPr>
        <w:spacing w:line="400" w:lineRule="exact"/>
        <w:rPr>
          <w:rFonts w:ascii="仿宋" w:hAnsi="仿宋" w:eastAsia="仿宋" w:cs="仿宋"/>
          <w:b/>
          <w:bCs/>
          <w:color w:val="auto"/>
        </w:rPr>
      </w:pPr>
      <w:r>
        <w:rPr>
          <w:rFonts w:hint="eastAsia" w:ascii="仿宋" w:hAnsi="仿宋" w:eastAsia="仿宋" w:cs="仿宋"/>
          <w:b/>
          <w:bCs/>
          <w:color w:val="auto"/>
        </w:rPr>
        <w:t>一、经济部分</w:t>
      </w:r>
      <w:bookmarkEnd w:id="117"/>
      <w:bookmarkEnd w:id="118"/>
      <w:bookmarkEnd w:id="119"/>
      <w:bookmarkEnd w:id="120"/>
    </w:p>
    <w:bookmarkEnd w:id="121"/>
    <w:bookmarkEnd w:id="122"/>
    <w:p w14:paraId="60A507F3">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（一）竞争性比选报价函</w:t>
      </w:r>
    </w:p>
    <w:p w14:paraId="362EECDD">
      <w:pPr>
        <w:spacing w:line="400" w:lineRule="exact"/>
        <w:jc w:val="center"/>
        <w:rPr>
          <w:rFonts w:ascii="仿宋" w:hAnsi="仿宋" w:eastAsia="仿宋" w:cs="仿宋"/>
          <w:b/>
          <w:color w:val="auto"/>
          <w:szCs w:val="28"/>
        </w:rPr>
      </w:pPr>
      <w:r>
        <w:rPr>
          <w:rFonts w:hint="eastAsia" w:ascii="仿宋" w:hAnsi="仿宋" w:eastAsia="仿宋" w:cs="仿宋"/>
          <w:b/>
          <w:color w:val="auto"/>
          <w:szCs w:val="28"/>
        </w:rPr>
        <w:t>竞争性比选报价函</w:t>
      </w:r>
    </w:p>
    <w:p w14:paraId="4141B03A">
      <w:pPr>
        <w:tabs>
          <w:tab w:val="left" w:pos="6300"/>
        </w:tabs>
        <w:snapToGrid w:val="0"/>
        <w:spacing w:line="400" w:lineRule="exact"/>
        <w:rPr>
          <w:rFonts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10128806">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我方收到____________________________（比选项目名称）的竞争性比选文件，经详细研究，决定参加该项目的比选。</w:t>
      </w:r>
    </w:p>
    <w:p w14:paraId="31F917AF">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1.愿意按照竞争性比选文件中的一切要求，提供本项目的服务，报价为人民币大写：    ；人民币小写：   元。</w:t>
      </w:r>
    </w:p>
    <w:p w14:paraId="3C0E75AF">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2.我方现提交的响应文件为：响应文件正本   份，副本   份。</w:t>
      </w:r>
    </w:p>
    <w:p w14:paraId="11C57DA3">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3.我方承诺：本次比选的有效期为提交响应文件截止时间起90天。</w:t>
      </w:r>
    </w:p>
    <w:p w14:paraId="60719F7E">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4.我方完全理解和接受贵方竞争性比选文件的一切规定和要求及评审办法。</w:t>
      </w:r>
    </w:p>
    <w:p w14:paraId="02009758">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5.在整个竞争性比选过程中，我方若有违规行为，接受按照《中华人民共和国政府采购法》和《竞争性比选文件》之规定给予惩罚。</w:t>
      </w:r>
    </w:p>
    <w:p w14:paraId="6BBAB407">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4995F10">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7、我方同意按竞争性比选文件规定，交纳竞争性比选文件要求的比选保证金。</w:t>
      </w:r>
    </w:p>
    <w:p w14:paraId="3AE0D695">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szCs w:val="28"/>
        </w:rPr>
        <w:t>我方未</w:t>
      </w:r>
      <w:r>
        <w:rPr>
          <w:rFonts w:hint="eastAsia" w:ascii="仿宋" w:hAnsi="仿宋" w:eastAsia="仿宋" w:cs="仿宋"/>
          <w:color w:val="auto"/>
        </w:rPr>
        <w:t>为采购项目提供整体设计、规范编制或者项目管理、监理、检测等服务。</w:t>
      </w:r>
    </w:p>
    <w:p w14:paraId="5E94F003">
      <w:pPr>
        <w:tabs>
          <w:tab w:val="left" w:pos="6300"/>
        </w:tabs>
        <w:snapToGrid w:val="0"/>
        <w:spacing w:line="400" w:lineRule="exact"/>
        <w:ind w:firstLine="480" w:firstLineChars="200"/>
        <w:rPr>
          <w:rFonts w:ascii="仿宋" w:hAnsi="仿宋" w:eastAsia="仿宋" w:cs="仿宋"/>
          <w:color w:val="auto"/>
        </w:rPr>
      </w:pPr>
    </w:p>
    <w:p w14:paraId="12C893C9">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供应商（公章）或自然人签署：</w:t>
      </w:r>
    </w:p>
    <w:p w14:paraId="33DA40B1">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 xml:space="preserve">地址：  </w:t>
      </w:r>
    </w:p>
    <w:p w14:paraId="56F08264">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电话：                                             传真：</w:t>
      </w:r>
    </w:p>
    <w:p w14:paraId="63C72A17">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网址：                                             邮编：</w:t>
      </w:r>
    </w:p>
    <w:p w14:paraId="6AA6A68B">
      <w:pPr>
        <w:tabs>
          <w:tab w:val="left" w:pos="6300"/>
        </w:tabs>
        <w:snapToGrid w:val="0"/>
        <w:spacing w:line="400" w:lineRule="exact"/>
        <w:ind w:firstLine="570"/>
        <w:rPr>
          <w:rFonts w:ascii="仿宋" w:hAnsi="仿宋" w:eastAsia="仿宋" w:cs="仿宋"/>
          <w:color w:val="auto"/>
        </w:rPr>
      </w:pPr>
      <w:r>
        <w:rPr>
          <w:rFonts w:hint="eastAsia" w:ascii="仿宋" w:hAnsi="仿宋" w:eastAsia="仿宋" w:cs="仿宋"/>
          <w:color w:val="auto"/>
        </w:rPr>
        <w:t>联系人：</w:t>
      </w:r>
    </w:p>
    <w:p w14:paraId="16501BCF">
      <w:pPr>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 xml:space="preserve">                                                  年   月   日</w:t>
      </w:r>
    </w:p>
    <w:p w14:paraId="1A478A9A">
      <w:pPr>
        <w:snapToGrid w:val="0"/>
        <w:spacing w:line="400" w:lineRule="exact"/>
        <w:ind w:firstLine="480" w:firstLineChars="200"/>
        <w:rPr>
          <w:rFonts w:ascii="仿宋" w:hAnsi="仿宋" w:eastAsia="仿宋" w:cs="仿宋"/>
          <w:color w:val="auto"/>
        </w:rPr>
      </w:pPr>
    </w:p>
    <w:p w14:paraId="459CE47A">
      <w:pPr>
        <w:snapToGrid w:val="0"/>
        <w:spacing w:line="400" w:lineRule="exact"/>
        <w:ind w:firstLine="480" w:firstLineChars="200"/>
        <w:rPr>
          <w:rFonts w:ascii="仿宋" w:hAnsi="仿宋" w:eastAsia="仿宋" w:cs="仿宋"/>
          <w:color w:val="auto"/>
        </w:rPr>
      </w:pPr>
    </w:p>
    <w:p w14:paraId="2EF5EE71">
      <w:pPr>
        <w:snapToGrid w:val="0"/>
        <w:spacing w:line="400" w:lineRule="exact"/>
        <w:ind w:firstLine="480" w:firstLineChars="200"/>
        <w:rPr>
          <w:rFonts w:ascii="仿宋" w:hAnsi="仿宋" w:eastAsia="仿宋" w:cs="仿宋"/>
          <w:color w:val="auto"/>
        </w:rPr>
        <w:sectPr>
          <w:headerReference r:id="rId9" w:type="default"/>
          <w:footerReference r:id="rId10" w:type="default"/>
          <w:footerReference r:id="rId11" w:type="even"/>
          <w:pgSz w:w="11907" w:h="16840"/>
          <w:pgMar w:top="1134" w:right="1191" w:bottom="1134" w:left="1304" w:header="454" w:footer="992" w:gutter="0"/>
          <w:pgNumType w:fmt="numberInDash"/>
          <w:cols w:space="720" w:num="1"/>
          <w:docGrid w:linePitch="381" w:charSpace="-5735"/>
        </w:sectPr>
      </w:pPr>
    </w:p>
    <w:p w14:paraId="2BC941E3">
      <w:pPr>
        <w:tabs>
          <w:tab w:val="left" w:pos="2895"/>
        </w:tabs>
        <w:spacing w:line="300" w:lineRule="atLeast"/>
        <w:ind w:firstLine="480" w:firstLineChars="200"/>
        <w:rPr>
          <w:rFonts w:ascii="仿宋" w:hAnsi="仿宋" w:eastAsia="仿宋" w:cs="仿宋"/>
          <w:color w:val="auto"/>
        </w:rPr>
      </w:pPr>
      <w:r>
        <w:rPr>
          <w:rFonts w:hint="eastAsia" w:ascii="仿宋" w:hAnsi="仿宋" w:eastAsia="仿宋" w:cs="仿宋"/>
          <w:color w:val="auto"/>
        </w:rPr>
        <w:t>（二）明细报价表</w:t>
      </w:r>
    </w:p>
    <w:p w14:paraId="62F17D53">
      <w:pPr>
        <w:spacing w:line="300" w:lineRule="atLeast"/>
        <w:jc w:val="center"/>
        <w:rPr>
          <w:rFonts w:ascii="仿宋" w:hAnsi="仿宋" w:eastAsia="仿宋" w:cs="仿宋"/>
          <w:b/>
          <w:color w:val="auto"/>
          <w:szCs w:val="28"/>
        </w:rPr>
      </w:pPr>
      <w:r>
        <w:rPr>
          <w:rFonts w:hint="eastAsia" w:ascii="仿宋" w:hAnsi="仿宋" w:eastAsia="仿宋" w:cs="仿宋"/>
          <w:b/>
          <w:color w:val="auto"/>
          <w:szCs w:val="28"/>
        </w:rPr>
        <w:t>明细报价表</w:t>
      </w:r>
    </w:p>
    <w:p w14:paraId="6561CD84">
      <w:pPr>
        <w:spacing w:line="300" w:lineRule="atLeast"/>
        <w:rPr>
          <w:rFonts w:ascii="仿宋" w:hAnsi="仿宋" w:eastAsia="仿宋" w:cs="仿宋"/>
          <w:color w:val="auto"/>
        </w:rPr>
      </w:pPr>
      <w:r>
        <w:rPr>
          <w:rFonts w:hint="eastAsia" w:ascii="仿宋" w:hAnsi="仿宋" w:eastAsia="仿宋" w:cs="仿宋"/>
          <w:color w:val="auto"/>
        </w:rPr>
        <w:t>采购计划编号：</w:t>
      </w:r>
    </w:p>
    <w:p w14:paraId="74161E29">
      <w:pPr>
        <w:pStyle w:val="33"/>
        <w:tabs>
          <w:tab w:val="left" w:pos="6300"/>
        </w:tabs>
        <w:snapToGrid w:val="0"/>
        <w:spacing w:line="300" w:lineRule="atLeast"/>
        <w:outlineLvl w:val="0"/>
        <w:rPr>
          <w:rFonts w:ascii="仿宋" w:hAnsi="仿宋" w:eastAsia="仿宋" w:cs="仿宋"/>
          <w:color w:val="auto"/>
        </w:rPr>
      </w:pPr>
      <w:r>
        <w:rPr>
          <w:rFonts w:hint="eastAsia" w:ascii="仿宋" w:hAnsi="仿宋" w:eastAsia="仿宋" w:cs="仿宋"/>
          <w:color w:val="auto"/>
        </w:rPr>
        <w:t>采购项目名称：</w:t>
      </w:r>
    </w:p>
    <w:tbl>
      <w:tblPr>
        <w:tblStyle w:val="59"/>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14AC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022" w:type="dxa"/>
            <w:vAlign w:val="center"/>
          </w:tcPr>
          <w:p w14:paraId="0F90099A">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序号</w:t>
            </w:r>
          </w:p>
        </w:tc>
        <w:tc>
          <w:tcPr>
            <w:tcW w:w="1695" w:type="dxa"/>
            <w:vAlign w:val="center"/>
          </w:tcPr>
          <w:p w14:paraId="23CD126B">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名称</w:t>
            </w:r>
          </w:p>
        </w:tc>
        <w:tc>
          <w:tcPr>
            <w:tcW w:w="3404" w:type="dxa"/>
            <w:vAlign w:val="center"/>
          </w:tcPr>
          <w:p w14:paraId="0D485290">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相关信息（涉及硬件产品的，须提供其品牌、型号、制造商）</w:t>
            </w:r>
          </w:p>
        </w:tc>
        <w:tc>
          <w:tcPr>
            <w:tcW w:w="1344" w:type="dxa"/>
            <w:vAlign w:val="center"/>
          </w:tcPr>
          <w:p w14:paraId="2A9420ED">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数量</w:t>
            </w:r>
          </w:p>
        </w:tc>
        <w:tc>
          <w:tcPr>
            <w:tcW w:w="1344" w:type="dxa"/>
            <w:vAlign w:val="center"/>
          </w:tcPr>
          <w:p w14:paraId="0FBFE9EF">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单价</w:t>
            </w:r>
          </w:p>
        </w:tc>
        <w:tc>
          <w:tcPr>
            <w:tcW w:w="1344" w:type="dxa"/>
            <w:vAlign w:val="center"/>
          </w:tcPr>
          <w:p w14:paraId="507E3463">
            <w:pPr>
              <w:spacing w:line="300" w:lineRule="atLeast"/>
              <w:jc w:val="center"/>
              <w:rPr>
                <w:rFonts w:ascii="仿宋" w:hAnsi="仿宋" w:eastAsia="仿宋" w:cs="仿宋"/>
                <w:b/>
                <w:color w:val="auto"/>
                <w:sz w:val="21"/>
                <w:szCs w:val="21"/>
              </w:rPr>
            </w:pPr>
            <w:r>
              <w:rPr>
                <w:rFonts w:hint="eastAsia" w:ascii="仿宋" w:hAnsi="仿宋" w:eastAsia="仿宋" w:cs="仿宋"/>
                <w:b/>
                <w:color w:val="auto"/>
                <w:sz w:val="21"/>
                <w:szCs w:val="21"/>
              </w:rPr>
              <w:t>合计</w:t>
            </w:r>
          </w:p>
        </w:tc>
      </w:tr>
      <w:tr w14:paraId="44B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890B26">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w:t>
            </w:r>
          </w:p>
        </w:tc>
        <w:tc>
          <w:tcPr>
            <w:tcW w:w="1695" w:type="dxa"/>
            <w:vAlign w:val="center"/>
          </w:tcPr>
          <w:p w14:paraId="077D901E">
            <w:pPr>
              <w:spacing w:line="300" w:lineRule="atLeast"/>
              <w:jc w:val="center"/>
              <w:rPr>
                <w:rFonts w:ascii="仿宋" w:hAnsi="仿宋" w:eastAsia="仿宋" w:cs="仿宋"/>
                <w:color w:val="auto"/>
                <w:sz w:val="21"/>
                <w:szCs w:val="21"/>
              </w:rPr>
            </w:pPr>
          </w:p>
        </w:tc>
        <w:tc>
          <w:tcPr>
            <w:tcW w:w="3404" w:type="dxa"/>
          </w:tcPr>
          <w:p w14:paraId="770E842B">
            <w:pPr>
              <w:spacing w:line="300" w:lineRule="atLeast"/>
              <w:jc w:val="center"/>
              <w:rPr>
                <w:rFonts w:ascii="仿宋" w:hAnsi="仿宋" w:eastAsia="仿宋" w:cs="仿宋"/>
                <w:color w:val="auto"/>
                <w:sz w:val="21"/>
                <w:szCs w:val="21"/>
              </w:rPr>
            </w:pPr>
          </w:p>
        </w:tc>
        <w:tc>
          <w:tcPr>
            <w:tcW w:w="1344" w:type="dxa"/>
            <w:vAlign w:val="center"/>
          </w:tcPr>
          <w:p w14:paraId="02F16B72">
            <w:pPr>
              <w:spacing w:line="300" w:lineRule="atLeast"/>
              <w:jc w:val="center"/>
              <w:rPr>
                <w:rFonts w:ascii="仿宋" w:hAnsi="仿宋" w:eastAsia="仿宋" w:cs="仿宋"/>
                <w:color w:val="auto"/>
                <w:sz w:val="21"/>
                <w:szCs w:val="21"/>
              </w:rPr>
            </w:pPr>
          </w:p>
        </w:tc>
        <w:tc>
          <w:tcPr>
            <w:tcW w:w="1344" w:type="dxa"/>
          </w:tcPr>
          <w:p w14:paraId="02B3B7A1">
            <w:pPr>
              <w:spacing w:line="300" w:lineRule="atLeast"/>
              <w:jc w:val="center"/>
              <w:rPr>
                <w:rFonts w:ascii="仿宋" w:hAnsi="仿宋" w:eastAsia="仿宋" w:cs="仿宋"/>
                <w:color w:val="auto"/>
                <w:sz w:val="21"/>
                <w:szCs w:val="21"/>
              </w:rPr>
            </w:pPr>
          </w:p>
        </w:tc>
        <w:tc>
          <w:tcPr>
            <w:tcW w:w="1344" w:type="dxa"/>
          </w:tcPr>
          <w:p w14:paraId="43984C58">
            <w:pPr>
              <w:spacing w:line="300" w:lineRule="atLeast"/>
              <w:jc w:val="center"/>
              <w:rPr>
                <w:rFonts w:ascii="仿宋" w:hAnsi="仿宋" w:eastAsia="仿宋" w:cs="仿宋"/>
                <w:color w:val="auto"/>
                <w:sz w:val="21"/>
                <w:szCs w:val="21"/>
              </w:rPr>
            </w:pPr>
          </w:p>
        </w:tc>
      </w:tr>
      <w:tr w14:paraId="4BA7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7D1B7EE">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2</w:t>
            </w:r>
          </w:p>
        </w:tc>
        <w:tc>
          <w:tcPr>
            <w:tcW w:w="1695" w:type="dxa"/>
            <w:vAlign w:val="center"/>
          </w:tcPr>
          <w:p w14:paraId="1389D32C">
            <w:pPr>
              <w:spacing w:line="300" w:lineRule="atLeast"/>
              <w:jc w:val="center"/>
              <w:rPr>
                <w:rFonts w:ascii="仿宋" w:hAnsi="仿宋" w:eastAsia="仿宋" w:cs="仿宋"/>
                <w:color w:val="auto"/>
                <w:sz w:val="21"/>
                <w:szCs w:val="21"/>
              </w:rPr>
            </w:pPr>
          </w:p>
        </w:tc>
        <w:tc>
          <w:tcPr>
            <w:tcW w:w="3404" w:type="dxa"/>
          </w:tcPr>
          <w:p w14:paraId="2976EAD2">
            <w:pPr>
              <w:spacing w:line="300" w:lineRule="atLeast"/>
              <w:jc w:val="center"/>
              <w:rPr>
                <w:rFonts w:ascii="仿宋" w:hAnsi="仿宋" w:eastAsia="仿宋" w:cs="仿宋"/>
                <w:color w:val="auto"/>
                <w:sz w:val="21"/>
                <w:szCs w:val="21"/>
              </w:rPr>
            </w:pPr>
          </w:p>
        </w:tc>
        <w:tc>
          <w:tcPr>
            <w:tcW w:w="1344" w:type="dxa"/>
            <w:vAlign w:val="center"/>
          </w:tcPr>
          <w:p w14:paraId="521B37BB">
            <w:pPr>
              <w:spacing w:line="300" w:lineRule="atLeast"/>
              <w:jc w:val="center"/>
              <w:rPr>
                <w:rFonts w:ascii="仿宋" w:hAnsi="仿宋" w:eastAsia="仿宋" w:cs="仿宋"/>
                <w:color w:val="auto"/>
                <w:sz w:val="21"/>
                <w:szCs w:val="21"/>
              </w:rPr>
            </w:pPr>
          </w:p>
        </w:tc>
        <w:tc>
          <w:tcPr>
            <w:tcW w:w="1344" w:type="dxa"/>
          </w:tcPr>
          <w:p w14:paraId="7935D8AC">
            <w:pPr>
              <w:spacing w:line="300" w:lineRule="atLeast"/>
              <w:jc w:val="center"/>
              <w:rPr>
                <w:rFonts w:ascii="仿宋" w:hAnsi="仿宋" w:eastAsia="仿宋" w:cs="仿宋"/>
                <w:color w:val="auto"/>
                <w:sz w:val="21"/>
                <w:szCs w:val="21"/>
              </w:rPr>
            </w:pPr>
          </w:p>
        </w:tc>
        <w:tc>
          <w:tcPr>
            <w:tcW w:w="1344" w:type="dxa"/>
          </w:tcPr>
          <w:p w14:paraId="21C6333A">
            <w:pPr>
              <w:spacing w:line="300" w:lineRule="atLeast"/>
              <w:jc w:val="center"/>
              <w:rPr>
                <w:rFonts w:ascii="仿宋" w:hAnsi="仿宋" w:eastAsia="仿宋" w:cs="仿宋"/>
                <w:color w:val="auto"/>
                <w:sz w:val="21"/>
                <w:szCs w:val="21"/>
              </w:rPr>
            </w:pPr>
          </w:p>
        </w:tc>
      </w:tr>
      <w:tr w14:paraId="7C47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3FE6BCB">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3</w:t>
            </w:r>
          </w:p>
        </w:tc>
        <w:tc>
          <w:tcPr>
            <w:tcW w:w="1695" w:type="dxa"/>
            <w:vAlign w:val="center"/>
          </w:tcPr>
          <w:p w14:paraId="527A0603">
            <w:pPr>
              <w:spacing w:line="300" w:lineRule="atLeast"/>
              <w:jc w:val="center"/>
              <w:rPr>
                <w:rFonts w:ascii="仿宋" w:hAnsi="仿宋" w:eastAsia="仿宋" w:cs="仿宋"/>
                <w:color w:val="auto"/>
                <w:sz w:val="21"/>
                <w:szCs w:val="21"/>
              </w:rPr>
            </w:pPr>
          </w:p>
        </w:tc>
        <w:tc>
          <w:tcPr>
            <w:tcW w:w="3404" w:type="dxa"/>
          </w:tcPr>
          <w:p w14:paraId="2E4594EE">
            <w:pPr>
              <w:spacing w:line="300" w:lineRule="atLeast"/>
              <w:jc w:val="center"/>
              <w:rPr>
                <w:rFonts w:ascii="仿宋" w:hAnsi="仿宋" w:eastAsia="仿宋" w:cs="仿宋"/>
                <w:color w:val="auto"/>
                <w:sz w:val="21"/>
                <w:szCs w:val="21"/>
              </w:rPr>
            </w:pPr>
          </w:p>
        </w:tc>
        <w:tc>
          <w:tcPr>
            <w:tcW w:w="1344" w:type="dxa"/>
            <w:vAlign w:val="center"/>
          </w:tcPr>
          <w:p w14:paraId="3E6F4142">
            <w:pPr>
              <w:spacing w:line="300" w:lineRule="atLeast"/>
              <w:jc w:val="center"/>
              <w:rPr>
                <w:rFonts w:ascii="仿宋" w:hAnsi="仿宋" w:eastAsia="仿宋" w:cs="仿宋"/>
                <w:color w:val="auto"/>
                <w:sz w:val="21"/>
                <w:szCs w:val="21"/>
              </w:rPr>
            </w:pPr>
          </w:p>
        </w:tc>
        <w:tc>
          <w:tcPr>
            <w:tcW w:w="1344" w:type="dxa"/>
          </w:tcPr>
          <w:p w14:paraId="4D274FCD">
            <w:pPr>
              <w:spacing w:line="300" w:lineRule="atLeast"/>
              <w:jc w:val="center"/>
              <w:rPr>
                <w:rFonts w:ascii="仿宋" w:hAnsi="仿宋" w:eastAsia="仿宋" w:cs="仿宋"/>
                <w:color w:val="auto"/>
                <w:sz w:val="21"/>
                <w:szCs w:val="21"/>
              </w:rPr>
            </w:pPr>
          </w:p>
        </w:tc>
        <w:tc>
          <w:tcPr>
            <w:tcW w:w="1344" w:type="dxa"/>
          </w:tcPr>
          <w:p w14:paraId="782D489B">
            <w:pPr>
              <w:spacing w:line="300" w:lineRule="atLeast"/>
              <w:jc w:val="center"/>
              <w:rPr>
                <w:rFonts w:ascii="仿宋" w:hAnsi="仿宋" w:eastAsia="仿宋" w:cs="仿宋"/>
                <w:color w:val="auto"/>
                <w:sz w:val="21"/>
                <w:szCs w:val="21"/>
              </w:rPr>
            </w:pPr>
          </w:p>
        </w:tc>
      </w:tr>
      <w:tr w14:paraId="762C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8563BE0">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4</w:t>
            </w:r>
          </w:p>
        </w:tc>
        <w:tc>
          <w:tcPr>
            <w:tcW w:w="1695" w:type="dxa"/>
            <w:vAlign w:val="center"/>
          </w:tcPr>
          <w:p w14:paraId="7F43DF28">
            <w:pPr>
              <w:spacing w:line="300" w:lineRule="atLeast"/>
              <w:jc w:val="center"/>
              <w:rPr>
                <w:rFonts w:ascii="仿宋" w:hAnsi="仿宋" w:eastAsia="仿宋" w:cs="仿宋"/>
                <w:color w:val="auto"/>
                <w:sz w:val="21"/>
                <w:szCs w:val="21"/>
              </w:rPr>
            </w:pPr>
          </w:p>
        </w:tc>
        <w:tc>
          <w:tcPr>
            <w:tcW w:w="3404" w:type="dxa"/>
          </w:tcPr>
          <w:p w14:paraId="69D4F91D">
            <w:pPr>
              <w:spacing w:line="300" w:lineRule="atLeast"/>
              <w:jc w:val="center"/>
              <w:rPr>
                <w:rFonts w:ascii="仿宋" w:hAnsi="仿宋" w:eastAsia="仿宋" w:cs="仿宋"/>
                <w:color w:val="auto"/>
                <w:sz w:val="21"/>
                <w:szCs w:val="21"/>
              </w:rPr>
            </w:pPr>
          </w:p>
        </w:tc>
        <w:tc>
          <w:tcPr>
            <w:tcW w:w="1344" w:type="dxa"/>
            <w:vAlign w:val="center"/>
          </w:tcPr>
          <w:p w14:paraId="2A65C9D8">
            <w:pPr>
              <w:spacing w:line="300" w:lineRule="atLeast"/>
              <w:jc w:val="center"/>
              <w:rPr>
                <w:rFonts w:ascii="仿宋" w:hAnsi="仿宋" w:eastAsia="仿宋" w:cs="仿宋"/>
                <w:color w:val="auto"/>
                <w:sz w:val="21"/>
                <w:szCs w:val="21"/>
              </w:rPr>
            </w:pPr>
          </w:p>
        </w:tc>
        <w:tc>
          <w:tcPr>
            <w:tcW w:w="1344" w:type="dxa"/>
          </w:tcPr>
          <w:p w14:paraId="1DFD240F">
            <w:pPr>
              <w:spacing w:line="300" w:lineRule="atLeast"/>
              <w:jc w:val="center"/>
              <w:rPr>
                <w:rFonts w:ascii="仿宋" w:hAnsi="仿宋" w:eastAsia="仿宋" w:cs="仿宋"/>
                <w:color w:val="auto"/>
                <w:sz w:val="21"/>
                <w:szCs w:val="21"/>
              </w:rPr>
            </w:pPr>
          </w:p>
        </w:tc>
        <w:tc>
          <w:tcPr>
            <w:tcW w:w="1344" w:type="dxa"/>
          </w:tcPr>
          <w:p w14:paraId="135D1CF5">
            <w:pPr>
              <w:spacing w:line="300" w:lineRule="atLeast"/>
              <w:jc w:val="center"/>
              <w:rPr>
                <w:rFonts w:ascii="仿宋" w:hAnsi="仿宋" w:eastAsia="仿宋" w:cs="仿宋"/>
                <w:color w:val="auto"/>
                <w:sz w:val="21"/>
                <w:szCs w:val="21"/>
              </w:rPr>
            </w:pPr>
          </w:p>
        </w:tc>
      </w:tr>
      <w:tr w14:paraId="77DF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8AC91D0">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5</w:t>
            </w:r>
          </w:p>
        </w:tc>
        <w:tc>
          <w:tcPr>
            <w:tcW w:w="1695" w:type="dxa"/>
            <w:vAlign w:val="center"/>
          </w:tcPr>
          <w:p w14:paraId="7F62A1EA">
            <w:pPr>
              <w:spacing w:line="300" w:lineRule="atLeast"/>
              <w:jc w:val="center"/>
              <w:rPr>
                <w:rFonts w:ascii="仿宋" w:hAnsi="仿宋" w:eastAsia="仿宋" w:cs="仿宋"/>
                <w:color w:val="auto"/>
                <w:sz w:val="21"/>
                <w:szCs w:val="21"/>
              </w:rPr>
            </w:pPr>
          </w:p>
        </w:tc>
        <w:tc>
          <w:tcPr>
            <w:tcW w:w="3404" w:type="dxa"/>
          </w:tcPr>
          <w:p w14:paraId="05EA878C">
            <w:pPr>
              <w:spacing w:line="300" w:lineRule="atLeast"/>
              <w:jc w:val="center"/>
              <w:rPr>
                <w:rFonts w:ascii="仿宋" w:hAnsi="仿宋" w:eastAsia="仿宋" w:cs="仿宋"/>
                <w:color w:val="auto"/>
                <w:sz w:val="21"/>
                <w:szCs w:val="21"/>
              </w:rPr>
            </w:pPr>
          </w:p>
        </w:tc>
        <w:tc>
          <w:tcPr>
            <w:tcW w:w="1344" w:type="dxa"/>
            <w:vAlign w:val="center"/>
          </w:tcPr>
          <w:p w14:paraId="115EAACD">
            <w:pPr>
              <w:spacing w:line="300" w:lineRule="atLeast"/>
              <w:jc w:val="center"/>
              <w:rPr>
                <w:rFonts w:ascii="仿宋" w:hAnsi="仿宋" w:eastAsia="仿宋" w:cs="仿宋"/>
                <w:color w:val="auto"/>
                <w:sz w:val="21"/>
                <w:szCs w:val="21"/>
              </w:rPr>
            </w:pPr>
          </w:p>
        </w:tc>
        <w:tc>
          <w:tcPr>
            <w:tcW w:w="1344" w:type="dxa"/>
          </w:tcPr>
          <w:p w14:paraId="77CB4300">
            <w:pPr>
              <w:spacing w:line="300" w:lineRule="atLeast"/>
              <w:jc w:val="center"/>
              <w:rPr>
                <w:rFonts w:ascii="仿宋" w:hAnsi="仿宋" w:eastAsia="仿宋" w:cs="仿宋"/>
                <w:color w:val="auto"/>
                <w:sz w:val="21"/>
                <w:szCs w:val="21"/>
              </w:rPr>
            </w:pPr>
          </w:p>
        </w:tc>
        <w:tc>
          <w:tcPr>
            <w:tcW w:w="1344" w:type="dxa"/>
          </w:tcPr>
          <w:p w14:paraId="4BD6509C">
            <w:pPr>
              <w:spacing w:line="300" w:lineRule="atLeast"/>
              <w:jc w:val="center"/>
              <w:rPr>
                <w:rFonts w:ascii="仿宋" w:hAnsi="仿宋" w:eastAsia="仿宋" w:cs="仿宋"/>
                <w:color w:val="auto"/>
                <w:sz w:val="21"/>
                <w:szCs w:val="21"/>
              </w:rPr>
            </w:pPr>
          </w:p>
        </w:tc>
      </w:tr>
      <w:tr w14:paraId="01A0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1AE232">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6</w:t>
            </w:r>
          </w:p>
        </w:tc>
        <w:tc>
          <w:tcPr>
            <w:tcW w:w="1695" w:type="dxa"/>
            <w:vAlign w:val="center"/>
          </w:tcPr>
          <w:p w14:paraId="616467A9">
            <w:pPr>
              <w:spacing w:line="300" w:lineRule="atLeast"/>
              <w:jc w:val="center"/>
              <w:rPr>
                <w:rFonts w:ascii="仿宋" w:hAnsi="仿宋" w:eastAsia="仿宋" w:cs="仿宋"/>
                <w:color w:val="auto"/>
                <w:sz w:val="21"/>
                <w:szCs w:val="21"/>
              </w:rPr>
            </w:pPr>
          </w:p>
        </w:tc>
        <w:tc>
          <w:tcPr>
            <w:tcW w:w="3404" w:type="dxa"/>
          </w:tcPr>
          <w:p w14:paraId="63E9B3E1">
            <w:pPr>
              <w:spacing w:line="300" w:lineRule="atLeast"/>
              <w:jc w:val="center"/>
              <w:rPr>
                <w:rFonts w:ascii="仿宋" w:hAnsi="仿宋" w:eastAsia="仿宋" w:cs="仿宋"/>
                <w:color w:val="auto"/>
                <w:sz w:val="21"/>
                <w:szCs w:val="21"/>
              </w:rPr>
            </w:pPr>
          </w:p>
        </w:tc>
        <w:tc>
          <w:tcPr>
            <w:tcW w:w="1344" w:type="dxa"/>
            <w:vAlign w:val="center"/>
          </w:tcPr>
          <w:p w14:paraId="17A6B7C0">
            <w:pPr>
              <w:spacing w:line="300" w:lineRule="atLeast"/>
              <w:jc w:val="center"/>
              <w:rPr>
                <w:rFonts w:ascii="仿宋" w:hAnsi="仿宋" w:eastAsia="仿宋" w:cs="仿宋"/>
                <w:color w:val="auto"/>
                <w:sz w:val="21"/>
                <w:szCs w:val="21"/>
              </w:rPr>
            </w:pPr>
          </w:p>
        </w:tc>
        <w:tc>
          <w:tcPr>
            <w:tcW w:w="1344" w:type="dxa"/>
          </w:tcPr>
          <w:p w14:paraId="71E401A3">
            <w:pPr>
              <w:spacing w:line="300" w:lineRule="atLeast"/>
              <w:jc w:val="center"/>
              <w:rPr>
                <w:rFonts w:ascii="仿宋" w:hAnsi="仿宋" w:eastAsia="仿宋" w:cs="仿宋"/>
                <w:color w:val="auto"/>
                <w:sz w:val="21"/>
                <w:szCs w:val="21"/>
              </w:rPr>
            </w:pPr>
          </w:p>
        </w:tc>
        <w:tc>
          <w:tcPr>
            <w:tcW w:w="1344" w:type="dxa"/>
          </w:tcPr>
          <w:p w14:paraId="531FAF98">
            <w:pPr>
              <w:spacing w:line="300" w:lineRule="atLeast"/>
              <w:jc w:val="center"/>
              <w:rPr>
                <w:rFonts w:ascii="仿宋" w:hAnsi="仿宋" w:eastAsia="仿宋" w:cs="仿宋"/>
                <w:color w:val="auto"/>
                <w:sz w:val="21"/>
                <w:szCs w:val="21"/>
              </w:rPr>
            </w:pPr>
          </w:p>
        </w:tc>
      </w:tr>
      <w:tr w14:paraId="0E99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89B44E5">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7</w:t>
            </w:r>
          </w:p>
        </w:tc>
        <w:tc>
          <w:tcPr>
            <w:tcW w:w="1695" w:type="dxa"/>
            <w:vAlign w:val="center"/>
          </w:tcPr>
          <w:p w14:paraId="77AF08FD">
            <w:pPr>
              <w:spacing w:line="300" w:lineRule="atLeast"/>
              <w:jc w:val="center"/>
              <w:rPr>
                <w:rFonts w:ascii="仿宋" w:hAnsi="仿宋" w:eastAsia="仿宋" w:cs="仿宋"/>
                <w:color w:val="auto"/>
                <w:sz w:val="21"/>
                <w:szCs w:val="21"/>
              </w:rPr>
            </w:pPr>
          </w:p>
        </w:tc>
        <w:tc>
          <w:tcPr>
            <w:tcW w:w="3404" w:type="dxa"/>
          </w:tcPr>
          <w:p w14:paraId="10F8CA9F">
            <w:pPr>
              <w:spacing w:line="300" w:lineRule="atLeast"/>
              <w:jc w:val="center"/>
              <w:rPr>
                <w:rFonts w:ascii="仿宋" w:hAnsi="仿宋" w:eastAsia="仿宋" w:cs="仿宋"/>
                <w:color w:val="auto"/>
                <w:sz w:val="21"/>
                <w:szCs w:val="21"/>
              </w:rPr>
            </w:pPr>
          </w:p>
        </w:tc>
        <w:tc>
          <w:tcPr>
            <w:tcW w:w="1344" w:type="dxa"/>
            <w:vAlign w:val="center"/>
          </w:tcPr>
          <w:p w14:paraId="33820137">
            <w:pPr>
              <w:spacing w:line="300" w:lineRule="atLeast"/>
              <w:jc w:val="center"/>
              <w:rPr>
                <w:rFonts w:ascii="仿宋" w:hAnsi="仿宋" w:eastAsia="仿宋" w:cs="仿宋"/>
                <w:color w:val="auto"/>
                <w:sz w:val="21"/>
                <w:szCs w:val="21"/>
              </w:rPr>
            </w:pPr>
          </w:p>
        </w:tc>
        <w:tc>
          <w:tcPr>
            <w:tcW w:w="1344" w:type="dxa"/>
          </w:tcPr>
          <w:p w14:paraId="1D757173">
            <w:pPr>
              <w:spacing w:line="300" w:lineRule="atLeast"/>
              <w:jc w:val="center"/>
              <w:rPr>
                <w:rFonts w:ascii="仿宋" w:hAnsi="仿宋" w:eastAsia="仿宋" w:cs="仿宋"/>
                <w:color w:val="auto"/>
                <w:sz w:val="21"/>
                <w:szCs w:val="21"/>
              </w:rPr>
            </w:pPr>
          </w:p>
        </w:tc>
        <w:tc>
          <w:tcPr>
            <w:tcW w:w="1344" w:type="dxa"/>
          </w:tcPr>
          <w:p w14:paraId="3D8E13C8">
            <w:pPr>
              <w:spacing w:line="300" w:lineRule="atLeast"/>
              <w:jc w:val="center"/>
              <w:rPr>
                <w:rFonts w:ascii="仿宋" w:hAnsi="仿宋" w:eastAsia="仿宋" w:cs="仿宋"/>
                <w:color w:val="auto"/>
                <w:sz w:val="21"/>
                <w:szCs w:val="21"/>
              </w:rPr>
            </w:pPr>
          </w:p>
        </w:tc>
      </w:tr>
      <w:tr w14:paraId="6804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9687A94">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8</w:t>
            </w:r>
          </w:p>
        </w:tc>
        <w:tc>
          <w:tcPr>
            <w:tcW w:w="1695" w:type="dxa"/>
            <w:vAlign w:val="center"/>
          </w:tcPr>
          <w:p w14:paraId="78335089">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人工费</w:t>
            </w:r>
          </w:p>
        </w:tc>
        <w:tc>
          <w:tcPr>
            <w:tcW w:w="3404" w:type="dxa"/>
          </w:tcPr>
          <w:p w14:paraId="63A590A1">
            <w:pPr>
              <w:spacing w:line="300" w:lineRule="atLeast"/>
              <w:jc w:val="center"/>
              <w:rPr>
                <w:rFonts w:ascii="仿宋" w:hAnsi="仿宋" w:eastAsia="仿宋" w:cs="仿宋"/>
                <w:color w:val="auto"/>
                <w:sz w:val="21"/>
                <w:szCs w:val="21"/>
              </w:rPr>
            </w:pPr>
          </w:p>
        </w:tc>
        <w:tc>
          <w:tcPr>
            <w:tcW w:w="1344" w:type="dxa"/>
            <w:vAlign w:val="center"/>
          </w:tcPr>
          <w:p w14:paraId="61AA49E0">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5CE10AF6">
            <w:pPr>
              <w:spacing w:line="300" w:lineRule="atLeast"/>
              <w:jc w:val="center"/>
              <w:rPr>
                <w:rFonts w:ascii="仿宋" w:hAnsi="仿宋" w:eastAsia="仿宋" w:cs="仿宋"/>
                <w:color w:val="auto"/>
                <w:sz w:val="21"/>
                <w:szCs w:val="21"/>
              </w:rPr>
            </w:pPr>
          </w:p>
        </w:tc>
        <w:tc>
          <w:tcPr>
            <w:tcW w:w="1344" w:type="dxa"/>
          </w:tcPr>
          <w:p w14:paraId="406E717C">
            <w:pPr>
              <w:spacing w:line="300" w:lineRule="atLeast"/>
              <w:jc w:val="center"/>
              <w:rPr>
                <w:rFonts w:ascii="仿宋" w:hAnsi="仿宋" w:eastAsia="仿宋" w:cs="仿宋"/>
                <w:color w:val="auto"/>
                <w:sz w:val="21"/>
                <w:szCs w:val="21"/>
              </w:rPr>
            </w:pPr>
          </w:p>
        </w:tc>
      </w:tr>
      <w:tr w14:paraId="5601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CFDBD11">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9</w:t>
            </w:r>
          </w:p>
        </w:tc>
        <w:tc>
          <w:tcPr>
            <w:tcW w:w="1695" w:type="dxa"/>
            <w:vAlign w:val="center"/>
          </w:tcPr>
          <w:p w14:paraId="7D4AE354">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运输费</w:t>
            </w:r>
          </w:p>
        </w:tc>
        <w:tc>
          <w:tcPr>
            <w:tcW w:w="3404" w:type="dxa"/>
          </w:tcPr>
          <w:p w14:paraId="3D000986">
            <w:pPr>
              <w:spacing w:line="300" w:lineRule="atLeast"/>
              <w:jc w:val="center"/>
              <w:rPr>
                <w:rFonts w:ascii="仿宋" w:hAnsi="仿宋" w:eastAsia="仿宋" w:cs="仿宋"/>
                <w:color w:val="auto"/>
                <w:sz w:val="21"/>
                <w:szCs w:val="21"/>
              </w:rPr>
            </w:pPr>
          </w:p>
        </w:tc>
        <w:tc>
          <w:tcPr>
            <w:tcW w:w="1344" w:type="dxa"/>
            <w:vAlign w:val="center"/>
          </w:tcPr>
          <w:p w14:paraId="457A24D5">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79E3E055">
            <w:pPr>
              <w:spacing w:line="300" w:lineRule="atLeast"/>
              <w:jc w:val="center"/>
              <w:rPr>
                <w:rFonts w:ascii="仿宋" w:hAnsi="仿宋" w:eastAsia="仿宋" w:cs="仿宋"/>
                <w:color w:val="auto"/>
                <w:sz w:val="21"/>
                <w:szCs w:val="21"/>
              </w:rPr>
            </w:pPr>
          </w:p>
        </w:tc>
        <w:tc>
          <w:tcPr>
            <w:tcW w:w="1344" w:type="dxa"/>
          </w:tcPr>
          <w:p w14:paraId="36221EBB">
            <w:pPr>
              <w:spacing w:line="300" w:lineRule="atLeast"/>
              <w:jc w:val="center"/>
              <w:rPr>
                <w:rFonts w:ascii="仿宋" w:hAnsi="仿宋" w:eastAsia="仿宋" w:cs="仿宋"/>
                <w:color w:val="auto"/>
                <w:sz w:val="21"/>
                <w:szCs w:val="21"/>
              </w:rPr>
            </w:pPr>
          </w:p>
        </w:tc>
      </w:tr>
      <w:tr w14:paraId="4C61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BD0DCD4">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10</w:t>
            </w:r>
          </w:p>
        </w:tc>
        <w:tc>
          <w:tcPr>
            <w:tcW w:w="1695" w:type="dxa"/>
            <w:vAlign w:val="center"/>
          </w:tcPr>
          <w:p w14:paraId="36B4835D">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其他费用</w:t>
            </w:r>
          </w:p>
        </w:tc>
        <w:tc>
          <w:tcPr>
            <w:tcW w:w="3404" w:type="dxa"/>
          </w:tcPr>
          <w:p w14:paraId="4620522A">
            <w:pPr>
              <w:spacing w:line="300" w:lineRule="atLeast"/>
              <w:jc w:val="center"/>
              <w:rPr>
                <w:rFonts w:ascii="仿宋" w:hAnsi="仿宋" w:eastAsia="仿宋" w:cs="仿宋"/>
                <w:color w:val="auto"/>
                <w:sz w:val="21"/>
                <w:szCs w:val="21"/>
              </w:rPr>
            </w:pPr>
          </w:p>
        </w:tc>
        <w:tc>
          <w:tcPr>
            <w:tcW w:w="1344" w:type="dxa"/>
            <w:vAlign w:val="center"/>
          </w:tcPr>
          <w:p w14:paraId="60FCE4C1">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60E0B599">
            <w:pPr>
              <w:spacing w:line="300" w:lineRule="atLeast"/>
              <w:jc w:val="center"/>
              <w:rPr>
                <w:rFonts w:ascii="仿宋" w:hAnsi="仿宋" w:eastAsia="仿宋" w:cs="仿宋"/>
                <w:color w:val="auto"/>
                <w:sz w:val="21"/>
                <w:szCs w:val="21"/>
              </w:rPr>
            </w:pPr>
          </w:p>
        </w:tc>
        <w:tc>
          <w:tcPr>
            <w:tcW w:w="1344" w:type="dxa"/>
          </w:tcPr>
          <w:p w14:paraId="27A3A798">
            <w:pPr>
              <w:spacing w:line="300" w:lineRule="atLeast"/>
              <w:jc w:val="center"/>
              <w:rPr>
                <w:rFonts w:ascii="仿宋" w:hAnsi="仿宋" w:eastAsia="仿宋" w:cs="仿宋"/>
                <w:color w:val="auto"/>
                <w:sz w:val="21"/>
                <w:szCs w:val="21"/>
              </w:rPr>
            </w:pPr>
          </w:p>
        </w:tc>
      </w:tr>
      <w:tr w14:paraId="6F82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7F27830">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11</w:t>
            </w:r>
          </w:p>
        </w:tc>
        <w:tc>
          <w:tcPr>
            <w:tcW w:w="1695" w:type="dxa"/>
            <w:vAlign w:val="center"/>
          </w:tcPr>
          <w:p w14:paraId="3BF99A10">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3404" w:type="dxa"/>
          </w:tcPr>
          <w:p w14:paraId="71981C5F">
            <w:pPr>
              <w:spacing w:line="300" w:lineRule="atLeast"/>
              <w:jc w:val="center"/>
              <w:rPr>
                <w:rFonts w:ascii="仿宋" w:hAnsi="仿宋" w:eastAsia="仿宋" w:cs="仿宋"/>
                <w:color w:val="auto"/>
                <w:sz w:val="21"/>
                <w:szCs w:val="21"/>
              </w:rPr>
            </w:pPr>
          </w:p>
        </w:tc>
        <w:tc>
          <w:tcPr>
            <w:tcW w:w="1344" w:type="dxa"/>
            <w:vAlign w:val="center"/>
          </w:tcPr>
          <w:p w14:paraId="73854A11">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w:t>
            </w:r>
          </w:p>
        </w:tc>
        <w:tc>
          <w:tcPr>
            <w:tcW w:w="1344" w:type="dxa"/>
          </w:tcPr>
          <w:p w14:paraId="5B775B0C">
            <w:pPr>
              <w:spacing w:line="300" w:lineRule="atLeast"/>
              <w:jc w:val="center"/>
              <w:rPr>
                <w:rFonts w:ascii="仿宋" w:hAnsi="仿宋" w:eastAsia="仿宋" w:cs="仿宋"/>
                <w:color w:val="auto"/>
                <w:sz w:val="21"/>
                <w:szCs w:val="21"/>
              </w:rPr>
            </w:pPr>
          </w:p>
        </w:tc>
        <w:tc>
          <w:tcPr>
            <w:tcW w:w="1344" w:type="dxa"/>
          </w:tcPr>
          <w:p w14:paraId="0CECB25B">
            <w:pPr>
              <w:spacing w:line="300" w:lineRule="atLeast"/>
              <w:jc w:val="center"/>
              <w:rPr>
                <w:rFonts w:ascii="仿宋" w:hAnsi="仿宋" w:eastAsia="仿宋" w:cs="仿宋"/>
                <w:color w:val="auto"/>
                <w:sz w:val="21"/>
                <w:szCs w:val="21"/>
              </w:rPr>
            </w:pPr>
          </w:p>
        </w:tc>
      </w:tr>
      <w:tr w14:paraId="7453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F0EC113">
            <w:pPr>
              <w:pStyle w:val="23"/>
              <w:spacing w:line="300" w:lineRule="atLeast"/>
              <w:ind w:left="3920"/>
              <w:jc w:val="center"/>
              <w:outlineLvl w:val="0"/>
              <w:rPr>
                <w:rFonts w:ascii="仿宋" w:hAnsi="仿宋" w:eastAsia="仿宋" w:cs="仿宋"/>
                <w:color w:val="auto"/>
                <w:sz w:val="21"/>
                <w:szCs w:val="21"/>
              </w:rPr>
            </w:pPr>
            <w:r>
              <w:rPr>
                <w:rFonts w:hint="eastAsia" w:ascii="仿宋" w:hAnsi="仿宋" w:eastAsia="仿宋" w:cs="仿宋"/>
                <w:color w:val="auto"/>
                <w:sz w:val="21"/>
                <w:szCs w:val="21"/>
              </w:rPr>
              <w:t>12</w:t>
            </w:r>
          </w:p>
        </w:tc>
        <w:tc>
          <w:tcPr>
            <w:tcW w:w="1695" w:type="dxa"/>
            <w:vAlign w:val="center"/>
          </w:tcPr>
          <w:p w14:paraId="4411B5F7">
            <w:pPr>
              <w:spacing w:line="300" w:lineRule="atLeast"/>
              <w:jc w:val="center"/>
              <w:rPr>
                <w:rFonts w:ascii="仿宋" w:hAnsi="仿宋" w:eastAsia="仿宋" w:cs="仿宋"/>
                <w:color w:val="auto"/>
                <w:sz w:val="21"/>
                <w:szCs w:val="21"/>
              </w:rPr>
            </w:pPr>
            <w:r>
              <w:rPr>
                <w:rFonts w:hint="eastAsia" w:ascii="仿宋" w:hAnsi="仿宋" w:eastAsia="仿宋" w:cs="仿宋"/>
                <w:color w:val="auto"/>
                <w:sz w:val="21"/>
                <w:szCs w:val="21"/>
              </w:rPr>
              <w:t>总计</w:t>
            </w:r>
          </w:p>
        </w:tc>
        <w:tc>
          <w:tcPr>
            <w:tcW w:w="7436" w:type="dxa"/>
            <w:gridSpan w:val="4"/>
          </w:tcPr>
          <w:p w14:paraId="767EAA2E">
            <w:pPr>
              <w:spacing w:line="300" w:lineRule="atLeast"/>
              <w:rPr>
                <w:rFonts w:ascii="仿宋" w:hAnsi="仿宋" w:eastAsia="仿宋" w:cs="仿宋"/>
                <w:color w:val="auto"/>
                <w:sz w:val="21"/>
                <w:szCs w:val="21"/>
              </w:rPr>
            </w:pPr>
          </w:p>
        </w:tc>
      </w:tr>
    </w:tbl>
    <w:p w14:paraId="47E0F4A2">
      <w:pPr>
        <w:snapToGrid w:val="0"/>
        <w:spacing w:line="300" w:lineRule="atLeast"/>
        <w:ind w:firstLine="480" w:firstLineChars="200"/>
        <w:rPr>
          <w:rFonts w:ascii="仿宋" w:hAnsi="仿宋" w:eastAsia="仿宋" w:cs="仿宋"/>
          <w:color w:val="auto"/>
          <w:szCs w:val="28"/>
        </w:rPr>
      </w:pPr>
    </w:p>
    <w:p w14:paraId="1C15D3D4">
      <w:pPr>
        <w:snapToGrid w:val="0"/>
        <w:spacing w:line="300" w:lineRule="atLeast"/>
        <w:ind w:firstLine="480" w:firstLineChars="200"/>
        <w:rPr>
          <w:rFonts w:ascii="仿宋" w:hAnsi="仿宋" w:eastAsia="仿宋" w:cs="仿宋"/>
          <w:color w:val="auto"/>
          <w:szCs w:val="28"/>
        </w:rPr>
      </w:pPr>
      <w:r>
        <w:rPr>
          <w:rFonts w:hint="eastAsia" w:ascii="仿宋" w:hAnsi="仿宋" w:eastAsia="仿宋" w:cs="仿宋"/>
          <w:color w:val="auto"/>
          <w:szCs w:val="28"/>
        </w:rPr>
        <w:t>注：1、请供应商完整填写本表。</w:t>
      </w:r>
    </w:p>
    <w:p w14:paraId="0C6C31DA">
      <w:pPr>
        <w:snapToGrid w:val="0"/>
        <w:spacing w:line="300" w:lineRule="atLeast"/>
        <w:rPr>
          <w:rFonts w:ascii="仿宋" w:hAnsi="仿宋" w:eastAsia="仿宋" w:cs="仿宋"/>
          <w:color w:val="auto"/>
          <w:szCs w:val="28"/>
        </w:rPr>
      </w:pPr>
      <w:r>
        <w:rPr>
          <w:rFonts w:hint="eastAsia" w:ascii="仿宋" w:hAnsi="仿宋" w:eastAsia="仿宋" w:cs="仿宋"/>
          <w:color w:val="auto"/>
          <w:szCs w:val="28"/>
        </w:rPr>
        <w:t xml:space="preserve">        2、该表可扩展，并逐页签字或盖章。</w:t>
      </w:r>
    </w:p>
    <w:p w14:paraId="2DC136C3">
      <w:pPr>
        <w:pStyle w:val="38"/>
        <w:spacing w:line="300" w:lineRule="atLeast"/>
        <w:rPr>
          <w:rFonts w:ascii="仿宋" w:hAnsi="仿宋" w:eastAsia="仿宋" w:cs="仿宋"/>
          <w:color w:val="auto"/>
          <w:sz w:val="24"/>
        </w:rPr>
      </w:pPr>
    </w:p>
    <w:p w14:paraId="685EA404">
      <w:pPr>
        <w:pStyle w:val="38"/>
        <w:spacing w:line="300" w:lineRule="atLeast"/>
        <w:rPr>
          <w:rFonts w:ascii="仿宋" w:hAnsi="仿宋" w:eastAsia="仿宋" w:cs="仿宋"/>
          <w:color w:val="auto"/>
          <w:sz w:val="24"/>
        </w:rPr>
      </w:pPr>
      <w:r>
        <w:rPr>
          <w:rFonts w:hint="eastAsia" w:ascii="仿宋" w:hAnsi="仿宋" w:eastAsia="仿宋" w:cs="仿宋"/>
          <w:color w:val="auto"/>
          <w:sz w:val="24"/>
        </w:rPr>
        <w:t xml:space="preserve">            </w:t>
      </w:r>
    </w:p>
    <w:p w14:paraId="11C70ABE">
      <w:pPr>
        <w:spacing w:line="300" w:lineRule="atLeast"/>
        <w:rPr>
          <w:rFonts w:ascii="仿宋" w:hAnsi="仿宋" w:eastAsia="仿宋" w:cs="仿宋"/>
          <w:color w:val="auto"/>
        </w:rPr>
      </w:pPr>
    </w:p>
    <w:p w14:paraId="1BF3D3F9">
      <w:pPr>
        <w:spacing w:line="300" w:lineRule="atLeast"/>
        <w:rPr>
          <w:rFonts w:ascii="仿宋" w:hAnsi="仿宋" w:eastAsia="仿宋" w:cs="仿宋"/>
          <w:color w:val="auto"/>
        </w:rPr>
      </w:pPr>
    </w:p>
    <w:p w14:paraId="7417ACBA">
      <w:pPr>
        <w:spacing w:line="300" w:lineRule="atLeast"/>
        <w:rPr>
          <w:rFonts w:ascii="仿宋" w:hAnsi="仿宋" w:eastAsia="仿宋" w:cs="仿宋"/>
          <w:color w:val="auto"/>
        </w:rPr>
      </w:pPr>
      <w:r>
        <w:rPr>
          <w:rFonts w:hint="eastAsia" w:ascii="仿宋" w:hAnsi="仿宋" w:eastAsia="仿宋" w:cs="仿宋"/>
          <w:color w:val="auto"/>
        </w:rPr>
        <w:t xml:space="preserve">                                             供应商名称（公章）或自然人签署：</w:t>
      </w:r>
    </w:p>
    <w:p w14:paraId="4B4A6164">
      <w:pPr>
        <w:spacing w:line="300" w:lineRule="atLeast"/>
        <w:ind w:right="480" w:firstLine="6480" w:firstLineChars="2700"/>
        <w:rPr>
          <w:rFonts w:ascii="仿宋" w:hAnsi="仿宋" w:eastAsia="仿宋" w:cs="仿宋"/>
          <w:color w:val="auto"/>
          <w:bdr w:val="single" w:color="auto" w:sz="4" w:space="0"/>
        </w:rPr>
        <w:sectPr>
          <w:headerReference r:id="rId12"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仿宋"/>
          <w:color w:val="auto"/>
        </w:rPr>
        <w:t>年     月    日</w:t>
      </w:r>
    </w:p>
    <w:p w14:paraId="7F8722E6">
      <w:pPr>
        <w:rPr>
          <w:rFonts w:ascii="仿宋" w:hAnsi="仿宋" w:eastAsia="仿宋" w:cs="仿宋"/>
          <w:b/>
          <w:bCs/>
          <w:color w:val="auto"/>
        </w:rPr>
      </w:pPr>
      <w:bookmarkStart w:id="123" w:name="_Toc478823789"/>
      <w:r>
        <w:rPr>
          <w:rFonts w:hint="eastAsia" w:ascii="仿宋" w:hAnsi="仿宋" w:eastAsia="仿宋" w:cs="仿宋"/>
          <w:b/>
          <w:bCs/>
          <w:color w:val="auto"/>
        </w:rPr>
        <w:t>二、服务部分</w:t>
      </w:r>
      <w:bookmarkEnd w:id="123"/>
    </w:p>
    <w:p w14:paraId="7E52CF22">
      <w:pPr>
        <w:snapToGrid w:val="0"/>
        <w:spacing w:line="300" w:lineRule="atLeast"/>
        <w:ind w:firstLine="480" w:firstLineChars="200"/>
        <w:rPr>
          <w:rFonts w:ascii="仿宋" w:hAnsi="仿宋" w:eastAsia="仿宋" w:cs="仿宋"/>
          <w:color w:val="auto"/>
        </w:rPr>
      </w:pPr>
      <w:r>
        <w:rPr>
          <w:rFonts w:hint="eastAsia" w:ascii="仿宋" w:hAnsi="仿宋" w:eastAsia="仿宋" w:cs="仿宋"/>
          <w:color w:val="auto"/>
          <w:szCs w:val="28"/>
        </w:rPr>
        <w:t>（一）</w:t>
      </w:r>
      <w:r>
        <w:rPr>
          <w:rFonts w:hint="eastAsia" w:ascii="仿宋" w:hAnsi="仿宋" w:eastAsia="仿宋" w:cs="仿宋"/>
          <w:color w:val="auto"/>
        </w:rPr>
        <w:t>技术响应偏离表</w:t>
      </w:r>
    </w:p>
    <w:p w14:paraId="49E135AD">
      <w:pPr>
        <w:spacing w:line="300" w:lineRule="atLeast"/>
        <w:rPr>
          <w:rFonts w:ascii="仿宋" w:hAnsi="仿宋" w:eastAsia="仿宋" w:cs="仿宋"/>
          <w:color w:val="auto"/>
        </w:rPr>
      </w:pPr>
      <w:r>
        <w:rPr>
          <w:rFonts w:hint="eastAsia" w:ascii="仿宋" w:hAnsi="仿宋" w:eastAsia="仿宋" w:cs="仿宋"/>
          <w:color w:val="auto"/>
        </w:rPr>
        <w:t xml:space="preserve">    采购计划编号：</w:t>
      </w:r>
    </w:p>
    <w:p w14:paraId="5FD4FE18">
      <w:pPr>
        <w:spacing w:line="300" w:lineRule="atLeast"/>
        <w:ind w:firstLine="480" w:firstLineChars="200"/>
        <w:rPr>
          <w:rFonts w:ascii="仿宋" w:hAnsi="仿宋" w:eastAsia="仿宋" w:cs="仿宋"/>
          <w:color w:val="auto"/>
        </w:rPr>
      </w:pPr>
      <w:r>
        <w:rPr>
          <w:rFonts w:hint="eastAsia" w:ascii="仿宋" w:hAnsi="仿宋" w:eastAsia="仿宋" w:cs="仿宋"/>
          <w:color w:val="auto"/>
        </w:rPr>
        <w:t>采购项目名称：</w:t>
      </w:r>
    </w:p>
    <w:tbl>
      <w:tblPr>
        <w:tblStyle w:val="5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3DB7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924CD2B">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序号</w:t>
            </w:r>
          </w:p>
        </w:tc>
        <w:tc>
          <w:tcPr>
            <w:tcW w:w="2658" w:type="dxa"/>
            <w:vAlign w:val="center"/>
          </w:tcPr>
          <w:p w14:paraId="63DF940E">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采购需求</w:t>
            </w:r>
          </w:p>
        </w:tc>
        <w:tc>
          <w:tcPr>
            <w:tcW w:w="2940" w:type="dxa"/>
            <w:vAlign w:val="center"/>
          </w:tcPr>
          <w:p w14:paraId="133FC816">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响应情况</w:t>
            </w:r>
          </w:p>
        </w:tc>
        <w:tc>
          <w:tcPr>
            <w:tcW w:w="1886" w:type="dxa"/>
            <w:vAlign w:val="center"/>
          </w:tcPr>
          <w:p w14:paraId="10EBB628">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差异说明</w:t>
            </w:r>
          </w:p>
        </w:tc>
      </w:tr>
      <w:tr w14:paraId="2825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vAlign w:val="center"/>
          </w:tcPr>
          <w:p w14:paraId="51EFB4A9">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73F2A8AF">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3F3E33FD">
            <w:pPr>
              <w:tabs>
                <w:tab w:val="left" w:pos="6300"/>
              </w:tabs>
              <w:snapToGrid w:val="0"/>
              <w:spacing w:line="300" w:lineRule="atLeast"/>
              <w:jc w:val="center"/>
              <w:outlineLvl w:val="0"/>
              <w:rPr>
                <w:rFonts w:ascii="仿宋" w:hAnsi="仿宋" w:eastAsia="仿宋" w:cs="仿宋"/>
                <w:color w:val="auto"/>
                <w:sz w:val="21"/>
                <w:szCs w:val="21"/>
              </w:rPr>
            </w:pPr>
            <w:r>
              <w:rPr>
                <w:rFonts w:hint="eastAsia" w:ascii="仿宋" w:hAnsi="仿宋" w:eastAsia="仿宋" w:cs="仿宋"/>
                <w:color w:val="auto"/>
                <w:sz w:val="21"/>
                <w:szCs w:val="21"/>
              </w:rPr>
              <w:t>提醒：请注明技术参数或具体内容以及响应文件中技术参数或具体内容的位置（页码）</w:t>
            </w:r>
          </w:p>
        </w:tc>
        <w:tc>
          <w:tcPr>
            <w:tcW w:w="1886" w:type="dxa"/>
            <w:vAlign w:val="center"/>
          </w:tcPr>
          <w:p w14:paraId="505D58D6">
            <w:pPr>
              <w:tabs>
                <w:tab w:val="left" w:pos="6300"/>
              </w:tabs>
              <w:snapToGrid w:val="0"/>
              <w:spacing w:line="300" w:lineRule="atLeast"/>
              <w:jc w:val="center"/>
              <w:outlineLvl w:val="0"/>
              <w:rPr>
                <w:rFonts w:ascii="仿宋" w:hAnsi="仿宋" w:eastAsia="仿宋" w:cs="仿宋"/>
                <w:color w:val="auto"/>
                <w:sz w:val="21"/>
                <w:szCs w:val="21"/>
              </w:rPr>
            </w:pPr>
          </w:p>
        </w:tc>
      </w:tr>
      <w:tr w14:paraId="0AA8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5039C111">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52B09778">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5BAFBED1">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00384B2B">
            <w:pPr>
              <w:tabs>
                <w:tab w:val="left" w:pos="6300"/>
              </w:tabs>
              <w:snapToGrid w:val="0"/>
              <w:spacing w:line="300" w:lineRule="atLeast"/>
              <w:jc w:val="center"/>
              <w:outlineLvl w:val="0"/>
              <w:rPr>
                <w:rFonts w:ascii="仿宋" w:hAnsi="仿宋" w:eastAsia="仿宋" w:cs="仿宋"/>
                <w:color w:val="auto"/>
                <w:sz w:val="21"/>
                <w:szCs w:val="21"/>
              </w:rPr>
            </w:pPr>
          </w:p>
        </w:tc>
      </w:tr>
      <w:tr w14:paraId="4ECC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7B2B8CB3">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50C1978B">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2DDF8909">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7398FA6E">
            <w:pPr>
              <w:tabs>
                <w:tab w:val="left" w:pos="6300"/>
              </w:tabs>
              <w:snapToGrid w:val="0"/>
              <w:spacing w:line="300" w:lineRule="atLeast"/>
              <w:jc w:val="center"/>
              <w:outlineLvl w:val="0"/>
              <w:rPr>
                <w:rFonts w:ascii="仿宋" w:hAnsi="仿宋" w:eastAsia="仿宋" w:cs="仿宋"/>
                <w:color w:val="auto"/>
                <w:sz w:val="21"/>
                <w:szCs w:val="21"/>
              </w:rPr>
            </w:pPr>
          </w:p>
        </w:tc>
      </w:tr>
      <w:tr w14:paraId="640A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vAlign w:val="center"/>
          </w:tcPr>
          <w:p w14:paraId="0B86D98C">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4F548A4E">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794A9FE2">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3EE4A13B">
            <w:pPr>
              <w:tabs>
                <w:tab w:val="left" w:pos="6300"/>
              </w:tabs>
              <w:snapToGrid w:val="0"/>
              <w:spacing w:line="300" w:lineRule="atLeast"/>
              <w:jc w:val="center"/>
              <w:outlineLvl w:val="0"/>
              <w:rPr>
                <w:rFonts w:ascii="仿宋" w:hAnsi="仿宋" w:eastAsia="仿宋" w:cs="仿宋"/>
                <w:color w:val="auto"/>
                <w:sz w:val="21"/>
                <w:szCs w:val="21"/>
              </w:rPr>
            </w:pPr>
          </w:p>
        </w:tc>
      </w:tr>
      <w:tr w14:paraId="7BED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vAlign w:val="center"/>
          </w:tcPr>
          <w:p w14:paraId="73595F39">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46A701EC">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10018A16">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261B2F2F">
            <w:pPr>
              <w:tabs>
                <w:tab w:val="left" w:pos="6300"/>
              </w:tabs>
              <w:snapToGrid w:val="0"/>
              <w:spacing w:line="300" w:lineRule="atLeast"/>
              <w:jc w:val="center"/>
              <w:outlineLvl w:val="0"/>
              <w:rPr>
                <w:rFonts w:ascii="仿宋" w:hAnsi="仿宋" w:eastAsia="仿宋" w:cs="仿宋"/>
                <w:color w:val="auto"/>
                <w:sz w:val="21"/>
                <w:szCs w:val="21"/>
              </w:rPr>
            </w:pPr>
          </w:p>
        </w:tc>
      </w:tr>
      <w:tr w14:paraId="5D1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6DB51E15">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584FF80D">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0EEBDE45">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09BAC4DA">
            <w:pPr>
              <w:tabs>
                <w:tab w:val="left" w:pos="6300"/>
              </w:tabs>
              <w:snapToGrid w:val="0"/>
              <w:spacing w:line="300" w:lineRule="atLeast"/>
              <w:jc w:val="center"/>
              <w:outlineLvl w:val="0"/>
              <w:rPr>
                <w:rFonts w:ascii="仿宋" w:hAnsi="仿宋" w:eastAsia="仿宋" w:cs="仿宋"/>
                <w:color w:val="auto"/>
                <w:sz w:val="21"/>
                <w:szCs w:val="21"/>
              </w:rPr>
            </w:pPr>
          </w:p>
        </w:tc>
      </w:tr>
      <w:tr w14:paraId="03F4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78FEE161">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65192D43">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11EA5A41">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66952D34">
            <w:pPr>
              <w:tabs>
                <w:tab w:val="left" w:pos="6300"/>
              </w:tabs>
              <w:snapToGrid w:val="0"/>
              <w:spacing w:line="300" w:lineRule="atLeast"/>
              <w:jc w:val="center"/>
              <w:outlineLvl w:val="0"/>
              <w:rPr>
                <w:rFonts w:ascii="仿宋" w:hAnsi="仿宋" w:eastAsia="仿宋" w:cs="仿宋"/>
                <w:color w:val="auto"/>
                <w:sz w:val="21"/>
                <w:szCs w:val="21"/>
              </w:rPr>
            </w:pPr>
          </w:p>
        </w:tc>
      </w:tr>
      <w:tr w14:paraId="53CA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441FEC2C">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17B42E6D">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7665C849">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39C19DAB">
            <w:pPr>
              <w:tabs>
                <w:tab w:val="left" w:pos="6300"/>
              </w:tabs>
              <w:snapToGrid w:val="0"/>
              <w:spacing w:line="300" w:lineRule="atLeast"/>
              <w:jc w:val="center"/>
              <w:outlineLvl w:val="0"/>
              <w:rPr>
                <w:rFonts w:ascii="仿宋" w:hAnsi="仿宋" w:eastAsia="仿宋" w:cs="仿宋"/>
                <w:color w:val="auto"/>
                <w:sz w:val="21"/>
                <w:szCs w:val="21"/>
              </w:rPr>
            </w:pPr>
          </w:p>
        </w:tc>
      </w:tr>
      <w:tr w14:paraId="63AE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19C737C9">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0AB3D67E">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3038434A">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797A4B77">
            <w:pPr>
              <w:tabs>
                <w:tab w:val="left" w:pos="6300"/>
              </w:tabs>
              <w:snapToGrid w:val="0"/>
              <w:spacing w:line="300" w:lineRule="atLeast"/>
              <w:jc w:val="center"/>
              <w:outlineLvl w:val="0"/>
              <w:rPr>
                <w:rFonts w:ascii="仿宋" w:hAnsi="仿宋" w:eastAsia="仿宋" w:cs="仿宋"/>
                <w:color w:val="auto"/>
                <w:sz w:val="21"/>
                <w:szCs w:val="21"/>
              </w:rPr>
            </w:pPr>
          </w:p>
        </w:tc>
      </w:tr>
      <w:tr w14:paraId="1C34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vAlign w:val="center"/>
          </w:tcPr>
          <w:p w14:paraId="279220AA">
            <w:pPr>
              <w:tabs>
                <w:tab w:val="left" w:pos="6300"/>
              </w:tabs>
              <w:snapToGrid w:val="0"/>
              <w:spacing w:line="300" w:lineRule="atLeast"/>
              <w:jc w:val="center"/>
              <w:outlineLvl w:val="0"/>
              <w:rPr>
                <w:rFonts w:ascii="仿宋" w:hAnsi="仿宋" w:eastAsia="仿宋" w:cs="仿宋"/>
                <w:color w:val="auto"/>
                <w:sz w:val="21"/>
                <w:szCs w:val="21"/>
              </w:rPr>
            </w:pPr>
          </w:p>
        </w:tc>
        <w:tc>
          <w:tcPr>
            <w:tcW w:w="2658" w:type="dxa"/>
            <w:vAlign w:val="center"/>
          </w:tcPr>
          <w:p w14:paraId="2BFBD45A">
            <w:pPr>
              <w:tabs>
                <w:tab w:val="left" w:pos="6300"/>
              </w:tabs>
              <w:snapToGrid w:val="0"/>
              <w:spacing w:line="300" w:lineRule="atLeast"/>
              <w:jc w:val="center"/>
              <w:outlineLvl w:val="0"/>
              <w:rPr>
                <w:rFonts w:ascii="仿宋" w:hAnsi="仿宋" w:eastAsia="仿宋" w:cs="仿宋"/>
                <w:color w:val="auto"/>
                <w:sz w:val="21"/>
                <w:szCs w:val="21"/>
              </w:rPr>
            </w:pPr>
          </w:p>
        </w:tc>
        <w:tc>
          <w:tcPr>
            <w:tcW w:w="2940" w:type="dxa"/>
            <w:vAlign w:val="center"/>
          </w:tcPr>
          <w:p w14:paraId="770E5C2E">
            <w:pPr>
              <w:tabs>
                <w:tab w:val="left" w:pos="6300"/>
              </w:tabs>
              <w:snapToGrid w:val="0"/>
              <w:spacing w:line="300" w:lineRule="atLeast"/>
              <w:jc w:val="center"/>
              <w:outlineLvl w:val="0"/>
              <w:rPr>
                <w:rFonts w:ascii="仿宋" w:hAnsi="仿宋" w:eastAsia="仿宋" w:cs="仿宋"/>
                <w:color w:val="auto"/>
                <w:sz w:val="21"/>
                <w:szCs w:val="21"/>
              </w:rPr>
            </w:pPr>
          </w:p>
        </w:tc>
        <w:tc>
          <w:tcPr>
            <w:tcW w:w="1886" w:type="dxa"/>
            <w:vAlign w:val="center"/>
          </w:tcPr>
          <w:p w14:paraId="7CF34898">
            <w:pPr>
              <w:tabs>
                <w:tab w:val="left" w:pos="6300"/>
              </w:tabs>
              <w:snapToGrid w:val="0"/>
              <w:spacing w:line="300" w:lineRule="atLeast"/>
              <w:jc w:val="center"/>
              <w:outlineLvl w:val="0"/>
              <w:rPr>
                <w:rFonts w:ascii="仿宋" w:hAnsi="仿宋" w:eastAsia="仿宋" w:cs="仿宋"/>
                <w:color w:val="auto"/>
                <w:sz w:val="21"/>
                <w:szCs w:val="21"/>
              </w:rPr>
            </w:pPr>
          </w:p>
        </w:tc>
      </w:tr>
    </w:tbl>
    <w:p w14:paraId="33A9ECD0">
      <w:pPr>
        <w:spacing w:line="300" w:lineRule="atLeast"/>
        <w:ind w:firstLine="600" w:firstLineChars="250"/>
        <w:rPr>
          <w:rFonts w:ascii="仿宋" w:hAnsi="仿宋" w:eastAsia="仿宋" w:cs="仿宋"/>
          <w:color w:val="auto"/>
          <w:szCs w:val="28"/>
        </w:rPr>
      </w:pPr>
    </w:p>
    <w:p w14:paraId="18EEB989">
      <w:pPr>
        <w:spacing w:line="300" w:lineRule="atLeast"/>
        <w:ind w:firstLine="600" w:firstLineChars="250"/>
        <w:rPr>
          <w:rFonts w:ascii="仿宋" w:hAnsi="仿宋" w:eastAsia="仿宋" w:cs="仿宋"/>
          <w:color w:val="auto"/>
          <w:szCs w:val="28"/>
        </w:rPr>
      </w:pPr>
    </w:p>
    <w:p w14:paraId="19508BAC">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供应商：                           法定代表人（或授权代表 ）或自然人：</w:t>
      </w:r>
    </w:p>
    <w:p w14:paraId="420B033A">
      <w:pPr>
        <w:spacing w:line="400" w:lineRule="atLeast"/>
        <w:ind w:firstLine="600" w:firstLineChars="250"/>
        <w:rPr>
          <w:rFonts w:ascii="仿宋" w:hAnsi="仿宋" w:eastAsia="仿宋" w:cs="仿宋"/>
          <w:color w:val="auto"/>
          <w:szCs w:val="28"/>
        </w:rPr>
      </w:pPr>
    </w:p>
    <w:p w14:paraId="3B879552">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（供应商公章）                               （签署或盖章）</w:t>
      </w:r>
    </w:p>
    <w:p w14:paraId="5B784F0B">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 xml:space="preserve">                                              年     月     日</w:t>
      </w:r>
    </w:p>
    <w:p w14:paraId="317D342F">
      <w:pPr>
        <w:spacing w:line="400" w:lineRule="atLeast"/>
        <w:ind w:firstLine="600" w:firstLineChars="250"/>
        <w:rPr>
          <w:rFonts w:ascii="仿宋" w:hAnsi="仿宋" w:eastAsia="仿宋" w:cs="仿宋"/>
          <w:color w:val="auto"/>
          <w:szCs w:val="28"/>
        </w:rPr>
      </w:pPr>
      <w:r>
        <w:rPr>
          <w:rFonts w:hint="eastAsia" w:ascii="仿宋" w:hAnsi="仿宋" w:eastAsia="仿宋" w:cs="仿宋"/>
          <w:color w:val="auto"/>
          <w:szCs w:val="28"/>
        </w:rPr>
        <w:t>注：</w:t>
      </w:r>
    </w:p>
    <w:p w14:paraId="2B47CB16">
      <w:pPr>
        <w:spacing w:line="400" w:lineRule="atLeast"/>
        <w:ind w:firstLine="600" w:firstLineChars="250"/>
        <w:rPr>
          <w:rFonts w:ascii="仿宋" w:hAnsi="仿宋" w:eastAsia="仿宋" w:cs="仿宋"/>
          <w:color w:val="auto"/>
        </w:rPr>
      </w:pPr>
      <w:r>
        <w:rPr>
          <w:rFonts w:hint="eastAsia" w:ascii="仿宋" w:hAnsi="仿宋" w:eastAsia="仿宋" w:cs="仿宋"/>
          <w:color w:val="auto"/>
        </w:rPr>
        <w:t>1、本表即为对本项目“第二篇  比选项目技术需求”中所列技术要求进行比较和响应；</w:t>
      </w:r>
    </w:p>
    <w:p w14:paraId="7C46E6ED">
      <w:pPr>
        <w:tabs>
          <w:tab w:val="left" w:pos="6300"/>
        </w:tabs>
        <w:snapToGrid w:val="0"/>
        <w:spacing w:line="400" w:lineRule="atLeast"/>
        <w:ind w:firstLine="480" w:firstLineChars="200"/>
        <w:rPr>
          <w:rFonts w:ascii="仿宋" w:hAnsi="仿宋" w:eastAsia="仿宋" w:cs="仿宋"/>
          <w:color w:val="auto"/>
        </w:rPr>
      </w:pPr>
      <w:r>
        <w:rPr>
          <w:rFonts w:hint="eastAsia" w:ascii="仿宋" w:hAnsi="仿宋" w:eastAsia="仿宋" w:cs="仿宋"/>
          <w:color w:val="auto"/>
        </w:rPr>
        <w:t>2、该表可扩展</w:t>
      </w:r>
      <w:r>
        <w:rPr>
          <w:rFonts w:hint="eastAsia" w:ascii="仿宋" w:hAnsi="仿宋" w:eastAsia="仿宋" w:cs="仿宋"/>
          <w:color w:val="auto"/>
          <w:szCs w:val="28"/>
        </w:rPr>
        <w:t>，并逐页签字或盖章</w:t>
      </w:r>
      <w:r>
        <w:rPr>
          <w:rFonts w:hint="eastAsia" w:ascii="仿宋" w:hAnsi="仿宋" w:eastAsia="仿宋" w:cs="仿宋"/>
          <w:color w:val="auto"/>
        </w:rPr>
        <w:t>；</w:t>
      </w:r>
    </w:p>
    <w:p w14:paraId="47160D6E">
      <w:pPr>
        <w:spacing w:line="400" w:lineRule="atLeast"/>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szCs w:val="28"/>
        </w:rPr>
        <w:t>响应情况栏中应当注明技术参数或具体内容，且必须标注技术参数或具体内容在响应文件中的位置（页码）。</w:t>
      </w:r>
    </w:p>
    <w:p w14:paraId="340E0E0D">
      <w:pPr>
        <w:spacing w:line="400" w:lineRule="atLeast"/>
        <w:ind w:firstLine="480" w:firstLineChars="200"/>
        <w:rPr>
          <w:rFonts w:ascii="仿宋" w:hAnsi="仿宋" w:eastAsia="仿宋" w:cs="仿宋"/>
          <w:color w:val="auto"/>
        </w:rPr>
      </w:pPr>
    </w:p>
    <w:p w14:paraId="1A3DE171">
      <w:pPr>
        <w:spacing w:line="400" w:lineRule="atLeast"/>
        <w:ind w:firstLine="480" w:firstLineChars="200"/>
        <w:rPr>
          <w:rFonts w:ascii="仿宋" w:hAnsi="仿宋" w:eastAsia="仿宋" w:cs="仿宋"/>
          <w:color w:val="auto"/>
        </w:rPr>
      </w:pPr>
    </w:p>
    <w:p w14:paraId="52FE61EC">
      <w:pPr>
        <w:spacing w:line="400" w:lineRule="atLeast"/>
        <w:ind w:firstLine="480" w:firstLineChars="200"/>
        <w:rPr>
          <w:rFonts w:ascii="仿宋" w:hAnsi="仿宋" w:eastAsia="仿宋" w:cs="仿宋"/>
          <w:color w:val="auto"/>
        </w:rPr>
      </w:pPr>
    </w:p>
    <w:p w14:paraId="03FF8B95">
      <w:pPr>
        <w:spacing w:line="400" w:lineRule="atLeast"/>
        <w:ind w:firstLine="480" w:firstLineChars="200"/>
        <w:rPr>
          <w:rFonts w:ascii="仿宋" w:hAnsi="仿宋" w:eastAsia="仿宋" w:cs="仿宋"/>
          <w:color w:val="auto"/>
        </w:rPr>
      </w:pPr>
    </w:p>
    <w:p w14:paraId="7D9A755E">
      <w:pPr>
        <w:spacing w:line="400" w:lineRule="atLeast"/>
        <w:ind w:firstLine="480" w:firstLineChars="200"/>
        <w:rPr>
          <w:rFonts w:ascii="仿宋" w:hAnsi="仿宋" w:eastAsia="仿宋" w:cs="仿宋"/>
          <w:color w:val="auto"/>
        </w:rPr>
      </w:pPr>
    </w:p>
    <w:p w14:paraId="299597BA">
      <w:pPr>
        <w:spacing w:line="400" w:lineRule="atLeast"/>
        <w:ind w:firstLine="480" w:firstLineChars="200"/>
        <w:rPr>
          <w:rFonts w:ascii="仿宋" w:hAnsi="仿宋" w:eastAsia="仿宋" w:cs="仿宋"/>
          <w:color w:val="auto"/>
        </w:rPr>
      </w:pPr>
    </w:p>
    <w:p w14:paraId="6AEA88B8">
      <w:pPr>
        <w:spacing w:line="400" w:lineRule="atLeast"/>
        <w:rPr>
          <w:rFonts w:ascii="仿宋" w:hAnsi="仿宋" w:eastAsia="仿宋" w:cs="仿宋"/>
          <w:color w:val="auto"/>
        </w:rPr>
      </w:pPr>
    </w:p>
    <w:p w14:paraId="428BE5FE">
      <w:pPr>
        <w:spacing w:line="400" w:lineRule="atLeast"/>
        <w:ind w:firstLine="480" w:firstLineChars="200"/>
        <w:rPr>
          <w:rFonts w:ascii="仿宋" w:hAnsi="仿宋" w:eastAsia="仿宋" w:cs="仿宋"/>
          <w:color w:val="auto"/>
        </w:rPr>
      </w:pPr>
      <w:r>
        <w:rPr>
          <w:rFonts w:hint="eastAsia" w:ascii="仿宋" w:hAnsi="仿宋" w:eastAsia="仿宋" w:cs="仿宋"/>
          <w:color w:val="auto"/>
        </w:rPr>
        <w:t>（二）其他技术资料（根据采购需求和评审因素的要求自拟）</w:t>
      </w:r>
    </w:p>
    <w:p w14:paraId="0C031160">
      <w:pPr>
        <w:rPr>
          <w:rFonts w:ascii="仿宋" w:hAnsi="仿宋" w:eastAsia="仿宋" w:cs="仿宋"/>
          <w:b/>
          <w:bCs/>
          <w:color w:val="auto"/>
        </w:rPr>
      </w:pPr>
      <w:bookmarkStart w:id="124" w:name="_Toc478823790"/>
      <w:r>
        <w:rPr>
          <w:rFonts w:hint="eastAsia" w:ascii="仿宋" w:hAnsi="仿宋" w:eastAsia="仿宋" w:cs="仿宋"/>
          <w:b/>
          <w:bCs/>
          <w:color w:val="auto"/>
        </w:rPr>
        <w:br w:type="page"/>
      </w:r>
    </w:p>
    <w:p w14:paraId="6CBE4A04">
      <w:pPr>
        <w:rPr>
          <w:rFonts w:ascii="仿宋" w:hAnsi="仿宋" w:eastAsia="仿宋" w:cs="仿宋"/>
          <w:b/>
          <w:bCs/>
          <w:color w:val="auto"/>
        </w:rPr>
      </w:pPr>
      <w:r>
        <w:rPr>
          <w:rFonts w:hint="eastAsia" w:ascii="仿宋" w:hAnsi="仿宋" w:eastAsia="仿宋" w:cs="仿宋"/>
          <w:b/>
          <w:bCs/>
          <w:color w:val="auto"/>
        </w:rPr>
        <w:t>三、商务部分</w:t>
      </w:r>
      <w:bookmarkEnd w:id="124"/>
    </w:p>
    <w:p w14:paraId="5B2A79DB">
      <w:pPr>
        <w:spacing w:line="300" w:lineRule="atLeast"/>
        <w:rPr>
          <w:rFonts w:ascii="仿宋" w:hAnsi="仿宋" w:eastAsia="仿宋" w:cs="仿宋"/>
          <w:color w:val="auto"/>
        </w:rPr>
      </w:pPr>
      <w:r>
        <w:rPr>
          <w:rFonts w:hint="eastAsia" w:ascii="仿宋" w:hAnsi="仿宋" w:eastAsia="仿宋" w:cs="仿宋"/>
          <w:color w:val="auto"/>
        </w:rPr>
        <w:t>（一）服务响应偏离表</w:t>
      </w:r>
    </w:p>
    <w:p w14:paraId="0791B0E3">
      <w:pPr>
        <w:pStyle w:val="33"/>
        <w:tabs>
          <w:tab w:val="left" w:pos="6300"/>
        </w:tabs>
        <w:snapToGrid w:val="0"/>
        <w:spacing w:line="300" w:lineRule="atLeast"/>
        <w:outlineLvl w:val="0"/>
        <w:rPr>
          <w:rFonts w:ascii="仿宋" w:hAnsi="仿宋" w:eastAsia="仿宋" w:cs="仿宋"/>
          <w:color w:val="auto"/>
        </w:rPr>
      </w:pPr>
      <w:r>
        <w:rPr>
          <w:rFonts w:hint="eastAsia" w:ascii="仿宋" w:hAnsi="仿宋" w:eastAsia="仿宋" w:cs="仿宋"/>
          <w:color w:val="auto"/>
        </w:rPr>
        <w:t>采购计划编号：</w:t>
      </w:r>
    </w:p>
    <w:p w14:paraId="7B3B9E46">
      <w:pPr>
        <w:snapToGrid w:val="0"/>
        <w:spacing w:line="300" w:lineRule="atLeast"/>
        <w:rPr>
          <w:rFonts w:ascii="仿宋" w:hAnsi="仿宋" w:eastAsia="仿宋" w:cs="仿宋"/>
          <w:color w:val="auto"/>
        </w:rPr>
      </w:pPr>
      <w:r>
        <w:rPr>
          <w:rFonts w:hint="eastAsia" w:ascii="仿宋" w:hAnsi="仿宋" w:eastAsia="仿宋" w:cs="仿宋"/>
          <w:color w:val="auto"/>
        </w:rPr>
        <w:t>采购项目名称：</w:t>
      </w:r>
    </w:p>
    <w:tbl>
      <w:tblPr>
        <w:tblStyle w:val="5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7E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vAlign w:val="center"/>
          </w:tcPr>
          <w:p w14:paraId="3933CAE8">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序号</w:t>
            </w:r>
          </w:p>
        </w:tc>
        <w:tc>
          <w:tcPr>
            <w:tcW w:w="3179" w:type="dxa"/>
            <w:vAlign w:val="center"/>
          </w:tcPr>
          <w:p w14:paraId="12FBFA47">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比选项目商务需求</w:t>
            </w:r>
          </w:p>
        </w:tc>
        <w:tc>
          <w:tcPr>
            <w:tcW w:w="2434" w:type="dxa"/>
            <w:vAlign w:val="center"/>
          </w:tcPr>
          <w:p w14:paraId="67BD4105">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响应情况</w:t>
            </w:r>
          </w:p>
        </w:tc>
        <w:tc>
          <w:tcPr>
            <w:tcW w:w="2355" w:type="dxa"/>
            <w:vAlign w:val="center"/>
          </w:tcPr>
          <w:p w14:paraId="627444BD">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rPr>
              <w:t>偏离说明</w:t>
            </w:r>
          </w:p>
        </w:tc>
      </w:tr>
      <w:tr w14:paraId="5E19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vAlign w:val="center"/>
          </w:tcPr>
          <w:p w14:paraId="7A7B4239">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65A87300">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0A50AF3B">
            <w:pPr>
              <w:tabs>
                <w:tab w:val="left" w:pos="6300"/>
              </w:tabs>
              <w:snapToGrid w:val="0"/>
              <w:spacing w:line="300" w:lineRule="atLeast"/>
              <w:jc w:val="center"/>
              <w:outlineLvl w:val="0"/>
              <w:rPr>
                <w:rFonts w:ascii="仿宋" w:hAnsi="仿宋" w:eastAsia="仿宋" w:cs="仿宋"/>
                <w:color w:val="auto"/>
                <w:sz w:val="21"/>
              </w:rPr>
            </w:pPr>
            <w:r>
              <w:rPr>
                <w:rFonts w:hint="eastAsia" w:ascii="仿宋" w:hAnsi="仿宋" w:eastAsia="仿宋" w:cs="仿宋"/>
                <w:color w:val="auto"/>
                <w:sz w:val="21"/>
                <w:szCs w:val="21"/>
              </w:rPr>
              <w:t>提醒：请注明具体内容以及响应文件中具体内容的位置（页码）</w:t>
            </w:r>
          </w:p>
        </w:tc>
        <w:tc>
          <w:tcPr>
            <w:tcW w:w="2355" w:type="dxa"/>
            <w:vAlign w:val="center"/>
          </w:tcPr>
          <w:p w14:paraId="545F10F2">
            <w:pPr>
              <w:tabs>
                <w:tab w:val="left" w:pos="6300"/>
              </w:tabs>
              <w:snapToGrid w:val="0"/>
              <w:spacing w:line="300" w:lineRule="atLeast"/>
              <w:jc w:val="center"/>
              <w:outlineLvl w:val="0"/>
              <w:rPr>
                <w:rFonts w:ascii="仿宋" w:hAnsi="仿宋" w:eastAsia="仿宋" w:cs="仿宋"/>
                <w:color w:val="auto"/>
                <w:sz w:val="21"/>
              </w:rPr>
            </w:pPr>
          </w:p>
        </w:tc>
      </w:tr>
      <w:tr w14:paraId="3A7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vAlign w:val="center"/>
          </w:tcPr>
          <w:p w14:paraId="25D97EBC">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23DFA613">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55F2EE15">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63A48AE5">
            <w:pPr>
              <w:tabs>
                <w:tab w:val="left" w:pos="6300"/>
              </w:tabs>
              <w:snapToGrid w:val="0"/>
              <w:spacing w:line="300" w:lineRule="atLeast"/>
              <w:jc w:val="center"/>
              <w:outlineLvl w:val="0"/>
              <w:rPr>
                <w:rFonts w:ascii="仿宋" w:hAnsi="仿宋" w:eastAsia="仿宋" w:cs="仿宋"/>
                <w:color w:val="auto"/>
                <w:sz w:val="21"/>
              </w:rPr>
            </w:pPr>
          </w:p>
        </w:tc>
      </w:tr>
      <w:tr w14:paraId="2EDA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vAlign w:val="center"/>
          </w:tcPr>
          <w:p w14:paraId="2BE0ACD3">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6552E0EF">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378C1933">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14AF9458">
            <w:pPr>
              <w:tabs>
                <w:tab w:val="left" w:pos="6300"/>
              </w:tabs>
              <w:snapToGrid w:val="0"/>
              <w:spacing w:line="300" w:lineRule="atLeast"/>
              <w:jc w:val="center"/>
              <w:outlineLvl w:val="0"/>
              <w:rPr>
                <w:rFonts w:ascii="仿宋" w:hAnsi="仿宋" w:eastAsia="仿宋" w:cs="仿宋"/>
                <w:color w:val="auto"/>
                <w:sz w:val="21"/>
              </w:rPr>
            </w:pPr>
          </w:p>
        </w:tc>
      </w:tr>
      <w:tr w14:paraId="109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vAlign w:val="center"/>
          </w:tcPr>
          <w:p w14:paraId="16310843">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72169F12">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68E1603C">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2935D0D0">
            <w:pPr>
              <w:tabs>
                <w:tab w:val="left" w:pos="6300"/>
              </w:tabs>
              <w:snapToGrid w:val="0"/>
              <w:spacing w:line="300" w:lineRule="atLeast"/>
              <w:jc w:val="center"/>
              <w:outlineLvl w:val="0"/>
              <w:rPr>
                <w:rFonts w:ascii="仿宋" w:hAnsi="仿宋" w:eastAsia="仿宋" w:cs="仿宋"/>
                <w:color w:val="auto"/>
                <w:sz w:val="21"/>
              </w:rPr>
            </w:pPr>
          </w:p>
        </w:tc>
      </w:tr>
      <w:tr w14:paraId="2E3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vAlign w:val="center"/>
          </w:tcPr>
          <w:p w14:paraId="479D0E1E">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6F336DE9">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230C7BC2">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30F47B8C">
            <w:pPr>
              <w:tabs>
                <w:tab w:val="left" w:pos="6300"/>
              </w:tabs>
              <w:snapToGrid w:val="0"/>
              <w:spacing w:line="300" w:lineRule="atLeast"/>
              <w:jc w:val="center"/>
              <w:outlineLvl w:val="0"/>
              <w:rPr>
                <w:rFonts w:ascii="仿宋" w:hAnsi="仿宋" w:eastAsia="仿宋" w:cs="仿宋"/>
                <w:color w:val="auto"/>
                <w:sz w:val="21"/>
              </w:rPr>
            </w:pPr>
          </w:p>
        </w:tc>
      </w:tr>
      <w:tr w14:paraId="149E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vAlign w:val="center"/>
          </w:tcPr>
          <w:p w14:paraId="2E5CEAD5">
            <w:pPr>
              <w:tabs>
                <w:tab w:val="left" w:pos="6300"/>
              </w:tabs>
              <w:snapToGrid w:val="0"/>
              <w:spacing w:line="300" w:lineRule="atLeast"/>
              <w:jc w:val="center"/>
              <w:outlineLvl w:val="0"/>
              <w:rPr>
                <w:rFonts w:ascii="仿宋" w:hAnsi="仿宋" w:eastAsia="仿宋" w:cs="仿宋"/>
                <w:color w:val="auto"/>
                <w:sz w:val="21"/>
              </w:rPr>
            </w:pPr>
          </w:p>
        </w:tc>
        <w:tc>
          <w:tcPr>
            <w:tcW w:w="3179" w:type="dxa"/>
            <w:vAlign w:val="center"/>
          </w:tcPr>
          <w:p w14:paraId="3DA9B636">
            <w:pPr>
              <w:tabs>
                <w:tab w:val="left" w:pos="6300"/>
              </w:tabs>
              <w:snapToGrid w:val="0"/>
              <w:spacing w:line="300" w:lineRule="atLeast"/>
              <w:jc w:val="center"/>
              <w:outlineLvl w:val="0"/>
              <w:rPr>
                <w:rFonts w:ascii="仿宋" w:hAnsi="仿宋" w:eastAsia="仿宋" w:cs="仿宋"/>
                <w:color w:val="auto"/>
                <w:sz w:val="21"/>
              </w:rPr>
            </w:pPr>
          </w:p>
        </w:tc>
        <w:tc>
          <w:tcPr>
            <w:tcW w:w="2434" w:type="dxa"/>
            <w:vAlign w:val="center"/>
          </w:tcPr>
          <w:p w14:paraId="32BFFE60">
            <w:pPr>
              <w:tabs>
                <w:tab w:val="left" w:pos="6300"/>
              </w:tabs>
              <w:snapToGrid w:val="0"/>
              <w:spacing w:line="300" w:lineRule="atLeast"/>
              <w:jc w:val="center"/>
              <w:outlineLvl w:val="0"/>
              <w:rPr>
                <w:rFonts w:ascii="仿宋" w:hAnsi="仿宋" w:eastAsia="仿宋" w:cs="仿宋"/>
                <w:color w:val="auto"/>
                <w:sz w:val="21"/>
              </w:rPr>
            </w:pPr>
          </w:p>
        </w:tc>
        <w:tc>
          <w:tcPr>
            <w:tcW w:w="2355" w:type="dxa"/>
            <w:vAlign w:val="center"/>
          </w:tcPr>
          <w:p w14:paraId="0A8E6AAA">
            <w:pPr>
              <w:tabs>
                <w:tab w:val="left" w:pos="6300"/>
              </w:tabs>
              <w:snapToGrid w:val="0"/>
              <w:spacing w:line="300" w:lineRule="atLeast"/>
              <w:jc w:val="center"/>
              <w:outlineLvl w:val="0"/>
              <w:rPr>
                <w:rFonts w:ascii="仿宋" w:hAnsi="仿宋" w:eastAsia="仿宋" w:cs="仿宋"/>
                <w:color w:val="auto"/>
                <w:sz w:val="21"/>
              </w:rPr>
            </w:pPr>
          </w:p>
        </w:tc>
      </w:tr>
    </w:tbl>
    <w:p w14:paraId="297882A8">
      <w:pPr>
        <w:spacing w:line="300" w:lineRule="atLeast"/>
        <w:ind w:firstLine="600" w:firstLineChars="250"/>
        <w:rPr>
          <w:rFonts w:ascii="仿宋" w:hAnsi="仿宋" w:eastAsia="仿宋" w:cs="仿宋"/>
          <w:color w:val="auto"/>
          <w:szCs w:val="28"/>
        </w:rPr>
      </w:pPr>
    </w:p>
    <w:p w14:paraId="0F393017">
      <w:pPr>
        <w:spacing w:line="400" w:lineRule="exact"/>
        <w:ind w:firstLine="600" w:firstLineChars="250"/>
        <w:rPr>
          <w:rFonts w:ascii="仿宋" w:hAnsi="仿宋" w:eastAsia="仿宋" w:cs="仿宋"/>
          <w:color w:val="auto"/>
          <w:szCs w:val="28"/>
        </w:rPr>
      </w:pPr>
      <w:r>
        <w:rPr>
          <w:rFonts w:hint="eastAsia" w:ascii="仿宋" w:hAnsi="仿宋" w:eastAsia="仿宋" w:cs="仿宋"/>
          <w:color w:val="auto"/>
          <w:szCs w:val="28"/>
        </w:rPr>
        <w:t>供应商：                          法</w:t>
      </w:r>
      <w:r>
        <w:rPr>
          <w:rFonts w:hint="eastAsia" w:ascii="仿宋" w:hAnsi="仿宋" w:eastAsia="仿宋" w:cs="仿宋"/>
          <w:color w:val="auto"/>
        </w:rPr>
        <w:t>定代表</w:t>
      </w:r>
      <w:r>
        <w:rPr>
          <w:rFonts w:hint="eastAsia" w:ascii="仿宋" w:hAnsi="仿宋" w:eastAsia="仿宋" w:cs="仿宋"/>
          <w:color w:val="auto"/>
          <w:szCs w:val="28"/>
        </w:rPr>
        <w:t>人</w:t>
      </w:r>
      <w:r>
        <w:rPr>
          <w:rFonts w:hint="eastAsia" w:ascii="仿宋" w:hAnsi="仿宋" w:eastAsia="仿宋" w:cs="仿宋"/>
          <w:color w:val="auto"/>
        </w:rPr>
        <w:t>（或其</w:t>
      </w:r>
      <w:r>
        <w:rPr>
          <w:rFonts w:hint="eastAsia" w:ascii="仿宋" w:hAnsi="仿宋" w:eastAsia="仿宋" w:cs="仿宋"/>
          <w:color w:val="auto"/>
          <w:szCs w:val="28"/>
        </w:rPr>
        <w:t>授权代表</w:t>
      </w:r>
      <w:r>
        <w:rPr>
          <w:rFonts w:hint="eastAsia" w:ascii="仿宋" w:hAnsi="仿宋" w:eastAsia="仿宋" w:cs="仿宋"/>
          <w:color w:val="auto"/>
        </w:rPr>
        <w:t>）或自然人：</w:t>
      </w:r>
    </w:p>
    <w:p w14:paraId="1FF699A8">
      <w:pPr>
        <w:spacing w:line="400" w:lineRule="exact"/>
        <w:rPr>
          <w:rFonts w:ascii="仿宋" w:hAnsi="仿宋" w:eastAsia="仿宋" w:cs="仿宋"/>
          <w:color w:val="auto"/>
          <w:szCs w:val="28"/>
        </w:rPr>
      </w:pPr>
    </w:p>
    <w:p w14:paraId="52717774">
      <w:pPr>
        <w:tabs>
          <w:tab w:val="left" w:pos="6300"/>
        </w:tabs>
        <w:snapToGrid w:val="0"/>
        <w:spacing w:line="400" w:lineRule="exact"/>
        <w:ind w:firstLine="480" w:firstLineChars="200"/>
        <w:rPr>
          <w:rFonts w:ascii="仿宋" w:hAnsi="仿宋" w:eastAsia="仿宋" w:cs="仿宋"/>
          <w:color w:val="auto"/>
          <w:szCs w:val="28"/>
        </w:rPr>
      </w:pPr>
      <w:r>
        <w:rPr>
          <w:rFonts w:hint="eastAsia" w:ascii="仿宋" w:hAnsi="仿宋" w:eastAsia="仿宋" w:cs="仿宋"/>
          <w:color w:val="auto"/>
          <w:szCs w:val="28"/>
        </w:rPr>
        <w:t>（供应商公章）                                 （签署或盖章）</w:t>
      </w:r>
    </w:p>
    <w:p w14:paraId="66008A89">
      <w:pPr>
        <w:tabs>
          <w:tab w:val="left" w:pos="6300"/>
        </w:tabs>
        <w:snapToGrid w:val="0"/>
        <w:spacing w:line="400" w:lineRule="exact"/>
        <w:ind w:firstLine="480" w:firstLineChars="200"/>
        <w:rPr>
          <w:rFonts w:ascii="仿宋" w:hAnsi="仿宋" w:eastAsia="仿宋" w:cs="仿宋"/>
          <w:color w:val="auto"/>
          <w:szCs w:val="28"/>
        </w:rPr>
      </w:pPr>
      <w:r>
        <w:rPr>
          <w:rFonts w:hint="eastAsia" w:ascii="仿宋" w:hAnsi="仿宋" w:eastAsia="仿宋" w:cs="仿宋"/>
          <w:color w:val="auto"/>
          <w:szCs w:val="28"/>
        </w:rPr>
        <w:t xml:space="preserve">                                            年     月     日</w:t>
      </w:r>
    </w:p>
    <w:p w14:paraId="3DCF8B1A">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注：</w:t>
      </w:r>
    </w:p>
    <w:p w14:paraId="5E183C69">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1、本表即为对本项目“第三篇 项目商务需求”中所列服务要求进行比较和响应；</w:t>
      </w:r>
    </w:p>
    <w:p w14:paraId="62D26B6C">
      <w:pPr>
        <w:tabs>
          <w:tab w:val="left" w:pos="6300"/>
        </w:tabs>
        <w:snapToGrid w:val="0"/>
        <w:spacing w:line="400" w:lineRule="exact"/>
        <w:ind w:firstLine="480" w:firstLineChars="200"/>
        <w:rPr>
          <w:rFonts w:ascii="仿宋" w:hAnsi="仿宋" w:eastAsia="仿宋" w:cs="仿宋"/>
          <w:color w:val="auto"/>
        </w:rPr>
      </w:pPr>
      <w:r>
        <w:rPr>
          <w:rFonts w:hint="eastAsia" w:ascii="仿宋" w:hAnsi="仿宋" w:eastAsia="仿宋" w:cs="仿宋"/>
          <w:color w:val="auto"/>
        </w:rPr>
        <w:t>2、该表可扩展</w:t>
      </w:r>
    </w:p>
    <w:p w14:paraId="3D7001ED">
      <w:pPr>
        <w:tabs>
          <w:tab w:val="left" w:pos="6300"/>
        </w:tabs>
        <w:snapToGrid w:val="0"/>
        <w:spacing w:line="500" w:lineRule="exact"/>
        <w:rPr>
          <w:rFonts w:ascii="仿宋" w:hAnsi="仿宋" w:eastAsia="仿宋" w:cs="仿宋"/>
          <w:color w:val="auto"/>
        </w:rPr>
      </w:pPr>
      <w:r>
        <w:rPr>
          <w:rFonts w:hint="eastAsia" w:ascii="仿宋" w:hAnsi="仿宋" w:eastAsia="仿宋" w:cs="仿宋"/>
          <w:color w:val="auto"/>
        </w:rPr>
        <w:t xml:space="preserve">    3、响应</w:t>
      </w:r>
      <w:r>
        <w:rPr>
          <w:rFonts w:hint="eastAsia" w:ascii="仿宋" w:hAnsi="仿宋" w:eastAsia="仿宋" w:cs="仿宋"/>
          <w:color w:val="auto"/>
          <w:szCs w:val="28"/>
        </w:rPr>
        <w:t>情况栏中应当注明具体内容，且必须标注具体内容在响应文件中的位置（页码）。</w:t>
      </w:r>
    </w:p>
    <w:p w14:paraId="0D06A5F6">
      <w:pPr>
        <w:tabs>
          <w:tab w:val="left" w:pos="6300"/>
        </w:tabs>
        <w:snapToGrid w:val="0"/>
        <w:spacing w:line="400" w:lineRule="exact"/>
        <w:rPr>
          <w:rFonts w:ascii="仿宋" w:hAnsi="仿宋" w:eastAsia="仿宋" w:cs="仿宋"/>
          <w:color w:val="auto"/>
        </w:rPr>
      </w:pPr>
    </w:p>
    <w:p w14:paraId="53197F12">
      <w:pPr>
        <w:tabs>
          <w:tab w:val="left" w:pos="6300"/>
        </w:tabs>
        <w:snapToGrid w:val="0"/>
        <w:spacing w:line="400" w:lineRule="exact"/>
        <w:ind w:firstLine="240" w:firstLineChars="100"/>
        <w:rPr>
          <w:rFonts w:ascii="仿宋" w:hAnsi="仿宋" w:eastAsia="仿宋" w:cs="仿宋"/>
          <w:color w:val="auto"/>
        </w:rPr>
      </w:pPr>
    </w:p>
    <w:p w14:paraId="142CB1EE">
      <w:pPr>
        <w:tabs>
          <w:tab w:val="left" w:pos="6300"/>
        </w:tabs>
        <w:snapToGrid w:val="0"/>
        <w:spacing w:line="400" w:lineRule="exact"/>
        <w:ind w:firstLine="240" w:firstLineChars="100"/>
        <w:rPr>
          <w:rFonts w:ascii="仿宋" w:hAnsi="仿宋" w:eastAsia="仿宋" w:cs="仿宋"/>
          <w:color w:val="auto"/>
        </w:rPr>
      </w:pPr>
    </w:p>
    <w:p w14:paraId="11B2A984">
      <w:pPr>
        <w:tabs>
          <w:tab w:val="left" w:pos="6300"/>
        </w:tabs>
        <w:snapToGrid w:val="0"/>
        <w:spacing w:line="400" w:lineRule="exact"/>
        <w:ind w:firstLine="240" w:firstLineChars="100"/>
        <w:rPr>
          <w:rFonts w:ascii="仿宋" w:hAnsi="仿宋" w:eastAsia="仿宋" w:cs="仿宋"/>
          <w:color w:val="auto"/>
        </w:rPr>
      </w:pPr>
    </w:p>
    <w:p w14:paraId="0E1DED52">
      <w:pPr>
        <w:tabs>
          <w:tab w:val="left" w:pos="6300"/>
        </w:tabs>
        <w:snapToGrid w:val="0"/>
        <w:spacing w:line="400" w:lineRule="exact"/>
        <w:ind w:firstLine="240" w:firstLineChars="100"/>
        <w:rPr>
          <w:rFonts w:ascii="仿宋" w:hAnsi="仿宋" w:eastAsia="仿宋" w:cs="仿宋"/>
          <w:color w:val="auto"/>
        </w:rPr>
      </w:pPr>
    </w:p>
    <w:p w14:paraId="2D261764">
      <w:pPr>
        <w:tabs>
          <w:tab w:val="left" w:pos="6300"/>
        </w:tabs>
        <w:snapToGrid w:val="0"/>
        <w:spacing w:line="400" w:lineRule="exact"/>
        <w:ind w:firstLine="240" w:firstLineChars="100"/>
        <w:rPr>
          <w:rFonts w:ascii="仿宋" w:hAnsi="仿宋" w:eastAsia="仿宋" w:cs="仿宋"/>
          <w:color w:val="auto"/>
        </w:rPr>
      </w:pPr>
    </w:p>
    <w:p w14:paraId="295C1E70">
      <w:pPr>
        <w:tabs>
          <w:tab w:val="left" w:pos="6300"/>
        </w:tabs>
        <w:snapToGrid w:val="0"/>
        <w:spacing w:line="400" w:lineRule="exact"/>
        <w:ind w:firstLine="240" w:firstLineChars="100"/>
        <w:rPr>
          <w:rFonts w:ascii="仿宋" w:hAnsi="仿宋" w:eastAsia="仿宋" w:cs="仿宋"/>
          <w:color w:val="auto"/>
        </w:rPr>
      </w:pPr>
    </w:p>
    <w:p w14:paraId="4E0870A0">
      <w:pPr>
        <w:tabs>
          <w:tab w:val="left" w:pos="6300"/>
        </w:tabs>
        <w:snapToGrid w:val="0"/>
        <w:spacing w:line="400" w:lineRule="exact"/>
        <w:ind w:firstLine="240" w:firstLineChars="100"/>
        <w:rPr>
          <w:rFonts w:ascii="仿宋" w:hAnsi="仿宋" w:eastAsia="仿宋" w:cs="仿宋"/>
          <w:color w:val="auto"/>
        </w:rPr>
      </w:pPr>
    </w:p>
    <w:p w14:paraId="34D57DF9">
      <w:pPr>
        <w:tabs>
          <w:tab w:val="left" w:pos="6300"/>
        </w:tabs>
        <w:snapToGrid w:val="0"/>
        <w:spacing w:line="400" w:lineRule="exact"/>
        <w:ind w:firstLine="240" w:firstLineChars="100"/>
        <w:rPr>
          <w:rFonts w:ascii="仿宋" w:hAnsi="仿宋" w:eastAsia="仿宋" w:cs="仿宋"/>
          <w:color w:val="auto"/>
        </w:rPr>
      </w:pPr>
    </w:p>
    <w:p w14:paraId="7D4E76BF">
      <w:pPr>
        <w:tabs>
          <w:tab w:val="left" w:pos="6300"/>
        </w:tabs>
        <w:snapToGrid w:val="0"/>
        <w:spacing w:line="400" w:lineRule="exact"/>
        <w:ind w:firstLine="240" w:firstLineChars="100"/>
        <w:rPr>
          <w:rFonts w:ascii="仿宋" w:hAnsi="仿宋" w:eastAsia="仿宋" w:cs="仿宋"/>
          <w:color w:val="auto"/>
        </w:rPr>
      </w:pPr>
    </w:p>
    <w:p w14:paraId="462E6D8E">
      <w:pPr>
        <w:tabs>
          <w:tab w:val="left" w:pos="6300"/>
        </w:tabs>
        <w:snapToGrid w:val="0"/>
        <w:spacing w:line="400" w:lineRule="exact"/>
        <w:ind w:firstLine="240" w:firstLineChars="100"/>
        <w:rPr>
          <w:rFonts w:ascii="仿宋" w:hAnsi="仿宋" w:eastAsia="仿宋" w:cs="仿宋"/>
          <w:color w:val="auto"/>
        </w:rPr>
      </w:pPr>
    </w:p>
    <w:p w14:paraId="7E2DB746">
      <w:pPr>
        <w:tabs>
          <w:tab w:val="left" w:pos="6300"/>
        </w:tabs>
        <w:snapToGrid w:val="0"/>
        <w:spacing w:line="400" w:lineRule="exact"/>
        <w:rPr>
          <w:rFonts w:ascii="仿宋" w:hAnsi="仿宋" w:eastAsia="仿宋" w:cs="仿宋"/>
          <w:color w:val="auto"/>
        </w:rPr>
      </w:pPr>
    </w:p>
    <w:p w14:paraId="3ADCFEB4">
      <w:pPr>
        <w:tabs>
          <w:tab w:val="left" w:pos="6300"/>
        </w:tabs>
        <w:snapToGrid w:val="0"/>
        <w:spacing w:line="400" w:lineRule="exact"/>
        <w:rPr>
          <w:rFonts w:ascii="仿宋" w:hAnsi="仿宋" w:eastAsia="仿宋" w:cs="仿宋"/>
          <w:color w:val="auto"/>
        </w:rPr>
      </w:pPr>
    </w:p>
    <w:p w14:paraId="4B24060C">
      <w:pPr>
        <w:tabs>
          <w:tab w:val="left" w:pos="6300"/>
        </w:tabs>
        <w:snapToGrid w:val="0"/>
        <w:spacing w:line="400" w:lineRule="exact"/>
        <w:ind w:firstLine="240" w:firstLineChars="100"/>
        <w:rPr>
          <w:rFonts w:ascii="仿宋" w:hAnsi="仿宋" w:eastAsia="仿宋" w:cs="仿宋"/>
          <w:color w:val="auto"/>
        </w:rPr>
        <w:sectPr>
          <w:headerReference r:id="rId13"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仿宋"/>
          <w:color w:val="auto"/>
        </w:rPr>
        <w:t>（二）其它优惠服务承诺（格式自拟）</w:t>
      </w:r>
    </w:p>
    <w:p w14:paraId="4008DF37">
      <w:pPr>
        <w:tabs>
          <w:tab w:val="left" w:pos="6300"/>
        </w:tabs>
        <w:snapToGrid w:val="0"/>
        <w:spacing w:line="300" w:lineRule="atLeast"/>
        <w:rPr>
          <w:rFonts w:ascii="仿宋" w:hAnsi="仿宋" w:eastAsia="仿宋" w:cs="仿宋"/>
          <w:b/>
          <w:bCs/>
          <w:color w:val="auto"/>
        </w:rPr>
      </w:pPr>
      <w:bookmarkStart w:id="125" w:name="_Toc478823791"/>
      <w:r>
        <w:rPr>
          <w:rFonts w:hint="eastAsia" w:ascii="仿宋" w:hAnsi="仿宋" w:eastAsia="仿宋" w:cs="仿宋"/>
          <w:b/>
          <w:bCs/>
          <w:color w:val="auto"/>
        </w:rPr>
        <w:t>四、资格条件</w:t>
      </w:r>
      <w:bookmarkEnd w:id="125"/>
    </w:p>
    <w:p w14:paraId="2F680731">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44E89DD8">
      <w:pPr>
        <w:tabs>
          <w:tab w:val="left" w:pos="6300"/>
        </w:tabs>
        <w:snapToGrid w:val="0"/>
        <w:spacing w:line="300" w:lineRule="atLeast"/>
        <w:ind w:firstLine="570"/>
        <w:rPr>
          <w:rFonts w:ascii="仿宋" w:hAnsi="仿宋" w:eastAsia="仿宋" w:cs="仿宋"/>
          <w:color w:val="auto"/>
        </w:rPr>
      </w:pPr>
    </w:p>
    <w:p w14:paraId="2AFC4668">
      <w:pPr>
        <w:tabs>
          <w:tab w:val="left" w:pos="6300"/>
        </w:tabs>
        <w:snapToGrid w:val="0"/>
        <w:spacing w:line="300" w:lineRule="atLeast"/>
        <w:ind w:firstLine="570"/>
        <w:rPr>
          <w:rFonts w:ascii="仿宋" w:hAnsi="仿宋" w:eastAsia="仿宋" w:cs="仿宋"/>
          <w:color w:val="auto"/>
        </w:rPr>
      </w:pPr>
    </w:p>
    <w:p w14:paraId="2B25BC94">
      <w:pPr>
        <w:tabs>
          <w:tab w:val="left" w:pos="6300"/>
        </w:tabs>
        <w:snapToGrid w:val="0"/>
        <w:spacing w:line="300" w:lineRule="atLeast"/>
        <w:ind w:firstLine="570"/>
        <w:rPr>
          <w:rFonts w:ascii="仿宋" w:hAnsi="仿宋" w:eastAsia="仿宋" w:cs="仿宋"/>
          <w:color w:val="auto"/>
        </w:rPr>
      </w:pPr>
    </w:p>
    <w:p w14:paraId="61C0477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288287EF">
      <w:pPr>
        <w:tabs>
          <w:tab w:val="left" w:pos="6300"/>
        </w:tabs>
        <w:snapToGrid w:val="0"/>
        <w:spacing w:line="300" w:lineRule="atLeast"/>
        <w:ind w:firstLine="570"/>
        <w:rPr>
          <w:rFonts w:ascii="仿宋" w:hAnsi="仿宋" w:eastAsia="仿宋" w:cs="仿宋"/>
          <w:color w:val="auto"/>
        </w:rPr>
      </w:pPr>
    </w:p>
    <w:p w14:paraId="32A59E49">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比选项目名称：</w:t>
      </w:r>
      <w:r>
        <w:rPr>
          <w:rFonts w:hint="eastAsia" w:ascii="仿宋" w:hAnsi="仿宋" w:eastAsia="仿宋" w:cs="仿宋"/>
          <w:color w:val="auto"/>
          <w:u w:val="single"/>
        </w:rPr>
        <w:t xml:space="preserve">                                                </w:t>
      </w:r>
    </w:p>
    <w:p w14:paraId="16B634C8">
      <w:pPr>
        <w:tabs>
          <w:tab w:val="left" w:pos="6300"/>
        </w:tabs>
        <w:snapToGrid w:val="0"/>
        <w:spacing w:line="300" w:lineRule="atLeast"/>
        <w:ind w:firstLine="570"/>
        <w:rPr>
          <w:rFonts w:ascii="仿宋" w:hAnsi="仿宋" w:eastAsia="仿宋" w:cs="仿宋"/>
          <w:color w:val="auto"/>
        </w:rPr>
      </w:pPr>
    </w:p>
    <w:p w14:paraId="6713A376">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（采购代理机构名称）：</w:t>
      </w:r>
    </w:p>
    <w:p w14:paraId="7772D8A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（法定代表人姓名）在 </w:t>
      </w:r>
      <w:r>
        <w:rPr>
          <w:rFonts w:hint="eastAsia" w:ascii="仿宋" w:hAnsi="仿宋" w:eastAsia="仿宋" w:cs="仿宋"/>
          <w:color w:val="auto"/>
          <w:u w:val="single"/>
        </w:rPr>
        <w:t xml:space="preserve">                     </w:t>
      </w:r>
      <w:r>
        <w:rPr>
          <w:rFonts w:hint="eastAsia" w:ascii="仿宋" w:hAnsi="仿宋" w:eastAsia="仿宋" w:cs="仿宋"/>
          <w:color w:val="auto"/>
        </w:rPr>
        <w:t xml:space="preserve"> （供应商名称）任    （职务名称）职务，是（供应商名称）</w:t>
      </w:r>
      <w:r>
        <w:rPr>
          <w:rFonts w:hint="eastAsia" w:ascii="仿宋" w:hAnsi="仿宋" w:eastAsia="仿宋" w:cs="仿宋"/>
          <w:color w:val="auto"/>
          <w:u w:val="single"/>
        </w:rPr>
        <w:t xml:space="preserve">             </w:t>
      </w:r>
      <w:r>
        <w:rPr>
          <w:rFonts w:hint="eastAsia" w:ascii="仿宋" w:hAnsi="仿宋" w:eastAsia="仿宋" w:cs="仿宋"/>
          <w:color w:val="auto"/>
        </w:rPr>
        <w:t xml:space="preserve"> 的法定代表人。</w:t>
      </w:r>
    </w:p>
    <w:p w14:paraId="0BEE895D">
      <w:pPr>
        <w:tabs>
          <w:tab w:val="left" w:pos="6300"/>
        </w:tabs>
        <w:snapToGrid w:val="0"/>
        <w:spacing w:line="300" w:lineRule="atLeast"/>
        <w:ind w:firstLine="570"/>
        <w:rPr>
          <w:rFonts w:ascii="仿宋" w:hAnsi="仿宋" w:eastAsia="仿宋" w:cs="仿宋"/>
          <w:color w:val="auto"/>
        </w:rPr>
      </w:pPr>
    </w:p>
    <w:p w14:paraId="591870A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特此证明。</w:t>
      </w:r>
    </w:p>
    <w:p w14:paraId="19A69588">
      <w:pPr>
        <w:tabs>
          <w:tab w:val="left" w:pos="6300"/>
        </w:tabs>
        <w:snapToGrid w:val="0"/>
        <w:spacing w:line="300" w:lineRule="atLeast"/>
        <w:ind w:firstLine="570"/>
        <w:rPr>
          <w:rFonts w:ascii="仿宋" w:hAnsi="仿宋" w:eastAsia="仿宋" w:cs="仿宋"/>
          <w:color w:val="auto"/>
        </w:rPr>
      </w:pPr>
    </w:p>
    <w:p w14:paraId="26C3343C">
      <w:pPr>
        <w:tabs>
          <w:tab w:val="left" w:pos="6300"/>
        </w:tabs>
        <w:snapToGrid w:val="0"/>
        <w:spacing w:line="300" w:lineRule="atLeast"/>
        <w:ind w:firstLine="570"/>
        <w:rPr>
          <w:rFonts w:ascii="仿宋" w:hAnsi="仿宋" w:eastAsia="仿宋" w:cs="仿宋"/>
          <w:color w:val="auto"/>
        </w:rPr>
      </w:pPr>
    </w:p>
    <w:p w14:paraId="29B7B39F">
      <w:pPr>
        <w:tabs>
          <w:tab w:val="left" w:pos="6300"/>
        </w:tabs>
        <w:snapToGrid w:val="0"/>
        <w:spacing w:line="300" w:lineRule="atLeast"/>
        <w:ind w:firstLine="570"/>
        <w:rPr>
          <w:rFonts w:ascii="仿宋" w:hAnsi="仿宋" w:eastAsia="仿宋" w:cs="仿宋"/>
          <w:color w:val="auto"/>
        </w:rPr>
      </w:pPr>
    </w:p>
    <w:p w14:paraId="07729BBA">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 xml:space="preserve">                                             （供应商公章）</w:t>
      </w:r>
    </w:p>
    <w:p w14:paraId="52CCF48D">
      <w:pPr>
        <w:tabs>
          <w:tab w:val="left" w:pos="6300"/>
        </w:tabs>
        <w:snapToGrid w:val="0"/>
        <w:spacing w:line="300" w:lineRule="atLeast"/>
        <w:ind w:firstLine="570"/>
        <w:rPr>
          <w:rFonts w:ascii="仿宋" w:hAnsi="仿宋" w:eastAsia="仿宋" w:cs="仿宋"/>
          <w:color w:val="auto"/>
        </w:rPr>
      </w:pPr>
    </w:p>
    <w:p w14:paraId="1BCEB817">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 xml:space="preserve">                                             年   月   日</w:t>
      </w:r>
    </w:p>
    <w:p w14:paraId="64790F4A">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法定代表人电话：XXXXXXX      电子邮箱：XXXXXX@XXXXX（若授权他人办理并签署响应文件的可不填写）</w:t>
      </w:r>
    </w:p>
    <w:p w14:paraId="134C67EC">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（附：法定代表人身份证正反面复印件）</w:t>
      </w:r>
    </w:p>
    <w:p w14:paraId="753B7AA2">
      <w:pPr>
        <w:tabs>
          <w:tab w:val="left" w:pos="6300"/>
        </w:tabs>
        <w:snapToGrid w:val="0"/>
        <w:spacing w:line="300" w:lineRule="atLeast"/>
        <w:ind w:firstLine="570"/>
        <w:rPr>
          <w:rFonts w:ascii="仿宋" w:hAnsi="仿宋" w:eastAsia="仿宋" w:cs="仿宋"/>
          <w:color w:val="auto"/>
        </w:rPr>
      </w:pPr>
    </w:p>
    <w:p w14:paraId="05DC9802">
      <w:pPr>
        <w:tabs>
          <w:tab w:val="left" w:pos="6300"/>
        </w:tabs>
        <w:snapToGrid w:val="0"/>
        <w:spacing w:line="300" w:lineRule="atLeast"/>
        <w:ind w:firstLine="570"/>
        <w:rPr>
          <w:rFonts w:ascii="仿宋" w:hAnsi="仿宋" w:eastAsia="仿宋" w:cs="仿宋"/>
          <w:color w:val="auto"/>
        </w:rPr>
      </w:pPr>
    </w:p>
    <w:p w14:paraId="7AC041A4">
      <w:pPr>
        <w:tabs>
          <w:tab w:val="left" w:pos="6300"/>
        </w:tabs>
        <w:snapToGrid w:val="0"/>
        <w:spacing w:line="300" w:lineRule="atLeast"/>
        <w:ind w:firstLine="570"/>
        <w:rPr>
          <w:rFonts w:ascii="仿宋" w:hAnsi="仿宋" w:eastAsia="仿宋" w:cs="仿宋"/>
          <w:color w:val="auto"/>
        </w:rPr>
      </w:pPr>
    </w:p>
    <w:p w14:paraId="3CA32445">
      <w:pPr>
        <w:tabs>
          <w:tab w:val="left" w:pos="6300"/>
        </w:tabs>
        <w:snapToGrid w:val="0"/>
        <w:spacing w:line="300" w:lineRule="atLeast"/>
        <w:ind w:firstLine="570"/>
        <w:rPr>
          <w:rFonts w:ascii="仿宋" w:hAnsi="仿宋" w:eastAsia="仿宋" w:cs="仿宋"/>
          <w:color w:val="auto"/>
        </w:rPr>
      </w:pPr>
    </w:p>
    <w:p w14:paraId="59B32FED">
      <w:pPr>
        <w:tabs>
          <w:tab w:val="left" w:pos="6300"/>
        </w:tabs>
        <w:snapToGrid w:val="0"/>
        <w:spacing w:line="300" w:lineRule="atLeast"/>
        <w:ind w:firstLine="570"/>
        <w:rPr>
          <w:rFonts w:ascii="仿宋" w:hAnsi="仿宋" w:eastAsia="仿宋" w:cs="仿宋"/>
          <w:color w:val="auto"/>
        </w:rPr>
      </w:pPr>
    </w:p>
    <w:p w14:paraId="4A426E2A">
      <w:pPr>
        <w:tabs>
          <w:tab w:val="left" w:pos="6300"/>
        </w:tabs>
        <w:snapToGrid w:val="0"/>
        <w:spacing w:line="300" w:lineRule="atLeast"/>
        <w:ind w:firstLine="570"/>
        <w:rPr>
          <w:rFonts w:ascii="仿宋" w:hAnsi="仿宋" w:eastAsia="仿宋" w:cs="仿宋"/>
          <w:color w:val="auto"/>
        </w:rPr>
      </w:pPr>
    </w:p>
    <w:p w14:paraId="71891DA4">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34431B5C">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 xml:space="preserve">    </w:t>
      </w:r>
    </w:p>
    <w:p w14:paraId="0D7D58CA">
      <w:pPr>
        <w:tabs>
          <w:tab w:val="left" w:pos="6300"/>
        </w:tabs>
        <w:snapToGrid w:val="0"/>
        <w:spacing w:line="300" w:lineRule="atLeast"/>
        <w:ind w:right="480" w:firstLine="570"/>
        <w:rPr>
          <w:rFonts w:ascii="仿宋" w:hAnsi="仿宋" w:eastAsia="仿宋" w:cs="仿宋"/>
          <w:color w:val="auto"/>
          <w:u w:val="single"/>
        </w:rPr>
      </w:pPr>
      <w:r>
        <w:rPr>
          <w:rFonts w:hint="eastAsia" w:ascii="仿宋" w:hAnsi="仿宋" w:eastAsia="仿宋" w:cs="仿宋"/>
          <w:color w:val="auto"/>
        </w:rPr>
        <w:t>比选项目名称：</w:t>
      </w:r>
      <w:r>
        <w:rPr>
          <w:rFonts w:hint="eastAsia" w:ascii="仿宋" w:hAnsi="仿宋" w:eastAsia="仿宋" w:cs="仿宋"/>
          <w:color w:val="auto"/>
          <w:u w:val="single"/>
        </w:rPr>
        <w:t xml:space="preserve">                                                </w:t>
      </w:r>
    </w:p>
    <w:p w14:paraId="1CC3F1FC">
      <w:pPr>
        <w:tabs>
          <w:tab w:val="left" w:pos="6300"/>
        </w:tabs>
        <w:snapToGrid w:val="0"/>
        <w:spacing w:line="300" w:lineRule="atLeast"/>
        <w:ind w:right="480" w:firstLine="570"/>
        <w:rPr>
          <w:rFonts w:ascii="仿宋" w:hAnsi="仿宋" w:eastAsia="仿宋" w:cs="仿宋"/>
          <w:color w:val="auto"/>
        </w:rPr>
      </w:pPr>
    </w:p>
    <w:p w14:paraId="242717A8">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（采购代理机构名称）：</w:t>
      </w:r>
    </w:p>
    <w:p w14:paraId="0AC349F9">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（供应商法定代表人名称）是</w:t>
      </w:r>
      <w:r>
        <w:rPr>
          <w:rFonts w:hint="eastAsia" w:ascii="仿宋" w:hAnsi="仿宋" w:eastAsia="仿宋" w:cs="仿宋"/>
          <w:color w:val="auto"/>
          <w:u w:val="single"/>
        </w:rPr>
        <w:t xml:space="preserve">                    </w:t>
      </w:r>
      <w:r>
        <w:rPr>
          <w:rFonts w:hint="eastAsia" w:ascii="仿宋" w:hAnsi="仿宋" w:eastAsia="仿宋" w:cs="仿宋"/>
          <w:color w:val="auto"/>
        </w:rPr>
        <w:t>（供应商名称）的法定代表人，特授权</w:t>
      </w:r>
      <w:r>
        <w:rPr>
          <w:rFonts w:hint="eastAsia" w:ascii="仿宋" w:hAnsi="仿宋" w:eastAsia="仿宋" w:cs="仿宋"/>
          <w:color w:val="auto"/>
          <w:u w:val="single"/>
        </w:rPr>
        <w:t xml:space="preserve">          </w:t>
      </w:r>
      <w:r>
        <w:rPr>
          <w:rFonts w:hint="eastAsia" w:ascii="仿宋" w:hAnsi="仿宋" w:eastAsia="仿宋" w:cs="仿宋"/>
          <w:color w:val="auto"/>
        </w:rPr>
        <w:t>（被授权人姓名及身份证代码）代表我单位全权办理上述项目的比选、签约等具体工作，并签署全部有关文件、协议及合同。</w:t>
      </w:r>
    </w:p>
    <w:p w14:paraId="00F982F1">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我单位对被授权人的签署负全部责任。</w:t>
      </w:r>
    </w:p>
    <w:p w14:paraId="7F2114D7">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在撤销授权的书面通知以前，本授权书一直有效。被授权人在授权书有效期内签署的所有文件不因授权的撤销而失效。</w:t>
      </w:r>
    </w:p>
    <w:p w14:paraId="33296C47">
      <w:pPr>
        <w:tabs>
          <w:tab w:val="left" w:pos="6300"/>
        </w:tabs>
        <w:snapToGrid w:val="0"/>
        <w:spacing w:line="300" w:lineRule="atLeast"/>
        <w:ind w:right="480" w:firstLine="570"/>
        <w:rPr>
          <w:rFonts w:ascii="仿宋" w:hAnsi="仿宋" w:eastAsia="仿宋" w:cs="仿宋"/>
          <w:color w:val="auto"/>
        </w:rPr>
      </w:pPr>
    </w:p>
    <w:p w14:paraId="572B9B82">
      <w:pPr>
        <w:tabs>
          <w:tab w:val="left" w:pos="6300"/>
        </w:tabs>
        <w:snapToGrid w:val="0"/>
        <w:spacing w:line="300" w:lineRule="atLeast"/>
        <w:ind w:right="480" w:firstLine="570"/>
        <w:rPr>
          <w:rFonts w:ascii="仿宋" w:hAnsi="仿宋" w:eastAsia="仿宋" w:cs="仿宋"/>
          <w:color w:val="auto"/>
        </w:rPr>
      </w:pPr>
    </w:p>
    <w:p w14:paraId="3EF9C183">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被授权人：                                 供应商法定代表人：</w:t>
      </w:r>
    </w:p>
    <w:p w14:paraId="0E819F07">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（签署或盖章）                                （签署或盖章）</w:t>
      </w:r>
    </w:p>
    <w:p w14:paraId="1DBE7A41">
      <w:pPr>
        <w:tabs>
          <w:tab w:val="left" w:pos="6300"/>
        </w:tabs>
        <w:snapToGrid w:val="0"/>
        <w:spacing w:line="300" w:lineRule="atLeast"/>
        <w:ind w:right="480" w:firstLine="570"/>
        <w:rPr>
          <w:rFonts w:ascii="仿宋" w:hAnsi="仿宋" w:eastAsia="仿宋" w:cs="仿宋"/>
          <w:color w:val="auto"/>
        </w:rPr>
      </w:pPr>
    </w:p>
    <w:p w14:paraId="2F64D79F">
      <w:pPr>
        <w:tabs>
          <w:tab w:val="left" w:pos="6300"/>
        </w:tabs>
        <w:snapToGrid w:val="0"/>
        <w:spacing w:line="300" w:lineRule="atLeast"/>
        <w:ind w:right="480" w:firstLine="570"/>
        <w:rPr>
          <w:rFonts w:ascii="仿宋" w:hAnsi="仿宋" w:eastAsia="仿宋" w:cs="仿宋"/>
          <w:color w:val="auto"/>
        </w:rPr>
      </w:pPr>
    </w:p>
    <w:p w14:paraId="4AB0B797">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（附：被授权人身份证正反面复印件）</w:t>
      </w:r>
    </w:p>
    <w:p w14:paraId="78800AF9">
      <w:pPr>
        <w:tabs>
          <w:tab w:val="left" w:pos="6300"/>
        </w:tabs>
        <w:snapToGrid w:val="0"/>
        <w:spacing w:line="300" w:lineRule="atLeast"/>
        <w:ind w:right="480" w:firstLine="570"/>
        <w:jc w:val="right"/>
        <w:rPr>
          <w:rFonts w:ascii="仿宋" w:hAnsi="仿宋" w:eastAsia="仿宋" w:cs="仿宋"/>
          <w:color w:val="auto"/>
        </w:rPr>
      </w:pPr>
      <w:r>
        <w:rPr>
          <w:rFonts w:hint="eastAsia" w:ascii="仿宋" w:hAnsi="仿宋" w:eastAsia="仿宋" w:cs="仿宋"/>
          <w:color w:val="auto"/>
        </w:rPr>
        <w:t xml:space="preserve">                                          </w:t>
      </w:r>
    </w:p>
    <w:p w14:paraId="6331DA9B">
      <w:pPr>
        <w:tabs>
          <w:tab w:val="left" w:pos="6300"/>
        </w:tabs>
        <w:snapToGrid w:val="0"/>
        <w:spacing w:line="300" w:lineRule="atLeast"/>
        <w:ind w:right="480" w:firstLine="570"/>
        <w:jc w:val="right"/>
        <w:rPr>
          <w:rFonts w:ascii="仿宋" w:hAnsi="仿宋" w:eastAsia="仿宋" w:cs="仿宋"/>
          <w:color w:val="auto"/>
        </w:rPr>
      </w:pPr>
    </w:p>
    <w:p w14:paraId="0A9C5895">
      <w:pPr>
        <w:tabs>
          <w:tab w:val="left" w:pos="6300"/>
        </w:tabs>
        <w:snapToGrid w:val="0"/>
        <w:spacing w:line="300" w:lineRule="atLeast"/>
        <w:ind w:right="480" w:firstLine="570"/>
        <w:jc w:val="right"/>
        <w:rPr>
          <w:rFonts w:ascii="仿宋" w:hAnsi="仿宋" w:eastAsia="仿宋" w:cs="仿宋"/>
          <w:color w:val="auto"/>
        </w:rPr>
      </w:pPr>
    </w:p>
    <w:p w14:paraId="2AFF11AA">
      <w:pPr>
        <w:tabs>
          <w:tab w:val="left" w:pos="6300"/>
        </w:tabs>
        <w:snapToGrid w:val="0"/>
        <w:spacing w:line="300" w:lineRule="atLeast"/>
        <w:ind w:right="480" w:firstLine="570"/>
        <w:jc w:val="right"/>
        <w:rPr>
          <w:rFonts w:ascii="仿宋" w:hAnsi="仿宋" w:eastAsia="仿宋" w:cs="仿宋"/>
          <w:color w:val="auto"/>
        </w:rPr>
      </w:pPr>
      <w:r>
        <w:rPr>
          <w:rFonts w:hint="eastAsia" w:ascii="仿宋" w:hAnsi="仿宋" w:eastAsia="仿宋" w:cs="仿宋"/>
          <w:color w:val="auto"/>
        </w:rPr>
        <w:t>（供应商公章）</w:t>
      </w:r>
    </w:p>
    <w:p w14:paraId="16556FD1">
      <w:pPr>
        <w:tabs>
          <w:tab w:val="left" w:pos="6300"/>
        </w:tabs>
        <w:snapToGrid w:val="0"/>
        <w:spacing w:line="300" w:lineRule="atLeast"/>
        <w:ind w:right="480" w:firstLine="570"/>
        <w:jc w:val="right"/>
        <w:rPr>
          <w:rFonts w:ascii="仿宋" w:hAnsi="仿宋" w:eastAsia="仿宋" w:cs="仿宋"/>
          <w:color w:val="auto"/>
        </w:rPr>
      </w:pPr>
      <w:r>
        <w:rPr>
          <w:rFonts w:hint="eastAsia" w:ascii="仿宋" w:hAnsi="仿宋" w:eastAsia="仿宋" w:cs="仿宋"/>
          <w:color w:val="auto"/>
        </w:rPr>
        <w:t>年   月   日</w:t>
      </w:r>
    </w:p>
    <w:p w14:paraId="66AF5C39">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被授权人电话：XXXXXXX     电子邮箱：XXXXXX@XXXXX（若法定代表人办理并签署响应文件的可不填写）</w:t>
      </w:r>
    </w:p>
    <w:p w14:paraId="7071D27E">
      <w:pPr>
        <w:tabs>
          <w:tab w:val="left" w:pos="6300"/>
        </w:tabs>
        <w:snapToGrid w:val="0"/>
        <w:spacing w:line="300" w:lineRule="atLeast"/>
        <w:ind w:right="480" w:firstLine="570"/>
        <w:rPr>
          <w:rFonts w:ascii="仿宋" w:hAnsi="仿宋" w:eastAsia="仿宋" w:cs="仿宋"/>
          <w:color w:val="auto"/>
        </w:rPr>
      </w:pPr>
    </w:p>
    <w:p w14:paraId="59A5192B">
      <w:pPr>
        <w:tabs>
          <w:tab w:val="left" w:pos="6300"/>
        </w:tabs>
        <w:snapToGrid w:val="0"/>
        <w:spacing w:line="300" w:lineRule="atLeast"/>
        <w:ind w:right="480" w:firstLine="570"/>
        <w:rPr>
          <w:rFonts w:ascii="仿宋" w:hAnsi="仿宋" w:eastAsia="仿宋" w:cs="仿宋"/>
          <w:color w:val="auto"/>
        </w:rPr>
      </w:pPr>
    </w:p>
    <w:p w14:paraId="2DC367F4">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注：</w:t>
      </w:r>
    </w:p>
    <w:p w14:paraId="3C77D39B">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t>1、若为法定代表人办理并签署响应文件的，不提供此文件</w:t>
      </w:r>
    </w:p>
    <w:p w14:paraId="5BFDC496">
      <w:pPr>
        <w:tabs>
          <w:tab w:val="left" w:pos="6300"/>
        </w:tabs>
        <w:snapToGrid w:val="0"/>
        <w:spacing w:line="300" w:lineRule="atLeast"/>
        <w:ind w:right="480" w:firstLine="570"/>
        <w:jc w:val="right"/>
        <w:rPr>
          <w:rFonts w:ascii="仿宋" w:hAnsi="仿宋" w:eastAsia="仿宋" w:cs="仿宋"/>
          <w:color w:val="auto"/>
        </w:rPr>
      </w:pPr>
    </w:p>
    <w:p w14:paraId="316BA22F">
      <w:pPr>
        <w:tabs>
          <w:tab w:val="left" w:pos="6300"/>
        </w:tabs>
        <w:snapToGrid w:val="0"/>
        <w:spacing w:line="300" w:lineRule="atLeast"/>
        <w:ind w:right="480" w:firstLine="570"/>
        <w:rPr>
          <w:rFonts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（四）基本资格条件承诺函（格式）</w:t>
      </w:r>
    </w:p>
    <w:p w14:paraId="0939A9F0">
      <w:pPr>
        <w:tabs>
          <w:tab w:val="left" w:pos="6300"/>
        </w:tabs>
        <w:snapToGrid w:val="0"/>
        <w:spacing w:line="360" w:lineRule="auto"/>
        <w:ind w:firstLine="570"/>
        <w:rPr>
          <w:rFonts w:ascii="仿宋" w:hAnsi="仿宋" w:eastAsia="仿宋" w:cs="仿宋"/>
          <w:color w:val="auto"/>
        </w:rPr>
      </w:pPr>
    </w:p>
    <w:p w14:paraId="04390CE5">
      <w:pPr>
        <w:tabs>
          <w:tab w:val="left" w:pos="6300"/>
        </w:tabs>
        <w:snapToGrid w:val="0"/>
        <w:spacing w:line="360" w:lineRule="auto"/>
        <w:ind w:firstLine="570"/>
        <w:jc w:val="center"/>
        <w:rPr>
          <w:rFonts w:ascii="仿宋" w:hAnsi="仿宋" w:eastAsia="仿宋" w:cs="仿宋"/>
          <w:color w:val="auto"/>
        </w:rPr>
      </w:pPr>
      <w:r>
        <w:rPr>
          <w:rFonts w:hint="eastAsia" w:ascii="仿宋" w:hAnsi="仿宋" w:eastAsia="仿宋" w:cs="仿宋"/>
          <w:color w:val="auto"/>
        </w:rPr>
        <w:t>基本资格条件承诺函</w:t>
      </w:r>
    </w:p>
    <w:p w14:paraId="1BB06338">
      <w:pPr>
        <w:spacing w:line="360" w:lineRule="auto"/>
        <w:ind w:firstLine="5280" w:firstLineChars="2200"/>
        <w:rPr>
          <w:rFonts w:ascii="仿宋" w:hAnsi="仿宋" w:eastAsia="仿宋" w:cs="仿宋"/>
          <w:color w:val="auto"/>
          <w:szCs w:val="28"/>
        </w:rPr>
      </w:pPr>
    </w:p>
    <w:p w14:paraId="58DB0D65">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（采购代理机构名称）：</w:t>
      </w:r>
    </w:p>
    <w:p w14:paraId="669DC26B">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 xml:space="preserve">（供应商名称）郑重承诺： </w:t>
      </w:r>
    </w:p>
    <w:p w14:paraId="4D385DD5">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1.我方具有良好的商业信誉和健全的财务会计制度，具有履行合同所必需的设备和专业技术能力，具有依法缴纳税收和社会保障金的良好记录，参加本项目采购活动前三年内无重大违法活动记录。</w:t>
      </w:r>
    </w:p>
    <w:p w14:paraId="0674A1DA">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2.我方未列入在信用中国网站（www.creditchina.gov.cn）“失信被执行人”、“重大税收违法案件当事人名单”中，也未列入中国政府采购网（www.ccgp.gov.cn）“政府采购严重违法失信行为记录名单”中。</w:t>
      </w:r>
    </w:p>
    <w:p w14:paraId="4371EA22">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3.我方在采购项目评审（评标）环节结束后，随时接受采购人、采购代理机构的检查验证，配合提供相关证明材料，证明符合《中华人民共和国政府采购法》规定的供应商基本资格条件。</w:t>
      </w:r>
    </w:p>
    <w:p w14:paraId="042FEE33">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我方对以上承诺负全部法律责任。</w:t>
      </w:r>
    </w:p>
    <w:p w14:paraId="3DD1D7D2">
      <w:pPr>
        <w:tabs>
          <w:tab w:val="left" w:pos="6300"/>
        </w:tabs>
        <w:snapToGrid w:val="0"/>
        <w:spacing w:line="360" w:lineRule="auto"/>
        <w:ind w:firstLine="570"/>
        <w:rPr>
          <w:rFonts w:ascii="仿宋" w:hAnsi="仿宋" w:eastAsia="仿宋" w:cs="仿宋"/>
          <w:color w:val="auto"/>
        </w:rPr>
      </w:pPr>
      <w:r>
        <w:rPr>
          <w:rFonts w:hint="eastAsia" w:ascii="仿宋" w:hAnsi="仿宋" w:eastAsia="仿宋" w:cs="仿宋"/>
          <w:color w:val="auto"/>
        </w:rPr>
        <w:t>特此承诺。</w:t>
      </w:r>
    </w:p>
    <w:p w14:paraId="36515D18">
      <w:pPr>
        <w:tabs>
          <w:tab w:val="left" w:pos="6300"/>
        </w:tabs>
        <w:snapToGrid w:val="0"/>
        <w:spacing w:line="360" w:lineRule="auto"/>
        <w:ind w:firstLine="570"/>
        <w:rPr>
          <w:rFonts w:ascii="仿宋" w:hAnsi="仿宋" w:eastAsia="仿宋" w:cs="仿宋"/>
          <w:color w:val="auto"/>
        </w:rPr>
      </w:pPr>
    </w:p>
    <w:p w14:paraId="6A6D3855">
      <w:pPr>
        <w:tabs>
          <w:tab w:val="left" w:pos="6300"/>
        </w:tabs>
        <w:snapToGrid w:val="0"/>
        <w:spacing w:line="300" w:lineRule="atLeast"/>
        <w:ind w:firstLine="570"/>
        <w:rPr>
          <w:rFonts w:ascii="仿宋" w:hAnsi="仿宋" w:eastAsia="仿宋" w:cs="仿宋"/>
          <w:color w:val="auto"/>
        </w:rPr>
      </w:pPr>
    </w:p>
    <w:p w14:paraId="7B17142E">
      <w:pPr>
        <w:tabs>
          <w:tab w:val="left" w:pos="6300"/>
        </w:tabs>
        <w:snapToGrid w:val="0"/>
        <w:spacing w:line="300" w:lineRule="atLeast"/>
        <w:ind w:firstLine="570"/>
        <w:rPr>
          <w:rFonts w:ascii="仿宋" w:hAnsi="仿宋" w:eastAsia="仿宋" w:cs="仿宋"/>
          <w:color w:val="auto"/>
        </w:rPr>
      </w:pPr>
    </w:p>
    <w:p w14:paraId="3F6E19DA">
      <w:pPr>
        <w:tabs>
          <w:tab w:val="left" w:pos="6300"/>
        </w:tabs>
        <w:snapToGrid w:val="0"/>
        <w:spacing w:line="300" w:lineRule="atLeast"/>
        <w:ind w:firstLine="5762" w:firstLineChars="2401"/>
        <w:rPr>
          <w:rFonts w:ascii="仿宋" w:hAnsi="仿宋" w:eastAsia="仿宋" w:cs="仿宋"/>
          <w:color w:val="auto"/>
        </w:rPr>
      </w:pPr>
      <w:r>
        <w:rPr>
          <w:rFonts w:hint="eastAsia" w:ascii="仿宋" w:hAnsi="仿宋" w:eastAsia="仿宋" w:cs="仿宋"/>
          <w:color w:val="auto"/>
        </w:rPr>
        <w:t>（供应商公章）</w:t>
      </w:r>
    </w:p>
    <w:p w14:paraId="7DE2A4AC">
      <w:pPr>
        <w:tabs>
          <w:tab w:val="left" w:pos="6300"/>
        </w:tabs>
        <w:snapToGrid w:val="0"/>
        <w:spacing w:line="300" w:lineRule="atLeast"/>
        <w:ind w:firstLine="570"/>
        <w:rPr>
          <w:rFonts w:ascii="仿宋" w:hAnsi="仿宋" w:eastAsia="仿宋" w:cs="仿宋"/>
          <w:color w:val="auto"/>
        </w:rPr>
      </w:pPr>
      <w:r>
        <w:rPr>
          <w:rFonts w:hint="eastAsia" w:ascii="仿宋" w:hAnsi="仿宋" w:eastAsia="仿宋" w:cs="仿宋"/>
          <w:color w:val="auto"/>
        </w:rPr>
        <w:t xml:space="preserve">        </w:t>
      </w:r>
    </w:p>
    <w:p w14:paraId="7AD44A93">
      <w:pPr>
        <w:tabs>
          <w:tab w:val="left" w:pos="6300"/>
        </w:tabs>
        <w:snapToGrid w:val="0"/>
        <w:spacing w:line="300" w:lineRule="atLeast"/>
        <w:ind w:firstLine="6002" w:firstLineChars="2501"/>
        <w:rPr>
          <w:rFonts w:ascii="仿宋" w:hAnsi="仿宋" w:eastAsia="仿宋" w:cs="仿宋"/>
          <w:color w:val="auto"/>
        </w:rPr>
      </w:pPr>
      <w:r>
        <w:rPr>
          <w:rFonts w:hint="eastAsia" w:ascii="仿宋" w:hAnsi="仿宋" w:eastAsia="仿宋" w:cs="仿宋"/>
          <w:color w:val="auto"/>
        </w:rPr>
        <w:t>年   月   日</w:t>
      </w:r>
    </w:p>
    <w:p w14:paraId="3D3DDF6A">
      <w:pPr>
        <w:tabs>
          <w:tab w:val="left" w:pos="6300"/>
        </w:tabs>
        <w:snapToGrid w:val="0"/>
        <w:spacing w:line="300" w:lineRule="atLeast"/>
        <w:ind w:firstLine="6002" w:firstLineChars="2501"/>
        <w:rPr>
          <w:rFonts w:ascii="仿宋" w:hAnsi="仿宋" w:eastAsia="仿宋" w:cs="仿宋"/>
          <w:color w:val="auto"/>
        </w:rPr>
      </w:pPr>
    </w:p>
    <w:p w14:paraId="09B0C2A6">
      <w:pPr>
        <w:tabs>
          <w:tab w:val="left" w:pos="6300"/>
        </w:tabs>
        <w:snapToGrid w:val="0"/>
        <w:spacing w:line="300" w:lineRule="atLeast"/>
        <w:ind w:firstLine="6002" w:firstLineChars="2501"/>
        <w:rPr>
          <w:rFonts w:ascii="仿宋" w:hAnsi="仿宋" w:eastAsia="仿宋" w:cs="仿宋"/>
          <w:color w:val="auto"/>
        </w:rPr>
      </w:pPr>
    </w:p>
    <w:p w14:paraId="5D280550">
      <w:pPr>
        <w:tabs>
          <w:tab w:val="left" w:pos="6300"/>
        </w:tabs>
        <w:snapToGrid w:val="0"/>
        <w:spacing w:line="300" w:lineRule="atLeast"/>
        <w:rPr>
          <w:rFonts w:ascii="仿宋" w:hAnsi="仿宋" w:eastAsia="仿宋" w:cs="仿宋"/>
          <w:color w:val="auto"/>
        </w:rPr>
      </w:pPr>
    </w:p>
    <w:p w14:paraId="6360B1F1">
      <w:pPr>
        <w:tabs>
          <w:tab w:val="left" w:pos="6300"/>
        </w:tabs>
        <w:snapToGrid w:val="0"/>
        <w:spacing w:line="300" w:lineRule="atLeast"/>
        <w:ind w:firstLine="480" w:firstLineChars="200"/>
        <w:rPr>
          <w:rFonts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（五）特定资格条件证书或证明文件（如有）</w:t>
      </w:r>
    </w:p>
    <w:p w14:paraId="0F974943">
      <w:pPr>
        <w:spacing w:line="400" w:lineRule="atLeast"/>
        <w:rPr>
          <w:rFonts w:ascii="仿宋" w:hAnsi="仿宋" w:eastAsia="仿宋" w:cs="仿宋"/>
          <w:b/>
          <w:bCs/>
          <w:color w:val="auto"/>
        </w:rPr>
      </w:pPr>
      <w:bookmarkStart w:id="126" w:name="_Toc14422"/>
      <w:bookmarkStart w:id="127" w:name="_Toc478823792"/>
      <w:r>
        <w:rPr>
          <w:rFonts w:hint="eastAsia" w:ascii="仿宋" w:hAnsi="仿宋" w:eastAsia="仿宋" w:cs="仿宋"/>
          <w:color w:val="auto"/>
        </w:rPr>
        <w:br w:type="page"/>
      </w:r>
      <w:r>
        <w:rPr>
          <w:rFonts w:hint="eastAsia" w:ascii="仿宋" w:hAnsi="仿宋" w:eastAsia="仿宋" w:cs="仿宋"/>
          <w:b/>
          <w:bCs/>
          <w:color w:val="auto"/>
        </w:rPr>
        <w:t>五、其他应提供的资料</w:t>
      </w:r>
      <w:bookmarkEnd w:id="126"/>
      <w:bookmarkEnd w:id="127"/>
    </w:p>
    <w:p w14:paraId="39E25998">
      <w:pPr>
        <w:spacing w:line="500" w:lineRule="exact"/>
        <w:ind w:firstLine="480" w:firstLineChars="200"/>
        <w:rPr>
          <w:rFonts w:ascii="仿宋" w:hAnsi="仿宋" w:eastAsia="仿宋" w:cs="仿宋"/>
          <w:color w:val="auto"/>
        </w:rPr>
      </w:pPr>
      <w:r>
        <w:rPr>
          <w:rFonts w:hint="eastAsia" w:ascii="仿宋" w:hAnsi="仿宋" w:eastAsia="仿宋" w:cs="仿宋"/>
          <w:color w:val="auto"/>
        </w:rPr>
        <w:t>（一）其他与项目有关的资料</w:t>
      </w:r>
    </w:p>
    <w:p w14:paraId="3B93F648">
      <w:pPr>
        <w:spacing w:line="500" w:lineRule="exact"/>
        <w:ind w:firstLine="480" w:firstLineChars="200"/>
        <w:rPr>
          <w:rFonts w:ascii="仿宋" w:hAnsi="仿宋" w:eastAsia="仿宋" w:cs="仿宋"/>
          <w:color w:val="auto"/>
        </w:rPr>
      </w:pPr>
      <w:r>
        <w:rPr>
          <w:rFonts w:hint="eastAsia" w:ascii="仿宋" w:hAnsi="仿宋" w:eastAsia="仿宋" w:cs="仿宋"/>
          <w:color w:val="auto"/>
        </w:rPr>
        <w:t>其他与项目有关的资料（自附）：供应商总体情况介绍、其他与本项目有关的资料等。</w:t>
      </w:r>
    </w:p>
    <w:p w14:paraId="365C0EBC">
      <w:pPr>
        <w:spacing w:line="400" w:lineRule="atLeast"/>
        <w:ind w:firstLine="480" w:firstLineChars="200"/>
        <w:jc w:val="center"/>
        <w:rPr>
          <w:rFonts w:ascii="仿宋" w:hAnsi="仿宋" w:eastAsia="仿宋" w:cs="仿宋"/>
          <w:color w:val="auto"/>
        </w:rPr>
      </w:pPr>
    </w:p>
    <w:p w14:paraId="04AE0F54">
      <w:pPr>
        <w:spacing w:line="400" w:lineRule="atLeast"/>
        <w:ind w:firstLine="480" w:firstLineChars="200"/>
        <w:jc w:val="center"/>
        <w:rPr>
          <w:rFonts w:ascii="仿宋" w:hAnsi="仿宋" w:eastAsia="仿宋" w:cs="仿宋"/>
          <w:color w:val="auto"/>
        </w:rPr>
      </w:pPr>
    </w:p>
    <w:p w14:paraId="248EB281">
      <w:pPr>
        <w:spacing w:line="400" w:lineRule="atLeast"/>
        <w:ind w:firstLine="480" w:firstLineChars="200"/>
        <w:jc w:val="center"/>
        <w:rPr>
          <w:rFonts w:ascii="仿宋" w:hAnsi="仿宋" w:eastAsia="仿宋" w:cs="仿宋"/>
          <w:color w:val="auto"/>
        </w:rPr>
      </w:pPr>
    </w:p>
    <w:p w14:paraId="1162C00E">
      <w:pPr>
        <w:spacing w:line="400" w:lineRule="atLeast"/>
        <w:ind w:firstLine="480" w:firstLineChars="200"/>
        <w:jc w:val="center"/>
        <w:rPr>
          <w:rFonts w:ascii="仿宋" w:hAnsi="仿宋" w:eastAsia="仿宋" w:cs="仿宋"/>
          <w:color w:val="auto"/>
        </w:rPr>
      </w:pPr>
    </w:p>
    <w:p w14:paraId="146E8D9D">
      <w:pPr>
        <w:spacing w:line="400" w:lineRule="atLeast"/>
        <w:ind w:firstLine="480" w:firstLineChars="200"/>
        <w:jc w:val="center"/>
        <w:rPr>
          <w:rFonts w:ascii="仿宋" w:hAnsi="仿宋" w:eastAsia="仿宋" w:cs="仿宋"/>
          <w:color w:val="auto"/>
        </w:rPr>
      </w:pPr>
    </w:p>
    <w:p w14:paraId="703B802C">
      <w:pPr>
        <w:spacing w:line="400" w:lineRule="atLeast"/>
        <w:ind w:firstLine="480" w:firstLineChars="200"/>
        <w:jc w:val="center"/>
        <w:rPr>
          <w:rFonts w:ascii="仿宋" w:hAnsi="仿宋" w:eastAsia="仿宋" w:cs="仿宋"/>
          <w:color w:val="auto"/>
        </w:rPr>
      </w:pPr>
    </w:p>
    <w:p w14:paraId="35B10468">
      <w:pPr>
        <w:spacing w:line="400" w:lineRule="atLeast"/>
        <w:ind w:firstLine="480" w:firstLineChars="200"/>
        <w:jc w:val="center"/>
        <w:rPr>
          <w:rFonts w:ascii="仿宋" w:hAnsi="仿宋" w:eastAsia="仿宋" w:cs="仿宋"/>
          <w:color w:val="auto"/>
        </w:rPr>
      </w:pPr>
    </w:p>
    <w:p w14:paraId="6302DD53">
      <w:pPr>
        <w:spacing w:line="400" w:lineRule="atLeast"/>
        <w:ind w:firstLine="480" w:firstLineChars="200"/>
        <w:jc w:val="center"/>
        <w:rPr>
          <w:rFonts w:ascii="仿宋" w:hAnsi="仿宋" w:eastAsia="仿宋" w:cs="仿宋"/>
          <w:color w:val="auto"/>
        </w:rPr>
      </w:pPr>
    </w:p>
    <w:p w14:paraId="7FF1A74B">
      <w:pPr>
        <w:spacing w:line="400" w:lineRule="atLeast"/>
        <w:ind w:firstLine="480" w:firstLineChars="200"/>
        <w:jc w:val="center"/>
        <w:rPr>
          <w:rFonts w:ascii="仿宋" w:hAnsi="仿宋" w:eastAsia="仿宋" w:cs="仿宋"/>
          <w:color w:val="auto"/>
        </w:rPr>
      </w:pPr>
    </w:p>
    <w:p w14:paraId="74ABE8E5">
      <w:pPr>
        <w:spacing w:line="400" w:lineRule="atLeast"/>
        <w:ind w:firstLine="480" w:firstLineChars="200"/>
        <w:jc w:val="center"/>
        <w:rPr>
          <w:rFonts w:ascii="仿宋" w:hAnsi="仿宋" w:eastAsia="仿宋" w:cs="仿宋"/>
          <w:color w:val="auto"/>
        </w:rPr>
      </w:pPr>
    </w:p>
    <w:p w14:paraId="021294C1">
      <w:pPr>
        <w:spacing w:line="400" w:lineRule="atLeast"/>
        <w:ind w:firstLine="480" w:firstLineChars="200"/>
        <w:jc w:val="center"/>
        <w:rPr>
          <w:rFonts w:ascii="仿宋" w:hAnsi="仿宋" w:eastAsia="仿宋" w:cs="仿宋"/>
          <w:color w:val="auto"/>
        </w:rPr>
      </w:pPr>
    </w:p>
    <w:p w14:paraId="1DE15175">
      <w:pPr>
        <w:spacing w:line="400" w:lineRule="atLeast"/>
        <w:ind w:firstLine="480" w:firstLineChars="200"/>
        <w:jc w:val="center"/>
        <w:rPr>
          <w:rFonts w:ascii="仿宋" w:hAnsi="仿宋" w:eastAsia="仿宋" w:cs="仿宋"/>
          <w:color w:val="auto"/>
        </w:rPr>
      </w:pPr>
    </w:p>
    <w:p w14:paraId="67FEC8D3">
      <w:pPr>
        <w:spacing w:line="400" w:lineRule="atLeast"/>
        <w:ind w:firstLine="480" w:firstLineChars="200"/>
        <w:jc w:val="center"/>
        <w:rPr>
          <w:rFonts w:ascii="仿宋" w:hAnsi="仿宋" w:eastAsia="仿宋" w:cs="仿宋"/>
          <w:color w:val="auto"/>
        </w:rPr>
      </w:pPr>
    </w:p>
    <w:p w14:paraId="346B36E5">
      <w:pPr>
        <w:spacing w:line="400" w:lineRule="atLeast"/>
        <w:ind w:firstLine="480" w:firstLineChars="200"/>
        <w:jc w:val="center"/>
        <w:rPr>
          <w:rFonts w:ascii="仿宋" w:hAnsi="仿宋" w:eastAsia="仿宋" w:cs="仿宋"/>
          <w:color w:val="auto"/>
        </w:rPr>
      </w:pPr>
    </w:p>
    <w:p w14:paraId="1025CCC8">
      <w:pPr>
        <w:spacing w:line="400" w:lineRule="atLeast"/>
        <w:ind w:firstLine="480" w:firstLineChars="200"/>
        <w:jc w:val="center"/>
        <w:rPr>
          <w:rFonts w:ascii="仿宋" w:hAnsi="仿宋" w:eastAsia="仿宋" w:cs="仿宋"/>
          <w:color w:val="auto"/>
        </w:rPr>
      </w:pPr>
    </w:p>
    <w:p w14:paraId="152DC31D">
      <w:pPr>
        <w:spacing w:line="400" w:lineRule="atLeast"/>
        <w:ind w:firstLine="480" w:firstLineChars="200"/>
        <w:jc w:val="center"/>
        <w:rPr>
          <w:rFonts w:ascii="仿宋" w:hAnsi="仿宋" w:eastAsia="仿宋" w:cs="仿宋"/>
          <w:color w:val="auto"/>
        </w:rPr>
      </w:pPr>
    </w:p>
    <w:p w14:paraId="17A2FAB1">
      <w:pPr>
        <w:spacing w:line="400" w:lineRule="atLeast"/>
        <w:rPr>
          <w:rFonts w:ascii="仿宋" w:hAnsi="仿宋" w:eastAsia="仿宋" w:cs="仿宋"/>
          <w:color w:val="auto"/>
        </w:rPr>
      </w:pPr>
    </w:p>
    <w:p w14:paraId="627812E5">
      <w:pPr>
        <w:spacing w:line="400" w:lineRule="atLeast"/>
        <w:ind w:firstLine="480" w:firstLineChars="200"/>
        <w:jc w:val="center"/>
        <w:rPr>
          <w:rFonts w:ascii="仿宋" w:hAnsi="仿宋" w:eastAsia="仿宋" w:cs="仿宋"/>
          <w:color w:val="auto"/>
        </w:rPr>
      </w:pPr>
    </w:p>
    <w:p w14:paraId="3379B6AE">
      <w:pPr>
        <w:spacing w:line="400" w:lineRule="atLeast"/>
        <w:ind w:firstLine="480" w:firstLineChars="200"/>
        <w:jc w:val="center"/>
        <w:rPr>
          <w:rFonts w:ascii="仿宋" w:hAnsi="仿宋" w:eastAsia="仿宋" w:cs="仿宋"/>
          <w:color w:val="auto"/>
        </w:rPr>
      </w:pPr>
    </w:p>
    <w:p w14:paraId="5F6202BB">
      <w:pPr>
        <w:spacing w:line="400" w:lineRule="atLeast"/>
        <w:ind w:firstLine="480" w:firstLineChars="200"/>
        <w:jc w:val="center"/>
        <w:rPr>
          <w:rFonts w:ascii="仿宋" w:hAnsi="仿宋" w:eastAsia="仿宋" w:cs="仿宋"/>
          <w:color w:val="auto"/>
        </w:rPr>
      </w:pPr>
    </w:p>
    <w:p w14:paraId="4E0FB1C0">
      <w:pPr>
        <w:spacing w:line="400" w:lineRule="atLeast"/>
        <w:ind w:firstLine="480" w:firstLineChars="200"/>
        <w:jc w:val="center"/>
        <w:rPr>
          <w:rFonts w:ascii="仿宋" w:hAnsi="仿宋" w:eastAsia="仿宋" w:cs="仿宋"/>
          <w:color w:val="auto"/>
        </w:rPr>
      </w:pPr>
    </w:p>
    <w:p w14:paraId="4B22E938">
      <w:pPr>
        <w:spacing w:line="400" w:lineRule="atLeast"/>
        <w:jc w:val="center"/>
        <w:rPr>
          <w:rFonts w:ascii="仿宋" w:hAnsi="仿宋" w:eastAsia="仿宋" w:cs="仿宋"/>
          <w:b/>
          <w:color w:val="auto"/>
          <w:sz w:val="36"/>
          <w:szCs w:val="30"/>
        </w:rPr>
      </w:pPr>
      <w:r>
        <w:rPr>
          <w:rFonts w:hint="eastAsia" w:ascii="仿宋" w:hAnsi="仿宋" w:eastAsia="仿宋" w:cs="仿宋"/>
          <w:color w:val="auto"/>
        </w:rPr>
        <w:t>（结束）</w:t>
      </w:r>
    </w:p>
    <w:bookmarkEnd w:id="17"/>
    <w:p w14:paraId="1559D45A">
      <w:pPr>
        <w:snapToGrid w:val="0"/>
        <w:spacing w:line="400" w:lineRule="atLeast"/>
        <w:rPr>
          <w:rFonts w:ascii="仿宋" w:hAnsi="仿宋" w:eastAsia="仿宋" w:cs="仿宋"/>
          <w:color w:val="auto"/>
        </w:rPr>
      </w:pPr>
      <w:r>
        <w:rPr>
          <w:rFonts w:hint="eastAsia" w:ascii="仿宋" w:hAnsi="仿宋" w:eastAsia="仿宋" w:cs="仿宋"/>
          <w:color w:val="auto"/>
        </w:rPr>
        <w:br w:type="page"/>
      </w:r>
    </w:p>
    <w:p w14:paraId="32342D5B">
      <w:pPr>
        <w:snapToGrid w:val="0"/>
        <w:spacing w:line="400" w:lineRule="atLeast"/>
        <w:rPr>
          <w:rFonts w:ascii="仿宋" w:hAnsi="仿宋" w:eastAsia="仿宋" w:cs="仿宋"/>
          <w:color w:val="auto"/>
        </w:rPr>
      </w:pPr>
    </w:p>
    <w:p w14:paraId="16BCB96D">
      <w:pPr>
        <w:pStyle w:val="245"/>
        <w:spacing w:after="0"/>
        <w:jc w:val="both"/>
        <w:rPr>
          <w:rFonts w:ascii="仿宋" w:hAnsi="仿宋" w:eastAsia="仿宋" w:cs="仿宋"/>
          <w:color w:val="auto"/>
          <w:sz w:val="36"/>
          <w:szCs w:val="36"/>
        </w:rPr>
      </w:pPr>
      <w:bookmarkStart w:id="128" w:name="_Toc3538"/>
      <w:bookmarkStart w:id="129" w:name="_Toc3096"/>
      <w:bookmarkStart w:id="130" w:name="_Toc23244"/>
      <w:bookmarkStart w:id="131" w:name="_Toc166142531"/>
      <w:r>
        <w:rPr>
          <w:rFonts w:hint="eastAsia" w:ascii="仿宋" w:hAnsi="仿宋" w:eastAsia="仿宋" w:cs="仿宋"/>
          <w:color w:val="auto"/>
          <w:sz w:val="36"/>
          <w:szCs w:val="36"/>
        </w:rPr>
        <w:t>附件1：</w:t>
      </w:r>
      <w:bookmarkEnd w:id="128"/>
      <w:bookmarkEnd w:id="129"/>
      <w:bookmarkEnd w:id="130"/>
      <w:bookmarkEnd w:id="131"/>
    </w:p>
    <w:p w14:paraId="61225B5E">
      <w:pPr>
        <w:jc w:val="center"/>
        <w:rPr>
          <w:rFonts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采购文件发售登记表</w:t>
      </w:r>
    </w:p>
    <w:p w14:paraId="7E181E01">
      <w:pPr>
        <w:jc w:val="center"/>
        <w:rPr>
          <w:rFonts w:ascii="仿宋" w:hAnsi="仿宋" w:eastAsia="仿宋" w:cs="仿宋"/>
          <w:b/>
          <w:bCs/>
          <w:color w:val="auto"/>
          <w:sz w:val="44"/>
          <w:szCs w:val="44"/>
        </w:rPr>
      </w:pPr>
      <w:r>
        <w:rPr>
          <w:rFonts w:hint="eastAsia" w:ascii="仿宋" w:hAnsi="仿宋" w:eastAsia="仿宋" w:cs="仿宋"/>
          <w:b/>
          <w:bCs/>
          <w:color w:val="auto"/>
          <w:szCs w:val="21"/>
        </w:rPr>
        <w:t>（重庆市汇昊招标代理有限公司）</w:t>
      </w:r>
    </w:p>
    <w:p w14:paraId="7E440C0A">
      <w:pPr>
        <w:rPr>
          <w:rFonts w:ascii="仿宋" w:hAnsi="仿宋" w:eastAsia="仿宋" w:cs="仿宋"/>
          <w:b/>
          <w:bCs/>
          <w:color w:val="auto"/>
          <w:spacing w:val="40"/>
        </w:rPr>
      </w:pPr>
    </w:p>
    <w:tbl>
      <w:tblPr>
        <w:tblStyle w:val="59"/>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07C270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138EC942">
            <w:pPr>
              <w:jc w:val="center"/>
              <w:rPr>
                <w:rFonts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67CB928F">
            <w:pPr>
              <w:spacing w:line="360" w:lineRule="exact"/>
              <w:jc w:val="center"/>
              <w:rPr>
                <w:rFonts w:ascii="仿宋" w:hAnsi="仿宋" w:eastAsia="仿宋" w:cs="仿宋"/>
                <w:color w:val="auto"/>
              </w:rPr>
            </w:pPr>
          </w:p>
        </w:tc>
      </w:tr>
      <w:tr w14:paraId="0712A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9716E62">
            <w:pPr>
              <w:spacing w:line="360" w:lineRule="exact"/>
              <w:jc w:val="center"/>
              <w:rPr>
                <w:rFonts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1FA48F1A">
            <w:pPr>
              <w:spacing w:line="360" w:lineRule="exact"/>
              <w:jc w:val="center"/>
              <w:rPr>
                <w:rFonts w:ascii="仿宋" w:hAnsi="仿宋" w:eastAsia="仿宋" w:cs="仿宋"/>
                <w:color w:val="auto"/>
              </w:rPr>
            </w:pPr>
          </w:p>
        </w:tc>
      </w:tr>
      <w:tr w14:paraId="4CD6A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1DE7CBE">
            <w:pPr>
              <w:spacing w:line="360" w:lineRule="exact"/>
              <w:jc w:val="center"/>
              <w:rPr>
                <w:rFonts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7F647B2F">
            <w:pPr>
              <w:spacing w:line="360" w:lineRule="exact"/>
              <w:jc w:val="right"/>
              <w:rPr>
                <w:rFonts w:ascii="仿宋" w:hAnsi="仿宋" w:eastAsia="仿宋" w:cs="仿宋"/>
                <w:color w:val="auto"/>
              </w:rPr>
            </w:pPr>
            <w:r>
              <w:rPr>
                <w:rFonts w:hint="eastAsia" w:ascii="仿宋" w:hAnsi="仿宋" w:eastAsia="仿宋" w:cs="仿宋"/>
                <w:color w:val="auto"/>
              </w:rPr>
              <w:t>（投标人公章）</w:t>
            </w:r>
          </w:p>
        </w:tc>
      </w:tr>
      <w:tr w14:paraId="1A2FB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18A6C02">
            <w:pPr>
              <w:spacing w:line="360" w:lineRule="exact"/>
              <w:jc w:val="center"/>
              <w:rPr>
                <w:rFonts w:ascii="仿宋" w:hAnsi="仿宋" w:eastAsia="仿宋" w:cs="仿宋"/>
                <w:color w:val="auto"/>
              </w:rPr>
            </w:pPr>
            <w:r>
              <w:rPr>
                <w:rFonts w:hint="eastAsia" w:ascii="仿宋" w:hAnsi="仿宋" w:eastAsia="仿宋" w:cs="仿宋"/>
                <w:color w:val="auto"/>
              </w:rPr>
              <w:t>联系人</w:t>
            </w:r>
          </w:p>
        </w:tc>
        <w:tc>
          <w:tcPr>
            <w:tcW w:w="2573" w:type="dxa"/>
            <w:vAlign w:val="center"/>
          </w:tcPr>
          <w:p w14:paraId="165E7454">
            <w:pPr>
              <w:spacing w:line="360" w:lineRule="exact"/>
              <w:rPr>
                <w:rFonts w:ascii="仿宋" w:hAnsi="仿宋" w:eastAsia="仿宋" w:cs="仿宋"/>
                <w:color w:val="auto"/>
              </w:rPr>
            </w:pPr>
          </w:p>
        </w:tc>
        <w:tc>
          <w:tcPr>
            <w:tcW w:w="1084" w:type="dxa"/>
            <w:vAlign w:val="center"/>
          </w:tcPr>
          <w:p w14:paraId="40A167B3">
            <w:pPr>
              <w:spacing w:line="360" w:lineRule="exact"/>
              <w:jc w:val="center"/>
              <w:rPr>
                <w:rFonts w:ascii="仿宋" w:hAnsi="仿宋" w:eastAsia="仿宋" w:cs="仿宋"/>
                <w:color w:val="auto"/>
              </w:rPr>
            </w:pPr>
            <w:r>
              <w:rPr>
                <w:rFonts w:hint="eastAsia" w:ascii="仿宋" w:hAnsi="仿宋" w:eastAsia="仿宋" w:cs="仿宋"/>
                <w:color w:val="auto"/>
              </w:rPr>
              <w:t>手机</w:t>
            </w:r>
          </w:p>
        </w:tc>
        <w:tc>
          <w:tcPr>
            <w:tcW w:w="3569" w:type="dxa"/>
            <w:vAlign w:val="center"/>
          </w:tcPr>
          <w:p w14:paraId="0B1405D0">
            <w:pPr>
              <w:spacing w:line="360" w:lineRule="exact"/>
              <w:rPr>
                <w:rFonts w:ascii="仿宋" w:hAnsi="仿宋" w:eastAsia="仿宋" w:cs="仿宋"/>
                <w:color w:val="auto"/>
              </w:rPr>
            </w:pPr>
          </w:p>
        </w:tc>
      </w:tr>
      <w:tr w14:paraId="03FAD7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2928088">
            <w:pPr>
              <w:spacing w:line="360" w:lineRule="exact"/>
              <w:jc w:val="center"/>
              <w:rPr>
                <w:rFonts w:ascii="仿宋" w:hAnsi="仿宋" w:eastAsia="仿宋" w:cs="仿宋"/>
                <w:color w:val="auto"/>
              </w:rPr>
            </w:pPr>
            <w:r>
              <w:rPr>
                <w:rFonts w:hint="eastAsia" w:ascii="仿宋" w:hAnsi="仿宋" w:eastAsia="仿宋" w:cs="仿宋"/>
                <w:color w:val="auto"/>
              </w:rPr>
              <w:t>办公电话</w:t>
            </w:r>
          </w:p>
        </w:tc>
        <w:tc>
          <w:tcPr>
            <w:tcW w:w="2573" w:type="dxa"/>
            <w:vAlign w:val="center"/>
          </w:tcPr>
          <w:p w14:paraId="3959A212">
            <w:pPr>
              <w:spacing w:line="360" w:lineRule="exact"/>
              <w:rPr>
                <w:rFonts w:ascii="仿宋" w:hAnsi="仿宋" w:eastAsia="仿宋" w:cs="仿宋"/>
                <w:color w:val="auto"/>
              </w:rPr>
            </w:pPr>
          </w:p>
        </w:tc>
        <w:tc>
          <w:tcPr>
            <w:tcW w:w="1084" w:type="dxa"/>
            <w:vAlign w:val="center"/>
          </w:tcPr>
          <w:p w14:paraId="3EAB5D03">
            <w:pPr>
              <w:spacing w:line="360" w:lineRule="exact"/>
              <w:jc w:val="center"/>
              <w:rPr>
                <w:rFonts w:ascii="仿宋" w:hAnsi="仿宋" w:eastAsia="仿宋" w:cs="仿宋"/>
                <w:color w:val="auto"/>
              </w:rPr>
            </w:pPr>
            <w:r>
              <w:rPr>
                <w:rFonts w:hint="eastAsia" w:ascii="仿宋" w:hAnsi="仿宋" w:eastAsia="仿宋" w:cs="仿宋"/>
                <w:color w:val="auto"/>
              </w:rPr>
              <w:t>传真</w:t>
            </w:r>
          </w:p>
        </w:tc>
        <w:tc>
          <w:tcPr>
            <w:tcW w:w="3569" w:type="dxa"/>
            <w:vAlign w:val="center"/>
          </w:tcPr>
          <w:p w14:paraId="4F1C1913">
            <w:pPr>
              <w:spacing w:line="360" w:lineRule="exact"/>
              <w:rPr>
                <w:rFonts w:ascii="仿宋" w:hAnsi="仿宋" w:eastAsia="仿宋" w:cs="仿宋"/>
                <w:color w:val="auto"/>
              </w:rPr>
            </w:pPr>
          </w:p>
        </w:tc>
      </w:tr>
      <w:tr w14:paraId="1E384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931DA26">
            <w:pPr>
              <w:spacing w:line="360" w:lineRule="exact"/>
              <w:jc w:val="center"/>
              <w:rPr>
                <w:rFonts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188AC1C4">
            <w:pPr>
              <w:spacing w:line="360" w:lineRule="exact"/>
              <w:rPr>
                <w:rFonts w:ascii="仿宋" w:hAnsi="仿宋" w:eastAsia="仿宋" w:cs="仿宋"/>
                <w:color w:val="auto"/>
              </w:rPr>
            </w:pPr>
          </w:p>
        </w:tc>
      </w:tr>
      <w:tr w14:paraId="6794C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1020469">
            <w:pPr>
              <w:spacing w:line="360" w:lineRule="exact"/>
              <w:jc w:val="center"/>
              <w:rPr>
                <w:rFonts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757012F9">
            <w:pPr>
              <w:spacing w:line="360" w:lineRule="exact"/>
              <w:rPr>
                <w:rFonts w:ascii="仿宋" w:hAnsi="仿宋" w:eastAsia="仿宋" w:cs="仿宋"/>
                <w:color w:val="auto"/>
              </w:rPr>
            </w:pPr>
          </w:p>
        </w:tc>
      </w:tr>
      <w:tr w14:paraId="2DED2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233F28F">
            <w:pPr>
              <w:jc w:val="center"/>
              <w:rPr>
                <w:rFonts w:ascii="仿宋" w:hAnsi="仿宋" w:eastAsia="仿宋" w:cs="仿宋"/>
                <w:color w:val="auto"/>
              </w:rPr>
            </w:pPr>
          </w:p>
        </w:tc>
      </w:tr>
      <w:tr w14:paraId="1C8EC7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887CD">
            <w:pPr>
              <w:rPr>
                <w:rFonts w:ascii="仿宋" w:hAnsi="仿宋" w:eastAsia="仿宋" w:cs="仿宋"/>
                <w:color w:val="auto"/>
              </w:rPr>
            </w:pPr>
          </w:p>
        </w:tc>
      </w:tr>
      <w:tr w14:paraId="5C09D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2C8DEEAB">
            <w:pPr>
              <w:rPr>
                <w:rFonts w:ascii="仿宋" w:hAnsi="仿宋" w:eastAsia="仿宋" w:cs="仿宋"/>
                <w:color w:val="auto"/>
              </w:rPr>
            </w:pPr>
            <w:r>
              <w:rPr>
                <w:rFonts w:hint="eastAsia" w:ascii="仿宋" w:hAnsi="仿宋" w:eastAsia="仿宋" w:cs="仿宋"/>
                <w:color w:val="auto"/>
              </w:rPr>
              <w:t>招标文件售价：人民币300元/份</w:t>
            </w:r>
          </w:p>
        </w:tc>
      </w:tr>
    </w:tbl>
    <w:p w14:paraId="0039D0BB">
      <w:pPr>
        <w:rPr>
          <w:rFonts w:ascii="仿宋" w:hAnsi="仿宋" w:eastAsia="仿宋" w:cs="仿宋"/>
          <w:color w:val="auto"/>
        </w:rPr>
      </w:pPr>
      <w:r>
        <w:rPr>
          <w:rFonts w:hint="eastAsia" w:ascii="仿宋" w:hAnsi="仿宋" w:eastAsia="仿宋" w:cs="仿宋"/>
          <w:color w:val="auto"/>
        </w:rPr>
        <w:t xml:space="preserve">   发售人：                财务：                    日期：</w:t>
      </w:r>
    </w:p>
    <w:p w14:paraId="4509407E">
      <w:pPr>
        <w:pStyle w:val="22"/>
        <w:ind w:left="1600" w:hanging="480"/>
        <w:rPr>
          <w:rFonts w:ascii="仿宋" w:hAnsi="仿宋" w:eastAsia="仿宋" w:cs="仿宋"/>
          <w:color w:val="auto"/>
        </w:rPr>
      </w:pPr>
    </w:p>
    <w:p w14:paraId="0EFC0236">
      <w:pPr>
        <w:pStyle w:val="244"/>
        <w:spacing w:after="0"/>
        <w:rPr>
          <w:rFonts w:ascii="仿宋" w:hAnsi="仿宋" w:eastAsia="仿宋" w:cs="仿宋"/>
          <w:color w:val="auto"/>
        </w:rPr>
      </w:pPr>
    </w:p>
    <w:p w14:paraId="74ED8AB6">
      <w:pPr>
        <w:snapToGrid w:val="0"/>
        <w:spacing w:line="400" w:lineRule="atLeast"/>
        <w:rPr>
          <w:rFonts w:ascii="仿宋" w:hAnsi="仿宋" w:eastAsia="仿宋" w:cs="仿宋"/>
          <w:color w:val="auto"/>
        </w:rPr>
      </w:pPr>
    </w:p>
    <w:sectPr>
      <w:headerReference r:id="rId14" w:type="default"/>
      <w:footerReference r:id="rId15" w:type="default"/>
      <w:pgSz w:w="11907" w:h="16840"/>
      <w:pgMar w:top="1134" w:right="1191" w:bottom="1134" w:left="1304" w:header="454" w:footer="992"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405F6992-6768-4F43-B066-DA00D9388FC6}"/>
  </w:font>
  <w:font w:name="_x000B__x000C_">
    <w:altName w:val="Times New Roman"/>
    <w:panose1 w:val="020B0604020202020204"/>
    <w:charset w:val="00"/>
    <w:family w:val="roman"/>
    <w:pitch w:val="default"/>
    <w:sig w:usb0="00000000" w:usb1="00000000" w:usb2="00000000" w:usb3="00000000" w:csb0="00040001" w:csb1="00000000"/>
  </w:font>
  <w:font w:name="文鼎粗黑">
    <w:altName w:val="方正黑体_GBK"/>
    <w:panose1 w:val="020B0604020202020204"/>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方正楷体_GBK"/>
    <w:panose1 w:val="020B0604020202020204"/>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6CBF">
    <w:pPr>
      <w:pStyle w:val="36"/>
      <w:jc w:val="center"/>
    </w:pPr>
    <w:r>
      <w:fldChar w:fldCharType="begin"/>
    </w:r>
    <w:r>
      <w:instrText xml:space="preserve"> PAGE   \* MERGEFORMAT </w:instrText>
    </w:r>
    <w:r>
      <w:fldChar w:fldCharType="separate"/>
    </w:r>
    <w:r>
      <w:rPr>
        <w:lang w:val="zh-CN"/>
      </w:rPr>
      <w:t>2</w:t>
    </w:r>
    <w:r>
      <w:fldChar w:fldCharType="end"/>
    </w:r>
  </w:p>
  <w:p w14:paraId="4811AF02">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92DA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C56D">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9567">
    <w:pPr>
      <w:pStyle w:val="36"/>
      <w:jc w:val="center"/>
      <w:rPr>
        <w:sz w:val="21"/>
        <w:szCs w:val="21"/>
      </w:rPr>
    </w:pPr>
    <w:r>
      <w:rPr>
        <w:sz w:val="21"/>
        <w:szCs w:val="21"/>
      </w:rPr>
      <w:fldChar w:fldCharType="begin"/>
    </w:r>
    <w:r>
      <w:rPr>
        <w:rStyle w:val="63"/>
        <w:sz w:val="21"/>
        <w:szCs w:val="21"/>
      </w:rPr>
      <w:instrText xml:space="preserve"> PAGE </w:instrText>
    </w:r>
    <w:r>
      <w:rPr>
        <w:sz w:val="21"/>
        <w:szCs w:val="21"/>
      </w:rPr>
      <w:fldChar w:fldCharType="separate"/>
    </w:r>
    <w:r>
      <w:rPr>
        <w:rStyle w:val="63"/>
        <w:sz w:val="21"/>
        <w:szCs w:val="21"/>
      </w:rPr>
      <w:t>- 4 -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2CA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6118F689">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CD47">
    <w:pPr>
      <w:pStyle w:val="36"/>
      <w:framePr w:wrap="around" w:vAnchor="text" w:hAnchor="margin" w:xAlign="outside" w:y="1"/>
      <w:rPr>
        <w:rStyle w:val="63"/>
        <w:sz w:val="28"/>
        <w:szCs w:val="28"/>
      </w:rPr>
    </w:pPr>
    <w:r>
      <w:rPr>
        <w:rStyle w:val="63"/>
        <w:sz w:val="28"/>
        <w:szCs w:val="28"/>
      </w:rPr>
      <w:t xml:space="preserve">— </w:t>
    </w:r>
    <w:r>
      <w:rPr>
        <w:sz w:val="28"/>
        <w:szCs w:val="28"/>
      </w:rPr>
      <w:fldChar w:fldCharType="begin"/>
    </w:r>
    <w:r>
      <w:rPr>
        <w:rStyle w:val="63"/>
        <w:sz w:val="28"/>
        <w:szCs w:val="28"/>
      </w:rPr>
      <w:instrText xml:space="preserve">PAGE  </w:instrText>
    </w:r>
    <w:r>
      <w:rPr>
        <w:sz w:val="28"/>
        <w:szCs w:val="28"/>
      </w:rPr>
      <w:fldChar w:fldCharType="separate"/>
    </w:r>
    <w:r>
      <w:rPr>
        <w:rStyle w:val="63"/>
        <w:sz w:val="28"/>
        <w:szCs w:val="28"/>
      </w:rPr>
      <w:t>48</w:t>
    </w:r>
    <w:r>
      <w:rPr>
        <w:sz w:val="28"/>
        <w:szCs w:val="28"/>
      </w:rPr>
      <w:fldChar w:fldCharType="end"/>
    </w:r>
    <w:r>
      <w:rPr>
        <w:rStyle w:val="63"/>
        <w:sz w:val="28"/>
        <w:szCs w:val="28"/>
      </w:rPr>
      <w:t xml:space="preserve"> —</w:t>
    </w:r>
  </w:p>
  <w:p w14:paraId="57A3D656">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3579">
    <w:pPr>
      <w:pStyle w:val="37"/>
      <w:rPr>
        <w:rFonts w:ascii="仿宋" w:hAnsi="仿宋" w:eastAsia="仿宋"/>
      </w:rPr>
    </w:pPr>
    <w:r>
      <w:rPr>
        <w:rFonts w:ascii="仿宋" w:hAnsi="仿宋" w:eastAsia="仿宋"/>
        <w:sz w:val="21"/>
        <w:szCs w:val="21"/>
      </w:rPr>
      <w:drawing>
        <wp:inline distT="0" distB="0" distL="114300" distR="114300">
          <wp:extent cx="1071245" cy="342900"/>
          <wp:effectExtent l="0" t="0" r="14605" b="0"/>
          <wp:docPr id="4" name="图片 4"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在黑暗中&#10;&#10;中度可信度描述已自动生成"/>
                  <pic:cNvPicPr>
                    <a:picLocks noChangeAspect="1"/>
                  </pic:cNvPicPr>
                </pic:nvPicPr>
                <pic:blipFill>
                  <a:blip r:embed="rId1"/>
                  <a:stretch>
                    <a:fillRect/>
                  </a:stretch>
                </pic:blipFill>
                <pic:spPr>
                  <a:xfrm>
                    <a:off x="0" y="0"/>
                    <a:ext cx="1071245" cy="342900"/>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BD37">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547E">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8E18">
    <w:pPr>
      <w:pStyle w:val="37"/>
      <w:rPr>
        <w:rFonts w:ascii="仿宋" w:hAnsi="仿宋" w:eastAsia="仿宋"/>
      </w:rPr>
    </w:pPr>
    <w:r>
      <w:rPr>
        <w:rFonts w:ascii="仿宋" w:hAnsi="仿宋" w:eastAsia="仿宋"/>
        <w:sz w:val="21"/>
        <w:szCs w:val="21"/>
      </w:rPr>
      <w:drawing>
        <wp:inline distT="0" distB="0" distL="114300" distR="114300">
          <wp:extent cx="1123315" cy="358775"/>
          <wp:effectExtent l="0" t="0" r="635" b="3175"/>
          <wp:docPr id="1477845526" name="图片 147784552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45526" name="图片 1477845526" descr="在黑暗中&#10;&#10;中度可信度描述已自动生成"/>
                  <pic:cNvPicPr>
                    <a:picLocks noChangeAspect="1"/>
                  </pic:cNvPicPr>
                </pic:nvPicPr>
                <pic:blipFill>
                  <a:blip r:embed="rId1"/>
                  <a:stretch>
                    <a:fillRect/>
                  </a:stretch>
                </pic:blipFill>
                <pic:spPr>
                  <a:xfrm>
                    <a:off x="0" y="0"/>
                    <a:ext cx="1123315" cy="3587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3BBA">
    <w:pPr>
      <w:pStyle w:val="37"/>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157548338" name="图片 15754833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8338" name="图片 157548338"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7651">
    <w:pPr>
      <w:pStyle w:val="37"/>
      <w:rPr>
        <w:rFonts w:ascii="仿宋" w:hAnsi="仿宋" w:eastAsia="仿宋"/>
      </w:rPr>
    </w:pPr>
    <w:r>
      <w:rPr>
        <w:rFonts w:ascii="仿宋" w:hAnsi="仿宋" w:eastAsia="仿宋"/>
        <w:sz w:val="21"/>
        <w:szCs w:val="21"/>
      </w:rPr>
      <w:drawing>
        <wp:inline distT="0" distB="0" distL="114300" distR="114300">
          <wp:extent cx="1304290" cy="416560"/>
          <wp:effectExtent l="0" t="0" r="10160" b="2540"/>
          <wp:docPr id="210229118" name="图片 21022911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9118" name="图片 210229118" descr="在黑暗中&#10;&#10;中度可信度描述已自动生成"/>
                  <pic:cNvPicPr>
                    <a:picLocks noChangeAspect="1"/>
                  </pic:cNvPicPr>
                </pic:nvPicPr>
                <pic:blipFill>
                  <a:blip r:embed="rId1"/>
                  <a:stretch>
                    <a:fillRect/>
                  </a:stretch>
                </pic:blipFill>
                <pic:spPr>
                  <a:xfrm>
                    <a:off x="0" y="0"/>
                    <a:ext cx="1304290" cy="416560"/>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E136">
    <w:pPr>
      <w:pStyle w:val="37"/>
      <w:rPr>
        <w:rFonts w:ascii="仿宋" w:hAnsi="仿宋" w:eastAsia="仿宋"/>
      </w:rPr>
    </w:pPr>
    <w:r>
      <w:rPr>
        <w:rFonts w:ascii="仿宋" w:hAnsi="仿宋" w:eastAsia="仿宋"/>
        <w:sz w:val="21"/>
        <w:szCs w:val="21"/>
      </w:rPr>
      <w:drawing>
        <wp:inline distT="0" distB="0" distL="114300" distR="114300">
          <wp:extent cx="1279525" cy="408940"/>
          <wp:effectExtent l="0" t="0" r="15875" b="10160"/>
          <wp:docPr id="270964606" name="图片 27096460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64606" name="图片 270964606" descr="在黑暗中&#10;&#10;中度可信度描述已自动生成"/>
                  <pic:cNvPicPr>
                    <a:picLocks noChangeAspect="1"/>
                  </pic:cNvPicPr>
                </pic:nvPicPr>
                <pic:blipFill>
                  <a:blip r:embed="rId1"/>
                  <a:stretch>
                    <a:fillRect/>
                  </a:stretch>
                </pic:blipFill>
                <pic:spPr>
                  <a:xfrm>
                    <a:off x="0" y="0"/>
                    <a:ext cx="1279525" cy="408940"/>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2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8"/>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8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multilevel"/>
    <w:tmpl w:val="00000014"/>
    <w:lvl w:ilvl="0" w:tentative="0">
      <w:start w:val="1"/>
      <w:numFmt w:val="bullet"/>
      <w:pStyle w:val="28"/>
      <w:lvlText w:val=""/>
      <w:lvlJc w:val="left"/>
      <w:pPr>
        <w:tabs>
          <w:tab w:val="left" w:pos="780"/>
        </w:tabs>
        <w:ind w:left="780" w:hanging="360"/>
      </w:pPr>
      <w:rPr>
        <w:rFonts w:hint="default" w:ascii="Wingdings" w:hAnsi="Wingding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4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0000016"/>
    <w:multiLevelType w:val="singleLevel"/>
    <w:tmpl w:val="00000016"/>
    <w:lvl w:ilvl="0" w:tentative="0">
      <w:start w:val="1"/>
      <w:numFmt w:val="decimal"/>
      <w:pStyle w:val="150"/>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30C0F27"/>
    <w:multiLevelType w:val="singleLevel"/>
    <w:tmpl w:val="330C0F27"/>
    <w:lvl w:ilvl="0" w:tentative="0">
      <w:start w:val="6"/>
      <w:numFmt w:val="chineseCounting"/>
      <w:suff w:val="space"/>
      <w:lvlText w:val="第%1篇"/>
      <w:lvlJc w:val="left"/>
      <w:rPr>
        <w:rFonts w:hint="eastAsia"/>
      </w:rPr>
    </w:lvl>
  </w:abstractNum>
  <w:num w:numId="1">
    <w:abstractNumId w:val="8"/>
  </w:num>
  <w:num w:numId="2">
    <w:abstractNumId w:val="3"/>
  </w:num>
  <w:num w:numId="3">
    <w:abstractNumId w:val="9"/>
  </w:num>
  <w:num w:numId="4">
    <w:abstractNumId w:val="1"/>
  </w:num>
  <w:num w:numId="5">
    <w:abstractNumId w:val="0"/>
  </w:num>
  <w:num w:numId="6">
    <w:abstractNumId w:val="2"/>
  </w:num>
  <w:num w:numId="7">
    <w:abstractNumId w:val="11"/>
  </w:num>
  <w:num w:numId="8">
    <w:abstractNumId w:val="5"/>
  </w:num>
  <w:num w:numId="9">
    <w:abstractNumId w:val="4"/>
  </w:num>
  <w:num w:numId="10">
    <w:abstractNumId w:val="10"/>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MTgxMTE4YjBkOWEwNzY2YTI5NjZlODE0NzA3ZWIifQ=="/>
    <w:docVar w:name="KSO_WPS_MARK_KEY" w:val="f7990341-daad-46e3-b44b-f9e380a5f6cf"/>
  </w:docVars>
  <w:rsids>
    <w:rsidRoot w:val="00172A27"/>
    <w:rsid w:val="00000C69"/>
    <w:rsid w:val="00003108"/>
    <w:rsid w:val="000044D3"/>
    <w:rsid w:val="00004AAF"/>
    <w:rsid w:val="000052EA"/>
    <w:rsid w:val="000054E6"/>
    <w:rsid w:val="00005558"/>
    <w:rsid w:val="00007126"/>
    <w:rsid w:val="00016B79"/>
    <w:rsid w:val="00021566"/>
    <w:rsid w:val="000320E1"/>
    <w:rsid w:val="00033AC0"/>
    <w:rsid w:val="000345CF"/>
    <w:rsid w:val="0003632F"/>
    <w:rsid w:val="00036404"/>
    <w:rsid w:val="000462E4"/>
    <w:rsid w:val="00047C5E"/>
    <w:rsid w:val="0005298B"/>
    <w:rsid w:val="00054C6C"/>
    <w:rsid w:val="000576E1"/>
    <w:rsid w:val="00057C3E"/>
    <w:rsid w:val="00063981"/>
    <w:rsid w:val="00067F21"/>
    <w:rsid w:val="00071368"/>
    <w:rsid w:val="00081A78"/>
    <w:rsid w:val="00093DDF"/>
    <w:rsid w:val="000A1644"/>
    <w:rsid w:val="000A164E"/>
    <w:rsid w:val="000A4FED"/>
    <w:rsid w:val="000A5654"/>
    <w:rsid w:val="000A56D3"/>
    <w:rsid w:val="000B1F31"/>
    <w:rsid w:val="000B2BD5"/>
    <w:rsid w:val="000B7377"/>
    <w:rsid w:val="000B7F54"/>
    <w:rsid w:val="000C209F"/>
    <w:rsid w:val="000C6C26"/>
    <w:rsid w:val="000D61FB"/>
    <w:rsid w:val="000D6CB1"/>
    <w:rsid w:val="000D7469"/>
    <w:rsid w:val="000E1316"/>
    <w:rsid w:val="000E3259"/>
    <w:rsid w:val="000F079D"/>
    <w:rsid w:val="000F554A"/>
    <w:rsid w:val="000F7DBF"/>
    <w:rsid w:val="00100639"/>
    <w:rsid w:val="00106DA2"/>
    <w:rsid w:val="00112951"/>
    <w:rsid w:val="00116856"/>
    <w:rsid w:val="00120259"/>
    <w:rsid w:val="001235AA"/>
    <w:rsid w:val="00124026"/>
    <w:rsid w:val="001300C2"/>
    <w:rsid w:val="00133D16"/>
    <w:rsid w:val="00134E08"/>
    <w:rsid w:val="00143C6A"/>
    <w:rsid w:val="0014477B"/>
    <w:rsid w:val="00147A13"/>
    <w:rsid w:val="00147FB4"/>
    <w:rsid w:val="0015011C"/>
    <w:rsid w:val="00150429"/>
    <w:rsid w:val="001571C8"/>
    <w:rsid w:val="00160A78"/>
    <w:rsid w:val="001644DA"/>
    <w:rsid w:val="00165EDF"/>
    <w:rsid w:val="00166D55"/>
    <w:rsid w:val="00172A27"/>
    <w:rsid w:val="0017641A"/>
    <w:rsid w:val="00180ACB"/>
    <w:rsid w:val="0019041C"/>
    <w:rsid w:val="00191F10"/>
    <w:rsid w:val="00192A6E"/>
    <w:rsid w:val="00195E5A"/>
    <w:rsid w:val="001A6DCC"/>
    <w:rsid w:val="001B1C29"/>
    <w:rsid w:val="001B3DBD"/>
    <w:rsid w:val="001B4377"/>
    <w:rsid w:val="001B7F7C"/>
    <w:rsid w:val="001C1A34"/>
    <w:rsid w:val="001C2935"/>
    <w:rsid w:val="001C3B71"/>
    <w:rsid w:val="001D1E46"/>
    <w:rsid w:val="001D2DCD"/>
    <w:rsid w:val="001D4DF9"/>
    <w:rsid w:val="001D5055"/>
    <w:rsid w:val="001E5CAC"/>
    <w:rsid w:val="001E725F"/>
    <w:rsid w:val="001F1AF7"/>
    <w:rsid w:val="001F3151"/>
    <w:rsid w:val="001F4964"/>
    <w:rsid w:val="001F5AC1"/>
    <w:rsid w:val="001F7063"/>
    <w:rsid w:val="00202B04"/>
    <w:rsid w:val="00204936"/>
    <w:rsid w:val="002100EE"/>
    <w:rsid w:val="00210D40"/>
    <w:rsid w:val="002161A9"/>
    <w:rsid w:val="002212D5"/>
    <w:rsid w:val="00222097"/>
    <w:rsid w:val="00225153"/>
    <w:rsid w:val="0023174C"/>
    <w:rsid w:val="00233364"/>
    <w:rsid w:val="002402CE"/>
    <w:rsid w:val="002512DD"/>
    <w:rsid w:val="00252972"/>
    <w:rsid w:val="002643C1"/>
    <w:rsid w:val="00271509"/>
    <w:rsid w:val="00271D47"/>
    <w:rsid w:val="002721EA"/>
    <w:rsid w:val="00274563"/>
    <w:rsid w:val="00274D2E"/>
    <w:rsid w:val="00280E8A"/>
    <w:rsid w:val="002815D1"/>
    <w:rsid w:val="002828EE"/>
    <w:rsid w:val="00285164"/>
    <w:rsid w:val="0028647E"/>
    <w:rsid w:val="00291710"/>
    <w:rsid w:val="00294BFE"/>
    <w:rsid w:val="00295FEF"/>
    <w:rsid w:val="002A3031"/>
    <w:rsid w:val="002A4956"/>
    <w:rsid w:val="002A6710"/>
    <w:rsid w:val="002B7904"/>
    <w:rsid w:val="002C2E6E"/>
    <w:rsid w:val="002C402E"/>
    <w:rsid w:val="002C5E8A"/>
    <w:rsid w:val="002C7E2B"/>
    <w:rsid w:val="002E0165"/>
    <w:rsid w:val="002E2567"/>
    <w:rsid w:val="002E4931"/>
    <w:rsid w:val="002E676E"/>
    <w:rsid w:val="002E6EFA"/>
    <w:rsid w:val="002F3DE3"/>
    <w:rsid w:val="002F3F4B"/>
    <w:rsid w:val="002F5012"/>
    <w:rsid w:val="002F632E"/>
    <w:rsid w:val="00303714"/>
    <w:rsid w:val="00305F87"/>
    <w:rsid w:val="00310AF9"/>
    <w:rsid w:val="00315742"/>
    <w:rsid w:val="003163B3"/>
    <w:rsid w:val="0031684F"/>
    <w:rsid w:val="00320A06"/>
    <w:rsid w:val="00325560"/>
    <w:rsid w:val="003350F8"/>
    <w:rsid w:val="0033722D"/>
    <w:rsid w:val="00337568"/>
    <w:rsid w:val="00341DEB"/>
    <w:rsid w:val="00346167"/>
    <w:rsid w:val="00346A3D"/>
    <w:rsid w:val="00350C20"/>
    <w:rsid w:val="00353FDF"/>
    <w:rsid w:val="00354721"/>
    <w:rsid w:val="003548FA"/>
    <w:rsid w:val="00354A52"/>
    <w:rsid w:val="00361427"/>
    <w:rsid w:val="0036393F"/>
    <w:rsid w:val="0036458B"/>
    <w:rsid w:val="00364D70"/>
    <w:rsid w:val="00371D2F"/>
    <w:rsid w:val="00377842"/>
    <w:rsid w:val="0038282F"/>
    <w:rsid w:val="00382854"/>
    <w:rsid w:val="00384161"/>
    <w:rsid w:val="00387610"/>
    <w:rsid w:val="0039252A"/>
    <w:rsid w:val="00396A86"/>
    <w:rsid w:val="003973D3"/>
    <w:rsid w:val="00397AB2"/>
    <w:rsid w:val="003A0892"/>
    <w:rsid w:val="003A0F6C"/>
    <w:rsid w:val="003A2452"/>
    <w:rsid w:val="003A449E"/>
    <w:rsid w:val="003A71F3"/>
    <w:rsid w:val="003B19F5"/>
    <w:rsid w:val="003C30B5"/>
    <w:rsid w:val="003C321A"/>
    <w:rsid w:val="003C3456"/>
    <w:rsid w:val="003D0E0A"/>
    <w:rsid w:val="003D25C8"/>
    <w:rsid w:val="003D547C"/>
    <w:rsid w:val="003D628B"/>
    <w:rsid w:val="003E2E06"/>
    <w:rsid w:val="003E4B3D"/>
    <w:rsid w:val="003E5106"/>
    <w:rsid w:val="003E5F78"/>
    <w:rsid w:val="003F09B4"/>
    <w:rsid w:val="003F4F08"/>
    <w:rsid w:val="003F58D5"/>
    <w:rsid w:val="00402B32"/>
    <w:rsid w:val="00406750"/>
    <w:rsid w:val="00410C93"/>
    <w:rsid w:val="00411B4A"/>
    <w:rsid w:val="004141D7"/>
    <w:rsid w:val="00417235"/>
    <w:rsid w:val="00434DC8"/>
    <w:rsid w:val="00440319"/>
    <w:rsid w:val="00445047"/>
    <w:rsid w:val="00462878"/>
    <w:rsid w:val="00463C18"/>
    <w:rsid w:val="00464C97"/>
    <w:rsid w:val="00470DF4"/>
    <w:rsid w:val="00471161"/>
    <w:rsid w:val="00476101"/>
    <w:rsid w:val="004766EA"/>
    <w:rsid w:val="00476B62"/>
    <w:rsid w:val="00476C2C"/>
    <w:rsid w:val="00480AB2"/>
    <w:rsid w:val="004939F3"/>
    <w:rsid w:val="004953EC"/>
    <w:rsid w:val="004A0DE1"/>
    <w:rsid w:val="004A1E2A"/>
    <w:rsid w:val="004A2410"/>
    <w:rsid w:val="004A27AC"/>
    <w:rsid w:val="004B3BF7"/>
    <w:rsid w:val="004B7483"/>
    <w:rsid w:val="004C1DD0"/>
    <w:rsid w:val="004C3C70"/>
    <w:rsid w:val="004C64E4"/>
    <w:rsid w:val="004C7CAE"/>
    <w:rsid w:val="004D0A98"/>
    <w:rsid w:val="004E2483"/>
    <w:rsid w:val="004E3BB0"/>
    <w:rsid w:val="004E55DB"/>
    <w:rsid w:val="004E76D1"/>
    <w:rsid w:val="004F239C"/>
    <w:rsid w:val="004F2EFF"/>
    <w:rsid w:val="004F2FCB"/>
    <w:rsid w:val="00502B2F"/>
    <w:rsid w:val="00503827"/>
    <w:rsid w:val="00512D00"/>
    <w:rsid w:val="00513A5F"/>
    <w:rsid w:val="00514179"/>
    <w:rsid w:val="00520A91"/>
    <w:rsid w:val="00520C01"/>
    <w:rsid w:val="00542A49"/>
    <w:rsid w:val="005432FD"/>
    <w:rsid w:val="005438B1"/>
    <w:rsid w:val="005460D5"/>
    <w:rsid w:val="00551402"/>
    <w:rsid w:val="00552F85"/>
    <w:rsid w:val="005565E1"/>
    <w:rsid w:val="00563DCD"/>
    <w:rsid w:val="00565222"/>
    <w:rsid w:val="00565593"/>
    <w:rsid w:val="00566A85"/>
    <w:rsid w:val="00571F39"/>
    <w:rsid w:val="00573AE3"/>
    <w:rsid w:val="005902D9"/>
    <w:rsid w:val="00594E10"/>
    <w:rsid w:val="00596AB7"/>
    <w:rsid w:val="00596CB3"/>
    <w:rsid w:val="005A0554"/>
    <w:rsid w:val="005A1EA7"/>
    <w:rsid w:val="005A3168"/>
    <w:rsid w:val="005B1E46"/>
    <w:rsid w:val="005B3563"/>
    <w:rsid w:val="005C42AC"/>
    <w:rsid w:val="005C4F84"/>
    <w:rsid w:val="005C59A0"/>
    <w:rsid w:val="005D703E"/>
    <w:rsid w:val="005D7A14"/>
    <w:rsid w:val="005D7BC2"/>
    <w:rsid w:val="005D7D6C"/>
    <w:rsid w:val="005E1CEF"/>
    <w:rsid w:val="005E2179"/>
    <w:rsid w:val="005E3B8D"/>
    <w:rsid w:val="005E5E60"/>
    <w:rsid w:val="005F1B63"/>
    <w:rsid w:val="005F1C2A"/>
    <w:rsid w:val="005F34B2"/>
    <w:rsid w:val="005F3537"/>
    <w:rsid w:val="00602057"/>
    <w:rsid w:val="00603623"/>
    <w:rsid w:val="00604D17"/>
    <w:rsid w:val="00605426"/>
    <w:rsid w:val="0060601B"/>
    <w:rsid w:val="0061181D"/>
    <w:rsid w:val="00613410"/>
    <w:rsid w:val="00613A26"/>
    <w:rsid w:val="00617986"/>
    <w:rsid w:val="00621636"/>
    <w:rsid w:val="00624EF0"/>
    <w:rsid w:val="00625FEF"/>
    <w:rsid w:val="00626CC1"/>
    <w:rsid w:val="006323B3"/>
    <w:rsid w:val="00635276"/>
    <w:rsid w:val="00637FA0"/>
    <w:rsid w:val="006407AD"/>
    <w:rsid w:val="00645816"/>
    <w:rsid w:val="00647401"/>
    <w:rsid w:val="00651723"/>
    <w:rsid w:val="00654A48"/>
    <w:rsid w:val="0065651B"/>
    <w:rsid w:val="0065662F"/>
    <w:rsid w:val="0066052B"/>
    <w:rsid w:val="00663B88"/>
    <w:rsid w:val="00664607"/>
    <w:rsid w:val="00665552"/>
    <w:rsid w:val="006657C6"/>
    <w:rsid w:val="00670089"/>
    <w:rsid w:val="006718E9"/>
    <w:rsid w:val="00672193"/>
    <w:rsid w:val="00672F76"/>
    <w:rsid w:val="00673D4A"/>
    <w:rsid w:val="006757E8"/>
    <w:rsid w:val="00675FC4"/>
    <w:rsid w:val="00684415"/>
    <w:rsid w:val="00684E51"/>
    <w:rsid w:val="006901A2"/>
    <w:rsid w:val="006A100B"/>
    <w:rsid w:val="006A3285"/>
    <w:rsid w:val="006B0890"/>
    <w:rsid w:val="006B72DE"/>
    <w:rsid w:val="006C5FC1"/>
    <w:rsid w:val="006D38C3"/>
    <w:rsid w:val="006D44E1"/>
    <w:rsid w:val="006D7E98"/>
    <w:rsid w:val="006E21FA"/>
    <w:rsid w:val="006E5462"/>
    <w:rsid w:val="006F0FB7"/>
    <w:rsid w:val="006F45EE"/>
    <w:rsid w:val="00703D67"/>
    <w:rsid w:val="00704E5D"/>
    <w:rsid w:val="00705739"/>
    <w:rsid w:val="00707CDC"/>
    <w:rsid w:val="0071523B"/>
    <w:rsid w:val="00726088"/>
    <w:rsid w:val="00730B6A"/>
    <w:rsid w:val="00733AE6"/>
    <w:rsid w:val="0073661E"/>
    <w:rsid w:val="00736D88"/>
    <w:rsid w:val="00736DD2"/>
    <w:rsid w:val="00741F08"/>
    <w:rsid w:val="0074681C"/>
    <w:rsid w:val="00746EC2"/>
    <w:rsid w:val="00747FD4"/>
    <w:rsid w:val="00755EE2"/>
    <w:rsid w:val="007660F4"/>
    <w:rsid w:val="00770E6A"/>
    <w:rsid w:val="00774581"/>
    <w:rsid w:val="00777EBE"/>
    <w:rsid w:val="0078251A"/>
    <w:rsid w:val="00786DDB"/>
    <w:rsid w:val="00791CFC"/>
    <w:rsid w:val="007959AC"/>
    <w:rsid w:val="007A20E0"/>
    <w:rsid w:val="007B2204"/>
    <w:rsid w:val="007B2709"/>
    <w:rsid w:val="007B2BE6"/>
    <w:rsid w:val="007B2D20"/>
    <w:rsid w:val="007C649E"/>
    <w:rsid w:val="007C7D15"/>
    <w:rsid w:val="007D36EB"/>
    <w:rsid w:val="007E23E0"/>
    <w:rsid w:val="007E4B3C"/>
    <w:rsid w:val="007E6D78"/>
    <w:rsid w:val="007E6E84"/>
    <w:rsid w:val="007F251E"/>
    <w:rsid w:val="007F4D7F"/>
    <w:rsid w:val="00802B85"/>
    <w:rsid w:val="00810B90"/>
    <w:rsid w:val="0081156A"/>
    <w:rsid w:val="008126B2"/>
    <w:rsid w:val="00815274"/>
    <w:rsid w:val="00821631"/>
    <w:rsid w:val="00823BE7"/>
    <w:rsid w:val="00827398"/>
    <w:rsid w:val="00834630"/>
    <w:rsid w:val="008362B7"/>
    <w:rsid w:val="00841940"/>
    <w:rsid w:val="00842974"/>
    <w:rsid w:val="008507A6"/>
    <w:rsid w:val="0085192C"/>
    <w:rsid w:val="00854958"/>
    <w:rsid w:val="0085550A"/>
    <w:rsid w:val="008616EF"/>
    <w:rsid w:val="00863C25"/>
    <w:rsid w:val="00866DEB"/>
    <w:rsid w:val="008759A7"/>
    <w:rsid w:val="00875A42"/>
    <w:rsid w:val="00876DB5"/>
    <w:rsid w:val="00877A7D"/>
    <w:rsid w:val="008808B8"/>
    <w:rsid w:val="008871F9"/>
    <w:rsid w:val="008904A8"/>
    <w:rsid w:val="008A61F4"/>
    <w:rsid w:val="008B2E2F"/>
    <w:rsid w:val="008C1103"/>
    <w:rsid w:val="008C510F"/>
    <w:rsid w:val="008E2EEF"/>
    <w:rsid w:val="008E2F5A"/>
    <w:rsid w:val="008E40DD"/>
    <w:rsid w:val="008E493E"/>
    <w:rsid w:val="008E66B8"/>
    <w:rsid w:val="008E7A31"/>
    <w:rsid w:val="008F1246"/>
    <w:rsid w:val="008F1988"/>
    <w:rsid w:val="00900F6D"/>
    <w:rsid w:val="009023F3"/>
    <w:rsid w:val="0090383C"/>
    <w:rsid w:val="00904E53"/>
    <w:rsid w:val="00910AD0"/>
    <w:rsid w:val="00912132"/>
    <w:rsid w:val="00912357"/>
    <w:rsid w:val="009147C6"/>
    <w:rsid w:val="00921198"/>
    <w:rsid w:val="00922FAD"/>
    <w:rsid w:val="00924F0A"/>
    <w:rsid w:val="0092708B"/>
    <w:rsid w:val="0093509D"/>
    <w:rsid w:val="00936C00"/>
    <w:rsid w:val="00937713"/>
    <w:rsid w:val="009414C4"/>
    <w:rsid w:val="00950C59"/>
    <w:rsid w:val="0095235E"/>
    <w:rsid w:val="00961180"/>
    <w:rsid w:val="00966820"/>
    <w:rsid w:val="009757FE"/>
    <w:rsid w:val="00980037"/>
    <w:rsid w:val="00983B43"/>
    <w:rsid w:val="009A2343"/>
    <w:rsid w:val="009A2B8E"/>
    <w:rsid w:val="009A6D82"/>
    <w:rsid w:val="009B0B39"/>
    <w:rsid w:val="009B4C5A"/>
    <w:rsid w:val="009C15CF"/>
    <w:rsid w:val="009C3034"/>
    <w:rsid w:val="009C3CF7"/>
    <w:rsid w:val="009C5665"/>
    <w:rsid w:val="009C56C8"/>
    <w:rsid w:val="009C700E"/>
    <w:rsid w:val="009C7417"/>
    <w:rsid w:val="009D040B"/>
    <w:rsid w:val="009E5822"/>
    <w:rsid w:val="009E737D"/>
    <w:rsid w:val="009F0117"/>
    <w:rsid w:val="009F0606"/>
    <w:rsid w:val="009F758D"/>
    <w:rsid w:val="00A024EB"/>
    <w:rsid w:val="00A03977"/>
    <w:rsid w:val="00A058D4"/>
    <w:rsid w:val="00A13AB1"/>
    <w:rsid w:val="00A20D1E"/>
    <w:rsid w:val="00A217DE"/>
    <w:rsid w:val="00A26FF7"/>
    <w:rsid w:val="00A2762A"/>
    <w:rsid w:val="00A30D6F"/>
    <w:rsid w:val="00A323C7"/>
    <w:rsid w:val="00A33BCB"/>
    <w:rsid w:val="00A350F8"/>
    <w:rsid w:val="00A3689C"/>
    <w:rsid w:val="00A404F8"/>
    <w:rsid w:val="00A41BDB"/>
    <w:rsid w:val="00A42AA3"/>
    <w:rsid w:val="00A445DC"/>
    <w:rsid w:val="00A44BEA"/>
    <w:rsid w:val="00A522FD"/>
    <w:rsid w:val="00A55652"/>
    <w:rsid w:val="00A6208F"/>
    <w:rsid w:val="00A633C7"/>
    <w:rsid w:val="00A70EBB"/>
    <w:rsid w:val="00A711C6"/>
    <w:rsid w:val="00A71BE9"/>
    <w:rsid w:val="00A726FB"/>
    <w:rsid w:val="00A73067"/>
    <w:rsid w:val="00A73951"/>
    <w:rsid w:val="00A73DDF"/>
    <w:rsid w:val="00A75740"/>
    <w:rsid w:val="00A83DD5"/>
    <w:rsid w:val="00A84863"/>
    <w:rsid w:val="00A92B77"/>
    <w:rsid w:val="00A95D95"/>
    <w:rsid w:val="00A96732"/>
    <w:rsid w:val="00A977EC"/>
    <w:rsid w:val="00A97C3C"/>
    <w:rsid w:val="00AA14D8"/>
    <w:rsid w:val="00AA3FD1"/>
    <w:rsid w:val="00AA5668"/>
    <w:rsid w:val="00AB0CBA"/>
    <w:rsid w:val="00AB55E1"/>
    <w:rsid w:val="00AB5ED3"/>
    <w:rsid w:val="00AB617C"/>
    <w:rsid w:val="00AB6B0C"/>
    <w:rsid w:val="00AB70CD"/>
    <w:rsid w:val="00AC0F24"/>
    <w:rsid w:val="00AC48B3"/>
    <w:rsid w:val="00AC659B"/>
    <w:rsid w:val="00AC7AC9"/>
    <w:rsid w:val="00AD01EF"/>
    <w:rsid w:val="00AD370B"/>
    <w:rsid w:val="00AD3A6B"/>
    <w:rsid w:val="00AE1920"/>
    <w:rsid w:val="00AE5CDD"/>
    <w:rsid w:val="00AF01B3"/>
    <w:rsid w:val="00AF0F13"/>
    <w:rsid w:val="00AF7992"/>
    <w:rsid w:val="00B00AB3"/>
    <w:rsid w:val="00B14C52"/>
    <w:rsid w:val="00B200AA"/>
    <w:rsid w:val="00B25710"/>
    <w:rsid w:val="00B34F73"/>
    <w:rsid w:val="00B37823"/>
    <w:rsid w:val="00B478C3"/>
    <w:rsid w:val="00B61348"/>
    <w:rsid w:val="00B6263F"/>
    <w:rsid w:val="00B67114"/>
    <w:rsid w:val="00B748B5"/>
    <w:rsid w:val="00B75449"/>
    <w:rsid w:val="00B8362D"/>
    <w:rsid w:val="00B86EB7"/>
    <w:rsid w:val="00B917C4"/>
    <w:rsid w:val="00BA162D"/>
    <w:rsid w:val="00BA527C"/>
    <w:rsid w:val="00BB2C01"/>
    <w:rsid w:val="00BB7494"/>
    <w:rsid w:val="00BC6A1C"/>
    <w:rsid w:val="00BD6152"/>
    <w:rsid w:val="00BE07A9"/>
    <w:rsid w:val="00BE14A3"/>
    <w:rsid w:val="00BE1D91"/>
    <w:rsid w:val="00BE6AED"/>
    <w:rsid w:val="00BF38CF"/>
    <w:rsid w:val="00BF50B8"/>
    <w:rsid w:val="00BF5230"/>
    <w:rsid w:val="00C078E5"/>
    <w:rsid w:val="00C1090C"/>
    <w:rsid w:val="00C11E75"/>
    <w:rsid w:val="00C161BB"/>
    <w:rsid w:val="00C240C8"/>
    <w:rsid w:val="00C26513"/>
    <w:rsid w:val="00C328DD"/>
    <w:rsid w:val="00C35D3D"/>
    <w:rsid w:val="00C36DE9"/>
    <w:rsid w:val="00C37F72"/>
    <w:rsid w:val="00C40CA3"/>
    <w:rsid w:val="00C420C1"/>
    <w:rsid w:val="00C4384B"/>
    <w:rsid w:val="00C45963"/>
    <w:rsid w:val="00C472B8"/>
    <w:rsid w:val="00C51192"/>
    <w:rsid w:val="00C5264E"/>
    <w:rsid w:val="00C53124"/>
    <w:rsid w:val="00C53B2E"/>
    <w:rsid w:val="00C57B1E"/>
    <w:rsid w:val="00C61564"/>
    <w:rsid w:val="00C6160A"/>
    <w:rsid w:val="00C6411F"/>
    <w:rsid w:val="00C6672F"/>
    <w:rsid w:val="00C708F1"/>
    <w:rsid w:val="00C77127"/>
    <w:rsid w:val="00C81B5D"/>
    <w:rsid w:val="00C84E04"/>
    <w:rsid w:val="00C90D86"/>
    <w:rsid w:val="00C90F1B"/>
    <w:rsid w:val="00C910BE"/>
    <w:rsid w:val="00C922BE"/>
    <w:rsid w:val="00C9254F"/>
    <w:rsid w:val="00CA2E82"/>
    <w:rsid w:val="00CA7415"/>
    <w:rsid w:val="00CB22E8"/>
    <w:rsid w:val="00CB265C"/>
    <w:rsid w:val="00CB788C"/>
    <w:rsid w:val="00CB7A07"/>
    <w:rsid w:val="00CC4D4D"/>
    <w:rsid w:val="00CC529D"/>
    <w:rsid w:val="00CC59BB"/>
    <w:rsid w:val="00CD2CCC"/>
    <w:rsid w:val="00CD635D"/>
    <w:rsid w:val="00CD7CED"/>
    <w:rsid w:val="00CE04C7"/>
    <w:rsid w:val="00CE531B"/>
    <w:rsid w:val="00CF156B"/>
    <w:rsid w:val="00CF1E02"/>
    <w:rsid w:val="00CF597A"/>
    <w:rsid w:val="00D04035"/>
    <w:rsid w:val="00D05BAA"/>
    <w:rsid w:val="00D12CB6"/>
    <w:rsid w:val="00D13B7A"/>
    <w:rsid w:val="00D141C0"/>
    <w:rsid w:val="00D17987"/>
    <w:rsid w:val="00D22C4B"/>
    <w:rsid w:val="00D230C7"/>
    <w:rsid w:val="00D23E7D"/>
    <w:rsid w:val="00D2405F"/>
    <w:rsid w:val="00D30C7F"/>
    <w:rsid w:val="00D30DE5"/>
    <w:rsid w:val="00D3758D"/>
    <w:rsid w:val="00D41BA9"/>
    <w:rsid w:val="00D46401"/>
    <w:rsid w:val="00D51836"/>
    <w:rsid w:val="00D54D92"/>
    <w:rsid w:val="00D553F9"/>
    <w:rsid w:val="00D56B23"/>
    <w:rsid w:val="00D612C2"/>
    <w:rsid w:val="00D638D5"/>
    <w:rsid w:val="00D66E81"/>
    <w:rsid w:val="00D72338"/>
    <w:rsid w:val="00D745E0"/>
    <w:rsid w:val="00D76AA3"/>
    <w:rsid w:val="00D80604"/>
    <w:rsid w:val="00D85417"/>
    <w:rsid w:val="00D97AFC"/>
    <w:rsid w:val="00DA086B"/>
    <w:rsid w:val="00DA7E05"/>
    <w:rsid w:val="00DB040F"/>
    <w:rsid w:val="00DB2298"/>
    <w:rsid w:val="00DB3799"/>
    <w:rsid w:val="00DB386D"/>
    <w:rsid w:val="00DB4794"/>
    <w:rsid w:val="00DB5C3E"/>
    <w:rsid w:val="00DB628E"/>
    <w:rsid w:val="00DC3583"/>
    <w:rsid w:val="00DD0EA1"/>
    <w:rsid w:val="00DD3791"/>
    <w:rsid w:val="00DD46CB"/>
    <w:rsid w:val="00DD5A1B"/>
    <w:rsid w:val="00DF5590"/>
    <w:rsid w:val="00DF782C"/>
    <w:rsid w:val="00E030A0"/>
    <w:rsid w:val="00E05B54"/>
    <w:rsid w:val="00E10724"/>
    <w:rsid w:val="00E11690"/>
    <w:rsid w:val="00E124E3"/>
    <w:rsid w:val="00E14812"/>
    <w:rsid w:val="00E14B39"/>
    <w:rsid w:val="00E15DDE"/>
    <w:rsid w:val="00E2120B"/>
    <w:rsid w:val="00E221C6"/>
    <w:rsid w:val="00E2339E"/>
    <w:rsid w:val="00E237E0"/>
    <w:rsid w:val="00E27C1B"/>
    <w:rsid w:val="00E3245B"/>
    <w:rsid w:val="00E3398D"/>
    <w:rsid w:val="00E34F35"/>
    <w:rsid w:val="00E35EC5"/>
    <w:rsid w:val="00E3707B"/>
    <w:rsid w:val="00E43D8F"/>
    <w:rsid w:val="00E50685"/>
    <w:rsid w:val="00E53038"/>
    <w:rsid w:val="00E54B00"/>
    <w:rsid w:val="00E55926"/>
    <w:rsid w:val="00E57816"/>
    <w:rsid w:val="00E57BFD"/>
    <w:rsid w:val="00E57F6B"/>
    <w:rsid w:val="00E65353"/>
    <w:rsid w:val="00E657AC"/>
    <w:rsid w:val="00E70694"/>
    <w:rsid w:val="00E7234F"/>
    <w:rsid w:val="00E7342C"/>
    <w:rsid w:val="00E82F45"/>
    <w:rsid w:val="00E84B15"/>
    <w:rsid w:val="00E85169"/>
    <w:rsid w:val="00EA010E"/>
    <w:rsid w:val="00EA01D5"/>
    <w:rsid w:val="00EA19FE"/>
    <w:rsid w:val="00EA7574"/>
    <w:rsid w:val="00EB0108"/>
    <w:rsid w:val="00EB1E33"/>
    <w:rsid w:val="00EB6E55"/>
    <w:rsid w:val="00EC0881"/>
    <w:rsid w:val="00EC1090"/>
    <w:rsid w:val="00ED1132"/>
    <w:rsid w:val="00ED3E7E"/>
    <w:rsid w:val="00ED4EC8"/>
    <w:rsid w:val="00ED50E2"/>
    <w:rsid w:val="00EE07EF"/>
    <w:rsid w:val="00EE0EF5"/>
    <w:rsid w:val="00EF5B2F"/>
    <w:rsid w:val="00EF6C26"/>
    <w:rsid w:val="00F000F0"/>
    <w:rsid w:val="00F03199"/>
    <w:rsid w:val="00F06938"/>
    <w:rsid w:val="00F10A0D"/>
    <w:rsid w:val="00F14703"/>
    <w:rsid w:val="00F15DA4"/>
    <w:rsid w:val="00F16962"/>
    <w:rsid w:val="00F25A01"/>
    <w:rsid w:val="00F34437"/>
    <w:rsid w:val="00F35457"/>
    <w:rsid w:val="00F3557D"/>
    <w:rsid w:val="00F3595B"/>
    <w:rsid w:val="00F426A6"/>
    <w:rsid w:val="00F429FD"/>
    <w:rsid w:val="00F45C2A"/>
    <w:rsid w:val="00F506EC"/>
    <w:rsid w:val="00F543F1"/>
    <w:rsid w:val="00F561D3"/>
    <w:rsid w:val="00F56399"/>
    <w:rsid w:val="00F63740"/>
    <w:rsid w:val="00F7415D"/>
    <w:rsid w:val="00F7622F"/>
    <w:rsid w:val="00F7750A"/>
    <w:rsid w:val="00F80006"/>
    <w:rsid w:val="00F80084"/>
    <w:rsid w:val="00F81C17"/>
    <w:rsid w:val="00F90CE4"/>
    <w:rsid w:val="00F937B2"/>
    <w:rsid w:val="00F95676"/>
    <w:rsid w:val="00FA1BE2"/>
    <w:rsid w:val="00FA5647"/>
    <w:rsid w:val="00FA7457"/>
    <w:rsid w:val="00FB0486"/>
    <w:rsid w:val="00FB07DC"/>
    <w:rsid w:val="00FB5FAE"/>
    <w:rsid w:val="00FC2313"/>
    <w:rsid w:val="00FC2F1D"/>
    <w:rsid w:val="00FC4012"/>
    <w:rsid w:val="00FC6BB7"/>
    <w:rsid w:val="00FC7095"/>
    <w:rsid w:val="00FD2470"/>
    <w:rsid w:val="00FD3074"/>
    <w:rsid w:val="00FD5823"/>
    <w:rsid w:val="00FE0CA9"/>
    <w:rsid w:val="00FE1C27"/>
    <w:rsid w:val="00FE5C31"/>
    <w:rsid w:val="00FF1D5A"/>
    <w:rsid w:val="00FF748B"/>
    <w:rsid w:val="01251CE3"/>
    <w:rsid w:val="018661CC"/>
    <w:rsid w:val="01A4192D"/>
    <w:rsid w:val="01D218A0"/>
    <w:rsid w:val="0284126D"/>
    <w:rsid w:val="02945A10"/>
    <w:rsid w:val="03050CC8"/>
    <w:rsid w:val="03377822"/>
    <w:rsid w:val="03F83A32"/>
    <w:rsid w:val="0430110F"/>
    <w:rsid w:val="04921702"/>
    <w:rsid w:val="049D0253"/>
    <w:rsid w:val="04DD7973"/>
    <w:rsid w:val="05070440"/>
    <w:rsid w:val="05475AC8"/>
    <w:rsid w:val="055A7E0C"/>
    <w:rsid w:val="055B26F7"/>
    <w:rsid w:val="056404F0"/>
    <w:rsid w:val="05940AC6"/>
    <w:rsid w:val="05B20F4D"/>
    <w:rsid w:val="05C30637"/>
    <w:rsid w:val="05C94D68"/>
    <w:rsid w:val="05E11832"/>
    <w:rsid w:val="060C5F5A"/>
    <w:rsid w:val="060C7EB6"/>
    <w:rsid w:val="064222D0"/>
    <w:rsid w:val="06691F53"/>
    <w:rsid w:val="067032E2"/>
    <w:rsid w:val="06982838"/>
    <w:rsid w:val="06D860E7"/>
    <w:rsid w:val="06FE6D85"/>
    <w:rsid w:val="07193B42"/>
    <w:rsid w:val="0740553E"/>
    <w:rsid w:val="07950B26"/>
    <w:rsid w:val="07C873B4"/>
    <w:rsid w:val="07CD3267"/>
    <w:rsid w:val="07D569B7"/>
    <w:rsid w:val="08057A5A"/>
    <w:rsid w:val="080A7BAE"/>
    <w:rsid w:val="080D4B60"/>
    <w:rsid w:val="08422A5C"/>
    <w:rsid w:val="08531098"/>
    <w:rsid w:val="08BD0334"/>
    <w:rsid w:val="08D77648"/>
    <w:rsid w:val="08EB4EA1"/>
    <w:rsid w:val="09237049"/>
    <w:rsid w:val="093920B1"/>
    <w:rsid w:val="096C3B16"/>
    <w:rsid w:val="09E23830"/>
    <w:rsid w:val="09E537F2"/>
    <w:rsid w:val="09F510F6"/>
    <w:rsid w:val="0A144909"/>
    <w:rsid w:val="0A4F320E"/>
    <w:rsid w:val="0A5C0DD6"/>
    <w:rsid w:val="0AA562AE"/>
    <w:rsid w:val="0ADC4393"/>
    <w:rsid w:val="0B354AFA"/>
    <w:rsid w:val="0B685C72"/>
    <w:rsid w:val="0BB52B8D"/>
    <w:rsid w:val="0BC55E7E"/>
    <w:rsid w:val="0BF26F80"/>
    <w:rsid w:val="0C2B475D"/>
    <w:rsid w:val="0C492C31"/>
    <w:rsid w:val="0C917B0E"/>
    <w:rsid w:val="0CAB41A3"/>
    <w:rsid w:val="0CE55DCC"/>
    <w:rsid w:val="0D2B56FB"/>
    <w:rsid w:val="0D330BC5"/>
    <w:rsid w:val="0D595993"/>
    <w:rsid w:val="0D903241"/>
    <w:rsid w:val="0E144077"/>
    <w:rsid w:val="0F203842"/>
    <w:rsid w:val="0F71175C"/>
    <w:rsid w:val="0FAB6018"/>
    <w:rsid w:val="0FEF2B65"/>
    <w:rsid w:val="0FF07749"/>
    <w:rsid w:val="0FF37A32"/>
    <w:rsid w:val="1029192A"/>
    <w:rsid w:val="106C2D6C"/>
    <w:rsid w:val="109E7363"/>
    <w:rsid w:val="10A51DDA"/>
    <w:rsid w:val="10AD0C8E"/>
    <w:rsid w:val="10C502AE"/>
    <w:rsid w:val="10F12498"/>
    <w:rsid w:val="11114A87"/>
    <w:rsid w:val="114D1D93"/>
    <w:rsid w:val="11902A80"/>
    <w:rsid w:val="122F1B55"/>
    <w:rsid w:val="12486EC1"/>
    <w:rsid w:val="12767ED2"/>
    <w:rsid w:val="12805961"/>
    <w:rsid w:val="12833584"/>
    <w:rsid w:val="12D533C1"/>
    <w:rsid w:val="12E56E05"/>
    <w:rsid w:val="1329584B"/>
    <w:rsid w:val="133C0D43"/>
    <w:rsid w:val="13442387"/>
    <w:rsid w:val="13B54A2A"/>
    <w:rsid w:val="14092F2B"/>
    <w:rsid w:val="143E4A1F"/>
    <w:rsid w:val="147C2D41"/>
    <w:rsid w:val="14E95063"/>
    <w:rsid w:val="154020D1"/>
    <w:rsid w:val="15E05662"/>
    <w:rsid w:val="16277BDC"/>
    <w:rsid w:val="163C3FF9"/>
    <w:rsid w:val="168A2D76"/>
    <w:rsid w:val="169457BF"/>
    <w:rsid w:val="169E6F52"/>
    <w:rsid w:val="16B43A06"/>
    <w:rsid w:val="16D36D01"/>
    <w:rsid w:val="17832749"/>
    <w:rsid w:val="183B544E"/>
    <w:rsid w:val="18913410"/>
    <w:rsid w:val="18E06508"/>
    <w:rsid w:val="18F7590C"/>
    <w:rsid w:val="191D40F7"/>
    <w:rsid w:val="19A23B78"/>
    <w:rsid w:val="19BC744F"/>
    <w:rsid w:val="19C9321D"/>
    <w:rsid w:val="19EC0AFA"/>
    <w:rsid w:val="1A90094D"/>
    <w:rsid w:val="1AB01AA7"/>
    <w:rsid w:val="1B28788F"/>
    <w:rsid w:val="1B395F40"/>
    <w:rsid w:val="1B3F25A2"/>
    <w:rsid w:val="1BA37CF3"/>
    <w:rsid w:val="1BD16179"/>
    <w:rsid w:val="1C260C33"/>
    <w:rsid w:val="1C4E5A1B"/>
    <w:rsid w:val="1C6D5210"/>
    <w:rsid w:val="1C755F2D"/>
    <w:rsid w:val="1C801A83"/>
    <w:rsid w:val="1D121F5E"/>
    <w:rsid w:val="1D597BA2"/>
    <w:rsid w:val="1D686669"/>
    <w:rsid w:val="1DCA2E80"/>
    <w:rsid w:val="1DD45FDD"/>
    <w:rsid w:val="1DE44971"/>
    <w:rsid w:val="1E2212B0"/>
    <w:rsid w:val="1E483296"/>
    <w:rsid w:val="1E4946EC"/>
    <w:rsid w:val="1E90231B"/>
    <w:rsid w:val="1F0C1276"/>
    <w:rsid w:val="1F4C7237"/>
    <w:rsid w:val="1F7B72E9"/>
    <w:rsid w:val="1F9F2059"/>
    <w:rsid w:val="200E6861"/>
    <w:rsid w:val="201A79C2"/>
    <w:rsid w:val="201F4FA9"/>
    <w:rsid w:val="203A1C07"/>
    <w:rsid w:val="208A147E"/>
    <w:rsid w:val="20BA367F"/>
    <w:rsid w:val="217A696B"/>
    <w:rsid w:val="21823A71"/>
    <w:rsid w:val="222B32B9"/>
    <w:rsid w:val="223B52A6"/>
    <w:rsid w:val="229121BE"/>
    <w:rsid w:val="22B56CC4"/>
    <w:rsid w:val="22E44F96"/>
    <w:rsid w:val="22F409B3"/>
    <w:rsid w:val="23137077"/>
    <w:rsid w:val="231F714A"/>
    <w:rsid w:val="23597DC2"/>
    <w:rsid w:val="237152AB"/>
    <w:rsid w:val="237721EF"/>
    <w:rsid w:val="2383244E"/>
    <w:rsid w:val="23CA6A16"/>
    <w:rsid w:val="245142FB"/>
    <w:rsid w:val="2452061D"/>
    <w:rsid w:val="25104795"/>
    <w:rsid w:val="25137121"/>
    <w:rsid w:val="253D01A8"/>
    <w:rsid w:val="254D5414"/>
    <w:rsid w:val="254F010E"/>
    <w:rsid w:val="25710085"/>
    <w:rsid w:val="25724189"/>
    <w:rsid w:val="25CF7E36"/>
    <w:rsid w:val="25F03879"/>
    <w:rsid w:val="261B2D16"/>
    <w:rsid w:val="263F4E19"/>
    <w:rsid w:val="26AE1315"/>
    <w:rsid w:val="26BD5C77"/>
    <w:rsid w:val="26FE003E"/>
    <w:rsid w:val="272D3120"/>
    <w:rsid w:val="2754116D"/>
    <w:rsid w:val="27706DA7"/>
    <w:rsid w:val="27782C3D"/>
    <w:rsid w:val="278B0385"/>
    <w:rsid w:val="284E59A3"/>
    <w:rsid w:val="28810F26"/>
    <w:rsid w:val="292F2E7A"/>
    <w:rsid w:val="29305E87"/>
    <w:rsid w:val="293A5D88"/>
    <w:rsid w:val="294E71C8"/>
    <w:rsid w:val="29E057D9"/>
    <w:rsid w:val="2A2957E8"/>
    <w:rsid w:val="2A39657A"/>
    <w:rsid w:val="2A4144C9"/>
    <w:rsid w:val="2A44220C"/>
    <w:rsid w:val="2A7D24ED"/>
    <w:rsid w:val="2B137245"/>
    <w:rsid w:val="2B1A2CEC"/>
    <w:rsid w:val="2B4324C3"/>
    <w:rsid w:val="2C106CB2"/>
    <w:rsid w:val="2C71375A"/>
    <w:rsid w:val="2C7E3268"/>
    <w:rsid w:val="2CC31B0E"/>
    <w:rsid w:val="2D6B3694"/>
    <w:rsid w:val="2DB9081B"/>
    <w:rsid w:val="2DC003AD"/>
    <w:rsid w:val="2DD81F82"/>
    <w:rsid w:val="2DF16D83"/>
    <w:rsid w:val="2DF75211"/>
    <w:rsid w:val="2E0A2ABD"/>
    <w:rsid w:val="2E162111"/>
    <w:rsid w:val="2E89025F"/>
    <w:rsid w:val="2E910B13"/>
    <w:rsid w:val="2EAA1A6F"/>
    <w:rsid w:val="2EB55486"/>
    <w:rsid w:val="2ED7364E"/>
    <w:rsid w:val="2F05640D"/>
    <w:rsid w:val="2F2148C9"/>
    <w:rsid w:val="2F3C1703"/>
    <w:rsid w:val="2F54575E"/>
    <w:rsid w:val="300E35AF"/>
    <w:rsid w:val="30290D18"/>
    <w:rsid w:val="302F1268"/>
    <w:rsid w:val="30A0592B"/>
    <w:rsid w:val="30DD0CC4"/>
    <w:rsid w:val="30DD2A72"/>
    <w:rsid w:val="30EE2ED1"/>
    <w:rsid w:val="30F24EFF"/>
    <w:rsid w:val="30FC0C75"/>
    <w:rsid w:val="310C72C1"/>
    <w:rsid w:val="31DA280F"/>
    <w:rsid w:val="31E16592"/>
    <w:rsid w:val="32161878"/>
    <w:rsid w:val="32690A61"/>
    <w:rsid w:val="328301F2"/>
    <w:rsid w:val="3287409C"/>
    <w:rsid w:val="32AC3044"/>
    <w:rsid w:val="32AC3E11"/>
    <w:rsid w:val="32E64DB1"/>
    <w:rsid w:val="330C763F"/>
    <w:rsid w:val="330E3C76"/>
    <w:rsid w:val="33110FEE"/>
    <w:rsid w:val="338B2C59"/>
    <w:rsid w:val="33B62D74"/>
    <w:rsid w:val="33D64CAF"/>
    <w:rsid w:val="340C3D9A"/>
    <w:rsid w:val="343D0F77"/>
    <w:rsid w:val="350533EE"/>
    <w:rsid w:val="353C1C23"/>
    <w:rsid w:val="353F702E"/>
    <w:rsid w:val="356137D1"/>
    <w:rsid w:val="358B0CEF"/>
    <w:rsid w:val="35A05086"/>
    <w:rsid w:val="35B500D1"/>
    <w:rsid w:val="36341386"/>
    <w:rsid w:val="36A8681D"/>
    <w:rsid w:val="36B0070A"/>
    <w:rsid w:val="36BA39C3"/>
    <w:rsid w:val="36DE2FE2"/>
    <w:rsid w:val="37054899"/>
    <w:rsid w:val="373A6E70"/>
    <w:rsid w:val="3773056B"/>
    <w:rsid w:val="377A2835"/>
    <w:rsid w:val="37AB2AC0"/>
    <w:rsid w:val="386B109B"/>
    <w:rsid w:val="38A43B87"/>
    <w:rsid w:val="38C85D77"/>
    <w:rsid w:val="38CF5396"/>
    <w:rsid w:val="38ED3A6E"/>
    <w:rsid w:val="38EE0F44"/>
    <w:rsid w:val="391159AF"/>
    <w:rsid w:val="39116152"/>
    <w:rsid w:val="39193F02"/>
    <w:rsid w:val="39361657"/>
    <w:rsid w:val="397C67FD"/>
    <w:rsid w:val="39B20F40"/>
    <w:rsid w:val="39EF3F42"/>
    <w:rsid w:val="39F50028"/>
    <w:rsid w:val="3ACA4067"/>
    <w:rsid w:val="3AD27446"/>
    <w:rsid w:val="3AD969A0"/>
    <w:rsid w:val="3ADB56D5"/>
    <w:rsid w:val="3B0752BB"/>
    <w:rsid w:val="3B467B23"/>
    <w:rsid w:val="3B6357BA"/>
    <w:rsid w:val="3B9F1EF2"/>
    <w:rsid w:val="3BB0325D"/>
    <w:rsid w:val="3BD139DA"/>
    <w:rsid w:val="3BFB7BD3"/>
    <w:rsid w:val="3C002292"/>
    <w:rsid w:val="3C017F5D"/>
    <w:rsid w:val="3C1A456F"/>
    <w:rsid w:val="3C722F95"/>
    <w:rsid w:val="3C985041"/>
    <w:rsid w:val="3D1410D0"/>
    <w:rsid w:val="3D240618"/>
    <w:rsid w:val="3D323307"/>
    <w:rsid w:val="3D346110"/>
    <w:rsid w:val="3D435394"/>
    <w:rsid w:val="3D4401F6"/>
    <w:rsid w:val="3D474095"/>
    <w:rsid w:val="3D78424E"/>
    <w:rsid w:val="3D9372DA"/>
    <w:rsid w:val="3DDC063F"/>
    <w:rsid w:val="3DDD0555"/>
    <w:rsid w:val="3E0F4983"/>
    <w:rsid w:val="3E1A0FC2"/>
    <w:rsid w:val="3E474E70"/>
    <w:rsid w:val="3E665205"/>
    <w:rsid w:val="3E78202C"/>
    <w:rsid w:val="3E986769"/>
    <w:rsid w:val="3EE5508D"/>
    <w:rsid w:val="3F411C7F"/>
    <w:rsid w:val="3F6F78D3"/>
    <w:rsid w:val="3F9916CB"/>
    <w:rsid w:val="3FDD483D"/>
    <w:rsid w:val="400A21A9"/>
    <w:rsid w:val="401D2E8B"/>
    <w:rsid w:val="402A03E0"/>
    <w:rsid w:val="40392F1D"/>
    <w:rsid w:val="403C6597"/>
    <w:rsid w:val="406735BB"/>
    <w:rsid w:val="408F70EB"/>
    <w:rsid w:val="4096192B"/>
    <w:rsid w:val="40CD2B03"/>
    <w:rsid w:val="4101577D"/>
    <w:rsid w:val="419B3D85"/>
    <w:rsid w:val="41A30C91"/>
    <w:rsid w:val="41C42ABF"/>
    <w:rsid w:val="41CD7DBC"/>
    <w:rsid w:val="42176A6B"/>
    <w:rsid w:val="429F227D"/>
    <w:rsid w:val="430640AA"/>
    <w:rsid w:val="431176F7"/>
    <w:rsid w:val="432E0D02"/>
    <w:rsid w:val="43362BE2"/>
    <w:rsid w:val="434B7D0F"/>
    <w:rsid w:val="434C552E"/>
    <w:rsid w:val="43654A98"/>
    <w:rsid w:val="43672D9B"/>
    <w:rsid w:val="43C60739"/>
    <w:rsid w:val="44250560"/>
    <w:rsid w:val="44CC3BBE"/>
    <w:rsid w:val="44E22533"/>
    <w:rsid w:val="44E82983"/>
    <w:rsid w:val="4573647C"/>
    <w:rsid w:val="45D82007"/>
    <w:rsid w:val="45F14B9E"/>
    <w:rsid w:val="460E4E30"/>
    <w:rsid w:val="46830CD4"/>
    <w:rsid w:val="468477C0"/>
    <w:rsid w:val="468772B0"/>
    <w:rsid w:val="46C329DE"/>
    <w:rsid w:val="46D17B68"/>
    <w:rsid w:val="46F54B62"/>
    <w:rsid w:val="478A5995"/>
    <w:rsid w:val="47D21AB9"/>
    <w:rsid w:val="47D6003A"/>
    <w:rsid w:val="48090CF1"/>
    <w:rsid w:val="480D3A23"/>
    <w:rsid w:val="48A47AED"/>
    <w:rsid w:val="48F86243"/>
    <w:rsid w:val="491C63D6"/>
    <w:rsid w:val="493B5ECA"/>
    <w:rsid w:val="494E0D75"/>
    <w:rsid w:val="49696171"/>
    <w:rsid w:val="496E4757"/>
    <w:rsid w:val="49C425C9"/>
    <w:rsid w:val="49D25927"/>
    <w:rsid w:val="49EE7278"/>
    <w:rsid w:val="4A3315DF"/>
    <w:rsid w:val="4A660C1F"/>
    <w:rsid w:val="4A8F0121"/>
    <w:rsid w:val="4AC11F48"/>
    <w:rsid w:val="4AE541A6"/>
    <w:rsid w:val="4B0E12D6"/>
    <w:rsid w:val="4B105FF1"/>
    <w:rsid w:val="4B376F99"/>
    <w:rsid w:val="4B582626"/>
    <w:rsid w:val="4B8A0E86"/>
    <w:rsid w:val="4B8A33E0"/>
    <w:rsid w:val="4BEE3D5D"/>
    <w:rsid w:val="4BF379B8"/>
    <w:rsid w:val="4C242F29"/>
    <w:rsid w:val="4C7533DF"/>
    <w:rsid w:val="4C8E59D6"/>
    <w:rsid w:val="4CAD479A"/>
    <w:rsid w:val="4D16628E"/>
    <w:rsid w:val="4D49338F"/>
    <w:rsid w:val="4D866514"/>
    <w:rsid w:val="4D8C7280"/>
    <w:rsid w:val="4DC97959"/>
    <w:rsid w:val="4DCE2712"/>
    <w:rsid w:val="4DFA4C6C"/>
    <w:rsid w:val="4E0F4DA6"/>
    <w:rsid w:val="4E3244EB"/>
    <w:rsid w:val="4E4B7E07"/>
    <w:rsid w:val="4E4C6004"/>
    <w:rsid w:val="4E612B61"/>
    <w:rsid w:val="4E9702AC"/>
    <w:rsid w:val="4EA84268"/>
    <w:rsid w:val="4EC56BC8"/>
    <w:rsid w:val="4F2732DA"/>
    <w:rsid w:val="4F2D389C"/>
    <w:rsid w:val="4F4370EB"/>
    <w:rsid w:val="4FAB400F"/>
    <w:rsid w:val="50AF18DD"/>
    <w:rsid w:val="50BF784C"/>
    <w:rsid w:val="50D43A3A"/>
    <w:rsid w:val="50DB26D2"/>
    <w:rsid w:val="50F9704A"/>
    <w:rsid w:val="51211E88"/>
    <w:rsid w:val="513C29E8"/>
    <w:rsid w:val="520D60D8"/>
    <w:rsid w:val="521D073F"/>
    <w:rsid w:val="52A80B90"/>
    <w:rsid w:val="52EE1269"/>
    <w:rsid w:val="52F87BDA"/>
    <w:rsid w:val="53322A60"/>
    <w:rsid w:val="534527DA"/>
    <w:rsid w:val="534B5127"/>
    <w:rsid w:val="537908A5"/>
    <w:rsid w:val="53B9245B"/>
    <w:rsid w:val="53DF2E4F"/>
    <w:rsid w:val="54177EC5"/>
    <w:rsid w:val="54B576DE"/>
    <w:rsid w:val="55B1046D"/>
    <w:rsid w:val="55C250F5"/>
    <w:rsid w:val="55D56E60"/>
    <w:rsid w:val="56002CAA"/>
    <w:rsid w:val="56290917"/>
    <w:rsid w:val="564E6482"/>
    <w:rsid w:val="565007C1"/>
    <w:rsid w:val="56AF0889"/>
    <w:rsid w:val="56B934B6"/>
    <w:rsid w:val="57127F99"/>
    <w:rsid w:val="574536CB"/>
    <w:rsid w:val="575C5315"/>
    <w:rsid w:val="57743881"/>
    <w:rsid w:val="579F0191"/>
    <w:rsid w:val="587F0D41"/>
    <w:rsid w:val="58F50510"/>
    <w:rsid w:val="59351DCE"/>
    <w:rsid w:val="59464E0C"/>
    <w:rsid w:val="59F126FD"/>
    <w:rsid w:val="5A0507C0"/>
    <w:rsid w:val="5A142034"/>
    <w:rsid w:val="5A1D1FAE"/>
    <w:rsid w:val="5A4F7C8D"/>
    <w:rsid w:val="5A9B2ED2"/>
    <w:rsid w:val="5A9F15B3"/>
    <w:rsid w:val="5AF61FF7"/>
    <w:rsid w:val="5B595267"/>
    <w:rsid w:val="5B7C70BD"/>
    <w:rsid w:val="5B9E5F8A"/>
    <w:rsid w:val="5BCB0B54"/>
    <w:rsid w:val="5C001B87"/>
    <w:rsid w:val="5C79756C"/>
    <w:rsid w:val="5D15381A"/>
    <w:rsid w:val="5D4F3966"/>
    <w:rsid w:val="5DEE2C8E"/>
    <w:rsid w:val="5DFE6C36"/>
    <w:rsid w:val="5E6B14FC"/>
    <w:rsid w:val="5F0958C3"/>
    <w:rsid w:val="5F1240A2"/>
    <w:rsid w:val="5F3C641F"/>
    <w:rsid w:val="5F5B6A6C"/>
    <w:rsid w:val="5FC127AE"/>
    <w:rsid w:val="5FCC6186"/>
    <w:rsid w:val="600427EE"/>
    <w:rsid w:val="60082DB8"/>
    <w:rsid w:val="600B762C"/>
    <w:rsid w:val="6017124D"/>
    <w:rsid w:val="604000FF"/>
    <w:rsid w:val="60741F17"/>
    <w:rsid w:val="608A1A1F"/>
    <w:rsid w:val="60B13450"/>
    <w:rsid w:val="60D3786A"/>
    <w:rsid w:val="60F550CA"/>
    <w:rsid w:val="61001CE1"/>
    <w:rsid w:val="612002A4"/>
    <w:rsid w:val="612D7828"/>
    <w:rsid w:val="61306A6A"/>
    <w:rsid w:val="61331DB3"/>
    <w:rsid w:val="6149608E"/>
    <w:rsid w:val="614F19A3"/>
    <w:rsid w:val="616A272B"/>
    <w:rsid w:val="61B96E0F"/>
    <w:rsid w:val="61DB311C"/>
    <w:rsid w:val="61DF759F"/>
    <w:rsid w:val="6200468F"/>
    <w:rsid w:val="62261C1B"/>
    <w:rsid w:val="625B236B"/>
    <w:rsid w:val="62922E0D"/>
    <w:rsid w:val="62DD79F4"/>
    <w:rsid w:val="62FC6AB9"/>
    <w:rsid w:val="630007AB"/>
    <w:rsid w:val="63516C10"/>
    <w:rsid w:val="63A1155A"/>
    <w:rsid w:val="63C11BFC"/>
    <w:rsid w:val="640146EE"/>
    <w:rsid w:val="644835C0"/>
    <w:rsid w:val="64C954C1"/>
    <w:rsid w:val="64FB51B3"/>
    <w:rsid w:val="651C5B66"/>
    <w:rsid w:val="65332685"/>
    <w:rsid w:val="654F2C58"/>
    <w:rsid w:val="657F6B92"/>
    <w:rsid w:val="65987A53"/>
    <w:rsid w:val="65BE1348"/>
    <w:rsid w:val="66012493"/>
    <w:rsid w:val="66480DDF"/>
    <w:rsid w:val="668F14D1"/>
    <w:rsid w:val="669C6E12"/>
    <w:rsid w:val="66A30CDB"/>
    <w:rsid w:val="66C37A39"/>
    <w:rsid w:val="66CC1DA5"/>
    <w:rsid w:val="670818F0"/>
    <w:rsid w:val="67955879"/>
    <w:rsid w:val="67997680"/>
    <w:rsid w:val="67C25F42"/>
    <w:rsid w:val="67D85766"/>
    <w:rsid w:val="68332432"/>
    <w:rsid w:val="68384866"/>
    <w:rsid w:val="687E52B7"/>
    <w:rsid w:val="687F5BE1"/>
    <w:rsid w:val="68BC3EDF"/>
    <w:rsid w:val="69205208"/>
    <w:rsid w:val="693C21F4"/>
    <w:rsid w:val="697414BE"/>
    <w:rsid w:val="6979104D"/>
    <w:rsid w:val="69D3380A"/>
    <w:rsid w:val="69E44896"/>
    <w:rsid w:val="6B166CD1"/>
    <w:rsid w:val="6B526C39"/>
    <w:rsid w:val="6B7A7550"/>
    <w:rsid w:val="6C1B20C5"/>
    <w:rsid w:val="6C5F1FB2"/>
    <w:rsid w:val="6C7F6A14"/>
    <w:rsid w:val="6C981A85"/>
    <w:rsid w:val="6D0A2881"/>
    <w:rsid w:val="6D25144D"/>
    <w:rsid w:val="6D2F4E5D"/>
    <w:rsid w:val="6D521B17"/>
    <w:rsid w:val="6D655CEE"/>
    <w:rsid w:val="6D8F6742"/>
    <w:rsid w:val="6DDF0E66"/>
    <w:rsid w:val="6DF32996"/>
    <w:rsid w:val="6DF6564F"/>
    <w:rsid w:val="6DF8446C"/>
    <w:rsid w:val="6E03390A"/>
    <w:rsid w:val="6E312B9C"/>
    <w:rsid w:val="6EE45AF6"/>
    <w:rsid w:val="6EF707FF"/>
    <w:rsid w:val="6F32467E"/>
    <w:rsid w:val="6F680A0E"/>
    <w:rsid w:val="6F6F2F29"/>
    <w:rsid w:val="6F6F4C02"/>
    <w:rsid w:val="6FB46AB9"/>
    <w:rsid w:val="6FE72F5B"/>
    <w:rsid w:val="705F6A24"/>
    <w:rsid w:val="70AE6645"/>
    <w:rsid w:val="70C85778"/>
    <w:rsid w:val="71236203"/>
    <w:rsid w:val="71333A0D"/>
    <w:rsid w:val="713D663A"/>
    <w:rsid w:val="71494E45"/>
    <w:rsid w:val="715B31D5"/>
    <w:rsid w:val="718D136F"/>
    <w:rsid w:val="721E4F41"/>
    <w:rsid w:val="72745281"/>
    <w:rsid w:val="727E6F0A"/>
    <w:rsid w:val="72AF4483"/>
    <w:rsid w:val="72D0265D"/>
    <w:rsid w:val="732D60BE"/>
    <w:rsid w:val="73375A36"/>
    <w:rsid w:val="73B41D62"/>
    <w:rsid w:val="74462B06"/>
    <w:rsid w:val="74870842"/>
    <w:rsid w:val="748A428C"/>
    <w:rsid w:val="74B44E17"/>
    <w:rsid w:val="74B91AC0"/>
    <w:rsid w:val="7548217D"/>
    <w:rsid w:val="75AD092B"/>
    <w:rsid w:val="75CB5821"/>
    <w:rsid w:val="75CC4F69"/>
    <w:rsid w:val="75F15F37"/>
    <w:rsid w:val="7649092B"/>
    <w:rsid w:val="766671EA"/>
    <w:rsid w:val="769829FF"/>
    <w:rsid w:val="76A60B4C"/>
    <w:rsid w:val="76E11BA0"/>
    <w:rsid w:val="76E17560"/>
    <w:rsid w:val="772A140E"/>
    <w:rsid w:val="772A5437"/>
    <w:rsid w:val="774B7D02"/>
    <w:rsid w:val="77586CDC"/>
    <w:rsid w:val="77D93560"/>
    <w:rsid w:val="78053E81"/>
    <w:rsid w:val="78215668"/>
    <w:rsid w:val="782642CC"/>
    <w:rsid w:val="784D1858"/>
    <w:rsid w:val="78BD718C"/>
    <w:rsid w:val="792C5064"/>
    <w:rsid w:val="798C015E"/>
    <w:rsid w:val="7A163629"/>
    <w:rsid w:val="7AB06AA2"/>
    <w:rsid w:val="7B0C2B55"/>
    <w:rsid w:val="7B1B4B6F"/>
    <w:rsid w:val="7B4F3643"/>
    <w:rsid w:val="7B5B16CF"/>
    <w:rsid w:val="7B636814"/>
    <w:rsid w:val="7C1508DF"/>
    <w:rsid w:val="7C191C7E"/>
    <w:rsid w:val="7C324FED"/>
    <w:rsid w:val="7CF1732B"/>
    <w:rsid w:val="7D256900"/>
    <w:rsid w:val="7D5F4022"/>
    <w:rsid w:val="7D89292D"/>
    <w:rsid w:val="7DAB0535"/>
    <w:rsid w:val="7DB7626F"/>
    <w:rsid w:val="7DC46F6B"/>
    <w:rsid w:val="7E076B7B"/>
    <w:rsid w:val="7E5F22E5"/>
    <w:rsid w:val="7E624C8F"/>
    <w:rsid w:val="7EAB1087"/>
    <w:rsid w:val="7F1053A8"/>
    <w:rsid w:val="7FAF56A7"/>
    <w:rsid w:val="7FC2797F"/>
    <w:rsid w:val="7FFD19B8"/>
    <w:rsid w:val="7FFD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snapToGrid w:val="0"/>
      <w:spacing w:line="360" w:lineRule="atLeast"/>
      <w:outlineLvl w:val="0"/>
    </w:pPr>
  </w:style>
  <w:style w:type="paragraph" w:styleId="3">
    <w:name w:val="heading 2"/>
    <w:basedOn w:val="1"/>
    <w:next w:val="1"/>
    <w:link w:val="69"/>
    <w:qFormat/>
    <w:uiPriority w:val="0"/>
    <w:pPr>
      <w:keepNext/>
      <w:keepLines/>
      <w:spacing w:before="260" w:after="260" w:line="400" w:lineRule="exact"/>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style>
  <w:style w:type="paragraph" w:styleId="14">
    <w:name w:val="List Bullet 4"/>
    <w:basedOn w:val="1"/>
    <w:qFormat/>
    <w:uiPriority w:val="0"/>
    <w:pPr>
      <w:tabs>
        <w:tab w:val="left" w:pos="1134"/>
      </w:tabs>
      <w:adjustRightInd w:val="0"/>
      <w:snapToGrid w:val="0"/>
      <w:spacing w:before="120" w:line="280" w:lineRule="atLeast"/>
      <w:ind w:left="1418" w:hanging="284"/>
    </w:pPr>
    <w:rPr>
      <w:sz w:val="22"/>
    </w:rPr>
  </w:style>
  <w:style w:type="paragraph" w:styleId="15">
    <w:name w:val="Normal Indent"/>
    <w:basedOn w:val="1"/>
    <w:qFormat/>
    <w:uiPriority w:val="0"/>
    <w:pPr>
      <w:adjustRightInd w:val="0"/>
      <w:snapToGrid w:val="0"/>
      <w:spacing w:line="360" w:lineRule="auto"/>
      <w:ind w:firstLine="420"/>
    </w:pPr>
  </w:style>
  <w:style w:type="paragraph" w:styleId="16">
    <w:name w:val="caption"/>
    <w:basedOn w:val="1"/>
    <w:next w:val="1"/>
    <w:qFormat/>
    <w:uiPriority w:val="0"/>
    <w:pPr>
      <w:tabs>
        <w:tab w:val="left" w:pos="1134"/>
      </w:tabs>
      <w:adjustRightInd w:val="0"/>
      <w:snapToGrid w:val="0"/>
      <w:spacing w:line="280" w:lineRule="atLeast"/>
    </w:pPr>
    <w:rPr>
      <w:rFonts w:eastAsia="PMingLiU"/>
      <w:b/>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rPr>
  </w:style>
  <w:style w:type="paragraph" w:styleId="19">
    <w:name w:val="annotation text"/>
    <w:basedOn w:val="1"/>
    <w:link w:val="71"/>
    <w:qFormat/>
    <w:uiPriority w:val="0"/>
    <w:pPr>
      <w:adjustRightInd w:val="0"/>
      <w:spacing w:line="360" w:lineRule="atLeast"/>
      <w:textAlignment w:val="baseline"/>
    </w:p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style>
  <w:style w:type="paragraph" w:styleId="25">
    <w:name w:val="List 2"/>
    <w:basedOn w:val="1"/>
    <w:qFormat/>
    <w:uiPriority w:val="0"/>
    <w:pPr>
      <w:adjustRightInd w:val="0"/>
      <w:snapToGrid w:val="0"/>
      <w:spacing w:line="360" w:lineRule="auto"/>
      <w:ind w:left="100" w:leftChars="200" w:hanging="200" w:hangingChars="200"/>
    </w:pPr>
  </w:style>
  <w:style w:type="paragraph" w:styleId="26">
    <w:name w:val="List Continue"/>
    <w:basedOn w:val="1"/>
    <w:qFormat/>
    <w:uiPriority w:val="0"/>
    <w:pPr>
      <w:adjustRightInd w:val="0"/>
      <w:snapToGrid w:val="0"/>
      <w:spacing w:after="120" w:line="360" w:lineRule="auto"/>
      <w:ind w:left="420" w:leftChars="200"/>
    </w:pPr>
  </w:style>
  <w:style w:type="paragraph" w:styleId="27">
    <w:name w:val="Block Text"/>
    <w:basedOn w:val="1"/>
    <w:qFormat/>
    <w:uiPriority w:val="0"/>
    <w:pPr>
      <w:spacing w:line="540" w:lineRule="exact"/>
      <w:ind w:left="100" w:leftChars="100" w:right="100" w:rightChars="100"/>
    </w:pPr>
    <w:rPr>
      <w:rFonts w:ascii="仿宋_GB2312" w:eastAsia="仿宋_GB2312"/>
      <w:sz w:val="32"/>
    </w:rPr>
  </w:style>
  <w:style w:type="paragraph" w:styleId="28">
    <w:name w:val="List Bullet 2"/>
    <w:basedOn w:val="1"/>
    <w:qFormat/>
    <w:uiPriority w:val="0"/>
    <w:pPr>
      <w:numPr>
        <w:ilvl w:val="0"/>
        <w:numId w:val="3"/>
      </w:numPr>
      <w:adjustRightInd w:val="0"/>
      <w:snapToGrid w:val="0"/>
      <w:spacing w:line="360" w:lineRule="auto"/>
    </w:p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hAnsi="Courier New"/>
      <w:sz w:val="21"/>
    </w:rPr>
  </w:style>
  <w:style w:type="paragraph" w:styleId="32">
    <w:name w:val="toc 8"/>
    <w:basedOn w:val="1"/>
    <w:next w:val="1"/>
    <w:qFormat/>
    <w:uiPriority w:val="0"/>
    <w:pPr>
      <w:ind w:left="2940" w:leftChars="1400"/>
    </w:pPr>
  </w:style>
  <w:style w:type="paragraph" w:styleId="33">
    <w:name w:val="Date"/>
    <w:basedOn w:val="1"/>
    <w:next w:val="1"/>
    <w:link w:val="73"/>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5"/>
    <w:qFormat/>
    <w:uiPriority w:val="99"/>
    <w:pPr>
      <w:tabs>
        <w:tab w:val="center" w:pos="4153"/>
        <w:tab w:val="right" w:pos="8306"/>
      </w:tabs>
      <w:snapToGrid w:val="0"/>
    </w:pPr>
    <w:rPr>
      <w:sz w:val="18"/>
    </w:rPr>
  </w:style>
  <w:style w:type="paragraph" w:styleId="37">
    <w:name w:val="header"/>
    <w:basedOn w:val="1"/>
    <w:link w:val="24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style>
  <w:style w:type="paragraph" w:styleId="40">
    <w:name w:val="toc 4"/>
    <w:basedOn w:val="1"/>
    <w:next w:val="1"/>
    <w:qFormat/>
    <w:uiPriority w:val="0"/>
    <w:pPr>
      <w:ind w:left="1260" w:leftChars="600"/>
    </w:pPr>
  </w:style>
  <w:style w:type="paragraph" w:styleId="41">
    <w:name w:val="footnote text"/>
    <w:basedOn w:val="1"/>
    <w:link w:val="7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style>
  <w:style w:type="paragraph" w:styleId="49">
    <w:name w:val="List 4"/>
    <w:basedOn w:val="1"/>
    <w:qFormat/>
    <w:uiPriority w:val="0"/>
    <w:pPr>
      <w:adjustRightInd w:val="0"/>
      <w:snapToGrid w:val="0"/>
      <w:spacing w:line="360" w:lineRule="auto"/>
      <w:ind w:left="100" w:leftChars="600" w:hanging="200" w:hangingChars="200"/>
    </w:pPr>
  </w:style>
  <w:style w:type="paragraph" w:styleId="50">
    <w:name w:val="List Continue 2"/>
    <w:basedOn w:val="1"/>
    <w:qFormat/>
    <w:uiPriority w:val="0"/>
    <w:pPr>
      <w:adjustRightInd w:val="0"/>
      <w:snapToGrid w:val="0"/>
      <w:spacing w:after="120" w:line="360" w:lineRule="auto"/>
      <w:ind w:left="840" w:leftChars="400"/>
    </w:pPr>
  </w:style>
  <w:style w:type="paragraph" w:styleId="51">
    <w:name w:val="HTML Preformatted"/>
    <w:basedOn w:val="1"/>
    <w:link w:val="246"/>
    <w:qFormat/>
    <w:uiPriority w:val="0"/>
    <w:rPr>
      <w:rFonts w:ascii="Courier New" w:hAnsi="Courier New" w:cs="Courier New"/>
      <w:sz w:val="20"/>
    </w:rPr>
  </w:style>
  <w:style w:type="paragraph" w:styleId="52">
    <w:name w:val="Normal (Web)"/>
    <w:basedOn w:val="1"/>
    <w:qFormat/>
    <w:uiPriority w:val="99"/>
    <w:pPr>
      <w:spacing w:before="100" w:beforeAutospacing="1" w:after="100" w:afterAutospacing="1"/>
    </w:pPr>
  </w:style>
  <w:style w:type="paragraph" w:styleId="53">
    <w:name w:val="List Continue 3"/>
    <w:basedOn w:val="1"/>
    <w:qFormat/>
    <w:uiPriority w:val="0"/>
    <w:pPr>
      <w:adjustRightInd w:val="0"/>
      <w:snapToGrid w:val="0"/>
      <w:spacing w:after="120" w:line="360" w:lineRule="auto"/>
      <w:ind w:left="1260" w:leftChars="600"/>
    </w:pPr>
  </w:style>
  <w:style w:type="paragraph" w:styleId="54">
    <w:name w:val="index 1"/>
    <w:basedOn w:val="1"/>
    <w:next w:val="1"/>
    <w:qFormat/>
    <w:uiPriority w:val="0"/>
    <w:pPr>
      <w:adjustRightInd w:val="0"/>
      <w:spacing w:line="240" w:lineRule="atLeast"/>
      <w:textAlignment w:val="baseline"/>
    </w:pPr>
    <w:rPr>
      <w:sz w:val="21"/>
    </w:rPr>
  </w:style>
  <w:style w:type="paragraph" w:styleId="55">
    <w:name w:val="Title"/>
    <w:basedOn w:val="1"/>
    <w:qFormat/>
    <w:uiPriority w:val="0"/>
    <w:pPr>
      <w:spacing w:after="240" w:line="360" w:lineRule="auto"/>
      <w:jc w:val="center"/>
    </w:pPr>
    <w:rPr>
      <w:rFonts w:ascii="Arial" w:hAnsi="Arial"/>
      <w:b/>
      <w:smallCaps/>
      <w:kern w:val="28"/>
      <w:sz w:val="36"/>
      <w:lang w:eastAsia="en-US"/>
    </w:rPr>
  </w:style>
  <w:style w:type="paragraph" w:styleId="56">
    <w:name w:val="annotation subject"/>
    <w:basedOn w:val="19"/>
    <w:next w:val="19"/>
    <w:link w:val="77"/>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style>
  <w:style w:type="paragraph" w:styleId="58">
    <w:name w:val="Body Text First Indent 2"/>
    <w:basedOn w:val="23"/>
    <w:link w:val="78"/>
    <w:qFormat/>
    <w:uiPriority w:val="0"/>
    <w:pPr>
      <w:spacing w:after="120" w:line="240" w:lineRule="auto"/>
      <w:ind w:left="420" w:leftChars="200" w:firstLine="420" w:firstLineChars="200"/>
    </w:p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2 字符"/>
    <w:link w:val="3"/>
    <w:qFormat/>
    <w:uiPriority w:val="0"/>
    <w:rPr>
      <w:rFonts w:ascii="Arial" w:hAnsi="Arial" w:eastAsia="黑体"/>
      <w:b/>
      <w:kern w:val="2"/>
      <w:sz w:val="32"/>
    </w:rPr>
  </w:style>
  <w:style w:type="character" w:customStyle="1" w:styleId="70">
    <w:name w:val="标题 3 字符"/>
    <w:link w:val="4"/>
    <w:qFormat/>
    <w:uiPriority w:val="0"/>
    <w:rPr>
      <w:rFonts w:eastAsia="宋体"/>
      <w:b/>
      <w:kern w:val="2"/>
      <w:sz w:val="32"/>
      <w:lang w:val="en-US" w:eastAsia="zh-CN"/>
    </w:rPr>
  </w:style>
  <w:style w:type="character" w:customStyle="1" w:styleId="71">
    <w:name w:val="批注文字 字符"/>
    <w:link w:val="19"/>
    <w:qFormat/>
    <w:uiPriority w:val="0"/>
    <w:rPr>
      <w:sz w:val="24"/>
    </w:rPr>
  </w:style>
  <w:style w:type="character" w:customStyle="1" w:styleId="72">
    <w:name w:val="正文文本缩进 字符"/>
    <w:link w:val="23"/>
    <w:qFormat/>
    <w:uiPriority w:val="0"/>
    <w:rPr>
      <w:kern w:val="2"/>
      <w:sz w:val="44"/>
    </w:rPr>
  </w:style>
  <w:style w:type="character" w:customStyle="1" w:styleId="73">
    <w:name w:val="日期 字符"/>
    <w:link w:val="33"/>
    <w:qFormat/>
    <w:uiPriority w:val="0"/>
    <w:rPr>
      <w:kern w:val="2"/>
      <w:sz w:val="28"/>
    </w:rPr>
  </w:style>
  <w:style w:type="character" w:customStyle="1" w:styleId="74">
    <w:name w:val="正文文本缩进 2 字符"/>
    <w:link w:val="34"/>
    <w:qFormat/>
    <w:uiPriority w:val="0"/>
    <w:rPr>
      <w:kern w:val="2"/>
      <w:sz w:val="28"/>
    </w:rPr>
  </w:style>
  <w:style w:type="character" w:customStyle="1" w:styleId="75">
    <w:name w:val="页脚 字符"/>
    <w:link w:val="36"/>
    <w:qFormat/>
    <w:uiPriority w:val="99"/>
    <w:rPr>
      <w:kern w:val="2"/>
      <w:sz w:val="18"/>
    </w:rPr>
  </w:style>
  <w:style w:type="character" w:customStyle="1" w:styleId="76">
    <w:name w:val="脚注文本 字符"/>
    <w:link w:val="41"/>
    <w:qFormat/>
    <w:uiPriority w:val="0"/>
    <w:rPr>
      <w:kern w:val="2"/>
      <w:sz w:val="18"/>
    </w:rPr>
  </w:style>
  <w:style w:type="character" w:customStyle="1" w:styleId="77">
    <w:name w:val="批注主题 字符"/>
    <w:link w:val="56"/>
    <w:qFormat/>
    <w:uiPriority w:val="0"/>
  </w:style>
  <w:style w:type="character" w:customStyle="1" w:styleId="78">
    <w:name w:val="正文文本首行缩进 2 字符"/>
    <w:link w:val="58"/>
    <w:qFormat/>
    <w:uiPriority w:val="0"/>
  </w:style>
  <w:style w:type="character" w:customStyle="1" w:styleId="79">
    <w:name w:val="标题 2 Char"/>
    <w:qFormat/>
    <w:uiPriority w:val="0"/>
    <w:rPr>
      <w:rFonts w:ascii="Arial" w:hAnsi="Arial" w:eastAsia="黑体"/>
      <w:b/>
      <w:kern w:val="2"/>
      <w:sz w:val="28"/>
    </w:rPr>
  </w:style>
  <w:style w:type="character" w:customStyle="1" w:styleId="80">
    <w:name w:val="Char Char"/>
    <w:qFormat/>
    <w:uiPriority w:val="0"/>
    <w:rPr>
      <w:rFonts w:ascii="宋体" w:hAnsi="宋体" w:eastAsia="宋体"/>
      <w:kern w:val="2"/>
      <w:sz w:val="24"/>
      <w:lang w:val="en-US" w:eastAsia="zh-CN" w:bidi="ar-SA"/>
    </w:rPr>
  </w:style>
  <w:style w:type="character" w:customStyle="1" w:styleId="81">
    <w:name w:val="Table Text Char Char Char Char"/>
    <w:link w:val="82"/>
    <w:qFormat/>
    <w:uiPriority w:val="0"/>
    <w:rPr>
      <w:rFonts w:ascii="Arial" w:hAnsi="Arial"/>
      <w:kern w:val="2"/>
      <w:sz w:val="18"/>
      <w:lang w:val="en-US" w:eastAsia="zh-CN" w:bidi="ar-SA"/>
    </w:rPr>
  </w:style>
  <w:style w:type="paragraph" w:customStyle="1" w:styleId="82">
    <w:name w:val="Table Text Char Char Char"/>
    <w:link w:val="81"/>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3">
    <w:name w:val="Char Char6"/>
    <w:qFormat/>
    <w:uiPriority w:val="0"/>
    <w:rPr>
      <w:rFonts w:ascii="仿宋_GB2312" w:eastAsia="仿宋_GB2312"/>
      <w:kern w:val="2"/>
      <w:sz w:val="32"/>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har Char4"/>
    <w:qFormat/>
    <w:uiPriority w:val="0"/>
    <w:rPr>
      <w:rFonts w:eastAsia="宋体"/>
      <w:b/>
      <w:kern w:val="2"/>
      <w:sz w:val="21"/>
      <w:lang w:val="en-US" w:eastAsia="zh-CN"/>
    </w:rPr>
  </w:style>
  <w:style w:type="character" w:customStyle="1" w:styleId="89">
    <w:name w:val="font1"/>
    <w:qFormat/>
    <w:uiPriority w:val="0"/>
    <w:rPr>
      <w:color w:val="000000"/>
      <w:sz w:val="18"/>
    </w:rPr>
  </w:style>
  <w:style w:type="character" w:customStyle="1" w:styleId="90">
    <w:name w:val="正文 + 三号 Char"/>
    <w:qFormat/>
    <w:uiPriority w:val="0"/>
    <w:rPr>
      <w:rFonts w:eastAsia="宋体"/>
      <w:kern w:val="2"/>
      <w:sz w:val="21"/>
      <w:lang w:val="en-US" w:eastAsia="zh-CN"/>
    </w:rPr>
  </w:style>
  <w:style w:type="character" w:customStyle="1" w:styleId="91">
    <w:name w:val="未命名11"/>
    <w:qFormat/>
    <w:uiPriority w:val="0"/>
    <w:rPr>
      <w:color w:val="77FFFF"/>
      <w:sz w:val="24"/>
    </w:rPr>
  </w:style>
  <w:style w:type="character" w:customStyle="1" w:styleId="92">
    <w:name w:val="Char Char11"/>
    <w:qFormat/>
    <w:uiPriority w:val="0"/>
    <w:rPr>
      <w:rFonts w:ascii="宋体"/>
      <w:kern w:val="2"/>
      <w:sz w:val="28"/>
    </w:rPr>
  </w:style>
  <w:style w:type="character" w:customStyle="1" w:styleId="93">
    <w:name w:val="Char Char7"/>
    <w:qFormat/>
    <w:uiPriority w:val="0"/>
    <w:rPr>
      <w:rFonts w:ascii="宋体" w:hAnsi="宋体" w:eastAsia="宋体"/>
      <w:kern w:val="2"/>
      <w:sz w:val="28"/>
    </w:rPr>
  </w:style>
  <w:style w:type="character" w:customStyle="1" w:styleId="94">
    <w:name w:val="Table Text Char1 Char"/>
    <w:qFormat/>
    <w:uiPriority w:val="0"/>
    <w:rPr>
      <w:rFonts w:ascii="Arial" w:hAnsi="Arial"/>
      <w:kern w:val="2"/>
      <w:sz w:val="18"/>
      <w:lang w:val="en-US" w:eastAsia="zh-CN" w:bidi="ar-SA"/>
    </w:rPr>
  </w:style>
  <w:style w:type="character" w:customStyle="1" w:styleId="95">
    <w:name w:val="Char Char3"/>
    <w:qFormat/>
    <w:uiPriority w:val="0"/>
    <w:rPr>
      <w:rFonts w:eastAsia="宋体"/>
      <w:kern w:val="2"/>
      <w:sz w:val="18"/>
      <w:lang w:val="en-US" w:eastAsia="zh-CN"/>
    </w:rPr>
  </w:style>
  <w:style w:type="character" w:customStyle="1" w:styleId="96">
    <w:name w:val="样式 宋体"/>
    <w:qFormat/>
    <w:uiPriority w:val="0"/>
    <w:rPr>
      <w:rFonts w:ascii="宋体" w:hAnsi="宋体" w:eastAsia="宋体"/>
      <w:sz w:val="28"/>
    </w:rPr>
  </w:style>
  <w:style w:type="character" w:customStyle="1" w:styleId="97">
    <w:name w:val="文字 Char"/>
    <w:link w:val="98"/>
    <w:qFormat/>
    <w:uiPriority w:val="0"/>
    <w:rPr>
      <w:rFonts w:ascii="宋体"/>
      <w:kern w:val="2"/>
      <w:sz w:val="28"/>
    </w:rPr>
  </w:style>
  <w:style w:type="paragraph" w:customStyle="1" w:styleId="98">
    <w:name w:val="文字"/>
    <w:basedOn w:val="1"/>
    <w:link w:val="97"/>
    <w:qFormat/>
    <w:uiPriority w:val="0"/>
    <w:pPr>
      <w:tabs>
        <w:tab w:val="left" w:pos="8520"/>
      </w:tabs>
      <w:spacing w:line="312" w:lineRule="auto"/>
      <w:ind w:right="-210" w:firstLine="556"/>
    </w:p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2"/>
    <w:qFormat/>
    <w:uiPriority w:val="0"/>
    <w:rPr>
      <w:rFonts w:eastAsia="宋体"/>
      <w:kern w:val="2"/>
      <w:sz w:val="18"/>
      <w:lang w:val="en-US" w:eastAsia="zh-CN"/>
    </w:rPr>
  </w:style>
  <w:style w:type="character" w:customStyle="1" w:styleId="101">
    <w:name w:val="title_emph1"/>
    <w:qFormat/>
    <w:uiPriority w:val="0"/>
    <w:rPr>
      <w:rFonts w:hint="default" w:ascii="Arial" w:hAnsi="Arial"/>
      <w:b/>
      <w:sz w:val="20"/>
    </w:rPr>
  </w:style>
  <w:style w:type="character" w:customStyle="1" w:styleId="102">
    <w:name w:val="Char Char5"/>
    <w:qFormat/>
    <w:uiPriority w:val="0"/>
    <w:rPr>
      <w:rFonts w:ascii="Arial" w:hAnsi="Arial" w:eastAsia="宋体"/>
      <w:b/>
      <w:smallCaps/>
      <w:kern w:val="28"/>
      <w:sz w:val="36"/>
      <w:lang w:val="en-US" w:eastAsia="en-US"/>
    </w:rPr>
  </w:style>
  <w:style w:type="character" w:customStyle="1" w:styleId="103">
    <w:name w:val="top-det1"/>
    <w:qFormat/>
    <w:uiPriority w:val="0"/>
    <w:rPr>
      <w:b/>
      <w:color w:val="000000"/>
    </w:rPr>
  </w:style>
  <w:style w:type="character" w:customStyle="1" w:styleId="104">
    <w:name w:val="v151"/>
    <w:qFormat/>
    <w:uiPriority w:val="0"/>
    <w:rPr>
      <w:sz w:val="18"/>
    </w:rPr>
  </w:style>
  <w:style w:type="character" w:customStyle="1" w:styleId="105">
    <w:name w:val="crowed11"/>
    <w:qFormat/>
    <w:uiPriority w:val="0"/>
    <w:rPr>
      <w:rFonts w:hint="default" w:ascii="_x000B__x000C_" w:hAnsi="_x000B__x000C_"/>
      <w:sz w:val="24"/>
    </w:rPr>
  </w:style>
  <w:style w:type="character" w:customStyle="1" w:styleId="106">
    <w:name w:val="content-white1"/>
    <w:qFormat/>
    <w:uiPriority w:val="0"/>
    <w:rPr>
      <w:rFonts w:ascii="_x000B__x000C_" w:hAnsi="_x000B__x000C_"/>
      <w:color w:val="auto"/>
      <w:sz w:val="18"/>
      <w:u w:val="none"/>
    </w:rPr>
  </w:style>
  <w:style w:type="character" w:customStyle="1" w:styleId="107">
    <w:name w:val="标书正文:  0.74 厘米 Char1"/>
    <w:qFormat/>
    <w:uiPriority w:val="0"/>
    <w:rPr>
      <w:rFonts w:eastAsia="宋体"/>
      <w:kern w:val="2"/>
      <w:sz w:val="24"/>
      <w:lang w:val="en-US" w:eastAsia="zh-CN"/>
    </w:rPr>
  </w:style>
  <w:style w:type="paragraph" w:customStyle="1" w:styleId="108">
    <w:name w:val="关键词"/>
    <w:basedOn w:val="1"/>
    <w:next w:val="1"/>
    <w:qFormat/>
    <w:uiPriority w:val="0"/>
    <w:pPr>
      <w:spacing w:line="360" w:lineRule="auto"/>
    </w:pPr>
    <w:rPr>
      <w:rFonts w:eastAsia="黑体"/>
      <w:sz w:val="20"/>
    </w:rPr>
  </w:style>
  <w:style w:type="paragraph" w:customStyle="1" w:styleId="109">
    <w:name w:val="摘要"/>
    <w:basedOn w:val="1"/>
    <w:next w:val="3"/>
    <w:qFormat/>
    <w:uiPriority w:val="0"/>
    <w:pPr>
      <w:spacing w:line="360" w:lineRule="auto"/>
    </w:pPr>
    <w:rPr>
      <w:rFonts w:eastAsia="黑体"/>
      <w:sz w:val="20"/>
    </w:rPr>
  </w:style>
  <w:style w:type="paragraph" w:customStyle="1" w:styleId="110">
    <w:name w:val="首行缩进 1"/>
    <w:basedOn w:val="1"/>
    <w:qFormat/>
    <w:uiPriority w:val="0"/>
    <w:pPr>
      <w:spacing w:after="120" w:line="360" w:lineRule="auto"/>
      <w:ind w:firstLine="200" w:firstLineChars="200"/>
    </w:p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sz w:val="18"/>
    </w:rPr>
  </w:style>
  <w:style w:type="paragraph" w:customStyle="1" w:styleId="112">
    <w:name w:val="Title - Date"/>
    <w:basedOn w:val="55"/>
    <w:next w:val="1"/>
    <w:qFormat/>
    <w:uiPriority w:val="0"/>
    <w:pPr>
      <w:spacing w:before="240" w:after="720"/>
    </w:pPr>
    <w:rPr>
      <w:sz w:val="28"/>
    </w:rPr>
  </w:style>
  <w:style w:type="paragraph" w:customStyle="1" w:styleId="113">
    <w:name w:val="小标题 1"/>
    <w:basedOn w:val="1"/>
    <w:qFormat/>
    <w:uiPriority w:val="0"/>
    <w:pPr>
      <w:autoSpaceDE w:val="0"/>
      <w:autoSpaceDN w:val="0"/>
      <w:adjustRightInd w:val="0"/>
      <w:spacing w:line="360" w:lineRule="atLeast"/>
    </w:pPr>
    <w:rPr>
      <w:rFonts w:ascii="文鼎粗黑" w:eastAsia="文鼎粗黑"/>
      <w:sz w:val="22"/>
    </w:rPr>
  </w:style>
  <w:style w:type="paragraph" w:customStyle="1" w:styleId="114">
    <w:name w:val="文档正文"/>
    <w:basedOn w:val="1"/>
    <w:qFormat/>
    <w:uiPriority w:val="0"/>
    <w:pPr>
      <w:adjustRightInd w:val="0"/>
      <w:snapToGrid w:val="0"/>
      <w:spacing w:line="440" w:lineRule="exact"/>
      <w:ind w:firstLine="567"/>
      <w:textAlignment w:val="baseline"/>
    </w:pPr>
    <w:rPr>
      <w:rFonts w:ascii="Arial Narrow" w:hAnsi="Arial Narrow"/>
    </w:rPr>
  </w:style>
  <w:style w:type="paragraph" w:customStyle="1" w:styleId="115">
    <w:name w:val="样式 正文缩进正文（首行缩进两字）表正文正文非缩进特点标题4段1 + 首行缩进:  2 字符"/>
    <w:basedOn w:val="15"/>
    <w:qFormat/>
    <w:uiPriority w:val="0"/>
    <w:pPr>
      <w:ind w:firstLine="480" w:firstLineChars="200"/>
    </w:pPr>
  </w:style>
  <w:style w:type="paragraph" w:customStyle="1" w:styleId="11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sz w:val="20"/>
    </w:rPr>
  </w:style>
  <w:style w:type="paragraph" w:customStyle="1" w:styleId="117">
    <w:name w:val="文章正文"/>
    <w:basedOn w:val="1"/>
    <w:qFormat/>
    <w:uiPriority w:val="0"/>
    <w:pPr>
      <w:ind w:firstLine="560" w:firstLineChars="200"/>
    </w:pPr>
    <w:rPr>
      <w:rFonts w:ascii="仿宋_GB2312" w:eastAsia="仿宋_GB2312"/>
      <w:color w:val="000000"/>
    </w:rPr>
  </w:style>
  <w:style w:type="paragraph" w:customStyle="1" w:styleId="118">
    <w:name w:val="xl27"/>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sz w:val="21"/>
    </w:rPr>
  </w:style>
  <w:style w:type="paragraph" w:customStyle="1" w:styleId="119">
    <w:name w:val="标题5"/>
    <w:basedOn w:val="1"/>
    <w:qFormat/>
    <w:uiPriority w:val="0"/>
    <w:pPr>
      <w:tabs>
        <w:tab w:val="left" w:pos="0"/>
      </w:tabs>
      <w:autoSpaceDE w:val="0"/>
      <w:autoSpaceDN w:val="0"/>
      <w:adjustRightInd w:val="0"/>
      <w:snapToGrid w:val="0"/>
      <w:spacing w:line="320" w:lineRule="atLeast"/>
    </w:pPr>
    <w:rPr>
      <w:sz w:val="21"/>
    </w:rPr>
  </w:style>
  <w:style w:type="paragraph" w:customStyle="1" w:styleId="120">
    <w:name w:val="正文文本 21"/>
    <w:basedOn w:val="1"/>
    <w:qFormat/>
    <w:uiPriority w:val="0"/>
    <w:pPr>
      <w:adjustRightInd w:val="0"/>
      <w:spacing w:before="120" w:line="360" w:lineRule="auto"/>
      <w:ind w:firstLine="480"/>
      <w:textAlignment w:val="baseline"/>
    </w:pPr>
  </w:style>
  <w:style w:type="paragraph" w:customStyle="1" w:styleId="121">
    <w:name w:val="样式 正文首行缩进 2 + 首行缩进:  2 字符"/>
    <w:basedOn w:val="1"/>
    <w:qFormat/>
    <w:uiPriority w:val="0"/>
    <w:pPr>
      <w:numPr>
        <w:ilvl w:val="0"/>
        <w:numId w:val="4"/>
      </w:numPr>
      <w:adjustRightInd w:val="0"/>
      <w:snapToGrid w:val="0"/>
      <w:spacing w:line="360" w:lineRule="auto"/>
    </w:pPr>
    <w:rPr>
      <w:rFonts w:ascii="Arial" w:hAnsi="Arial"/>
      <w:b/>
    </w:rPr>
  </w:style>
  <w:style w:type="paragraph" w:customStyle="1" w:styleId="122">
    <w:name w:val="图片文字"/>
    <w:basedOn w:val="1"/>
    <w:qFormat/>
    <w:uiPriority w:val="0"/>
    <w:pPr>
      <w:spacing w:line="240" w:lineRule="atLeast"/>
      <w:jc w:val="center"/>
    </w:pPr>
    <w:rPr>
      <w:sz w:val="21"/>
    </w:rPr>
  </w:style>
  <w:style w:type="paragraph" w:customStyle="1" w:styleId="123">
    <w:name w:val="样式 宋体 五号 行距: 单倍行距"/>
    <w:basedOn w:val="1"/>
    <w:qFormat/>
    <w:uiPriority w:val="0"/>
    <w:pPr>
      <w:adjustRightInd w:val="0"/>
    </w:pPr>
    <w:rPr>
      <w:sz w:val="21"/>
    </w:rPr>
  </w:style>
  <w:style w:type="paragraph" w:customStyle="1" w:styleId="124">
    <w:name w:val="正文 + 三号"/>
    <w:basedOn w:val="1"/>
    <w:qFormat/>
    <w:uiPriority w:val="0"/>
    <w:rPr>
      <w:sz w:val="21"/>
    </w:rPr>
  </w:style>
  <w:style w:type="paragraph" w:customStyle="1" w:styleId="125">
    <w:name w:val="一级条标题"/>
    <w:basedOn w:val="126"/>
    <w:next w:val="127"/>
    <w:qFormat/>
    <w:uiPriority w:val="0"/>
    <w:pPr>
      <w:numPr>
        <w:numId w:val="0"/>
      </w:numPr>
      <w:spacing w:before="0" w:beforeLines="0" w:after="0" w:afterLines="0"/>
      <w:ind w:left="525"/>
      <w:outlineLvl w:val="2"/>
    </w:pPr>
    <w:rPr>
      <w:sz w:val="21"/>
    </w:rPr>
  </w:style>
  <w:style w:type="paragraph" w:customStyle="1" w:styleId="126">
    <w:name w:val="章标题"/>
    <w:next w:val="1"/>
    <w:qFormat/>
    <w:uiPriority w:val="0"/>
    <w:pPr>
      <w:numPr>
        <w:ilvl w:val="1"/>
        <w:numId w:val="5"/>
      </w:numPr>
      <w:spacing w:before="156" w:beforeLines="50" w:after="156" w:afterLines="50" w:line="278" w:lineRule="auto"/>
      <w:ind w:left="0"/>
      <w:jc w:val="both"/>
      <w:outlineLvl w:val="1"/>
    </w:pPr>
    <w:rPr>
      <w:rFonts w:ascii="黑体" w:hAnsi="Times New Roman" w:eastAsia="黑体" w:cs="Times New Roman"/>
      <w:sz w:val="24"/>
      <w:lang w:val="en-US" w:eastAsia="zh-CN" w:bidi="ar-SA"/>
    </w:rPr>
  </w:style>
  <w:style w:type="paragraph" w:customStyle="1" w:styleId="127">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28">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sz w:val="21"/>
      <w:lang w:eastAsia="en-US"/>
    </w:rPr>
  </w:style>
  <w:style w:type="paragraph" w:customStyle="1" w:styleId="12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1">
    <w:name w:val="正文文本缩进 21"/>
    <w:basedOn w:val="1"/>
    <w:qFormat/>
    <w:uiPriority w:val="0"/>
    <w:pPr>
      <w:adjustRightInd w:val="0"/>
      <w:spacing w:before="120"/>
      <w:ind w:firstLine="420"/>
      <w:textAlignment w:val="baseline"/>
    </w:pPr>
  </w:style>
  <w:style w:type="paragraph" w:customStyle="1" w:styleId="132">
    <w:name w:val="项目"/>
    <w:basedOn w:val="1"/>
    <w:qFormat/>
    <w:uiPriority w:val="0"/>
    <w:pPr>
      <w:tabs>
        <w:tab w:val="left" w:pos="1280"/>
      </w:tabs>
      <w:spacing w:before="120" w:after="120" w:line="360" w:lineRule="auto"/>
      <w:ind w:left="-7" w:firstLine="567"/>
      <w:textAlignment w:val="baseline"/>
    </w:pPr>
  </w:style>
  <w:style w:type="paragraph" w:customStyle="1" w:styleId="13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rPr>
  </w:style>
  <w:style w:type="paragraph" w:customStyle="1" w:styleId="134">
    <w:name w:val="1.正文"/>
    <w:basedOn w:val="1"/>
    <w:qFormat/>
    <w:uiPriority w:val="0"/>
    <w:pPr>
      <w:spacing w:line="360" w:lineRule="auto"/>
      <w:ind w:left="540" w:leftChars="225" w:firstLine="540" w:firstLineChars="225"/>
    </w:pPr>
  </w:style>
  <w:style w:type="paragraph" w:customStyle="1" w:styleId="135">
    <w:name w:val="标题无"/>
    <w:basedOn w:val="1"/>
    <w:qFormat/>
    <w:uiPriority w:val="0"/>
    <w:pPr>
      <w:spacing w:line="360" w:lineRule="auto"/>
    </w:pPr>
  </w:style>
  <w:style w:type="paragraph" w:customStyle="1" w:styleId="136">
    <w:name w:val="正文（首行不缩进）"/>
    <w:basedOn w:val="1"/>
    <w:qFormat/>
    <w:uiPriority w:val="0"/>
    <w:pPr>
      <w:autoSpaceDE w:val="0"/>
      <w:autoSpaceDN w:val="0"/>
      <w:adjustRightInd w:val="0"/>
      <w:spacing w:line="360" w:lineRule="auto"/>
    </w:pPr>
    <w:rPr>
      <w:sz w:val="21"/>
    </w:rPr>
  </w:style>
  <w:style w:type="paragraph" w:customStyle="1" w:styleId="13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rPr>
  </w:style>
  <w:style w:type="paragraph" w:customStyle="1" w:styleId="138">
    <w:name w:val="样式2"/>
    <w:basedOn w:val="5"/>
    <w:qFormat/>
    <w:uiPriority w:val="0"/>
    <w:pPr>
      <w:numPr>
        <w:ilvl w:val="0"/>
        <w:numId w:val="7"/>
      </w:numPr>
      <w:spacing w:before="560" w:line="400" w:lineRule="exact"/>
      <w:jc w:val="center"/>
      <w:outlineLvl w:val="0"/>
    </w:pPr>
    <w:rPr>
      <w:b w:val="0"/>
      <w:sz w:val="44"/>
    </w:rPr>
  </w:style>
  <w:style w:type="paragraph" w:customStyle="1" w:styleId="13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0">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41">
    <w:name w:val="Style Heading 3h3Heading 3 - oldLevel 3 HeadH3level_3PIM 3se..."/>
    <w:basedOn w:val="4"/>
    <w:qFormat/>
    <w:uiPriority w:val="0"/>
    <w:pPr>
      <w:numPr>
        <w:ilvl w:val="2"/>
        <w:numId w:val="8"/>
      </w:numPr>
      <w:tabs>
        <w:tab w:val="left" w:pos="709"/>
        <w:tab w:val="left" w:pos="1620"/>
      </w:tabs>
    </w:pPr>
  </w:style>
  <w:style w:type="paragraph" w:customStyle="1" w:styleId="142">
    <w:name w:val="tabletext"/>
    <w:basedOn w:val="1"/>
    <w:qFormat/>
    <w:uiPriority w:val="0"/>
    <w:pPr>
      <w:spacing w:before="100" w:beforeAutospacing="1" w:after="100" w:afterAutospacing="1"/>
    </w:pPr>
  </w:style>
  <w:style w:type="paragraph" w:customStyle="1" w:styleId="143">
    <w:name w:val="样式1"/>
    <w:basedOn w:val="5"/>
    <w:qFormat/>
    <w:uiPriority w:val="0"/>
    <w:pPr>
      <w:tabs>
        <w:tab w:val="left" w:pos="720"/>
      </w:tabs>
      <w:spacing w:before="500" w:after="260" w:line="560" w:lineRule="atLeast"/>
      <w:ind w:left="420" w:hanging="420"/>
    </w:pPr>
  </w:style>
  <w:style w:type="paragraph" w:customStyle="1" w:styleId="144">
    <w:name w:val="00"/>
    <w:basedOn w:val="1"/>
    <w:qFormat/>
    <w:uiPriority w:val="0"/>
    <w:pPr>
      <w:autoSpaceDE w:val="0"/>
      <w:autoSpaceDN w:val="0"/>
      <w:adjustRightInd w:val="0"/>
    </w:pPr>
    <w:rPr>
      <w:rFonts w:ascii="黑体" w:eastAsia="黑体"/>
      <w:b/>
      <w:sz w:val="20"/>
    </w:rPr>
  </w:style>
  <w:style w:type="paragraph" w:customStyle="1" w:styleId="145">
    <w:name w:val="Table Contents"/>
    <w:basedOn w:val="22"/>
    <w:qFormat/>
    <w:uiPriority w:val="0"/>
    <w:pPr>
      <w:suppressAutoHyphens/>
    </w:pPr>
    <w:rPr>
      <w:rFonts w:ascii="Times New Roman" w:eastAsia="Times New Roman"/>
      <w:sz w:val="24"/>
    </w:rPr>
  </w:style>
  <w:style w:type="paragraph" w:customStyle="1" w:styleId="146">
    <w:name w:val="附录4"/>
    <w:basedOn w:val="1"/>
    <w:next w:val="1"/>
    <w:qFormat/>
    <w:uiPriority w:val="0"/>
    <w:pPr>
      <w:tabs>
        <w:tab w:val="left" w:pos="1134"/>
      </w:tabs>
      <w:spacing w:line="300" w:lineRule="auto"/>
      <w:ind w:left="1361" w:hanging="1361"/>
      <w:outlineLvl w:val="3"/>
    </w:pPr>
    <w:rPr>
      <w:rFonts w:ascii="Arial" w:hAnsi="Arial" w:eastAsia="黑体"/>
    </w:rPr>
  </w:style>
  <w:style w:type="paragraph" w:customStyle="1" w:styleId="147">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48">
    <w:name w:val="默认段落字体 Para Char Char Char Char Char Char Char Char Char1 Char Char Char Char"/>
    <w:basedOn w:val="1"/>
    <w:qFormat/>
    <w:uiPriority w:val="0"/>
    <w:rPr>
      <w:rFonts w:ascii="Tahoma" w:hAnsi="Tahoma"/>
    </w:rPr>
  </w:style>
  <w:style w:type="paragraph" w:customStyle="1" w:styleId="149">
    <w:name w:val="首行缩进"/>
    <w:basedOn w:val="1"/>
    <w:qFormat/>
    <w:uiPriority w:val="0"/>
    <w:pPr>
      <w:numPr>
        <w:ilvl w:val="0"/>
        <w:numId w:val="9"/>
      </w:numPr>
      <w:spacing w:line="360" w:lineRule="auto"/>
    </w:pPr>
    <w:rPr>
      <w:rFonts w:eastAsia="仿宋_GB2312"/>
    </w:rPr>
  </w:style>
  <w:style w:type="paragraph" w:customStyle="1" w:styleId="150">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sz w:val="21"/>
    </w:rPr>
  </w:style>
  <w:style w:type="paragraph" w:customStyle="1" w:styleId="151">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52">
    <w:name w:val="标题3——2"/>
    <w:basedOn w:val="4"/>
    <w:next w:val="57"/>
    <w:qFormat/>
    <w:uiPriority w:val="0"/>
    <w:pPr>
      <w:tabs>
        <w:tab w:val="left" w:pos="1280"/>
        <w:tab w:val="right" w:leader="dot" w:pos="8777"/>
      </w:tabs>
      <w:spacing w:before="312" w:beforeLines="100" w:after="0" w:line="240" w:lineRule="auto"/>
      <w:ind w:left="851" w:hanging="851"/>
      <w:outlineLvl w:val="9"/>
    </w:pPr>
    <w:rPr>
      <w:rFonts w:ascii="黑体" w:eastAsia="黑体"/>
      <w:sz w:val="30"/>
    </w:rPr>
  </w:style>
  <w:style w:type="paragraph" w:customStyle="1" w:styleId="153">
    <w:name w:val="Char Char Char Char"/>
    <w:basedOn w:val="1"/>
    <w:qFormat/>
    <w:uiPriority w:val="0"/>
    <w:pPr>
      <w:pageBreakBefore/>
      <w:spacing w:line="240" w:lineRule="exact"/>
    </w:pPr>
    <w:rPr>
      <w:rFonts w:ascii="Verdana" w:hAnsi="Verdana"/>
      <w:sz w:val="20"/>
      <w:lang w:eastAsia="en-US"/>
    </w:rPr>
  </w:style>
  <w:style w:type="paragraph" w:customStyle="1" w:styleId="154">
    <w:name w:val="样式 仿宋_GB2312 首行缩进:  2 字符"/>
    <w:basedOn w:val="1"/>
    <w:qFormat/>
    <w:uiPriority w:val="0"/>
    <w:pPr>
      <w:spacing w:line="600" w:lineRule="exact"/>
      <w:ind w:firstLine="420" w:firstLineChars="150"/>
    </w:pPr>
    <w:rPr>
      <w:rFonts w:ascii="仿宋_GB2312" w:hAnsi="Arial" w:eastAsia="仿宋_GB2312"/>
      <w:color w:val="000000"/>
      <w:lang w:val="zh-CN"/>
    </w:rPr>
  </w:style>
  <w:style w:type="paragraph" w:customStyle="1" w:styleId="155">
    <w:name w:val="Char Char Char Char Char Char Char Char Char Char Char Char Char Char Char Char"/>
    <w:basedOn w:val="1"/>
    <w:qFormat/>
    <w:uiPriority w:val="0"/>
    <w:pPr>
      <w:tabs>
        <w:tab w:val="left" w:pos="360"/>
      </w:tabs>
    </w:pPr>
  </w:style>
  <w:style w:type="paragraph" w:customStyle="1" w:styleId="156">
    <w:name w:val="Char2 Char Char Char Char Char Char"/>
    <w:basedOn w:val="1"/>
    <w:qFormat/>
    <w:uiPriority w:val="0"/>
    <w:rPr>
      <w:rFonts w:ascii="仿宋_GB2312"/>
      <w:b/>
      <w:sz w:val="30"/>
    </w:rPr>
  </w:style>
  <w:style w:type="paragraph" w:customStyle="1" w:styleId="157">
    <w:name w:val="xl53"/>
    <w:basedOn w:val="1"/>
    <w:qFormat/>
    <w:uiPriority w:val="0"/>
    <w:pPr>
      <w:pBdr>
        <w:left w:val="single" w:color="auto" w:sz="4" w:space="0"/>
        <w:bottom w:val="single" w:color="auto" w:sz="4" w:space="0"/>
      </w:pBdr>
      <w:spacing w:before="100" w:beforeAutospacing="1" w:after="100" w:afterAutospacing="1"/>
      <w:jc w:val="center"/>
      <w:textAlignment w:val="center"/>
    </w:pPr>
  </w:style>
  <w:style w:type="paragraph" w:customStyle="1" w:styleId="158">
    <w:name w:val="正文表格"/>
    <w:basedOn w:val="1"/>
    <w:qFormat/>
    <w:uiPriority w:val="0"/>
    <w:pPr>
      <w:adjustRightInd w:val="0"/>
      <w:spacing w:before="40" w:after="40"/>
    </w:pPr>
  </w:style>
  <w:style w:type="paragraph" w:customStyle="1" w:styleId="159">
    <w:name w:val="Char Char1 Char Char Char Char Char Char Char Char Char Char Char Char Char Char"/>
    <w:basedOn w:val="1"/>
    <w:qFormat/>
    <w:uiPriority w:val="0"/>
    <w:pPr>
      <w:spacing w:line="240" w:lineRule="exact"/>
    </w:pPr>
    <w:rPr>
      <w:rFonts w:ascii="Verdana" w:hAnsi="Verdana"/>
      <w:sz w:val="20"/>
      <w:lang w:eastAsia="en-US"/>
    </w:rPr>
  </w:style>
  <w:style w:type="paragraph" w:customStyle="1" w:styleId="160">
    <w:name w:val="编号正文"/>
    <w:basedOn w:val="114"/>
    <w:qFormat/>
    <w:uiPriority w:val="0"/>
    <w:pPr>
      <w:snapToGrid/>
      <w:spacing w:line="360" w:lineRule="auto"/>
      <w:ind w:left="1407" w:hanging="1047"/>
    </w:pPr>
    <w:rPr>
      <w:rFonts w:eastAsia="仿宋_GB2312"/>
    </w:rPr>
  </w:style>
  <w:style w:type="paragraph" w:customStyle="1" w:styleId="161">
    <w:name w:val="content"/>
    <w:basedOn w:val="1"/>
    <w:qFormat/>
    <w:uiPriority w:val="0"/>
    <w:pPr>
      <w:spacing w:before="100" w:beforeAutospacing="1" w:after="100" w:afterAutospacing="1" w:line="280" w:lineRule="atLeast"/>
      <w:ind w:firstLine="375"/>
    </w:pPr>
    <w:rPr>
      <w:color w:val="000000"/>
      <w:sz w:val="18"/>
    </w:rPr>
  </w:style>
  <w:style w:type="paragraph" w:customStyle="1" w:styleId="162">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163">
    <w:name w:val="Char1 Char Char Char"/>
    <w:basedOn w:val="1"/>
    <w:qFormat/>
    <w:uiPriority w:val="0"/>
    <w:rPr>
      <w:rFonts w:ascii="Tahoma" w:hAnsi="Tahoma"/>
      <w:sz w:val="30"/>
    </w:rPr>
  </w:style>
  <w:style w:type="paragraph" w:customStyle="1" w:styleId="164">
    <w:name w:val="xl23"/>
    <w:basedOn w:val="1"/>
    <w:qFormat/>
    <w:uiPriority w:val="0"/>
    <w:pPr>
      <w:spacing w:before="100" w:beforeAutospacing="1" w:after="100" w:afterAutospacing="1" w:line="360" w:lineRule="auto"/>
      <w:textAlignment w:val="top"/>
    </w:pPr>
  </w:style>
  <w:style w:type="paragraph" w:customStyle="1" w:styleId="165">
    <w:name w:val="_"/>
    <w:basedOn w:val="1"/>
    <w:qFormat/>
    <w:uiPriority w:val="0"/>
    <w:pPr>
      <w:adjustRightInd w:val="0"/>
      <w:spacing w:line="360" w:lineRule="auto"/>
      <w:ind w:left="480" w:firstLine="200" w:firstLineChars="200"/>
      <w:textAlignment w:val="baseline"/>
    </w:pPr>
  </w:style>
  <w:style w:type="paragraph" w:customStyle="1" w:styleId="166">
    <w:name w:val="Char1 Char Char Char1"/>
    <w:basedOn w:val="1"/>
    <w:qFormat/>
    <w:uiPriority w:val="0"/>
    <w:rPr>
      <w:rFonts w:ascii="Tahoma" w:hAnsi="Tahoma"/>
    </w:rPr>
  </w:style>
  <w:style w:type="paragraph" w:customStyle="1" w:styleId="167">
    <w:name w:val="Char Char1"/>
    <w:basedOn w:val="1"/>
    <w:qFormat/>
    <w:uiPriority w:val="0"/>
    <w:pPr>
      <w:spacing w:line="240" w:lineRule="exact"/>
    </w:pPr>
    <w:rPr>
      <w:rFonts w:ascii="Verdana" w:hAnsi="Verdana"/>
      <w:sz w:val="20"/>
      <w:lang w:eastAsia="en-US"/>
    </w:rPr>
  </w:style>
  <w:style w:type="paragraph" w:customStyle="1" w:styleId="168">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69">
    <w:name w:val="Char Char Char Char Char Char Char"/>
    <w:basedOn w:val="17"/>
    <w:qFormat/>
    <w:uiPriority w:val="0"/>
    <w:rPr>
      <w:rFonts w:hAnsi="Tahoma"/>
    </w:rPr>
  </w:style>
  <w:style w:type="paragraph" w:customStyle="1" w:styleId="170">
    <w:name w:val="没有缩进（为图形使用）"/>
    <w:basedOn w:val="1"/>
    <w:qFormat/>
    <w:uiPriority w:val="0"/>
    <w:pPr>
      <w:spacing w:before="120" w:after="120" w:line="360" w:lineRule="auto"/>
    </w:pPr>
  </w:style>
  <w:style w:type="paragraph" w:customStyle="1" w:styleId="171">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72">
    <w:name w:val="附录3"/>
    <w:basedOn w:val="1"/>
    <w:next w:val="1"/>
    <w:qFormat/>
    <w:uiPriority w:val="0"/>
    <w:pPr>
      <w:tabs>
        <w:tab w:val="left" w:pos="851"/>
      </w:tabs>
      <w:ind w:left="425" w:hanging="425"/>
      <w:outlineLvl w:val="2"/>
    </w:pPr>
    <w:rPr>
      <w:rFonts w:eastAsia="黑体"/>
      <w:b/>
      <w:sz w:val="32"/>
    </w:rPr>
  </w:style>
  <w:style w:type="paragraph" w:customStyle="1" w:styleId="173">
    <w:name w:val="可研正文"/>
    <w:basedOn w:val="22"/>
    <w:qFormat/>
    <w:uiPriority w:val="0"/>
    <w:pPr>
      <w:adjustRightInd w:val="0"/>
      <w:snapToGrid w:val="0"/>
      <w:spacing w:line="440" w:lineRule="exact"/>
      <w:ind w:firstLine="567"/>
    </w:pPr>
    <w:rPr>
      <w:sz w:val="28"/>
    </w:rPr>
  </w:style>
  <w:style w:type="paragraph" w:customStyle="1" w:styleId="174">
    <w:name w:val="Item List"/>
    <w:qFormat/>
    <w:uiPriority w:val="0"/>
    <w:pPr>
      <w:numPr>
        <w:ilvl w:val="0"/>
        <w:numId w:val="11"/>
      </w:numPr>
      <w:spacing w:after="160" w:line="300" w:lineRule="auto"/>
      <w:jc w:val="both"/>
    </w:pPr>
    <w:rPr>
      <w:rFonts w:ascii="Arial" w:hAnsi="Arial" w:eastAsia="宋体" w:cs="Times New Roman"/>
      <w:sz w:val="21"/>
      <w:lang w:val="en-US" w:eastAsia="zh-CN" w:bidi="ar-SA"/>
    </w:rPr>
  </w:style>
  <w:style w:type="paragraph" w:customStyle="1" w:styleId="175">
    <w:name w:val="_Style 171"/>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76">
    <w:name w:val="标书正文:  0.74 厘米"/>
    <w:basedOn w:val="1"/>
    <w:qFormat/>
    <w:uiPriority w:val="0"/>
    <w:pPr>
      <w:snapToGrid w:val="0"/>
      <w:spacing w:line="360" w:lineRule="auto"/>
      <w:ind w:firstLine="420"/>
    </w:pPr>
  </w:style>
  <w:style w:type="paragraph" w:customStyle="1" w:styleId="1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8">
    <w:name w:val="段落正文"/>
    <w:basedOn w:val="1"/>
    <w:qFormat/>
    <w:uiPriority w:val="0"/>
    <w:pPr>
      <w:spacing w:before="156" w:beforeLines="50" w:line="360" w:lineRule="auto"/>
      <w:ind w:firstLine="200" w:firstLineChars="200"/>
    </w:pPr>
    <w:rPr>
      <w:spacing w:val="2"/>
    </w:rPr>
  </w:style>
  <w:style w:type="paragraph" w:customStyle="1" w:styleId="179">
    <w:name w:val="默认段落字体 Para Char Char Char Char Char Char Char"/>
    <w:basedOn w:val="1"/>
    <w:qFormat/>
    <w:uiPriority w:val="0"/>
    <w:rPr>
      <w:rFonts w:ascii="Tahoma" w:hAnsi="Tahoma"/>
    </w:rPr>
  </w:style>
  <w:style w:type="paragraph" w:customStyle="1" w:styleId="180">
    <w:name w:val="Char Char14 Char Char"/>
    <w:basedOn w:val="1"/>
    <w:qFormat/>
    <w:uiPriority w:val="0"/>
    <w:rPr>
      <w:sz w:val="21"/>
    </w:rPr>
  </w:style>
  <w:style w:type="paragraph" w:customStyle="1" w:styleId="181">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82">
    <w:name w:val="Title - Revision"/>
    <w:basedOn w:val="55"/>
    <w:qFormat/>
    <w:uiPriority w:val="0"/>
    <w:pPr>
      <w:spacing w:before="720"/>
    </w:pPr>
  </w:style>
  <w:style w:type="paragraph" w:customStyle="1" w:styleId="183">
    <w:name w:val="Item Step in Table"/>
    <w:qFormat/>
    <w:uiPriority w:val="0"/>
    <w:pPr>
      <w:numPr>
        <w:ilvl w:val="0"/>
        <w:numId w:val="5"/>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84">
    <w:name w:val="图例"/>
    <w:basedOn w:val="1"/>
    <w:qFormat/>
    <w:uiPriority w:val="0"/>
    <w:pPr>
      <w:spacing w:before="120" w:after="120" w:line="360" w:lineRule="auto"/>
      <w:jc w:val="center"/>
    </w:pPr>
    <w:rPr>
      <w:rFonts w:eastAsia="仿宋_GB2312"/>
      <w:b/>
    </w:rPr>
  </w:style>
  <w:style w:type="paragraph" w:customStyle="1" w:styleId="185">
    <w:name w:val="文档正文 Char Char Char Char Char"/>
    <w:basedOn w:val="1"/>
    <w:qFormat/>
    <w:uiPriority w:val="0"/>
    <w:pPr>
      <w:adjustRightInd w:val="0"/>
      <w:spacing w:line="440" w:lineRule="exact"/>
      <w:ind w:firstLine="420"/>
      <w:textAlignment w:val="baseline"/>
    </w:pPr>
    <w:rPr>
      <w:rFonts w:ascii="Arial Narrow" w:hAnsi="Arial Narrow"/>
    </w:rPr>
  </w:style>
  <w:style w:type="paragraph" w:customStyle="1" w:styleId="18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87">
    <w:name w:val="样式 样式 首行缩进:  2 字符 + 首行缩进:  2 字符"/>
    <w:basedOn w:val="1"/>
    <w:qFormat/>
    <w:uiPriority w:val="0"/>
    <w:pPr>
      <w:numPr>
        <w:ilvl w:val="0"/>
        <w:numId w:val="12"/>
      </w:numPr>
      <w:tabs>
        <w:tab w:val="clear" w:pos="1230"/>
      </w:tabs>
      <w:spacing w:line="360" w:lineRule="auto"/>
      <w:ind w:firstLine="480" w:firstLineChars="200"/>
    </w:pPr>
  </w:style>
  <w:style w:type="paragraph" w:customStyle="1" w:styleId="188">
    <w:name w:val="IN Feature"/>
    <w:next w:val="189"/>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189">
    <w:name w:val="IN Step"/>
    <w:basedOn w:val="1"/>
    <w:qFormat/>
    <w:uiPriority w:val="0"/>
    <w:pPr>
      <w:keepLines/>
      <w:tabs>
        <w:tab w:val="left" w:pos="1134"/>
      </w:tabs>
      <w:spacing w:before="80" w:after="80" w:line="300" w:lineRule="auto"/>
      <w:ind w:left="1134" w:hanging="907"/>
      <w:outlineLvl w:val="8"/>
    </w:pPr>
    <w:rPr>
      <w:rFonts w:ascii="Arial" w:hAnsi="Arial"/>
      <w:sz w:val="21"/>
    </w:rPr>
  </w:style>
  <w:style w:type="paragraph" w:customStyle="1" w:styleId="190">
    <w:name w:val="文本框样式1"/>
    <w:basedOn w:val="1"/>
    <w:qFormat/>
    <w:uiPriority w:val="0"/>
    <w:pPr>
      <w:adjustRightInd w:val="0"/>
      <w:snapToGrid w:val="0"/>
      <w:spacing w:before="60" w:line="180" w:lineRule="exact"/>
      <w:jc w:val="center"/>
    </w:pPr>
    <w:rPr>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2">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93">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194">
    <w:name w:val="表格内文字"/>
    <w:basedOn w:val="31"/>
    <w:qFormat/>
    <w:uiPriority w:val="0"/>
    <w:pPr>
      <w:adjustRightInd w:val="0"/>
    </w:pPr>
    <w:rPr>
      <w:color w:val="000000"/>
      <w:lang w:val="en-GB"/>
    </w:rPr>
  </w:style>
  <w:style w:type="paragraph" w:customStyle="1" w:styleId="195">
    <w:name w:val="文档正文 Char Char Char Char"/>
    <w:basedOn w:val="1"/>
    <w:qFormat/>
    <w:uiPriority w:val="0"/>
    <w:pPr>
      <w:adjustRightInd w:val="0"/>
      <w:spacing w:line="440" w:lineRule="exact"/>
      <w:ind w:firstLine="420"/>
      <w:textAlignment w:val="baseline"/>
    </w:pPr>
    <w:rPr>
      <w:rFonts w:ascii="Arial Narrow" w:hAnsi="Arial Narrow"/>
    </w:rPr>
  </w:style>
  <w:style w:type="paragraph" w:customStyle="1" w:styleId="196">
    <w:name w:val="Char Char 字元 字元 字元 Char Char Char Char"/>
    <w:basedOn w:val="1"/>
    <w:qFormat/>
    <w:uiPriority w:val="0"/>
    <w:pPr>
      <w:adjustRightInd w:val="0"/>
      <w:spacing w:line="360" w:lineRule="auto"/>
    </w:pPr>
  </w:style>
  <w:style w:type="paragraph" w:customStyle="1" w:styleId="197">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198">
    <w:name w:val="Char Char Char Char Char Char Char1"/>
    <w:basedOn w:val="1"/>
    <w:qFormat/>
    <w:uiPriority w:val="0"/>
    <w:rPr>
      <w:rFonts w:ascii="Tahoma" w:hAnsi="Tahoma"/>
    </w:rPr>
  </w:style>
  <w:style w:type="paragraph" w:customStyle="1" w:styleId="199">
    <w:name w:val="标准正文"/>
    <w:basedOn w:val="23"/>
    <w:qFormat/>
    <w:uiPriority w:val="0"/>
    <w:pPr>
      <w:spacing w:before="60" w:after="60" w:line="360" w:lineRule="auto"/>
      <w:ind w:left="0" w:firstLine="482"/>
    </w:pPr>
    <w:rPr>
      <w:rFonts w:ascii="Arial" w:hAnsi="Arial"/>
      <w:sz w:val="24"/>
    </w:rPr>
  </w:style>
  <w:style w:type="paragraph" w:customStyle="1" w:styleId="200">
    <w:name w:val="Char"/>
    <w:basedOn w:val="1"/>
    <w:qFormat/>
    <w:uiPriority w:val="0"/>
    <w:pPr>
      <w:spacing w:line="240" w:lineRule="atLeast"/>
      <w:ind w:left="420" w:firstLine="420"/>
    </w:pPr>
    <w:rPr>
      <w:sz w:val="21"/>
    </w:rPr>
  </w:style>
  <w:style w:type="paragraph" w:customStyle="1" w:styleId="201">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02">
    <w:name w:val="缺省文本"/>
    <w:basedOn w:val="1"/>
    <w:qFormat/>
    <w:uiPriority w:val="0"/>
    <w:pPr>
      <w:tabs>
        <w:tab w:val="left" w:pos="1260"/>
      </w:tabs>
      <w:autoSpaceDE w:val="0"/>
      <w:autoSpaceDN w:val="0"/>
      <w:adjustRightInd w:val="0"/>
      <w:spacing w:line="360" w:lineRule="auto"/>
    </w:pPr>
  </w:style>
  <w:style w:type="paragraph" w:customStyle="1" w:styleId="203">
    <w:name w:val="正文格式"/>
    <w:basedOn w:val="1"/>
    <w:qFormat/>
    <w:uiPriority w:val="0"/>
    <w:pPr>
      <w:adjustRightInd w:val="0"/>
      <w:snapToGrid w:val="0"/>
      <w:spacing w:before="60" w:line="360" w:lineRule="auto"/>
      <w:ind w:firstLine="480" w:firstLineChars="200"/>
      <w:textAlignment w:val="baseline"/>
    </w:pPr>
    <w:rPr>
      <w:color w:val="000000"/>
    </w:rPr>
  </w:style>
  <w:style w:type="paragraph" w:customStyle="1" w:styleId="204">
    <w:name w:val="正文字缩2字"/>
    <w:basedOn w:val="1"/>
    <w:qFormat/>
    <w:uiPriority w:val="0"/>
    <w:pPr>
      <w:spacing w:before="60" w:after="60" w:line="360" w:lineRule="auto"/>
      <w:ind w:left="200" w:leftChars="200" w:firstLine="200" w:firstLineChars="200"/>
    </w:pPr>
  </w:style>
  <w:style w:type="paragraph" w:customStyle="1" w:styleId="205">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206">
    <w:name w:val="Char1"/>
    <w:basedOn w:val="1"/>
    <w:qFormat/>
    <w:uiPriority w:val="0"/>
    <w:rPr>
      <w:sz w:val="21"/>
    </w:rPr>
  </w:style>
  <w:style w:type="paragraph" w:customStyle="1" w:styleId="207">
    <w:name w:val="Char Char Char1 Char Char Char Char Char Char Char Char Char Char Char Char Char"/>
    <w:basedOn w:val="1"/>
    <w:qFormat/>
    <w:uiPriority w:val="0"/>
    <w:pPr>
      <w:spacing w:line="240" w:lineRule="exact"/>
    </w:pPr>
    <w:rPr>
      <w:rFonts w:ascii="Verdana" w:hAnsi="Verdana"/>
      <w:sz w:val="18"/>
      <w:lang w:eastAsia="en-US"/>
    </w:rPr>
  </w:style>
  <w:style w:type="paragraph" w:customStyle="1" w:styleId="20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9">
    <w:name w:val="样式 宋体 五号 两端对齐 行距: 单倍行距"/>
    <w:basedOn w:val="1"/>
    <w:qFormat/>
    <w:uiPriority w:val="0"/>
    <w:pPr>
      <w:adjustRightInd w:val="0"/>
      <w:textAlignment w:val="baseline"/>
    </w:pPr>
    <w:rPr>
      <w:sz w:val="21"/>
    </w:rPr>
  </w:style>
  <w:style w:type="paragraph" w:customStyle="1" w:styleId="210">
    <w:name w:val="正文4"/>
    <w:basedOn w:val="1"/>
    <w:qFormat/>
    <w:uiPriority w:val="0"/>
    <w:pPr>
      <w:tabs>
        <w:tab w:val="left" w:pos="1275"/>
      </w:tabs>
      <w:spacing w:before="60" w:after="60" w:line="360" w:lineRule="auto"/>
      <w:ind w:left="820" w:leftChars="400" w:hanging="705"/>
    </w:pPr>
  </w:style>
  <w:style w:type="paragraph" w:customStyle="1" w:styleId="211">
    <w:name w:val="1"/>
    <w:basedOn w:val="1"/>
    <w:next w:val="31"/>
    <w:qFormat/>
    <w:uiPriority w:val="0"/>
    <w:rPr>
      <w:rFonts w:hAnsi="Courier New"/>
      <w:sz w:val="21"/>
    </w:rPr>
  </w:style>
  <w:style w:type="paragraph" w:customStyle="1" w:styleId="212">
    <w:name w:val="Char Char Char Char Char"/>
    <w:basedOn w:val="1"/>
    <w:qFormat/>
    <w:uiPriority w:val="0"/>
    <w:pPr>
      <w:tabs>
        <w:tab w:val="left" w:pos="425"/>
      </w:tabs>
      <w:ind w:left="1620" w:hanging="360"/>
    </w:pPr>
    <w:rPr>
      <w:rFonts w:ascii="Tahoma" w:hAnsi="Tahoma"/>
    </w:rPr>
  </w:style>
  <w:style w:type="paragraph" w:customStyle="1" w:styleId="213">
    <w:name w:val="Char Char Char Char Char Char Char Char Char Char Char Char Char"/>
    <w:basedOn w:val="1"/>
    <w:qFormat/>
    <w:uiPriority w:val="0"/>
    <w:pPr>
      <w:spacing w:line="240" w:lineRule="exact"/>
    </w:pPr>
    <w:rPr>
      <w:rFonts w:ascii="Verdana" w:hAnsi="Verdana" w:eastAsia="仿宋_GB2312"/>
      <w:lang w:eastAsia="en-US"/>
    </w:rPr>
  </w:style>
  <w:style w:type="paragraph" w:customStyle="1" w:styleId="214">
    <w:name w:val="正文格式 Char"/>
    <w:basedOn w:val="1"/>
    <w:qFormat/>
    <w:uiPriority w:val="0"/>
    <w:pPr>
      <w:adjustRightInd w:val="0"/>
      <w:spacing w:line="440" w:lineRule="atLeast"/>
      <w:ind w:firstLine="510"/>
      <w:textAlignment w:val="baseline"/>
    </w:pPr>
  </w:style>
  <w:style w:type="paragraph" w:customStyle="1" w:styleId="215">
    <w:name w:val="二级列表"/>
    <w:basedOn w:val="178"/>
    <w:next w:val="178"/>
    <w:qFormat/>
    <w:uiPriority w:val="0"/>
    <w:pPr>
      <w:tabs>
        <w:tab w:val="left" w:pos="2120"/>
      </w:tabs>
      <w:ind w:firstLine="0" w:firstLineChars="0"/>
    </w:pPr>
    <w:rPr>
      <w:b/>
    </w:rPr>
  </w:style>
  <w:style w:type="paragraph" w:customStyle="1" w:styleId="216">
    <w:name w:val="二级条标题"/>
    <w:basedOn w:val="125"/>
    <w:next w:val="127"/>
    <w:qFormat/>
    <w:uiPriority w:val="0"/>
    <w:pPr>
      <w:ind w:left="840"/>
      <w:outlineLvl w:val="3"/>
    </w:pPr>
  </w:style>
  <w:style w:type="paragraph" w:customStyle="1" w:styleId="217">
    <w:name w:val="普通正文"/>
    <w:basedOn w:val="1"/>
    <w:qFormat/>
    <w:uiPriority w:val="0"/>
    <w:pPr>
      <w:adjustRightInd w:val="0"/>
      <w:spacing w:before="120" w:after="120" w:line="360" w:lineRule="auto"/>
      <w:ind w:firstLine="480"/>
      <w:textAlignment w:val="baseline"/>
    </w:pPr>
    <w:rPr>
      <w:rFonts w:ascii="Arial" w:hAnsi="Arial"/>
    </w:rPr>
  </w:style>
  <w:style w:type="paragraph" w:customStyle="1" w:styleId="218">
    <w:name w:val="Char Char1 Char"/>
    <w:basedOn w:val="1"/>
    <w:qFormat/>
    <w:uiPriority w:val="0"/>
    <w:rPr>
      <w:rFonts w:ascii="Tahoma" w:hAnsi="Tahoma"/>
    </w:rPr>
  </w:style>
  <w:style w:type="paragraph" w:customStyle="1" w:styleId="219">
    <w:name w:val="正文1"/>
    <w:basedOn w:val="1"/>
    <w:qFormat/>
    <w:uiPriority w:val="0"/>
    <w:pPr>
      <w:spacing w:line="300" w:lineRule="auto"/>
      <w:ind w:firstLine="200" w:firstLineChars="200"/>
    </w:pPr>
  </w:style>
  <w:style w:type="paragraph" w:customStyle="1" w:styleId="220">
    <w:name w:val="af"/>
    <w:basedOn w:val="1"/>
    <w:qFormat/>
    <w:uiPriority w:val="0"/>
    <w:pPr>
      <w:spacing w:line="300" w:lineRule="atLeast"/>
    </w:pPr>
    <w:rPr>
      <w:sz w:val="18"/>
    </w:rPr>
  </w:style>
  <w:style w:type="paragraph" w:customStyle="1" w:styleId="221">
    <w:name w:val="表头样式"/>
    <w:basedOn w:val="1"/>
    <w:qFormat/>
    <w:uiPriority w:val="0"/>
    <w:pPr>
      <w:autoSpaceDE w:val="0"/>
      <w:autoSpaceDN w:val="0"/>
      <w:adjustRightInd w:val="0"/>
      <w:spacing w:line="360" w:lineRule="auto"/>
    </w:pPr>
    <w:rPr>
      <w:b/>
      <w:sz w:val="21"/>
    </w:rPr>
  </w:style>
  <w:style w:type="paragraph" w:customStyle="1" w:styleId="222">
    <w:name w:val="Note"/>
    <w:basedOn w:val="1"/>
    <w:qFormat/>
    <w:uiPriority w:val="0"/>
    <w:pPr>
      <w:pBdr>
        <w:top w:val="single" w:color="auto" w:sz="12" w:space="3"/>
        <w:bottom w:val="single" w:color="auto" w:sz="12" w:space="3"/>
      </w:pBdr>
      <w:spacing w:line="360" w:lineRule="auto"/>
    </w:pPr>
  </w:style>
  <w:style w:type="paragraph" w:customStyle="1" w:styleId="223">
    <w:name w:val="内容标题"/>
    <w:basedOn w:val="17"/>
    <w:qFormat/>
    <w:uiPriority w:val="0"/>
    <w:rPr>
      <w:rFonts w:ascii="Tahoma" w:hAnsi="Tahoma"/>
    </w:rPr>
  </w:style>
  <w:style w:type="paragraph" w:customStyle="1" w:styleId="224">
    <w:name w:val="Char2"/>
    <w:basedOn w:val="1"/>
    <w:qFormat/>
    <w:uiPriority w:val="0"/>
    <w:pPr>
      <w:spacing w:line="240" w:lineRule="atLeast"/>
      <w:ind w:left="420" w:firstLine="420"/>
    </w:pPr>
    <w:rPr>
      <w:sz w:val="21"/>
    </w:rPr>
  </w:style>
  <w:style w:type="paragraph" w:customStyle="1" w:styleId="225">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226">
    <w:name w:val="样式4"/>
    <w:basedOn w:val="5"/>
    <w:qFormat/>
    <w:uiPriority w:val="0"/>
    <w:pPr>
      <w:adjustRightInd w:val="0"/>
      <w:snapToGrid w:val="0"/>
    </w:pPr>
  </w:style>
  <w:style w:type="paragraph" w:customStyle="1" w:styleId="227">
    <w:name w:val="style1"/>
    <w:basedOn w:val="1"/>
    <w:qFormat/>
    <w:uiPriority w:val="0"/>
    <w:pPr>
      <w:spacing w:before="100" w:beforeAutospacing="1" w:after="100" w:afterAutospacing="1"/>
    </w:pPr>
    <w:rPr>
      <w:sz w:val="21"/>
    </w:rPr>
  </w:style>
  <w:style w:type="paragraph" w:customStyle="1" w:styleId="228">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29">
    <w:name w:val="样式 行距: 1.5 倍行距1"/>
    <w:basedOn w:val="1"/>
    <w:qFormat/>
    <w:uiPriority w:val="0"/>
    <w:pPr>
      <w:snapToGrid w:val="0"/>
    </w:pPr>
    <w:rPr>
      <w:sz w:val="21"/>
    </w:rPr>
  </w:style>
  <w:style w:type="paragraph" w:customStyle="1" w:styleId="230">
    <w:name w:val="样式 首行缩进:  0.74 厘米"/>
    <w:basedOn w:val="1"/>
    <w:qFormat/>
    <w:uiPriority w:val="0"/>
    <w:pPr>
      <w:spacing w:line="360" w:lineRule="auto"/>
      <w:ind w:firstLine="420"/>
    </w:pPr>
  </w:style>
  <w:style w:type="paragraph" w:customStyle="1" w:styleId="231">
    <w:name w:val="È±Ê¡ÎÄ±¾"/>
    <w:basedOn w:val="1"/>
    <w:qFormat/>
    <w:uiPriority w:val="0"/>
    <w:pPr>
      <w:overflowPunct w:val="0"/>
      <w:autoSpaceDE w:val="0"/>
      <w:autoSpaceDN w:val="0"/>
      <w:adjustRightInd w:val="0"/>
      <w:textAlignment w:val="baseline"/>
    </w:pPr>
  </w:style>
  <w:style w:type="paragraph" w:customStyle="1" w:styleId="232">
    <w:name w:val="AA Numbering"/>
    <w:basedOn w:val="1"/>
    <w:qFormat/>
    <w:uiPriority w:val="0"/>
    <w:pPr>
      <w:tabs>
        <w:tab w:val="left" w:pos="1134"/>
        <w:tab w:val="left" w:pos="1280"/>
      </w:tabs>
      <w:adjustRightInd w:val="0"/>
      <w:snapToGrid w:val="0"/>
      <w:spacing w:line="280" w:lineRule="atLeast"/>
    </w:pPr>
    <w:rPr>
      <w:rFonts w:eastAsia="PMingLiU"/>
      <w:lang w:eastAsia="zh-TW"/>
    </w:rPr>
  </w:style>
  <w:style w:type="paragraph" w:customStyle="1" w:styleId="233">
    <w:name w:val="Char Char Char Char Char Char1 Char"/>
    <w:basedOn w:val="1"/>
    <w:qFormat/>
    <w:uiPriority w:val="0"/>
    <w:pPr>
      <w:spacing w:line="240" w:lineRule="exact"/>
    </w:pPr>
    <w:rPr>
      <w:rFonts w:ascii="Verdana" w:hAnsi="Verdana"/>
      <w:sz w:val="21"/>
      <w:lang w:eastAsia="en-US"/>
    </w:rPr>
  </w:style>
  <w:style w:type="paragraph" w:customStyle="1" w:styleId="234">
    <w:name w:val="样式1xz"/>
    <w:basedOn w:val="1"/>
    <w:qFormat/>
    <w:uiPriority w:val="0"/>
    <w:pPr>
      <w:tabs>
        <w:tab w:val="left" w:pos="1050"/>
        <w:tab w:val="right" w:leader="dot" w:pos="8296"/>
      </w:tabs>
    </w:pPr>
    <w:rPr>
      <w:caps/>
      <w:spacing w:val="20"/>
    </w:rPr>
  </w:style>
  <w:style w:type="paragraph" w:customStyle="1" w:styleId="235">
    <w:name w:val="Char Char Char"/>
    <w:basedOn w:val="1"/>
    <w:qFormat/>
    <w:uiPriority w:val="0"/>
    <w:rPr>
      <w:rFonts w:ascii="Tahoma" w:hAnsi="Tahoma"/>
    </w:rPr>
  </w:style>
  <w:style w:type="paragraph" w:customStyle="1" w:styleId="236">
    <w:name w:val="样式 标题 6第五层条 + 三号 段前: 0.5 行"/>
    <w:basedOn w:val="7"/>
    <w:qFormat/>
    <w:uiPriority w:val="0"/>
    <w:pPr>
      <w:adjustRightInd/>
      <w:snapToGrid/>
      <w:spacing w:before="156" w:beforeLines="50"/>
    </w:pPr>
    <w:rPr>
      <w:snapToGrid w:val="0"/>
      <w:kern w:val="24"/>
      <w:sz w:val="28"/>
    </w:rPr>
  </w:style>
  <w:style w:type="paragraph" w:customStyle="1" w:styleId="237">
    <w:name w:val="文本1"/>
    <w:basedOn w:val="1"/>
    <w:qFormat/>
    <w:uiPriority w:val="0"/>
    <w:pPr>
      <w:adjustRightInd w:val="0"/>
      <w:spacing w:line="312" w:lineRule="atLeast"/>
      <w:jc w:val="center"/>
      <w:textAlignment w:val="baseline"/>
    </w:pPr>
    <w:rPr>
      <w:sz w:val="18"/>
    </w:rPr>
  </w:style>
  <w:style w:type="paragraph" w:customStyle="1" w:styleId="238">
    <w:name w:val="列表项目"/>
    <w:basedOn w:val="1"/>
    <w:qFormat/>
    <w:uiPriority w:val="0"/>
    <w:pPr>
      <w:tabs>
        <w:tab w:val="left" w:pos="420"/>
      </w:tabs>
      <w:spacing w:line="288" w:lineRule="auto"/>
      <w:ind w:left="840" w:leftChars="200" w:hanging="420" w:hangingChars="200"/>
    </w:pPr>
    <w:rPr>
      <w:sz w:val="21"/>
    </w:rPr>
  </w:style>
  <w:style w:type="paragraph" w:customStyle="1" w:styleId="239">
    <w:name w:val="简单回函地址"/>
    <w:basedOn w:val="1"/>
    <w:qFormat/>
    <w:uiPriority w:val="0"/>
    <w:pPr>
      <w:adjustRightInd w:val="0"/>
      <w:snapToGrid w:val="0"/>
      <w:spacing w:line="360" w:lineRule="auto"/>
    </w:pPr>
  </w:style>
  <w:style w:type="paragraph" w:styleId="240">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41">
    <w:name w:val="页眉 字符"/>
    <w:link w:val="37"/>
    <w:qFormat/>
    <w:uiPriority w:val="0"/>
    <w:rPr>
      <w:kern w:val="2"/>
      <w:sz w:val="18"/>
    </w:rPr>
  </w:style>
  <w:style w:type="character" w:customStyle="1" w:styleId="242">
    <w:name w:val="font41"/>
    <w:basedOn w:val="61"/>
    <w:qFormat/>
    <w:uiPriority w:val="0"/>
    <w:rPr>
      <w:rFonts w:hint="eastAsia" w:ascii="宋体" w:hAnsi="宋体" w:eastAsia="宋体" w:cs="宋体"/>
      <w:color w:val="000000"/>
      <w:sz w:val="21"/>
      <w:szCs w:val="21"/>
      <w:u w:val="none"/>
    </w:rPr>
  </w:style>
  <w:style w:type="character" w:customStyle="1" w:styleId="243">
    <w:name w:val="font31"/>
    <w:basedOn w:val="61"/>
    <w:qFormat/>
    <w:uiPriority w:val="0"/>
    <w:rPr>
      <w:rFonts w:hint="default" w:ascii="Calibri" w:hAnsi="Calibri" w:cs="Calibri"/>
      <w:color w:val="000000"/>
      <w:sz w:val="21"/>
      <w:szCs w:val="21"/>
      <w:u w:val="none"/>
    </w:rPr>
  </w:style>
  <w:style w:type="paragraph" w:customStyle="1" w:styleId="244">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paragraph" w:customStyle="1" w:styleId="245">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46">
    <w:name w:val="HTML 预设格式 字符"/>
    <w:basedOn w:val="61"/>
    <w:link w:val="51"/>
    <w:qFormat/>
    <w:uiPriority w:val="0"/>
    <w:rPr>
      <w:rFonts w:ascii="Courier New" w:hAnsi="Courier New" w:cs="Courier New"/>
      <w:kern w:val="2"/>
    </w:rPr>
  </w:style>
  <w:style w:type="character" w:customStyle="1" w:styleId="247">
    <w:name w:val="_fadein_m1hgl_8"/>
    <w:basedOn w:val="61"/>
    <w:qFormat/>
    <w:uiPriority w:val="0"/>
  </w:style>
  <w:style w:type="paragraph" w:customStyle="1" w:styleId="248">
    <w:name w:val="标题 5（有编号）（绿盟科技）"/>
    <w:basedOn w:val="1"/>
    <w:next w:val="249"/>
    <w:qFormat/>
    <w:uiPriority w:val="0"/>
    <w:pPr>
      <w:keepNext/>
      <w:keepLines/>
      <w:numPr>
        <w:ilvl w:val="4"/>
        <w:numId w:val="3"/>
      </w:numPr>
      <w:spacing w:before="280" w:after="156" w:line="377" w:lineRule="auto"/>
      <w:outlineLvl w:val="4"/>
    </w:pPr>
    <w:rPr>
      <w:rFonts w:ascii="Arial" w:hAnsi="Arial" w:eastAsia="黑体"/>
      <w:b/>
      <w:szCs w:val="28"/>
    </w:rPr>
  </w:style>
  <w:style w:type="paragraph" w:customStyle="1" w:styleId="249">
    <w:name w:val="正文（绿盟科技）"/>
    <w:qFormat/>
    <w:uiPriority w:val="0"/>
    <w:pPr>
      <w:spacing w:line="300" w:lineRule="auto"/>
    </w:pPr>
    <w:rPr>
      <w:rFonts w:ascii="Arial" w:hAnsi="Arial"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EDF0-C07A-7143-9F42-C9ED15AE778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43</Pages>
  <Words>646</Words>
  <Characters>696</Characters>
  <Lines>929</Lines>
  <Paragraphs>947</Paragraphs>
  <TotalTime>8</TotalTime>
  <ScaleCrop>false</ScaleCrop>
  <LinksUpToDate>false</LinksUpToDate>
  <CharactersWithSpaces>861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2025-11-04T03:28:00Z</dcterms:created>
  <dc:creator>罗成</dc:creator>
  <cp:lastModifiedBy>lovem.</cp:lastModifiedBy>
  <cp:lastPrinted>2024-03-29T01:14:00Z</cp:lastPrinted>
  <dcterms:modified xsi:type="dcterms:W3CDTF">2026-05-07T02:14:57Z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68622B6FC11A4FD08E62C98846FA2E09_13</vt:lpwstr>
  </property>
  <property fmtid="{D5CDD505-2E9C-101B-9397-08002B2CF9AE}" pid="4" name="KSOTemplateDocerSaveRecord">
    <vt:lpwstr>eyJoZGlkIjoiYmU2NzM5NjgxM2RmZTEyNzJkMDg0MmY5ZGNlYTE5MWIiLCJ1c2VySWQiOiI2MzEzNDUwMDAifQ==</vt:lpwstr>
  </property>
</Properties>
</file>