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75F26">
      <w:pPr>
        <w:pStyle w:val="99"/>
        <w:tabs>
          <w:tab w:val="clear" w:pos="560"/>
        </w:tabs>
        <w:ind w:firstLine="627" w:firstLineChars="196"/>
        <w:jc w:val="left"/>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项目名称：</w:t>
      </w:r>
      <w:r>
        <w:rPr>
          <w:rFonts w:hint="eastAsia" w:ascii="宋体" w:hAnsi="宋体" w:eastAsia="宋体" w:cs="宋体"/>
          <w:b w:val="0"/>
          <w:bCs w:val="0"/>
          <w:color w:val="auto"/>
          <w:highlight w:val="none"/>
          <w:lang w:eastAsia="zh-CN"/>
        </w:rPr>
        <w:t>重庆健康职业学院第二食堂布局改造工程</w:t>
      </w:r>
    </w:p>
    <w:p w14:paraId="1F234EB3">
      <w:pPr>
        <w:pStyle w:val="94"/>
        <w:ind w:firstLine="560" w:firstLineChars="175"/>
        <w:jc w:val="left"/>
        <w:rPr>
          <w:rFonts w:hint="eastAsia" w:ascii="宋体" w:hAnsi="宋体" w:eastAsia="宋体" w:cs="宋体"/>
          <w:b w:val="0"/>
          <w:bCs w:val="0"/>
          <w:color w:val="auto"/>
          <w:highlight w:val="none"/>
        </w:rPr>
      </w:pPr>
    </w:p>
    <w:p w14:paraId="3040ED05">
      <w:pPr>
        <w:pStyle w:val="96"/>
        <w:jc w:val="both"/>
        <w:rPr>
          <w:rFonts w:hint="eastAsia" w:ascii="宋体" w:hAnsi="宋体" w:eastAsia="宋体" w:cs="宋体"/>
          <w:color w:val="auto"/>
          <w:highlight w:val="none"/>
        </w:rPr>
      </w:pPr>
    </w:p>
    <w:p w14:paraId="2680A629">
      <w:pPr>
        <w:pStyle w:val="96"/>
        <w:spacing w:line="900" w:lineRule="exact"/>
        <w:jc w:val="both"/>
        <w:rPr>
          <w:rFonts w:hint="eastAsia" w:ascii="宋体" w:hAnsi="宋体" w:eastAsia="宋体" w:cs="宋体"/>
          <w:color w:val="auto"/>
          <w:sz w:val="84"/>
          <w:szCs w:val="84"/>
          <w:highlight w:val="none"/>
        </w:rPr>
      </w:pPr>
    </w:p>
    <w:p w14:paraId="05BC4C96">
      <w:pPr>
        <w:pStyle w:val="10"/>
        <w:bidi w:val="0"/>
        <w:jc w:val="center"/>
        <w:rPr>
          <w:rFonts w:hint="eastAsia" w:ascii="宋体" w:hAnsi="宋体" w:eastAsia="宋体" w:cs="宋体"/>
          <w:color w:val="auto"/>
          <w:sz w:val="84"/>
          <w:szCs w:val="84"/>
          <w:highlight w:val="none"/>
        </w:rPr>
      </w:pPr>
      <w:bookmarkStart w:id="0" w:name="_Toc325115873"/>
      <w:bookmarkStart w:id="1" w:name="_Toc324777154"/>
      <w:r>
        <w:rPr>
          <w:rFonts w:hint="eastAsia" w:ascii="宋体" w:hAnsi="宋体" w:eastAsia="宋体" w:cs="宋体"/>
          <w:color w:val="auto"/>
          <w:sz w:val="84"/>
          <w:szCs w:val="84"/>
          <w:highlight w:val="none"/>
          <w:lang w:val="en-US" w:eastAsia="zh-CN"/>
        </w:rPr>
        <w:t>竞争性比选采购</w:t>
      </w:r>
      <w:r>
        <w:rPr>
          <w:rFonts w:hint="eastAsia" w:ascii="宋体" w:hAnsi="宋体" w:eastAsia="宋体" w:cs="宋体"/>
          <w:color w:val="auto"/>
          <w:sz w:val="84"/>
          <w:szCs w:val="84"/>
          <w:highlight w:val="none"/>
        </w:rPr>
        <w:t>文件</w:t>
      </w:r>
      <w:bookmarkEnd w:id="0"/>
      <w:bookmarkEnd w:id="1"/>
    </w:p>
    <w:p w14:paraId="0CA17D8B">
      <w:pPr>
        <w:pStyle w:val="97"/>
        <w:ind w:firstLine="31680"/>
        <w:rPr>
          <w:rFonts w:hint="eastAsia" w:ascii="宋体" w:hAnsi="宋体" w:eastAsia="宋体" w:cs="宋体"/>
          <w:color w:val="auto"/>
          <w:sz w:val="32"/>
          <w:szCs w:val="32"/>
          <w:highlight w:val="none"/>
        </w:rPr>
      </w:pPr>
      <w:r>
        <w:rPr>
          <w:rFonts w:hint="eastAsia" w:ascii="宋体" w:hAnsi="宋体" w:eastAsia="宋体" w:cs="宋体"/>
          <w:b w:val="0"/>
          <w:bCs w:val="0"/>
          <w:color w:val="auto"/>
          <w:sz w:val="48"/>
          <w:szCs w:val="48"/>
          <w:highlight w:val="none"/>
        </w:rPr>
        <w:t xml:space="preserve"> </w:t>
      </w:r>
    </w:p>
    <w:p w14:paraId="64F42806">
      <w:pPr>
        <w:tabs>
          <w:tab w:val="left" w:pos="895"/>
        </w:tabs>
        <w:ind w:firstLine="641"/>
        <w:jc w:val="center"/>
        <w:rPr>
          <w:rFonts w:hint="eastAsia" w:ascii="宋体" w:hAnsi="宋体" w:eastAsia="宋体" w:cs="宋体"/>
          <w:b/>
          <w:bCs/>
          <w:color w:val="auto"/>
          <w:sz w:val="32"/>
          <w:szCs w:val="32"/>
          <w:highlight w:val="none"/>
        </w:rPr>
      </w:pPr>
    </w:p>
    <w:p w14:paraId="66C2C2CF">
      <w:pPr>
        <w:ind w:firstLine="641"/>
        <w:jc w:val="center"/>
        <w:rPr>
          <w:rFonts w:hint="eastAsia" w:ascii="宋体" w:hAnsi="宋体" w:eastAsia="宋体" w:cs="宋体"/>
          <w:b/>
          <w:bCs/>
          <w:color w:val="auto"/>
          <w:sz w:val="32"/>
          <w:szCs w:val="32"/>
          <w:highlight w:val="none"/>
        </w:rPr>
      </w:pPr>
    </w:p>
    <w:p w14:paraId="07C1B7E5">
      <w:pPr>
        <w:pStyle w:val="97"/>
        <w:tabs>
          <w:tab w:val="clear" w:pos="560"/>
        </w:tabs>
        <w:ind w:firstLine="31680"/>
        <w:rPr>
          <w:rFonts w:hint="eastAsia" w:ascii="宋体" w:hAnsi="宋体" w:eastAsia="宋体" w:cs="宋体"/>
          <w:color w:val="auto"/>
          <w:highlight w:val="none"/>
        </w:rPr>
      </w:pPr>
    </w:p>
    <w:p w14:paraId="33FCB81B">
      <w:pPr>
        <w:pStyle w:val="98"/>
        <w:tabs>
          <w:tab w:val="clear" w:pos="560"/>
        </w:tabs>
        <w:jc w:val="left"/>
        <w:rPr>
          <w:rFonts w:hint="eastAsia" w:ascii="宋体" w:hAnsi="宋体" w:eastAsia="宋体" w:cs="宋体"/>
          <w:b w:val="0"/>
          <w:bCs w:val="0"/>
          <w:color w:val="auto"/>
          <w:highlight w:val="none"/>
        </w:rPr>
      </w:pPr>
      <w:bookmarkStart w:id="2" w:name="_Toc325115876"/>
      <w:bookmarkStart w:id="3" w:name="_Toc324777157"/>
    </w:p>
    <w:p w14:paraId="7105CABE">
      <w:pPr>
        <w:pStyle w:val="99"/>
        <w:tabs>
          <w:tab w:val="clear" w:pos="560"/>
        </w:tabs>
        <w:ind w:firstLine="627" w:firstLineChars="196"/>
        <w:jc w:val="left"/>
        <w:rPr>
          <w:rFonts w:hint="eastAsia" w:ascii="宋体" w:hAnsi="宋体" w:eastAsia="宋体" w:cs="宋体"/>
          <w:b w:val="0"/>
          <w:bCs w:val="0"/>
          <w:color w:val="auto"/>
          <w:highlight w:val="none"/>
        </w:rPr>
      </w:pPr>
    </w:p>
    <w:p w14:paraId="60085993">
      <w:pPr>
        <w:pStyle w:val="99"/>
        <w:tabs>
          <w:tab w:val="clear" w:pos="560"/>
        </w:tabs>
        <w:ind w:firstLine="627" w:firstLineChars="196"/>
        <w:jc w:val="left"/>
        <w:rPr>
          <w:rFonts w:hint="eastAsia" w:ascii="宋体" w:hAnsi="宋体" w:eastAsia="宋体" w:cs="宋体"/>
          <w:b w:val="0"/>
          <w:bCs w:val="0"/>
          <w:color w:val="auto"/>
          <w:highlight w:val="none"/>
        </w:rPr>
      </w:pPr>
    </w:p>
    <w:p w14:paraId="1C5F9873">
      <w:pPr>
        <w:pStyle w:val="99"/>
        <w:tabs>
          <w:tab w:val="clear" w:pos="560"/>
        </w:tabs>
        <w:ind w:firstLine="627" w:firstLineChars="196"/>
        <w:jc w:val="left"/>
        <w:rPr>
          <w:rFonts w:hint="eastAsia" w:ascii="宋体" w:hAnsi="宋体" w:eastAsia="宋体" w:cs="宋体"/>
          <w:b w:val="0"/>
          <w:bCs w:val="0"/>
          <w:color w:val="auto"/>
          <w:highlight w:val="none"/>
        </w:rPr>
      </w:pPr>
    </w:p>
    <w:p w14:paraId="5D90C1AF">
      <w:pPr>
        <w:pStyle w:val="99"/>
        <w:ind w:firstLine="627" w:firstLineChars="196"/>
        <w:jc w:val="left"/>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采   购   人：</w:t>
      </w:r>
      <w:bookmarkEnd w:id="2"/>
      <w:bookmarkEnd w:id="3"/>
      <w:bookmarkStart w:id="4" w:name="_Toc325115877"/>
      <w:bookmarkStart w:id="5" w:name="_Toc324777158"/>
      <w:r>
        <w:rPr>
          <w:rFonts w:hint="eastAsia" w:ascii="宋体" w:hAnsi="宋体" w:eastAsia="宋体" w:cs="宋体"/>
          <w:b w:val="0"/>
          <w:bCs w:val="0"/>
          <w:color w:val="auto"/>
          <w:highlight w:val="none"/>
          <w:lang w:eastAsia="zh-CN"/>
        </w:rPr>
        <w:t>重庆健康职业学院</w:t>
      </w:r>
      <w:r>
        <w:rPr>
          <w:rFonts w:hint="eastAsia" w:ascii="宋体" w:hAnsi="宋体" w:eastAsia="宋体" w:cs="宋体"/>
          <w:b w:val="0"/>
          <w:bCs w:val="0"/>
          <w:color w:val="auto"/>
          <w:highlight w:val="none"/>
        </w:rPr>
        <w:t xml:space="preserve"> </w:t>
      </w:r>
    </w:p>
    <w:p w14:paraId="482B1D67">
      <w:pPr>
        <w:pStyle w:val="99"/>
        <w:ind w:firstLine="627" w:firstLineChars="196"/>
        <w:jc w:val="left"/>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采购代理机构：</w:t>
      </w:r>
      <w:bookmarkEnd w:id="4"/>
      <w:bookmarkEnd w:id="5"/>
      <w:r>
        <w:rPr>
          <w:rFonts w:hint="eastAsia" w:ascii="宋体" w:hAnsi="宋体" w:eastAsia="宋体" w:cs="宋体"/>
          <w:b w:val="0"/>
          <w:bCs w:val="0"/>
          <w:color w:val="auto"/>
          <w:highlight w:val="none"/>
        </w:rPr>
        <w:t>重庆皓辰建设工程咨询有限公司</w:t>
      </w:r>
    </w:p>
    <w:p w14:paraId="37C496B4">
      <w:pPr>
        <w:pStyle w:val="99"/>
        <w:ind w:firstLine="627" w:firstLineChars="196"/>
        <w:jc w:val="left"/>
        <w:rPr>
          <w:rFonts w:hint="eastAsia" w:ascii="宋体" w:hAnsi="宋体" w:eastAsia="宋体" w:cs="宋体"/>
          <w:b w:val="0"/>
          <w:bCs w:val="0"/>
          <w:color w:val="auto"/>
          <w:sz w:val="36"/>
          <w:szCs w:val="36"/>
          <w:highlight w:val="none"/>
        </w:rPr>
      </w:pPr>
      <w:r>
        <w:rPr>
          <w:rFonts w:hint="eastAsia" w:ascii="宋体" w:hAnsi="宋体" w:eastAsia="宋体" w:cs="宋体"/>
          <w:b w:val="0"/>
          <w:bCs w:val="0"/>
          <w:color w:val="auto"/>
          <w:highlight w:val="none"/>
        </w:rPr>
        <w:t>编</w:t>
      </w:r>
      <w:r>
        <w:rPr>
          <w:rFonts w:hint="eastAsia" w:ascii="宋体" w:hAnsi="宋体" w:cs="宋体"/>
          <w:b w:val="0"/>
          <w:bCs w:val="0"/>
          <w:color w:val="auto"/>
          <w:highlight w:val="none"/>
          <w:lang w:val="en-US" w:eastAsia="zh-CN"/>
        </w:rPr>
        <w:t xml:space="preserve"> </w:t>
      </w:r>
      <w:r>
        <w:rPr>
          <w:rFonts w:hint="eastAsia" w:ascii="宋体" w:hAnsi="宋体" w:eastAsia="宋体" w:cs="宋体"/>
          <w:b w:val="0"/>
          <w:bCs w:val="0"/>
          <w:color w:val="auto"/>
          <w:highlight w:val="none"/>
        </w:rPr>
        <w:t>制</w:t>
      </w:r>
      <w:r>
        <w:rPr>
          <w:rFonts w:hint="eastAsia" w:ascii="宋体" w:hAnsi="宋体" w:cs="宋体"/>
          <w:b w:val="0"/>
          <w:bCs w:val="0"/>
          <w:color w:val="auto"/>
          <w:highlight w:val="none"/>
          <w:lang w:val="en-US" w:eastAsia="zh-CN"/>
        </w:rPr>
        <w:t xml:space="preserve"> </w:t>
      </w:r>
      <w:r>
        <w:rPr>
          <w:rFonts w:hint="eastAsia" w:ascii="宋体" w:hAnsi="宋体" w:eastAsia="宋体" w:cs="宋体"/>
          <w:b w:val="0"/>
          <w:bCs w:val="0"/>
          <w:color w:val="auto"/>
          <w:highlight w:val="none"/>
        </w:rPr>
        <w:t>时</w:t>
      </w:r>
      <w:r>
        <w:rPr>
          <w:rFonts w:hint="eastAsia" w:ascii="宋体" w:hAnsi="宋体" w:cs="宋体"/>
          <w:b w:val="0"/>
          <w:bCs w:val="0"/>
          <w:color w:val="auto"/>
          <w:highlight w:val="none"/>
          <w:lang w:val="en-US" w:eastAsia="zh-CN"/>
        </w:rPr>
        <w:t xml:space="preserve"> </w:t>
      </w:r>
      <w:r>
        <w:rPr>
          <w:rFonts w:hint="eastAsia" w:ascii="宋体" w:hAnsi="宋体" w:eastAsia="宋体" w:cs="宋体"/>
          <w:b w:val="0"/>
          <w:bCs w:val="0"/>
          <w:color w:val="auto"/>
          <w:highlight w:val="none"/>
        </w:rPr>
        <w:t>间：二〇二</w:t>
      </w:r>
      <w:r>
        <w:rPr>
          <w:rFonts w:hint="eastAsia" w:ascii="宋体" w:hAnsi="宋体" w:eastAsia="宋体" w:cs="宋体"/>
          <w:b w:val="0"/>
          <w:bCs w:val="0"/>
          <w:color w:val="auto"/>
          <w:highlight w:val="none"/>
          <w:lang w:val="en-US" w:eastAsia="zh-CN"/>
        </w:rPr>
        <w:t>五</w:t>
      </w:r>
      <w:r>
        <w:rPr>
          <w:rFonts w:hint="eastAsia" w:ascii="宋体" w:hAnsi="宋体" w:eastAsia="宋体" w:cs="宋体"/>
          <w:b w:val="0"/>
          <w:bCs w:val="0"/>
          <w:color w:val="auto"/>
          <w:highlight w:val="none"/>
        </w:rPr>
        <w:t>年</w:t>
      </w:r>
      <w:r>
        <w:rPr>
          <w:rFonts w:hint="eastAsia" w:ascii="宋体" w:hAnsi="宋体" w:cs="宋体"/>
          <w:b w:val="0"/>
          <w:bCs w:val="0"/>
          <w:color w:val="auto"/>
          <w:highlight w:val="none"/>
          <w:lang w:val="en-US" w:eastAsia="zh-CN"/>
        </w:rPr>
        <w:t>七</w:t>
      </w:r>
      <w:r>
        <w:rPr>
          <w:rFonts w:hint="eastAsia" w:ascii="宋体" w:hAnsi="宋体" w:eastAsia="宋体" w:cs="宋体"/>
          <w:b w:val="0"/>
          <w:bCs w:val="0"/>
          <w:color w:val="auto"/>
          <w:highlight w:val="none"/>
        </w:rPr>
        <w:t>月</w:t>
      </w:r>
    </w:p>
    <w:p w14:paraId="1B5567F4">
      <w:pPr>
        <w:snapToGrid w:val="0"/>
        <w:spacing w:line="500" w:lineRule="exact"/>
        <w:rPr>
          <w:rFonts w:hint="eastAsia" w:ascii="宋体" w:hAnsi="宋体" w:eastAsia="宋体" w:cs="宋体"/>
          <w:color w:val="auto"/>
          <w:sz w:val="44"/>
          <w:szCs w:val="44"/>
          <w:highlight w:val="none"/>
        </w:rPr>
      </w:pPr>
    </w:p>
    <w:p w14:paraId="5BAAF821">
      <w:pPr>
        <w:snapToGrid w:val="0"/>
        <w:spacing w:line="500" w:lineRule="exact"/>
        <w:rPr>
          <w:rFonts w:hint="eastAsia" w:ascii="宋体" w:hAnsi="宋体" w:eastAsia="宋体" w:cs="宋体"/>
          <w:color w:val="auto"/>
          <w:sz w:val="44"/>
          <w:szCs w:val="44"/>
          <w:highlight w:val="none"/>
        </w:rPr>
      </w:pPr>
    </w:p>
    <w:p w14:paraId="107454E4">
      <w:pPr>
        <w:spacing w:before="0" w:beforeLines="0" w:after="0" w:afterLines="0" w:line="240" w:lineRule="auto"/>
        <w:ind w:left="0" w:leftChars="0" w:right="0" w:rightChars="0" w:firstLine="0" w:firstLineChars="0"/>
        <w:jc w:val="center"/>
        <w:rPr>
          <w:rFonts w:hint="eastAsia" w:ascii="宋体" w:hAnsi="宋体" w:eastAsia="宋体" w:cs="宋体"/>
          <w:color w:val="auto"/>
          <w:sz w:val="21"/>
          <w:highlight w:val="none"/>
        </w:rPr>
        <w:sectPr>
          <w:headerReference r:id="rId5" w:type="first"/>
          <w:headerReference r:id="rId3" w:type="default"/>
          <w:headerReference r:id="rId4" w:type="even"/>
          <w:footerReference r:id="rId6" w:type="even"/>
          <w:pgSz w:w="11907" w:h="16840"/>
          <w:pgMar w:top="1134" w:right="1134" w:bottom="1134" w:left="1134" w:header="964" w:footer="992" w:gutter="0"/>
          <w:pgNumType w:start="1"/>
          <w:cols w:space="720" w:num="1"/>
          <w:titlePg/>
          <w:docGrid w:linePitch="312" w:charSpace="0"/>
        </w:sectPr>
      </w:pPr>
    </w:p>
    <w:p w14:paraId="438F9D7B">
      <w:pPr>
        <w:keepNext w:val="0"/>
        <w:keepLines w:val="0"/>
        <w:pageBreakBefore w:val="0"/>
        <w:widowControl/>
        <w:kinsoku/>
        <w:wordWrap/>
        <w:overflowPunct/>
        <w:topLinePunct w:val="0"/>
        <w:autoSpaceDE/>
        <w:autoSpaceDN/>
        <w:bidi w:val="0"/>
        <w:adjustRightInd/>
        <w:spacing w:before="0" w:beforeLines="0" w:after="0" w:afterLines="0" w:line="360" w:lineRule="auto"/>
        <w:ind w:left="0" w:leftChars="0" w:right="0" w:rightChars="0" w:firstLine="0" w:firstLineChars="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目录</w:t>
      </w:r>
    </w:p>
    <w:p w14:paraId="5226581F">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 w:val="44"/>
          <w:szCs w:val="44"/>
          <w:highlight w:val="none"/>
        </w:rPr>
        <w:fldChar w:fldCharType="begin"/>
      </w:r>
      <w:r>
        <w:rPr>
          <w:rFonts w:hint="eastAsia" w:ascii="宋体" w:hAnsi="宋体" w:eastAsia="宋体" w:cs="宋体"/>
          <w:color w:val="auto"/>
          <w:sz w:val="44"/>
          <w:szCs w:val="44"/>
          <w:highlight w:val="none"/>
        </w:rPr>
        <w:instrText xml:space="preserve">TOC \o "1-1" \h \u </w:instrText>
      </w:r>
      <w:r>
        <w:rPr>
          <w:rFonts w:hint="eastAsia" w:ascii="宋体" w:hAnsi="宋体" w:eastAsia="宋体" w:cs="宋体"/>
          <w:color w:val="auto"/>
          <w:sz w:val="44"/>
          <w:szCs w:val="44"/>
          <w:highlight w:val="none"/>
        </w:rPr>
        <w:fldChar w:fldCharType="separate"/>
      </w: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_Toc14758 </w:instrText>
      </w:r>
      <w:r>
        <w:rPr>
          <w:rFonts w:hint="eastAsia" w:ascii="宋体" w:hAnsi="宋体" w:eastAsia="宋体" w:cs="宋体"/>
          <w:color w:val="auto"/>
          <w:szCs w:val="44"/>
          <w:highlight w:val="none"/>
        </w:rPr>
        <w:fldChar w:fldCharType="separate"/>
      </w:r>
      <w:r>
        <w:rPr>
          <w:rFonts w:hint="eastAsia" w:ascii="宋体" w:hAnsi="宋体" w:eastAsia="宋体" w:cs="宋体"/>
          <w:color w:val="auto"/>
          <w:szCs w:val="36"/>
          <w:highlight w:val="none"/>
        </w:rPr>
        <w:t>第一篇  邀请书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_Toc14758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5038F0D3">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_Toc15137 </w:instrText>
      </w:r>
      <w:r>
        <w:rPr>
          <w:rFonts w:hint="eastAsia" w:ascii="宋体" w:hAnsi="宋体" w:eastAsia="宋体" w:cs="宋体"/>
          <w:color w:val="auto"/>
          <w:szCs w:val="44"/>
          <w:highlight w:val="none"/>
        </w:rPr>
        <w:fldChar w:fldCharType="separate"/>
      </w:r>
      <w:r>
        <w:rPr>
          <w:rFonts w:hint="eastAsia" w:ascii="宋体" w:hAnsi="宋体" w:eastAsia="宋体" w:cs="宋体"/>
          <w:bCs w:val="0"/>
          <w:color w:val="auto"/>
          <w:highlight w:val="none"/>
        </w:rPr>
        <w:t>第</w:t>
      </w:r>
      <w:r>
        <w:rPr>
          <w:rFonts w:hint="eastAsia" w:ascii="宋体" w:hAnsi="宋体" w:eastAsia="宋体" w:cs="宋体"/>
          <w:bCs w:val="0"/>
          <w:color w:val="auto"/>
          <w:highlight w:val="none"/>
          <w:lang w:val="en-US"/>
        </w:rPr>
        <w:t>二</w:t>
      </w:r>
      <w:r>
        <w:rPr>
          <w:rFonts w:hint="eastAsia" w:ascii="宋体" w:hAnsi="宋体" w:eastAsia="宋体" w:cs="宋体"/>
          <w:bCs w:val="0"/>
          <w:color w:val="auto"/>
          <w:highlight w:val="none"/>
        </w:rPr>
        <w:t xml:space="preserve">篇  </w:t>
      </w:r>
      <w:r>
        <w:rPr>
          <w:rFonts w:hint="eastAsia" w:ascii="宋体" w:hAnsi="宋体" w:eastAsia="宋体" w:cs="宋体"/>
          <w:bCs w:val="0"/>
          <w:color w:val="auto"/>
          <w:highlight w:val="none"/>
          <w:lang w:val="en-US"/>
        </w:rPr>
        <w:t>项目</w:t>
      </w:r>
      <w:r>
        <w:rPr>
          <w:rFonts w:hint="eastAsia" w:ascii="宋体" w:hAnsi="宋体" w:eastAsia="宋体" w:cs="宋体"/>
          <w:bCs w:val="0"/>
          <w:color w:val="auto"/>
          <w:highlight w:val="none"/>
        </w:rPr>
        <w:t>技术需求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_Toc15137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3FB7C86B">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_Toc1947 </w:instrText>
      </w:r>
      <w:r>
        <w:rPr>
          <w:rFonts w:hint="eastAsia" w:ascii="宋体" w:hAnsi="宋体" w:eastAsia="宋体" w:cs="宋体"/>
          <w:color w:val="auto"/>
          <w:szCs w:val="44"/>
          <w:highlight w:val="none"/>
        </w:rPr>
        <w:fldChar w:fldCharType="separate"/>
      </w:r>
      <w:r>
        <w:rPr>
          <w:rFonts w:hint="eastAsia" w:ascii="宋体" w:hAnsi="宋体" w:eastAsia="宋体" w:cs="宋体"/>
          <w:bCs w:val="0"/>
          <w:color w:val="auto"/>
          <w:highlight w:val="none"/>
        </w:rPr>
        <w:t>第</w:t>
      </w:r>
      <w:r>
        <w:rPr>
          <w:rFonts w:hint="eastAsia" w:ascii="宋体" w:hAnsi="宋体" w:eastAsia="宋体" w:cs="宋体"/>
          <w:bCs w:val="0"/>
          <w:color w:val="auto"/>
          <w:highlight w:val="none"/>
          <w:lang w:val="en-US"/>
        </w:rPr>
        <w:t>三</w:t>
      </w:r>
      <w:r>
        <w:rPr>
          <w:rFonts w:hint="eastAsia" w:ascii="宋体" w:hAnsi="宋体" w:eastAsia="宋体" w:cs="宋体"/>
          <w:bCs w:val="0"/>
          <w:color w:val="auto"/>
          <w:highlight w:val="none"/>
        </w:rPr>
        <w:t xml:space="preserve">篇  </w:t>
      </w:r>
      <w:r>
        <w:rPr>
          <w:rFonts w:hint="eastAsia" w:ascii="宋体" w:hAnsi="宋体" w:eastAsia="宋体" w:cs="宋体"/>
          <w:bCs w:val="0"/>
          <w:color w:val="auto"/>
          <w:highlight w:val="none"/>
          <w:lang w:val="en-US" w:eastAsia="zh-CN"/>
        </w:rPr>
        <w:t>项目商务需求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3AF0C511">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_Toc4320 </w:instrText>
      </w:r>
      <w:r>
        <w:rPr>
          <w:rFonts w:hint="eastAsia" w:ascii="宋体" w:hAnsi="宋体" w:eastAsia="宋体" w:cs="宋体"/>
          <w:color w:val="auto"/>
          <w:szCs w:val="44"/>
          <w:highlight w:val="none"/>
        </w:rPr>
        <w:fldChar w:fldCharType="separate"/>
      </w:r>
      <w:r>
        <w:rPr>
          <w:rFonts w:hint="eastAsia" w:ascii="宋体" w:hAnsi="宋体" w:eastAsia="宋体" w:cs="宋体"/>
          <w:bCs w:val="0"/>
          <w:color w:val="auto"/>
          <w:highlight w:val="none"/>
        </w:rPr>
        <w:t>第</w:t>
      </w:r>
      <w:r>
        <w:rPr>
          <w:rFonts w:hint="eastAsia" w:ascii="宋体" w:hAnsi="宋体" w:eastAsia="宋体" w:cs="宋体"/>
          <w:bCs w:val="0"/>
          <w:color w:val="auto"/>
          <w:highlight w:val="none"/>
          <w:lang w:val="en-US"/>
        </w:rPr>
        <w:t>四</w:t>
      </w:r>
      <w:r>
        <w:rPr>
          <w:rFonts w:hint="eastAsia" w:ascii="宋体" w:hAnsi="宋体" w:eastAsia="宋体" w:cs="宋体"/>
          <w:bCs w:val="0"/>
          <w:color w:val="auto"/>
          <w:highlight w:val="none"/>
        </w:rPr>
        <w:t>篇  供应商须知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_Toc4320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248D131F">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_Toc17574 </w:instrText>
      </w:r>
      <w:r>
        <w:rPr>
          <w:rFonts w:hint="eastAsia" w:ascii="宋体" w:hAnsi="宋体" w:eastAsia="宋体" w:cs="宋体"/>
          <w:color w:val="auto"/>
          <w:szCs w:val="44"/>
          <w:highlight w:val="none"/>
        </w:rPr>
        <w:fldChar w:fldCharType="separate"/>
      </w:r>
      <w:r>
        <w:rPr>
          <w:rFonts w:hint="eastAsia" w:ascii="宋体" w:hAnsi="宋体" w:eastAsia="宋体" w:cs="宋体"/>
          <w:bCs w:val="0"/>
          <w:color w:val="auto"/>
          <w:highlight w:val="none"/>
        </w:rPr>
        <w:t xml:space="preserve">第五篇  </w:t>
      </w:r>
      <w:r>
        <w:rPr>
          <w:rFonts w:hint="eastAsia" w:ascii="宋体" w:hAnsi="宋体" w:eastAsia="宋体" w:cs="宋体"/>
          <w:bCs w:val="0"/>
          <w:color w:val="auto"/>
          <w:highlight w:val="none"/>
          <w:lang w:val="en-US"/>
        </w:rPr>
        <w:t>采购合同</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_Toc17574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20</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6A0CC2EB">
      <w:pPr>
        <w:pStyle w:val="19"/>
        <w:keepNext w:val="0"/>
        <w:keepLines w:val="0"/>
        <w:pageBreakBefore w:val="0"/>
        <w:widowControl/>
        <w:tabs>
          <w:tab w:val="right" w:leader="dot" w:pos="9639"/>
          <w:tab w:val="clear" w:pos="8303"/>
        </w:tabs>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szCs w:val="44"/>
          <w:highlight w:val="none"/>
        </w:rPr>
        <w:fldChar w:fldCharType="begin"/>
      </w:r>
      <w:r>
        <w:rPr>
          <w:rFonts w:hint="eastAsia" w:ascii="宋体" w:hAnsi="宋体" w:eastAsia="宋体" w:cs="宋体"/>
          <w:color w:val="auto"/>
          <w:szCs w:val="44"/>
          <w:highlight w:val="none"/>
        </w:rPr>
        <w:instrText xml:space="preserve"> HYPERLINK \l _Toc10113 </w:instrText>
      </w:r>
      <w:r>
        <w:rPr>
          <w:rFonts w:hint="eastAsia" w:ascii="宋体" w:hAnsi="宋体" w:eastAsia="宋体" w:cs="宋体"/>
          <w:color w:val="auto"/>
          <w:szCs w:val="44"/>
          <w:highlight w:val="none"/>
        </w:rPr>
        <w:fldChar w:fldCharType="separate"/>
      </w:r>
      <w:r>
        <w:rPr>
          <w:rFonts w:hint="eastAsia" w:ascii="宋体" w:hAnsi="宋体" w:eastAsia="宋体" w:cs="宋体"/>
          <w:bCs w:val="0"/>
          <w:color w:val="auto"/>
          <w:highlight w:val="none"/>
        </w:rPr>
        <w:t>第六篇  响应文件格式要求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_Toc10113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21</w:t>
      </w:r>
      <w:r>
        <w:rPr>
          <w:rFonts w:hint="eastAsia" w:ascii="宋体" w:hAnsi="宋体" w:eastAsia="宋体" w:cs="宋体"/>
          <w:color w:val="auto"/>
          <w:highlight w:val="none"/>
        </w:rPr>
        <w:fldChar w:fldCharType="end"/>
      </w:r>
      <w:r>
        <w:rPr>
          <w:rFonts w:hint="eastAsia" w:ascii="宋体" w:hAnsi="宋体" w:eastAsia="宋体" w:cs="宋体"/>
          <w:color w:val="auto"/>
          <w:szCs w:val="44"/>
          <w:highlight w:val="none"/>
        </w:rPr>
        <w:fldChar w:fldCharType="end"/>
      </w:r>
    </w:p>
    <w:p w14:paraId="64E17477">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44"/>
          <w:szCs w:val="44"/>
          <w:highlight w:val="none"/>
        </w:rPr>
        <w:sectPr>
          <w:footerReference r:id="rId8" w:type="first"/>
          <w:footerReference r:id="rId7" w:type="default"/>
          <w:pgSz w:w="11907" w:h="16840"/>
          <w:pgMar w:top="1134" w:right="1134" w:bottom="1134" w:left="1134" w:header="964" w:footer="992" w:gutter="0"/>
          <w:pgNumType w:fmt="decimal" w:start="1"/>
          <w:cols w:space="720" w:num="1"/>
          <w:titlePg/>
          <w:docGrid w:linePitch="312" w:charSpace="0"/>
        </w:sectPr>
      </w:pPr>
      <w:r>
        <w:rPr>
          <w:rFonts w:hint="eastAsia" w:ascii="宋体" w:hAnsi="宋体" w:eastAsia="宋体" w:cs="宋体"/>
          <w:color w:val="auto"/>
          <w:szCs w:val="44"/>
          <w:highlight w:val="none"/>
        </w:rPr>
        <w:fldChar w:fldCharType="end"/>
      </w:r>
    </w:p>
    <w:p w14:paraId="4DE643B4">
      <w:pPr>
        <w:pStyle w:val="2"/>
        <w:jc w:val="center"/>
        <w:rPr>
          <w:rFonts w:hint="eastAsia" w:ascii="宋体" w:hAnsi="宋体" w:eastAsia="宋体" w:cs="宋体"/>
          <w:color w:val="auto"/>
          <w:sz w:val="36"/>
          <w:szCs w:val="36"/>
          <w:highlight w:val="none"/>
        </w:rPr>
      </w:pPr>
      <w:bookmarkStart w:id="6" w:name="_Toc14758"/>
      <w:bookmarkStart w:id="7" w:name="_Toc152480139"/>
      <w:bookmarkStart w:id="8" w:name="_Toc15249"/>
      <w:bookmarkStart w:id="9" w:name="_Toc12789052"/>
      <w:bookmarkStart w:id="10" w:name="_Toc128744981"/>
      <w:bookmarkStart w:id="11" w:name="_Toc11641050"/>
      <w:r>
        <w:rPr>
          <w:rFonts w:hint="eastAsia" w:ascii="宋体" w:hAnsi="宋体" w:eastAsia="宋体" w:cs="宋体"/>
          <w:color w:val="auto"/>
          <w:sz w:val="36"/>
          <w:szCs w:val="36"/>
          <w:highlight w:val="none"/>
        </w:rPr>
        <w:t>第一篇  邀请书</w:t>
      </w:r>
      <w:bookmarkEnd w:id="6"/>
      <w:bookmarkEnd w:id="7"/>
      <w:bookmarkEnd w:id="8"/>
    </w:p>
    <w:p w14:paraId="4D659338">
      <w:pPr>
        <w:keepNext w:val="0"/>
        <w:keepLines w:val="0"/>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rPr>
      </w:pPr>
      <w:bookmarkStart w:id="12" w:name="_Toc379619850"/>
      <w:r>
        <w:rPr>
          <w:rFonts w:hint="eastAsia" w:cs="宋体"/>
          <w:color w:val="auto"/>
          <w:sz w:val="24"/>
          <w:szCs w:val="24"/>
          <w:highlight w:val="none"/>
          <w:u w:val="single"/>
          <w:lang w:val="en-US" w:eastAsia="zh-CN"/>
        </w:rPr>
        <w:t>重庆皓辰建设工程咨询有限公司</w:t>
      </w:r>
      <w:r>
        <w:rPr>
          <w:rFonts w:hint="eastAsia" w:ascii="宋体" w:hAnsi="宋体" w:eastAsia="宋体" w:cs="宋体"/>
          <w:color w:val="auto"/>
          <w:sz w:val="24"/>
          <w:szCs w:val="24"/>
          <w:highlight w:val="none"/>
        </w:rPr>
        <w:t>（以下简称：</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）接受</w:t>
      </w:r>
      <w:r>
        <w:rPr>
          <w:rFonts w:hint="eastAsia" w:ascii="宋体" w:hAnsi="宋体" w:eastAsia="宋体" w:cs="宋体"/>
          <w:color w:val="auto"/>
          <w:sz w:val="24"/>
          <w:szCs w:val="24"/>
          <w:highlight w:val="none"/>
          <w:u w:val="single"/>
          <w:lang w:val="zh-CN" w:eastAsia="zh-CN"/>
        </w:rPr>
        <w:t>重庆健康职业学院</w:t>
      </w:r>
      <w:r>
        <w:rPr>
          <w:rFonts w:hint="eastAsia" w:ascii="宋体" w:hAnsi="宋体" w:eastAsia="宋体" w:cs="宋体"/>
          <w:color w:val="auto"/>
          <w:sz w:val="24"/>
          <w:szCs w:val="24"/>
          <w:highlight w:val="none"/>
        </w:rPr>
        <w:t>（以下简称：</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）的委托，对</w:t>
      </w:r>
      <w:r>
        <w:rPr>
          <w:rFonts w:hint="eastAsia" w:ascii="宋体" w:hAnsi="宋体" w:eastAsia="宋体" w:cs="宋体"/>
          <w:color w:val="auto"/>
          <w:sz w:val="24"/>
          <w:szCs w:val="24"/>
          <w:highlight w:val="none"/>
          <w:u w:val="single"/>
          <w:lang w:val="en-US" w:eastAsia="zh-CN"/>
        </w:rPr>
        <w:t>重庆健康职业学院第二食堂布局改造工程（项目名称）</w:t>
      </w:r>
      <w:r>
        <w:rPr>
          <w:rFonts w:hint="eastAsia" w:ascii="宋体" w:hAnsi="宋体" w:eastAsia="宋体" w:cs="宋体"/>
          <w:color w:val="auto"/>
          <w:sz w:val="24"/>
          <w:szCs w:val="24"/>
          <w:highlight w:val="none"/>
        </w:rPr>
        <w:t>进</w:t>
      </w:r>
      <w:r>
        <w:rPr>
          <w:rFonts w:hint="eastAsia" w:ascii="宋体" w:hAnsi="宋体" w:eastAsia="宋体" w:cs="宋体"/>
          <w:color w:val="auto"/>
          <w:sz w:val="24"/>
          <w:szCs w:val="24"/>
          <w:highlight w:val="none"/>
          <w:lang w:val="en-US" w:eastAsia="zh-CN"/>
        </w:rPr>
        <w:t>行竞争性比选采购</w:t>
      </w:r>
      <w:r>
        <w:rPr>
          <w:rFonts w:hint="eastAsia" w:ascii="宋体" w:hAnsi="宋体" w:eastAsia="宋体" w:cs="宋体"/>
          <w:color w:val="auto"/>
          <w:sz w:val="24"/>
          <w:szCs w:val="24"/>
          <w:highlight w:val="none"/>
        </w:rPr>
        <w:t>。欢迎有资格的供应商前来参与。</w:t>
      </w:r>
    </w:p>
    <w:p w14:paraId="694D84F7">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b/>
          <w:bCs/>
          <w:color w:val="auto"/>
          <w:sz w:val="24"/>
          <w:szCs w:val="24"/>
          <w:highlight w:val="none"/>
        </w:rPr>
      </w:pPr>
      <w:bookmarkStart w:id="13" w:name="_Toc16674"/>
      <w:r>
        <w:rPr>
          <w:rFonts w:hint="eastAsia" w:ascii="宋体" w:hAnsi="宋体" w:eastAsia="宋体" w:cs="宋体"/>
          <w:b/>
          <w:bCs/>
          <w:color w:val="auto"/>
          <w:sz w:val="24"/>
          <w:szCs w:val="24"/>
          <w:highlight w:val="none"/>
          <w:lang w:val="en-US"/>
        </w:rPr>
        <w:t>一、采购</w:t>
      </w:r>
      <w:r>
        <w:rPr>
          <w:rFonts w:hint="eastAsia" w:ascii="宋体" w:hAnsi="宋体" w:eastAsia="宋体" w:cs="宋体"/>
          <w:b/>
          <w:bCs/>
          <w:color w:val="auto"/>
          <w:sz w:val="24"/>
          <w:szCs w:val="24"/>
          <w:highlight w:val="none"/>
        </w:rPr>
        <w:t>项目内容</w:t>
      </w:r>
      <w:bookmarkEnd w:id="12"/>
      <w:bookmarkEnd w:id="13"/>
    </w:p>
    <w:tbl>
      <w:tblPr>
        <w:tblStyle w:val="28"/>
        <w:tblW w:w="9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8"/>
        <w:gridCol w:w="1799"/>
        <w:gridCol w:w="1483"/>
        <w:gridCol w:w="1184"/>
        <w:gridCol w:w="851"/>
      </w:tblGrid>
      <w:tr w14:paraId="1FFC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4268" w:type="dxa"/>
            <w:tcBorders>
              <w:top w:val="single" w:color="auto" w:sz="4" w:space="0"/>
              <w:left w:val="single" w:color="auto" w:sz="4" w:space="0"/>
              <w:bottom w:val="single" w:color="auto" w:sz="4" w:space="0"/>
              <w:right w:val="single" w:color="auto" w:sz="4" w:space="0"/>
            </w:tcBorders>
            <w:noWrap w:val="0"/>
            <w:vAlign w:val="center"/>
          </w:tcPr>
          <w:p w14:paraId="73B5C7A0">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799" w:type="dxa"/>
            <w:tcBorders>
              <w:top w:val="single" w:color="auto" w:sz="4" w:space="0"/>
              <w:left w:val="single" w:color="auto" w:sz="4" w:space="0"/>
              <w:bottom w:val="single" w:color="auto" w:sz="4" w:space="0"/>
              <w:right w:val="single" w:color="auto" w:sz="4" w:space="0"/>
            </w:tcBorders>
            <w:noWrap w:val="0"/>
            <w:vAlign w:val="center"/>
          </w:tcPr>
          <w:p w14:paraId="39C70D99">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最高限价</w:t>
            </w:r>
          </w:p>
          <w:p w14:paraId="3EEAE2E7">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1483" w:type="dxa"/>
            <w:tcBorders>
              <w:top w:val="single" w:color="auto" w:sz="4" w:space="0"/>
              <w:left w:val="single" w:color="auto" w:sz="4" w:space="0"/>
              <w:bottom w:val="single" w:color="auto" w:sz="4" w:space="0"/>
              <w:right w:val="single" w:color="auto" w:sz="4" w:space="0"/>
            </w:tcBorders>
            <w:noWrap w:val="0"/>
            <w:vAlign w:val="center"/>
          </w:tcPr>
          <w:p w14:paraId="390AC707">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投标保证金（万元）</w:t>
            </w:r>
          </w:p>
        </w:tc>
        <w:tc>
          <w:tcPr>
            <w:tcW w:w="1184" w:type="dxa"/>
            <w:tcBorders>
              <w:top w:val="single" w:color="auto" w:sz="4" w:space="0"/>
              <w:left w:val="single" w:color="auto" w:sz="4" w:space="0"/>
              <w:bottom w:val="single" w:color="auto" w:sz="4" w:space="0"/>
              <w:right w:val="single" w:color="auto" w:sz="4" w:space="0"/>
            </w:tcBorders>
            <w:noWrap w:val="0"/>
            <w:vAlign w:val="center"/>
          </w:tcPr>
          <w:p w14:paraId="1A763297">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成交数量（名）</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3BA690E5">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1112A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268" w:type="dxa"/>
            <w:tcBorders>
              <w:top w:val="single" w:color="auto" w:sz="4" w:space="0"/>
              <w:left w:val="single" w:color="auto" w:sz="4" w:space="0"/>
              <w:bottom w:val="single" w:color="auto" w:sz="4" w:space="0"/>
              <w:right w:val="single" w:color="auto" w:sz="4" w:space="0"/>
            </w:tcBorders>
            <w:noWrap w:val="0"/>
            <w:vAlign w:val="center"/>
          </w:tcPr>
          <w:p w14:paraId="57CBF8E7">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重庆健康职业学院第二食堂布局改造工程</w:t>
            </w:r>
          </w:p>
        </w:tc>
        <w:tc>
          <w:tcPr>
            <w:tcW w:w="1799" w:type="dxa"/>
            <w:tcBorders>
              <w:top w:val="single" w:color="auto" w:sz="4" w:space="0"/>
              <w:left w:val="single" w:color="auto" w:sz="4" w:space="0"/>
              <w:bottom w:val="single" w:color="auto" w:sz="4" w:space="0"/>
              <w:right w:val="single" w:color="auto" w:sz="4" w:space="0"/>
            </w:tcBorders>
            <w:noWrap w:val="0"/>
            <w:vAlign w:val="center"/>
          </w:tcPr>
          <w:p w14:paraId="2EDE14B1">
            <w:pPr>
              <w:keepNext w:val="0"/>
              <w:keepLines w:val="0"/>
              <w:pageBreakBefore w:val="0"/>
              <w:widowControl/>
              <w:kinsoku/>
              <w:wordWrap/>
              <w:overflowPunct/>
              <w:topLinePunct w:val="0"/>
              <w:autoSpaceDE/>
              <w:autoSpaceDN/>
              <w:bidi w:val="0"/>
              <w:spacing w:line="440" w:lineRule="exact"/>
              <w:jc w:val="center"/>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3682</w:t>
            </w:r>
            <w:r>
              <w:rPr>
                <w:rFonts w:hint="eastAsia" w:cs="宋体"/>
                <w:color w:val="auto"/>
                <w:sz w:val="24"/>
                <w:szCs w:val="24"/>
                <w:highlight w:val="none"/>
                <w:lang w:val="en-US" w:eastAsia="zh-CN"/>
              </w:rPr>
              <w:t>677.47</w:t>
            </w:r>
          </w:p>
        </w:tc>
        <w:tc>
          <w:tcPr>
            <w:tcW w:w="1483" w:type="dxa"/>
            <w:tcBorders>
              <w:top w:val="single" w:color="auto" w:sz="4" w:space="0"/>
              <w:left w:val="single" w:color="auto" w:sz="4" w:space="0"/>
              <w:bottom w:val="single" w:color="auto" w:sz="4" w:space="0"/>
              <w:right w:val="single" w:color="auto" w:sz="4" w:space="0"/>
            </w:tcBorders>
            <w:noWrap w:val="0"/>
            <w:vAlign w:val="center"/>
          </w:tcPr>
          <w:p w14:paraId="54FAE2D3">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w:t>
            </w:r>
          </w:p>
        </w:tc>
        <w:tc>
          <w:tcPr>
            <w:tcW w:w="1184" w:type="dxa"/>
            <w:tcBorders>
              <w:top w:val="single" w:color="auto" w:sz="4" w:space="0"/>
              <w:left w:val="single" w:color="auto" w:sz="4" w:space="0"/>
              <w:bottom w:val="single" w:color="auto" w:sz="4" w:space="0"/>
              <w:right w:val="single" w:color="auto" w:sz="4" w:space="0"/>
            </w:tcBorders>
            <w:noWrap w:val="0"/>
            <w:vAlign w:val="center"/>
          </w:tcPr>
          <w:p w14:paraId="660008B8">
            <w:pPr>
              <w:keepNext w:val="0"/>
              <w:keepLines w:val="0"/>
              <w:pageBreakBefore w:val="0"/>
              <w:widowControl/>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57ACAF2F">
            <w:pPr>
              <w:keepNext w:val="0"/>
              <w:keepLines w:val="0"/>
              <w:pageBreakBefore w:val="0"/>
              <w:widowControl/>
              <w:kinsoku/>
              <w:wordWrap/>
              <w:overflowPunct/>
              <w:topLinePunct w:val="0"/>
              <w:autoSpaceDE/>
              <w:autoSpaceDN/>
              <w:bidi w:val="0"/>
              <w:spacing w:line="440" w:lineRule="exact"/>
              <w:jc w:val="both"/>
              <w:textAlignment w:val="auto"/>
              <w:rPr>
                <w:rFonts w:hint="eastAsia" w:ascii="宋体" w:hAnsi="宋体" w:eastAsia="宋体" w:cs="宋体"/>
                <w:color w:val="auto"/>
                <w:sz w:val="24"/>
                <w:szCs w:val="24"/>
                <w:highlight w:val="none"/>
              </w:rPr>
            </w:pPr>
          </w:p>
        </w:tc>
      </w:tr>
      <w:bookmarkEnd w:id="9"/>
      <w:bookmarkEnd w:id="10"/>
      <w:bookmarkEnd w:id="11"/>
    </w:tbl>
    <w:p w14:paraId="49130446">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b/>
          <w:bCs/>
          <w:color w:val="auto"/>
          <w:sz w:val="24"/>
          <w:szCs w:val="24"/>
          <w:highlight w:val="none"/>
        </w:rPr>
      </w:pPr>
      <w:bookmarkStart w:id="14" w:name="_Toc6415"/>
      <w:bookmarkStart w:id="15" w:name="_Toc6453"/>
      <w:bookmarkStart w:id="16" w:name="_Toc487204778"/>
      <w:bookmarkStart w:id="17" w:name="_Toc2042"/>
      <w:bookmarkStart w:id="18" w:name="_Toc128744991"/>
      <w:r>
        <w:rPr>
          <w:rFonts w:hint="eastAsia" w:ascii="宋体" w:hAnsi="宋体" w:eastAsia="宋体" w:cs="宋体"/>
          <w:b/>
          <w:bCs/>
          <w:color w:val="auto"/>
          <w:sz w:val="24"/>
          <w:szCs w:val="24"/>
          <w:highlight w:val="none"/>
        </w:rPr>
        <w:t>二、资金来源</w:t>
      </w:r>
      <w:bookmarkEnd w:id="14"/>
    </w:p>
    <w:p w14:paraId="7120B0DA">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eastAsia="zh-CN"/>
        </w:rPr>
      </w:pPr>
      <w:bookmarkStart w:id="19" w:name="_Toc22126"/>
      <w:r>
        <w:rPr>
          <w:rFonts w:hint="eastAsia" w:ascii="宋体" w:hAnsi="宋体" w:eastAsia="宋体" w:cs="宋体"/>
          <w:color w:val="auto"/>
          <w:sz w:val="24"/>
          <w:szCs w:val="24"/>
          <w:highlight w:val="none"/>
          <w:lang w:eastAsia="zh-CN"/>
        </w:rPr>
        <w:t>预算内资金，预算金额为</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kern w:val="0"/>
          <w:sz w:val="24"/>
          <w:szCs w:val="24"/>
          <w:highlight w:val="none"/>
          <w:lang w:val="en-US" w:eastAsia="zh-CN" w:bidi="ar-SA"/>
        </w:rPr>
        <w:t>682677.47</w:t>
      </w:r>
      <w:r>
        <w:rPr>
          <w:rFonts w:hint="eastAsia" w:ascii="宋体" w:hAnsi="宋体" w:eastAsia="宋体" w:cs="宋体"/>
          <w:color w:val="auto"/>
          <w:sz w:val="24"/>
          <w:szCs w:val="24"/>
          <w:highlight w:val="none"/>
          <w:lang w:eastAsia="zh-CN"/>
        </w:rPr>
        <w:t>元。</w:t>
      </w:r>
    </w:p>
    <w:p w14:paraId="647C4FBD">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三、资格要求</w:t>
      </w:r>
      <w:bookmarkEnd w:id="19"/>
    </w:p>
    <w:p w14:paraId="5EBDDE76">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供应商是指向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提供货物、工程或者服务的法人、其他组织或者自然人。以下简称供应商。合格的供应商应符合下列条件：</w:t>
      </w:r>
    </w:p>
    <w:p w14:paraId="2F906C55">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bookmarkStart w:id="20" w:name="_Toc487204774"/>
      <w:bookmarkStart w:id="21" w:name="_Toc1359"/>
      <w:r>
        <w:rPr>
          <w:rFonts w:hint="eastAsia" w:ascii="宋体" w:hAnsi="宋体" w:eastAsia="宋体" w:cs="宋体"/>
          <w:color w:val="auto"/>
          <w:sz w:val="24"/>
          <w:szCs w:val="24"/>
          <w:highlight w:val="none"/>
        </w:rPr>
        <w:t>（一）基本条件</w:t>
      </w:r>
    </w:p>
    <w:p w14:paraId="5CFB9102">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4FB53B5B">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076C0AA">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F40BACA">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3FB98548">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0DDC94B9">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法律、行政法规规定的其他条件。</w:t>
      </w:r>
    </w:p>
    <w:p w14:paraId="0619EE63">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（二）特定资格条件</w:t>
      </w:r>
      <w:r>
        <w:rPr>
          <w:rFonts w:hint="eastAsia" w:ascii="宋体" w:hAnsi="宋体" w:eastAsia="宋体" w:cs="宋体"/>
          <w:color w:val="auto"/>
          <w:sz w:val="24"/>
          <w:szCs w:val="24"/>
          <w:highlight w:val="none"/>
          <w:lang w:val="en-US" w:eastAsia="zh-CN"/>
        </w:rPr>
        <w:t>:</w:t>
      </w:r>
    </w:p>
    <w:p w14:paraId="08703231">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1.供应商须具备建设主管部门颁发的有效的建筑工程施工总承包三级及以上资质或建筑装修装饰工程专业承包二级及以上资质。（提供证书复印件</w:t>
      </w:r>
      <w:r>
        <w:rPr>
          <w:rFonts w:hint="eastAsia" w:ascii="宋体" w:hAnsi="宋体" w:cs="宋体"/>
          <w:color w:val="auto"/>
          <w:sz w:val="24"/>
          <w:szCs w:val="24"/>
          <w:highlight w:val="none"/>
          <w:lang w:val="en-US" w:eastAsia="zh-CN"/>
        </w:rPr>
        <w:t>并</w:t>
      </w:r>
      <w:r>
        <w:rPr>
          <w:rFonts w:hint="eastAsia" w:ascii="宋体" w:hAnsi="宋体" w:eastAsia="宋体" w:cs="宋体"/>
          <w:color w:val="auto"/>
          <w:sz w:val="24"/>
          <w:szCs w:val="24"/>
          <w:highlight w:val="none"/>
        </w:rPr>
        <w:t>加盖供应商公章）；</w:t>
      </w:r>
    </w:p>
    <w:p w14:paraId="00C0758C">
      <w:pPr>
        <w:pStyle w:val="10"/>
        <w:keepNext w:val="0"/>
        <w:keepLines w:val="0"/>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2.具备建设行政主管部门颁发的有效的安全生产许可证（提供有效的安全生产许可证复印件并加盖供应商公章）。</w:t>
      </w:r>
    </w:p>
    <w:bookmarkEnd w:id="20"/>
    <w:bookmarkEnd w:id="21"/>
    <w:p w14:paraId="70413DBD">
      <w:pPr>
        <w:pStyle w:val="4"/>
        <w:pageBreakBefore w:val="0"/>
        <w:widowControl/>
        <w:kinsoku/>
        <w:wordWrap/>
        <w:overflowPunct/>
        <w:topLinePunct w:val="0"/>
        <w:autoSpaceDE/>
        <w:autoSpaceDN/>
        <w:bidi w:val="0"/>
        <w:spacing w:before="0" w:after="0" w:line="440" w:lineRule="exact"/>
        <w:textAlignment w:val="auto"/>
        <w:outlineLvl w:val="2"/>
        <w:rPr>
          <w:rFonts w:hint="eastAsia" w:ascii="宋体" w:hAnsi="宋体" w:eastAsia="宋体" w:cs="宋体"/>
          <w:color w:val="auto"/>
          <w:sz w:val="24"/>
          <w:szCs w:val="24"/>
          <w:highlight w:val="none"/>
        </w:rPr>
      </w:pPr>
      <w:bookmarkStart w:id="22" w:name="_Toc16769"/>
      <w:bookmarkStart w:id="23" w:name="_Toc19961"/>
      <w:bookmarkStart w:id="24" w:name="_Toc18880"/>
      <w:bookmarkStart w:id="25" w:name="_Toc6744"/>
      <w:r>
        <w:rPr>
          <w:rFonts w:hint="eastAsia" w:ascii="宋体" w:hAnsi="宋体" w:eastAsia="宋体" w:cs="宋体"/>
          <w:color w:val="auto"/>
          <w:sz w:val="24"/>
          <w:szCs w:val="24"/>
          <w:highlight w:val="none"/>
        </w:rPr>
        <w:t>四、</w:t>
      </w:r>
      <w:bookmarkEnd w:id="22"/>
      <w:r>
        <w:rPr>
          <w:rFonts w:hint="eastAsia" w:ascii="宋体" w:hAnsi="宋体" w:cs="宋体"/>
          <w:color w:val="auto"/>
          <w:sz w:val="24"/>
          <w:szCs w:val="24"/>
          <w:highlight w:val="none"/>
          <w:lang w:val="en-US" w:eastAsia="zh-CN"/>
        </w:rPr>
        <w:t>采购</w:t>
      </w:r>
      <w:r>
        <w:rPr>
          <w:rFonts w:hint="eastAsia" w:ascii="宋体" w:hAnsi="宋体" w:eastAsia="宋体" w:cs="宋体"/>
          <w:color w:val="auto"/>
          <w:sz w:val="24"/>
          <w:szCs w:val="24"/>
          <w:highlight w:val="none"/>
        </w:rPr>
        <w:t>有关说明</w:t>
      </w:r>
      <w:bookmarkEnd w:id="23"/>
      <w:bookmarkEnd w:id="24"/>
      <w:bookmarkEnd w:id="25"/>
    </w:p>
    <w:p w14:paraId="0CB15845">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（一）供应商应通过“行采家”平台（https://www.gec123.com）进行注册，成为行采家平台供应商。</w:t>
      </w:r>
    </w:p>
    <w:p w14:paraId="67F07738">
      <w:pPr>
        <w:keepNext w:val="0"/>
        <w:keepLines w:val="0"/>
        <w:pageBreakBefore w:val="0"/>
        <w:widowControl/>
        <w:kinsoku/>
        <w:wordWrap w:val="0"/>
        <w:overflowPunct/>
        <w:topLinePunct w:val="0"/>
        <w:autoSpaceDE/>
        <w:autoSpaceDN/>
        <w:bidi w:val="0"/>
        <w:adjustRightInd/>
        <w:snapToGrid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（二）</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获取：凡有意参加采购的供应商，请于公告在行采家（https://www.gec123.com）发布之日起，在行采家（https://www.gec123.com）下载本项目采购文件以及澄清等所有项目资料，无论供应商是否下载，均视为已知晓所有采购实质性要求内容。</w:t>
      </w:r>
    </w:p>
    <w:p w14:paraId="6365D16C">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rPr>
      </w:pPr>
      <w:bookmarkStart w:id="26" w:name="_Toc474603904"/>
      <w:r>
        <w:rPr>
          <w:rFonts w:hint="eastAsia" w:ascii="宋体" w:hAnsi="宋体" w:eastAsia="宋体" w:cs="宋体"/>
          <w:color w:val="auto"/>
          <w:sz w:val="24"/>
          <w:szCs w:val="24"/>
          <w:highlight w:val="none"/>
        </w:rPr>
        <w:t>（三）</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公告</w:t>
      </w:r>
      <w:r>
        <w:rPr>
          <w:rFonts w:hint="eastAsia" w:ascii="宋体" w:hAnsi="宋体" w:eastAsia="宋体" w:cs="宋体"/>
          <w:color w:val="auto"/>
          <w:sz w:val="24"/>
          <w:szCs w:val="24"/>
          <w:highlight w:val="none"/>
        </w:rPr>
        <w:t>期限</w:t>
      </w:r>
      <w:bookmarkEnd w:id="26"/>
      <w:r>
        <w:rPr>
          <w:rFonts w:hint="eastAsia" w:ascii="宋体" w:hAnsi="宋体" w:eastAsia="宋体" w:cs="宋体"/>
          <w:color w:val="auto"/>
          <w:sz w:val="24"/>
          <w:szCs w:val="24"/>
          <w:highlight w:val="none"/>
        </w:rPr>
        <w:t>：自</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公告发布之日起三个工作日。</w:t>
      </w:r>
    </w:p>
    <w:p w14:paraId="7483C52B">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（四）报名及采购文件发售</w:t>
      </w:r>
    </w:p>
    <w:p w14:paraId="2FF0B1FC">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1.报名和采购文件获取期限：2025年</w:t>
      </w:r>
      <w:r>
        <w:rPr>
          <w:rFonts w:hint="eastAsia"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月</w:t>
      </w:r>
      <w:r>
        <w:rPr>
          <w:rFonts w:hint="eastAsia" w:cs="宋体"/>
          <w:color w:val="auto"/>
          <w:sz w:val="24"/>
          <w:szCs w:val="24"/>
          <w:highlight w:val="none"/>
          <w:lang w:val="en-US" w:eastAsia="zh-CN"/>
        </w:rPr>
        <w:t>28</w:t>
      </w:r>
      <w:r>
        <w:rPr>
          <w:rFonts w:hint="eastAsia" w:ascii="宋体" w:hAnsi="宋体" w:eastAsia="宋体" w:cs="宋体"/>
          <w:color w:val="auto"/>
          <w:sz w:val="24"/>
          <w:szCs w:val="24"/>
          <w:highlight w:val="none"/>
          <w:lang w:val="en-US" w:eastAsia="zh-CN"/>
        </w:rPr>
        <w:t>日至2025年</w:t>
      </w:r>
      <w:r>
        <w:rPr>
          <w:rFonts w:hint="eastAsia"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月</w:t>
      </w:r>
      <w:r>
        <w:rPr>
          <w:rFonts w:hint="eastAsia" w:cs="宋体"/>
          <w:color w:val="auto"/>
          <w:sz w:val="24"/>
          <w:szCs w:val="24"/>
          <w:highlight w:val="none"/>
          <w:lang w:val="en-US" w:eastAsia="zh-CN"/>
        </w:rPr>
        <w:t>30</w:t>
      </w:r>
      <w:r>
        <w:rPr>
          <w:rFonts w:hint="eastAsia" w:ascii="宋体" w:hAnsi="宋体" w:eastAsia="宋体" w:cs="宋体"/>
          <w:color w:val="auto"/>
          <w:sz w:val="24"/>
          <w:szCs w:val="24"/>
          <w:highlight w:val="none"/>
          <w:lang w:val="en-US" w:eastAsia="zh-CN"/>
        </w:rPr>
        <w:t>日17：00 。</w:t>
      </w:r>
    </w:p>
    <w:p w14:paraId="5FE8205C">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2.报名费：人民币300元/份（售后不退），在递交响应文件时缴纳。</w:t>
      </w:r>
    </w:p>
    <w:p w14:paraId="6E0DF90C">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3.获取方式：</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"mailto:在比选文件提供期限内，竞选人将《报名表》（加盖竞选人公章）扫描后发送邮箱2020966821@qq.com（邮箱截止时间按邮箱显示邮件达到时间为准）。"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lang w:val="en-US" w:eastAsia="zh-CN"/>
        </w:rPr>
        <w:t>在</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文件获取期限内，供应商将《</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文件发售登记表》（加盖供应商公章）扫描后发送邮箱</w:t>
      </w:r>
      <w:r>
        <w:rPr>
          <w:rFonts w:hint="eastAsia" w:cs="宋体"/>
          <w:color w:val="auto"/>
          <w:sz w:val="24"/>
          <w:szCs w:val="24"/>
          <w:highlight w:val="none"/>
          <w:lang w:val="en-US" w:eastAsia="zh-CN"/>
        </w:rPr>
        <w:t>903340245</w:t>
      </w:r>
      <w:r>
        <w:rPr>
          <w:rFonts w:hint="eastAsia" w:ascii="宋体" w:hAnsi="宋体" w:eastAsia="宋体" w:cs="宋体"/>
          <w:color w:val="auto"/>
          <w:sz w:val="24"/>
          <w:szCs w:val="24"/>
          <w:highlight w:val="none"/>
          <w:lang w:val="en-US" w:eastAsia="zh-CN"/>
        </w:rPr>
        <w:t>@qq.com（邮箱截止时间按邮箱显示邮件到达时间为准）。</w:t>
      </w:r>
      <w:r>
        <w:rPr>
          <w:rFonts w:hint="eastAsia" w:ascii="宋体" w:hAnsi="宋体" w:eastAsia="宋体" w:cs="宋体"/>
          <w:color w:val="auto"/>
          <w:sz w:val="24"/>
          <w:szCs w:val="24"/>
          <w:highlight w:val="none"/>
          <w:lang w:val="en-US" w:eastAsia="zh-CN"/>
        </w:rPr>
        <w:fldChar w:fldCharType="end"/>
      </w:r>
    </w:p>
    <w:p w14:paraId="0FBB8895">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4.在</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文件获取期限内回传《</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文件发售登记表》的供应商，其响应文件才能被接收。</w:t>
      </w:r>
    </w:p>
    <w:p w14:paraId="553F1BC3">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eastAsia="zh-CN"/>
        </w:rPr>
      </w:pPr>
      <w:bookmarkStart w:id="27" w:name="_Toc14538"/>
      <w:bookmarkStart w:id="28" w:name="_Toc12731"/>
      <w:bookmarkStart w:id="29" w:name="_Toc140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）递交响应文件地点：重庆市大足区棠香街道五星大道石都商贸大厦三楼</w:t>
      </w:r>
      <w:r>
        <w:rPr>
          <w:rFonts w:hint="eastAsia" w:ascii="宋体" w:hAnsi="宋体" w:eastAsia="宋体" w:cs="宋体"/>
          <w:color w:val="auto"/>
          <w:sz w:val="24"/>
          <w:szCs w:val="24"/>
          <w:highlight w:val="none"/>
          <w:lang w:eastAsia="zh-CN"/>
        </w:rPr>
        <w:t xml:space="preserve"> </w:t>
      </w:r>
    </w:p>
    <w:p w14:paraId="17F80860">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线下</w:t>
      </w:r>
      <w:r>
        <w:rPr>
          <w:rFonts w:hint="eastAsia" w:ascii="宋体" w:hAnsi="宋体" w:eastAsia="宋体" w:cs="宋体"/>
          <w:color w:val="auto"/>
          <w:sz w:val="24"/>
          <w:szCs w:val="24"/>
          <w:highlight w:val="none"/>
        </w:rPr>
        <w:t>响应文件递交起止时间：202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cs="宋体"/>
          <w:color w:val="auto"/>
          <w:sz w:val="24"/>
          <w:szCs w:val="24"/>
          <w:highlight w:val="none"/>
          <w:lang w:val="en-US" w:eastAsia="zh-CN"/>
        </w:rPr>
        <w:t>14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0时至</w:t>
      </w: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0时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北京时间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注：供应商须在</w:t>
      </w:r>
      <w:r>
        <w:rPr>
          <w:rFonts w:hint="eastAsia" w:ascii="宋体" w:hAnsi="宋体" w:eastAsia="宋体" w:cs="宋体"/>
          <w:color w:val="auto"/>
          <w:sz w:val="24"/>
          <w:szCs w:val="24"/>
          <w:highlight w:val="none"/>
        </w:rPr>
        <w:t>“行采家”平台（https://www.gec123.com）</w:t>
      </w:r>
      <w:r>
        <w:rPr>
          <w:rFonts w:hint="eastAsia" w:ascii="宋体" w:hAnsi="宋体" w:eastAsia="宋体" w:cs="宋体"/>
          <w:color w:val="auto"/>
          <w:sz w:val="24"/>
          <w:szCs w:val="24"/>
          <w:highlight w:val="none"/>
          <w:lang w:val="en-US" w:eastAsia="zh-CN"/>
        </w:rPr>
        <w:t>规定时间内线上报价并上传盖章后的响应文件电子文档1份）</w:t>
      </w:r>
    </w:p>
    <w:p w14:paraId="4DB04AC9">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七）响应文件递交截止时间：2025年</w:t>
      </w:r>
      <w:r>
        <w:rPr>
          <w:rFonts w:hint="eastAsia"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月</w:t>
      </w:r>
      <w:r>
        <w:rPr>
          <w:rFonts w:hint="eastAsia" w:cs="宋体"/>
          <w:color w:val="auto"/>
          <w:sz w:val="24"/>
          <w:szCs w:val="24"/>
          <w:highlight w:val="none"/>
          <w:lang w:val="en-US" w:eastAsia="zh-CN"/>
        </w:rPr>
        <w:t>31</w:t>
      </w:r>
      <w:r>
        <w:rPr>
          <w:rFonts w:hint="eastAsia" w:ascii="宋体" w:hAnsi="宋体" w:eastAsia="宋体" w:cs="宋体"/>
          <w:color w:val="auto"/>
          <w:sz w:val="24"/>
          <w:szCs w:val="24"/>
          <w:highlight w:val="none"/>
          <w:lang w:val="en-US" w:eastAsia="zh-CN"/>
        </w:rPr>
        <w:t>日1</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:00时（北京时间）。</w:t>
      </w:r>
    </w:p>
    <w:p w14:paraId="62FFF861">
      <w:pPr>
        <w:pageBreakBefore w:val="0"/>
        <w:widowControl/>
        <w:kinsoku/>
        <w:wordWrap/>
        <w:overflowPunct/>
        <w:topLinePunct w:val="0"/>
        <w:autoSpaceDE/>
        <w:autoSpaceDN/>
        <w:bidi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（八）开标地点：同递交响应文件地点。</w:t>
      </w:r>
    </w:p>
    <w:p w14:paraId="2B253B94">
      <w:pPr>
        <w:pStyle w:val="4"/>
        <w:pageBreakBefore w:val="0"/>
        <w:widowControl/>
        <w:kinsoku/>
        <w:wordWrap/>
        <w:overflowPunct/>
        <w:topLinePunct w:val="0"/>
        <w:autoSpaceDE/>
        <w:autoSpaceDN/>
        <w:bidi w:val="0"/>
        <w:spacing w:before="0" w:after="0" w:line="440" w:lineRule="exact"/>
        <w:textAlignment w:val="auto"/>
        <w:outlineLvl w:val="2"/>
        <w:rPr>
          <w:rFonts w:hint="eastAsia" w:ascii="宋体" w:hAnsi="宋体" w:eastAsia="宋体" w:cs="宋体"/>
          <w:b/>
          <w:color w:val="auto"/>
          <w:sz w:val="24"/>
          <w:szCs w:val="24"/>
          <w:highlight w:val="none"/>
          <w:lang w:val="en-US" w:eastAsia="zh-CN"/>
        </w:rPr>
      </w:pPr>
      <w:bookmarkStart w:id="30" w:name="_Toc1034"/>
      <w:r>
        <w:rPr>
          <w:rFonts w:hint="eastAsia" w:ascii="宋体" w:hAnsi="宋体" w:eastAsia="宋体" w:cs="宋体"/>
          <w:b/>
          <w:color w:val="auto"/>
          <w:sz w:val="24"/>
          <w:szCs w:val="24"/>
          <w:highlight w:val="none"/>
          <w:lang w:val="en-US" w:eastAsia="zh-CN"/>
        </w:rPr>
        <w:t>五、</w:t>
      </w:r>
      <w:bookmarkEnd w:id="27"/>
      <w:bookmarkEnd w:id="28"/>
      <w:bookmarkEnd w:id="29"/>
      <w:bookmarkStart w:id="31" w:name="_Toc20608"/>
      <w:bookmarkStart w:id="32" w:name="_Toc10302"/>
      <w:bookmarkStart w:id="33" w:name="_Toc148"/>
      <w:r>
        <w:rPr>
          <w:rFonts w:hint="eastAsia" w:ascii="宋体" w:hAnsi="宋体" w:eastAsia="宋体" w:cs="宋体"/>
          <w:b/>
          <w:color w:val="auto"/>
          <w:sz w:val="24"/>
          <w:szCs w:val="24"/>
          <w:highlight w:val="none"/>
          <w:lang w:val="en-US" w:eastAsia="zh-CN"/>
        </w:rPr>
        <w:t>保证金</w:t>
      </w:r>
      <w:bookmarkEnd w:id="30"/>
      <w:bookmarkEnd w:id="31"/>
      <w:bookmarkEnd w:id="32"/>
      <w:bookmarkEnd w:id="33"/>
    </w:p>
    <w:p w14:paraId="00E8B08D">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无。</w:t>
      </w:r>
    </w:p>
    <w:p w14:paraId="02913D75">
      <w:pPr>
        <w:pStyle w:val="4"/>
        <w:pageBreakBefore w:val="0"/>
        <w:widowControl/>
        <w:kinsoku/>
        <w:wordWrap/>
        <w:overflowPunct/>
        <w:topLinePunct w:val="0"/>
        <w:autoSpaceDE/>
        <w:autoSpaceDN/>
        <w:bidi w:val="0"/>
        <w:spacing w:before="0" w:after="0" w:line="440" w:lineRule="exact"/>
        <w:textAlignment w:val="auto"/>
        <w:outlineLvl w:val="2"/>
        <w:rPr>
          <w:rFonts w:hint="eastAsia" w:ascii="宋体" w:hAnsi="宋体" w:eastAsia="宋体" w:cs="宋体"/>
          <w:color w:val="auto"/>
          <w:sz w:val="24"/>
          <w:szCs w:val="24"/>
          <w:highlight w:val="none"/>
        </w:rPr>
      </w:pPr>
      <w:bookmarkStart w:id="34" w:name="_Toc32668"/>
      <w:bookmarkStart w:id="35" w:name="_Toc7539"/>
      <w:bookmarkStart w:id="36" w:name="_Toc107928086"/>
      <w:bookmarkStart w:id="37" w:name="_Toc6473"/>
      <w:bookmarkStart w:id="38" w:name="_Toc7444"/>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、其他有关规定</w:t>
      </w:r>
      <w:bookmarkEnd w:id="34"/>
      <w:bookmarkEnd w:id="35"/>
      <w:bookmarkEnd w:id="36"/>
      <w:bookmarkEnd w:id="37"/>
      <w:bookmarkEnd w:id="38"/>
    </w:p>
    <w:p w14:paraId="1154B39D">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（一）单位负责人为同一人或者存在直接控股、管理关系的不同</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，不得参加同一合同项下的政府采购活动，否则均为无效</w:t>
      </w:r>
      <w:r>
        <w:rPr>
          <w:rFonts w:hint="eastAsia" w:ascii="宋体" w:hAnsi="宋体" w:eastAsia="宋体" w:cs="宋体"/>
          <w:color w:val="auto"/>
          <w:highlight w:val="none"/>
        </w:rPr>
        <w:t>响应</w:t>
      </w:r>
      <w:r>
        <w:rPr>
          <w:rFonts w:hint="eastAsia" w:ascii="宋体" w:hAnsi="宋体" w:eastAsia="宋体" w:cs="宋体"/>
          <w:color w:val="auto"/>
          <w:sz w:val="24"/>
          <w:szCs w:val="24"/>
          <w:highlight w:val="none"/>
        </w:rPr>
        <w:t>。</w:t>
      </w:r>
    </w:p>
    <w:p w14:paraId="368879C3">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（二）为采购项目提供整体设计、规范编制或者项目管理、监理、检测等服务的</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，不得再参加该采购项目的其他采购活动，否则均为无效</w:t>
      </w:r>
      <w:r>
        <w:rPr>
          <w:rFonts w:hint="eastAsia" w:ascii="宋体" w:hAnsi="宋体" w:eastAsia="宋体" w:cs="宋体"/>
          <w:color w:val="auto"/>
          <w:highlight w:val="none"/>
        </w:rPr>
        <w:t>响应</w:t>
      </w:r>
      <w:r>
        <w:rPr>
          <w:rFonts w:hint="eastAsia" w:ascii="宋体" w:hAnsi="宋体" w:eastAsia="宋体" w:cs="宋体"/>
          <w:color w:val="auto"/>
          <w:sz w:val="24"/>
          <w:szCs w:val="24"/>
          <w:highlight w:val="none"/>
        </w:rPr>
        <w:t>。</w:t>
      </w:r>
    </w:p>
    <w:p w14:paraId="5F75C300">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本项目的澄清文件（如果有）一律在“行采家”网上发布，请各供应商注意下载；无论供应商下载与否，均视同供应商已知晓本项目澄清文件（如果有）的内容。</w:t>
      </w:r>
    </w:p>
    <w:p w14:paraId="33E087B7">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rPr>
      </w:pPr>
      <w:bookmarkStart w:id="39" w:name="_Toc11493"/>
      <w:bookmarkStart w:id="40" w:name="_Toc19733"/>
      <w:r>
        <w:rPr>
          <w:rFonts w:hint="eastAsia" w:ascii="宋体" w:hAnsi="宋体" w:eastAsia="宋体" w:cs="宋体"/>
          <w:color w:val="auto"/>
          <w:sz w:val="24"/>
          <w:szCs w:val="24"/>
          <w:highlight w:val="none"/>
        </w:rPr>
        <w:t>（</w:t>
      </w:r>
      <w:r>
        <w:rPr>
          <w:rFonts w:hint="eastAsia" w:cs="宋体"/>
          <w:color w:val="auto"/>
          <w:sz w:val="24"/>
          <w:szCs w:val="24"/>
          <w:highlight w:val="none"/>
          <w:lang w:val="en-US" w:eastAsia="zh-CN"/>
        </w:rPr>
        <w:t>四</w:t>
      </w:r>
      <w:r>
        <w:rPr>
          <w:rFonts w:hint="eastAsia" w:ascii="宋体" w:hAnsi="宋体" w:eastAsia="宋体" w:cs="宋体"/>
          <w:color w:val="auto"/>
          <w:sz w:val="24"/>
          <w:szCs w:val="24"/>
          <w:highlight w:val="none"/>
        </w:rPr>
        <w:t>）超过响应文件截止时间递交的响应文件，恕不接收。</w:t>
      </w:r>
      <w:bookmarkEnd w:id="39"/>
      <w:bookmarkEnd w:id="40"/>
    </w:p>
    <w:p w14:paraId="1B53F226">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cs="宋体"/>
          <w:color w:val="auto"/>
          <w:sz w:val="24"/>
          <w:szCs w:val="24"/>
          <w:highlight w:val="none"/>
          <w:lang w:val="en-US" w:eastAsia="zh-CN"/>
        </w:rPr>
        <w:t>五</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采购</w:t>
      </w:r>
      <w:r>
        <w:rPr>
          <w:rFonts w:hint="eastAsia" w:ascii="宋体" w:hAnsi="宋体" w:eastAsia="宋体" w:cs="宋体"/>
          <w:color w:val="auto"/>
          <w:sz w:val="24"/>
          <w:szCs w:val="24"/>
          <w:highlight w:val="none"/>
        </w:rPr>
        <w:t>费用：无论</w:t>
      </w:r>
      <w:r>
        <w:rPr>
          <w:rFonts w:hint="eastAsia" w:ascii="宋体" w:hAnsi="宋体" w:eastAsia="宋体" w:cs="宋体"/>
          <w:color w:val="auto"/>
          <w:highlight w:val="none"/>
        </w:rPr>
        <w:t>采购</w:t>
      </w:r>
      <w:r>
        <w:rPr>
          <w:rFonts w:hint="eastAsia" w:ascii="宋体" w:hAnsi="宋体" w:eastAsia="宋体" w:cs="宋体"/>
          <w:color w:val="auto"/>
          <w:sz w:val="24"/>
          <w:szCs w:val="24"/>
          <w:highlight w:val="none"/>
        </w:rPr>
        <w:t>结果如何，</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参与本项目</w:t>
      </w:r>
      <w:r>
        <w:rPr>
          <w:rFonts w:hint="eastAsia" w:ascii="宋体" w:hAnsi="宋体" w:eastAsia="宋体" w:cs="宋体"/>
          <w:color w:val="auto"/>
          <w:highlight w:val="none"/>
        </w:rPr>
        <w:t>采购</w:t>
      </w:r>
      <w:r>
        <w:rPr>
          <w:rFonts w:hint="eastAsia" w:ascii="宋体" w:hAnsi="宋体" w:eastAsia="宋体" w:cs="宋体"/>
          <w:color w:val="auto"/>
          <w:sz w:val="24"/>
          <w:szCs w:val="24"/>
          <w:highlight w:val="none"/>
        </w:rPr>
        <w:t>的所有费用均应由</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自行承担。</w:t>
      </w:r>
    </w:p>
    <w:p w14:paraId="6E4DF83C">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）本项目不接受联合体参与</w:t>
      </w:r>
      <w:r>
        <w:rPr>
          <w:rFonts w:hint="eastAsia" w:ascii="宋体" w:hAnsi="宋体" w:eastAsia="宋体" w:cs="宋体"/>
          <w:b/>
          <w:color w:val="auto"/>
          <w:highlight w:val="none"/>
        </w:rPr>
        <w:t>采购</w:t>
      </w:r>
      <w:r>
        <w:rPr>
          <w:rFonts w:hint="eastAsia" w:ascii="宋体" w:hAnsi="宋体" w:eastAsia="宋体" w:cs="宋体"/>
          <w:b/>
          <w:bCs/>
          <w:color w:val="auto"/>
          <w:sz w:val="24"/>
          <w:szCs w:val="24"/>
          <w:highlight w:val="none"/>
          <w:lang w:eastAsia="zh-CN"/>
        </w:rPr>
        <w:t>，否则按无效投标处理</w:t>
      </w:r>
      <w:r>
        <w:rPr>
          <w:rFonts w:hint="eastAsia" w:ascii="宋体" w:hAnsi="宋体" w:eastAsia="宋体" w:cs="宋体"/>
          <w:b/>
          <w:bCs/>
          <w:color w:val="auto"/>
          <w:sz w:val="24"/>
          <w:szCs w:val="24"/>
          <w:highlight w:val="none"/>
        </w:rPr>
        <w:t>。</w:t>
      </w:r>
    </w:p>
    <w:p w14:paraId="7278F5A1">
      <w:pPr>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）本项目</w:t>
      </w:r>
      <w:r>
        <w:rPr>
          <w:rFonts w:hint="eastAsia" w:ascii="宋体" w:hAnsi="宋体" w:eastAsia="宋体" w:cs="宋体"/>
          <w:b/>
          <w:bCs/>
          <w:color w:val="auto"/>
          <w:sz w:val="24"/>
          <w:szCs w:val="24"/>
          <w:highlight w:val="none"/>
          <w:lang w:val="en-US" w:eastAsia="zh-CN"/>
        </w:rPr>
        <w:t>不</w:t>
      </w:r>
      <w:r>
        <w:rPr>
          <w:rFonts w:hint="eastAsia" w:ascii="宋体" w:hAnsi="宋体" w:eastAsia="宋体" w:cs="宋体"/>
          <w:b/>
          <w:bCs/>
          <w:color w:val="auto"/>
          <w:sz w:val="24"/>
          <w:szCs w:val="24"/>
          <w:highlight w:val="none"/>
        </w:rPr>
        <w:t>接受合同分包。</w:t>
      </w:r>
    </w:p>
    <w:p w14:paraId="420A0B18">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cs="宋体"/>
          <w:color w:val="auto"/>
          <w:sz w:val="24"/>
          <w:szCs w:val="24"/>
          <w:highlight w:val="none"/>
          <w:lang w:val="en-US" w:eastAsia="zh-CN"/>
        </w:rPr>
        <w:t>八</w:t>
      </w:r>
      <w:r>
        <w:rPr>
          <w:rFonts w:hint="eastAsia" w:ascii="宋体" w:hAnsi="宋体" w:eastAsia="宋体" w:cs="宋体"/>
          <w:color w:val="auto"/>
          <w:sz w:val="24"/>
          <w:szCs w:val="24"/>
          <w:highlight w:val="none"/>
        </w:rPr>
        <w:t>）按照《财政部关于在政府采购活动中查询及使用信用记录有关问题的通知》财库〔2016〕125号，</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列入失信被执行人、重大税收违法案件当事人名单、政府采购严重违法失信行为记录名单及其他不符合《中华人民共和国政府采购法》第二十二条规定条件的</w:t>
      </w:r>
      <w:r>
        <w:rPr>
          <w:rFonts w:hint="eastAsia" w:ascii="宋体" w:hAnsi="宋体" w:eastAsia="宋体" w:cs="宋体"/>
          <w:color w:val="auto"/>
          <w:highlight w:val="none"/>
        </w:rPr>
        <w:t>供应商</w:t>
      </w:r>
      <w:r>
        <w:rPr>
          <w:rFonts w:hint="eastAsia" w:ascii="宋体" w:hAnsi="宋体" w:eastAsia="宋体" w:cs="宋体"/>
          <w:color w:val="auto"/>
          <w:sz w:val="24"/>
          <w:szCs w:val="24"/>
          <w:highlight w:val="none"/>
        </w:rPr>
        <w:t>，将拒绝其参与政府采购活动。</w:t>
      </w:r>
    </w:p>
    <w:p w14:paraId="0F5A3212">
      <w:pPr>
        <w:pageBreakBefore w:val="0"/>
        <w:widowControl/>
        <w:kinsoku/>
        <w:wordWrap/>
        <w:overflowPunct/>
        <w:topLinePunct w:val="0"/>
        <w:autoSpaceDE/>
        <w:autoSpaceDN/>
        <w:bidi w:val="0"/>
        <w:spacing w:line="440" w:lineRule="exact"/>
        <w:textAlignment w:val="auto"/>
        <w:outlineLvl w:val="2"/>
        <w:rPr>
          <w:rFonts w:hint="eastAsia" w:ascii="宋体" w:hAnsi="宋体" w:eastAsia="宋体" w:cs="宋体"/>
          <w:b/>
          <w:color w:val="auto"/>
          <w:kern w:val="0"/>
          <w:sz w:val="24"/>
          <w:szCs w:val="24"/>
          <w:highlight w:val="none"/>
          <w:lang w:val="en-US" w:eastAsia="zh-CN" w:bidi="ar-SA"/>
        </w:rPr>
      </w:pPr>
      <w:bookmarkStart w:id="41" w:name="_Toc20557"/>
      <w:bookmarkStart w:id="42" w:name="_Toc4573"/>
      <w:bookmarkStart w:id="43" w:name="_Toc23428"/>
      <w:bookmarkStart w:id="44" w:name="_Toc20065"/>
      <w:bookmarkStart w:id="45" w:name="_Toc23901"/>
      <w:r>
        <w:rPr>
          <w:rFonts w:hint="eastAsia" w:ascii="宋体" w:hAnsi="宋体" w:eastAsia="宋体" w:cs="宋体"/>
          <w:b/>
          <w:color w:val="auto"/>
          <w:kern w:val="0"/>
          <w:sz w:val="24"/>
          <w:szCs w:val="24"/>
          <w:highlight w:val="none"/>
          <w:lang w:val="en-US" w:eastAsia="zh-CN" w:bidi="ar-SA"/>
        </w:rPr>
        <w:t>七、联系方式</w:t>
      </w:r>
      <w:bookmarkEnd w:id="41"/>
      <w:bookmarkEnd w:id="42"/>
      <w:bookmarkEnd w:id="43"/>
      <w:bookmarkEnd w:id="44"/>
      <w:bookmarkEnd w:id="45"/>
    </w:p>
    <w:p w14:paraId="7AD53362">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（一）采购人：重庆健康职业学院</w:t>
      </w:r>
    </w:p>
    <w:p w14:paraId="69F21BED">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联系人：赵老师</w:t>
      </w:r>
    </w:p>
    <w:p w14:paraId="3428C0E9">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bookmarkStart w:id="46" w:name="OLE_LINK9"/>
      <w:bookmarkStart w:id="47" w:name="OLE_LINK10"/>
      <w:r>
        <w:rPr>
          <w:rFonts w:hint="eastAsia" w:ascii="宋体" w:hAnsi="宋体" w:eastAsia="宋体" w:cs="宋体"/>
          <w:color w:val="auto"/>
          <w:sz w:val="24"/>
          <w:szCs w:val="24"/>
          <w:highlight w:val="none"/>
        </w:rPr>
        <w:t>18996394299</w:t>
      </w:r>
      <w:bookmarkEnd w:id="46"/>
      <w:bookmarkEnd w:id="47"/>
    </w:p>
    <w:p w14:paraId="35E4AC1C">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址：重庆市大足区</w:t>
      </w:r>
    </w:p>
    <w:p w14:paraId="31A946B6">
      <w:pPr>
        <w:spacing w:line="400" w:lineRule="exact"/>
        <w:ind w:firstLine="480"/>
        <w:rPr>
          <w:rFonts w:hint="eastAsia" w:ascii="宋体" w:hAnsi="宋体" w:eastAsia="宋体" w:cs="宋体"/>
          <w:color w:val="auto"/>
          <w:sz w:val="24"/>
          <w:szCs w:val="24"/>
          <w:highlight w:val="none"/>
        </w:rPr>
      </w:pPr>
    </w:p>
    <w:p w14:paraId="0611B3D5">
      <w:pPr>
        <w:spacing w:line="400" w:lineRule="exact"/>
        <w:ind w:firstLine="480"/>
        <w:rPr>
          <w:rFonts w:hint="eastAsia" w:ascii="宋体" w:hAnsi="宋体" w:eastAsia="宋体" w:cs="宋体"/>
          <w:color w:val="auto"/>
          <w:sz w:val="24"/>
          <w:szCs w:val="24"/>
          <w:highlight w:val="none"/>
        </w:rPr>
      </w:pPr>
    </w:p>
    <w:p w14:paraId="7D2B7D9A">
      <w:pPr>
        <w:spacing w:line="400" w:lineRule="exact"/>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（二）采购代理机构：</w:t>
      </w:r>
      <w:r>
        <w:rPr>
          <w:rFonts w:hint="eastAsia" w:cs="宋体"/>
          <w:color w:val="auto"/>
          <w:sz w:val="24"/>
          <w:szCs w:val="24"/>
          <w:highlight w:val="none"/>
          <w:lang w:eastAsia="zh-CN"/>
        </w:rPr>
        <w:t>重庆皓辰建设工程咨询有限公司</w:t>
      </w:r>
    </w:p>
    <w:p w14:paraId="5EC43BE1">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cs="宋体"/>
          <w:color w:val="auto"/>
          <w:sz w:val="24"/>
          <w:szCs w:val="24"/>
          <w:highlight w:val="none"/>
          <w:lang w:val="en-US" w:eastAsia="zh-CN"/>
        </w:rPr>
        <w:t>谢</w:t>
      </w:r>
      <w:r>
        <w:rPr>
          <w:rFonts w:hint="eastAsia" w:ascii="宋体" w:hAnsi="宋体" w:eastAsia="宋体" w:cs="宋体"/>
          <w:color w:val="auto"/>
          <w:sz w:val="24"/>
          <w:szCs w:val="24"/>
          <w:highlight w:val="none"/>
        </w:rPr>
        <w:t>老师</w:t>
      </w:r>
    </w:p>
    <w:p w14:paraId="6CDB7685">
      <w:pPr>
        <w:spacing w:line="400" w:lineRule="exact"/>
        <w:ind w:firstLine="48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1</w:t>
      </w:r>
      <w:r>
        <w:rPr>
          <w:rFonts w:hint="eastAsia" w:cs="宋体"/>
          <w:color w:val="auto"/>
          <w:sz w:val="24"/>
          <w:szCs w:val="24"/>
          <w:highlight w:val="none"/>
          <w:lang w:val="en-US" w:eastAsia="zh-CN"/>
        </w:rPr>
        <w:t>5523459952</w:t>
      </w:r>
    </w:p>
    <w:p w14:paraId="0A47BCED">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址：重庆市大渡口区仁义街9号</w:t>
      </w:r>
    </w:p>
    <w:p w14:paraId="6ACA2E27">
      <w:pPr>
        <w:keepNext w:val="0"/>
        <w:keepLines w:val="0"/>
        <w:pageBreakBefore w:val="0"/>
        <w:widowControl/>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color w:val="auto"/>
          <w:sz w:val="24"/>
          <w:szCs w:val="24"/>
          <w:highlight w:val="none"/>
          <w:lang w:val="zh-CN"/>
        </w:rPr>
      </w:pPr>
    </w:p>
    <w:p w14:paraId="1AB95046">
      <w:pPr>
        <w:pStyle w:val="10"/>
        <w:adjustRightInd w:val="0"/>
        <w:snapToGrid w:val="0"/>
        <w:spacing w:line="360" w:lineRule="auto"/>
        <w:ind w:firstLine="480" w:firstLineChars="200"/>
        <w:rPr>
          <w:rFonts w:hint="eastAsia" w:ascii="宋体" w:hAnsi="宋体" w:eastAsia="宋体" w:cs="宋体"/>
          <w:color w:val="auto"/>
          <w:sz w:val="24"/>
          <w:szCs w:val="24"/>
          <w:highlight w:val="none"/>
        </w:rPr>
      </w:pPr>
    </w:p>
    <w:bookmarkEnd w:id="15"/>
    <w:bookmarkEnd w:id="16"/>
    <w:bookmarkEnd w:id="17"/>
    <w:p w14:paraId="43F136FD">
      <w:pPr>
        <w:rPr>
          <w:rStyle w:val="41"/>
          <w:rFonts w:hint="eastAsia" w:ascii="宋体" w:hAnsi="宋体" w:eastAsia="宋体" w:cs="宋体"/>
          <w:b/>
          <w:bCs w:val="0"/>
          <w:color w:val="auto"/>
          <w:highlight w:val="none"/>
        </w:rPr>
      </w:pPr>
      <w:bookmarkStart w:id="48" w:name="_Toc15137"/>
      <w:bookmarkStart w:id="49" w:name="_Toc32678"/>
      <w:r>
        <w:rPr>
          <w:rStyle w:val="41"/>
          <w:rFonts w:hint="eastAsia" w:ascii="宋体" w:hAnsi="宋体" w:eastAsia="宋体" w:cs="宋体"/>
          <w:b/>
          <w:bCs w:val="0"/>
          <w:color w:val="auto"/>
          <w:highlight w:val="none"/>
        </w:rPr>
        <w:br w:type="page"/>
      </w:r>
    </w:p>
    <w:p w14:paraId="0D8F3A74">
      <w:pPr>
        <w:pStyle w:val="2"/>
        <w:jc w:val="center"/>
        <w:rPr>
          <w:rStyle w:val="41"/>
          <w:rFonts w:hint="eastAsia" w:ascii="宋体" w:hAnsi="宋体" w:eastAsia="宋体" w:cs="宋体"/>
          <w:b/>
          <w:bCs w:val="0"/>
          <w:color w:val="auto"/>
          <w:highlight w:val="none"/>
          <w:lang w:val="en-US"/>
        </w:rPr>
      </w:pPr>
      <w:r>
        <w:rPr>
          <w:rStyle w:val="41"/>
          <w:rFonts w:hint="eastAsia" w:ascii="宋体" w:hAnsi="宋体" w:eastAsia="宋体" w:cs="宋体"/>
          <w:b/>
          <w:bCs w:val="0"/>
          <w:color w:val="auto"/>
          <w:highlight w:val="none"/>
        </w:rPr>
        <w:t>第</w:t>
      </w:r>
      <w:r>
        <w:rPr>
          <w:rStyle w:val="41"/>
          <w:rFonts w:hint="eastAsia" w:ascii="宋体" w:hAnsi="宋体" w:eastAsia="宋体" w:cs="宋体"/>
          <w:b/>
          <w:bCs w:val="0"/>
          <w:color w:val="auto"/>
          <w:highlight w:val="none"/>
          <w:lang w:val="en-US"/>
        </w:rPr>
        <w:t>二</w:t>
      </w:r>
      <w:r>
        <w:rPr>
          <w:rStyle w:val="41"/>
          <w:rFonts w:hint="eastAsia" w:ascii="宋体" w:hAnsi="宋体" w:eastAsia="宋体" w:cs="宋体"/>
          <w:b/>
          <w:bCs w:val="0"/>
          <w:color w:val="auto"/>
          <w:highlight w:val="none"/>
        </w:rPr>
        <w:t xml:space="preserve">篇  </w:t>
      </w:r>
      <w:bookmarkEnd w:id="18"/>
      <w:r>
        <w:rPr>
          <w:rStyle w:val="41"/>
          <w:rFonts w:hint="eastAsia" w:ascii="宋体" w:hAnsi="宋体" w:eastAsia="宋体" w:cs="宋体"/>
          <w:b/>
          <w:bCs w:val="0"/>
          <w:color w:val="auto"/>
          <w:highlight w:val="none"/>
          <w:lang w:val="en-US"/>
        </w:rPr>
        <w:t>项目</w:t>
      </w:r>
      <w:r>
        <w:rPr>
          <w:rStyle w:val="41"/>
          <w:rFonts w:hint="eastAsia" w:ascii="宋体" w:hAnsi="宋体" w:eastAsia="宋体" w:cs="宋体"/>
          <w:b/>
          <w:bCs w:val="0"/>
          <w:color w:val="auto"/>
          <w:highlight w:val="none"/>
        </w:rPr>
        <w:t>技术需求</w:t>
      </w:r>
      <w:bookmarkEnd w:id="48"/>
      <w:bookmarkEnd w:id="49"/>
    </w:p>
    <w:p w14:paraId="72A2640A">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eastAsia="宋体" w:cs="宋体"/>
          <w:color w:val="auto"/>
          <w:sz w:val="24"/>
          <w:highlight w:val="none"/>
        </w:rPr>
      </w:pPr>
      <w:bookmarkStart w:id="50" w:name="_Toc13163"/>
      <w:bookmarkStart w:id="51" w:name="_Toc45656604"/>
      <w:bookmarkStart w:id="52" w:name="_Toc26224"/>
      <w:bookmarkStart w:id="53" w:name="_Toc12656"/>
      <w:r>
        <w:rPr>
          <w:rFonts w:hint="eastAsia" w:ascii="宋体" w:hAnsi="宋体" w:eastAsia="宋体" w:cs="宋体"/>
          <w:color w:val="auto"/>
          <w:sz w:val="24"/>
          <w:highlight w:val="none"/>
        </w:rPr>
        <w:t>一</w:t>
      </w:r>
      <w:bookmarkEnd w:id="50"/>
      <w:bookmarkEnd w:id="51"/>
      <w:r>
        <w:rPr>
          <w:rFonts w:hint="eastAsia" w:ascii="宋体" w:hAnsi="宋体" w:eastAsia="宋体" w:cs="宋体"/>
          <w:color w:val="auto"/>
          <w:sz w:val="24"/>
          <w:highlight w:val="none"/>
        </w:rPr>
        <w:t>、</w:t>
      </w:r>
      <w:bookmarkEnd w:id="52"/>
      <w:bookmarkEnd w:id="53"/>
      <w:r>
        <w:rPr>
          <w:rFonts w:hint="eastAsia" w:ascii="宋体" w:hAnsi="宋体" w:eastAsia="宋体" w:cs="宋体"/>
          <w:color w:val="auto"/>
          <w:sz w:val="24"/>
          <w:highlight w:val="none"/>
        </w:rPr>
        <w:t>项目基本概况介绍</w:t>
      </w:r>
    </w:p>
    <w:p w14:paraId="54F2F4A5">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（一）项目名称：重庆健康职业学院第二食堂布局改造工程</w:t>
      </w:r>
    </w:p>
    <w:p w14:paraId="0993264E">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（二）项目概况：</w:t>
      </w:r>
      <w:bookmarkStart w:id="54" w:name="_Toc32028"/>
      <w:bookmarkStart w:id="55" w:name="_Toc3616"/>
      <w:bookmarkStart w:id="56" w:name="_Toc49960011"/>
      <w:bookmarkStart w:id="57" w:name="_Toc5"/>
      <w:bookmarkStart w:id="58" w:name="_Toc14138"/>
      <w:r>
        <w:rPr>
          <w:rFonts w:hint="eastAsia" w:ascii="宋体" w:hAnsi="宋体" w:eastAsia="宋体" w:cs="宋体"/>
          <w:color w:val="auto"/>
          <w:sz w:val="24"/>
          <w:szCs w:val="24"/>
          <w:highlight w:val="none"/>
          <w:lang w:val="en-US" w:eastAsia="zh-CN"/>
        </w:rPr>
        <w:t>第二食堂建筑面积6428.19㎡，共三层，目前主体已完工。因原食堂布局厨房加工区及售卖区较少，为实现小规模、多样性经营，计划通过对食堂部分板、梁、柱进行加固，优化食堂布局，完善消防、给水、排水、电气设备、火灾预警等内容，对食堂布局进行更改。</w:t>
      </w:r>
    </w:p>
    <w:bookmarkEnd w:id="54"/>
    <w:bookmarkEnd w:id="55"/>
    <w:bookmarkEnd w:id="56"/>
    <w:bookmarkEnd w:id="57"/>
    <w:bookmarkEnd w:id="58"/>
    <w:p w14:paraId="4E2FFD74">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eastAsia="宋体" w:cs="宋体"/>
          <w:color w:val="auto"/>
          <w:sz w:val="24"/>
          <w:highlight w:val="none"/>
        </w:rPr>
      </w:pPr>
      <w:bookmarkStart w:id="59" w:name="_Toc16193"/>
      <w:bookmarkStart w:id="60" w:name="_Toc39"/>
      <w:r>
        <w:rPr>
          <w:rFonts w:hint="eastAsia" w:ascii="宋体" w:hAnsi="宋体" w:eastAsia="宋体" w:cs="宋体"/>
          <w:color w:val="auto"/>
          <w:sz w:val="24"/>
          <w:highlight w:val="none"/>
        </w:rPr>
        <w:t>二、</w:t>
      </w:r>
      <w:r>
        <w:rPr>
          <w:rFonts w:hint="eastAsia" w:ascii="宋体" w:hAnsi="宋体" w:cs="宋体"/>
          <w:color w:val="auto"/>
          <w:sz w:val="24"/>
          <w:highlight w:val="none"/>
          <w:lang w:val="en-US" w:eastAsia="zh-CN"/>
        </w:rPr>
        <w:t>采购</w:t>
      </w:r>
      <w:r>
        <w:rPr>
          <w:rFonts w:hint="eastAsia" w:ascii="宋体" w:hAnsi="宋体" w:eastAsia="宋体" w:cs="宋体"/>
          <w:color w:val="auto"/>
          <w:sz w:val="24"/>
          <w:highlight w:val="none"/>
        </w:rPr>
        <w:t>范围及</w:t>
      </w:r>
      <w:r>
        <w:rPr>
          <w:rFonts w:hint="eastAsia" w:ascii="宋体" w:hAnsi="宋体" w:cs="宋体"/>
          <w:color w:val="auto"/>
          <w:sz w:val="24"/>
          <w:highlight w:val="none"/>
          <w:lang w:val="en-US" w:eastAsia="zh-CN"/>
        </w:rPr>
        <w:t>质量</w:t>
      </w:r>
      <w:r>
        <w:rPr>
          <w:rFonts w:hint="eastAsia" w:ascii="宋体" w:hAnsi="宋体" w:eastAsia="宋体" w:cs="宋体"/>
          <w:color w:val="auto"/>
          <w:sz w:val="24"/>
          <w:highlight w:val="none"/>
        </w:rPr>
        <w:t>标准</w:t>
      </w:r>
      <w:bookmarkEnd w:id="59"/>
      <w:bookmarkEnd w:id="60"/>
    </w:p>
    <w:p w14:paraId="0EE9416C">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范围：本项目工程量清单</w:t>
      </w:r>
      <w:r>
        <w:rPr>
          <w:rFonts w:hint="eastAsia" w:ascii="宋体" w:hAnsi="宋体" w:eastAsia="宋体" w:cs="宋体"/>
          <w:color w:val="auto"/>
          <w:sz w:val="24"/>
          <w:szCs w:val="24"/>
          <w:highlight w:val="none"/>
          <w:lang w:val="en-US" w:eastAsia="zh-CN"/>
        </w:rPr>
        <w:t>所示</w:t>
      </w:r>
      <w:r>
        <w:rPr>
          <w:rFonts w:hint="eastAsia" w:ascii="宋体" w:hAnsi="宋体" w:eastAsia="宋体" w:cs="宋体"/>
          <w:color w:val="auto"/>
          <w:sz w:val="24"/>
          <w:szCs w:val="24"/>
          <w:highlight w:val="none"/>
        </w:rPr>
        <w:t>所有工作内容</w:t>
      </w:r>
      <w:r>
        <w:rPr>
          <w:rFonts w:hint="eastAsia" w:ascii="宋体" w:hAnsi="宋体" w:eastAsia="宋体" w:cs="宋体"/>
          <w:color w:val="auto"/>
          <w:sz w:val="24"/>
          <w:szCs w:val="24"/>
          <w:highlight w:val="none"/>
          <w:lang w:eastAsia="zh-CN"/>
        </w:rPr>
        <w:t>。</w:t>
      </w:r>
    </w:p>
    <w:p w14:paraId="51084B47">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rPr>
      </w:pPr>
      <w:r>
        <w:rPr>
          <w:rFonts w:hint="eastAsia" w:cs="宋体"/>
          <w:color w:val="auto"/>
          <w:sz w:val="24"/>
          <w:szCs w:val="24"/>
          <w:highlight w:val="none"/>
          <w:lang w:eastAsia="zh-CN"/>
        </w:rPr>
        <w:t>（</w:t>
      </w:r>
      <w:r>
        <w:rPr>
          <w:rFonts w:hint="eastAsia" w:cs="宋体"/>
          <w:color w:val="auto"/>
          <w:sz w:val="24"/>
          <w:szCs w:val="24"/>
          <w:highlight w:val="none"/>
          <w:lang w:val="en-US" w:eastAsia="zh-CN"/>
        </w:rPr>
        <w:t>二</w:t>
      </w:r>
      <w:r>
        <w:rPr>
          <w:rFonts w:hint="eastAsia" w:cs="宋体"/>
          <w:color w:val="auto"/>
          <w:sz w:val="24"/>
          <w:szCs w:val="24"/>
          <w:highlight w:val="none"/>
          <w:lang w:eastAsia="zh-CN"/>
        </w:rPr>
        <w:t>）</w:t>
      </w:r>
      <w:r>
        <w:rPr>
          <w:rFonts w:hint="eastAsia" w:cs="宋体"/>
          <w:color w:val="auto"/>
          <w:sz w:val="24"/>
          <w:szCs w:val="24"/>
          <w:highlight w:val="none"/>
          <w:lang w:val="en-US" w:eastAsia="zh-CN"/>
        </w:rPr>
        <w:t>质量</w:t>
      </w:r>
      <w:r>
        <w:rPr>
          <w:rFonts w:hint="eastAsia" w:ascii="宋体" w:hAnsi="宋体" w:eastAsia="宋体" w:cs="宋体"/>
          <w:color w:val="auto"/>
          <w:sz w:val="24"/>
          <w:szCs w:val="24"/>
          <w:highlight w:val="none"/>
        </w:rPr>
        <w:t>标准：达到国家有关现行施工验收规范规定的标准。</w:t>
      </w:r>
    </w:p>
    <w:p w14:paraId="623F33F9">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三、人员要求</w:t>
      </w:r>
    </w:p>
    <w:p w14:paraId="52CAFCD3">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（一）</w:t>
      </w:r>
      <w:r>
        <w:rPr>
          <w:rFonts w:hint="eastAsia" w:ascii="宋体" w:hAnsi="宋体" w:eastAsia="宋体" w:cs="宋体"/>
          <w:color w:val="auto"/>
          <w:sz w:val="24"/>
          <w:szCs w:val="24"/>
          <w:highlight w:val="none"/>
          <w:lang w:val="en-US" w:eastAsia="zh-CN"/>
        </w:rPr>
        <w:t>项目经理：</w:t>
      </w:r>
    </w:p>
    <w:p w14:paraId="04713C34">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供应商拟派的项目经理必须已在供应商本单位注册并应具有建筑工程专业贰级及以上注册建造师执业资格。</w:t>
      </w:r>
    </w:p>
    <w:p w14:paraId="3BBCD807">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注：提供有效的拟派项目经理注册证、身份证复印件</w:t>
      </w:r>
      <w:bookmarkStart w:id="61" w:name="_Toc3761"/>
      <w:bookmarkStart w:id="62" w:name="_Toc12681"/>
      <w:bookmarkStart w:id="63" w:name="_Toc5224"/>
      <w:bookmarkStart w:id="64" w:name="_Toc29186"/>
      <w:r>
        <w:rPr>
          <w:rFonts w:hint="eastAsia" w:ascii="宋体" w:hAnsi="宋体" w:eastAsia="宋体" w:cs="宋体"/>
          <w:color w:val="auto"/>
          <w:sz w:val="24"/>
          <w:szCs w:val="24"/>
          <w:highlight w:val="none"/>
          <w:lang w:val="en-US" w:eastAsia="zh-CN"/>
        </w:rPr>
        <w:t>并加盖供应商公章。</w:t>
      </w:r>
    </w:p>
    <w:p w14:paraId="0323F238">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zh-CN"/>
        </w:rPr>
        <w:t>项目技术负责人：</w:t>
      </w:r>
      <w:bookmarkEnd w:id="61"/>
      <w:bookmarkEnd w:id="62"/>
      <w:bookmarkEnd w:id="63"/>
      <w:bookmarkEnd w:id="64"/>
    </w:p>
    <w:p w14:paraId="4F99BF51">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bookmarkStart w:id="65" w:name="_Toc2002"/>
      <w:bookmarkStart w:id="66" w:name="_Toc30387"/>
      <w:bookmarkStart w:id="67" w:name="_Toc24227"/>
      <w:bookmarkStart w:id="68" w:name="_Toc20639"/>
      <w:r>
        <w:rPr>
          <w:rFonts w:hint="eastAsia" w:ascii="宋体" w:hAnsi="宋体" w:eastAsia="宋体" w:cs="宋体"/>
          <w:color w:val="auto"/>
          <w:sz w:val="24"/>
          <w:szCs w:val="24"/>
          <w:highlight w:val="none"/>
          <w:lang w:val="en-US" w:eastAsia="zh-CN"/>
        </w:rPr>
        <w:t>供应商拟派的项目技术负责人应为本单位职工，具有工程类中级及以上技术职称；提供有效的职称证、身份证复印件并加盖供应商公章。</w:t>
      </w:r>
      <w:bookmarkEnd w:id="65"/>
      <w:bookmarkEnd w:id="66"/>
      <w:bookmarkEnd w:id="67"/>
      <w:bookmarkEnd w:id="68"/>
    </w:p>
    <w:p w14:paraId="6FA8470E">
      <w:pPr>
        <w:pStyle w:val="7"/>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（三）</w:t>
      </w:r>
      <w:r>
        <w:rPr>
          <w:rFonts w:hint="eastAsia" w:ascii="宋体" w:hAnsi="宋体" w:eastAsia="宋体" w:cs="宋体"/>
          <w:color w:val="auto"/>
          <w:kern w:val="2"/>
          <w:sz w:val="24"/>
          <w:szCs w:val="24"/>
          <w:highlight w:val="none"/>
          <w:lang w:val="en-US" w:eastAsia="zh-CN" w:bidi="ar-SA"/>
        </w:rPr>
        <w:t>主要管理人员</w:t>
      </w:r>
      <w:bookmarkStart w:id="242" w:name="_GoBack"/>
      <w:bookmarkEnd w:id="242"/>
      <w:r>
        <w:rPr>
          <w:rFonts w:hint="eastAsia" w:ascii="宋体" w:hAnsi="宋体" w:cs="宋体"/>
          <w:color w:val="auto"/>
          <w:kern w:val="2"/>
          <w:sz w:val="24"/>
          <w:szCs w:val="24"/>
          <w:highlight w:val="none"/>
          <w:lang w:val="en-US" w:eastAsia="zh-CN" w:bidi="ar-SA"/>
        </w:rPr>
        <w:t>：</w:t>
      </w:r>
    </w:p>
    <w:p w14:paraId="7B2E56E1">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自行承诺成交后在签订合同之前，须按照采购人的要求组建施工项目部，配置项目管理班子，出具任命文件。任命文件应当明确施工项目部的职责、岗位设置、人员配备，并书面通知建设单位。相关岗位管理人员应持有建设行政主管部门要求的岗位证书，并提供供应商为其缴纳的养老保险证明材料。成交后不能满足该要求的，采购人可取消其成交资格，给采购人造成损失的，供应商依法承担违约赔偿责任。供应商在响应文件中提供承诺，格式自拟。</w:t>
      </w:r>
    </w:p>
    <w:p w14:paraId="635D2F5E">
      <w:pPr>
        <w:pageBreakBefore w:val="0"/>
        <w:widowControl/>
        <w:kinsoku/>
        <w:wordWrap/>
        <w:overflowPunct/>
        <w:topLinePunct w:val="0"/>
        <w:autoSpaceDE/>
        <w:autoSpaceDN/>
        <w:bidi w:val="0"/>
        <w:spacing w:line="440" w:lineRule="exact"/>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注：供应商未按人员要求中的规定提供相应的资料，其响应文件按废标处理。</w:t>
      </w:r>
    </w:p>
    <w:p w14:paraId="15BB3824">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eastAsia="宋体" w:cs="宋体"/>
          <w:color w:val="auto"/>
          <w:sz w:val="24"/>
          <w:highlight w:val="none"/>
        </w:rPr>
      </w:pPr>
      <w:bookmarkStart w:id="69" w:name="_Toc7119"/>
      <w:bookmarkStart w:id="70" w:name="_Toc3599"/>
      <w:r>
        <w:rPr>
          <w:rFonts w:hint="eastAsia" w:ascii="宋体" w:hAnsi="宋体" w:cs="宋体"/>
          <w:color w:val="auto"/>
          <w:sz w:val="24"/>
          <w:highlight w:val="none"/>
          <w:lang w:val="en-US" w:eastAsia="zh-CN"/>
        </w:rPr>
        <w:t>四</w:t>
      </w:r>
      <w:r>
        <w:rPr>
          <w:rFonts w:hint="eastAsia" w:ascii="宋体" w:hAnsi="宋体" w:eastAsia="宋体" w:cs="宋体"/>
          <w:color w:val="auto"/>
          <w:sz w:val="24"/>
          <w:highlight w:val="none"/>
        </w:rPr>
        <w:t>、质量需求</w:t>
      </w:r>
      <w:bookmarkEnd w:id="69"/>
      <w:bookmarkEnd w:id="70"/>
    </w:p>
    <w:p w14:paraId="02B60C19">
      <w:pPr>
        <w:pageBreakBefore w:val="0"/>
        <w:widowControl/>
        <w:kinsoku/>
        <w:wordWrap/>
        <w:overflowPunct/>
        <w:topLinePunct w:val="0"/>
        <w:autoSpaceDE/>
        <w:autoSpaceDN/>
        <w:bidi w:val="0"/>
        <w:spacing w:line="440" w:lineRule="exact"/>
        <w:ind w:firstLine="480" w:firstLineChars="200"/>
        <w:textAlignment w:val="auto"/>
        <w:outlineLvl w:val="9"/>
        <w:rPr>
          <w:rFonts w:hint="eastAsia"/>
          <w:color w:val="auto"/>
          <w:highlight w:val="none"/>
        </w:rPr>
      </w:pPr>
      <w:r>
        <w:rPr>
          <w:rFonts w:hint="eastAsia" w:ascii="宋体" w:hAnsi="宋体" w:eastAsia="宋体" w:cs="宋体"/>
          <w:color w:val="auto"/>
          <w:sz w:val="24"/>
          <w:szCs w:val="24"/>
          <w:highlight w:val="none"/>
        </w:rPr>
        <w:t>符合强制性质量标准，符合国家和重庆市现行有关施工质量验收规范要求，并达到合格标准。</w:t>
      </w:r>
    </w:p>
    <w:p w14:paraId="55A572AB">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eastAsia="宋体" w:cs="宋体"/>
          <w:color w:val="auto"/>
          <w:sz w:val="24"/>
          <w:highlight w:val="none"/>
        </w:rPr>
      </w:pPr>
      <w:bookmarkStart w:id="71" w:name="_Toc113374270"/>
      <w:bookmarkStart w:id="72" w:name="_Toc26794"/>
      <w:bookmarkStart w:id="73" w:name="_Toc5670"/>
      <w:r>
        <w:rPr>
          <w:rFonts w:hint="eastAsia" w:ascii="宋体" w:hAnsi="宋体" w:cs="宋体"/>
          <w:color w:val="auto"/>
          <w:sz w:val="24"/>
          <w:highlight w:val="none"/>
          <w:lang w:val="en-US" w:eastAsia="zh-CN"/>
        </w:rPr>
        <w:t>五</w:t>
      </w:r>
      <w:r>
        <w:rPr>
          <w:rFonts w:hint="eastAsia" w:ascii="宋体" w:hAnsi="宋体" w:eastAsia="宋体" w:cs="宋体"/>
          <w:color w:val="auto"/>
          <w:sz w:val="24"/>
          <w:highlight w:val="none"/>
        </w:rPr>
        <w:t>、施工要求</w:t>
      </w:r>
      <w:bookmarkEnd w:id="71"/>
      <w:bookmarkEnd w:id="72"/>
      <w:bookmarkEnd w:id="73"/>
    </w:p>
    <w:p w14:paraId="479D9847">
      <w:pPr>
        <w:pageBreakBefore w:val="0"/>
        <w:widowControl/>
        <w:kinsoku/>
        <w:wordWrap/>
        <w:overflowPunct/>
        <w:topLinePunct w:val="0"/>
        <w:autoSpaceDE/>
        <w:autoSpaceDN/>
        <w:bidi w:val="0"/>
        <w:spacing w:line="440" w:lineRule="exact"/>
        <w:ind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成交供应商负有安全施工责任，应保证所有现场施工人员及施工区域的人身财产安全。施工过程中不得对场所中其</w:t>
      </w:r>
      <w:r>
        <w:rPr>
          <w:rFonts w:hint="eastAsia" w:ascii="宋体" w:hAnsi="宋体" w:eastAsia="宋体" w:cs="宋体"/>
          <w:color w:val="auto"/>
          <w:kern w:val="2"/>
          <w:sz w:val="24"/>
          <w:szCs w:val="24"/>
          <w:highlight w:val="none"/>
          <w:lang w:eastAsia="zh-CN"/>
        </w:rPr>
        <w:t>他</w:t>
      </w:r>
      <w:r>
        <w:rPr>
          <w:rFonts w:hint="eastAsia" w:ascii="宋体" w:hAnsi="宋体" w:eastAsia="宋体" w:cs="宋体"/>
          <w:color w:val="auto"/>
          <w:kern w:val="2"/>
          <w:sz w:val="24"/>
          <w:szCs w:val="24"/>
          <w:highlight w:val="none"/>
        </w:rPr>
        <w:t>区域造成损害。若出现任何安全事故或造成损失的，由成交供应商承担所有责任。</w:t>
      </w:r>
    </w:p>
    <w:p w14:paraId="66579D4E">
      <w:pPr>
        <w:pStyle w:val="3"/>
        <w:pageBreakBefore w:val="0"/>
        <w:widowControl/>
        <w:kinsoku/>
        <w:wordWrap/>
        <w:overflowPunct/>
        <w:topLinePunct w:val="0"/>
        <w:autoSpaceDE/>
        <w:autoSpaceDN/>
        <w:bidi w:val="0"/>
        <w:adjustRightInd w:val="0"/>
        <w:snapToGrid w:val="0"/>
        <w:spacing w:before="0" w:after="0" w:line="440" w:lineRule="exact"/>
        <w:ind w:firstLine="480" w:firstLineChars="200"/>
        <w:textAlignment w:val="auto"/>
        <w:rPr>
          <w:rFonts w:hint="eastAsia" w:ascii="宋体" w:hAnsi="宋体" w:cs="宋体"/>
          <w:color w:val="auto"/>
          <w:sz w:val="24"/>
          <w:highlight w:val="none"/>
          <w:lang w:val="en-US" w:eastAsia="zh-CN"/>
        </w:rPr>
      </w:pPr>
      <w:bookmarkStart w:id="74" w:name="_Toc23509"/>
      <w:r>
        <w:rPr>
          <w:rFonts w:hint="eastAsia" w:ascii="宋体" w:hAnsi="宋体" w:cs="宋体"/>
          <w:color w:val="auto"/>
          <w:sz w:val="24"/>
          <w:highlight w:val="none"/>
          <w:lang w:val="en-US" w:eastAsia="zh-CN"/>
        </w:rPr>
        <w:t>六、</w:t>
      </w:r>
      <w:bookmarkStart w:id="75" w:name="_Toc80863889"/>
      <w:bookmarkStart w:id="76" w:name="_Toc13140"/>
      <w:bookmarkStart w:id="77" w:name="_Toc548"/>
      <w:r>
        <w:rPr>
          <w:rFonts w:hint="eastAsia" w:ascii="宋体" w:hAnsi="宋体" w:cs="宋体"/>
          <w:color w:val="auto"/>
          <w:sz w:val="24"/>
          <w:highlight w:val="none"/>
          <w:lang w:val="en-US" w:eastAsia="zh-CN"/>
        </w:rPr>
        <w:t>现场踏勘</w:t>
      </w:r>
      <w:bookmarkEnd w:id="74"/>
      <w:bookmarkEnd w:id="75"/>
    </w:p>
    <w:bookmarkEnd w:id="76"/>
    <w:bookmarkEnd w:id="77"/>
    <w:p w14:paraId="3E18435E">
      <w:pPr>
        <w:pStyle w:val="7"/>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（一）采购人不组织现场踏勘，由各供应商在竞采开始前自行到现场进行踏勘了解实际情况，踏勘产生的费用和风险等均由供应商自行承担。</w:t>
      </w:r>
    </w:p>
    <w:p w14:paraId="0F3F872D">
      <w:pPr>
        <w:pStyle w:val="7"/>
        <w:keepNext w:val="0"/>
        <w:keepLines w:val="0"/>
        <w:pageBreakBefore w:val="0"/>
        <w:widowControl w:val="0"/>
        <w:kinsoku/>
        <w:wordWrap/>
        <w:overflowPunct/>
        <w:topLinePunct w:val="0"/>
        <w:autoSpaceDE/>
        <w:autoSpaceDN/>
        <w:bidi w:val="0"/>
        <w:adjustRightInd/>
        <w:snapToGrid/>
        <w:spacing w:line="480" w:lineRule="exact"/>
        <w:ind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二）无论供应商是否踏勘过现场，均视为在响应截止时间之前踏勘过现场且对本项目潜在的风险和义务已完全了解，并在其响应文件中自行承诺（格式自拟）已充分考虑了本项目可能面临的不确定因素可能导致的风险，成交供应商不得以不完全了解现场情况为借口而提出延长服务期限或提出额外赔偿等要求。</w:t>
      </w:r>
    </w:p>
    <w:p w14:paraId="1BCA2C55">
      <w:pPr>
        <w:pStyle w:val="10"/>
        <w:rPr>
          <w:rFonts w:hint="eastAsia"/>
          <w:color w:val="auto"/>
          <w:highlight w:val="none"/>
        </w:rPr>
      </w:pPr>
    </w:p>
    <w:p w14:paraId="6E46CFAA">
      <w:pPr>
        <w:pStyle w:val="10"/>
        <w:pageBreakBefore w:val="0"/>
        <w:widowControl/>
        <w:kinsoku/>
        <w:wordWrap/>
        <w:overflowPunct/>
        <w:topLinePunct w:val="0"/>
        <w:autoSpaceDE/>
        <w:autoSpaceDN/>
        <w:bidi w:val="0"/>
        <w:spacing w:line="440" w:lineRule="exact"/>
        <w:textAlignment w:val="auto"/>
        <w:rPr>
          <w:rFonts w:hint="eastAsia" w:ascii="宋体" w:hAnsi="宋体" w:eastAsia="宋体" w:cs="宋体"/>
          <w:color w:val="auto"/>
          <w:highlight w:val="none"/>
        </w:rPr>
      </w:pPr>
    </w:p>
    <w:p w14:paraId="4E65A7AF">
      <w:pPr>
        <w:bidi w:val="0"/>
        <w:rPr>
          <w:rStyle w:val="41"/>
          <w:rFonts w:hint="eastAsia" w:ascii="宋体" w:hAnsi="宋体" w:eastAsia="宋体" w:cs="宋体"/>
          <w:b/>
          <w:bCs w:val="0"/>
          <w:color w:val="auto"/>
          <w:highlight w:val="none"/>
        </w:rPr>
      </w:pPr>
      <w:bookmarkStart w:id="78" w:name="_Toc3283"/>
    </w:p>
    <w:p w14:paraId="2A25FDD8">
      <w:pPr>
        <w:pStyle w:val="3"/>
        <w:numPr>
          <w:ilvl w:val="0"/>
          <w:numId w:val="0"/>
        </w:numPr>
        <w:adjustRightInd w:val="0"/>
        <w:snapToGrid w:val="0"/>
        <w:spacing w:before="0" w:after="0" w:line="400" w:lineRule="exact"/>
        <w:jc w:val="center"/>
        <w:rPr>
          <w:rStyle w:val="41"/>
          <w:rFonts w:hint="eastAsia" w:ascii="宋体" w:hAnsi="宋体" w:eastAsia="宋体" w:cs="宋体"/>
          <w:b/>
          <w:bCs w:val="0"/>
          <w:color w:val="auto"/>
          <w:highlight w:val="none"/>
        </w:rPr>
        <w:sectPr>
          <w:headerReference r:id="rId9" w:type="default"/>
          <w:pgSz w:w="11907" w:h="16840"/>
          <w:pgMar w:top="1440" w:right="1417" w:bottom="1440" w:left="1417" w:header="454" w:footer="567" w:gutter="0"/>
          <w:pgNumType w:fmt="decimal"/>
          <w:cols w:space="720" w:num="1"/>
          <w:docGrid w:type="linesAndChars" w:linePitch="381" w:charSpace="0"/>
        </w:sectPr>
      </w:pPr>
    </w:p>
    <w:p w14:paraId="06756C3E">
      <w:pPr>
        <w:pStyle w:val="2"/>
        <w:numPr>
          <w:ilvl w:val="0"/>
          <w:numId w:val="0"/>
        </w:numPr>
        <w:adjustRightInd w:val="0"/>
        <w:snapToGrid w:val="0"/>
        <w:spacing w:before="0" w:after="0" w:line="400" w:lineRule="exact"/>
        <w:jc w:val="center"/>
        <w:outlineLvl w:val="0"/>
        <w:rPr>
          <w:rStyle w:val="41"/>
          <w:rFonts w:hint="eastAsia" w:ascii="宋体" w:hAnsi="宋体" w:eastAsia="宋体" w:cs="宋体"/>
          <w:b/>
          <w:bCs w:val="0"/>
          <w:color w:val="auto"/>
          <w:highlight w:val="none"/>
          <w:lang w:val="en-US" w:eastAsia="zh-CN"/>
        </w:rPr>
      </w:pPr>
      <w:bookmarkStart w:id="79" w:name="_Toc1947"/>
      <w:r>
        <w:rPr>
          <w:rStyle w:val="41"/>
          <w:rFonts w:hint="eastAsia" w:ascii="宋体" w:hAnsi="宋体" w:eastAsia="宋体" w:cs="宋体"/>
          <w:b/>
          <w:bCs w:val="0"/>
          <w:color w:val="auto"/>
          <w:highlight w:val="none"/>
        </w:rPr>
        <w:t>第</w:t>
      </w:r>
      <w:r>
        <w:rPr>
          <w:rStyle w:val="41"/>
          <w:rFonts w:hint="eastAsia" w:ascii="宋体" w:hAnsi="宋体" w:eastAsia="宋体" w:cs="宋体"/>
          <w:b/>
          <w:bCs w:val="0"/>
          <w:color w:val="auto"/>
          <w:highlight w:val="none"/>
          <w:lang w:val="en-US"/>
        </w:rPr>
        <w:t>三</w:t>
      </w:r>
      <w:r>
        <w:rPr>
          <w:rStyle w:val="41"/>
          <w:rFonts w:hint="eastAsia" w:ascii="宋体" w:hAnsi="宋体" w:eastAsia="宋体" w:cs="宋体"/>
          <w:b/>
          <w:bCs w:val="0"/>
          <w:color w:val="auto"/>
          <w:highlight w:val="none"/>
        </w:rPr>
        <w:t xml:space="preserve">篇  </w:t>
      </w:r>
      <w:bookmarkEnd w:id="78"/>
      <w:bookmarkStart w:id="80" w:name="_Toc6695"/>
      <w:bookmarkStart w:id="81" w:name="_Toc9242"/>
      <w:r>
        <w:rPr>
          <w:rStyle w:val="41"/>
          <w:rFonts w:hint="eastAsia" w:ascii="宋体" w:hAnsi="宋体" w:eastAsia="宋体" w:cs="宋体"/>
          <w:b/>
          <w:bCs w:val="0"/>
          <w:color w:val="auto"/>
          <w:highlight w:val="none"/>
          <w:lang w:val="en-US" w:eastAsia="zh-CN"/>
        </w:rPr>
        <w:t>项目商务需求</w:t>
      </w:r>
      <w:bookmarkEnd w:id="79"/>
      <w:bookmarkEnd w:id="80"/>
      <w:bookmarkEnd w:id="81"/>
    </w:p>
    <w:p w14:paraId="5BFF2B5A">
      <w:pPr>
        <w:bidi w:val="0"/>
        <w:rPr>
          <w:rFonts w:hint="eastAsia" w:ascii="宋体" w:hAnsi="宋体" w:eastAsia="宋体" w:cs="宋体"/>
          <w:color w:val="auto"/>
          <w:highlight w:val="none"/>
        </w:rPr>
      </w:pPr>
    </w:p>
    <w:p w14:paraId="7C14A940">
      <w:pPr>
        <w:pStyle w:val="3"/>
        <w:spacing w:before="48" w:after="48" w:line="400" w:lineRule="exact"/>
        <w:ind w:firstLine="480" w:firstLineChars="200"/>
        <w:rPr>
          <w:rFonts w:hint="eastAsia" w:ascii="宋体" w:hAnsi="宋体" w:eastAsia="宋体" w:cs="宋体"/>
          <w:color w:val="auto"/>
          <w:sz w:val="24"/>
          <w:szCs w:val="24"/>
          <w:highlight w:val="none"/>
          <w:lang w:eastAsia="zh-CN"/>
        </w:rPr>
      </w:pPr>
      <w:bookmarkStart w:id="82" w:name="_Toc6780"/>
      <w:bookmarkStart w:id="83" w:name="_Toc26334"/>
      <w:bookmarkStart w:id="84" w:name="_Toc7214"/>
      <w:bookmarkStart w:id="85" w:name="_Toc17631"/>
      <w:bookmarkStart w:id="86" w:name="_Toc29436"/>
      <w:bookmarkStart w:id="87" w:name="_Toc141740822"/>
      <w:bookmarkStart w:id="88" w:name="_Toc28679"/>
      <w:bookmarkStart w:id="89" w:name="_Toc4036"/>
      <w:bookmarkStart w:id="90" w:name="_Toc29144"/>
      <w:bookmarkStart w:id="91" w:name="_Toc21022"/>
      <w:bookmarkStart w:id="92" w:name="_Toc75793510"/>
      <w:bookmarkStart w:id="93" w:name="_Toc18152"/>
      <w:bookmarkStart w:id="94" w:name="_Toc13418"/>
      <w:bookmarkStart w:id="95" w:name="_Toc8592"/>
      <w:bookmarkStart w:id="96" w:name="_Toc20367"/>
      <w:bookmarkStart w:id="97" w:name="_Toc30781"/>
      <w:bookmarkStart w:id="98" w:name="_Toc22142"/>
      <w:bookmarkStart w:id="99" w:name="_Toc7746"/>
      <w:bookmarkStart w:id="100" w:name="_Toc22158"/>
      <w:bookmarkStart w:id="101" w:name="_Toc1484"/>
      <w:bookmarkStart w:id="102" w:name="_Toc267320050"/>
      <w:bookmarkStart w:id="103" w:name="_Toc4320"/>
      <w:bookmarkStart w:id="104" w:name="_Toc22553"/>
      <w:bookmarkStart w:id="105" w:name="_Toc109045666"/>
      <w:bookmarkStart w:id="106" w:name="_Toc344475121"/>
      <w:bookmarkStart w:id="107" w:name="_Toc128744993"/>
      <w:bookmarkStart w:id="108" w:name="_Toc22463"/>
      <w:bookmarkStart w:id="109" w:name="_Toc487204790"/>
      <w:bookmarkStart w:id="110" w:name="_Toc12789058"/>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工期及项目</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项目地点</w:t>
      </w:r>
      <w:bookmarkEnd w:id="82"/>
    </w:p>
    <w:p w14:paraId="70D8150A">
      <w:pPr>
        <w:snapToGrid w:val="0"/>
        <w:spacing w:line="400" w:lineRule="exact"/>
        <w:ind w:firstLine="360" w:firstLineChars="150"/>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工期</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30日历天。</w:t>
      </w:r>
    </w:p>
    <w:p w14:paraId="13370E88">
      <w:pPr>
        <w:snapToGrid w:val="0"/>
        <w:spacing w:line="4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en-US" w:eastAsia="zh-CN"/>
        </w:rPr>
        <w:t>项目地点</w:t>
      </w:r>
      <w:r>
        <w:rPr>
          <w:rFonts w:hint="eastAsia" w:ascii="宋体" w:hAnsi="宋体" w:eastAsia="宋体" w:cs="宋体"/>
          <w:color w:val="auto"/>
          <w:sz w:val="24"/>
          <w:szCs w:val="24"/>
          <w:highlight w:val="none"/>
        </w:rPr>
        <w:t>：采购人指定地点。</w:t>
      </w:r>
    </w:p>
    <w:p w14:paraId="0176D0C0">
      <w:pPr>
        <w:snapToGrid w:val="0"/>
        <w:spacing w:line="4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（三）验收方式：符合国家及重庆市现行有关施工质量验收规范要求，并达到合格标准。</w:t>
      </w:r>
    </w:p>
    <w:bookmarkEnd w:id="83"/>
    <w:bookmarkEnd w:id="84"/>
    <w:bookmarkEnd w:id="85"/>
    <w:p w14:paraId="01D0C0E0">
      <w:pPr>
        <w:pStyle w:val="3"/>
        <w:spacing w:before="48" w:after="48"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二、报价要求</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0BB232C9">
      <w:pPr>
        <w:snapToGrid w:val="0"/>
        <w:spacing w:line="400" w:lineRule="exact"/>
        <w:ind w:firstLine="360" w:firstLineChars="150"/>
        <w:rPr>
          <w:rFonts w:hint="eastAsia" w:ascii="宋体" w:hAnsi="宋体" w:eastAsia="宋体" w:cs="宋体"/>
          <w:color w:val="auto"/>
          <w:sz w:val="24"/>
          <w:szCs w:val="24"/>
          <w:highlight w:val="none"/>
        </w:rPr>
      </w:pPr>
      <w:bookmarkStart w:id="111" w:name="_Toc1450"/>
      <w:bookmarkStart w:id="112" w:name="_Toc2821"/>
      <w:bookmarkStart w:id="113" w:name="_Toc20887"/>
      <w:bookmarkStart w:id="114" w:name="_Toc2244"/>
      <w:bookmarkStart w:id="115" w:name="_Toc23903"/>
      <w:bookmarkStart w:id="116" w:name="_Toc14177"/>
      <w:bookmarkStart w:id="117" w:name="_Toc141740823"/>
      <w:bookmarkStart w:id="118" w:name="_Toc32313"/>
      <w:bookmarkStart w:id="119" w:name="_Toc15677"/>
      <w:bookmarkStart w:id="120" w:name="_Toc16693"/>
      <w:bookmarkStart w:id="121" w:name="_Toc4252"/>
      <w:bookmarkStart w:id="122" w:name="_Toc75793511"/>
      <w:bookmarkStart w:id="123" w:name="_Toc3465"/>
      <w:bookmarkStart w:id="124" w:name="_Toc4774"/>
      <w:bookmarkStart w:id="125" w:name="_Toc15096"/>
      <w:bookmarkStart w:id="126" w:name="_Toc27382"/>
      <w:r>
        <w:rPr>
          <w:rFonts w:hint="eastAsia" w:ascii="宋体" w:hAnsi="宋体" w:eastAsia="宋体" w:cs="宋体"/>
          <w:color w:val="auto"/>
          <w:sz w:val="24"/>
          <w:szCs w:val="24"/>
          <w:highlight w:val="none"/>
        </w:rPr>
        <w:t>（一）工程计价方式：本工程采用工程量清单计价。</w:t>
      </w:r>
    </w:p>
    <w:p w14:paraId="7670CF31">
      <w:pPr>
        <w:snapToGrid w:val="0"/>
        <w:spacing w:line="4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（二）竞采报价范围：各供应商对采购人提供的工程量清单，结合供应商自身情况及市场行情进行报价。</w:t>
      </w:r>
    </w:p>
    <w:p w14:paraId="1F71BBEE">
      <w:pPr>
        <w:snapToGrid w:val="0"/>
        <w:spacing w:line="4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（三）报价要求：</w:t>
      </w:r>
    </w:p>
    <w:p w14:paraId="024B5257">
      <w:pPr>
        <w:snapToGrid w:val="0"/>
        <w:spacing w:line="4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1.本次报价须为人民币报价，供应商以竞采文件、工程量清单、国家技术和经济规范及标准为依据，由供应商结合自身实力、市场行情自主合理报价。项目总价和子项目价以及各项单价不能超过</w:t>
      </w:r>
      <w:r>
        <w:rPr>
          <w:rFonts w:hint="eastAsia" w:ascii="宋体" w:hAnsi="宋体" w:eastAsia="宋体" w:cs="宋体"/>
          <w:color w:val="auto"/>
          <w:sz w:val="24"/>
          <w:szCs w:val="24"/>
          <w:highlight w:val="none"/>
          <w:lang w:val="en-US" w:eastAsia="zh-CN"/>
        </w:rPr>
        <w:t>工程量</w:t>
      </w:r>
      <w:r>
        <w:rPr>
          <w:rFonts w:hint="eastAsia" w:ascii="宋体" w:hAnsi="宋体" w:eastAsia="宋体" w:cs="宋体"/>
          <w:color w:val="auto"/>
          <w:sz w:val="24"/>
          <w:szCs w:val="24"/>
          <w:highlight w:val="none"/>
        </w:rPr>
        <w:t>清单上所列价格，否则做无效响应处理。报价应包括完成采购范围内工程项目的人工费、材料费、机械费、企业管理费、利润、风险费用、措施费（含易撒漏物资密闭运输的费用）、规费、安全文明施工费、税金、政策性文件规定、报建（如需）、验收、后期服务、保险等履行完本项目的所有费用，采购人不再支付任何费用。</w:t>
      </w:r>
    </w:p>
    <w:p w14:paraId="0C0FD206">
      <w:pPr>
        <w:snapToGrid w:val="0"/>
        <w:spacing w:line="400" w:lineRule="exact"/>
        <w:ind w:firstLine="360" w:firstLineChars="15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2.报价依据：各供应商以竞采文件、合同条件、工程量清单、周边环境、现场勘查、国家技术和经济规范及标准、2013年《重庆市建设工程工程量清单计价规范》、2013年《重庆市建设工程工程量清单计价规则》、2013年《重庆市建设工程工程量清单计量规则》、2018年《重庆市房屋建筑与装饰工程计价定额》、《重庆市市政工程计价定额》、《重庆市通用安装工程计价定额》、《重庆市房屋修缮工程计价定额》等相关配套文件，结合自身实力、市场行情自主合理报价并按要求编制完整的投标工程量清单，未按要求编制并将被视为重大偏差，其响应文件将被否决。竞标报价应包括完成采购范围内工程项目的人工费、材料费、机械费、企业管理费、利润、风险费用、措施费（含安全文明施工费）、规费、税金、及考虑政策性文件规定的费用（含高温补贴），以及合同文件中应由成交供应商承担的所有责任、义务和一般风险等费用，采购人除此以外不支付其它费用</w:t>
      </w:r>
      <w:r>
        <w:rPr>
          <w:rFonts w:hint="eastAsia" w:ascii="宋体" w:hAnsi="宋体" w:eastAsia="宋体" w:cs="宋体"/>
          <w:color w:val="auto"/>
          <w:kern w:val="2"/>
          <w:sz w:val="24"/>
          <w:szCs w:val="24"/>
          <w:highlight w:val="none"/>
          <w:lang w:val="en-US" w:eastAsia="zh-CN" w:bidi="ar-SA"/>
        </w:rPr>
        <w:t>。</w:t>
      </w:r>
    </w:p>
    <w:p w14:paraId="69BE1C1E">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供应商应认真填写工程量清单中所列的本合同各工程子目的单价和总价。供应商没有填入单价和总价的工程子目，采购人将认为该子目的价款已包括在工程量清单其他子目的单价和总价中。供应商在工程量清单中多报或少报的子目和单价或总价发包人将不予接受，并将被视为重大偏差，其响应文件将被否决。供应商须按采购人提供的工程量清单填报价格，不得随意更改工程量清单内的排序、项目编码、项目名称、项目特征、计量单位、工程量（措施项目清单除外），否则作未响应商务部分需求。供应商的报价不得超过总价最高限价，否则按无效竞标处理。</w:t>
      </w:r>
    </w:p>
    <w:p w14:paraId="581123CC">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4.报价函中的总报价必须与已标价工程量清单总报价一致，否则作未响应商务部分要求。</w:t>
      </w:r>
    </w:p>
    <w:p w14:paraId="3031A44A">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5.安全文明施工费：</w:t>
      </w:r>
    </w:p>
    <w:p w14:paraId="541C9289">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根据《重庆城乡建设委员会关于印发&lt;重庆市建设工程安全文明施工费计取及使用管理规定(2024年版)&gt;的通知》（渝建管〔2024〕38号）规定，安全文明施工费由安全施工费、文明施工费、环境保护费及临时设施费组成。</w:t>
      </w:r>
    </w:p>
    <w:p w14:paraId="57DF4204">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②安全文明施工费的要求与内容、提取支付方法以及违反约定造成损失的赔偿等条款，按照现行规范性要求执行，做到专款专用。</w:t>
      </w:r>
    </w:p>
    <w:p w14:paraId="065C7A6D">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③工程量清单报价中的安全文明施工费必须按照采购人给出的暂定金额填报，否则视为对竞采文件不作实质性响应，其响应文件为无效响应。</w:t>
      </w:r>
    </w:p>
    <w:p w14:paraId="0A33D4A9">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本工程所需材料、设备由供应商结合市场行情及自身实力进行自主报价。人工费由供应商按重庆市建设工程造价管理总站发布的最新一期《重庆工程造价信息》公布的人工价并结合市场行情及自身实力进行自主报价，由各供应商结合市场行情自主测算计入各分部分项综合单价中。</w:t>
      </w:r>
    </w:p>
    <w:p w14:paraId="3BB8F34D">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7.措施项目费：措施项目费清单包括施工组织措施项目清单和施工技术措施项目清单两部分。</w:t>
      </w:r>
    </w:p>
    <w:p w14:paraId="7F1DB7B6">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①施工组织措施项目清单：供应商结合本工程的实际情况和国家及重庆市相关管理规定自行增减项目，并进行报价。如果漏项或不报价，视为已包含在其他项目清单综合单价内。</w:t>
      </w:r>
    </w:p>
    <w:p w14:paraId="39D836CB">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技术措施项目清单：技术措施清单中以“项”计列的项目，由供应商根据本工程的实际情况结合自身的施工组织设计，以“项”为单位按总价自行报价，一旦成交，不作调整（政府另有规定除外）；技术措施清单中以清单列项（项目编码、项目名称、项目特征、工程内容、工程量及计量单位）的项目，供应商必须按采购人给出的施工技术措施项目清单按单价进行报价，同时不得擅自变改采购人提供的施工技术措施项目清单中的序号、项目编码、项目名称、项目特征、工程内容、工程量及计量单位，否则视为对采购文件不作实质性响应。</w:t>
      </w:r>
    </w:p>
    <w:p w14:paraId="56DCBF1A">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8.税金：按规定费率进行计算，按《重庆市建设工程费用定额》（CQFYDE-2018）、《重庆市住房和城乡建设委员会关于适用增值税新税率调整建设工程计价依据的通知》（渝建〔2019〕143号）要求执行。</w:t>
      </w:r>
    </w:p>
    <w:p w14:paraId="4F0128EA">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9.规费：由供应商按国家及重庆市有关规定报价，包含在所报的总价内。</w:t>
      </w:r>
    </w:p>
    <w:p w14:paraId="3DEC4AEC">
      <w:pPr>
        <w:snapToGrid w:val="0"/>
        <w:spacing w:line="400" w:lineRule="exact"/>
        <w:ind w:firstLine="360" w:firstLineChars="15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10.</w:t>
      </w:r>
      <w:r>
        <w:rPr>
          <w:rFonts w:hint="eastAsia" w:cs="宋体"/>
          <w:color w:val="auto"/>
          <w:sz w:val="24"/>
          <w:szCs w:val="24"/>
          <w:highlight w:val="none"/>
          <w:lang w:val="en-US" w:eastAsia="zh-CN"/>
        </w:rPr>
        <w:t>本项目</w:t>
      </w:r>
      <w:r>
        <w:rPr>
          <w:rFonts w:hint="eastAsia" w:ascii="宋体" w:hAnsi="宋体" w:eastAsia="宋体" w:cs="宋体"/>
          <w:color w:val="auto"/>
          <w:sz w:val="24"/>
          <w:szCs w:val="24"/>
          <w:highlight w:val="none"/>
          <w:lang w:val="en-US" w:eastAsia="zh-CN"/>
        </w:rPr>
        <w:t>最高投标限价为人民币：3682</w:t>
      </w:r>
      <w:r>
        <w:rPr>
          <w:rFonts w:hint="eastAsia" w:cs="宋体"/>
          <w:color w:val="auto"/>
          <w:sz w:val="24"/>
          <w:szCs w:val="24"/>
          <w:highlight w:val="none"/>
          <w:lang w:val="en-US" w:eastAsia="zh-CN"/>
        </w:rPr>
        <w:t>677.47</w:t>
      </w:r>
      <w:r>
        <w:rPr>
          <w:rFonts w:hint="eastAsia" w:ascii="宋体" w:hAnsi="宋体" w:eastAsia="宋体" w:cs="宋体"/>
          <w:color w:val="auto"/>
          <w:sz w:val="24"/>
          <w:szCs w:val="24"/>
          <w:highlight w:val="none"/>
          <w:lang w:val="en-US" w:eastAsia="zh-CN"/>
        </w:rPr>
        <w:t>元，其中，安全文明施工费为人民币：</w:t>
      </w:r>
      <w:r>
        <w:rPr>
          <w:rFonts w:hint="eastAsia" w:cs="宋体"/>
          <w:color w:val="auto"/>
          <w:sz w:val="24"/>
          <w:szCs w:val="24"/>
          <w:highlight w:val="none"/>
          <w:lang w:val="en-US" w:eastAsia="zh-CN"/>
        </w:rPr>
        <w:t>125259.27</w:t>
      </w:r>
      <w:r>
        <w:rPr>
          <w:rFonts w:hint="eastAsia" w:ascii="宋体" w:hAnsi="宋体" w:eastAsia="宋体" w:cs="宋体"/>
          <w:color w:val="auto"/>
          <w:sz w:val="24"/>
          <w:szCs w:val="24"/>
          <w:highlight w:val="none"/>
          <w:lang w:val="en-US" w:eastAsia="zh-CN"/>
        </w:rPr>
        <w:t>元，供应商的投标总报价和各项单价报价不得超过对应最高限价。安全文明施工费及暂列金额按采购人给出的金额填报，不得修改，否则均由评审小组作无效响应处理。</w:t>
      </w:r>
    </w:p>
    <w:bookmarkEnd w:id="102"/>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14:paraId="382C5A74">
      <w:pPr>
        <w:pStyle w:val="3"/>
        <w:spacing w:before="48" w:after="48" w:line="400" w:lineRule="exact"/>
        <w:ind w:firstLine="480" w:firstLineChars="200"/>
        <w:rPr>
          <w:rFonts w:hint="eastAsia" w:ascii="宋体" w:hAnsi="宋体" w:eastAsia="宋体" w:cs="宋体"/>
          <w:color w:val="auto"/>
          <w:sz w:val="24"/>
          <w:szCs w:val="24"/>
          <w:highlight w:val="none"/>
        </w:rPr>
      </w:pPr>
      <w:bookmarkStart w:id="127" w:name="_Toc21888"/>
      <w:bookmarkStart w:id="128" w:name="_Toc267320051"/>
      <w:bookmarkStart w:id="129" w:name="_Toc25932"/>
      <w:bookmarkStart w:id="130" w:name="_Toc8955"/>
      <w:bookmarkStart w:id="131" w:name="_Toc1008"/>
      <w:bookmarkStart w:id="132" w:name="_Toc32722"/>
      <w:bookmarkStart w:id="133" w:name="_Toc141740824"/>
      <w:bookmarkStart w:id="134" w:name="_Toc5174"/>
      <w:bookmarkStart w:id="135" w:name="_Toc25745"/>
      <w:bookmarkStart w:id="136" w:name="_Toc25552"/>
      <w:bookmarkStart w:id="137" w:name="_Toc75793512"/>
      <w:bookmarkStart w:id="138" w:name="_Toc29286"/>
      <w:bookmarkStart w:id="139" w:name="_Toc18007"/>
      <w:bookmarkStart w:id="140" w:name="_Toc19350"/>
      <w:bookmarkStart w:id="141" w:name="_Toc12285"/>
      <w:bookmarkStart w:id="142" w:name="_Toc30442"/>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、付款方式</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326C3F9D">
      <w:pPr>
        <w:pageBreakBefore w:val="0"/>
        <w:widowControl/>
        <w:wordWrap/>
        <w:topLinePunct w:val="0"/>
        <w:bidi w:val="0"/>
        <w:snapToGrid w:val="0"/>
        <w:spacing w:line="440" w:lineRule="exact"/>
        <w:ind w:firstLine="540"/>
        <w:jc w:val="left"/>
        <w:textAlignment w:val="auto"/>
        <w:rPr>
          <w:rFonts w:hint="eastAsia" w:ascii="宋体" w:hAnsi="宋体" w:eastAsia="宋体" w:cs="宋体"/>
          <w:color w:val="auto"/>
          <w:kern w:val="0"/>
          <w:sz w:val="24"/>
          <w:szCs w:val="24"/>
          <w:highlight w:val="none"/>
        </w:rPr>
      </w:pPr>
      <w:r>
        <w:rPr>
          <w:rFonts w:hint="eastAsia" w:cs="宋体"/>
          <w:color w:val="auto"/>
          <w:sz w:val="24"/>
          <w:szCs w:val="24"/>
          <w:highlight w:val="none"/>
          <w:lang w:val="en-US" w:eastAsia="zh-CN"/>
        </w:rPr>
        <w:t>1.</w:t>
      </w:r>
      <w:r>
        <w:rPr>
          <w:rFonts w:hint="default" w:ascii="宋体" w:hAnsi="宋体"/>
          <w:color w:val="auto"/>
          <w:szCs w:val="21"/>
          <w:highlight w:val="none"/>
          <w:u w:val="none"/>
          <w:lang w:val="en-US" w:eastAsia="zh-CN"/>
        </w:rPr>
        <w:t>本工程采用按月</w:t>
      </w:r>
      <w:r>
        <w:rPr>
          <w:rFonts w:hint="eastAsia" w:ascii="宋体" w:hAnsi="宋体"/>
          <w:color w:val="auto"/>
          <w:szCs w:val="21"/>
          <w:highlight w:val="none"/>
          <w:u w:val="none"/>
          <w:lang w:val="en-US" w:eastAsia="zh-CN"/>
        </w:rPr>
        <w:t>（期）</w:t>
      </w:r>
      <w:r>
        <w:rPr>
          <w:rFonts w:hint="default" w:ascii="宋体" w:hAnsi="宋体"/>
          <w:color w:val="auto"/>
          <w:szCs w:val="21"/>
          <w:highlight w:val="none"/>
          <w:u w:val="none"/>
          <w:lang w:val="en-US" w:eastAsia="zh-CN"/>
        </w:rPr>
        <w:t>支付方式，支付的金额为经监理人、跟踪审计</w:t>
      </w:r>
      <w:r>
        <w:rPr>
          <w:rFonts w:hint="eastAsia" w:ascii="宋体" w:hAnsi="宋体"/>
          <w:color w:val="auto"/>
          <w:szCs w:val="21"/>
          <w:highlight w:val="none"/>
          <w:u w:val="none"/>
          <w:lang w:val="en-US" w:eastAsia="zh-CN"/>
        </w:rPr>
        <w:t>单位和发包人审定</w:t>
      </w:r>
      <w:r>
        <w:rPr>
          <w:rFonts w:hint="default" w:ascii="宋体" w:hAnsi="宋体"/>
          <w:color w:val="auto"/>
          <w:szCs w:val="21"/>
          <w:highlight w:val="none"/>
          <w:u w:val="none"/>
          <w:lang w:val="en-US" w:eastAsia="zh-CN"/>
        </w:rPr>
        <w:t>的当月</w:t>
      </w:r>
      <w:r>
        <w:rPr>
          <w:rFonts w:hint="eastAsia" w:ascii="宋体" w:hAnsi="宋体"/>
          <w:color w:val="auto"/>
          <w:szCs w:val="21"/>
          <w:highlight w:val="none"/>
          <w:u w:val="none"/>
          <w:lang w:val="en-US" w:eastAsia="zh-CN"/>
        </w:rPr>
        <w:t>（期）</w:t>
      </w:r>
      <w:r>
        <w:rPr>
          <w:rFonts w:hint="default" w:ascii="宋体" w:hAnsi="宋体"/>
          <w:color w:val="auto"/>
          <w:szCs w:val="21"/>
          <w:highlight w:val="none"/>
          <w:u w:val="none"/>
          <w:lang w:val="en-US" w:eastAsia="zh-CN"/>
        </w:rPr>
        <w:t>实际完成工程量的 80%</w:t>
      </w:r>
      <w:r>
        <w:rPr>
          <w:rFonts w:hint="eastAsia" w:ascii="宋体" w:hAnsi="宋体"/>
          <w:color w:val="auto"/>
          <w:szCs w:val="21"/>
          <w:highlight w:val="none"/>
          <w:u w:val="none"/>
          <w:lang w:val="en-US" w:eastAsia="zh-CN"/>
        </w:rPr>
        <w:t>（变更及增量按进度款同时期同比例支付）</w:t>
      </w:r>
      <w:r>
        <w:rPr>
          <w:rFonts w:hint="default" w:ascii="宋体" w:hAnsi="宋体"/>
          <w:color w:val="auto"/>
          <w:szCs w:val="21"/>
          <w:highlight w:val="none"/>
          <w:u w:val="none"/>
          <w:lang w:val="en-US" w:eastAsia="zh-CN"/>
        </w:rPr>
        <w:t>；</w:t>
      </w:r>
      <w:r>
        <w:rPr>
          <w:rFonts w:hint="eastAsia" w:ascii="宋体" w:hAnsi="宋体"/>
          <w:color w:val="auto"/>
          <w:szCs w:val="21"/>
          <w:highlight w:val="none"/>
          <w:u w:val="none"/>
        </w:rPr>
        <w:t>工程竣工验收合格</w:t>
      </w:r>
      <w:r>
        <w:rPr>
          <w:rFonts w:hint="eastAsia" w:ascii="宋体" w:hAnsi="宋体"/>
          <w:color w:val="auto"/>
          <w:szCs w:val="21"/>
          <w:highlight w:val="none"/>
          <w:u w:val="none"/>
          <w:lang w:eastAsia="zh-CN"/>
        </w:rPr>
        <w:t>，且</w:t>
      </w:r>
      <w:r>
        <w:rPr>
          <w:rFonts w:hint="eastAsia" w:ascii="宋体" w:hAnsi="宋体"/>
          <w:color w:val="auto"/>
          <w:szCs w:val="21"/>
          <w:highlight w:val="none"/>
          <w:u w:val="none"/>
        </w:rPr>
        <w:t xml:space="preserve">移交完整的工程竣工资料后，发包人向承包人支付至累计进度审定金额的 </w:t>
      </w:r>
      <w:r>
        <w:rPr>
          <w:rFonts w:hint="eastAsia" w:ascii="宋体" w:hAnsi="宋体"/>
          <w:color w:val="auto"/>
          <w:szCs w:val="21"/>
          <w:highlight w:val="none"/>
          <w:u w:val="none"/>
          <w:lang w:val="en-US" w:eastAsia="zh-CN"/>
        </w:rPr>
        <w:t>85</w:t>
      </w:r>
      <w:r>
        <w:rPr>
          <w:rFonts w:hint="eastAsia" w:ascii="宋体" w:hAnsi="宋体"/>
          <w:color w:val="auto"/>
          <w:szCs w:val="21"/>
          <w:highlight w:val="none"/>
          <w:u w:val="none"/>
        </w:rPr>
        <w:t xml:space="preserve"> %</w:t>
      </w:r>
      <w:r>
        <w:rPr>
          <w:rFonts w:hint="eastAsia" w:ascii="宋体" w:hAnsi="宋体"/>
          <w:color w:val="auto"/>
          <w:szCs w:val="21"/>
          <w:highlight w:val="none"/>
          <w:u w:val="none"/>
          <w:lang w:eastAsia="zh-CN"/>
        </w:rPr>
        <w:t>；</w:t>
      </w:r>
      <w:r>
        <w:rPr>
          <w:rFonts w:hint="eastAsia" w:ascii="宋体" w:hAnsi="宋体" w:eastAsia="宋体" w:cs="宋体"/>
          <w:color w:val="auto"/>
          <w:sz w:val="24"/>
          <w:szCs w:val="24"/>
          <w:highlight w:val="none"/>
          <w:u w:val="none"/>
          <w:lang w:val="en-US" w:eastAsia="zh-CN"/>
        </w:rPr>
        <w:t>完成结</w:t>
      </w:r>
      <w:r>
        <w:rPr>
          <w:rFonts w:hint="eastAsia" w:ascii="宋体" w:hAnsi="宋体" w:eastAsia="宋体" w:cs="宋体"/>
          <w:color w:val="auto"/>
          <w:sz w:val="24"/>
          <w:szCs w:val="24"/>
          <w:highlight w:val="none"/>
          <w:lang w:val="en-US" w:eastAsia="zh-CN"/>
        </w:rPr>
        <w:t>算终审后（如需相关行政单位审定，结算金额按相关行政单位审定为准），发包人向承包人支付至结算审定金额的97%；缺陷责任期满后发包人向承包人支付剩余工程款。</w:t>
      </w:r>
    </w:p>
    <w:p w14:paraId="701A25AE">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2.支付款项前，乙方应提供与付款金额一致的增值税专用发票（采购人根据成交供应商开具的发票对税金进行结算）。款项支付时需要中标供应商提供准确的账户、账号及公司全称等信息。</w:t>
      </w:r>
    </w:p>
    <w:p w14:paraId="6447F296">
      <w:pPr>
        <w:snapToGrid w:val="0"/>
        <w:spacing w:line="400" w:lineRule="exact"/>
        <w:ind w:firstLine="360" w:firstLineChars="150"/>
        <w:outlineLvl w:val="1"/>
        <w:rPr>
          <w:rFonts w:hint="eastAsia" w:ascii="宋体" w:hAnsi="宋体" w:eastAsia="宋体" w:cs="宋体"/>
          <w:b/>
          <w:color w:val="auto"/>
          <w:sz w:val="24"/>
          <w:szCs w:val="24"/>
          <w:highlight w:val="none"/>
        </w:rPr>
      </w:pPr>
      <w:bookmarkStart w:id="143" w:name="_Toc25047"/>
      <w:r>
        <w:rPr>
          <w:rFonts w:hint="eastAsia" w:cs="宋体"/>
          <w:b/>
          <w:color w:val="auto"/>
          <w:sz w:val="24"/>
          <w:szCs w:val="24"/>
          <w:highlight w:val="none"/>
          <w:lang w:val="en-US" w:eastAsia="zh-CN"/>
        </w:rPr>
        <w:t>四</w:t>
      </w:r>
      <w:r>
        <w:rPr>
          <w:rFonts w:hint="eastAsia" w:ascii="宋体" w:hAnsi="宋体" w:eastAsia="宋体" w:cs="宋体"/>
          <w:b/>
          <w:color w:val="auto"/>
          <w:sz w:val="24"/>
          <w:szCs w:val="24"/>
          <w:highlight w:val="none"/>
          <w:lang w:eastAsia="zh-CN"/>
        </w:rPr>
        <w:t>、结算原则</w:t>
      </w:r>
      <w:bookmarkEnd w:id="143"/>
    </w:p>
    <w:p w14:paraId="41A25625">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合同采用固定综合单价计价形式，综合单价不因工程量的增减（工程量的变化、施工方式的变化）而调整。除非合同另有约定，投标报价的工程量清单中的综合单价均已包含了承包人为实施和完成合同工程量清单项目所需的人工费、材料费、机械费、管理费、利润、风险费用、人工机械降效、预留预埋、管网保护、高温补贴费等，并考虑政策性文件规定的费用，以及合同文件中应由承包人承担的所有责任、义务和一般风险等费用。</w:t>
      </w:r>
    </w:p>
    <w:p w14:paraId="5A9D929B">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2.结算总价=分部分项工程量清单结算价+工程变更或增减部分结算+措施费（除安全文明施工费）+安全文明施工费+规费+税金+合同约定其它费用。注:最终以审计部门审计为准。</w:t>
      </w:r>
    </w:p>
    <w:p w14:paraId="10D819FB">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3.分部分项工程量清单结算价</w:t>
      </w:r>
    </w:p>
    <w:p w14:paraId="5F8A90B2">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工程结算时，以乙方在本项目投标文件中清单价为结算单价依据，乘以现场实际收方记录的工程量，各工程子项的结算金额累计相加，即得到结算金额。</w:t>
      </w:r>
    </w:p>
    <w:p w14:paraId="7400FC2D">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4.工程变更或增减部分结算</w:t>
      </w:r>
    </w:p>
    <w:p w14:paraId="7F7C065F">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已标价的工程量清单有适用于变更项目的，应采用该项目的单价。</w:t>
      </w:r>
    </w:p>
    <w:p w14:paraId="7289B44C">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已标价的工程量清单没有适用但有类似于变更工程项目的，可在合理范围内参照类似项目的单价。</w:t>
      </w:r>
    </w:p>
    <w:p w14:paraId="2C26C027">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已标价的工程量清单没有适用也没有类似于变更工程项目的，按《建设工程工程量清单计价规范》（GB50500-2013）及相应的工程量计算规范，《重庆市建设工程工程量清单计价规则》（CQJJGZ-2013）、《重庆市建设工程工程量计算规则》（CQJLGZ-2013），《重庆市房屋建筑与装饰工程计价定额》、《重庆市房屋建筑与装饰工程计价定额》（CQJZZSDE-2018 、《重庆市市政工程计价定额》（CQSZDE-2018）、《重庆市建设工程费用定额》（CQFYDE-2018）、《重庆市通用安装工程计价定额》（CQAZDE-2018）、《重庆市建筑工程混凝土及砂浆配合比表定额》（CQPHBB-2018）的规定进行组价，组价原则为采用投标清单报价中的人工、材料、机械、设备单价和有关投标取费费率的基础上编制计算后按中标总价与本工程最高限价之间的下浮比例下浮，经监理、跟踪审计单位（如有）审核后报甲方按相关审批程序确定价格。当有材料缺项时，由甲方会同相关单位按市场行情认质核价。转运费、包干费、临时设施费等相关措施性费用不再计取。</w:t>
      </w:r>
    </w:p>
    <w:p w14:paraId="4EF50422">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5.措施费：</w:t>
      </w:r>
    </w:p>
    <w:p w14:paraId="714EDC8C">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lang w:val="en-US" w:eastAsia="zh-CN"/>
        </w:rPr>
        <w:t>施工组织措施工程费（除安全文明施工费）：施工组织措施工程按中标费率结算，如中标费率高于规定的费率，则按规定的费率进行结算。</w:t>
      </w:r>
    </w:p>
    <w:p w14:paraId="4DDB9EB8">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施工技术措施工程费：技术措施清单中在本次</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范围内以项计列的工程，无论因设计变更或施工工艺变化等任何因素而引起实际措施费的变化，均按响应时施工技术措施工程费的报价作为结算价。技术措施清单中以序号、工程编码、工程名称、工程特征、工作内容、工程量及计量单位列项的工程，综合单价不作调整，工程量按《建设工程工程量清单计量规范》（GB50500-2013）、《重庆市建设工程工程量计算规则》及其配套文件规定的计量规则及工程量清单说明按实计量。</w:t>
      </w:r>
    </w:p>
    <w:p w14:paraId="62AF7F71">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6.安全文明施工费：</w:t>
      </w:r>
    </w:p>
    <w:p w14:paraId="12EA0BD7">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根据《重庆城乡建设委员会关于印发&lt;重庆市建设工程安全文明施工费计取及使用管理规定&gt;的通知》（渝建发〔2014〕25号）规定，安全文明施工费由安全施工费、文明施工费、环境保护费及临时设施费组成。</w:t>
      </w:r>
    </w:p>
    <w:p w14:paraId="6965DA8D">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7.规费：按规定费率结算。</w:t>
      </w:r>
    </w:p>
    <w:p w14:paraId="4BCE977E">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8.税金：根据《关于调整增值税税率的通知》财税（2018）32号文结合《重庆市建设工程费用定额》（CQFYDE-2018）按实调整。</w:t>
      </w:r>
    </w:p>
    <w:p w14:paraId="12CF54AB">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9.其他费用：以规定费率结算。</w:t>
      </w:r>
    </w:p>
    <w:p w14:paraId="6E311531">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10.工程结算中相关内容应按《重庆市住房和城乡建设委员会关于适用增值税新税率调整建设工程计价依据的通知》（渝建〔2019〕143号）的要求执行。</w:t>
      </w:r>
    </w:p>
    <w:p w14:paraId="7AC22E75">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工程结算若由相关部门按规定委托第三方审计机构进行审核，乙方应按实报送结算金额，若审减率在10%（含）以内，审核机构收取的基本审核费和审减效益费由甲方承担；若审减率超过10%，则审核机构收取的基本审核费和审减效益费全部由乙方承担。</w:t>
      </w:r>
    </w:p>
    <w:p w14:paraId="005419C8">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12.工程量变更（如有）只能在招标限价金额内增减项目，经审计审核的最终结算金额不得超过招标限价</w:t>
      </w:r>
      <w:r>
        <w:rPr>
          <w:rFonts w:hint="eastAsia" w:cs="宋体"/>
          <w:color w:val="auto"/>
          <w:sz w:val="24"/>
          <w:szCs w:val="24"/>
          <w:highlight w:val="none"/>
          <w:lang w:val="en-US" w:eastAsia="zh-CN"/>
        </w:rPr>
        <w:t>的10%</w:t>
      </w:r>
      <w:r>
        <w:rPr>
          <w:rFonts w:hint="eastAsia" w:ascii="宋体" w:hAnsi="宋体" w:eastAsia="宋体" w:cs="宋体"/>
          <w:color w:val="auto"/>
          <w:sz w:val="24"/>
          <w:szCs w:val="24"/>
          <w:highlight w:val="none"/>
          <w:lang w:val="en-US" w:eastAsia="zh-CN"/>
        </w:rPr>
        <w:t>，超出部分由乙方自行承担。</w:t>
      </w:r>
    </w:p>
    <w:p w14:paraId="02498B5B">
      <w:pPr>
        <w:snapToGrid w:val="0"/>
        <w:spacing w:line="400" w:lineRule="exact"/>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13.乙方根据项目完成所有竞采内容，包括完成</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zh-CN"/>
        </w:rPr>
        <w:t>范围内明示或暗示的工程的人工费、材料费、施工机具使用费、企业管理费、利润、风险费用、措施费、安全文明施工费、规费、税金、政策性文件规定的所有费用。乙方不得因低价中标等因素而要求增加工程内容、提高相关费用等事项。</w:t>
      </w:r>
    </w:p>
    <w:p w14:paraId="3FEAB988">
      <w:pPr>
        <w:pStyle w:val="3"/>
        <w:spacing w:before="48" w:after="48" w:line="400" w:lineRule="exact"/>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rPr>
        <w:t>、履约保证金</w:t>
      </w:r>
    </w:p>
    <w:p w14:paraId="590280B8">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1.担保形式：电汇或转帐或保函</w:t>
      </w:r>
    </w:p>
    <w:p w14:paraId="60F4CB15">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2.担保金额：中标金额的10%。</w:t>
      </w:r>
    </w:p>
    <w:p w14:paraId="682E93DB">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3.提交时间：成交供应商在收到成交通知书后 10 日内且在签订采购合同前提交到采购人指定账户，否则视为自动放弃中标资格，其投标保证金按相关规定处理。</w:t>
      </w:r>
    </w:p>
    <w:p w14:paraId="59FB53C8">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4.退还方式：竣工验收合格后20日内无息返还。</w:t>
      </w:r>
    </w:p>
    <w:p w14:paraId="48EBECAA">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注：采用保函的，保函须在重庆市辖区范围内有核验地点及核验方式，否则采购人视为保函无效。</w:t>
      </w:r>
    </w:p>
    <w:p w14:paraId="2A84C1F1">
      <w:pPr>
        <w:pStyle w:val="3"/>
        <w:spacing w:before="48" w:after="48" w:line="400" w:lineRule="exact"/>
        <w:ind w:firstLine="480" w:firstLineChars="200"/>
        <w:rPr>
          <w:rFonts w:hint="eastAsia" w:ascii="宋体" w:hAnsi="宋体" w:eastAsia="宋体" w:cs="宋体"/>
          <w:color w:val="auto"/>
          <w:sz w:val="24"/>
          <w:szCs w:val="24"/>
          <w:highlight w:val="none"/>
        </w:rPr>
      </w:pPr>
      <w:bookmarkStart w:id="144" w:name="_Toc22431"/>
      <w:bookmarkStart w:id="145" w:name="_Toc3565"/>
      <w:bookmarkStart w:id="146" w:name="_Toc28056"/>
      <w:bookmarkStart w:id="147" w:name="_Toc4897"/>
      <w:bookmarkStart w:id="148" w:name="_Toc75793513"/>
      <w:bookmarkStart w:id="149" w:name="_Toc9213"/>
      <w:bookmarkStart w:id="150" w:name="_Toc11399"/>
      <w:bookmarkStart w:id="151" w:name="_Toc11060"/>
      <w:bookmarkStart w:id="152" w:name="_Toc27144"/>
      <w:bookmarkStart w:id="153" w:name="_Toc18959"/>
      <w:bookmarkStart w:id="154" w:name="_Toc267320052"/>
      <w:bookmarkStart w:id="155" w:name="_Toc3311"/>
      <w:bookmarkStart w:id="156" w:name="_Toc141740825"/>
      <w:bookmarkStart w:id="157" w:name="_Toc10105"/>
      <w:bookmarkStart w:id="158" w:name="_Toc25410"/>
      <w:bookmarkStart w:id="159" w:name="_Toc4339"/>
      <w:bookmarkStart w:id="160" w:name="_Toc20369"/>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、知识产权</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7241F47A">
      <w:pPr>
        <w:snapToGrid w:val="0"/>
        <w:spacing w:line="400" w:lineRule="exact"/>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在中华人民共和国境内使用中标人提供的货物及服务时免受第三方提出的侵犯其专利权或其它知识产权的起诉。如果第三方提出侵权指控，中标人应承担由此而引起的一切法律责任和费用。如果第三方提出侵权指控，中标人应承担由此而引起的一切法律责任和费用。</w:t>
      </w:r>
    </w:p>
    <w:p w14:paraId="6DC521AE">
      <w:pPr>
        <w:pStyle w:val="3"/>
        <w:spacing w:before="48" w:after="48" w:line="400" w:lineRule="exact"/>
        <w:ind w:firstLine="480" w:firstLineChars="200"/>
        <w:rPr>
          <w:rFonts w:hint="eastAsia" w:ascii="宋体" w:hAnsi="宋体" w:eastAsia="宋体" w:cs="宋体"/>
          <w:color w:val="auto"/>
          <w:sz w:val="24"/>
          <w:szCs w:val="24"/>
          <w:highlight w:val="none"/>
        </w:rPr>
      </w:pPr>
      <w:bookmarkStart w:id="161" w:name="_Toc26694"/>
      <w:bookmarkStart w:id="162" w:name="_Toc5987"/>
      <w:bookmarkStart w:id="163" w:name="_Toc26367"/>
      <w:bookmarkStart w:id="164" w:name="_Toc28278"/>
      <w:bookmarkStart w:id="165" w:name="_Toc75793515"/>
      <w:bookmarkStart w:id="166" w:name="_Toc7168"/>
      <w:bookmarkStart w:id="167" w:name="_Toc18659"/>
      <w:bookmarkStart w:id="168" w:name="_Toc20414"/>
      <w:bookmarkStart w:id="169" w:name="_Toc28797"/>
      <w:bookmarkStart w:id="170" w:name="_Toc9916"/>
      <w:bookmarkStart w:id="171" w:name="_Toc28488"/>
      <w:bookmarkStart w:id="172" w:name="_Toc13166"/>
      <w:bookmarkStart w:id="173" w:name="_Toc18165"/>
      <w:bookmarkStart w:id="174" w:name="_Toc15245"/>
      <w:bookmarkStart w:id="175" w:name="_Toc8027"/>
      <w:bookmarkStart w:id="176" w:name="_Toc141740827"/>
      <w:r>
        <w:rPr>
          <w:rFonts w:hint="eastAsia" w:ascii="宋体" w:hAnsi="宋体" w:cs="宋体"/>
          <w:color w:val="auto"/>
          <w:sz w:val="24"/>
          <w:szCs w:val="24"/>
          <w:highlight w:val="none"/>
          <w:lang w:val="en-US" w:eastAsia="zh-CN"/>
        </w:rPr>
        <w:t>七</w:t>
      </w:r>
      <w:r>
        <w:rPr>
          <w:rFonts w:hint="eastAsia" w:ascii="宋体" w:hAnsi="宋体" w:eastAsia="宋体" w:cs="宋体"/>
          <w:color w:val="auto"/>
          <w:sz w:val="24"/>
          <w:szCs w:val="24"/>
          <w:highlight w:val="none"/>
        </w:rPr>
        <w:t>、</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Start w:id="177" w:name="_Toc17569"/>
      <w:bookmarkStart w:id="178" w:name="_Toc28513"/>
      <w:bookmarkStart w:id="179" w:name="_Toc14923"/>
      <w:bookmarkStart w:id="180" w:name="_Toc6385"/>
      <w:bookmarkStart w:id="181" w:name="_Toc23858"/>
      <w:bookmarkStart w:id="182" w:name="_Toc10406"/>
      <w:bookmarkStart w:id="183" w:name="_Toc1138"/>
      <w:bookmarkStart w:id="184" w:name="_Toc6099"/>
      <w:bookmarkStart w:id="185" w:name="_Toc75793516"/>
      <w:bookmarkStart w:id="186" w:name="_Toc27175"/>
      <w:bookmarkStart w:id="187" w:name="_Toc529"/>
      <w:bookmarkStart w:id="188" w:name="_Toc13936"/>
      <w:bookmarkStart w:id="189" w:name="_Toc32308"/>
      <w:bookmarkStart w:id="190" w:name="_Toc4353"/>
      <w:bookmarkStart w:id="191" w:name="_Toc30515"/>
      <w:r>
        <w:rPr>
          <w:rFonts w:hint="eastAsia" w:ascii="宋体" w:hAnsi="宋体" w:eastAsia="宋体" w:cs="宋体"/>
          <w:color w:val="auto"/>
          <w:sz w:val="24"/>
          <w:szCs w:val="24"/>
          <w:highlight w:val="none"/>
        </w:rPr>
        <w:t>其他</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72E3F059">
      <w:pPr>
        <w:spacing w:line="4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其他未尽事宜由供需双方在采购合同中详细约定。</w:t>
      </w:r>
    </w:p>
    <w:p w14:paraId="6CA05DFD">
      <w:pPr>
        <w:rPr>
          <w:rStyle w:val="41"/>
          <w:rFonts w:hint="eastAsia" w:ascii="宋体" w:hAnsi="宋体" w:eastAsia="宋体" w:cs="宋体"/>
          <w:b/>
          <w:bCs w:val="0"/>
          <w:color w:val="auto"/>
          <w:sz w:val="24"/>
          <w:szCs w:val="24"/>
          <w:highlight w:val="none"/>
        </w:rPr>
      </w:pPr>
      <w:r>
        <w:rPr>
          <w:rStyle w:val="41"/>
          <w:rFonts w:hint="eastAsia" w:ascii="宋体" w:hAnsi="宋体" w:eastAsia="宋体" w:cs="宋体"/>
          <w:b/>
          <w:bCs w:val="0"/>
          <w:color w:val="auto"/>
          <w:sz w:val="24"/>
          <w:szCs w:val="24"/>
          <w:highlight w:val="none"/>
        </w:rPr>
        <w:br w:type="page"/>
      </w:r>
    </w:p>
    <w:p w14:paraId="7A4C05EA">
      <w:pPr>
        <w:pStyle w:val="2"/>
        <w:jc w:val="center"/>
        <w:rPr>
          <w:rFonts w:hint="eastAsia" w:ascii="宋体" w:hAnsi="宋体" w:eastAsia="宋体" w:cs="宋体"/>
          <w:b w:val="0"/>
          <w:bCs w:val="0"/>
          <w:color w:val="auto"/>
          <w:highlight w:val="none"/>
        </w:rPr>
      </w:pPr>
      <w:r>
        <w:rPr>
          <w:rStyle w:val="41"/>
          <w:rFonts w:hint="eastAsia" w:ascii="宋体" w:hAnsi="宋体" w:eastAsia="宋体" w:cs="宋体"/>
          <w:b/>
          <w:bCs w:val="0"/>
          <w:color w:val="auto"/>
          <w:highlight w:val="none"/>
        </w:rPr>
        <w:t>第</w:t>
      </w:r>
      <w:r>
        <w:rPr>
          <w:rStyle w:val="41"/>
          <w:rFonts w:hint="eastAsia" w:ascii="宋体" w:hAnsi="宋体" w:eastAsia="宋体" w:cs="宋体"/>
          <w:b/>
          <w:bCs w:val="0"/>
          <w:color w:val="auto"/>
          <w:highlight w:val="none"/>
          <w:lang w:val="en-US"/>
        </w:rPr>
        <w:t>四</w:t>
      </w:r>
      <w:r>
        <w:rPr>
          <w:rStyle w:val="41"/>
          <w:rFonts w:hint="eastAsia" w:ascii="宋体" w:hAnsi="宋体" w:eastAsia="宋体" w:cs="宋体"/>
          <w:b/>
          <w:bCs w:val="0"/>
          <w:color w:val="auto"/>
          <w:highlight w:val="none"/>
        </w:rPr>
        <w:t>篇  供应商须知</w:t>
      </w:r>
      <w:bookmarkEnd w:id="103"/>
    </w:p>
    <w:p w14:paraId="01298DA2">
      <w:pPr>
        <w:pStyle w:val="10"/>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b/>
          <w:bCs/>
          <w:color w:val="auto"/>
          <w:kern w:val="0"/>
          <w:sz w:val="24"/>
          <w:szCs w:val="24"/>
          <w:highlight w:val="none"/>
          <w:lang w:val="en-US"/>
        </w:rPr>
      </w:pPr>
      <w:r>
        <w:rPr>
          <w:rFonts w:hint="eastAsia" w:ascii="宋体" w:hAnsi="宋体" w:eastAsia="宋体" w:cs="宋体"/>
          <w:b/>
          <w:bCs/>
          <w:color w:val="auto"/>
          <w:kern w:val="0"/>
          <w:sz w:val="24"/>
          <w:szCs w:val="24"/>
          <w:highlight w:val="none"/>
          <w:lang w:val="en-US"/>
        </w:rPr>
        <w:t>一、采购费用</w:t>
      </w:r>
    </w:p>
    <w:p w14:paraId="1E4365E1">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参与采购的供应商应承担其编制响应文件与递交响应文件所涉及的一切费用，不论结果如何，采购人和</w:t>
      </w:r>
      <w:r>
        <w:rPr>
          <w:rFonts w:hint="eastAsia" w:ascii="宋体" w:hAnsi="宋体" w:eastAsia="宋体" w:cs="宋体"/>
          <w:color w:val="auto"/>
          <w:highlight w:val="none"/>
          <w:lang w:eastAsia="zh-CN"/>
        </w:rPr>
        <w:t>采购代理机构</w:t>
      </w:r>
      <w:r>
        <w:rPr>
          <w:rFonts w:hint="eastAsia" w:ascii="宋体" w:hAnsi="宋体" w:eastAsia="宋体" w:cs="宋体"/>
          <w:color w:val="auto"/>
          <w:highlight w:val="none"/>
        </w:rPr>
        <w:t>在任何情况下无义务也无责任承担这些费用。</w:t>
      </w:r>
    </w:p>
    <w:p w14:paraId="22B50428">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二、采购文件</w:t>
      </w:r>
      <w:r>
        <w:rPr>
          <w:rFonts w:hint="eastAsia" w:ascii="宋体" w:hAnsi="宋体" w:eastAsia="宋体" w:cs="宋体"/>
          <w:b/>
          <w:bCs/>
          <w:color w:val="auto"/>
          <w:sz w:val="24"/>
          <w:szCs w:val="24"/>
          <w:highlight w:val="none"/>
        </w:rPr>
        <w:tab/>
      </w:r>
    </w:p>
    <w:p w14:paraId="7A855917">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（一）采购文件由邀请书、项目技术需求、项目商务需求、供应商须知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采购合同</w:t>
      </w:r>
      <w:r>
        <w:rPr>
          <w:rFonts w:hint="eastAsia" w:ascii="宋体" w:hAnsi="宋体" w:eastAsia="宋体" w:cs="宋体"/>
          <w:color w:val="auto"/>
          <w:sz w:val="24"/>
          <w:szCs w:val="24"/>
          <w:highlight w:val="none"/>
        </w:rPr>
        <w:t>、响应文件格式要求六部分组成。</w:t>
      </w:r>
    </w:p>
    <w:p w14:paraId="4C475DE3">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（二）采购人（或</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）所作的一切有效的书面通知、修改及补充，都是</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不可分割的部分。</w:t>
      </w:r>
    </w:p>
    <w:p w14:paraId="379C64D7">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三、采购要求</w:t>
      </w:r>
    </w:p>
    <w:p w14:paraId="2F89B37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（一）响应文件</w:t>
      </w:r>
    </w:p>
    <w:p w14:paraId="13126943">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供应商应当按照</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的要求编制响应文件，并对</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提出的要求和条件作出实质性响应，响应文件原则上采用软面订本，同时应编制完整的目录。</w:t>
      </w:r>
    </w:p>
    <w:p w14:paraId="59E98417">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1、响应文件组成</w:t>
      </w:r>
    </w:p>
    <w:p w14:paraId="014E738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14:paraId="761285E1">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w:t>
      </w:r>
    </w:p>
    <w:p w14:paraId="6BA41743">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本项目不接受联合体竞标。</w:t>
      </w:r>
    </w:p>
    <w:p w14:paraId="6DA466BF">
      <w:pPr>
        <w:pStyle w:val="10"/>
        <w:pageBreakBefore w:val="0"/>
        <w:numPr>
          <w:ilvl w:val="0"/>
          <w:numId w:val="2"/>
        </w:numPr>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有效期：响应文件及有关承诺文件有效期为提交响应文件截止时间起90天。</w:t>
      </w:r>
    </w:p>
    <w:p w14:paraId="0CF2A956">
      <w:pPr>
        <w:pStyle w:val="23"/>
        <w:pageBreakBefore w:val="0"/>
        <w:widowControl/>
        <w:kinsoku/>
        <w:wordWrap/>
        <w:overflowPunct/>
        <w:topLinePunct w:val="0"/>
        <w:autoSpaceDE/>
        <w:autoSpaceDN/>
        <w:bidi w:val="0"/>
        <w:spacing w:beforeAutospacing="0" w:afterAutospacing="0" w:line="400" w:lineRule="exact"/>
        <w:ind w:firstLine="480"/>
        <w:textAlignment w:val="auto"/>
        <w:rPr>
          <w:rFonts w:hint="eastAsia" w:ascii="宋体" w:hAnsi="宋体" w:eastAsia="宋体" w:cs="宋体"/>
          <w:color w:val="auto"/>
          <w:szCs w:val="24"/>
          <w:highlight w:val="none"/>
          <w:shd w:val="clear" w:color="auto" w:fill="FFFFFF"/>
          <w:lang w:bidi="ar"/>
        </w:rPr>
      </w:pPr>
      <w:r>
        <w:rPr>
          <w:rFonts w:hint="eastAsia" w:ascii="宋体" w:hAnsi="宋体" w:eastAsia="宋体" w:cs="宋体"/>
          <w:color w:val="auto"/>
          <w:szCs w:val="24"/>
          <w:highlight w:val="none"/>
          <w:shd w:val="clear" w:color="auto" w:fill="FFFFFF"/>
          <w:lang w:val="en-US" w:eastAsia="zh-CN" w:bidi="ar"/>
        </w:rPr>
        <w:t>4、</w:t>
      </w:r>
      <w:r>
        <w:rPr>
          <w:rFonts w:hint="eastAsia" w:ascii="宋体" w:hAnsi="宋体" w:eastAsia="宋体" w:cs="宋体"/>
          <w:color w:val="auto"/>
          <w:szCs w:val="24"/>
          <w:highlight w:val="none"/>
          <w:shd w:val="clear" w:color="auto" w:fill="FFFFFF"/>
          <w:lang w:bidi="ar"/>
        </w:rPr>
        <w:t>修正错误</w:t>
      </w:r>
    </w:p>
    <w:p w14:paraId="4D1708AB">
      <w:pPr>
        <w:pStyle w:val="23"/>
        <w:pageBreakBefore w:val="0"/>
        <w:widowControl/>
        <w:kinsoku/>
        <w:wordWrap/>
        <w:overflowPunct/>
        <w:topLinePunct w:val="0"/>
        <w:autoSpaceDE/>
        <w:autoSpaceDN/>
        <w:bidi w:val="0"/>
        <w:spacing w:beforeAutospacing="0" w:afterAutospacing="0" w:line="400" w:lineRule="exact"/>
        <w:ind w:firstLine="480"/>
        <w:textAlignment w:val="auto"/>
        <w:rPr>
          <w:rFonts w:hint="eastAsia" w:ascii="宋体" w:hAnsi="宋体" w:eastAsia="宋体" w:cs="宋体"/>
          <w:color w:val="auto"/>
          <w:szCs w:val="24"/>
          <w:highlight w:val="none"/>
          <w:shd w:val="clear" w:color="auto" w:fill="FFFFFF"/>
          <w:lang w:bidi="ar"/>
        </w:rPr>
      </w:pPr>
      <w:r>
        <w:rPr>
          <w:rFonts w:hint="eastAsia" w:ascii="宋体" w:hAnsi="宋体" w:eastAsia="宋体" w:cs="宋体"/>
          <w:color w:val="auto"/>
          <w:szCs w:val="24"/>
          <w:highlight w:val="none"/>
          <w:shd w:val="clear" w:color="auto" w:fill="FFFFFF"/>
          <w:lang w:bidi="ar"/>
        </w:rPr>
        <w:t>1.若供应商所递交的响应文件或最后报价中的价格出现大写金额和小写金额不一致的错误，以大写金额修正为准。</w:t>
      </w:r>
    </w:p>
    <w:p w14:paraId="74C728E9">
      <w:pPr>
        <w:pStyle w:val="23"/>
        <w:pageBreakBefore w:val="0"/>
        <w:widowControl/>
        <w:kinsoku/>
        <w:wordWrap/>
        <w:overflowPunct/>
        <w:topLinePunct w:val="0"/>
        <w:autoSpaceDE/>
        <w:autoSpaceDN/>
        <w:bidi w:val="0"/>
        <w:spacing w:beforeAutospacing="0" w:afterAutospacing="0" w:line="400" w:lineRule="exact"/>
        <w:ind w:firstLine="480"/>
        <w:textAlignment w:val="auto"/>
        <w:rPr>
          <w:rFonts w:hint="eastAsia" w:ascii="宋体" w:hAnsi="宋体" w:eastAsia="宋体" w:cs="宋体"/>
          <w:color w:val="auto"/>
          <w:highlight w:val="none"/>
        </w:rPr>
      </w:pPr>
      <w:r>
        <w:rPr>
          <w:rFonts w:hint="eastAsia" w:ascii="宋体" w:hAnsi="宋体" w:eastAsia="宋体" w:cs="宋体"/>
          <w:color w:val="auto"/>
          <w:szCs w:val="24"/>
          <w:highlight w:val="none"/>
          <w:shd w:val="clear" w:color="auto" w:fill="FFFFFF"/>
          <w:lang w:bidi="ar"/>
        </w:rPr>
        <w:t>2.</w:t>
      </w:r>
      <w:r>
        <w:rPr>
          <w:rFonts w:hint="eastAsia" w:ascii="宋体" w:hAnsi="宋体" w:eastAsia="宋体" w:cs="宋体"/>
          <w:color w:val="auto"/>
          <w:szCs w:val="24"/>
          <w:highlight w:val="none"/>
          <w:shd w:val="clear" w:color="auto" w:fill="FFFFFF"/>
          <w:lang w:eastAsia="zh-CN" w:bidi="ar"/>
        </w:rPr>
        <w:t>评审小组</w:t>
      </w:r>
      <w:r>
        <w:rPr>
          <w:rFonts w:hint="eastAsia" w:ascii="宋体" w:hAnsi="宋体" w:eastAsia="宋体" w:cs="宋体"/>
          <w:color w:val="auto"/>
          <w:szCs w:val="24"/>
          <w:highlight w:val="none"/>
          <w:shd w:val="clear" w:color="auto" w:fill="FFFFFF"/>
          <w:lang w:bidi="ar"/>
        </w:rPr>
        <w:t>按上述修正错误的原则及方法修正供应商的报价，供应商同意并签字确认后，修正后的报价对供应商具有约束作用。如果供应商不接受修正后的价格，将失去成为成交供应商的资格。</w:t>
      </w:r>
    </w:p>
    <w:p w14:paraId="229EAB32">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（二）保证金</w:t>
      </w:r>
    </w:p>
    <w:p w14:paraId="2233DB1C">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无。</w:t>
      </w:r>
    </w:p>
    <w:p w14:paraId="7088EF16">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）提交响应文件的份数和签署和递交</w:t>
      </w:r>
    </w:p>
    <w:p w14:paraId="0BFACE36">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响应文件提交规则：</w:t>
      </w:r>
    </w:p>
    <w:p w14:paraId="72C6F8FF">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1、线上须在行采家（https://www.gec123.com）平台规定时间内报名并上传盖章后的响应文件电子文档一份。</w:t>
      </w:r>
    </w:p>
    <w:p w14:paraId="5B164B58">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线下递交</w:t>
      </w:r>
      <w:r>
        <w:rPr>
          <w:rFonts w:hint="eastAsia" w:ascii="宋体" w:hAnsi="宋体" w:eastAsia="宋体" w:cs="宋体"/>
          <w:color w:val="auto"/>
          <w:sz w:val="24"/>
          <w:szCs w:val="24"/>
          <w:highlight w:val="none"/>
        </w:rPr>
        <w:t>响应文件一式</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份，其中正本一份，副本两份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副本可为正本的复印件，应与正本一致，如出现不一致情况以正本为准。</w:t>
      </w:r>
    </w:p>
    <w:p w14:paraId="141A36C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、在响应文件正本中，</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第六篇响应文件格式中规定签字、盖章的地方必须按其规定签字、盖章。</w:t>
      </w:r>
    </w:p>
    <w:p w14:paraId="092EC54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、响应文件的密封与标记</w:t>
      </w:r>
    </w:p>
    <w:p w14:paraId="4F2D8C9B">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响应文件的正本、副本均应密封送达开标地点，应在封套上注明项目名称、供应商名称。若正本、副本分别进行密封的，还应在封套上注明“正本”、“副本”字样。</w:t>
      </w:r>
    </w:p>
    <w:p w14:paraId="6D65ADE9">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.如果未按上述规定进行密封的，采购人、</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将拒收其响应文件。</w:t>
      </w:r>
    </w:p>
    <w:p w14:paraId="7C899719">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、响应文件投递截止时间：见</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第一篇。供应商在提交响应文件截止时间前，可以对所提交的响应文件进行补充、修改或者撤回，并书面通知采购人、</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。补充、修改的内容作为响应文件的组成部分。补充、修改的内容与响应文件不一致的，以补充、修改的内容为准。</w:t>
      </w:r>
    </w:p>
    <w:p w14:paraId="32F778AE">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）响应文件语言：简体中文</w:t>
      </w:r>
    </w:p>
    <w:p w14:paraId="4F2C3318">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rPr>
        <w:t>）供应商参与人员</w:t>
      </w:r>
    </w:p>
    <w:p w14:paraId="3DDBDF6E">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1.</w:t>
      </w:r>
      <w:r>
        <w:rPr>
          <w:rFonts w:hint="eastAsia" w:ascii="宋体" w:hAnsi="宋体" w:eastAsia="宋体" w:cs="宋体"/>
          <w:color w:val="auto"/>
          <w:sz w:val="24"/>
          <w:szCs w:val="24"/>
          <w:highlight w:val="none"/>
        </w:rPr>
        <w:t>各个供应商可派1-2名代表参与开标，至少1人应为法定代表人或具有法定代表人授权委托书的授权代表。</w:t>
      </w:r>
    </w:p>
    <w:p w14:paraId="6C483294">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）无效响应</w:t>
      </w:r>
    </w:p>
    <w:p w14:paraId="5672CDC5">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供应商发生以下条款情况之一者，视为无效响应，其响应文件将被拒绝：</w:t>
      </w:r>
    </w:p>
    <w:p w14:paraId="6B783C4C">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1、供应商不符合资格要求的；</w:t>
      </w:r>
    </w:p>
    <w:p w14:paraId="48C40E32">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2、供应商未按照</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的要求缴纳保证金的；</w:t>
      </w:r>
    </w:p>
    <w:p w14:paraId="02EE19F2">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3、供应商所提交的响应文件不按规定签字、盖章的；</w:t>
      </w:r>
    </w:p>
    <w:p w14:paraId="16E6524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4、供应商的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报价超过采购预算或最高限价的；</w:t>
      </w:r>
    </w:p>
    <w:p w14:paraId="76B0C8B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5、供应商响应文件附有采购人无法接受的条件的；</w:t>
      </w:r>
    </w:p>
    <w:p w14:paraId="2418C198">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6、供应商串通投标的；</w:t>
      </w:r>
    </w:p>
    <w:p w14:paraId="53CA2C37">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7、供应商组成联合体投标的；</w:t>
      </w:r>
    </w:p>
    <w:p w14:paraId="0D9DC382">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8、法律、法规和</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规定的其他无效情形。</w:t>
      </w:r>
    </w:p>
    <w:p w14:paraId="0D630DF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）废标条款</w:t>
      </w:r>
    </w:p>
    <w:p w14:paraId="6CCE65A6">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在采购中，出现下列情形之一的，应予废标：</w:t>
      </w:r>
    </w:p>
    <w:p w14:paraId="732D86E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（一）符合专业条件的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或者对</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作实质响应的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不足三家的；</w:t>
      </w:r>
    </w:p>
    <w:p w14:paraId="480D055E">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的报价均超过了采购预算，采购人不能支付的；</w:t>
      </w:r>
    </w:p>
    <w:p w14:paraId="1F8220E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（三）出现影响采购公正的违法、违规行为的；</w:t>
      </w:r>
    </w:p>
    <w:p w14:paraId="34701EA8">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（四）因重大变故，采购任务取消的。</w:t>
      </w:r>
    </w:p>
    <w:p w14:paraId="0A2BA4A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废标后，除采购任务取消情形外，应当重新组织采购。</w:t>
      </w:r>
    </w:p>
    <w:p w14:paraId="18BF11F3">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采购代理服务费</w:t>
      </w:r>
    </w:p>
    <w:p w14:paraId="4D8B215D">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bookmarkStart w:id="192" w:name="_Toc507411004"/>
      <w:r>
        <w:rPr>
          <w:rFonts w:hint="eastAsia" w:ascii="宋体" w:hAnsi="宋体" w:eastAsia="宋体" w:cs="宋体"/>
          <w:color w:val="auto"/>
          <w:sz w:val="24"/>
          <w:szCs w:val="24"/>
          <w:highlight w:val="none"/>
        </w:rPr>
        <w:t>1.</w:t>
      </w:r>
      <w:bookmarkStart w:id="193" w:name="OLE_LINK8"/>
      <w:bookmarkStart w:id="194" w:name="OLE_LINK7"/>
      <w:r>
        <w:rPr>
          <w:rFonts w:hint="eastAsia" w:ascii="宋体" w:hAnsi="宋体" w:eastAsia="宋体" w:cs="宋体"/>
          <w:color w:val="auto"/>
          <w:sz w:val="24"/>
          <w:szCs w:val="24"/>
          <w:highlight w:val="none"/>
        </w:rPr>
        <w:t>成交供应商在领取成交通知书前向采购代理机构缴纳采购代理服务费，采购代理服务</w:t>
      </w:r>
      <w:bookmarkEnd w:id="193"/>
      <w:bookmarkEnd w:id="194"/>
      <w:r>
        <w:rPr>
          <w:rFonts w:hint="eastAsia" w:ascii="宋体" w:hAnsi="宋体" w:eastAsia="宋体" w:cs="宋体"/>
          <w:color w:val="auto"/>
          <w:sz w:val="24"/>
          <w:szCs w:val="24"/>
          <w:highlight w:val="none"/>
        </w:rPr>
        <w:t>参照按国家计委颁发《招标代理服务收费管理暂行办法》的（计价格【2002】1980号）规定费率计算。</w:t>
      </w:r>
    </w:p>
    <w:bookmarkEnd w:id="192"/>
    <w:p w14:paraId="03B3AD74">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.采购代理服务费以转账或电汇等形式支付。</w:t>
      </w:r>
    </w:p>
    <w:p w14:paraId="16BD807A">
      <w:pPr>
        <w:pStyle w:val="10"/>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、采购程序及成交标准</w:t>
      </w:r>
    </w:p>
    <w:p w14:paraId="6C1D3A2C">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（一）按</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规定的截止时间进行，由本项目的评审小组对各供应商的响应文件进行评审。</w:t>
      </w:r>
    </w:p>
    <w:p w14:paraId="29F23711">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（二）评审小组对各供应商的资格条件、响应文件的有效性、完整性和响应程度进行审查。</w:t>
      </w:r>
    </w:p>
    <w:p w14:paraId="0FEAD232">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（三）资格性符合性检查</w:t>
      </w:r>
    </w:p>
    <w:p w14:paraId="6A9B9C75">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1.资格性检查。依据法律法规和采购文件的规定，对响应文件中的资格证明、保证金等进行审查，以确定供应商是否具备资格。资格性检查资料表如下：</w:t>
      </w:r>
    </w:p>
    <w:tbl>
      <w:tblPr>
        <w:tblStyle w:val="28"/>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965"/>
        <w:gridCol w:w="2835"/>
        <w:gridCol w:w="5812"/>
      </w:tblGrid>
      <w:tr w14:paraId="134D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1" w:type="dxa"/>
            <w:tcBorders>
              <w:top w:val="single" w:color="auto" w:sz="4" w:space="0"/>
              <w:left w:val="single" w:color="auto" w:sz="4" w:space="0"/>
              <w:bottom w:val="single" w:color="auto" w:sz="4" w:space="0"/>
              <w:right w:val="single" w:color="auto" w:sz="4" w:space="0"/>
            </w:tcBorders>
            <w:noWrap w:val="0"/>
            <w:vAlign w:val="center"/>
          </w:tcPr>
          <w:p w14:paraId="34756285">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3800" w:type="dxa"/>
            <w:gridSpan w:val="2"/>
            <w:tcBorders>
              <w:top w:val="single" w:color="auto" w:sz="4" w:space="0"/>
              <w:left w:val="single" w:color="auto" w:sz="4" w:space="0"/>
              <w:bottom w:val="single" w:color="auto" w:sz="4" w:space="0"/>
              <w:right w:val="single" w:color="auto" w:sz="4" w:space="0"/>
            </w:tcBorders>
            <w:noWrap w:val="0"/>
            <w:vAlign w:val="center"/>
          </w:tcPr>
          <w:p w14:paraId="30F6B7C2">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检查因素</w:t>
            </w:r>
          </w:p>
        </w:tc>
        <w:tc>
          <w:tcPr>
            <w:tcW w:w="5812" w:type="dxa"/>
            <w:tcBorders>
              <w:top w:val="single" w:color="auto" w:sz="4" w:space="0"/>
              <w:left w:val="single" w:color="auto" w:sz="4" w:space="0"/>
              <w:bottom w:val="single" w:color="auto" w:sz="4" w:space="0"/>
              <w:right w:val="single" w:color="auto" w:sz="4" w:space="0"/>
            </w:tcBorders>
            <w:noWrap w:val="0"/>
            <w:vAlign w:val="center"/>
          </w:tcPr>
          <w:p w14:paraId="4E63E2C0">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检查内容</w:t>
            </w:r>
          </w:p>
        </w:tc>
      </w:tr>
      <w:tr w14:paraId="5FC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dxa"/>
            <w:vMerge w:val="restart"/>
            <w:tcBorders>
              <w:top w:val="single" w:color="auto" w:sz="4" w:space="0"/>
              <w:left w:val="single" w:color="auto" w:sz="4" w:space="0"/>
              <w:bottom w:val="single" w:color="auto" w:sz="4" w:space="0"/>
              <w:right w:val="single" w:color="auto" w:sz="4" w:space="0"/>
            </w:tcBorders>
            <w:noWrap w:val="0"/>
            <w:vAlign w:val="center"/>
          </w:tcPr>
          <w:p w14:paraId="01389693">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5" w:type="dxa"/>
            <w:vMerge w:val="restart"/>
            <w:tcBorders>
              <w:top w:val="single" w:color="auto" w:sz="4" w:space="0"/>
              <w:left w:val="single" w:color="auto" w:sz="4" w:space="0"/>
              <w:bottom w:val="single" w:color="auto" w:sz="4" w:space="0"/>
              <w:right w:val="single" w:color="auto" w:sz="4" w:space="0"/>
            </w:tcBorders>
            <w:noWrap w:val="0"/>
            <w:vAlign w:val="center"/>
          </w:tcPr>
          <w:p w14:paraId="7462B1E2">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zh-CN"/>
              </w:rPr>
              <w:t>应符合的基本资格条件</w:t>
            </w:r>
          </w:p>
        </w:tc>
        <w:tc>
          <w:tcPr>
            <w:tcW w:w="2835" w:type="dxa"/>
            <w:tcBorders>
              <w:top w:val="single" w:color="auto" w:sz="4" w:space="0"/>
              <w:left w:val="single" w:color="auto" w:sz="4" w:space="0"/>
              <w:bottom w:val="single" w:color="auto" w:sz="4" w:space="0"/>
              <w:right w:val="single" w:color="auto" w:sz="4" w:space="0"/>
            </w:tcBorders>
            <w:noWrap w:val="0"/>
            <w:vAlign w:val="center"/>
          </w:tcPr>
          <w:p w14:paraId="2B8D2FA3">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（1）具有独立承担民事责任的能力</w:t>
            </w:r>
          </w:p>
        </w:tc>
        <w:tc>
          <w:tcPr>
            <w:tcW w:w="5812" w:type="dxa"/>
            <w:tcBorders>
              <w:top w:val="single" w:color="auto" w:sz="4" w:space="0"/>
              <w:left w:val="single" w:color="auto" w:sz="4" w:space="0"/>
              <w:bottom w:val="single" w:color="auto" w:sz="4" w:space="0"/>
              <w:right w:val="single" w:color="auto" w:sz="4" w:space="0"/>
            </w:tcBorders>
            <w:noWrap w:val="0"/>
            <w:vAlign w:val="center"/>
          </w:tcPr>
          <w:p w14:paraId="2137930A">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供应商法人营业执照（副本）或事业单位法人证书（副本）或个体工商户营业执照或有效的自然人身份证明；</w:t>
            </w:r>
          </w:p>
          <w:p w14:paraId="2E86AEE2">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供应商法定代表人身份证明和法定代表人授权代表委托书。</w:t>
            </w:r>
          </w:p>
        </w:tc>
      </w:tr>
      <w:tr w14:paraId="1F47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561" w:type="dxa"/>
            <w:vMerge w:val="continue"/>
            <w:tcBorders>
              <w:top w:val="single" w:color="auto" w:sz="4" w:space="0"/>
              <w:left w:val="single" w:color="auto" w:sz="4" w:space="0"/>
              <w:bottom w:val="single" w:color="auto" w:sz="4" w:space="0"/>
              <w:right w:val="single" w:color="auto" w:sz="4" w:space="0"/>
            </w:tcBorders>
            <w:noWrap w:val="0"/>
            <w:vAlign w:val="center"/>
          </w:tcPr>
          <w:p w14:paraId="79C813DE">
            <w:pPr>
              <w:keepNext/>
              <w:keepLines/>
              <w:pageBreakBefore w:val="0"/>
              <w:kinsoku/>
              <w:wordWrap/>
              <w:overflowPunct/>
              <w:topLinePunct w:val="0"/>
              <w:autoSpaceDE/>
              <w:autoSpaceDN/>
              <w:bidi w:val="0"/>
              <w:spacing w:before="260" w:after="260" w:line="400" w:lineRule="exact"/>
              <w:jc w:val="center"/>
              <w:textAlignment w:val="auto"/>
              <w:rPr>
                <w:rFonts w:hint="eastAsia" w:ascii="宋体" w:hAnsi="宋体" w:eastAsia="宋体" w:cs="宋体"/>
                <w:color w:val="auto"/>
                <w:sz w:val="21"/>
                <w:szCs w:val="21"/>
                <w:highlight w:val="none"/>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14:paraId="7C47CA79">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lang w:val="zh-CN"/>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14:paraId="5ADCFD3E">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w:t>
            </w:r>
            <w:r>
              <w:rPr>
                <w:rFonts w:hint="eastAsia" w:ascii="宋体" w:hAnsi="宋体" w:eastAsia="宋体" w:cs="宋体"/>
                <w:color w:val="auto"/>
                <w:sz w:val="21"/>
                <w:szCs w:val="21"/>
                <w:highlight w:val="none"/>
              </w:rPr>
              <w:t>具有良好的商业信誉和健全的财务会计制度</w:t>
            </w:r>
          </w:p>
        </w:tc>
        <w:tc>
          <w:tcPr>
            <w:tcW w:w="5812" w:type="dxa"/>
            <w:vMerge w:val="restart"/>
            <w:tcBorders>
              <w:top w:val="single" w:color="auto" w:sz="4" w:space="0"/>
              <w:left w:val="single" w:color="auto" w:sz="4" w:space="0"/>
              <w:bottom w:val="single" w:color="auto" w:sz="4" w:space="0"/>
              <w:right w:val="single" w:color="auto" w:sz="4" w:space="0"/>
            </w:tcBorders>
            <w:noWrap w:val="0"/>
            <w:vAlign w:val="center"/>
          </w:tcPr>
          <w:p w14:paraId="4B5E1728">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供应商提供基本资格条件承诺函（见格式文件）</w:t>
            </w:r>
          </w:p>
        </w:tc>
      </w:tr>
      <w:tr w14:paraId="1381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dxa"/>
            <w:vMerge w:val="continue"/>
            <w:tcBorders>
              <w:top w:val="single" w:color="auto" w:sz="4" w:space="0"/>
              <w:left w:val="single" w:color="auto" w:sz="4" w:space="0"/>
              <w:bottom w:val="single" w:color="auto" w:sz="4" w:space="0"/>
              <w:right w:val="single" w:color="auto" w:sz="4" w:space="0"/>
            </w:tcBorders>
            <w:noWrap w:val="0"/>
            <w:vAlign w:val="center"/>
          </w:tcPr>
          <w:p w14:paraId="4C1849A8">
            <w:pPr>
              <w:keepNext/>
              <w:keepLines/>
              <w:pageBreakBefore w:val="0"/>
              <w:kinsoku/>
              <w:wordWrap/>
              <w:overflowPunct/>
              <w:topLinePunct w:val="0"/>
              <w:autoSpaceDE/>
              <w:autoSpaceDN/>
              <w:bidi w:val="0"/>
              <w:spacing w:before="260" w:after="260" w:line="400" w:lineRule="exact"/>
              <w:jc w:val="center"/>
              <w:textAlignment w:val="auto"/>
              <w:rPr>
                <w:rFonts w:hint="eastAsia" w:ascii="宋体" w:hAnsi="宋体" w:eastAsia="宋体" w:cs="宋体"/>
                <w:color w:val="auto"/>
                <w:sz w:val="21"/>
                <w:szCs w:val="21"/>
                <w:highlight w:val="none"/>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14:paraId="74D27CE9">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lang w:val="zh-CN"/>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14:paraId="0E754E5E">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（3）具有履行合同所必需的设备和专业技术能力</w:t>
            </w:r>
          </w:p>
        </w:tc>
        <w:tc>
          <w:tcPr>
            <w:tcW w:w="5812" w:type="dxa"/>
            <w:vMerge w:val="continue"/>
            <w:tcBorders>
              <w:top w:val="single" w:color="auto" w:sz="4" w:space="0"/>
              <w:left w:val="single" w:color="auto" w:sz="4" w:space="0"/>
              <w:bottom w:val="single" w:color="auto" w:sz="4" w:space="0"/>
              <w:right w:val="single" w:color="auto" w:sz="4" w:space="0"/>
            </w:tcBorders>
            <w:noWrap w:val="0"/>
            <w:vAlign w:val="center"/>
          </w:tcPr>
          <w:p w14:paraId="05B77AB1">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r>
      <w:tr w14:paraId="6C063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dxa"/>
            <w:vMerge w:val="continue"/>
            <w:tcBorders>
              <w:top w:val="single" w:color="auto" w:sz="4" w:space="0"/>
              <w:left w:val="single" w:color="auto" w:sz="4" w:space="0"/>
              <w:bottom w:val="single" w:color="auto" w:sz="4" w:space="0"/>
              <w:right w:val="single" w:color="auto" w:sz="4" w:space="0"/>
            </w:tcBorders>
            <w:noWrap w:val="0"/>
            <w:vAlign w:val="center"/>
          </w:tcPr>
          <w:p w14:paraId="3EA2DAC4">
            <w:pPr>
              <w:keepNext/>
              <w:keepLines/>
              <w:pageBreakBefore w:val="0"/>
              <w:kinsoku/>
              <w:wordWrap/>
              <w:overflowPunct/>
              <w:topLinePunct w:val="0"/>
              <w:autoSpaceDE/>
              <w:autoSpaceDN/>
              <w:bidi w:val="0"/>
              <w:spacing w:before="260" w:after="260" w:line="400" w:lineRule="exact"/>
              <w:jc w:val="center"/>
              <w:textAlignment w:val="auto"/>
              <w:rPr>
                <w:rFonts w:hint="eastAsia" w:ascii="宋体" w:hAnsi="宋体" w:eastAsia="宋体" w:cs="宋体"/>
                <w:color w:val="auto"/>
                <w:sz w:val="21"/>
                <w:szCs w:val="21"/>
                <w:highlight w:val="none"/>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14:paraId="6A5B0851">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lang w:val="zh-CN"/>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14:paraId="7DF875A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（4）有依法缴纳税收和社会保障金的良好记录</w:t>
            </w:r>
          </w:p>
        </w:tc>
        <w:tc>
          <w:tcPr>
            <w:tcW w:w="5812" w:type="dxa"/>
            <w:vMerge w:val="continue"/>
            <w:tcBorders>
              <w:top w:val="single" w:color="auto" w:sz="4" w:space="0"/>
              <w:left w:val="single" w:color="auto" w:sz="4" w:space="0"/>
              <w:bottom w:val="single" w:color="auto" w:sz="4" w:space="0"/>
              <w:right w:val="single" w:color="auto" w:sz="4" w:space="0"/>
            </w:tcBorders>
            <w:noWrap w:val="0"/>
            <w:vAlign w:val="center"/>
          </w:tcPr>
          <w:p w14:paraId="638970ED">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r>
      <w:tr w14:paraId="43B4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dxa"/>
            <w:vMerge w:val="continue"/>
            <w:tcBorders>
              <w:top w:val="single" w:color="auto" w:sz="4" w:space="0"/>
              <w:left w:val="single" w:color="auto" w:sz="4" w:space="0"/>
              <w:bottom w:val="single" w:color="auto" w:sz="4" w:space="0"/>
              <w:right w:val="single" w:color="auto" w:sz="4" w:space="0"/>
            </w:tcBorders>
            <w:noWrap w:val="0"/>
            <w:vAlign w:val="center"/>
          </w:tcPr>
          <w:p w14:paraId="68F65DAA">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14:paraId="4F93F79C">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14:paraId="1092A60C">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（5）参加政府采购活动前三年内，在经营活动中没有重大违法记录（注②）</w:t>
            </w:r>
          </w:p>
        </w:tc>
        <w:tc>
          <w:tcPr>
            <w:tcW w:w="5812" w:type="dxa"/>
            <w:vMerge w:val="continue"/>
            <w:tcBorders>
              <w:top w:val="single" w:color="auto" w:sz="4" w:space="0"/>
              <w:left w:val="single" w:color="auto" w:sz="4" w:space="0"/>
              <w:bottom w:val="single" w:color="auto" w:sz="4" w:space="0"/>
              <w:right w:val="single" w:color="auto" w:sz="4" w:space="0"/>
            </w:tcBorders>
            <w:noWrap w:val="0"/>
            <w:vAlign w:val="center"/>
          </w:tcPr>
          <w:p w14:paraId="266BAAF6">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r>
      <w:tr w14:paraId="21FD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561" w:type="dxa"/>
            <w:vMerge w:val="continue"/>
            <w:tcBorders>
              <w:top w:val="single" w:color="auto" w:sz="4" w:space="0"/>
              <w:left w:val="single" w:color="auto" w:sz="4" w:space="0"/>
              <w:bottom w:val="single" w:color="auto" w:sz="4" w:space="0"/>
              <w:right w:val="single" w:color="auto" w:sz="4" w:space="0"/>
            </w:tcBorders>
            <w:noWrap w:val="0"/>
            <w:vAlign w:val="center"/>
          </w:tcPr>
          <w:p w14:paraId="25A3CCD1">
            <w:pPr>
              <w:keepNext/>
              <w:keepLines/>
              <w:pageBreakBefore w:val="0"/>
              <w:kinsoku/>
              <w:wordWrap/>
              <w:overflowPunct/>
              <w:topLinePunct w:val="0"/>
              <w:autoSpaceDE/>
              <w:autoSpaceDN/>
              <w:bidi w:val="0"/>
              <w:spacing w:before="260" w:after="260" w:line="400" w:lineRule="exact"/>
              <w:jc w:val="center"/>
              <w:textAlignment w:val="auto"/>
              <w:rPr>
                <w:rFonts w:hint="eastAsia" w:ascii="宋体" w:hAnsi="宋体" w:eastAsia="宋体" w:cs="宋体"/>
                <w:color w:val="auto"/>
                <w:sz w:val="21"/>
                <w:szCs w:val="21"/>
                <w:highlight w:val="none"/>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14:paraId="0FE961A1">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lang w:val="zh-CN"/>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14:paraId="74901E66">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（6）法律、行政法规规定的其他条件</w:t>
            </w:r>
          </w:p>
        </w:tc>
        <w:tc>
          <w:tcPr>
            <w:tcW w:w="5812" w:type="dxa"/>
            <w:tcBorders>
              <w:top w:val="single" w:color="auto" w:sz="4" w:space="0"/>
              <w:left w:val="single" w:color="auto" w:sz="4" w:space="0"/>
              <w:bottom w:val="single" w:color="auto" w:sz="4" w:space="0"/>
              <w:right w:val="single" w:color="auto" w:sz="4" w:space="0"/>
            </w:tcBorders>
            <w:noWrap w:val="0"/>
            <w:vAlign w:val="center"/>
          </w:tcPr>
          <w:p w14:paraId="7813B4F9">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r>
      <w:tr w14:paraId="782A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dxa"/>
            <w:tcBorders>
              <w:top w:val="single" w:color="auto" w:sz="4" w:space="0"/>
              <w:left w:val="single" w:color="auto" w:sz="4" w:space="0"/>
              <w:bottom w:val="single" w:color="auto" w:sz="4" w:space="0"/>
              <w:right w:val="single" w:color="auto" w:sz="4" w:space="0"/>
            </w:tcBorders>
            <w:noWrap w:val="0"/>
            <w:vAlign w:val="center"/>
          </w:tcPr>
          <w:p w14:paraId="4F494A05">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3800" w:type="dxa"/>
            <w:gridSpan w:val="2"/>
            <w:tcBorders>
              <w:top w:val="single" w:color="auto" w:sz="4" w:space="0"/>
              <w:left w:val="single" w:color="auto" w:sz="4" w:space="0"/>
              <w:bottom w:val="single" w:color="auto" w:sz="4" w:space="0"/>
              <w:right w:val="single" w:color="auto" w:sz="4" w:space="0"/>
            </w:tcBorders>
            <w:noWrap w:val="0"/>
            <w:vAlign w:val="center"/>
          </w:tcPr>
          <w:p w14:paraId="2F75DB6C">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特定资格条件</w:t>
            </w:r>
          </w:p>
        </w:tc>
        <w:tc>
          <w:tcPr>
            <w:tcW w:w="5812" w:type="dxa"/>
            <w:tcBorders>
              <w:top w:val="single" w:color="auto" w:sz="4" w:space="0"/>
              <w:left w:val="single" w:color="auto" w:sz="4" w:space="0"/>
              <w:bottom w:val="single" w:color="auto" w:sz="4" w:space="0"/>
              <w:right w:val="single" w:color="auto" w:sz="4" w:space="0"/>
            </w:tcBorders>
            <w:noWrap w:val="0"/>
            <w:vAlign w:val="center"/>
          </w:tcPr>
          <w:p w14:paraId="0B694D68">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按第一篇“邀请书</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三、资格要求（</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rPr>
              <w:t>）特定资格条件”的要求提交证明文件复印件并加盖供应商公章。</w:t>
            </w:r>
          </w:p>
        </w:tc>
      </w:tr>
    </w:tbl>
    <w:p w14:paraId="1ED9DA2E">
      <w:pPr>
        <w:pageBreakBefore w:val="0"/>
        <w:kinsoku/>
        <w:wordWrap/>
        <w:overflowPunct/>
        <w:topLinePunct w:val="0"/>
        <w:autoSpaceDE/>
        <w:autoSpaceDN/>
        <w:bidi w:val="0"/>
        <w:snapToGrid w:val="0"/>
        <w:spacing w:line="40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注：</w:t>
      </w:r>
    </w:p>
    <w:p w14:paraId="70B3D17C">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sym w:font="Wingdings" w:char="F081"/>
      </w:r>
      <w:r>
        <w:rPr>
          <w:rFonts w:hint="eastAsia" w:ascii="宋体" w:hAnsi="宋体" w:eastAsia="宋体" w:cs="宋体"/>
          <w:color w:val="auto"/>
          <w:highlight w:val="none"/>
        </w:rPr>
        <w:t>供应商按“五证合一”登记制度办理营业执照的，组织机构代码证、税务登记证（副本）和社会保险登记证以供应商所提供的营业执照（副本）复印件为准。</w:t>
      </w:r>
    </w:p>
    <w:p w14:paraId="56D0D46D">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sym w:font="Wingdings" w:char="F082"/>
      </w:r>
      <w:r>
        <w:rPr>
          <w:rFonts w:hint="eastAsia" w:ascii="宋体" w:hAnsi="宋体" w:eastAsia="宋体" w:cs="宋体"/>
          <w:color w:val="auto"/>
          <w:highlight w:val="none"/>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5CFA68DC">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符合性检查。依据</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的规定，从响应文件的有效性、完整性和对</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的响应程度进行审查，以确定是否对</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的实质性要求作出响应。符合性检查资料表如下：</w:t>
      </w:r>
    </w:p>
    <w:tbl>
      <w:tblPr>
        <w:tblStyle w:val="2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55"/>
        <w:gridCol w:w="1905"/>
        <w:gridCol w:w="6043"/>
      </w:tblGrid>
      <w:tr w14:paraId="50F6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86" w:type="dxa"/>
            <w:tcBorders>
              <w:top w:val="single" w:color="auto" w:sz="4" w:space="0"/>
              <w:left w:val="single" w:color="auto" w:sz="4" w:space="0"/>
              <w:bottom w:val="single" w:color="auto" w:sz="4" w:space="0"/>
              <w:right w:val="single" w:color="auto" w:sz="4" w:space="0"/>
            </w:tcBorders>
            <w:noWrap w:val="0"/>
            <w:vAlign w:val="center"/>
          </w:tcPr>
          <w:p w14:paraId="1CA8D45F">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3360" w:type="dxa"/>
            <w:gridSpan w:val="2"/>
            <w:tcBorders>
              <w:top w:val="single" w:color="auto" w:sz="4" w:space="0"/>
              <w:left w:val="single" w:color="auto" w:sz="4" w:space="0"/>
              <w:bottom w:val="single" w:color="auto" w:sz="4" w:space="0"/>
              <w:right w:val="single" w:color="auto" w:sz="4" w:space="0"/>
            </w:tcBorders>
            <w:noWrap w:val="0"/>
            <w:vAlign w:val="center"/>
          </w:tcPr>
          <w:p w14:paraId="46F960B4">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评审因素</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21F4B750">
            <w:pPr>
              <w:pageBreakBefore w:val="0"/>
              <w:kinsoku/>
              <w:wordWrap/>
              <w:overflowPunct/>
              <w:topLinePunct w:val="0"/>
              <w:autoSpaceDE/>
              <w:autoSpaceDN/>
              <w:bidi w:val="0"/>
              <w:spacing w:line="40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评审标准</w:t>
            </w:r>
          </w:p>
        </w:tc>
      </w:tr>
      <w:tr w14:paraId="270F3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86" w:type="dxa"/>
            <w:vMerge w:val="restart"/>
            <w:tcBorders>
              <w:top w:val="single" w:color="auto" w:sz="4" w:space="0"/>
              <w:left w:val="single" w:color="auto" w:sz="4" w:space="0"/>
              <w:bottom w:val="single" w:color="auto" w:sz="4" w:space="0"/>
              <w:right w:val="single" w:color="auto" w:sz="4" w:space="0"/>
            </w:tcBorders>
            <w:noWrap w:val="0"/>
            <w:vAlign w:val="center"/>
          </w:tcPr>
          <w:p w14:paraId="38A406A1">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455" w:type="dxa"/>
            <w:vMerge w:val="restart"/>
            <w:tcBorders>
              <w:top w:val="single" w:color="auto" w:sz="4" w:space="0"/>
              <w:left w:val="single" w:color="auto" w:sz="4" w:space="0"/>
              <w:bottom w:val="single" w:color="auto" w:sz="4" w:space="0"/>
              <w:right w:val="single" w:color="auto" w:sz="4" w:space="0"/>
            </w:tcBorders>
            <w:noWrap w:val="0"/>
            <w:vAlign w:val="center"/>
          </w:tcPr>
          <w:p w14:paraId="3A4FEFE2">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有效性审查</w:t>
            </w:r>
          </w:p>
        </w:tc>
        <w:tc>
          <w:tcPr>
            <w:tcW w:w="1905" w:type="dxa"/>
            <w:tcBorders>
              <w:top w:val="single" w:color="auto" w:sz="4" w:space="0"/>
              <w:left w:val="single" w:color="auto" w:sz="4" w:space="0"/>
              <w:bottom w:val="single" w:color="auto" w:sz="4" w:space="0"/>
              <w:right w:val="single" w:color="auto" w:sz="4" w:space="0"/>
            </w:tcBorders>
            <w:noWrap w:val="0"/>
            <w:vAlign w:val="center"/>
          </w:tcPr>
          <w:p w14:paraId="660C3C9E">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响应文件签署</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0A45E706">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响应文件上法定代表人或其授权代表人的签字齐全。</w:t>
            </w:r>
          </w:p>
        </w:tc>
      </w:tr>
      <w:tr w14:paraId="404E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14:paraId="618CEBB4">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455" w:type="dxa"/>
            <w:vMerge w:val="continue"/>
            <w:tcBorders>
              <w:top w:val="single" w:color="auto" w:sz="4" w:space="0"/>
              <w:left w:val="single" w:color="auto" w:sz="4" w:space="0"/>
              <w:bottom w:val="single" w:color="auto" w:sz="4" w:space="0"/>
              <w:right w:val="single" w:color="auto" w:sz="4" w:space="0"/>
            </w:tcBorders>
            <w:noWrap w:val="0"/>
            <w:vAlign w:val="center"/>
          </w:tcPr>
          <w:p w14:paraId="6244972C">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905" w:type="dxa"/>
            <w:tcBorders>
              <w:top w:val="single" w:color="auto" w:sz="4" w:space="0"/>
              <w:left w:val="single" w:color="auto" w:sz="4" w:space="0"/>
              <w:bottom w:val="single" w:color="auto" w:sz="4" w:space="0"/>
              <w:right w:val="single" w:color="auto" w:sz="4" w:space="0"/>
            </w:tcBorders>
            <w:noWrap w:val="0"/>
            <w:vAlign w:val="center"/>
          </w:tcPr>
          <w:p w14:paraId="74CD0568">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法定代表人身份证明及授权委托书</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19402898">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法定代表人身份证明及授权委托书有效，符合</w:t>
            </w:r>
            <w:r>
              <w:rPr>
                <w:rFonts w:hint="eastAsia" w:ascii="宋体" w:hAnsi="宋体" w:eastAsia="宋体" w:cs="宋体"/>
                <w:color w:val="auto"/>
                <w:sz w:val="21"/>
                <w:szCs w:val="21"/>
                <w:highlight w:val="none"/>
                <w:lang w:eastAsia="zh-CN"/>
              </w:rPr>
              <w:t>采购文件</w:t>
            </w:r>
            <w:r>
              <w:rPr>
                <w:rFonts w:hint="eastAsia" w:ascii="宋体" w:hAnsi="宋体" w:eastAsia="宋体" w:cs="宋体"/>
                <w:color w:val="auto"/>
                <w:sz w:val="21"/>
                <w:szCs w:val="21"/>
                <w:highlight w:val="none"/>
              </w:rPr>
              <w:t>规定的格式，签字或盖章齐全。</w:t>
            </w:r>
          </w:p>
        </w:tc>
      </w:tr>
      <w:tr w14:paraId="0F47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14:paraId="306ABD8C">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455" w:type="dxa"/>
            <w:vMerge w:val="continue"/>
            <w:tcBorders>
              <w:top w:val="single" w:color="auto" w:sz="4" w:space="0"/>
              <w:left w:val="single" w:color="auto" w:sz="4" w:space="0"/>
              <w:bottom w:val="single" w:color="auto" w:sz="4" w:space="0"/>
              <w:right w:val="single" w:color="auto" w:sz="4" w:space="0"/>
            </w:tcBorders>
            <w:noWrap w:val="0"/>
            <w:vAlign w:val="center"/>
          </w:tcPr>
          <w:p w14:paraId="5EC323B0">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905" w:type="dxa"/>
            <w:tcBorders>
              <w:top w:val="single" w:color="auto" w:sz="4" w:space="0"/>
              <w:left w:val="single" w:color="auto" w:sz="4" w:space="0"/>
              <w:bottom w:val="single" w:color="auto" w:sz="4" w:space="0"/>
              <w:right w:val="single" w:color="auto" w:sz="4" w:space="0"/>
            </w:tcBorders>
            <w:noWrap w:val="0"/>
            <w:vAlign w:val="center"/>
          </w:tcPr>
          <w:p w14:paraId="25F3A547">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响应</w:t>
            </w:r>
            <w:r>
              <w:rPr>
                <w:rFonts w:hint="eastAsia" w:ascii="宋体" w:hAnsi="宋体" w:eastAsia="宋体" w:cs="宋体"/>
                <w:color w:val="auto"/>
                <w:sz w:val="21"/>
                <w:szCs w:val="21"/>
                <w:highlight w:val="none"/>
                <w:lang w:val="zh-CN"/>
              </w:rPr>
              <w:t>方案</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418B3283">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每个分包只能有一个</w:t>
            </w:r>
            <w:r>
              <w:rPr>
                <w:rFonts w:hint="eastAsia" w:ascii="宋体" w:hAnsi="宋体" w:eastAsia="宋体" w:cs="宋体"/>
                <w:color w:val="auto"/>
                <w:sz w:val="21"/>
                <w:szCs w:val="21"/>
                <w:highlight w:val="none"/>
              </w:rPr>
              <w:t>响应</w:t>
            </w:r>
            <w:r>
              <w:rPr>
                <w:rFonts w:hint="eastAsia" w:ascii="宋体" w:hAnsi="宋体" w:eastAsia="宋体" w:cs="宋体"/>
                <w:color w:val="auto"/>
                <w:sz w:val="21"/>
                <w:szCs w:val="21"/>
                <w:highlight w:val="none"/>
                <w:lang w:val="zh-CN"/>
              </w:rPr>
              <w:t>方案。</w:t>
            </w:r>
          </w:p>
        </w:tc>
      </w:tr>
      <w:tr w14:paraId="3319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14:paraId="011F2286">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455" w:type="dxa"/>
            <w:vMerge w:val="continue"/>
            <w:tcBorders>
              <w:top w:val="single" w:color="auto" w:sz="4" w:space="0"/>
              <w:left w:val="single" w:color="auto" w:sz="4" w:space="0"/>
              <w:bottom w:val="single" w:color="auto" w:sz="4" w:space="0"/>
              <w:right w:val="single" w:color="auto" w:sz="4" w:space="0"/>
            </w:tcBorders>
            <w:noWrap w:val="0"/>
            <w:vAlign w:val="center"/>
          </w:tcPr>
          <w:p w14:paraId="3B303964">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905" w:type="dxa"/>
            <w:tcBorders>
              <w:top w:val="single" w:color="auto" w:sz="4" w:space="0"/>
              <w:left w:val="single" w:color="auto" w:sz="4" w:space="0"/>
              <w:bottom w:val="single" w:color="auto" w:sz="4" w:space="0"/>
              <w:right w:val="single" w:color="auto" w:sz="4" w:space="0"/>
            </w:tcBorders>
            <w:noWrap w:val="0"/>
            <w:vAlign w:val="center"/>
          </w:tcPr>
          <w:p w14:paraId="5FDA3D30">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报价唯一</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708AB45B">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只能有一个有效报价，不得提交选择性报价。</w:t>
            </w:r>
          </w:p>
        </w:tc>
      </w:tr>
      <w:tr w14:paraId="1A571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86" w:type="dxa"/>
            <w:tcBorders>
              <w:top w:val="single" w:color="auto" w:sz="4" w:space="0"/>
              <w:left w:val="single" w:color="auto" w:sz="4" w:space="0"/>
              <w:bottom w:val="single" w:color="auto" w:sz="4" w:space="0"/>
              <w:right w:val="single" w:color="auto" w:sz="4" w:space="0"/>
            </w:tcBorders>
            <w:noWrap w:val="0"/>
            <w:vAlign w:val="center"/>
          </w:tcPr>
          <w:p w14:paraId="04D4BBA1">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345965E0">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完整性审查</w:t>
            </w:r>
          </w:p>
        </w:tc>
        <w:tc>
          <w:tcPr>
            <w:tcW w:w="1905" w:type="dxa"/>
            <w:tcBorders>
              <w:top w:val="single" w:color="auto" w:sz="4" w:space="0"/>
              <w:left w:val="single" w:color="auto" w:sz="4" w:space="0"/>
              <w:bottom w:val="single" w:color="auto" w:sz="4" w:space="0"/>
              <w:right w:val="single" w:color="auto" w:sz="4" w:space="0"/>
            </w:tcBorders>
            <w:noWrap w:val="0"/>
            <w:vAlign w:val="center"/>
          </w:tcPr>
          <w:p w14:paraId="116F234B">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w:t>
            </w:r>
            <w:r>
              <w:rPr>
                <w:rFonts w:hint="eastAsia" w:ascii="宋体" w:hAnsi="宋体" w:eastAsia="宋体" w:cs="宋体"/>
                <w:color w:val="auto"/>
                <w:sz w:val="21"/>
                <w:szCs w:val="21"/>
                <w:highlight w:val="none"/>
                <w:lang w:val="zh-CN"/>
              </w:rPr>
              <w:t>文件份数</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7FC80043">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响应文件正、副本数量符合</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val="zh-CN"/>
              </w:rPr>
              <w:t>文件要求。</w:t>
            </w:r>
          </w:p>
        </w:tc>
      </w:tr>
      <w:tr w14:paraId="3EFEB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vMerge w:val="restart"/>
            <w:tcBorders>
              <w:top w:val="single" w:color="auto" w:sz="4" w:space="0"/>
              <w:left w:val="single" w:color="auto" w:sz="4" w:space="0"/>
              <w:bottom w:val="single" w:color="auto" w:sz="4" w:space="0"/>
              <w:right w:val="single" w:color="auto" w:sz="4" w:space="0"/>
            </w:tcBorders>
            <w:noWrap w:val="0"/>
            <w:vAlign w:val="center"/>
          </w:tcPr>
          <w:p w14:paraId="11DB3D10">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55" w:type="dxa"/>
            <w:vMerge w:val="restart"/>
            <w:tcBorders>
              <w:top w:val="single" w:color="auto" w:sz="4" w:space="0"/>
              <w:left w:val="single" w:color="auto" w:sz="4" w:space="0"/>
              <w:bottom w:val="single" w:color="auto" w:sz="4" w:space="0"/>
              <w:right w:val="single" w:color="auto" w:sz="4" w:space="0"/>
            </w:tcBorders>
            <w:noWrap w:val="0"/>
            <w:vAlign w:val="center"/>
          </w:tcPr>
          <w:p w14:paraId="1324BDB4">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eastAsia="zh-CN"/>
              </w:rPr>
              <w:t>采购文件</w:t>
            </w:r>
            <w:r>
              <w:rPr>
                <w:rFonts w:hint="eastAsia" w:ascii="宋体" w:hAnsi="宋体" w:eastAsia="宋体" w:cs="宋体"/>
                <w:color w:val="auto"/>
                <w:sz w:val="21"/>
                <w:szCs w:val="21"/>
                <w:highlight w:val="none"/>
              </w:rPr>
              <w:t>的响应程度审查</w:t>
            </w:r>
          </w:p>
        </w:tc>
        <w:tc>
          <w:tcPr>
            <w:tcW w:w="1905" w:type="dxa"/>
            <w:tcBorders>
              <w:top w:val="single" w:color="auto" w:sz="4" w:space="0"/>
              <w:left w:val="single" w:color="auto" w:sz="4" w:space="0"/>
              <w:bottom w:val="single" w:color="auto" w:sz="4" w:space="0"/>
              <w:right w:val="single" w:color="auto" w:sz="4" w:space="0"/>
            </w:tcBorders>
            <w:noWrap w:val="0"/>
            <w:vAlign w:val="center"/>
          </w:tcPr>
          <w:p w14:paraId="7950814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响应文件内容</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6CBF4C75">
            <w:pPr>
              <w:pStyle w:val="14"/>
              <w:pageBreakBefore w:val="0"/>
              <w:widowControl w:val="0"/>
              <w:kinsoku/>
              <w:wordWrap/>
              <w:overflowPunct/>
              <w:topLinePunct w:val="0"/>
              <w:autoSpaceDE/>
              <w:autoSpaceDN/>
              <w:bidi w:val="0"/>
              <w:spacing w:line="400" w:lineRule="exact"/>
              <w:jc w:val="both"/>
              <w:textAlignment w:val="auto"/>
              <w:rPr>
                <w:rFonts w:hint="eastAsia" w:ascii="宋体" w:hAnsi="宋体" w:eastAsia="宋体" w:cs="宋体"/>
                <w:color w:val="auto"/>
                <w:kern w:val="2"/>
                <w:sz w:val="21"/>
                <w:szCs w:val="21"/>
                <w:highlight w:val="none"/>
                <w:lang w:val="en-US"/>
              </w:rPr>
            </w:pPr>
            <w:r>
              <w:rPr>
                <w:rFonts w:hint="eastAsia" w:ascii="宋体" w:hAnsi="宋体" w:eastAsia="宋体" w:cs="宋体"/>
                <w:color w:val="auto"/>
                <w:kern w:val="2"/>
                <w:sz w:val="21"/>
                <w:szCs w:val="21"/>
                <w:highlight w:val="none"/>
                <w:lang w:val="en-US"/>
              </w:rPr>
              <w:t>对</w:t>
            </w:r>
            <w:r>
              <w:rPr>
                <w:rFonts w:hint="eastAsia" w:ascii="宋体" w:hAnsi="宋体" w:eastAsia="宋体" w:cs="宋体"/>
                <w:color w:val="auto"/>
                <w:kern w:val="2"/>
                <w:sz w:val="21"/>
                <w:szCs w:val="21"/>
                <w:highlight w:val="none"/>
                <w:lang w:val="en-US" w:eastAsia="zh-CN"/>
              </w:rPr>
              <w:t>采购文件</w:t>
            </w:r>
            <w:r>
              <w:rPr>
                <w:rFonts w:hint="eastAsia" w:ascii="宋体" w:hAnsi="宋体" w:eastAsia="宋体" w:cs="宋体"/>
                <w:color w:val="auto"/>
                <w:kern w:val="2"/>
                <w:sz w:val="21"/>
                <w:szCs w:val="21"/>
                <w:highlight w:val="none"/>
                <w:lang w:val="en-US"/>
              </w:rPr>
              <w:t>第</w:t>
            </w:r>
            <w:r>
              <w:rPr>
                <w:rFonts w:hint="eastAsia" w:ascii="宋体" w:hAnsi="宋体" w:eastAsia="宋体" w:cs="宋体"/>
                <w:color w:val="auto"/>
                <w:kern w:val="2"/>
                <w:sz w:val="21"/>
                <w:szCs w:val="21"/>
                <w:highlight w:val="none"/>
                <w:lang w:val="en-US" w:eastAsia="zh-CN"/>
              </w:rPr>
              <w:t>二</w:t>
            </w:r>
            <w:r>
              <w:rPr>
                <w:rFonts w:hint="eastAsia" w:ascii="宋体" w:hAnsi="宋体" w:eastAsia="宋体" w:cs="宋体"/>
                <w:color w:val="auto"/>
                <w:kern w:val="2"/>
                <w:sz w:val="21"/>
                <w:szCs w:val="21"/>
                <w:highlight w:val="none"/>
                <w:lang w:val="en-US"/>
              </w:rPr>
              <w:t>篇、第</w:t>
            </w:r>
            <w:r>
              <w:rPr>
                <w:rFonts w:hint="eastAsia" w:ascii="宋体" w:hAnsi="宋体" w:eastAsia="宋体" w:cs="宋体"/>
                <w:color w:val="auto"/>
                <w:kern w:val="2"/>
                <w:sz w:val="21"/>
                <w:szCs w:val="21"/>
                <w:highlight w:val="none"/>
                <w:lang w:val="en-US" w:eastAsia="zh-CN"/>
              </w:rPr>
              <w:t>三</w:t>
            </w:r>
            <w:r>
              <w:rPr>
                <w:rFonts w:hint="eastAsia" w:ascii="宋体" w:hAnsi="宋体" w:eastAsia="宋体" w:cs="宋体"/>
                <w:color w:val="auto"/>
                <w:kern w:val="2"/>
                <w:sz w:val="21"/>
                <w:szCs w:val="21"/>
                <w:highlight w:val="none"/>
                <w:lang w:val="en-US"/>
              </w:rPr>
              <w:t>篇规定的采购内容作出响应。</w:t>
            </w:r>
          </w:p>
        </w:tc>
      </w:tr>
      <w:tr w14:paraId="1AFCB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14:paraId="1326AC61">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rPr>
            </w:pPr>
          </w:p>
        </w:tc>
        <w:tc>
          <w:tcPr>
            <w:tcW w:w="1455" w:type="dxa"/>
            <w:vMerge w:val="continue"/>
            <w:tcBorders>
              <w:top w:val="single" w:color="auto" w:sz="4" w:space="0"/>
              <w:left w:val="single" w:color="auto" w:sz="4" w:space="0"/>
              <w:bottom w:val="single" w:color="auto" w:sz="4" w:space="0"/>
              <w:right w:val="single" w:color="auto" w:sz="4" w:space="0"/>
            </w:tcBorders>
            <w:noWrap w:val="0"/>
            <w:vAlign w:val="center"/>
          </w:tcPr>
          <w:p w14:paraId="05FC0788">
            <w:pPr>
              <w:keepNext/>
              <w:keepLines/>
              <w:pageBreakBefore w:val="0"/>
              <w:kinsoku/>
              <w:wordWrap/>
              <w:overflowPunct/>
              <w:topLinePunct w:val="0"/>
              <w:autoSpaceDE/>
              <w:autoSpaceDN/>
              <w:bidi w:val="0"/>
              <w:spacing w:before="260" w:after="260" w:line="400" w:lineRule="exact"/>
              <w:textAlignment w:val="auto"/>
              <w:rPr>
                <w:rFonts w:hint="eastAsia" w:ascii="宋体" w:hAnsi="宋体" w:eastAsia="宋体" w:cs="宋体"/>
                <w:color w:val="auto"/>
                <w:sz w:val="21"/>
                <w:szCs w:val="21"/>
                <w:highlight w:val="none"/>
                <w:lang w:val="zh-CN"/>
              </w:rPr>
            </w:pPr>
          </w:p>
        </w:tc>
        <w:tc>
          <w:tcPr>
            <w:tcW w:w="1905" w:type="dxa"/>
            <w:tcBorders>
              <w:top w:val="single" w:color="auto" w:sz="4" w:space="0"/>
              <w:left w:val="single" w:color="auto" w:sz="4" w:space="0"/>
              <w:bottom w:val="single" w:color="auto" w:sz="4" w:space="0"/>
              <w:right w:val="single" w:color="auto" w:sz="4" w:space="0"/>
            </w:tcBorders>
            <w:noWrap w:val="0"/>
            <w:vAlign w:val="center"/>
          </w:tcPr>
          <w:p w14:paraId="6AFD2BD5">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有效期</w:t>
            </w:r>
          </w:p>
        </w:tc>
        <w:tc>
          <w:tcPr>
            <w:tcW w:w="6043" w:type="dxa"/>
            <w:tcBorders>
              <w:top w:val="single" w:color="auto" w:sz="4" w:space="0"/>
              <w:left w:val="single" w:color="auto" w:sz="4" w:space="0"/>
              <w:bottom w:val="single" w:color="auto" w:sz="4" w:space="0"/>
              <w:right w:val="single" w:color="auto" w:sz="4" w:space="0"/>
            </w:tcBorders>
            <w:noWrap w:val="0"/>
            <w:vAlign w:val="center"/>
          </w:tcPr>
          <w:p w14:paraId="537121B5">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响应文件及有关承诺文件有效期为提交响应文件截止时间起90天。</w:t>
            </w:r>
          </w:p>
        </w:tc>
      </w:tr>
    </w:tbl>
    <w:p w14:paraId="7C1E6842">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评审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698FBB77">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评审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08BDE69C">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（3）在采购过程中任何一方不得向他人透露与有关的技术资料、价格或其他信息。</w:t>
      </w:r>
    </w:p>
    <w:p w14:paraId="3BDBFB1C">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评审小组采用综合评分法对供应商的响应文件和报价进行综合评分。综合评分法，是指响应文件满足采购文件全部实质性要求且按照评审因素的量化指标评审得分最高的供应商为成交候选供应商的评审方法。供应商总得分为价格、技术、商务等评定因素分别按照相应权重值计算分项得分后相加，满分为100分。</w:t>
      </w:r>
    </w:p>
    <w:p w14:paraId="27255277">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评审小组各成员独立对每个有效响应（通过资格性检查、符合性检查的供应商）的文件进行评价、打分，然后汇总每个供应商每项评分因素的得分，并根据综合评分情况按照评审得分由高到低顺序推荐3名以上成交候选供应商，并编写评审报告。若供应商的评审得分相同的，按照报价由低到高的顺序排列推荐。评审得分且报价相同的，按照技术指标优劣顺序排列推荐。以上都相同的，按商务条款的优劣顺序排列推荐。</w:t>
      </w:r>
    </w:p>
    <w:p w14:paraId="195D1C2D">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（6）评审小组的组成：</w:t>
      </w:r>
    </w:p>
    <w:p w14:paraId="6CA84ABE">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1、评标委员会构成：3人。</w:t>
      </w:r>
    </w:p>
    <w:p w14:paraId="7743745B">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2、评审专家确定方式：依法组建。</w:t>
      </w:r>
    </w:p>
    <w:p w14:paraId="686262EC">
      <w:pPr>
        <w:pStyle w:val="7"/>
        <w:pageBreakBefore w:val="0"/>
        <w:kinsoku/>
        <w:wordWrap/>
        <w:overflowPunct/>
        <w:topLinePunct w:val="0"/>
        <w:autoSpaceDE/>
        <w:autoSpaceDN/>
        <w:bidi w:val="0"/>
        <w:spacing w:line="40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六、评审标准</w:t>
      </w:r>
    </w:p>
    <w:tbl>
      <w:tblPr>
        <w:tblStyle w:val="28"/>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86"/>
        <w:gridCol w:w="698"/>
        <w:gridCol w:w="4637"/>
        <w:gridCol w:w="2112"/>
      </w:tblGrid>
      <w:tr w14:paraId="17E5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32" w:type="dxa"/>
            <w:tcBorders>
              <w:top w:val="single" w:color="auto" w:sz="4" w:space="0"/>
              <w:left w:val="single" w:color="auto" w:sz="4" w:space="0"/>
              <w:bottom w:val="single" w:color="auto" w:sz="4" w:space="0"/>
              <w:right w:val="single" w:color="auto" w:sz="4" w:space="0"/>
            </w:tcBorders>
            <w:noWrap w:val="0"/>
            <w:vAlign w:val="center"/>
          </w:tcPr>
          <w:p w14:paraId="2F84C98E">
            <w:pPr>
              <w:pageBreakBefore w:val="0"/>
              <w:kinsoku/>
              <w:wordWrap/>
              <w:overflowPunct/>
              <w:topLinePunct w:val="0"/>
              <w:autoSpaceDE/>
              <w:autoSpaceDN/>
              <w:bidi w:val="0"/>
              <w:spacing w:line="400" w:lineRule="exact"/>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序号</w:t>
            </w:r>
          </w:p>
        </w:tc>
        <w:tc>
          <w:tcPr>
            <w:tcW w:w="1186" w:type="dxa"/>
            <w:tcBorders>
              <w:top w:val="single" w:color="auto" w:sz="4" w:space="0"/>
              <w:left w:val="single" w:color="auto" w:sz="4" w:space="0"/>
              <w:bottom w:val="single" w:color="auto" w:sz="4" w:space="0"/>
              <w:right w:val="single" w:color="auto" w:sz="4" w:space="0"/>
            </w:tcBorders>
            <w:noWrap w:val="0"/>
            <w:vAlign w:val="center"/>
          </w:tcPr>
          <w:p w14:paraId="57624F66">
            <w:pPr>
              <w:pageBreakBefore w:val="0"/>
              <w:kinsoku/>
              <w:wordWrap/>
              <w:overflowPunct/>
              <w:topLinePunct w:val="0"/>
              <w:autoSpaceDE/>
              <w:autoSpaceDN/>
              <w:bidi w:val="0"/>
              <w:spacing w:line="400" w:lineRule="exact"/>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评分因素及权重</w:t>
            </w:r>
          </w:p>
        </w:tc>
        <w:tc>
          <w:tcPr>
            <w:tcW w:w="698" w:type="dxa"/>
            <w:tcBorders>
              <w:top w:val="single" w:color="auto" w:sz="4" w:space="0"/>
              <w:left w:val="single" w:color="auto" w:sz="4" w:space="0"/>
              <w:bottom w:val="single" w:color="auto" w:sz="4" w:space="0"/>
              <w:right w:val="single" w:color="auto" w:sz="4" w:space="0"/>
            </w:tcBorders>
            <w:noWrap w:val="0"/>
            <w:vAlign w:val="center"/>
          </w:tcPr>
          <w:p w14:paraId="5020C12F">
            <w:pPr>
              <w:pageBreakBefore w:val="0"/>
              <w:kinsoku/>
              <w:wordWrap/>
              <w:overflowPunct/>
              <w:topLinePunct w:val="0"/>
              <w:autoSpaceDE/>
              <w:autoSpaceDN/>
              <w:bidi w:val="0"/>
              <w:spacing w:line="400" w:lineRule="exact"/>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分值</w:t>
            </w:r>
          </w:p>
        </w:tc>
        <w:tc>
          <w:tcPr>
            <w:tcW w:w="4637" w:type="dxa"/>
            <w:tcBorders>
              <w:top w:val="single" w:color="auto" w:sz="4" w:space="0"/>
              <w:left w:val="single" w:color="auto" w:sz="4" w:space="0"/>
              <w:bottom w:val="single" w:color="auto" w:sz="4" w:space="0"/>
              <w:right w:val="single" w:color="auto" w:sz="4" w:space="0"/>
            </w:tcBorders>
            <w:noWrap w:val="0"/>
            <w:vAlign w:val="center"/>
          </w:tcPr>
          <w:p w14:paraId="0020141F">
            <w:pPr>
              <w:pageBreakBefore w:val="0"/>
              <w:kinsoku/>
              <w:wordWrap/>
              <w:overflowPunct/>
              <w:topLinePunct w:val="0"/>
              <w:autoSpaceDE/>
              <w:autoSpaceDN/>
              <w:bidi w:val="0"/>
              <w:spacing w:line="400" w:lineRule="exact"/>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评分标准</w:t>
            </w:r>
          </w:p>
        </w:tc>
        <w:tc>
          <w:tcPr>
            <w:tcW w:w="2112" w:type="dxa"/>
            <w:tcBorders>
              <w:top w:val="single" w:color="auto" w:sz="4" w:space="0"/>
              <w:left w:val="single" w:color="auto" w:sz="4" w:space="0"/>
              <w:bottom w:val="single" w:color="auto" w:sz="4" w:space="0"/>
              <w:right w:val="single" w:color="auto" w:sz="4" w:space="0"/>
            </w:tcBorders>
            <w:noWrap w:val="0"/>
            <w:vAlign w:val="center"/>
          </w:tcPr>
          <w:p w14:paraId="15E3EAAA">
            <w:pPr>
              <w:pageBreakBefore w:val="0"/>
              <w:kinsoku/>
              <w:wordWrap/>
              <w:overflowPunct/>
              <w:topLinePunct w:val="0"/>
              <w:autoSpaceDE/>
              <w:autoSpaceDN/>
              <w:bidi w:val="0"/>
              <w:spacing w:line="400" w:lineRule="exact"/>
              <w:jc w:val="center"/>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w:t>
            </w:r>
          </w:p>
        </w:tc>
      </w:tr>
      <w:tr w14:paraId="7B726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jc w:val="center"/>
        </w:trPr>
        <w:tc>
          <w:tcPr>
            <w:tcW w:w="832" w:type="dxa"/>
            <w:tcBorders>
              <w:top w:val="single" w:color="auto" w:sz="4" w:space="0"/>
              <w:left w:val="single" w:color="auto" w:sz="4" w:space="0"/>
              <w:bottom w:val="single" w:color="auto" w:sz="4" w:space="0"/>
              <w:right w:val="single" w:color="auto" w:sz="4" w:space="0"/>
            </w:tcBorders>
            <w:noWrap w:val="0"/>
            <w:vAlign w:val="center"/>
          </w:tcPr>
          <w:p w14:paraId="1E1BBD9D">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p>
        </w:tc>
        <w:tc>
          <w:tcPr>
            <w:tcW w:w="1186" w:type="dxa"/>
            <w:tcBorders>
              <w:top w:val="single" w:color="auto" w:sz="4" w:space="0"/>
              <w:left w:val="single" w:color="auto" w:sz="4" w:space="0"/>
              <w:bottom w:val="single" w:color="auto" w:sz="4" w:space="0"/>
              <w:right w:val="single" w:color="auto" w:sz="4" w:space="0"/>
            </w:tcBorders>
            <w:noWrap w:val="0"/>
            <w:vAlign w:val="center"/>
          </w:tcPr>
          <w:p w14:paraId="4034D02F">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投标报价</w:t>
            </w:r>
          </w:p>
          <w:p w14:paraId="2A093771">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w:t>
            </w: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val="zh-CN"/>
              </w:rPr>
              <w:t>%）</w:t>
            </w:r>
          </w:p>
        </w:tc>
        <w:tc>
          <w:tcPr>
            <w:tcW w:w="698" w:type="dxa"/>
            <w:tcBorders>
              <w:top w:val="single" w:color="auto" w:sz="4" w:space="0"/>
              <w:left w:val="single" w:color="auto" w:sz="4" w:space="0"/>
              <w:bottom w:val="single" w:color="auto" w:sz="4" w:space="0"/>
              <w:right w:val="single" w:color="auto" w:sz="4" w:space="0"/>
            </w:tcBorders>
            <w:noWrap w:val="0"/>
            <w:vAlign w:val="center"/>
          </w:tcPr>
          <w:p w14:paraId="526D0E58">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rPr>
              <w:t>0</w:t>
            </w:r>
            <w:r>
              <w:rPr>
                <w:rFonts w:hint="eastAsia" w:ascii="宋体" w:hAnsi="宋体" w:eastAsia="宋体" w:cs="宋体"/>
                <w:b w:val="0"/>
                <w:bCs w:val="0"/>
                <w:color w:val="auto"/>
                <w:sz w:val="21"/>
                <w:szCs w:val="21"/>
                <w:highlight w:val="none"/>
              </w:rPr>
              <w:t>分</w:t>
            </w:r>
          </w:p>
        </w:tc>
        <w:tc>
          <w:tcPr>
            <w:tcW w:w="4637" w:type="dxa"/>
            <w:tcBorders>
              <w:top w:val="single" w:color="auto" w:sz="4" w:space="0"/>
              <w:left w:val="single" w:color="auto" w:sz="4" w:space="0"/>
              <w:bottom w:val="single" w:color="auto" w:sz="4" w:space="0"/>
              <w:right w:val="single" w:color="auto" w:sz="4" w:space="0"/>
            </w:tcBorders>
            <w:noWrap w:val="0"/>
            <w:vAlign w:val="center"/>
          </w:tcPr>
          <w:p w14:paraId="2FD4B165">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有效的投标报价中的最低报价为评标基准价，按照下列公式计算每个投标人的投标价格得分。</w:t>
            </w:r>
          </w:p>
          <w:p w14:paraId="626382EB">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val="0"/>
                <w:bCs w:val="0"/>
                <w:color w:val="auto"/>
                <w:sz w:val="21"/>
                <w:szCs w:val="21"/>
                <w:highlight w:val="none"/>
              </w:rPr>
              <w:t>投标报价得分＝（评标基准价/投标报价）×价格权重×100。</w:t>
            </w:r>
          </w:p>
        </w:tc>
        <w:tc>
          <w:tcPr>
            <w:tcW w:w="2112" w:type="dxa"/>
            <w:tcBorders>
              <w:top w:val="single" w:color="auto" w:sz="4" w:space="0"/>
              <w:left w:val="single" w:color="auto" w:sz="4" w:space="0"/>
              <w:bottom w:val="single" w:color="auto" w:sz="4" w:space="0"/>
              <w:right w:val="single" w:color="auto" w:sz="4" w:space="0"/>
            </w:tcBorders>
            <w:noWrap w:val="0"/>
            <w:vAlign w:val="center"/>
          </w:tcPr>
          <w:p w14:paraId="2CF987C4">
            <w:pPr>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lang w:val="zh-CN"/>
              </w:rPr>
            </w:pPr>
          </w:p>
        </w:tc>
      </w:tr>
      <w:tr w14:paraId="4B6A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atLeast"/>
          <w:jc w:val="center"/>
        </w:trPr>
        <w:tc>
          <w:tcPr>
            <w:tcW w:w="832" w:type="dxa"/>
            <w:vMerge w:val="restart"/>
            <w:tcBorders>
              <w:top w:val="single" w:color="auto" w:sz="4" w:space="0"/>
              <w:left w:val="single" w:color="auto" w:sz="4" w:space="0"/>
              <w:bottom w:val="single" w:color="auto" w:sz="4" w:space="0"/>
              <w:right w:val="single" w:color="auto" w:sz="4" w:space="0"/>
            </w:tcBorders>
            <w:noWrap w:val="0"/>
            <w:vAlign w:val="center"/>
          </w:tcPr>
          <w:p w14:paraId="765A2B91">
            <w:pPr>
              <w:pStyle w:val="10"/>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6" w:type="dxa"/>
            <w:vMerge w:val="restart"/>
            <w:tcBorders>
              <w:top w:val="single" w:color="auto" w:sz="4" w:space="0"/>
              <w:left w:val="single" w:color="auto" w:sz="4" w:space="0"/>
              <w:bottom w:val="single" w:color="auto" w:sz="4" w:space="0"/>
              <w:right w:val="single" w:color="auto" w:sz="4" w:space="0"/>
            </w:tcBorders>
            <w:noWrap w:val="0"/>
            <w:vAlign w:val="center"/>
          </w:tcPr>
          <w:p w14:paraId="3A278D0D">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技术部分</w:t>
            </w:r>
          </w:p>
          <w:p w14:paraId="486AE4E2">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70</w:t>
            </w:r>
            <w:r>
              <w:rPr>
                <w:rFonts w:hint="eastAsia" w:ascii="宋体" w:hAnsi="宋体" w:eastAsia="宋体" w:cs="宋体"/>
                <w:color w:val="auto"/>
                <w:sz w:val="21"/>
                <w:szCs w:val="21"/>
                <w:highlight w:val="none"/>
              </w:rPr>
              <w:t>%）</w:t>
            </w:r>
          </w:p>
        </w:tc>
        <w:tc>
          <w:tcPr>
            <w:tcW w:w="698" w:type="dxa"/>
            <w:vMerge w:val="restart"/>
            <w:tcBorders>
              <w:top w:val="single" w:color="auto" w:sz="4" w:space="0"/>
              <w:left w:val="single" w:color="auto" w:sz="4" w:space="0"/>
              <w:bottom w:val="single" w:color="auto" w:sz="4" w:space="0"/>
              <w:right w:val="single" w:color="auto" w:sz="4" w:space="0"/>
            </w:tcBorders>
            <w:noWrap w:val="0"/>
            <w:vAlign w:val="center"/>
          </w:tcPr>
          <w:p w14:paraId="666219EA">
            <w:pPr>
              <w:pageBreakBefore w:val="0"/>
              <w:kinsoku/>
              <w:wordWrap/>
              <w:overflowPunct/>
              <w:topLinePunct w:val="0"/>
              <w:autoSpaceDE/>
              <w:autoSpaceDN/>
              <w:bidi w:val="0"/>
              <w:spacing w:line="400" w:lineRule="exac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技术方案（</w:t>
            </w:r>
            <w:r>
              <w:rPr>
                <w:rFonts w:hint="eastAsia" w:cs="宋体"/>
                <w:b w:val="0"/>
                <w:bCs w:val="0"/>
                <w:color w:val="auto"/>
                <w:sz w:val="21"/>
                <w:szCs w:val="21"/>
                <w:highlight w:val="none"/>
                <w:lang w:val="en-US" w:eastAsia="zh-CN"/>
              </w:rPr>
              <w:t>70</w:t>
            </w:r>
            <w:r>
              <w:rPr>
                <w:rFonts w:hint="eastAsia" w:ascii="宋体" w:hAnsi="宋体" w:eastAsia="宋体" w:cs="宋体"/>
                <w:b w:val="0"/>
                <w:bCs w:val="0"/>
                <w:color w:val="auto"/>
                <w:sz w:val="21"/>
                <w:szCs w:val="21"/>
                <w:highlight w:val="none"/>
              </w:rPr>
              <w:t>分）</w:t>
            </w:r>
          </w:p>
        </w:tc>
        <w:tc>
          <w:tcPr>
            <w:tcW w:w="4637" w:type="dxa"/>
            <w:tcBorders>
              <w:top w:val="single" w:color="auto" w:sz="4" w:space="0"/>
              <w:left w:val="single" w:color="auto" w:sz="4" w:space="0"/>
              <w:bottom w:val="single" w:color="auto" w:sz="4" w:space="0"/>
              <w:right w:val="single" w:color="auto" w:sz="4" w:space="0"/>
            </w:tcBorders>
            <w:noWrap w:val="0"/>
            <w:vAlign w:val="center"/>
          </w:tcPr>
          <w:p w14:paraId="5B9C4A87">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施工方案与技术措施（</w:t>
            </w:r>
            <w:r>
              <w:rPr>
                <w:rFonts w:hint="eastAsia" w:cs="宋体"/>
                <w:b w:val="0"/>
                <w:bCs w:val="0"/>
                <w:color w:val="auto"/>
                <w:sz w:val="21"/>
                <w:szCs w:val="21"/>
                <w:highlight w:val="none"/>
                <w:lang w:val="en-US" w:eastAsia="zh-CN"/>
              </w:rPr>
              <w:t>20</w:t>
            </w:r>
            <w:r>
              <w:rPr>
                <w:rFonts w:hint="eastAsia" w:ascii="宋体" w:hAnsi="宋体" w:eastAsia="宋体" w:cs="宋体"/>
                <w:b w:val="0"/>
                <w:bCs w:val="0"/>
                <w:color w:val="auto"/>
                <w:sz w:val="21"/>
                <w:szCs w:val="21"/>
                <w:highlight w:val="none"/>
              </w:rPr>
              <w:t>分）</w:t>
            </w:r>
          </w:p>
          <w:p w14:paraId="30CADAE6">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根据本项目的实际情况，提供设施设备安装及施工方案，包含不限于施工方法、施工顺序、施工器具、施工技术、对施工现场周围环境污染的保护措施等。横向评比，优秀得</w:t>
            </w:r>
            <w:r>
              <w:rPr>
                <w:rFonts w:hint="eastAsia" w:cs="宋体"/>
                <w:b w:val="0"/>
                <w:bCs w:val="0"/>
                <w:color w:val="auto"/>
                <w:sz w:val="21"/>
                <w:szCs w:val="21"/>
                <w:highlight w:val="none"/>
                <w:lang w:val="en-US" w:eastAsia="zh-CN"/>
              </w:rPr>
              <w:t>20</w:t>
            </w:r>
            <w:r>
              <w:rPr>
                <w:rFonts w:hint="eastAsia" w:ascii="宋体" w:hAnsi="宋体" w:eastAsia="宋体" w:cs="宋体"/>
                <w:b w:val="0"/>
                <w:bCs w:val="0"/>
                <w:color w:val="auto"/>
                <w:sz w:val="21"/>
                <w:szCs w:val="21"/>
                <w:highlight w:val="none"/>
              </w:rPr>
              <w:t>分，良得1</w:t>
            </w:r>
            <w:r>
              <w:rPr>
                <w:rFonts w:hint="eastAsia"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rPr>
              <w:t>分，一般得</w:t>
            </w:r>
            <w:r>
              <w:rPr>
                <w:rFonts w:hint="eastAsia" w:cs="宋体"/>
                <w:b w:val="0"/>
                <w:bCs w:val="0"/>
                <w:color w:val="auto"/>
                <w:sz w:val="21"/>
                <w:szCs w:val="21"/>
                <w:highlight w:val="none"/>
                <w:lang w:val="en-US" w:eastAsia="zh-CN"/>
              </w:rPr>
              <w:t>10</w:t>
            </w:r>
            <w:r>
              <w:rPr>
                <w:rFonts w:hint="eastAsia" w:ascii="宋体" w:hAnsi="宋体" w:eastAsia="宋体" w:cs="宋体"/>
                <w:b w:val="0"/>
                <w:bCs w:val="0"/>
                <w:color w:val="auto"/>
                <w:sz w:val="21"/>
                <w:szCs w:val="21"/>
                <w:highlight w:val="none"/>
              </w:rPr>
              <w:t>分</w:t>
            </w:r>
            <w:r>
              <w:rPr>
                <w:rFonts w:hint="eastAsia" w:ascii="宋体" w:hAnsi="宋体" w:eastAsia="宋体" w:cs="宋体"/>
                <w:b w:val="0"/>
                <w:bCs w:val="0"/>
                <w:color w:val="auto"/>
                <w:sz w:val="21"/>
                <w:szCs w:val="21"/>
                <w:highlight w:val="none"/>
                <w:lang w:val="zh-CN"/>
              </w:rPr>
              <w:t>，差得</w:t>
            </w:r>
            <w:r>
              <w:rPr>
                <w:rFonts w:hint="eastAsia" w:ascii="宋体" w:hAnsi="宋体" w:eastAsia="宋体" w:cs="宋体"/>
                <w:b w:val="0"/>
                <w:bCs w:val="0"/>
                <w:color w:val="auto"/>
                <w:sz w:val="21"/>
                <w:szCs w:val="21"/>
                <w:highlight w:val="none"/>
              </w:rPr>
              <w:t>5</w:t>
            </w:r>
            <w:r>
              <w:rPr>
                <w:rFonts w:hint="eastAsia" w:ascii="宋体" w:hAnsi="宋体" w:eastAsia="宋体" w:cs="宋体"/>
                <w:b w:val="0"/>
                <w:bCs w:val="0"/>
                <w:color w:val="auto"/>
                <w:sz w:val="21"/>
                <w:szCs w:val="21"/>
                <w:highlight w:val="none"/>
                <w:lang w:val="zh-CN"/>
              </w:rPr>
              <w:t>分，未提供不得分。</w:t>
            </w:r>
          </w:p>
        </w:tc>
        <w:tc>
          <w:tcPr>
            <w:tcW w:w="2112" w:type="dxa"/>
            <w:vMerge w:val="restart"/>
            <w:tcBorders>
              <w:top w:val="single" w:color="auto" w:sz="4" w:space="0"/>
              <w:left w:val="single" w:color="auto" w:sz="4" w:space="0"/>
              <w:bottom w:val="single" w:color="auto" w:sz="4" w:space="0"/>
              <w:right w:val="single" w:color="auto" w:sz="4" w:space="0"/>
            </w:tcBorders>
            <w:noWrap w:val="0"/>
            <w:vAlign w:val="center"/>
          </w:tcPr>
          <w:p w14:paraId="77071D66">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评标委员会横向比较，独立评审打分，其中：</w:t>
            </w:r>
          </w:p>
          <w:p w14:paraId="64DD196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“优”的标准：方案内容完整，科学合理，可操作性强，符合项目实际情况。</w:t>
            </w:r>
          </w:p>
          <w:p w14:paraId="31BFC398">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“良”的标准：方案内容较完整，较科学合理，可操作性较强，较符合项目实际情况。</w:t>
            </w:r>
          </w:p>
          <w:p w14:paraId="372E4835">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“一般”的标准：方案内容基本完整，基本科学合理，可操作性一般。</w:t>
            </w:r>
          </w:p>
          <w:p w14:paraId="27F80C5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“差”的标准：方案内容简单，无具体操作性为差。</w:t>
            </w:r>
          </w:p>
        </w:tc>
      </w:tr>
      <w:tr w14:paraId="289F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0" w:hRule="atLeast"/>
          <w:jc w:val="center"/>
        </w:trPr>
        <w:tc>
          <w:tcPr>
            <w:tcW w:w="832" w:type="dxa"/>
            <w:vMerge w:val="continue"/>
            <w:tcBorders>
              <w:left w:val="single" w:color="auto" w:sz="4" w:space="0"/>
              <w:right w:val="single" w:color="auto" w:sz="4" w:space="0"/>
            </w:tcBorders>
            <w:noWrap w:val="0"/>
            <w:vAlign w:val="center"/>
          </w:tcPr>
          <w:p w14:paraId="75AE3086">
            <w:pPr>
              <w:pStyle w:val="10"/>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en-US" w:eastAsia="zh-CN"/>
              </w:rPr>
            </w:pPr>
          </w:p>
        </w:tc>
        <w:tc>
          <w:tcPr>
            <w:tcW w:w="1186" w:type="dxa"/>
            <w:vMerge w:val="continue"/>
            <w:tcBorders>
              <w:left w:val="single" w:color="auto" w:sz="4" w:space="0"/>
              <w:right w:val="single" w:color="auto" w:sz="4" w:space="0"/>
            </w:tcBorders>
            <w:noWrap w:val="0"/>
            <w:vAlign w:val="center"/>
          </w:tcPr>
          <w:p w14:paraId="739E0FF4">
            <w:pPr>
              <w:pageBreakBefore w:val="0"/>
              <w:kinsoku/>
              <w:wordWrap/>
              <w:overflowPunct/>
              <w:topLinePunct w:val="0"/>
              <w:autoSpaceDE/>
              <w:autoSpaceDN/>
              <w:bidi w:val="0"/>
              <w:spacing w:line="400" w:lineRule="exact"/>
              <w:ind w:firstLine="210" w:firstLineChars="100"/>
              <w:textAlignment w:val="auto"/>
              <w:rPr>
                <w:rFonts w:hint="eastAsia" w:ascii="宋体" w:hAnsi="宋体" w:eastAsia="宋体" w:cs="宋体"/>
                <w:color w:val="auto"/>
                <w:sz w:val="21"/>
                <w:szCs w:val="21"/>
                <w:highlight w:val="none"/>
              </w:rPr>
            </w:pPr>
          </w:p>
        </w:tc>
        <w:tc>
          <w:tcPr>
            <w:tcW w:w="698" w:type="dxa"/>
            <w:vMerge w:val="continue"/>
            <w:tcBorders>
              <w:left w:val="single" w:color="auto" w:sz="4" w:space="0"/>
              <w:right w:val="single" w:color="auto" w:sz="4" w:space="0"/>
            </w:tcBorders>
            <w:noWrap w:val="0"/>
            <w:vAlign w:val="center"/>
          </w:tcPr>
          <w:p w14:paraId="30E5EA6D">
            <w:pPr>
              <w:pageBreakBefore w:val="0"/>
              <w:kinsoku/>
              <w:wordWrap/>
              <w:overflowPunct/>
              <w:topLinePunct w:val="0"/>
              <w:autoSpaceDE/>
              <w:autoSpaceDN/>
              <w:bidi w:val="0"/>
              <w:spacing w:line="400" w:lineRule="exact"/>
              <w:textAlignment w:val="auto"/>
              <w:rPr>
                <w:rFonts w:hint="eastAsia" w:ascii="宋体" w:hAnsi="宋体" w:eastAsia="宋体" w:cs="宋体"/>
                <w:b w:val="0"/>
                <w:bCs w:val="0"/>
                <w:color w:val="auto"/>
                <w:sz w:val="21"/>
                <w:szCs w:val="21"/>
                <w:highlight w:val="none"/>
              </w:rPr>
            </w:pPr>
          </w:p>
        </w:tc>
        <w:tc>
          <w:tcPr>
            <w:tcW w:w="4637" w:type="dxa"/>
            <w:tcBorders>
              <w:top w:val="single" w:color="auto" w:sz="4" w:space="0"/>
              <w:left w:val="single" w:color="auto" w:sz="4" w:space="0"/>
              <w:bottom w:val="single" w:color="auto" w:sz="4" w:space="0"/>
              <w:right w:val="single" w:color="auto" w:sz="4" w:space="0"/>
            </w:tcBorders>
            <w:noWrap w:val="0"/>
            <w:vAlign w:val="center"/>
          </w:tcPr>
          <w:p w14:paraId="47DA8671">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质量管理体系与措施（</w:t>
            </w:r>
            <w:r>
              <w:rPr>
                <w:rFonts w:hint="eastAsia"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分）</w:t>
            </w:r>
          </w:p>
          <w:p w14:paraId="0F2392CA">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质量保证措施是否健全有效，硬性措施是否切实可行，限期工程的赶工措施是否可行。保证措施具有针对性，材料的质量保证措施满足竞争文件所要求的工程质量要求。横向评比，优秀得</w:t>
            </w:r>
            <w:r>
              <w:rPr>
                <w:rFonts w:hint="eastAsia"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分，良得1</w:t>
            </w:r>
            <w:r>
              <w:rPr>
                <w:rFonts w:hint="eastAsia"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分，一般得</w:t>
            </w:r>
            <w:r>
              <w:rPr>
                <w:rFonts w:hint="eastAsia" w:cs="宋体"/>
                <w:b w:val="0"/>
                <w:bCs w:val="0"/>
                <w:color w:val="auto"/>
                <w:sz w:val="21"/>
                <w:szCs w:val="21"/>
                <w:highlight w:val="none"/>
                <w:lang w:val="en-US" w:eastAsia="zh-CN"/>
              </w:rPr>
              <w:t>9</w:t>
            </w:r>
            <w:r>
              <w:rPr>
                <w:rFonts w:hint="eastAsia" w:ascii="宋体" w:hAnsi="宋体" w:eastAsia="宋体" w:cs="宋体"/>
                <w:b w:val="0"/>
                <w:bCs w:val="0"/>
                <w:color w:val="auto"/>
                <w:sz w:val="21"/>
                <w:szCs w:val="21"/>
                <w:highlight w:val="none"/>
              </w:rPr>
              <w:t>分</w:t>
            </w:r>
            <w:r>
              <w:rPr>
                <w:rFonts w:hint="eastAsia" w:ascii="宋体" w:hAnsi="宋体" w:eastAsia="宋体" w:cs="宋体"/>
                <w:b w:val="0"/>
                <w:bCs w:val="0"/>
                <w:color w:val="auto"/>
                <w:sz w:val="21"/>
                <w:szCs w:val="21"/>
                <w:highlight w:val="none"/>
                <w:lang w:val="zh-CN"/>
              </w:rPr>
              <w:t>，差得</w:t>
            </w:r>
            <w:r>
              <w:rPr>
                <w:rFonts w:hint="eastAsia" w:ascii="宋体" w:hAnsi="宋体" w:eastAsia="宋体" w:cs="宋体"/>
                <w:b w:val="0"/>
                <w:bCs w:val="0"/>
                <w:color w:val="auto"/>
                <w:sz w:val="21"/>
                <w:szCs w:val="21"/>
                <w:highlight w:val="none"/>
              </w:rPr>
              <w:t>5</w:t>
            </w:r>
            <w:r>
              <w:rPr>
                <w:rFonts w:hint="eastAsia" w:ascii="宋体" w:hAnsi="宋体" w:eastAsia="宋体" w:cs="宋体"/>
                <w:b w:val="0"/>
                <w:bCs w:val="0"/>
                <w:color w:val="auto"/>
                <w:sz w:val="21"/>
                <w:szCs w:val="21"/>
                <w:highlight w:val="none"/>
                <w:lang w:val="zh-CN"/>
              </w:rPr>
              <w:t>分，未提供不得分。</w:t>
            </w:r>
          </w:p>
        </w:tc>
        <w:tc>
          <w:tcPr>
            <w:tcW w:w="2112" w:type="dxa"/>
            <w:vMerge w:val="continue"/>
            <w:tcBorders>
              <w:left w:val="single" w:color="auto" w:sz="4" w:space="0"/>
              <w:right w:val="single" w:color="auto" w:sz="4" w:space="0"/>
            </w:tcBorders>
            <w:noWrap w:val="0"/>
            <w:vAlign w:val="center"/>
          </w:tcPr>
          <w:p w14:paraId="781D628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p>
        </w:tc>
      </w:tr>
      <w:tr w14:paraId="7852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jc w:val="center"/>
        </w:trPr>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4CD4CE39">
            <w:pPr>
              <w:pageBreakBefore w:val="0"/>
              <w:kinsoku/>
              <w:wordWrap/>
              <w:overflowPunct/>
              <w:topLinePunct w:val="0"/>
              <w:autoSpaceDE/>
              <w:autoSpaceDN/>
              <w:bidi w:val="0"/>
              <w:spacing w:line="400" w:lineRule="exact"/>
              <w:jc w:val="center"/>
              <w:textAlignment w:val="auto"/>
              <w:rPr>
                <w:rFonts w:hint="eastAsia" w:ascii="宋体" w:hAnsi="宋体" w:eastAsia="宋体" w:cs="宋体"/>
                <w:color w:val="auto"/>
                <w:sz w:val="21"/>
                <w:szCs w:val="21"/>
                <w:highlight w:val="none"/>
                <w:lang w:val="zh-CN"/>
              </w:rPr>
            </w:pPr>
          </w:p>
        </w:tc>
        <w:tc>
          <w:tcPr>
            <w:tcW w:w="1186" w:type="dxa"/>
            <w:vMerge w:val="continue"/>
            <w:tcBorders>
              <w:top w:val="single" w:color="auto" w:sz="4" w:space="0"/>
              <w:left w:val="single" w:color="auto" w:sz="4" w:space="0"/>
              <w:bottom w:val="single" w:color="auto" w:sz="4" w:space="0"/>
              <w:right w:val="single" w:color="auto" w:sz="4" w:space="0"/>
            </w:tcBorders>
            <w:noWrap w:val="0"/>
            <w:vAlign w:val="center"/>
          </w:tcPr>
          <w:p w14:paraId="1CAEB666">
            <w:pPr>
              <w:pageBreakBefore w:val="0"/>
              <w:kinsoku/>
              <w:wordWrap/>
              <w:overflowPunct/>
              <w:topLinePunct w:val="0"/>
              <w:autoSpaceDE/>
              <w:autoSpaceDN/>
              <w:bidi w:val="0"/>
              <w:spacing w:line="400" w:lineRule="exact"/>
              <w:ind w:firstLine="210" w:firstLineChars="100"/>
              <w:textAlignment w:val="auto"/>
              <w:rPr>
                <w:rFonts w:hint="eastAsia" w:ascii="宋体" w:hAnsi="宋体" w:eastAsia="宋体" w:cs="宋体"/>
                <w:color w:val="auto"/>
                <w:sz w:val="21"/>
                <w:szCs w:val="21"/>
                <w:highlight w:val="none"/>
              </w:rPr>
            </w:pPr>
          </w:p>
        </w:tc>
        <w:tc>
          <w:tcPr>
            <w:tcW w:w="698" w:type="dxa"/>
            <w:vMerge w:val="continue"/>
            <w:tcBorders>
              <w:top w:val="single" w:color="auto" w:sz="4" w:space="0"/>
              <w:left w:val="single" w:color="auto" w:sz="4" w:space="0"/>
              <w:bottom w:val="single" w:color="auto" w:sz="4" w:space="0"/>
              <w:right w:val="single" w:color="auto" w:sz="4" w:space="0"/>
            </w:tcBorders>
            <w:noWrap w:val="0"/>
            <w:vAlign w:val="center"/>
          </w:tcPr>
          <w:p w14:paraId="2937DCB3">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b w:val="0"/>
                <w:bCs w:val="0"/>
                <w:color w:val="auto"/>
                <w:sz w:val="21"/>
                <w:szCs w:val="21"/>
                <w:highlight w:val="none"/>
              </w:rPr>
            </w:pPr>
          </w:p>
        </w:tc>
        <w:tc>
          <w:tcPr>
            <w:tcW w:w="4637" w:type="dxa"/>
            <w:tcBorders>
              <w:top w:val="single" w:color="auto" w:sz="4" w:space="0"/>
              <w:left w:val="single" w:color="auto" w:sz="4" w:space="0"/>
              <w:bottom w:val="single" w:color="auto" w:sz="4" w:space="0"/>
              <w:right w:val="single" w:color="auto" w:sz="4" w:space="0"/>
            </w:tcBorders>
            <w:noWrap w:val="0"/>
            <w:vAlign w:val="center"/>
          </w:tcPr>
          <w:p w14:paraId="36D8EB32">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安全管理体系与措施（</w:t>
            </w:r>
            <w:r>
              <w:rPr>
                <w:rFonts w:hint="eastAsia"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分）</w:t>
            </w:r>
          </w:p>
          <w:p w14:paraId="0068E8B3">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安全及应急预案全有效，施工安全专项方案及安全管理保证措施具有针对性、文明施工和防止扰民措施是否得当等。横向评比</w:t>
            </w:r>
            <w:r>
              <w:rPr>
                <w:rFonts w:hint="eastAsia"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优秀得</w:t>
            </w:r>
            <w:r>
              <w:rPr>
                <w:rFonts w:hint="eastAsia"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分，良得1</w:t>
            </w:r>
            <w:r>
              <w:rPr>
                <w:rFonts w:hint="eastAsia"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分，一般得</w:t>
            </w:r>
            <w:r>
              <w:rPr>
                <w:rFonts w:hint="eastAsia" w:cs="宋体"/>
                <w:b w:val="0"/>
                <w:bCs w:val="0"/>
                <w:color w:val="auto"/>
                <w:sz w:val="21"/>
                <w:szCs w:val="21"/>
                <w:highlight w:val="none"/>
                <w:lang w:val="en-US" w:eastAsia="zh-CN"/>
              </w:rPr>
              <w:t>9</w:t>
            </w:r>
            <w:r>
              <w:rPr>
                <w:rFonts w:hint="eastAsia" w:ascii="宋体" w:hAnsi="宋体" w:eastAsia="宋体" w:cs="宋体"/>
                <w:b w:val="0"/>
                <w:bCs w:val="0"/>
                <w:color w:val="auto"/>
                <w:sz w:val="21"/>
                <w:szCs w:val="21"/>
                <w:highlight w:val="none"/>
              </w:rPr>
              <w:t>分</w:t>
            </w:r>
            <w:r>
              <w:rPr>
                <w:rFonts w:hint="eastAsia" w:ascii="宋体" w:hAnsi="宋体" w:eastAsia="宋体" w:cs="宋体"/>
                <w:b w:val="0"/>
                <w:bCs w:val="0"/>
                <w:color w:val="auto"/>
                <w:sz w:val="21"/>
                <w:szCs w:val="21"/>
                <w:highlight w:val="none"/>
                <w:lang w:val="zh-CN"/>
              </w:rPr>
              <w:t>，差得</w:t>
            </w:r>
            <w:r>
              <w:rPr>
                <w:rFonts w:hint="eastAsia" w:ascii="宋体" w:hAnsi="宋体" w:eastAsia="宋体" w:cs="宋体"/>
                <w:b w:val="0"/>
                <w:bCs w:val="0"/>
                <w:color w:val="auto"/>
                <w:sz w:val="21"/>
                <w:szCs w:val="21"/>
                <w:highlight w:val="none"/>
              </w:rPr>
              <w:t>5</w:t>
            </w:r>
            <w:r>
              <w:rPr>
                <w:rFonts w:hint="eastAsia" w:ascii="宋体" w:hAnsi="宋体" w:eastAsia="宋体" w:cs="宋体"/>
                <w:b w:val="0"/>
                <w:bCs w:val="0"/>
                <w:color w:val="auto"/>
                <w:sz w:val="21"/>
                <w:szCs w:val="21"/>
                <w:highlight w:val="none"/>
                <w:lang w:val="zh-CN"/>
              </w:rPr>
              <w:t>分，未提供不得分。</w:t>
            </w:r>
          </w:p>
        </w:tc>
        <w:tc>
          <w:tcPr>
            <w:tcW w:w="2112" w:type="dxa"/>
            <w:vMerge w:val="continue"/>
            <w:tcBorders>
              <w:top w:val="single" w:color="auto" w:sz="4" w:space="0"/>
              <w:left w:val="single" w:color="auto" w:sz="4" w:space="0"/>
              <w:bottom w:val="single" w:color="auto" w:sz="4" w:space="0"/>
              <w:right w:val="single" w:color="auto" w:sz="4" w:space="0"/>
            </w:tcBorders>
            <w:noWrap w:val="0"/>
            <w:vAlign w:val="center"/>
          </w:tcPr>
          <w:p w14:paraId="31CF0BA9">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lang w:val="zh-CN"/>
              </w:rPr>
            </w:pPr>
          </w:p>
        </w:tc>
      </w:tr>
      <w:tr w14:paraId="7D79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8" w:hRule="atLeast"/>
          <w:jc w:val="center"/>
        </w:trPr>
        <w:tc>
          <w:tcPr>
            <w:tcW w:w="832" w:type="dxa"/>
            <w:vMerge w:val="continue"/>
            <w:tcBorders>
              <w:top w:val="single" w:color="auto" w:sz="4" w:space="0"/>
              <w:left w:val="single" w:color="auto" w:sz="4" w:space="0"/>
              <w:bottom w:val="single" w:color="auto" w:sz="4" w:space="0"/>
              <w:right w:val="single" w:color="auto" w:sz="4" w:space="0"/>
            </w:tcBorders>
            <w:noWrap w:val="0"/>
            <w:vAlign w:val="center"/>
          </w:tcPr>
          <w:p w14:paraId="3D2C40FF">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c>
          <w:tcPr>
            <w:tcW w:w="1186" w:type="dxa"/>
            <w:vMerge w:val="continue"/>
            <w:tcBorders>
              <w:top w:val="single" w:color="auto" w:sz="4" w:space="0"/>
              <w:left w:val="single" w:color="auto" w:sz="4" w:space="0"/>
              <w:bottom w:val="single" w:color="auto" w:sz="4" w:space="0"/>
              <w:right w:val="single" w:color="auto" w:sz="4" w:space="0"/>
            </w:tcBorders>
            <w:noWrap w:val="0"/>
            <w:vAlign w:val="center"/>
          </w:tcPr>
          <w:p w14:paraId="1C18F7C4">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c>
          <w:tcPr>
            <w:tcW w:w="698" w:type="dxa"/>
            <w:vMerge w:val="continue"/>
            <w:tcBorders>
              <w:top w:val="single" w:color="auto" w:sz="4" w:space="0"/>
              <w:left w:val="single" w:color="auto" w:sz="4" w:space="0"/>
              <w:bottom w:val="single" w:color="auto" w:sz="4" w:space="0"/>
              <w:right w:val="single" w:color="auto" w:sz="4" w:space="0"/>
            </w:tcBorders>
            <w:noWrap w:val="0"/>
            <w:vAlign w:val="center"/>
          </w:tcPr>
          <w:p w14:paraId="24C7A1E1">
            <w:pPr>
              <w:pageBreakBefore w:val="0"/>
              <w:kinsoku/>
              <w:wordWrap/>
              <w:overflowPunct/>
              <w:topLinePunct w:val="0"/>
              <w:autoSpaceDE/>
              <w:autoSpaceDN/>
              <w:bidi w:val="0"/>
              <w:snapToGrid w:val="0"/>
              <w:spacing w:line="400" w:lineRule="exact"/>
              <w:jc w:val="center"/>
              <w:textAlignment w:val="auto"/>
              <w:rPr>
                <w:rFonts w:hint="eastAsia" w:ascii="宋体" w:hAnsi="宋体" w:eastAsia="宋体" w:cs="宋体"/>
                <w:color w:val="auto"/>
                <w:sz w:val="21"/>
                <w:szCs w:val="21"/>
                <w:highlight w:val="none"/>
              </w:rPr>
            </w:pPr>
          </w:p>
        </w:tc>
        <w:tc>
          <w:tcPr>
            <w:tcW w:w="4637" w:type="dxa"/>
            <w:tcBorders>
              <w:top w:val="single" w:color="auto" w:sz="4" w:space="0"/>
              <w:left w:val="single" w:color="auto" w:sz="4" w:space="0"/>
              <w:bottom w:val="single" w:color="auto" w:sz="4" w:space="0"/>
              <w:right w:val="single" w:color="auto" w:sz="4" w:space="0"/>
            </w:tcBorders>
            <w:noWrap w:val="0"/>
            <w:vAlign w:val="center"/>
          </w:tcPr>
          <w:p w14:paraId="0C19EFFE">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工程进度计划与措施（</w:t>
            </w:r>
            <w:r>
              <w:rPr>
                <w:rFonts w:hint="eastAsia" w:cs="宋体"/>
                <w:b w:val="0"/>
                <w:bCs w:val="0"/>
                <w:color w:val="auto"/>
                <w:sz w:val="21"/>
                <w:szCs w:val="21"/>
                <w:highlight w:val="none"/>
                <w:lang w:val="en-US" w:eastAsia="zh-CN"/>
              </w:rPr>
              <w:t>20</w:t>
            </w:r>
            <w:r>
              <w:rPr>
                <w:rFonts w:hint="eastAsia" w:ascii="宋体" w:hAnsi="宋体" w:eastAsia="宋体" w:cs="宋体"/>
                <w:b w:val="0"/>
                <w:bCs w:val="0"/>
                <w:color w:val="auto"/>
                <w:sz w:val="21"/>
                <w:szCs w:val="21"/>
                <w:highlight w:val="none"/>
              </w:rPr>
              <w:t>分）</w:t>
            </w:r>
          </w:p>
          <w:p w14:paraId="517F9E00">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b w:val="0"/>
                <w:bCs w:val="0"/>
                <w:color w:val="auto"/>
                <w:sz w:val="21"/>
                <w:szCs w:val="21"/>
                <w:highlight w:val="none"/>
                <w:lang w:eastAsia="zh-CN"/>
              </w:rPr>
              <w:t>进度安排满足项目进度要求，关键线路进度安排可行、合理，实现进度安排的保证措施可行，工期安排合理可行，有序组织施工，在确保质量、降低成本、缩短工期、减轻劳动强度、提高工效等方面。横向评比，</w:t>
            </w:r>
            <w:r>
              <w:rPr>
                <w:rFonts w:hint="eastAsia" w:ascii="宋体" w:hAnsi="宋体" w:eastAsia="宋体" w:cs="宋体"/>
                <w:b w:val="0"/>
                <w:bCs w:val="0"/>
                <w:color w:val="auto"/>
                <w:sz w:val="21"/>
                <w:szCs w:val="21"/>
                <w:highlight w:val="none"/>
              </w:rPr>
              <w:t>优秀得</w:t>
            </w:r>
            <w:r>
              <w:rPr>
                <w:rFonts w:hint="eastAsia" w:cs="宋体"/>
                <w:b w:val="0"/>
                <w:bCs w:val="0"/>
                <w:color w:val="auto"/>
                <w:sz w:val="21"/>
                <w:szCs w:val="21"/>
                <w:highlight w:val="none"/>
                <w:lang w:val="en-US" w:eastAsia="zh-CN"/>
              </w:rPr>
              <w:t>20</w:t>
            </w:r>
            <w:r>
              <w:rPr>
                <w:rFonts w:hint="eastAsia" w:ascii="宋体" w:hAnsi="宋体" w:eastAsia="宋体" w:cs="宋体"/>
                <w:b w:val="0"/>
                <w:bCs w:val="0"/>
                <w:color w:val="auto"/>
                <w:sz w:val="21"/>
                <w:szCs w:val="21"/>
                <w:highlight w:val="none"/>
              </w:rPr>
              <w:t>分，良得</w:t>
            </w:r>
            <w:r>
              <w:rPr>
                <w:rFonts w:hint="eastAsia"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分，一般得</w:t>
            </w:r>
            <w:r>
              <w:rPr>
                <w:rFonts w:hint="eastAsia" w:cs="宋体"/>
                <w:b w:val="0"/>
                <w:bCs w:val="0"/>
                <w:color w:val="auto"/>
                <w:sz w:val="21"/>
                <w:szCs w:val="21"/>
                <w:highlight w:val="none"/>
                <w:lang w:val="en-US" w:eastAsia="zh-CN"/>
              </w:rPr>
              <w:t>10</w:t>
            </w:r>
            <w:r>
              <w:rPr>
                <w:rFonts w:hint="eastAsia" w:ascii="宋体" w:hAnsi="宋体" w:eastAsia="宋体" w:cs="宋体"/>
                <w:b w:val="0"/>
                <w:bCs w:val="0"/>
                <w:color w:val="auto"/>
                <w:sz w:val="21"/>
                <w:szCs w:val="21"/>
                <w:highlight w:val="none"/>
              </w:rPr>
              <w:t>分</w:t>
            </w:r>
            <w:r>
              <w:rPr>
                <w:rFonts w:hint="eastAsia" w:ascii="宋体" w:hAnsi="宋体" w:eastAsia="宋体" w:cs="宋体"/>
                <w:b w:val="0"/>
                <w:bCs w:val="0"/>
                <w:color w:val="auto"/>
                <w:sz w:val="21"/>
                <w:szCs w:val="21"/>
                <w:highlight w:val="none"/>
                <w:lang w:val="zh-CN"/>
              </w:rPr>
              <w:t>，差得</w:t>
            </w:r>
            <w:r>
              <w:rPr>
                <w:rFonts w:hint="eastAsia" w:ascii="宋体" w:hAnsi="宋体" w:eastAsia="宋体" w:cs="宋体"/>
                <w:b w:val="0"/>
                <w:bCs w:val="0"/>
                <w:color w:val="auto"/>
                <w:sz w:val="21"/>
                <w:szCs w:val="21"/>
                <w:highlight w:val="none"/>
              </w:rPr>
              <w:t>5</w:t>
            </w:r>
            <w:r>
              <w:rPr>
                <w:rFonts w:hint="eastAsia" w:ascii="宋体" w:hAnsi="宋体" w:eastAsia="宋体" w:cs="宋体"/>
                <w:b w:val="0"/>
                <w:bCs w:val="0"/>
                <w:color w:val="auto"/>
                <w:sz w:val="21"/>
                <w:szCs w:val="21"/>
                <w:highlight w:val="none"/>
                <w:lang w:val="zh-CN"/>
              </w:rPr>
              <w:t>分，未提供不得分</w:t>
            </w:r>
            <w:r>
              <w:rPr>
                <w:rFonts w:hint="eastAsia" w:ascii="宋体" w:hAnsi="宋体" w:eastAsia="宋体" w:cs="宋体"/>
                <w:b w:val="0"/>
                <w:bCs w:val="0"/>
                <w:color w:val="auto"/>
                <w:sz w:val="21"/>
                <w:szCs w:val="21"/>
                <w:highlight w:val="none"/>
                <w:lang w:val="zh-CN" w:eastAsia="zh-CN"/>
              </w:rPr>
              <w:t>。</w:t>
            </w:r>
          </w:p>
        </w:tc>
        <w:tc>
          <w:tcPr>
            <w:tcW w:w="2112" w:type="dxa"/>
            <w:vMerge w:val="continue"/>
            <w:tcBorders>
              <w:top w:val="single" w:color="auto" w:sz="4" w:space="0"/>
              <w:left w:val="single" w:color="auto" w:sz="4" w:space="0"/>
              <w:bottom w:val="single" w:color="auto" w:sz="4" w:space="0"/>
              <w:right w:val="single" w:color="auto" w:sz="4" w:space="0"/>
            </w:tcBorders>
            <w:noWrap w:val="0"/>
            <w:vAlign w:val="center"/>
          </w:tcPr>
          <w:p w14:paraId="0CB6CF59">
            <w:pPr>
              <w:pageBreakBefore w:val="0"/>
              <w:kinsoku/>
              <w:wordWrap/>
              <w:overflowPunct/>
              <w:topLinePunct w:val="0"/>
              <w:autoSpaceDE/>
              <w:autoSpaceDN/>
              <w:bidi w:val="0"/>
              <w:spacing w:line="400" w:lineRule="exact"/>
              <w:textAlignment w:val="auto"/>
              <w:rPr>
                <w:rFonts w:hint="eastAsia" w:ascii="宋体" w:hAnsi="宋体" w:eastAsia="宋体" w:cs="宋体"/>
                <w:color w:val="auto"/>
                <w:sz w:val="21"/>
                <w:szCs w:val="21"/>
                <w:highlight w:val="none"/>
              </w:rPr>
            </w:pPr>
          </w:p>
        </w:tc>
      </w:tr>
    </w:tbl>
    <w:p w14:paraId="74F33BA0">
      <w:pPr>
        <w:pageBreakBefore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评审小组认为供应商的报价明显低于其他通过符合性审查供应商的报价，有可能影响产品质量或者不能诚信履约的，应当要求其在评标现场合理的时间内提供书面说明，必要时提交相关证明材料并加盖单位鲜章；供应商不能证明其报价合理性的，评审小组应当将其作为无效投标处理。</w:t>
      </w:r>
    </w:p>
    <w:p w14:paraId="4D322742">
      <w:pPr>
        <w:pStyle w:val="7"/>
        <w:pageBreakBefore w:val="0"/>
        <w:kinsoku/>
        <w:wordWrap/>
        <w:overflowPunct/>
        <w:topLinePunct w:val="0"/>
        <w:autoSpaceDE/>
        <w:autoSpaceDN/>
        <w:bidi w:val="0"/>
        <w:spacing w:line="4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、评审依据</w:t>
      </w:r>
    </w:p>
    <w:p w14:paraId="30A010DF">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评审的依据为</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和响应文件（含有效的补充文件）。评审小组判断响应文件对</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的响应，仅基于响应文件本身而不靠外部证据。</w:t>
      </w:r>
    </w:p>
    <w:p w14:paraId="1AFB2BFB">
      <w:pPr>
        <w:pStyle w:val="7"/>
        <w:pageBreakBefore w:val="0"/>
        <w:kinsoku/>
        <w:wordWrap/>
        <w:overflowPunct/>
        <w:topLinePunct w:val="0"/>
        <w:autoSpaceDE/>
        <w:autoSpaceDN/>
        <w:bidi w:val="0"/>
        <w:spacing w:line="4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、成交通知</w:t>
      </w:r>
    </w:p>
    <w:p w14:paraId="10DD1635">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（一）成交供应商确定后，</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将在“行采家(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"https://www.gec123.com/"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https://www.gec123.com</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"http://www.cqgp.gov.cn）上发布成交结果公示。"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上发布成交结果公示。</w:t>
      </w:r>
      <w:r>
        <w:rPr>
          <w:rFonts w:hint="eastAsia" w:ascii="宋体" w:hAnsi="宋体" w:eastAsia="宋体" w:cs="宋体"/>
          <w:color w:val="auto"/>
          <w:sz w:val="24"/>
          <w:szCs w:val="24"/>
          <w:highlight w:val="none"/>
        </w:rPr>
        <w:fldChar w:fldCharType="end"/>
      </w:r>
    </w:p>
    <w:p w14:paraId="1FA3C6AA">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（二）结果公告发出同时，</w:t>
      </w:r>
      <w:r>
        <w:rPr>
          <w:rFonts w:hint="eastAsia" w:ascii="宋体" w:hAnsi="宋体" w:eastAsia="宋体" w:cs="宋体"/>
          <w:color w:val="auto"/>
          <w:sz w:val="24"/>
          <w:szCs w:val="24"/>
          <w:highlight w:val="none"/>
          <w:lang w:eastAsia="zh-CN"/>
        </w:rPr>
        <w:t>采购代理机构</w:t>
      </w:r>
      <w:r>
        <w:rPr>
          <w:rFonts w:hint="eastAsia" w:ascii="宋体" w:hAnsi="宋体" w:eastAsia="宋体" w:cs="宋体"/>
          <w:color w:val="auto"/>
          <w:sz w:val="24"/>
          <w:szCs w:val="24"/>
          <w:highlight w:val="none"/>
        </w:rPr>
        <w:t>将以书面形式发出《中标通知书》。《成交通知书》一经发出即发生法律效力。</w:t>
      </w:r>
    </w:p>
    <w:p w14:paraId="0E963B20">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（三）《中标通知书》将作为签订合同的依据。</w:t>
      </w:r>
    </w:p>
    <w:p w14:paraId="56733B15">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（四）如有供应商对成交结果提出质疑的，在质疑处理完毕后发出中标通知书。</w:t>
      </w:r>
    </w:p>
    <w:p w14:paraId="3C99C9F9">
      <w:pPr>
        <w:pStyle w:val="7"/>
        <w:pageBreakBefore w:val="0"/>
        <w:kinsoku/>
        <w:wordWrap/>
        <w:overflowPunct/>
        <w:topLinePunct w:val="0"/>
        <w:autoSpaceDE/>
        <w:autoSpaceDN/>
        <w:bidi w:val="0"/>
        <w:spacing w:line="4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、关于质疑和投诉</w:t>
      </w:r>
    </w:p>
    <w:p w14:paraId="70725B4B">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（一）质疑</w:t>
      </w:r>
    </w:p>
    <w:p w14:paraId="616D57A3">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供应商认为采购文件、采购过程和成交结果使自己的权益收到伤害的，可向采购人或采购代理机构以书面形式提出质疑。</w:t>
      </w:r>
    </w:p>
    <w:p w14:paraId="7F19905A">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提出质疑的应当是参与所质疑项目采购活动的供应商。 </w:t>
      </w:r>
    </w:p>
    <w:p w14:paraId="34D0080C">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1.质疑时限、内容</w:t>
      </w:r>
    </w:p>
    <w:p w14:paraId="5BEB06BF">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供应商认为采购文件、采购过程、成交结果使自己的权益受到损害的，可以在知道或者应知其权益受到损害之日起7个工作日内，以书面形式向采购人、采购代理机构提出质疑。</w:t>
      </w:r>
    </w:p>
    <w:p w14:paraId="3DF3FBF8">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1.2供应商提出质疑应当提交质疑函和必要的证明材料，质疑函应当包括下列内容：</w:t>
      </w:r>
    </w:p>
    <w:p w14:paraId="16D9E4F7">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1.2.1供应商的姓名或者名称、地址、邮编、联系人及联系电话；</w:t>
      </w:r>
    </w:p>
    <w:p w14:paraId="784B5DF1">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1.2.2质疑项目的名称、项目号以及采购执行编号；</w:t>
      </w:r>
    </w:p>
    <w:p w14:paraId="123F2F0B">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1.2.3具体、明确的质疑事项和与质疑事项相关的请求；</w:t>
      </w:r>
    </w:p>
    <w:p w14:paraId="4C077879">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1.2.4事实依据；</w:t>
      </w:r>
    </w:p>
    <w:p w14:paraId="3E6154AF">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1.2.5必要的法律依据；</w:t>
      </w:r>
    </w:p>
    <w:p w14:paraId="029F6C71">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1.2.6提出质疑的日期；</w:t>
      </w:r>
    </w:p>
    <w:p w14:paraId="19B0E2A1">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1.2.7营业执照（或事业单位法人证书，或个体工商户营业执照或有效的自然人身份证明）复印件；</w:t>
      </w:r>
    </w:p>
    <w:p w14:paraId="7BDB7DF5">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1.2.8法定代表人授权委托书原件、法定代表人身份证复印件和其授权代表的身份证复印件（供应商为自然人的提供自然人身份证复印件）；</w:t>
      </w:r>
    </w:p>
    <w:p w14:paraId="78F473C5">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1.3供应商为自然人的，质疑函应当由本人签字；供应商为法人或者其他组织的，质疑函应当由法定代表人、主要负责人，或者其授权代表签字或者盖章，并加盖公章。</w:t>
      </w:r>
    </w:p>
    <w:p w14:paraId="58C061C8">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2.质疑答复</w:t>
      </w:r>
    </w:p>
    <w:p w14:paraId="5ADC5B09">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采购人、采购代理机构应当在收到供应商的书面质疑后七个工作日内作出答复，并以书面形式通知质疑供应商和其他有关供应商。</w:t>
      </w:r>
    </w:p>
    <w:p w14:paraId="66EC8004">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w:t>
      </w:r>
    </w:p>
    <w:p w14:paraId="5F0C13B4">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3.1供应商应按照《政府采购质疑和投诉办法》（财政部令第94号）及相关法律法规要求，在法定质疑期内一次性提出针对同一采购程序环节的质疑。</w:t>
      </w:r>
    </w:p>
    <w:p w14:paraId="2BA0566E">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3.2质疑函范本可在财政部门户网站和中国政府采购网下载。</w:t>
      </w:r>
    </w:p>
    <w:p w14:paraId="5DBD5AE9">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（二）投诉</w:t>
      </w:r>
    </w:p>
    <w:p w14:paraId="7A4C624F">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1.供应商对采购人、采购代理机构的答复不满意，或者采购人、采购代理机构未在规定时间内作出答复的，可以在答复期满后15个工作日内按照相关法律法规向财政部门提起投诉。</w:t>
      </w:r>
    </w:p>
    <w:p w14:paraId="5ED43098">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2.供应商应按照《政府采购质疑和投诉办法》（财政部令第94号）及相关法律法规要求递交投诉书和必要的证明材料。投诉书范本可在财政部门户网站和中国政府采购网下载。</w:t>
      </w:r>
    </w:p>
    <w:p w14:paraId="6CA5A5CC">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0F78962C">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4.在确定受理投诉后，财政部门自受理投诉之日起30个工作日内（需要检验、检测、鉴定、专家评审以及需要投诉人补正材料的，所需时间不计算在投诉处理期限内）对投诉事项做出处理决定。</w:t>
      </w:r>
    </w:p>
    <w:p w14:paraId="3C5DD677">
      <w:pPr>
        <w:pStyle w:val="7"/>
        <w:pageBreakBefore w:val="0"/>
        <w:kinsoku/>
        <w:wordWrap/>
        <w:overflowPunct/>
        <w:topLinePunct w:val="0"/>
        <w:autoSpaceDE/>
        <w:autoSpaceDN/>
        <w:bidi w:val="0"/>
        <w:spacing w:line="400" w:lineRule="exact"/>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、签订合同</w:t>
      </w:r>
    </w:p>
    <w:p w14:paraId="2407820F">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（一）采购人原则上应在中标通知书发出之日起</w:t>
      </w:r>
      <w:r>
        <w:rPr>
          <w:rFonts w:hint="eastAsia" w:ascii="宋体" w:hAnsi="宋体" w:eastAsia="宋体" w:cs="宋体"/>
          <w:color w:val="auto"/>
          <w:sz w:val="24"/>
          <w:szCs w:val="24"/>
          <w:highlight w:val="none"/>
          <w:lang w:val="en-US" w:eastAsia="zh-CN"/>
        </w:rPr>
        <w:t>二十</w:t>
      </w:r>
      <w:r>
        <w:rPr>
          <w:rFonts w:hint="eastAsia" w:ascii="宋体" w:hAnsi="宋体" w:eastAsia="宋体" w:cs="宋体"/>
          <w:color w:val="auto"/>
          <w:sz w:val="24"/>
          <w:szCs w:val="24"/>
          <w:highlight w:val="none"/>
        </w:rPr>
        <w:t>日内和成交</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签订</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合同，无正当理由不得拒绝或拖延合同签订。所签订的合同不得对</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文件作实质性修改。其他未尽事宜由采购人和成交</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合同中详细约定。</w:t>
      </w:r>
    </w:p>
    <w:p w14:paraId="3B3FDE83">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文件及澄清文件等，均为签订</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合同的依据。</w:t>
      </w:r>
    </w:p>
    <w:p w14:paraId="15B0B77B">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（三）合同生效条款由供需双方约定，法律、行政法规规定应当办理批准、登记等手续后生效的合同，依照其规定。</w:t>
      </w:r>
    </w:p>
    <w:p w14:paraId="10DC055D">
      <w:pPr>
        <w:pStyle w:val="7"/>
        <w:pageBreakBefore w:val="0"/>
        <w:kinsoku/>
        <w:wordWrap/>
        <w:overflowPunct/>
        <w:topLinePunct w:val="0"/>
        <w:autoSpaceDE/>
        <w:autoSpaceDN/>
        <w:bidi w:val="0"/>
        <w:spacing w:line="400" w:lineRule="exact"/>
        <w:textAlignment w:val="auto"/>
        <w:rPr>
          <w:rFonts w:hint="eastAsia" w:ascii="宋体" w:hAnsi="宋体" w:eastAsia="宋体" w:cs="宋体"/>
          <w:color w:val="auto"/>
          <w:highlight w:val="none"/>
        </w:rPr>
        <w:sectPr>
          <w:pgSz w:w="11907" w:h="16840"/>
          <w:pgMar w:top="1440" w:right="1080" w:bottom="1440" w:left="1080" w:header="454" w:footer="567" w:gutter="0"/>
          <w:pgNumType w:fmt="decimal"/>
          <w:cols w:space="720" w:num="1"/>
          <w:docGrid w:type="linesAndChars" w:linePitch="381" w:charSpace="0"/>
        </w:sectPr>
      </w:pPr>
    </w:p>
    <w:p w14:paraId="72C2D185">
      <w:pPr>
        <w:pStyle w:val="2"/>
        <w:jc w:val="center"/>
        <w:rPr>
          <w:rStyle w:val="41"/>
          <w:rFonts w:hint="eastAsia" w:ascii="宋体" w:hAnsi="宋体" w:eastAsia="宋体" w:cs="宋体"/>
          <w:b/>
          <w:bCs w:val="0"/>
          <w:color w:val="auto"/>
          <w:highlight w:val="none"/>
          <w:lang w:val="en-US"/>
        </w:rPr>
      </w:pPr>
      <w:bookmarkStart w:id="195" w:name="_Toc17574"/>
      <w:r>
        <w:rPr>
          <w:rStyle w:val="41"/>
          <w:rFonts w:hint="eastAsia" w:ascii="宋体" w:hAnsi="宋体" w:eastAsia="宋体" w:cs="宋体"/>
          <w:b/>
          <w:bCs w:val="0"/>
          <w:color w:val="auto"/>
          <w:highlight w:val="none"/>
        </w:rPr>
        <w:t xml:space="preserve">第五篇  </w:t>
      </w:r>
      <w:bookmarkEnd w:id="104"/>
      <w:bookmarkEnd w:id="105"/>
      <w:r>
        <w:rPr>
          <w:rStyle w:val="41"/>
          <w:rFonts w:hint="eastAsia" w:ascii="宋体" w:hAnsi="宋体" w:eastAsia="宋体" w:cs="宋体"/>
          <w:b/>
          <w:bCs w:val="0"/>
          <w:color w:val="auto"/>
          <w:highlight w:val="none"/>
          <w:lang w:val="en-US"/>
        </w:rPr>
        <w:t>采购合同</w:t>
      </w:r>
      <w:bookmarkEnd w:id="195"/>
    </w:p>
    <w:p w14:paraId="0876DFAD">
      <w:pPr>
        <w:spacing w:line="500" w:lineRule="exact"/>
        <w:jc w:val="center"/>
        <w:rPr>
          <w:rFonts w:hint="eastAsia" w:ascii="宋体" w:hAnsi="宋体" w:eastAsia="宋体" w:cs="宋体"/>
          <w:b/>
          <w:color w:val="auto"/>
          <w:sz w:val="44"/>
          <w:highlight w:val="none"/>
        </w:rPr>
      </w:pPr>
      <w:bookmarkStart w:id="196" w:name="_Toc287607855"/>
      <w:bookmarkStart w:id="197" w:name="_Toc32456"/>
      <w:bookmarkStart w:id="198" w:name="_Toc352231894"/>
      <w:bookmarkStart w:id="199" w:name="_Toc1085"/>
      <w:bookmarkStart w:id="200" w:name="_Toc32645"/>
      <w:bookmarkStart w:id="201" w:name="_Toc6684"/>
      <w:bookmarkStart w:id="202" w:name="_Toc14749_WPSOffice_Level1"/>
      <w:bookmarkStart w:id="203" w:name="_Toc299705280"/>
      <w:r>
        <w:rPr>
          <w:rFonts w:hint="eastAsia" w:ascii="宋体" w:hAnsi="宋体" w:eastAsia="宋体" w:cs="宋体"/>
          <w:b/>
          <w:color w:val="auto"/>
          <w:sz w:val="44"/>
          <w:highlight w:val="none"/>
        </w:rPr>
        <w:t>采购合同</w:t>
      </w:r>
    </w:p>
    <w:p w14:paraId="4F4F71E2">
      <w:pPr>
        <w:spacing w:line="5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（项目号：     ）</w:t>
      </w:r>
    </w:p>
    <w:p w14:paraId="68BDD091">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甲方（需方）：___________________________      计价单位：____________</w:t>
      </w:r>
    </w:p>
    <w:p w14:paraId="60E269C0">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乙方（供方）：___________________________      计量单位：_____________</w:t>
      </w:r>
    </w:p>
    <w:p w14:paraId="1771CDF1">
      <w:pPr>
        <w:spacing w:line="500" w:lineRule="exact"/>
        <w:rPr>
          <w:rFonts w:hint="eastAsia" w:ascii="宋体" w:hAnsi="宋体" w:eastAsia="宋体" w:cs="宋体"/>
          <w:color w:val="auto"/>
          <w:sz w:val="24"/>
          <w:highlight w:val="none"/>
        </w:rPr>
      </w:pPr>
    </w:p>
    <w:p w14:paraId="59C21678">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经双方协商一致，达成以下购销合同：</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14:paraId="7265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14:paraId="79B017B1">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磋商项目名称</w:t>
            </w:r>
          </w:p>
        </w:tc>
        <w:tc>
          <w:tcPr>
            <w:tcW w:w="984" w:type="dxa"/>
            <w:noWrap w:val="0"/>
            <w:vAlign w:val="center"/>
          </w:tcPr>
          <w:p w14:paraId="2682949C">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1298" w:type="dxa"/>
            <w:gridSpan w:val="2"/>
            <w:noWrap w:val="0"/>
            <w:vAlign w:val="center"/>
          </w:tcPr>
          <w:p w14:paraId="3671C08C">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w:t>
            </w:r>
          </w:p>
        </w:tc>
        <w:tc>
          <w:tcPr>
            <w:tcW w:w="1134" w:type="dxa"/>
            <w:noWrap w:val="0"/>
            <w:vAlign w:val="center"/>
          </w:tcPr>
          <w:p w14:paraId="698D0438">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w:t>
            </w:r>
          </w:p>
        </w:tc>
        <w:tc>
          <w:tcPr>
            <w:tcW w:w="1559" w:type="dxa"/>
            <w:noWrap w:val="0"/>
            <w:vAlign w:val="center"/>
          </w:tcPr>
          <w:p w14:paraId="1F3C96A6">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服务时间</w:t>
            </w:r>
          </w:p>
        </w:tc>
        <w:tc>
          <w:tcPr>
            <w:tcW w:w="1567" w:type="dxa"/>
            <w:noWrap w:val="0"/>
            <w:vAlign w:val="center"/>
          </w:tcPr>
          <w:p w14:paraId="6FE0A1E7">
            <w:pPr>
              <w:spacing w:line="240" w:lineRule="atLeas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供货地点</w:t>
            </w:r>
          </w:p>
        </w:tc>
      </w:tr>
      <w:tr w14:paraId="66B74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14:paraId="22435186">
            <w:pPr>
              <w:spacing w:line="240" w:lineRule="atLeast"/>
              <w:jc w:val="center"/>
              <w:rPr>
                <w:rFonts w:hint="eastAsia" w:ascii="宋体" w:hAnsi="宋体" w:eastAsia="宋体" w:cs="宋体"/>
                <w:color w:val="auto"/>
                <w:sz w:val="21"/>
                <w:szCs w:val="21"/>
                <w:highlight w:val="none"/>
              </w:rPr>
            </w:pPr>
          </w:p>
        </w:tc>
        <w:tc>
          <w:tcPr>
            <w:tcW w:w="984" w:type="dxa"/>
            <w:noWrap w:val="0"/>
            <w:vAlign w:val="center"/>
          </w:tcPr>
          <w:p w14:paraId="5ABE716B">
            <w:pPr>
              <w:spacing w:line="240" w:lineRule="atLeast"/>
              <w:jc w:val="center"/>
              <w:rPr>
                <w:rFonts w:hint="eastAsia" w:ascii="宋体" w:hAnsi="宋体" w:eastAsia="宋体" w:cs="宋体"/>
                <w:color w:val="auto"/>
                <w:sz w:val="21"/>
                <w:szCs w:val="21"/>
                <w:highlight w:val="none"/>
              </w:rPr>
            </w:pPr>
          </w:p>
        </w:tc>
        <w:tc>
          <w:tcPr>
            <w:tcW w:w="1298" w:type="dxa"/>
            <w:gridSpan w:val="2"/>
            <w:noWrap w:val="0"/>
            <w:vAlign w:val="center"/>
          </w:tcPr>
          <w:p w14:paraId="22C27B72">
            <w:pPr>
              <w:spacing w:line="240" w:lineRule="atLeast"/>
              <w:jc w:val="center"/>
              <w:rPr>
                <w:rFonts w:hint="eastAsia" w:ascii="宋体" w:hAnsi="宋体" w:eastAsia="宋体" w:cs="宋体"/>
                <w:color w:val="auto"/>
                <w:sz w:val="21"/>
                <w:szCs w:val="21"/>
                <w:highlight w:val="none"/>
              </w:rPr>
            </w:pPr>
          </w:p>
        </w:tc>
        <w:tc>
          <w:tcPr>
            <w:tcW w:w="1134" w:type="dxa"/>
            <w:noWrap w:val="0"/>
            <w:vAlign w:val="center"/>
          </w:tcPr>
          <w:p w14:paraId="675463E4">
            <w:pPr>
              <w:spacing w:line="240" w:lineRule="atLeast"/>
              <w:jc w:val="center"/>
              <w:rPr>
                <w:rFonts w:hint="eastAsia" w:ascii="宋体" w:hAnsi="宋体" w:eastAsia="宋体" w:cs="宋体"/>
                <w:color w:val="auto"/>
                <w:sz w:val="21"/>
                <w:szCs w:val="21"/>
                <w:highlight w:val="none"/>
              </w:rPr>
            </w:pPr>
          </w:p>
        </w:tc>
        <w:tc>
          <w:tcPr>
            <w:tcW w:w="1559" w:type="dxa"/>
            <w:noWrap w:val="0"/>
            <w:vAlign w:val="center"/>
          </w:tcPr>
          <w:p w14:paraId="48F03D64">
            <w:pPr>
              <w:spacing w:line="240" w:lineRule="atLeast"/>
              <w:jc w:val="center"/>
              <w:rPr>
                <w:rFonts w:hint="eastAsia" w:ascii="宋体" w:hAnsi="宋体" w:eastAsia="宋体" w:cs="宋体"/>
                <w:color w:val="auto"/>
                <w:sz w:val="21"/>
                <w:szCs w:val="21"/>
                <w:highlight w:val="none"/>
              </w:rPr>
            </w:pPr>
          </w:p>
        </w:tc>
        <w:tc>
          <w:tcPr>
            <w:tcW w:w="1567" w:type="dxa"/>
            <w:noWrap w:val="0"/>
            <w:vAlign w:val="center"/>
          </w:tcPr>
          <w:p w14:paraId="7F8ED6ED">
            <w:pPr>
              <w:spacing w:line="240" w:lineRule="atLeast"/>
              <w:jc w:val="center"/>
              <w:rPr>
                <w:rFonts w:hint="eastAsia" w:ascii="宋体" w:hAnsi="宋体" w:eastAsia="宋体" w:cs="宋体"/>
                <w:color w:val="auto"/>
                <w:sz w:val="21"/>
                <w:szCs w:val="21"/>
                <w:highlight w:val="none"/>
              </w:rPr>
            </w:pPr>
          </w:p>
        </w:tc>
      </w:tr>
      <w:tr w14:paraId="33A9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14:paraId="5484BFC4">
            <w:pPr>
              <w:spacing w:line="240" w:lineRule="atLeast"/>
              <w:jc w:val="center"/>
              <w:rPr>
                <w:rFonts w:hint="eastAsia" w:ascii="宋体" w:hAnsi="宋体" w:eastAsia="宋体" w:cs="宋体"/>
                <w:color w:val="auto"/>
                <w:sz w:val="21"/>
                <w:szCs w:val="21"/>
                <w:highlight w:val="none"/>
              </w:rPr>
            </w:pPr>
          </w:p>
        </w:tc>
        <w:tc>
          <w:tcPr>
            <w:tcW w:w="984" w:type="dxa"/>
            <w:noWrap w:val="0"/>
            <w:vAlign w:val="center"/>
          </w:tcPr>
          <w:p w14:paraId="5164AD35">
            <w:pPr>
              <w:spacing w:line="240" w:lineRule="atLeast"/>
              <w:jc w:val="center"/>
              <w:rPr>
                <w:rFonts w:hint="eastAsia" w:ascii="宋体" w:hAnsi="宋体" w:eastAsia="宋体" w:cs="宋体"/>
                <w:color w:val="auto"/>
                <w:sz w:val="21"/>
                <w:szCs w:val="21"/>
                <w:highlight w:val="none"/>
              </w:rPr>
            </w:pPr>
          </w:p>
        </w:tc>
        <w:tc>
          <w:tcPr>
            <w:tcW w:w="1298" w:type="dxa"/>
            <w:gridSpan w:val="2"/>
            <w:noWrap w:val="0"/>
            <w:vAlign w:val="center"/>
          </w:tcPr>
          <w:p w14:paraId="69186662">
            <w:pPr>
              <w:spacing w:line="240" w:lineRule="atLeast"/>
              <w:jc w:val="center"/>
              <w:rPr>
                <w:rFonts w:hint="eastAsia" w:ascii="宋体" w:hAnsi="宋体" w:eastAsia="宋体" w:cs="宋体"/>
                <w:color w:val="auto"/>
                <w:sz w:val="21"/>
                <w:szCs w:val="21"/>
                <w:highlight w:val="none"/>
              </w:rPr>
            </w:pPr>
          </w:p>
        </w:tc>
        <w:tc>
          <w:tcPr>
            <w:tcW w:w="1134" w:type="dxa"/>
            <w:noWrap w:val="0"/>
            <w:vAlign w:val="center"/>
          </w:tcPr>
          <w:p w14:paraId="69B6AD81">
            <w:pPr>
              <w:spacing w:line="240" w:lineRule="atLeast"/>
              <w:jc w:val="center"/>
              <w:rPr>
                <w:rFonts w:hint="eastAsia" w:ascii="宋体" w:hAnsi="宋体" w:eastAsia="宋体" w:cs="宋体"/>
                <w:color w:val="auto"/>
                <w:sz w:val="21"/>
                <w:szCs w:val="21"/>
                <w:highlight w:val="none"/>
              </w:rPr>
            </w:pPr>
          </w:p>
        </w:tc>
        <w:tc>
          <w:tcPr>
            <w:tcW w:w="1559" w:type="dxa"/>
            <w:noWrap w:val="0"/>
            <w:vAlign w:val="center"/>
          </w:tcPr>
          <w:p w14:paraId="6B789C70">
            <w:pPr>
              <w:spacing w:line="240" w:lineRule="atLeast"/>
              <w:jc w:val="center"/>
              <w:rPr>
                <w:rFonts w:hint="eastAsia" w:ascii="宋体" w:hAnsi="宋体" w:eastAsia="宋体" w:cs="宋体"/>
                <w:color w:val="auto"/>
                <w:sz w:val="21"/>
                <w:szCs w:val="21"/>
                <w:highlight w:val="none"/>
              </w:rPr>
            </w:pPr>
          </w:p>
        </w:tc>
        <w:tc>
          <w:tcPr>
            <w:tcW w:w="1567" w:type="dxa"/>
            <w:noWrap w:val="0"/>
            <w:vAlign w:val="center"/>
          </w:tcPr>
          <w:p w14:paraId="73B7E738">
            <w:pPr>
              <w:spacing w:line="240" w:lineRule="atLeast"/>
              <w:jc w:val="center"/>
              <w:rPr>
                <w:rFonts w:hint="eastAsia" w:ascii="宋体" w:hAnsi="宋体" w:eastAsia="宋体" w:cs="宋体"/>
                <w:color w:val="auto"/>
                <w:sz w:val="21"/>
                <w:szCs w:val="21"/>
                <w:highlight w:val="none"/>
              </w:rPr>
            </w:pPr>
          </w:p>
        </w:tc>
      </w:tr>
      <w:tr w14:paraId="535FD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14:paraId="06D13A19">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合计人民币（小写）：</w:t>
            </w:r>
          </w:p>
        </w:tc>
      </w:tr>
      <w:tr w14:paraId="5A44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14:paraId="336A71DD">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合计人民币（大写）：</w:t>
            </w:r>
          </w:p>
        </w:tc>
      </w:tr>
      <w:tr w14:paraId="2BD36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6" w:hRule="atLeast"/>
        </w:trPr>
        <w:tc>
          <w:tcPr>
            <w:tcW w:w="9613" w:type="dxa"/>
            <w:gridSpan w:val="7"/>
            <w:noWrap w:val="0"/>
            <w:vAlign w:val="top"/>
          </w:tcPr>
          <w:p w14:paraId="27048A11">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一、服务要求</w:t>
            </w:r>
          </w:p>
        </w:tc>
      </w:tr>
      <w:tr w14:paraId="5D952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9628" w:type="dxa"/>
            <w:gridSpan w:val="8"/>
            <w:noWrap w:val="0"/>
            <w:vAlign w:val="top"/>
          </w:tcPr>
          <w:p w14:paraId="557A70E3">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二、考核方式</w:t>
            </w:r>
          </w:p>
        </w:tc>
      </w:tr>
      <w:tr w14:paraId="60A6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14:paraId="74756144">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三、付款方式：</w:t>
            </w:r>
          </w:p>
          <w:p w14:paraId="42F1A1CB">
            <w:pPr>
              <w:pStyle w:val="14"/>
              <w:spacing w:line="240" w:lineRule="atLeast"/>
              <w:rPr>
                <w:rFonts w:hint="eastAsia" w:ascii="宋体" w:hAnsi="宋体" w:eastAsia="宋体" w:cs="宋体"/>
                <w:color w:val="auto"/>
                <w:kern w:val="2"/>
                <w:sz w:val="21"/>
                <w:szCs w:val="21"/>
                <w:highlight w:val="none"/>
                <w:lang w:val="en-US" w:eastAsia="zh-CN"/>
              </w:rPr>
            </w:pPr>
          </w:p>
        </w:tc>
      </w:tr>
      <w:tr w14:paraId="3F15B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14:paraId="0B86004F">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四、履约保证金：</w:t>
            </w:r>
          </w:p>
          <w:p w14:paraId="1C9B66FF">
            <w:pPr>
              <w:spacing w:line="240" w:lineRule="atLeast"/>
              <w:rPr>
                <w:rFonts w:hint="eastAsia" w:ascii="宋体" w:hAnsi="宋体" w:eastAsia="宋体" w:cs="宋体"/>
                <w:color w:val="auto"/>
                <w:sz w:val="21"/>
                <w:szCs w:val="21"/>
                <w:highlight w:val="none"/>
              </w:rPr>
            </w:pPr>
          </w:p>
        </w:tc>
      </w:tr>
      <w:tr w14:paraId="0F84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14:paraId="6F10E820">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五、违约责任：</w:t>
            </w:r>
          </w:p>
          <w:p w14:paraId="78CD4074">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按《中华人民共和国民法典》、《中华人民共和国政府采购法》执行，或按双方约定。</w:t>
            </w:r>
          </w:p>
        </w:tc>
      </w:tr>
      <w:tr w14:paraId="64586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14:paraId="5737AB1C">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六、其他约定事项：</w:t>
            </w:r>
          </w:p>
          <w:p w14:paraId="00100ED9">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1.采购文件及其澄清文件、响应文件和承诺是本合同不可分割的部分。</w:t>
            </w:r>
          </w:p>
          <w:p w14:paraId="6CC6C475">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2.本合同如发生争议由双方协商解决，协商不成向需方所在人民法院提请诉讼。</w:t>
            </w:r>
          </w:p>
          <w:p w14:paraId="4FE59DE2">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3.本合同一式__份， 需方__份，供方__份，具同等法律效力。</w:t>
            </w:r>
          </w:p>
          <w:p w14:paraId="2CD62DB8">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w:t>
            </w:r>
          </w:p>
        </w:tc>
      </w:tr>
      <w:tr w14:paraId="6B99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noWrap w:val="0"/>
            <w:vAlign w:val="top"/>
          </w:tcPr>
          <w:p w14:paraId="4066236B">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需方：</w:t>
            </w:r>
          </w:p>
          <w:p w14:paraId="2782DEF0">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228B021F">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p w14:paraId="0AC116DD">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w:t>
            </w:r>
          </w:p>
        </w:tc>
        <w:tc>
          <w:tcPr>
            <w:tcW w:w="4984" w:type="dxa"/>
            <w:gridSpan w:val="5"/>
            <w:noWrap w:val="0"/>
            <w:vAlign w:val="top"/>
          </w:tcPr>
          <w:p w14:paraId="3A40942E">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供方：</w:t>
            </w:r>
          </w:p>
          <w:p w14:paraId="5A59B3CA">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7138868F">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42E3A445">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p w14:paraId="01222504">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089C5460">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p w14:paraId="733826F1">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w:t>
            </w:r>
          </w:p>
          <w:p w14:paraId="2C4F808C">
            <w:pPr>
              <w:widowControl/>
              <w:spacing w:line="240" w:lineRule="atLeas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（本栏请用计算机打印以便于准确付款）</w:t>
            </w:r>
          </w:p>
        </w:tc>
      </w:tr>
      <w:tr w14:paraId="75B9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14:paraId="1DD528B3">
            <w:pPr>
              <w:spacing w:line="24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5FEE26A">
            <w:pPr>
              <w:spacing w:line="240" w:lineRule="atLeast"/>
              <w:rPr>
                <w:rFonts w:hint="eastAsia" w:ascii="宋体" w:hAnsi="宋体" w:eastAsia="宋体" w:cs="宋体"/>
                <w:color w:val="auto"/>
                <w:sz w:val="21"/>
                <w:szCs w:val="21"/>
                <w:highlight w:val="none"/>
              </w:rPr>
            </w:pPr>
          </w:p>
          <w:p w14:paraId="5ECC443D">
            <w:pPr>
              <w:spacing w:line="240" w:lineRule="atLeast"/>
              <w:rPr>
                <w:rFonts w:hint="eastAsia" w:ascii="宋体" w:hAnsi="宋体" w:eastAsia="宋体" w:cs="宋体"/>
                <w:color w:val="auto"/>
                <w:sz w:val="21"/>
                <w:szCs w:val="21"/>
                <w:highlight w:val="none"/>
              </w:rPr>
            </w:pPr>
          </w:p>
        </w:tc>
      </w:tr>
    </w:tbl>
    <w:p w14:paraId="207B6C0E">
      <w:pPr>
        <w:rPr>
          <w:rFonts w:hint="eastAsia" w:ascii="宋体" w:hAnsi="宋体" w:eastAsia="宋体" w:cs="宋体"/>
          <w:color w:val="auto"/>
          <w:sz w:val="24"/>
          <w:highlight w:val="none"/>
        </w:rPr>
      </w:pPr>
      <w:r>
        <w:rPr>
          <w:rFonts w:hint="eastAsia" w:ascii="宋体" w:hAnsi="宋体" w:eastAsia="宋体" w:cs="宋体"/>
          <w:color w:val="auto"/>
          <w:sz w:val="24"/>
          <w:highlight w:val="none"/>
        </w:rPr>
        <w:t>签约时间：           年   月   日      签约地点：</w:t>
      </w:r>
    </w:p>
    <w:p w14:paraId="552ADFE5">
      <w:pPr>
        <w:rPr>
          <w:rFonts w:hint="eastAsia" w:ascii="宋体" w:hAnsi="宋体" w:eastAsia="宋体" w:cs="宋体"/>
          <w:color w:val="auto"/>
          <w:sz w:val="24"/>
          <w:highlight w:val="none"/>
        </w:rPr>
      </w:pPr>
    </w:p>
    <w:p w14:paraId="565EAA14">
      <w:pPr>
        <w:rPr>
          <w:rFonts w:hint="eastAsia" w:ascii="宋体" w:hAnsi="宋体" w:eastAsia="宋体" w:cs="宋体"/>
          <w:color w:val="auto"/>
          <w:sz w:val="24"/>
          <w:highlight w:val="none"/>
        </w:rPr>
      </w:pPr>
    </w:p>
    <w:p w14:paraId="437C7E74">
      <w:pPr>
        <w:rPr>
          <w:rFonts w:hint="eastAsia" w:ascii="宋体" w:hAnsi="宋体" w:eastAsia="宋体" w:cs="宋体"/>
          <w:color w:val="auto"/>
          <w:highlight w:val="none"/>
        </w:rPr>
      </w:pPr>
    </w:p>
    <w:p w14:paraId="13377B74">
      <w:pPr>
        <w:rPr>
          <w:rFonts w:hint="eastAsia" w:ascii="宋体" w:hAnsi="宋体" w:eastAsia="宋体" w:cs="宋体"/>
          <w:color w:val="auto"/>
          <w:highlight w:val="none"/>
        </w:rPr>
      </w:pPr>
    </w:p>
    <w:p w14:paraId="6A71FF0F">
      <w:pPr>
        <w:rPr>
          <w:rFonts w:hint="eastAsia" w:ascii="宋体" w:hAnsi="宋体" w:eastAsia="宋体" w:cs="宋体"/>
          <w:color w:val="auto"/>
          <w:highlight w:val="none"/>
        </w:rPr>
        <w:sectPr>
          <w:pgSz w:w="11907" w:h="16840"/>
          <w:pgMar w:top="1134" w:right="1191" w:bottom="1134" w:left="1304" w:header="851" w:footer="992" w:gutter="0"/>
          <w:pgNumType w:fmt="decimal"/>
          <w:cols w:space="720" w:num="1"/>
          <w:docGrid w:linePitch="380" w:charSpace="-5735"/>
        </w:sectPr>
      </w:pPr>
    </w:p>
    <w:p w14:paraId="42D7F5C6">
      <w:pPr>
        <w:rPr>
          <w:rFonts w:hint="eastAsia" w:ascii="宋体" w:hAnsi="宋体" w:eastAsia="宋体" w:cs="宋体"/>
          <w:color w:val="auto"/>
          <w:highlight w:val="none"/>
        </w:rPr>
      </w:pPr>
    </w:p>
    <w:bookmarkEnd w:id="106"/>
    <w:bookmarkEnd w:id="107"/>
    <w:bookmarkEnd w:id="108"/>
    <w:bookmarkEnd w:id="109"/>
    <w:bookmarkEnd w:id="110"/>
    <w:bookmarkEnd w:id="196"/>
    <w:bookmarkEnd w:id="197"/>
    <w:bookmarkEnd w:id="198"/>
    <w:bookmarkEnd w:id="199"/>
    <w:bookmarkEnd w:id="200"/>
    <w:bookmarkEnd w:id="201"/>
    <w:bookmarkEnd w:id="202"/>
    <w:bookmarkEnd w:id="203"/>
    <w:p w14:paraId="3D598166">
      <w:pPr>
        <w:spacing w:line="360" w:lineRule="auto"/>
        <w:jc w:val="center"/>
        <w:outlineLvl w:val="0"/>
        <w:rPr>
          <w:rStyle w:val="41"/>
          <w:rFonts w:hint="eastAsia" w:ascii="宋体" w:hAnsi="宋体" w:eastAsia="宋体" w:cs="宋体"/>
          <w:bCs w:val="0"/>
          <w:color w:val="auto"/>
          <w:highlight w:val="none"/>
        </w:rPr>
      </w:pPr>
      <w:bookmarkStart w:id="204" w:name="_Toc487204796"/>
      <w:bookmarkStart w:id="205" w:name="_Toc10113"/>
      <w:bookmarkStart w:id="206" w:name="_Toc18524"/>
      <w:bookmarkStart w:id="207" w:name="_Toc12942"/>
      <w:r>
        <w:rPr>
          <w:rStyle w:val="41"/>
          <w:rFonts w:hint="eastAsia" w:ascii="宋体" w:hAnsi="宋体" w:eastAsia="宋体" w:cs="宋体"/>
          <w:bCs w:val="0"/>
          <w:color w:val="auto"/>
          <w:highlight w:val="none"/>
        </w:rPr>
        <w:t>第六篇  响应文件格式要求</w:t>
      </w:r>
      <w:bookmarkEnd w:id="204"/>
      <w:bookmarkEnd w:id="205"/>
      <w:bookmarkEnd w:id="206"/>
      <w:bookmarkEnd w:id="207"/>
    </w:p>
    <w:p w14:paraId="59B803E8">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一、经济部分</w:t>
      </w:r>
    </w:p>
    <w:p w14:paraId="0971766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（一）报价函</w:t>
      </w:r>
    </w:p>
    <w:p w14:paraId="1A17E795">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（二）明细报价表</w:t>
      </w:r>
    </w:p>
    <w:p w14:paraId="36277588">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二、技术部分</w:t>
      </w:r>
    </w:p>
    <w:p w14:paraId="6850CCED">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（一）</w:t>
      </w:r>
      <w:r>
        <w:rPr>
          <w:rFonts w:hint="eastAsia" w:ascii="宋体" w:hAnsi="宋体" w:eastAsia="宋体" w:cs="宋体"/>
          <w:color w:val="auto"/>
          <w:highlight w:val="none"/>
          <w:lang w:val="en-US" w:eastAsia="zh-CN"/>
        </w:rPr>
        <w:t>技术</w:t>
      </w:r>
      <w:r>
        <w:rPr>
          <w:rFonts w:hint="eastAsia" w:ascii="宋体" w:hAnsi="宋体" w:eastAsia="宋体" w:cs="宋体"/>
          <w:color w:val="auto"/>
          <w:highlight w:val="none"/>
        </w:rPr>
        <w:t>响应偏离表</w:t>
      </w:r>
    </w:p>
    <w:p w14:paraId="528D05DB">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（二）其他资料（格式自定）</w:t>
      </w:r>
    </w:p>
    <w:p w14:paraId="598B92D7">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三、商务部分</w:t>
      </w:r>
    </w:p>
    <w:p w14:paraId="3629B74B">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）商务响应偏离表</w:t>
      </w:r>
    </w:p>
    <w:p w14:paraId="63D1FEE9">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w:t>
      </w:r>
      <w:r>
        <w:rPr>
          <w:rFonts w:hint="eastAsia" w:ascii="宋体" w:hAnsi="宋体" w:eastAsia="宋体" w:cs="宋体"/>
          <w:color w:val="auto"/>
          <w:sz w:val="24"/>
          <w:szCs w:val="24"/>
          <w:highlight w:val="none"/>
        </w:rPr>
        <w:t>其它</w:t>
      </w:r>
      <w:r>
        <w:rPr>
          <w:rFonts w:hint="eastAsia" w:ascii="宋体" w:hAnsi="宋体" w:eastAsia="宋体" w:cs="宋体"/>
          <w:color w:val="auto"/>
          <w:sz w:val="24"/>
          <w:szCs w:val="24"/>
          <w:highlight w:val="none"/>
          <w:lang w:eastAsia="zh-CN"/>
        </w:rPr>
        <w:t>资料及</w:t>
      </w:r>
      <w:r>
        <w:rPr>
          <w:rFonts w:hint="eastAsia" w:ascii="宋体" w:hAnsi="宋体" w:eastAsia="宋体" w:cs="宋体"/>
          <w:color w:val="auto"/>
          <w:sz w:val="24"/>
          <w:szCs w:val="24"/>
          <w:highlight w:val="none"/>
        </w:rPr>
        <w:t>优惠承诺（格式自定）</w:t>
      </w:r>
    </w:p>
    <w:p w14:paraId="65134535">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四、资格条件及其他</w:t>
      </w:r>
    </w:p>
    <w:p w14:paraId="13325820">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（一）法人营业执照（副本）或事业单位法人证书（副本）或个体工商户营业执照或有效的自然人身份证明或社会团体法人登记证书复印件</w:t>
      </w:r>
    </w:p>
    <w:p w14:paraId="51643553">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（二）法定代表人身份证明书（格式）</w:t>
      </w:r>
    </w:p>
    <w:p w14:paraId="2312DB44">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（三）法定代表人授权委托书（格式）</w:t>
      </w:r>
    </w:p>
    <w:p w14:paraId="3AF16DAA">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（四）基本资格条件承诺函（格式）</w:t>
      </w:r>
    </w:p>
    <w:p w14:paraId="4E7EAD63">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（五）特定资格条件证书或证明文件</w:t>
      </w:r>
    </w:p>
    <w:p w14:paraId="750C5313">
      <w:pPr>
        <w:spacing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五、其他资料</w:t>
      </w:r>
    </w:p>
    <w:p w14:paraId="74F9CDDC">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（一）其他与项目有关的资料</w:t>
      </w:r>
    </w:p>
    <w:p w14:paraId="0C0AF16A">
      <w:pPr>
        <w:pStyle w:val="10"/>
        <w:rPr>
          <w:rFonts w:hint="eastAsia" w:ascii="宋体" w:hAnsi="宋体" w:eastAsia="宋体" w:cs="宋体"/>
          <w:color w:val="auto"/>
          <w:highlight w:val="none"/>
        </w:rPr>
      </w:pPr>
    </w:p>
    <w:p w14:paraId="209D6491">
      <w:pPr>
        <w:rPr>
          <w:rFonts w:hint="eastAsia" w:ascii="宋体" w:hAnsi="宋体" w:eastAsia="宋体" w:cs="宋体"/>
          <w:color w:val="auto"/>
          <w:highlight w:val="none"/>
        </w:rPr>
      </w:pPr>
    </w:p>
    <w:p w14:paraId="08751B0F">
      <w:pPr>
        <w:pStyle w:val="10"/>
        <w:rPr>
          <w:rFonts w:hint="eastAsia" w:ascii="宋体" w:hAnsi="宋体" w:eastAsia="宋体" w:cs="宋体"/>
          <w:color w:val="auto"/>
          <w:highlight w:val="none"/>
        </w:rPr>
      </w:pPr>
    </w:p>
    <w:p w14:paraId="0EAC6CA8">
      <w:pPr>
        <w:rPr>
          <w:rFonts w:hint="eastAsia" w:ascii="宋体" w:hAnsi="宋体" w:eastAsia="宋体" w:cs="宋体"/>
          <w:color w:val="auto"/>
          <w:highlight w:val="none"/>
        </w:rPr>
      </w:pPr>
    </w:p>
    <w:p w14:paraId="6CDC6CB2">
      <w:pPr>
        <w:pStyle w:val="10"/>
        <w:rPr>
          <w:rFonts w:hint="eastAsia" w:ascii="宋体" w:hAnsi="宋体" w:eastAsia="宋体" w:cs="宋体"/>
          <w:color w:val="auto"/>
          <w:highlight w:val="none"/>
        </w:rPr>
      </w:pPr>
    </w:p>
    <w:p w14:paraId="2DF588AD">
      <w:pPr>
        <w:rPr>
          <w:rFonts w:hint="eastAsia" w:ascii="宋体" w:hAnsi="宋体" w:eastAsia="宋体" w:cs="宋体"/>
          <w:color w:val="auto"/>
          <w:highlight w:val="none"/>
        </w:rPr>
      </w:pPr>
    </w:p>
    <w:p w14:paraId="141AAFF9">
      <w:pPr>
        <w:pStyle w:val="10"/>
        <w:rPr>
          <w:rFonts w:hint="eastAsia" w:ascii="宋体" w:hAnsi="宋体" w:eastAsia="宋体" w:cs="宋体"/>
          <w:color w:val="auto"/>
          <w:highlight w:val="none"/>
        </w:rPr>
      </w:pPr>
    </w:p>
    <w:p w14:paraId="57E5E272">
      <w:pPr>
        <w:rPr>
          <w:rFonts w:hint="eastAsia" w:ascii="宋体" w:hAnsi="宋体" w:eastAsia="宋体" w:cs="宋体"/>
          <w:color w:val="auto"/>
          <w:highlight w:val="none"/>
        </w:rPr>
      </w:pPr>
    </w:p>
    <w:p w14:paraId="5D541889">
      <w:pPr>
        <w:pStyle w:val="10"/>
        <w:rPr>
          <w:rFonts w:hint="eastAsia" w:ascii="宋体" w:hAnsi="宋体" w:eastAsia="宋体" w:cs="宋体"/>
          <w:color w:val="auto"/>
          <w:highlight w:val="none"/>
        </w:rPr>
      </w:pPr>
    </w:p>
    <w:p w14:paraId="26C3CA3D">
      <w:pPr>
        <w:rPr>
          <w:rFonts w:hint="eastAsia" w:ascii="宋体" w:hAnsi="宋体" w:eastAsia="宋体" w:cs="宋体"/>
          <w:color w:val="auto"/>
          <w:highlight w:val="none"/>
        </w:rPr>
      </w:pPr>
    </w:p>
    <w:p w14:paraId="663A5337">
      <w:pPr>
        <w:pStyle w:val="10"/>
        <w:rPr>
          <w:rFonts w:hint="eastAsia" w:ascii="宋体" w:hAnsi="宋体" w:eastAsia="宋体" w:cs="宋体"/>
          <w:color w:val="auto"/>
          <w:highlight w:val="none"/>
        </w:rPr>
      </w:pPr>
    </w:p>
    <w:p w14:paraId="13E002EF">
      <w:pPr>
        <w:rPr>
          <w:rFonts w:hint="eastAsia" w:ascii="宋体" w:hAnsi="宋体" w:eastAsia="宋体" w:cs="宋体"/>
          <w:color w:val="auto"/>
          <w:highlight w:val="none"/>
        </w:rPr>
      </w:pPr>
    </w:p>
    <w:p w14:paraId="40C7437A">
      <w:pPr>
        <w:pStyle w:val="10"/>
        <w:rPr>
          <w:rFonts w:hint="eastAsia" w:ascii="宋体" w:hAnsi="宋体" w:eastAsia="宋体" w:cs="宋体"/>
          <w:color w:val="auto"/>
          <w:highlight w:val="none"/>
        </w:rPr>
      </w:pPr>
    </w:p>
    <w:p w14:paraId="2033D094">
      <w:pPr>
        <w:rPr>
          <w:rFonts w:hint="eastAsia" w:ascii="宋体" w:hAnsi="宋体" w:eastAsia="宋体" w:cs="宋体"/>
          <w:color w:val="auto"/>
          <w:highlight w:val="none"/>
        </w:rPr>
      </w:pPr>
    </w:p>
    <w:p w14:paraId="038FF0B0">
      <w:pPr>
        <w:autoSpaceDE w:val="0"/>
        <w:autoSpaceDN w:val="0"/>
        <w:adjustRightInd w:val="0"/>
        <w:snapToGrid w:val="0"/>
        <w:spacing w:line="360" w:lineRule="auto"/>
        <w:jc w:val="center"/>
        <w:rPr>
          <w:rFonts w:hint="eastAsia" w:ascii="宋体" w:hAnsi="宋体" w:eastAsia="宋体" w:cs="宋体"/>
          <w:color w:val="auto"/>
          <w:kern w:val="0"/>
          <w:sz w:val="44"/>
          <w:szCs w:val="44"/>
          <w:highlight w:val="none"/>
          <w:u w:val="single"/>
        </w:rPr>
      </w:pPr>
      <w:bookmarkStart w:id="208" w:name="_Toc486608277"/>
      <w:bookmarkStart w:id="209" w:name="_Toc22249"/>
      <w:bookmarkStart w:id="210" w:name="_Toc486585240"/>
      <w:bookmarkStart w:id="211" w:name="_Toc487204797"/>
      <w:bookmarkStart w:id="212" w:name="_Toc14854"/>
      <w:r>
        <w:rPr>
          <w:rFonts w:hint="eastAsia" w:ascii="宋体" w:hAnsi="宋体" w:eastAsia="宋体" w:cs="宋体"/>
          <w:b/>
          <w:color w:val="auto"/>
          <w:kern w:val="0"/>
          <w:szCs w:val="28"/>
          <w:highlight w:val="none"/>
          <w:u w:val="single"/>
          <w:lang w:bidi="ar"/>
        </w:rPr>
        <w:t xml:space="preserve">                 （项目名称</w:t>
      </w:r>
      <w:r>
        <w:rPr>
          <w:rFonts w:hint="eastAsia" w:ascii="宋体" w:hAnsi="宋体" w:eastAsia="宋体" w:cs="宋体"/>
          <w:b/>
          <w:color w:val="auto"/>
          <w:spacing w:val="1"/>
          <w:kern w:val="0"/>
          <w:szCs w:val="28"/>
          <w:highlight w:val="none"/>
          <w:u w:val="single"/>
          <w:lang w:bidi="ar"/>
        </w:rPr>
        <w:t>）</w:t>
      </w:r>
      <w:r>
        <w:rPr>
          <w:rFonts w:hint="eastAsia" w:ascii="宋体" w:hAnsi="宋体" w:eastAsia="宋体" w:cs="宋体"/>
          <w:b/>
          <w:color w:val="auto"/>
          <w:kern w:val="0"/>
          <w:szCs w:val="28"/>
          <w:highlight w:val="none"/>
          <w:u w:val="single"/>
          <w:lang w:bidi="ar"/>
        </w:rPr>
        <w:t xml:space="preserve">    </w:t>
      </w:r>
    </w:p>
    <w:p w14:paraId="70A8D47A">
      <w:pPr>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lang w:bidi="ar"/>
        </w:rPr>
        <w:t xml:space="preserve"> </w:t>
      </w:r>
    </w:p>
    <w:p w14:paraId="2635EDEB">
      <w:pPr>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lang w:bidi="ar"/>
        </w:rPr>
        <w:t xml:space="preserve">  </w:t>
      </w:r>
    </w:p>
    <w:p w14:paraId="7E0E3474">
      <w:pPr>
        <w:autoSpaceDE w:val="0"/>
        <w:autoSpaceDN w:val="0"/>
        <w:adjustRightInd w:val="0"/>
        <w:snapToGrid w:val="0"/>
        <w:spacing w:line="360" w:lineRule="auto"/>
        <w:jc w:val="center"/>
        <w:rPr>
          <w:rFonts w:hint="eastAsia" w:ascii="宋体" w:hAnsi="宋体" w:eastAsia="宋体" w:cs="宋体"/>
          <w:b/>
          <w:color w:val="auto"/>
          <w:kern w:val="0"/>
          <w:sz w:val="84"/>
          <w:szCs w:val="84"/>
          <w:highlight w:val="none"/>
        </w:rPr>
      </w:pPr>
      <w:r>
        <w:rPr>
          <w:rFonts w:hint="eastAsia" w:ascii="宋体" w:hAnsi="宋体" w:eastAsia="宋体" w:cs="宋体"/>
          <w:b/>
          <w:color w:val="auto"/>
          <w:kern w:val="0"/>
          <w:sz w:val="84"/>
          <w:szCs w:val="84"/>
          <w:highlight w:val="none"/>
          <w:lang w:bidi="ar"/>
        </w:rPr>
        <w:t>响  应  文  件</w:t>
      </w:r>
    </w:p>
    <w:p w14:paraId="161EECC5">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r>
        <w:rPr>
          <w:rFonts w:hint="eastAsia" w:ascii="宋体" w:hAnsi="宋体" w:eastAsia="宋体" w:cs="宋体"/>
          <w:color w:val="auto"/>
          <w:kern w:val="0"/>
          <w:sz w:val="16"/>
          <w:szCs w:val="16"/>
          <w:highlight w:val="none"/>
          <w:lang w:bidi="ar"/>
        </w:rPr>
        <w:t xml:space="preserve"> </w:t>
      </w:r>
    </w:p>
    <w:p w14:paraId="78AD2951">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325B96FC">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1BB8C33F">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4E8DE33F">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615F3774">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6E2AB096">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480BD74B">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54A15C95">
      <w:pPr>
        <w:autoSpaceDE w:val="0"/>
        <w:autoSpaceDN w:val="0"/>
        <w:adjustRightInd w:val="0"/>
        <w:snapToGrid w:val="0"/>
        <w:spacing w:line="360" w:lineRule="auto"/>
        <w:jc w:val="left"/>
        <w:rPr>
          <w:rFonts w:hint="eastAsia" w:ascii="宋体" w:hAnsi="宋体" w:eastAsia="宋体" w:cs="宋体"/>
          <w:b/>
          <w:color w:val="auto"/>
          <w:kern w:val="0"/>
          <w:sz w:val="20"/>
          <w:highlight w:val="none"/>
        </w:rPr>
      </w:pPr>
      <w:r>
        <w:rPr>
          <w:rFonts w:hint="eastAsia" w:ascii="宋体" w:hAnsi="宋体" w:eastAsia="宋体" w:cs="宋体"/>
          <w:b/>
          <w:color w:val="auto"/>
          <w:kern w:val="0"/>
          <w:sz w:val="20"/>
          <w:highlight w:val="none"/>
          <w:lang w:bidi="ar"/>
        </w:rPr>
        <w:t xml:space="preserve"> </w:t>
      </w:r>
    </w:p>
    <w:p w14:paraId="51531CF6">
      <w:pPr>
        <w:autoSpaceDE w:val="0"/>
        <w:autoSpaceDN w:val="0"/>
        <w:adjustRightInd w:val="0"/>
        <w:snapToGrid w:val="0"/>
        <w:spacing w:line="360" w:lineRule="auto"/>
        <w:jc w:val="center"/>
        <w:rPr>
          <w:rFonts w:hint="eastAsia" w:ascii="宋体" w:hAnsi="宋体" w:eastAsia="宋体" w:cs="宋体"/>
          <w:b/>
          <w:color w:val="auto"/>
          <w:kern w:val="0"/>
          <w:szCs w:val="28"/>
          <w:highlight w:val="none"/>
        </w:rPr>
      </w:pPr>
      <w:r>
        <w:rPr>
          <w:rFonts w:hint="eastAsia" w:ascii="宋体" w:hAnsi="宋体" w:eastAsia="宋体" w:cs="宋体"/>
          <w:b/>
          <w:color w:val="auto"/>
          <w:kern w:val="0"/>
          <w:szCs w:val="28"/>
          <w:highlight w:val="none"/>
          <w:lang w:bidi="ar"/>
        </w:rPr>
        <w:t>供应商</w:t>
      </w:r>
      <w:r>
        <w:rPr>
          <w:rFonts w:hint="eastAsia" w:ascii="宋体" w:hAnsi="宋体" w:eastAsia="宋体" w:cs="宋体"/>
          <w:b/>
          <w:color w:val="auto"/>
          <w:spacing w:val="1"/>
          <w:kern w:val="0"/>
          <w:szCs w:val="28"/>
          <w:highlight w:val="none"/>
          <w:lang w:bidi="ar"/>
        </w:rPr>
        <w:t>：</w:t>
      </w:r>
      <w:r>
        <w:rPr>
          <w:rFonts w:hint="eastAsia" w:ascii="宋体" w:hAnsi="宋体" w:eastAsia="宋体" w:cs="宋体"/>
          <w:b/>
          <w:color w:val="auto"/>
          <w:kern w:val="0"/>
          <w:szCs w:val="28"/>
          <w:highlight w:val="none"/>
          <w:u w:val="single"/>
          <w:lang w:bidi="ar"/>
        </w:rPr>
        <w:t xml:space="preserve">                   </w:t>
      </w:r>
      <w:r>
        <w:rPr>
          <w:rFonts w:hint="eastAsia" w:ascii="宋体" w:hAnsi="宋体" w:eastAsia="宋体" w:cs="宋体"/>
          <w:b/>
          <w:color w:val="auto"/>
          <w:kern w:val="0"/>
          <w:szCs w:val="28"/>
          <w:highlight w:val="none"/>
          <w:lang w:bidi="ar"/>
        </w:rPr>
        <w:t>（盖单位章）</w:t>
      </w:r>
    </w:p>
    <w:p w14:paraId="6DF9F432">
      <w:pPr>
        <w:autoSpaceDE w:val="0"/>
        <w:autoSpaceDN w:val="0"/>
        <w:adjustRightInd w:val="0"/>
        <w:snapToGrid w:val="0"/>
        <w:spacing w:line="360" w:lineRule="auto"/>
        <w:jc w:val="center"/>
        <w:rPr>
          <w:rFonts w:hint="eastAsia" w:ascii="宋体" w:hAnsi="宋体" w:eastAsia="宋体" w:cs="宋体"/>
          <w:b/>
          <w:color w:val="auto"/>
          <w:kern w:val="0"/>
          <w:szCs w:val="28"/>
          <w:highlight w:val="none"/>
        </w:rPr>
      </w:pPr>
      <w:r>
        <w:rPr>
          <w:rFonts w:hint="eastAsia" w:ascii="宋体" w:hAnsi="宋体" w:eastAsia="宋体" w:cs="宋体"/>
          <w:b/>
          <w:color w:val="auto"/>
          <w:kern w:val="0"/>
          <w:szCs w:val="28"/>
          <w:highlight w:val="none"/>
          <w:lang w:bidi="ar"/>
        </w:rPr>
        <w:t>法定代表人或其委托代理人：</w:t>
      </w:r>
      <w:r>
        <w:rPr>
          <w:rFonts w:hint="eastAsia" w:ascii="宋体" w:hAnsi="宋体" w:eastAsia="宋体" w:cs="宋体"/>
          <w:b/>
          <w:color w:val="auto"/>
          <w:kern w:val="0"/>
          <w:szCs w:val="28"/>
          <w:highlight w:val="none"/>
          <w:u w:val="single"/>
          <w:lang w:bidi="ar"/>
        </w:rPr>
        <w:t xml:space="preserve">       </w:t>
      </w:r>
      <w:r>
        <w:rPr>
          <w:rFonts w:hint="eastAsia" w:ascii="宋体" w:hAnsi="宋体" w:eastAsia="宋体" w:cs="宋体"/>
          <w:b/>
          <w:color w:val="auto"/>
          <w:kern w:val="0"/>
          <w:szCs w:val="28"/>
          <w:highlight w:val="none"/>
          <w:lang w:bidi="ar"/>
        </w:rPr>
        <w:t>（签字或盖章）</w:t>
      </w:r>
    </w:p>
    <w:p w14:paraId="09D10E3A">
      <w:pPr>
        <w:autoSpaceDE w:val="0"/>
        <w:autoSpaceDN w:val="0"/>
        <w:adjustRightInd w:val="0"/>
        <w:snapToGrid w:val="0"/>
        <w:spacing w:line="360" w:lineRule="auto"/>
        <w:jc w:val="center"/>
        <w:rPr>
          <w:rFonts w:hint="eastAsia" w:ascii="宋体" w:hAnsi="宋体" w:eastAsia="宋体" w:cs="宋体"/>
          <w:b/>
          <w:color w:val="auto"/>
          <w:kern w:val="0"/>
          <w:szCs w:val="28"/>
          <w:highlight w:val="none"/>
          <w:lang w:bidi="ar"/>
        </w:rPr>
      </w:pPr>
      <w:r>
        <w:rPr>
          <w:rFonts w:hint="eastAsia" w:ascii="宋体" w:hAnsi="宋体" w:eastAsia="宋体" w:cs="宋体"/>
          <w:b/>
          <w:color w:val="auto"/>
          <w:kern w:val="0"/>
          <w:szCs w:val="28"/>
          <w:highlight w:val="none"/>
          <w:u w:val="single"/>
          <w:lang w:bidi="ar"/>
        </w:rPr>
        <w:t xml:space="preserve">      </w:t>
      </w:r>
      <w:r>
        <w:rPr>
          <w:rFonts w:hint="eastAsia" w:ascii="宋体" w:hAnsi="宋体" w:eastAsia="宋体" w:cs="宋体"/>
          <w:b/>
          <w:color w:val="auto"/>
          <w:kern w:val="0"/>
          <w:szCs w:val="28"/>
          <w:highlight w:val="none"/>
          <w:lang w:bidi="ar"/>
        </w:rPr>
        <w:t>年</w:t>
      </w:r>
      <w:r>
        <w:rPr>
          <w:rFonts w:hint="eastAsia" w:ascii="宋体" w:hAnsi="宋体" w:eastAsia="宋体" w:cs="宋体"/>
          <w:b/>
          <w:color w:val="auto"/>
          <w:kern w:val="0"/>
          <w:szCs w:val="28"/>
          <w:highlight w:val="none"/>
          <w:u w:val="single"/>
          <w:lang w:bidi="ar"/>
        </w:rPr>
        <w:t xml:space="preserve">    </w:t>
      </w:r>
      <w:r>
        <w:rPr>
          <w:rFonts w:hint="eastAsia" w:ascii="宋体" w:hAnsi="宋体" w:eastAsia="宋体" w:cs="宋体"/>
          <w:b/>
          <w:color w:val="auto"/>
          <w:kern w:val="0"/>
          <w:szCs w:val="28"/>
          <w:highlight w:val="none"/>
          <w:lang w:bidi="ar"/>
        </w:rPr>
        <w:t>月</w:t>
      </w:r>
      <w:r>
        <w:rPr>
          <w:rFonts w:hint="eastAsia" w:ascii="宋体" w:hAnsi="宋体" w:eastAsia="宋体" w:cs="宋体"/>
          <w:b/>
          <w:color w:val="auto"/>
          <w:kern w:val="0"/>
          <w:szCs w:val="28"/>
          <w:highlight w:val="none"/>
          <w:u w:val="single"/>
          <w:lang w:bidi="ar"/>
        </w:rPr>
        <w:t xml:space="preserve">    </w:t>
      </w:r>
      <w:r>
        <w:rPr>
          <w:rFonts w:hint="eastAsia" w:ascii="宋体" w:hAnsi="宋体" w:eastAsia="宋体" w:cs="宋体"/>
          <w:b/>
          <w:color w:val="auto"/>
          <w:kern w:val="0"/>
          <w:szCs w:val="28"/>
          <w:highlight w:val="none"/>
          <w:lang w:bidi="ar"/>
        </w:rPr>
        <w:t>日</w:t>
      </w:r>
    </w:p>
    <w:p w14:paraId="4A6DF62C">
      <w:pPr>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br w:type="page"/>
      </w:r>
    </w:p>
    <w:p w14:paraId="37467180">
      <w:pPr>
        <w:pStyle w:val="4"/>
        <w:spacing w:before="0" w:after="0" w:line="360" w:lineRule="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一、经济部分</w:t>
      </w:r>
      <w:bookmarkEnd w:id="208"/>
      <w:bookmarkEnd w:id="209"/>
      <w:bookmarkEnd w:id="210"/>
      <w:bookmarkEnd w:id="211"/>
      <w:bookmarkEnd w:id="212"/>
    </w:p>
    <w:p w14:paraId="0445DA1A">
      <w:pPr>
        <w:pStyle w:val="10"/>
        <w:rPr>
          <w:rFonts w:hint="eastAsia" w:ascii="宋体" w:hAnsi="宋体" w:eastAsia="宋体" w:cs="宋体"/>
          <w:color w:val="auto"/>
          <w:highlight w:val="none"/>
        </w:rPr>
      </w:pPr>
      <w:r>
        <w:rPr>
          <w:rFonts w:hint="eastAsia" w:ascii="宋体" w:hAnsi="宋体" w:eastAsia="宋体" w:cs="宋体"/>
          <w:color w:val="auto"/>
          <w:highlight w:val="none"/>
        </w:rPr>
        <w:t>（一）报价函</w:t>
      </w:r>
    </w:p>
    <w:p w14:paraId="590CB1A2">
      <w:pPr>
        <w:tabs>
          <w:tab w:val="left" w:pos="6300"/>
        </w:tabs>
        <w:snapToGrid w:val="0"/>
        <w:spacing w:line="360" w:lineRule="auto"/>
        <w:ind w:firstLine="480" w:firstLineChars="200"/>
        <w:jc w:val="center"/>
        <w:rPr>
          <w:rFonts w:hint="eastAsia" w:ascii="宋体" w:hAnsi="宋体" w:eastAsia="宋体" w:cs="宋体"/>
          <w:color w:val="auto"/>
          <w:highlight w:val="none"/>
        </w:rPr>
      </w:pPr>
      <w:r>
        <w:rPr>
          <w:rFonts w:hint="eastAsia" w:ascii="宋体" w:hAnsi="宋体" w:eastAsia="宋体" w:cs="宋体"/>
          <w:color w:val="auto"/>
          <w:highlight w:val="none"/>
        </w:rPr>
        <w:t>报价函</w:t>
      </w:r>
    </w:p>
    <w:p w14:paraId="48E91AF5">
      <w:pPr>
        <w:tabs>
          <w:tab w:val="left" w:pos="6300"/>
        </w:tabs>
        <w:snapToGrid w:val="0"/>
        <w:spacing w:line="312" w:lineRule="auto"/>
        <w:rPr>
          <w:rFonts w:hint="eastAsia" w:ascii="宋体" w:hAnsi="宋体" w:eastAsia="宋体" w:cs="宋体"/>
          <w:color w:val="auto"/>
          <w:sz w:val="24"/>
          <w:szCs w:val="24"/>
          <w:highlight w:val="none"/>
        </w:rPr>
      </w:pPr>
      <w:bookmarkStart w:id="213" w:name="_Toc17029"/>
      <w:bookmarkStart w:id="214" w:name="_Toc4270"/>
      <w:bookmarkStart w:id="215" w:name="_Toc486608279"/>
      <w:bookmarkStart w:id="216" w:name="_Toc487204799"/>
      <w:bookmarkStart w:id="217" w:name="_Toc486585242"/>
      <w:r>
        <w:rPr>
          <w:rFonts w:hint="eastAsia" w:ascii="宋体" w:hAnsi="宋体" w:eastAsia="宋体" w:cs="宋体"/>
          <w:color w:val="auto"/>
          <w:sz w:val="24"/>
          <w:szCs w:val="24"/>
          <w:highlight w:val="none"/>
          <w:u w:val="single"/>
        </w:rPr>
        <w:t>（采购代理机构名称）</w:t>
      </w:r>
      <w:r>
        <w:rPr>
          <w:rFonts w:hint="eastAsia" w:ascii="宋体" w:hAnsi="宋体" w:eastAsia="宋体" w:cs="宋体"/>
          <w:color w:val="auto"/>
          <w:sz w:val="24"/>
          <w:szCs w:val="24"/>
          <w:highlight w:val="none"/>
        </w:rPr>
        <w:t>：</w:t>
      </w:r>
    </w:p>
    <w:p w14:paraId="2D8F04FB">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我方收到____________________________（项目名称）的</w:t>
      </w:r>
      <w:r>
        <w:rPr>
          <w:rFonts w:hint="eastAsia" w:ascii="宋体" w:hAnsi="宋体" w:eastAsia="宋体" w:cs="宋体"/>
          <w:color w:val="auto"/>
          <w:sz w:val="24"/>
          <w:szCs w:val="24"/>
          <w:highlight w:val="none"/>
          <w:lang w:val="en-US" w:eastAsia="zh-CN"/>
        </w:rPr>
        <w:t>竞争性比选采购</w:t>
      </w:r>
      <w:r>
        <w:rPr>
          <w:rFonts w:hint="eastAsia" w:ascii="宋体" w:hAnsi="宋体" w:eastAsia="宋体" w:cs="宋体"/>
          <w:color w:val="auto"/>
          <w:sz w:val="24"/>
          <w:szCs w:val="24"/>
          <w:highlight w:val="none"/>
        </w:rPr>
        <w:t>文件，经详细研究，决定参加该项目的</w:t>
      </w:r>
      <w:r>
        <w:rPr>
          <w:rFonts w:hint="eastAsia" w:ascii="宋体" w:hAnsi="宋体" w:eastAsia="宋体" w:cs="宋体"/>
          <w:color w:val="auto"/>
          <w:sz w:val="24"/>
          <w:szCs w:val="24"/>
          <w:highlight w:val="none"/>
          <w:lang w:val="en-US" w:eastAsia="zh-CN"/>
        </w:rPr>
        <w:t>比选</w:t>
      </w:r>
      <w:r>
        <w:rPr>
          <w:rFonts w:hint="eastAsia" w:ascii="宋体" w:hAnsi="宋体" w:eastAsia="宋体" w:cs="宋体"/>
          <w:color w:val="auto"/>
          <w:sz w:val="24"/>
          <w:szCs w:val="24"/>
          <w:highlight w:val="none"/>
        </w:rPr>
        <w:t>。</w:t>
      </w:r>
    </w:p>
    <w:p w14:paraId="2A17218E">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1.愿意按照</w:t>
      </w:r>
      <w:r>
        <w:rPr>
          <w:rFonts w:hint="eastAsia" w:ascii="宋体" w:hAnsi="宋体" w:eastAsia="宋体" w:cs="宋体"/>
          <w:color w:val="auto"/>
          <w:sz w:val="24"/>
          <w:szCs w:val="24"/>
          <w:highlight w:val="none"/>
          <w:lang w:val="en-US" w:eastAsia="zh-CN"/>
        </w:rPr>
        <w:t>竞争性比选采购</w:t>
      </w:r>
      <w:r>
        <w:rPr>
          <w:rFonts w:hint="eastAsia" w:ascii="宋体" w:hAnsi="宋体" w:eastAsia="宋体" w:cs="宋体"/>
          <w:color w:val="auto"/>
          <w:sz w:val="24"/>
          <w:szCs w:val="24"/>
          <w:highlight w:val="none"/>
        </w:rPr>
        <w:t>文件中的一切要求，提供本项目的服务，报价为人民币大写：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元整；人民币小写：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12C185B">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2.我方现提交的响应文件为：响应文件正本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0B0D9DB5">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3.我方承诺：本次</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的有效期为提交响应文件截止时间起90天。</w:t>
      </w:r>
    </w:p>
    <w:p w14:paraId="1CE6DFCA">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4.我方完全理解和接受贵方</w:t>
      </w:r>
      <w:r>
        <w:rPr>
          <w:rFonts w:hint="eastAsia" w:ascii="宋体" w:hAnsi="宋体" w:eastAsia="宋体" w:cs="宋体"/>
          <w:color w:val="auto"/>
          <w:sz w:val="24"/>
          <w:szCs w:val="24"/>
          <w:highlight w:val="none"/>
          <w:lang w:val="en-US" w:eastAsia="zh-CN"/>
        </w:rPr>
        <w:t>竞争性比选采购</w:t>
      </w:r>
      <w:r>
        <w:rPr>
          <w:rFonts w:hint="eastAsia" w:ascii="宋体" w:hAnsi="宋体" w:eastAsia="宋体" w:cs="宋体"/>
          <w:color w:val="auto"/>
          <w:sz w:val="24"/>
          <w:szCs w:val="24"/>
          <w:highlight w:val="none"/>
        </w:rPr>
        <w:t>文件的一切规定和要求及评审办法。</w:t>
      </w:r>
    </w:p>
    <w:p w14:paraId="49411660">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5.在整个</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过程中，我方若有违规行为，接受按照《中华人民共和国政府采购法》之规定给予惩罚。</w:t>
      </w:r>
    </w:p>
    <w:p w14:paraId="105DDA33">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6.我方若成为成交供应商，将按照</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结果签订合同，并且严格履行合同义务。本承诺函将成为合同不可分割的一部分，与合同具有同等的法律效力。</w:t>
      </w:r>
    </w:p>
    <w:p w14:paraId="4A5C0A06">
      <w:pPr>
        <w:tabs>
          <w:tab w:val="left" w:pos="6300"/>
        </w:tabs>
        <w:snapToGrid w:val="0"/>
        <w:spacing w:line="312"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7.如果我方成为成交供应商，保证在接到成交通知书后，向采购代理机构</w:t>
      </w:r>
      <w:r>
        <w:rPr>
          <w:rFonts w:hint="eastAsia" w:ascii="宋体" w:hAnsi="宋体" w:eastAsia="宋体" w:cs="宋体"/>
          <w:color w:val="auto"/>
          <w:sz w:val="24"/>
          <w:highlight w:val="none"/>
        </w:rPr>
        <w:t>缴纳</w:t>
      </w:r>
      <w:r>
        <w:rPr>
          <w:rFonts w:hint="eastAsia" w:ascii="宋体" w:hAnsi="宋体" w:eastAsia="宋体" w:cs="宋体"/>
          <w:color w:val="auto"/>
          <w:sz w:val="24"/>
          <w:szCs w:val="24"/>
          <w:highlight w:val="none"/>
          <w:lang w:val="en-US" w:eastAsia="zh-CN"/>
        </w:rPr>
        <w:t>竞争性比选采购</w:t>
      </w:r>
      <w:r>
        <w:rPr>
          <w:rFonts w:hint="eastAsia" w:ascii="宋体" w:hAnsi="宋体" w:eastAsia="宋体" w:cs="宋体"/>
          <w:color w:val="auto"/>
          <w:sz w:val="24"/>
          <w:szCs w:val="24"/>
          <w:highlight w:val="none"/>
        </w:rPr>
        <w:t>文件规定的采购代理服务费。</w:t>
      </w:r>
    </w:p>
    <w:p w14:paraId="194E8A03">
      <w:pPr>
        <w:tabs>
          <w:tab w:val="left" w:pos="6300"/>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8"/>
          <w:highlight w:val="none"/>
        </w:rPr>
        <w:t>我方未</w:t>
      </w:r>
      <w:r>
        <w:rPr>
          <w:rFonts w:hint="eastAsia" w:ascii="宋体" w:hAnsi="宋体" w:eastAsia="宋体" w:cs="宋体"/>
          <w:color w:val="auto"/>
          <w:sz w:val="24"/>
          <w:szCs w:val="24"/>
          <w:highlight w:val="none"/>
        </w:rPr>
        <w:t>为采购项目提供整体设计、规范编制或者项目管理、监理、检测等服务。</w:t>
      </w:r>
    </w:p>
    <w:p w14:paraId="4AC00EEF">
      <w:pPr>
        <w:tabs>
          <w:tab w:val="left" w:pos="6300"/>
        </w:tabs>
        <w:snapToGrid w:val="0"/>
        <w:spacing w:line="312" w:lineRule="auto"/>
        <w:ind w:firstLine="480" w:firstLineChars="200"/>
        <w:rPr>
          <w:rFonts w:hint="eastAsia" w:ascii="宋体" w:hAnsi="宋体" w:eastAsia="宋体" w:cs="宋体"/>
          <w:color w:val="auto"/>
          <w:sz w:val="24"/>
          <w:szCs w:val="24"/>
          <w:highlight w:val="none"/>
        </w:rPr>
      </w:pPr>
    </w:p>
    <w:p w14:paraId="0AB2E3A5">
      <w:pPr>
        <w:tabs>
          <w:tab w:val="left" w:pos="6300"/>
        </w:tabs>
        <w:snapToGrid w:val="0"/>
        <w:spacing w:line="312"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供应商（公章）或自然人签署：</w:t>
      </w:r>
    </w:p>
    <w:p w14:paraId="47B81811">
      <w:pPr>
        <w:tabs>
          <w:tab w:val="left" w:pos="6300"/>
        </w:tabs>
        <w:snapToGrid w:val="0"/>
        <w:spacing w:line="312"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14:paraId="2D62B82F">
      <w:pPr>
        <w:tabs>
          <w:tab w:val="left" w:pos="6300"/>
        </w:tabs>
        <w:snapToGrid w:val="0"/>
        <w:spacing w:line="312"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传真：</w:t>
      </w:r>
    </w:p>
    <w:p w14:paraId="75790E9F">
      <w:pPr>
        <w:tabs>
          <w:tab w:val="left" w:pos="6300"/>
        </w:tabs>
        <w:snapToGrid w:val="0"/>
        <w:spacing w:line="312"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                                             邮编：</w:t>
      </w:r>
    </w:p>
    <w:p w14:paraId="27DACDF0">
      <w:pPr>
        <w:tabs>
          <w:tab w:val="left" w:pos="6300"/>
        </w:tabs>
        <w:snapToGrid w:val="0"/>
        <w:spacing w:line="312"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p w14:paraId="13035292">
      <w:pPr>
        <w:snapToGrid w:val="0"/>
        <w:spacing w:line="312" w:lineRule="auto"/>
        <w:ind w:firstLine="480" w:firstLineChars="200"/>
        <w:rPr>
          <w:rFonts w:hint="eastAsia" w:ascii="宋体" w:hAnsi="宋体" w:eastAsia="宋体" w:cs="宋体"/>
          <w:color w:val="auto"/>
          <w:sz w:val="24"/>
          <w:szCs w:val="24"/>
          <w:highlight w:val="none"/>
        </w:rPr>
        <w:sectPr>
          <w:pgSz w:w="11907" w:h="16840"/>
          <w:pgMar w:top="1134" w:right="1191" w:bottom="1134" w:left="1304" w:header="851" w:footer="992" w:gutter="0"/>
          <w:pgNumType w:fmt="decimal"/>
          <w:cols w:space="720" w:num="1"/>
          <w:docGrid w:linePitch="380" w:charSpace="-5735"/>
        </w:sectPr>
      </w:pPr>
      <w:r>
        <w:rPr>
          <w:rFonts w:hint="eastAsia" w:ascii="宋体" w:hAnsi="宋体" w:eastAsia="宋体" w:cs="宋体"/>
          <w:color w:val="auto"/>
          <w:sz w:val="24"/>
          <w:szCs w:val="24"/>
          <w:highlight w:val="none"/>
        </w:rPr>
        <w:t xml:space="preserve">                                                  年   月   日</w:t>
      </w:r>
    </w:p>
    <w:p w14:paraId="3CC12791">
      <w:pPr>
        <w:tabs>
          <w:tab w:val="left" w:pos="2895"/>
        </w:tabs>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（二）明细报价表</w:t>
      </w:r>
    </w:p>
    <w:p w14:paraId="49FA000F">
      <w:pPr>
        <w:bidi w:val="0"/>
        <w:rPr>
          <w:rFonts w:hint="eastAsia" w:ascii="宋体" w:hAnsi="宋体" w:eastAsia="宋体" w:cs="宋体"/>
          <w:color w:val="auto"/>
          <w:highlight w:val="none"/>
        </w:rPr>
      </w:pPr>
    </w:p>
    <w:p w14:paraId="1E9664F6">
      <w:pPr>
        <w:pStyle w:val="16"/>
        <w:numPr>
          <w:ilvl w:val="0"/>
          <w:numId w:val="0"/>
        </w:numPr>
        <w:ind w:left="753" w:left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u w:val="single"/>
          <w:lang w:val="en-US" w:eastAsia="zh-CN"/>
        </w:rPr>
        <w:t>（已标价工程量清单）</w:t>
      </w:r>
    </w:p>
    <w:p w14:paraId="13A4B308">
      <w:pPr>
        <w:pStyle w:val="16"/>
        <w:numPr>
          <w:ilvl w:val="0"/>
          <w:numId w:val="0"/>
        </w:numPr>
        <w:ind w:left="753" w:leftChars="0"/>
        <w:jc w:val="center"/>
        <w:rPr>
          <w:rFonts w:hint="eastAsia" w:ascii="宋体" w:hAnsi="宋体" w:eastAsia="宋体" w:cs="宋体"/>
          <w:color w:val="auto"/>
          <w:sz w:val="24"/>
          <w:szCs w:val="24"/>
          <w:highlight w:val="none"/>
          <w:lang w:eastAsia="zh-CN"/>
        </w:rPr>
      </w:pPr>
    </w:p>
    <w:p w14:paraId="22F47E26">
      <w:pPr>
        <w:pStyle w:val="4"/>
        <w:numPr>
          <w:ilvl w:val="0"/>
          <w:numId w:val="3"/>
        </w:numPr>
        <w:spacing w:before="0" w:after="0" w:line="360" w:lineRule="auto"/>
        <w:rPr>
          <w:rFonts w:hint="eastAsia" w:ascii="宋体" w:hAnsi="宋体" w:eastAsia="宋体" w:cs="宋体"/>
          <w:color w:val="auto"/>
          <w:sz w:val="24"/>
          <w:szCs w:val="24"/>
          <w:highlight w:val="none"/>
          <w:lang w:val="en-US" w:eastAsia="zh-CN"/>
        </w:rPr>
        <w:sectPr>
          <w:headerReference r:id="rId10" w:type="default"/>
          <w:footerReference r:id="rId11" w:type="default"/>
          <w:pgSz w:w="11907" w:h="16840"/>
          <w:pgMar w:top="1134" w:right="1191" w:bottom="1134" w:left="1304" w:header="454" w:footer="567" w:gutter="0"/>
          <w:pgNumType w:fmt="decimal"/>
          <w:cols w:space="720" w:num="1"/>
          <w:docGrid w:linePitch="381" w:charSpace="-5735"/>
        </w:sectPr>
      </w:pPr>
    </w:p>
    <w:p w14:paraId="69328291">
      <w:pPr>
        <w:pStyle w:val="4"/>
        <w:numPr>
          <w:ilvl w:val="0"/>
          <w:numId w:val="3"/>
        </w:numPr>
        <w:spacing w:before="0" w:after="0"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技术部分</w:t>
      </w:r>
    </w:p>
    <w:p w14:paraId="1E2418D0">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 xml:space="preserve">响应偏离表                                </w:t>
      </w:r>
    </w:p>
    <w:p w14:paraId="1AC80276">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37"/>
        <w:gridCol w:w="3154"/>
        <w:gridCol w:w="2363"/>
      </w:tblGrid>
      <w:tr w14:paraId="0839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0" w:type="pct"/>
            <w:noWrap w:val="0"/>
            <w:vAlign w:val="center"/>
          </w:tcPr>
          <w:p w14:paraId="02CE3157">
            <w:pPr>
              <w:tabs>
                <w:tab w:val="left" w:pos="6300"/>
              </w:tabs>
              <w:snapToGrid w:val="0"/>
              <w:spacing w:line="500" w:lineRule="exact"/>
              <w:jc w:val="center"/>
              <w:outlineLvl w:val="0"/>
              <w:rPr>
                <w:rFonts w:hint="eastAsia" w:ascii="宋体" w:hAnsi="宋体" w:eastAsia="宋体" w:cs="宋体"/>
                <w:color w:val="auto"/>
                <w:sz w:val="21"/>
                <w:szCs w:val="21"/>
                <w:highlight w:val="none"/>
              </w:rPr>
            </w:pPr>
            <w:bookmarkStart w:id="218" w:name="_Toc32153"/>
            <w:r>
              <w:rPr>
                <w:rFonts w:hint="eastAsia" w:ascii="宋体" w:hAnsi="宋体" w:eastAsia="宋体" w:cs="宋体"/>
                <w:color w:val="auto"/>
                <w:sz w:val="21"/>
                <w:szCs w:val="21"/>
                <w:highlight w:val="none"/>
              </w:rPr>
              <w:t>序号</w:t>
            </w:r>
            <w:bookmarkEnd w:id="218"/>
          </w:p>
        </w:tc>
        <w:tc>
          <w:tcPr>
            <w:tcW w:w="1541" w:type="pct"/>
            <w:noWrap w:val="0"/>
            <w:vAlign w:val="center"/>
          </w:tcPr>
          <w:p w14:paraId="6D0C91C0">
            <w:pPr>
              <w:tabs>
                <w:tab w:val="left" w:pos="6300"/>
              </w:tabs>
              <w:snapToGrid w:val="0"/>
              <w:spacing w:line="500" w:lineRule="exact"/>
              <w:jc w:val="center"/>
              <w:outlineLvl w:val="0"/>
              <w:rPr>
                <w:rFonts w:hint="eastAsia" w:ascii="宋体" w:hAnsi="宋体" w:eastAsia="宋体" w:cs="宋体"/>
                <w:color w:val="auto"/>
                <w:sz w:val="21"/>
                <w:szCs w:val="21"/>
                <w:highlight w:val="none"/>
              </w:rPr>
            </w:pPr>
            <w:bookmarkStart w:id="219" w:name="_Toc21443"/>
            <w:r>
              <w:rPr>
                <w:rFonts w:hint="eastAsia" w:ascii="宋体" w:hAnsi="宋体" w:eastAsia="宋体" w:cs="宋体"/>
                <w:color w:val="auto"/>
                <w:sz w:val="21"/>
                <w:szCs w:val="21"/>
                <w:highlight w:val="none"/>
              </w:rPr>
              <w:t>采购需求</w:t>
            </w:r>
            <w:bookmarkEnd w:id="219"/>
          </w:p>
        </w:tc>
        <w:tc>
          <w:tcPr>
            <w:tcW w:w="1600" w:type="pct"/>
            <w:noWrap w:val="0"/>
            <w:vAlign w:val="center"/>
          </w:tcPr>
          <w:p w14:paraId="79B0BAF0">
            <w:pPr>
              <w:tabs>
                <w:tab w:val="left" w:pos="6300"/>
              </w:tabs>
              <w:snapToGrid w:val="0"/>
              <w:spacing w:line="500" w:lineRule="exact"/>
              <w:jc w:val="center"/>
              <w:outlineLvl w:val="0"/>
              <w:rPr>
                <w:rFonts w:hint="eastAsia" w:ascii="宋体" w:hAnsi="宋体" w:eastAsia="宋体" w:cs="宋体"/>
                <w:color w:val="auto"/>
                <w:sz w:val="21"/>
                <w:szCs w:val="21"/>
                <w:highlight w:val="none"/>
              </w:rPr>
            </w:pPr>
            <w:bookmarkStart w:id="220" w:name="_Toc2723"/>
            <w:r>
              <w:rPr>
                <w:rFonts w:hint="eastAsia" w:ascii="宋体" w:hAnsi="宋体" w:eastAsia="宋体" w:cs="宋体"/>
                <w:color w:val="auto"/>
                <w:sz w:val="21"/>
                <w:szCs w:val="21"/>
                <w:highlight w:val="none"/>
              </w:rPr>
              <w:t>响应情况</w:t>
            </w:r>
            <w:bookmarkEnd w:id="220"/>
          </w:p>
        </w:tc>
        <w:tc>
          <w:tcPr>
            <w:tcW w:w="1199" w:type="pct"/>
            <w:noWrap w:val="0"/>
            <w:vAlign w:val="center"/>
          </w:tcPr>
          <w:p w14:paraId="15D30FED">
            <w:pPr>
              <w:tabs>
                <w:tab w:val="left" w:pos="6300"/>
              </w:tabs>
              <w:snapToGrid w:val="0"/>
              <w:spacing w:line="500" w:lineRule="exact"/>
              <w:jc w:val="center"/>
              <w:outlineLvl w:val="0"/>
              <w:rPr>
                <w:rFonts w:hint="eastAsia" w:ascii="宋体" w:hAnsi="宋体" w:eastAsia="宋体" w:cs="宋体"/>
                <w:color w:val="auto"/>
                <w:sz w:val="21"/>
                <w:szCs w:val="21"/>
                <w:highlight w:val="none"/>
              </w:rPr>
            </w:pPr>
            <w:bookmarkStart w:id="221" w:name="_Toc12764"/>
            <w:r>
              <w:rPr>
                <w:rFonts w:hint="eastAsia" w:ascii="宋体" w:hAnsi="宋体" w:eastAsia="宋体" w:cs="宋体"/>
                <w:color w:val="auto"/>
                <w:sz w:val="21"/>
                <w:szCs w:val="21"/>
                <w:highlight w:val="none"/>
              </w:rPr>
              <w:t>差异说明</w:t>
            </w:r>
            <w:bookmarkEnd w:id="221"/>
          </w:p>
        </w:tc>
      </w:tr>
      <w:tr w14:paraId="7050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7BB1BBE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573A9CE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6D7B5C6F">
            <w:pPr>
              <w:tabs>
                <w:tab w:val="left" w:pos="6300"/>
              </w:tabs>
              <w:snapToGrid w:val="0"/>
              <w:spacing w:line="500" w:lineRule="exact"/>
              <w:outlineLvl w:val="0"/>
              <w:rPr>
                <w:rFonts w:hint="eastAsia" w:ascii="宋体" w:hAnsi="宋体" w:eastAsia="宋体" w:cs="宋体"/>
                <w:color w:val="auto"/>
                <w:sz w:val="21"/>
                <w:szCs w:val="21"/>
                <w:highlight w:val="none"/>
              </w:rPr>
            </w:pPr>
          </w:p>
        </w:tc>
        <w:tc>
          <w:tcPr>
            <w:tcW w:w="1199" w:type="pct"/>
            <w:noWrap w:val="0"/>
            <w:vAlign w:val="center"/>
          </w:tcPr>
          <w:p w14:paraId="3BAB1D1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A775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34BB20B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2842C38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295EC50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138D2A3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640C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3FCA996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232E1DE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0D5C42B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372927D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7479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73211FF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3FA28FF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248906B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0D3D655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5DB17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3BB0718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6DEA556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17FD0E2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51503B1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41E6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60DFE1A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0B4828E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385A2DF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645A843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350EA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7DBE24D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35CDE81D">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40565A5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6D7F736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82B9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5BB6930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2034AEE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125071B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53087FE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7F58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2592D7F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3729716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5E8DC14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12569F9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7E192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421B06A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541" w:type="pct"/>
            <w:noWrap w:val="0"/>
            <w:vAlign w:val="center"/>
          </w:tcPr>
          <w:p w14:paraId="4C08C10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600" w:type="pct"/>
            <w:noWrap w:val="0"/>
            <w:vAlign w:val="center"/>
          </w:tcPr>
          <w:p w14:paraId="3452B5B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199" w:type="pct"/>
            <w:noWrap w:val="0"/>
            <w:vAlign w:val="center"/>
          </w:tcPr>
          <w:p w14:paraId="0C67A12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bl>
    <w:p w14:paraId="3E67289F">
      <w:pPr>
        <w:spacing w:line="500" w:lineRule="exact"/>
        <w:ind w:firstLine="600" w:firstLineChars="2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供应商：                            </w:t>
      </w:r>
      <w:r>
        <w:rPr>
          <w:rFonts w:hint="eastAsia" w:ascii="宋体" w:hAnsi="宋体" w:eastAsia="宋体" w:cs="宋体"/>
          <w:color w:val="auto"/>
          <w:sz w:val="24"/>
          <w:szCs w:val="24"/>
          <w:highlight w:val="none"/>
        </w:rPr>
        <w:t>法定代表人（或其授权代表）或自然人：</w:t>
      </w:r>
    </w:p>
    <w:p w14:paraId="6A338BB2">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6205750C">
      <w:pPr>
        <w:spacing w:line="500" w:lineRule="exact"/>
        <w:ind w:firstLine="720" w:firstLineChars="3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（供应商公章）                               （签署或盖章）</w:t>
      </w:r>
    </w:p>
    <w:p w14:paraId="53572F6A">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 xml:space="preserve">                                              年     月     日</w:t>
      </w:r>
    </w:p>
    <w:p w14:paraId="66C743FD">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2ACA24E">
      <w:pPr>
        <w:tabs>
          <w:tab w:val="left" w:pos="6300"/>
        </w:tabs>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1.本表即为对本项目“第二篇  项目</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需求”中所列条款进行比较和响应；</w:t>
      </w:r>
    </w:p>
    <w:p w14:paraId="3B2FA137">
      <w:pPr>
        <w:tabs>
          <w:tab w:val="left" w:pos="6300"/>
        </w:tabs>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2.本表可扩展，并逐页签字或盖章；</w:t>
      </w:r>
    </w:p>
    <w:p w14:paraId="7EA02D2F">
      <w:pPr>
        <w:tabs>
          <w:tab w:val="left" w:pos="6300"/>
        </w:tabs>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3.该表必须按照采购</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要求逐条如实填写，根据响应情况在“差异说明”项填写正偏离或负偏离及原因，完全符合的填写“无差异”。</w:t>
      </w:r>
    </w:p>
    <w:p w14:paraId="5BDFDE58">
      <w:pPr>
        <w:bidi w:val="0"/>
        <w:rPr>
          <w:rFonts w:hint="eastAsia" w:ascii="宋体" w:hAnsi="宋体" w:eastAsia="宋体" w:cs="宋体"/>
          <w:color w:val="auto"/>
          <w:highlight w:val="none"/>
          <w:lang w:val="en-US" w:eastAsia="zh-CN"/>
        </w:rPr>
      </w:pPr>
    </w:p>
    <w:p w14:paraId="72205C5B">
      <w:pPr>
        <w:bidi w:val="0"/>
        <w:rPr>
          <w:rFonts w:hint="eastAsia" w:ascii="宋体" w:hAnsi="宋体" w:eastAsia="宋体" w:cs="宋体"/>
          <w:color w:val="auto"/>
          <w:highlight w:val="none"/>
          <w:lang w:val="en-US" w:eastAsia="zh-CN"/>
        </w:rPr>
      </w:pPr>
    </w:p>
    <w:p w14:paraId="0BE19D7D">
      <w:pPr>
        <w:bidi w:val="0"/>
        <w:rPr>
          <w:rFonts w:hint="eastAsia" w:ascii="宋体" w:hAnsi="宋体" w:eastAsia="宋体" w:cs="宋体"/>
          <w:color w:val="auto"/>
          <w:highlight w:val="none"/>
          <w:lang w:val="en-US" w:eastAsia="zh-CN"/>
        </w:rPr>
      </w:pPr>
    </w:p>
    <w:p w14:paraId="7F6187D0">
      <w:pPr>
        <w:bidi w:val="0"/>
        <w:rPr>
          <w:rFonts w:hint="eastAsia" w:ascii="宋体" w:hAnsi="宋体" w:eastAsia="宋体" w:cs="宋体"/>
          <w:color w:val="auto"/>
          <w:highlight w:val="none"/>
          <w:lang w:val="en-US" w:eastAsia="zh-CN"/>
        </w:rPr>
      </w:pPr>
    </w:p>
    <w:p w14:paraId="611AFE41">
      <w:pPr>
        <w:bidi w:val="0"/>
        <w:rPr>
          <w:rFonts w:hint="eastAsia" w:ascii="宋体" w:hAnsi="宋体" w:eastAsia="宋体" w:cs="宋体"/>
          <w:color w:val="auto"/>
          <w:highlight w:val="none"/>
          <w:lang w:val="en-US" w:eastAsia="zh-CN"/>
        </w:rPr>
      </w:pPr>
    </w:p>
    <w:p w14:paraId="4FBC1738">
      <w:pPr>
        <w:bidi w:val="0"/>
        <w:rPr>
          <w:rFonts w:hint="eastAsia" w:ascii="宋体" w:hAnsi="宋体" w:eastAsia="宋体" w:cs="宋体"/>
          <w:color w:val="auto"/>
          <w:highlight w:val="none"/>
          <w:lang w:val="en-US" w:eastAsia="zh-CN"/>
        </w:rPr>
      </w:pPr>
    </w:p>
    <w:p w14:paraId="5A1C896C">
      <w:pPr>
        <w:bidi w:val="0"/>
        <w:rPr>
          <w:rFonts w:hint="eastAsia" w:ascii="宋体" w:hAnsi="宋体" w:eastAsia="宋体" w:cs="宋体"/>
          <w:color w:val="auto"/>
          <w:highlight w:val="none"/>
          <w:lang w:val="en-US" w:eastAsia="zh-CN"/>
        </w:rPr>
      </w:pPr>
    </w:p>
    <w:p w14:paraId="021F967D">
      <w:pPr>
        <w:tabs>
          <w:tab w:val="left" w:pos="6300"/>
        </w:tabs>
        <w:snapToGrid w:val="0"/>
        <w:spacing w:line="4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 w:val="24"/>
          <w:szCs w:val="24"/>
          <w:highlight w:val="none"/>
        </w:rPr>
        <w:t>（二）其他资料（格式自定）</w:t>
      </w:r>
    </w:p>
    <w:p w14:paraId="07C3449D">
      <w:pPr>
        <w:bidi w:val="0"/>
        <w:rPr>
          <w:rFonts w:hint="eastAsia" w:ascii="宋体" w:hAnsi="宋体" w:eastAsia="宋体" w:cs="宋体"/>
          <w:color w:val="auto"/>
          <w:highlight w:val="none"/>
          <w:lang w:val="en-US" w:eastAsia="zh-CN"/>
        </w:rPr>
      </w:pPr>
    </w:p>
    <w:p w14:paraId="6E65786A">
      <w:pPr>
        <w:bidi w:val="0"/>
        <w:rPr>
          <w:rFonts w:hint="eastAsia" w:ascii="宋体" w:hAnsi="宋体" w:eastAsia="宋体" w:cs="宋体"/>
          <w:color w:val="auto"/>
          <w:highlight w:val="none"/>
          <w:lang w:val="en-US" w:eastAsia="zh-CN"/>
        </w:rPr>
      </w:pPr>
    </w:p>
    <w:p w14:paraId="3179A1B6">
      <w:pPr>
        <w:bidi w:val="0"/>
        <w:rPr>
          <w:rFonts w:hint="eastAsia" w:ascii="宋体" w:hAnsi="宋体" w:eastAsia="宋体" w:cs="宋体"/>
          <w:color w:val="auto"/>
          <w:highlight w:val="none"/>
          <w:lang w:val="en-US" w:eastAsia="zh-CN"/>
        </w:rPr>
      </w:pPr>
    </w:p>
    <w:p w14:paraId="2E20BA96">
      <w:pPr>
        <w:bidi w:val="0"/>
        <w:rPr>
          <w:rFonts w:hint="eastAsia" w:ascii="宋体" w:hAnsi="宋体" w:eastAsia="宋体" w:cs="宋体"/>
          <w:color w:val="auto"/>
          <w:highlight w:val="none"/>
          <w:lang w:val="en-US" w:eastAsia="zh-CN"/>
        </w:rPr>
      </w:pPr>
    </w:p>
    <w:p w14:paraId="7DDF7746">
      <w:pPr>
        <w:bidi w:val="0"/>
        <w:rPr>
          <w:rFonts w:hint="eastAsia" w:ascii="宋体" w:hAnsi="宋体" w:eastAsia="宋体" w:cs="宋体"/>
          <w:color w:val="auto"/>
          <w:highlight w:val="none"/>
          <w:lang w:val="en-US" w:eastAsia="zh-CN"/>
        </w:rPr>
      </w:pPr>
    </w:p>
    <w:p w14:paraId="0657E91D">
      <w:pPr>
        <w:bidi w:val="0"/>
        <w:rPr>
          <w:rFonts w:hint="eastAsia" w:ascii="宋体" w:hAnsi="宋体" w:eastAsia="宋体" w:cs="宋体"/>
          <w:color w:val="auto"/>
          <w:highlight w:val="none"/>
          <w:lang w:val="en-US" w:eastAsia="zh-CN"/>
        </w:rPr>
      </w:pPr>
    </w:p>
    <w:p w14:paraId="540B602E">
      <w:pPr>
        <w:bidi w:val="0"/>
        <w:rPr>
          <w:rFonts w:hint="eastAsia" w:ascii="宋体" w:hAnsi="宋体" w:eastAsia="宋体" w:cs="宋体"/>
          <w:color w:val="auto"/>
          <w:highlight w:val="none"/>
          <w:lang w:val="en-US" w:eastAsia="zh-CN"/>
        </w:rPr>
      </w:pPr>
    </w:p>
    <w:p w14:paraId="7DD9635F">
      <w:pPr>
        <w:bidi w:val="0"/>
        <w:rPr>
          <w:rFonts w:hint="eastAsia" w:ascii="宋体" w:hAnsi="宋体" w:eastAsia="宋体" w:cs="宋体"/>
          <w:color w:val="auto"/>
          <w:highlight w:val="none"/>
          <w:lang w:val="en-US" w:eastAsia="zh-CN"/>
        </w:rPr>
      </w:pPr>
    </w:p>
    <w:p w14:paraId="3479B411">
      <w:pPr>
        <w:bidi w:val="0"/>
        <w:rPr>
          <w:rFonts w:hint="eastAsia" w:ascii="宋体" w:hAnsi="宋体" w:eastAsia="宋体" w:cs="宋体"/>
          <w:color w:val="auto"/>
          <w:highlight w:val="none"/>
          <w:lang w:val="en-US" w:eastAsia="zh-CN"/>
        </w:rPr>
      </w:pPr>
    </w:p>
    <w:p w14:paraId="4AE65BB1">
      <w:pPr>
        <w:bidi w:val="0"/>
        <w:rPr>
          <w:rFonts w:hint="eastAsia" w:ascii="宋体" w:hAnsi="宋体" w:eastAsia="宋体" w:cs="宋体"/>
          <w:color w:val="auto"/>
          <w:highlight w:val="none"/>
          <w:lang w:val="en-US" w:eastAsia="zh-CN"/>
        </w:rPr>
      </w:pPr>
    </w:p>
    <w:p w14:paraId="70C7479E">
      <w:pPr>
        <w:bidi w:val="0"/>
        <w:rPr>
          <w:rFonts w:hint="eastAsia" w:ascii="宋体" w:hAnsi="宋体" w:eastAsia="宋体" w:cs="宋体"/>
          <w:color w:val="auto"/>
          <w:highlight w:val="none"/>
          <w:lang w:val="en-US" w:eastAsia="zh-CN"/>
        </w:rPr>
      </w:pPr>
    </w:p>
    <w:p w14:paraId="4607DD08">
      <w:pPr>
        <w:bidi w:val="0"/>
        <w:rPr>
          <w:rFonts w:hint="eastAsia" w:ascii="宋体" w:hAnsi="宋体" w:eastAsia="宋体" w:cs="宋体"/>
          <w:color w:val="auto"/>
          <w:highlight w:val="none"/>
          <w:lang w:val="en-US" w:eastAsia="zh-CN"/>
        </w:rPr>
      </w:pPr>
    </w:p>
    <w:p w14:paraId="1EE1D040">
      <w:pPr>
        <w:bidi w:val="0"/>
        <w:rPr>
          <w:rFonts w:hint="eastAsia" w:ascii="宋体" w:hAnsi="宋体" w:eastAsia="宋体" w:cs="宋体"/>
          <w:color w:val="auto"/>
          <w:highlight w:val="none"/>
          <w:lang w:val="en-US" w:eastAsia="zh-CN"/>
        </w:rPr>
      </w:pPr>
    </w:p>
    <w:p w14:paraId="4128B1C5">
      <w:pPr>
        <w:bidi w:val="0"/>
        <w:rPr>
          <w:rFonts w:hint="eastAsia" w:ascii="宋体" w:hAnsi="宋体" w:eastAsia="宋体" w:cs="宋体"/>
          <w:color w:val="auto"/>
          <w:highlight w:val="none"/>
          <w:lang w:val="en-US" w:eastAsia="zh-CN"/>
        </w:rPr>
      </w:pPr>
    </w:p>
    <w:p w14:paraId="1C711A97">
      <w:pPr>
        <w:bidi w:val="0"/>
        <w:rPr>
          <w:rFonts w:hint="eastAsia" w:ascii="宋体" w:hAnsi="宋体" w:eastAsia="宋体" w:cs="宋体"/>
          <w:color w:val="auto"/>
          <w:highlight w:val="none"/>
          <w:lang w:val="en-US" w:eastAsia="zh-CN"/>
        </w:rPr>
      </w:pPr>
    </w:p>
    <w:p w14:paraId="5E25C233">
      <w:pPr>
        <w:bidi w:val="0"/>
        <w:rPr>
          <w:rFonts w:hint="eastAsia" w:ascii="宋体" w:hAnsi="宋体" w:eastAsia="宋体" w:cs="宋体"/>
          <w:color w:val="auto"/>
          <w:highlight w:val="none"/>
          <w:lang w:val="en-US" w:eastAsia="zh-CN"/>
        </w:rPr>
      </w:pPr>
    </w:p>
    <w:p w14:paraId="791FB534">
      <w:pPr>
        <w:bidi w:val="0"/>
        <w:rPr>
          <w:rFonts w:hint="eastAsia" w:ascii="宋体" w:hAnsi="宋体" w:eastAsia="宋体" w:cs="宋体"/>
          <w:color w:val="auto"/>
          <w:highlight w:val="none"/>
          <w:lang w:val="en-US" w:eastAsia="zh-CN"/>
        </w:rPr>
      </w:pPr>
    </w:p>
    <w:p w14:paraId="1475A233">
      <w:pPr>
        <w:bidi w:val="0"/>
        <w:rPr>
          <w:rFonts w:hint="eastAsia" w:ascii="宋体" w:hAnsi="宋体" w:eastAsia="宋体" w:cs="宋体"/>
          <w:color w:val="auto"/>
          <w:highlight w:val="none"/>
          <w:lang w:val="en-US" w:eastAsia="zh-CN"/>
        </w:rPr>
      </w:pPr>
    </w:p>
    <w:p w14:paraId="164BD439">
      <w:pPr>
        <w:bidi w:val="0"/>
        <w:rPr>
          <w:rFonts w:hint="eastAsia" w:ascii="宋体" w:hAnsi="宋体" w:eastAsia="宋体" w:cs="宋体"/>
          <w:color w:val="auto"/>
          <w:highlight w:val="none"/>
          <w:lang w:val="en-US" w:eastAsia="zh-CN"/>
        </w:rPr>
      </w:pPr>
    </w:p>
    <w:p w14:paraId="26C4F4E2">
      <w:pPr>
        <w:bidi w:val="0"/>
        <w:rPr>
          <w:rFonts w:hint="eastAsia" w:ascii="宋体" w:hAnsi="宋体" w:eastAsia="宋体" w:cs="宋体"/>
          <w:color w:val="auto"/>
          <w:highlight w:val="none"/>
          <w:lang w:val="en-US" w:eastAsia="zh-CN"/>
        </w:rPr>
      </w:pPr>
    </w:p>
    <w:p w14:paraId="6AC8CC5C">
      <w:pPr>
        <w:bidi w:val="0"/>
        <w:rPr>
          <w:rFonts w:hint="eastAsia" w:ascii="宋体" w:hAnsi="宋体" w:eastAsia="宋体" w:cs="宋体"/>
          <w:color w:val="auto"/>
          <w:highlight w:val="none"/>
          <w:lang w:val="en-US" w:eastAsia="zh-CN"/>
        </w:rPr>
      </w:pPr>
    </w:p>
    <w:p w14:paraId="0629778D">
      <w:pPr>
        <w:bidi w:val="0"/>
        <w:rPr>
          <w:rFonts w:hint="eastAsia" w:ascii="宋体" w:hAnsi="宋体" w:eastAsia="宋体" w:cs="宋体"/>
          <w:color w:val="auto"/>
          <w:highlight w:val="none"/>
          <w:lang w:val="en-US" w:eastAsia="zh-CN"/>
        </w:rPr>
      </w:pPr>
    </w:p>
    <w:p w14:paraId="1CAF985D">
      <w:pPr>
        <w:bidi w:val="0"/>
        <w:rPr>
          <w:rFonts w:hint="eastAsia" w:ascii="宋体" w:hAnsi="宋体" w:eastAsia="宋体" w:cs="宋体"/>
          <w:color w:val="auto"/>
          <w:highlight w:val="none"/>
          <w:lang w:val="en-US" w:eastAsia="zh-CN"/>
        </w:rPr>
      </w:pPr>
    </w:p>
    <w:p w14:paraId="190A8D91">
      <w:pPr>
        <w:bidi w:val="0"/>
        <w:rPr>
          <w:rFonts w:hint="eastAsia" w:ascii="宋体" w:hAnsi="宋体" w:eastAsia="宋体" w:cs="宋体"/>
          <w:color w:val="auto"/>
          <w:highlight w:val="none"/>
          <w:lang w:val="en-US" w:eastAsia="zh-CN"/>
        </w:rPr>
      </w:pPr>
    </w:p>
    <w:p w14:paraId="28DAEEDE">
      <w:pPr>
        <w:bidi w:val="0"/>
        <w:rPr>
          <w:rFonts w:hint="eastAsia" w:ascii="宋体" w:hAnsi="宋体" w:eastAsia="宋体" w:cs="宋体"/>
          <w:color w:val="auto"/>
          <w:highlight w:val="none"/>
          <w:lang w:val="en-US" w:eastAsia="zh-CN"/>
        </w:rPr>
      </w:pPr>
    </w:p>
    <w:p w14:paraId="54A82DE3">
      <w:pPr>
        <w:bidi w:val="0"/>
        <w:rPr>
          <w:rFonts w:hint="eastAsia" w:ascii="宋体" w:hAnsi="宋体" w:eastAsia="宋体" w:cs="宋体"/>
          <w:color w:val="auto"/>
          <w:highlight w:val="none"/>
          <w:lang w:val="en-US" w:eastAsia="zh-CN"/>
        </w:rPr>
      </w:pPr>
    </w:p>
    <w:p w14:paraId="13EEDAE8">
      <w:pPr>
        <w:bidi w:val="0"/>
        <w:rPr>
          <w:rFonts w:hint="eastAsia" w:ascii="宋体" w:hAnsi="宋体" w:eastAsia="宋体" w:cs="宋体"/>
          <w:color w:val="auto"/>
          <w:highlight w:val="none"/>
          <w:lang w:val="en-US" w:eastAsia="zh-CN"/>
        </w:rPr>
      </w:pPr>
    </w:p>
    <w:p w14:paraId="4DAA0EA6">
      <w:pPr>
        <w:bidi w:val="0"/>
        <w:rPr>
          <w:rFonts w:hint="eastAsia" w:ascii="宋体" w:hAnsi="宋体" w:eastAsia="宋体" w:cs="宋体"/>
          <w:color w:val="auto"/>
          <w:highlight w:val="none"/>
          <w:lang w:val="en-US" w:eastAsia="zh-CN"/>
        </w:rPr>
      </w:pPr>
    </w:p>
    <w:p w14:paraId="1D88A2A5">
      <w:pPr>
        <w:bidi w:val="0"/>
        <w:rPr>
          <w:rFonts w:hint="eastAsia" w:ascii="宋体" w:hAnsi="宋体" w:eastAsia="宋体" w:cs="宋体"/>
          <w:color w:val="auto"/>
          <w:highlight w:val="none"/>
          <w:lang w:val="en-US" w:eastAsia="zh-CN"/>
        </w:rPr>
      </w:pPr>
    </w:p>
    <w:p w14:paraId="507A5892">
      <w:pPr>
        <w:bidi w:val="0"/>
        <w:rPr>
          <w:rFonts w:hint="eastAsia" w:ascii="宋体" w:hAnsi="宋体" w:eastAsia="宋体" w:cs="宋体"/>
          <w:color w:val="auto"/>
          <w:highlight w:val="none"/>
          <w:lang w:val="en-US" w:eastAsia="zh-CN"/>
        </w:rPr>
      </w:pPr>
    </w:p>
    <w:p w14:paraId="66A0AA4E">
      <w:pPr>
        <w:bidi w:val="0"/>
        <w:rPr>
          <w:rFonts w:hint="eastAsia" w:ascii="宋体" w:hAnsi="宋体" w:eastAsia="宋体" w:cs="宋体"/>
          <w:color w:val="auto"/>
          <w:highlight w:val="none"/>
          <w:lang w:val="en-US" w:eastAsia="zh-CN"/>
        </w:rPr>
      </w:pPr>
    </w:p>
    <w:p w14:paraId="3FD840CA">
      <w:pPr>
        <w:bidi w:val="0"/>
        <w:rPr>
          <w:rFonts w:hint="eastAsia" w:ascii="宋体" w:hAnsi="宋体" w:eastAsia="宋体" w:cs="宋体"/>
          <w:color w:val="auto"/>
          <w:highlight w:val="none"/>
          <w:lang w:val="en-US" w:eastAsia="zh-CN"/>
        </w:rPr>
      </w:pPr>
    </w:p>
    <w:p w14:paraId="630131C9">
      <w:pPr>
        <w:bidi w:val="0"/>
        <w:rPr>
          <w:rFonts w:hint="eastAsia" w:ascii="宋体" w:hAnsi="宋体" w:eastAsia="宋体" w:cs="宋体"/>
          <w:color w:val="auto"/>
          <w:highlight w:val="none"/>
          <w:lang w:val="en-US" w:eastAsia="zh-CN"/>
        </w:rPr>
      </w:pPr>
    </w:p>
    <w:p w14:paraId="32756AD1">
      <w:pPr>
        <w:bidi w:val="0"/>
        <w:rPr>
          <w:rFonts w:hint="eastAsia" w:ascii="宋体" w:hAnsi="宋体" w:eastAsia="宋体" w:cs="宋体"/>
          <w:color w:val="auto"/>
          <w:highlight w:val="none"/>
          <w:lang w:val="en-US" w:eastAsia="zh-CN"/>
        </w:rPr>
      </w:pPr>
    </w:p>
    <w:p w14:paraId="7BB51A9B">
      <w:pPr>
        <w:pStyle w:val="4"/>
        <w:spacing w:before="0" w:after="0" w:line="360" w:lineRule="auto"/>
        <w:rPr>
          <w:rFonts w:hint="eastAsia" w:ascii="宋体" w:hAnsi="宋体" w:eastAsia="宋体" w:cs="宋体"/>
          <w:color w:val="auto"/>
          <w:sz w:val="24"/>
          <w:szCs w:val="24"/>
          <w:highlight w:val="none"/>
          <w:lang w:val="en-US" w:eastAsia="zh-CN"/>
        </w:rPr>
        <w:sectPr>
          <w:headerReference r:id="rId12" w:type="default"/>
          <w:pgSz w:w="11907" w:h="16840"/>
          <w:pgMar w:top="1134" w:right="1134" w:bottom="1134" w:left="1134" w:header="851" w:footer="992" w:gutter="0"/>
          <w:pgNumType w:fmt="decimal"/>
          <w:cols w:space="720" w:num="1"/>
          <w:docGrid w:linePitch="380" w:charSpace="-5735"/>
        </w:sectPr>
      </w:pPr>
    </w:p>
    <w:p w14:paraId="13CC5035">
      <w:pPr>
        <w:pStyle w:val="4"/>
        <w:spacing w:before="0"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、商务部分</w:t>
      </w:r>
      <w:bookmarkEnd w:id="213"/>
      <w:bookmarkEnd w:id="214"/>
      <w:bookmarkEnd w:id="215"/>
      <w:bookmarkEnd w:id="216"/>
      <w:bookmarkEnd w:id="217"/>
    </w:p>
    <w:p w14:paraId="1A344DCA">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（一）商务响应偏离表                              </w:t>
      </w:r>
    </w:p>
    <w:p w14:paraId="53A84275">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p>
    <w:tbl>
      <w:tblPr>
        <w:tblStyle w:val="2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1A5E0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noWrap w:val="0"/>
            <w:vAlign w:val="center"/>
          </w:tcPr>
          <w:p w14:paraId="05C6C173">
            <w:pPr>
              <w:snapToGrid w:val="0"/>
              <w:spacing w:line="360" w:lineRule="auto"/>
              <w:ind w:firstLine="465"/>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序号</w:t>
            </w:r>
          </w:p>
        </w:tc>
        <w:tc>
          <w:tcPr>
            <w:tcW w:w="3179" w:type="dxa"/>
            <w:noWrap w:val="0"/>
            <w:vAlign w:val="center"/>
          </w:tcPr>
          <w:p w14:paraId="2EE2750E">
            <w:pPr>
              <w:tabs>
                <w:tab w:val="left" w:pos="6300"/>
              </w:tabs>
              <w:snapToGrid w:val="0"/>
              <w:spacing w:line="360" w:lineRule="auto"/>
              <w:jc w:val="center"/>
              <w:outlineLvl w:val="0"/>
              <w:rPr>
                <w:rFonts w:hint="eastAsia" w:ascii="宋体" w:hAnsi="宋体" w:eastAsia="宋体" w:cs="宋体"/>
                <w:color w:val="auto"/>
                <w:sz w:val="21"/>
                <w:szCs w:val="24"/>
                <w:highlight w:val="none"/>
              </w:rPr>
            </w:pPr>
            <w:bookmarkStart w:id="222" w:name="_Toc12503"/>
            <w:r>
              <w:rPr>
                <w:rFonts w:hint="eastAsia" w:ascii="宋体" w:hAnsi="宋体" w:eastAsia="宋体" w:cs="宋体"/>
                <w:color w:val="auto"/>
                <w:sz w:val="21"/>
                <w:szCs w:val="24"/>
                <w:highlight w:val="none"/>
              </w:rPr>
              <w:t>项目商务需求</w:t>
            </w:r>
            <w:bookmarkEnd w:id="222"/>
          </w:p>
        </w:tc>
        <w:tc>
          <w:tcPr>
            <w:tcW w:w="2434" w:type="dxa"/>
            <w:noWrap w:val="0"/>
            <w:vAlign w:val="center"/>
          </w:tcPr>
          <w:p w14:paraId="5B4EE602">
            <w:pPr>
              <w:tabs>
                <w:tab w:val="left" w:pos="6300"/>
              </w:tabs>
              <w:snapToGrid w:val="0"/>
              <w:spacing w:line="360" w:lineRule="auto"/>
              <w:jc w:val="center"/>
              <w:outlineLvl w:val="0"/>
              <w:rPr>
                <w:rFonts w:hint="eastAsia" w:ascii="宋体" w:hAnsi="宋体" w:eastAsia="宋体" w:cs="宋体"/>
                <w:color w:val="auto"/>
                <w:sz w:val="21"/>
                <w:szCs w:val="24"/>
                <w:highlight w:val="none"/>
              </w:rPr>
            </w:pPr>
            <w:bookmarkStart w:id="223" w:name="_Toc3425"/>
            <w:r>
              <w:rPr>
                <w:rFonts w:hint="eastAsia" w:ascii="宋体" w:hAnsi="宋体" w:eastAsia="宋体" w:cs="宋体"/>
                <w:color w:val="auto"/>
                <w:sz w:val="21"/>
                <w:szCs w:val="24"/>
                <w:highlight w:val="none"/>
              </w:rPr>
              <w:t>响应情况</w:t>
            </w:r>
            <w:bookmarkEnd w:id="223"/>
          </w:p>
        </w:tc>
        <w:tc>
          <w:tcPr>
            <w:tcW w:w="2355" w:type="dxa"/>
            <w:noWrap w:val="0"/>
            <w:vAlign w:val="center"/>
          </w:tcPr>
          <w:p w14:paraId="56C5C972">
            <w:pPr>
              <w:tabs>
                <w:tab w:val="left" w:pos="6300"/>
              </w:tabs>
              <w:snapToGrid w:val="0"/>
              <w:spacing w:line="360" w:lineRule="auto"/>
              <w:jc w:val="center"/>
              <w:outlineLvl w:val="0"/>
              <w:rPr>
                <w:rFonts w:hint="eastAsia" w:ascii="宋体" w:hAnsi="宋体" w:eastAsia="宋体" w:cs="宋体"/>
                <w:color w:val="auto"/>
                <w:sz w:val="21"/>
                <w:szCs w:val="24"/>
                <w:highlight w:val="none"/>
              </w:rPr>
            </w:pPr>
            <w:bookmarkStart w:id="224" w:name="_Toc1283"/>
            <w:r>
              <w:rPr>
                <w:rFonts w:hint="eastAsia" w:ascii="宋体" w:hAnsi="宋体" w:eastAsia="宋体" w:cs="宋体"/>
                <w:color w:val="auto"/>
                <w:sz w:val="21"/>
                <w:szCs w:val="24"/>
                <w:highlight w:val="none"/>
              </w:rPr>
              <w:t>偏离说明</w:t>
            </w:r>
            <w:bookmarkEnd w:id="224"/>
          </w:p>
        </w:tc>
      </w:tr>
      <w:tr w14:paraId="6170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3DC8632A">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22524722">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5A8D33EF">
            <w:pPr>
              <w:tabs>
                <w:tab w:val="left" w:pos="6300"/>
              </w:tabs>
              <w:snapToGrid w:val="0"/>
              <w:spacing w:line="360" w:lineRule="auto"/>
              <w:outlineLvl w:val="0"/>
              <w:rPr>
                <w:rFonts w:hint="eastAsia" w:ascii="宋体" w:hAnsi="宋体" w:eastAsia="宋体" w:cs="宋体"/>
                <w:color w:val="auto"/>
                <w:sz w:val="21"/>
                <w:szCs w:val="24"/>
                <w:highlight w:val="none"/>
              </w:rPr>
            </w:pPr>
          </w:p>
        </w:tc>
        <w:tc>
          <w:tcPr>
            <w:tcW w:w="2355" w:type="dxa"/>
            <w:noWrap w:val="0"/>
            <w:vAlign w:val="center"/>
          </w:tcPr>
          <w:p w14:paraId="6CBBD02A">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r w14:paraId="6A04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4D3AA429">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1C783E42">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4EACB53F">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355" w:type="dxa"/>
            <w:noWrap w:val="0"/>
            <w:vAlign w:val="center"/>
          </w:tcPr>
          <w:p w14:paraId="2082A337">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r w14:paraId="5A8F4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679527A4">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652A14E0">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4762B2D2">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355" w:type="dxa"/>
            <w:noWrap w:val="0"/>
            <w:vAlign w:val="center"/>
          </w:tcPr>
          <w:p w14:paraId="34F36A21">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r w14:paraId="0A929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79DAEFE5">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4346ED07">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02BE1C04">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355" w:type="dxa"/>
            <w:noWrap w:val="0"/>
            <w:vAlign w:val="center"/>
          </w:tcPr>
          <w:p w14:paraId="431C2ACB">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r w14:paraId="5464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7F47A2F4">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5E9E0DD5">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04183D77">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355" w:type="dxa"/>
            <w:noWrap w:val="0"/>
            <w:vAlign w:val="center"/>
          </w:tcPr>
          <w:p w14:paraId="4A6EF56C">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r w14:paraId="4FCC1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2335B03D">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3179" w:type="dxa"/>
            <w:noWrap w:val="0"/>
            <w:vAlign w:val="center"/>
          </w:tcPr>
          <w:p w14:paraId="276C478F">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434" w:type="dxa"/>
            <w:noWrap w:val="0"/>
            <w:vAlign w:val="center"/>
          </w:tcPr>
          <w:p w14:paraId="6F59179A">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c>
          <w:tcPr>
            <w:tcW w:w="2355" w:type="dxa"/>
            <w:noWrap w:val="0"/>
            <w:vAlign w:val="center"/>
          </w:tcPr>
          <w:p w14:paraId="5062D235">
            <w:pPr>
              <w:tabs>
                <w:tab w:val="left" w:pos="6300"/>
              </w:tabs>
              <w:snapToGrid w:val="0"/>
              <w:spacing w:line="360" w:lineRule="auto"/>
              <w:jc w:val="center"/>
              <w:outlineLvl w:val="0"/>
              <w:rPr>
                <w:rFonts w:hint="eastAsia" w:ascii="宋体" w:hAnsi="宋体" w:eastAsia="宋体" w:cs="宋体"/>
                <w:color w:val="auto"/>
                <w:sz w:val="21"/>
                <w:szCs w:val="24"/>
                <w:highlight w:val="none"/>
              </w:rPr>
            </w:pPr>
          </w:p>
        </w:tc>
      </w:tr>
    </w:tbl>
    <w:p w14:paraId="5E1F99C9">
      <w:pPr>
        <w:snapToGrid w:val="0"/>
        <w:spacing w:line="360" w:lineRule="auto"/>
        <w:ind w:firstLine="465"/>
        <w:rPr>
          <w:rFonts w:hint="eastAsia" w:ascii="宋体" w:hAnsi="宋体" w:eastAsia="宋体" w:cs="宋体"/>
          <w:color w:val="auto"/>
          <w:sz w:val="24"/>
          <w:szCs w:val="24"/>
          <w:highlight w:val="none"/>
        </w:rPr>
      </w:pPr>
    </w:p>
    <w:p w14:paraId="7DCA022D">
      <w:pPr>
        <w:spacing w:line="500" w:lineRule="exact"/>
        <w:ind w:firstLine="600" w:firstLineChars="2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供应商：                          </w:t>
      </w:r>
      <w:r>
        <w:rPr>
          <w:rFonts w:hint="eastAsia" w:ascii="宋体" w:hAnsi="宋体" w:eastAsia="宋体" w:cs="宋体"/>
          <w:color w:val="auto"/>
          <w:sz w:val="24"/>
          <w:szCs w:val="24"/>
          <w:highlight w:val="none"/>
        </w:rPr>
        <w:t>法定代表人（或其授权代表）或自然人：</w:t>
      </w:r>
    </w:p>
    <w:p w14:paraId="4A9D9937">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24023573">
      <w:pPr>
        <w:spacing w:line="500" w:lineRule="exact"/>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（供应商公章）                                 （签署或盖章）</w:t>
      </w:r>
    </w:p>
    <w:p w14:paraId="38529B4E">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 xml:space="preserve">                                            年     月     日</w:t>
      </w:r>
    </w:p>
    <w:p w14:paraId="19ED2D50">
      <w:pPr>
        <w:tabs>
          <w:tab w:val="left" w:pos="6300"/>
        </w:tabs>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15433839">
      <w:pPr>
        <w:tabs>
          <w:tab w:val="left" w:pos="6300"/>
        </w:tabs>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rPr>
        <w:t>本表即为对本项目“第三篇  项目商务需求”中所列条款进行比较和响应；</w:t>
      </w:r>
    </w:p>
    <w:p w14:paraId="6AD72DC7">
      <w:pPr>
        <w:tabs>
          <w:tab w:val="left" w:pos="6300"/>
        </w:tabs>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2.本表可扩展，并逐页签字或盖章；</w:t>
      </w:r>
    </w:p>
    <w:p w14:paraId="44B18D59">
      <w:pPr>
        <w:tabs>
          <w:tab w:val="left" w:pos="6300"/>
        </w:tabs>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3.该表必须按照采购</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要求逐条如实填写，根据响应情况在“差异说明”项填写正偏离或负偏离及原因，完全符合的填写“无差异”。</w:t>
      </w:r>
    </w:p>
    <w:p w14:paraId="76A600DD">
      <w:pPr>
        <w:snapToGrid w:val="0"/>
        <w:spacing w:line="400" w:lineRule="exact"/>
        <w:ind w:firstLine="482" w:firstLineChars="200"/>
        <w:rPr>
          <w:rFonts w:hint="eastAsia" w:ascii="宋体" w:hAnsi="宋体" w:eastAsia="宋体" w:cs="宋体"/>
          <w:b/>
          <w:color w:val="auto"/>
          <w:highlight w:val="none"/>
        </w:rPr>
        <w:sectPr>
          <w:pgSz w:w="11907" w:h="16840"/>
          <w:pgMar w:top="1134" w:right="1134" w:bottom="1134" w:left="1134" w:header="851" w:footer="992" w:gutter="0"/>
          <w:pgNumType w:fmt="decimal"/>
          <w:cols w:space="720" w:num="1"/>
          <w:docGrid w:linePitch="380" w:charSpace="-5735"/>
        </w:sectPr>
      </w:pPr>
    </w:p>
    <w:p w14:paraId="0406D668">
      <w:pPr>
        <w:snapToGrid w:val="0"/>
        <w:spacing w:line="400" w:lineRule="exact"/>
        <w:ind w:firstLine="480" w:firstLineChars="200"/>
        <w:rPr>
          <w:rFonts w:hint="eastAsia" w:ascii="宋体" w:hAnsi="宋体" w:eastAsia="宋体" w:cs="宋体"/>
          <w:color w:val="auto"/>
          <w:sz w:val="24"/>
          <w:szCs w:val="24"/>
          <w:highlight w:val="none"/>
        </w:rPr>
      </w:pPr>
      <w:bookmarkStart w:id="225" w:name="_Toc283382459"/>
      <w:r>
        <w:rPr>
          <w:rFonts w:hint="eastAsia" w:ascii="宋体" w:hAnsi="宋体" w:eastAsia="宋体" w:cs="宋体"/>
          <w:color w:val="auto"/>
          <w:sz w:val="24"/>
          <w:szCs w:val="24"/>
          <w:highlight w:val="none"/>
        </w:rPr>
        <w:t>（二）其它</w:t>
      </w:r>
      <w:r>
        <w:rPr>
          <w:rFonts w:hint="eastAsia" w:ascii="宋体" w:hAnsi="宋体" w:eastAsia="宋体" w:cs="宋体"/>
          <w:color w:val="auto"/>
          <w:sz w:val="24"/>
          <w:szCs w:val="24"/>
          <w:highlight w:val="none"/>
          <w:lang w:eastAsia="zh-CN"/>
        </w:rPr>
        <w:t>资料及</w:t>
      </w:r>
      <w:r>
        <w:rPr>
          <w:rFonts w:hint="eastAsia" w:ascii="宋体" w:hAnsi="宋体" w:eastAsia="宋体" w:cs="宋体"/>
          <w:color w:val="auto"/>
          <w:sz w:val="24"/>
          <w:szCs w:val="24"/>
          <w:highlight w:val="none"/>
        </w:rPr>
        <w:t>优惠承诺（格式自定）</w:t>
      </w:r>
    </w:p>
    <w:p w14:paraId="525BABEC">
      <w:pPr>
        <w:snapToGrid w:val="0"/>
        <w:spacing w:line="400" w:lineRule="exact"/>
        <w:ind w:firstLine="480" w:firstLineChars="200"/>
        <w:rPr>
          <w:rFonts w:hint="eastAsia" w:ascii="宋体" w:hAnsi="宋体" w:eastAsia="宋体" w:cs="宋体"/>
          <w:color w:val="auto"/>
          <w:sz w:val="24"/>
          <w:szCs w:val="24"/>
          <w:highlight w:val="none"/>
        </w:rPr>
      </w:pPr>
    </w:p>
    <w:p w14:paraId="12F445BF">
      <w:pPr>
        <w:pStyle w:val="3"/>
        <w:adjustRightInd w:val="0"/>
        <w:snapToGrid w:val="0"/>
        <w:spacing w:before="0" w:after="0" w:line="400" w:lineRule="exact"/>
        <w:ind w:firstLine="482"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br w:type="page"/>
      </w:r>
      <w:bookmarkEnd w:id="225"/>
      <w:bookmarkStart w:id="226" w:name="_Toc76462353"/>
      <w:bookmarkStart w:id="227" w:name="_Toc17749"/>
      <w:bookmarkStart w:id="228" w:name="_Toc313888363"/>
      <w:bookmarkStart w:id="229" w:name="_Toc161742541"/>
      <w:bookmarkStart w:id="230" w:name="_Toc313008359"/>
      <w:bookmarkStart w:id="231" w:name="_Toc342913422"/>
      <w:bookmarkStart w:id="232" w:name="_Toc12316"/>
      <w:r>
        <w:rPr>
          <w:rFonts w:hint="eastAsia" w:ascii="宋体" w:hAnsi="宋体" w:eastAsia="宋体" w:cs="宋体"/>
          <w:color w:val="auto"/>
          <w:sz w:val="24"/>
          <w:highlight w:val="none"/>
        </w:rPr>
        <w:t>四、资格条件</w:t>
      </w:r>
      <w:bookmarkEnd w:id="226"/>
      <w:bookmarkEnd w:id="227"/>
      <w:bookmarkEnd w:id="228"/>
      <w:bookmarkEnd w:id="229"/>
      <w:bookmarkEnd w:id="230"/>
      <w:bookmarkEnd w:id="231"/>
      <w:bookmarkEnd w:id="232"/>
    </w:p>
    <w:p w14:paraId="6D1BE9BB">
      <w:pPr>
        <w:tabs>
          <w:tab w:val="left" w:pos="6300"/>
        </w:tabs>
        <w:snapToGrid w:val="0"/>
        <w:spacing w:line="400" w:lineRule="exact"/>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（一）法人营业执照（副本）或事业单位法人证书（副本）或个体工商户营业执照或有效的自然人身份证明或社会团体法人登记证书复印件</w:t>
      </w:r>
    </w:p>
    <w:p w14:paraId="412AB3CD">
      <w:pPr>
        <w:tabs>
          <w:tab w:val="left" w:pos="6300"/>
        </w:tabs>
        <w:snapToGrid w:val="0"/>
        <w:spacing w:line="400" w:lineRule="exact"/>
        <w:ind w:firstLine="570"/>
        <w:rPr>
          <w:rFonts w:hint="eastAsia" w:ascii="宋体" w:hAnsi="宋体" w:eastAsia="宋体" w:cs="宋体"/>
          <w:color w:val="auto"/>
          <w:highlight w:val="none"/>
        </w:rPr>
      </w:pPr>
    </w:p>
    <w:p w14:paraId="5AB54503">
      <w:pPr>
        <w:tabs>
          <w:tab w:val="left" w:pos="6300"/>
        </w:tabs>
        <w:snapToGrid w:val="0"/>
        <w:spacing w:line="500" w:lineRule="exact"/>
        <w:ind w:firstLine="570"/>
        <w:rPr>
          <w:rFonts w:hint="eastAsia" w:ascii="宋体" w:hAnsi="宋体" w:eastAsia="宋体" w:cs="宋体"/>
          <w:color w:val="auto"/>
          <w:highlight w:val="none"/>
        </w:rPr>
      </w:pPr>
    </w:p>
    <w:p w14:paraId="416883C3">
      <w:pPr>
        <w:tabs>
          <w:tab w:val="left" w:pos="6300"/>
        </w:tabs>
        <w:snapToGrid w:val="0"/>
        <w:spacing w:line="500" w:lineRule="exact"/>
        <w:ind w:firstLine="570"/>
        <w:rPr>
          <w:rFonts w:hint="eastAsia" w:ascii="宋体" w:hAnsi="宋体" w:eastAsia="宋体" w:cs="宋体"/>
          <w:color w:val="auto"/>
          <w:highlight w:val="none"/>
        </w:rPr>
      </w:pPr>
    </w:p>
    <w:p w14:paraId="26EEEFF7">
      <w:pPr>
        <w:tabs>
          <w:tab w:val="left" w:pos="6300"/>
        </w:tabs>
        <w:snapToGrid w:val="0"/>
        <w:spacing w:line="500" w:lineRule="exact"/>
        <w:ind w:firstLine="570"/>
        <w:rPr>
          <w:rFonts w:hint="eastAsia" w:ascii="宋体" w:hAnsi="宋体" w:eastAsia="宋体" w:cs="宋体"/>
          <w:color w:val="auto"/>
          <w:highlight w:val="none"/>
        </w:rPr>
      </w:pPr>
    </w:p>
    <w:p w14:paraId="5A09BD51">
      <w:pPr>
        <w:tabs>
          <w:tab w:val="left" w:pos="6300"/>
        </w:tabs>
        <w:snapToGrid w:val="0"/>
        <w:spacing w:line="500" w:lineRule="exact"/>
        <w:ind w:firstLine="570"/>
        <w:rPr>
          <w:rFonts w:hint="eastAsia" w:ascii="宋体" w:hAnsi="宋体" w:eastAsia="宋体" w:cs="宋体"/>
          <w:color w:val="auto"/>
          <w:highlight w:val="none"/>
        </w:rPr>
      </w:pPr>
    </w:p>
    <w:p w14:paraId="6CDEFFAE">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（二）法定代表人身份证明书（格式）</w:t>
      </w:r>
    </w:p>
    <w:p w14:paraId="327AD8E0">
      <w:pPr>
        <w:tabs>
          <w:tab w:val="left" w:pos="6300"/>
        </w:tabs>
        <w:snapToGrid w:val="0"/>
        <w:spacing w:line="500" w:lineRule="exact"/>
        <w:ind w:firstLine="570"/>
        <w:rPr>
          <w:rFonts w:hint="eastAsia" w:ascii="宋体" w:hAnsi="宋体" w:eastAsia="宋体" w:cs="宋体"/>
          <w:color w:val="auto"/>
          <w:sz w:val="24"/>
          <w:highlight w:val="none"/>
        </w:rPr>
      </w:pPr>
    </w:p>
    <w:p w14:paraId="33FFDB99">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238E0359">
      <w:pPr>
        <w:tabs>
          <w:tab w:val="left" w:pos="6300"/>
        </w:tabs>
        <w:snapToGrid w:val="0"/>
        <w:spacing w:line="500" w:lineRule="exact"/>
        <w:ind w:firstLine="570"/>
        <w:rPr>
          <w:rFonts w:hint="eastAsia" w:ascii="宋体" w:hAnsi="宋体" w:eastAsia="宋体" w:cs="宋体"/>
          <w:color w:val="auto"/>
          <w:sz w:val="24"/>
          <w:highlight w:val="none"/>
        </w:rPr>
      </w:pPr>
    </w:p>
    <w:p w14:paraId="61165C14">
      <w:pPr>
        <w:tabs>
          <w:tab w:val="left" w:pos="6300"/>
        </w:tabs>
        <w:snapToGrid w:val="0"/>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（采购人）：</w:t>
      </w:r>
    </w:p>
    <w:p w14:paraId="0FEF1B33">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（法定代表人姓名）在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（职务名称）职务，是（供应商名称）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的法定代表人。</w:t>
      </w:r>
    </w:p>
    <w:p w14:paraId="4E0A5BED">
      <w:pPr>
        <w:tabs>
          <w:tab w:val="left" w:pos="6300"/>
        </w:tabs>
        <w:snapToGrid w:val="0"/>
        <w:spacing w:line="500" w:lineRule="exact"/>
        <w:ind w:firstLine="570"/>
        <w:rPr>
          <w:rFonts w:hint="eastAsia" w:ascii="宋体" w:hAnsi="宋体" w:eastAsia="宋体" w:cs="宋体"/>
          <w:color w:val="auto"/>
          <w:sz w:val="24"/>
          <w:highlight w:val="none"/>
        </w:rPr>
      </w:pPr>
    </w:p>
    <w:p w14:paraId="5890B850">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A22371D">
      <w:pPr>
        <w:tabs>
          <w:tab w:val="left" w:pos="6300"/>
        </w:tabs>
        <w:snapToGrid w:val="0"/>
        <w:spacing w:line="500" w:lineRule="exact"/>
        <w:ind w:firstLine="570"/>
        <w:rPr>
          <w:rFonts w:hint="eastAsia" w:ascii="宋体" w:hAnsi="宋体" w:eastAsia="宋体" w:cs="宋体"/>
          <w:color w:val="auto"/>
          <w:sz w:val="24"/>
          <w:highlight w:val="none"/>
        </w:rPr>
      </w:pPr>
    </w:p>
    <w:p w14:paraId="31E37627">
      <w:pPr>
        <w:tabs>
          <w:tab w:val="left" w:pos="6300"/>
        </w:tabs>
        <w:snapToGrid w:val="0"/>
        <w:spacing w:line="500" w:lineRule="exact"/>
        <w:ind w:firstLine="570"/>
        <w:rPr>
          <w:rFonts w:hint="eastAsia" w:ascii="宋体" w:hAnsi="宋体" w:eastAsia="宋体" w:cs="宋体"/>
          <w:color w:val="auto"/>
          <w:sz w:val="24"/>
          <w:highlight w:val="none"/>
        </w:rPr>
      </w:pPr>
    </w:p>
    <w:p w14:paraId="036AC9A8">
      <w:pPr>
        <w:tabs>
          <w:tab w:val="left" w:pos="6300"/>
        </w:tabs>
        <w:snapToGrid w:val="0"/>
        <w:spacing w:line="500" w:lineRule="exact"/>
        <w:ind w:firstLine="570"/>
        <w:rPr>
          <w:rFonts w:hint="eastAsia" w:ascii="宋体" w:hAnsi="宋体" w:eastAsia="宋体" w:cs="宋体"/>
          <w:color w:val="auto"/>
          <w:sz w:val="24"/>
          <w:highlight w:val="none"/>
        </w:rPr>
      </w:pPr>
    </w:p>
    <w:p w14:paraId="7C778277">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（供应商公章）</w:t>
      </w:r>
    </w:p>
    <w:p w14:paraId="3B413453">
      <w:pPr>
        <w:tabs>
          <w:tab w:val="left" w:pos="6300"/>
        </w:tabs>
        <w:snapToGrid w:val="0"/>
        <w:spacing w:line="500" w:lineRule="exact"/>
        <w:ind w:firstLine="570"/>
        <w:rPr>
          <w:rFonts w:hint="eastAsia" w:ascii="宋体" w:hAnsi="宋体" w:eastAsia="宋体" w:cs="宋体"/>
          <w:color w:val="auto"/>
          <w:sz w:val="24"/>
          <w:highlight w:val="none"/>
        </w:rPr>
      </w:pPr>
    </w:p>
    <w:p w14:paraId="0C916BE0">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1A668D64">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法定代表人电话：XXXXXXX      电子邮箱：XXXXXX@XXXXX（若授权他人办理并签署响应文件的可不填写）</w:t>
      </w:r>
    </w:p>
    <w:p w14:paraId="046247DE">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（附：法定代表人身份证正反面复印件）</w:t>
      </w:r>
    </w:p>
    <w:p w14:paraId="2118FC10">
      <w:pPr>
        <w:tabs>
          <w:tab w:val="left" w:pos="6300"/>
        </w:tabs>
        <w:snapToGrid w:val="0"/>
        <w:spacing w:line="500" w:lineRule="exact"/>
        <w:ind w:firstLine="570"/>
        <w:rPr>
          <w:rFonts w:hint="eastAsia" w:ascii="宋体" w:hAnsi="宋体" w:eastAsia="宋体" w:cs="宋体"/>
          <w:color w:val="auto"/>
          <w:sz w:val="24"/>
          <w:highlight w:val="none"/>
        </w:rPr>
      </w:pPr>
    </w:p>
    <w:p w14:paraId="17E84C5D">
      <w:pPr>
        <w:tabs>
          <w:tab w:val="left" w:pos="6300"/>
        </w:tabs>
        <w:snapToGrid w:val="0"/>
        <w:spacing w:line="500" w:lineRule="exact"/>
        <w:ind w:firstLine="570"/>
        <w:rPr>
          <w:rFonts w:hint="eastAsia" w:ascii="宋体" w:hAnsi="宋体" w:eastAsia="宋体" w:cs="宋体"/>
          <w:color w:val="auto"/>
          <w:sz w:val="24"/>
          <w:highlight w:val="none"/>
        </w:rPr>
      </w:pPr>
    </w:p>
    <w:p w14:paraId="20FF2907">
      <w:pPr>
        <w:tabs>
          <w:tab w:val="left" w:pos="6300"/>
        </w:tabs>
        <w:snapToGrid w:val="0"/>
        <w:spacing w:line="500" w:lineRule="exact"/>
        <w:ind w:firstLine="570"/>
        <w:rPr>
          <w:rFonts w:hint="eastAsia" w:ascii="宋体" w:hAnsi="宋体" w:eastAsia="宋体" w:cs="宋体"/>
          <w:color w:val="auto"/>
          <w:sz w:val="24"/>
          <w:highlight w:val="none"/>
        </w:rPr>
      </w:pPr>
    </w:p>
    <w:p w14:paraId="61949FB5">
      <w:pPr>
        <w:tabs>
          <w:tab w:val="left" w:pos="6300"/>
        </w:tabs>
        <w:snapToGrid w:val="0"/>
        <w:spacing w:line="500" w:lineRule="exact"/>
        <w:ind w:firstLine="570"/>
        <w:rPr>
          <w:rFonts w:hint="eastAsia" w:ascii="宋体" w:hAnsi="宋体" w:eastAsia="宋体" w:cs="宋体"/>
          <w:color w:val="auto"/>
          <w:sz w:val="24"/>
          <w:highlight w:val="none"/>
        </w:rPr>
      </w:pPr>
    </w:p>
    <w:p w14:paraId="1025DF20">
      <w:pPr>
        <w:tabs>
          <w:tab w:val="left" w:pos="6300"/>
        </w:tabs>
        <w:snapToGrid w:val="0"/>
        <w:spacing w:line="500" w:lineRule="exact"/>
        <w:ind w:firstLine="570"/>
        <w:rPr>
          <w:rFonts w:hint="eastAsia" w:ascii="宋体" w:hAnsi="宋体" w:eastAsia="宋体" w:cs="宋体"/>
          <w:color w:val="auto"/>
          <w:sz w:val="24"/>
          <w:highlight w:val="none"/>
        </w:rPr>
      </w:pPr>
    </w:p>
    <w:p w14:paraId="3BA9B12B">
      <w:pPr>
        <w:tabs>
          <w:tab w:val="left" w:pos="6300"/>
        </w:tabs>
        <w:snapToGrid w:val="0"/>
        <w:spacing w:line="500" w:lineRule="exact"/>
        <w:ind w:firstLine="570"/>
        <w:rPr>
          <w:rFonts w:hint="eastAsia" w:ascii="宋体" w:hAnsi="宋体" w:eastAsia="宋体" w:cs="宋体"/>
          <w:color w:val="auto"/>
          <w:sz w:val="24"/>
          <w:highlight w:val="none"/>
        </w:rPr>
      </w:pPr>
    </w:p>
    <w:p w14:paraId="376277FF">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column"/>
      </w:r>
      <w:r>
        <w:rPr>
          <w:rFonts w:hint="eastAsia" w:ascii="宋体" w:hAnsi="宋体" w:eastAsia="宋体" w:cs="宋体"/>
          <w:color w:val="auto"/>
          <w:sz w:val="24"/>
          <w:szCs w:val="24"/>
          <w:highlight w:val="none"/>
        </w:rPr>
        <w:t>（三）法定代表人授权委托书（格式）</w:t>
      </w:r>
    </w:p>
    <w:p w14:paraId="79E2FD92">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7451BB30">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项目名称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p>
    <w:p w14:paraId="22DC420B">
      <w:pPr>
        <w:tabs>
          <w:tab w:val="left" w:pos="6300"/>
        </w:tabs>
        <w:snapToGrid w:val="0"/>
        <w:spacing w:line="500" w:lineRule="exact"/>
        <w:ind w:firstLine="570"/>
        <w:rPr>
          <w:rFonts w:hint="eastAsia" w:ascii="宋体" w:hAnsi="宋体" w:eastAsia="宋体" w:cs="宋体"/>
          <w:color w:val="auto"/>
          <w:sz w:val="24"/>
          <w:highlight w:val="none"/>
        </w:rPr>
      </w:pPr>
    </w:p>
    <w:p w14:paraId="59496886">
      <w:pPr>
        <w:tabs>
          <w:tab w:val="left" w:pos="6300"/>
        </w:tabs>
        <w:snapToGrid w:val="0"/>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（采购人）：</w:t>
      </w:r>
    </w:p>
    <w:p w14:paraId="49A4DE1D">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（供应商法定代表人名称）是</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（供应商名称）的法定代表人，特授权</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（被授权人姓名及身份证代码）代表我单位全权办理上述项目的</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、签约等具体工作，并签署全部有关文件、协议及合同。</w:t>
      </w:r>
    </w:p>
    <w:p w14:paraId="6F62F582">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我单位对被授权人的</w:t>
      </w:r>
      <w:r>
        <w:rPr>
          <w:rFonts w:hint="eastAsia" w:ascii="宋体" w:hAnsi="宋体" w:eastAsia="宋体" w:cs="宋体"/>
          <w:color w:val="auto"/>
          <w:sz w:val="24"/>
          <w:szCs w:val="28"/>
          <w:highlight w:val="none"/>
        </w:rPr>
        <w:t>签署</w:t>
      </w:r>
      <w:r>
        <w:rPr>
          <w:rFonts w:hint="eastAsia" w:ascii="宋体" w:hAnsi="宋体" w:eastAsia="宋体" w:cs="宋体"/>
          <w:color w:val="auto"/>
          <w:sz w:val="24"/>
          <w:highlight w:val="none"/>
        </w:rPr>
        <w:t>负全部责任。</w:t>
      </w:r>
    </w:p>
    <w:p w14:paraId="7F415190">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在撤销授权的书面通知以前，本授权书一直有效。被授权人在授权书有效期内签署的所有文件不因授权的撤销而失效。</w:t>
      </w:r>
    </w:p>
    <w:p w14:paraId="7AA5B9E1">
      <w:pPr>
        <w:tabs>
          <w:tab w:val="left" w:pos="6300"/>
        </w:tabs>
        <w:snapToGrid w:val="0"/>
        <w:spacing w:line="500" w:lineRule="exact"/>
        <w:ind w:firstLine="570"/>
        <w:rPr>
          <w:rFonts w:hint="eastAsia" w:ascii="宋体" w:hAnsi="宋体" w:eastAsia="宋体" w:cs="宋体"/>
          <w:color w:val="auto"/>
          <w:sz w:val="24"/>
          <w:highlight w:val="none"/>
        </w:rPr>
      </w:pPr>
    </w:p>
    <w:p w14:paraId="3B68DA8D">
      <w:pPr>
        <w:tabs>
          <w:tab w:val="left" w:pos="6300"/>
        </w:tabs>
        <w:snapToGrid w:val="0"/>
        <w:spacing w:line="500" w:lineRule="exact"/>
        <w:ind w:firstLine="570"/>
        <w:rPr>
          <w:rFonts w:hint="eastAsia" w:ascii="宋体" w:hAnsi="宋体" w:eastAsia="宋体" w:cs="宋体"/>
          <w:color w:val="auto"/>
          <w:sz w:val="24"/>
          <w:highlight w:val="none"/>
        </w:rPr>
      </w:pPr>
    </w:p>
    <w:p w14:paraId="4DD1650B">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                                 供应商法定代表人：</w:t>
      </w:r>
    </w:p>
    <w:p w14:paraId="346F6A25">
      <w:pPr>
        <w:tabs>
          <w:tab w:val="left" w:pos="6300"/>
        </w:tabs>
        <w:snapToGrid w:val="0"/>
        <w:spacing w:line="500" w:lineRule="exact"/>
        <w:ind w:firstLine="57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（签署或盖章）                                （签署或盖章）</w:t>
      </w:r>
    </w:p>
    <w:p w14:paraId="77004835">
      <w:pPr>
        <w:tabs>
          <w:tab w:val="left" w:pos="6300"/>
        </w:tabs>
        <w:snapToGrid w:val="0"/>
        <w:spacing w:line="500" w:lineRule="exact"/>
        <w:ind w:firstLine="570"/>
        <w:rPr>
          <w:rFonts w:hint="eastAsia" w:ascii="宋体" w:hAnsi="宋体" w:eastAsia="宋体" w:cs="宋体"/>
          <w:color w:val="auto"/>
          <w:sz w:val="24"/>
          <w:szCs w:val="28"/>
          <w:highlight w:val="none"/>
        </w:rPr>
      </w:pPr>
    </w:p>
    <w:p w14:paraId="1F0EB0BC">
      <w:pPr>
        <w:tabs>
          <w:tab w:val="left" w:pos="6300"/>
        </w:tabs>
        <w:snapToGrid w:val="0"/>
        <w:spacing w:line="500" w:lineRule="exact"/>
        <w:ind w:firstLine="570"/>
        <w:rPr>
          <w:rFonts w:hint="eastAsia" w:ascii="宋体" w:hAnsi="宋体" w:eastAsia="宋体" w:cs="宋体"/>
          <w:color w:val="auto"/>
          <w:sz w:val="24"/>
          <w:highlight w:val="none"/>
        </w:rPr>
      </w:pPr>
    </w:p>
    <w:p w14:paraId="55FA32FA">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（附：被授权人身份证正反面复印件）</w:t>
      </w:r>
    </w:p>
    <w:p w14:paraId="6C246003">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39ECEC0B">
      <w:pPr>
        <w:tabs>
          <w:tab w:val="left" w:pos="6300"/>
        </w:tabs>
        <w:snapToGrid w:val="0"/>
        <w:spacing w:line="500" w:lineRule="exact"/>
        <w:ind w:firstLine="570"/>
        <w:rPr>
          <w:rFonts w:hint="eastAsia" w:ascii="宋体" w:hAnsi="宋体" w:eastAsia="宋体" w:cs="宋体"/>
          <w:color w:val="auto"/>
          <w:sz w:val="24"/>
          <w:highlight w:val="none"/>
        </w:rPr>
      </w:pPr>
    </w:p>
    <w:p w14:paraId="225936C9">
      <w:pPr>
        <w:tabs>
          <w:tab w:val="left" w:pos="6300"/>
        </w:tabs>
        <w:snapToGrid w:val="0"/>
        <w:spacing w:line="500" w:lineRule="exact"/>
        <w:ind w:firstLine="570"/>
        <w:rPr>
          <w:rFonts w:hint="eastAsia" w:ascii="宋体" w:hAnsi="宋体" w:eastAsia="宋体" w:cs="宋体"/>
          <w:color w:val="auto"/>
          <w:sz w:val="24"/>
          <w:highlight w:val="none"/>
        </w:rPr>
      </w:pPr>
    </w:p>
    <w:p w14:paraId="3FA1D4D2">
      <w:pPr>
        <w:tabs>
          <w:tab w:val="left" w:pos="6300"/>
        </w:tabs>
        <w:snapToGrid w:val="0"/>
        <w:spacing w:line="500" w:lineRule="exact"/>
        <w:ind w:right="480" w:firstLine="57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（供应商公章）</w:t>
      </w:r>
    </w:p>
    <w:p w14:paraId="04A1FA89">
      <w:pPr>
        <w:tabs>
          <w:tab w:val="left" w:pos="6300"/>
        </w:tabs>
        <w:snapToGrid w:val="0"/>
        <w:spacing w:line="500" w:lineRule="exact"/>
        <w:ind w:right="480" w:firstLine="57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14:paraId="7B3A8C85">
      <w:pPr>
        <w:tabs>
          <w:tab w:val="left" w:pos="6300"/>
        </w:tabs>
        <w:snapToGrid w:val="0"/>
        <w:spacing w:line="500" w:lineRule="exact"/>
        <w:ind w:right="480" w:firstLine="57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被授权人电话：XXXXXXX     电子邮箱：XXXXXX@XXXXX（若法定代表人办理并签署响应文件的可不填写）</w:t>
      </w:r>
    </w:p>
    <w:p w14:paraId="5CB170B1">
      <w:pPr>
        <w:tabs>
          <w:tab w:val="left" w:pos="6300"/>
        </w:tabs>
        <w:snapToGrid w:val="0"/>
        <w:spacing w:line="500" w:lineRule="exact"/>
        <w:ind w:right="480" w:firstLine="57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注：若为法定代表人办理并签署响应文件的，不提供此文件。</w:t>
      </w:r>
    </w:p>
    <w:p w14:paraId="6CC12F3B">
      <w:pPr>
        <w:tabs>
          <w:tab w:val="left" w:pos="6300"/>
        </w:tabs>
        <w:snapToGrid w:val="0"/>
        <w:spacing w:line="500" w:lineRule="exact"/>
        <w:ind w:firstLine="570"/>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column"/>
      </w: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8"/>
          <w:highlight w:val="none"/>
        </w:rPr>
        <w:t>基本资格条件承诺函</w:t>
      </w:r>
    </w:p>
    <w:p w14:paraId="39CBC9BB">
      <w:pPr>
        <w:tabs>
          <w:tab w:val="left" w:pos="6300"/>
        </w:tabs>
        <w:snapToGrid w:val="0"/>
        <w:spacing w:line="500" w:lineRule="exact"/>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基本资格条件承诺函</w:t>
      </w:r>
    </w:p>
    <w:p w14:paraId="4CD92014">
      <w:pPr>
        <w:tabs>
          <w:tab w:val="left" w:pos="6300"/>
        </w:tabs>
        <w:snapToGrid w:val="0"/>
        <w:spacing w:line="530" w:lineRule="exact"/>
        <w:rPr>
          <w:rFonts w:hint="eastAsia" w:ascii="宋体" w:hAnsi="宋体" w:eastAsia="宋体" w:cs="宋体"/>
          <w:color w:val="auto"/>
          <w:sz w:val="24"/>
          <w:highlight w:val="none"/>
        </w:rPr>
      </w:pPr>
    </w:p>
    <w:p w14:paraId="22929F6F">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（采购人）：</w:t>
      </w:r>
    </w:p>
    <w:p w14:paraId="05E31791">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（供应商名称）郑重承诺：</w:t>
      </w:r>
    </w:p>
    <w:p w14:paraId="3A8BEC92">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1.我方具有良好的商业信誉和健全的财务会计制度，具有履行合同所必需的设备和专业技术能力，具</w:t>
      </w:r>
      <w:r>
        <w:rPr>
          <w:rFonts w:hint="eastAsia" w:ascii="宋体" w:hAnsi="宋体" w:eastAsia="宋体" w:cs="宋体"/>
          <w:color w:val="auto"/>
          <w:sz w:val="24"/>
          <w:highlight w:val="none"/>
          <w:lang w:val="zh-CN"/>
        </w:rPr>
        <w:t>有依法缴纳税收和社会保障金的良好记录</w:t>
      </w:r>
      <w:r>
        <w:rPr>
          <w:rFonts w:hint="eastAsia" w:ascii="宋体" w:hAnsi="宋体" w:eastAsia="宋体" w:cs="宋体"/>
          <w:color w:val="auto"/>
          <w:sz w:val="24"/>
          <w:highlight w:val="none"/>
        </w:rPr>
        <w:t>，参加本项目采购活动前三年内无重大违法活动记录。</w:t>
      </w:r>
    </w:p>
    <w:p w14:paraId="3DCCB723">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4B7651D7">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3.我方在采购项目评审（评标）环节结束后，随时接受采购人、采购代理机构的检查验证，配合提供相关证明材料，证明符合《中华人民共和国政府采购法》规定的供应商基本资格条件。</w:t>
      </w:r>
    </w:p>
    <w:p w14:paraId="3E3853B0">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我方对以上承诺负全部法律责任。</w:t>
      </w:r>
    </w:p>
    <w:p w14:paraId="501B6C8B">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5D08D781">
      <w:pPr>
        <w:tabs>
          <w:tab w:val="left" w:pos="6300"/>
        </w:tabs>
        <w:snapToGrid w:val="0"/>
        <w:spacing w:line="500" w:lineRule="exact"/>
        <w:ind w:firstLine="480" w:firstLineChars="200"/>
        <w:rPr>
          <w:rFonts w:hint="eastAsia" w:ascii="宋体" w:hAnsi="宋体" w:eastAsia="宋体" w:cs="宋体"/>
          <w:color w:val="auto"/>
          <w:sz w:val="24"/>
          <w:highlight w:val="none"/>
        </w:rPr>
      </w:pPr>
    </w:p>
    <w:p w14:paraId="47513316">
      <w:pPr>
        <w:tabs>
          <w:tab w:val="left" w:pos="6300"/>
        </w:tabs>
        <w:snapToGrid w:val="0"/>
        <w:spacing w:line="500" w:lineRule="exact"/>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（供应商公章）</w:t>
      </w:r>
    </w:p>
    <w:p w14:paraId="5BAFCD00">
      <w:pPr>
        <w:tabs>
          <w:tab w:val="left" w:pos="6300"/>
        </w:tabs>
        <w:snapToGrid w:val="0"/>
        <w:spacing w:line="500" w:lineRule="exact"/>
        <w:ind w:firstLine="7920" w:firstLineChars="33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年   月   日</w:t>
      </w:r>
    </w:p>
    <w:p w14:paraId="5A8EC197">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（五）特定资格条件证明文件</w:t>
      </w:r>
    </w:p>
    <w:p w14:paraId="5EB66C3B">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p>
    <w:p w14:paraId="19A6C281">
      <w:pPr>
        <w:pStyle w:val="3"/>
        <w:adjustRightInd w:val="0"/>
        <w:snapToGrid w:val="0"/>
        <w:spacing w:before="0" w:after="0" w:line="400" w:lineRule="exact"/>
        <w:ind w:firstLine="560" w:firstLineChars="200"/>
        <w:rPr>
          <w:rFonts w:hint="eastAsia" w:ascii="宋体" w:hAnsi="宋体" w:eastAsia="宋体" w:cs="宋体"/>
          <w:color w:val="auto"/>
          <w:sz w:val="24"/>
          <w:highlight w:val="none"/>
        </w:rPr>
      </w:pPr>
      <w:bookmarkStart w:id="233" w:name="_Toc14422"/>
      <w:r>
        <w:rPr>
          <w:rFonts w:hint="eastAsia" w:ascii="宋体" w:hAnsi="宋体" w:eastAsia="宋体" w:cs="宋体"/>
          <w:b w:val="0"/>
          <w:color w:val="auto"/>
          <w:sz w:val="28"/>
          <w:highlight w:val="none"/>
        </w:rPr>
        <w:br w:type="page"/>
      </w:r>
      <w:bookmarkEnd w:id="233"/>
      <w:bookmarkStart w:id="234" w:name="_Toc24258"/>
      <w:bookmarkStart w:id="235" w:name="_Toc3737"/>
      <w:bookmarkStart w:id="236" w:name="_Toc76462354"/>
      <w:bookmarkStart w:id="237" w:name="_Toc25669"/>
      <w:r>
        <w:rPr>
          <w:rFonts w:hint="eastAsia" w:ascii="宋体" w:hAnsi="宋体" w:eastAsia="宋体" w:cs="宋体"/>
          <w:color w:val="auto"/>
          <w:sz w:val="24"/>
          <w:highlight w:val="none"/>
        </w:rPr>
        <w:t>五、其他资料</w:t>
      </w:r>
      <w:bookmarkEnd w:id="234"/>
      <w:bookmarkEnd w:id="235"/>
      <w:bookmarkEnd w:id="236"/>
      <w:bookmarkEnd w:id="237"/>
    </w:p>
    <w:p w14:paraId="5D4A4378">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）其他与项目有关的资料</w:t>
      </w:r>
    </w:p>
    <w:p w14:paraId="73E576AB">
      <w:pPr>
        <w:pStyle w:val="3"/>
        <w:adjustRightInd w:val="0"/>
        <w:snapToGrid w:val="0"/>
        <w:spacing w:before="0" w:after="0" w:line="400" w:lineRule="exact"/>
        <w:ind w:firstLine="482" w:firstLineChars="200"/>
        <w:rPr>
          <w:rFonts w:hint="eastAsia" w:ascii="宋体" w:hAnsi="宋体" w:eastAsia="宋体" w:cs="宋体"/>
          <w:color w:val="auto"/>
          <w:sz w:val="24"/>
          <w:highlight w:val="none"/>
        </w:rPr>
      </w:pPr>
    </w:p>
    <w:p w14:paraId="60809081">
      <w:pPr>
        <w:snapToGrid w:val="0"/>
        <w:spacing w:line="400" w:lineRule="exact"/>
        <w:ind w:firstLine="480" w:firstLineChars="200"/>
        <w:rPr>
          <w:rFonts w:hint="eastAsia" w:ascii="宋体" w:hAnsi="宋体" w:eastAsia="宋体" w:cs="宋体"/>
          <w:color w:val="auto"/>
          <w:sz w:val="24"/>
          <w:szCs w:val="24"/>
          <w:highlight w:val="none"/>
        </w:rPr>
      </w:pPr>
    </w:p>
    <w:p w14:paraId="06F9F895">
      <w:pPr>
        <w:spacing w:line="360" w:lineRule="auto"/>
        <w:ind w:firstLine="480" w:firstLineChars="200"/>
        <w:rPr>
          <w:rFonts w:hint="eastAsia" w:ascii="宋体" w:hAnsi="宋体" w:eastAsia="宋体" w:cs="宋体"/>
          <w:color w:val="auto"/>
          <w:sz w:val="24"/>
          <w:szCs w:val="24"/>
          <w:highlight w:val="none"/>
        </w:rPr>
      </w:pPr>
    </w:p>
    <w:p w14:paraId="6292EA31">
      <w:pPr>
        <w:spacing w:line="360" w:lineRule="auto"/>
        <w:ind w:firstLine="480" w:firstLineChars="200"/>
        <w:jc w:val="center"/>
        <w:rPr>
          <w:rFonts w:hint="eastAsia" w:ascii="宋体" w:hAnsi="宋体" w:eastAsia="宋体" w:cs="宋体"/>
          <w:color w:val="auto"/>
          <w:sz w:val="24"/>
          <w:szCs w:val="24"/>
          <w:highlight w:val="none"/>
        </w:rPr>
      </w:pPr>
    </w:p>
    <w:p w14:paraId="14C96E3E">
      <w:pPr>
        <w:spacing w:line="360" w:lineRule="auto"/>
        <w:ind w:firstLine="480" w:firstLineChars="200"/>
        <w:jc w:val="center"/>
        <w:rPr>
          <w:rFonts w:hint="eastAsia" w:ascii="宋体" w:hAnsi="宋体" w:eastAsia="宋体" w:cs="宋体"/>
          <w:color w:val="auto"/>
          <w:sz w:val="24"/>
          <w:szCs w:val="24"/>
          <w:highlight w:val="none"/>
        </w:rPr>
      </w:pPr>
    </w:p>
    <w:p w14:paraId="5ACA3C3E">
      <w:pPr>
        <w:spacing w:line="360" w:lineRule="auto"/>
        <w:ind w:firstLine="480" w:firstLineChars="200"/>
        <w:jc w:val="center"/>
        <w:rPr>
          <w:rFonts w:hint="eastAsia" w:ascii="宋体" w:hAnsi="宋体" w:eastAsia="宋体" w:cs="宋体"/>
          <w:color w:val="auto"/>
          <w:sz w:val="24"/>
          <w:szCs w:val="24"/>
          <w:highlight w:val="none"/>
        </w:rPr>
      </w:pPr>
    </w:p>
    <w:p w14:paraId="07424EE3">
      <w:pPr>
        <w:spacing w:line="360" w:lineRule="auto"/>
        <w:ind w:firstLine="480" w:firstLineChars="200"/>
        <w:jc w:val="center"/>
        <w:rPr>
          <w:rFonts w:hint="eastAsia" w:ascii="宋体" w:hAnsi="宋体" w:eastAsia="宋体" w:cs="宋体"/>
          <w:color w:val="auto"/>
          <w:sz w:val="24"/>
          <w:szCs w:val="24"/>
          <w:highlight w:val="none"/>
        </w:rPr>
      </w:pPr>
    </w:p>
    <w:p w14:paraId="65DF6C90">
      <w:pPr>
        <w:spacing w:line="360" w:lineRule="auto"/>
        <w:ind w:firstLine="480" w:firstLineChars="200"/>
        <w:jc w:val="center"/>
        <w:rPr>
          <w:rFonts w:hint="eastAsia" w:ascii="宋体" w:hAnsi="宋体" w:eastAsia="宋体" w:cs="宋体"/>
          <w:color w:val="auto"/>
          <w:sz w:val="24"/>
          <w:szCs w:val="24"/>
          <w:highlight w:val="none"/>
        </w:rPr>
      </w:pPr>
    </w:p>
    <w:p w14:paraId="4E137851">
      <w:pPr>
        <w:spacing w:line="360" w:lineRule="auto"/>
        <w:ind w:firstLine="480" w:firstLineChars="200"/>
        <w:jc w:val="center"/>
        <w:rPr>
          <w:rFonts w:hint="eastAsia" w:ascii="宋体" w:hAnsi="宋体" w:eastAsia="宋体" w:cs="宋体"/>
          <w:color w:val="auto"/>
          <w:sz w:val="24"/>
          <w:szCs w:val="24"/>
          <w:highlight w:val="none"/>
        </w:rPr>
      </w:pPr>
    </w:p>
    <w:p w14:paraId="53810EAD">
      <w:pPr>
        <w:spacing w:line="360" w:lineRule="auto"/>
        <w:ind w:firstLine="480" w:firstLineChars="200"/>
        <w:jc w:val="center"/>
        <w:rPr>
          <w:rFonts w:hint="eastAsia" w:ascii="宋体" w:hAnsi="宋体" w:eastAsia="宋体" w:cs="宋体"/>
          <w:color w:val="auto"/>
          <w:sz w:val="24"/>
          <w:szCs w:val="24"/>
          <w:highlight w:val="none"/>
        </w:rPr>
      </w:pPr>
    </w:p>
    <w:p w14:paraId="4FC1EA33">
      <w:pPr>
        <w:spacing w:line="360" w:lineRule="auto"/>
        <w:ind w:firstLine="480" w:firstLineChars="200"/>
        <w:jc w:val="center"/>
        <w:rPr>
          <w:rFonts w:hint="eastAsia" w:ascii="宋体" w:hAnsi="宋体" w:eastAsia="宋体" w:cs="宋体"/>
          <w:color w:val="auto"/>
          <w:sz w:val="24"/>
          <w:szCs w:val="24"/>
          <w:highlight w:val="none"/>
        </w:rPr>
      </w:pPr>
    </w:p>
    <w:p w14:paraId="2C54CC2F">
      <w:pPr>
        <w:spacing w:line="360" w:lineRule="auto"/>
        <w:ind w:firstLine="480" w:firstLineChars="200"/>
        <w:jc w:val="center"/>
        <w:rPr>
          <w:rFonts w:hint="eastAsia" w:ascii="宋体" w:hAnsi="宋体" w:eastAsia="宋体" w:cs="宋体"/>
          <w:color w:val="auto"/>
          <w:sz w:val="24"/>
          <w:szCs w:val="24"/>
          <w:highlight w:val="none"/>
        </w:rPr>
      </w:pPr>
    </w:p>
    <w:p w14:paraId="5569493A">
      <w:pPr>
        <w:spacing w:line="360" w:lineRule="auto"/>
        <w:ind w:firstLine="480" w:firstLineChars="200"/>
        <w:jc w:val="center"/>
        <w:rPr>
          <w:rFonts w:hint="eastAsia" w:ascii="宋体" w:hAnsi="宋体" w:eastAsia="宋体" w:cs="宋体"/>
          <w:color w:val="auto"/>
          <w:sz w:val="24"/>
          <w:szCs w:val="24"/>
          <w:highlight w:val="none"/>
        </w:rPr>
      </w:pPr>
    </w:p>
    <w:p w14:paraId="7F6E7DDC">
      <w:pPr>
        <w:spacing w:line="360" w:lineRule="auto"/>
        <w:ind w:firstLine="480" w:firstLineChars="200"/>
        <w:jc w:val="center"/>
        <w:rPr>
          <w:rFonts w:hint="eastAsia" w:ascii="宋体" w:hAnsi="宋体" w:eastAsia="宋体" w:cs="宋体"/>
          <w:color w:val="auto"/>
          <w:sz w:val="24"/>
          <w:szCs w:val="24"/>
          <w:highlight w:val="none"/>
        </w:rPr>
      </w:pPr>
    </w:p>
    <w:p w14:paraId="2C387A0D">
      <w:pPr>
        <w:spacing w:line="360" w:lineRule="auto"/>
        <w:ind w:firstLine="480" w:firstLineChars="200"/>
        <w:jc w:val="center"/>
        <w:rPr>
          <w:rFonts w:hint="eastAsia" w:ascii="宋体" w:hAnsi="宋体" w:eastAsia="宋体" w:cs="宋体"/>
          <w:color w:val="auto"/>
          <w:sz w:val="24"/>
          <w:szCs w:val="24"/>
          <w:highlight w:val="none"/>
        </w:rPr>
      </w:pPr>
    </w:p>
    <w:p w14:paraId="38491B64">
      <w:pPr>
        <w:spacing w:line="360" w:lineRule="auto"/>
        <w:ind w:firstLine="480" w:firstLineChars="200"/>
        <w:jc w:val="center"/>
        <w:rPr>
          <w:rFonts w:hint="eastAsia" w:ascii="宋体" w:hAnsi="宋体" w:eastAsia="宋体" w:cs="宋体"/>
          <w:color w:val="auto"/>
          <w:sz w:val="24"/>
          <w:szCs w:val="24"/>
          <w:highlight w:val="none"/>
        </w:rPr>
      </w:pPr>
    </w:p>
    <w:p w14:paraId="3AC6A427">
      <w:pPr>
        <w:spacing w:line="360" w:lineRule="auto"/>
        <w:ind w:firstLine="480" w:firstLineChars="200"/>
        <w:jc w:val="center"/>
        <w:rPr>
          <w:rFonts w:hint="eastAsia" w:ascii="宋体" w:hAnsi="宋体" w:eastAsia="宋体" w:cs="宋体"/>
          <w:color w:val="auto"/>
          <w:sz w:val="24"/>
          <w:szCs w:val="24"/>
          <w:highlight w:val="none"/>
        </w:rPr>
      </w:pPr>
    </w:p>
    <w:p w14:paraId="54E7D335">
      <w:pPr>
        <w:spacing w:line="360" w:lineRule="auto"/>
        <w:ind w:firstLine="480" w:firstLineChars="200"/>
        <w:jc w:val="center"/>
        <w:rPr>
          <w:rFonts w:hint="eastAsia" w:ascii="宋体" w:hAnsi="宋体" w:eastAsia="宋体" w:cs="宋体"/>
          <w:color w:val="auto"/>
          <w:sz w:val="24"/>
          <w:szCs w:val="24"/>
          <w:highlight w:val="none"/>
        </w:rPr>
      </w:pPr>
    </w:p>
    <w:p w14:paraId="594F43D8">
      <w:pPr>
        <w:spacing w:line="360" w:lineRule="auto"/>
        <w:ind w:firstLine="480" w:firstLineChars="200"/>
        <w:jc w:val="center"/>
        <w:outlineLvl w:val="0"/>
        <w:rPr>
          <w:rFonts w:hint="eastAsia" w:ascii="宋体" w:hAnsi="宋体" w:eastAsia="宋体" w:cs="宋体"/>
          <w:color w:val="auto"/>
          <w:highlight w:val="none"/>
        </w:rPr>
      </w:pPr>
      <w:bookmarkStart w:id="238" w:name="_Toc26957"/>
      <w:r>
        <w:rPr>
          <w:rFonts w:hint="eastAsia" w:ascii="宋体" w:hAnsi="宋体" w:eastAsia="宋体" w:cs="宋体"/>
          <w:color w:val="auto"/>
          <w:sz w:val="24"/>
          <w:szCs w:val="24"/>
          <w:highlight w:val="none"/>
        </w:rPr>
        <w:t>（结束）</w:t>
      </w:r>
      <w:bookmarkEnd w:id="238"/>
    </w:p>
    <w:p w14:paraId="3D14F75B">
      <w:pPr>
        <w:pStyle w:val="92"/>
        <w:ind w:left="480" w:firstLine="480"/>
        <w:rPr>
          <w:rFonts w:hint="eastAsia" w:ascii="宋体" w:hAnsi="宋体" w:eastAsia="宋体" w:cs="宋体"/>
          <w:color w:val="auto"/>
          <w:highlight w:val="none"/>
        </w:rPr>
      </w:pPr>
    </w:p>
    <w:p w14:paraId="7FDF67A4">
      <w:pPr>
        <w:rPr>
          <w:rFonts w:hint="eastAsia" w:ascii="宋体" w:hAnsi="宋体" w:eastAsia="宋体" w:cs="宋体"/>
          <w:color w:val="auto"/>
          <w:highlight w:val="none"/>
        </w:rPr>
      </w:pPr>
    </w:p>
    <w:p w14:paraId="67B71D9E">
      <w:pPr>
        <w:rPr>
          <w:rFonts w:hint="eastAsia" w:ascii="宋体" w:hAnsi="宋体" w:eastAsia="宋体" w:cs="宋体"/>
          <w:color w:val="auto"/>
          <w:highlight w:val="none"/>
        </w:rPr>
      </w:pPr>
    </w:p>
    <w:p w14:paraId="09B7C3A8">
      <w:pPr>
        <w:rPr>
          <w:rFonts w:hint="eastAsia" w:ascii="宋体" w:hAnsi="宋体" w:eastAsia="宋体" w:cs="宋体"/>
          <w:color w:val="auto"/>
          <w:highlight w:val="none"/>
        </w:rPr>
      </w:pPr>
    </w:p>
    <w:p w14:paraId="3965692D">
      <w:pPr>
        <w:rPr>
          <w:rFonts w:hint="eastAsia" w:ascii="宋体" w:hAnsi="宋体" w:eastAsia="宋体" w:cs="宋体"/>
          <w:color w:val="auto"/>
          <w:highlight w:val="none"/>
        </w:rPr>
      </w:pPr>
    </w:p>
    <w:p w14:paraId="7645348C">
      <w:pPr>
        <w:rPr>
          <w:rFonts w:hint="eastAsia" w:ascii="宋体" w:hAnsi="宋体" w:eastAsia="宋体" w:cs="宋体"/>
          <w:color w:val="auto"/>
          <w:highlight w:val="none"/>
        </w:rPr>
      </w:pPr>
    </w:p>
    <w:p w14:paraId="69353578">
      <w:pPr>
        <w:pStyle w:val="21"/>
        <w:bidi w:val="0"/>
        <w:rPr>
          <w:rFonts w:hint="eastAsia" w:ascii="宋体" w:hAnsi="宋体" w:eastAsia="宋体" w:cs="宋体"/>
          <w:color w:val="auto"/>
          <w:highlight w:val="none"/>
        </w:rPr>
        <w:sectPr>
          <w:pgSz w:w="11907" w:h="16840"/>
          <w:pgMar w:top="1134" w:right="1191" w:bottom="1134" w:left="1304" w:header="454" w:footer="567" w:gutter="0"/>
          <w:pgNumType w:fmt="decimal"/>
          <w:cols w:space="720" w:num="1"/>
          <w:docGrid w:linePitch="381" w:charSpace="-5735"/>
        </w:sectPr>
      </w:pPr>
      <w:bookmarkStart w:id="239" w:name="_Toc9129"/>
      <w:bookmarkStart w:id="240" w:name="_Toc23244"/>
      <w:bookmarkStart w:id="241" w:name="_Toc3096"/>
    </w:p>
    <w:bookmarkEnd w:id="239"/>
    <w:bookmarkEnd w:id="240"/>
    <w:bookmarkEnd w:id="241"/>
    <w:p w14:paraId="1790CF04">
      <w:pPr>
        <w:pStyle w:val="83"/>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val="en-US" w:eastAsia="zh-CN"/>
        </w:rPr>
        <w:t>附</w:t>
      </w:r>
      <w:r>
        <w:rPr>
          <w:rFonts w:hint="eastAsia" w:ascii="宋体" w:hAnsi="宋体" w:cs="宋体"/>
          <w:b/>
          <w:bCs/>
          <w:color w:val="auto"/>
          <w:szCs w:val="24"/>
          <w:highlight w:val="none"/>
          <w:lang w:val="en-US" w:eastAsia="zh-CN"/>
        </w:rPr>
        <w:t>件</w:t>
      </w:r>
      <w:r>
        <w:rPr>
          <w:rFonts w:hint="eastAsia" w:ascii="宋体" w:hAnsi="宋体" w:eastAsia="宋体" w:cs="宋体"/>
          <w:b/>
          <w:bCs/>
          <w:color w:val="auto"/>
          <w:szCs w:val="24"/>
          <w:highlight w:val="none"/>
          <w:lang w:val="en-US" w:eastAsia="zh-CN"/>
        </w:rPr>
        <w:t>：</w:t>
      </w:r>
    </w:p>
    <w:p w14:paraId="6942409A">
      <w:pPr>
        <w:pStyle w:val="83"/>
        <w:rPr>
          <w:rFonts w:hint="eastAsia" w:ascii="宋体" w:hAnsi="宋体" w:eastAsia="宋体" w:cs="宋体"/>
          <w:color w:val="auto"/>
          <w:szCs w:val="24"/>
          <w:highlight w:val="none"/>
        </w:rPr>
      </w:pPr>
    </w:p>
    <w:p w14:paraId="51349DBE">
      <w:pPr>
        <w:jc w:val="center"/>
        <w:rPr>
          <w:rFonts w:hint="eastAsia" w:ascii="宋体" w:hAnsi="宋体" w:eastAsia="宋体" w:cs="宋体"/>
          <w:b/>
          <w:bCs/>
          <w:color w:val="auto"/>
          <w:sz w:val="44"/>
          <w:szCs w:val="44"/>
          <w:highlight w:val="none"/>
        </w:rPr>
      </w:pPr>
      <w:r>
        <w:rPr>
          <w:rFonts w:hint="eastAsia" w:cs="宋体"/>
          <w:b/>
          <w:bCs/>
          <w:color w:val="auto"/>
          <w:sz w:val="44"/>
          <w:szCs w:val="44"/>
          <w:highlight w:val="none"/>
          <w:lang w:val="en-US" w:eastAsia="zh-CN"/>
        </w:rPr>
        <w:t>采购</w:t>
      </w:r>
      <w:r>
        <w:rPr>
          <w:rFonts w:hint="eastAsia" w:ascii="宋体" w:hAnsi="宋体" w:eastAsia="宋体" w:cs="宋体"/>
          <w:b/>
          <w:bCs/>
          <w:color w:val="auto"/>
          <w:sz w:val="44"/>
          <w:szCs w:val="44"/>
          <w:highlight w:val="none"/>
        </w:rPr>
        <w:t>文件发售登记表</w:t>
      </w:r>
    </w:p>
    <w:tbl>
      <w:tblPr>
        <w:tblStyle w:val="28"/>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4"/>
        <w:gridCol w:w="2251"/>
        <w:gridCol w:w="989"/>
        <w:gridCol w:w="3735"/>
      </w:tblGrid>
      <w:tr w14:paraId="0B16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1724" w:type="dxa"/>
            <w:noWrap w:val="0"/>
            <w:vAlign w:val="center"/>
          </w:tcPr>
          <w:p w14:paraId="20284126">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项目名称</w:t>
            </w:r>
          </w:p>
        </w:tc>
        <w:tc>
          <w:tcPr>
            <w:tcW w:w="6975" w:type="dxa"/>
            <w:gridSpan w:val="3"/>
            <w:noWrap w:val="0"/>
            <w:vAlign w:val="center"/>
          </w:tcPr>
          <w:p w14:paraId="6B907C9F">
            <w:pPr>
              <w:spacing w:line="24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p>
        </w:tc>
      </w:tr>
      <w:tr w14:paraId="4552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724" w:type="dxa"/>
            <w:noWrap w:val="0"/>
            <w:vAlign w:val="center"/>
          </w:tcPr>
          <w:p w14:paraId="226A0D4E">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6975" w:type="dxa"/>
            <w:gridSpan w:val="3"/>
            <w:noWrap w:val="0"/>
            <w:vAlign w:val="center"/>
          </w:tcPr>
          <w:p w14:paraId="2FB0CCE9">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（供应商公章）</w:t>
            </w:r>
          </w:p>
        </w:tc>
      </w:tr>
      <w:tr w14:paraId="17A25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724" w:type="dxa"/>
            <w:noWrap w:val="0"/>
            <w:vAlign w:val="center"/>
          </w:tcPr>
          <w:p w14:paraId="07F7DC5C">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2251" w:type="dxa"/>
            <w:noWrap w:val="0"/>
            <w:vAlign w:val="center"/>
          </w:tcPr>
          <w:p w14:paraId="614A5DF5">
            <w:pPr>
              <w:spacing w:line="240" w:lineRule="auto"/>
              <w:jc w:val="center"/>
              <w:rPr>
                <w:rFonts w:hint="eastAsia" w:ascii="宋体" w:hAnsi="宋体" w:eastAsia="宋体" w:cs="宋体"/>
                <w:color w:val="auto"/>
                <w:szCs w:val="21"/>
                <w:highlight w:val="none"/>
              </w:rPr>
            </w:pPr>
          </w:p>
        </w:tc>
        <w:tc>
          <w:tcPr>
            <w:tcW w:w="989" w:type="dxa"/>
            <w:noWrap w:val="0"/>
            <w:vAlign w:val="center"/>
          </w:tcPr>
          <w:p w14:paraId="52FC6775">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3735" w:type="dxa"/>
            <w:noWrap w:val="0"/>
            <w:vAlign w:val="center"/>
          </w:tcPr>
          <w:p w14:paraId="0F8E520C">
            <w:pPr>
              <w:spacing w:line="240" w:lineRule="auto"/>
              <w:jc w:val="center"/>
              <w:rPr>
                <w:rFonts w:hint="eastAsia" w:ascii="宋体" w:hAnsi="宋体" w:eastAsia="宋体" w:cs="宋体"/>
                <w:color w:val="auto"/>
                <w:szCs w:val="21"/>
                <w:highlight w:val="none"/>
              </w:rPr>
            </w:pPr>
          </w:p>
        </w:tc>
      </w:tr>
      <w:tr w14:paraId="2E8A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724" w:type="dxa"/>
            <w:noWrap w:val="0"/>
            <w:vAlign w:val="center"/>
          </w:tcPr>
          <w:p w14:paraId="0024A570">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办公电话</w:t>
            </w:r>
          </w:p>
        </w:tc>
        <w:tc>
          <w:tcPr>
            <w:tcW w:w="2251" w:type="dxa"/>
            <w:noWrap w:val="0"/>
            <w:vAlign w:val="center"/>
          </w:tcPr>
          <w:p w14:paraId="1961574C">
            <w:pPr>
              <w:spacing w:line="240" w:lineRule="auto"/>
              <w:jc w:val="center"/>
              <w:rPr>
                <w:rFonts w:hint="eastAsia" w:ascii="宋体" w:hAnsi="宋体" w:eastAsia="宋体" w:cs="宋体"/>
                <w:color w:val="auto"/>
                <w:szCs w:val="21"/>
                <w:highlight w:val="none"/>
              </w:rPr>
            </w:pPr>
          </w:p>
        </w:tc>
        <w:tc>
          <w:tcPr>
            <w:tcW w:w="989" w:type="dxa"/>
            <w:noWrap w:val="0"/>
            <w:vAlign w:val="center"/>
          </w:tcPr>
          <w:p w14:paraId="23D915F4">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传真</w:t>
            </w:r>
          </w:p>
        </w:tc>
        <w:tc>
          <w:tcPr>
            <w:tcW w:w="3735" w:type="dxa"/>
            <w:noWrap w:val="0"/>
            <w:vAlign w:val="center"/>
          </w:tcPr>
          <w:p w14:paraId="29213465">
            <w:pPr>
              <w:spacing w:line="240" w:lineRule="auto"/>
              <w:jc w:val="center"/>
              <w:rPr>
                <w:rFonts w:hint="eastAsia" w:ascii="宋体" w:hAnsi="宋体" w:eastAsia="宋体" w:cs="宋体"/>
                <w:color w:val="auto"/>
                <w:szCs w:val="21"/>
                <w:highlight w:val="none"/>
              </w:rPr>
            </w:pPr>
          </w:p>
        </w:tc>
      </w:tr>
      <w:tr w14:paraId="0DA8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724" w:type="dxa"/>
            <w:noWrap w:val="0"/>
            <w:vAlign w:val="center"/>
          </w:tcPr>
          <w:p w14:paraId="72211672">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E-mail</w:t>
            </w:r>
          </w:p>
        </w:tc>
        <w:tc>
          <w:tcPr>
            <w:tcW w:w="6975" w:type="dxa"/>
            <w:gridSpan w:val="3"/>
            <w:noWrap w:val="0"/>
            <w:vAlign w:val="center"/>
          </w:tcPr>
          <w:p w14:paraId="274A90A6">
            <w:pPr>
              <w:spacing w:line="240" w:lineRule="auto"/>
              <w:jc w:val="center"/>
              <w:rPr>
                <w:rFonts w:hint="eastAsia" w:ascii="宋体" w:hAnsi="宋体" w:eastAsia="宋体" w:cs="宋体"/>
                <w:color w:val="auto"/>
                <w:szCs w:val="21"/>
                <w:highlight w:val="none"/>
              </w:rPr>
            </w:pPr>
          </w:p>
        </w:tc>
      </w:tr>
      <w:tr w14:paraId="17F3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1724" w:type="dxa"/>
            <w:noWrap w:val="0"/>
            <w:vAlign w:val="center"/>
          </w:tcPr>
          <w:p w14:paraId="0BB371ED">
            <w:pPr>
              <w:spacing w:line="24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单位地址</w:t>
            </w:r>
          </w:p>
        </w:tc>
        <w:tc>
          <w:tcPr>
            <w:tcW w:w="6975" w:type="dxa"/>
            <w:gridSpan w:val="3"/>
            <w:noWrap w:val="0"/>
            <w:vAlign w:val="center"/>
          </w:tcPr>
          <w:p w14:paraId="284B189A">
            <w:pPr>
              <w:spacing w:line="240" w:lineRule="auto"/>
              <w:jc w:val="center"/>
              <w:rPr>
                <w:rFonts w:hint="eastAsia" w:ascii="宋体" w:hAnsi="宋体" w:eastAsia="宋体" w:cs="宋体"/>
                <w:color w:val="auto"/>
                <w:szCs w:val="21"/>
                <w:highlight w:val="none"/>
              </w:rPr>
            </w:pPr>
          </w:p>
        </w:tc>
      </w:tr>
    </w:tbl>
    <w:p w14:paraId="257D0A7E">
      <w:pPr>
        <w:rPr>
          <w:rFonts w:hint="eastAsia" w:ascii="宋体" w:hAnsi="宋体" w:eastAsia="宋体" w:cs="宋体"/>
          <w:color w:val="auto"/>
          <w:highlight w:val="none"/>
        </w:rPr>
      </w:pPr>
    </w:p>
    <w:p w14:paraId="683AE619">
      <w:pPr>
        <w:wordWrap w:val="0"/>
        <w:spacing w:line="240" w:lineRule="auto"/>
        <w:rPr>
          <w:rFonts w:hint="eastAsia" w:ascii="宋体" w:hAnsi="宋体" w:eastAsia="宋体" w:cs="宋体"/>
          <w:color w:val="auto"/>
          <w:highlight w:val="none"/>
        </w:rPr>
      </w:pPr>
    </w:p>
    <w:p w14:paraId="08168E08">
      <w:pPr>
        <w:wordWrap w:val="0"/>
        <w:spacing w:line="24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特别</w:t>
      </w:r>
      <w:r>
        <w:rPr>
          <w:rFonts w:hint="eastAsia" w:ascii="宋体" w:hAnsi="宋体" w:eastAsia="宋体" w:cs="宋体"/>
          <w:color w:val="auto"/>
          <w:highlight w:val="none"/>
        </w:rPr>
        <w:t>说明：</w:t>
      </w:r>
    </w:p>
    <w:p w14:paraId="0FE44F58">
      <w:pPr>
        <w:pStyle w:val="109"/>
        <w:spacing w:line="240" w:lineRule="auto"/>
        <w:ind w:firstLine="676" w:firstLineChars="282"/>
        <w:rPr>
          <w:rFonts w:hint="eastAsia" w:ascii="宋体" w:hAnsi="宋体" w:eastAsia="宋体" w:cs="宋体"/>
          <w:color w:val="auto"/>
          <w:highlight w:val="none"/>
        </w:rPr>
      </w:pPr>
      <w:r>
        <w:rPr>
          <w:rFonts w:hint="eastAsia" w:ascii="宋体" w:hAnsi="宋体" w:eastAsia="宋体" w:cs="宋体"/>
          <w:color w:val="auto"/>
          <w:sz w:val="24"/>
          <w:szCs w:val="24"/>
          <w:highlight w:val="none"/>
          <w:lang w:val="en-US" w:eastAsia="zh-CN"/>
        </w:rPr>
        <w:t>在采购文件公告期限内，供应商将《采购文件发售登记表》（格式详见附件）填写完整加盖供应商公章扫描后发送至指定邮箱（903340245@qq.com）</w:t>
      </w:r>
      <w:r>
        <w:rPr>
          <w:rFonts w:hint="eastAsia" w:ascii="宋体" w:hAnsi="宋体" w:eastAsia="宋体" w:cs="宋体"/>
          <w:b w:val="0"/>
          <w:smallCaps w:val="0"/>
          <w:color w:val="auto"/>
          <w:kern w:val="2"/>
          <w:sz w:val="24"/>
          <w:szCs w:val="24"/>
          <w:highlight w:val="none"/>
          <w:lang w:val="en-US" w:eastAsia="zh-CN" w:bidi="ar-SA"/>
        </w:rPr>
        <w:t>，未满足以上说明要求，采购人及采购代理机构有权拒绝其报名。</w:t>
      </w:r>
    </w:p>
    <w:p w14:paraId="7E59AD73">
      <w:pPr>
        <w:spacing w:line="360" w:lineRule="auto"/>
        <w:ind w:firstLine="480" w:firstLineChars="200"/>
        <w:rPr>
          <w:rFonts w:hint="eastAsia" w:ascii="宋体" w:hAnsi="宋体" w:eastAsia="宋体" w:cs="宋体"/>
          <w:color w:val="auto"/>
          <w:highlight w:val="none"/>
        </w:rPr>
      </w:pPr>
    </w:p>
    <w:sectPr>
      <w:pgSz w:w="11907" w:h="16840"/>
      <w:pgMar w:top="1134" w:right="1191" w:bottom="1134" w:left="1304" w:header="454" w:footer="567" w:gutter="0"/>
      <w:pgNumType w:fmt="decimal"/>
      <w:cols w:space="720" w:num="1"/>
      <w:docGrid w:linePitch="381"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auto"/>
    <w:pitch w:val="default"/>
    <w:sig w:usb0="E00006FF" w:usb1="0000FCFF" w:usb2="00000001" w:usb3="00000000" w:csb0="600001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D4CF8">
    <w:pPr>
      <w:pStyle w:val="17"/>
      <w:framePr w:wrap="auto" w:vAnchor="text" w:hAnchor="margin" w:xAlign="center" w:y="1"/>
      <w:rPr>
        <w:rStyle w:val="32"/>
      </w:rPr>
    </w:pPr>
    <w:r>
      <w:rPr>
        <w:rStyle w:val="32"/>
      </w:rPr>
      <w:fldChar w:fldCharType="begin"/>
    </w:r>
    <w:r>
      <w:rPr>
        <w:rStyle w:val="32"/>
      </w:rPr>
      <w:instrText xml:space="preserve">PAGE  </w:instrText>
    </w:r>
    <w:r>
      <w:rPr>
        <w:rStyle w:val="32"/>
      </w:rPr>
      <w:fldChar w:fldCharType="end"/>
    </w:r>
  </w:p>
  <w:p w14:paraId="78C611D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D4D1F">
    <w:pPr>
      <w:pStyle w:val="1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FB0BF">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CFB0BF">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ED2FB">
    <w:pPr>
      <w:pStyle w:val="1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06DA5">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AA06DA5">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5E61E">
    <w:pPr>
      <w:pStyle w:val="17"/>
      <w:jc w:val="center"/>
      <w:rPr>
        <w:sz w:val="21"/>
        <w:szCs w:val="21"/>
      </w:rPr>
    </w:pPr>
    <w:r>
      <w:rPr>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4" name="文本框 14"/>
              <wp:cNvGraphicFramePr/>
              <a:graphic xmlns:a="http://schemas.openxmlformats.org/drawingml/2006/main">
                <a:graphicData uri="http://schemas.microsoft.com/office/word/2010/wordprocessingShape">
                  <wps:wsp>
                    <wps:cNvSpPr/>
                    <wps:spPr>
                      <a:xfrm>
                        <a:off x="0" y="0"/>
                        <a:ext cx="190500" cy="131445"/>
                      </a:xfrm>
                      <a:prstGeom prst="rect">
                        <a:avLst/>
                      </a:prstGeom>
                      <a:noFill/>
                      <a:ln>
                        <a:noFill/>
                      </a:ln>
                    </wps:spPr>
                    <wps:txbx>
                      <w:txbxContent>
                        <w:p w14:paraId="3618BD25">
                          <w:pPr>
                            <w:pStyle w:val="17"/>
                          </w:pPr>
                          <w:r>
                            <w:fldChar w:fldCharType="begin"/>
                          </w:r>
                          <w:r>
                            <w:instrText xml:space="preserve"> PAGE  \* MERGEFORMAT </w:instrText>
                          </w:r>
                          <w:r>
                            <w:fldChar w:fldCharType="separate"/>
                          </w:r>
                          <w:r>
                            <w:t>- 46 -</w:t>
                          </w:r>
                          <w:r>
                            <w:fldChar w:fldCharType="end"/>
                          </w:r>
                        </w:p>
                      </w:txbxContent>
                    </wps:txbx>
                    <wps:bodyPr wrap="none" lIns="0" tIns="0" rIns="0" bIns="0" upright="1">
                      <a:spAutoFit/>
                    </wps:bodyPr>
                  </wps:wsp>
                </a:graphicData>
              </a:graphic>
            </wp:anchor>
          </w:drawing>
        </mc:Choice>
        <mc:Fallback>
          <w:pict>
            <v:rect id="文本框 14" o:spid="_x0000_s1026" o:spt="1"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V/v5n0QAAAAMBAAAPAAAAAAAAAAEAIAAAACIAAABkcnMvZG93bnJldi54&#10;bWxQSwECFAAUAAAACACHTuJA6FkXfcgBAACOAwAADgAAAAAAAAABACAAAAAgAQAAZHJzL2Uyb0Rv&#10;Yy54bWxQSwUGAAAAAAYABgBZAQAAWgUAAAAA&#10;">
              <v:fill on="f" focussize="0,0"/>
              <v:stroke on="f"/>
              <v:imagedata o:title=""/>
              <o:lock v:ext="edit" aspectratio="f"/>
              <v:textbox inset="0mm,0mm,0mm,0mm" style="mso-fit-shape-to-text:t;">
                <w:txbxContent>
                  <w:p w14:paraId="3618BD25">
                    <w:pPr>
                      <w:pStyle w:val="17"/>
                    </w:pPr>
                    <w:r>
                      <w:fldChar w:fldCharType="begin"/>
                    </w:r>
                    <w:r>
                      <w:instrText xml:space="preserve"> PAGE  \* MERGEFORMAT </w:instrText>
                    </w:r>
                    <w:r>
                      <w:fldChar w:fldCharType="separate"/>
                    </w:r>
                    <w:r>
                      <w:t>- 46 -</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D40A7">
    <w:pPr>
      <w:pStyle w:val="18"/>
      <w:pBdr>
        <w:bottom w:val="none" w:color="auto" w:sz="0" w:space="0"/>
      </w:pBdr>
      <w:wordWrap w:val="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0E343">
    <w:pPr>
      <w:pStyle w:val="18"/>
      <w:pBdr>
        <w:bottom w:val="none" w:color="auto" w:sz="0" w:space="0"/>
      </w:pBdr>
      <w:wordWrap w:val="0"/>
      <w:jc w:val="both"/>
      <w:rPr>
        <w:color w:val="FF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B745D">
    <w:pPr>
      <w:pStyle w:val="18"/>
      <w:pBdr>
        <w:bottom w:val="none" w:color="auto" w:sz="0" w:space="0"/>
      </w:pBdr>
      <w:wordWrap w:val="0"/>
      <w:jc w:val="both"/>
      <w:rPr>
        <w:color w:val="FF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B7715">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310D0">
    <w:pPr>
      <w:pStyle w:val="18"/>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C5564">
    <w:pPr>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CF49F"/>
    <w:multiLevelType w:val="singleLevel"/>
    <w:tmpl w:val="A91CF49F"/>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decimal"/>
      <w:pStyle w:val="85"/>
      <w:lvlText w:val="（%1）"/>
      <w:lvlJc w:val="left"/>
      <w:pPr>
        <w:tabs>
          <w:tab w:val="left" w:pos="1230"/>
        </w:tabs>
        <w:ind w:firstLine="510"/>
      </w:pPr>
      <w:rPr>
        <w:rFonts w:hint="default" w:ascii="Arial" w:hAnsi="Arial" w:cs="Times New Roman"/>
        <w:b w:val="0"/>
        <w:i w:val="0"/>
        <w:sz w:val="24"/>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84"/>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8E981E4"/>
    <w:multiLevelType w:val="singleLevel"/>
    <w:tmpl w:val="08E981E4"/>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ZmM1NTgzZTEwZjc2OWMxMTliYjIzNjJjMWEyOTgifQ=="/>
  </w:docVars>
  <w:rsids>
    <w:rsidRoot w:val="00445934"/>
    <w:rsid w:val="00031D37"/>
    <w:rsid w:val="00045EDC"/>
    <w:rsid w:val="000579AE"/>
    <w:rsid w:val="00073429"/>
    <w:rsid w:val="00090684"/>
    <w:rsid w:val="0009353A"/>
    <w:rsid w:val="000D3A71"/>
    <w:rsid w:val="000F2DBB"/>
    <w:rsid w:val="000F3D9F"/>
    <w:rsid w:val="0012006A"/>
    <w:rsid w:val="00156588"/>
    <w:rsid w:val="001E21B6"/>
    <w:rsid w:val="00235C1A"/>
    <w:rsid w:val="00253D7D"/>
    <w:rsid w:val="002562D4"/>
    <w:rsid w:val="00256DBD"/>
    <w:rsid w:val="002B236A"/>
    <w:rsid w:val="002B4977"/>
    <w:rsid w:val="002B53CF"/>
    <w:rsid w:val="002D47A4"/>
    <w:rsid w:val="003008D0"/>
    <w:rsid w:val="003559A8"/>
    <w:rsid w:val="0037160F"/>
    <w:rsid w:val="003853F2"/>
    <w:rsid w:val="00385C61"/>
    <w:rsid w:val="003A65FC"/>
    <w:rsid w:val="003B3411"/>
    <w:rsid w:val="003B6D1D"/>
    <w:rsid w:val="003C27FE"/>
    <w:rsid w:val="003C2B54"/>
    <w:rsid w:val="003D3E5E"/>
    <w:rsid w:val="003D3E67"/>
    <w:rsid w:val="003D52DF"/>
    <w:rsid w:val="003F6964"/>
    <w:rsid w:val="0040395A"/>
    <w:rsid w:val="004213E4"/>
    <w:rsid w:val="004240FA"/>
    <w:rsid w:val="0042601D"/>
    <w:rsid w:val="00445934"/>
    <w:rsid w:val="00447283"/>
    <w:rsid w:val="00471D0F"/>
    <w:rsid w:val="004867AB"/>
    <w:rsid w:val="004924F2"/>
    <w:rsid w:val="00496B58"/>
    <w:rsid w:val="004C3445"/>
    <w:rsid w:val="004C3DFC"/>
    <w:rsid w:val="004C7506"/>
    <w:rsid w:val="004D4A4B"/>
    <w:rsid w:val="005166C5"/>
    <w:rsid w:val="00550D9B"/>
    <w:rsid w:val="00566178"/>
    <w:rsid w:val="0058561C"/>
    <w:rsid w:val="005A454A"/>
    <w:rsid w:val="005B3F2C"/>
    <w:rsid w:val="005E3B6B"/>
    <w:rsid w:val="006017AB"/>
    <w:rsid w:val="00611A26"/>
    <w:rsid w:val="006148FD"/>
    <w:rsid w:val="00616645"/>
    <w:rsid w:val="00633DED"/>
    <w:rsid w:val="006745AC"/>
    <w:rsid w:val="00683506"/>
    <w:rsid w:val="006D011A"/>
    <w:rsid w:val="00750849"/>
    <w:rsid w:val="00750FD0"/>
    <w:rsid w:val="0078639A"/>
    <w:rsid w:val="007A3669"/>
    <w:rsid w:val="007C46A8"/>
    <w:rsid w:val="007C6DD3"/>
    <w:rsid w:val="007C6E13"/>
    <w:rsid w:val="007D06D1"/>
    <w:rsid w:val="00832BCE"/>
    <w:rsid w:val="00881E59"/>
    <w:rsid w:val="008C39B0"/>
    <w:rsid w:val="009151D1"/>
    <w:rsid w:val="009155FC"/>
    <w:rsid w:val="00943DE7"/>
    <w:rsid w:val="0094641E"/>
    <w:rsid w:val="00964ABB"/>
    <w:rsid w:val="009A30CB"/>
    <w:rsid w:val="009B5C33"/>
    <w:rsid w:val="009F4F36"/>
    <w:rsid w:val="00A11620"/>
    <w:rsid w:val="00A26B4B"/>
    <w:rsid w:val="00A472E7"/>
    <w:rsid w:val="00A644F8"/>
    <w:rsid w:val="00A72402"/>
    <w:rsid w:val="00AA5978"/>
    <w:rsid w:val="00AB16B0"/>
    <w:rsid w:val="00AB4C5F"/>
    <w:rsid w:val="00B1184E"/>
    <w:rsid w:val="00B1614D"/>
    <w:rsid w:val="00B30185"/>
    <w:rsid w:val="00B50E4A"/>
    <w:rsid w:val="00B53D4C"/>
    <w:rsid w:val="00B8581C"/>
    <w:rsid w:val="00BA13B4"/>
    <w:rsid w:val="00BF6DF5"/>
    <w:rsid w:val="00C038E0"/>
    <w:rsid w:val="00C03D29"/>
    <w:rsid w:val="00C324FA"/>
    <w:rsid w:val="00C3275D"/>
    <w:rsid w:val="00C4179B"/>
    <w:rsid w:val="00C76561"/>
    <w:rsid w:val="00C91CA6"/>
    <w:rsid w:val="00C949F9"/>
    <w:rsid w:val="00CB7546"/>
    <w:rsid w:val="00CD127F"/>
    <w:rsid w:val="00CE0AC1"/>
    <w:rsid w:val="00D1578E"/>
    <w:rsid w:val="00D25A62"/>
    <w:rsid w:val="00D85494"/>
    <w:rsid w:val="00D859FB"/>
    <w:rsid w:val="00DA2E62"/>
    <w:rsid w:val="00DA5E65"/>
    <w:rsid w:val="00DC2269"/>
    <w:rsid w:val="00DD74BA"/>
    <w:rsid w:val="00E4398E"/>
    <w:rsid w:val="00ED1081"/>
    <w:rsid w:val="00ED5B22"/>
    <w:rsid w:val="00EE22A9"/>
    <w:rsid w:val="00F036C6"/>
    <w:rsid w:val="00F661DF"/>
    <w:rsid w:val="00F74019"/>
    <w:rsid w:val="00F74F21"/>
    <w:rsid w:val="00FB5724"/>
    <w:rsid w:val="00FC4B32"/>
    <w:rsid w:val="00FD49C0"/>
    <w:rsid w:val="00FF39B7"/>
    <w:rsid w:val="01027918"/>
    <w:rsid w:val="01B67BDE"/>
    <w:rsid w:val="01E3199D"/>
    <w:rsid w:val="020B6EE7"/>
    <w:rsid w:val="025E683E"/>
    <w:rsid w:val="02A9706C"/>
    <w:rsid w:val="033F150A"/>
    <w:rsid w:val="042C2D3A"/>
    <w:rsid w:val="05C31929"/>
    <w:rsid w:val="05CC08C4"/>
    <w:rsid w:val="06FD0934"/>
    <w:rsid w:val="07177C01"/>
    <w:rsid w:val="076034A7"/>
    <w:rsid w:val="079C50F6"/>
    <w:rsid w:val="07A47D94"/>
    <w:rsid w:val="07CF21ED"/>
    <w:rsid w:val="082F51B0"/>
    <w:rsid w:val="08704639"/>
    <w:rsid w:val="09402CB0"/>
    <w:rsid w:val="09CB3175"/>
    <w:rsid w:val="0B2768C5"/>
    <w:rsid w:val="0BC11B5A"/>
    <w:rsid w:val="0C8E6B56"/>
    <w:rsid w:val="0DD45664"/>
    <w:rsid w:val="0E51257D"/>
    <w:rsid w:val="0F3472F0"/>
    <w:rsid w:val="101E4E6F"/>
    <w:rsid w:val="10343063"/>
    <w:rsid w:val="10FE73AF"/>
    <w:rsid w:val="11162AF9"/>
    <w:rsid w:val="11B343EE"/>
    <w:rsid w:val="12404081"/>
    <w:rsid w:val="12504993"/>
    <w:rsid w:val="127D39C6"/>
    <w:rsid w:val="13381897"/>
    <w:rsid w:val="13501E07"/>
    <w:rsid w:val="14AD52AD"/>
    <w:rsid w:val="167504A0"/>
    <w:rsid w:val="1725555C"/>
    <w:rsid w:val="18237E85"/>
    <w:rsid w:val="18A361F8"/>
    <w:rsid w:val="18B67F13"/>
    <w:rsid w:val="18ED595D"/>
    <w:rsid w:val="195A42BC"/>
    <w:rsid w:val="1A9F29E1"/>
    <w:rsid w:val="1B55264E"/>
    <w:rsid w:val="1BAD1009"/>
    <w:rsid w:val="1C092624"/>
    <w:rsid w:val="1CAD0CE1"/>
    <w:rsid w:val="1CDD28FB"/>
    <w:rsid w:val="1D28794E"/>
    <w:rsid w:val="1E477182"/>
    <w:rsid w:val="2010485A"/>
    <w:rsid w:val="203D3B32"/>
    <w:rsid w:val="204606CC"/>
    <w:rsid w:val="23B84C02"/>
    <w:rsid w:val="23F32675"/>
    <w:rsid w:val="2486678D"/>
    <w:rsid w:val="251F4F1B"/>
    <w:rsid w:val="25467247"/>
    <w:rsid w:val="256811AE"/>
    <w:rsid w:val="25EA2086"/>
    <w:rsid w:val="25F77ED6"/>
    <w:rsid w:val="26800F59"/>
    <w:rsid w:val="27286282"/>
    <w:rsid w:val="27CA7A49"/>
    <w:rsid w:val="28CA58B2"/>
    <w:rsid w:val="29EF284E"/>
    <w:rsid w:val="2A602BFE"/>
    <w:rsid w:val="2AFD6708"/>
    <w:rsid w:val="2B385A95"/>
    <w:rsid w:val="2C8B2F2A"/>
    <w:rsid w:val="2D790198"/>
    <w:rsid w:val="2DEF0A3D"/>
    <w:rsid w:val="2DEF248E"/>
    <w:rsid w:val="2E6229D4"/>
    <w:rsid w:val="2F3B1E2F"/>
    <w:rsid w:val="2FCE6F3B"/>
    <w:rsid w:val="2FD95EEF"/>
    <w:rsid w:val="3038525C"/>
    <w:rsid w:val="30F47EF6"/>
    <w:rsid w:val="32CC110F"/>
    <w:rsid w:val="33BF4B39"/>
    <w:rsid w:val="33C9018A"/>
    <w:rsid w:val="34D14CD0"/>
    <w:rsid w:val="357F73F3"/>
    <w:rsid w:val="35AF70D3"/>
    <w:rsid w:val="360D2FDC"/>
    <w:rsid w:val="36342810"/>
    <w:rsid w:val="369E7BB3"/>
    <w:rsid w:val="38097D55"/>
    <w:rsid w:val="38FB0BD9"/>
    <w:rsid w:val="39C15766"/>
    <w:rsid w:val="3A3F3E03"/>
    <w:rsid w:val="3ABB5B19"/>
    <w:rsid w:val="3B2F6219"/>
    <w:rsid w:val="3C201EC7"/>
    <w:rsid w:val="3C3025F0"/>
    <w:rsid w:val="4056658C"/>
    <w:rsid w:val="40E06496"/>
    <w:rsid w:val="41383EB7"/>
    <w:rsid w:val="41B07429"/>
    <w:rsid w:val="41F2243E"/>
    <w:rsid w:val="420C7511"/>
    <w:rsid w:val="4213660C"/>
    <w:rsid w:val="42BF371E"/>
    <w:rsid w:val="45104F1F"/>
    <w:rsid w:val="461841B5"/>
    <w:rsid w:val="46762775"/>
    <w:rsid w:val="47367762"/>
    <w:rsid w:val="474113D9"/>
    <w:rsid w:val="475504FF"/>
    <w:rsid w:val="489C1993"/>
    <w:rsid w:val="48AD797A"/>
    <w:rsid w:val="48B575D5"/>
    <w:rsid w:val="49997A26"/>
    <w:rsid w:val="49D2773F"/>
    <w:rsid w:val="4AC944E1"/>
    <w:rsid w:val="4C007FF3"/>
    <w:rsid w:val="4CF310F9"/>
    <w:rsid w:val="4CF62975"/>
    <w:rsid w:val="4E275E50"/>
    <w:rsid w:val="4F032B9E"/>
    <w:rsid w:val="4FAF012B"/>
    <w:rsid w:val="5062465D"/>
    <w:rsid w:val="513D5B7F"/>
    <w:rsid w:val="51941333"/>
    <w:rsid w:val="523C1897"/>
    <w:rsid w:val="534F6E4E"/>
    <w:rsid w:val="54086CD5"/>
    <w:rsid w:val="54C1305D"/>
    <w:rsid w:val="55032405"/>
    <w:rsid w:val="572E60BC"/>
    <w:rsid w:val="57471FC3"/>
    <w:rsid w:val="57A5660C"/>
    <w:rsid w:val="581E4A05"/>
    <w:rsid w:val="58AF52B4"/>
    <w:rsid w:val="58F508FE"/>
    <w:rsid w:val="590D2059"/>
    <w:rsid w:val="5AA96B1A"/>
    <w:rsid w:val="5B7677E4"/>
    <w:rsid w:val="5B8878FB"/>
    <w:rsid w:val="5BA8796E"/>
    <w:rsid w:val="5BBE50CA"/>
    <w:rsid w:val="5BD21F9B"/>
    <w:rsid w:val="5C6A4F10"/>
    <w:rsid w:val="5D0D3CDA"/>
    <w:rsid w:val="5D58657F"/>
    <w:rsid w:val="5D666BD7"/>
    <w:rsid w:val="5EE96902"/>
    <w:rsid w:val="600C10BB"/>
    <w:rsid w:val="60CA4010"/>
    <w:rsid w:val="612F0011"/>
    <w:rsid w:val="615349A5"/>
    <w:rsid w:val="61F67062"/>
    <w:rsid w:val="623C4F9B"/>
    <w:rsid w:val="624C205C"/>
    <w:rsid w:val="62CD490E"/>
    <w:rsid w:val="62EC7CBB"/>
    <w:rsid w:val="6374171A"/>
    <w:rsid w:val="63880BE6"/>
    <w:rsid w:val="64C13A04"/>
    <w:rsid w:val="65774184"/>
    <w:rsid w:val="661E41B4"/>
    <w:rsid w:val="66C1721F"/>
    <w:rsid w:val="674E429B"/>
    <w:rsid w:val="67AA2321"/>
    <w:rsid w:val="6800260C"/>
    <w:rsid w:val="68447847"/>
    <w:rsid w:val="68B72FA4"/>
    <w:rsid w:val="693174E9"/>
    <w:rsid w:val="69D21C8A"/>
    <w:rsid w:val="6A110918"/>
    <w:rsid w:val="6ADA56A6"/>
    <w:rsid w:val="6AF15112"/>
    <w:rsid w:val="6B18198E"/>
    <w:rsid w:val="6B1E2A3F"/>
    <w:rsid w:val="6BAD6F3F"/>
    <w:rsid w:val="6BDF5E68"/>
    <w:rsid w:val="6C424394"/>
    <w:rsid w:val="6C87528B"/>
    <w:rsid w:val="6EBC7BA3"/>
    <w:rsid w:val="6F9C5A16"/>
    <w:rsid w:val="700D59E3"/>
    <w:rsid w:val="71AC3EEB"/>
    <w:rsid w:val="7207086A"/>
    <w:rsid w:val="723C28F3"/>
    <w:rsid w:val="724C5CD9"/>
    <w:rsid w:val="72693B8A"/>
    <w:rsid w:val="729A038C"/>
    <w:rsid w:val="72E17BC5"/>
    <w:rsid w:val="73041D69"/>
    <w:rsid w:val="73B30A6C"/>
    <w:rsid w:val="73B53A48"/>
    <w:rsid w:val="746910E7"/>
    <w:rsid w:val="74A85594"/>
    <w:rsid w:val="75641B58"/>
    <w:rsid w:val="7629236B"/>
    <w:rsid w:val="77DA1272"/>
    <w:rsid w:val="7911424C"/>
    <w:rsid w:val="797A7613"/>
    <w:rsid w:val="7A2111EE"/>
    <w:rsid w:val="7A432911"/>
    <w:rsid w:val="7A4C4A1B"/>
    <w:rsid w:val="7A727C64"/>
    <w:rsid w:val="7A8452EC"/>
    <w:rsid w:val="7B0819E8"/>
    <w:rsid w:val="7D7F2DEA"/>
    <w:rsid w:val="7E786D09"/>
    <w:rsid w:val="7E853F59"/>
    <w:rsid w:val="7ECB4FA3"/>
    <w:rsid w:val="7F66251C"/>
    <w:rsid w:val="7FEA16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ocked="1"/>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0"/>
    <w:qFormat/>
    <w:uiPriority w:val="0"/>
    <w:pPr>
      <w:keepNext/>
      <w:snapToGrid w:val="0"/>
      <w:spacing w:line="360" w:lineRule="atLeast"/>
      <w:outlineLvl w:val="0"/>
    </w:pPr>
    <w:rPr>
      <w:rFonts w:ascii="Times New Roman" w:hAnsi="Times New Roman" w:cs="Times New Roman"/>
      <w:b/>
      <w:bCs/>
      <w:kern w:val="44"/>
      <w:sz w:val="44"/>
      <w:szCs w:val="44"/>
      <w:lang w:val="zh-CN"/>
    </w:rPr>
  </w:style>
  <w:style w:type="paragraph" w:styleId="3">
    <w:name w:val="heading 2"/>
    <w:basedOn w:val="1"/>
    <w:next w:val="1"/>
    <w:link w:val="41"/>
    <w:qFormat/>
    <w:uiPriority w:val="0"/>
    <w:pPr>
      <w:keepNext/>
      <w:keepLines/>
      <w:spacing w:before="260" w:after="260" w:line="415" w:lineRule="auto"/>
      <w:outlineLvl w:val="1"/>
    </w:pPr>
    <w:rPr>
      <w:rFonts w:ascii="Cambria" w:hAnsi="Cambria" w:cs="Times New Roman"/>
      <w:b/>
      <w:bCs/>
      <w:sz w:val="32"/>
      <w:szCs w:val="32"/>
      <w:lang w:val="zh-CN"/>
    </w:rPr>
  </w:style>
  <w:style w:type="paragraph" w:styleId="4">
    <w:name w:val="heading 3"/>
    <w:basedOn w:val="1"/>
    <w:next w:val="1"/>
    <w:link w:val="42"/>
    <w:qFormat/>
    <w:uiPriority w:val="0"/>
    <w:pPr>
      <w:keepNext/>
      <w:keepLines/>
      <w:spacing w:before="260" w:after="260" w:line="415" w:lineRule="auto"/>
      <w:outlineLvl w:val="2"/>
    </w:pPr>
    <w:rPr>
      <w:rFonts w:ascii="Times New Roman" w:hAnsi="Times New Roman" w:cs="Times New Roman"/>
      <w:b/>
      <w:bCs/>
      <w:sz w:val="32"/>
      <w:szCs w:val="32"/>
      <w:lang w:val="zh-CN"/>
    </w:rPr>
  </w:style>
  <w:style w:type="paragraph" w:styleId="5">
    <w:name w:val="heading 4"/>
    <w:basedOn w:val="1"/>
    <w:next w:val="1"/>
    <w:qFormat/>
    <w:uiPriority w:val="0"/>
    <w:pPr>
      <w:spacing w:before="100" w:beforeAutospacing="1" w:after="100" w:afterAutospacing="1"/>
      <w:outlineLvl w:val="3"/>
    </w:pPr>
    <w:rPr>
      <w:b/>
      <w:bCs/>
    </w:rPr>
  </w:style>
  <w:style w:type="paragraph" w:styleId="6">
    <w:name w:val="heading 5"/>
    <w:basedOn w:val="1"/>
    <w:next w:val="1"/>
    <w:qFormat/>
    <w:locked/>
    <w:uiPriority w:val="0"/>
    <w:pPr>
      <w:widowControl/>
      <w:spacing w:beforeAutospacing="1" w:afterAutospacing="1"/>
      <w:jc w:val="left"/>
      <w:outlineLvl w:val="4"/>
    </w:pPr>
    <w:rPr>
      <w:rFonts w:ascii="宋体" w:hAnsi="宋体" w:cs="宋体"/>
      <w:b/>
      <w:bCs/>
      <w:kern w:val="0"/>
      <w:sz w:val="20"/>
      <w:szCs w:val="20"/>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7">
    <w:name w:val="Normal Indent"/>
    <w:basedOn w:val="1"/>
    <w:link w:val="43"/>
    <w:qFormat/>
    <w:uiPriority w:val="0"/>
    <w:pPr>
      <w:adjustRightInd w:val="0"/>
      <w:snapToGrid w:val="0"/>
      <w:spacing w:line="360" w:lineRule="auto"/>
      <w:ind w:firstLine="420"/>
    </w:pPr>
    <w:rPr>
      <w:rFonts w:ascii="Times New Roman" w:hAnsi="Times New Roman" w:cs="Times New Roman"/>
      <w:sz w:val="20"/>
      <w:szCs w:val="20"/>
    </w:rPr>
  </w:style>
  <w:style w:type="paragraph" w:styleId="8">
    <w:name w:val="Document Map"/>
    <w:basedOn w:val="1"/>
    <w:link w:val="46"/>
    <w:semiHidden/>
    <w:qFormat/>
    <w:uiPriority w:val="0"/>
    <w:pPr>
      <w:shd w:val="clear" w:color="auto" w:fill="000080"/>
    </w:pPr>
    <w:rPr>
      <w:rFonts w:ascii="Times New Roman" w:hAnsi="Times New Roman" w:cs="Times New Roman"/>
      <w:sz w:val="2"/>
      <w:szCs w:val="2"/>
      <w:lang w:val="zh-CN"/>
    </w:rPr>
  </w:style>
  <w:style w:type="paragraph" w:styleId="9">
    <w:name w:val="annotation text"/>
    <w:basedOn w:val="1"/>
    <w:link w:val="47"/>
    <w:semiHidden/>
    <w:qFormat/>
    <w:uiPriority w:val="0"/>
    <w:rPr>
      <w:rFonts w:ascii="Times New Roman" w:hAnsi="Times New Roman" w:cs="Times New Roman"/>
      <w:kern w:val="2"/>
      <w:sz w:val="28"/>
      <w:szCs w:val="28"/>
      <w:lang w:val="zh-CN"/>
    </w:rPr>
  </w:style>
  <w:style w:type="paragraph" w:styleId="10">
    <w:name w:val="Body Text"/>
    <w:basedOn w:val="1"/>
    <w:next w:val="1"/>
    <w:link w:val="44"/>
    <w:qFormat/>
    <w:uiPriority w:val="0"/>
    <w:pPr>
      <w:spacing w:after="120"/>
    </w:pPr>
    <w:rPr>
      <w:rFonts w:ascii="Times New Roman" w:hAnsi="Times New Roman" w:cs="Times New Roman"/>
      <w:kern w:val="2"/>
      <w:sz w:val="28"/>
      <w:szCs w:val="28"/>
      <w:lang w:val="zh-CN"/>
    </w:rPr>
  </w:style>
  <w:style w:type="paragraph" w:styleId="11">
    <w:name w:val="Body Text Indent"/>
    <w:basedOn w:val="1"/>
    <w:link w:val="45"/>
    <w:qFormat/>
    <w:uiPriority w:val="0"/>
    <w:pPr>
      <w:spacing w:line="700" w:lineRule="exact"/>
      <w:ind w:left="960"/>
    </w:pPr>
    <w:rPr>
      <w:rFonts w:ascii="Times New Roman" w:hAnsi="Times New Roman" w:cs="Times New Roman"/>
      <w:sz w:val="20"/>
      <w:szCs w:val="20"/>
      <w:lang w:val="zh-CN"/>
    </w:rPr>
  </w:style>
  <w:style w:type="paragraph" w:styleId="12">
    <w:name w:val="toc 3"/>
    <w:basedOn w:val="1"/>
    <w:next w:val="1"/>
    <w:semiHidden/>
    <w:qFormat/>
    <w:uiPriority w:val="0"/>
    <w:pPr>
      <w:tabs>
        <w:tab w:val="right" w:leader="dot" w:pos="8303"/>
      </w:tabs>
      <w:spacing w:line="540" w:lineRule="exact"/>
      <w:ind w:left="1120" w:leftChars="400"/>
    </w:pPr>
  </w:style>
  <w:style w:type="paragraph" w:styleId="13">
    <w:name w:val="Plain Text"/>
    <w:basedOn w:val="1"/>
    <w:link w:val="48"/>
    <w:qFormat/>
    <w:uiPriority w:val="0"/>
    <w:rPr>
      <w:rFonts w:hAnsi="Courier New" w:cs="Times New Roman"/>
      <w:sz w:val="21"/>
      <w:szCs w:val="21"/>
      <w:lang w:val="zh-CN"/>
    </w:rPr>
  </w:style>
  <w:style w:type="paragraph" w:styleId="14">
    <w:name w:val="Date"/>
    <w:basedOn w:val="1"/>
    <w:next w:val="1"/>
    <w:link w:val="49"/>
    <w:qFormat/>
    <w:uiPriority w:val="0"/>
    <w:rPr>
      <w:rFonts w:ascii="Times New Roman" w:hAnsi="Times New Roman" w:cs="Times New Roman"/>
      <w:sz w:val="20"/>
      <w:szCs w:val="20"/>
      <w:lang w:val="zh-CN"/>
    </w:rPr>
  </w:style>
  <w:style w:type="paragraph" w:styleId="15">
    <w:name w:val="Body Text Indent 2"/>
    <w:basedOn w:val="1"/>
    <w:link w:val="50"/>
    <w:qFormat/>
    <w:uiPriority w:val="0"/>
    <w:pPr>
      <w:spacing w:after="120" w:line="480" w:lineRule="auto"/>
      <w:ind w:left="420" w:leftChars="200"/>
    </w:pPr>
    <w:rPr>
      <w:rFonts w:ascii="Times New Roman" w:hAnsi="Times New Roman" w:cs="Times New Roman"/>
      <w:kern w:val="2"/>
      <w:sz w:val="28"/>
      <w:szCs w:val="28"/>
      <w:lang w:val="zh-CN"/>
    </w:rPr>
  </w:style>
  <w:style w:type="paragraph" w:styleId="16">
    <w:name w:val="Balloon Text"/>
    <w:basedOn w:val="1"/>
    <w:link w:val="51"/>
    <w:semiHidden/>
    <w:qFormat/>
    <w:uiPriority w:val="0"/>
    <w:rPr>
      <w:rFonts w:ascii="Times New Roman" w:hAnsi="Times New Roman" w:cs="Times New Roman"/>
      <w:sz w:val="2"/>
      <w:szCs w:val="2"/>
      <w:lang w:val="zh-CN"/>
    </w:rPr>
  </w:style>
  <w:style w:type="paragraph" w:styleId="17">
    <w:name w:val="footer"/>
    <w:basedOn w:val="1"/>
    <w:link w:val="52"/>
    <w:qFormat/>
    <w:uiPriority w:val="0"/>
    <w:pPr>
      <w:tabs>
        <w:tab w:val="center" w:pos="4153"/>
        <w:tab w:val="right" w:pos="8306"/>
      </w:tabs>
      <w:snapToGrid w:val="0"/>
    </w:pPr>
    <w:rPr>
      <w:rFonts w:ascii="Times New Roman" w:hAnsi="Times New Roman" w:cs="Times New Roman"/>
      <w:sz w:val="18"/>
      <w:szCs w:val="18"/>
      <w:lang w:val="zh-CN"/>
    </w:rPr>
  </w:style>
  <w:style w:type="paragraph" w:styleId="18">
    <w:name w:val="header"/>
    <w:basedOn w:val="1"/>
    <w:link w:val="53"/>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lang w:val="zh-CN"/>
    </w:rPr>
  </w:style>
  <w:style w:type="paragraph" w:styleId="19">
    <w:name w:val="toc 1"/>
    <w:basedOn w:val="1"/>
    <w:next w:val="1"/>
    <w:semiHidden/>
    <w:qFormat/>
    <w:uiPriority w:val="0"/>
    <w:pPr>
      <w:tabs>
        <w:tab w:val="right" w:leader="dot" w:pos="8303"/>
      </w:tabs>
      <w:spacing w:line="300" w:lineRule="exact"/>
    </w:pPr>
    <w:rPr>
      <w:rFonts w:ascii="仿宋_GB2312" w:hAnsi="华文中宋" w:eastAsia="仿宋_GB2312" w:cs="仿宋_GB2312"/>
      <w:b/>
      <w:bCs/>
    </w:rPr>
  </w:style>
  <w:style w:type="paragraph" w:styleId="20">
    <w:name w:val="toc 2"/>
    <w:basedOn w:val="1"/>
    <w:next w:val="1"/>
    <w:semiHidden/>
    <w:qFormat/>
    <w:uiPriority w:val="0"/>
    <w:pPr>
      <w:tabs>
        <w:tab w:val="right" w:leader="dot" w:pos="8303"/>
      </w:tabs>
      <w:spacing w:line="360" w:lineRule="auto"/>
      <w:ind w:left="278"/>
    </w:pPr>
    <w:rPr>
      <w:rFonts w:ascii="仿宋_GB2312" w:hAnsi="华文中宋" w:eastAsia="仿宋_GB2312" w:cs="仿宋_GB2312"/>
    </w:rPr>
  </w:style>
  <w:style w:type="paragraph" w:styleId="21">
    <w:name w:val="Body Text 2"/>
    <w:basedOn w:val="1"/>
    <w:link w:val="54"/>
    <w:qFormat/>
    <w:uiPriority w:val="0"/>
    <w:pPr>
      <w:spacing w:after="120" w:line="480" w:lineRule="auto"/>
    </w:pPr>
    <w:rPr>
      <w:rFonts w:cs="Times New Roman"/>
      <w:lang w:val="zh-CN"/>
    </w:rPr>
  </w:style>
  <w:style w:type="paragraph" w:styleId="2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000000"/>
    </w:rPr>
  </w:style>
  <w:style w:type="paragraph" w:styleId="23">
    <w:name w:val="Normal (Web)"/>
    <w:basedOn w:val="1"/>
    <w:qFormat/>
    <w:uiPriority w:val="0"/>
    <w:pPr>
      <w:spacing w:before="100" w:beforeAutospacing="1" w:after="100" w:afterAutospacing="1"/>
    </w:pPr>
    <w:rPr>
      <w:color w:val="000000"/>
    </w:rPr>
  </w:style>
  <w:style w:type="paragraph" w:styleId="24">
    <w:name w:val="Title"/>
    <w:basedOn w:val="1"/>
    <w:next w:val="1"/>
    <w:qFormat/>
    <w:uiPriority w:val="0"/>
    <w:pPr>
      <w:jc w:val="center"/>
      <w:outlineLvl w:val="0"/>
    </w:pPr>
    <w:rPr>
      <w:rFonts w:ascii="Arial" w:hAnsi="Arial"/>
      <w:b/>
      <w:sz w:val="32"/>
    </w:rPr>
  </w:style>
  <w:style w:type="paragraph" w:styleId="25">
    <w:name w:val="annotation subject"/>
    <w:basedOn w:val="9"/>
    <w:next w:val="9"/>
    <w:link w:val="55"/>
    <w:semiHidden/>
    <w:qFormat/>
    <w:uiPriority w:val="0"/>
    <w:rPr>
      <w:b/>
      <w:bCs/>
    </w:rPr>
  </w:style>
  <w:style w:type="paragraph" w:styleId="26">
    <w:name w:val="Body Text First Indent"/>
    <w:basedOn w:val="10"/>
    <w:next w:val="1"/>
    <w:link w:val="56"/>
    <w:qFormat/>
    <w:uiPriority w:val="0"/>
    <w:pPr>
      <w:ind w:firstLine="420"/>
    </w:pPr>
  </w:style>
  <w:style w:type="paragraph" w:styleId="27">
    <w:name w:val="Body Text First Indent 2"/>
    <w:basedOn w:val="11"/>
    <w:qFormat/>
    <w:uiPriority w:val="0"/>
    <w:pPr>
      <w:spacing w:after="0" w:afterLines="0"/>
      <w:ind w:left="0" w:leftChars="0" w:firstLine="420" w:firstLineChars="200"/>
    </w:pPr>
  </w:style>
  <w:style w:type="table" w:styleId="29">
    <w:name w:val="Table Grid"/>
    <w:basedOn w:val="28"/>
    <w:qFormat/>
    <w:uiPriority w:val="0"/>
    <w:pPr>
      <w:widowControl w:val="0"/>
      <w:jc w:val="both"/>
    </w:pPr>
    <w:rPr>
      <w:rFonts w:ascii="等线" w:hAnsi="等线" w:eastAsia="等线"/>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bCs/>
    </w:rPr>
  </w:style>
  <w:style w:type="character" w:styleId="32">
    <w:name w:val="page number"/>
    <w:basedOn w:val="30"/>
    <w:qFormat/>
    <w:uiPriority w:val="0"/>
    <w:rPr>
      <w:rFonts w:cs="Times New Roman"/>
    </w:rPr>
  </w:style>
  <w:style w:type="character" w:styleId="33">
    <w:name w:val="FollowedHyperlink"/>
    <w:basedOn w:val="30"/>
    <w:qFormat/>
    <w:uiPriority w:val="0"/>
    <w:rPr>
      <w:color w:val="000000"/>
      <w:u w:val="none"/>
    </w:rPr>
  </w:style>
  <w:style w:type="character" w:styleId="34">
    <w:name w:val="Emphasis"/>
    <w:basedOn w:val="30"/>
    <w:qFormat/>
    <w:locked/>
    <w:uiPriority w:val="0"/>
    <w:rPr>
      <w:i/>
      <w:iCs/>
    </w:rPr>
  </w:style>
  <w:style w:type="character" w:styleId="35">
    <w:name w:val="Hyperlink"/>
    <w:basedOn w:val="30"/>
    <w:qFormat/>
    <w:uiPriority w:val="0"/>
    <w:rPr>
      <w:rFonts w:cs="Times New Roman"/>
      <w:color w:val="0000FF"/>
      <w:u w:val="single"/>
    </w:rPr>
  </w:style>
  <w:style w:type="character" w:styleId="36">
    <w:name w:val="HTML Code"/>
    <w:basedOn w:val="30"/>
    <w:qFormat/>
    <w:uiPriority w:val="0"/>
    <w:rPr>
      <w:rFonts w:ascii="Consolas" w:hAnsi="Consolas" w:eastAsia="Consolas" w:cs="Consolas"/>
      <w:color w:val="DD1144"/>
      <w:sz w:val="15"/>
      <w:szCs w:val="15"/>
      <w:bdr w:val="single" w:color="E1E1E8" w:sz="6" w:space="0"/>
      <w:shd w:val="clear" w:fill="F7F7F9"/>
    </w:rPr>
  </w:style>
  <w:style w:type="character" w:styleId="37">
    <w:name w:val="annotation reference"/>
    <w:basedOn w:val="30"/>
    <w:semiHidden/>
    <w:qFormat/>
    <w:uiPriority w:val="0"/>
    <w:rPr>
      <w:sz w:val="21"/>
    </w:rPr>
  </w:style>
  <w:style w:type="character" w:styleId="38">
    <w:name w:val="HTML Cite"/>
    <w:basedOn w:val="30"/>
    <w:qFormat/>
    <w:uiPriority w:val="0"/>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character" w:customStyle="1" w:styleId="40">
    <w:name w:val="Heading 1 Char"/>
    <w:basedOn w:val="30"/>
    <w:link w:val="2"/>
    <w:qFormat/>
    <w:locked/>
    <w:uiPriority w:val="0"/>
    <w:rPr>
      <w:rFonts w:ascii="Times New Roman" w:hAnsi="Times New Roman" w:eastAsia="宋体" w:cs="Times New Roman"/>
      <w:b/>
      <w:bCs/>
      <w:kern w:val="44"/>
      <w:sz w:val="44"/>
      <w:szCs w:val="44"/>
      <w:lang w:val="zh-CN" w:eastAsia="zh-CN"/>
    </w:rPr>
  </w:style>
  <w:style w:type="character" w:customStyle="1" w:styleId="41">
    <w:name w:val="Heading 2 Char"/>
    <w:basedOn w:val="30"/>
    <w:link w:val="3"/>
    <w:qFormat/>
    <w:locked/>
    <w:uiPriority w:val="0"/>
    <w:rPr>
      <w:rFonts w:ascii="Cambria" w:hAnsi="Cambria" w:eastAsia="宋体" w:cs="Times New Roman"/>
      <w:b/>
      <w:bCs/>
      <w:kern w:val="0"/>
      <w:sz w:val="32"/>
      <w:szCs w:val="32"/>
      <w:lang w:val="zh-CN" w:eastAsia="zh-CN"/>
    </w:rPr>
  </w:style>
  <w:style w:type="character" w:customStyle="1" w:styleId="42">
    <w:name w:val="Heading 3 Char"/>
    <w:basedOn w:val="30"/>
    <w:link w:val="4"/>
    <w:qFormat/>
    <w:locked/>
    <w:uiPriority w:val="0"/>
    <w:rPr>
      <w:rFonts w:ascii="Times New Roman" w:hAnsi="Times New Roman" w:eastAsia="宋体" w:cs="Times New Roman"/>
      <w:b/>
      <w:bCs/>
      <w:kern w:val="0"/>
      <w:sz w:val="32"/>
      <w:szCs w:val="32"/>
      <w:lang w:val="zh-CN" w:eastAsia="zh-CN"/>
    </w:rPr>
  </w:style>
  <w:style w:type="character" w:customStyle="1" w:styleId="43">
    <w:name w:val="Normal Indent Char"/>
    <w:link w:val="7"/>
    <w:qFormat/>
    <w:locked/>
    <w:uiPriority w:val="0"/>
    <w:rPr>
      <w:sz w:val="20"/>
    </w:rPr>
  </w:style>
  <w:style w:type="character" w:customStyle="1" w:styleId="44">
    <w:name w:val="Body Text Char"/>
    <w:basedOn w:val="30"/>
    <w:link w:val="10"/>
    <w:qFormat/>
    <w:locked/>
    <w:uiPriority w:val="0"/>
    <w:rPr>
      <w:rFonts w:ascii="Times New Roman" w:hAnsi="Times New Roman" w:eastAsia="宋体" w:cs="Times New Roman"/>
      <w:sz w:val="28"/>
      <w:szCs w:val="28"/>
      <w:lang w:val="zh-CN" w:eastAsia="zh-CN"/>
    </w:rPr>
  </w:style>
  <w:style w:type="character" w:customStyle="1" w:styleId="45">
    <w:name w:val="Body Text Indent Char"/>
    <w:basedOn w:val="30"/>
    <w:link w:val="11"/>
    <w:qFormat/>
    <w:locked/>
    <w:uiPriority w:val="0"/>
    <w:rPr>
      <w:rFonts w:ascii="Times New Roman" w:hAnsi="Times New Roman" w:eastAsia="宋体" w:cs="Times New Roman"/>
      <w:kern w:val="0"/>
      <w:sz w:val="20"/>
      <w:szCs w:val="20"/>
      <w:lang w:val="zh-CN" w:eastAsia="zh-CN"/>
    </w:rPr>
  </w:style>
  <w:style w:type="character" w:customStyle="1" w:styleId="46">
    <w:name w:val="Document Map Char"/>
    <w:basedOn w:val="30"/>
    <w:link w:val="8"/>
    <w:qFormat/>
    <w:locked/>
    <w:uiPriority w:val="0"/>
    <w:rPr>
      <w:rFonts w:ascii="Times New Roman" w:hAnsi="Times New Roman" w:eastAsia="宋体" w:cs="Times New Roman"/>
      <w:kern w:val="0"/>
      <w:sz w:val="2"/>
      <w:szCs w:val="2"/>
      <w:shd w:val="clear" w:color="auto" w:fill="000080"/>
      <w:lang w:val="zh-CN" w:eastAsia="zh-CN"/>
    </w:rPr>
  </w:style>
  <w:style w:type="character" w:customStyle="1" w:styleId="47">
    <w:name w:val="Comment Text Char"/>
    <w:basedOn w:val="30"/>
    <w:link w:val="9"/>
    <w:qFormat/>
    <w:locked/>
    <w:uiPriority w:val="0"/>
    <w:rPr>
      <w:rFonts w:ascii="Times New Roman" w:hAnsi="Times New Roman" w:eastAsia="宋体" w:cs="Times New Roman"/>
      <w:sz w:val="28"/>
      <w:szCs w:val="28"/>
      <w:lang w:val="zh-CN" w:eastAsia="zh-CN"/>
    </w:rPr>
  </w:style>
  <w:style w:type="character" w:customStyle="1" w:styleId="48">
    <w:name w:val="Plain Text Char"/>
    <w:basedOn w:val="30"/>
    <w:link w:val="13"/>
    <w:qFormat/>
    <w:locked/>
    <w:uiPriority w:val="0"/>
    <w:rPr>
      <w:rFonts w:ascii="宋体" w:hAnsi="Courier New" w:eastAsia="宋体" w:cs="Times New Roman"/>
      <w:kern w:val="0"/>
      <w:sz w:val="21"/>
      <w:szCs w:val="21"/>
      <w:lang w:val="zh-CN" w:eastAsia="zh-CN"/>
    </w:rPr>
  </w:style>
  <w:style w:type="character" w:customStyle="1" w:styleId="49">
    <w:name w:val="Date Char"/>
    <w:basedOn w:val="30"/>
    <w:link w:val="14"/>
    <w:qFormat/>
    <w:locked/>
    <w:uiPriority w:val="0"/>
    <w:rPr>
      <w:rFonts w:ascii="Times New Roman" w:hAnsi="Times New Roman" w:eastAsia="宋体" w:cs="Times New Roman"/>
      <w:kern w:val="0"/>
      <w:sz w:val="20"/>
      <w:szCs w:val="20"/>
      <w:lang w:val="zh-CN" w:eastAsia="zh-CN"/>
    </w:rPr>
  </w:style>
  <w:style w:type="character" w:customStyle="1" w:styleId="50">
    <w:name w:val="Body Text Indent 2 Char"/>
    <w:basedOn w:val="30"/>
    <w:link w:val="15"/>
    <w:qFormat/>
    <w:locked/>
    <w:uiPriority w:val="0"/>
    <w:rPr>
      <w:rFonts w:ascii="Times New Roman" w:hAnsi="Times New Roman" w:eastAsia="宋体" w:cs="Times New Roman"/>
      <w:sz w:val="28"/>
      <w:szCs w:val="28"/>
      <w:lang w:val="zh-CN" w:eastAsia="zh-CN"/>
    </w:rPr>
  </w:style>
  <w:style w:type="character" w:customStyle="1" w:styleId="51">
    <w:name w:val="Balloon Text Char"/>
    <w:basedOn w:val="30"/>
    <w:link w:val="16"/>
    <w:qFormat/>
    <w:locked/>
    <w:uiPriority w:val="0"/>
    <w:rPr>
      <w:rFonts w:ascii="Times New Roman" w:hAnsi="Times New Roman" w:eastAsia="宋体" w:cs="Times New Roman"/>
      <w:kern w:val="0"/>
      <w:sz w:val="2"/>
      <w:szCs w:val="2"/>
      <w:lang w:val="zh-CN" w:eastAsia="zh-CN"/>
    </w:rPr>
  </w:style>
  <w:style w:type="character" w:customStyle="1" w:styleId="52">
    <w:name w:val="Footer Char"/>
    <w:basedOn w:val="30"/>
    <w:link w:val="17"/>
    <w:qFormat/>
    <w:locked/>
    <w:uiPriority w:val="0"/>
    <w:rPr>
      <w:rFonts w:ascii="Times New Roman" w:hAnsi="Times New Roman" w:eastAsia="宋体" w:cs="Times New Roman"/>
      <w:kern w:val="0"/>
      <w:sz w:val="18"/>
      <w:szCs w:val="18"/>
      <w:lang w:val="zh-CN" w:eastAsia="zh-CN"/>
    </w:rPr>
  </w:style>
  <w:style w:type="character" w:customStyle="1" w:styleId="53">
    <w:name w:val="Header Char"/>
    <w:basedOn w:val="30"/>
    <w:link w:val="18"/>
    <w:qFormat/>
    <w:locked/>
    <w:uiPriority w:val="0"/>
    <w:rPr>
      <w:rFonts w:ascii="Times New Roman" w:hAnsi="Times New Roman" w:eastAsia="宋体" w:cs="Times New Roman"/>
      <w:kern w:val="0"/>
      <w:sz w:val="18"/>
      <w:szCs w:val="18"/>
      <w:lang w:val="zh-CN" w:eastAsia="zh-CN"/>
    </w:rPr>
  </w:style>
  <w:style w:type="character" w:customStyle="1" w:styleId="54">
    <w:name w:val="Body Text 2 Char"/>
    <w:basedOn w:val="30"/>
    <w:link w:val="21"/>
    <w:qFormat/>
    <w:locked/>
    <w:uiPriority w:val="0"/>
    <w:rPr>
      <w:rFonts w:ascii="宋体" w:hAnsi="宋体" w:eastAsia="宋体" w:cs="Times New Roman"/>
      <w:kern w:val="0"/>
      <w:sz w:val="24"/>
      <w:lang w:val="zh-CN" w:eastAsia="zh-CN"/>
    </w:rPr>
  </w:style>
  <w:style w:type="character" w:customStyle="1" w:styleId="55">
    <w:name w:val="Comment Subject Char"/>
    <w:basedOn w:val="47"/>
    <w:link w:val="25"/>
    <w:qFormat/>
    <w:locked/>
    <w:uiPriority w:val="0"/>
    <w:rPr>
      <w:b/>
      <w:bCs/>
    </w:rPr>
  </w:style>
  <w:style w:type="character" w:customStyle="1" w:styleId="56">
    <w:name w:val="Body Text First Indent Char"/>
    <w:basedOn w:val="44"/>
    <w:link w:val="26"/>
    <w:qFormat/>
    <w:locked/>
    <w:uiPriority w:val="0"/>
    <w:rPr>
      <w:rFonts w:ascii="宋体" w:hAnsi="宋体" w:cs="宋体"/>
      <w:kern w:val="0"/>
    </w:rPr>
  </w:style>
  <w:style w:type="paragraph" w:customStyle="1" w:styleId="57">
    <w:name w:val="正文文本首行缩进1"/>
    <w:basedOn w:val="1"/>
    <w:qFormat/>
    <w:uiPriority w:val="0"/>
    <w:pPr>
      <w:spacing w:line="360" w:lineRule="auto"/>
      <w:ind w:firstLine="420"/>
    </w:pPr>
    <w:rPr>
      <w:rFonts w:cs="Times New Roman"/>
      <w:szCs w:val="20"/>
    </w:rPr>
  </w:style>
  <w:style w:type="paragraph" w:customStyle="1" w:styleId="58">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 w:type="paragraph" w:customStyle="1" w:styleId="59">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60">
    <w:name w:val="标书正文1"/>
    <w:basedOn w:val="1"/>
    <w:qFormat/>
    <w:uiPriority w:val="0"/>
    <w:pPr>
      <w:spacing w:line="520" w:lineRule="exact"/>
      <w:ind w:firstLine="640" w:firstLineChars="200"/>
    </w:pPr>
  </w:style>
  <w:style w:type="paragraph" w:customStyle="1" w:styleId="61">
    <w:name w:val="正文文本 21"/>
    <w:basedOn w:val="1"/>
    <w:qFormat/>
    <w:uiPriority w:val="0"/>
    <w:pPr>
      <w:snapToGrid w:val="0"/>
      <w:spacing w:line="540" w:lineRule="exact"/>
    </w:pPr>
    <w:rPr>
      <w:rFonts w:eastAsia="Times New Roman"/>
      <w:color w:val="000000"/>
    </w:rPr>
  </w:style>
  <w:style w:type="paragraph" w:customStyle="1" w:styleId="62">
    <w:name w:val="引用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 w:type="character" w:customStyle="1" w:styleId="63">
    <w:name w:val="emphasizedtitle1"/>
    <w:qFormat/>
    <w:uiPriority w:val="0"/>
    <w:rPr>
      <w:rFonts w:ascii="Arial" w:hAnsi="Arial"/>
      <w:b/>
      <w:sz w:val="27"/>
    </w:rPr>
  </w:style>
  <w:style w:type="character" w:customStyle="1" w:styleId="64">
    <w:name w:val="font21"/>
    <w:qFormat/>
    <w:uiPriority w:val="0"/>
    <w:rPr>
      <w:rFonts w:ascii="宋体" w:eastAsia="宋体"/>
      <w:color w:val="000000"/>
      <w:sz w:val="20"/>
      <w:u w:val="none"/>
    </w:rPr>
  </w:style>
  <w:style w:type="character" w:customStyle="1" w:styleId="65">
    <w:name w:val="apple-converted-space"/>
    <w:qFormat/>
    <w:uiPriority w:val="0"/>
  </w:style>
  <w:style w:type="character" w:customStyle="1" w:styleId="66">
    <w:name w:val="active"/>
    <w:qFormat/>
    <w:uiPriority w:val="0"/>
    <w:rPr>
      <w:shd w:val="clear" w:color="auto" w:fill="EC3535"/>
    </w:rPr>
  </w:style>
  <w:style w:type="character" w:customStyle="1" w:styleId="67">
    <w:name w:val="样式 (中文) 仿宋_GB2312 小四 行距: 固定值 22 磅 Char"/>
    <w:link w:val="68"/>
    <w:qFormat/>
    <w:locked/>
    <w:uiPriority w:val="0"/>
    <w:rPr>
      <w:rFonts w:eastAsia="仿宋_GB2312"/>
      <w:sz w:val="24"/>
    </w:rPr>
  </w:style>
  <w:style w:type="paragraph" w:customStyle="1" w:styleId="68">
    <w:name w:val="样式 (中文) 仿宋_GB2312 小四 行距: 固定值 22 磅"/>
    <w:basedOn w:val="1"/>
    <w:link w:val="67"/>
    <w:qFormat/>
    <w:uiPriority w:val="0"/>
    <w:pPr>
      <w:spacing w:line="400" w:lineRule="exact"/>
      <w:ind w:firstLine="150" w:firstLineChars="150"/>
    </w:pPr>
    <w:rPr>
      <w:rFonts w:ascii="Times New Roman" w:hAnsi="Times New Roman" w:eastAsia="仿宋_GB2312" w:cs="Times New Roman"/>
      <w:szCs w:val="20"/>
    </w:rPr>
  </w:style>
  <w:style w:type="character" w:customStyle="1" w:styleId="69">
    <w:name w:val="maincontenttable"/>
    <w:qFormat/>
    <w:uiPriority w:val="0"/>
  </w:style>
  <w:style w:type="paragraph" w:customStyle="1" w:styleId="70">
    <w:name w:val="Char1 Char Char Char"/>
    <w:basedOn w:val="1"/>
    <w:qFormat/>
    <w:uiPriority w:val="0"/>
    <w:rPr>
      <w:rFonts w:ascii="Tahoma" w:hAnsi="Tahoma" w:cs="Tahoma"/>
      <w:sz w:val="30"/>
      <w:szCs w:val="30"/>
    </w:rPr>
  </w:style>
  <w:style w:type="paragraph" w:customStyle="1" w:styleId="71">
    <w:name w:val="Char Char Char Char Char Char Char Char Char Char"/>
    <w:basedOn w:val="1"/>
    <w:qFormat/>
    <w:uiPriority w:val="0"/>
    <w:pPr>
      <w:tabs>
        <w:tab w:val="left" w:pos="360"/>
      </w:tabs>
      <w:ind w:left="360" w:hanging="360" w:hangingChars="200"/>
    </w:pPr>
  </w:style>
  <w:style w:type="paragraph" w:customStyle="1" w:styleId="72">
    <w:name w:val="op_exactqa_s_prop"/>
    <w:basedOn w:val="1"/>
    <w:qFormat/>
    <w:uiPriority w:val="0"/>
  </w:style>
  <w:style w:type="paragraph" w:customStyle="1" w:styleId="73">
    <w:name w:val="Char"/>
    <w:basedOn w:val="1"/>
    <w:qFormat/>
    <w:uiPriority w:val="0"/>
    <w:pPr>
      <w:spacing w:after="160" w:line="240" w:lineRule="exact"/>
    </w:pPr>
    <w:rPr>
      <w:rFonts w:ascii="Verdana" w:hAnsi="Verdana" w:eastAsia="仿宋_GB2312" w:cs="Verdana"/>
      <w:lang w:eastAsia="en-US"/>
    </w:rPr>
  </w:style>
  <w:style w:type="paragraph" w:customStyle="1" w:styleId="74">
    <w:name w:val="图例"/>
    <w:basedOn w:val="1"/>
    <w:qFormat/>
    <w:uiPriority w:val="0"/>
    <w:pPr>
      <w:spacing w:before="120" w:after="120" w:line="360" w:lineRule="auto"/>
      <w:jc w:val="center"/>
    </w:pPr>
    <w:rPr>
      <w:rFonts w:eastAsia="仿宋_GB2312"/>
      <w:b/>
    </w:rPr>
  </w:style>
  <w:style w:type="paragraph" w:customStyle="1" w:styleId="75">
    <w:name w:val="Char Char Char Char"/>
    <w:basedOn w:val="1"/>
    <w:qFormat/>
    <w:uiPriority w:val="0"/>
    <w:pPr>
      <w:spacing w:after="160" w:line="240" w:lineRule="exact"/>
    </w:pPr>
    <w:rPr>
      <w:rFonts w:ascii="Verdana" w:hAnsi="Verdana" w:cs="Verdana"/>
      <w:sz w:val="20"/>
      <w:szCs w:val="20"/>
      <w:lang w:eastAsia="en-US"/>
    </w:rPr>
  </w:style>
  <w:style w:type="paragraph" w:customStyle="1" w:styleId="76">
    <w:name w:val="_Style 7"/>
    <w:basedOn w:val="1"/>
    <w:qFormat/>
    <w:uiPriority w:val="0"/>
    <w:pPr>
      <w:ind w:firstLine="200" w:firstLineChars="200"/>
    </w:pPr>
    <w:rPr>
      <w:rFonts w:ascii="等线" w:eastAsia="等线" w:cs="Times New Roman"/>
      <w:sz w:val="21"/>
      <w:szCs w:val="22"/>
    </w:rPr>
  </w:style>
  <w:style w:type="paragraph" w:customStyle="1" w:styleId="77">
    <w:name w:val="xl40"/>
    <w:basedOn w:val="1"/>
    <w:qFormat/>
    <w:uiPriority w:val="0"/>
    <w:pPr>
      <w:pBdr>
        <w:left w:val="single" w:color="auto" w:sz="4" w:space="0"/>
        <w:right w:val="single" w:color="auto" w:sz="4" w:space="0"/>
      </w:pBdr>
      <w:spacing w:before="100" w:beforeAutospacing="1" w:after="100" w:afterAutospacing="1"/>
      <w:jc w:val="center"/>
    </w:pPr>
  </w:style>
  <w:style w:type="paragraph" w:customStyle="1" w:styleId="78">
    <w:name w:val="列表段落1"/>
    <w:basedOn w:val="1"/>
    <w:qFormat/>
    <w:uiPriority w:val="0"/>
    <w:pPr>
      <w:ind w:firstLine="420" w:firstLineChars="200"/>
    </w:pPr>
  </w:style>
  <w:style w:type="paragraph" w:customStyle="1" w:styleId="79">
    <w:name w:val="1"/>
    <w:basedOn w:val="1"/>
    <w:next w:val="13"/>
    <w:qFormat/>
    <w:uiPriority w:val="0"/>
    <w:rPr>
      <w:rFonts w:hAnsi="Courier New"/>
      <w:sz w:val="21"/>
      <w:szCs w:val="21"/>
    </w:rPr>
  </w:style>
  <w:style w:type="paragraph" w:customStyle="1" w:styleId="80">
    <w:name w:val="列出段落2"/>
    <w:basedOn w:val="1"/>
    <w:qFormat/>
    <w:uiPriority w:val="0"/>
    <w:pPr>
      <w:ind w:firstLine="420" w:firstLineChars="200"/>
    </w:pPr>
  </w:style>
  <w:style w:type="paragraph" w:customStyle="1" w:styleId="81">
    <w:name w:val="附件"/>
    <w:next w:val="1"/>
    <w:qFormat/>
    <w:uiPriority w:val="0"/>
    <w:pPr>
      <w:tabs>
        <w:tab w:val="right" w:leader="dot" w:pos="9402"/>
      </w:tabs>
      <w:spacing w:line="400" w:lineRule="exact"/>
      <w:jc w:val="center"/>
      <w:outlineLvl w:val="0"/>
    </w:pPr>
    <w:rPr>
      <w:rFonts w:ascii="Times New Roman" w:hAnsi="Times New Roman" w:eastAsia="方正黑体_GBK" w:cs="Times New Roman"/>
      <w:b/>
      <w:bCs/>
      <w:smallCaps/>
      <w:kern w:val="2"/>
      <w:sz w:val="28"/>
      <w:lang w:val="en-US" w:eastAsia="zh-CN" w:bidi="ar-SA"/>
    </w:rPr>
  </w:style>
  <w:style w:type="paragraph" w:customStyle="1" w:styleId="82">
    <w:name w:val="列出段落1"/>
    <w:basedOn w:val="1"/>
    <w:qFormat/>
    <w:uiPriority w:val="0"/>
    <w:pPr>
      <w:ind w:firstLine="420" w:firstLineChars="200"/>
    </w:pPr>
    <w:rPr>
      <w:rFonts w:ascii="Calibri" w:hAnsi="Calibri"/>
      <w:sz w:val="21"/>
      <w:szCs w:val="22"/>
    </w:rPr>
  </w:style>
  <w:style w:type="paragraph" w:customStyle="1" w:styleId="83">
    <w:name w:val="无间隔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84">
    <w:name w:val="标题 5（有编号）（绿盟科技）"/>
    <w:basedOn w:val="1"/>
    <w:next w:val="1"/>
    <w:qFormat/>
    <w:uiPriority w:val="0"/>
    <w:pPr>
      <w:keepNext/>
      <w:keepLines/>
      <w:numPr>
        <w:ilvl w:val="4"/>
        <w:numId w:val="1"/>
      </w:numPr>
      <w:spacing w:before="280" w:after="156" w:line="377" w:lineRule="auto"/>
      <w:ind w:left="2100" w:hanging="420"/>
      <w:outlineLvl w:val="4"/>
    </w:pPr>
    <w:rPr>
      <w:rFonts w:ascii="Arial" w:hAnsi="Arial" w:eastAsia="黑体"/>
      <w:b/>
    </w:rPr>
  </w:style>
  <w:style w:type="paragraph" w:customStyle="1" w:styleId="85">
    <w:name w:val="样式 样式 首行缩进:  2 字符 + 首行缩进:  2 字符"/>
    <w:basedOn w:val="1"/>
    <w:qFormat/>
    <w:uiPriority w:val="0"/>
    <w:pPr>
      <w:numPr>
        <w:ilvl w:val="0"/>
        <w:numId w:val="1"/>
      </w:numPr>
      <w:spacing w:line="360" w:lineRule="auto"/>
      <w:ind w:firstLine="480" w:firstLineChars="200"/>
    </w:pPr>
    <w:rPr>
      <w:szCs w:val="20"/>
    </w:rPr>
  </w:style>
  <w:style w:type="character" w:customStyle="1" w:styleId="86">
    <w:name w:val="NormalCharacter"/>
    <w:qFormat/>
    <w:uiPriority w:val="0"/>
    <w:rPr>
      <w:rFonts w:ascii="Calibri" w:hAnsi="Calibri" w:eastAsia="宋体"/>
    </w:rPr>
  </w:style>
  <w:style w:type="paragraph" w:customStyle="1" w:styleId="87">
    <w:name w:val="List Paragraph"/>
    <w:basedOn w:val="1"/>
    <w:qFormat/>
    <w:uiPriority w:val="0"/>
    <w:pPr>
      <w:widowControl w:val="0"/>
      <w:ind w:firstLine="420" w:firstLineChars="200"/>
      <w:jc w:val="both"/>
    </w:pPr>
    <w:rPr>
      <w:rFonts w:ascii="Calibri" w:hAnsi="Calibri" w:cs="Times New Roman"/>
      <w:kern w:val="2"/>
      <w:sz w:val="21"/>
    </w:rPr>
  </w:style>
  <w:style w:type="paragraph" w:customStyle="1" w:styleId="88">
    <w:name w:val="Normal_6b1eb2b1-915e-4520-a4ad-e896fdd76176"/>
    <w:next w:val="2"/>
    <w:qFormat/>
    <w:uiPriority w:val="0"/>
    <w:rPr>
      <w:rFonts w:ascii="Times New Roman" w:hAnsi="Times New Roman" w:eastAsia="宋体" w:cs="Times New Roman"/>
      <w:sz w:val="21"/>
      <w:lang w:val="en-US" w:eastAsia="zh-CN" w:bidi="ar-SA"/>
    </w:rPr>
  </w:style>
  <w:style w:type="paragraph" w:customStyle="1" w:styleId="89">
    <w:name w:val="AAAAAAA"/>
    <w:basedOn w:val="1"/>
    <w:qFormat/>
    <w:uiPriority w:val="0"/>
    <w:rPr>
      <w:rFonts w:cs="微软雅黑"/>
      <w:bCs/>
    </w:rPr>
  </w:style>
  <w:style w:type="paragraph" w:customStyle="1" w:styleId="90">
    <w:name w:val="正文首行缩进1"/>
    <w:basedOn w:val="10"/>
    <w:qFormat/>
    <w:uiPriority w:val="0"/>
    <w:pPr>
      <w:adjustRightInd w:val="0"/>
      <w:spacing w:line="275" w:lineRule="atLeast"/>
      <w:ind w:firstLine="420"/>
      <w:textAlignment w:val="baseline"/>
    </w:pPr>
    <w:rPr>
      <w:rFonts w:eastAsia="楷体_GB2312"/>
      <w:sz w:val="24"/>
      <w:szCs w:val="20"/>
    </w:rPr>
  </w:style>
  <w:style w:type="paragraph" w:customStyle="1" w:styleId="91">
    <w:name w:val="无间隔2"/>
    <w:basedOn w:val="1"/>
    <w:qFormat/>
    <w:uiPriority w:val="0"/>
    <w:pPr>
      <w:spacing w:line="400" w:lineRule="exact"/>
    </w:pPr>
  </w:style>
  <w:style w:type="paragraph" w:customStyle="1" w:styleId="92">
    <w:name w:val="授权书和信息卡行距"/>
    <w:qFormat/>
    <w:uiPriority w:val="0"/>
    <w:pPr>
      <w:spacing w:line="560" w:lineRule="exact"/>
      <w:ind w:firstLine="200" w:firstLineChars="200"/>
    </w:pPr>
    <w:rPr>
      <w:rFonts w:ascii="Times New Roman" w:hAnsi="Times New Roman" w:eastAsia="仿宋_GB2312" w:cs="Times New Roman"/>
      <w:kern w:val="2"/>
      <w:sz w:val="24"/>
      <w:szCs w:val="24"/>
      <w:lang w:val="en-US" w:eastAsia="zh-CN" w:bidi="ar-SA"/>
    </w:rPr>
  </w:style>
  <w:style w:type="paragraph" w:customStyle="1" w:styleId="93">
    <w:name w:val="BodyText"/>
    <w:basedOn w:val="1"/>
    <w:next w:val="1"/>
    <w:qFormat/>
    <w:uiPriority w:val="0"/>
  </w:style>
  <w:style w:type="paragraph" w:customStyle="1" w:styleId="94">
    <w:name w:val="项目编号名称单位地点等"/>
    <w:link w:val="95"/>
    <w:autoRedefine/>
    <w:semiHidden/>
    <w:qFormat/>
    <w:uiPriority w:val="99"/>
    <w:pPr>
      <w:tabs>
        <w:tab w:val="left" w:pos="560"/>
      </w:tabs>
      <w:spacing w:line="660" w:lineRule="exact"/>
      <w:jc w:val="center"/>
    </w:pPr>
    <w:rPr>
      <w:rFonts w:ascii="黑体" w:hAnsi="黑体" w:eastAsia="宋体" w:cs="黑体"/>
      <w:b/>
      <w:bCs/>
      <w:kern w:val="2"/>
      <w:sz w:val="32"/>
      <w:szCs w:val="32"/>
      <w:lang w:val="en-US" w:eastAsia="zh-CN" w:bidi="ar-SA"/>
    </w:rPr>
  </w:style>
  <w:style w:type="character" w:customStyle="1" w:styleId="95">
    <w:name w:val="项目编号名称单位地点等 Char"/>
    <w:link w:val="94"/>
    <w:semiHidden/>
    <w:qFormat/>
    <w:locked/>
    <w:uiPriority w:val="99"/>
    <w:rPr>
      <w:rFonts w:ascii="黑体" w:hAnsi="黑体" w:eastAsia="宋体" w:cs="黑体"/>
      <w:b/>
      <w:bCs/>
      <w:kern w:val="2"/>
      <w:sz w:val="32"/>
      <w:szCs w:val="32"/>
      <w:lang w:val="en-US" w:eastAsia="zh-CN" w:bidi="ar-SA"/>
    </w:rPr>
  </w:style>
  <w:style w:type="paragraph" w:customStyle="1" w:styleId="96">
    <w:name w:val="政采招标大字"/>
    <w:autoRedefine/>
    <w:semiHidden/>
    <w:qFormat/>
    <w:uiPriority w:val="99"/>
    <w:pPr>
      <w:spacing w:line="1600" w:lineRule="exact"/>
      <w:jc w:val="center"/>
    </w:pPr>
    <w:rPr>
      <w:rFonts w:ascii="黑体" w:hAnsi="宋体" w:eastAsia="方正黑体_GBK" w:cs="黑体"/>
      <w:b/>
      <w:bCs/>
      <w:kern w:val="2"/>
      <w:sz w:val="72"/>
      <w:szCs w:val="72"/>
      <w:lang w:val="en-US" w:eastAsia="zh-CN" w:bidi="ar-SA"/>
    </w:rPr>
  </w:style>
  <w:style w:type="paragraph" w:customStyle="1" w:styleId="97">
    <w:name w:val="项目编号、名称"/>
    <w:basedOn w:val="1"/>
    <w:autoRedefine/>
    <w:semiHidden/>
    <w:qFormat/>
    <w:uiPriority w:val="99"/>
    <w:pPr>
      <w:widowControl/>
      <w:tabs>
        <w:tab w:val="left" w:pos="560"/>
      </w:tabs>
      <w:spacing w:line="660" w:lineRule="exact"/>
      <w:ind w:firstLine="200" w:firstLineChars="200"/>
      <w:jc w:val="center"/>
    </w:pPr>
    <w:rPr>
      <w:rFonts w:ascii="黑体" w:hAnsi="黑体" w:eastAsia="仿宋_GB2312" w:cs="黑体"/>
      <w:b/>
      <w:bCs/>
      <w:sz w:val="36"/>
      <w:szCs w:val="36"/>
    </w:rPr>
  </w:style>
  <w:style w:type="paragraph" w:customStyle="1" w:styleId="98">
    <w:name w:val="采购(建设）机构和时间"/>
    <w:basedOn w:val="1"/>
    <w:autoRedefine/>
    <w:semiHidden/>
    <w:qFormat/>
    <w:uiPriority w:val="99"/>
    <w:pPr>
      <w:widowControl/>
      <w:tabs>
        <w:tab w:val="left" w:pos="560"/>
      </w:tabs>
      <w:spacing w:line="660" w:lineRule="exact"/>
      <w:jc w:val="center"/>
    </w:pPr>
    <w:rPr>
      <w:rFonts w:ascii="黑体" w:hAnsi="黑体" w:cs="黑体"/>
      <w:b/>
      <w:bCs/>
      <w:sz w:val="36"/>
      <w:szCs w:val="36"/>
    </w:rPr>
  </w:style>
  <w:style w:type="paragraph" w:customStyle="1" w:styleId="99">
    <w:name w:val="项目编号、项目名称"/>
    <w:autoRedefine/>
    <w:semiHidden/>
    <w:qFormat/>
    <w:uiPriority w:val="99"/>
    <w:pPr>
      <w:tabs>
        <w:tab w:val="left" w:pos="560"/>
      </w:tabs>
      <w:spacing w:line="660" w:lineRule="exact"/>
      <w:jc w:val="center"/>
    </w:pPr>
    <w:rPr>
      <w:rFonts w:ascii="黑体" w:hAnsi="黑体" w:eastAsia="宋体" w:cs="黑体"/>
      <w:b/>
      <w:bCs/>
      <w:kern w:val="2"/>
      <w:sz w:val="32"/>
      <w:szCs w:val="32"/>
      <w:lang w:val="en-US" w:eastAsia="zh-CN" w:bidi="ar-SA"/>
    </w:rPr>
  </w:style>
  <w:style w:type="paragraph" w:customStyle="1" w:styleId="100">
    <w:name w:val="WPSOffice手动目录 1"/>
    <w:qFormat/>
    <w:uiPriority w:val="0"/>
    <w:pPr>
      <w:ind w:leftChars="0"/>
    </w:pPr>
    <w:rPr>
      <w:rFonts w:ascii="Times New Roman" w:hAnsi="Times New Roman" w:eastAsia="宋体" w:cs="Times New Roman"/>
      <w:sz w:val="20"/>
      <w:szCs w:val="20"/>
    </w:rPr>
  </w:style>
  <w:style w:type="character" w:customStyle="1" w:styleId="101">
    <w:name w:val="active1"/>
    <w:basedOn w:val="30"/>
    <w:qFormat/>
    <w:uiPriority w:val="0"/>
    <w:rPr>
      <w:color w:val="FFFFFF"/>
      <w:shd w:val="clear" w:fill="E02F23"/>
    </w:rPr>
  </w:style>
  <w:style w:type="character" w:customStyle="1" w:styleId="102">
    <w:name w:val="active7"/>
    <w:basedOn w:val="30"/>
    <w:qFormat/>
    <w:uiPriority w:val="0"/>
    <w:rPr>
      <w:color w:val="FFFFFF"/>
      <w:shd w:val="clear" w:fill="E02F23"/>
    </w:rPr>
  </w:style>
  <w:style w:type="character" w:customStyle="1" w:styleId="103">
    <w:name w:val="active6"/>
    <w:basedOn w:val="30"/>
    <w:qFormat/>
    <w:uiPriority w:val="0"/>
    <w:rPr>
      <w:color w:val="FFFFFF"/>
      <w:shd w:val="clear" w:fill="E02F23"/>
    </w:rPr>
  </w:style>
  <w:style w:type="paragraph" w:customStyle="1" w:styleId="104">
    <w:name w:val="Heading2"/>
    <w:next w:val="1"/>
    <w:qFormat/>
    <w:uiPriority w:val="0"/>
    <w:pPr>
      <w:keepNext/>
      <w:keepLines/>
      <w:widowControl w:val="0"/>
      <w:spacing w:before="120" w:after="120"/>
      <w:jc w:val="both"/>
      <w:textAlignment w:val="baseline"/>
    </w:pPr>
    <w:rPr>
      <w:rFonts w:ascii="Calibri" w:hAnsi="Calibri" w:eastAsia="黑体" w:cs="Times New Roman"/>
      <w:bCs/>
      <w:kern w:val="2"/>
      <w:sz w:val="30"/>
      <w:szCs w:val="32"/>
      <w:lang w:val="en-US" w:eastAsia="zh-CN" w:bidi="ar-SA"/>
    </w:rPr>
  </w:style>
  <w:style w:type="character" w:customStyle="1" w:styleId="105">
    <w:name w:val="active5"/>
    <w:basedOn w:val="30"/>
    <w:qFormat/>
    <w:uiPriority w:val="0"/>
    <w:rPr>
      <w:color w:val="FFFFFF"/>
      <w:shd w:val="clear" w:fill="E02F23"/>
    </w:rPr>
  </w:style>
  <w:style w:type="paragraph" w:customStyle="1" w:styleId="106">
    <w:name w:val="_正文段落"/>
    <w:basedOn w:val="1"/>
    <w:qFormat/>
    <w:uiPriority w:val="0"/>
    <w:pPr>
      <w:spacing w:beforeLines="15" w:afterLines="15" w:line="360" w:lineRule="auto"/>
      <w:ind w:firstLine="480" w:firstLineChars="200"/>
    </w:pPr>
    <w:rPr>
      <w:rFonts w:ascii="宋体" w:hAnsi="宋体"/>
      <w:sz w:val="24"/>
      <w:szCs w:val="24"/>
    </w:rPr>
  </w:style>
  <w:style w:type="paragraph" w:customStyle="1" w:styleId="107">
    <w:name w:val="电建正文"/>
    <w:basedOn w:val="1"/>
    <w:qFormat/>
    <w:uiPriority w:val="0"/>
    <w:pPr>
      <w:tabs>
        <w:tab w:val="left" w:pos="720"/>
      </w:tabs>
      <w:suppressAutoHyphens/>
      <w:overflowPunct w:val="0"/>
      <w:autoSpaceDE w:val="0"/>
      <w:autoSpaceDN w:val="0"/>
      <w:spacing w:before="80" w:after="80" w:line="360" w:lineRule="auto"/>
      <w:contextualSpacing/>
    </w:pPr>
    <w:rPr>
      <w:rFonts w:ascii="Tahoma" w:hAnsi="Tahoma" w:eastAsia="宋体"/>
      <w:kern w:val="0"/>
      <w:szCs w:val="22"/>
    </w:rPr>
  </w:style>
  <w:style w:type="paragraph" w:customStyle="1" w:styleId="108">
    <w:name w:val="_Style 2"/>
    <w:basedOn w:val="1"/>
    <w:qFormat/>
    <w:uiPriority w:val="34"/>
    <w:pPr>
      <w:ind w:firstLine="420" w:firstLineChars="200"/>
    </w:pPr>
  </w:style>
  <w:style w:type="paragraph" w:customStyle="1" w:styleId="109">
    <w:name w:val="身份证明授权委托投标函等行距"/>
    <w:semiHidden/>
    <w:qFormat/>
    <w:uiPriority w:val="0"/>
    <w:pPr>
      <w:spacing w:line="560" w:lineRule="exact"/>
      <w:ind w:firstLine="200" w:firstLineChars="200"/>
    </w:pPr>
    <w:rPr>
      <w:rFonts w:ascii="Times New Roman" w:hAnsi="Times New Roman"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36</Pages>
  <Words>15055</Words>
  <Characters>15815</Characters>
  <Lines>268</Lines>
  <Paragraphs>75</Paragraphs>
  <TotalTime>15</TotalTime>
  <ScaleCrop>false</ScaleCrop>
  <LinksUpToDate>false</LinksUpToDate>
  <CharactersWithSpaces>16996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2024-06-18T04:44:00Z</dcterms:created>
  <dc:creator>Haowen Yang</dc:creator>
  <cp:lastModifiedBy>沙沙</cp:lastModifiedBy>
  <cp:lastPrinted>2023-10-12T01:31:00Z</cp:lastPrinted>
  <dcterms:modified xsi:type="dcterms:W3CDTF">2025-07-28T03:39:26Z</dcterms:modified>
  <dc:title>第一篇  邀请书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3631F38BA25943CD83616AF5C23F6171_13</vt:lpwstr>
  </property>
  <property fmtid="{D5CDD505-2E9C-101B-9397-08002B2CF9AE}" pid="4" name="KSOTemplateDocerSaveRecord">
    <vt:lpwstr>eyJoZGlkIjoiZjllZGQxMTA2YzE1MjZjMmNlNmU3NmViYTJjMGYwMWIiLCJ1c2VySWQiOiI1NjY1MTc0MDAifQ==</vt:lpwstr>
  </property>
</Properties>
</file>