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1A55B5">
      <w:pPr>
        <w:pStyle w:val="2"/>
        <w:bidi w:val="0"/>
        <w:rPr>
          <w:rFonts w:hint="eastAsia" w:ascii="宋体" w:hAnsi="宋体" w:eastAsia="宋体" w:cs="宋体"/>
          <w:color w:val="auto"/>
          <w:highlight w:val="none"/>
        </w:rPr>
      </w:pPr>
      <w:bookmarkStart w:id="0" w:name="_Toc15146"/>
      <w:bookmarkStart w:id="1" w:name="_Toc136879634"/>
      <w:bookmarkStart w:id="2" w:name="_Toc30901"/>
      <w:bookmarkStart w:id="3" w:name="_Toc20816"/>
      <w:bookmarkStart w:id="4" w:name="_Toc136880102"/>
      <w:bookmarkStart w:id="5" w:name="_Toc1828"/>
      <w:bookmarkStart w:id="6" w:name="_Toc3073"/>
      <w:bookmarkStart w:id="7" w:name="_Toc12923"/>
      <w:bookmarkStart w:id="8" w:name="_Toc136879793"/>
      <w:bookmarkStart w:id="9" w:name="_Toc23648"/>
      <w:bookmarkStart w:id="10" w:name="_Toc16015"/>
      <w:bookmarkStart w:id="11" w:name="_Toc31915"/>
      <w:bookmarkStart w:id="12" w:name="_Toc21122"/>
      <w:bookmarkStart w:id="13" w:name="_Toc21750"/>
      <w:bookmarkStart w:id="14" w:name="_Toc136879882"/>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94A7B05">
      <w:pPr>
        <w:pStyle w:val="23"/>
        <w:spacing w:line="240" w:lineRule="auto"/>
        <w:ind w:left="0"/>
        <w:jc w:val="center"/>
        <w:rPr>
          <w:rFonts w:hint="eastAsia" w:ascii="宋体" w:hAnsi="宋体" w:eastAsia="宋体" w:cs="宋体"/>
          <w:color w:val="auto"/>
          <w:sz w:val="44"/>
          <w:szCs w:val="44"/>
          <w:highlight w:val="none"/>
        </w:rPr>
      </w:pPr>
      <w:bookmarkStart w:id="15" w:name="_Toc12859"/>
      <w:bookmarkStart w:id="16" w:name="_Toc136880103"/>
      <w:bookmarkStart w:id="17" w:name="_Toc31652"/>
      <w:bookmarkStart w:id="18" w:name="_Toc7828"/>
      <w:bookmarkStart w:id="19" w:name="_Toc136879794"/>
      <w:bookmarkStart w:id="20" w:name="_Toc156"/>
      <w:bookmarkStart w:id="21" w:name="_Toc16319"/>
      <w:bookmarkStart w:id="22" w:name="_Toc5521"/>
      <w:bookmarkStart w:id="23" w:name="_Toc136879635"/>
      <w:bookmarkStart w:id="24" w:name="_Toc21695"/>
      <w:bookmarkStart w:id="25" w:name="_Toc6223"/>
      <w:bookmarkStart w:id="26" w:name="_Toc28014"/>
      <w:bookmarkStart w:id="27" w:name="_Toc5958"/>
      <w:bookmarkStart w:id="28" w:name="_Toc25539"/>
      <w:bookmarkStart w:id="29" w:name="_Toc136879883"/>
      <w:r>
        <w:rPr>
          <w:rFonts w:hint="eastAsia" w:ascii="宋体" w:hAnsi="宋体" w:eastAsia="宋体" w:cs="宋体"/>
          <w:color w:val="auto"/>
          <w:sz w:val="44"/>
          <w:szCs w:val="44"/>
          <w:highlight w:val="none"/>
          <w:lang w:eastAsia="zh-CN"/>
        </w:rPr>
        <w:t>小额交易平台</w:t>
      </w:r>
      <w:r>
        <w:rPr>
          <w:rFonts w:hint="eastAsia" w:ascii="宋体" w:hAnsi="宋体" w:eastAsia="宋体" w:cs="宋体"/>
          <w:color w:val="auto"/>
          <w:sz w:val="44"/>
          <w:szCs w:val="44"/>
          <w:highlight w:val="none"/>
          <w:lang w:val="en-US" w:eastAsia="zh-CN"/>
        </w:rPr>
        <w:t>网上竞采</w:t>
      </w:r>
      <w:r>
        <w:rPr>
          <w:rFonts w:hint="eastAsia" w:ascii="宋体" w:hAnsi="宋体" w:eastAsia="宋体" w:cs="宋体"/>
          <w:color w:val="auto"/>
          <w:sz w:val="44"/>
          <w:szCs w:val="44"/>
          <w:highlight w:val="none"/>
        </w:rPr>
        <w:t>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85D988F">
      <w:pPr>
        <w:pStyle w:val="23"/>
        <w:spacing w:line="500" w:lineRule="exact"/>
        <w:ind w:left="0"/>
        <w:rPr>
          <w:rFonts w:hint="eastAsia" w:ascii="宋体" w:hAnsi="宋体" w:eastAsia="宋体" w:cs="宋体"/>
          <w:color w:val="auto"/>
          <w:sz w:val="36"/>
          <w:szCs w:val="36"/>
          <w:highlight w:val="none"/>
        </w:rPr>
      </w:pPr>
    </w:p>
    <w:p w14:paraId="77AD9BF9">
      <w:pPr>
        <w:pStyle w:val="23"/>
        <w:spacing w:line="500" w:lineRule="exact"/>
        <w:ind w:left="0"/>
        <w:rPr>
          <w:rFonts w:hint="eastAsia" w:ascii="宋体" w:hAnsi="宋体" w:eastAsia="宋体" w:cs="宋体"/>
          <w:color w:val="auto"/>
          <w:sz w:val="36"/>
          <w:szCs w:val="36"/>
          <w:highlight w:val="none"/>
        </w:rPr>
      </w:pPr>
    </w:p>
    <w:p w14:paraId="70E39F58">
      <w:pPr>
        <w:pStyle w:val="23"/>
        <w:spacing w:line="500" w:lineRule="exact"/>
        <w:ind w:left="0"/>
        <w:rPr>
          <w:rFonts w:hint="eastAsia" w:ascii="宋体" w:hAnsi="宋体" w:eastAsia="宋体" w:cs="宋体"/>
          <w:color w:val="auto"/>
          <w:sz w:val="36"/>
          <w:szCs w:val="36"/>
          <w:highlight w:val="none"/>
        </w:rPr>
      </w:pPr>
    </w:p>
    <w:p w14:paraId="49B0D347">
      <w:pPr>
        <w:pStyle w:val="23"/>
        <w:spacing w:line="500" w:lineRule="exact"/>
        <w:ind w:left="0"/>
        <w:rPr>
          <w:rFonts w:hint="eastAsia" w:ascii="宋体" w:hAnsi="宋体" w:eastAsia="宋体" w:cs="宋体"/>
          <w:color w:val="auto"/>
          <w:sz w:val="36"/>
          <w:szCs w:val="36"/>
          <w:highlight w:val="none"/>
        </w:rPr>
      </w:pPr>
    </w:p>
    <w:p w14:paraId="7558001F">
      <w:pPr>
        <w:pStyle w:val="23"/>
        <w:spacing w:line="500" w:lineRule="exact"/>
        <w:ind w:left="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lang w:val="en-US" w:eastAsia="zh-CN"/>
        </w:rPr>
        <w:t xml:space="preserve"> </w:t>
      </w:r>
    </w:p>
    <w:p w14:paraId="192D5E55">
      <w:pPr>
        <w:pStyle w:val="23"/>
        <w:spacing w:line="500" w:lineRule="exact"/>
        <w:ind w:left="0"/>
        <w:jc w:val="center"/>
        <w:rPr>
          <w:rFonts w:hint="eastAsia" w:ascii="宋体" w:hAnsi="宋体" w:eastAsia="宋体" w:cs="宋体"/>
          <w:color w:val="auto"/>
          <w:sz w:val="36"/>
          <w:szCs w:val="36"/>
          <w:highlight w:val="none"/>
        </w:rPr>
      </w:pPr>
    </w:p>
    <w:p w14:paraId="07A31612">
      <w:pPr>
        <w:spacing w:line="500" w:lineRule="exact"/>
        <w:ind w:firstLine="360" w:firstLineChars="100"/>
        <w:jc w:val="center"/>
        <w:outlineLvl w:val="0"/>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rPr>
        <w:t>采购项目名称：</w:t>
      </w:r>
      <w:r>
        <w:rPr>
          <w:rFonts w:hint="eastAsia" w:ascii="宋体" w:hAnsi="宋体" w:cs="宋体"/>
          <w:color w:val="auto"/>
          <w:sz w:val="36"/>
          <w:szCs w:val="36"/>
          <w:highlight w:val="none"/>
          <w:lang w:eastAsia="zh-CN"/>
        </w:rPr>
        <w:t>秀山土家族苗族自治县疾病预防控制中心HIV病毒载量检测系统采购</w:t>
      </w:r>
    </w:p>
    <w:p w14:paraId="3718B172">
      <w:pPr>
        <w:spacing w:line="500" w:lineRule="exact"/>
        <w:ind w:firstLine="2340" w:firstLineChars="650"/>
        <w:outlineLvl w:val="0"/>
        <w:rPr>
          <w:rFonts w:hint="eastAsia" w:ascii="宋体" w:hAnsi="宋体" w:eastAsia="宋体" w:cs="宋体"/>
          <w:color w:val="auto"/>
          <w:sz w:val="36"/>
          <w:szCs w:val="36"/>
          <w:highlight w:val="none"/>
        </w:rPr>
      </w:pPr>
    </w:p>
    <w:p w14:paraId="1738B8B1">
      <w:pPr>
        <w:pStyle w:val="23"/>
        <w:spacing w:line="500" w:lineRule="exact"/>
        <w:ind w:left="0"/>
        <w:jc w:val="center"/>
        <w:rPr>
          <w:rFonts w:hint="eastAsia" w:ascii="宋体" w:hAnsi="宋体" w:eastAsia="宋体" w:cs="宋体"/>
          <w:color w:val="auto"/>
          <w:sz w:val="36"/>
          <w:szCs w:val="36"/>
          <w:highlight w:val="none"/>
        </w:rPr>
      </w:pPr>
    </w:p>
    <w:p w14:paraId="6B3A97CE">
      <w:pPr>
        <w:rPr>
          <w:rFonts w:hint="eastAsia" w:ascii="宋体" w:hAnsi="宋体" w:eastAsia="宋体" w:cs="宋体"/>
          <w:color w:val="auto"/>
          <w:sz w:val="36"/>
          <w:szCs w:val="36"/>
          <w:highlight w:val="none"/>
        </w:rPr>
      </w:pPr>
    </w:p>
    <w:p w14:paraId="0FCF1578">
      <w:pPr>
        <w:pStyle w:val="22"/>
        <w:rPr>
          <w:rFonts w:hint="eastAsia" w:ascii="宋体" w:hAnsi="宋体" w:eastAsia="宋体" w:cs="宋体"/>
          <w:color w:val="auto"/>
          <w:sz w:val="36"/>
          <w:szCs w:val="36"/>
          <w:highlight w:val="none"/>
        </w:rPr>
      </w:pPr>
    </w:p>
    <w:p w14:paraId="45DC6E21">
      <w:pPr>
        <w:rPr>
          <w:rFonts w:hint="eastAsia" w:ascii="宋体" w:hAnsi="宋体" w:eastAsia="宋体" w:cs="宋体"/>
          <w:color w:val="auto"/>
          <w:highlight w:val="none"/>
        </w:rPr>
      </w:pPr>
    </w:p>
    <w:p w14:paraId="56D40409">
      <w:pPr>
        <w:pStyle w:val="22"/>
        <w:rPr>
          <w:rFonts w:hint="eastAsia" w:ascii="宋体" w:hAnsi="宋体" w:eastAsia="宋体" w:cs="宋体"/>
          <w:color w:val="auto"/>
          <w:sz w:val="36"/>
          <w:szCs w:val="36"/>
          <w:highlight w:val="none"/>
        </w:rPr>
      </w:pPr>
    </w:p>
    <w:p w14:paraId="256493C9">
      <w:pPr>
        <w:rPr>
          <w:rFonts w:hint="eastAsia" w:ascii="宋体" w:hAnsi="宋体" w:eastAsia="宋体" w:cs="宋体"/>
          <w:color w:val="auto"/>
          <w:sz w:val="36"/>
          <w:szCs w:val="36"/>
          <w:highlight w:val="none"/>
        </w:rPr>
      </w:pPr>
    </w:p>
    <w:p w14:paraId="0CD8ACE7">
      <w:pPr>
        <w:pStyle w:val="22"/>
        <w:rPr>
          <w:rFonts w:hint="eastAsia" w:ascii="宋体" w:hAnsi="宋体" w:eastAsia="宋体" w:cs="宋体"/>
          <w:color w:val="auto"/>
          <w:sz w:val="36"/>
          <w:szCs w:val="36"/>
          <w:highlight w:val="none"/>
        </w:rPr>
      </w:pPr>
    </w:p>
    <w:p w14:paraId="6232DD70">
      <w:pPr>
        <w:rPr>
          <w:rFonts w:hint="eastAsia" w:ascii="宋体" w:hAnsi="宋体" w:eastAsia="宋体" w:cs="宋体"/>
          <w:color w:val="auto"/>
          <w:highlight w:val="none"/>
        </w:rPr>
      </w:pPr>
    </w:p>
    <w:p w14:paraId="02FE29F5">
      <w:pPr>
        <w:rPr>
          <w:rFonts w:hint="eastAsia" w:ascii="宋体" w:hAnsi="宋体" w:eastAsia="宋体" w:cs="宋体"/>
          <w:color w:val="auto"/>
          <w:sz w:val="36"/>
          <w:szCs w:val="36"/>
          <w:highlight w:val="none"/>
        </w:rPr>
      </w:pPr>
    </w:p>
    <w:p w14:paraId="14361B54">
      <w:pPr>
        <w:pStyle w:val="23"/>
        <w:spacing w:line="500" w:lineRule="exact"/>
        <w:ind w:left="0" w:firstLine="1440" w:firstLineChars="400"/>
        <w:jc w:val="left"/>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采购人：</w:t>
      </w:r>
      <w:r>
        <w:rPr>
          <w:rFonts w:hint="eastAsia" w:ascii="宋体" w:hAnsi="宋体" w:eastAsia="宋体" w:cs="宋体"/>
          <w:color w:val="auto"/>
          <w:sz w:val="36"/>
          <w:szCs w:val="36"/>
          <w:highlight w:val="none"/>
          <w:lang w:eastAsia="zh-CN"/>
        </w:rPr>
        <w:t>秀山土家族苗族自治县疾病预防控制中心</w:t>
      </w:r>
    </w:p>
    <w:p w14:paraId="74AF07C1">
      <w:pPr>
        <w:pStyle w:val="23"/>
        <w:spacing w:line="500" w:lineRule="exact"/>
        <w:ind w:left="0" w:firstLine="1440" w:firstLineChars="400"/>
        <w:jc w:val="left"/>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rPr>
        <w:t>采购代理机构：</w:t>
      </w:r>
      <w:r>
        <w:rPr>
          <w:rFonts w:hint="eastAsia" w:ascii="宋体" w:hAnsi="宋体" w:eastAsia="宋体" w:cs="宋体"/>
          <w:color w:val="auto"/>
          <w:sz w:val="36"/>
          <w:szCs w:val="36"/>
          <w:highlight w:val="none"/>
          <w:lang w:eastAsia="zh-CN"/>
        </w:rPr>
        <w:t>重庆</w:t>
      </w:r>
      <w:r>
        <w:rPr>
          <w:rFonts w:hint="eastAsia" w:ascii="宋体" w:hAnsi="宋体" w:eastAsia="宋体" w:cs="宋体"/>
          <w:color w:val="auto"/>
          <w:sz w:val="36"/>
          <w:szCs w:val="36"/>
          <w:highlight w:val="none"/>
          <w:lang w:val="en-US" w:eastAsia="zh-CN"/>
        </w:rPr>
        <w:t>千诺</w:t>
      </w:r>
      <w:r>
        <w:rPr>
          <w:rFonts w:hint="eastAsia" w:ascii="宋体" w:hAnsi="宋体" w:eastAsia="宋体" w:cs="宋体"/>
          <w:color w:val="auto"/>
          <w:sz w:val="36"/>
          <w:szCs w:val="36"/>
          <w:highlight w:val="none"/>
          <w:lang w:eastAsia="zh-CN"/>
        </w:rPr>
        <w:t>工程项目管理有限公司</w:t>
      </w:r>
    </w:p>
    <w:p w14:paraId="098F2CAC">
      <w:pPr>
        <w:pStyle w:val="22"/>
        <w:rPr>
          <w:rFonts w:hint="eastAsia" w:ascii="宋体" w:hAnsi="宋体" w:eastAsia="宋体" w:cs="宋体"/>
          <w:color w:val="auto"/>
          <w:sz w:val="36"/>
          <w:szCs w:val="36"/>
          <w:highlight w:val="none"/>
        </w:rPr>
      </w:pPr>
    </w:p>
    <w:p w14:paraId="6C7D3A99">
      <w:pPr>
        <w:snapToGrid w:val="0"/>
        <w:spacing w:line="50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二○二</w:t>
      </w:r>
      <w:r>
        <w:rPr>
          <w:rFonts w:hint="eastAsia" w:ascii="宋体" w:hAnsi="宋体" w:cs="宋体"/>
          <w:color w:val="auto"/>
          <w:sz w:val="36"/>
          <w:szCs w:val="36"/>
          <w:highlight w:val="none"/>
          <w:lang w:val="en-US" w:eastAsia="zh-CN"/>
        </w:rPr>
        <w:t>六</w:t>
      </w:r>
      <w:r>
        <w:rPr>
          <w:rFonts w:hint="eastAsia" w:ascii="宋体" w:hAnsi="宋体" w:eastAsia="宋体" w:cs="宋体"/>
          <w:color w:val="auto"/>
          <w:sz w:val="36"/>
          <w:szCs w:val="36"/>
          <w:highlight w:val="none"/>
        </w:rPr>
        <w:t>年</w:t>
      </w:r>
      <w:r>
        <w:rPr>
          <w:rFonts w:hint="eastAsia" w:ascii="宋体" w:hAnsi="宋体" w:cs="宋体"/>
          <w:color w:val="auto"/>
          <w:sz w:val="36"/>
          <w:szCs w:val="36"/>
          <w:highlight w:val="none"/>
          <w:lang w:val="en-US" w:eastAsia="zh-CN"/>
        </w:rPr>
        <w:t>一</w:t>
      </w:r>
      <w:r>
        <w:rPr>
          <w:rFonts w:hint="eastAsia" w:ascii="宋体" w:hAnsi="宋体" w:eastAsia="宋体" w:cs="宋体"/>
          <w:color w:val="auto"/>
          <w:sz w:val="36"/>
          <w:szCs w:val="36"/>
          <w:highlight w:val="none"/>
        </w:rPr>
        <w:t>月</w:t>
      </w:r>
    </w:p>
    <w:p w14:paraId="06E4065C">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2968EBC">
      <w:pPr>
        <w:spacing w:line="480" w:lineRule="exact"/>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目录</w:t>
      </w:r>
    </w:p>
    <w:p w14:paraId="1AFFA38D">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"1-3" \h \z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"_Toc21521"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第一篇采购邀请书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_Toc21521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- 3 -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80854F">
      <w:pPr>
        <w:pStyle w:val="30"/>
        <w:tabs>
          <w:tab w:val="right" w:leader="dot" w:pos="9412"/>
        </w:tabs>
        <w:ind w:left="1120"/>
        <w:rPr>
          <w:rFonts w:hint="eastAsia" w:ascii="宋体" w:hAnsi="宋体" w:eastAsia="宋体" w:cs="宋体"/>
          <w:color w:val="auto"/>
          <w:sz w:val="24"/>
          <w:szCs w:val="24"/>
          <w:highlight w:val="none"/>
        </w:rPr>
      </w:pPr>
    </w:p>
    <w:p w14:paraId="33118D17">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第二篇采购项目技术需求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- 5 -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D58C65">
      <w:pPr>
        <w:pStyle w:val="48"/>
        <w:tabs>
          <w:tab w:val="right" w:leader="dot" w:pos="9412"/>
        </w:tabs>
        <w:ind w:left="560"/>
        <w:rPr>
          <w:rFonts w:hint="eastAsia" w:ascii="宋体" w:hAnsi="宋体" w:eastAsia="宋体" w:cs="宋体"/>
          <w:color w:val="auto"/>
          <w:sz w:val="24"/>
          <w:szCs w:val="24"/>
          <w:highlight w:val="none"/>
        </w:rPr>
      </w:pPr>
    </w:p>
    <w:p w14:paraId="452DE1BB">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"_Toc24341"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第三篇采购项目商务需求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_Toc24341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- 6 -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43152C">
      <w:pPr>
        <w:pStyle w:val="48"/>
        <w:tabs>
          <w:tab w:val="right" w:leader="dot" w:pos="9412"/>
        </w:tabs>
        <w:ind w:left="560"/>
        <w:rPr>
          <w:rFonts w:hint="eastAsia" w:ascii="宋体" w:hAnsi="宋体" w:eastAsia="宋体" w:cs="宋体"/>
          <w:color w:val="auto"/>
          <w:sz w:val="24"/>
          <w:szCs w:val="24"/>
          <w:highlight w:val="none"/>
        </w:rPr>
      </w:pPr>
    </w:p>
    <w:p w14:paraId="0C5D8940">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"_Toc28614"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第四篇网上竞采程序及方法、评审标准、响应无效和采购终止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_Toc28614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- 10 -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AB5691">
      <w:pPr>
        <w:pStyle w:val="30"/>
        <w:tabs>
          <w:tab w:val="right" w:leader="dot" w:pos="9412"/>
        </w:tabs>
        <w:ind w:left="1120"/>
        <w:rPr>
          <w:rFonts w:hint="eastAsia" w:ascii="宋体" w:hAnsi="宋体" w:eastAsia="宋体" w:cs="宋体"/>
          <w:color w:val="auto"/>
          <w:sz w:val="24"/>
          <w:szCs w:val="24"/>
          <w:highlight w:val="none"/>
        </w:rPr>
      </w:pPr>
    </w:p>
    <w:p w14:paraId="476F42A8">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第五篇</w:t>
      </w:r>
      <w:r>
        <w:rPr>
          <w:rFonts w:hint="eastAsia" w:ascii="宋体" w:hAnsi="宋体" w:eastAsia="宋体" w:cs="宋体"/>
          <w:bCs/>
          <w:color w:val="auto"/>
          <w:spacing w:val="-11"/>
          <w:sz w:val="24"/>
          <w:szCs w:val="24"/>
          <w:highlight w:val="none"/>
          <w:lang w:eastAsia="zh-CN"/>
        </w:rPr>
        <w:t>投标人</w:t>
      </w:r>
      <w:r>
        <w:rPr>
          <w:rFonts w:hint="eastAsia" w:ascii="宋体" w:hAnsi="宋体" w:eastAsia="宋体" w:cs="宋体"/>
          <w:bCs/>
          <w:color w:val="auto"/>
          <w:spacing w:val="-11"/>
          <w:sz w:val="24"/>
          <w:szCs w:val="24"/>
          <w:highlight w:val="none"/>
        </w:rPr>
        <w:t>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- 15 -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377CC67">
      <w:pPr>
        <w:pStyle w:val="30"/>
        <w:tabs>
          <w:tab w:val="right" w:leader="dot" w:pos="9412"/>
        </w:tabs>
        <w:ind w:left="1120"/>
        <w:rPr>
          <w:rFonts w:hint="eastAsia" w:ascii="宋体" w:hAnsi="宋体" w:eastAsia="宋体" w:cs="宋体"/>
          <w:color w:val="auto"/>
          <w:sz w:val="24"/>
          <w:szCs w:val="24"/>
          <w:highlight w:val="none"/>
        </w:rPr>
      </w:pPr>
    </w:p>
    <w:p w14:paraId="25430F5E">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"_Toc4239"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第六篇合同草案条款和格式合同（模板）</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_Toc4239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- 19 -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0B17E9">
      <w:pPr>
        <w:pStyle w:val="30"/>
        <w:tabs>
          <w:tab w:val="right" w:leader="dot" w:pos="9412"/>
        </w:tabs>
        <w:ind w:left="1120"/>
        <w:rPr>
          <w:rFonts w:hint="eastAsia" w:ascii="宋体" w:hAnsi="宋体" w:eastAsia="宋体" w:cs="宋体"/>
          <w:color w:val="auto"/>
          <w:sz w:val="24"/>
          <w:szCs w:val="24"/>
          <w:highlight w:val="none"/>
        </w:rPr>
      </w:pPr>
    </w:p>
    <w:p w14:paraId="27B7375D">
      <w:pPr>
        <w:pStyle w:val="48"/>
        <w:tabs>
          <w:tab w:val="right" w:leader="dot" w:pos="9402"/>
        </w:tabs>
        <w:spacing w:line="480" w:lineRule="exact"/>
        <w:ind w:left="560"/>
        <w:jc w:val="center"/>
        <w:rPr>
          <w:rFonts w:hint="eastAsia" w:ascii="宋体" w:hAnsi="宋体" w:eastAsia="宋体" w:cs="宋体"/>
          <w:color w:val="auto"/>
          <w:sz w:val="24"/>
          <w:szCs w:val="24"/>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宋体" w:hAnsi="宋体" w:eastAsia="宋体" w:cs="宋体"/>
          <w:color w:val="auto"/>
          <w:sz w:val="24"/>
          <w:szCs w:val="24"/>
          <w:highlight w:val="none"/>
        </w:rPr>
        <w:fldChar w:fldCharType="end"/>
      </w:r>
    </w:p>
    <w:p w14:paraId="38032225">
      <w:pPr>
        <w:pStyle w:val="4"/>
        <w:spacing w:line="360" w:lineRule="auto"/>
        <w:jc w:val="center"/>
        <w:rPr>
          <w:rFonts w:hint="eastAsia" w:ascii="宋体" w:hAnsi="宋体" w:eastAsia="宋体" w:cs="宋体"/>
          <w:bCs/>
          <w:color w:val="auto"/>
          <w:sz w:val="24"/>
          <w:szCs w:val="24"/>
          <w:highlight w:val="none"/>
        </w:rPr>
      </w:pPr>
      <w:bookmarkStart w:id="30" w:name="_Toc12789052"/>
      <w:bookmarkStart w:id="31" w:name="_Toc21521"/>
      <w:bookmarkStart w:id="32" w:name="_Toc11641050"/>
      <w:r>
        <w:rPr>
          <w:rFonts w:hint="eastAsia" w:ascii="宋体" w:hAnsi="宋体" w:eastAsia="宋体" w:cs="宋体"/>
          <w:bCs/>
          <w:color w:val="auto"/>
          <w:sz w:val="24"/>
          <w:szCs w:val="24"/>
          <w:highlight w:val="none"/>
        </w:rPr>
        <w:t>第一篇采购邀请书</w:t>
      </w:r>
      <w:bookmarkEnd w:id="30"/>
      <w:bookmarkEnd w:id="31"/>
      <w:bookmarkEnd w:id="32"/>
    </w:p>
    <w:p w14:paraId="400E8CB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重庆</w:t>
      </w:r>
      <w:r>
        <w:rPr>
          <w:rFonts w:hint="eastAsia" w:ascii="宋体" w:hAnsi="宋体" w:eastAsia="宋体" w:cs="宋体"/>
          <w:color w:val="auto"/>
          <w:sz w:val="24"/>
          <w:szCs w:val="24"/>
          <w:highlight w:val="none"/>
          <w:u w:val="single"/>
          <w:lang w:val="en-US" w:eastAsia="zh-CN"/>
        </w:rPr>
        <w:t>千诺</w:t>
      </w:r>
      <w:r>
        <w:rPr>
          <w:rFonts w:hint="eastAsia" w:ascii="宋体" w:hAnsi="宋体" w:eastAsia="宋体" w:cs="宋体"/>
          <w:color w:val="auto"/>
          <w:sz w:val="24"/>
          <w:szCs w:val="24"/>
          <w:highlight w:val="none"/>
          <w:u w:val="single"/>
          <w:lang w:eastAsia="zh-CN"/>
        </w:rPr>
        <w:t>工程项目管理有限公司</w:t>
      </w:r>
      <w:r>
        <w:rPr>
          <w:rFonts w:hint="eastAsia" w:ascii="宋体" w:hAnsi="宋体" w:eastAsia="宋体" w:cs="宋体"/>
          <w:color w:val="auto"/>
          <w:sz w:val="24"/>
          <w:szCs w:val="24"/>
          <w:highlight w:val="none"/>
        </w:rPr>
        <w:t>（以下简称：采购代理机构）接受</w:t>
      </w:r>
      <w:r>
        <w:rPr>
          <w:rFonts w:hint="eastAsia" w:ascii="宋体" w:hAnsi="宋体" w:eastAsia="宋体" w:cs="宋体"/>
          <w:color w:val="auto"/>
          <w:sz w:val="24"/>
          <w:szCs w:val="24"/>
          <w:highlight w:val="none"/>
          <w:u w:val="single"/>
          <w:lang w:eastAsia="zh-CN"/>
        </w:rPr>
        <w:t>秀山土家族苗族自治县疾病预防控制中心</w:t>
      </w:r>
      <w:r>
        <w:rPr>
          <w:rFonts w:hint="eastAsia" w:ascii="宋体" w:hAnsi="宋体" w:eastAsia="宋体" w:cs="宋体"/>
          <w:color w:val="auto"/>
          <w:sz w:val="24"/>
          <w:szCs w:val="24"/>
          <w:highlight w:val="none"/>
        </w:rPr>
        <w:t>的委托，对</w:t>
      </w:r>
      <w:r>
        <w:rPr>
          <w:rFonts w:hint="eastAsia" w:ascii="宋体" w:hAnsi="宋体" w:cs="宋体"/>
          <w:color w:val="auto"/>
          <w:sz w:val="24"/>
          <w:szCs w:val="24"/>
          <w:highlight w:val="none"/>
          <w:u w:val="single"/>
          <w:lang w:eastAsia="zh-CN"/>
        </w:rPr>
        <w:t>秀山土家族苗族自治县疾病预防控制中心HIV病毒载量检测系统采购</w:t>
      </w:r>
      <w:r>
        <w:rPr>
          <w:rFonts w:hint="eastAsia" w:ascii="宋体" w:hAnsi="宋体" w:eastAsia="宋体" w:cs="宋体"/>
          <w:color w:val="auto"/>
          <w:sz w:val="24"/>
          <w:szCs w:val="24"/>
          <w:highlight w:val="none"/>
        </w:rPr>
        <w:t>进行网上竞采。欢迎有资格的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前来参与网上竞采。</w:t>
      </w:r>
    </w:p>
    <w:p w14:paraId="2D24FA0B">
      <w:pPr>
        <w:pStyle w:val="2"/>
        <w:numPr>
          <w:ilvl w:val="0"/>
          <w:numId w:val="14"/>
        </w:numPr>
        <w:spacing w:before="240" w:beforeLines="100" w:after="0" w:line="360" w:lineRule="auto"/>
        <w:rPr>
          <w:rFonts w:hint="eastAsia" w:ascii="宋体" w:hAnsi="宋体" w:eastAsia="宋体" w:cs="宋体"/>
          <w:color w:val="auto"/>
          <w:sz w:val="24"/>
          <w:szCs w:val="24"/>
          <w:highlight w:val="none"/>
        </w:rPr>
      </w:pPr>
      <w:bookmarkStart w:id="33" w:name="_Toc317775175"/>
      <w:bookmarkStart w:id="34" w:name="_Toc313893526"/>
      <w:bookmarkStart w:id="35" w:name="_Toc2406"/>
      <w:bookmarkStart w:id="36" w:name="_Toc5721"/>
      <w:bookmarkStart w:id="37" w:name="_Toc373860293"/>
      <w:bookmarkStart w:id="38" w:name="_Toc317775178"/>
      <w:r>
        <w:rPr>
          <w:rFonts w:hint="eastAsia" w:ascii="宋体" w:hAnsi="宋体" w:eastAsia="宋体" w:cs="宋体"/>
          <w:color w:val="auto"/>
          <w:sz w:val="24"/>
          <w:szCs w:val="24"/>
          <w:highlight w:val="none"/>
        </w:rPr>
        <w:t>采购内容</w:t>
      </w:r>
      <w:bookmarkEnd w:id="33"/>
      <w:bookmarkEnd w:id="34"/>
      <w:bookmarkEnd w:id="35"/>
      <w:bookmarkEnd w:id="36"/>
    </w:p>
    <w:tbl>
      <w:tblPr>
        <w:tblStyle w:val="6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3"/>
        <w:gridCol w:w="1652"/>
        <w:gridCol w:w="1704"/>
        <w:gridCol w:w="1014"/>
      </w:tblGrid>
      <w:tr w14:paraId="3695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4673" w:type="dxa"/>
            <w:tcBorders>
              <w:top w:val="single" w:color="auto" w:sz="4" w:space="0"/>
              <w:left w:val="single" w:color="auto" w:sz="4" w:space="0"/>
              <w:right w:val="single" w:color="auto" w:sz="4" w:space="0"/>
            </w:tcBorders>
            <w:vAlign w:val="center"/>
          </w:tcPr>
          <w:p w14:paraId="0C1EF086">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项目名称</w:t>
            </w:r>
          </w:p>
        </w:tc>
        <w:tc>
          <w:tcPr>
            <w:tcW w:w="1652" w:type="dxa"/>
            <w:tcBorders>
              <w:top w:val="single" w:color="auto" w:sz="4" w:space="0"/>
              <w:left w:val="single" w:color="auto" w:sz="4" w:space="0"/>
              <w:right w:val="single" w:color="auto" w:sz="4" w:space="0"/>
            </w:tcBorders>
            <w:vAlign w:val="center"/>
          </w:tcPr>
          <w:p w14:paraId="2ABEBFBC">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最高限价</w:t>
            </w:r>
          </w:p>
          <w:p w14:paraId="64C55BA6">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（元）</w:t>
            </w:r>
          </w:p>
        </w:tc>
        <w:tc>
          <w:tcPr>
            <w:tcW w:w="1704" w:type="dxa"/>
            <w:tcBorders>
              <w:top w:val="single" w:color="auto" w:sz="4" w:space="0"/>
              <w:left w:val="single" w:color="auto" w:sz="4" w:space="0"/>
              <w:right w:val="single" w:color="auto" w:sz="4" w:space="0"/>
            </w:tcBorders>
            <w:vAlign w:val="center"/>
          </w:tcPr>
          <w:p w14:paraId="3AB213E3">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中标人</w:t>
            </w:r>
            <w:r>
              <w:rPr>
                <w:rFonts w:hint="eastAsia" w:ascii="宋体" w:hAnsi="宋体" w:eastAsia="宋体" w:cs="宋体"/>
                <w:b/>
                <w:bCs/>
                <w:color w:val="auto"/>
                <w:kern w:val="0"/>
                <w:sz w:val="24"/>
                <w:szCs w:val="24"/>
                <w:highlight w:val="none"/>
              </w:rPr>
              <w:t>数量（名）</w:t>
            </w:r>
          </w:p>
        </w:tc>
        <w:tc>
          <w:tcPr>
            <w:tcW w:w="1014" w:type="dxa"/>
            <w:tcBorders>
              <w:top w:val="single" w:color="auto" w:sz="4" w:space="0"/>
              <w:left w:val="single" w:color="auto" w:sz="4" w:space="0"/>
              <w:right w:val="single" w:color="auto" w:sz="4" w:space="0"/>
            </w:tcBorders>
            <w:vAlign w:val="center"/>
          </w:tcPr>
          <w:p w14:paraId="5A58EF09">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备注</w:t>
            </w:r>
          </w:p>
        </w:tc>
      </w:tr>
      <w:tr w14:paraId="4BE1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4673" w:type="dxa"/>
            <w:tcBorders>
              <w:top w:val="single" w:color="auto" w:sz="4" w:space="0"/>
              <w:left w:val="single" w:color="auto" w:sz="4" w:space="0"/>
              <w:right w:val="single" w:color="auto" w:sz="4" w:space="0"/>
            </w:tcBorders>
            <w:vAlign w:val="center"/>
          </w:tcPr>
          <w:p w14:paraId="1706D62D">
            <w:pPr>
              <w:jc w:val="center"/>
              <w:rPr>
                <w:rFonts w:hint="eastAsia" w:ascii="宋体" w:hAnsi="宋体" w:eastAsia="宋体" w:cs="宋体"/>
                <w:color w:val="auto"/>
                <w:sz w:val="24"/>
                <w:szCs w:val="24"/>
                <w:highlight w:val="none"/>
                <w:lang w:eastAsia="zh-CN"/>
              </w:rPr>
            </w:pPr>
            <w:bookmarkStart w:id="39" w:name="_Hlk344477914"/>
            <w:r>
              <w:rPr>
                <w:rFonts w:hint="eastAsia" w:ascii="宋体" w:hAnsi="宋体" w:cs="宋体"/>
                <w:color w:val="auto"/>
                <w:sz w:val="24"/>
                <w:szCs w:val="24"/>
                <w:highlight w:val="none"/>
                <w:lang w:eastAsia="zh-CN"/>
              </w:rPr>
              <w:t>秀山土家族苗族自治县疾病预防控制中心HIV病毒载量检测系统采购</w:t>
            </w:r>
          </w:p>
        </w:tc>
        <w:tc>
          <w:tcPr>
            <w:tcW w:w="1652" w:type="dxa"/>
            <w:tcBorders>
              <w:top w:val="single" w:color="auto" w:sz="4" w:space="0"/>
              <w:left w:val="single" w:color="auto" w:sz="4" w:space="0"/>
              <w:right w:val="single" w:color="auto" w:sz="4" w:space="0"/>
            </w:tcBorders>
            <w:vAlign w:val="center"/>
          </w:tcPr>
          <w:p w14:paraId="6ABFE711">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400000.00</w:t>
            </w:r>
          </w:p>
        </w:tc>
        <w:tc>
          <w:tcPr>
            <w:tcW w:w="1704" w:type="dxa"/>
            <w:tcBorders>
              <w:top w:val="single" w:color="auto" w:sz="4" w:space="0"/>
              <w:left w:val="single" w:color="auto" w:sz="4" w:space="0"/>
              <w:right w:val="single" w:color="auto" w:sz="4" w:space="0"/>
            </w:tcBorders>
            <w:vAlign w:val="center"/>
          </w:tcPr>
          <w:p w14:paraId="3B435A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1</w:t>
            </w:r>
          </w:p>
        </w:tc>
        <w:tc>
          <w:tcPr>
            <w:tcW w:w="1014" w:type="dxa"/>
            <w:tcBorders>
              <w:top w:val="single" w:color="auto" w:sz="4" w:space="0"/>
              <w:left w:val="single" w:color="auto" w:sz="4" w:space="0"/>
              <w:right w:val="single" w:color="auto" w:sz="4" w:space="0"/>
            </w:tcBorders>
            <w:vAlign w:val="center"/>
          </w:tcPr>
          <w:p w14:paraId="42F942AD">
            <w:pPr>
              <w:widowControl/>
              <w:jc w:val="center"/>
              <w:rPr>
                <w:rFonts w:hint="eastAsia" w:ascii="宋体" w:hAnsi="宋体" w:eastAsia="宋体" w:cs="宋体"/>
                <w:color w:val="auto"/>
                <w:kern w:val="0"/>
                <w:sz w:val="24"/>
                <w:szCs w:val="24"/>
                <w:highlight w:val="none"/>
                <w:lang w:val="en-US" w:eastAsia="zh-CN"/>
              </w:rPr>
            </w:pPr>
          </w:p>
        </w:tc>
      </w:tr>
      <w:bookmarkEnd w:id="39"/>
    </w:tbl>
    <w:p w14:paraId="0C2451F6">
      <w:pPr>
        <w:pStyle w:val="2"/>
        <w:spacing w:before="240" w:beforeLines="100" w:after="0" w:line="360" w:lineRule="auto"/>
        <w:rPr>
          <w:rFonts w:hint="eastAsia" w:ascii="宋体" w:hAnsi="宋体" w:eastAsia="宋体" w:cs="宋体"/>
          <w:color w:val="auto"/>
          <w:sz w:val="24"/>
          <w:szCs w:val="24"/>
          <w:highlight w:val="none"/>
        </w:rPr>
      </w:pPr>
      <w:bookmarkStart w:id="40" w:name="_Toc25538"/>
      <w:bookmarkStart w:id="41" w:name="_Toc1752"/>
      <w:r>
        <w:rPr>
          <w:rFonts w:hint="eastAsia" w:ascii="宋体" w:hAnsi="宋体" w:eastAsia="宋体" w:cs="宋体"/>
          <w:color w:val="auto"/>
          <w:sz w:val="24"/>
          <w:szCs w:val="24"/>
          <w:highlight w:val="none"/>
        </w:rPr>
        <w:t>二、资金来源</w:t>
      </w:r>
      <w:bookmarkEnd w:id="40"/>
      <w:bookmarkEnd w:id="41"/>
    </w:p>
    <w:p w14:paraId="08A690B3">
      <w:pPr>
        <w:keepNext/>
        <w:keepLines/>
        <w:spacing w:line="400" w:lineRule="exact"/>
        <w:ind w:firstLine="480" w:firstLineChars="200"/>
        <w:rPr>
          <w:rFonts w:hint="eastAsia" w:ascii="宋体" w:hAnsi="宋体" w:eastAsia="宋体" w:cs="宋体"/>
          <w:bCs/>
          <w:color w:val="auto"/>
          <w:sz w:val="24"/>
          <w:szCs w:val="24"/>
          <w:highlight w:val="none"/>
        </w:rPr>
      </w:pPr>
      <w:bookmarkStart w:id="42" w:name="_Toc5679"/>
      <w:bookmarkStart w:id="43" w:name="_Toc358"/>
      <w:bookmarkStart w:id="44" w:name="_Toc5745"/>
      <w:bookmarkStart w:id="45" w:name="_Toc26791"/>
      <w:r>
        <w:rPr>
          <w:rFonts w:hint="eastAsia" w:ascii="宋体" w:hAnsi="宋体" w:eastAsia="宋体" w:cs="宋体"/>
          <w:bCs/>
          <w:color w:val="auto"/>
          <w:sz w:val="24"/>
          <w:szCs w:val="24"/>
          <w:highlight w:val="none"/>
          <w:lang w:val="en-US" w:eastAsia="zh-CN"/>
        </w:rPr>
        <w:t>财政资金，</w:t>
      </w:r>
      <w:r>
        <w:rPr>
          <w:rFonts w:hint="eastAsia" w:ascii="宋体" w:hAnsi="宋体" w:eastAsia="宋体" w:cs="宋体"/>
          <w:bCs/>
          <w:color w:val="auto"/>
          <w:sz w:val="24"/>
          <w:szCs w:val="24"/>
          <w:highlight w:val="none"/>
        </w:rPr>
        <w:t>预算金额为</w:t>
      </w:r>
      <w:r>
        <w:rPr>
          <w:rFonts w:hint="eastAsia" w:ascii="宋体" w:hAnsi="宋体" w:cs="宋体"/>
          <w:color w:val="auto"/>
          <w:sz w:val="24"/>
          <w:szCs w:val="24"/>
          <w:highlight w:val="none"/>
          <w:lang w:val="en-US" w:eastAsia="zh-CN"/>
        </w:rPr>
        <w:t>400000.00</w:t>
      </w:r>
      <w:r>
        <w:rPr>
          <w:rFonts w:hint="eastAsia" w:ascii="宋体" w:hAnsi="宋体" w:eastAsia="宋体" w:cs="宋体"/>
          <w:bCs/>
          <w:color w:val="auto"/>
          <w:sz w:val="24"/>
          <w:szCs w:val="24"/>
          <w:highlight w:val="none"/>
        </w:rPr>
        <w:t>元</w:t>
      </w:r>
      <w:bookmarkEnd w:id="42"/>
      <w:bookmarkEnd w:id="43"/>
      <w:bookmarkEnd w:id="44"/>
      <w:r>
        <w:rPr>
          <w:rFonts w:hint="eastAsia" w:ascii="宋体" w:hAnsi="宋体" w:eastAsia="宋体" w:cs="宋体"/>
          <w:bCs/>
          <w:color w:val="auto"/>
          <w:sz w:val="24"/>
          <w:szCs w:val="24"/>
          <w:highlight w:val="none"/>
        </w:rPr>
        <w:t>。</w:t>
      </w:r>
      <w:bookmarkEnd w:id="45"/>
    </w:p>
    <w:p w14:paraId="3AFD8EE4">
      <w:pPr>
        <w:pStyle w:val="2"/>
        <w:spacing w:before="240" w:beforeLines="100" w:after="0" w:line="360" w:lineRule="auto"/>
        <w:rPr>
          <w:rFonts w:hint="eastAsia" w:ascii="宋体" w:hAnsi="宋体" w:eastAsia="宋体" w:cs="宋体"/>
          <w:color w:val="auto"/>
          <w:sz w:val="24"/>
          <w:szCs w:val="24"/>
          <w:highlight w:val="none"/>
        </w:rPr>
      </w:pPr>
      <w:bookmarkStart w:id="46" w:name="_Toc27448"/>
      <w:bookmarkStart w:id="47" w:name="_Toc18111"/>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资格条件</w:t>
      </w:r>
      <w:bookmarkEnd w:id="46"/>
      <w:bookmarkEnd w:id="47"/>
    </w:p>
    <w:p w14:paraId="02D4CE1B">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是指向采购人提供服务或者货物的法人、其他组织或者自然人。合格的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应符合政府采购法第二十二条规定的基本资格条件</w:t>
      </w:r>
      <w:r>
        <w:rPr>
          <w:rFonts w:hint="eastAsia" w:ascii="宋体" w:hAnsi="宋体" w:eastAsia="宋体" w:cs="宋体"/>
          <w:color w:val="auto"/>
          <w:sz w:val="24"/>
          <w:szCs w:val="24"/>
          <w:highlight w:val="none"/>
          <w:lang w:eastAsia="zh-CN"/>
        </w:rPr>
        <w:t>。</w:t>
      </w:r>
    </w:p>
    <w:p w14:paraId="048105A7">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（一）基本资格条件</w:t>
      </w:r>
    </w:p>
    <w:p w14:paraId="44CAA31E">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55062AD1">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4D760820">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16B0E9AF">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0A7DCF2B">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099D4F74">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7C1F7263">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）特定资格条件：</w:t>
      </w:r>
      <w:bookmarkStart w:id="48" w:name="_Toc16506"/>
    </w:p>
    <w:p w14:paraId="3245DB5E">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投产品属于二类或三类医疗器械的，应具有所投产品有效期内的《中华人民共和国医疗器械注册证》（提供注册证复印件加盖投标供应商公章）;所投产品属于第一类医疗器械的，须提供有效期内的第一类医疗器械备案信息表（提供信息表复印件加盖投标供应商公章）；</w:t>
      </w:r>
    </w:p>
    <w:p w14:paraId="387FC2F3">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若投标人不是所投标产品制造商，所投产品属于第二类医疗器械的，投标人应具备经营第二类医疗器械的备案证明（提供《第二类医疗器械经营备案凭证》复印件或营业执照复印件加盖投标供应商公章。提供营业执照作为证明的，营业执照应有经营或销售第二类医疗器械的内容）；所投产品属于第三类医疗器械的，投标人应具备有效的《医疗器械经营许可证》，提供证书复印件加盖投标供应商公章</w:t>
      </w:r>
      <w:r>
        <w:rPr>
          <w:rFonts w:hint="eastAsia" w:ascii="宋体" w:hAnsi="宋体" w:eastAsia="宋体" w:cs="宋体"/>
          <w:color w:val="auto"/>
          <w:sz w:val="24"/>
          <w:szCs w:val="24"/>
          <w:highlight w:val="none"/>
        </w:rPr>
        <w:t>。</w:t>
      </w:r>
    </w:p>
    <w:p w14:paraId="3E6172E6">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四、采购有关说明</w:t>
      </w:r>
      <w:bookmarkEnd w:id="37"/>
      <w:bookmarkEnd w:id="48"/>
    </w:p>
    <w:p w14:paraId="08009B1C">
      <w:pPr>
        <w:wordWrap w:val="0"/>
        <w:spacing w:line="360" w:lineRule="auto"/>
        <w:ind w:firstLine="480" w:firstLineChars="200"/>
        <w:rPr>
          <w:rFonts w:hint="eastAsia" w:ascii="宋体" w:hAnsi="宋体" w:eastAsia="宋体" w:cs="宋体"/>
          <w:color w:val="auto"/>
          <w:sz w:val="24"/>
          <w:szCs w:val="24"/>
          <w:highlight w:val="none"/>
        </w:rPr>
      </w:pPr>
      <w:bookmarkStart w:id="49" w:name="_Toc373860294"/>
      <w:r>
        <w:rPr>
          <w:rFonts w:hint="eastAsia" w:ascii="宋体" w:hAnsi="宋体" w:eastAsia="宋体" w:cs="宋体"/>
          <w:color w:val="auto"/>
          <w:sz w:val="24"/>
          <w:szCs w:val="24"/>
          <w:highlight w:val="none"/>
        </w:rPr>
        <w:t>（一）参加报价的供应商</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"https://cqxs.gec123.com/" \t "https://cqxs.gec123.com/xe/notice/_blank"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重庆秀山小额交易管理平台</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”服务平台注册，成为正式供应商。</w:t>
      </w:r>
    </w:p>
    <w:p w14:paraId="5B3F985F">
      <w:pPr>
        <w:snapToGrid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（二）凡有意参加采购的供应商请于202</w:t>
      </w:r>
      <w:r>
        <w:rPr>
          <w:rFonts w:hint="eastAsia" w:ascii="宋体" w:hAnsi="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val="en-US" w:eastAsia="zh-CN"/>
        </w:rPr>
        <w:t>年</w:t>
      </w: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月</w:t>
      </w:r>
      <w:r>
        <w:rPr>
          <w:rFonts w:hint="eastAsia" w:ascii="宋体" w:hAnsi="宋体" w:cs="宋体"/>
          <w:b w:val="0"/>
          <w:bCs/>
          <w:color w:val="auto"/>
          <w:sz w:val="24"/>
          <w:szCs w:val="24"/>
          <w:highlight w:val="none"/>
          <w:lang w:val="en-US" w:eastAsia="zh-CN"/>
        </w:rPr>
        <w:t>28</w:t>
      </w:r>
      <w:r>
        <w:rPr>
          <w:rFonts w:hint="eastAsia" w:ascii="宋体" w:hAnsi="宋体" w:eastAsia="宋体" w:cs="宋体"/>
          <w:b w:val="0"/>
          <w:bCs/>
          <w:color w:val="auto"/>
          <w:sz w:val="24"/>
          <w:szCs w:val="24"/>
          <w:highlight w:val="none"/>
          <w:lang w:val="en-US" w:eastAsia="zh-CN"/>
        </w:rPr>
        <w:t>日起将报名表加盖公章扫描后发送至1149105520@qq.com（邮箱）进行报名并获取采购文件。</w:t>
      </w:r>
    </w:p>
    <w:p w14:paraId="1EAFAD1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（三）</w:t>
      </w:r>
      <w:r>
        <w:rPr>
          <w:rFonts w:hint="eastAsia" w:ascii="宋体" w:hAnsi="宋体" w:eastAsia="宋体" w:cs="宋体"/>
          <w:b w:val="0"/>
          <w:bCs/>
          <w:color w:val="auto"/>
          <w:sz w:val="24"/>
          <w:szCs w:val="24"/>
          <w:highlight w:val="none"/>
          <w:lang w:val="zh-CN" w:eastAsia="zh-CN"/>
        </w:rPr>
        <w:t>采购文件每套售价</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zh-CN" w:eastAsia="zh-CN"/>
        </w:rPr>
        <w:t>00元，售后不退。</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lang w:val="zh-CN" w:eastAsia="zh-CN"/>
        </w:rPr>
        <w:t>在报名时,向采购代理机构缴纳采购文件的费用。采购文件费收取注意事项详见采购公告发布的附件</w:t>
      </w:r>
      <w:r>
        <w:rPr>
          <w:rFonts w:hint="eastAsia" w:ascii="宋体" w:hAnsi="宋体" w:eastAsia="宋体" w:cs="宋体"/>
          <w:color w:val="auto"/>
          <w:sz w:val="24"/>
          <w:szCs w:val="24"/>
          <w:highlight w:val="none"/>
        </w:rPr>
        <w:t>。</w:t>
      </w:r>
    </w:p>
    <w:p w14:paraId="28BFDD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）线上报价</w:t>
      </w:r>
    </w:p>
    <w:p w14:paraId="1E1E687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1.线上报价时间：202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:00北京时间。</w:t>
      </w:r>
    </w:p>
    <w:p w14:paraId="341532C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2.线上报价要求：按本项目规定的时间在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rPr>
        <w:t>进行网上报价，并在规定的时间内上传响应文件电子文档。未在规定时间内报价和上传响应文件电子文档的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不具备竞标资格。</w:t>
      </w:r>
    </w:p>
    <w:p w14:paraId="64B0FCDE">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）网上</w:t>
      </w:r>
      <w:r>
        <w:rPr>
          <w:rFonts w:hint="eastAsia" w:ascii="宋体" w:hAnsi="宋体" w:eastAsia="宋体" w:cs="宋体"/>
          <w:color w:val="auto"/>
          <w:sz w:val="24"/>
          <w:szCs w:val="24"/>
          <w:highlight w:val="none"/>
          <w:lang w:val="en-US" w:eastAsia="zh-CN"/>
        </w:rPr>
        <w:t>竞采</w:t>
      </w:r>
      <w:r>
        <w:rPr>
          <w:rFonts w:hint="eastAsia" w:ascii="宋体" w:hAnsi="宋体" w:eastAsia="宋体" w:cs="宋体"/>
          <w:color w:val="auto"/>
          <w:sz w:val="24"/>
          <w:szCs w:val="24"/>
          <w:highlight w:val="none"/>
        </w:rPr>
        <w:t>文件发售：本项目免收网上</w:t>
      </w:r>
      <w:r>
        <w:rPr>
          <w:rFonts w:hint="eastAsia" w:ascii="宋体" w:hAnsi="宋体" w:eastAsia="宋体" w:cs="宋体"/>
          <w:color w:val="auto"/>
          <w:sz w:val="24"/>
          <w:szCs w:val="24"/>
          <w:highlight w:val="none"/>
          <w:lang w:val="en-US" w:eastAsia="zh-CN"/>
        </w:rPr>
        <w:t>竞采</w:t>
      </w:r>
      <w:r>
        <w:rPr>
          <w:rFonts w:hint="eastAsia" w:ascii="宋体" w:hAnsi="宋体" w:eastAsia="宋体" w:cs="宋体"/>
          <w:color w:val="auto"/>
          <w:sz w:val="24"/>
          <w:szCs w:val="24"/>
          <w:highlight w:val="none"/>
        </w:rPr>
        <w:t>文件费。</w:t>
      </w:r>
    </w:p>
    <w:p w14:paraId="459FBD4C">
      <w:pPr>
        <w:snapToGrid w:val="0"/>
        <w:spacing w:line="360" w:lineRule="auto"/>
        <w:ind w:firstLine="361" w:firstLineChars="15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须满足以下</w:t>
      </w:r>
      <w:r>
        <w:rPr>
          <w:rFonts w:hint="eastAsia" w:ascii="宋体" w:hAnsi="宋体" w:cs="宋体"/>
          <w:b/>
          <w:bCs/>
          <w:color w:val="auto"/>
          <w:sz w:val="24"/>
          <w:szCs w:val="24"/>
          <w:highlight w:val="none"/>
          <w:lang w:val="en-US" w:eastAsia="zh-CN"/>
        </w:rPr>
        <w:t>两</w:t>
      </w:r>
      <w:r>
        <w:rPr>
          <w:rFonts w:hint="eastAsia" w:ascii="宋体" w:hAnsi="宋体" w:eastAsia="宋体" w:cs="宋体"/>
          <w:b/>
          <w:bCs/>
          <w:color w:val="auto"/>
          <w:sz w:val="24"/>
          <w:szCs w:val="24"/>
          <w:highlight w:val="none"/>
        </w:rPr>
        <w:t>种要件，其响应文件才被接受：</w:t>
      </w:r>
    </w:p>
    <w:p w14:paraId="3791E8B7">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1.按时在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https://cqxs-mall.gec123.com/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进行网上报价。</w:t>
      </w:r>
    </w:p>
    <w:p w14:paraId="044A7F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2.按时递交响应文件。</w:t>
      </w:r>
    </w:p>
    <w:p w14:paraId="20A19A4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注：线上及线下响应文件须一致，如不一致，响应文件作废。</w:t>
      </w:r>
    </w:p>
    <w:p w14:paraId="7396F0D6">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线下响应文件可选择邮寄或现场递交：</w:t>
      </w:r>
    </w:p>
    <w:p w14:paraId="7E577BFC">
      <w:p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线下响应文件可采取邮寄方式，邮寄地址：重庆市秀山县花灯街迎春二巷（</w:t>
      </w:r>
      <w:r>
        <w:rPr>
          <w:rFonts w:hint="eastAsia" w:ascii="宋体" w:hAnsi="宋体" w:eastAsia="宋体" w:cs="宋体"/>
          <w:color w:val="auto"/>
          <w:sz w:val="24"/>
          <w:szCs w:val="24"/>
          <w:highlight w:val="none"/>
          <w:lang w:val="en-US" w:eastAsia="zh-CN"/>
        </w:rPr>
        <w:t>千诺咨询公司）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陈老师18716969222</w:t>
      </w:r>
      <w:r>
        <w:rPr>
          <w:rFonts w:hint="eastAsia" w:ascii="宋体" w:hAnsi="宋体" w:eastAsia="宋体" w:cs="宋体"/>
          <w:color w:val="auto"/>
          <w:sz w:val="24"/>
          <w:szCs w:val="24"/>
          <w:highlight w:val="none"/>
          <w:lang w:eastAsia="zh-CN"/>
        </w:rPr>
        <w:t>（收件截止时间为</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 xml:space="preserve">:00 </w:t>
      </w:r>
      <w:r>
        <w:rPr>
          <w:rFonts w:hint="eastAsia" w:ascii="宋体" w:hAnsi="宋体" w:eastAsia="宋体" w:cs="宋体"/>
          <w:color w:val="auto"/>
          <w:sz w:val="24"/>
          <w:szCs w:val="24"/>
          <w:highlight w:val="none"/>
          <w:lang w:eastAsia="zh-CN"/>
        </w:rPr>
        <w:t>北京时间）</w:t>
      </w:r>
    </w:p>
    <w:p w14:paraId="6D55F231">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现场递交地址地点：</w:t>
      </w:r>
      <w:r>
        <w:rPr>
          <w:rFonts w:hint="eastAsia" w:ascii="宋体" w:hAnsi="宋体" w:eastAsia="宋体" w:cs="宋体"/>
          <w:color w:val="auto"/>
          <w:sz w:val="24"/>
          <w:szCs w:val="24"/>
          <w:highlight w:val="none"/>
          <w:lang w:eastAsia="zh-CN"/>
        </w:rPr>
        <w:t>重庆千诺工程项目管理有限公司</w:t>
      </w:r>
      <w:r>
        <w:rPr>
          <w:rFonts w:hint="eastAsia" w:ascii="宋体" w:hAnsi="宋体" w:eastAsia="宋体" w:cs="宋体"/>
          <w:color w:val="auto"/>
          <w:sz w:val="24"/>
          <w:szCs w:val="24"/>
          <w:highlight w:val="none"/>
        </w:rPr>
        <w:t xml:space="preserve"> </w:t>
      </w:r>
    </w:p>
    <w:p w14:paraId="52DB9A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八</w:t>
      </w:r>
      <w:r>
        <w:rPr>
          <w:rFonts w:hint="eastAsia" w:ascii="宋体" w:hAnsi="宋体" w:eastAsia="宋体" w:cs="宋体"/>
          <w:color w:val="auto"/>
          <w:sz w:val="24"/>
          <w:szCs w:val="24"/>
          <w:highlight w:val="none"/>
        </w:rPr>
        <w:t>）响应文件现场递交开始时间：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p>
    <w:p w14:paraId="75AD5A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九</w:t>
      </w:r>
      <w:r>
        <w:rPr>
          <w:rFonts w:hint="eastAsia" w:ascii="宋体" w:hAnsi="宋体" w:eastAsia="宋体" w:cs="宋体"/>
          <w:color w:val="auto"/>
          <w:sz w:val="24"/>
          <w:szCs w:val="24"/>
          <w:highlight w:val="none"/>
        </w:rPr>
        <w:t>）响应文件现场递交截止时间：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p>
    <w:p w14:paraId="0BA4D5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十</w:t>
      </w:r>
      <w:r>
        <w:rPr>
          <w:rFonts w:hint="eastAsia" w:ascii="宋体" w:hAnsi="宋体" w:eastAsia="宋体" w:cs="宋体"/>
          <w:color w:val="auto"/>
          <w:sz w:val="24"/>
          <w:szCs w:val="24"/>
          <w:highlight w:val="none"/>
        </w:rPr>
        <w:t>）线下开标开始时间：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bookmarkEnd w:id="38"/>
      <w:bookmarkEnd w:id="49"/>
      <w:bookmarkStart w:id="50" w:name="_Toc20247"/>
      <w:bookmarkStart w:id="51" w:name="_Toc480466699"/>
    </w:p>
    <w:p w14:paraId="06AEF1D8">
      <w:pPr>
        <w:pStyle w:val="2"/>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、其他有关规定</w:t>
      </w:r>
      <w:bookmarkEnd w:id="50"/>
      <w:bookmarkEnd w:id="51"/>
    </w:p>
    <w:p w14:paraId="63F28DB5">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（一）单位负责人为同一人或者存在直接控股、管理关系的不同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，不得参加同一合同项（分包）下的政府采购活动，否则均为响应无效。</w:t>
      </w:r>
    </w:p>
    <w:p w14:paraId="40EEB51D">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（二）为采购项目提供整体设计、规范编制或者项目管理、监理、检测等服务的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，不得再参加该采购项目的其他采购活动。</w:t>
      </w:r>
    </w:p>
    <w:p w14:paraId="251B4DE4">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（三）同一合同项（分包）下为单一品目或非单一品目核心产品品牌的货物采购招标中，同一品牌有多家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29BA75E9">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（四）本项目的补遗文件（如果有）一律在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https://cqxs-mall.gec123.com/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上发布，请各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注意下载；无论</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下载与否，均视同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已知晓本项目补遗文件（如果有）的内容。</w:t>
      </w:r>
    </w:p>
    <w:p w14:paraId="6A17CB07">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（五）超过响应文件截止时间递交的响应文件，恕不接收。</w:t>
      </w:r>
    </w:p>
    <w:p w14:paraId="4C1D9916">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（六）网上</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费用：无论网上</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结果如何，</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参与本项目网上</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的所有费用均应由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自行承担。</w:t>
      </w:r>
    </w:p>
    <w:p w14:paraId="66ACAA64">
      <w:pPr>
        <w:snapToGrid w:val="0"/>
        <w:spacing w:line="360" w:lineRule="auto"/>
        <w:ind w:firstLine="361" w:firstLineChars="150"/>
        <w:rPr>
          <w:rFonts w:hint="eastAsia" w:ascii="宋体" w:hAnsi="宋体" w:eastAsia="宋体" w:cs="宋体"/>
          <w:b/>
          <w:bCs/>
          <w:color w:val="auto"/>
          <w:sz w:val="24"/>
          <w:szCs w:val="24"/>
          <w:highlight w:val="none"/>
        </w:rPr>
      </w:pPr>
      <w:bookmarkStart w:id="52" w:name="_Toc480466700"/>
      <w:r>
        <w:rPr>
          <w:rFonts w:hint="eastAsia" w:ascii="宋体" w:hAnsi="宋体" w:eastAsia="宋体" w:cs="宋体"/>
          <w:b/>
          <w:bCs/>
          <w:color w:val="auto"/>
          <w:sz w:val="24"/>
          <w:szCs w:val="24"/>
          <w:highlight w:val="none"/>
        </w:rPr>
        <w:t>（七）本项目不接受联合体参与网上竞采。</w:t>
      </w:r>
    </w:p>
    <w:p w14:paraId="06DAFC9D">
      <w:pPr>
        <w:snapToGrid w:val="0"/>
        <w:spacing w:line="360" w:lineRule="auto"/>
        <w:ind w:firstLine="361" w:firstLineChars="15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（八）本项目不接受合同分包。</w:t>
      </w:r>
    </w:p>
    <w:p w14:paraId="2697C9C2">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列入失信被执行人、重大税收违法案件当事人名单、政府采购严重违法失信行为记录名单及其他不符合《中华人民共和国政府采购法》第二十二条规定条件的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，将拒绝其参与政府采购活动。</w:t>
      </w:r>
    </w:p>
    <w:p w14:paraId="3A58192E">
      <w:pPr>
        <w:pStyle w:val="2"/>
        <w:spacing w:before="0" w:after="0" w:line="360" w:lineRule="auto"/>
        <w:rPr>
          <w:rFonts w:hint="eastAsia" w:ascii="宋体" w:hAnsi="宋体" w:eastAsia="宋体" w:cs="宋体"/>
          <w:color w:val="auto"/>
          <w:sz w:val="24"/>
          <w:szCs w:val="24"/>
          <w:highlight w:val="none"/>
        </w:rPr>
      </w:pPr>
      <w:bookmarkStart w:id="53" w:name="_Toc7960"/>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、联系方式</w:t>
      </w:r>
      <w:bookmarkEnd w:id="52"/>
      <w:bookmarkEnd w:id="53"/>
    </w:p>
    <w:p w14:paraId="27C29241">
      <w:pPr>
        <w:snapToGrid w:val="0"/>
        <w:spacing w:line="360" w:lineRule="auto"/>
        <w:rPr>
          <w:rFonts w:hint="eastAsia" w:ascii="宋体" w:hAnsi="宋体" w:eastAsia="宋体" w:cs="宋体"/>
          <w:color w:val="auto"/>
          <w:sz w:val="24"/>
          <w:szCs w:val="24"/>
          <w:highlight w:val="none"/>
          <w:lang w:eastAsia="zh-CN"/>
        </w:rPr>
      </w:pPr>
      <w:bookmarkStart w:id="54" w:name="_Toc18586"/>
      <w:bookmarkStart w:id="55" w:name="_Toc1145"/>
      <w:bookmarkStart w:id="56" w:name="_Toc12789058"/>
      <w:r>
        <w:rPr>
          <w:rFonts w:hint="eastAsia" w:ascii="宋体" w:hAnsi="宋体" w:eastAsia="宋体" w:cs="宋体"/>
          <w:color w:val="auto"/>
          <w:sz w:val="24"/>
          <w:szCs w:val="24"/>
          <w:highlight w:val="none"/>
        </w:rPr>
        <w:t>（一）采购人：</w:t>
      </w:r>
      <w:r>
        <w:rPr>
          <w:rFonts w:hint="eastAsia" w:ascii="宋体" w:hAnsi="宋体" w:eastAsia="宋体" w:cs="宋体"/>
          <w:color w:val="auto"/>
          <w:sz w:val="24"/>
          <w:szCs w:val="24"/>
          <w:highlight w:val="none"/>
          <w:lang w:eastAsia="zh-CN"/>
        </w:rPr>
        <w:t>秀山土家族苗族自治县疾病预防控制中心</w:t>
      </w:r>
    </w:p>
    <w:p w14:paraId="37B73869">
      <w:pPr>
        <w:snapToGrid w:val="0"/>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联 系 人：杨老师  </w:t>
      </w:r>
    </w:p>
    <w:p w14:paraId="10FCFD35">
      <w:pPr>
        <w:snapToGrid w:val="0"/>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w:t>
      </w:r>
      <w:r>
        <w:rPr>
          <w:rFonts w:hint="eastAsia" w:ascii="宋体" w:hAnsi="宋体" w:cs="宋体"/>
          <w:color w:val="auto"/>
          <w:sz w:val="24"/>
          <w:szCs w:val="24"/>
          <w:highlight w:val="none"/>
          <w:lang w:val="en-US" w:eastAsia="zh-CN"/>
        </w:rPr>
        <w:t>18315215161</w:t>
      </w:r>
    </w:p>
    <w:p w14:paraId="20363F93">
      <w:pPr>
        <w:pStyle w:val="60"/>
        <w:ind w:left="0" w:leftChars="0" w:firstLine="240" w:firstLineChars="1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地    址：重庆市秀山县乌杨街道四行董6号</w:t>
      </w:r>
    </w:p>
    <w:p w14:paraId="59923576">
      <w:pPr>
        <w:snapToGrid w:val="0"/>
        <w:spacing w:line="360" w:lineRule="auto"/>
        <w:ind w:firstLine="240" w:firstLineChars="100"/>
        <w:rPr>
          <w:rFonts w:hint="eastAsia" w:ascii="宋体" w:hAnsi="宋体" w:eastAsia="宋体" w:cs="宋体"/>
          <w:color w:val="auto"/>
          <w:sz w:val="24"/>
          <w:szCs w:val="24"/>
          <w:highlight w:val="none"/>
          <w:lang w:val="en-US" w:eastAsia="zh-CN"/>
        </w:rPr>
      </w:pPr>
    </w:p>
    <w:p w14:paraId="499743B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r>
        <w:rPr>
          <w:rFonts w:hint="eastAsia" w:ascii="宋体" w:hAnsi="宋体" w:eastAsia="宋体" w:cs="宋体"/>
          <w:color w:val="auto"/>
          <w:sz w:val="24"/>
          <w:szCs w:val="24"/>
          <w:highlight w:val="none"/>
          <w:lang w:eastAsia="zh-CN"/>
        </w:rPr>
        <w:t>重庆千诺工程项目管理有限公司</w:t>
      </w:r>
      <w:r>
        <w:rPr>
          <w:rFonts w:hint="eastAsia" w:ascii="宋体" w:hAnsi="宋体" w:eastAsia="宋体" w:cs="宋体"/>
          <w:color w:val="auto"/>
          <w:sz w:val="24"/>
          <w:szCs w:val="24"/>
          <w:highlight w:val="none"/>
        </w:rPr>
        <w:t xml:space="preserve">  </w:t>
      </w:r>
    </w:p>
    <w:p w14:paraId="0276B2AE">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陈</w:t>
      </w:r>
      <w:r>
        <w:rPr>
          <w:rFonts w:hint="eastAsia" w:ascii="宋体" w:hAnsi="宋体" w:eastAsia="宋体" w:cs="宋体"/>
          <w:color w:val="auto"/>
          <w:sz w:val="24"/>
          <w:szCs w:val="24"/>
          <w:highlight w:val="none"/>
        </w:rPr>
        <w:t>老师</w:t>
      </w:r>
    </w:p>
    <w:p w14:paraId="1670A357">
      <w:pPr>
        <w:snapToGrid w:val="0"/>
        <w:spacing w:line="360" w:lineRule="auto"/>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023-87987380</w:t>
      </w:r>
    </w:p>
    <w:p w14:paraId="321FC343">
      <w:pPr>
        <w:snapToGrid w:val="0"/>
        <w:spacing w:line="360" w:lineRule="auto"/>
        <w:ind w:firstLine="240" w:firstLineChars="100"/>
        <w:rPr>
          <w:rFonts w:hint="eastAsia" w:ascii="宋体" w:hAnsi="宋体" w:eastAsia="宋体" w:cs="宋体"/>
          <w:color w:val="auto"/>
          <w:sz w:val="24"/>
          <w:szCs w:val="24"/>
          <w:highlight w:val="none"/>
        </w:rPr>
        <w:sectPr>
          <w:pgSz w:w="11907" w:h="16840"/>
          <w:pgMar w:top="1134" w:right="1418" w:bottom="1134" w:left="1418" w:header="397" w:footer="992" w:gutter="0"/>
          <w:pgNumType w:fmt="numberInDash"/>
          <w:cols w:space="720" w:num="1"/>
          <w:docGrid w:linePitch="312" w:charSpace="0"/>
        </w:sect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eastAsia="zh-CN"/>
        </w:rPr>
        <w:t>重庆市秀山县花灯街迎春二巷（</w:t>
      </w:r>
      <w:r>
        <w:rPr>
          <w:rFonts w:hint="eastAsia" w:ascii="宋体" w:hAnsi="宋体" w:eastAsia="宋体" w:cs="宋体"/>
          <w:color w:val="auto"/>
          <w:sz w:val="24"/>
          <w:szCs w:val="24"/>
          <w:highlight w:val="none"/>
          <w:lang w:val="en-US" w:eastAsia="zh-CN"/>
        </w:rPr>
        <w:t>千诺咨询公司</w:t>
      </w:r>
      <w:r>
        <w:rPr>
          <w:rFonts w:hint="eastAsia" w:ascii="宋体" w:hAnsi="宋体" w:cs="宋体"/>
          <w:color w:val="auto"/>
          <w:sz w:val="24"/>
          <w:szCs w:val="24"/>
          <w:highlight w:val="none"/>
          <w:lang w:val="en-US" w:eastAsia="zh-CN"/>
        </w:rPr>
        <w:t>）</w:t>
      </w:r>
    </w:p>
    <w:p w14:paraId="701FD87D">
      <w:pPr>
        <w:pStyle w:val="4"/>
        <w:numPr>
          <w:ilvl w:val="0"/>
          <w:numId w:val="0"/>
        </w:numPr>
        <w:spacing w:before="0" w:after="0" w:line="360" w:lineRule="auto"/>
        <w:jc w:val="both"/>
        <w:rPr>
          <w:rFonts w:hint="eastAsia" w:ascii="宋体" w:hAnsi="宋体" w:eastAsia="宋体" w:cs="宋体"/>
          <w:b/>
          <w:bCs/>
          <w:color w:val="auto"/>
          <w:sz w:val="28"/>
          <w:szCs w:val="28"/>
          <w:highlight w:val="none"/>
        </w:rPr>
      </w:pPr>
    </w:p>
    <w:p w14:paraId="2CCBB810">
      <w:pPr>
        <w:pStyle w:val="4"/>
        <w:numPr>
          <w:ilvl w:val="0"/>
          <w:numId w:val="0"/>
        </w:numPr>
        <w:spacing w:before="0" w:after="0"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第二篇  </w:t>
      </w:r>
      <w:r>
        <w:rPr>
          <w:rFonts w:hint="eastAsia" w:ascii="宋体" w:hAnsi="宋体" w:eastAsia="宋体" w:cs="宋体"/>
          <w:b/>
          <w:bCs/>
          <w:color w:val="auto"/>
          <w:sz w:val="28"/>
          <w:szCs w:val="28"/>
          <w:highlight w:val="none"/>
        </w:rPr>
        <w:t>项目技术需求</w:t>
      </w:r>
      <w:bookmarkEnd w:id="54"/>
      <w:bookmarkEnd w:id="55"/>
    </w:p>
    <w:bookmarkEnd w:id="56"/>
    <w:p w14:paraId="0BDE0C95">
      <w:pPr>
        <w:keepNext w:val="0"/>
        <w:keepLines w:val="0"/>
        <w:pageBreakBefore w:val="0"/>
        <w:widowControl w:val="0"/>
        <w:kinsoku/>
        <w:wordWrap/>
        <w:overflowPunct/>
        <w:topLinePunct w:val="0"/>
        <w:autoSpaceDE/>
        <w:autoSpaceDN/>
        <w:bidi w:val="0"/>
        <w:spacing w:line="400" w:lineRule="exact"/>
        <w:textAlignment w:val="auto"/>
        <w:outlineLvl w:val="9"/>
        <w:rPr>
          <w:rFonts w:hint="eastAsia" w:ascii="宋体" w:hAnsi="宋体" w:eastAsia="宋体" w:cs="宋体"/>
          <w:color w:val="auto"/>
          <w:sz w:val="28"/>
          <w:szCs w:val="28"/>
          <w:highlight w:val="none"/>
          <w:vertAlign w:val="baseline"/>
          <w:lang w:val="en-US" w:eastAsia="zh-CN"/>
        </w:rPr>
      </w:pPr>
      <w:bookmarkStart w:id="57" w:name="_Toc24341"/>
      <w:r>
        <w:rPr>
          <w:rFonts w:hint="eastAsia" w:ascii="宋体" w:hAnsi="宋体" w:eastAsia="宋体" w:cs="宋体"/>
          <w:color w:val="auto"/>
          <w:sz w:val="28"/>
          <w:szCs w:val="28"/>
          <w:highlight w:val="none"/>
          <w:vertAlign w:val="baseline"/>
          <w:lang w:val="en-US" w:eastAsia="zh-CN"/>
        </w:rPr>
        <w:t>一、</w:t>
      </w:r>
      <w:r>
        <w:rPr>
          <w:rFonts w:hint="eastAsia" w:ascii="宋体" w:hAnsi="宋体" w:eastAsia="宋体" w:cs="宋体"/>
          <w:b/>
          <w:bCs/>
          <w:color w:val="auto"/>
          <w:sz w:val="28"/>
          <w:szCs w:val="28"/>
          <w:highlight w:val="none"/>
          <w:lang w:val="en-US" w:eastAsia="zh-CN"/>
        </w:rPr>
        <w:t>设备采购清单</w:t>
      </w:r>
    </w:p>
    <w:tbl>
      <w:tblPr>
        <w:tblStyle w:val="61"/>
        <w:tblW w:w="8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6"/>
        <w:gridCol w:w="1469"/>
        <w:gridCol w:w="2465"/>
        <w:gridCol w:w="2465"/>
      </w:tblGrid>
      <w:tr w14:paraId="3F95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246" w:type="dxa"/>
            <w:vAlign w:val="center"/>
          </w:tcPr>
          <w:p w14:paraId="2FCA086C">
            <w:pPr>
              <w:jc w:val="center"/>
              <w:rPr>
                <w:rFonts w:hint="eastAsia" w:eastAsia="方正仿宋_GBK"/>
                <w:b/>
                <w:color w:val="auto"/>
                <w:sz w:val="24"/>
                <w:szCs w:val="24"/>
              </w:rPr>
            </w:pPr>
            <w:r>
              <w:rPr>
                <w:rFonts w:hint="eastAsia" w:eastAsia="方正仿宋_GBK"/>
                <w:b/>
                <w:color w:val="auto"/>
                <w:sz w:val="24"/>
                <w:szCs w:val="24"/>
              </w:rPr>
              <w:t>产品名称</w:t>
            </w:r>
          </w:p>
        </w:tc>
        <w:tc>
          <w:tcPr>
            <w:tcW w:w="1469" w:type="dxa"/>
            <w:vAlign w:val="center"/>
          </w:tcPr>
          <w:p w14:paraId="205F5D5B">
            <w:pPr>
              <w:jc w:val="center"/>
              <w:rPr>
                <w:rFonts w:eastAsia="方正仿宋_GBK"/>
                <w:b/>
                <w:color w:val="auto"/>
                <w:sz w:val="24"/>
                <w:szCs w:val="24"/>
              </w:rPr>
            </w:pPr>
            <w:r>
              <w:rPr>
                <w:rFonts w:eastAsia="方正仿宋_GBK"/>
                <w:b/>
                <w:color w:val="auto"/>
                <w:sz w:val="24"/>
                <w:szCs w:val="24"/>
              </w:rPr>
              <w:t>数量/单位</w:t>
            </w:r>
          </w:p>
        </w:tc>
        <w:tc>
          <w:tcPr>
            <w:tcW w:w="2465" w:type="dxa"/>
            <w:vAlign w:val="top"/>
          </w:tcPr>
          <w:p w14:paraId="2B484518">
            <w:pPr>
              <w:jc w:val="center"/>
              <w:rPr>
                <w:rFonts w:hint="eastAsia" w:eastAsia="方正仿宋_GBK"/>
                <w:b/>
                <w:color w:val="auto"/>
                <w:sz w:val="24"/>
                <w:szCs w:val="24"/>
              </w:rPr>
            </w:pPr>
            <w:r>
              <w:rPr>
                <w:rFonts w:eastAsia="方正仿宋_GBK"/>
                <w:b/>
                <w:color w:val="auto"/>
                <w:sz w:val="24"/>
                <w:szCs w:val="24"/>
              </w:rPr>
              <w:t>采购标的对应的中小企业划分标准所属行业</w:t>
            </w:r>
          </w:p>
        </w:tc>
        <w:tc>
          <w:tcPr>
            <w:tcW w:w="2465" w:type="dxa"/>
            <w:vAlign w:val="center"/>
          </w:tcPr>
          <w:p w14:paraId="19B88FAD">
            <w:pPr>
              <w:jc w:val="center"/>
              <w:rPr>
                <w:rFonts w:eastAsia="方正仿宋_GBK"/>
                <w:b/>
                <w:color w:val="auto"/>
                <w:sz w:val="24"/>
                <w:szCs w:val="24"/>
              </w:rPr>
            </w:pPr>
            <w:r>
              <w:rPr>
                <w:rFonts w:eastAsia="方正仿宋_GBK"/>
                <w:b/>
                <w:color w:val="auto"/>
                <w:sz w:val="24"/>
                <w:szCs w:val="24"/>
              </w:rPr>
              <w:t>备注</w:t>
            </w:r>
          </w:p>
        </w:tc>
      </w:tr>
      <w:tr w14:paraId="5CAE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246" w:type="dxa"/>
            <w:shd w:val="clear" w:color="auto" w:fill="FFFFFF"/>
            <w:vAlign w:val="bottom"/>
          </w:tcPr>
          <w:p w14:paraId="163B9CDD">
            <w:pPr>
              <w:pStyle w:val="23"/>
              <w:spacing w:line="240" w:lineRule="auto"/>
              <w:ind w:left="0"/>
              <w:jc w:val="center"/>
              <w:outlineLvl w:val="0"/>
              <w:rPr>
                <w:rFonts w:hint="eastAsia" w:eastAsia="方正仿宋_GBK"/>
                <w:color w:val="auto"/>
                <w:sz w:val="24"/>
                <w:szCs w:val="24"/>
                <w:lang w:eastAsia="zh-CN"/>
              </w:rPr>
            </w:pPr>
            <w:r>
              <w:rPr>
                <w:rFonts w:hint="eastAsia" w:eastAsia="方正仿宋_GBK"/>
                <w:color w:val="auto"/>
                <w:sz w:val="24"/>
                <w:szCs w:val="24"/>
                <w:lang w:eastAsia="zh-CN"/>
              </w:rPr>
              <w:t>病毒载量系统</w:t>
            </w:r>
          </w:p>
          <w:p w14:paraId="615F849B">
            <w:pPr>
              <w:pStyle w:val="23"/>
              <w:spacing w:line="240" w:lineRule="auto"/>
              <w:ind w:left="0"/>
              <w:jc w:val="center"/>
              <w:outlineLvl w:val="0"/>
              <w:rPr>
                <w:rFonts w:eastAsia="方正仿宋_GBK"/>
                <w:color w:val="auto"/>
                <w:sz w:val="24"/>
                <w:szCs w:val="24"/>
              </w:rPr>
            </w:pPr>
          </w:p>
        </w:tc>
        <w:tc>
          <w:tcPr>
            <w:tcW w:w="1469" w:type="dxa"/>
            <w:vAlign w:val="center"/>
          </w:tcPr>
          <w:p w14:paraId="176F4795">
            <w:pPr>
              <w:jc w:val="center"/>
              <w:rPr>
                <w:rFonts w:eastAsia="方正仿宋_GBK"/>
                <w:color w:val="auto"/>
                <w:sz w:val="24"/>
                <w:szCs w:val="24"/>
              </w:rPr>
            </w:pPr>
            <w:r>
              <w:rPr>
                <w:rFonts w:hint="eastAsia" w:eastAsia="方正仿宋_GBK"/>
                <w:color w:val="auto"/>
                <w:sz w:val="24"/>
                <w:szCs w:val="24"/>
              </w:rPr>
              <w:t>1</w:t>
            </w:r>
            <w:r>
              <w:rPr>
                <w:rFonts w:eastAsia="方正仿宋_GBK"/>
                <w:color w:val="auto"/>
                <w:sz w:val="24"/>
                <w:szCs w:val="24"/>
              </w:rPr>
              <w:t>台</w:t>
            </w:r>
          </w:p>
        </w:tc>
        <w:tc>
          <w:tcPr>
            <w:tcW w:w="2465" w:type="dxa"/>
            <w:vAlign w:val="center"/>
          </w:tcPr>
          <w:p w14:paraId="7720546D">
            <w:pPr>
              <w:ind w:firstLine="720" w:firstLineChars="300"/>
              <w:jc w:val="both"/>
              <w:rPr>
                <w:rFonts w:hint="eastAsia" w:eastAsia="方正仿宋_GBK"/>
                <w:color w:val="auto"/>
                <w:sz w:val="24"/>
                <w:szCs w:val="24"/>
              </w:rPr>
            </w:pPr>
            <w:r>
              <w:rPr>
                <w:rFonts w:hint="eastAsia" w:eastAsia="方正仿宋_GBK"/>
                <w:color w:val="auto"/>
                <w:sz w:val="24"/>
                <w:szCs w:val="24"/>
              </w:rPr>
              <w:t>工业</w:t>
            </w:r>
          </w:p>
        </w:tc>
        <w:tc>
          <w:tcPr>
            <w:tcW w:w="2465" w:type="dxa"/>
            <w:vAlign w:val="center"/>
          </w:tcPr>
          <w:p w14:paraId="644F4EF8">
            <w:pPr>
              <w:rPr>
                <w:rFonts w:hint="eastAsia" w:eastAsia="方正仿宋_GBK"/>
                <w:color w:val="auto"/>
                <w:sz w:val="24"/>
                <w:szCs w:val="24"/>
                <w:lang w:val="en-US" w:eastAsia="zh-CN"/>
              </w:rPr>
            </w:pPr>
            <w:r>
              <w:rPr>
                <w:rFonts w:hint="eastAsia" w:eastAsia="方正仿宋_GBK"/>
                <w:color w:val="auto"/>
                <w:sz w:val="24"/>
                <w:szCs w:val="24"/>
                <w:lang w:val="en-US" w:eastAsia="zh-CN"/>
              </w:rPr>
              <w:t>所投产品均限为中国大陆境内生产。</w:t>
            </w:r>
          </w:p>
        </w:tc>
      </w:tr>
    </w:tbl>
    <w:p w14:paraId="15F8478F">
      <w:pPr>
        <w:keepNext w:val="0"/>
        <w:keepLines w:val="0"/>
        <w:pageBreakBefore w:val="0"/>
        <w:widowControl w:val="0"/>
        <w:numPr>
          <w:ilvl w:val="0"/>
          <w:numId w:val="0"/>
        </w:numPr>
        <w:kinsoku/>
        <w:wordWrap/>
        <w:overflowPunct/>
        <w:topLinePunct w:val="0"/>
        <w:autoSpaceDE/>
        <w:autoSpaceDN/>
        <w:bidi w:val="0"/>
        <w:spacing w:line="400" w:lineRule="exact"/>
        <w:ind w:leftChars="0" w:right="0" w:rightChars="0"/>
        <w:jc w:val="both"/>
        <w:textAlignment w:val="auto"/>
        <w:outlineLvl w:val="9"/>
        <w:rPr>
          <w:rFonts w:hint="eastAsia" w:ascii="宋体" w:hAnsi="宋体" w:eastAsia="宋体" w:cs="宋体"/>
          <w:b/>
          <w:color w:val="auto"/>
          <w:sz w:val="28"/>
          <w:szCs w:val="28"/>
          <w:highlight w:val="none"/>
          <w:lang w:val="en-US" w:eastAsia="zh-CN"/>
        </w:rPr>
      </w:pPr>
    </w:p>
    <w:p w14:paraId="07D2830A">
      <w:pPr>
        <w:keepNext w:val="0"/>
        <w:keepLines w:val="0"/>
        <w:pageBreakBefore w:val="0"/>
        <w:widowControl w:val="0"/>
        <w:numPr>
          <w:ilvl w:val="0"/>
          <w:numId w:val="0"/>
        </w:numPr>
        <w:kinsoku/>
        <w:wordWrap/>
        <w:overflowPunct/>
        <w:topLinePunct w:val="0"/>
        <w:autoSpaceDE/>
        <w:autoSpaceDN/>
        <w:bidi w:val="0"/>
        <w:spacing w:line="400" w:lineRule="exact"/>
        <w:ind w:leftChars="0" w:right="0" w:rightChars="0"/>
        <w:jc w:val="both"/>
        <w:textAlignment w:val="auto"/>
        <w:outlineLvl w:val="9"/>
        <w:rPr>
          <w:rFonts w:hint="eastAsia" w:ascii="宋体" w:hAnsi="宋体" w:eastAsia="宋体" w:cs="宋体"/>
          <w:b/>
          <w:bCs/>
          <w:color w:val="auto"/>
          <w:sz w:val="22"/>
          <w:szCs w:val="22"/>
          <w:highlight w:val="none"/>
          <w:lang w:val="en-US" w:eastAsia="zh-CN"/>
        </w:rPr>
      </w:pP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lang w:eastAsia="zh-CN"/>
        </w:rPr>
        <w:t>技术要求及</w:t>
      </w:r>
      <w:r>
        <w:rPr>
          <w:rFonts w:hint="eastAsia" w:ascii="宋体" w:hAnsi="宋体" w:eastAsia="宋体" w:cs="宋体"/>
          <w:b/>
          <w:color w:val="auto"/>
          <w:sz w:val="28"/>
          <w:szCs w:val="28"/>
          <w:highlight w:val="none"/>
          <w:lang w:val="en-US" w:eastAsia="zh-CN"/>
        </w:rPr>
        <w:t>相关设备</w:t>
      </w:r>
      <w:r>
        <w:rPr>
          <w:rFonts w:hint="eastAsia" w:ascii="宋体" w:hAnsi="宋体" w:eastAsia="宋体" w:cs="宋体"/>
          <w:b/>
          <w:color w:val="auto"/>
          <w:sz w:val="28"/>
          <w:szCs w:val="28"/>
          <w:highlight w:val="none"/>
          <w:lang w:eastAsia="zh-CN"/>
        </w:rPr>
        <w:t>参数</w:t>
      </w:r>
    </w:p>
    <w:p w14:paraId="324BB3E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设备功能：整套设备具备样本和试剂全自动分样、核酸纯化及PCR反应液混匀及PCR扩增检测功能，样本进样后全自动完成核酸提取和PCR检测，支持样本进结果出无需人工干预。（提供</w:t>
      </w:r>
      <w:r>
        <w:rPr>
          <w:rFonts w:hint="eastAsia" w:ascii="宋体" w:hAnsi="宋体" w:eastAsia="宋体" w:cs="宋体"/>
          <w:color w:val="auto"/>
          <w:kern w:val="0"/>
          <w:sz w:val="24"/>
          <w:szCs w:val="24"/>
          <w:highlight w:val="none"/>
          <w:lang w:val="en-US" w:eastAsia="zh-CN"/>
        </w:rPr>
        <w:t>彩页</w:t>
      </w:r>
      <w:r>
        <w:rPr>
          <w:rFonts w:hint="eastAsia" w:ascii="宋体" w:hAnsi="宋体" w:eastAsia="宋体" w:cs="宋体"/>
          <w:color w:val="auto"/>
          <w:kern w:val="0"/>
          <w:sz w:val="24"/>
          <w:szCs w:val="24"/>
          <w:highlight w:val="none"/>
        </w:rPr>
        <w:t>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5D91DDD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设备提取原理：采用磁珠法分离核酸，磁珠保留在提取孔中无转移；支持试剂、耗材及载架条码扫描溯源。支持≥2个不同检测项目样本同时核酸提取</w:t>
      </w:r>
      <w:r>
        <w:rPr>
          <w:rFonts w:hint="eastAsia" w:ascii="宋体" w:hAnsi="宋体" w:eastAsia="宋体" w:cs="宋体"/>
          <w:color w:val="auto"/>
          <w:kern w:val="0"/>
          <w:sz w:val="24"/>
          <w:szCs w:val="24"/>
          <w:highlight w:val="none"/>
          <w:lang w:eastAsia="zh-CN"/>
        </w:rPr>
        <w:t>。</w:t>
      </w:r>
    </w:p>
    <w:p w14:paraId="4CAB56FB">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运行耗时：≤4h/96T，8h处理不低于 288 个测试。</w:t>
      </w:r>
    </w:p>
    <w:p w14:paraId="10C6821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检测通量：一次可装载最小样本数为1人份，单次至少可以放置96人份样本</w:t>
      </w:r>
      <w:r>
        <w:rPr>
          <w:rFonts w:hint="eastAsia" w:ascii="宋体" w:hAnsi="宋体" w:eastAsia="宋体" w:cs="宋体"/>
          <w:color w:val="auto"/>
          <w:kern w:val="0"/>
          <w:sz w:val="24"/>
          <w:szCs w:val="24"/>
          <w:highlight w:val="none"/>
          <w:lang w:eastAsia="zh-CN"/>
        </w:rPr>
        <w:t>。</w:t>
      </w:r>
    </w:p>
    <w:p w14:paraId="0C829653">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5、设备应有功能</w:t>
      </w:r>
      <w:r>
        <w:rPr>
          <w:rFonts w:hint="eastAsia" w:ascii="宋体" w:hAnsi="宋体" w:eastAsia="宋体" w:cs="宋体"/>
          <w:color w:val="auto"/>
          <w:kern w:val="0"/>
          <w:sz w:val="24"/>
          <w:szCs w:val="24"/>
          <w:highlight w:val="none"/>
        </w:rPr>
        <w:t>：核酸提取区和扩增区要求相互独立封闭，相互无污染、</w:t>
      </w:r>
      <w:r>
        <w:rPr>
          <w:rFonts w:hint="eastAsia" w:ascii="宋体" w:hAnsi="宋体" w:eastAsia="宋体" w:cs="宋体"/>
          <w:color w:val="auto"/>
          <w:kern w:val="0"/>
          <w:sz w:val="24"/>
          <w:szCs w:val="24"/>
          <w:highlight w:val="none"/>
          <w:lang w:val="en-US" w:eastAsia="zh-CN"/>
        </w:rPr>
        <w:t>配</w:t>
      </w:r>
      <w:r>
        <w:rPr>
          <w:rFonts w:hint="eastAsia" w:ascii="宋体" w:hAnsi="宋体" w:eastAsia="宋体" w:cs="宋体"/>
          <w:color w:val="auto"/>
          <w:kern w:val="0"/>
          <w:sz w:val="24"/>
          <w:szCs w:val="24"/>
          <w:highlight w:val="none"/>
        </w:rPr>
        <w:t>有层流净化通风系统（HEPA），有紫外灯消毒；密闭废液仓、废弃枪头收集器，防治气溶胶外泄，保障反应体系均一及减少气溶胶污染</w:t>
      </w:r>
      <w:r>
        <w:rPr>
          <w:rFonts w:hint="eastAsia" w:ascii="宋体" w:hAnsi="宋体" w:eastAsia="宋体" w:cs="宋体"/>
          <w:color w:val="auto"/>
          <w:kern w:val="0"/>
          <w:sz w:val="24"/>
          <w:szCs w:val="24"/>
          <w:highlight w:val="none"/>
          <w:lang w:eastAsia="zh-CN"/>
        </w:rPr>
        <w:t>。</w:t>
      </w:r>
    </w:p>
    <w:p w14:paraId="5FCE062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8针可独立移动的加样通道，具备检测吸头是否取到或脱掉功能，具备液面探测及凝块检测功能。</w:t>
      </w:r>
    </w:p>
    <w:p w14:paraId="10EE7A8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抓手机械臂：核酸提取区和 PCR 扩增区分别有独立的抓手机械臂，可完成 PCR 八联管取盖、封盖和八联管转移，抓取和脱落异常提示。</w:t>
      </w:r>
    </w:p>
    <w:p w14:paraId="0D902AEC">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8、扩增</w:t>
      </w:r>
      <w:r>
        <w:rPr>
          <w:rFonts w:hint="eastAsia" w:ascii="宋体" w:hAnsi="宋体" w:eastAsia="宋体" w:cs="宋体"/>
          <w:color w:val="auto"/>
          <w:kern w:val="0"/>
          <w:sz w:val="24"/>
          <w:szCs w:val="24"/>
          <w:highlight w:val="none"/>
        </w:rPr>
        <w:t>通道：检测通道：≥4个。（提供</w:t>
      </w:r>
      <w:r>
        <w:rPr>
          <w:rFonts w:hint="eastAsia" w:ascii="宋体" w:hAnsi="宋体" w:eastAsia="宋体" w:cs="宋体"/>
          <w:color w:val="auto"/>
          <w:kern w:val="0"/>
          <w:sz w:val="24"/>
          <w:szCs w:val="24"/>
          <w:highlight w:val="none"/>
          <w:lang w:val="en-US" w:eastAsia="zh-CN"/>
        </w:rPr>
        <w:t>彩页</w:t>
      </w:r>
      <w:r>
        <w:rPr>
          <w:rFonts w:hint="eastAsia" w:ascii="宋体" w:hAnsi="宋体" w:eastAsia="宋体" w:cs="宋体"/>
          <w:color w:val="auto"/>
          <w:kern w:val="0"/>
          <w:sz w:val="24"/>
          <w:szCs w:val="24"/>
          <w:highlight w:val="none"/>
        </w:rPr>
        <w:t>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1EA883B4">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检测方式：反应管的底部检测</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支持PCR检测及恒温扩增检测。</w:t>
      </w:r>
    </w:p>
    <w:p w14:paraId="4A05672E">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激发、检测光的传输模式：每一反应孔独立的光纤传输。</w:t>
      </w:r>
    </w:p>
    <w:p w14:paraId="52D7F598">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11、设备适用性：配套有HIV-1 RNA 定量检测试剂。</w:t>
      </w:r>
      <w:r>
        <w:rPr>
          <w:rFonts w:hint="eastAsia" w:ascii="宋体" w:hAnsi="宋体" w:eastAsia="宋体" w:cs="宋体"/>
          <w:color w:val="auto"/>
          <w:kern w:val="0"/>
          <w:sz w:val="24"/>
          <w:szCs w:val="24"/>
          <w:highlight w:val="none"/>
        </w:rPr>
        <w:t>（提供试剂说明书佐证并加盖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1995B38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配套HIV-1RNA病毒载量试剂用途：</w:t>
      </w:r>
      <w:r>
        <w:rPr>
          <w:rFonts w:hint="eastAsia" w:ascii="宋体" w:hAnsi="宋体" w:eastAsia="宋体" w:cs="宋体"/>
          <w:color w:val="auto"/>
          <w:kern w:val="0"/>
          <w:sz w:val="24"/>
          <w:szCs w:val="24"/>
          <w:highlight w:val="none"/>
          <w:lang w:val="en-US" w:eastAsia="zh-CN"/>
        </w:rPr>
        <w:t>结果可</w:t>
      </w:r>
      <w:r>
        <w:rPr>
          <w:rFonts w:hint="eastAsia" w:ascii="宋体" w:hAnsi="宋体" w:eastAsia="宋体" w:cs="宋体"/>
          <w:color w:val="auto"/>
          <w:kern w:val="0"/>
          <w:sz w:val="24"/>
          <w:szCs w:val="24"/>
          <w:highlight w:val="none"/>
        </w:rPr>
        <w:t>用于HIV-1 感染病毒载量治疗后效果评价、艾滋病感染</w:t>
      </w:r>
      <w:r>
        <w:rPr>
          <w:rFonts w:hint="eastAsia" w:ascii="宋体" w:hAnsi="宋体" w:eastAsia="宋体" w:cs="宋体"/>
          <w:color w:val="auto"/>
          <w:kern w:val="0"/>
          <w:sz w:val="24"/>
          <w:szCs w:val="24"/>
          <w:highlight w:val="none"/>
          <w:lang w:val="en-US" w:eastAsia="zh-CN"/>
        </w:rPr>
        <w:t>辅助诊断或补充实验。</w:t>
      </w:r>
      <w:r>
        <w:rPr>
          <w:rFonts w:hint="eastAsia" w:ascii="宋体" w:hAnsi="宋体" w:eastAsia="宋体" w:cs="宋体"/>
          <w:color w:val="auto"/>
          <w:kern w:val="0"/>
          <w:sz w:val="24"/>
          <w:szCs w:val="24"/>
          <w:highlight w:val="none"/>
        </w:rPr>
        <w:t>（提供试剂说明书佐证并加盖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502102C1">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配套HIV-1RNA病毒载量试剂效期：≥12个月</w:t>
      </w:r>
      <w:r>
        <w:rPr>
          <w:rFonts w:hint="eastAsia" w:ascii="宋体" w:hAnsi="宋体" w:eastAsia="宋体" w:cs="宋体"/>
          <w:color w:val="auto"/>
          <w:kern w:val="0"/>
          <w:sz w:val="24"/>
          <w:szCs w:val="24"/>
          <w:highlight w:val="none"/>
          <w:lang w:eastAsia="zh-CN"/>
        </w:rPr>
        <w:t>。</w:t>
      </w:r>
    </w:p>
    <w:p w14:paraId="2848DEA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14、</w:t>
      </w:r>
      <w:r>
        <w:rPr>
          <w:rFonts w:hint="eastAsia" w:ascii="宋体" w:hAnsi="宋体" w:eastAsia="宋体" w:cs="宋体"/>
          <w:color w:val="auto"/>
          <w:kern w:val="0"/>
          <w:sz w:val="24"/>
          <w:szCs w:val="24"/>
          <w:highlight w:val="none"/>
        </w:rPr>
        <w:t>配套HIV-1RNA病毒载量试剂检测</w:t>
      </w:r>
      <w:r>
        <w:rPr>
          <w:rFonts w:hint="eastAsia" w:ascii="宋体" w:hAnsi="宋体" w:eastAsia="宋体" w:cs="宋体"/>
          <w:color w:val="auto"/>
          <w:kern w:val="0"/>
          <w:sz w:val="24"/>
          <w:szCs w:val="24"/>
          <w:highlight w:val="none"/>
          <w:lang w:val="en-US" w:eastAsia="zh-CN"/>
        </w:rPr>
        <w:t>最低检出限</w:t>
      </w:r>
      <w:r>
        <w:rPr>
          <w:rFonts w:hint="eastAsia" w:ascii="宋体" w:hAnsi="宋体" w:eastAsia="宋体" w:cs="宋体"/>
          <w:color w:val="auto"/>
          <w:kern w:val="0"/>
          <w:sz w:val="24"/>
          <w:szCs w:val="24"/>
          <w:highlight w:val="none"/>
        </w:rPr>
        <w:t>：≤30IU/ml。</w:t>
      </w:r>
    </w:p>
    <w:p w14:paraId="698DC07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sz w:val="24"/>
          <w:szCs w:val="24"/>
        </w:rPr>
        <w:t>配套HIV</w:t>
      </w:r>
      <w:bookmarkStart w:id="241" w:name="_GoBack"/>
      <w:bookmarkEnd w:id="241"/>
      <w:r>
        <w:rPr>
          <w:rFonts w:hint="eastAsia" w:ascii="宋体" w:hAnsi="宋体" w:eastAsia="宋体" w:cs="宋体"/>
          <w:sz w:val="24"/>
          <w:szCs w:val="24"/>
        </w:rPr>
        <w:t>-1RNA病毒载量试剂线性范围:下限≤50 IU /ml，上限≥1.0</w:t>
      </w:r>
      <w:r>
        <w:rPr>
          <w:rFonts w:hint="eastAsia" w:ascii="宋体" w:hAnsi="宋体" w:eastAsia="宋体" w:cs="宋体"/>
          <w:sz w:val="24"/>
          <w:szCs w:val="24"/>
          <w:lang w:val="en-US" w:eastAsia="zh-CN"/>
        </w:rPr>
        <w:t>×10</w:t>
      </w:r>
      <w:r>
        <w:rPr>
          <w:rFonts w:hint="eastAsia" w:ascii="宋体" w:hAnsi="宋体" w:eastAsia="宋体" w:cs="宋体"/>
          <w:sz w:val="24"/>
          <w:szCs w:val="24"/>
          <w:vertAlign w:val="superscript"/>
          <w:lang w:val="en-US" w:eastAsia="zh-CN"/>
        </w:rPr>
        <w:t>8</w:t>
      </w:r>
      <w:r>
        <w:rPr>
          <w:rFonts w:hint="eastAsia" w:ascii="宋体" w:hAnsi="宋体" w:eastAsia="宋体" w:cs="宋体"/>
          <w:sz w:val="24"/>
          <w:szCs w:val="24"/>
        </w:rPr>
        <w:t xml:space="preserve">IU /ml </w:t>
      </w:r>
      <w:r>
        <w:rPr>
          <w:rFonts w:hint="eastAsia" w:ascii="宋体" w:hAnsi="宋体" w:eastAsia="宋体" w:cs="宋体"/>
          <w:b/>
          <w:bCs/>
          <w:sz w:val="24"/>
          <w:szCs w:val="24"/>
        </w:rPr>
        <w:t>（提供试剂说明书佐证）</w:t>
      </w:r>
      <w:r>
        <w:rPr>
          <w:rFonts w:hint="eastAsia" w:ascii="宋体" w:hAnsi="宋体" w:eastAsia="宋体" w:cs="宋体"/>
          <w:color w:val="auto"/>
          <w:kern w:val="0"/>
          <w:sz w:val="24"/>
          <w:szCs w:val="24"/>
          <w:highlight w:val="none"/>
        </w:rPr>
        <w:t>。</w:t>
      </w:r>
    </w:p>
    <w:p w14:paraId="16C4AC6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配套HIV-1RNA病毒载量试剂扩增靶标:HIV-1双靶标扩增（提供试剂说明书佐证）。</w:t>
      </w:r>
    </w:p>
    <w:p w14:paraId="1E9BC94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配套HIV-1RNA病毒载量试剂定量方式:内标定量（提供试剂说明书佐证）。</w:t>
      </w:r>
    </w:p>
    <w:p w14:paraId="7EEBA5A7">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配套HIV-1RNA病毒载量试剂单次检测样本使用量：≤500</w:t>
      </w:r>
      <w:r>
        <w:rPr>
          <w:rFonts w:hint="eastAsia" w:ascii="宋体" w:hAnsi="宋体" w:eastAsia="宋体" w:cs="宋体"/>
          <w:color w:val="auto"/>
          <w:kern w:val="0"/>
          <w:sz w:val="24"/>
          <w:szCs w:val="24"/>
          <w:highlight w:val="none"/>
          <w:lang w:val="en-US" w:eastAsia="zh-CN"/>
        </w:rPr>
        <w:t>μ</w:t>
      </w:r>
      <w:r>
        <w:rPr>
          <w:rFonts w:hint="eastAsia" w:ascii="宋体" w:hAnsi="宋体" w:eastAsia="宋体" w:cs="宋体"/>
          <w:color w:val="auto"/>
          <w:kern w:val="0"/>
          <w:sz w:val="24"/>
          <w:szCs w:val="24"/>
          <w:highlight w:val="none"/>
        </w:rPr>
        <w:t>l。</w:t>
      </w:r>
    </w:p>
    <w:p w14:paraId="6C9B375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配套试剂定值依据可溯源至 WHO 标准品。</w:t>
      </w:r>
    </w:p>
    <w:p w14:paraId="585F787C">
      <w:pPr>
        <w:snapToGrid w:val="0"/>
        <w:spacing w:line="400" w:lineRule="exact"/>
        <w:ind w:firstLine="480" w:firstLineChars="200"/>
        <w:rPr>
          <w:rFonts w:hint="eastAsia" w:ascii="宋体" w:hAnsi="宋体" w:eastAsia="宋体" w:cs="宋体"/>
          <w:color w:val="auto"/>
          <w:kern w:val="0"/>
          <w:sz w:val="24"/>
          <w:szCs w:val="24"/>
          <w:highlight w:val="none"/>
        </w:rPr>
      </w:pPr>
      <w:bookmarkStart w:id="58" w:name="OLE_LINK1"/>
      <w:r>
        <w:rPr>
          <w:rFonts w:hint="eastAsia" w:ascii="宋体" w:hAnsi="宋体" w:eastAsia="宋体" w:cs="宋体"/>
          <w:color w:val="auto"/>
          <w:kern w:val="0"/>
          <w:sz w:val="24"/>
          <w:szCs w:val="24"/>
          <w:highlight w:val="none"/>
        </w:rPr>
        <w:t>★</w:t>
      </w:r>
      <w:bookmarkEnd w:id="58"/>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系统配置：主件包括</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96通量核酸提取模块、</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96通量PCR反应模块和电脑操作台（含软件）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8通量核酸提取仪一台，HIV-1RNA试剂一盒用于性能验证使用</w:t>
      </w:r>
      <w:r>
        <w:rPr>
          <w:rFonts w:hint="eastAsia" w:ascii="宋体" w:hAnsi="宋体" w:eastAsia="宋体" w:cs="宋体"/>
          <w:color w:val="auto"/>
          <w:kern w:val="0"/>
          <w:sz w:val="24"/>
          <w:szCs w:val="24"/>
          <w:highlight w:val="none"/>
        </w:rPr>
        <w:t>。</w:t>
      </w:r>
    </w:p>
    <w:p w14:paraId="28947FB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p>
    <w:p w14:paraId="6B1E0A3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p>
    <w:p w14:paraId="6E1177EF">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说明：带“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的技术参数为实质性要求，不满足实质性要求的响应文件按无效处理。</w:t>
      </w:r>
    </w:p>
    <w:p w14:paraId="6BD4AE5E">
      <w:pPr>
        <w:snapToGrid w:val="0"/>
        <w:spacing w:line="400" w:lineRule="exact"/>
        <w:ind w:firstLine="480" w:firstLineChars="200"/>
        <w:rPr>
          <w:rFonts w:hint="eastAsia" w:ascii="宋体" w:hAnsi="宋体" w:eastAsia="宋体" w:cs="宋体"/>
          <w:color w:val="auto"/>
          <w:kern w:val="0"/>
          <w:sz w:val="24"/>
          <w:szCs w:val="24"/>
          <w:highlight w:val="none"/>
        </w:rPr>
      </w:pPr>
    </w:p>
    <w:p w14:paraId="4EB90CC7">
      <w:pPr>
        <w:snapToGrid w:val="0"/>
        <w:spacing w:line="400" w:lineRule="exact"/>
        <w:ind w:firstLine="480" w:firstLineChars="200"/>
        <w:rPr>
          <w:rFonts w:hint="eastAsia" w:ascii="宋体" w:hAnsi="宋体" w:eastAsia="宋体" w:cs="宋体"/>
          <w:color w:val="auto"/>
          <w:kern w:val="0"/>
          <w:sz w:val="24"/>
          <w:szCs w:val="24"/>
          <w:highlight w:val="none"/>
        </w:rPr>
      </w:pPr>
    </w:p>
    <w:p w14:paraId="3BEAB976">
      <w:pPr>
        <w:tabs>
          <w:tab w:val="left" w:pos="3738"/>
        </w:tabs>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ab/>
      </w:r>
    </w:p>
    <w:p w14:paraId="1ABB7CD7">
      <w:pPr>
        <w:snapToGrid w:val="0"/>
        <w:spacing w:line="400" w:lineRule="exact"/>
        <w:ind w:firstLine="480" w:firstLineChars="200"/>
        <w:rPr>
          <w:rFonts w:hint="eastAsia" w:ascii="宋体" w:hAnsi="宋体" w:eastAsia="宋体" w:cs="宋体"/>
          <w:color w:val="auto"/>
          <w:kern w:val="0"/>
          <w:sz w:val="24"/>
          <w:szCs w:val="24"/>
          <w:highlight w:val="none"/>
        </w:rPr>
      </w:pPr>
    </w:p>
    <w:p w14:paraId="2D6636C5">
      <w:pPr>
        <w:snapToGrid w:val="0"/>
        <w:spacing w:line="400" w:lineRule="exact"/>
        <w:ind w:firstLine="480" w:firstLineChars="200"/>
        <w:rPr>
          <w:rFonts w:hint="eastAsia" w:ascii="宋体" w:hAnsi="宋体" w:eastAsia="宋体" w:cs="宋体"/>
          <w:color w:val="auto"/>
          <w:kern w:val="0"/>
          <w:sz w:val="24"/>
          <w:szCs w:val="24"/>
          <w:highlight w:val="none"/>
        </w:rPr>
      </w:pPr>
    </w:p>
    <w:p w14:paraId="0984E489">
      <w:pPr>
        <w:snapToGrid w:val="0"/>
        <w:spacing w:line="400" w:lineRule="exact"/>
        <w:ind w:firstLine="480" w:firstLineChars="200"/>
        <w:rPr>
          <w:rFonts w:hint="eastAsia" w:ascii="宋体" w:hAnsi="宋体" w:eastAsia="宋体" w:cs="宋体"/>
          <w:color w:val="auto"/>
          <w:kern w:val="0"/>
          <w:sz w:val="24"/>
          <w:szCs w:val="24"/>
          <w:highlight w:val="none"/>
        </w:rPr>
      </w:pPr>
    </w:p>
    <w:p w14:paraId="024E0FE2">
      <w:pPr>
        <w:snapToGrid w:val="0"/>
        <w:spacing w:line="400" w:lineRule="exact"/>
        <w:ind w:firstLine="480" w:firstLineChars="200"/>
        <w:rPr>
          <w:rFonts w:hint="eastAsia" w:ascii="宋体" w:hAnsi="宋体" w:eastAsia="宋体" w:cs="宋体"/>
          <w:color w:val="auto"/>
          <w:kern w:val="0"/>
          <w:sz w:val="24"/>
          <w:szCs w:val="24"/>
          <w:highlight w:val="none"/>
        </w:rPr>
      </w:pPr>
    </w:p>
    <w:p w14:paraId="14B43F14">
      <w:pPr>
        <w:snapToGrid w:val="0"/>
        <w:spacing w:line="400" w:lineRule="exact"/>
        <w:ind w:firstLine="480" w:firstLineChars="200"/>
        <w:rPr>
          <w:rFonts w:hint="eastAsia" w:ascii="宋体" w:hAnsi="宋体" w:eastAsia="宋体" w:cs="宋体"/>
          <w:color w:val="auto"/>
          <w:kern w:val="0"/>
          <w:sz w:val="24"/>
          <w:szCs w:val="24"/>
          <w:highlight w:val="none"/>
        </w:rPr>
      </w:pPr>
    </w:p>
    <w:p w14:paraId="5AAC1AC8">
      <w:pPr>
        <w:snapToGrid w:val="0"/>
        <w:spacing w:line="400" w:lineRule="exact"/>
        <w:ind w:firstLine="480" w:firstLineChars="200"/>
        <w:rPr>
          <w:rFonts w:hint="eastAsia" w:ascii="宋体" w:hAnsi="宋体" w:eastAsia="宋体" w:cs="宋体"/>
          <w:color w:val="auto"/>
          <w:kern w:val="0"/>
          <w:sz w:val="24"/>
          <w:szCs w:val="24"/>
          <w:highlight w:val="none"/>
        </w:rPr>
      </w:pPr>
    </w:p>
    <w:p w14:paraId="2EC9D985">
      <w:pPr>
        <w:snapToGrid w:val="0"/>
        <w:spacing w:line="400" w:lineRule="exact"/>
        <w:ind w:firstLine="480" w:firstLineChars="200"/>
        <w:rPr>
          <w:rFonts w:hint="eastAsia" w:ascii="宋体" w:hAnsi="宋体" w:eastAsia="宋体" w:cs="宋体"/>
          <w:color w:val="auto"/>
          <w:kern w:val="0"/>
          <w:sz w:val="24"/>
          <w:szCs w:val="24"/>
          <w:highlight w:val="none"/>
        </w:rPr>
      </w:pPr>
    </w:p>
    <w:p w14:paraId="6CC55C7B">
      <w:pPr>
        <w:snapToGrid w:val="0"/>
        <w:spacing w:line="400" w:lineRule="exact"/>
        <w:ind w:firstLine="480" w:firstLineChars="200"/>
        <w:rPr>
          <w:rFonts w:hint="eastAsia" w:ascii="宋体" w:hAnsi="宋体" w:eastAsia="宋体" w:cs="宋体"/>
          <w:color w:val="auto"/>
          <w:kern w:val="0"/>
          <w:sz w:val="24"/>
          <w:szCs w:val="24"/>
          <w:highlight w:val="none"/>
        </w:rPr>
      </w:pPr>
    </w:p>
    <w:p w14:paraId="3EED2E8D">
      <w:pPr>
        <w:snapToGrid w:val="0"/>
        <w:spacing w:line="400" w:lineRule="exact"/>
        <w:ind w:firstLine="480" w:firstLineChars="200"/>
        <w:rPr>
          <w:rFonts w:hint="eastAsia" w:ascii="宋体" w:hAnsi="宋体" w:eastAsia="宋体" w:cs="宋体"/>
          <w:color w:val="auto"/>
          <w:kern w:val="0"/>
          <w:sz w:val="24"/>
          <w:szCs w:val="24"/>
          <w:highlight w:val="none"/>
        </w:rPr>
      </w:pPr>
    </w:p>
    <w:p w14:paraId="6C2C88AA">
      <w:pPr>
        <w:snapToGrid w:val="0"/>
        <w:spacing w:line="400" w:lineRule="exact"/>
        <w:ind w:firstLine="480" w:firstLineChars="200"/>
        <w:rPr>
          <w:rFonts w:hint="eastAsia" w:ascii="宋体" w:hAnsi="宋体" w:eastAsia="宋体" w:cs="宋体"/>
          <w:color w:val="auto"/>
          <w:kern w:val="0"/>
          <w:sz w:val="24"/>
          <w:szCs w:val="24"/>
          <w:highlight w:val="none"/>
        </w:rPr>
      </w:pPr>
    </w:p>
    <w:p w14:paraId="559F3ED0">
      <w:pPr>
        <w:snapToGrid w:val="0"/>
        <w:spacing w:line="400" w:lineRule="exact"/>
        <w:ind w:firstLine="480" w:firstLineChars="200"/>
        <w:rPr>
          <w:rFonts w:hint="eastAsia" w:ascii="宋体" w:hAnsi="宋体" w:eastAsia="宋体" w:cs="宋体"/>
          <w:color w:val="auto"/>
          <w:kern w:val="0"/>
          <w:sz w:val="24"/>
          <w:szCs w:val="24"/>
          <w:highlight w:val="none"/>
        </w:rPr>
      </w:pPr>
    </w:p>
    <w:p w14:paraId="0E5DC9FD">
      <w:pPr>
        <w:snapToGrid w:val="0"/>
        <w:spacing w:line="400" w:lineRule="exact"/>
        <w:ind w:firstLine="480" w:firstLineChars="200"/>
        <w:rPr>
          <w:rFonts w:hint="eastAsia" w:ascii="宋体" w:hAnsi="宋体" w:eastAsia="宋体" w:cs="宋体"/>
          <w:color w:val="auto"/>
          <w:kern w:val="0"/>
          <w:sz w:val="24"/>
          <w:szCs w:val="24"/>
          <w:highlight w:val="none"/>
        </w:rPr>
      </w:pPr>
    </w:p>
    <w:p w14:paraId="724B3611">
      <w:pPr>
        <w:snapToGrid w:val="0"/>
        <w:spacing w:line="400" w:lineRule="exact"/>
        <w:ind w:firstLine="480" w:firstLineChars="200"/>
        <w:rPr>
          <w:rFonts w:hint="eastAsia" w:ascii="宋体" w:hAnsi="宋体" w:eastAsia="宋体" w:cs="宋体"/>
          <w:color w:val="auto"/>
          <w:kern w:val="0"/>
          <w:sz w:val="24"/>
          <w:szCs w:val="24"/>
          <w:highlight w:val="none"/>
        </w:rPr>
      </w:pPr>
    </w:p>
    <w:p w14:paraId="63E1A71F">
      <w:pPr>
        <w:snapToGrid w:val="0"/>
        <w:spacing w:line="400" w:lineRule="exact"/>
        <w:ind w:firstLine="480" w:firstLineChars="200"/>
        <w:rPr>
          <w:rFonts w:hint="eastAsia" w:ascii="宋体" w:hAnsi="宋体" w:eastAsia="宋体" w:cs="宋体"/>
          <w:color w:val="auto"/>
          <w:kern w:val="0"/>
          <w:sz w:val="24"/>
          <w:szCs w:val="24"/>
          <w:highlight w:val="none"/>
        </w:rPr>
      </w:pPr>
    </w:p>
    <w:p w14:paraId="3ADF5B97">
      <w:pPr>
        <w:snapToGrid w:val="0"/>
        <w:spacing w:line="400" w:lineRule="exact"/>
        <w:ind w:firstLine="480" w:firstLineChars="200"/>
        <w:rPr>
          <w:rFonts w:hint="eastAsia" w:ascii="宋体" w:hAnsi="宋体" w:eastAsia="宋体" w:cs="宋体"/>
          <w:color w:val="auto"/>
          <w:kern w:val="0"/>
          <w:sz w:val="24"/>
          <w:szCs w:val="24"/>
          <w:highlight w:val="none"/>
        </w:rPr>
      </w:pPr>
    </w:p>
    <w:p w14:paraId="4AA23E8C">
      <w:pPr>
        <w:snapToGrid w:val="0"/>
        <w:spacing w:line="400" w:lineRule="exact"/>
        <w:ind w:firstLine="480" w:firstLineChars="200"/>
        <w:rPr>
          <w:rFonts w:hint="eastAsia" w:ascii="宋体" w:hAnsi="宋体" w:eastAsia="宋体" w:cs="宋体"/>
          <w:color w:val="auto"/>
          <w:kern w:val="0"/>
          <w:sz w:val="24"/>
          <w:szCs w:val="24"/>
          <w:highlight w:val="none"/>
        </w:rPr>
      </w:pPr>
    </w:p>
    <w:p w14:paraId="27E6B9C6">
      <w:pPr>
        <w:snapToGrid w:val="0"/>
        <w:spacing w:line="400" w:lineRule="exact"/>
        <w:ind w:firstLine="480" w:firstLineChars="200"/>
        <w:rPr>
          <w:rFonts w:hint="eastAsia" w:ascii="宋体" w:hAnsi="宋体" w:eastAsia="宋体" w:cs="宋体"/>
          <w:color w:val="auto"/>
          <w:kern w:val="0"/>
          <w:sz w:val="24"/>
          <w:szCs w:val="24"/>
          <w:highlight w:val="none"/>
        </w:rPr>
      </w:pPr>
    </w:p>
    <w:p w14:paraId="4F04215B">
      <w:pPr>
        <w:snapToGrid w:val="0"/>
        <w:spacing w:line="400" w:lineRule="exact"/>
        <w:ind w:firstLine="480" w:firstLineChars="200"/>
        <w:rPr>
          <w:rFonts w:hint="eastAsia" w:ascii="宋体" w:hAnsi="宋体" w:eastAsia="宋体" w:cs="宋体"/>
          <w:color w:val="auto"/>
          <w:kern w:val="0"/>
          <w:sz w:val="24"/>
          <w:szCs w:val="24"/>
          <w:highlight w:val="none"/>
        </w:rPr>
      </w:pPr>
    </w:p>
    <w:p w14:paraId="534F62C9">
      <w:pPr>
        <w:snapToGrid w:val="0"/>
        <w:spacing w:line="400" w:lineRule="exact"/>
        <w:ind w:firstLine="480" w:firstLineChars="200"/>
        <w:rPr>
          <w:rFonts w:hint="eastAsia" w:ascii="宋体" w:hAnsi="宋体" w:eastAsia="宋体" w:cs="宋体"/>
          <w:color w:val="auto"/>
          <w:kern w:val="0"/>
          <w:sz w:val="24"/>
          <w:szCs w:val="24"/>
          <w:highlight w:val="none"/>
        </w:rPr>
      </w:pPr>
    </w:p>
    <w:p w14:paraId="5D06B8C9">
      <w:pPr>
        <w:snapToGrid w:val="0"/>
        <w:spacing w:line="400" w:lineRule="exact"/>
        <w:ind w:firstLine="480" w:firstLineChars="200"/>
        <w:rPr>
          <w:rFonts w:hint="eastAsia" w:ascii="宋体" w:hAnsi="宋体" w:eastAsia="宋体" w:cs="宋体"/>
          <w:color w:val="auto"/>
          <w:kern w:val="0"/>
          <w:sz w:val="24"/>
          <w:szCs w:val="24"/>
          <w:highlight w:val="none"/>
        </w:rPr>
      </w:pPr>
    </w:p>
    <w:p w14:paraId="267B54A7">
      <w:pPr>
        <w:snapToGrid w:val="0"/>
        <w:spacing w:line="400" w:lineRule="exact"/>
        <w:ind w:firstLine="480" w:firstLineChars="200"/>
        <w:rPr>
          <w:rFonts w:hint="eastAsia" w:ascii="宋体" w:hAnsi="宋体" w:eastAsia="宋体" w:cs="宋体"/>
          <w:color w:val="auto"/>
          <w:kern w:val="0"/>
          <w:sz w:val="24"/>
          <w:szCs w:val="24"/>
          <w:highlight w:val="none"/>
        </w:rPr>
      </w:pPr>
    </w:p>
    <w:p w14:paraId="56C4C4B0">
      <w:pPr>
        <w:snapToGrid w:val="0"/>
        <w:spacing w:line="400" w:lineRule="exact"/>
        <w:rPr>
          <w:rFonts w:hint="eastAsia" w:ascii="宋体" w:hAnsi="宋体" w:eastAsia="宋体" w:cs="宋体"/>
          <w:color w:val="auto"/>
          <w:kern w:val="0"/>
          <w:sz w:val="24"/>
          <w:szCs w:val="24"/>
          <w:highlight w:val="none"/>
        </w:rPr>
      </w:pPr>
    </w:p>
    <w:p w14:paraId="6EA28F7C">
      <w:pPr>
        <w:snapToGrid w:val="0"/>
        <w:spacing w:line="400" w:lineRule="exact"/>
        <w:ind w:firstLine="643" w:firstLineChars="2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kern w:val="0"/>
          <w:sz w:val="32"/>
          <w:szCs w:val="32"/>
          <w:highlight w:val="none"/>
        </w:rPr>
        <w:t>第三篇</w:t>
      </w:r>
      <w:r>
        <w:rPr>
          <w:rFonts w:hint="eastAsia" w:ascii="宋体" w:hAnsi="宋体" w:eastAsia="宋体" w:cs="宋体"/>
          <w:b/>
          <w:bCs/>
          <w:color w:val="auto"/>
          <w:kern w:val="0"/>
          <w:sz w:val="32"/>
          <w:szCs w:val="32"/>
          <w:highlight w:val="none"/>
          <w:lang w:val="en-US" w:eastAsia="zh-CN"/>
        </w:rPr>
        <w:t xml:space="preserve"> </w:t>
      </w:r>
      <w:r>
        <w:rPr>
          <w:rFonts w:hint="eastAsia" w:ascii="宋体" w:hAnsi="宋体" w:eastAsia="宋体" w:cs="宋体"/>
          <w:b/>
          <w:bCs/>
          <w:color w:val="auto"/>
          <w:kern w:val="0"/>
          <w:sz w:val="32"/>
          <w:szCs w:val="32"/>
          <w:highlight w:val="none"/>
        </w:rPr>
        <w:t>项目商务需</w:t>
      </w:r>
      <w:r>
        <w:rPr>
          <w:rFonts w:hint="eastAsia" w:ascii="宋体" w:hAnsi="宋体" w:eastAsia="宋体" w:cs="宋体"/>
          <w:b/>
          <w:bCs/>
          <w:color w:val="auto"/>
          <w:sz w:val="32"/>
          <w:szCs w:val="32"/>
          <w:highlight w:val="none"/>
        </w:rPr>
        <w:t>求</w:t>
      </w:r>
      <w:bookmarkEnd w:id="57"/>
    </w:p>
    <w:p w14:paraId="3540AF1D">
      <w:pPr>
        <w:snapToGrid w:val="0"/>
        <w:spacing w:line="400" w:lineRule="exact"/>
        <w:ind w:firstLine="482" w:firstLineChars="200"/>
        <w:rPr>
          <w:rFonts w:hint="eastAsia" w:ascii="宋体" w:hAnsi="宋体" w:eastAsia="宋体" w:cs="宋体"/>
          <w:color w:val="auto"/>
          <w:kern w:val="0"/>
          <w:sz w:val="24"/>
          <w:szCs w:val="24"/>
          <w:highlight w:val="none"/>
        </w:rPr>
      </w:pPr>
      <w:bookmarkStart w:id="59" w:name="_Toc28521"/>
      <w:bookmarkStart w:id="60" w:name="_Toc75793509"/>
      <w:bookmarkStart w:id="61" w:name="_Toc267320049"/>
      <w:bookmarkStart w:id="62" w:name="_Toc22944"/>
      <w:bookmarkStart w:id="63" w:name="_Toc9676"/>
      <w:bookmarkStart w:id="64" w:name="_Toc11380"/>
      <w:bookmarkStart w:id="65" w:name="_Toc30118"/>
      <w:bookmarkStart w:id="66" w:name="_Toc13389"/>
      <w:bookmarkStart w:id="67" w:name="_Toc14029"/>
      <w:bookmarkStart w:id="68" w:name="_Toc13728"/>
      <w:bookmarkStart w:id="69" w:name="_Toc8752"/>
      <w:bookmarkStart w:id="70" w:name="_Toc12768"/>
      <w:bookmarkStart w:id="71" w:name="_Toc23501"/>
      <w:bookmarkStart w:id="72" w:name="_Toc119949877"/>
      <w:bookmarkStart w:id="73" w:name="_Toc156895489"/>
      <w:bookmarkStart w:id="74" w:name="_Toc6595"/>
      <w:bookmarkStart w:id="75" w:name="_Toc10039"/>
      <w:bookmarkStart w:id="76" w:name="_Toc21429"/>
      <w:bookmarkStart w:id="77" w:name="_Toc119579778"/>
      <w:r>
        <w:rPr>
          <w:rFonts w:hint="eastAsia" w:ascii="宋体" w:hAnsi="宋体" w:eastAsia="宋体" w:cs="宋体"/>
          <w:b/>
          <w:bCs/>
          <w:color w:val="auto"/>
          <w:kern w:val="0"/>
          <w:sz w:val="24"/>
          <w:szCs w:val="24"/>
          <w:highlight w:val="none"/>
        </w:rPr>
        <w:t>一、交货时间（或为：实施时间）、地点及验收方式</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42F86AB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（一）交货时间（或为：实施时间）</w:t>
      </w:r>
    </w:p>
    <w:p w14:paraId="28E488E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成交供应商应在采购合同签订后</w:t>
      </w:r>
      <w:r>
        <w:rPr>
          <w:rFonts w:hint="eastAsia" w:ascii="宋体" w:hAnsi="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个日历</w:t>
      </w:r>
      <w:r>
        <w:rPr>
          <w:rFonts w:hint="eastAsia" w:ascii="宋体" w:hAnsi="宋体" w:eastAsia="宋体" w:cs="宋体"/>
          <w:color w:val="auto"/>
          <w:kern w:val="0"/>
          <w:sz w:val="24"/>
          <w:szCs w:val="24"/>
          <w:highlight w:val="none"/>
          <w:lang w:val="en-US" w:eastAsia="zh-CN"/>
        </w:rPr>
        <w:t>天</w:t>
      </w:r>
      <w:r>
        <w:rPr>
          <w:rFonts w:hint="eastAsia" w:ascii="宋体" w:hAnsi="宋体" w:eastAsia="宋体" w:cs="宋体"/>
          <w:color w:val="auto"/>
          <w:kern w:val="0"/>
          <w:sz w:val="24"/>
          <w:szCs w:val="24"/>
          <w:highlight w:val="none"/>
        </w:rPr>
        <w:t>内交货并完成安装调试。</w:t>
      </w:r>
    </w:p>
    <w:p w14:paraId="4B4AD29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（二）交货地点（或为：实施时间）</w:t>
      </w:r>
    </w:p>
    <w:p w14:paraId="44C4DCF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秀山土家族苗族自治县疾病预防控制中心</w:t>
      </w:r>
      <w:r>
        <w:rPr>
          <w:rFonts w:hint="eastAsia" w:ascii="宋体" w:hAnsi="宋体" w:eastAsia="宋体" w:cs="宋体"/>
          <w:color w:val="auto"/>
          <w:kern w:val="0"/>
          <w:sz w:val="24"/>
          <w:szCs w:val="24"/>
          <w:highlight w:val="none"/>
        </w:rPr>
        <w:t>。</w:t>
      </w:r>
    </w:p>
    <w:p w14:paraId="0709B32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（三）验收方式</w:t>
      </w:r>
    </w:p>
    <w:p w14:paraId="63FE913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1.货物到达现场后，</w:t>
      </w:r>
      <w:r>
        <w:rPr>
          <w:rFonts w:hint="eastAsia" w:ascii="宋体" w:hAnsi="宋体" w:eastAsia="宋体" w:cs="宋体"/>
          <w:color w:val="auto"/>
          <w:kern w:val="0"/>
          <w:sz w:val="24"/>
          <w:szCs w:val="24"/>
          <w:highlight w:val="none"/>
          <w:lang w:val="en-US" w:eastAsia="zh-CN"/>
        </w:rPr>
        <w:t>供需双方</w:t>
      </w:r>
      <w:r>
        <w:rPr>
          <w:rFonts w:hint="eastAsia" w:ascii="宋体" w:hAnsi="宋体" w:eastAsia="宋体" w:cs="宋体"/>
          <w:color w:val="auto"/>
          <w:kern w:val="0"/>
          <w:sz w:val="24"/>
          <w:szCs w:val="24"/>
          <w:highlight w:val="none"/>
        </w:rPr>
        <w:t>共同清点、检查外观，双方签字确认。</w:t>
      </w:r>
    </w:p>
    <w:p w14:paraId="6A5D8DD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2.由中标人将符合标准的货物送达项目现场后，仍由中标人负责货物的运输、吊装、安装、调试、试运行、最终验收与货物安全及人身安全，直到经法定检测机构检验合格，并完成</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 xml:space="preserve">服务等内容。    </w:t>
      </w:r>
    </w:p>
    <w:p w14:paraId="310A572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3.中标人应保证货物到达采购人所在地完好无损，如有缺漏、损坏，由中标人负责调换、补齐或赔偿。</w:t>
      </w:r>
    </w:p>
    <w:p w14:paraId="0720E33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4.中标人应提供完备的技术资料、装箱单和合格证等，并派遣专业技术人员进行现场安装调试。验收合格条件如下：</w:t>
      </w:r>
    </w:p>
    <w:p w14:paraId="0404880E">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4.1设备技术参数与采购合同一致，性能指标达到规定的标准。</w:t>
      </w:r>
    </w:p>
    <w:p w14:paraId="6697E9B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4.2货物技术资料、装箱单、合格证等资料齐全。</w:t>
      </w:r>
    </w:p>
    <w:p w14:paraId="7A5AEA3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4.3在系统试运行期间所出现的问题得到解决，并运行正常。</w:t>
      </w:r>
    </w:p>
    <w:p w14:paraId="48116838">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4.4在规定时间内完成交货并验收，并经采购人确认。</w:t>
      </w:r>
    </w:p>
    <w:p w14:paraId="187D3C02">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5.产品在安装调试并试运行符合要求后，才作为最终验收。</w:t>
      </w:r>
    </w:p>
    <w:p w14:paraId="5B85C53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6.中标人提供的货物未达到招标文件规定要求，且对采购人造成损失的，由中标人承担一切责任，并赔偿所造成的损失。</w:t>
      </w:r>
    </w:p>
    <w:p w14:paraId="567A2B9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7.大型或者复杂的政府采购项目，采购人应当邀请国家认可的质量检测机构参加验收工作。</w:t>
      </w:r>
    </w:p>
    <w:p w14:paraId="6F601E0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8.采购人需要制造商对中标人交付的产品（包括质量、技术参数等）进行确认的，制造商应予以配合，并出具书面意见。</w:t>
      </w:r>
    </w:p>
    <w:p w14:paraId="1495F1D7">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9.产品包装材料归采购人所有。</w:t>
      </w:r>
    </w:p>
    <w:p w14:paraId="42140DD7">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10.乙方保证货物是全新的，否则甲方有权拒收。</w:t>
      </w:r>
    </w:p>
    <w:p w14:paraId="542B0FE7">
      <w:pPr>
        <w:snapToGrid w:val="0"/>
        <w:spacing w:line="400" w:lineRule="exact"/>
        <w:ind w:firstLine="482" w:firstLineChars="200"/>
        <w:rPr>
          <w:rFonts w:hint="eastAsia" w:ascii="宋体" w:hAnsi="宋体" w:eastAsia="宋体" w:cs="宋体"/>
          <w:b/>
          <w:bCs/>
          <w:color w:val="auto"/>
          <w:kern w:val="0"/>
          <w:sz w:val="24"/>
          <w:szCs w:val="24"/>
          <w:highlight w:val="none"/>
        </w:rPr>
      </w:pPr>
      <w:bookmarkStart w:id="78" w:name="_Toc8592"/>
      <w:bookmarkStart w:id="79" w:name="_Toc29144"/>
      <w:bookmarkStart w:id="80" w:name="_Toc30781"/>
      <w:bookmarkStart w:id="81" w:name="_Toc20367"/>
      <w:bookmarkStart w:id="82" w:name="_Toc22142"/>
      <w:bookmarkStart w:id="83" w:name="_Toc28679"/>
      <w:bookmarkStart w:id="84" w:name="_Toc22158"/>
      <w:bookmarkStart w:id="85" w:name="_Toc29436"/>
      <w:bookmarkStart w:id="86" w:name="_Toc119579779"/>
      <w:bookmarkStart w:id="87" w:name="_Toc119949878"/>
      <w:bookmarkStart w:id="88" w:name="_Toc156895490"/>
      <w:bookmarkStart w:id="89" w:name="_Toc4036"/>
      <w:bookmarkStart w:id="90" w:name="_Toc75793510"/>
      <w:bookmarkStart w:id="91" w:name="_Toc18152"/>
      <w:bookmarkStart w:id="92" w:name="_Toc21022"/>
      <w:bookmarkStart w:id="93" w:name="_Toc1484"/>
      <w:bookmarkStart w:id="94" w:name="_Toc13418"/>
      <w:bookmarkStart w:id="95" w:name="_Toc7746"/>
      <w:bookmarkStart w:id="96" w:name="_Toc267320050"/>
      <w:r>
        <w:rPr>
          <w:rFonts w:hint="eastAsia" w:ascii="宋体" w:hAnsi="宋体" w:eastAsia="宋体" w:cs="宋体"/>
          <w:b/>
          <w:bCs/>
          <w:color w:val="auto"/>
          <w:kern w:val="0"/>
          <w:sz w:val="24"/>
          <w:szCs w:val="24"/>
          <w:highlight w:val="none"/>
        </w:rPr>
        <w:t>二、报价要求</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63CBFDED">
      <w:pPr>
        <w:wordWrap w:val="0"/>
        <w:adjustRightInd w:val="0"/>
        <w:snapToGrid w:val="0"/>
        <w:spacing w:line="440" w:lineRule="atLeast"/>
        <w:ind w:firstLine="480" w:firstLineChars="200"/>
        <w:rPr>
          <w:rFonts w:hint="eastAsia" w:ascii="宋体" w:hAnsi="宋体" w:eastAsia="宋体" w:cs="宋体"/>
          <w:color w:val="auto"/>
          <w:sz w:val="24"/>
          <w:szCs w:val="24"/>
          <w:highlight w:val="none"/>
        </w:rPr>
      </w:pPr>
      <w:bookmarkStart w:id="97" w:name="_Toc119579780"/>
      <w:bookmarkStart w:id="98" w:name="_Toc4774"/>
      <w:bookmarkStart w:id="99" w:name="_Toc16693"/>
      <w:bookmarkStart w:id="100" w:name="_Toc14177"/>
      <w:bookmarkStart w:id="101" w:name="_Toc156895491"/>
      <w:bookmarkStart w:id="102" w:name="_Toc2821"/>
      <w:bookmarkStart w:id="103" w:name="_Toc1450"/>
      <w:bookmarkStart w:id="104" w:name="_Toc20887"/>
      <w:bookmarkStart w:id="105" w:name="_Toc4252"/>
      <w:bookmarkStart w:id="106" w:name="_Toc119949879"/>
      <w:bookmarkStart w:id="107" w:name="_Toc27382"/>
      <w:bookmarkStart w:id="108" w:name="_Toc75793511"/>
      <w:bookmarkStart w:id="109" w:name="_Toc15677"/>
      <w:bookmarkStart w:id="110" w:name="_Toc23903"/>
      <w:bookmarkStart w:id="111" w:name="_Toc15096"/>
      <w:bookmarkStart w:id="112" w:name="_Toc3465"/>
      <w:bookmarkStart w:id="113" w:name="_Toc32313"/>
      <w:bookmarkStart w:id="114" w:name="_Toc2244"/>
      <w:r>
        <w:rPr>
          <w:rFonts w:hint="eastAsia" w:ascii="宋体" w:hAnsi="宋体" w:eastAsia="宋体" w:cs="宋体"/>
          <w:color w:val="auto"/>
          <w:sz w:val="24"/>
          <w:szCs w:val="24"/>
          <w:highlight w:val="none"/>
        </w:rPr>
        <w:t>本次报价须为人民币报价，</w:t>
      </w:r>
      <w:r>
        <w:rPr>
          <w:rFonts w:hint="eastAsia" w:ascii="宋体" w:hAnsi="宋体" w:eastAsia="宋体" w:cs="宋体"/>
          <w:color w:val="auto"/>
          <w:kern w:val="0"/>
          <w:sz w:val="24"/>
          <w:szCs w:val="24"/>
          <w:highlight w:val="none"/>
        </w:rPr>
        <w:t>且包含：完成采购项目所需的货物费、包装费、运输费、安装调试费、装卸费、施工费、税费、转运费、劳务费、保险费、管理费、调试费、机电设备二次搬运费等验收合格之前应发生的一切与本项目相关的所有费用</w:t>
      </w:r>
      <w:r>
        <w:rPr>
          <w:rFonts w:hint="eastAsia" w:ascii="宋体" w:hAnsi="宋体" w:eastAsia="宋体" w:cs="宋体"/>
          <w:color w:val="auto"/>
          <w:sz w:val="24"/>
          <w:szCs w:val="24"/>
          <w:highlight w:val="none"/>
        </w:rPr>
        <w:t>。因投标人自身原因造成漏报、少报皆由其自行承担责任，采购人不再补偿。</w:t>
      </w:r>
    </w:p>
    <w:p w14:paraId="13FFE43F">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三、质量保证及售后服务</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7DB9BB58">
      <w:pPr>
        <w:snapToGrid w:val="0"/>
        <w:spacing w:line="400" w:lineRule="exact"/>
        <w:ind w:firstLine="480" w:firstLineChars="200"/>
        <w:rPr>
          <w:rFonts w:hint="eastAsia" w:ascii="宋体" w:hAnsi="宋体" w:eastAsia="宋体" w:cs="宋体"/>
          <w:color w:val="auto"/>
          <w:kern w:val="0"/>
          <w:sz w:val="24"/>
          <w:szCs w:val="24"/>
          <w:highlight w:val="none"/>
        </w:rPr>
      </w:pPr>
      <w:bookmarkStart w:id="115" w:name="_Toc1008"/>
      <w:bookmarkStart w:id="116" w:name="_Toc8955"/>
      <w:bookmarkStart w:id="117" w:name="_Toc119949880"/>
      <w:bookmarkStart w:id="118" w:name="_Toc19350"/>
      <w:bookmarkStart w:id="119" w:name="_Toc18007"/>
      <w:bookmarkStart w:id="120" w:name="_Toc29286"/>
      <w:bookmarkStart w:id="121" w:name="_Toc267320051"/>
      <w:bookmarkStart w:id="122" w:name="_Toc25932"/>
      <w:bookmarkStart w:id="123" w:name="_Toc119579781"/>
      <w:bookmarkStart w:id="124" w:name="_Toc30442"/>
      <w:bookmarkStart w:id="125" w:name="_Toc156895492"/>
      <w:bookmarkStart w:id="126" w:name="_Toc12285"/>
      <w:bookmarkStart w:id="127" w:name="_Toc22695"/>
      <w:bookmarkStart w:id="128" w:name="_Toc32722"/>
      <w:bookmarkStart w:id="129" w:name="_Toc5174"/>
      <w:bookmarkStart w:id="130" w:name="_Toc25552"/>
      <w:bookmarkStart w:id="131" w:name="_Toc25745"/>
      <w:bookmarkStart w:id="132" w:name="_Toc21888"/>
      <w:bookmarkStart w:id="133" w:name="_Toc75793512"/>
      <w:r>
        <w:rPr>
          <w:rFonts w:hint="eastAsia" w:ascii="宋体" w:hAnsi="宋体" w:eastAsia="宋体" w:cs="宋体"/>
          <w:color w:val="auto"/>
          <w:kern w:val="0"/>
          <w:sz w:val="24"/>
          <w:szCs w:val="24"/>
          <w:highlight w:val="none"/>
        </w:rPr>
        <w:t>（一）产品质量：符合国家有关技术标准。</w:t>
      </w:r>
    </w:p>
    <w:p w14:paraId="48ABEA07">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（二）售后服务内容</w:t>
      </w:r>
      <w:r>
        <w:rPr>
          <w:rFonts w:hint="eastAsia" w:ascii="宋体" w:hAnsi="宋体" w:eastAsia="宋体" w:cs="宋体"/>
          <w:color w:val="auto"/>
          <w:kern w:val="0"/>
          <w:sz w:val="24"/>
          <w:szCs w:val="24"/>
          <w:highlight w:val="none"/>
          <w:lang w:eastAsia="zh-CN"/>
        </w:rPr>
        <w:t>及售后服务保修期</w:t>
      </w:r>
    </w:p>
    <w:p w14:paraId="11E5E3C8">
      <w:pPr>
        <w:snapToGrid w:val="0"/>
        <w:spacing w:line="400" w:lineRule="exact"/>
        <w:ind w:firstLine="480" w:firstLineChars="200"/>
        <w:outlineLvl w:val="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1.投标人在</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内应当为采购人提供以下技术支持和服务：</w:t>
      </w:r>
    </w:p>
    <w:p w14:paraId="3A1816E6">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1.1电话咨询</w:t>
      </w:r>
    </w:p>
    <w:p w14:paraId="476DC238">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投标人应当为采购人提供技术援助电话，解答采购人在使用中遇到的问题，及时为采购人提出解决问题的建议。</w:t>
      </w:r>
    </w:p>
    <w:p w14:paraId="59EFC57F">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1.2现场响应</w:t>
      </w:r>
    </w:p>
    <w:p w14:paraId="272BE637">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遇到使用及技术问题，电话咨询不能解决的，投标人应在12小时内到达现场（远郊区24小时内到达现场）进行处理，确保产品正常工作；无法在24小时内解决的，应在12小时内提供备用产品，使采购人能够正常使用。</w:t>
      </w:r>
    </w:p>
    <w:p w14:paraId="1A82D8E9">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1.3技术升级</w:t>
      </w:r>
    </w:p>
    <w:p w14:paraId="1F8D8D86">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内，如果投标人的产品技术升级，投标人应及时通知采购人，如采购人有相应要求，投标人应对采购人购买的产品进行升级服务。</w:t>
      </w:r>
    </w:p>
    <w:p w14:paraId="2098C2A3">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要求</w:t>
      </w:r>
    </w:p>
    <w:p w14:paraId="7C04907B">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2.1所有仪器设备</w:t>
      </w:r>
      <w:r>
        <w:rPr>
          <w:rFonts w:hint="eastAsia" w:ascii="宋体" w:hAnsi="宋体" w:eastAsia="宋体" w:cs="宋体"/>
          <w:color w:val="auto"/>
          <w:kern w:val="0"/>
          <w:sz w:val="24"/>
          <w:szCs w:val="24"/>
          <w:highlight w:val="none"/>
          <w:lang w:eastAsia="zh-CN"/>
        </w:rPr>
        <w:t>售后服务保修期为</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年，履约保证金在</w:t>
      </w:r>
      <w:r>
        <w:rPr>
          <w:rFonts w:hint="eastAsia" w:ascii="宋体" w:hAnsi="宋体" w:eastAsia="宋体" w:cs="宋体"/>
          <w:color w:val="auto"/>
          <w:kern w:val="0"/>
          <w:sz w:val="24"/>
          <w:szCs w:val="24"/>
          <w:highlight w:val="none"/>
        </w:rPr>
        <w:t>验收合格的后</w:t>
      </w:r>
      <w:r>
        <w:rPr>
          <w:rFonts w:hint="eastAsia" w:ascii="宋体" w:hAnsi="宋体" w:eastAsia="宋体" w:cs="宋体"/>
          <w:color w:val="auto"/>
          <w:kern w:val="0"/>
          <w:sz w:val="24"/>
          <w:szCs w:val="24"/>
          <w:highlight w:val="none"/>
          <w:lang w:eastAsia="zh-CN"/>
        </w:rPr>
        <w:t>一次性不计息退还。</w:t>
      </w:r>
    </w:p>
    <w:p w14:paraId="52B7524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过后，投标人应同样提供免费电话咨询服务，并应承诺提供产品上门维护服务。</w:t>
      </w:r>
    </w:p>
    <w:p w14:paraId="0B381B7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过后，采购人需要继续由原投标人提供售后服务的，该投标人应以优惠价格提供售后服务。</w:t>
      </w:r>
    </w:p>
    <w:p w14:paraId="0BD3C0A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（三）备品备件及易损件</w:t>
      </w:r>
    </w:p>
    <w:p w14:paraId="7B42BB84">
      <w:pPr>
        <w:wordWrap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投标人售后服务中，维修使用的备品备件及易损件应为原厂配件，未经采购人同意不得使用非原厂配件，常用的、容易损坏的备品备件及易损件的价格清单须在投标文件中列出</w:t>
      </w:r>
      <w:r>
        <w:rPr>
          <w:rFonts w:hint="eastAsia" w:ascii="宋体" w:hAnsi="宋体" w:eastAsia="宋体" w:cs="宋体"/>
          <w:color w:val="auto"/>
          <w:sz w:val="24"/>
          <w:szCs w:val="24"/>
          <w:highlight w:val="none"/>
        </w:rPr>
        <w:t>。</w:t>
      </w:r>
    </w:p>
    <w:p w14:paraId="08206762">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履约保证金及</w:t>
      </w:r>
      <w:r>
        <w:rPr>
          <w:rFonts w:hint="eastAsia" w:ascii="宋体" w:hAnsi="宋体" w:eastAsia="宋体" w:cs="宋体"/>
          <w:b/>
          <w:bCs/>
          <w:color w:val="auto"/>
          <w:kern w:val="0"/>
          <w:sz w:val="24"/>
          <w:szCs w:val="24"/>
          <w:highlight w:val="none"/>
        </w:rPr>
        <w:t>付款方式</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1A679A58">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bookmarkStart w:id="134" w:name="_Toc9213"/>
      <w:bookmarkStart w:id="135" w:name="_Toc119949881"/>
      <w:bookmarkStart w:id="136" w:name="_Toc3311"/>
      <w:bookmarkStart w:id="137" w:name="_Toc18959"/>
      <w:bookmarkStart w:id="138" w:name="_Toc11060"/>
      <w:bookmarkStart w:id="139" w:name="_Toc4897"/>
      <w:bookmarkStart w:id="140" w:name="_Toc22431"/>
      <w:bookmarkStart w:id="141" w:name="_Toc119579782"/>
      <w:bookmarkStart w:id="142" w:name="_Toc20369"/>
      <w:bookmarkStart w:id="143" w:name="_Toc75793513"/>
      <w:bookmarkStart w:id="144" w:name="_Toc3565"/>
      <w:bookmarkStart w:id="145" w:name="_Toc10105"/>
      <w:bookmarkStart w:id="146" w:name="_Toc11399"/>
      <w:bookmarkStart w:id="147" w:name="_Toc27144"/>
      <w:bookmarkStart w:id="148" w:name="_Toc25410"/>
      <w:bookmarkStart w:id="149" w:name="_Toc28056"/>
      <w:bookmarkStart w:id="150" w:name="_Toc156895493"/>
      <w:bookmarkStart w:id="151" w:name="_Toc267320052"/>
      <w:bookmarkStart w:id="152" w:name="_Toc4339"/>
      <w:r>
        <w:rPr>
          <w:rFonts w:hint="eastAsia" w:ascii="宋体" w:hAnsi="宋体" w:eastAsia="宋体" w:cs="宋体"/>
          <w:color w:val="auto"/>
          <w:kern w:val="0"/>
          <w:sz w:val="24"/>
          <w:szCs w:val="24"/>
          <w:highlight w:val="none"/>
          <w:lang w:val="en-US" w:eastAsia="zh-CN"/>
        </w:rPr>
        <w:t>（一）履约保证金：</w:t>
      </w:r>
    </w:p>
    <w:p w14:paraId="631F992F">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1.担保形式：供应商应当以支票、汇票、本票或保函等形式提交履约保证金，非保函形式的应通过对公账户以转账的形式提交。</w:t>
      </w:r>
    </w:p>
    <w:p w14:paraId="1823CD2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履约保证金账号：</w:t>
      </w:r>
    </w:p>
    <w:p w14:paraId="1215DDBD">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开户单位：秀山土家族苗族自治县疾病预防控制中心</w:t>
      </w:r>
    </w:p>
    <w:p w14:paraId="70020AD6">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开户银行：318501010400192150000191024</w:t>
      </w:r>
    </w:p>
    <w:p w14:paraId="7DE3D48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银行帐号：农行重庆秀山支行</w:t>
      </w:r>
    </w:p>
    <w:p w14:paraId="2765827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2.担保的金额：签约合同价的5%。</w:t>
      </w:r>
    </w:p>
    <w:p w14:paraId="518DEEE6">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3.提交时间：由项目成交人在与采购人签订合同前向采购人提交。若成交人不能按时、足额向采购人提交履约保证金的，视其为自动放弃中标资格，并将按采购法规及本采购文件相关规定进行处理。</w:t>
      </w:r>
    </w:p>
    <w:p w14:paraId="38D73CCB">
      <w:pPr>
        <w:snapToGrid w:val="0"/>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4.退还时间：</w:t>
      </w:r>
      <w:r>
        <w:rPr>
          <w:rFonts w:hint="eastAsia" w:ascii="宋体" w:hAnsi="宋体" w:eastAsia="宋体" w:cs="宋体"/>
          <w:color w:val="auto"/>
          <w:kern w:val="0"/>
          <w:sz w:val="24"/>
          <w:szCs w:val="24"/>
          <w:highlight w:val="none"/>
        </w:rPr>
        <w:t>验收合格的后，采购人应当按照合同约定的退还方式在3个工作日内按程序办理退还手续。</w:t>
      </w:r>
      <w:r>
        <w:rPr>
          <w:rFonts w:hint="eastAsia" w:ascii="宋体" w:hAnsi="宋体" w:eastAsia="宋体" w:cs="宋体"/>
          <w:color w:val="auto"/>
          <w:kern w:val="0"/>
          <w:sz w:val="24"/>
          <w:szCs w:val="24"/>
          <w:highlight w:val="none"/>
          <w:lang w:val="en-US" w:eastAsia="zh-CN"/>
        </w:rPr>
        <w:t>（不计息）。</w:t>
      </w:r>
    </w:p>
    <w:p w14:paraId="18194352">
      <w:pPr>
        <w:numPr>
          <w:ilvl w:val="0"/>
          <w:numId w:val="15"/>
        </w:num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付款方式 </w:t>
      </w:r>
    </w:p>
    <w:p w14:paraId="37854535">
      <w:pPr>
        <w:numPr>
          <w:ilvl w:val="0"/>
          <w:numId w:val="0"/>
        </w:num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设备安装验收合格后，甲方在乙方提供的等额发票之日起10个工作日内向乙方支付至合同总金额的100%。</w:t>
      </w:r>
    </w:p>
    <w:p w14:paraId="2F9C5236">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五、知识产权</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7EBB911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33A7A5C8">
      <w:pPr>
        <w:keepNext/>
        <w:keepLines/>
        <w:adjustRightInd w:val="0"/>
        <w:snapToGrid w:val="0"/>
        <w:spacing w:line="500" w:lineRule="exact"/>
        <w:ind w:firstLine="569" w:firstLineChars="236"/>
        <w:outlineLvl w:val="1"/>
        <w:rPr>
          <w:rFonts w:hint="eastAsia" w:ascii="宋体" w:hAnsi="宋体" w:eastAsia="宋体" w:cs="宋体"/>
          <w:b/>
          <w:color w:val="auto"/>
          <w:sz w:val="24"/>
          <w:highlight w:val="none"/>
        </w:rPr>
      </w:pPr>
      <w:bookmarkStart w:id="153" w:name="_Toc11363"/>
      <w:bookmarkStart w:id="154" w:name="_Toc267320053"/>
      <w:bookmarkStart w:id="155" w:name="_Toc23342"/>
      <w:bookmarkStart w:id="156" w:name="_Toc28614"/>
      <w:r>
        <w:rPr>
          <w:rFonts w:hint="eastAsia" w:ascii="宋体" w:hAnsi="宋体" w:eastAsia="宋体" w:cs="宋体"/>
          <w:b/>
          <w:color w:val="auto"/>
          <w:sz w:val="24"/>
          <w:highlight w:val="none"/>
        </w:rPr>
        <w:t>六、培训</w:t>
      </w:r>
      <w:bookmarkEnd w:id="153"/>
      <w:bookmarkEnd w:id="154"/>
      <w:bookmarkEnd w:id="155"/>
    </w:p>
    <w:p w14:paraId="382BD65D">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1.免费培训</w:t>
      </w:r>
    </w:p>
    <w:p w14:paraId="08A2EFDE">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中标人对其提供产品的使用和操作应尽培训义务，应提供对采购人的基本免费培训，使采购人使用人员能够正常操作。</w:t>
      </w:r>
    </w:p>
    <w:p w14:paraId="62C54F83">
      <w:pPr>
        <w:spacing w:line="3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2.付费培训</w:t>
      </w:r>
    </w:p>
    <w:p w14:paraId="65C995A4">
      <w:pPr>
        <w:spacing w:line="34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招标文件载明采购人对培训有特殊要求的，投标文件中应承诺配合采购人满足其培训要求，详细列出培训费用并计入投标报价。</w:t>
      </w:r>
    </w:p>
    <w:p w14:paraId="28F47016">
      <w:pPr>
        <w:keepNext/>
        <w:keepLines/>
        <w:adjustRightInd w:val="0"/>
        <w:snapToGrid w:val="0"/>
        <w:spacing w:line="500" w:lineRule="exact"/>
        <w:ind w:firstLine="569" w:firstLineChars="236"/>
        <w:outlineLvl w:val="1"/>
        <w:rPr>
          <w:rFonts w:hint="eastAsia" w:ascii="宋体" w:hAnsi="宋体" w:eastAsia="宋体" w:cs="宋体"/>
          <w:b/>
          <w:color w:val="auto"/>
          <w:sz w:val="24"/>
          <w:highlight w:val="none"/>
        </w:rPr>
      </w:pPr>
      <w:bookmarkStart w:id="157" w:name="_Toc28418"/>
      <w:bookmarkStart w:id="158" w:name="_Toc24000"/>
      <w:r>
        <w:rPr>
          <w:rFonts w:hint="eastAsia" w:ascii="宋体" w:hAnsi="宋体" w:eastAsia="宋体" w:cs="宋体"/>
          <w:b/>
          <w:color w:val="auto"/>
          <w:sz w:val="24"/>
          <w:highlight w:val="none"/>
        </w:rPr>
        <w:t>七、附件、图纸及包装要求</w:t>
      </w:r>
      <w:bookmarkEnd w:id="157"/>
      <w:bookmarkEnd w:id="158"/>
    </w:p>
    <w:p w14:paraId="23D2064C">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8"/>
          <w:highlight w:val="none"/>
        </w:rPr>
        <w:t>所有设备按照制造商规定的产品包装和随机标准附件为准。</w:t>
      </w:r>
    </w:p>
    <w:p w14:paraId="3A07343D">
      <w:pPr>
        <w:keepNext/>
        <w:keepLines/>
        <w:adjustRightInd w:val="0"/>
        <w:snapToGrid w:val="0"/>
        <w:spacing w:line="500" w:lineRule="exact"/>
        <w:ind w:firstLine="569" w:firstLineChars="236"/>
        <w:outlineLvl w:val="1"/>
        <w:rPr>
          <w:rFonts w:hint="eastAsia" w:ascii="宋体" w:hAnsi="宋体" w:eastAsia="宋体" w:cs="宋体"/>
          <w:b/>
          <w:color w:val="auto"/>
          <w:sz w:val="24"/>
          <w:highlight w:val="none"/>
        </w:rPr>
      </w:pPr>
      <w:bookmarkStart w:id="159" w:name="_Toc267320054"/>
      <w:bookmarkStart w:id="160" w:name="_Toc11068"/>
      <w:r>
        <w:rPr>
          <w:rFonts w:hint="eastAsia" w:ascii="宋体" w:hAnsi="宋体" w:eastAsia="宋体" w:cs="宋体"/>
          <w:b/>
          <w:color w:val="auto"/>
          <w:sz w:val="24"/>
          <w:highlight w:val="none"/>
        </w:rPr>
        <w:t>八、其他</w:t>
      </w:r>
      <w:bookmarkEnd w:id="159"/>
      <w:bookmarkEnd w:id="160"/>
    </w:p>
    <w:p w14:paraId="4503418E">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（一）投标人必须在投标文件中对以上条款和服务承诺明确列出，承诺内容必须达到本篇及招标文件其他条款的要求。</w:t>
      </w:r>
    </w:p>
    <w:p w14:paraId="4D51B92B">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（二）其他未尽事宜由供需双方在采购合同中详细约定。</w:t>
      </w:r>
    </w:p>
    <w:p w14:paraId="0B56D64D">
      <w:pPr>
        <w:pStyle w:val="4"/>
        <w:pageBreakBefore/>
        <w:spacing w:before="0" w:after="0" w:line="360" w:lineRule="auto"/>
        <w:jc w:val="center"/>
        <w:rPr>
          <w:rFonts w:hint="eastAsia" w:ascii="宋体" w:hAnsi="宋体" w:eastAsia="宋体" w:cs="宋体"/>
          <w:bCs/>
          <w:color w:val="auto"/>
          <w:spacing w:val="-11"/>
          <w:sz w:val="24"/>
          <w:szCs w:val="24"/>
          <w:highlight w:val="none"/>
        </w:rPr>
      </w:pPr>
      <w:r>
        <w:rPr>
          <w:rFonts w:hint="eastAsia" w:ascii="宋体" w:hAnsi="宋体" w:eastAsia="宋体" w:cs="宋体"/>
          <w:bCs/>
          <w:color w:val="auto"/>
          <w:spacing w:val="-11"/>
          <w:sz w:val="24"/>
          <w:szCs w:val="24"/>
          <w:highlight w:val="none"/>
        </w:rPr>
        <w:t>第四篇</w:t>
      </w:r>
      <w:r>
        <w:rPr>
          <w:rFonts w:hint="eastAsia" w:ascii="宋体" w:hAnsi="宋体" w:eastAsia="宋体" w:cs="宋体"/>
          <w:bCs/>
          <w:color w:val="auto"/>
          <w:spacing w:val="-11"/>
          <w:sz w:val="24"/>
          <w:szCs w:val="24"/>
          <w:highlight w:val="none"/>
          <w:lang w:val="en-US" w:eastAsia="zh-CN"/>
        </w:rPr>
        <w:t xml:space="preserve"> </w:t>
      </w:r>
      <w:r>
        <w:rPr>
          <w:rFonts w:hint="eastAsia" w:ascii="宋体" w:hAnsi="宋体" w:eastAsia="宋体" w:cs="宋体"/>
          <w:bCs/>
          <w:color w:val="auto"/>
          <w:spacing w:val="-11"/>
          <w:sz w:val="24"/>
          <w:szCs w:val="24"/>
          <w:highlight w:val="none"/>
        </w:rPr>
        <w:t>网上竞采程序及方法、评审标准、响应无效和采购终止</w:t>
      </w:r>
      <w:bookmarkEnd w:id="156"/>
    </w:p>
    <w:p w14:paraId="2ED0E2E6">
      <w:pPr>
        <w:pStyle w:val="2"/>
        <w:spacing w:before="0" w:after="0" w:line="360" w:lineRule="auto"/>
        <w:rPr>
          <w:rFonts w:hint="eastAsia" w:ascii="宋体" w:hAnsi="宋体" w:eastAsia="宋体" w:cs="宋体"/>
          <w:color w:val="auto"/>
          <w:sz w:val="24"/>
          <w:szCs w:val="24"/>
          <w:highlight w:val="none"/>
        </w:rPr>
      </w:pPr>
      <w:bookmarkStart w:id="161" w:name="_Toc18690"/>
      <w:bookmarkStart w:id="162" w:name="_Toc102227313"/>
      <w:r>
        <w:rPr>
          <w:rFonts w:hint="eastAsia" w:ascii="宋体" w:hAnsi="宋体" w:eastAsia="宋体" w:cs="宋体"/>
          <w:color w:val="auto"/>
          <w:sz w:val="24"/>
          <w:szCs w:val="24"/>
          <w:highlight w:val="none"/>
        </w:rPr>
        <w:t>一、网上竞采程序及方法</w:t>
      </w:r>
      <w:bookmarkEnd w:id="161"/>
    </w:p>
    <w:p w14:paraId="776019B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（一）评审小组对各供应商的资格条件、响应文件的有效性、完整性和响应程度进行审查。各供应商只有在完全符合要求的前提下，才能参与正式网上竞采。</w:t>
      </w:r>
    </w:p>
    <w:p w14:paraId="702A137D">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1.资格性检查。依据法律法规和网上竞采文件的规定，对响应文件中的资格证明进行审查，以确定供应商是否具备网上竞采资格。资格性检查资料表如下：</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5276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5DBFFDB0">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4394" w:type="dxa"/>
            <w:gridSpan w:val="2"/>
            <w:vAlign w:val="center"/>
          </w:tcPr>
          <w:p w14:paraId="1ED64ADE">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检查因素</w:t>
            </w:r>
          </w:p>
        </w:tc>
        <w:tc>
          <w:tcPr>
            <w:tcW w:w="4558" w:type="dxa"/>
            <w:vAlign w:val="center"/>
          </w:tcPr>
          <w:p w14:paraId="345B26D8">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检查内容</w:t>
            </w:r>
          </w:p>
        </w:tc>
      </w:tr>
      <w:tr w14:paraId="7274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5753AB1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709" w:type="dxa"/>
            <w:vMerge w:val="restart"/>
            <w:vAlign w:val="center"/>
          </w:tcPr>
          <w:p w14:paraId="0A4FB1DD">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应符合的基本资格条件</w:t>
            </w:r>
          </w:p>
        </w:tc>
        <w:tc>
          <w:tcPr>
            <w:tcW w:w="3685" w:type="dxa"/>
            <w:vAlign w:val="center"/>
          </w:tcPr>
          <w:p w14:paraId="2947DD7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tc>
        <w:tc>
          <w:tcPr>
            <w:tcW w:w="4558" w:type="dxa"/>
            <w:vAlign w:val="center"/>
          </w:tcPr>
          <w:p w14:paraId="0851301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供应商法人营业执照（副本）或事业单位法人证书（副本）或个体工商户营业执照或有效的自然人身份证明、组织机构代码证复印件（注</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\o\ac(○,2)</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w:t>
            </w:r>
          </w:p>
          <w:p w14:paraId="1CD8916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供应商法定代表人身份证明和法定代表人授权代表委托书。</w:t>
            </w:r>
          </w:p>
        </w:tc>
      </w:tr>
      <w:tr w14:paraId="1805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7077D55E">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469F2694">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4A83E84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具有良好的商业信誉和健全的财务会计制度</w:t>
            </w:r>
          </w:p>
        </w:tc>
        <w:tc>
          <w:tcPr>
            <w:tcW w:w="4558" w:type="dxa"/>
            <w:vMerge w:val="restart"/>
            <w:vAlign w:val="center"/>
          </w:tcPr>
          <w:p w14:paraId="7E3AB54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供应商提供基本资格条件承诺函。（格式详见第七篇）</w:t>
            </w:r>
          </w:p>
        </w:tc>
      </w:tr>
      <w:tr w14:paraId="39D2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539CA34B">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02C37A36">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755C9EE5">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（3）具有履行合同所必需的设备和专业技术能力</w:t>
            </w:r>
          </w:p>
        </w:tc>
        <w:tc>
          <w:tcPr>
            <w:tcW w:w="4558" w:type="dxa"/>
            <w:vMerge w:val="continue"/>
            <w:vAlign w:val="center"/>
          </w:tcPr>
          <w:p w14:paraId="25E17D0C">
            <w:pPr>
              <w:spacing w:line="360" w:lineRule="auto"/>
              <w:ind w:firstLine="240" w:firstLineChars="100"/>
              <w:rPr>
                <w:rFonts w:hint="eastAsia" w:ascii="宋体" w:hAnsi="宋体" w:eastAsia="宋体" w:cs="宋体"/>
                <w:color w:val="auto"/>
                <w:sz w:val="24"/>
                <w:szCs w:val="24"/>
                <w:highlight w:val="none"/>
                <w:lang w:val="en-US" w:eastAsia="zh-CN"/>
              </w:rPr>
            </w:pPr>
          </w:p>
        </w:tc>
      </w:tr>
      <w:tr w14:paraId="33B7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70D8EC02">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53FD79AC">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7990D363">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（4）有依法缴纳税收和社会保障金的良好记录</w:t>
            </w:r>
          </w:p>
        </w:tc>
        <w:tc>
          <w:tcPr>
            <w:tcW w:w="4558" w:type="dxa"/>
            <w:vMerge w:val="continue"/>
            <w:vAlign w:val="center"/>
          </w:tcPr>
          <w:p w14:paraId="418AF65D">
            <w:pPr>
              <w:spacing w:line="360" w:lineRule="auto"/>
              <w:ind w:firstLine="240" w:firstLineChars="100"/>
              <w:rPr>
                <w:rFonts w:hint="eastAsia" w:ascii="宋体" w:hAnsi="宋体" w:eastAsia="宋体" w:cs="宋体"/>
                <w:color w:val="auto"/>
                <w:sz w:val="24"/>
                <w:szCs w:val="24"/>
                <w:highlight w:val="none"/>
                <w:lang w:val="en-US" w:eastAsia="zh-CN"/>
              </w:rPr>
            </w:pPr>
          </w:p>
        </w:tc>
      </w:tr>
      <w:tr w14:paraId="18C4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58DD9987">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5FEB808C">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157751C9">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（5）参加政府采购活动前三年内，在经营活动中没有重大违法记录（注</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\o\ac(○,3)</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w:t>
            </w:r>
          </w:p>
        </w:tc>
        <w:tc>
          <w:tcPr>
            <w:tcW w:w="4558" w:type="dxa"/>
            <w:vMerge w:val="continue"/>
            <w:vAlign w:val="center"/>
          </w:tcPr>
          <w:p w14:paraId="0A67387B">
            <w:pPr>
              <w:spacing w:line="360" w:lineRule="auto"/>
              <w:ind w:firstLine="240" w:firstLineChars="100"/>
              <w:rPr>
                <w:rFonts w:hint="eastAsia" w:ascii="宋体" w:hAnsi="宋体" w:eastAsia="宋体" w:cs="宋体"/>
                <w:color w:val="auto"/>
                <w:sz w:val="24"/>
                <w:szCs w:val="24"/>
                <w:highlight w:val="none"/>
                <w:lang w:val="en-US" w:eastAsia="zh-CN"/>
              </w:rPr>
            </w:pPr>
          </w:p>
        </w:tc>
      </w:tr>
      <w:tr w14:paraId="4F60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5E40E115">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4BE4B61A">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3597CAD5">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（6）法律、行政法规规定的其他条件</w:t>
            </w:r>
          </w:p>
        </w:tc>
        <w:tc>
          <w:tcPr>
            <w:tcW w:w="4558" w:type="dxa"/>
            <w:vAlign w:val="center"/>
          </w:tcPr>
          <w:p w14:paraId="37A83EAB">
            <w:pPr>
              <w:spacing w:line="360" w:lineRule="auto"/>
              <w:ind w:firstLine="240" w:firstLineChars="100"/>
              <w:rPr>
                <w:rFonts w:hint="eastAsia" w:ascii="宋体" w:hAnsi="宋体" w:eastAsia="宋体" w:cs="宋体"/>
                <w:color w:val="auto"/>
                <w:sz w:val="24"/>
                <w:szCs w:val="24"/>
                <w:highlight w:val="none"/>
                <w:lang w:val="en-US" w:eastAsia="zh-CN"/>
              </w:rPr>
            </w:pPr>
          </w:p>
        </w:tc>
      </w:tr>
      <w:tr w14:paraId="4132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5" w:hRule="atLeast"/>
        </w:trPr>
        <w:tc>
          <w:tcPr>
            <w:tcW w:w="676" w:type="dxa"/>
            <w:vAlign w:val="center"/>
          </w:tcPr>
          <w:p w14:paraId="42F30BD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4394" w:type="dxa"/>
            <w:gridSpan w:val="2"/>
            <w:vAlign w:val="center"/>
          </w:tcPr>
          <w:p w14:paraId="1AF1293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落实政府采购政策需满足的资格要求</w:t>
            </w:r>
          </w:p>
        </w:tc>
        <w:tc>
          <w:tcPr>
            <w:tcW w:w="4558" w:type="dxa"/>
            <w:vAlign w:val="center"/>
          </w:tcPr>
          <w:p w14:paraId="45EF340E">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按第一篇“三、供应商资格条件（二）落实政府采购政策需满足的资格要求”的要求提交（如果有）。</w:t>
            </w:r>
          </w:p>
        </w:tc>
      </w:tr>
      <w:tr w14:paraId="4D3C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0380653A">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394" w:type="dxa"/>
            <w:gridSpan w:val="2"/>
            <w:vAlign w:val="center"/>
          </w:tcPr>
          <w:p w14:paraId="449666AD">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特定资格条件</w:t>
            </w:r>
          </w:p>
        </w:tc>
        <w:tc>
          <w:tcPr>
            <w:tcW w:w="4558" w:type="dxa"/>
            <w:vAlign w:val="center"/>
          </w:tcPr>
          <w:p w14:paraId="37A3FB7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按第一篇“三、供应商资格条件（三）特定资格条件”的要求提交（如果有）。</w:t>
            </w:r>
          </w:p>
        </w:tc>
      </w:tr>
    </w:tbl>
    <w:p w14:paraId="7E50A362">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p>
    <w:p w14:paraId="0DC466E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\o\ac(○,2)</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供应商按“多证合一”登记制度办理营业执照的，组织机构代码证、税务登记证（副本）和社会保险登记证以供应商所提供的营业执照（副本）复印件为准。</w:t>
      </w:r>
    </w:p>
    <w:p w14:paraId="33142268">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\o\ac(○,3)</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378BEF1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2.符合性检查。依据网上竞采文件的规定，从响应文件的有效性、完整性和对网上竞采文件的响应程度进行审查，以确定是否对网上竞采文件的实质性要求作出响应。符合性检查资料表如下：</w:t>
      </w:r>
    </w:p>
    <w:tbl>
      <w:tblPr>
        <w:tblStyle w:val="6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30E4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321DEA73">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3544" w:type="dxa"/>
            <w:gridSpan w:val="2"/>
            <w:vAlign w:val="center"/>
          </w:tcPr>
          <w:p w14:paraId="31BBD515">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评审因素</w:t>
            </w:r>
          </w:p>
        </w:tc>
        <w:tc>
          <w:tcPr>
            <w:tcW w:w="5409" w:type="dxa"/>
            <w:vAlign w:val="center"/>
          </w:tcPr>
          <w:p w14:paraId="4295100F">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评审标准</w:t>
            </w:r>
          </w:p>
        </w:tc>
      </w:tr>
      <w:tr w14:paraId="6189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730EEFB5">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560" w:type="dxa"/>
            <w:vMerge w:val="restart"/>
            <w:vAlign w:val="center"/>
          </w:tcPr>
          <w:p w14:paraId="1DC02420">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有效性审查</w:t>
            </w:r>
          </w:p>
        </w:tc>
        <w:tc>
          <w:tcPr>
            <w:tcW w:w="1984" w:type="dxa"/>
            <w:vAlign w:val="center"/>
          </w:tcPr>
          <w:p w14:paraId="70C666C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响应文件签署</w:t>
            </w:r>
          </w:p>
        </w:tc>
        <w:tc>
          <w:tcPr>
            <w:tcW w:w="5409" w:type="dxa"/>
            <w:vAlign w:val="center"/>
          </w:tcPr>
          <w:p w14:paraId="7DABBC3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网上电子文档及响应文件上法定代表人或其授权代表人的签字齐全。</w:t>
            </w:r>
          </w:p>
        </w:tc>
      </w:tr>
      <w:tr w14:paraId="04CE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69E3CBFA">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01348EFE">
            <w:pPr>
              <w:spacing w:line="360" w:lineRule="auto"/>
              <w:ind w:firstLine="240" w:firstLineChars="100"/>
              <w:rPr>
                <w:rFonts w:hint="eastAsia" w:ascii="宋体" w:hAnsi="宋体" w:eastAsia="宋体" w:cs="宋体"/>
                <w:color w:val="auto"/>
                <w:sz w:val="24"/>
                <w:szCs w:val="24"/>
                <w:highlight w:val="none"/>
                <w:lang w:val="en-US" w:eastAsia="zh-CN"/>
              </w:rPr>
            </w:pPr>
          </w:p>
        </w:tc>
        <w:tc>
          <w:tcPr>
            <w:tcW w:w="1984" w:type="dxa"/>
            <w:vAlign w:val="center"/>
          </w:tcPr>
          <w:p w14:paraId="0265F68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法定代表人身份证明及授权委托书</w:t>
            </w:r>
          </w:p>
        </w:tc>
        <w:tc>
          <w:tcPr>
            <w:tcW w:w="5409" w:type="dxa"/>
            <w:vAlign w:val="center"/>
          </w:tcPr>
          <w:p w14:paraId="29982B9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法定代表人身份证明及授权委托书有效，符合网上竞采文件规定的格式，签字或盖章齐全。</w:t>
            </w:r>
          </w:p>
        </w:tc>
      </w:tr>
      <w:tr w14:paraId="1B21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73C07AD4">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523FF7BC">
            <w:pPr>
              <w:spacing w:line="360" w:lineRule="auto"/>
              <w:ind w:firstLine="240" w:firstLineChars="100"/>
              <w:rPr>
                <w:rFonts w:hint="eastAsia" w:ascii="宋体" w:hAnsi="宋体" w:eastAsia="宋体" w:cs="宋体"/>
                <w:color w:val="auto"/>
                <w:sz w:val="24"/>
                <w:szCs w:val="24"/>
                <w:highlight w:val="none"/>
                <w:lang w:val="en-US" w:eastAsia="zh-CN"/>
              </w:rPr>
            </w:pPr>
          </w:p>
        </w:tc>
        <w:tc>
          <w:tcPr>
            <w:tcW w:w="1984" w:type="dxa"/>
            <w:vAlign w:val="center"/>
          </w:tcPr>
          <w:p w14:paraId="14CAEB7D">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方案</w:t>
            </w:r>
          </w:p>
        </w:tc>
        <w:tc>
          <w:tcPr>
            <w:tcW w:w="5409" w:type="dxa"/>
            <w:vAlign w:val="center"/>
          </w:tcPr>
          <w:p w14:paraId="4B44815E">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每个分包只能有一个</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方案。</w:t>
            </w:r>
          </w:p>
        </w:tc>
      </w:tr>
      <w:tr w14:paraId="0D2D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08CAA9B6">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753E2B48">
            <w:pPr>
              <w:spacing w:line="360" w:lineRule="auto"/>
              <w:ind w:firstLine="240" w:firstLineChars="100"/>
              <w:rPr>
                <w:rFonts w:hint="eastAsia" w:ascii="宋体" w:hAnsi="宋体" w:eastAsia="宋体" w:cs="宋体"/>
                <w:color w:val="auto"/>
                <w:sz w:val="24"/>
                <w:szCs w:val="24"/>
                <w:highlight w:val="none"/>
                <w:lang w:val="en-US" w:eastAsia="zh-CN"/>
              </w:rPr>
            </w:pPr>
          </w:p>
        </w:tc>
        <w:tc>
          <w:tcPr>
            <w:tcW w:w="1984" w:type="dxa"/>
            <w:vAlign w:val="center"/>
          </w:tcPr>
          <w:p w14:paraId="0566B669">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报价唯一</w:t>
            </w:r>
          </w:p>
        </w:tc>
        <w:tc>
          <w:tcPr>
            <w:tcW w:w="5409" w:type="dxa"/>
            <w:vAlign w:val="center"/>
          </w:tcPr>
          <w:p w14:paraId="35C53EF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只能在采购预算范围内报价，</w:t>
            </w:r>
            <w:r>
              <w:rPr>
                <w:rFonts w:hint="eastAsia" w:ascii="宋体" w:hAnsi="宋体" w:eastAsia="宋体" w:cs="宋体"/>
                <w:color w:val="auto"/>
                <w:sz w:val="24"/>
                <w:szCs w:val="24"/>
                <w:highlight w:val="none"/>
                <w:lang w:val="en-US" w:eastAsia="zh-CN"/>
              </w:rPr>
              <w:t>只能有一个有效报价，不得提交选择性报价。</w:t>
            </w:r>
          </w:p>
        </w:tc>
      </w:tr>
      <w:tr w14:paraId="3CAD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544C94C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560" w:type="dxa"/>
            <w:vAlign w:val="center"/>
          </w:tcPr>
          <w:p w14:paraId="223C9D7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完整性审查</w:t>
            </w:r>
          </w:p>
        </w:tc>
        <w:tc>
          <w:tcPr>
            <w:tcW w:w="1984" w:type="dxa"/>
            <w:vAlign w:val="center"/>
          </w:tcPr>
          <w:p w14:paraId="34E692C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文件份数</w:t>
            </w:r>
          </w:p>
        </w:tc>
        <w:tc>
          <w:tcPr>
            <w:tcW w:w="5409" w:type="dxa"/>
            <w:vAlign w:val="center"/>
          </w:tcPr>
          <w:p w14:paraId="081236B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文件数量符合</w:t>
            </w:r>
            <w:r>
              <w:rPr>
                <w:rFonts w:hint="eastAsia" w:ascii="宋体" w:hAnsi="宋体" w:eastAsia="宋体" w:cs="宋体"/>
                <w:color w:val="auto"/>
                <w:sz w:val="24"/>
                <w:szCs w:val="24"/>
                <w:highlight w:val="none"/>
                <w:lang w:val="en-US" w:eastAsia="zh-CN"/>
              </w:rPr>
              <w:t>网上竞采</w:t>
            </w:r>
            <w:r>
              <w:rPr>
                <w:rFonts w:hint="eastAsia" w:ascii="宋体" w:hAnsi="宋体" w:eastAsia="宋体" w:cs="宋体"/>
                <w:color w:val="auto"/>
                <w:sz w:val="24"/>
                <w:szCs w:val="24"/>
                <w:highlight w:val="none"/>
                <w:lang w:val="zh-CN" w:eastAsia="zh-CN"/>
              </w:rPr>
              <w:t>文件要求。</w:t>
            </w:r>
          </w:p>
        </w:tc>
      </w:tr>
      <w:tr w14:paraId="31A7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090C0AB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560" w:type="dxa"/>
            <w:vMerge w:val="restart"/>
            <w:vAlign w:val="center"/>
          </w:tcPr>
          <w:p w14:paraId="595BF946">
            <w:pPr>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网上竞采文件的响应程度审查</w:t>
            </w:r>
          </w:p>
        </w:tc>
        <w:tc>
          <w:tcPr>
            <w:tcW w:w="1984" w:type="dxa"/>
            <w:vAlign w:val="center"/>
          </w:tcPr>
          <w:p w14:paraId="0641F0CA">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响应文件内容</w:t>
            </w:r>
          </w:p>
        </w:tc>
        <w:tc>
          <w:tcPr>
            <w:tcW w:w="5409" w:type="dxa"/>
            <w:vAlign w:val="center"/>
          </w:tcPr>
          <w:p w14:paraId="07C22F8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对网上竞采文件第二篇、第三篇规定的网上竞采内容作出响应。</w:t>
            </w:r>
          </w:p>
        </w:tc>
      </w:tr>
      <w:tr w14:paraId="7366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05B9F797">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57B3FCD0">
            <w:pPr>
              <w:spacing w:line="360" w:lineRule="auto"/>
              <w:ind w:firstLine="240" w:firstLineChars="100"/>
              <w:rPr>
                <w:rFonts w:hint="eastAsia" w:ascii="宋体" w:hAnsi="宋体" w:eastAsia="宋体" w:cs="宋体"/>
                <w:color w:val="auto"/>
                <w:sz w:val="24"/>
                <w:szCs w:val="24"/>
                <w:highlight w:val="none"/>
                <w:lang w:val="zh-CN" w:eastAsia="zh-CN"/>
              </w:rPr>
            </w:pPr>
          </w:p>
        </w:tc>
        <w:tc>
          <w:tcPr>
            <w:tcW w:w="1984" w:type="dxa"/>
            <w:vAlign w:val="center"/>
          </w:tcPr>
          <w:p w14:paraId="01882B02">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网上竞采有效期</w:t>
            </w:r>
          </w:p>
        </w:tc>
        <w:tc>
          <w:tcPr>
            <w:tcW w:w="5409" w:type="dxa"/>
            <w:vAlign w:val="center"/>
          </w:tcPr>
          <w:p w14:paraId="5226E9C0">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满足网上竞采文件</w:t>
            </w:r>
            <w:r>
              <w:rPr>
                <w:rFonts w:hint="eastAsia" w:ascii="宋体" w:hAnsi="宋体" w:eastAsia="宋体" w:cs="宋体"/>
                <w:color w:val="auto"/>
                <w:sz w:val="24"/>
                <w:szCs w:val="24"/>
                <w:highlight w:val="none"/>
                <w:lang w:val="zh-CN" w:eastAsia="zh-CN"/>
              </w:rPr>
              <w:t>规定。</w:t>
            </w:r>
          </w:p>
        </w:tc>
      </w:tr>
    </w:tbl>
    <w:p w14:paraId="66180B2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FFFDC2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6AA5FA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（三）评审的依据为网上竞采文件和响应文件（含有效的补充文件）。评审小组判断响应文件对网上竞采文件的响应，仅基于响应文件本身而不靠外部证据。</w:t>
      </w:r>
    </w:p>
    <w:p w14:paraId="6D571AA5">
      <w:pPr>
        <w:pStyle w:val="2"/>
        <w:spacing w:before="0" w:after="0" w:line="360" w:lineRule="auto"/>
        <w:rPr>
          <w:rFonts w:hint="eastAsia" w:ascii="宋体" w:hAnsi="宋体" w:cs="宋体"/>
          <w:color w:val="auto"/>
          <w:sz w:val="24"/>
          <w:szCs w:val="24"/>
          <w:highlight w:val="none"/>
          <w:lang w:val="en-US" w:eastAsia="zh-CN"/>
        </w:rPr>
      </w:pPr>
      <w:bookmarkStart w:id="163" w:name="_Toc18411"/>
      <w:r>
        <w:rPr>
          <w:rFonts w:hint="eastAsia" w:ascii="宋体" w:hAnsi="宋体" w:cs="宋体"/>
          <w:color w:val="auto"/>
          <w:sz w:val="24"/>
          <w:szCs w:val="24"/>
          <w:highlight w:val="none"/>
          <w:lang w:val="en-US" w:eastAsia="zh-CN"/>
        </w:rPr>
        <w:t>二、评标方法</w:t>
      </w:r>
    </w:p>
    <w:p w14:paraId="15454C6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本项目采用综合评估法进行评标。</w:t>
      </w:r>
    </w:p>
    <w:p w14:paraId="267CA70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综合评分法，是指响应文件满足竞采文件全部实质性要求且按照评审因素的量化指标评审得分最高的供应商为成交供应商的评标方法。供应商总得分为价格、技术</w:t>
      </w:r>
      <w:r>
        <w:rPr>
          <w:rFonts w:hint="eastAsia" w:ascii="宋体" w:hAnsi="宋体" w:cs="宋体"/>
          <w:color w:val="auto"/>
          <w:sz w:val="24"/>
          <w:szCs w:val="24"/>
          <w:highlight w:val="none"/>
          <w:lang w:val="en-US" w:eastAsia="zh-CN"/>
        </w:rPr>
        <w:t>方案</w:t>
      </w:r>
      <w:r>
        <w:rPr>
          <w:rFonts w:hint="eastAsia" w:ascii="宋体" w:hAnsi="宋体" w:eastAsia="宋体" w:cs="宋体"/>
          <w:color w:val="auto"/>
          <w:sz w:val="24"/>
          <w:szCs w:val="24"/>
          <w:highlight w:val="none"/>
          <w:lang w:val="en-US" w:eastAsia="zh-CN"/>
        </w:rPr>
        <w:t>等评定因素分别按照相应权重值计算分项得分后相加，满分为100分。</w:t>
      </w:r>
    </w:p>
    <w:p w14:paraId="2D8688AA">
      <w:pPr>
        <w:snapToGrid w:val="0"/>
        <w:spacing w:line="400" w:lineRule="exac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综合评分法：</w:t>
      </w:r>
    </w:p>
    <w:p w14:paraId="7DC5D55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（一）比较与评价。按竞采文件中规定的评标方法和标准，对资格审查和符合性审查合格的响应文件进行商务和技术评估。</w:t>
      </w:r>
    </w:p>
    <w:p w14:paraId="4BD96DD5">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小组各成员独立对每个有效供应商（通过资格审查、符合性审查的供应商）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3964A6E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（二）关于技术（质量）、商务偏离</w:t>
      </w:r>
    </w:p>
    <w:p w14:paraId="64C562C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1.电子投标文件投标应答有一条及以上不满足招标文件“第二篇 项目技术需求”要求的，供应商将失去成为成交供应商的资格；</w:t>
      </w:r>
    </w:p>
    <w:p w14:paraId="492D9BF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2.电子投标文件投标应答有一条及以上不满足招标文件“第三篇 项目商务需求”要求的，供应商将失去成为成交供应商的资格；</w:t>
      </w:r>
    </w:p>
    <w:p w14:paraId="225D1234">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1024CB7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（三）推荐成交供应商名单。</w:t>
      </w:r>
    </w:p>
    <w:p w14:paraId="7573C32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评审后得分由高到低的排列顺序推荐综合得分排名前三的供应商为本包（项目）成交供应商，排名第一的为第一成交供应商。得分相同的，按投标报价由低到高顺序排列。得分且投标报价相同的由评审小组随机抽取的方式进行排列。不推荐技术（质量）部分得分为0分的供应商成为成交供应商。</w:t>
      </w:r>
    </w:p>
    <w:bookmarkEnd w:id="163"/>
    <w:p w14:paraId="7AD375E5">
      <w:pPr>
        <w:pStyle w:val="4"/>
        <w:spacing w:line="400" w:lineRule="exact"/>
        <w:ind w:firstLine="482" w:firstLineChars="200"/>
        <w:rPr>
          <w:rFonts w:hint="eastAsia" w:ascii="宋体" w:hAnsi="宋体" w:eastAsia="宋体" w:cs="宋体"/>
          <w:b/>
          <w:color w:val="auto"/>
          <w:sz w:val="24"/>
          <w:szCs w:val="24"/>
          <w:highlight w:val="none"/>
        </w:rPr>
      </w:pPr>
      <w:bookmarkStart w:id="164" w:name="_Toc102227320"/>
      <w:bookmarkStart w:id="165" w:name="_Toc342913394"/>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评标标准</w:t>
      </w:r>
    </w:p>
    <w:p w14:paraId="40097745">
      <w:pPr>
        <w:snapToGrid w:val="0"/>
        <w:spacing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（综合评分法：）</w:t>
      </w:r>
    </w:p>
    <w:p w14:paraId="18135DF7">
      <w:pPr>
        <w:snapToGrid w:val="0"/>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bl>
      <w:tblPr>
        <w:tblStyle w:val="61"/>
        <w:tblW w:w="10291"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508"/>
        <w:gridCol w:w="820"/>
        <w:gridCol w:w="842"/>
        <w:gridCol w:w="5377"/>
        <w:gridCol w:w="2180"/>
        <w:gridCol w:w="60"/>
      </w:tblGrid>
      <w:tr w14:paraId="4642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548" w:hRule="atLeast"/>
        </w:trPr>
        <w:tc>
          <w:tcPr>
            <w:tcW w:w="504" w:type="dxa"/>
            <w:vAlign w:val="center"/>
          </w:tcPr>
          <w:p w14:paraId="7F839B4B">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328" w:type="dxa"/>
            <w:gridSpan w:val="2"/>
            <w:vAlign w:val="center"/>
          </w:tcPr>
          <w:p w14:paraId="14500257">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评分因素</w:t>
            </w:r>
          </w:p>
          <w:p w14:paraId="7BD1BD93">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及权重</w:t>
            </w:r>
          </w:p>
        </w:tc>
        <w:tc>
          <w:tcPr>
            <w:tcW w:w="842" w:type="dxa"/>
            <w:vAlign w:val="center"/>
          </w:tcPr>
          <w:p w14:paraId="378B745C">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5377" w:type="dxa"/>
            <w:vAlign w:val="center"/>
          </w:tcPr>
          <w:p w14:paraId="59FB997A">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2180" w:type="dxa"/>
            <w:vAlign w:val="center"/>
          </w:tcPr>
          <w:p w14:paraId="1518E2FF">
            <w:pPr>
              <w:pStyle w:val="234"/>
              <w:spacing w:before="0" w:after="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r>
      <w:tr w14:paraId="12AB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1087" w:hRule="atLeast"/>
        </w:trPr>
        <w:tc>
          <w:tcPr>
            <w:tcW w:w="504" w:type="dxa"/>
            <w:vAlign w:val="center"/>
          </w:tcPr>
          <w:p w14:paraId="56DAD2E4">
            <w:pPr>
              <w:snapToGrid w:val="0"/>
              <w:spacing w:line="400" w:lineRule="exact"/>
              <w:rPr>
                <w:rFonts w:hint="eastAsia" w:ascii="华文仿宋" w:hAnsi="华文仿宋" w:eastAsia="华文仿宋" w:cs="华文仿宋"/>
                <w:color w:val="auto"/>
                <w:kern w:val="0"/>
                <w:sz w:val="21"/>
                <w:szCs w:val="21"/>
                <w:highlight w:val="none"/>
                <w:lang w:val="en-US" w:eastAsia="zh-CN"/>
              </w:rPr>
            </w:pPr>
            <w:r>
              <w:rPr>
                <w:rFonts w:hint="eastAsia" w:ascii="华文仿宋" w:hAnsi="华文仿宋" w:eastAsia="华文仿宋" w:cs="华文仿宋"/>
                <w:color w:val="auto"/>
                <w:kern w:val="0"/>
                <w:sz w:val="21"/>
                <w:szCs w:val="21"/>
                <w:highlight w:val="none"/>
                <w:lang w:val="en-US" w:eastAsia="zh-CN"/>
              </w:rPr>
              <w:t>1</w:t>
            </w:r>
          </w:p>
        </w:tc>
        <w:tc>
          <w:tcPr>
            <w:tcW w:w="1328" w:type="dxa"/>
            <w:gridSpan w:val="2"/>
            <w:vAlign w:val="center"/>
          </w:tcPr>
          <w:p w14:paraId="4B2B3029">
            <w:pPr>
              <w:spacing w:line="360" w:lineRule="exact"/>
              <w:rPr>
                <w:rFonts w:hint="eastAsia" w:ascii="华文仿宋" w:hAnsi="华文仿宋" w:eastAsia="华文仿宋" w:cs="华文仿宋"/>
                <w:color w:val="auto"/>
                <w:kern w:val="0"/>
                <w:sz w:val="21"/>
                <w:szCs w:val="21"/>
                <w:highlight w:val="none"/>
                <w:lang w:val="en-US" w:eastAsia="zh-CN"/>
              </w:rPr>
            </w:pPr>
            <w:r>
              <w:rPr>
                <w:rFonts w:hint="eastAsia" w:ascii="仿宋" w:hAnsi="仿宋" w:eastAsia="仿宋" w:cs="仿宋"/>
                <w:color w:val="auto"/>
                <w:sz w:val="24"/>
                <w:szCs w:val="24"/>
                <w:highlight w:val="none"/>
              </w:rPr>
              <w:t>投标报价(</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w:t>
            </w:r>
          </w:p>
        </w:tc>
        <w:tc>
          <w:tcPr>
            <w:tcW w:w="842" w:type="dxa"/>
            <w:vAlign w:val="center"/>
          </w:tcPr>
          <w:p w14:paraId="336C194F">
            <w:pPr>
              <w:spacing w:line="360" w:lineRule="exact"/>
              <w:jc w:val="center"/>
              <w:rPr>
                <w:rFonts w:hint="eastAsia" w:ascii="华文仿宋" w:hAnsi="华文仿宋" w:eastAsia="华文仿宋" w:cs="华文仿宋"/>
                <w:color w:val="auto"/>
                <w:kern w:val="0"/>
                <w:sz w:val="21"/>
                <w:szCs w:val="21"/>
                <w:highlight w:val="none"/>
                <w:lang w:val="en-US" w:eastAsia="zh-CN"/>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5377" w:type="dxa"/>
            <w:vAlign w:val="center"/>
          </w:tcPr>
          <w:p w14:paraId="665EE2A4">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有效的投标报价中的最低价为评标基准价，按照下列公式计算每个</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的投标价格得分。</w:t>
            </w:r>
          </w:p>
          <w:p w14:paraId="3470AFFA">
            <w:pPr>
              <w:spacing w:line="360" w:lineRule="exact"/>
              <w:rPr>
                <w:rFonts w:hint="default" w:ascii="华文仿宋" w:hAnsi="华文仿宋" w:eastAsia="华文仿宋" w:cs="华文仿宋"/>
                <w:color w:val="auto"/>
                <w:kern w:val="0"/>
                <w:sz w:val="21"/>
                <w:szCs w:val="21"/>
                <w:highlight w:val="none"/>
                <w:lang w:val="en-US" w:eastAsia="zh-CN"/>
              </w:rPr>
            </w:pPr>
            <w:r>
              <w:rPr>
                <w:rFonts w:hint="eastAsia" w:ascii="仿宋" w:hAnsi="仿宋" w:eastAsia="仿宋" w:cs="仿宋"/>
                <w:color w:val="auto"/>
                <w:sz w:val="24"/>
                <w:szCs w:val="24"/>
                <w:highlight w:val="none"/>
              </w:rPr>
              <w:t>投标报价得分＝（评标基准价/投标报价）×价格权重×100。</w:t>
            </w:r>
          </w:p>
        </w:tc>
        <w:tc>
          <w:tcPr>
            <w:tcW w:w="2180" w:type="dxa"/>
            <w:vAlign w:val="center"/>
          </w:tcPr>
          <w:p w14:paraId="61A37C48">
            <w:pPr>
              <w:spacing w:line="360" w:lineRule="auto"/>
              <w:ind w:firstLine="240" w:firstLineChars="100"/>
              <w:rPr>
                <w:rFonts w:hint="eastAsia" w:ascii="宋体" w:hAnsi="宋体" w:eastAsia="宋体" w:cs="宋体"/>
                <w:color w:val="auto"/>
                <w:sz w:val="24"/>
                <w:szCs w:val="24"/>
                <w:highlight w:val="none"/>
                <w:lang w:val="en-US" w:eastAsia="zh-CN"/>
              </w:rPr>
            </w:pPr>
          </w:p>
        </w:tc>
      </w:tr>
      <w:tr w14:paraId="6CEF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1705" w:hRule="atLeast"/>
        </w:trPr>
        <w:tc>
          <w:tcPr>
            <w:tcW w:w="504" w:type="dxa"/>
            <w:vAlign w:val="center"/>
          </w:tcPr>
          <w:p w14:paraId="6CE26FC8">
            <w:pP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328" w:type="dxa"/>
            <w:gridSpan w:val="2"/>
            <w:vAlign w:val="center"/>
          </w:tcPr>
          <w:p w14:paraId="42DF4004">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技术部分</w:t>
            </w:r>
          </w:p>
          <w:p w14:paraId="6648CC15">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（50%）</w:t>
            </w:r>
          </w:p>
        </w:tc>
        <w:tc>
          <w:tcPr>
            <w:tcW w:w="842" w:type="dxa"/>
            <w:vAlign w:val="center"/>
          </w:tcPr>
          <w:p w14:paraId="76E5D848">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50分</w:t>
            </w:r>
          </w:p>
        </w:tc>
        <w:tc>
          <w:tcPr>
            <w:tcW w:w="5377" w:type="dxa"/>
            <w:vAlign w:val="center"/>
          </w:tcPr>
          <w:p w14:paraId="3233D68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全部满足招标技术要求得</w:t>
            </w:r>
            <w:r>
              <w:rPr>
                <w:rFonts w:hint="eastAsia" w:ascii="仿宋" w:hAnsi="仿宋" w:eastAsia="仿宋" w:cs="仿宋"/>
                <w:color w:val="auto"/>
                <w:sz w:val="24"/>
                <w:szCs w:val="24"/>
                <w:highlight w:val="none"/>
                <w:lang w:val="en-US" w:eastAsia="zh-CN"/>
              </w:rPr>
              <w:t>50</w:t>
            </w:r>
            <w:r>
              <w:rPr>
                <w:rFonts w:hint="default" w:ascii="仿宋" w:hAnsi="仿宋" w:eastAsia="仿宋" w:cs="仿宋"/>
                <w:color w:val="auto"/>
                <w:sz w:val="24"/>
                <w:szCs w:val="24"/>
                <w:highlight w:val="none"/>
                <w:lang w:val="en-US" w:eastAsia="zh-CN"/>
              </w:rPr>
              <w:t>分。</w:t>
            </w:r>
          </w:p>
          <w:p w14:paraId="286E8735">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技术要求中标注“▲”为重要参数指标，每项不满足扣</w:t>
            </w:r>
            <w:r>
              <w:rPr>
                <w:rFonts w:hint="eastAsia" w:ascii="仿宋" w:hAnsi="仿宋" w:eastAsia="仿宋" w:cs="仿宋"/>
                <w:color w:val="auto"/>
                <w:sz w:val="24"/>
                <w:szCs w:val="24"/>
                <w:highlight w:val="none"/>
                <w:lang w:val="en-US" w:eastAsia="zh-CN"/>
              </w:rPr>
              <w:t>10</w:t>
            </w:r>
            <w:r>
              <w:rPr>
                <w:rFonts w:hint="default" w:ascii="仿宋" w:hAnsi="仿宋" w:eastAsia="仿宋" w:cs="仿宋"/>
                <w:color w:val="auto"/>
                <w:sz w:val="24"/>
                <w:szCs w:val="24"/>
                <w:highlight w:val="none"/>
                <w:lang w:val="en-US" w:eastAsia="zh-CN"/>
              </w:rPr>
              <w:t>分。重要参数负偏离总数超过3项（含3项），技术分为0分。</w:t>
            </w:r>
          </w:p>
          <w:p w14:paraId="6A30B240">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其他技术规格要求为一般性参数条款，每项负偏离扣</w:t>
            </w:r>
            <w:r>
              <w:rPr>
                <w:rFonts w:hint="eastAsia" w:ascii="仿宋" w:hAnsi="仿宋" w:eastAsia="仿宋" w:cs="仿宋"/>
                <w:color w:val="auto"/>
                <w:sz w:val="24"/>
                <w:szCs w:val="24"/>
                <w:highlight w:val="none"/>
                <w:lang w:val="en-US" w:eastAsia="zh-CN"/>
              </w:rPr>
              <w:t>5</w:t>
            </w:r>
            <w:r>
              <w:rPr>
                <w:rFonts w:hint="default" w:ascii="仿宋" w:hAnsi="仿宋" w:eastAsia="仿宋" w:cs="仿宋"/>
                <w:color w:val="auto"/>
                <w:sz w:val="24"/>
                <w:szCs w:val="24"/>
                <w:highlight w:val="none"/>
                <w:lang w:val="en-US" w:eastAsia="zh-CN"/>
              </w:rPr>
              <w:t>分。</w:t>
            </w:r>
          </w:p>
          <w:p w14:paraId="5537BF71">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所有技术参数负偏离总数超过5项（含5项），技术分为0分。</w:t>
            </w:r>
          </w:p>
        </w:tc>
        <w:tc>
          <w:tcPr>
            <w:tcW w:w="2180" w:type="dxa"/>
            <w:vAlign w:val="center"/>
          </w:tcPr>
          <w:p w14:paraId="4A08F52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p>
        </w:tc>
      </w:tr>
      <w:tr w14:paraId="46F4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04" w:type="dxa"/>
            <w:vMerge w:val="restart"/>
            <w:vAlign w:val="center"/>
          </w:tcPr>
          <w:p w14:paraId="77C3F8E7">
            <w:pPr>
              <w:rPr>
                <w:rFonts w:hint="default" w:ascii="仿宋" w:hAnsi="仿宋" w:eastAsia="仿宋" w:cs="仿宋"/>
                <w:color w:val="auto"/>
                <w:sz w:val="24"/>
                <w:szCs w:val="24"/>
                <w:highlight w:val="none"/>
                <w:lang w:val="en-US" w:eastAsia="zh-CN"/>
              </w:rPr>
            </w:pPr>
            <w:bookmarkStart w:id="166" w:name="_Toc25094"/>
            <w:r>
              <w:rPr>
                <w:rFonts w:hint="eastAsia" w:ascii="仿宋" w:hAnsi="仿宋" w:eastAsia="仿宋" w:cs="仿宋"/>
                <w:color w:val="auto"/>
                <w:sz w:val="24"/>
                <w:szCs w:val="24"/>
                <w:highlight w:val="none"/>
                <w:lang w:val="en-US" w:eastAsia="zh-CN"/>
              </w:rPr>
              <w:t>3</w:t>
            </w:r>
          </w:p>
        </w:tc>
        <w:tc>
          <w:tcPr>
            <w:tcW w:w="508" w:type="dxa"/>
            <w:vMerge w:val="restart"/>
            <w:vAlign w:val="center"/>
          </w:tcPr>
          <w:p w14:paraId="19163019">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商务部分20%</w:t>
            </w:r>
          </w:p>
        </w:tc>
        <w:tc>
          <w:tcPr>
            <w:tcW w:w="820" w:type="dxa"/>
            <w:vAlign w:val="center"/>
          </w:tcPr>
          <w:p w14:paraId="39533E5C">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业绩</w:t>
            </w:r>
          </w:p>
        </w:tc>
        <w:tc>
          <w:tcPr>
            <w:tcW w:w="842" w:type="dxa"/>
            <w:vAlign w:val="center"/>
          </w:tcPr>
          <w:p w14:paraId="1842F866">
            <w:pP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5377" w:type="dxa"/>
            <w:vAlign w:val="center"/>
          </w:tcPr>
          <w:p w14:paraId="046899B8">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投标人提供在国内2022年以来同品牌同类产品成交业绩证明。</w:t>
            </w:r>
            <w:r>
              <w:rPr>
                <w:rFonts w:hint="eastAsia" w:ascii="仿宋" w:hAnsi="仿宋" w:eastAsia="仿宋" w:cs="仿宋"/>
                <w:color w:val="auto"/>
                <w:sz w:val="24"/>
                <w:szCs w:val="24"/>
                <w:highlight w:val="none"/>
                <w:lang w:val="zh-CN" w:eastAsia="zh-CN"/>
              </w:rPr>
              <w:t>每提供一个业绩得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eastAsia="zh-CN"/>
              </w:rPr>
              <w:t>分，本项最高得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val="zh-CN" w:eastAsia="zh-CN"/>
              </w:rPr>
              <w:t>分。</w:t>
            </w:r>
          </w:p>
        </w:tc>
        <w:tc>
          <w:tcPr>
            <w:tcW w:w="2240" w:type="dxa"/>
            <w:gridSpan w:val="2"/>
            <w:shd w:val="clear" w:color="auto" w:fill="auto"/>
            <w:vAlign w:val="center"/>
          </w:tcPr>
          <w:p w14:paraId="1CB9932D">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eastAsia="zh-CN"/>
              </w:rPr>
              <w:t>提供中标（成交）通知书或者合同复印件加盖公章</w:t>
            </w:r>
          </w:p>
        </w:tc>
      </w:tr>
      <w:tr w14:paraId="6AC7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504" w:type="dxa"/>
            <w:vMerge w:val="continue"/>
            <w:vAlign w:val="center"/>
          </w:tcPr>
          <w:p w14:paraId="5D2E028E">
            <w:pPr>
              <w:rPr>
                <w:rFonts w:hint="eastAsia" w:ascii="仿宋" w:hAnsi="仿宋" w:eastAsia="仿宋" w:cs="仿宋"/>
                <w:color w:val="auto"/>
                <w:sz w:val="24"/>
                <w:szCs w:val="24"/>
                <w:highlight w:val="none"/>
                <w:lang w:val="en-US" w:eastAsia="zh-CN"/>
              </w:rPr>
            </w:pPr>
          </w:p>
        </w:tc>
        <w:tc>
          <w:tcPr>
            <w:tcW w:w="508" w:type="dxa"/>
            <w:vMerge w:val="continue"/>
            <w:vAlign w:val="center"/>
          </w:tcPr>
          <w:p w14:paraId="2E28A242">
            <w:pPr>
              <w:rPr>
                <w:rFonts w:hint="eastAsia" w:ascii="仿宋" w:hAnsi="仿宋" w:eastAsia="仿宋" w:cs="仿宋"/>
                <w:color w:val="auto"/>
                <w:sz w:val="24"/>
                <w:szCs w:val="24"/>
                <w:highlight w:val="none"/>
                <w:lang w:val="en-US" w:eastAsia="zh-CN"/>
              </w:rPr>
            </w:pPr>
          </w:p>
        </w:tc>
        <w:tc>
          <w:tcPr>
            <w:tcW w:w="820" w:type="dxa"/>
            <w:vAlign w:val="center"/>
          </w:tcPr>
          <w:p w14:paraId="27CD7729">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售后服务</w:t>
            </w:r>
          </w:p>
        </w:tc>
        <w:tc>
          <w:tcPr>
            <w:tcW w:w="842" w:type="dxa"/>
            <w:vAlign w:val="center"/>
          </w:tcPr>
          <w:p w14:paraId="2B9148D7">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5377" w:type="dxa"/>
            <w:vAlign w:val="center"/>
          </w:tcPr>
          <w:p w14:paraId="0B925947">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供应商应针对本项目提供切实可行的售后服务方案，内容包括但不限于售后人员、响应时间等。</w:t>
            </w:r>
          </w:p>
          <w:p w14:paraId="6805A3D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1.方案包含上述所有内容的基础上，内容不存在瑕疵的得10分； </w:t>
            </w:r>
          </w:p>
          <w:p w14:paraId="2D1FDA2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2.方案包含上述所有内容的基础上，内容存在1处瑕疵的得7分； </w:t>
            </w:r>
          </w:p>
          <w:p w14:paraId="4A734CC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3.方案包含上述所有内容的基础上，内容存在2处瑕疵的得4分；</w:t>
            </w:r>
          </w:p>
          <w:p w14:paraId="309E1B89">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4.方案包含上述内容不全或内容存在3处以上瑕疵的或未提供得0分。</w:t>
            </w:r>
          </w:p>
        </w:tc>
        <w:tc>
          <w:tcPr>
            <w:tcW w:w="2240" w:type="dxa"/>
            <w:gridSpan w:val="2"/>
            <w:shd w:val="clear" w:color="auto" w:fill="auto"/>
            <w:vAlign w:val="center"/>
          </w:tcPr>
          <w:p w14:paraId="276562D3">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2"/>
                <w:szCs w:val="22"/>
                <w:highlight w:val="none"/>
                <w:lang w:val="en-US" w:eastAsia="zh-CN"/>
              </w:rPr>
              <w:t>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27BFEB46">
      <w:pPr>
        <w:pStyle w:val="2"/>
        <w:pageBreakBefore w:val="0"/>
        <w:widowControl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、响应无效</w:t>
      </w:r>
      <w:bookmarkEnd w:id="166"/>
    </w:p>
    <w:bookmarkEnd w:id="164"/>
    <w:bookmarkEnd w:id="165"/>
    <w:p w14:paraId="0D2A5FB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供应商发生以下条款情况之一者，视为响应无效，其响应文件将被拒绝：</w:t>
      </w:r>
    </w:p>
    <w:p w14:paraId="04B5354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（一）供应商不符合规定的基本资格条件或特定资格条件的；</w:t>
      </w:r>
    </w:p>
    <w:p w14:paraId="678F5501">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（二）供应商所提交的响应文件不按第七篇“响应文件编制要求”规定签字、盖章；</w:t>
      </w:r>
    </w:p>
    <w:p w14:paraId="6F9C48BC">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（三）供应商的报价超过采购预算或总价最高限价或单价最高限价的；</w:t>
      </w:r>
    </w:p>
    <w:p w14:paraId="2A5FABD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（四）法定代表人为同一个人的两个及两个以上法人，母公司、全资子公司及其控股公司，在同一分包采购中同时参与网上竞采；</w:t>
      </w:r>
    </w:p>
    <w:p w14:paraId="426B901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（六）供应商的平台报价与上传的网上电子响应文件报价函中的报价不一致的；</w:t>
      </w:r>
    </w:p>
    <w:p w14:paraId="176993C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（七）单位负责人为同一人或者存在直接控股、管理关系的不同供应商，参加同一合同项下的采购活动的；</w:t>
      </w:r>
    </w:p>
    <w:p w14:paraId="5D9D4070">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（八）为采购项目提供整体设计、规范编制或者项目管理、监理、检测等服务的供应商，再参加该采购项目的其他采购活动；</w:t>
      </w:r>
    </w:p>
    <w:p w14:paraId="078C5A2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（九）供应商的服务期、质量保证期及网上竞采有效期不满足网上竞采文件要求的；</w:t>
      </w:r>
    </w:p>
    <w:p w14:paraId="2C94392B">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（十）供应商响应文件内容有与国家现行法律法规相违背的内容，或附有采购人无法接受的条件。</w:t>
      </w:r>
    </w:p>
    <w:p w14:paraId="4FB25980">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（十一）供应商被列入失信被执行人、税收违法黑名单、政府采购严重违法失信行为记录名单及其他不符合《中华人民共和国政府采购法》第二十二条规定条件的。</w:t>
      </w:r>
    </w:p>
    <w:p w14:paraId="619FF18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68F64AC8">
      <w:pPr>
        <w:pStyle w:val="2"/>
        <w:pageBreakBefore w:val="0"/>
        <w:widowControl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color w:val="auto"/>
          <w:sz w:val="24"/>
          <w:szCs w:val="24"/>
          <w:highlight w:val="none"/>
        </w:rPr>
      </w:pPr>
      <w:bookmarkStart w:id="167" w:name="_Toc27425"/>
      <w:bookmarkStart w:id="168" w:name="_Toc18403"/>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、采购终止</w:t>
      </w:r>
      <w:bookmarkEnd w:id="167"/>
      <w:bookmarkEnd w:id="168"/>
    </w:p>
    <w:p w14:paraId="6A512161">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出现下列情形之一的，采购人或者采购代理机构应当终止网上竞采活动，发布项目终止公告并说明原因，重新开展采购活动：</w:t>
      </w:r>
    </w:p>
    <w:p w14:paraId="0F60D68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（一）因情况变化，不再符合规定的网上竞采采购方式适用情形的；</w:t>
      </w:r>
    </w:p>
    <w:p w14:paraId="543E75BB">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（二）出现影响采购公正的违法、违规行为的；</w:t>
      </w:r>
    </w:p>
    <w:p w14:paraId="412B6EE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（三）通过资格性审查及符合性审查的供应商不足</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家的，终止本次采购活动，并发布终止采购活动公告</w:t>
      </w:r>
      <w:r>
        <w:rPr>
          <w:rFonts w:hint="eastAsia" w:ascii="宋体" w:hAnsi="宋体" w:eastAsia="宋体" w:cs="宋体"/>
          <w:color w:val="auto"/>
          <w:sz w:val="24"/>
          <w:szCs w:val="24"/>
          <w:highlight w:val="none"/>
        </w:rPr>
        <w:t>。</w:t>
      </w:r>
    </w:p>
    <w:p w14:paraId="1A16E6AE">
      <w:pPr>
        <w:snapToGrid w:val="0"/>
        <w:spacing w:line="360" w:lineRule="auto"/>
        <w:ind w:firstLine="465"/>
        <w:jc w:val="left"/>
        <w:rPr>
          <w:rFonts w:hint="eastAsia" w:ascii="宋体" w:hAnsi="宋体" w:eastAsia="宋体" w:cs="宋体"/>
          <w:color w:val="auto"/>
          <w:sz w:val="24"/>
          <w:szCs w:val="24"/>
          <w:highlight w:val="none"/>
        </w:rPr>
      </w:pPr>
    </w:p>
    <w:p w14:paraId="396A27B8">
      <w:pPr>
        <w:snapToGrid w:val="0"/>
        <w:spacing w:line="360" w:lineRule="auto"/>
        <w:ind w:firstLine="465"/>
        <w:jc w:val="left"/>
        <w:rPr>
          <w:rFonts w:hint="eastAsia" w:ascii="宋体" w:hAnsi="宋体" w:eastAsia="宋体" w:cs="宋体"/>
          <w:color w:val="auto"/>
          <w:sz w:val="24"/>
          <w:szCs w:val="24"/>
          <w:highlight w:val="none"/>
        </w:rPr>
      </w:pPr>
    </w:p>
    <w:p w14:paraId="0A94CDF9">
      <w:pPr>
        <w:pStyle w:val="4"/>
        <w:pageBreakBefore/>
        <w:spacing w:before="0" w:after="0" w:line="360" w:lineRule="auto"/>
        <w:jc w:val="center"/>
        <w:rPr>
          <w:rFonts w:hint="eastAsia" w:ascii="宋体" w:hAnsi="宋体" w:eastAsia="宋体" w:cs="宋体"/>
          <w:bCs/>
          <w:color w:val="auto"/>
          <w:spacing w:val="-11"/>
          <w:sz w:val="24"/>
          <w:szCs w:val="24"/>
          <w:highlight w:val="none"/>
        </w:rPr>
      </w:pPr>
      <w:bookmarkStart w:id="169" w:name="_Toc13753"/>
      <w:r>
        <w:rPr>
          <w:rFonts w:hint="eastAsia" w:ascii="宋体" w:hAnsi="宋体" w:eastAsia="宋体" w:cs="宋体"/>
          <w:bCs/>
          <w:color w:val="auto"/>
          <w:spacing w:val="-11"/>
          <w:sz w:val="24"/>
          <w:szCs w:val="24"/>
          <w:highlight w:val="none"/>
        </w:rPr>
        <w:t>第五篇</w:t>
      </w:r>
      <w:r>
        <w:rPr>
          <w:rFonts w:hint="eastAsia" w:ascii="宋体" w:hAnsi="宋体" w:eastAsia="宋体" w:cs="宋体"/>
          <w:bCs/>
          <w:color w:val="auto"/>
          <w:spacing w:val="-11"/>
          <w:sz w:val="24"/>
          <w:szCs w:val="24"/>
          <w:highlight w:val="none"/>
          <w:lang w:eastAsia="zh-CN"/>
        </w:rPr>
        <w:t>投标人</w:t>
      </w:r>
      <w:r>
        <w:rPr>
          <w:rFonts w:hint="eastAsia" w:ascii="宋体" w:hAnsi="宋体" w:eastAsia="宋体" w:cs="宋体"/>
          <w:bCs/>
          <w:color w:val="auto"/>
          <w:spacing w:val="-11"/>
          <w:sz w:val="24"/>
          <w:szCs w:val="24"/>
          <w:highlight w:val="none"/>
        </w:rPr>
        <w:t>须知</w:t>
      </w:r>
      <w:bookmarkEnd w:id="162"/>
      <w:bookmarkEnd w:id="169"/>
    </w:p>
    <w:p w14:paraId="78DE5380">
      <w:pPr>
        <w:pStyle w:val="2"/>
        <w:spacing w:before="0" w:after="0" w:line="360" w:lineRule="auto"/>
        <w:rPr>
          <w:rFonts w:hint="eastAsia" w:ascii="宋体" w:hAnsi="宋体" w:eastAsia="宋体" w:cs="宋体"/>
          <w:color w:val="auto"/>
          <w:sz w:val="24"/>
          <w:szCs w:val="24"/>
          <w:highlight w:val="none"/>
        </w:rPr>
      </w:pPr>
      <w:bookmarkStart w:id="170" w:name="_Toc8105"/>
      <w:bookmarkStart w:id="171" w:name="_Toc342913389"/>
      <w:bookmarkStart w:id="172" w:name="_Toc26510"/>
      <w:bookmarkStart w:id="173" w:name="_Toc11641055"/>
      <w:bookmarkStart w:id="174" w:name="_Toc12789059"/>
      <w:r>
        <w:rPr>
          <w:rFonts w:hint="eastAsia" w:ascii="宋体" w:hAnsi="宋体" w:eastAsia="宋体" w:cs="宋体"/>
          <w:color w:val="auto"/>
          <w:sz w:val="24"/>
          <w:szCs w:val="24"/>
          <w:highlight w:val="none"/>
        </w:rPr>
        <w:t>一、网上竞采费用</w:t>
      </w:r>
      <w:bookmarkEnd w:id="170"/>
      <w:bookmarkEnd w:id="171"/>
      <w:bookmarkEnd w:id="172"/>
    </w:p>
    <w:p w14:paraId="32C36D26">
      <w:pPr>
        <w:pStyle w:val="26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参与网上竞采的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应承担其编制响应文件与递交响应文件所涉及的一切费用，不论网上竞采结果如何，采购人和采购代理机构在任何情况下无义务也无责任承担这些费用。</w:t>
      </w:r>
    </w:p>
    <w:p w14:paraId="652CABA9">
      <w:pPr>
        <w:pStyle w:val="2"/>
        <w:tabs>
          <w:tab w:val="left" w:pos="2640"/>
        </w:tabs>
        <w:spacing w:before="0" w:after="0" w:line="360" w:lineRule="auto"/>
        <w:rPr>
          <w:rFonts w:hint="eastAsia" w:ascii="宋体" w:hAnsi="宋体" w:eastAsia="宋体" w:cs="宋体"/>
          <w:color w:val="auto"/>
          <w:sz w:val="24"/>
          <w:szCs w:val="24"/>
          <w:highlight w:val="none"/>
        </w:rPr>
      </w:pPr>
      <w:bookmarkStart w:id="175" w:name="_Toc21089"/>
      <w:bookmarkStart w:id="176" w:name="_Toc342913391"/>
      <w:bookmarkStart w:id="177" w:name="_Toc4870"/>
      <w:r>
        <w:rPr>
          <w:rFonts w:hint="eastAsia" w:ascii="宋体" w:hAnsi="宋体" w:eastAsia="宋体" w:cs="宋体"/>
          <w:color w:val="auto"/>
          <w:sz w:val="24"/>
          <w:szCs w:val="24"/>
          <w:highlight w:val="none"/>
        </w:rPr>
        <w:t>二、网上竞采文件</w:t>
      </w:r>
      <w:bookmarkEnd w:id="175"/>
      <w:bookmarkEnd w:id="176"/>
      <w:bookmarkEnd w:id="177"/>
    </w:p>
    <w:p w14:paraId="2E9C1054">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（一）网上竞采文件由采购邀请书、采购项目技术需求、采购项目商务需求、网上竞采程序及方法、评审标准、响应无效和采购终止、</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须知</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合同主要条款和格式合同</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响应文件编制要求七部分组成。</w:t>
      </w:r>
    </w:p>
    <w:p w14:paraId="2A3F8C9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（二）采购人（或采购代理机构）所作的一切有效的书面通知、修改及补充，都是网上竞采文件不可分割的部分。</w:t>
      </w:r>
    </w:p>
    <w:p w14:paraId="325C25C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（三）网上竞采文件的解释</w:t>
      </w:r>
    </w:p>
    <w:p w14:paraId="4ADFEB8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如对网上竞采文件有疑问，必须以书面形式在提交响应文件截止时间2个工作日前向采购人（或采购代理机构）要求澄清，采购人（或采购代理机构）可视具体情况做出处理或答复。如</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未提出疑问，视为完全理解并同意本网上竞采文件。一经进入网上竞采程序，即视为</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已详细阅读全部文件资料，完全理解网上竞采文件所有条款内容并同意放弃对这方面有不明白及误解的权利。</w:t>
      </w:r>
      <w:bookmarkStart w:id="178" w:name="_Toc318159780"/>
      <w:bookmarkStart w:id="179" w:name="_Toc318166429"/>
      <w:bookmarkStart w:id="180" w:name="_Toc318159349"/>
      <w:bookmarkStart w:id="181" w:name="_Toc318159160"/>
    </w:p>
    <w:p w14:paraId="6FDC5F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（四）本网上竞采文件中，网上竞采小组根据与</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进行网上竞采可能实质性变动的内容为网上竞采文件第二、三、四篇全部内容。</w:t>
      </w:r>
    </w:p>
    <w:p w14:paraId="012893B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（五）评审的依据为网上竞采文件和响应文件（含有效的书面承诺）。评审小组判断响应文件对网上竞采文件的响应，仅基于响应文件本身而不靠外部证据。</w:t>
      </w:r>
    </w:p>
    <w:bookmarkEnd w:id="178"/>
    <w:bookmarkEnd w:id="179"/>
    <w:bookmarkEnd w:id="180"/>
    <w:bookmarkEnd w:id="181"/>
    <w:p w14:paraId="534CA7AC">
      <w:pPr>
        <w:pStyle w:val="2"/>
        <w:spacing w:before="0" w:after="0" w:line="360" w:lineRule="auto"/>
        <w:rPr>
          <w:rFonts w:hint="eastAsia" w:ascii="宋体" w:hAnsi="宋体" w:eastAsia="宋体" w:cs="宋体"/>
          <w:color w:val="auto"/>
          <w:sz w:val="24"/>
          <w:szCs w:val="24"/>
          <w:highlight w:val="none"/>
        </w:rPr>
      </w:pPr>
      <w:bookmarkStart w:id="182" w:name="_Toc102227318"/>
      <w:bookmarkStart w:id="183" w:name="_Toc342913392"/>
      <w:bookmarkStart w:id="184" w:name="_Toc16269"/>
      <w:bookmarkStart w:id="185" w:name="_Toc179714297"/>
      <w:bookmarkStart w:id="186" w:name="_Toc29912"/>
      <w:r>
        <w:rPr>
          <w:rFonts w:hint="eastAsia" w:ascii="宋体" w:hAnsi="宋体" w:eastAsia="宋体" w:cs="宋体"/>
          <w:color w:val="auto"/>
          <w:sz w:val="24"/>
          <w:szCs w:val="24"/>
          <w:highlight w:val="none"/>
        </w:rPr>
        <w:t>三、网上竞采要求</w:t>
      </w:r>
      <w:bookmarkEnd w:id="182"/>
      <w:bookmarkEnd w:id="183"/>
      <w:bookmarkEnd w:id="184"/>
      <w:bookmarkEnd w:id="185"/>
      <w:bookmarkEnd w:id="186"/>
    </w:p>
    <w:p w14:paraId="7BBAAD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（一）响应文件</w:t>
      </w:r>
    </w:p>
    <w:p w14:paraId="01D817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应当按照网上竞采文件的要求编制响应文件，并对网上竞采文件提出的要求和条件作出实质性响应，同时应编制完整的页码、目录。</w:t>
      </w:r>
    </w:p>
    <w:p w14:paraId="08DACA8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2.响应文件组成</w:t>
      </w:r>
    </w:p>
    <w:p w14:paraId="79B05F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响应文件由第七篇“响应文件编制要求”规定的部分和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所作的一切有效补充、修改和承诺等文件组成，</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应按照第七篇“响应文件编制要求”规定的目录顺序组织编写和装订，也可在基本格式基础上对表格进行扩展，未规定格式的由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自定格式。</w:t>
      </w:r>
    </w:p>
    <w:p w14:paraId="088BB0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须对所提供资料的真实性和准确性负责，一旦发现有弄虚作假的情况，按相应法律法规予以处罚。</w:t>
      </w:r>
    </w:p>
    <w:p w14:paraId="5FC129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（二）联合体</w:t>
      </w:r>
    </w:p>
    <w:p w14:paraId="3B0EF313">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本项目不接受联合体竞标。</w:t>
      </w:r>
    </w:p>
    <w:p w14:paraId="55C577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（三）网上竞采有效期：响应文件及有关承诺文件有效期为提交响应文件截止时间起90天。</w:t>
      </w:r>
    </w:p>
    <w:p w14:paraId="4A2A94F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（四）提交响应文件的份数和签署</w:t>
      </w:r>
    </w:p>
    <w:p w14:paraId="32D5E99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在平台报价并上传盖章后的响应文件电子文档一份，线下竞采时提供响应文件一式二份，其中正本一份，副本一份（网上电子文档内容应与纸质文件正本、副本一致，如不一致以纸质文件为准，副本可为正本的复印件。）</w:t>
      </w:r>
    </w:p>
    <w:p w14:paraId="56A24BA8">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注：若</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的平台报价与网上上传的响应文件电子文档报价函中的报价不一致，按响应无效处理。</w:t>
      </w:r>
    </w:p>
    <w:p w14:paraId="2D9F31E6">
      <w:pPr>
        <w:numPr>
          <w:ilvl w:val="0"/>
          <w:numId w:val="16"/>
        </w:num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在上传的网上电子文档中，网上竞采文件第七篇响应文件编制要求中规定签字、盖章的地方必须按其规定签字、盖章。</w:t>
      </w:r>
    </w:p>
    <w:p w14:paraId="52CE63D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（五）响应文件的递交</w:t>
      </w:r>
    </w:p>
    <w:p w14:paraId="50CD475D">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须在规定时间内完成线上和线下的响应文件提交，否则视为无效响应。</w:t>
      </w:r>
    </w:p>
    <w:p w14:paraId="0C6B56FC">
      <w:pPr>
        <w:pStyle w:val="2"/>
        <w:spacing w:before="0" w:after="0" w:line="360" w:lineRule="auto"/>
        <w:rPr>
          <w:rFonts w:hint="eastAsia" w:ascii="宋体" w:hAnsi="宋体" w:eastAsia="宋体" w:cs="宋体"/>
          <w:color w:val="auto"/>
          <w:sz w:val="24"/>
          <w:szCs w:val="24"/>
          <w:highlight w:val="none"/>
        </w:rPr>
      </w:pPr>
      <w:bookmarkStart w:id="187" w:name="_Toc9018"/>
      <w:bookmarkStart w:id="188" w:name="_Toc7456"/>
      <w:r>
        <w:rPr>
          <w:rFonts w:hint="eastAsia" w:ascii="宋体" w:hAnsi="宋体" w:eastAsia="宋体" w:cs="宋体"/>
          <w:color w:val="auto"/>
          <w:sz w:val="24"/>
          <w:szCs w:val="24"/>
          <w:highlight w:val="none"/>
        </w:rPr>
        <w:t>四、成交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的确认和变更</w:t>
      </w:r>
      <w:bookmarkEnd w:id="187"/>
      <w:bookmarkEnd w:id="188"/>
    </w:p>
    <w:p w14:paraId="130AE50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的确认</w:t>
      </w:r>
    </w:p>
    <w:p w14:paraId="78B8FB76">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采购代理机构应当在评审结束后2个工作日内将评审报告送采购人确认。采购人应当在收到评审报告后5个工作日内，从评审报告提出的成交候选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中，按照排序由高到低的原则确定成交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，也可以书面授权评审小组直接确定成交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。采购人逾期未确定成交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且不提出异议的，视为确定评审报告提出的排序第一的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w:t>
      </w:r>
    </w:p>
    <w:p w14:paraId="0F5AD27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的变更</w:t>
      </w:r>
    </w:p>
    <w:p w14:paraId="7A1252E6">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拒绝与采购人签订合同的，采购人可以按照评标报告推荐的成交候选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顺序，确定排名下一位的候选人为成交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，也可以重新开展采购活动。</w:t>
      </w:r>
    </w:p>
    <w:p w14:paraId="50A7C276">
      <w:pPr>
        <w:pStyle w:val="2"/>
        <w:spacing w:before="0" w:after="0" w:line="360" w:lineRule="auto"/>
        <w:rPr>
          <w:rFonts w:hint="eastAsia" w:ascii="宋体" w:hAnsi="宋体" w:eastAsia="宋体" w:cs="宋体"/>
          <w:color w:val="auto"/>
          <w:sz w:val="24"/>
          <w:szCs w:val="24"/>
          <w:highlight w:val="none"/>
        </w:rPr>
      </w:pPr>
      <w:bookmarkStart w:id="189" w:name="_Toc1297"/>
      <w:bookmarkStart w:id="190" w:name="_Toc3011"/>
      <w:bookmarkStart w:id="191" w:name="_Toc102227321"/>
      <w:bookmarkStart w:id="192" w:name="_Toc342913395"/>
      <w:r>
        <w:rPr>
          <w:rFonts w:hint="eastAsia" w:ascii="宋体" w:hAnsi="宋体" w:eastAsia="宋体" w:cs="宋体"/>
          <w:color w:val="auto"/>
          <w:sz w:val="24"/>
          <w:szCs w:val="24"/>
          <w:highlight w:val="none"/>
        </w:rPr>
        <w:t>五、成交通知</w:t>
      </w:r>
      <w:bookmarkEnd w:id="189"/>
      <w:bookmarkEnd w:id="190"/>
      <w:bookmarkEnd w:id="191"/>
      <w:bookmarkEnd w:id="192"/>
    </w:p>
    <w:p w14:paraId="64E344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确定后，采购人或采购代理机构将在重庆市政府采购云平台.网上竞采中心（https://xj.ccgp-chongqing.gov.cn/ge/）上发布成交结果公告。</w:t>
      </w:r>
    </w:p>
    <w:p w14:paraId="567D55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（二）结果公告发出同时，采购代理机构将以书面形式发出《成交通知书》。《成交通知书》一经发出即发生法律效力。</w:t>
      </w:r>
    </w:p>
    <w:p w14:paraId="649E3E8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（三）《成交通知书》将作为签订合同的依据。</w:t>
      </w:r>
    </w:p>
    <w:p w14:paraId="45B908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（四）如有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对成交结果提出质疑的，在质疑处理完毕后发出成交通知书。</w:t>
      </w:r>
    </w:p>
    <w:p w14:paraId="00003C23">
      <w:pPr>
        <w:pStyle w:val="2"/>
        <w:spacing w:before="0" w:after="0" w:line="360" w:lineRule="auto"/>
        <w:rPr>
          <w:rFonts w:hint="eastAsia" w:ascii="宋体" w:hAnsi="宋体" w:eastAsia="宋体" w:cs="宋体"/>
          <w:color w:val="auto"/>
          <w:sz w:val="24"/>
          <w:szCs w:val="24"/>
          <w:highlight w:val="none"/>
        </w:rPr>
      </w:pPr>
      <w:bookmarkStart w:id="193" w:name="_Toc22361"/>
      <w:bookmarkStart w:id="194" w:name="_Toc19876"/>
      <w:r>
        <w:rPr>
          <w:rFonts w:hint="eastAsia" w:ascii="宋体" w:hAnsi="宋体" w:eastAsia="宋体" w:cs="宋体"/>
          <w:color w:val="auto"/>
          <w:sz w:val="24"/>
          <w:szCs w:val="24"/>
          <w:highlight w:val="none"/>
        </w:rPr>
        <w:t>六、采购代理服务费</w:t>
      </w:r>
      <w:bookmarkEnd w:id="193"/>
      <w:bookmarkEnd w:id="194"/>
    </w:p>
    <w:p w14:paraId="2313A73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本次网上竞采由代理机构委托实施，</w:t>
      </w:r>
      <w:r>
        <w:rPr>
          <w:rFonts w:hint="eastAsia" w:ascii="宋体" w:hAnsi="宋体" w:eastAsia="宋体" w:cs="宋体"/>
          <w:color w:val="auto"/>
          <w:sz w:val="24"/>
          <w:szCs w:val="24"/>
          <w:highlight w:val="none"/>
          <w:lang w:val="en-US" w:eastAsia="zh-CN"/>
        </w:rPr>
        <w:t>本项目</w:t>
      </w:r>
      <w:r>
        <w:rPr>
          <w:rFonts w:hint="eastAsia" w:ascii="宋体" w:hAnsi="宋体" w:eastAsia="宋体" w:cs="宋体"/>
          <w:color w:val="auto"/>
          <w:sz w:val="24"/>
          <w:szCs w:val="24"/>
          <w:highlight w:val="none"/>
        </w:rPr>
        <w:t>采购代理服务费</w:t>
      </w:r>
      <w:r>
        <w:rPr>
          <w:rFonts w:hint="eastAsia" w:ascii="宋体" w:hAnsi="宋体" w:eastAsia="宋体" w:cs="宋体"/>
          <w:color w:val="auto"/>
          <w:sz w:val="24"/>
          <w:szCs w:val="24"/>
          <w:highlight w:val="none"/>
          <w:lang w:val="en-US" w:eastAsia="zh-CN"/>
        </w:rPr>
        <w:t>为人民币</w:t>
      </w:r>
      <w:r>
        <w:rPr>
          <w:rFonts w:hint="eastAsia" w:ascii="宋体" w:hAnsi="宋体" w:eastAsia="宋体" w:cs="宋体"/>
          <w:color w:val="auto"/>
          <w:sz w:val="24"/>
          <w:szCs w:val="24"/>
          <w:highlight w:val="none"/>
          <w:u w:val="single"/>
          <w:lang w:val="en-US" w:eastAsia="zh-CN"/>
        </w:rPr>
        <w:t>：</w:t>
      </w:r>
      <w:r>
        <w:rPr>
          <w:rFonts w:hint="eastAsia" w:ascii="宋体" w:hAnsi="宋体" w:cs="宋体"/>
          <w:color w:val="auto"/>
          <w:sz w:val="24"/>
          <w:szCs w:val="24"/>
          <w:highlight w:val="none"/>
          <w:u w:val="single"/>
          <w:lang w:val="en-US" w:eastAsia="zh-CN"/>
        </w:rPr>
        <w:t>6000</w:t>
      </w:r>
      <w:r>
        <w:rPr>
          <w:rFonts w:hint="eastAsia" w:ascii="宋体" w:hAnsi="宋体" w:eastAsia="宋体" w:cs="宋体"/>
          <w:color w:val="auto"/>
          <w:sz w:val="24"/>
          <w:szCs w:val="24"/>
          <w:highlight w:val="none"/>
          <w:u w:val="single"/>
          <w:lang w:val="en-US" w:eastAsia="zh-CN"/>
        </w:rPr>
        <w:t>元整</w:t>
      </w:r>
      <w:r>
        <w:rPr>
          <w:rFonts w:hint="eastAsia" w:ascii="宋体" w:hAnsi="宋体" w:eastAsia="宋体" w:cs="宋体"/>
          <w:color w:val="auto"/>
          <w:sz w:val="24"/>
          <w:szCs w:val="24"/>
          <w:highlight w:val="none"/>
        </w:rPr>
        <w:t>，由成交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在领取成交通知书时一次性向代理机构缴纳。</w:t>
      </w:r>
    </w:p>
    <w:p w14:paraId="6FE58014">
      <w:pPr>
        <w:pStyle w:val="2"/>
        <w:spacing w:before="0" w:after="0" w:line="360" w:lineRule="auto"/>
        <w:rPr>
          <w:rFonts w:hint="eastAsia" w:ascii="宋体" w:hAnsi="宋体" w:eastAsia="宋体" w:cs="宋体"/>
          <w:color w:val="auto"/>
          <w:sz w:val="24"/>
          <w:szCs w:val="24"/>
          <w:highlight w:val="none"/>
        </w:rPr>
      </w:pPr>
      <w:bookmarkStart w:id="195" w:name="_Toc1096"/>
      <w:bookmarkStart w:id="196" w:name="_Toc11155"/>
      <w:r>
        <w:rPr>
          <w:rFonts w:hint="eastAsia" w:ascii="宋体" w:hAnsi="宋体" w:eastAsia="宋体" w:cs="宋体"/>
          <w:color w:val="auto"/>
          <w:sz w:val="24"/>
          <w:szCs w:val="24"/>
          <w:highlight w:val="none"/>
        </w:rPr>
        <w:t>七、关于质疑和投诉</w:t>
      </w:r>
      <w:bookmarkEnd w:id="195"/>
      <w:bookmarkEnd w:id="196"/>
    </w:p>
    <w:p w14:paraId="69CE84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（一）质疑</w:t>
      </w:r>
    </w:p>
    <w:p w14:paraId="7C2E727C">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认为</w:t>
      </w:r>
      <w:r>
        <w:rPr>
          <w:rFonts w:hint="eastAsia" w:ascii="宋体" w:hAnsi="宋体" w:eastAsia="宋体" w:cs="宋体"/>
          <w:color w:val="auto"/>
          <w:sz w:val="24"/>
          <w:szCs w:val="24"/>
          <w:highlight w:val="none"/>
          <w:lang w:eastAsia="zh-CN"/>
        </w:rPr>
        <w:t>竞采文件</w:t>
      </w:r>
      <w:r>
        <w:rPr>
          <w:rFonts w:hint="eastAsia" w:ascii="宋体" w:hAnsi="宋体" w:eastAsia="宋体" w:cs="宋体"/>
          <w:color w:val="auto"/>
          <w:sz w:val="24"/>
          <w:szCs w:val="24"/>
          <w:highlight w:val="none"/>
        </w:rPr>
        <w:t>、采购过程和成交结果使自己的权益受到伤害的，可向采购人或采购代理机构以书面形式提出质疑。</w:t>
      </w:r>
    </w:p>
    <w:p w14:paraId="4E29F24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提出质疑的应当是参与所质疑项目采购活动的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w:t>
      </w:r>
    </w:p>
    <w:p w14:paraId="1C53F70D">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1.质疑时限、内容</w:t>
      </w:r>
    </w:p>
    <w:p w14:paraId="06DAC85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认为</w:t>
      </w:r>
      <w:r>
        <w:rPr>
          <w:rFonts w:hint="eastAsia" w:ascii="宋体" w:hAnsi="宋体" w:eastAsia="宋体" w:cs="宋体"/>
          <w:color w:val="auto"/>
          <w:sz w:val="24"/>
          <w:szCs w:val="24"/>
          <w:highlight w:val="none"/>
          <w:lang w:eastAsia="zh-CN"/>
        </w:rPr>
        <w:t>竞采文件</w:t>
      </w:r>
      <w:r>
        <w:rPr>
          <w:rFonts w:hint="eastAsia" w:ascii="宋体" w:hAnsi="宋体" w:eastAsia="宋体" w:cs="宋体"/>
          <w:color w:val="auto"/>
          <w:sz w:val="24"/>
          <w:szCs w:val="24"/>
          <w:highlight w:val="none"/>
        </w:rPr>
        <w:t>、采购过程、成交结果使自己的权益受到损害的，可以在知道或者应知其权益受到损害之日起7个工作日内，以书面形式向采购人、采购代理机构提出质疑。</w:t>
      </w:r>
    </w:p>
    <w:p w14:paraId="5DB818D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对采购过程提出质疑的，应在各采购程序环节结束之日起七个工作日内提出。</w:t>
      </w:r>
    </w:p>
    <w:p w14:paraId="27F9FB2D">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对成交结果提出质疑的，应当在成交结果公告期限届满之日起七个工作日内提出。</w:t>
      </w:r>
    </w:p>
    <w:p w14:paraId="3E52CB17">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提出质疑应当提交质疑函和必要的证明材料，质疑函应当包括下列内容：</w:t>
      </w:r>
    </w:p>
    <w:p w14:paraId="396A2795">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的姓名或者名称、地址、邮编、联系人及联系电话；</w:t>
      </w:r>
    </w:p>
    <w:p w14:paraId="1A23C4E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1.4.2质疑项目的名称、项目号以及项目编号；</w:t>
      </w:r>
    </w:p>
    <w:p w14:paraId="2C4D75CB">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1.4.3具体、明确的质疑事项和与质疑事项相关的请求；</w:t>
      </w:r>
    </w:p>
    <w:p w14:paraId="6119429F">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1.4.4事实依据；</w:t>
      </w:r>
    </w:p>
    <w:p w14:paraId="351392C5">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1.4.5必要的法律依据；</w:t>
      </w:r>
    </w:p>
    <w:p w14:paraId="21C0414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1.4.6提出质疑的日期；</w:t>
      </w:r>
    </w:p>
    <w:p w14:paraId="67EAE4D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1.4.7营业执照（或事业单位法人证书，或个体工商户营业执照或有效的自然人身份证明、组织机构代码证）复印件；</w:t>
      </w:r>
    </w:p>
    <w:p w14:paraId="0DDEACC0">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1.4.8法定代表人授权委托书原件、法定代表人身份证复印件和其授权代表的身份证复印件（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为自然人的提供自然人身份证复印件）；</w:t>
      </w:r>
    </w:p>
    <w:p w14:paraId="59B1F16C">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为自然人的，质疑函应当由本人签字；</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为法人或者其他组织的，质疑函应当由法定代表人、主要负责人，或者其授权代表签字或者盖章，并加盖公章。</w:t>
      </w:r>
    </w:p>
    <w:p w14:paraId="35AF059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2.质疑答复</w:t>
      </w:r>
    </w:p>
    <w:p w14:paraId="617C44EA">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采购人、采购代理机构应当在收到</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的书面质疑后七个工作日内作出答复，并以书面形式通知质疑</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和其他有关</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w:t>
      </w:r>
    </w:p>
    <w:p w14:paraId="5362AAD8">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w:t>
      </w:r>
    </w:p>
    <w:p w14:paraId="579523A8">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应按照《政府采购质疑和投诉办法》（财政部令第94号）及相关法律法规要求，在法定质疑期内一次性提出针对同一采购程序环节的质疑。</w:t>
      </w:r>
    </w:p>
    <w:p w14:paraId="790EF5D4">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3.2质疑函范本可在财政部门户网站和中国政府采购网下载。</w:t>
      </w:r>
    </w:p>
    <w:p w14:paraId="1501F7B0">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w:t>
      </w:r>
    </w:p>
    <w:p w14:paraId="3546C4A5">
      <w:pPr>
        <w:spacing w:line="360" w:lineRule="auto"/>
        <w:ind w:right="12" w:firstLine="480"/>
        <w:rPr>
          <w:rFonts w:hint="eastAsia" w:ascii="宋体" w:hAnsi="宋体" w:eastAsia="宋体" w:cs="宋体"/>
          <w:color w:val="auto"/>
          <w:sz w:val="24"/>
          <w:szCs w:val="24"/>
          <w:highlight w:val="none"/>
        </w:rPr>
      </w:pPr>
      <w:bookmarkStart w:id="197" w:name="_Toc102227322"/>
      <w:bookmarkStart w:id="198" w:name="_Toc3031"/>
      <w:bookmarkStart w:id="199" w:name="_Toc342913396"/>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对采购人、采购代理机构的答复不满意，或者采购人、采购代理机构未在规定时间内作出答复的，可以在答复期满后15个工作日内按照相关法律法规向采购人监督部门提起投诉。</w:t>
      </w:r>
    </w:p>
    <w:p w14:paraId="73C662D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应按照《政府采购质疑和投诉办法》（财政部令第94号）及相关法律法规要求递交投诉书和必要的证明材料。投诉书范本可在财政部门户网站和中国政府采购网下载。</w:t>
      </w:r>
    </w:p>
    <w:p w14:paraId="5CEA965B">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73FC51A">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356B3CD7">
      <w:pPr>
        <w:pStyle w:val="2"/>
        <w:spacing w:before="0" w:after="0" w:line="360" w:lineRule="auto"/>
        <w:rPr>
          <w:rFonts w:hint="eastAsia" w:ascii="宋体" w:hAnsi="宋体" w:eastAsia="宋体" w:cs="宋体"/>
          <w:color w:val="auto"/>
          <w:sz w:val="24"/>
          <w:szCs w:val="24"/>
          <w:highlight w:val="none"/>
        </w:rPr>
      </w:pPr>
      <w:bookmarkStart w:id="200" w:name="_Toc9469"/>
      <w:r>
        <w:rPr>
          <w:rFonts w:hint="eastAsia" w:ascii="宋体" w:hAnsi="宋体" w:eastAsia="宋体" w:cs="宋体"/>
          <w:color w:val="auto"/>
          <w:sz w:val="24"/>
          <w:szCs w:val="24"/>
          <w:highlight w:val="none"/>
        </w:rPr>
        <w:t>八、签订</w:t>
      </w:r>
      <w:bookmarkEnd w:id="197"/>
      <w:r>
        <w:rPr>
          <w:rFonts w:hint="eastAsia" w:ascii="宋体" w:hAnsi="宋体" w:eastAsia="宋体" w:cs="宋体"/>
          <w:color w:val="auto"/>
          <w:sz w:val="24"/>
          <w:szCs w:val="24"/>
          <w:highlight w:val="none"/>
        </w:rPr>
        <w:t>合同</w:t>
      </w:r>
      <w:bookmarkEnd w:id="198"/>
      <w:bookmarkEnd w:id="199"/>
      <w:bookmarkEnd w:id="200"/>
    </w:p>
    <w:p w14:paraId="0C1DBAF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（一）采购人应当自成交通知书发出之日起二十日内，按照网上竞采文件和成交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响应文件的约定，与成交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签订书面合同。所签订的合同不得对网上竞采文件和投标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的响应文件作实质性修改。</w:t>
      </w:r>
    </w:p>
    <w:p w14:paraId="18477DA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（二）网上竞采文件、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的响应文件及澄清文件等，均为签订采购合同的依据。</w:t>
      </w:r>
    </w:p>
    <w:p w14:paraId="1A9132B8">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（三）合同生效条款由供需双方约定，法律、行政法规规定应当办理批准、登记等手续后生效的合同，依照其规定。</w:t>
      </w:r>
    </w:p>
    <w:p w14:paraId="0DD6023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（四）合同原则上应按照《采购合同》签订，相关单位</w:t>
      </w:r>
      <w:r>
        <w:rPr>
          <w:rFonts w:hint="eastAsia" w:ascii="宋体" w:hAnsi="宋体" w:eastAsia="宋体" w:cs="宋体"/>
          <w:color w:val="auto"/>
          <w:sz w:val="24"/>
          <w:szCs w:val="24"/>
          <w:highlight w:val="none"/>
          <w:lang w:val="en-US" w:eastAsia="zh-CN"/>
        </w:rPr>
        <w:t>或采购人</w:t>
      </w:r>
      <w:r>
        <w:rPr>
          <w:rFonts w:hint="eastAsia" w:ascii="宋体" w:hAnsi="宋体" w:eastAsia="宋体" w:cs="宋体"/>
          <w:color w:val="auto"/>
          <w:sz w:val="24"/>
          <w:szCs w:val="24"/>
          <w:highlight w:val="none"/>
        </w:rPr>
        <w:t>要求适用合同通用格式版本的，应按其要求另行签订其他合同。</w:t>
      </w:r>
    </w:p>
    <w:p w14:paraId="2F60A759">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（五）采购人要求成交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提供履约保证金的，应当在网上竞采文件中予以约定。成交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履约完毕后，采购人应于五日内无息退还其履约保证金。</w:t>
      </w:r>
    </w:p>
    <w:bookmarkEnd w:id="173"/>
    <w:bookmarkEnd w:id="174"/>
    <w:p w14:paraId="46D0BE35">
      <w:pPr>
        <w:rPr>
          <w:rFonts w:hint="eastAsia" w:ascii="宋体" w:hAnsi="宋体" w:eastAsia="宋体" w:cs="宋体"/>
          <w:color w:val="auto"/>
          <w:sz w:val="24"/>
          <w:szCs w:val="24"/>
          <w:highlight w:val="none"/>
        </w:rPr>
      </w:pPr>
      <w:bookmarkStart w:id="201" w:name="_Toc27139866"/>
    </w:p>
    <w:p w14:paraId="6053E1FF">
      <w:pPr>
        <w:pStyle w:val="3"/>
        <w:numPr>
          <w:ilvl w:val="0"/>
          <w:numId w:val="0"/>
        </w:numPr>
        <w:tabs>
          <w:tab w:val="left" w:pos="3360"/>
        </w:tabs>
        <w:spacing w:before="0" w:beforeLines="0" w:after="0" w:afterLines="0" w:line="360" w:lineRule="auto"/>
        <w:ind w:firstLine="1200" w:firstLineChars="500"/>
        <w:jc w:val="center"/>
        <w:rPr>
          <w:rFonts w:hint="eastAsia" w:ascii="宋体" w:hAnsi="宋体" w:eastAsia="宋体" w:cs="宋体"/>
          <w:b/>
          <w:color w:val="auto"/>
          <w:sz w:val="24"/>
          <w:szCs w:val="24"/>
          <w:highlight w:val="none"/>
        </w:rPr>
      </w:pPr>
      <w:bookmarkStart w:id="202" w:name="_Toc4239"/>
      <w:r>
        <w:rPr>
          <w:rFonts w:hint="eastAsia" w:ascii="宋体" w:hAnsi="宋体" w:eastAsia="宋体" w:cs="宋体"/>
          <w:color w:val="auto"/>
          <w:sz w:val="24"/>
          <w:szCs w:val="24"/>
          <w:highlight w:val="none"/>
        </w:rPr>
        <w:t>第六篇</w:t>
      </w:r>
      <w:bookmarkEnd w:id="201"/>
      <w:bookmarkEnd w:id="202"/>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color w:val="auto"/>
          <w:sz w:val="24"/>
          <w:szCs w:val="24"/>
          <w:highlight w:val="none"/>
        </w:rPr>
        <w:t>合同主要条款和格式合同（样本）</w:t>
      </w:r>
    </w:p>
    <w:p w14:paraId="3E29E757">
      <w:pPr>
        <w:tabs>
          <w:tab w:val="left" w:pos="9000"/>
        </w:tabs>
        <w:spacing w:line="276" w:lineRule="auto"/>
        <w:jc w:val="center"/>
        <w:rPr>
          <w:rFonts w:hint="eastAsia" w:ascii="宋体" w:hAnsi="宋体" w:eastAsia="宋体" w:cs="宋体"/>
          <w:color w:val="auto"/>
          <w:sz w:val="24"/>
          <w:szCs w:val="24"/>
          <w:highlight w:val="none"/>
        </w:rPr>
      </w:pPr>
    </w:p>
    <w:p w14:paraId="4368F9A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重庆市政府采购合同（格式）</w:t>
      </w:r>
    </w:p>
    <w:p w14:paraId="43DF08E0">
      <w:pPr>
        <w:rPr>
          <w:rFonts w:hint="eastAsia" w:ascii="宋体" w:hAnsi="宋体" w:eastAsia="宋体" w:cs="宋体"/>
          <w:color w:val="auto"/>
          <w:sz w:val="24"/>
          <w:szCs w:val="24"/>
          <w:highlight w:val="none"/>
        </w:rPr>
      </w:pPr>
    </w:p>
    <w:p w14:paraId="35334F34">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           计价单位：____________</w:t>
      </w:r>
    </w:p>
    <w:p w14:paraId="4FCABA9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           计量单位：____________</w:t>
      </w:r>
    </w:p>
    <w:p w14:paraId="028AF80C">
      <w:pPr>
        <w:rPr>
          <w:rFonts w:hint="eastAsia" w:ascii="宋体" w:hAnsi="宋体" w:eastAsia="宋体" w:cs="宋体"/>
          <w:color w:val="auto"/>
          <w:sz w:val="24"/>
          <w:szCs w:val="24"/>
          <w:highlight w:val="none"/>
        </w:rPr>
      </w:pPr>
    </w:p>
    <w:p w14:paraId="4E786F83">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经甲乙双方协商一致，达成以下购销合同：</w:t>
      </w:r>
    </w:p>
    <w:tbl>
      <w:tblPr>
        <w:tblStyle w:val="61"/>
        <w:tblW w:w="9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591"/>
        <w:gridCol w:w="1240"/>
        <w:gridCol w:w="171"/>
        <w:gridCol w:w="487"/>
        <w:gridCol w:w="831"/>
        <w:gridCol w:w="1119"/>
        <w:gridCol w:w="1286"/>
        <w:gridCol w:w="1795"/>
      </w:tblGrid>
      <w:tr w14:paraId="2693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17" w:type="dxa"/>
            <w:vAlign w:val="center"/>
          </w:tcPr>
          <w:p w14:paraId="7CAF5F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商品名称</w:t>
            </w:r>
          </w:p>
        </w:tc>
        <w:tc>
          <w:tcPr>
            <w:tcW w:w="1591" w:type="dxa"/>
            <w:vAlign w:val="center"/>
          </w:tcPr>
          <w:p w14:paraId="3034E90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1240" w:type="dxa"/>
            <w:vAlign w:val="center"/>
          </w:tcPr>
          <w:p w14:paraId="55D75827">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生产厂家</w:t>
            </w:r>
          </w:p>
        </w:tc>
        <w:tc>
          <w:tcPr>
            <w:tcW w:w="658" w:type="dxa"/>
            <w:gridSpan w:val="2"/>
            <w:vAlign w:val="center"/>
          </w:tcPr>
          <w:p w14:paraId="480529F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831" w:type="dxa"/>
            <w:vAlign w:val="center"/>
          </w:tcPr>
          <w:p w14:paraId="04F948B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tc>
        <w:tc>
          <w:tcPr>
            <w:tcW w:w="1119" w:type="dxa"/>
            <w:vAlign w:val="center"/>
          </w:tcPr>
          <w:p w14:paraId="3F245B1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286" w:type="dxa"/>
            <w:vAlign w:val="center"/>
          </w:tcPr>
          <w:p w14:paraId="5E52CCB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1795" w:type="dxa"/>
            <w:vAlign w:val="center"/>
          </w:tcPr>
          <w:p w14:paraId="6113346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r>
      <w:tr w14:paraId="480A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974F2F6">
            <w:pPr>
              <w:jc w:val="center"/>
              <w:rPr>
                <w:rFonts w:hint="eastAsia" w:ascii="宋体" w:hAnsi="宋体" w:eastAsia="宋体" w:cs="宋体"/>
                <w:color w:val="auto"/>
                <w:sz w:val="24"/>
                <w:szCs w:val="24"/>
                <w:highlight w:val="none"/>
              </w:rPr>
            </w:pPr>
          </w:p>
        </w:tc>
        <w:tc>
          <w:tcPr>
            <w:tcW w:w="1591" w:type="dxa"/>
            <w:vAlign w:val="center"/>
          </w:tcPr>
          <w:p w14:paraId="663CAD17">
            <w:pPr>
              <w:jc w:val="center"/>
              <w:rPr>
                <w:rFonts w:hint="eastAsia" w:ascii="宋体" w:hAnsi="宋体" w:eastAsia="宋体" w:cs="宋体"/>
                <w:color w:val="auto"/>
                <w:sz w:val="24"/>
                <w:szCs w:val="24"/>
                <w:highlight w:val="none"/>
              </w:rPr>
            </w:pPr>
          </w:p>
        </w:tc>
        <w:tc>
          <w:tcPr>
            <w:tcW w:w="1240" w:type="dxa"/>
            <w:vAlign w:val="center"/>
          </w:tcPr>
          <w:p w14:paraId="7965489B">
            <w:pPr>
              <w:jc w:val="center"/>
              <w:rPr>
                <w:rFonts w:hint="eastAsia" w:ascii="宋体" w:hAnsi="宋体" w:eastAsia="宋体" w:cs="宋体"/>
                <w:color w:val="auto"/>
                <w:sz w:val="24"/>
                <w:szCs w:val="24"/>
                <w:highlight w:val="none"/>
              </w:rPr>
            </w:pPr>
          </w:p>
        </w:tc>
        <w:tc>
          <w:tcPr>
            <w:tcW w:w="658" w:type="dxa"/>
            <w:gridSpan w:val="2"/>
            <w:vAlign w:val="center"/>
          </w:tcPr>
          <w:p w14:paraId="04636195">
            <w:pPr>
              <w:jc w:val="center"/>
              <w:rPr>
                <w:rFonts w:hint="eastAsia" w:ascii="宋体" w:hAnsi="宋体" w:eastAsia="宋体" w:cs="宋体"/>
                <w:color w:val="auto"/>
                <w:sz w:val="24"/>
                <w:szCs w:val="24"/>
                <w:highlight w:val="none"/>
              </w:rPr>
            </w:pPr>
          </w:p>
        </w:tc>
        <w:tc>
          <w:tcPr>
            <w:tcW w:w="831" w:type="dxa"/>
            <w:vAlign w:val="center"/>
          </w:tcPr>
          <w:p w14:paraId="61CCA5C4">
            <w:pPr>
              <w:jc w:val="center"/>
              <w:rPr>
                <w:rFonts w:hint="eastAsia" w:ascii="宋体" w:hAnsi="宋体" w:eastAsia="宋体" w:cs="宋体"/>
                <w:color w:val="auto"/>
                <w:sz w:val="24"/>
                <w:szCs w:val="24"/>
                <w:highlight w:val="none"/>
              </w:rPr>
            </w:pPr>
          </w:p>
        </w:tc>
        <w:tc>
          <w:tcPr>
            <w:tcW w:w="1119" w:type="dxa"/>
            <w:vAlign w:val="center"/>
          </w:tcPr>
          <w:p w14:paraId="3CC0C284">
            <w:pPr>
              <w:jc w:val="center"/>
              <w:rPr>
                <w:rFonts w:hint="eastAsia" w:ascii="宋体" w:hAnsi="宋体" w:eastAsia="宋体" w:cs="宋体"/>
                <w:color w:val="auto"/>
                <w:sz w:val="24"/>
                <w:szCs w:val="24"/>
                <w:highlight w:val="none"/>
              </w:rPr>
            </w:pPr>
          </w:p>
        </w:tc>
        <w:tc>
          <w:tcPr>
            <w:tcW w:w="1286" w:type="dxa"/>
            <w:vAlign w:val="center"/>
          </w:tcPr>
          <w:p w14:paraId="20DF9088">
            <w:pPr>
              <w:jc w:val="center"/>
              <w:rPr>
                <w:rFonts w:hint="eastAsia" w:ascii="宋体" w:hAnsi="宋体" w:eastAsia="宋体" w:cs="宋体"/>
                <w:color w:val="auto"/>
                <w:sz w:val="24"/>
                <w:szCs w:val="24"/>
                <w:highlight w:val="none"/>
              </w:rPr>
            </w:pPr>
          </w:p>
        </w:tc>
        <w:tc>
          <w:tcPr>
            <w:tcW w:w="1795" w:type="dxa"/>
            <w:vAlign w:val="center"/>
          </w:tcPr>
          <w:p w14:paraId="0AFD5AFC">
            <w:pPr>
              <w:jc w:val="center"/>
              <w:rPr>
                <w:rFonts w:hint="eastAsia" w:ascii="宋体" w:hAnsi="宋体" w:eastAsia="宋体" w:cs="宋体"/>
                <w:color w:val="auto"/>
                <w:sz w:val="24"/>
                <w:szCs w:val="24"/>
                <w:highlight w:val="none"/>
              </w:rPr>
            </w:pPr>
          </w:p>
        </w:tc>
      </w:tr>
      <w:tr w14:paraId="01F8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45382894">
            <w:pPr>
              <w:jc w:val="center"/>
              <w:rPr>
                <w:rFonts w:hint="eastAsia" w:ascii="宋体" w:hAnsi="宋体" w:eastAsia="宋体" w:cs="宋体"/>
                <w:color w:val="auto"/>
                <w:sz w:val="24"/>
                <w:szCs w:val="24"/>
                <w:highlight w:val="none"/>
              </w:rPr>
            </w:pPr>
          </w:p>
        </w:tc>
        <w:tc>
          <w:tcPr>
            <w:tcW w:w="1591" w:type="dxa"/>
            <w:vAlign w:val="center"/>
          </w:tcPr>
          <w:p w14:paraId="393B723F">
            <w:pPr>
              <w:jc w:val="center"/>
              <w:rPr>
                <w:rFonts w:hint="eastAsia" w:ascii="宋体" w:hAnsi="宋体" w:eastAsia="宋体" w:cs="宋体"/>
                <w:color w:val="auto"/>
                <w:sz w:val="24"/>
                <w:szCs w:val="24"/>
                <w:highlight w:val="none"/>
              </w:rPr>
            </w:pPr>
          </w:p>
        </w:tc>
        <w:tc>
          <w:tcPr>
            <w:tcW w:w="1240" w:type="dxa"/>
            <w:vAlign w:val="center"/>
          </w:tcPr>
          <w:p w14:paraId="12DC2DEC">
            <w:pPr>
              <w:jc w:val="center"/>
              <w:rPr>
                <w:rFonts w:hint="eastAsia" w:ascii="宋体" w:hAnsi="宋体" w:eastAsia="宋体" w:cs="宋体"/>
                <w:color w:val="auto"/>
                <w:sz w:val="24"/>
                <w:szCs w:val="24"/>
                <w:highlight w:val="none"/>
              </w:rPr>
            </w:pPr>
          </w:p>
        </w:tc>
        <w:tc>
          <w:tcPr>
            <w:tcW w:w="658" w:type="dxa"/>
            <w:gridSpan w:val="2"/>
            <w:vAlign w:val="center"/>
          </w:tcPr>
          <w:p w14:paraId="182151E5">
            <w:pPr>
              <w:jc w:val="center"/>
              <w:rPr>
                <w:rFonts w:hint="eastAsia" w:ascii="宋体" w:hAnsi="宋体" w:eastAsia="宋体" w:cs="宋体"/>
                <w:color w:val="auto"/>
                <w:sz w:val="24"/>
                <w:szCs w:val="24"/>
                <w:highlight w:val="none"/>
              </w:rPr>
            </w:pPr>
          </w:p>
        </w:tc>
        <w:tc>
          <w:tcPr>
            <w:tcW w:w="831" w:type="dxa"/>
            <w:vAlign w:val="center"/>
          </w:tcPr>
          <w:p w14:paraId="12D85CA9">
            <w:pPr>
              <w:jc w:val="center"/>
              <w:rPr>
                <w:rFonts w:hint="eastAsia" w:ascii="宋体" w:hAnsi="宋体" w:eastAsia="宋体" w:cs="宋体"/>
                <w:color w:val="auto"/>
                <w:sz w:val="24"/>
                <w:szCs w:val="24"/>
                <w:highlight w:val="none"/>
              </w:rPr>
            </w:pPr>
          </w:p>
        </w:tc>
        <w:tc>
          <w:tcPr>
            <w:tcW w:w="1119" w:type="dxa"/>
            <w:vAlign w:val="center"/>
          </w:tcPr>
          <w:p w14:paraId="679A74CA">
            <w:pPr>
              <w:jc w:val="center"/>
              <w:rPr>
                <w:rFonts w:hint="eastAsia" w:ascii="宋体" w:hAnsi="宋体" w:eastAsia="宋体" w:cs="宋体"/>
                <w:color w:val="auto"/>
                <w:sz w:val="24"/>
                <w:szCs w:val="24"/>
                <w:highlight w:val="none"/>
              </w:rPr>
            </w:pPr>
          </w:p>
        </w:tc>
        <w:tc>
          <w:tcPr>
            <w:tcW w:w="1286" w:type="dxa"/>
            <w:vAlign w:val="center"/>
          </w:tcPr>
          <w:p w14:paraId="37B36AF3">
            <w:pPr>
              <w:jc w:val="center"/>
              <w:rPr>
                <w:rFonts w:hint="eastAsia" w:ascii="宋体" w:hAnsi="宋体" w:eastAsia="宋体" w:cs="宋体"/>
                <w:color w:val="auto"/>
                <w:sz w:val="24"/>
                <w:szCs w:val="24"/>
                <w:highlight w:val="none"/>
              </w:rPr>
            </w:pPr>
          </w:p>
        </w:tc>
        <w:tc>
          <w:tcPr>
            <w:tcW w:w="1795" w:type="dxa"/>
            <w:vAlign w:val="center"/>
          </w:tcPr>
          <w:p w14:paraId="14533A75">
            <w:pPr>
              <w:jc w:val="center"/>
              <w:rPr>
                <w:rFonts w:hint="eastAsia" w:ascii="宋体" w:hAnsi="宋体" w:eastAsia="宋体" w:cs="宋体"/>
                <w:color w:val="auto"/>
                <w:sz w:val="24"/>
                <w:szCs w:val="24"/>
                <w:highlight w:val="none"/>
              </w:rPr>
            </w:pPr>
          </w:p>
        </w:tc>
      </w:tr>
      <w:tr w14:paraId="63D7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7650E5A">
            <w:pPr>
              <w:jc w:val="center"/>
              <w:rPr>
                <w:rFonts w:hint="eastAsia" w:ascii="宋体" w:hAnsi="宋体" w:eastAsia="宋体" w:cs="宋体"/>
                <w:color w:val="auto"/>
                <w:sz w:val="24"/>
                <w:szCs w:val="24"/>
                <w:highlight w:val="none"/>
              </w:rPr>
            </w:pPr>
          </w:p>
        </w:tc>
        <w:tc>
          <w:tcPr>
            <w:tcW w:w="1591" w:type="dxa"/>
            <w:vAlign w:val="center"/>
          </w:tcPr>
          <w:p w14:paraId="4511D87E">
            <w:pPr>
              <w:jc w:val="center"/>
              <w:rPr>
                <w:rFonts w:hint="eastAsia" w:ascii="宋体" w:hAnsi="宋体" w:eastAsia="宋体" w:cs="宋体"/>
                <w:color w:val="auto"/>
                <w:sz w:val="24"/>
                <w:szCs w:val="24"/>
                <w:highlight w:val="none"/>
              </w:rPr>
            </w:pPr>
          </w:p>
        </w:tc>
        <w:tc>
          <w:tcPr>
            <w:tcW w:w="1240" w:type="dxa"/>
            <w:vAlign w:val="center"/>
          </w:tcPr>
          <w:p w14:paraId="69D34E27">
            <w:pPr>
              <w:jc w:val="center"/>
              <w:rPr>
                <w:rFonts w:hint="eastAsia" w:ascii="宋体" w:hAnsi="宋体" w:eastAsia="宋体" w:cs="宋体"/>
                <w:color w:val="auto"/>
                <w:sz w:val="24"/>
                <w:szCs w:val="24"/>
                <w:highlight w:val="none"/>
              </w:rPr>
            </w:pPr>
          </w:p>
        </w:tc>
        <w:tc>
          <w:tcPr>
            <w:tcW w:w="658" w:type="dxa"/>
            <w:gridSpan w:val="2"/>
            <w:vAlign w:val="center"/>
          </w:tcPr>
          <w:p w14:paraId="6ED41133">
            <w:pPr>
              <w:jc w:val="center"/>
              <w:rPr>
                <w:rFonts w:hint="eastAsia" w:ascii="宋体" w:hAnsi="宋体" w:eastAsia="宋体" w:cs="宋体"/>
                <w:color w:val="auto"/>
                <w:sz w:val="24"/>
                <w:szCs w:val="24"/>
                <w:highlight w:val="none"/>
              </w:rPr>
            </w:pPr>
          </w:p>
        </w:tc>
        <w:tc>
          <w:tcPr>
            <w:tcW w:w="831" w:type="dxa"/>
            <w:vAlign w:val="center"/>
          </w:tcPr>
          <w:p w14:paraId="61810E77">
            <w:pPr>
              <w:jc w:val="center"/>
              <w:rPr>
                <w:rFonts w:hint="eastAsia" w:ascii="宋体" w:hAnsi="宋体" w:eastAsia="宋体" w:cs="宋体"/>
                <w:color w:val="auto"/>
                <w:sz w:val="24"/>
                <w:szCs w:val="24"/>
                <w:highlight w:val="none"/>
              </w:rPr>
            </w:pPr>
          </w:p>
        </w:tc>
        <w:tc>
          <w:tcPr>
            <w:tcW w:w="1119" w:type="dxa"/>
            <w:vAlign w:val="center"/>
          </w:tcPr>
          <w:p w14:paraId="6562868B">
            <w:pPr>
              <w:jc w:val="center"/>
              <w:rPr>
                <w:rFonts w:hint="eastAsia" w:ascii="宋体" w:hAnsi="宋体" w:eastAsia="宋体" w:cs="宋体"/>
                <w:color w:val="auto"/>
                <w:sz w:val="24"/>
                <w:szCs w:val="24"/>
                <w:highlight w:val="none"/>
              </w:rPr>
            </w:pPr>
          </w:p>
        </w:tc>
        <w:tc>
          <w:tcPr>
            <w:tcW w:w="1286" w:type="dxa"/>
            <w:vAlign w:val="center"/>
          </w:tcPr>
          <w:p w14:paraId="6B43DD27">
            <w:pPr>
              <w:jc w:val="center"/>
              <w:rPr>
                <w:rFonts w:hint="eastAsia" w:ascii="宋体" w:hAnsi="宋体" w:eastAsia="宋体" w:cs="宋体"/>
                <w:color w:val="auto"/>
                <w:sz w:val="24"/>
                <w:szCs w:val="24"/>
                <w:highlight w:val="none"/>
              </w:rPr>
            </w:pPr>
          </w:p>
        </w:tc>
        <w:tc>
          <w:tcPr>
            <w:tcW w:w="1795" w:type="dxa"/>
            <w:vAlign w:val="center"/>
          </w:tcPr>
          <w:p w14:paraId="1A079DB9">
            <w:pPr>
              <w:jc w:val="center"/>
              <w:rPr>
                <w:rFonts w:hint="eastAsia" w:ascii="宋体" w:hAnsi="宋体" w:eastAsia="宋体" w:cs="宋体"/>
                <w:color w:val="auto"/>
                <w:sz w:val="24"/>
                <w:szCs w:val="24"/>
                <w:highlight w:val="none"/>
              </w:rPr>
            </w:pPr>
          </w:p>
        </w:tc>
      </w:tr>
      <w:tr w14:paraId="49CE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05AD0A9">
            <w:pPr>
              <w:jc w:val="center"/>
              <w:rPr>
                <w:rFonts w:hint="eastAsia" w:ascii="宋体" w:hAnsi="宋体" w:eastAsia="宋体" w:cs="宋体"/>
                <w:color w:val="auto"/>
                <w:sz w:val="24"/>
                <w:szCs w:val="24"/>
                <w:highlight w:val="none"/>
              </w:rPr>
            </w:pPr>
          </w:p>
        </w:tc>
        <w:tc>
          <w:tcPr>
            <w:tcW w:w="1591" w:type="dxa"/>
            <w:vAlign w:val="center"/>
          </w:tcPr>
          <w:p w14:paraId="7B7D516D">
            <w:pPr>
              <w:jc w:val="center"/>
              <w:rPr>
                <w:rFonts w:hint="eastAsia" w:ascii="宋体" w:hAnsi="宋体" w:eastAsia="宋体" w:cs="宋体"/>
                <w:color w:val="auto"/>
                <w:sz w:val="24"/>
                <w:szCs w:val="24"/>
                <w:highlight w:val="none"/>
              </w:rPr>
            </w:pPr>
          </w:p>
        </w:tc>
        <w:tc>
          <w:tcPr>
            <w:tcW w:w="1240" w:type="dxa"/>
            <w:vAlign w:val="center"/>
          </w:tcPr>
          <w:p w14:paraId="3431E45C">
            <w:pPr>
              <w:jc w:val="center"/>
              <w:rPr>
                <w:rFonts w:hint="eastAsia" w:ascii="宋体" w:hAnsi="宋体" w:eastAsia="宋体" w:cs="宋体"/>
                <w:color w:val="auto"/>
                <w:sz w:val="24"/>
                <w:szCs w:val="24"/>
                <w:highlight w:val="none"/>
              </w:rPr>
            </w:pPr>
          </w:p>
        </w:tc>
        <w:tc>
          <w:tcPr>
            <w:tcW w:w="658" w:type="dxa"/>
            <w:gridSpan w:val="2"/>
            <w:vAlign w:val="center"/>
          </w:tcPr>
          <w:p w14:paraId="691CD9E1">
            <w:pPr>
              <w:jc w:val="center"/>
              <w:rPr>
                <w:rFonts w:hint="eastAsia" w:ascii="宋体" w:hAnsi="宋体" w:eastAsia="宋体" w:cs="宋体"/>
                <w:color w:val="auto"/>
                <w:sz w:val="24"/>
                <w:szCs w:val="24"/>
                <w:highlight w:val="none"/>
              </w:rPr>
            </w:pPr>
          </w:p>
        </w:tc>
        <w:tc>
          <w:tcPr>
            <w:tcW w:w="831" w:type="dxa"/>
            <w:vAlign w:val="center"/>
          </w:tcPr>
          <w:p w14:paraId="5459BB1B">
            <w:pPr>
              <w:jc w:val="center"/>
              <w:rPr>
                <w:rFonts w:hint="eastAsia" w:ascii="宋体" w:hAnsi="宋体" w:eastAsia="宋体" w:cs="宋体"/>
                <w:color w:val="auto"/>
                <w:sz w:val="24"/>
                <w:szCs w:val="24"/>
                <w:highlight w:val="none"/>
              </w:rPr>
            </w:pPr>
          </w:p>
        </w:tc>
        <w:tc>
          <w:tcPr>
            <w:tcW w:w="1119" w:type="dxa"/>
            <w:vAlign w:val="center"/>
          </w:tcPr>
          <w:p w14:paraId="441EC06B">
            <w:pPr>
              <w:jc w:val="center"/>
              <w:rPr>
                <w:rFonts w:hint="eastAsia" w:ascii="宋体" w:hAnsi="宋体" w:eastAsia="宋体" w:cs="宋体"/>
                <w:color w:val="auto"/>
                <w:sz w:val="24"/>
                <w:szCs w:val="24"/>
                <w:highlight w:val="none"/>
              </w:rPr>
            </w:pPr>
          </w:p>
        </w:tc>
        <w:tc>
          <w:tcPr>
            <w:tcW w:w="1286" w:type="dxa"/>
            <w:vAlign w:val="center"/>
          </w:tcPr>
          <w:p w14:paraId="3475CBC9">
            <w:pPr>
              <w:jc w:val="center"/>
              <w:rPr>
                <w:rFonts w:hint="eastAsia" w:ascii="宋体" w:hAnsi="宋体" w:eastAsia="宋体" w:cs="宋体"/>
                <w:color w:val="auto"/>
                <w:sz w:val="24"/>
                <w:szCs w:val="24"/>
                <w:highlight w:val="none"/>
              </w:rPr>
            </w:pPr>
          </w:p>
        </w:tc>
        <w:tc>
          <w:tcPr>
            <w:tcW w:w="1795" w:type="dxa"/>
            <w:vAlign w:val="center"/>
          </w:tcPr>
          <w:p w14:paraId="6828846E">
            <w:pPr>
              <w:jc w:val="center"/>
              <w:rPr>
                <w:rFonts w:hint="eastAsia" w:ascii="宋体" w:hAnsi="宋体" w:eastAsia="宋体" w:cs="宋体"/>
                <w:color w:val="auto"/>
                <w:sz w:val="24"/>
                <w:szCs w:val="24"/>
                <w:highlight w:val="none"/>
              </w:rPr>
            </w:pPr>
          </w:p>
        </w:tc>
      </w:tr>
      <w:tr w14:paraId="371C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BEFCD2D">
            <w:pPr>
              <w:jc w:val="center"/>
              <w:rPr>
                <w:rFonts w:hint="eastAsia" w:ascii="宋体" w:hAnsi="宋体" w:eastAsia="宋体" w:cs="宋体"/>
                <w:color w:val="auto"/>
                <w:sz w:val="24"/>
                <w:szCs w:val="24"/>
                <w:highlight w:val="none"/>
              </w:rPr>
            </w:pPr>
          </w:p>
        </w:tc>
        <w:tc>
          <w:tcPr>
            <w:tcW w:w="1591" w:type="dxa"/>
            <w:vAlign w:val="center"/>
          </w:tcPr>
          <w:p w14:paraId="061474E9">
            <w:pPr>
              <w:jc w:val="center"/>
              <w:rPr>
                <w:rFonts w:hint="eastAsia" w:ascii="宋体" w:hAnsi="宋体" w:eastAsia="宋体" w:cs="宋体"/>
                <w:color w:val="auto"/>
                <w:sz w:val="24"/>
                <w:szCs w:val="24"/>
                <w:highlight w:val="none"/>
              </w:rPr>
            </w:pPr>
          </w:p>
        </w:tc>
        <w:tc>
          <w:tcPr>
            <w:tcW w:w="1240" w:type="dxa"/>
            <w:vAlign w:val="center"/>
          </w:tcPr>
          <w:p w14:paraId="109B1706">
            <w:pPr>
              <w:jc w:val="center"/>
              <w:rPr>
                <w:rFonts w:hint="eastAsia" w:ascii="宋体" w:hAnsi="宋体" w:eastAsia="宋体" w:cs="宋体"/>
                <w:color w:val="auto"/>
                <w:sz w:val="24"/>
                <w:szCs w:val="24"/>
                <w:highlight w:val="none"/>
              </w:rPr>
            </w:pPr>
          </w:p>
        </w:tc>
        <w:tc>
          <w:tcPr>
            <w:tcW w:w="658" w:type="dxa"/>
            <w:gridSpan w:val="2"/>
            <w:vAlign w:val="center"/>
          </w:tcPr>
          <w:p w14:paraId="39A83A7B">
            <w:pPr>
              <w:jc w:val="center"/>
              <w:rPr>
                <w:rFonts w:hint="eastAsia" w:ascii="宋体" w:hAnsi="宋体" w:eastAsia="宋体" w:cs="宋体"/>
                <w:color w:val="auto"/>
                <w:sz w:val="24"/>
                <w:szCs w:val="24"/>
                <w:highlight w:val="none"/>
              </w:rPr>
            </w:pPr>
          </w:p>
        </w:tc>
        <w:tc>
          <w:tcPr>
            <w:tcW w:w="831" w:type="dxa"/>
            <w:vAlign w:val="center"/>
          </w:tcPr>
          <w:p w14:paraId="2A6DDBE9">
            <w:pPr>
              <w:jc w:val="center"/>
              <w:rPr>
                <w:rFonts w:hint="eastAsia" w:ascii="宋体" w:hAnsi="宋体" w:eastAsia="宋体" w:cs="宋体"/>
                <w:color w:val="auto"/>
                <w:sz w:val="24"/>
                <w:szCs w:val="24"/>
                <w:highlight w:val="none"/>
              </w:rPr>
            </w:pPr>
          </w:p>
        </w:tc>
        <w:tc>
          <w:tcPr>
            <w:tcW w:w="1119" w:type="dxa"/>
            <w:vAlign w:val="center"/>
          </w:tcPr>
          <w:p w14:paraId="64A61013">
            <w:pPr>
              <w:jc w:val="center"/>
              <w:rPr>
                <w:rFonts w:hint="eastAsia" w:ascii="宋体" w:hAnsi="宋体" w:eastAsia="宋体" w:cs="宋体"/>
                <w:color w:val="auto"/>
                <w:sz w:val="24"/>
                <w:szCs w:val="24"/>
                <w:highlight w:val="none"/>
              </w:rPr>
            </w:pPr>
          </w:p>
        </w:tc>
        <w:tc>
          <w:tcPr>
            <w:tcW w:w="1286" w:type="dxa"/>
            <w:vAlign w:val="center"/>
          </w:tcPr>
          <w:p w14:paraId="0979FCC4">
            <w:pPr>
              <w:jc w:val="center"/>
              <w:rPr>
                <w:rFonts w:hint="eastAsia" w:ascii="宋体" w:hAnsi="宋体" w:eastAsia="宋体" w:cs="宋体"/>
                <w:color w:val="auto"/>
                <w:sz w:val="24"/>
                <w:szCs w:val="24"/>
                <w:highlight w:val="none"/>
              </w:rPr>
            </w:pPr>
          </w:p>
        </w:tc>
        <w:tc>
          <w:tcPr>
            <w:tcW w:w="1795" w:type="dxa"/>
            <w:vAlign w:val="center"/>
          </w:tcPr>
          <w:p w14:paraId="671DC105">
            <w:pPr>
              <w:jc w:val="center"/>
              <w:rPr>
                <w:rFonts w:hint="eastAsia" w:ascii="宋体" w:hAnsi="宋体" w:eastAsia="宋体" w:cs="宋体"/>
                <w:color w:val="auto"/>
                <w:sz w:val="24"/>
                <w:szCs w:val="24"/>
                <w:highlight w:val="none"/>
              </w:rPr>
            </w:pPr>
          </w:p>
        </w:tc>
      </w:tr>
      <w:tr w14:paraId="79FB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7BE5F56">
            <w:pPr>
              <w:jc w:val="center"/>
              <w:rPr>
                <w:rFonts w:hint="eastAsia" w:ascii="宋体" w:hAnsi="宋体" w:eastAsia="宋体" w:cs="宋体"/>
                <w:color w:val="auto"/>
                <w:sz w:val="24"/>
                <w:szCs w:val="24"/>
                <w:highlight w:val="none"/>
              </w:rPr>
            </w:pPr>
          </w:p>
        </w:tc>
        <w:tc>
          <w:tcPr>
            <w:tcW w:w="1591" w:type="dxa"/>
            <w:vAlign w:val="center"/>
          </w:tcPr>
          <w:p w14:paraId="412ECB9A">
            <w:pPr>
              <w:jc w:val="center"/>
              <w:rPr>
                <w:rFonts w:hint="eastAsia" w:ascii="宋体" w:hAnsi="宋体" w:eastAsia="宋体" w:cs="宋体"/>
                <w:color w:val="auto"/>
                <w:sz w:val="24"/>
                <w:szCs w:val="24"/>
                <w:highlight w:val="none"/>
              </w:rPr>
            </w:pPr>
          </w:p>
        </w:tc>
        <w:tc>
          <w:tcPr>
            <w:tcW w:w="1240" w:type="dxa"/>
            <w:vAlign w:val="center"/>
          </w:tcPr>
          <w:p w14:paraId="1231F3A5">
            <w:pPr>
              <w:jc w:val="center"/>
              <w:rPr>
                <w:rFonts w:hint="eastAsia" w:ascii="宋体" w:hAnsi="宋体" w:eastAsia="宋体" w:cs="宋体"/>
                <w:color w:val="auto"/>
                <w:sz w:val="24"/>
                <w:szCs w:val="24"/>
                <w:highlight w:val="none"/>
              </w:rPr>
            </w:pPr>
          </w:p>
        </w:tc>
        <w:tc>
          <w:tcPr>
            <w:tcW w:w="658" w:type="dxa"/>
            <w:gridSpan w:val="2"/>
            <w:vAlign w:val="center"/>
          </w:tcPr>
          <w:p w14:paraId="73BA4567">
            <w:pPr>
              <w:jc w:val="center"/>
              <w:rPr>
                <w:rFonts w:hint="eastAsia" w:ascii="宋体" w:hAnsi="宋体" w:eastAsia="宋体" w:cs="宋体"/>
                <w:color w:val="auto"/>
                <w:sz w:val="24"/>
                <w:szCs w:val="24"/>
                <w:highlight w:val="none"/>
              </w:rPr>
            </w:pPr>
          </w:p>
        </w:tc>
        <w:tc>
          <w:tcPr>
            <w:tcW w:w="831" w:type="dxa"/>
            <w:vAlign w:val="center"/>
          </w:tcPr>
          <w:p w14:paraId="487348F1">
            <w:pPr>
              <w:jc w:val="center"/>
              <w:rPr>
                <w:rFonts w:hint="eastAsia" w:ascii="宋体" w:hAnsi="宋体" w:eastAsia="宋体" w:cs="宋体"/>
                <w:color w:val="auto"/>
                <w:sz w:val="24"/>
                <w:szCs w:val="24"/>
                <w:highlight w:val="none"/>
              </w:rPr>
            </w:pPr>
          </w:p>
        </w:tc>
        <w:tc>
          <w:tcPr>
            <w:tcW w:w="1119" w:type="dxa"/>
            <w:vAlign w:val="center"/>
          </w:tcPr>
          <w:p w14:paraId="51C25CDC">
            <w:pPr>
              <w:jc w:val="center"/>
              <w:rPr>
                <w:rFonts w:hint="eastAsia" w:ascii="宋体" w:hAnsi="宋体" w:eastAsia="宋体" w:cs="宋体"/>
                <w:color w:val="auto"/>
                <w:sz w:val="24"/>
                <w:szCs w:val="24"/>
                <w:highlight w:val="none"/>
              </w:rPr>
            </w:pPr>
          </w:p>
        </w:tc>
        <w:tc>
          <w:tcPr>
            <w:tcW w:w="1286" w:type="dxa"/>
            <w:vAlign w:val="center"/>
          </w:tcPr>
          <w:p w14:paraId="34DC05A1">
            <w:pPr>
              <w:jc w:val="center"/>
              <w:rPr>
                <w:rFonts w:hint="eastAsia" w:ascii="宋体" w:hAnsi="宋体" w:eastAsia="宋体" w:cs="宋体"/>
                <w:color w:val="auto"/>
                <w:sz w:val="24"/>
                <w:szCs w:val="24"/>
                <w:highlight w:val="none"/>
              </w:rPr>
            </w:pPr>
          </w:p>
        </w:tc>
        <w:tc>
          <w:tcPr>
            <w:tcW w:w="1795" w:type="dxa"/>
            <w:vAlign w:val="center"/>
          </w:tcPr>
          <w:p w14:paraId="37176BF8">
            <w:pPr>
              <w:jc w:val="center"/>
              <w:rPr>
                <w:rFonts w:hint="eastAsia" w:ascii="宋体" w:hAnsi="宋体" w:eastAsia="宋体" w:cs="宋体"/>
                <w:color w:val="auto"/>
                <w:sz w:val="24"/>
                <w:szCs w:val="24"/>
                <w:highlight w:val="none"/>
              </w:rPr>
            </w:pPr>
          </w:p>
        </w:tc>
      </w:tr>
      <w:tr w14:paraId="6197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FEE073E">
            <w:pPr>
              <w:jc w:val="center"/>
              <w:rPr>
                <w:rFonts w:hint="eastAsia" w:ascii="宋体" w:hAnsi="宋体" w:eastAsia="宋体" w:cs="宋体"/>
                <w:color w:val="auto"/>
                <w:sz w:val="24"/>
                <w:szCs w:val="24"/>
                <w:highlight w:val="none"/>
              </w:rPr>
            </w:pPr>
          </w:p>
        </w:tc>
        <w:tc>
          <w:tcPr>
            <w:tcW w:w="1591" w:type="dxa"/>
            <w:vAlign w:val="center"/>
          </w:tcPr>
          <w:p w14:paraId="0976FA47">
            <w:pPr>
              <w:jc w:val="center"/>
              <w:rPr>
                <w:rFonts w:hint="eastAsia" w:ascii="宋体" w:hAnsi="宋体" w:eastAsia="宋体" w:cs="宋体"/>
                <w:color w:val="auto"/>
                <w:sz w:val="24"/>
                <w:szCs w:val="24"/>
                <w:highlight w:val="none"/>
              </w:rPr>
            </w:pPr>
          </w:p>
        </w:tc>
        <w:tc>
          <w:tcPr>
            <w:tcW w:w="1240" w:type="dxa"/>
            <w:vAlign w:val="center"/>
          </w:tcPr>
          <w:p w14:paraId="20A8FFE2">
            <w:pPr>
              <w:jc w:val="center"/>
              <w:rPr>
                <w:rFonts w:hint="eastAsia" w:ascii="宋体" w:hAnsi="宋体" w:eastAsia="宋体" w:cs="宋体"/>
                <w:color w:val="auto"/>
                <w:sz w:val="24"/>
                <w:szCs w:val="24"/>
                <w:highlight w:val="none"/>
              </w:rPr>
            </w:pPr>
          </w:p>
        </w:tc>
        <w:tc>
          <w:tcPr>
            <w:tcW w:w="658" w:type="dxa"/>
            <w:gridSpan w:val="2"/>
            <w:vAlign w:val="center"/>
          </w:tcPr>
          <w:p w14:paraId="4DE45CE7">
            <w:pPr>
              <w:jc w:val="center"/>
              <w:rPr>
                <w:rFonts w:hint="eastAsia" w:ascii="宋体" w:hAnsi="宋体" w:eastAsia="宋体" w:cs="宋体"/>
                <w:color w:val="auto"/>
                <w:sz w:val="24"/>
                <w:szCs w:val="24"/>
                <w:highlight w:val="none"/>
              </w:rPr>
            </w:pPr>
          </w:p>
        </w:tc>
        <w:tc>
          <w:tcPr>
            <w:tcW w:w="831" w:type="dxa"/>
            <w:vAlign w:val="center"/>
          </w:tcPr>
          <w:p w14:paraId="3261FCE9">
            <w:pPr>
              <w:jc w:val="center"/>
              <w:rPr>
                <w:rFonts w:hint="eastAsia" w:ascii="宋体" w:hAnsi="宋体" w:eastAsia="宋体" w:cs="宋体"/>
                <w:color w:val="auto"/>
                <w:sz w:val="24"/>
                <w:szCs w:val="24"/>
                <w:highlight w:val="none"/>
              </w:rPr>
            </w:pPr>
          </w:p>
        </w:tc>
        <w:tc>
          <w:tcPr>
            <w:tcW w:w="1119" w:type="dxa"/>
            <w:vAlign w:val="center"/>
          </w:tcPr>
          <w:p w14:paraId="3B727DAD">
            <w:pPr>
              <w:jc w:val="center"/>
              <w:rPr>
                <w:rFonts w:hint="eastAsia" w:ascii="宋体" w:hAnsi="宋体" w:eastAsia="宋体" w:cs="宋体"/>
                <w:color w:val="auto"/>
                <w:sz w:val="24"/>
                <w:szCs w:val="24"/>
                <w:highlight w:val="none"/>
              </w:rPr>
            </w:pPr>
          </w:p>
        </w:tc>
        <w:tc>
          <w:tcPr>
            <w:tcW w:w="1286" w:type="dxa"/>
            <w:vAlign w:val="center"/>
          </w:tcPr>
          <w:p w14:paraId="685DE313">
            <w:pPr>
              <w:jc w:val="center"/>
              <w:rPr>
                <w:rFonts w:hint="eastAsia" w:ascii="宋体" w:hAnsi="宋体" w:eastAsia="宋体" w:cs="宋体"/>
                <w:color w:val="auto"/>
                <w:sz w:val="24"/>
                <w:szCs w:val="24"/>
                <w:highlight w:val="none"/>
              </w:rPr>
            </w:pPr>
          </w:p>
        </w:tc>
        <w:tc>
          <w:tcPr>
            <w:tcW w:w="1795" w:type="dxa"/>
            <w:vAlign w:val="center"/>
          </w:tcPr>
          <w:p w14:paraId="513C072F">
            <w:pPr>
              <w:jc w:val="center"/>
              <w:rPr>
                <w:rFonts w:hint="eastAsia" w:ascii="宋体" w:hAnsi="宋体" w:eastAsia="宋体" w:cs="宋体"/>
                <w:color w:val="auto"/>
                <w:sz w:val="24"/>
                <w:szCs w:val="24"/>
                <w:highlight w:val="none"/>
              </w:rPr>
            </w:pPr>
          </w:p>
        </w:tc>
      </w:tr>
      <w:tr w14:paraId="0494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2708244">
            <w:pPr>
              <w:jc w:val="center"/>
              <w:rPr>
                <w:rFonts w:hint="eastAsia" w:ascii="宋体" w:hAnsi="宋体" w:eastAsia="宋体" w:cs="宋体"/>
                <w:color w:val="auto"/>
                <w:sz w:val="24"/>
                <w:szCs w:val="24"/>
                <w:highlight w:val="none"/>
              </w:rPr>
            </w:pPr>
          </w:p>
        </w:tc>
        <w:tc>
          <w:tcPr>
            <w:tcW w:w="1591" w:type="dxa"/>
            <w:vAlign w:val="center"/>
          </w:tcPr>
          <w:p w14:paraId="0974B840">
            <w:pPr>
              <w:jc w:val="center"/>
              <w:rPr>
                <w:rFonts w:hint="eastAsia" w:ascii="宋体" w:hAnsi="宋体" w:eastAsia="宋体" w:cs="宋体"/>
                <w:color w:val="auto"/>
                <w:sz w:val="24"/>
                <w:szCs w:val="24"/>
                <w:highlight w:val="none"/>
              </w:rPr>
            </w:pPr>
          </w:p>
        </w:tc>
        <w:tc>
          <w:tcPr>
            <w:tcW w:w="1240" w:type="dxa"/>
            <w:vAlign w:val="center"/>
          </w:tcPr>
          <w:p w14:paraId="2E5385BE">
            <w:pPr>
              <w:jc w:val="center"/>
              <w:rPr>
                <w:rFonts w:hint="eastAsia" w:ascii="宋体" w:hAnsi="宋体" w:eastAsia="宋体" w:cs="宋体"/>
                <w:color w:val="auto"/>
                <w:sz w:val="24"/>
                <w:szCs w:val="24"/>
                <w:highlight w:val="none"/>
              </w:rPr>
            </w:pPr>
          </w:p>
        </w:tc>
        <w:tc>
          <w:tcPr>
            <w:tcW w:w="658" w:type="dxa"/>
            <w:gridSpan w:val="2"/>
            <w:vAlign w:val="center"/>
          </w:tcPr>
          <w:p w14:paraId="57072FC5">
            <w:pPr>
              <w:jc w:val="center"/>
              <w:rPr>
                <w:rFonts w:hint="eastAsia" w:ascii="宋体" w:hAnsi="宋体" w:eastAsia="宋体" w:cs="宋体"/>
                <w:color w:val="auto"/>
                <w:sz w:val="24"/>
                <w:szCs w:val="24"/>
                <w:highlight w:val="none"/>
              </w:rPr>
            </w:pPr>
          </w:p>
        </w:tc>
        <w:tc>
          <w:tcPr>
            <w:tcW w:w="831" w:type="dxa"/>
            <w:vAlign w:val="center"/>
          </w:tcPr>
          <w:p w14:paraId="5C8E1801">
            <w:pPr>
              <w:jc w:val="center"/>
              <w:rPr>
                <w:rFonts w:hint="eastAsia" w:ascii="宋体" w:hAnsi="宋体" w:eastAsia="宋体" w:cs="宋体"/>
                <w:color w:val="auto"/>
                <w:sz w:val="24"/>
                <w:szCs w:val="24"/>
                <w:highlight w:val="none"/>
              </w:rPr>
            </w:pPr>
          </w:p>
        </w:tc>
        <w:tc>
          <w:tcPr>
            <w:tcW w:w="1119" w:type="dxa"/>
            <w:vAlign w:val="center"/>
          </w:tcPr>
          <w:p w14:paraId="4704D7D6">
            <w:pPr>
              <w:jc w:val="center"/>
              <w:rPr>
                <w:rFonts w:hint="eastAsia" w:ascii="宋体" w:hAnsi="宋体" w:eastAsia="宋体" w:cs="宋体"/>
                <w:color w:val="auto"/>
                <w:sz w:val="24"/>
                <w:szCs w:val="24"/>
                <w:highlight w:val="none"/>
              </w:rPr>
            </w:pPr>
          </w:p>
        </w:tc>
        <w:tc>
          <w:tcPr>
            <w:tcW w:w="1286" w:type="dxa"/>
            <w:vAlign w:val="center"/>
          </w:tcPr>
          <w:p w14:paraId="2CEFA8D2">
            <w:pPr>
              <w:jc w:val="center"/>
              <w:rPr>
                <w:rFonts w:hint="eastAsia" w:ascii="宋体" w:hAnsi="宋体" w:eastAsia="宋体" w:cs="宋体"/>
                <w:color w:val="auto"/>
                <w:sz w:val="24"/>
                <w:szCs w:val="24"/>
                <w:highlight w:val="none"/>
              </w:rPr>
            </w:pPr>
          </w:p>
        </w:tc>
        <w:tc>
          <w:tcPr>
            <w:tcW w:w="1795" w:type="dxa"/>
            <w:vAlign w:val="center"/>
          </w:tcPr>
          <w:p w14:paraId="119519B6">
            <w:pPr>
              <w:jc w:val="center"/>
              <w:rPr>
                <w:rFonts w:hint="eastAsia" w:ascii="宋体" w:hAnsi="宋体" w:eastAsia="宋体" w:cs="宋体"/>
                <w:color w:val="auto"/>
                <w:sz w:val="24"/>
                <w:szCs w:val="24"/>
                <w:highlight w:val="none"/>
              </w:rPr>
            </w:pPr>
          </w:p>
        </w:tc>
      </w:tr>
      <w:tr w14:paraId="648C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5B7A297">
            <w:pPr>
              <w:jc w:val="center"/>
              <w:rPr>
                <w:rFonts w:hint="eastAsia" w:ascii="宋体" w:hAnsi="宋体" w:eastAsia="宋体" w:cs="宋体"/>
                <w:color w:val="auto"/>
                <w:sz w:val="24"/>
                <w:szCs w:val="24"/>
                <w:highlight w:val="none"/>
              </w:rPr>
            </w:pPr>
          </w:p>
        </w:tc>
        <w:tc>
          <w:tcPr>
            <w:tcW w:w="1591" w:type="dxa"/>
            <w:vAlign w:val="center"/>
          </w:tcPr>
          <w:p w14:paraId="77EED757">
            <w:pPr>
              <w:jc w:val="center"/>
              <w:rPr>
                <w:rFonts w:hint="eastAsia" w:ascii="宋体" w:hAnsi="宋体" w:eastAsia="宋体" w:cs="宋体"/>
                <w:color w:val="auto"/>
                <w:sz w:val="24"/>
                <w:szCs w:val="24"/>
                <w:highlight w:val="none"/>
              </w:rPr>
            </w:pPr>
          </w:p>
        </w:tc>
        <w:tc>
          <w:tcPr>
            <w:tcW w:w="1240" w:type="dxa"/>
            <w:vAlign w:val="center"/>
          </w:tcPr>
          <w:p w14:paraId="3C808397">
            <w:pPr>
              <w:jc w:val="center"/>
              <w:rPr>
                <w:rFonts w:hint="eastAsia" w:ascii="宋体" w:hAnsi="宋体" w:eastAsia="宋体" w:cs="宋体"/>
                <w:color w:val="auto"/>
                <w:sz w:val="24"/>
                <w:szCs w:val="24"/>
                <w:highlight w:val="none"/>
              </w:rPr>
            </w:pPr>
          </w:p>
        </w:tc>
        <w:tc>
          <w:tcPr>
            <w:tcW w:w="658" w:type="dxa"/>
            <w:gridSpan w:val="2"/>
            <w:vAlign w:val="center"/>
          </w:tcPr>
          <w:p w14:paraId="0088D44A">
            <w:pPr>
              <w:jc w:val="center"/>
              <w:rPr>
                <w:rFonts w:hint="eastAsia" w:ascii="宋体" w:hAnsi="宋体" w:eastAsia="宋体" w:cs="宋体"/>
                <w:color w:val="auto"/>
                <w:sz w:val="24"/>
                <w:szCs w:val="24"/>
                <w:highlight w:val="none"/>
              </w:rPr>
            </w:pPr>
          </w:p>
        </w:tc>
        <w:tc>
          <w:tcPr>
            <w:tcW w:w="831" w:type="dxa"/>
            <w:vAlign w:val="center"/>
          </w:tcPr>
          <w:p w14:paraId="0B60C4A1">
            <w:pPr>
              <w:jc w:val="center"/>
              <w:rPr>
                <w:rFonts w:hint="eastAsia" w:ascii="宋体" w:hAnsi="宋体" w:eastAsia="宋体" w:cs="宋体"/>
                <w:color w:val="auto"/>
                <w:sz w:val="24"/>
                <w:szCs w:val="24"/>
                <w:highlight w:val="none"/>
              </w:rPr>
            </w:pPr>
          </w:p>
        </w:tc>
        <w:tc>
          <w:tcPr>
            <w:tcW w:w="1119" w:type="dxa"/>
            <w:vAlign w:val="center"/>
          </w:tcPr>
          <w:p w14:paraId="4C21A9FE">
            <w:pPr>
              <w:jc w:val="center"/>
              <w:rPr>
                <w:rFonts w:hint="eastAsia" w:ascii="宋体" w:hAnsi="宋体" w:eastAsia="宋体" w:cs="宋体"/>
                <w:color w:val="auto"/>
                <w:sz w:val="24"/>
                <w:szCs w:val="24"/>
                <w:highlight w:val="none"/>
              </w:rPr>
            </w:pPr>
          </w:p>
        </w:tc>
        <w:tc>
          <w:tcPr>
            <w:tcW w:w="1286" w:type="dxa"/>
            <w:vAlign w:val="center"/>
          </w:tcPr>
          <w:p w14:paraId="4181D894">
            <w:pPr>
              <w:jc w:val="center"/>
              <w:rPr>
                <w:rFonts w:hint="eastAsia" w:ascii="宋体" w:hAnsi="宋体" w:eastAsia="宋体" w:cs="宋体"/>
                <w:color w:val="auto"/>
                <w:sz w:val="24"/>
                <w:szCs w:val="24"/>
                <w:highlight w:val="none"/>
              </w:rPr>
            </w:pPr>
          </w:p>
        </w:tc>
        <w:tc>
          <w:tcPr>
            <w:tcW w:w="1795" w:type="dxa"/>
            <w:vAlign w:val="center"/>
          </w:tcPr>
          <w:p w14:paraId="4A5D6124">
            <w:pPr>
              <w:jc w:val="center"/>
              <w:rPr>
                <w:rFonts w:hint="eastAsia" w:ascii="宋体" w:hAnsi="宋体" w:eastAsia="宋体" w:cs="宋体"/>
                <w:color w:val="auto"/>
                <w:sz w:val="24"/>
                <w:szCs w:val="24"/>
                <w:highlight w:val="none"/>
              </w:rPr>
            </w:pPr>
          </w:p>
        </w:tc>
      </w:tr>
      <w:tr w14:paraId="5DC6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4E956E91">
            <w:pPr>
              <w:jc w:val="center"/>
              <w:rPr>
                <w:rFonts w:hint="eastAsia" w:ascii="宋体" w:hAnsi="宋体" w:eastAsia="宋体" w:cs="宋体"/>
                <w:color w:val="auto"/>
                <w:sz w:val="24"/>
                <w:szCs w:val="24"/>
                <w:highlight w:val="none"/>
              </w:rPr>
            </w:pPr>
          </w:p>
        </w:tc>
        <w:tc>
          <w:tcPr>
            <w:tcW w:w="1591" w:type="dxa"/>
            <w:vAlign w:val="center"/>
          </w:tcPr>
          <w:p w14:paraId="70C17D58">
            <w:pPr>
              <w:jc w:val="center"/>
              <w:rPr>
                <w:rFonts w:hint="eastAsia" w:ascii="宋体" w:hAnsi="宋体" w:eastAsia="宋体" w:cs="宋体"/>
                <w:color w:val="auto"/>
                <w:sz w:val="24"/>
                <w:szCs w:val="24"/>
                <w:highlight w:val="none"/>
              </w:rPr>
            </w:pPr>
          </w:p>
        </w:tc>
        <w:tc>
          <w:tcPr>
            <w:tcW w:w="1240" w:type="dxa"/>
            <w:vAlign w:val="center"/>
          </w:tcPr>
          <w:p w14:paraId="2DD75125">
            <w:pPr>
              <w:jc w:val="center"/>
              <w:rPr>
                <w:rFonts w:hint="eastAsia" w:ascii="宋体" w:hAnsi="宋体" w:eastAsia="宋体" w:cs="宋体"/>
                <w:color w:val="auto"/>
                <w:sz w:val="24"/>
                <w:szCs w:val="24"/>
                <w:highlight w:val="none"/>
              </w:rPr>
            </w:pPr>
          </w:p>
        </w:tc>
        <w:tc>
          <w:tcPr>
            <w:tcW w:w="658" w:type="dxa"/>
            <w:gridSpan w:val="2"/>
            <w:vAlign w:val="center"/>
          </w:tcPr>
          <w:p w14:paraId="1A920EE1">
            <w:pPr>
              <w:jc w:val="center"/>
              <w:rPr>
                <w:rFonts w:hint="eastAsia" w:ascii="宋体" w:hAnsi="宋体" w:eastAsia="宋体" w:cs="宋体"/>
                <w:color w:val="auto"/>
                <w:sz w:val="24"/>
                <w:szCs w:val="24"/>
                <w:highlight w:val="none"/>
              </w:rPr>
            </w:pPr>
          </w:p>
        </w:tc>
        <w:tc>
          <w:tcPr>
            <w:tcW w:w="831" w:type="dxa"/>
            <w:vAlign w:val="center"/>
          </w:tcPr>
          <w:p w14:paraId="66F8A232">
            <w:pPr>
              <w:jc w:val="center"/>
              <w:rPr>
                <w:rFonts w:hint="eastAsia" w:ascii="宋体" w:hAnsi="宋体" w:eastAsia="宋体" w:cs="宋体"/>
                <w:color w:val="auto"/>
                <w:sz w:val="24"/>
                <w:szCs w:val="24"/>
                <w:highlight w:val="none"/>
              </w:rPr>
            </w:pPr>
          </w:p>
        </w:tc>
        <w:tc>
          <w:tcPr>
            <w:tcW w:w="1119" w:type="dxa"/>
            <w:vAlign w:val="center"/>
          </w:tcPr>
          <w:p w14:paraId="6B0BC738">
            <w:pPr>
              <w:jc w:val="center"/>
              <w:rPr>
                <w:rFonts w:hint="eastAsia" w:ascii="宋体" w:hAnsi="宋体" w:eastAsia="宋体" w:cs="宋体"/>
                <w:color w:val="auto"/>
                <w:sz w:val="24"/>
                <w:szCs w:val="24"/>
                <w:highlight w:val="none"/>
              </w:rPr>
            </w:pPr>
          </w:p>
        </w:tc>
        <w:tc>
          <w:tcPr>
            <w:tcW w:w="1286" w:type="dxa"/>
            <w:vAlign w:val="center"/>
          </w:tcPr>
          <w:p w14:paraId="74380A5C">
            <w:pPr>
              <w:jc w:val="center"/>
              <w:rPr>
                <w:rFonts w:hint="eastAsia" w:ascii="宋体" w:hAnsi="宋体" w:eastAsia="宋体" w:cs="宋体"/>
                <w:color w:val="auto"/>
                <w:sz w:val="24"/>
                <w:szCs w:val="24"/>
                <w:highlight w:val="none"/>
              </w:rPr>
            </w:pPr>
          </w:p>
        </w:tc>
        <w:tc>
          <w:tcPr>
            <w:tcW w:w="1795" w:type="dxa"/>
            <w:vAlign w:val="center"/>
          </w:tcPr>
          <w:p w14:paraId="3265DD77">
            <w:pPr>
              <w:jc w:val="center"/>
              <w:rPr>
                <w:rFonts w:hint="eastAsia" w:ascii="宋体" w:hAnsi="宋体" w:eastAsia="宋体" w:cs="宋体"/>
                <w:color w:val="auto"/>
                <w:sz w:val="24"/>
                <w:szCs w:val="24"/>
                <w:highlight w:val="none"/>
              </w:rPr>
            </w:pPr>
          </w:p>
        </w:tc>
      </w:tr>
      <w:tr w14:paraId="179D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2711A72">
            <w:pPr>
              <w:jc w:val="center"/>
              <w:rPr>
                <w:rFonts w:hint="eastAsia" w:ascii="宋体" w:hAnsi="宋体" w:eastAsia="宋体" w:cs="宋体"/>
                <w:color w:val="auto"/>
                <w:sz w:val="24"/>
                <w:szCs w:val="24"/>
                <w:highlight w:val="none"/>
              </w:rPr>
            </w:pPr>
          </w:p>
        </w:tc>
        <w:tc>
          <w:tcPr>
            <w:tcW w:w="1591" w:type="dxa"/>
            <w:vAlign w:val="center"/>
          </w:tcPr>
          <w:p w14:paraId="30FFAC3D">
            <w:pPr>
              <w:jc w:val="center"/>
              <w:rPr>
                <w:rFonts w:hint="eastAsia" w:ascii="宋体" w:hAnsi="宋体" w:eastAsia="宋体" w:cs="宋体"/>
                <w:color w:val="auto"/>
                <w:sz w:val="24"/>
                <w:szCs w:val="24"/>
                <w:highlight w:val="none"/>
              </w:rPr>
            </w:pPr>
          </w:p>
        </w:tc>
        <w:tc>
          <w:tcPr>
            <w:tcW w:w="1240" w:type="dxa"/>
            <w:vAlign w:val="center"/>
          </w:tcPr>
          <w:p w14:paraId="6FA67B4D">
            <w:pPr>
              <w:jc w:val="center"/>
              <w:rPr>
                <w:rFonts w:hint="eastAsia" w:ascii="宋体" w:hAnsi="宋体" w:eastAsia="宋体" w:cs="宋体"/>
                <w:color w:val="auto"/>
                <w:sz w:val="24"/>
                <w:szCs w:val="24"/>
                <w:highlight w:val="none"/>
              </w:rPr>
            </w:pPr>
          </w:p>
        </w:tc>
        <w:tc>
          <w:tcPr>
            <w:tcW w:w="658" w:type="dxa"/>
            <w:gridSpan w:val="2"/>
            <w:vAlign w:val="center"/>
          </w:tcPr>
          <w:p w14:paraId="1FD65BCA">
            <w:pPr>
              <w:jc w:val="center"/>
              <w:rPr>
                <w:rFonts w:hint="eastAsia" w:ascii="宋体" w:hAnsi="宋体" w:eastAsia="宋体" w:cs="宋体"/>
                <w:color w:val="auto"/>
                <w:sz w:val="24"/>
                <w:szCs w:val="24"/>
                <w:highlight w:val="none"/>
              </w:rPr>
            </w:pPr>
          </w:p>
        </w:tc>
        <w:tc>
          <w:tcPr>
            <w:tcW w:w="831" w:type="dxa"/>
            <w:vAlign w:val="center"/>
          </w:tcPr>
          <w:p w14:paraId="66C7A757">
            <w:pPr>
              <w:jc w:val="center"/>
              <w:rPr>
                <w:rFonts w:hint="eastAsia" w:ascii="宋体" w:hAnsi="宋体" w:eastAsia="宋体" w:cs="宋体"/>
                <w:color w:val="auto"/>
                <w:sz w:val="24"/>
                <w:szCs w:val="24"/>
                <w:highlight w:val="none"/>
              </w:rPr>
            </w:pPr>
          </w:p>
        </w:tc>
        <w:tc>
          <w:tcPr>
            <w:tcW w:w="1119" w:type="dxa"/>
            <w:vAlign w:val="center"/>
          </w:tcPr>
          <w:p w14:paraId="7354EEA1">
            <w:pPr>
              <w:jc w:val="center"/>
              <w:rPr>
                <w:rFonts w:hint="eastAsia" w:ascii="宋体" w:hAnsi="宋体" w:eastAsia="宋体" w:cs="宋体"/>
                <w:color w:val="auto"/>
                <w:sz w:val="24"/>
                <w:szCs w:val="24"/>
                <w:highlight w:val="none"/>
              </w:rPr>
            </w:pPr>
          </w:p>
        </w:tc>
        <w:tc>
          <w:tcPr>
            <w:tcW w:w="1286" w:type="dxa"/>
            <w:vAlign w:val="center"/>
          </w:tcPr>
          <w:p w14:paraId="71BDBE90">
            <w:pPr>
              <w:jc w:val="center"/>
              <w:rPr>
                <w:rFonts w:hint="eastAsia" w:ascii="宋体" w:hAnsi="宋体" w:eastAsia="宋体" w:cs="宋体"/>
                <w:color w:val="auto"/>
                <w:sz w:val="24"/>
                <w:szCs w:val="24"/>
                <w:highlight w:val="none"/>
              </w:rPr>
            </w:pPr>
          </w:p>
        </w:tc>
        <w:tc>
          <w:tcPr>
            <w:tcW w:w="1795" w:type="dxa"/>
            <w:vAlign w:val="center"/>
          </w:tcPr>
          <w:p w14:paraId="555C4100">
            <w:pPr>
              <w:jc w:val="center"/>
              <w:rPr>
                <w:rFonts w:hint="eastAsia" w:ascii="宋体" w:hAnsi="宋体" w:eastAsia="宋体" w:cs="宋体"/>
                <w:color w:val="auto"/>
                <w:sz w:val="24"/>
                <w:szCs w:val="24"/>
                <w:highlight w:val="none"/>
              </w:rPr>
            </w:pPr>
          </w:p>
        </w:tc>
      </w:tr>
      <w:tr w14:paraId="003F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37" w:type="dxa"/>
            <w:gridSpan w:val="9"/>
            <w:vAlign w:val="center"/>
          </w:tcPr>
          <w:p w14:paraId="7E5486F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合计人民币（小写）：</w:t>
            </w:r>
          </w:p>
        </w:tc>
      </w:tr>
      <w:tr w14:paraId="7F83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37" w:type="dxa"/>
            <w:gridSpan w:val="9"/>
            <w:vAlign w:val="center"/>
          </w:tcPr>
          <w:p w14:paraId="54A7EAA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合计人民币（大写）：</w:t>
            </w:r>
          </w:p>
        </w:tc>
      </w:tr>
      <w:tr w14:paraId="278B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2" w:hRule="atLeast"/>
        </w:trPr>
        <w:tc>
          <w:tcPr>
            <w:tcW w:w="9737" w:type="dxa"/>
            <w:gridSpan w:val="9"/>
            <w:vAlign w:val="top"/>
          </w:tcPr>
          <w:p w14:paraId="55FAA95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一、质量要求和技术标准。供方提供的商品必须是全新的，完全符合国家有关技术标准，供方的质量保证及售后服务承诺如下：</w:t>
            </w:r>
          </w:p>
          <w:p w14:paraId="7EBC79E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1.质保期限：</w:t>
            </w:r>
          </w:p>
          <w:p w14:paraId="6E3015F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2.保修范围：</w:t>
            </w:r>
          </w:p>
          <w:p w14:paraId="13C3076D">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3.服务措施：</w:t>
            </w:r>
          </w:p>
          <w:p w14:paraId="473DD64B">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4.质保期后服务：</w:t>
            </w:r>
          </w:p>
        </w:tc>
      </w:tr>
      <w:tr w14:paraId="4AEA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9737" w:type="dxa"/>
            <w:gridSpan w:val="9"/>
            <w:vAlign w:val="top"/>
          </w:tcPr>
          <w:p w14:paraId="4DAEF2A8">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二、随机备品、附件、工具数量及供应方法：</w:t>
            </w:r>
          </w:p>
        </w:tc>
      </w:tr>
      <w:tr w14:paraId="1E44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737" w:type="dxa"/>
            <w:gridSpan w:val="9"/>
            <w:vAlign w:val="top"/>
          </w:tcPr>
          <w:p w14:paraId="7A508333">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三、交提货方式：</w:t>
            </w:r>
          </w:p>
        </w:tc>
      </w:tr>
      <w:tr w14:paraId="62CA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9737" w:type="dxa"/>
            <w:gridSpan w:val="9"/>
            <w:vAlign w:val="top"/>
          </w:tcPr>
          <w:p w14:paraId="7D227D0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四、验收标准、方法：</w:t>
            </w:r>
          </w:p>
          <w:p w14:paraId="1F7E01FE">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如有异议，请于      日内提出。</w:t>
            </w:r>
          </w:p>
        </w:tc>
      </w:tr>
      <w:tr w14:paraId="29B1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737" w:type="dxa"/>
            <w:gridSpan w:val="9"/>
            <w:vAlign w:val="top"/>
          </w:tcPr>
          <w:p w14:paraId="21CE29E6">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五、履约验收</w:t>
            </w:r>
          </w:p>
        </w:tc>
      </w:tr>
      <w:tr w14:paraId="055D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737" w:type="dxa"/>
            <w:gridSpan w:val="9"/>
            <w:vAlign w:val="top"/>
          </w:tcPr>
          <w:p w14:paraId="6DB46B65">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六、付款方式：</w:t>
            </w:r>
          </w:p>
          <w:p w14:paraId="1793760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（按财政支付、采购人支付及支付方式等分别填列）</w:t>
            </w:r>
          </w:p>
        </w:tc>
      </w:tr>
      <w:tr w14:paraId="4714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9737" w:type="dxa"/>
            <w:gridSpan w:val="9"/>
            <w:vAlign w:val="top"/>
          </w:tcPr>
          <w:p w14:paraId="1CB4B3A4">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、违约责任：</w:t>
            </w:r>
          </w:p>
          <w:p w14:paraId="140D0C5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按《中华人民共和国民法典》、《中华人民共和国政府采购法》执行，或按双方约定。</w:t>
            </w:r>
          </w:p>
        </w:tc>
      </w:tr>
      <w:tr w14:paraId="3A51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737" w:type="dxa"/>
            <w:gridSpan w:val="9"/>
            <w:vAlign w:val="top"/>
          </w:tcPr>
          <w:p w14:paraId="4BE54C43">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、其他约定事项：</w:t>
            </w:r>
          </w:p>
          <w:p w14:paraId="0D47148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竞采文件</w:t>
            </w:r>
            <w:r>
              <w:rPr>
                <w:rFonts w:hint="eastAsia" w:ascii="宋体" w:hAnsi="宋体" w:eastAsia="宋体" w:cs="宋体"/>
                <w:color w:val="auto"/>
                <w:sz w:val="24"/>
                <w:szCs w:val="24"/>
                <w:highlight w:val="none"/>
              </w:rPr>
              <w:t>及其澄清文件、电子响应文件和承诺是本合同不可分割的部分。</w:t>
            </w:r>
          </w:p>
          <w:p w14:paraId="600E62D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本合同如发生争议由双方协商解决，协商不成向需方所在仲裁机构提请仲裁。</w:t>
            </w:r>
          </w:p>
          <w:p w14:paraId="4C41E9CC">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本合同一式叁份， 需方__份，供方__份，采购代理机构壹份，具同等法律效力。</w:t>
            </w:r>
          </w:p>
          <w:p w14:paraId="5BFE1C88">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14:paraId="1850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1" w:hRule="atLeast"/>
        </w:trPr>
        <w:tc>
          <w:tcPr>
            <w:tcW w:w="4219" w:type="dxa"/>
            <w:gridSpan w:val="4"/>
            <w:vAlign w:val="top"/>
          </w:tcPr>
          <w:p w14:paraId="07906604">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需方：</w:t>
            </w:r>
          </w:p>
          <w:p w14:paraId="2F2C008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911817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4A2B5013">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tc>
        <w:tc>
          <w:tcPr>
            <w:tcW w:w="5518" w:type="dxa"/>
            <w:gridSpan w:val="5"/>
            <w:vAlign w:val="top"/>
          </w:tcPr>
          <w:p w14:paraId="0A7D17FB">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w:t>
            </w:r>
          </w:p>
          <w:p w14:paraId="097056DA">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441694A5">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482723E6">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p w14:paraId="65C03730">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36C6A00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14:paraId="7790B15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59F630D8">
            <w:pPr>
              <w:tabs>
                <w:tab w:val="left" w:pos="360"/>
              </w:tabs>
              <w:rPr>
                <w:rFonts w:hint="eastAsia" w:ascii="宋体" w:hAnsi="宋体" w:eastAsia="宋体" w:cs="宋体"/>
                <w:color w:val="auto"/>
                <w:sz w:val="24"/>
                <w:szCs w:val="24"/>
                <w:highlight w:val="none"/>
              </w:rPr>
            </w:pPr>
          </w:p>
          <w:p w14:paraId="09498F92">
            <w:pPr>
              <w:tabs>
                <w:tab w:val="left" w:pos="360"/>
              </w:tabs>
              <w:rPr>
                <w:rFonts w:hint="eastAsia" w:ascii="宋体" w:hAnsi="宋体" w:eastAsia="宋体" w:cs="宋体"/>
                <w:color w:val="auto"/>
                <w:sz w:val="24"/>
                <w:szCs w:val="24"/>
                <w:highlight w:val="none"/>
              </w:rPr>
            </w:pPr>
          </w:p>
          <w:p w14:paraId="6206FF2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（本栏请用计算机打印以便于准确付款）</w:t>
            </w:r>
          </w:p>
          <w:p w14:paraId="443301EE">
            <w:pPr>
              <w:tabs>
                <w:tab w:val="left" w:pos="360"/>
              </w:tabs>
              <w:rPr>
                <w:rFonts w:hint="eastAsia" w:ascii="宋体" w:hAnsi="宋体" w:eastAsia="宋体" w:cs="宋体"/>
                <w:color w:val="auto"/>
                <w:sz w:val="24"/>
                <w:szCs w:val="24"/>
                <w:highlight w:val="none"/>
              </w:rPr>
            </w:pPr>
          </w:p>
        </w:tc>
      </w:tr>
      <w:tr w14:paraId="3724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737" w:type="dxa"/>
            <w:gridSpan w:val="9"/>
            <w:vAlign w:val="top"/>
          </w:tcPr>
          <w:p w14:paraId="3103A43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bl>
    <w:p w14:paraId="3060C825">
      <w:pPr>
        <w:pStyle w:val="71"/>
        <w:rPr>
          <w:rFonts w:hint="eastAsia" w:ascii="宋体" w:hAnsi="宋体" w:eastAsia="宋体" w:cs="宋体"/>
          <w:color w:val="auto"/>
          <w:sz w:val="24"/>
          <w:szCs w:val="24"/>
          <w:highlight w:val="none"/>
        </w:rPr>
        <w:sectPr>
          <w:pgSz w:w="11907" w:h="16840"/>
          <w:pgMar w:top="1134" w:right="1191" w:bottom="1134" w:left="1304" w:header="964" w:footer="992" w:gutter="0"/>
          <w:pgNumType w:fmt="numberInDash"/>
          <w:cols w:space="720" w:num="1"/>
          <w:docGrid w:linePitch="312" w:charSpace="0"/>
        </w:sectPr>
      </w:pPr>
      <w:r>
        <w:rPr>
          <w:rFonts w:hint="eastAsia" w:ascii="宋体" w:hAnsi="宋体" w:eastAsia="宋体" w:cs="宋体"/>
          <w:color w:val="auto"/>
          <w:sz w:val="24"/>
          <w:szCs w:val="24"/>
          <w:highlight w:val="none"/>
        </w:rPr>
        <w:t>签约时间：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年   月   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签约地点：</w:t>
      </w:r>
    </w:p>
    <w:p w14:paraId="4FC612B2">
      <w:pPr>
        <w:pStyle w:val="4"/>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E2CBDA2">
      <w:pPr>
        <w:jc w:val="center"/>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第七篇响应文件编制要求</w:t>
      </w:r>
    </w:p>
    <w:p w14:paraId="51772AEF">
      <w:pPr>
        <w:spacing w:line="440" w:lineRule="exact"/>
        <w:ind w:firstLine="480" w:firstLineChars="200"/>
        <w:rPr>
          <w:rFonts w:hint="eastAsia" w:ascii="宋体" w:hAnsi="宋体" w:eastAsia="宋体" w:cs="宋体"/>
          <w:color w:val="auto"/>
          <w:sz w:val="24"/>
          <w:szCs w:val="24"/>
          <w:highlight w:val="none"/>
        </w:rPr>
      </w:pPr>
      <w:bookmarkStart w:id="203" w:name="_Toc313008356"/>
      <w:bookmarkStart w:id="204" w:name="_Toc12789073"/>
      <w:bookmarkStart w:id="205" w:name="_Toc342913419"/>
      <w:bookmarkStart w:id="206" w:name="_Toc313888360"/>
      <w:bookmarkStart w:id="207" w:name="_Toc283382454"/>
      <w:r>
        <w:rPr>
          <w:rFonts w:hint="eastAsia" w:ascii="宋体" w:hAnsi="宋体" w:eastAsia="宋体" w:cs="宋体"/>
          <w:color w:val="auto"/>
          <w:sz w:val="24"/>
          <w:szCs w:val="24"/>
          <w:highlight w:val="none"/>
        </w:rPr>
        <w:t>一、经济部分</w:t>
      </w:r>
    </w:p>
    <w:p w14:paraId="0E42302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（一）网上竞采报价函</w:t>
      </w:r>
    </w:p>
    <w:p w14:paraId="6F1CE8AD">
      <w:pPr>
        <w:pStyle w:val="22"/>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二）投标报价明细表</w:t>
      </w:r>
    </w:p>
    <w:p w14:paraId="45491168">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w:t>
      </w:r>
    </w:p>
    <w:p w14:paraId="055DE78E">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（一）技术响应偏离表</w:t>
      </w:r>
    </w:p>
    <w:p w14:paraId="4340F13C">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（二）技术部分其他资料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p>
    <w:p w14:paraId="5FC180DD">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三、商务部分</w:t>
      </w:r>
    </w:p>
    <w:p w14:paraId="5B36D757">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（一）商务响应偏离表</w:t>
      </w:r>
    </w:p>
    <w:p w14:paraId="6CD796A2">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（二）商务部分其他资料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p>
    <w:p w14:paraId="697949A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四、资格条件及其他</w:t>
      </w:r>
    </w:p>
    <w:p w14:paraId="4FE005E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（一）营业执照（副本）或事业单位法人证书（副本）复印件</w:t>
      </w:r>
    </w:p>
    <w:p w14:paraId="5A4D631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3939228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（三）法定代表人授权委托书（格式）</w:t>
      </w:r>
    </w:p>
    <w:p w14:paraId="737D06D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（四）基本资格条件承诺函</w:t>
      </w:r>
    </w:p>
    <w:p w14:paraId="7CB16CE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（五）特定资格条件证明文件（如有）</w:t>
      </w:r>
    </w:p>
    <w:p w14:paraId="26E9D79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五、其他应提供的资料</w:t>
      </w:r>
    </w:p>
    <w:p w14:paraId="201D146A">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其他与项目有关的资料（</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5DBCAD96">
      <w:pPr>
        <w:spacing w:line="440" w:lineRule="exact"/>
        <w:ind w:firstLine="480" w:firstLineChars="200"/>
        <w:rPr>
          <w:rFonts w:hint="eastAsia" w:ascii="宋体" w:hAnsi="宋体" w:eastAsia="宋体" w:cs="宋体"/>
          <w:color w:val="auto"/>
          <w:sz w:val="24"/>
          <w:szCs w:val="24"/>
          <w:highlight w:val="none"/>
        </w:rPr>
        <w:sectPr>
          <w:headerReference r:id="rId5" w:type="default"/>
          <w:footerReference r:id="rId6" w:type="default"/>
          <w:pgSz w:w="11907" w:h="16840"/>
          <w:pgMar w:top="1134" w:right="1191" w:bottom="1134" w:left="1304" w:header="851" w:footer="992" w:gutter="0"/>
          <w:pgNumType w:fmt="numberInDash"/>
          <w:cols w:space="720" w:num="1"/>
          <w:docGrid w:linePitch="380" w:charSpace="-5735"/>
        </w:sectPr>
      </w:pPr>
    </w:p>
    <w:bookmarkEnd w:id="203"/>
    <w:bookmarkEnd w:id="204"/>
    <w:bookmarkEnd w:id="205"/>
    <w:bookmarkEnd w:id="206"/>
    <w:bookmarkEnd w:id="207"/>
    <w:p w14:paraId="3D593F25">
      <w:pPr>
        <w:pStyle w:val="2"/>
        <w:spacing w:before="0" w:after="0" w:line="360" w:lineRule="auto"/>
        <w:rPr>
          <w:rFonts w:hint="eastAsia" w:ascii="宋体" w:hAnsi="宋体" w:eastAsia="宋体" w:cs="宋体"/>
          <w:color w:val="auto"/>
          <w:sz w:val="24"/>
          <w:szCs w:val="24"/>
          <w:highlight w:val="none"/>
        </w:rPr>
      </w:pPr>
      <w:bookmarkStart w:id="208" w:name="_Toc23161"/>
      <w:bookmarkStart w:id="209" w:name="_Toc21017"/>
      <w:bookmarkStart w:id="210" w:name="_Toc103679699"/>
      <w:r>
        <w:rPr>
          <w:rFonts w:hint="eastAsia" w:ascii="宋体" w:hAnsi="宋体" w:eastAsia="宋体" w:cs="宋体"/>
          <w:color w:val="auto"/>
          <w:sz w:val="24"/>
          <w:szCs w:val="24"/>
          <w:highlight w:val="none"/>
        </w:rPr>
        <w:t>一、经济部分</w:t>
      </w:r>
      <w:bookmarkEnd w:id="208"/>
      <w:bookmarkEnd w:id="209"/>
      <w:bookmarkEnd w:id="210"/>
    </w:p>
    <w:p w14:paraId="72B4A6F8">
      <w:pPr>
        <w:tabs>
          <w:tab w:val="left" w:pos="6300"/>
        </w:tabs>
        <w:snapToGrid w:val="0"/>
        <w:spacing w:line="312" w:lineRule="auto"/>
        <w:jc w:val="left"/>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（一）网上竞采报价函</w:t>
      </w:r>
    </w:p>
    <w:p w14:paraId="2E1CCBD4">
      <w:pPr>
        <w:tabs>
          <w:tab w:val="left" w:pos="6300"/>
        </w:tabs>
        <w:snapToGrid w:val="0"/>
        <w:spacing w:line="312" w:lineRule="auto"/>
        <w:jc w:val="center"/>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网上竞采报价函</w:t>
      </w:r>
    </w:p>
    <w:p w14:paraId="3EBBB559">
      <w:pPr>
        <w:tabs>
          <w:tab w:val="left" w:pos="6300"/>
        </w:tabs>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4687FD10">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我方收到____________________________（项目名称）的网上竞采文件，经详细研究，决定参加该项目的网上竞采。</w:t>
      </w:r>
    </w:p>
    <w:p w14:paraId="00F7005D">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1.愿意按照竞争性</w:t>
      </w:r>
      <w:r>
        <w:rPr>
          <w:rFonts w:hint="eastAsia" w:ascii="宋体" w:hAnsi="宋体" w:eastAsia="宋体" w:cs="宋体"/>
          <w:color w:val="auto"/>
          <w:sz w:val="24"/>
          <w:szCs w:val="24"/>
          <w:highlight w:val="none"/>
          <w:lang w:eastAsia="zh-CN"/>
        </w:rPr>
        <w:t>竞采文件</w:t>
      </w:r>
      <w:r>
        <w:rPr>
          <w:rFonts w:hint="eastAsia" w:ascii="宋体" w:hAnsi="宋体" w:eastAsia="宋体" w:cs="宋体"/>
          <w:color w:val="auto"/>
          <w:sz w:val="24"/>
          <w:szCs w:val="24"/>
          <w:highlight w:val="none"/>
        </w:rPr>
        <w:t>中的一切要求，提供本项目的技术服务，</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；人民币小写：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340185AD">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2.我方现提交的响应文件为：响应文件正本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份，副本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14:paraId="78698DE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3.我方承诺：本次网上竞采的有效期为90天。</w:t>
      </w:r>
    </w:p>
    <w:p w14:paraId="51DAB887">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4.我方完全理解和接受贵方网上竞采文件的一切规定和要求及评审办法。</w:t>
      </w:r>
    </w:p>
    <w:p w14:paraId="6ED9065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5.在整个网上竞采过程中，我方若有违规行为，接受按照《中华人民共和国政府采购法》和《网上竞采文件》之规定给予惩罚。</w:t>
      </w:r>
    </w:p>
    <w:p w14:paraId="16457536">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6.我方若成为成交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，将按照最终网上竞采结果签订合同，并且严格履行合同义务。本承诺函将成为合同不可分割的一部分，与合同具有同等的法律效力。</w:t>
      </w:r>
    </w:p>
    <w:p w14:paraId="599E9CA6">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7.我方同意按网上竞采文件规定。如果我方成为成交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，保证在接到成交通知书前，向采购代理机构缴纳网上竞采文件规定的采购代理服务费。</w:t>
      </w:r>
    </w:p>
    <w:p w14:paraId="004F70B8">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8.我方未为采购项目提供整体设计、规范编制或者项目管理、监理、检测等服务。</w:t>
      </w:r>
    </w:p>
    <w:p w14:paraId="3E00F0D6">
      <w:pPr>
        <w:tabs>
          <w:tab w:val="left" w:pos="6300"/>
        </w:tabs>
        <w:snapToGrid w:val="0"/>
        <w:spacing w:line="312" w:lineRule="auto"/>
        <w:ind w:firstLine="570"/>
        <w:rPr>
          <w:rFonts w:hint="eastAsia" w:ascii="宋体" w:hAnsi="宋体" w:eastAsia="宋体" w:cs="宋体"/>
          <w:color w:val="auto"/>
          <w:sz w:val="24"/>
          <w:szCs w:val="24"/>
          <w:highlight w:val="none"/>
        </w:rPr>
      </w:pPr>
    </w:p>
    <w:p w14:paraId="4E3FEAAC">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62A2B052">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407BD8C7">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传真：</w:t>
      </w:r>
    </w:p>
    <w:p w14:paraId="1E5D6725">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               邮编：</w:t>
      </w:r>
    </w:p>
    <w:p w14:paraId="3E71482A">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p w14:paraId="67AEA4DE">
      <w:pPr>
        <w:snapToGrid w:val="0"/>
        <w:spacing w:line="312"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766EB00">
      <w:pPr>
        <w:pStyle w:val="127"/>
        <w:rPr>
          <w:rFonts w:hint="eastAsia" w:ascii="宋体" w:hAnsi="宋体" w:eastAsia="宋体" w:cs="宋体"/>
          <w:color w:val="auto"/>
          <w:sz w:val="24"/>
          <w:szCs w:val="24"/>
          <w:highlight w:val="none"/>
        </w:rPr>
      </w:pPr>
    </w:p>
    <w:p w14:paraId="4058FF6F">
      <w:pPr>
        <w:pStyle w:val="127"/>
        <w:rPr>
          <w:rFonts w:hint="eastAsia" w:ascii="宋体" w:hAnsi="宋体" w:eastAsia="宋体" w:cs="宋体"/>
          <w:color w:val="auto"/>
          <w:sz w:val="24"/>
          <w:szCs w:val="24"/>
          <w:highlight w:val="none"/>
        </w:rPr>
      </w:pPr>
    </w:p>
    <w:p w14:paraId="5ED1D9D5">
      <w:pPr>
        <w:pStyle w:val="127"/>
        <w:rPr>
          <w:rFonts w:hint="eastAsia" w:ascii="宋体" w:hAnsi="宋体" w:eastAsia="宋体" w:cs="宋体"/>
          <w:color w:val="auto"/>
          <w:sz w:val="24"/>
          <w:szCs w:val="24"/>
          <w:highlight w:val="none"/>
        </w:rPr>
      </w:pPr>
    </w:p>
    <w:p w14:paraId="5EF27039">
      <w:pPr>
        <w:pStyle w:val="127"/>
        <w:rPr>
          <w:rFonts w:hint="eastAsia" w:ascii="宋体" w:hAnsi="宋体" w:eastAsia="宋体" w:cs="宋体"/>
          <w:color w:val="auto"/>
          <w:sz w:val="24"/>
          <w:szCs w:val="24"/>
          <w:highlight w:val="none"/>
        </w:rPr>
      </w:pPr>
    </w:p>
    <w:p w14:paraId="01E1F383">
      <w:pPr>
        <w:pStyle w:val="127"/>
        <w:rPr>
          <w:rFonts w:hint="eastAsia" w:ascii="宋体" w:hAnsi="宋体" w:eastAsia="宋体" w:cs="宋体"/>
          <w:color w:val="auto"/>
          <w:sz w:val="24"/>
          <w:szCs w:val="24"/>
          <w:highlight w:val="none"/>
        </w:rPr>
      </w:pPr>
    </w:p>
    <w:p w14:paraId="1D216BEB">
      <w:pPr>
        <w:pStyle w:val="127"/>
        <w:rPr>
          <w:rFonts w:hint="eastAsia" w:ascii="宋体" w:hAnsi="宋体" w:eastAsia="宋体" w:cs="宋体"/>
          <w:color w:val="auto"/>
          <w:sz w:val="24"/>
          <w:szCs w:val="24"/>
          <w:highlight w:val="none"/>
        </w:rPr>
      </w:pPr>
    </w:p>
    <w:p w14:paraId="5CDF8D58">
      <w:pPr>
        <w:pStyle w:val="127"/>
        <w:rPr>
          <w:rFonts w:hint="eastAsia" w:ascii="宋体" w:hAnsi="宋体" w:eastAsia="宋体" w:cs="宋体"/>
          <w:color w:val="auto"/>
          <w:sz w:val="24"/>
          <w:szCs w:val="24"/>
          <w:highlight w:val="none"/>
        </w:rPr>
      </w:pPr>
    </w:p>
    <w:p w14:paraId="55C36388">
      <w:pPr>
        <w:pStyle w:val="22"/>
        <w:rPr>
          <w:rFonts w:hint="eastAsia" w:ascii="宋体" w:hAnsi="宋体" w:eastAsia="宋体" w:cs="宋体"/>
          <w:color w:val="auto"/>
          <w:sz w:val="24"/>
          <w:szCs w:val="24"/>
          <w:highlight w:val="none"/>
        </w:rPr>
      </w:pPr>
    </w:p>
    <w:p w14:paraId="3F2F559F">
      <w:pPr>
        <w:rPr>
          <w:rFonts w:hint="eastAsia" w:ascii="宋体" w:hAnsi="宋体" w:eastAsia="宋体" w:cs="宋体"/>
          <w:color w:val="auto"/>
          <w:sz w:val="24"/>
          <w:szCs w:val="24"/>
          <w:highlight w:val="none"/>
        </w:rPr>
      </w:pPr>
    </w:p>
    <w:p w14:paraId="53FFAB96">
      <w:pPr>
        <w:pStyle w:val="22"/>
        <w:rPr>
          <w:rFonts w:hint="eastAsia" w:ascii="宋体" w:hAnsi="宋体" w:eastAsia="宋体" w:cs="宋体"/>
          <w:color w:val="auto"/>
          <w:sz w:val="24"/>
          <w:szCs w:val="24"/>
          <w:highlight w:val="none"/>
        </w:rPr>
      </w:pPr>
    </w:p>
    <w:p w14:paraId="40EAF31B">
      <w:pPr>
        <w:rPr>
          <w:rFonts w:hint="eastAsia" w:ascii="宋体" w:hAnsi="宋体" w:eastAsia="宋体" w:cs="宋体"/>
          <w:color w:val="auto"/>
          <w:sz w:val="24"/>
          <w:szCs w:val="24"/>
          <w:highlight w:val="none"/>
        </w:rPr>
      </w:pPr>
    </w:p>
    <w:p w14:paraId="361028FB">
      <w:pPr>
        <w:pStyle w:val="22"/>
        <w:rPr>
          <w:rFonts w:hint="eastAsia" w:ascii="宋体" w:hAnsi="宋体" w:eastAsia="宋体" w:cs="宋体"/>
          <w:color w:val="auto"/>
          <w:sz w:val="24"/>
          <w:szCs w:val="24"/>
          <w:highlight w:val="none"/>
        </w:rPr>
      </w:pPr>
    </w:p>
    <w:p w14:paraId="586F7885">
      <w:pPr>
        <w:tabs>
          <w:tab w:val="left" w:pos="6300"/>
        </w:tabs>
        <w:snapToGrid w:val="0"/>
        <w:spacing w:line="312" w:lineRule="auto"/>
        <w:jc w:val="left"/>
        <w:outlineLvl w:val="0"/>
        <w:rPr>
          <w:rFonts w:hint="eastAsia" w:ascii="宋体" w:hAnsi="宋体" w:eastAsia="宋体" w:cs="宋体"/>
          <w:bCs/>
          <w:color w:val="auto"/>
          <w:sz w:val="24"/>
          <w:szCs w:val="24"/>
          <w:highlight w:val="none"/>
        </w:rPr>
      </w:pPr>
    </w:p>
    <w:p w14:paraId="21D90F37">
      <w:pPr>
        <w:pStyle w:val="2"/>
        <w:numPr>
          <w:ilvl w:val="0"/>
          <w:numId w:val="17"/>
        </w:numPr>
        <w:spacing w:before="0" w:after="0" w:line="360" w:lineRule="auto"/>
        <w:rPr>
          <w:rFonts w:hint="eastAsia" w:ascii="宋体" w:hAnsi="宋体" w:eastAsia="宋体" w:cs="宋体"/>
          <w:b w:val="0"/>
          <w:color w:val="auto"/>
          <w:kern w:val="2"/>
          <w:sz w:val="24"/>
          <w:szCs w:val="24"/>
          <w:highlight w:val="none"/>
          <w:lang w:val="en-US" w:eastAsia="zh-CN" w:bidi="ar-SA"/>
        </w:rPr>
      </w:pPr>
      <w:bookmarkStart w:id="211" w:name="_Toc342913420"/>
      <w:bookmarkStart w:id="212" w:name="_Toc313008357"/>
      <w:bookmarkStart w:id="213" w:name="_Toc313888361"/>
      <w:bookmarkStart w:id="214" w:name="_Toc7588"/>
      <w:bookmarkStart w:id="215" w:name="_Toc11802"/>
      <w:bookmarkStart w:id="216" w:name="_Toc21048"/>
      <w:bookmarkStart w:id="217" w:name="_Toc103679700"/>
      <w:bookmarkStart w:id="218" w:name="_Toc31257"/>
      <w:r>
        <w:rPr>
          <w:rFonts w:hint="eastAsia" w:ascii="宋体" w:hAnsi="宋体" w:eastAsia="宋体" w:cs="宋体"/>
          <w:b w:val="0"/>
          <w:color w:val="auto"/>
          <w:kern w:val="2"/>
          <w:sz w:val="24"/>
          <w:szCs w:val="24"/>
          <w:highlight w:val="none"/>
          <w:lang w:val="en-US" w:eastAsia="zh-CN" w:bidi="ar-SA"/>
        </w:rPr>
        <w:t>报价明细表</w:t>
      </w:r>
    </w:p>
    <w:tbl>
      <w:tblPr>
        <w:tblStyle w:val="61"/>
        <w:tblW w:w="100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1725"/>
        <w:gridCol w:w="874"/>
        <w:gridCol w:w="1400"/>
        <w:gridCol w:w="1003"/>
        <w:gridCol w:w="1159"/>
        <w:gridCol w:w="1101"/>
        <w:gridCol w:w="1413"/>
        <w:gridCol w:w="625"/>
      </w:tblGrid>
      <w:tr w14:paraId="4B88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7" w:hRule="atLeast"/>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07ADF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序号</w:t>
            </w:r>
          </w:p>
        </w:tc>
        <w:tc>
          <w:tcPr>
            <w:tcW w:w="1725" w:type="dxa"/>
            <w:tcBorders>
              <w:top w:val="single" w:color="000000" w:sz="8" w:space="0"/>
              <w:left w:val="nil"/>
              <w:bottom w:val="single" w:color="000000" w:sz="8" w:space="0"/>
              <w:right w:val="single" w:color="auto" w:sz="4" w:space="0"/>
            </w:tcBorders>
            <w:shd w:val="clear" w:color="auto" w:fill="auto"/>
            <w:vAlign w:val="center"/>
          </w:tcPr>
          <w:p w14:paraId="30379D5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产品名称</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72EF918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品牌</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B8C467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制造商名称</w:t>
            </w: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1480592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规格型号</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06CD234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数量</w:t>
            </w:r>
          </w:p>
          <w:p w14:paraId="7DDB1E9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（台/件）</w:t>
            </w: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7E12686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单价报价</w:t>
            </w:r>
          </w:p>
          <w:p w14:paraId="42807F6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（元）</w:t>
            </w:r>
          </w:p>
        </w:tc>
        <w:tc>
          <w:tcPr>
            <w:tcW w:w="1413" w:type="dxa"/>
            <w:tcBorders>
              <w:top w:val="single" w:color="000000" w:sz="8" w:space="0"/>
              <w:left w:val="single" w:color="auto" w:sz="4" w:space="0"/>
              <w:bottom w:val="single" w:color="000000" w:sz="8" w:space="0"/>
              <w:right w:val="single" w:color="000000" w:sz="8" w:space="0"/>
            </w:tcBorders>
            <w:shd w:val="clear" w:color="auto" w:fill="auto"/>
            <w:vAlign w:val="center"/>
          </w:tcPr>
          <w:p w14:paraId="17863BA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总报价</w:t>
            </w:r>
          </w:p>
          <w:p w14:paraId="41E9565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（元）</w:t>
            </w:r>
          </w:p>
        </w:tc>
        <w:tc>
          <w:tcPr>
            <w:tcW w:w="625" w:type="dxa"/>
            <w:tcBorders>
              <w:top w:val="single" w:color="000000" w:sz="8" w:space="0"/>
              <w:left w:val="nil"/>
              <w:bottom w:val="single" w:color="000000" w:sz="8" w:space="0"/>
              <w:right w:val="single" w:color="000000" w:sz="8" w:space="0"/>
            </w:tcBorders>
            <w:shd w:val="clear" w:color="auto" w:fill="auto"/>
            <w:vAlign w:val="center"/>
          </w:tcPr>
          <w:p w14:paraId="400EB4C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备注</w:t>
            </w:r>
          </w:p>
        </w:tc>
      </w:tr>
      <w:tr w14:paraId="45D2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14:paraId="1C84772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w:t>
            </w:r>
          </w:p>
        </w:tc>
        <w:tc>
          <w:tcPr>
            <w:tcW w:w="1725" w:type="dxa"/>
            <w:tcBorders>
              <w:top w:val="nil"/>
              <w:left w:val="nil"/>
              <w:bottom w:val="single" w:color="000000" w:sz="8" w:space="0"/>
              <w:right w:val="single" w:color="auto" w:sz="4" w:space="0"/>
            </w:tcBorders>
            <w:shd w:val="clear" w:color="auto" w:fill="auto"/>
            <w:vAlign w:val="center"/>
          </w:tcPr>
          <w:p w14:paraId="7755AC0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6C93225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5A7521A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52EB673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5112C27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797AE3A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13" w:type="dxa"/>
            <w:tcBorders>
              <w:top w:val="nil"/>
              <w:left w:val="single" w:color="auto" w:sz="4" w:space="0"/>
              <w:bottom w:val="single" w:color="000000" w:sz="8" w:space="0"/>
              <w:right w:val="single" w:color="000000" w:sz="8" w:space="0"/>
            </w:tcBorders>
            <w:shd w:val="clear" w:color="auto" w:fill="auto"/>
            <w:vAlign w:val="center"/>
          </w:tcPr>
          <w:p w14:paraId="5ADAEDB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09AC16E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r w14:paraId="70D6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14:paraId="7C12681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w:t>
            </w:r>
          </w:p>
        </w:tc>
        <w:tc>
          <w:tcPr>
            <w:tcW w:w="1725" w:type="dxa"/>
            <w:tcBorders>
              <w:top w:val="nil"/>
              <w:left w:val="nil"/>
              <w:bottom w:val="single" w:color="000000" w:sz="8" w:space="0"/>
              <w:right w:val="single" w:color="000000" w:sz="8" w:space="0"/>
            </w:tcBorders>
            <w:shd w:val="clear" w:color="auto" w:fill="auto"/>
            <w:vAlign w:val="center"/>
          </w:tcPr>
          <w:p w14:paraId="72C163F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874" w:type="dxa"/>
            <w:tcBorders>
              <w:top w:val="single" w:color="auto" w:sz="4" w:space="0"/>
              <w:left w:val="nil"/>
              <w:bottom w:val="single" w:color="000000" w:sz="8" w:space="0"/>
              <w:right w:val="single" w:color="000000" w:sz="8" w:space="0"/>
            </w:tcBorders>
            <w:shd w:val="clear" w:color="auto" w:fill="auto"/>
            <w:vAlign w:val="center"/>
          </w:tcPr>
          <w:p w14:paraId="76D8AAA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00" w:type="dxa"/>
            <w:tcBorders>
              <w:top w:val="single" w:color="auto" w:sz="4" w:space="0"/>
              <w:left w:val="nil"/>
              <w:bottom w:val="single" w:color="000000" w:sz="8" w:space="0"/>
              <w:right w:val="single" w:color="000000" w:sz="8" w:space="0"/>
            </w:tcBorders>
            <w:shd w:val="clear" w:color="auto" w:fill="auto"/>
            <w:vAlign w:val="center"/>
          </w:tcPr>
          <w:p w14:paraId="7E06D3B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003" w:type="dxa"/>
            <w:tcBorders>
              <w:top w:val="single" w:color="auto" w:sz="4" w:space="0"/>
              <w:left w:val="nil"/>
              <w:bottom w:val="single" w:color="000000" w:sz="8" w:space="0"/>
              <w:right w:val="single" w:color="000000" w:sz="8" w:space="0"/>
            </w:tcBorders>
            <w:shd w:val="clear" w:color="auto" w:fill="auto"/>
            <w:vAlign w:val="center"/>
          </w:tcPr>
          <w:p w14:paraId="416FA51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59" w:type="dxa"/>
            <w:tcBorders>
              <w:top w:val="single" w:color="auto" w:sz="4" w:space="0"/>
              <w:left w:val="nil"/>
              <w:bottom w:val="single" w:color="000000" w:sz="8" w:space="0"/>
              <w:right w:val="single" w:color="000000" w:sz="8" w:space="0"/>
            </w:tcBorders>
            <w:shd w:val="clear" w:color="auto" w:fill="auto"/>
            <w:vAlign w:val="center"/>
          </w:tcPr>
          <w:p w14:paraId="36DF6BD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01" w:type="dxa"/>
            <w:tcBorders>
              <w:top w:val="single" w:color="auto" w:sz="4" w:space="0"/>
              <w:left w:val="nil"/>
              <w:bottom w:val="single" w:color="000000" w:sz="8" w:space="0"/>
              <w:right w:val="single" w:color="000000" w:sz="8" w:space="0"/>
            </w:tcBorders>
            <w:shd w:val="clear" w:color="auto" w:fill="auto"/>
            <w:vAlign w:val="center"/>
          </w:tcPr>
          <w:p w14:paraId="6E84CBC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13" w:type="dxa"/>
            <w:tcBorders>
              <w:top w:val="nil"/>
              <w:left w:val="nil"/>
              <w:bottom w:val="single" w:color="000000" w:sz="8" w:space="0"/>
              <w:right w:val="single" w:color="000000" w:sz="8" w:space="0"/>
            </w:tcBorders>
            <w:shd w:val="clear" w:color="auto" w:fill="auto"/>
            <w:vAlign w:val="center"/>
          </w:tcPr>
          <w:p w14:paraId="25703EC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63F05F6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r w14:paraId="0423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14:paraId="5D5A8F9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w:t>
            </w:r>
          </w:p>
        </w:tc>
        <w:tc>
          <w:tcPr>
            <w:tcW w:w="1725" w:type="dxa"/>
            <w:tcBorders>
              <w:top w:val="nil"/>
              <w:left w:val="nil"/>
              <w:bottom w:val="single" w:color="000000" w:sz="8" w:space="0"/>
              <w:right w:val="single" w:color="000000" w:sz="8" w:space="0"/>
            </w:tcBorders>
            <w:shd w:val="clear" w:color="auto" w:fill="auto"/>
            <w:vAlign w:val="center"/>
          </w:tcPr>
          <w:p w14:paraId="05B4999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874" w:type="dxa"/>
            <w:tcBorders>
              <w:top w:val="nil"/>
              <w:left w:val="nil"/>
              <w:bottom w:val="single" w:color="000000" w:sz="8" w:space="0"/>
              <w:right w:val="single" w:color="000000" w:sz="8" w:space="0"/>
            </w:tcBorders>
            <w:shd w:val="clear" w:color="auto" w:fill="auto"/>
            <w:vAlign w:val="center"/>
          </w:tcPr>
          <w:p w14:paraId="780B208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00" w:type="dxa"/>
            <w:tcBorders>
              <w:top w:val="nil"/>
              <w:left w:val="nil"/>
              <w:bottom w:val="single" w:color="000000" w:sz="8" w:space="0"/>
              <w:right w:val="single" w:color="000000" w:sz="8" w:space="0"/>
            </w:tcBorders>
            <w:shd w:val="clear" w:color="auto" w:fill="auto"/>
            <w:vAlign w:val="center"/>
          </w:tcPr>
          <w:p w14:paraId="7629FC1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003" w:type="dxa"/>
            <w:tcBorders>
              <w:top w:val="nil"/>
              <w:left w:val="nil"/>
              <w:bottom w:val="single" w:color="000000" w:sz="8" w:space="0"/>
              <w:right w:val="single" w:color="000000" w:sz="8" w:space="0"/>
            </w:tcBorders>
            <w:shd w:val="clear" w:color="auto" w:fill="auto"/>
            <w:vAlign w:val="center"/>
          </w:tcPr>
          <w:p w14:paraId="4C910EF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59" w:type="dxa"/>
            <w:tcBorders>
              <w:top w:val="nil"/>
              <w:left w:val="nil"/>
              <w:bottom w:val="single" w:color="000000" w:sz="8" w:space="0"/>
              <w:right w:val="single" w:color="000000" w:sz="8" w:space="0"/>
            </w:tcBorders>
            <w:shd w:val="clear" w:color="auto" w:fill="auto"/>
            <w:vAlign w:val="center"/>
          </w:tcPr>
          <w:p w14:paraId="1F7FDE5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01" w:type="dxa"/>
            <w:tcBorders>
              <w:top w:val="nil"/>
              <w:left w:val="nil"/>
              <w:bottom w:val="single" w:color="000000" w:sz="8" w:space="0"/>
              <w:right w:val="single" w:color="000000" w:sz="8" w:space="0"/>
            </w:tcBorders>
            <w:shd w:val="clear" w:color="auto" w:fill="auto"/>
            <w:vAlign w:val="center"/>
          </w:tcPr>
          <w:p w14:paraId="3A1458C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13" w:type="dxa"/>
            <w:tcBorders>
              <w:top w:val="nil"/>
              <w:left w:val="nil"/>
              <w:bottom w:val="single" w:color="000000" w:sz="8" w:space="0"/>
              <w:right w:val="single" w:color="000000" w:sz="8" w:space="0"/>
            </w:tcBorders>
            <w:shd w:val="clear" w:color="auto" w:fill="auto"/>
            <w:vAlign w:val="center"/>
          </w:tcPr>
          <w:p w14:paraId="516D582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3EF8378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r w14:paraId="0E1D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027" w:type="dxa"/>
            <w:gridSpan w:val="7"/>
            <w:tcBorders>
              <w:top w:val="nil"/>
              <w:left w:val="single" w:color="000000" w:sz="8" w:space="0"/>
              <w:bottom w:val="single" w:color="000000" w:sz="8" w:space="0"/>
              <w:right w:val="single" w:color="000000" w:sz="8" w:space="0"/>
            </w:tcBorders>
            <w:shd w:val="clear" w:color="auto" w:fill="auto"/>
            <w:vAlign w:val="center"/>
          </w:tcPr>
          <w:p w14:paraId="22D374B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合计</w:t>
            </w:r>
          </w:p>
        </w:tc>
        <w:tc>
          <w:tcPr>
            <w:tcW w:w="1413" w:type="dxa"/>
            <w:tcBorders>
              <w:top w:val="nil"/>
              <w:left w:val="nil"/>
              <w:bottom w:val="single" w:color="000000" w:sz="8" w:space="0"/>
              <w:right w:val="single" w:color="000000" w:sz="8" w:space="0"/>
            </w:tcBorders>
            <w:shd w:val="clear" w:color="auto" w:fill="auto"/>
            <w:vAlign w:val="center"/>
          </w:tcPr>
          <w:p w14:paraId="7BFD3DC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1958D2C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bl>
    <w:p w14:paraId="0B2AC7EB">
      <w:pPr>
        <w:rPr>
          <w:rFonts w:hint="eastAsia" w:ascii="宋体" w:hAnsi="宋体" w:eastAsia="宋体" w:cs="宋体"/>
          <w:color w:val="auto"/>
          <w:highlight w:val="none"/>
          <w:lang w:val="en-US" w:eastAsia="zh-CN"/>
        </w:rPr>
      </w:pPr>
    </w:p>
    <w:p w14:paraId="7DF8089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2C7059F">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70FCD55">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034C951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6A0EF08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564FF27">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016DC5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078D22D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C06524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404B2B5">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796FEE59">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17B5AC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A290F73">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44301D2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7A756A3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DFCCBAB">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9BD8C4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8866E20">
      <w:pPr>
        <w:tabs>
          <w:tab w:val="left" w:pos="6300"/>
        </w:tabs>
        <w:snapToGrid w:val="0"/>
        <w:spacing w:line="500" w:lineRule="exact"/>
        <w:rPr>
          <w:rFonts w:hint="eastAsia" w:ascii="宋体" w:hAnsi="宋体" w:eastAsia="宋体" w:cs="宋体"/>
          <w:color w:val="auto"/>
          <w:sz w:val="24"/>
          <w:szCs w:val="24"/>
          <w:highlight w:val="none"/>
        </w:rPr>
      </w:pPr>
    </w:p>
    <w:p w14:paraId="116585B4">
      <w:pPr>
        <w:pStyle w:val="2"/>
        <w:numPr>
          <w:ilvl w:val="0"/>
          <w:numId w:val="0"/>
        </w:numPr>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w:t>
      </w:r>
      <w:bookmarkEnd w:id="211"/>
      <w:bookmarkEnd w:id="212"/>
      <w:bookmarkEnd w:id="213"/>
      <w:bookmarkEnd w:id="214"/>
      <w:bookmarkEnd w:id="215"/>
      <w:bookmarkEnd w:id="216"/>
      <w:bookmarkEnd w:id="217"/>
      <w:bookmarkEnd w:id="218"/>
    </w:p>
    <w:p w14:paraId="6CCAD3E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（一）技术响应偏离表</w:t>
      </w:r>
    </w:p>
    <w:p w14:paraId="4C4796C8">
      <w:pPr>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技术响应偏离表</w:t>
      </w:r>
    </w:p>
    <w:p w14:paraId="3A42B3DA">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对于竞采文件的技术要求，如有任何偏离请如实填写下表：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5C89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5D18618">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79" w:type="dxa"/>
            <w:vAlign w:val="center"/>
          </w:tcPr>
          <w:p w14:paraId="070FDDEE">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采购项目需求</w:t>
            </w:r>
          </w:p>
        </w:tc>
        <w:tc>
          <w:tcPr>
            <w:tcW w:w="2434" w:type="dxa"/>
            <w:vAlign w:val="center"/>
          </w:tcPr>
          <w:p w14:paraId="4D7EE33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响应情况</w:t>
            </w:r>
          </w:p>
        </w:tc>
        <w:tc>
          <w:tcPr>
            <w:tcW w:w="2355" w:type="dxa"/>
            <w:vAlign w:val="center"/>
          </w:tcPr>
          <w:p w14:paraId="4338917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差异说明</w:t>
            </w:r>
          </w:p>
        </w:tc>
      </w:tr>
      <w:tr w14:paraId="0711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CB1AAE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4343118E">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59201AB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675E31ED">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2B27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6A86876">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3B04961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67EAC1C9">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522B741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4E59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459837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50B25E7D">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286E720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21997AD6">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434D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A0A74B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6046241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67B278E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1D4D941C">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7D4E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C49A9EC">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6C140D5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19ACCE8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3EA3CEC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42AB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931DA0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204A06E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2211A17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487C2D2E">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bl>
    <w:p w14:paraId="4B9716CB">
      <w:pPr>
        <w:snapToGrid w:val="0"/>
        <w:spacing w:line="360" w:lineRule="auto"/>
        <w:ind w:firstLine="465"/>
        <w:rPr>
          <w:rFonts w:hint="eastAsia" w:ascii="宋体" w:hAnsi="宋体" w:eastAsia="宋体" w:cs="宋体"/>
          <w:color w:val="auto"/>
          <w:sz w:val="24"/>
          <w:szCs w:val="24"/>
          <w:highlight w:val="none"/>
        </w:rPr>
      </w:pPr>
    </w:p>
    <w:p w14:paraId="411B6E06">
      <w:pPr>
        <w:spacing w:line="50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法定代表人授权代表：</w:t>
      </w:r>
    </w:p>
    <w:p w14:paraId="0CFEAB63">
      <w:pPr>
        <w:spacing w:line="500" w:lineRule="exact"/>
        <w:rPr>
          <w:rFonts w:hint="eastAsia" w:ascii="宋体" w:hAnsi="宋体" w:eastAsia="宋体" w:cs="宋体"/>
          <w:color w:val="auto"/>
          <w:sz w:val="24"/>
          <w:szCs w:val="24"/>
          <w:highlight w:val="none"/>
        </w:rPr>
      </w:pPr>
    </w:p>
    <w:p w14:paraId="59EADE80">
      <w:pPr>
        <w:spacing w:line="500" w:lineRule="exact"/>
        <w:ind w:firstLine="840" w:firstLineChars="3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                                 （签字</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盖章）</w:t>
      </w:r>
    </w:p>
    <w:p w14:paraId="3410164B">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22CD2D24">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4FEF43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1.本表即为对本项目“第二篇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项目技术需求”中所列条款进行比较和响应；</w:t>
      </w:r>
    </w:p>
    <w:p w14:paraId="030B2764">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2.本表可扩展。</w:t>
      </w:r>
    </w:p>
    <w:p w14:paraId="3634A32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6A76C7C">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EE3410E">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（二）技术部分其他资料（</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3BA58EEB">
      <w:pPr>
        <w:pStyle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219" w:name="_Toc103679701"/>
      <w:bookmarkStart w:id="220" w:name="_Toc313888362"/>
      <w:bookmarkStart w:id="221" w:name="_Toc342913421"/>
      <w:bookmarkStart w:id="222" w:name="_Toc18617"/>
      <w:bookmarkStart w:id="223" w:name="_Toc313008358"/>
      <w:bookmarkStart w:id="224" w:name="_Toc29626"/>
      <w:bookmarkStart w:id="225" w:name="_Toc30551"/>
      <w:bookmarkStart w:id="226" w:name="_Toc28935"/>
      <w:r>
        <w:rPr>
          <w:rFonts w:hint="eastAsia" w:ascii="宋体" w:hAnsi="宋体" w:eastAsia="宋体" w:cs="宋体"/>
          <w:color w:val="auto"/>
          <w:sz w:val="24"/>
          <w:szCs w:val="24"/>
          <w:highlight w:val="none"/>
        </w:rPr>
        <w:t>三、商务部分</w:t>
      </w:r>
      <w:bookmarkEnd w:id="219"/>
      <w:bookmarkEnd w:id="220"/>
      <w:bookmarkEnd w:id="221"/>
      <w:bookmarkEnd w:id="222"/>
      <w:bookmarkEnd w:id="223"/>
      <w:bookmarkEnd w:id="224"/>
      <w:bookmarkEnd w:id="225"/>
      <w:bookmarkEnd w:id="226"/>
    </w:p>
    <w:p w14:paraId="55BE6A6A">
      <w:pPr>
        <w:snapToGrid w:val="0"/>
        <w:spacing w:line="360" w:lineRule="auto"/>
        <w:rPr>
          <w:rFonts w:hint="eastAsia" w:ascii="宋体" w:hAnsi="宋体" w:eastAsia="宋体" w:cs="宋体"/>
          <w:color w:val="auto"/>
          <w:sz w:val="24"/>
          <w:szCs w:val="24"/>
          <w:highlight w:val="none"/>
        </w:rPr>
      </w:pPr>
      <w:bookmarkStart w:id="227" w:name="_Toc283382459"/>
      <w:r>
        <w:rPr>
          <w:rFonts w:hint="eastAsia" w:ascii="宋体" w:hAnsi="宋体" w:eastAsia="宋体" w:cs="宋体"/>
          <w:color w:val="auto"/>
          <w:sz w:val="24"/>
          <w:szCs w:val="24"/>
          <w:highlight w:val="none"/>
        </w:rPr>
        <w:t>（一）商务响应偏离表</w:t>
      </w:r>
    </w:p>
    <w:p w14:paraId="5F8B0386">
      <w:pPr>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商务响应偏离表</w:t>
      </w:r>
    </w:p>
    <w:p w14:paraId="04AE6297">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对于网上竞采文件的商务要求，如有任何偏离请如实填写下表：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741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04A7E2C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79" w:type="dxa"/>
            <w:vAlign w:val="center"/>
          </w:tcPr>
          <w:p w14:paraId="6B7333E3">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采购项目需求</w:t>
            </w:r>
          </w:p>
        </w:tc>
        <w:tc>
          <w:tcPr>
            <w:tcW w:w="2434" w:type="dxa"/>
            <w:vAlign w:val="center"/>
          </w:tcPr>
          <w:p w14:paraId="649E051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响应情况</w:t>
            </w:r>
          </w:p>
        </w:tc>
        <w:tc>
          <w:tcPr>
            <w:tcW w:w="2355" w:type="dxa"/>
            <w:vAlign w:val="center"/>
          </w:tcPr>
          <w:p w14:paraId="1CD325F6">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差异说明</w:t>
            </w:r>
          </w:p>
        </w:tc>
      </w:tr>
      <w:tr w14:paraId="6B2D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B79FD60">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51082E8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07A16084">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7328849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08D3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DCCB2F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30425C0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0530C76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19C2D63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328C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60A4C7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7609644E">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04F9457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74604E4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5625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7BD213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73C26810">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4A49C1A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6AC67325">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270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6F582C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21FBD0CC">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2F993ED4">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41D84CB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1A5C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73EBB0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6E3B5155">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3958947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20428C15">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bl>
    <w:p w14:paraId="73C74BFF">
      <w:pPr>
        <w:snapToGrid w:val="0"/>
        <w:spacing w:line="360" w:lineRule="auto"/>
        <w:ind w:firstLine="465"/>
        <w:rPr>
          <w:rFonts w:hint="eastAsia" w:ascii="宋体" w:hAnsi="宋体" w:eastAsia="宋体" w:cs="宋体"/>
          <w:color w:val="auto"/>
          <w:sz w:val="24"/>
          <w:szCs w:val="24"/>
          <w:highlight w:val="none"/>
        </w:rPr>
      </w:pPr>
    </w:p>
    <w:p w14:paraId="7E1BBFAA">
      <w:pPr>
        <w:spacing w:line="50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法定代表人授权代表：</w:t>
      </w:r>
    </w:p>
    <w:p w14:paraId="0D38634A">
      <w:pPr>
        <w:spacing w:line="500" w:lineRule="exact"/>
        <w:rPr>
          <w:rFonts w:hint="eastAsia" w:ascii="宋体" w:hAnsi="宋体" w:eastAsia="宋体" w:cs="宋体"/>
          <w:color w:val="auto"/>
          <w:sz w:val="24"/>
          <w:szCs w:val="24"/>
          <w:highlight w:val="none"/>
        </w:rPr>
      </w:pPr>
    </w:p>
    <w:p w14:paraId="74AAF827">
      <w:pPr>
        <w:spacing w:line="50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                                   （签字</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盖章）</w:t>
      </w:r>
    </w:p>
    <w:p w14:paraId="1D43E92B">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33B50703">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AEAA575">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1.本表即为对本项目“第三篇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项目商务需求”中所列条款进行比较和响应；</w:t>
      </w:r>
    </w:p>
    <w:p w14:paraId="76C3E22D">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2.本表可扩展。</w:t>
      </w:r>
    </w:p>
    <w:p w14:paraId="10FE9B0A">
      <w:pPr>
        <w:pStyle w:val="60"/>
        <w:ind w:left="560" w:firstLine="880"/>
        <w:rPr>
          <w:rFonts w:hint="eastAsia" w:ascii="宋体" w:hAnsi="宋体" w:eastAsia="宋体" w:cs="宋体"/>
          <w:color w:val="auto"/>
          <w:sz w:val="24"/>
          <w:szCs w:val="24"/>
          <w:highlight w:val="none"/>
        </w:rPr>
      </w:pPr>
    </w:p>
    <w:p w14:paraId="501C91D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BC4ABD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（二）商务部分其他资料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p>
    <w:p w14:paraId="7C17C6D7">
      <w:pPr>
        <w:pStyle w:val="2"/>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End w:id="227"/>
      <w:bookmarkStart w:id="228" w:name="_Toc313888363"/>
      <w:bookmarkStart w:id="229" w:name="_Toc16819"/>
      <w:bookmarkStart w:id="230" w:name="_Toc19396"/>
      <w:bookmarkStart w:id="231" w:name="_Toc103679702"/>
      <w:bookmarkStart w:id="232" w:name="_Toc30310"/>
      <w:bookmarkStart w:id="233" w:name="_Toc26076"/>
      <w:bookmarkStart w:id="234" w:name="_Toc313008359"/>
      <w:bookmarkStart w:id="235" w:name="_Toc342913422"/>
      <w:r>
        <w:rPr>
          <w:rFonts w:hint="eastAsia" w:ascii="宋体" w:hAnsi="宋体" w:eastAsia="宋体" w:cs="宋体"/>
          <w:color w:val="auto"/>
          <w:sz w:val="24"/>
          <w:szCs w:val="24"/>
          <w:highlight w:val="none"/>
        </w:rPr>
        <w:t>四、资格条件及其他</w:t>
      </w:r>
      <w:bookmarkEnd w:id="228"/>
      <w:bookmarkEnd w:id="229"/>
      <w:bookmarkEnd w:id="230"/>
      <w:bookmarkEnd w:id="231"/>
      <w:bookmarkEnd w:id="232"/>
      <w:bookmarkEnd w:id="233"/>
      <w:bookmarkEnd w:id="234"/>
      <w:bookmarkEnd w:id="235"/>
    </w:p>
    <w:p w14:paraId="2BFA7746">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（一）法人营业执照（副本）或事业单位法人证书（副本）或个体工商户营业执照或有效的自然人身份证明或社会团体法人登记证书</w:t>
      </w:r>
    </w:p>
    <w:p w14:paraId="204C0E16">
      <w:pPr>
        <w:pStyle w:val="60"/>
        <w:ind w:left="560" w:firstLine="880"/>
        <w:rPr>
          <w:rFonts w:hint="eastAsia" w:ascii="宋体" w:hAnsi="宋体" w:eastAsia="宋体" w:cs="宋体"/>
          <w:color w:val="auto"/>
          <w:sz w:val="24"/>
          <w:szCs w:val="24"/>
          <w:highlight w:val="none"/>
        </w:rPr>
      </w:pPr>
    </w:p>
    <w:p w14:paraId="010A4A2A">
      <w:pPr>
        <w:pStyle w:val="60"/>
        <w:ind w:left="560" w:firstLine="880"/>
        <w:rPr>
          <w:rFonts w:hint="eastAsia" w:ascii="宋体" w:hAnsi="宋体" w:eastAsia="宋体" w:cs="宋体"/>
          <w:color w:val="auto"/>
          <w:sz w:val="24"/>
          <w:szCs w:val="24"/>
          <w:highlight w:val="none"/>
        </w:rPr>
      </w:pPr>
    </w:p>
    <w:p w14:paraId="7DAAEDC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1FC40ED">
      <w:pPr>
        <w:widowControl/>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775C7FDF">
      <w:pPr>
        <w:tabs>
          <w:tab w:val="left" w:pos="6300"/>
        </w:tabs>
        <w:snapToGrid w:val="0"/>
        <w:spacing w:line="500" w:lineRule="exact"/>
        <w:ind w:firstLine="570"/>
        <w:rPr>
          <w:rFonts w:hint="eastAsia" w:ascii="宋体" w:hAnsi="宋体" w:eastAsia="宋体" w:cs="宋体"/>
          <w:color w:val="auto"/>
          <w:sz w:val="24"/>
          <w:szCs w:val="24"/>
          <w:highlight w:val="none"/>
        </w:rPr>
      </w:pPr>
    </w:p>
    <w:p w14:paraId="55D89FB4">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p>
    <w:p w14:paraId="42D76C6E">
      <w:pPr>
        <w:tabs>
          <w:tab w:val="left" w:pos="6300"/>
        </w:tabs>
        <w:snapToGrid w:val="0"/>
        <w:spacing w:line="500" w:lineRule="exact"/>
        <w:ind w:firstLine="570"/>
        <w:rPr>
          <w:rFonts w:hint="eastAsia" w:ascii="宋体" w:hAnsi="宋体" w:eastAsia="宋体" w:cs="宋体"/>
          <w:color w:val="auto"/>
          <w:sz w:val="24"/>
          <w:szCs w:val="24"/>
          <w:highlight w:val="none"/>
        </w:rPr>
      </w:pPr>
    </w:p>
    <w:p w14:paraId="6F3EBD26">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14:paraId="6A3758C2">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（法定代表人姓名）在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（职务名称）职务，是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名称）的法定代表人。</w:t>
      </w:r>
    </w:p>
    <w:p w14:paraId="4B118F17">
      <w:pPr>
        <w:tabs>
          <w:tab w:val="left" w:pos="6300"/>
        </w:tabs>
        <w:snapToGrid w:val="0"/>
        <w:spacing w:line="500" w:lineRule="exact"/>
        <w:ind w:firstLine="570"/>
        <w:rPr>
          <w:rFonts w:hint="eastAsia" w:ascii="宋体" w:hAnsi="宋体" w:eastAsia="宋体" w:cs="宋体"/>
          <w:color w:val="auto"/>
          <w:sz w:val="24"/>
          <w:szCs w:val="24"/>
          <w:highlight w:val="none"/>
        </w:rPr>
      </w:pPr>
    </w:p>
    <w:p w14:paraId="4179A547">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30DE8622">
      <w:pPr>
        <w:tabs>
          <w:tab w:val="left" w:pos="6300"/>
        </w:tabs>
        <w:snapToGrid w:val="0"/>
        <w:spacing w:line="500" w:lineRule="exact"/>
        <w:ind w:firstLine="570"/>
        <w:rPr>
          <w:rFonts w:hint="eastAsia" w:ascii="宋体" w:hAnsi="宋体" w:eastAsia="宋体" w:cs="宋体"/>
          <w:color w:val="auto"/>
          <w:sz w:val="24"/>
          <w:szCs w:val="24"/>
          <w:highlight w:val="none"/>
        </w:rPr>
      </w:pPr>
    </w:p>
    <w:p w14:paraId="5891CCF3">
      <w:pPr>
        <w:tabs>
          <w:tab w:val="left" w:pos="6300"/>
        </w:tabs>
        <w:snapToGrid w:val="0"/>
        <w:spacing w:line="500" w:lineRule="exact"/>
        <w:ind w:firstLine="570"/>
        <w:rPr>
          <w:rFonts w:hint="eastAsia" w:ascii="宋体" w:hAnsi="宋体" w:eastAsia="宋体" w:cs="宋体"/>
          <w:color w:val="auto"/>
          <w:sz w:val="24"/>
          <w:szCs w:val="24"/>
          <w:highlight w:val="none"/>
        </w:rPr>
      </w:pPr>
    </w:p>
    <w:p w14:paraId="6B5E7530">
      <w:pPr>
        <w:tabs>
          <w:tab w:val="left" w:pos="6300"/>
        </w:tabs>
        <w:snapToGrid w:val="0"/>
        <w:spacing w:line="500" w:lineRule="exact"/>
        <w:ind w:firstLine="570"/>
        <w:rPr>
          <w:rFonts w:hint="eastAsia" w:ascii="宋体" w:hAnsi="宋体" w:eastAsia="宋体" w:cs="宋体"/>
          <w:color w:val="auto"/>
          <w:sz w:val="24"/>
          <w:szCs w:val="24"/>
          <w:highlight w:val="none"/>
        </w:rPr>
      </w:pPr>
    </w:p>
    <w:p w14:paraId="3CDE7C08">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6962946C">
      <w:pPr>
        <w:tabs>
          <w:tab w:val="left" w:pos="6300"/>
        </w:tabs>
        <w:snapToGrid w:val="0"/>
        <w:spacing w:line="500" w:lineRule="exact"/>
        <w:ind w:firstLine="570"/>
        <w:rPr>
          <w:rFonts w:hint="eastAsia" w:ascii="宋体" w:hAnsi="宋体" w:eastAsia="宋体" w:cs="宋体"/>
          <w:color w:val="auto"/>
          <w:sz w:val="24"/>
          <w:szCs w:val="24"/>
          <w:highlight w:val="none"/>
        </w:rPr>
      </w:pPr>
    </w:p>
    <w:p w14:paraId="11824FA3">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42CC77F7">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（附：法定代表人身份证正反面复印件）</w:t>
      </w:r>
    </w:p>
    <w:p w14:paraId="3A76C11D">
      <w:pPr>
        <w:tabs>
          <w:tab w:val="left" w:pos="6300"/>
        </w:tabs>
        <w:snapToGrid w:val="0"/>
        <w:spacing w:line="500" w:lineRule="exact"/>
        <w:ind w:firstLine="570"/>
        <w:rPr>
          <w:rFonts w:hint="eastAsia" w:ascii="宋体" w:hAnsi="宋体" w:eastAsia="宋体" w:cs="宋体"/>
          <w:color w:val="auto"/>
          <w:sz w:val="24"/>
          <w:szCs w:val="24"/>
          <w:highlight w:val="none"/>
        </w:rPr>
      </w:pPr>
    </w:p>
    <w:p w14:paraId="0594F620">
      <w:pPr>
        <w:tabs>
          <w:tab w:val="left" w:pos="6300"/>
        </w:tabs>
        <w:snapToGrid w:val="0"/>
        <w:spacing w:line="500" w:lineRule="exact"/>
        <w:ind w:firstLine="570"/>
        <w:rPr>
          <w:rFonts w:hint="eastAsia" w:ascii="宋体" w:hAnsi="宋体" w:eastAsia="宋体" w:cs="宋体"/>
          <w:color w:val="auto"/>
          <w:sz w:val="24"/>
          <w:szCs w:val="24"/>
          <w:highlight w:val="none"/>
        </w:rPr>
      </w:pPr>
    </w:p>
    <w:p w14:paraId="63CBE70D">
      <w:pPr>
        <w:tabs>
          <w:tab w:val="left" w:pos="6300"/>
        </w:tabs>
        <w:snapToGrid w:val="0"/>
        <w:spacing w:line="500" w:lineRule="exact"/>
        <w:ind w:firstLine="570"/>
        <w:rPr>
          <w:rFonts w:hint="eastAsia" w:ascii="宋体" w:hAnsi="宋体" w:eastAsia="宋体" w:cs="宋体"/>
          <w:color w:val="auto"/>
          <w:sz w:val="24"/>
          <w:szCs w:val="24"/>
          <w:highlight w:val="none"/>
        </w:rPr>
      </w:pPr>
    </w:p>
    <w:p w14:paraId="3AD7CE07">
      <w:pPr>
        <w:tabs>
          <w:tab w:val="left" w:pos="6300"/>
        </w:tabs>
        <w:snapToGrid w:val="0"/>
        <w:spacing w:line="500" w:lineRule="exact"/>
        <w:ind w:firstLine="570"/>
        <w:rPr>
          <w:rFonts w:hint="eastAsia" w:ascii="宋体" w:hAnsi="宋体" w:eastAsia="宋体" w:cs="宋体"/>
          <w:color w:val="auto"/>
          <w:sz w:val="24"/>
          <w:szCs w:val="24"/>
          <w:highlight w:val="none"/>
        </w:rPr>
      </w:pPr>
    </w:p>
    <w:p w14:paraId="3281E6EF">
      <w:pPr>
        <w:tabs>
          <w:tab w:val="left" w:pos="6300"/>
        </w:tabs>
        <w:snapToGrid w:val="0"/>
        <w:spacing w:line="500" w:lineRule="exact"/>
        <w:ind w:firstLine="570"/>
        <w:rPr>
          <w:rFonts w:hint="eastAsia" w:ascii="宋体" w:hAnsi="宋体" w:eastAsia="宋体" w:cs="宋体"/>
          <w:color w:val="auto"/>
          <w:sz w:val="24"/>
          <w:szCs w:val="24"/>
          <w:highlight w:val="none"/>
        </w:rPr>
      </w:pPr>
    </w:p>
    <w:p w14:paraId="6BD5F123">
      <w:pPr>
        <w:tabs>
          <w:tab w:val="left" w:pos="6300"/>
        </w:tabs>
        <w:snapToGrid w:val="0"/>
        <w:spacing w:line="500" w:lineRule="exact"/>
        <w:ind w:firstLine="570"/>
        <w:rPr>
          <w:rFonts w:hint="eastAsia" w:ascii="宋体" w:hAnsi="宋体" w:eastAsia="宋体" w:cs="宋体"/>
          <w:color w:val="auto"/>
          <w:sz w:val="24"/>
          <w:szCs w:val="24"/>
          <w:highlight w:val="none"/>
        </w:rPr>
      </w:pPr>
    </w:p>
    <w:p w14:paraId="3375C172">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column"/>
      </w:r>
      <w:r>
        <w:rPr>
          <w:rFonts w:hint="eastAsia" w:ascii="宋体" w:hAnsi="宋体" w:eastAsia="宋体" w:cs="宋体"/>
          <w:color w:val="auto"/>
          <w:sz w:val="24"/>
          <w:szCs w:val="24"/>
          <w:highlight w:val="none"/>
        </w:rPr>
        <w:t>（三）法定代表人授权委托书（格式）</w:t>
      </w:r>
    </w:p>
    <w:p w14:paraId="080B28F8">
      <w:pPr>
        <w:tabs>
          <w:tab w:val="left" w:pos="6300"/>
        </w:tabs>
        <w:snapToGrid w:val="0"/>
        <w:spacing w:line="500" w:lineRule="exact"/>
        <w:ind w:firstLine="570"/>
        <w:rPr>
          <w:rFonts w:hint="eastAsia" w:ascii="宋体" w:hAnsi="宋体" w:eastAsia="宋体" w:cs="宋体"/>
          <w:color w:val="auto"/>
          <w:sz w:val="24"/>
          <w:szCs w:val="24"/>
          <w:highlight w:val="none"/>
        </w:rPr>
      </w:pPr>
    </w:p>
    <w:p w14:paraId="19752000">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p>
    <w:p w14:paraId="26E769CE">
      <w:pPr>
        <w:tabs>
          <w:tab w:val="left" w:pos="6300"/>
        </w:tabs>
        <w:snapToGrid w:val="0"/>
        <w:spacing w:line="500" w:lineRule="exact"/>
        <w:ind w:firstLine="570"/>
        <w:rPr>
          <w:rFonts w:hint="eastAsia" w:ascii="宋体" w:hAnsi="宋体" w:eastAsia="宋体" w:cs="宋体"/>
          <w:color w:val="auto"/>
          <w:sz w:val="24"/>
          <w:szCs w:val="24"/>
          <w:highlight w:val="none"/>
        </w:rPr>
      </w:pPr>
    </w:p>
    <w:p w14:paraId="0DF6AC0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14:paraId="23D9C062">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法定代表人名称）是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名称）的法定代表人，特授权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（被授权人姓名及身份证号码）代表我单位全权办理上述项目的谈判采购、签约等具体工作，并签署全部有关文件、协议及合同。</w:t>
      </w:r>
    </w:p>
    <w:p w14:paraId="102F3DD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我单位对被授权人的签字负全部责任。</w:t>
      </w:r>
    </w:p>
    <w:p w14:paraId="6025D6E0">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在撤消授权的书面通知以前，本授权书一直有效。被授权人在授权书有效期内签署的所有文件不因授权的撤消而失效。</w:t>
      </w:r>
    </w:p>
    <w:p w14:paraId="0365E7F6">
      <w:pPr>
        <w:tabs>
          <w:tab w:val="left" w:pos="6300"/>
        </w:tabs>
        <w:snapToGrid w:val="0"/>
        <w:spacing w:line="500" w:lineRule="exact"/>
        <w:ind w:firstLine="570"/>
        <w:rPr>
          <w:rFonts w:hint="eastAsia" w:ascii="宋体" w:hAnsi="宋体" w:eastAsia="宋体" w:cs="宋体"/>
          <w:color w:val="auto"/>
          <w:sz w:val="24"/>
          <w:szCs w:val="24"/>
          <w:highlight w:val="none"/>
        </w:rPr>
      </w:pPr>
    </w:p>
    <w:p w14:paraId="30AE2FC7">
      <w:pPr>
        <w:tabs>
          <w:tab w:val="left" w:pos="6300"/>
        </w:tabs>
        <w:snapToGrid w:val="0"/>
        <w:spacing w:line="500" w:lineRule="exact"/>
        <w:ind w:firstLine="570"/>
        <w:rPr>
          <w:rFonts w:hint="eastAsia" w:ascii="宋体" w:hAnsi="宋体" w:eastAsia="宋体" w:cs="宋体"/>
          <w:color w:val="auto"/>
          <w:sz w:val="24"/>
          <w:szCs w:val="24"/>
          <w:highlight w:val="none"/>
        </w:rPr>
      </w:pPr>
    </w:p>
    <w:p w14:paraId="6472B842">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                                   </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法定代表人：</w:t>
      </w:r>
    </w:p>
    <w:p w14:paraId="6345593A">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p>
    <w:p w14:paraId="686626D1">
      <w:pPr>
        <w:tabs>
          <w:tab w:val="left" w:pos="6300"/>
        </w:tabs>
        <w:snapToGrid w:val="0"/>
        <w:spacing w:line="500" w:lineRule="exact"/>
        <w:ind w:firstLine="570"/>
        <w:rPr>
          <w:rFonts w:hint="eastAsia" w:ascii="宋体" w:hAnsi="宋体" w:eastAsia="宋体" w:cs="宋体"/>
          <w:color w:val="auto"/>
          <w:sz w:val="24"/>
          <w:szCs w:val="24"/>
          <w:highlight w:val="none"/>
        </w:rPr>
      </w:pPr>
    </w:p>
    <w:p w14:paraId="7CBCB204">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（附：被授权人身份证正反面复印件）</w:t>
      </w:r>
    </w:p>
    <w:p w14:paraId="28FD42D9">
      <w:pPr>
        <w:tabs>
          <w:tab w:val="left" w:pos="6300"/>
        </w:tabs>
        <w:snapToGrid w:val="0"/>
        <w:spacing w:line="500" w:lineRule="exact"/>
        <w:ind w:firstLine="570"/>
        <w:rPr>
          <w:rFonts w:hint="eastAsia" w:ascii="宋体" w:hAnsi="宋体" w:eastAsia="宋体" w:cs="宋体"/>
          <w:color w:val="auto"/>
          <w:sz w:val="24"/>
          <w:szCs w:val="24"/>
          <w:highlight w:val="none"/>
        </w:rPr>
      </w:pPr>
    </w:p>
    <w:p w14:paraId="133EE274">
      <w:pPr>
        <w:tabs>
          <w:tab w:val="left" w:pos="6300"/>
        </w:tabs>
        <w:snapToGrid w:val="0"/>
        <w:spacing w:line="500" w:lineRule="exact"/>
        <w:ind w:firstLine="570"/>
        <w:rPr>
          <w:rFonts w:hint="eastAsia" w:ascii="宋体" w:hAnsi="宋体" w:eastAsia="宋体" w:cs="宋体"/>
          <w:color w:val="auto"/>
          <w:sz w:val="24"/>
          <w:szCs w:val="24"/>
          <w:highlight w:val="none"/>
        </w:rPr>
      </w:pPr>
    </w:p>
    <w:p w14:paraId="5DA156EA">
      <w:pPr>
        <w:tabs>
          <w:tab w:val="left" w:pos="6300"/>
        </w:tabs>
        <w:snapToGrid w:val="0"/>
        <w:spacing w:line="500" w:lineRule="exact"/>
        <w:ind w:firstLine="570"/>
        <w:rPr>
          <w:rFonts w:hint="eastAsia" w:ascii="宋体" w:hAnsi="宋体" w:eastAsia="宋体" w:cs="宋体"/>
          <w:color w:val="auto"/>
          <w:sz w:val="24"/>
          <w:szCs w:val="24"/>
          <w:highlight w:val="none"/>
        </w:rPr>
      </w:pPr>
    </w:p>
    <w:p w14:paraId="74889701">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489DC396">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4183852A">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p>
    <w:p w14:paraId="7B4F60F2">
      <w:pPr>
        <w:widowControl/>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column"/>
      </w:r>
      <w:bookmarkStart w:id="236" w:name="_Toc14422"/>
      <w:r>
        <w:rPr>
          <w:rFonts w:hint="eastAsia" w:ascii="宋体" w:hAnsi="宋体" w:eastAsia="宋体" w:cs="宋体"/>
          <w:color w:val="auto"/>
          <w:sz w:val="24"/>
          <w:szCs w:val="24"/>
          <w:highlight w:val="none"/>
        </w:rPr>
        <w:t>（四）基本资格条件承诺函（格式）</w:t>
      </w:r>
    </w:p>
    <w:p w14:paraId="1E4C933F">
      <w:pPr>
        <w:tabs>
          <w:tab w:val="left" w:pos="6300"/>
        </w:tabs>
        <w:snapToGrid w:val="0"/>
        <w:spacing w:line="530" w:lineRule="exact"/>
        <w:rPr>
          <w:rFonts w:hint="eastAsia" w:ascii="宋体" w:hAnsi="宋体" w:eastAsia="宋体" w:cs="宋体"/>
          <w:color w:val="auto"/>
          <w:sz w:val="24"/>
          <w:szCs w:val="24"/>
          <w:highlight w:val="none"/>
        </w:rPr>
      </w:pPr>
    </w:p>
    <w:p w14:paraId="16DEAE56">
      <w:pPr>
        <w:tabs>
          <w:tab w:val="left" w:pos="6300"/>
        </w:tabs>
        <w:snapToGrid w:val="0"/>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14:paraId="2A91F9CE">
      <w:pPr>
        <w:tabs>
          <w:tab w:val="left" w:pos="6300"/>
        </w:tabs>
        <w:snapToGrid w:val="0"/>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名称）郑重承诺：</w:t>
      </w:r>
    </w:p>
    <w:p w14:paraId="5ED074FA">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1.我方具有良好的商业信誉和健全的财务会计制度，具有履行合同所必需的设备和专业技术能力，具</w:t>
      </w:r>
      <w:r>
        <w:rPr>
          <w:rFonts w:hint="eastAsia" w:ascii="宋体" w:hAnsi="宋体" w:eastAsia="宋体" w:cs="宋体"/>
          <w:color w:val="auto"/>
          <w:sz w:val="24"/>
          <w:szCs w:val="24"/>
          <w:highlight w:val="none"/>
          <w:lang w:val="zh-CN"/>
        </w:rPr>
        <w:t>有依法缴纳税收和社会保障金的良好记录</w:t>
      </w:r>
      <w:r>
        <w:rPr>
          <w:rFonts w:hint="eastAsia" w:ascii="宋体" w:hAnsi="宋体" w:eastAsia="宋体" w:cs="宋体"/>
          <w:color w:val="auto"/>
          <w:sz w:val="24"/>
          <w:szCs w:val="24"/>
          <w:highlight w:val="none"/>
        </w:rPr>
        <w:t>，参加本项目采购活动前三年内无重大违法活动记录。</w:t>
      </w:r>
    </w:p>
    <w:p w14:paraId="6B550472">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155D3306">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3.我方在采购项目评审（评标）环节结束后，随时接受采购人、采购代理机构的检查验证，配合提供相关证明材料，证明符合《中华人民共和国政府采购法》规定的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基本资格条件。</w:t>
      </w:r>
    </w:p>
    <w:p w14:paraId="6E0C024A">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我方对以上承诺负全部法律责任。</w:t>
      </w:r>
    </w:p>
    <w:p w14:paraId="7CC488FF">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3F015250">
      <w:pPr>
        <w:tabs>
          <w:tab w:val="left" w:pos="6300"/>
        </w:tabs>
        <w:snapToGrid w:val="0"/>
        <w:spacing w:line="530" w:lineRule="exact"/>
        <w:rPr>
          <w:rFonts w:hint="eastAsia" w:ascii="宋体" w:hAnsi="宋体" w:eastAsia="宋体" w:cs="宋体"/>
          <w:color w:val="auto"/>
          <w:sz w:val="24"/>
          <w:szCs w:val="24"/>
          <w:highlight w:val="none"/>
        </w:rPr>
      </w:pPr>
    </w:p>
    <w:p w14:paraId="20D9E525">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5A9D0D53">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14075990">
      <w:pPr>
        <w:tabs>
          <w:tab w:val="left" w:pos="6300"/>
        </w:tabs>
        <w:snapToGrid w:val="0"/>
        <w:spacing w:line="500" w:lineRule="exact"/>
        <w:ind w:firstLine="570"/>
        <w:rPr>
          <w:rFonts w:hint="eastAsia" w:ascii="宋体" w:hAnsi="宋体" w:eastAsia="宋体" w:cs="宋体"/>
          <w:color w:val="auto"/>
          <w:sz w:val="24"/>
          <w:szCs w:val="24"/>
          <w:highlight w:val="none"/>
        </w:rPr>
      </w:pPr>
    </w:p>
    <w:p w14:paraId="601BED2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6C7DFAE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71DCAA6">
      <w:pPr>
        <w:pStyle w:val="2"/>
        <w:rPr>
          <w:rFonts w:hint="eastAsia" w:ascii="宋体" w:hAnsi="宋体" w:eastAsia="宋体" w:cs="宋体"/>
          <w:color w:val="auto"/>
          <w:sz w:val="24"/>
          <w:szCs w:val="24"/>
          <w:highlight w:val="none"/>
        </w:rPr>
      </w:pPr>
    </w:p>
    <w:p w14:paraId="42C237FF">
      <w:pPr>
        <w:rPr>
          <w:rFonts w:hint="eastAsia" w:ascii="宋体" w:hAnsi="宋体" w:eastAsia="宋体" w:cs="宋体"/>
          <w:color w:val="auto"/>
          <w:sz w:val="24"/>
          <w:szCs w:val="24"/>
          <w:highlight w:val="none"/>
        </w:rPr>
      </w:pPr>
    </w:p>
    <w:p w14:paraId="502E9862">
      <w:pPr>
        <w:pStyle w:val="2"/>
        <w:rPr>
          <w:rFonts w:hint="eastAsia" w:ascii="宋体" w:hAnsi="宋体" w:eastAsia="宋体" w:cs="宋体"/>
          <w:color w:val="auto"/>
          <w:sz w:val="24"/>
          <w:szCs w:val="24"/>
          <w:highlight w:val="none"/>
        </w:rPr>
      </w:pPr>
    </w:p>
    <w:p w14:paraId="3C08BA9B">
      <w:pPr>
        <w:rPr>
          <w:rFonts w:hint="eastAsia" w:ascii="宋体" w:hAnsi="宋体" w:eastAsia="宋体" w:cs="宋体"/>
          <w:color w:val="auto"/>
          <w:sz w:val="24"/>
          <w:szCs w:val="24"/>
          <w:highlight w:val="none"/>
        </w:rPr>
      </w:pPr>
    </w:p>
    <w:p w14:paraId="45F8E778">
      <w:pPr>
        <w:tabs>
          <w:tab w:val="left" w:pos="6300"/>
        </w:tabs>
        <w:snapToGrid w:val="0"/>
        <w:spacing w:line="500" w:lineRule="exact"/>
        <w:ind w:firstLine="570"/>
        <w:rPr>
          <w:rFonts w:hint="eastAsia" w:ascii="宋体" w:hAnsi="宋体" w:eastAsia="宋体" w:cs="宋体"/>
          <w:color w:val="auto"/>
          <w:sz w:val="24"/>
          <w:szCs w:val="24"/>
          <w:highlight w:val="none"/>
        </w:rPr>
      </w:pPr>
    </w:p>
    <w:p w14:paraId="6FBF05BD">
      <w:pPr>
        <w:tabs>
          <w:tab w:val="left" w:pos="6300"/>
        </w:tabs>
        <w:snapToGrid w:val="0"/>
        <w:spacing w:line="500" w:lineRule="exact"/>
        <w:ind w:firstLine="570"/>
        <w:rPr>
          <w:rFonts w:hint="eastAsia" w:ascii="宋体" w:hAnsi="宋体" w:eastAsia="宋体" w:cs="宋体"/>
          <w:color w:val="auto"/>
          <w:sz w:val="24"/>
          <w:szCs w:val="24"/>
          <w:highlight w:val="none"/>
        </w:rPr>
      </w:pPr>
    </w:p>
    <w:p w14:paraId="12B80C43">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（五）特定资格条件证明文件（如有）</w:t>
      </w:r>
    </w:p>
    <w:p w14:paraId="028A30CB">
      <w:pPr>
        <w:pStyle w:val="2"/>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br w:type="page"/>
      </w:r>
      <w:bookmarkStart w:id="237" w:name="_Toc17417"/>
      <w:bookmarkStart w:id="238" w:name="_Toc5951"/>
      <w:bookmarkStart w:id="239" w:name="_Toc15318"/>
      <w:bookmarkStart w:id="240" w:name="_Toc26481"/>
      <w:r>
        <w:rPr>
          <w:rFonts w:hint="eastAsia" w:ascii="宋体" w:hAnsi="宋体" w:eastAsia="宋体" w:cs="宋体"/>
          <w:color w:val="auto"/>
          <w:sz w:val="24"/>
          <w:szCs w:val="24"/>
          <w:highlight w:val="none"/>
        </w:rPr>
        <w:t>五、其他应提供的资料</w:t>
      </w:r>
      <w:bookmarkEnd w:id="236"/>
      <w:bookmarkEnd w:id="237"/>
      <w:bookmarkEnd w:id="238"/>
      <w:bookmarkEnd w:id="239"/>
      <w:bookmarkEnd w:id="240"/>
    </w:p>
    <w:p w14:paraId="05E70E98">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）其他与项目有关的资料（</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0470A708">
      <w:pPr>
        <w:tabs>
          <w:tab w:val="left" w:pos="6300"/>
        </w:tabs>
        <w:snapToGrid w:val="0"/>
        <w:spacing w:line="500" w:lineRule="exact"/>
        <w:ind w:firstLine="570"/>
        <w:rPr>
          <w:rFonts w:hint="eastAsia" w:ascii="宋体" w:hAnsi="宋体" w:eastAsia="宋体" w:cs="宋体"/>
          <w:color w:val="auto"/>
          <w:sz w:val="24"/>
          <w:szCs w:val="24"/>
          <w:highlight w:val="none"/>
        </w:rPr>
      </w:pPr>
    </w:p>
    <w:p w14:paraId="76AF4870">
      <w:pPr>
        <w:spacing w:line="360" w:lineRule="auto"/>
        <w:ind w:firstLine="480" w:firstLineChars="200"/>
        <w:jc w:val="center"/>
        <w:rPr>
          <w:rFonts w:hint="eastAsia" w:ascii="宋体" w:hAnsi="宋体" w:eastAsia="宋体" w:cs="宋体"/>
          <w:color w:val="auto"/>
          <w:sz w:val="24"/>
          <w:szCs w:val="24"/>
          <w:highlight w:val="none"/>
        </w:rPr>
      </w:pPr>
    </w:p>
    <w:p w14:paraId="586BF3B5">
      <w:pPr>
        <w:spacing w:line="400" w:lineRule="exact"/>
        <w:ind w:firstLine="480" w:firstLineChars="200"/>
        <w:jc w:val="center"/>
        <w:rPr>
          <w:rFonts w:hint="eastAsia" w:ascii="宋体" w:hAnsi="宋体" w:eastAsia="宋体" w:cs="宋体"/>
          <w:color w:val="auto"/>
          <w:sz w:val="24"/>
          <w:szCs w:val="24"/>
          <w:highlight w:val="none"/>
        </w:rPr>
      </w:pPr>
    </w:p>
    <w:p w14:paraId="431EBE3C">
      <w:pPr>
        <w:spacing w:line="400" w:lineRule="exact"/>
        <w:ind w:firstLine="480" w:firstLineChars="200"/>
        <w:jc w:val="center"/>
        <w:rPr>
          <w:rFonts w:hint="eastAsia" w:ascii="宋体" w:hAnsi="宋体" w:eastAsia="宋体" w:cs="宋体"/>
          <w:color w:val="auto"/>
          <w:sz w:val="24"/>
          <w:szCs w:val="24"/>
          <w:highlight w:val="none"/>
        </w:rPr>
      </w:pPr>
    </w:p>
    <w:p w14:paraId="04696B8F">
      <w:pPr>
        <w:spacing w:line="400" w:lineRule="exact"/>
        <w:ind w:firstLine="480" w:firstLineChars="200"/>
        <w:jc w:val="center"/>
        <w:rPr>
          <w:rFonts w:hint="eastAsia" w:ascii="宋体" w:hAnsi="宋体" w:eastAsia="宋体" w:cs="宋体"/>
          <w:color w:val="auto"/>
          <w:sz w:val="24"/>
          <w:szCs w:val="24"/>
          <w:highlight w:val="none"/>
        </w:rPr>
      </w:pPr>
    </w:p>
    <w:p w14:paraId="1F7C8E02">
      <w:pPr>
        <w:spacing w:line="40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（结束）</w:t>
      </w:r>
    </w:p>
    <w:p w14:paraId="3C2526ED">
      <w:pPr>
        <w:spacing w:line="360" w:lineRule="auto"/>
        <w:ind w:firstLine="480" w:firstLineChars="200"/>
        <w:rPr>
          <w:rFonts w:hint="eastAsia" w:ascii="宋体" w:hAnsi="宋体" w:eastAsia="宋体" w:cs="宋体"/>
          <w:color w:val="auto"/>
          <w:sz w:val="24"/>
          <w:szCs w:val="24"/>
          <w:highlight w:val="none"/>
        </w:rPr>
      </w:pPr>
    </w:p>
    <w:p w14:paraId="64B9F1E8">
      <w:pPr>
        <w:spacing w:line="360" w:lineRule="auto"/>
        <w:ind w:firstLine="480" w:firstLineChars="200"/>
        <w:jc w:val="center"/>
        <w:rPr>
          <w:rFonts w:hint="eastAsia" w:ascii="宋体" w:hAnsi="宋体" w:eastAsia="宋体" w:cs="宋体"/>
          <w:color w:val="auto"/>
          <w:sz w:val="24"/>
          <w:szCs w:val="24"/>
          <w:highlight w:val="none"/>
        </w:rPr>
      </w:pPr>
    </w:p>
    <w:p w14:paraId="39942D03">
      <w:pPr>
        <w:spacing w:line="360" w:lineRule="auto"/>
        <w:ind w:firstLine="480" w:firstLineChars="200"/>
        <w:jc w:val="center"/>
        <w:rPr>
          <w:rFonts w:hint="eastAsia" w:ascii="宋体" w:hAnsi="宋体" w:eastAsia="宋体" w:cs="宋体"/>
          <w:color w:val="auto"/>
          <w:sz w:val="24"/>
          <w:szCs w:val="24"/>
          <w:highlight w:val="none"/>
        </w:rPr>
      </w:pPr>
    </w:p>
    <w:p w14:paraId="5B93BC08">
      <w:pPr>
        <w:spacing w:line="360" w:lineRule="auto"/>
        <w:ind w:firstLine="480" w:firstLineChars="200"/>
        <w:jc w:val="center"/>
        <w:rPr>
          <w:rFonts w:hint="eastAsia" w:ascii="宋体" w:hAnsi="宋体" w:eastAsia="宋体" w:cs="宋体"/>
          <w:color w:val="auto"/>
          <w:sz w:val="24"/>
          <w:szCs w:val="24"/>
          <w:highlight w:val="none"/>
        </w:rPr>
      </w:pPr>
    </w:p>
    <w:p w14:paraId="5CD32D9A">
      <w:pPr>
        <w:spacing w:line="360" w:lineRule="auto"/>
        <w:ind w:firstLine="480" w:firstLineChars="200"/>
        <w:jc w:val="center"/>
        <w:rPr>
          <w:rFonts w:hint="eastAsia" w:ascii="宋体" w:hAnsi="宋体" w:eastAsia="宋体" w:cs="宋体"/>
          <w:color w:val="auto"/>
          <w:sz w:val="24"/>
          <w:szCs w:val="24"/>
          <w:highlight w:val="none"/>
        </w:rPr>
      </w:pPr>
    </w:p>
    <w:p w14:paraId="23A4B095">
      <w:pPr>
        <w:spacing w:line="360" w:lineRule="auto"/>
        <w:ind w:firstLine="480" w:firstLineChars="200"/>
        <w:jc w:val="center"/>
        <w:rPr>
          <w:rFonts w:hint="eastAsia" w:ascii="宋体" w:hAnsi="宋体" w:eastAsia="宋体" w:cs="宋体"/>
          <w:color w:val="auto"/>
          <w:sz w:val="24"/>
          <w:szCs w:val="24"/>
          <w:highlight w:val="none"/>
        </w:rPr>
      </w:pPr>
    </w:p>
    <w:p w14:paraId="3EF51FC5">
      <w:pPr>
        <w:pStyle w:val="127"/>
        <w:spacing w:line="20" w:lineRule="atLeast"/>
        <w:jc w:val="center"/>
        <w:rPr>
          <w:rFonts w:hint="eastAsia" w:ascii="宋体" w:hAnsi="宋体" w:eastAsia="宋体" w:cs="宋体"/>
          <w:color w:val="auto"/>
          <w:sz w:val="24"/>
          <w:szCs w:val="24"/>
          <w:highlight w:val="none"/>
        </w:rPr>
      </w:pPr>
    </w:p>
    <w:p w14:paraId="0AB369F9">
      <w:pPr>
        <w:pStyle w:val="127"/>
        <w:spacing w:line="20" w:lineRule="atLeast"/>
        <w:jc w:val="center"/>
        <w:rPr>
          <w:rFonts w:hint="eastAsia" w:ascii="宋体" w:hAnsi="宋体" w:eastAsia="宋体" w:cs="宋体"/>
          <w:color w:val="auto"/>
          <w:sz w:val="24"/>
          <w:szCs w:val="24"/>
          <w:highlight w:val="none"/>
        </w:rPr>
      </w:pPr>
    </w:p>
    <w:sectPr>
      <w:headerReference r:id="rId7" w:type="default"/>
      <w:footerReference r:id="rId8"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097B0ADE-CE0C-4AD6-9D1A-CBBBBB881CE0}"/>
  </w:font>
  <w:font w:name="Calibri Light">
    <w:panose1 w:val="020F0302020204030204"/>
    <w:charset w:val="00"/>
    <w:family w:val="swiss"/>
    <w:pitch w:val="default"/>
    <w:sig w:usb0="E4002EFF" w:usb1="C000247B" w:usb2="00000009" w:usb3="00000000" w:csb0="200001FF" w:csb1="00000000"/>
  </w:font>
  <w:font w:name="Helvetica">
    <w:altName w:val="Arial"/>
    <w:panose1 w:val="020B0504020202030204"/>
    <w:charset w:val="00"/>
    <w:family w:val="auto"/>
    <w:pitch w:val="default"/>
    <w:sig w:usb0="00000000" w:usb1="00000000" w:usb2="00000000" w:usb3="00000000" w:csb0="00000093"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2DE12A47-F99D-4D79-A365-4AEE4882FD2C}"/>
  </w:font>
  <w:font w:name="华文仿宋">
    <w:panose1 w:val="02010600040101010101"/>
    <w:charset w:val="86"/>
    <w:family w:val="auto"/>
    <w:pitch w:val="default"/>
    <w:sig w:usb0="00000287" w:usb1="080F0000" w:usb2="00000000" w:usb3="00000000" w:csb0="0004009F" w:csb1="DFD70000"/>
    <w:embedRegular r:id="rId3" w:fontKey="{648EBC89-7117-492B-AF0F-FFEDCEC1E607}"/>
  </w:font>
  <w:font w:name="WPSEMBED1">
    <w:panose1 w:val="03000509000000000000"/>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A8B6C">
    <w:pPr>
      <w:pStyle w:val="36"/>
      <w:framePr w:wrap="around" w:vAnchor="text" w:hAnchor="margin" w:xAlign="center" w:y="1"/>
      <w:jc w:val="center"/>
      <w:rPr>
        <w:rStyle w:val="65"/>
        <w:rFonts w:ascii="宋体"/>
        <w:sz w:val="21"/>
        <w:szCs w:val="21"/>
      </w:rPr>
    </w:pPr>
    <w:r>
      <w:rPr>
        <w:rFonts w:ascii="宋体"/>
        <w:sz w:val="21"/>
        <w:szCs w:val="21"/>
      </w:rPr>
      <w:fldChar w:fldCharType="begin"/>
    </w:r>
    <w:r>
      <w:rPr>
        <w:rStyle w:val="65"/>
        <w:rFonts w:ascii="宋体"/>
        <w:sz w:val="21"/>
        <w:szCs w:val="21"/>
      </w:rPr>
      <w:instrText xml:space="preserve">PAGE  </w:instrText>
    </w:r>
    <w:r>
      <w:rPr>
        <w:rFonts w:ascii="宋体"/>
        <w:sz w:val="21"/>
        <w:szCs w:val="21"/>
      </w:rPr>
      <w:fldChar w:fldCharType="separate"/>
    </w:r>
    <w:r>
      <w:rPr>
        <w:rStyle w:val="65"/>
        <w:rFonts w:ascii="宋体"/>
        <w:sz w:val="21"/>
        <w:szCs w:val="21"/>
      </w:rPr>
      <w:t>- 6 -</w:t>
    </w:r>
    <w:r>
      <w:rPr>
        <w:rFonts w:ascii="宋体"/>
        <w:sz w:val="21"/>
        <w:szCs w:val="21"/>
      </w:rPr>
      <w:fldChar w:fldCharType="end"/>
    </w:r>
  </w:p>
  <w:p w14:paraId="5207B61B">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CBF62">
    <w:pPr>
      <w:pStyle w:val="36"/>
      <w:ind w:right="360"/>
      <w:jc w:val="center"/>
    </w:pPr>
    <w:r>
      <w:fldChar w:fldCharType="begin"/>
    </w:r>
    <w:r>
      <w:rPr>
        <w:rStyle w:val="65"/>
      </w:rPr>
      <w:instrText xml:space="preserve"> PAGE </w:instrText>
    </w:r>
    <w:r>
      <w:fldChar w:fldCharType="separate"/>
    </w:r>
    <w:r>
      <w:rPr>
        <w:rStyle w:val="65"/>
      </w:rPr>
      <w:t>- 31 -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E7585">
    <w:pPr>
      <w:pStyle w:val="36"/>
      <w:jc w:val="center"/>
      <w:rPr>
        <w:rFonts w:ascii="宋体" w:hAnsi="宋体"/>
        <w:sz w:val="21"/>
        <w:szCs w:val="21"/>
      </w:rPr>
    </w:pPr>
    <w:r>
      <w:rPr>
        <w:rFonts w:ascii="宋体" w:hAnsi="宋体"/>
        <w:sz w:val="21"/>
        <w:szCs w:val="21"/>
      </w:rPr>
      <w:fldChar w:fldCharType="begin"/>
    </w:r>
    <w:r>
      <w:rPr>
        <w:rStyle w:val="65"/>
        <w:rFonts w:ascii="宋体" w:hAnsi="宋体"/>
        <w:sz w:val="21"/>
        <w:szCs w:val="21"/>
      </w:rPr>
      <w:instrText xml:space="preserve"> PAGE </w:instrText>
    </w:r>
    <w:r>
      <w:rPr>
        <w:rFonts w:ascii="宋体" w:hAnsi="宋体"/>
        <w:sz w:val="21"/>
        <w:szCs w:val="21"/>
      </w:rPr>
      <w:fldChar w:fldCharType="separate"/>
    </w:r>
    <w:r>
      <w:rPr>
        <w:rStyle w:val="65"/>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A9032">
    <w:pPr>
      <w:pStyle w:val="38"/>
      <w:jc w:val="both"/>
      <w:rPr>
        <w:rFonts w:ascii="仿宋" w:hAnsi="仿宋" w:eastAsia="仿宋" w:cs="仿宋"/>
        <w:sz w:val="24"/>
        <w:szCs w:val="24"/>
      </w:rPr>
    </w:pPr>
    <w:r>
      <w:rPr>
        <w:rFonts w:hint="eastAsia" w:ascii="仿宋" w:hAnsi="仿宋" w:eastAsia="仿宋" w:cs="仿宋"/>
        <w:sz w:val="24"/>
        <w:szCs w:val="24"/>
        <w:lang w:eastAsia="zh-CN"/>
      </w:rPr>
      <w:t>重庆</w:t>
    </w:r>
    <w:r>
      <w:rPr>
        <w:rFonts w:hint="eastAsia" w:ascii="仿宋" w:hAnsi="仿宋" w:eastAsia="仿宋" w:cs="仿宋"/>
        <w:sz w:val="24"/>
        <w:szCs w:val="24"/>
        <w:lang w:val="en-US" w:eastAsia="zh-CN"/>
      </w:rPr>
      <w:t>千诺</w:t>
    </w:r>
    <w:r>
      <w:rPr>
        <w:rFonts w:hint="eastAsia" w:ascii="仿宋" w:hAnsi="仿宋" w:eastAsia="仿宋" w:cs="仿宋"/>
        <w:sz w:val="24"/>
        <w:szCs w:val="24"/>
        <w:lang w:eastAsia="zh-CN"/>
      </w:rPr>
      <w:t>工程项目管理有限公司</w:t>
    </w:r>
    <w:r>
      <w:rPr>
        <w:rFonts w:hint="eastAsia" w:ascii="仿宋" w:hAnsi="仿宋" w:eastAsia="仿宋" w:cs="仿宋"/>
        <w:sz w:val="24"/>
        <w:szCs w:val="24"/>
      </w:rPr>
      <w:t xml:space="preserve">                                   网上竞采文件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D135B">
    <w:pPr>
      <w:pStyle w:val="38"/>
      <w:jc w:val="both"/>
      <w:rPr>
        <w:rFonts w:ascii="仿宋" w:hAnsi="仿宋" w:eastAsia="仿宋" w:cs="仿宋"/>
        <w:sz w:val="24"/>
        <w:szCs w:val="24"/>
      </w:rPr>
    </w:pPr>
    <w:r>
      <w:rPr>
        <w:rFonts w:hint="eastAsia" w:ascii="仿宋" w:hAnsi="仿宋" w:eastAsia="仿宋" w:cs="仿宋"/>
        <w:sz w:val="24"/>
        <w:szCs w:val="24"/>
        <w:lang w:eastAsia="zh-CN"/>
      </w:rPr>
      <w:t>重庆千诺工程项目管理有限公司</w:t>
    </w:r>
    <w:r>
      <w:rPr>
        <w:rFonts w:hint="eastAsia" w:ascii="仿宋" w:hAnsi="仿宋" w:eastAsia="仿宋" w:cs="仿宋"/>
        <w:sz w:val="24"/>
        <w:szCs w:val="24"/>
      </w:rPr>
      <w:t xml:space="preserve">                                     网上竞采文件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D05A2">
    <w:pPr>
      <w:pStyle w:val="38"/>
      <w:jc w:val="both"/>
    </w:pPr>
    <w:r>
      <w:rPr>
        <w:rFonts w:hint="eastAsia" w:ascii="方正仿宋_GBK" w:eastAsia="方正仿宋_GBK"/>
        <w:sz w:val="21"/>
        <w:szCs w:val="21"/>
        <w:lang w:eastAsia="zh-CN"/>
      </w:rPr>
      <w:t>重庆</w:t>
    </w:r>
    <w:r>
      <w:rPr>
        <w:rFonts w:hint="eastAsia" w:ascii="方正仿宋_GBK" w:eastAsia="方正仿宋_GBK"/>
        <w:sz w:val="21"/>
        <w:szCs w:val="21"/>
        <w:lang w:val="en-US" w:eastAsia="zh-CN"/>
      </w:rPr>
      <w:t>千诺</w:t>
    </w:r>
    <w:r>
      <w:rPr>
        <w:rFonts w:hint="eastAsia" w:ascii="方正仿宋_GBK" w:eastAsia="方正仿宋_GBK"/>
        <w:sz w:val="21"/>
        <w:szCs w:val="21"/>
        <w:lang w:eastAsia="zh-CN"/>
      </w:rPr>
      <w:t>工程项目管理有限公司</w:t>
    </w:r>
    <w:r>
      <w:rPr>
        <w:rFonts w:hint="eastAsia" w:ascii="方正仿宋_GBK" w:eastAsia="方正仿宋_GBK"/>
        <w:sz w:val="21"/>
        <w:szCs w:val="21"/>
      </w:rPr>
      <w:t xml:space="preserve">                                               网上竞采文件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94BB4A"/>
    <w:multiLevelType w:val="singleLevel"/>
    <w:tmpl w:val="B794BB4A"/>
    <w:lvl w:ilvl="0" w:tentative="0">
      <w:start w:val="2"/>
      <w:numFmt w:val="chineseCounting"/>
      <w:suff w:val="nothing"/>
      <w:lvlText w:val="（%1）"/>
      <w:lvlJc w:val="left"/>
      <w:rPr>
        <w:rFonts w:hint="eastAsia"/>
      </w:rPr>
    </w:lvl>
  </w:abstractNum>
  <w:abstractNum w:abstractNumId="1">
    <w:nsid w:val="D5CF5DDE"/>
    <w:multiLevelType w:val="singleLevel"/>
    <w:tmpl w:val="D5CF5DDE"/>
    <w:lvl w:ilvl="0" w:tentative="0">
      <w:start w:val="1"/>
      <w:numFmt w:val="chineseCounting"/>
      <w:suff w:val="nothing"/>
      <w:lvlText w:val="%1、"/>
      <w:lvlJc w:val="left"/>
      <w:rPr>
        <w:rFonts w:hint="eastAsia"/>
      </w:rPr>
    </w:lvl>
  </w:abstractNum>
  <w:abstractNum w:abstractNumId="2">
    <w:nsid w:val="FAA715AA"/>
    <w:multiLevelType w:val="singleLevel"/>
    <w:tmpl w:val="FAA715AA"/>
    <w:lvl w:ilvl="0" w:tentative="0">
      <w:start w:val="2"/>
      <w:numFmt w:val="decimal"/>
      <w:lvlText w:val="%1."/>
      <w:lvlJc w:val="left"/>
      <w:pPr>
        <w:tabs>
          <w:tab w:val="left" w:pos="312"/>
        </w:tabs>
      </w:pPr>
    </w:lvl>
  </w:abstractNum>
  <w:abstractNum w:abstractNumId="3">
    <w:nsid w:val="00000009"/>
    <w:multiLevelType w:val="multilevel"/>
    <w:tmpl w:val="00000009"/>
    <w:lvl w:ilvl="0" w:tentative="0">
      <w:start w:val="1"/>
      <w:numFmt w:val="upperLetter"/>
      <w:pStyle w:val="17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6"/>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A"/>
    <w:multiLevelType w:val="multilevel"/>
    <w:tmpl w:val="0000000A"/>
    <w:lvl w:ilvl="0" w:tentative="0">
      <w:start w:val="1"/>
      <w:numFmt w:val="bullet"/>
      <w:pStyle w:val="16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B"/>
    <w:multiLevelType w:val="singleLevel"/>
    <w:tmpl w:val="0000000B"/>
    <w:lvl w:ilvl="0" w:tentative="0">
      <w:start w:val="1"/>
      <w:numFmt w:val="bullet"/>
      <w:pStyle w:val="185"/>
      <w:lvlText w:val=""/>
      <w:lvlJc w:val="left"/>
      <w:pPr>
        <w:tabs>
          <w:tab w:val="left" w:pos="36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43"/>
      <w:lvlText w:val=""/>
      <w:lvlJc w:val="left"/>
      <w:pPr>
        <w:tabs>
          <w:tab w:val="left" w:pos="120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4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8">
    <w:nsid w:val="00000010"/>
    <w:multiLevelType w:val="singleLevel"/>
    <w:tmpl w:val="00000010"/>
    <w:lvl w:ilvl="0" w:tentative="0">
      <w:start w:val="1"/>
      <w:numFmt w:val="bullet"/>
      <w:pStyle w:val="177"/>
      <w:lvlText w:val=""/>
      <w:lvlJc w:val="left"/>
      <w:pPr>
        <w:tabs>
          <w:tab w:val="left" w:pos="162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20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2"/>
    <w:multiLevelType w:val="multilevel"/>
    <w:tmpl w:val="00000012"/>
    <w:lvl w:ilvl="0" w:tentative="0">
      <w:start w:val="1"/>
      <w:numFmt w:val="bullet"/>
      <w:pStyle w:val="22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2">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28"/>
      <w:lvlText w:val="%1)"/>
      <w:lvlJc w:val="left"/>
      <w:pPr>
        <w:tabs>
          <w:tab w:val="left" w:pos="425"/>
        </w:tabs>
        <w:ind w:left="425" w:hanging="425"/>
      </w:pPr>
      <w:rPr>
        <w:rFonts w:hint="eastAsia"/>
      </w:rPr>
    </w:lvl>
  </w:abstractNum>
  <w:abstractNum w:abstractNumId="14">
    <w:nsid w:val="00000017"/>
    <w:multiLevelType w:val="multilevel"/>
    <w:tmpl w:val="00000017"/>
    <w:lvl w:ilvl="0" w:tentative="0">
      <w:start w:val="1"/>
      <w:numFmt w:val="chineseCountingThousand"/>
      <w:pStyle w:val="25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9393DD1"/>
    <w:multiLevelType w:val="singleLevel"/>
    <w:tmpl w:val="29393DD1"/>
    <w:lvl w:ilvl="0" w:tentative="0">
      <w:start w:val="2"/>
      <w:numFmt w:val="chineseCounting"/>
      <w:suff w:val="nothing"/>
      <w:lvlText w:val="（%1）"/>
      <w:lvlJc w:val="left"/>
      <w:rPr>
        <w:rFonts w:hint="eastAsia"/>
      </w:rPr>
    </w:lvl>
  </w:abstractNum>
  <w:abstractNum w:abstractNumId="1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9"/>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1"/>
  </w:num>
  <w:num w:numId="2">
    <w:abstractNumId w:val="12"/>
  </w:num>
  <w:num w:numId="3">
    <w:abstractNumId w:val="13"/>
  </w:num>
  <w:num w:numId="4">
    <w:abstractNumId w:val="7"/>
  </w:num>
  <w:num w:numId="5">
    <w:abstractNumId w:val="4"/>
  </w:num>
  <w:num w:numId="6">
    <w:abstractNumId w:val="8"/>
  </w:num>
  <w:num w:numId="7">
    <w:abstractNumId w:val="3"/>
  </w:num>
  <w:num w:numId="8">
    <w:abstractNumId w:val="5"/>
  </w:num>
  <w:num w:numId="9">
    <w:abstractNumId w:val="16"/>
  </w:num>
  <w:num w:numId="10">
    <w:abstractNumId w:val="9"/>
  </w:num>
  <w:num w:numId="11">
    <w:abstractNumId w:val="10"/>
  </w:num>
  <w:num w:numId="12">
    <w:abstractNumId w:val="6"/>
  </w:num>
  <w:num w:numId="13">
    <w:abstractNumId w:val="14"/>
  </w:num>
  <w:num w:numId="14">
    <w:abstractNumId w:val="1"/>
  </w:num>
  <w:num w:numId="15">
    <w:abstractNumId w:val="0"/>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7c45e210-911e-43ac-8414-691110be3739"/>
  </w:docVars>
  <w:rsids>
    <w:rsidRoot w:val="00B50FC0"/>
    <w:rsid w:val="000661D3"/>
    <w:rsid w:val="0006680A"/>
    <w:rsid w:val="000851E6"/>
    <w:rsid w:val="000E7F13"/>
    <w:rsid w:val="000F35EB"/>
    <w:rsid w:val="0016285F"/>
    <w:rsid w:val="00166E1F"/>
    <w:rsid w:val="0019222D"/>
    <w:rsid w:val="002D3BA6"/>
    <w:rsid w:val="003222D6"/>
    <w:rsid w:val="0055698A"/>
    <w:rsid w:val="0060114B"/>
    <w:rsid w:val="00601ABD"/>
    <w:rsid w:val="0061627F"/>
    <w:rsid w:val="00632475"/>
    <w:rsid w:val="006E15F2"/>
    <w:rsid w:val="00760250"/>
    <w:rsid w:val="008214F7"/>
    <w:rsid w:val="00877DFA"/>
    <w:rsid w:val="0089674D"/>
    <w:rsid w:val="00985640"/>
    <w:rsid w:val="0099707F"/>
    <w:rsid w:val="009A721B"/>
    <w:rsid w:val="009B50C5"/>
    <w:rsid w:val="00A6769A"/>
    <w:rsid w:val="00AC1D8C"/>
    <w:rsid w:val="00AF7683"/>
    <w:rsid w:val="00B50FC0"/>
    <w:rsid w:val="00CB6E3A"/>
    <w:rsid w:val="00CC09AC"/>
    <w:rsid w:val="00CD75C2"/>
    <w:rsid w:val="00E42B9F"/>
    <w:rsid w:val="00E60A79"/>
    <w:rsid w:val="00F05E08"/>
    <w:rsid w:val="00F340E6"/>
    <w:rsid w:val="00F96D4B"/>
    <w:rsid w:val="011A5340"/>
    <w:rsid w:val="01691BDB"/>
    <w:rsid w:val="01891B53"/>
    <w:rsid w:val="01A13E9F"/>
    <w:rsid w:val="01C21457"/>
    <w:rsid w:val="0210549F"/>
    <w:rsid w:val="0221276B"/>
    <w:rsid w:val="02503216"/>
    <w:rsid w:val="026D64DC"/>
    <w:rsid w:val="02925AE5"/>
    <w:rsid w:val="02BC1AB4"/>
    <w:rsid w:val="02ED3555"/>
    <w:rsid w:val="0317318F"/>
    <w:rsid w:val="04676E77"/>
    <w:rsid w:val="04CF417E"/>
    <w:rsid w:val="04E60C7E"/>
    <w:rsid w:val="054E1C1B"/>
    <w:rsid w:val="05BB42A5"/>
    <w:rsid w:val="05FB28F4"/>
    <w:rsid w:val="06121E11"/>
    <w:rsid w:val="072145DC"/>
    <w:rsid w:val="07D43DFC"/>
    <w:rsid w:val="07D63493"/>
    <w:rsid w:val="07ED235A"/>
    <w:rsid w:val="088B55C9"/>
    <w:rsid w:val="092C7268"/>
    <w:rsid w:val="09D1609A"/>
    <w:rsid w:val="09E65669"/>
    <w:rsid w:val="0A4B01E4"/>
    <w:rsid w:val="0A8D517F"/>
    <w:rsid w:val="0B785067"/>
    <w:rsid w:val="0BD643AC"/>
    <w:rsid w:val="0D775AA1"/>
    <w:rsid w:val="0D786F20"/>
    <w:rsid w:val="0D9A6FFA"/>
    <w:rsid w:val="0E2E3EEC"/>
    <w:rsid w:val="0E331896"/>
    <w:rsid w:val="0E9D0085"/>
    <w:rsid w:val="0F0C4F3C"/>
    <w:rsid w:val="0F167D68"/>
    <w:rsid w:val="0F9471C6"/>
    <w:rsid w:val="0FC92E5D"/>
    <w:rsid w:val="104814DC"/>
    <w:rsid w:val="10CB7D61"/>
    <w:rsid w:val="10D23E14"/>
    <w:rsid w:val="11060443"/>
    <w:rsid w:val="11196172"/>
    <w:rsid w:val="11454CB2"/>
    <w:rsid w:val="11681652"/>
    <w:rsid w:val="116A264E"/>
    <w:rsid w:val="118B1039"/>
    <w:rsid w:val="118C42A1"/>
    <w:rsid w:val="11AE2F4A"/>
    <w:rsid w:val="11B31A46"/>
    <w:rsid w:val="12227F59"/>
    <w:rsid w:val="1273440B"/>
    <w:rsid w:val="13054DB2"/>
    <w:rsid w:val="132412C3"/>
    <w:rsid w:val="133D2E2F"/>
    <w:rsid w:val="136D6ABE"/>
    <w:rsid w:val="13E73C4E"/>
    <w:rsid w:val="14404BB6"/>
    <w:rsid w:val="14A33DD8"/>
    <w:rsid w:val="152F6F86"/>
    <w:rsid w:val="16640530"/>
    <w:rsid w:val="16755E9F"/>
    <w:rsid w:val="16CC508A"/>
    <w:rsid w:val="17021A9A"/>
    <w:rsid w:val="171A4BA4"/>
    <w:rsid w:val="171C5300"/>
    <w:rsid w:val="17492F0E"/>
    <w:rsid w:val="18785439"/>
    <w:rsid w:val="190F569C"/>
    <w:rsid w:val="19DF440A"/>
    <w:rsid w:val="19EE5C98"/>
    <w:rsid w:val="19F95FF3"/>
    <w:rsid w:val="19FC4286"/>
    <w:rsid w:val="1A8216F7"/>
    <w:rsid w:val="1B367D00"/>
    <w:rsid w:val="1B4E3334"/>
    <w:rsid w:val="1B61788A"/>
    <w:rsid w:val="1B6D5BEA"/>
    <w:rsid w:val="1B98237C"/>
    <w:rsid w:val="1B9F7EE3"/>
    <w:rsid w:val="1C723D09"/>
    <w:rsid w:val="1CB17D58"/>
    <w:rsid w:val="1D615194"/>
    <w:rsid w:val="1D9E6340"/>
    <w:rsid w:val="1DB77AB0"/>
    <w:rsid w:val="1DC87107"/>
    <w:rsid w:val="1E2A102E"/>
    <w:rsid w:val="1E4C5F8A"/>
    <w:rsid w:val="1E800CD1"/>
    <w:rsid w:val="1E8E1852"/>
    <w:rsid w:val="1EEB69D9"/>
    <w:rsid w:val="1F417171"/>
    <w:rsid w:val="1F9F033C"/>
    <w:rsid w:val="1FC55FF4"/>
    <w:rsid w:val="20486F2E"/>
    <w:rsid w:val="20D456EB"/>
    <w:rsid w:val="20D90162"/>
    <w:rsid w:val="20F85CFE"/>
    <w:rsid w:val="2110234E"/>
    <w:rsid w:val="214F2542"/>
    <w:rsid w:val="218B3DFB"/>
    <w:rsid w:val="219B2D93"/>
    <w:rsid w:val="21A06DEB"/>
    <w:rsid w:val="21C226F3"/>
    <w:rsid w:val="220652BA"/>
    <w:rsid w:val="22684800"/>
    <w:rsid w:val="229065B8"/>
    <w:rsid w:val="22C46DB5"/>
    <w:rsid w:val="23456A34"/>
    <w:rsid w:val="236B20E8"/>
    <w:rsid w:val="24217B7B"/>
    <w:rsid w:val="24525F11"/>
    <w:rsid w:val="24CA5E5B"/>
    <w:rsid w:val="25386F66"/>
    <w:rsid w:val="26704BBE"/>
    <w:rsid w:val="26B20955"/>
    <w:rsid w:val="26F7638D"/>
    <w:rsid w:val="27420045"/>
    <w:rsid w:val="27685F79"/>
    <w:rsid w:val="278A4A2C"/>
    <w:rsid w:val="27B175F0"/>
    <w:rsid w:val="27ED090F"/>
    <w:rsid w:val="28456613"/>
    <w:rsid w:val="2860721B"/>
    <w:rsid w:val="292567E1"/>
    <w:rsid w:val="2AAD6003"/>
    <w:rsid w:val="2B05230C"/>
    <w:rsid w:val="2BE337A3"/>
    <w:rsid w:val="2BF9180D"/>
    <w:rsid w:val="2C426408"/>
    <w:rsid w:val="2CAD3314"/>
    <w:rsid w:val="2CED0673"/>
    <w:rsid w:val="2D3F79D7"/>
    <w:rsid w:val="2D526903"/>
    <w:rsid w:val="2D5B24CA"/>
    <w:rsid w:val="2D7C1CBC"/>
    <w:rsid w:val="2D9464F2"/>
    <w:rsid w:val="2D9E007B"/>
    <w:rsid w:val="2E6B483B"/>
    <w:rsid w:val="2F5E2951"/>
    <w:rsid w:val="2F641036"/>
    <w:rsid w:val="2FB15C4D"/>
    <w:rsid w:val="300761B5"/>
    <w:rsid w:val="30FB789A"/>
    <w:rsid w:val="3146761B"/>
    <w:rsid w:val="32C97DB6"/>
    <w:rsid w:val="32D6765D"/>
    <w:rsid w:val="338B4A07"/>
    <w:rsid w:val="33C02945"/>
    <w:rsid w:val="3453335B"/>
    <w:rsid w:val="346040E6"/>
    <w:rsid w:val="34D5216F"/>
    <w:rsid w:val="36421CF5"/>
    <w:rsid w:val="365365D2"/>
    <w:rsid w:val="367D6ECD"/>
    <w:rsid w:val="369062CC"/>
    <w:rsid w:val="36A65A03"/>
    <w:rsid w:val="36E14B30"/>
    <w:rsid w:val="36E33724"/>
    <w:rsid w:val="37206361"/>
    <w:rsid w:val="372A4909"/>
    <w:rsid w:val="37411742"/>
    <w:rsid w:val="37B00EE0"/>
    <w:rsid w:val="37E04D68"/>
    <w:rsid w:val="386D0B7F"/>
    <w:rsid w:val="38705A0B"/>
    <w:rsid w:val="399602BB"/>
    <w:rsid w:val="39C74C55"/>
    <w:rsid w:val="39F43377"/>
    <w:rsid w:val="3A170959"/>
    <w:rsid w:val="3A1C1BAF"/>
    <w:rsid w:val="3A570589"/>
    <w:rsid w:val="3AAE6211"/>
    <w:rsid w:val="3AD401A2"/>
    <w:rsid w:val="3B000B87"/>
    <w:rsid w:val="3B1B48C3"/>
    <w:rsid w:val="3B31460B"/>
    <w:rsid w:val="3B5559F9"/>
    <w:rsid w:val="3BB80457"/>
    <w:rsid w:val="3BB84132"/>
    <w:rsid w:val="3CF806FB"/>
    <w:rsid w:val="3D183C25"/>
    <w:rsid w:val="3D5640D5"/>
    <w:rsid w:val="3D7B3D3F"/>
    <w:rsid w:val="3DB92DD7"/>
    <w:rsid w:val="3E6D08CC"/>
    <w:rsid w:val="3E772758"/>
    <w:rsid w:val="3F081602"/>
    <w:rsid w:val="3F404937"/>
    <w:rsid w:val="3F7841B5"/>
    <w:rsid w:val="3F852AA5"/>
    <w:rsid w:val="3FB65C45"/>
    <w:rsid w:val="401270D9"/>
    <w:rsid w:val="406F4F58"/>
    <w:rsid w:val="40720CCB"/>
    <w:rsid w:val="40B732E0"/>
    <w:rsid w:val="40CE016E"/>
    <w:rsid w:val="40CE3973"/>
    <w:rsid w:val="41E158E5"/>
    <w:rsid w:val="41F33653"/>
    <w:rsid w:val="4263042B"/>
    <w:rsid w:val="426B4971"/>
    <w:rsid w:val="43326EBF"/>
    <w:rsid w:val="43EC32A0"/>
    <w:rsid w:val="44605159"/>
    <w:rsid w:val="44846CEB"/>
    <w:rsid w:val="45144193"/>
    <w:rsid w:val="459C0907"/>
    <w:rsid w:val="45EA0494"/>
    <w:rsid w:val="462431C5"/>
    <w:rsid w:val="465D46FF"/>
    <w:rsid w:val="466924B3"/>
    <w:rsid w:val="46CB09CA"/>
    <w:rsid w:val="46E5141C"/>
    <w:rsid w:val="47214C12"/>
    <w:rsid w:val="476802CC"/>
    <w:rsid w:val="47981429"/>
    <w:rsid w:val="48167282"/>
    <w:rsid w:val="4843113A"/>
    <w:rsid w:val="48457423"/>
    <w:rsid w:val="48582566"/>
    <w:rsid w:val="486D5AA1"/>
    <w:rsid w:val="48864335"/>
    <w:rsid w:val="490234FE"/>
    <w:rsid w:val="495304FA"/>
    <w:rsid w:val="49A308A5"/>
    <w:rsid w:val="4A8204BA"/>
    <w:rsid w:val="4B991F60"/>
    <w:rsid w:val="4B9C0505"/>
    <w:rsid w:val="4BC53C38"/>
    <w:rsid w:val="4C2048B8"/>
    <w:rsid w:val="4D0F49B1"/>
    <w:rsid w:val="4D461C92"/>
    <w:rsid w:val="4E5B5471"/>
    <w:rsid w:val="4E5D5C28"/>
    <w:rsid w:val="4EA70ED0"/>
    <w:rsid w:val="4ED80FF1"/>
    <w:rsid w:val="4EF33AEE"/>
    <w:rsid w:val="4F807FCA"/>
    <w:rsid w:val="4FCF212F"/>
    <w:rsid w:val="4FF95795"/>
    <w:rsid w:val="502A28FA"/>
    <w:rsid w:val="50811214"/>
    <w:rsid w:val="510B3D50"/>
    <w:rsid w:val="51F7263B"/>
    <w:rsid w:val="52524C16"/>
    <w:rsid w:val="52783CBE"/>
    <w:rsid w:val="5293012E"/>
    <w:rsid w:val="531D273D"/>
    <w:rsid w:val="535B64F7"/>
    <w:rsid w:val="53C108BF"/>
    <w:rsid w:val="53C75190"/>
    <w:rsid w:val="541A08A5"/>
    <w:rsid w:val="54D63934"/>
    <w:rsid w:val="556D1537"/>
    <w:rsid w:val="559B62CE"/>
    <w:rsid w:val="55A10234"/>
    <w:rsid w:val="55AB68A1"/>
    <w:rsid w:val="56091A90"/>
    <w:rsid w:val="561E13E4"/>
    <w:rsid w:val="562904EF"/>
    <w:rsid w:val="5682571F"/>
    <w:rsid w:val="56FC4A0F"/>
    <w:rsid w:val="57272B15"/>
    <w:rsid w:val="57330863"/>
    <w:rsid w:val="57443768"/>
    <w:rsid w:val="58196DAC"/>
    <w:rsid w:val="584E71C4"/>
    <w:rsid w:val="58C33A15"/>
    <w:rsid w:val="58F842B9"/>
    <w:rsid w:val="59017D1E"/>
    <w:rsid w:val="59561AE4"/>
    <w:rsid w:val="59594AC9"/>
    <w:rsid w:val="596A402B"/>
    <w:rsid w:val="5999137D"/>
    <w:rsid w:val="599975CF"/>
    <w:rsid w:val="59CA589A"/>
    <w:rsid w:val="59CE316E"/>
    <w:rsid w:val="59E436BD"/>
    <w:rsid w:val="5A137381"/>
    <w:rsid w:val="5A4F2694"/>
    <w:rsid w:val="5A932270"/>
    <w:rsid w:val="5AEA2B03"/>
    <w:rsid w:val="5B6C0A61"/>
    <w:rsid w:val="5B7A19E0"/>
    <w:rsid w:val="5BB21112"/>
    <w:rsid w:val="5BBF5AFD"/>
    <w:rsid w:val="5C994FFA"/>
    <w:rsid w:val="5D177188"/>
    <w:rsid w:val="5D731EE5"/>
    <w:rsid w:val="5DFF0E1E"/>
    <w:rsid w:val="5E503D20"/>
    <w:rsid w:val="5FF271AD"/>
    <w:rsid w:val="60A258D5"/>
    <w:rsid w:val="60AC25A0"/>
    <w:rsid w:val="60D5460C"/>
    <w:rsid w:val="61581B1D"/>
    <w:rsid w:val="618B5A4F"/>
    <w:rsid w:val="61F72DEE"/>
    <w:rsid w:val="62B61E66"/>
    <w:rsid w:val="630765A4"/>
    <w:rsid w:val="643050EE"/>
    <w:rsid w:val="643248A8"/>
    <w:rsid w:val="64522FA1"/>
    <w:rsid w:val="648C288D"/>
    <w:rsid w:val="64E63F29"/>
    <w:rsid w:val="653038B3"/>
    <w:rsid w:val="65515201"/>
    <w:rsid w:val="65B64922"/>
    <w:rsid w:val="65DE4CE7"/>
    <w:rsid w:val="6645421B"/>
    <w:rsid w:val="669929BC"/>
    <w:rsid w:val="66B56861"/>
    <w:rsid w:val="66E54BC4"/>
    <w:rsid w:val="66F7101E"/>
    <w:rsid w:val="67777F76"/>
    <w:rsid w:val="67CC5F51"/>
    <w:rsid w:val="67E46396"/>
    <w:rsid w:val="683F1D16"/>
    <w:rsid w:val="6854560F"/>
    <w:rsid w:val="68757B14"/>
    <w:rsid w:val="68AC0179"/>
    <w:rsid w:val="6933534A"/>
    <w:rsid w:val="69A42F62"/>
    <w:rsid w:val="69A73642"/>
    <w:rsid w:val="69AC6EAA"/>
    <w:rsid w:val="69B1443D"/>
    <w:rsid w:val="6A8F2B4E"/>
    <w:rsid w:val="6A9040D6"/>
    <w:rsid w:val="6A953F4A"/>
    <w:rsid w:val="6ADD55FC"/>
    <w:rsid w:val="6B023E01"/>
    <w:rsid w:val="6B366553"/>
    <w:rsid w:val="6BE61D2D"/>
    <w:rsid w:val="6C01794F"/>
    <w:rsid w:val="6C84496B"/>
    <w:rsid w:val="6C8976AE"/>
    <w:rsid w:val="6CF52602"/>
    <w:rsid w:val="6DB450BF"/>
    <w:rsid w:val="6DBE71AC"/>
    <w:rsid w:val="6DF34171"/>
    <w:rsid w:val="6E241C86"/>
    <w:rsid w:val="6E2A648C"/>
    <w:rsid w:val="6EBF142E"/>
    <w:rsid w:val="6F063849"/>
    <w:rsid w:val="6F280D81"/>
    <w:rsid w:val="6F2C5FDF"/>
    <w:rsid w:val="6F3027C1"/>
    <w:rsid w:val="6F7C2C63"/>
    <w:rsid w:val="6F7F50E5"/>
    <w:rsid w:val="701D465E"/>
    <w:rsid w:val="708C61A6"/>
    <w:rsid w:val="7092139C"/>
    <w:rsid w:val="70B0608C"/>
    <w:rsid w:val="70BC3E77"/>
    <w:rsid w:val="712B426F"/>
    <w:rsid w:val="71D770C3"/>
    <w:rsid w:val="72830B08"/>
    <w:rsid w:val="72B50B7E"/>
    <w:rsid w:val="72BB1F0C"/>
    <w:rsid w:val="72C45265"/>
    <w:rsid w:val="73025D8D"/>
    <w:rsid w:val="73112B17"/>
    <w:rsid w:val="73DF3770"/>
    <w:rsid w:val="73FB6A64"/>
    <w:rsid w:val="74274FCC"/>
    <w:rsid w:val="74492E5E"/>
    <w:rsid w:val="74727AC0"/>
    <w:rsid w:val="74AF129E"/>
    <w:rsid w:val="74F05498"/>
    <w:rsid w:val="752E4C17"/>
    <w:rsid w:val="75565D50"/>
    <w:rsid w:val="758119C2"/>
    <w:rsid w:val="75A60DDF"/>
    <w:rsid w:val="75A84C57"/>
    <w:rsid w:val="75F714AD"/>
    <w:rsid w:val="761D1EEE"/>
    <w:rsid w:val="76872172"/>
    <w:rsid w:val="76B659D2"/>
    <w:rsid w:val="76CC46E8"/>
    <w:rsid w:val="76E2215D"/>
    <w:rsid w:val="77377CE0"/>
    <w:rsid w:val="77624992"/>
    <w:rsid w:val="77E37F3B"/>
    <w:rsid w:val="782347DB"/>
    <w:rsid w:val="787D126F"/>
    <w:rsid w:val="787E60BF"/>
    <w:rsid w:val="78970D25"/>
    <w:rsid w:val="78A44C3B"/>
    <w:rsid w:val="79CF41D2"/>
    <w:rsid w:val="7A200710"/>
    <w:rsid w:val="7A301431"/>
    <w:rsid w:val="7A3B06F8"/>
    <w:rsid w:val="7A744676"/>
    <w:rsid w:val="7AD91D9F"/>
    <w:rsid w:val="7B043F18"/>
    <w:rsid w:val="7BD76239"/>
    <w:rsid w:val="7BDC213F"/>
    <w:rsid w:val="7C0F2651"/>
    <w:rsid w:val="7C6641AB"/>
    <w:rsid w:val="7CA63C51"/>
    <w:rsid w:val="7CE8560D"/>
    <w:rsid w:val="7D773559"/>
    <w:rsid w:val="7DF54524"/>
    <w:rsid w:val="7E5751DF"/>
    <w:rsid w:val="7E83563A"/>
    <w:rsid w:val="7F19063B"/>
    <w:rsid w:val="7FA73F44"/>
    <w:rsid w:val="7FF52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4"/>
    <w:qFormat/>
    <w:uiPriority w:val="0"/>
    <w:pPr>
      <w:keepNext/>
      <w:keepLines/>
      <w:spacing w:before="260" w:after="260" w:line="413" w:lineRule="auto"/>
      <w:outlineLvl w:val="1"/>
    </w:pPr>
    <w:rPr>
      <w:rFonts w:ascii="Arial" w:hAnsi="Arial" w:eastAsia="黑体"/>
      <w:b/>
      <w:sz w:val="32"/>
    </w:rPr>
  </w:style>
  <w:style w:type="paragraph" w:styleId="2">
    <w:name w:val="heading 3"/>
    <w:basedOn w:val="1"/>
    <w:next w:val="1"/>
    <w:link w:val="108"/>
    <w:qFormat/>
    <w:uiPriority w:val="0"/>
    <w:pPr>
      <w:keepNext/>
      <w:keepLines/>
      <w:spacing w:before="260" w:after="260" w:line="413" w:lineRule="auto"/>
      <w:outlineLvl w:val="2"/>
    </w:pPr>
    <w:rPr>
      <w:b/>
      <w:sz w:val="32"/>
    </w:rPr>
  </w:style>
  <w:style w:type="paragraph" w:styleId="5">
    <w:name w:val="heading 4"/>
    <w:basedOn w:val="1"/>
    <w:next w:val="1"/>
    <w:qFormat/>
    <w:uiPriority w:val="0"/>
    <w:pPr>
      <w:spacing w:before="280" w:after="290" w:line="372" w:lineRule="auto"/>
      <w:outlineLvl w:val="3"/>
    </w:p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85"/>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87"/>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Block Text"/>
    <w:basedOn w:val="1"/>
    <w:qFormat/>
    <w:uiPriority w:val="0"/>
    <w:pPr>
      <w:spacing w:after="120"/>
      <w:ind w:left="1440" w:leftChars="700" w:right="1440" w:rightChars="700"/>
    </w:pPr>
  </w:style>
  <w:style w:type="paragraph" w:styleId="28">
    <w:name w:val="List Bullet 2"/>
    <w:basedOn w:val="1"/>
    <w:qFormat/>
    <w:uiPriority w:val="0"/>
    <w:pPr>
      <w:numPr>
        <w:ilvl w:val="0"/>
        <w:numId w:val="2"/>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113"/>
    <w:qFormat/>
    <w:uiPriority w:val="0"/>
  </w:style>
  <w:style w:type="paragraph" w:styleId="34">
    <w:name w:val="Body Text Indent 2"/>
    <w:basedOn w:val="1"/>
    <w:link w:val="82"/>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120"/>
    <w:qFormat/>
    <w:uiPriority w:val="99"/>
    <w:pPr>
      <w:tabs>
        <w:tab w:val="center" w:pos="4153"/>
        <w:tab w:val="right" w:pos="8306"/>
      </w:tabs>
      <w:snapToGrid w:val="0"/>
      <w:jc w:val="left"/>
    </w:pPr>
    <w:rPr>
      <w:sz w:val="18"/>
    </w:rPr>
  </w:style>
  <w:style w:type="paragraph" w:styleId="37">
    <w:name w:val="envelope return"/>
    <w:basedOn w:val="1"/>
    <w:qFormat/>
    <w:uiPriority w:val="0"/>
    <w:pPr>
      <w:snapToGrid w:val="0"/>
    </w:pPr>
    <w:rPr>
      <w:rFonts w:ascii="Arial" w:hAnsi="Arial"/>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qFormat/>
    <w:uiPriority w:val="0"/>
    <w:pPr>
      <w:spacing w:line="180" w:lineRule="auto"/>
      <w:jc w:val="center"/>
    </w:pPr>
    <w:rPr>
      <w:sz w:val="30"/>
    </w:rPr>
  </w:style>
  <w:style w:type="paragraph" w:styleId="40">
    <w:name w:val="List Continue 4"/>
    <w:basedOn w:val="1"/>
    <w:qFormat/>
    <w:uiPriority w:val="0"/>
    <w:pPr>
      <w:adjustRightInd w:val="0"/>
      <w:snapToGrid w:val="0"/>
      <w:spacing w:after="120" w:line="360" w:lineRule="auto"/>
      <w:ind w:left="1680" w:leftChars="800"/>
    </w:pPr>
    <w:rPr>
      <w:sz w:val="24"/>
    </w:rPr>
  </w:style>
  <w:style w:type="paragraph" w:styleId="41">
    <w:name w:val="toc 4"/>
    <w:basedOn w:val="1"/>
    <w:next w:val="1"/>
    <w:qFormat/>
    <w:uiPriority w:val="0"/>
    <w:pPr>
      <w:ind w:left="1260" w:leftChars="600"/>
    </w:pPr>
  </w:style>
  <w:style w:type="paragraph" w:styleId="42">
    <w:name w:val="Subtitle"/>
    <w:basedOn w:val="1"/>
    <w:next w:val="1"/>
    <w:qFormat/>
    <w:uiPriority w:val="99"/>
    <w:pPr>
      <w:spacing w:before="240" w:after="60" w:line="312" w:lineRule="auto"/>
      <w:jc w:val="center"/>
      <w:outlineLvl w:val="1"/>
    </w:pPr>
    <w:rPr>
      <w:rFonts w:ascii="Calibri Light" w:hAnsi="Calibri Light"/>
      <w:b/>
      <w:bCs/>
      <w:kern w:val="28"/>
      <w:sz w:val="32"/>
      <w:szCs w:val="32"/>
    </w:rPr>
  </w:style>
  <w:style w:type="paragraph" w:styleId="43">
    <w:name w:val="footnote text"/>
    <w:basedOn w:val="1"/>
    <w:link w:val="93"/>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39"/>
    <w:pPr>
      <w:ind w:left="420" w:leftChars="200"/>
    </w:pPr>
  </w:style>
  <w:style w:type="paragraph" w:styleId="49">
    <w:name w:val="toc 9"/>
    <w:basedOn w:val="1"/>
    <w:next w:val="1"/>
    <w:qFormat/>
    <w:uiPriority w:val="0"/>
    <w:pPr>
      <w:ind w:left="3360" w:leftChars="1600"/>
    </w:pPr>
  </w:style>
  <w:style w:type="paragraph" w:styleId="50">
    <w:name w:val="Body Text 2"/>
    <w:basedOn w:val="1"/>
    <w:qFormat/>
    <w:uiPriority w:val="0"/>
    <w:pPr>
      <w:adjustRightInd w:val="0"/>
      <w:snapToGrid w:val="0"/>
      <w:spacing w:after="120" w:line="480" w:lineRule="auto"/>
    </w:pPr>
    <w:rPr>
      <w:sz w:val="24"/>
    </w:rPr>
  </w:style>
  <w:style w:type="paragraph" w:styleId="51">
    <w:name w:val="List 4"/>
    <w:basedOn w:val="1"/>
    <w:qFormat/>
    <w:uiPriority w:val="0"/>
    <w:pPr>
      <w:adjustRightInd w:val="0"/>
      <w:snapToGrid w:val="0"/>
      <w:spacing w:line="360" w:lineRule="auto"/>
      <w:ind w:left="100" w:leftChars="600" w:hanging="200" w:hangingChars="200"/>
    </w:pPr>
    <w:rPr>
      <w:sz w:val="24"/>
    </w:rPr>
  </w:style>
  <w:style w:type="paragraph" w:styleId="52">
    <w:name w:val="List Continue 2"/>
    <w:basedOn w:val="1"/>
    <w:qFormat/>
    <w:uiPriority w:val="0"/>
    <w:pPr>
      <w:adjustRightInd w:val="0"/>
      <w:snapToGrid w:val="0"/>
      <w:spacing w:after="120" w:line="360" w:lineRule="auto"/>
      <w:ind w:left="840" w:leftChars="400"/>
    </w:pPr>
    <w:rPr>
      <w:sz w:val="24"/>
    </w:rPr>
  </w:style>
  <w:style w:type="paragraph" w:styleId="53">
    <w:name w:val="HTML Preformatted"/>
    <w:basedOn w:val="1"/>
    <w:qFormat/>
    <w:uiPriority w:val="0"/>
    <w:rPr>
      <w:rFonts w:ascii="Courier New" w:hAnsi="Courier New"/>
      <w:sz w:val="20"/>
    </w:rPr>
  </w:style>
  <w:style w:type="paragraph" w:styleId="54">
    <w:name w:val="Normal (Web)"/>
    <w:basedOn w:val="1"/>
    <w:qFormat/>
    <w:uiPriority w:val="0"/>
    <w:pPr>
      <w:widowControl/>
      <w:spacing w:before="100" w:beforeAutospacing="1" w:after="100" w:afterAutospacing="1"/>
      <w:jc w:val="left"/>
    </w:pPr>
    <w:rPr>
      <w:rFonts w:ascii="宋体" w:hAnsi="宋体"/>
      <w:kern w:val="0"/>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kern w:val="0"/>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84"/>
    <w:qFormat/>
    <w:uiPriority w:val="0"/>
    <w:pPr>
      <w:adjustRightInd/>
      <w:spacing w:line="240" w:lineRule="auto"/>
      <w:textAlignment w:val="auto"/>
    </w:pPr>
  </w:style>
  <w:style w:type="paragraph" w:styleId="59">
    <w:name w:val="Body Text First Indent"/>
    <w:basedOn w:val="22"/>
    <w:qFormat/>
    <w:uiPriority w:val="0"/>
    <w:pPr>
      <w:spacing w:line="360" w:lineRule="auto"/>
      <w:ind w:firstLine="420"/>
    </w:pPr>
    <w:rPr>
      <w:rFonts w:ascii="宋体" w:hAnsi="宋体"/>
      <w:sz w:val="24"/>
    </w:rPr>
  </w:style>
  <w:style w:type="paragraph" w:styleId="60">
    <w:name w:val="Body Text First Indent 2"/>
    <w:basedOn w:val="23"/>
    <w:next w:val="1"/>
    <w:link w:val="111"/>
    <w:qFormat/>
    <w:uiPriority w:val="0"/>
    <w:pPr>
      <w:spacing w:after="120" w:line="240" w:lineRule="auto"/>
      <w:ind w:left="420" w:leftChars="200" w:firstLine="420" w:firstLineChars="200"/>
    </w:pPr>
  </w:style>
  <w:style w:type="table" w:styleId="62">
    <w:name w:val="Table Grid"/>
    <w:basedOn w:val="6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rPr>
  </w:style>
  <w:style w:type="character" w:styleId="65">
    <w:name w:val="page number"/>
    <w:basedOn w:val="63"/>
    <w:qFormat/>
    <w:uiPriority w:val="0"/>
  </w:style>
  <w:style w:type="character" w:styleId="66">
    <w:name w:val="FollowedHyperlink"/>
    <w:qFormat/>
    <w:uiPriority w:val="0"/>
    <w:rPr>
      <w:color w:val="800080"/>
      <w:u w:val="single"/>
    </w:rPr>
  </w:style>
  <w:style w:type="character" w:styleId="67">
    <w:name w:val="Emphasis"/>
    <w:qFormat/>
    <w:uiPriority w:val="0"/>
    <w:rPr>
      <w:i/>
    </w:rPr>
  </w:style>
  <w:style w:type="character" w:styleId="68">
    <w:name w:val="Hyperlink"/>
    <w:qFormat/>
    <w:uiPriority w:val="99"/>
    <w:rPr>
      <w:color w:val="0000FF"/>
      <w:u w:val="single"/>
    </w:rPr>
  </w:style>
  <w:style w:type="character" w:styleId="69">
    <w:name w:val="annotation reference"/>
    <w:qFormat/>
    <w:uiPriority w:val="0"/>
    <w:rPr>
      <w:sz w:val="21"/>
      <w:szCs w:val="21"/>
    </w:rPr>
  </w:style>
  <w:style w:type="character" w:styleId="70">
    <w:name w:val="footnote reference"/>
    <w:qFormat/>
    <w:uiPriority w:val="0"/>
    <w:rPr>
      <w:position w:val="6"/>
      <w:sz w:val="14"/>
      <w:vertAlign w:val="superscript"/>
    </w:rPr>
  </w:style>
  <w:style w:type="paragraph" w:customStyle="1" w:styleId="71">
    <w:name w:val="BodyText"/>
    <w:basedOn w:val="1"/>
    <w:next w:val="1"/>
    <w:qFormat/>
    <w:uiPriority w:val="99"/>
    <w:pPr>
      <w:spacing w:line="500" w:lineRule="exact"/>
      <w:textAlignment w:val="baseline"/>
    </w:pPr>
    <w:rPr>
      <w:rFonts w:ascii="宋体" w:hAnsi="宋体" w:cs="宋体"/>
      <w:kern w:val="0"/>
    </w:rPr>
  </w:style>
  <w:style w:type="paragraph" w:customStyle="1" w:styleId="72">
    <w:name w:val="默认"/>
    <w:qFormat/>
    <w:uiPriority w:val="99"/>
    <w:rPr>
      <w:rFonts w:ascii="Helvetica" w:hAnsi="Helvetica" w:eastAsia="宋体" w:cs="Times New Roman"/>
      <w:color w:val="000000"/>
      <w:sz w:val="22"/>
      <w:szCs w:val="22"/>
      <w:lang w:val="en-US" w:eastAsia="zh-CN" w:bidi="ar-SA"/>
    </w:rPr>
  </w:style>
  <w:style w:type="paragraph" w:customStyle="1" w:styleId="7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paragraph" w:customStyle="1" w:styleId="76">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77">
    <w:name w:val="Char Char7"/>
    <w:qFormat/>
    <w:uiPriority w:val="0"/>
    <w:rPr>
      <w:rFonts w:ascii="宋体" w:hAnsi="宋体" w:eastAsia="宋体"/>
      <w:kern w:val="2"/>
      <w:sz w:val="28"/>
    </w:rPr>
  </w:style>
  <w:style w:type="character" w:customStyle="1" w:styleId="78">
    <w:name w:val="font91"/>
    <w:qFormat/>
    <w:uiPriority w:val="0"/>
    <w:rPr>
      <w:rFonts w:hint="eastAsia" w:ascii="宋体" w:hAnsi="宋体" w:eastAsia="宋体" w:cs="宋体"/>
      <w:color w:val="000000"/>
      <w:sz w:val="20"/>
      <w:szCs w:val="20"/>
      <w:u w:val="none"/>
    </w:rPr>
  </w:style>
  <w:style w:type="character" w:customStyle="1" w:styleId="79">
    <w:name w:val="未命名11"/>
    <w:qFormat/>
    <w:uiPriority w:val="0"/>
    <w:rPr>
      <w:color w:val="77FFFF"/>
      <w:sz w:val="24"/>
    </w:rPr>
  </w:style>
  <w:style w:type="character" w:customStyle="1" w:styleId="80">
    <w:name w:val="font51"/>
    <w:qFormat/>
    <w:uiPriority w:val="0"/>
    <w:rPr>
      <w:rFonts w:hint="eastAsia" w:ascii="宋体" w:hAnsi="宋体" w:eastAsia="宋体" w:cs="宋体"/>
      <w:color w:val="000000"/>
      <w:sz w:val="20"/>
      <w:szCs w:val="20"/>
      <w:u w:val="none"/>
      <w:vertAlign w:val="superscript"/>
    </w:rPr>
  </w:style>
  <w:style w:type="character" w:customStyle="1" w:styleId="81">
    <w:name w:val="content-white1"/>
    <w:qFormat/>
    <w:uiPriority w:val="0"/>
    <w:rPr>
      <w:color w:val="auto"/>
      <w:sz w:val="18"/>
      <w:u w:val="none"/>
    </w:rPr>
  </w:style>
  <w:style w:type="character" w:customStyle="1" w:styleId="82">
    <w:name w:val="正文文本缩进 2 字符"/>
    <w:link w:val="34"/>
    <w:qFormat/>
    <w:uiPriority w:val="0"/>
    <w:rPr>
      <w:kern w:val="2"/>
      <w:sz w:val="28"/>
    </w:rPr>
  </w:style>
  <w:style w:type="character" w:customStyle="1" w:styleId="83">
    <w:name w:val="Char Char11"/>
    <w:qFormat/>
    <w:uiPriority w:val="0"/>
    <w:rPr>
      <w:rFonts w:ascii="宋体"/>
      <w:kern w:val="2"/>
      <w:sz w:val="28"/>
    </w:rPr>
  </w:style>
  <w:style w:type="character" w:customStyle="1" w:styleId="84">
    <w:name w:val="批注主题 字符"/>
    <w:basedOn w:val="85"/>
    <w:link w:val="58"/>
    <w:qFormat/>
    <w:uiPriority w:val="0"/>
    <w:rPr>
      <w:sz w:val="24"/>
    </w:rPr>
  </w:style>
  <w:style w:type="character" w:customStyle="1" w:styleId="85">
    <w:name w:val="批注文字 字符"/>
    <w:link w:val="19"/>
    <w:qFormat/>
    <w:uiPriority w:val="0"/>
    <w:rPr>
      <w:sz w:val="24"/>
    </w:rPr>
  </w:style>
  <w:style w:type="character" w:customStyle="1" w:styleId="86">
    <w:name w:val="font41"/>
    <w:qFormat/>
    <w:uiPriority w:val="0"/>
    <w:rPr>
      <w:rFonts w:hint="eastAsia" w:ascii="宋体" w:hAnsi="宋体" w:eastAsia="宋体" w:cs="宋体"/>
      <w:color w:val="000000"/>
      <w:sz w:val="20"/>
      <w:szCs w:val="20"/>
      <w:u w:val="none"/>
    </w:rPr>
  </w:style>
  <w:style w:type="character" w:customStyle="1" w:styleId="87">
    <w:name w:val="正文文本缩进 字符"/>
    <w:link w:val="23"/>
    <w:qFormat/>
    <w:uiPriority w:val="0"/>
    <w:rPr>
      <w:kern w:val="2"/>
      <w:sz w:val="44"/>
    </w:rPr>
  </w:style>
  <w:style w:type="character" w:customStyle="1" w:styleId="88">
    <w:name w:val="Table Text Char"/>
    <w:link w:val="89"/>
    <w:qFormat/>
    <w:uiPriority w:val="0"/>
    <w:rPr>
      <w:rFonts w:ascii="Arial" w:hAnsi="Arial"/>
      <w:kern w:val="2"/>
      <w:sz w:val="18"/>
      <w:lang w:val="en-US" w:eastAsia="zh-CN" w:bidi="ar-SA"/>
    </w:rPr>
  </w:style>
  <w:style w:type="paragraph" w:customStyle="1" w:styleId="89">
    <w:name w:val="Table Text"/>
    <w:link w:val="88"/>
    <w:qFormat/>
    <w:uiPriority w:val="0"/>
    <w:pPr>
      <w:snapToGrid w:val="0"/>
      <w:spacing w:before="80" w:after="80"/>
    </w:pPr>
    <w:rPr>
      <w:rFonts w:ascii="Arial" w:hAnsi="Arial" w:eastAsia="宋体" w:cs="Times New Roman"/>
      <w:kern w:val="2"/>
      <w:sz w:val="18"/>
      <w:lang w:val="en-US" w:eastAsia="zh-CN" w:bidi="ar-SA"/>
    </w:rPr>
  </w:style>
  <w:style w:type="character" w:customStyle="1" w:styleId="90">
    <w:name w:val="v151"/>
    <w:qFormat/>
    <w:uiPriority w:val="0"/>
    <w:rPr>
      <w:sz w:val="18"/>
    </w:rPr>
  </w:style>
  <w:style w:type="character" w:customStyle="1" w:styleId="91">
    <w:name w:val="样式 宋体"/>
    <w:qFormat/>
    <w:uiPriority w:val="0"/>
    <w:rPr>
      <w:rFonts w:ascii="宋体" w:hAnsi="宋体" w:eastAsia="宋体"/>
      <w:sz w:val="28"/>
    </w:rPr>
  </w:style>
  <w:style w:type="character" w:customStyle="1" w:styleId="92">
    <w:name w:val="title_emph1"/>
    <w:qFormat/>
    <w:uiPriority w:val="0"/>
    <w:rPr>
      <w:rFonts w:hint="default" w:ascii="Arial" w:hAnsi="Arial"/>
      <w:b/>
      <w:sz w:val="20"/>
    </w:rPr>
  </w:style>
  <w:style w:type="character" w:customStyle="1" w:styleId="93">
    <w:name w:val="脚注文本 字符"/>
    <w:link w:val="43"/>
    <w:qFormat/>
    <w:uiPriority w:val="0"/>
    <w:rPr>
      <w:kern w:val="2"/>
      <w:sz w:val="18"/>
    </w:rPr>
  </w:style>
  <w:style w:type="character" w:customStyle="1" w:styleId="94">
    <w:name w:val="Char Char"/>
    <w:qFormat/>
    <w:uiPriority w:val="0"/>
    <w:rPr>
      <w:rFonts w:ascii="宋体" w:hAnsi="宋体" w:eastAsia="宋体"/>
      <w:kern w:val="2"/>
      <w:sz w:val="24"/>
      <w:lang w:val="en-US" w:eastAsia="zh-CN" w:bidi="ar-SA"/>
    </w:rPr>
  </w:style>
  <w:style w:type="character" w:customStyle="1" w:styleId="95">
    <w:name w:val="Table Heading Char Char"/>
    <w:qFormat/>
    <w:uiPriority w:val="0"/>
    <w:rPr>
      <w:rFonts w:ascii="Arial" w:hAnsi="Arial" w:eastAsia="黑体"/>
      <w:kern w:val="2"/>
      <w:sz w:val="18"/>
      <w:lang w:val="en-US" w:eastAsia="zh-CN"/>
    </w:rPr>
  </w:style>
  <w:style w:type="character" w:customStyle="1" w:styleId="96">
    <w:name w:val="正文 + 三号 Char"/>
    <w:qFormat/>
    <w:uiPriority w:val="0"/>
    <w:rPr>
      <w:rFonts w:eastAsia="宋体"/>
      <w:kern w:val="2"/>
      <w:sz w:val="21"/>
      <w:lang w:val="en-US" w:eastAsia="zh-CN"/>
    </w:rPr>
  </w:style>
  <w:style w:type="character" w:customStyle="1" w:styleId="97">
    <w:name w:val="Char Char5"/>
    <w:qFormat/>
    <w:uiPriority w:val="0"/>
    <w:rPr>
      <w:rFonts w:ascii="Arial" w:hAnsi="Arial" w:eastAsia="宋体"/>
      <w:b/>
      <w:smallCaps/>
      <w:kern w:val="28"/>
      <w:sz w:val="36"/>
      <w:lang w:val="en-US" w:eastAsia="en-US"/>
    </w:rPr>
  </w:style>
  <w:style w:type="character" w:customStyle="1" w:styleId="98">
    <w:name w:val="Table Text Char Char Char Char"/>
    <w:link w:val="99"/>
    <w:qFormat/>
    <w:uiPriority w:val="0"/>
    <w:rPr>
      <w:rFonts w:ascii="Arial" w:hAnsi="Arial"/>
      <w:kern w:val="2"/>
      <w:sz w:val="18"/>
      <w:lang w:val="en-US" w:eastAsia="zh-CN" w:bidi="ar-SA"/>
    </w:rPr>
  </w:style>
  <w:style w:type="paragraph" w:customStyle="1" w:styleId="99">
    <w:name w:val="Table Text Char Char Char"/>
    <w:link w:val="98"/>
    <w:qFormat/>
    <w:uiPriority w:val="0"/>
    <w:pPr>
      <w:snapToGrid w:val="0"/>
      <w:spacing w:before="80" w:after="80"/>
    </w:pPr>
    <w:rPr>
      <w:rFonts w:ascii="Arial" w:hAnsi="Arial" w:eastAsia="宋体" w:cs="Times New Roman"/>
      <w:kern w:val="2"/>
      <w:sz w:val="18"/>
      <w:lang w:val="en-US" w:eastAsia="zh-CN" w:bidi="ar-SA"/>
    </w:rPr>
  </w:style>
  <w:style w:type="character" w:customStyle="1" w:styleId="100">
    <w:name w:val="font01"/>
    <w:basedOn w:val="63"/>
    <w:qFormat/>
    <w:uiPriority w:val="0"/>
    <w:rPr>
      <w:rFonts w:hint="default" w:ascii="Times New Roman" w:hAnsi="Times New Roman" w:cs="Times New Roman"/>
      <w:color w:val="000000"/>
      <w:sz w:val="20"/>
      <w:szCs w:val="20"/>
      <w:u w:val="none"/>
    </w:rPr>
  </w:style>
  <w:style w:type="character" w:customStyle="1" w:styleId="101">
    <w:name w:val="font101"/>
    <w:qFormat/>
    <w:uiPriority w:val="0"/>
    <w:rPr>
      <w:rFonts w:hint="default" w:ascii="Times New Roman" w:hAnsi="Times New Roman" w:cs="Times New Roman"/>
      <w:color w:val="000000"/>
      <w:sz w:val="20"/>
      <w:szCs w:val="20"/>
      <w:u w:val="none"/>
    </w:rPr>
  </w:style>
  <w:style w:type="character" w:customStyle="1" w:styleId="102">
    <w:name w:val="Table Text Char1 Char"/>
    <w:qFormat/>
    <w:uiPriority w:val="0"/>
    <w:rPr>
      <w:rFonts w:ascii="Arial" w:hAnsi="Arial"/>
      <w:kern w:val="2"/>
      <w:sz w:val="18"/>
      <w:lang w:val="en-US" w:eastAsia="zh-CN" w:bidi="ar-SA"/>
    </w:rPr>
  </w:style>
  <w:style w:type="character" w:customStyle="1" w:styleId="103">
    <w:name w:val="Char Char2"/>
    <w:qFormat/>
    <w:uiPriority w:val="0"/>
    <w:rPr>
      <w:rFonts w:eastAsia="宋体"/>
      <w:kern w:val="2"/>
      <w:sz w:val="18"/>
      <w:lang w:val="en-US" w:eastAsia="zh-CN"/>
    </w:rPr>
  </w:style>
  <w:style w:type="character" w:customStyle="1" w:styleId="104">
    <w:name w:val="标题 2 字符"/>
    <w:link w:val="4"/>
    <w:qFormat/>
    <w:uiPriority w:val="0"/>
    <w:rPr>
      <w:rFonts w:ascii="Arial" w:hAnsi="Arial" w:eastAsia="黑体"/>
      <w:b/>
      <w:kern w:val="2"/>
      <w:sz w:val="32"/>
    </w:rPr>
  </w:style>
  <w:style w:type="character" w:customStyle="1" w:styleId="105">
    <w:name w:val="font31"/>
    <w:qFormat/>
    <w:uiPriority w:val="0"/>
    <w:rPr>
      <w:rFonts w:hint="eastAsia" w:ascii="宋体" w:hAnsi="宋体" w:eastAsia="宋体" w:cs="宋体"/>
      <w:b/>
      <w:color w:val="000000"/>
      <w:sz w:val="20"/>
      <w:szCs w:val="20"/>
      <w:u w:val="none"/>
    </w:rPr>
  </w:style>
  <w:style w:type="character" w:customStyle="1" w:styleId="106">
    <w:name w:val="文字 Char"/>
    <w:link w:val="107"/>
    <w:qFormat/>
    <w:uiPriority w:val="0"/>
    <w:rPr>
      <w:rFonts w:ascii="宋体"/>
      <w:kern w:val="2"/>
      <w:sz w:val="28"/>
    </w:rPr>
  </w:style>
  <w:style w:type="paragraph" w:customStyle="1" w:styleId="107">
    <w:name w:val="文字"/>
    <w:basedOn w:val="1"/>
    <w:link w:val="106"/>
    <w:qFormat/>
    <w:uiPriority w:val="0"/>
    <w:pPr>
      <w:tabs>
        <w:tab w:val="left" w:pos="8520"/>
      </w:tabs>
      <w:spacing w:line="312" w:lineRule="auto"/>
      <w:ind w:right="-210" w:firstLine="556"/>
    </w:pPr>
    <w:rPr>
      <w:rFonts w:ascii="宋体"/>
    </w:rPr>
  </w:style>
  <w:style w:type="character" w:customStyle="1" w:styleId="108">
    <w:name w:val="标题 3 字符"/>
    <w:link w:val="2"/>
    <w:qFormat/>
    <w:uiPriority w:val="0"/>
    <w:rPr>
      <w:rFonts w:eastAsia="宋体"/>
      <w:b/>
      <w:kern w:val="2"/>
      <w:sz w:val="32"/>
      <w:lang w:val="en-US" w:eastAsia="zh-CN"/>
    </w:rPr>
  </w:style>
  <w:style w:type="character" w:customStyle="1" w:styleId="109">
    <w:name w:val="Char Char6"/>
    <w:qFormat/>
    <w:uiPriority w:val="0"/>
    <w:rPr>
      <w:rFonts w:ascii="仿宋_GB2312" w:eastAsia="仿宋_GB2312"/>
      <w:kern w:val="2"/>
      <w:sz w:val="32"/>
    </w:rPr>
  </w:style>
  <w:style w:type="character" w:customStyle="1" w:styleId="110">
    <w:name w:val="Char Char3"/>
    <w:qFormat/>
    <w:uiPriority w:val="0"/>
    <w:rPr>
      <w:rFonts w:eastAsia="宋体"/>
      <w:kern w:val="2"/>
      <w:sz w:val="18"/>
      <w:lang w:val="en-US" w:eastAsia="zh-CN"/>
    </w:rPr>
  </w:style>
  <w:style w:type="character" w:customStyle="1" w:styleId="111">
    <w:name w:val="正文文本首行缩进 2 字符"/>
    <w:basedOn w:val="87"/>
    <w:link w:val="60"/>
    <w:qFormat/>
    <w:uiPriority w:val="0"/>
    <w:rPr>
      <w:kern w:val="2"/>
      <w:sz w:val="44"/>
    </w:rPr>
  </w:style>
  <w:style w:type="character" w:customStyle="1" w:styleId="112">
    <w:name w:val="标书正文:  0.74 厘米 Char1"/>
    <w:qFormat/>
    <w:uiPriority w:val="0"/>
    <w:rPr>
      <w:rFonts w:eastAsia="宋体"/>
      <w:kern w:val="2"/>
      <w:sz w:val="24"/>
      <w:lang w:val="en-US" w:eastAsia="zh-CN"/>
    </w:rPr>
  </w:style>
  <w:style w:type="character" w:customStyle="1" w:styleId="113">
    <w:name w:val="日期 字符"/>
    <w:link w:val="33"/>
    <w:qFormat/>
    <w:uiPriority w:val="0"/>
    <w:rPr>
      <w:kern w:val="2"/>
      <w:sz w:val="28"/>
    </w:rPr>
  </w:style>
  <w:style w:type="character" w:customStyle="1" w:styleId="114">
    <w:name w:val="font1"/>
    <w:qFormat/>
    <w:uiPriority w:val="0"/>
    <w:rPr>
      <w:color w:val="000000"/>
      <w:sz w:val="18"/>
    </w:rPr>
  </w:style>
  <w:style w:type="character" w:customStyle="1" w:styleId="115">
    <w:name w:val="Char Char4"/>
    <w:qFormat/>
    <w:uiPriority w:val="0"/>
    <w:rPr>
      <w:rFonts w:eastAsia="宋体"/>
      <w:b/>
      <w:kern w:val="2"/>
      <w:sz w:val="21"/>
      <w:lang w:val="en-US" w:eastAsia="zh-CN"/>
    </w:rPr>
  </w:style>
  <w:style w:type="character" w:customStyle="1" w:styleId="116">
    <w:name w:val="top-det1"/>
    <w:qFormat/>
    <w:uiPriority w:val="0"/>
    <w:rPr>
      <w:b/>
      <w:color w:val="000000"/>
    </w:rPr>
  </w:style>
  <w:style w:type="character" w:customStyle="1" w:styleId="117">
    <w:name w:val="crowed11"/>
    <w:qFormat/>
    <w:uiPriority w:val="0"/>
    <w:rPr>
      <w:rFonts w:hint="default"/>
      <w:sz w:val="24"/>
    </w:rPr>
  </w:style>
  <w:style w:type="character" w:customStyle="1" w:styleId="118">
    <w:name w:val="H2 Char"/>
    <w:qFormat/>
    <w:uiPriority w:val="0"/>
    <w:rPr>
      <w:rFonts w:ascii="Arial" w:hAnsi="Arial" w:eastAsia="宋体"/>
      <w:kern w:val="2"/>
      <w:sz w:val="28"/>
      <w:lang w:val="en-US" w:eastAsia="zh-CN"/>
    </w:rPr>
  </w:style>
  <w:style w:type="character" w:customStyle="1" w:styleId="119">
    <w:name w:val="小 Char"/>
    <w:qFormat/>
    <w:uiPriority w:val="0"/>
    <w:rPr>
      <w:rFonts w:ascii="宋体" w:hAnsi="Courier New" w:eastAsia="宋体"/>
      <w:kern w:val="2"/>
      <w:sz w:val="21"/>
      <w:lang w:val="en-US" w:eastAsia="zh-CN" w:bidi="ar-SA"/>
    </w:rPr>
  </w:style>
  <w:style w:type="character" w:customStyle="1" w:styleId="120">
    <w:name w:val="页脚 字符"/>
    <w:link w:val="36"/>
    <w:qFormat/>
    <w:uiPriority w:val="99"/>
    <w:rPr>
      <w:kern w:val="2"/>
      <w:sz w:val="18"/>
    </w:rPr>
  </w:style>
  <w:style w:type="character" w:customStyle="1" w:styleId="121">
    <w:name w:val="font11"/>
    <w:qFormat/>
    <w:uiPriority w:val="0"/>
    <w:rPr>
      <w:rFonts w:hint="eastAsia" w:ascii="宋体" w:hAnsi="宋体" w:eastAsia="宋体" w:cs="宋体"/>
      <w:color w:val="000000"/>
      <w:sz w:val="20"/>
      <w:szCs w:val="20"/>
      <w:u w:val="none"/>
      <w:vertAlign w:val="superscript"/>
    </w:rPr>
  </w:style>
  <w:style w:type="paragraph" w:customStyle="1" w:styleId="122">
    <w:name w:val="样式 正文缩进正文（首行缩进两字）表正文正文非缩进特点标题4段1 + 首行缩进:  2 字符"/>
    <w:basedOn w:val="15"/>
    <w:qFormat/>
    <w:uiPriority w:val="0"/>
    <w:pPr>
      <w:ind w:firstLine="480" w:firstLineChars="200"/>
    </w:pPr>
  </w:style>
  <w:style w:type="paragraph" w:customStyle="1" w:styleId="12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4">
    <w:name w:val="修订1"/>
    <w:qFormat/>
    <w:uiPriority w:val="0"/>
    <w:rPr>
      <w:rFonts w:ascii="Calibri" w:hAnsi="Calibri" w:eastAsia="宋体" w:cs="Times New Roman"/>
      <w:kern w:val="2"/>
      <w:sz w:val="21"/>
      <w:lang w:val="en-US" w:eastAsia="zh-CN" w:bidi="ar-SA"/>
    </w:rPr>
  </w:style>
  <w:style w:type="paragraph" w:customStyle="1" w:styleId="125">
    <w:name w:val="正文（首行不缩进）"/>
    <w:basedOn w:val="1"/>
    <w:qFormat/>
    <w:uiPriority w:val="0"/>
    <w:pPr>
      <w:autoSpaceDE w:val="0"/>
      <w:autoSpaceDN w:val="0"/>
      <w:adjustRightInd w:val="0"/>
      <w:spacing w:line="360" w:lineRule="auto"/>
      <w:jc w:val="left"/>
    </w:pPr>
    <w:rPr>
      <w:kern w:val="0"/>
      <w:sz w:val="21"/>
    </w:rPr>
  </w:style>
  <w:style w:type="paragraph" w:customStyle="1" w:styleId="126">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7">
    <w:name w:val="无间隔1"/>
    <w:qFormat/>
    <w:uiPriority w:val="1"/>
    <w:pPr>
      <w:jc w:val="both"/>
    </w:pPr>
    <w:rPr>
      <w:rFonts w:ascii="Calibri" w:hAnsi="Calibri" w:eastAsia="Times New Roman" w:cs="Times New Roman"/>
      <w:lang w:val="en-US" w:eastAsia="zh-CN" w:bidi="ar-SA"/>
    </w:rPr>
  </w:style>
  <w:style w:type="paragraph" w:customStyle="1" w:styleId="128">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9">
    <w:name w:val="Table Paragraph"/>
    <w:basedOn w:val="1"/>
    <w:qFormat/>
    <w:uiPriority w:val="1"/>
    <w:pPr>
      <w:autoSpaceDE w:val="0"/>
      <w:autoSpaceDN w:val="0"/>
      <w:adjustRightInd w:val="0"/>
    </w:pPr>
    <w:rPr>
      <w:sz w:val="24"/>
    </w:rPr>
  </w:style>
  <w:style w:type="paragraph" w:customStyle="1" w:styleId="13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1">
    <w:name w:val="样式5"/>
    <w:basedOn w:val="132"/>
    <w:next w:val="1"/>
    <w:qFormat/>
    <w:uiPriority w:val="0"/>
  </w:style>
  <w:style w:type="paragraph" w:customStyle="1" w:styleId="132">
    <w:name w:val="编号正文"/>
    <w:basedOn w:val="133"/>
    <w:qFormat/>
    <w:uiPriority w:val="0"/>
    <w:pPr>
      <w:snapToGrid/>
      <w:spacing w:line="360" w:lineRule="auto"/>
      <w:ind w:left="1407" w:hanging="1047"/>
      <w:jc w:val="left"/>
    </w:pPr>
    <w:rPr>
      <w:rFonts w:eastAsia="仿宋_GB2312"/>
    </w:rPr>
  </w:style>
  <w:style w:type="paragraph" w:customStyle="1" w:styleId="133">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4">
    <w:name w:val="样式10"/>
    <w:basedOn w:val="1"/>
    <w:next w:val="1"/>
    <w:qFormat/>
    <w:uiPriority w:val="0"/>
    <w:rPr>
      <w:rFonts w:ascii="Times New Roman" w:hAnsi="Times New Roman" w:eastAsia="仿宋"/>
      <w:sz w:val="24"/>
    </w:rPr>
  </w:style>
  <w:style w:type="paragraph" w:customStyle="1" w:styleId="13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6">
    <w:name w:val="Char Char1 Char"/>
    <w:basedOn w:val="1"/>
    <w:qFormat/>
    <w:uiPriority w:val="0"/>
    <w:rPr>
      <w:rFonts w:ascii="Tahoma" w:hAnsi="Tahoma"/>
      <w:sz w:val="24"/>
      <w:szCs w:val="24"/>
    </w:rPr>
  </w:style>
  <w:style w:type="paragraph" w:customStyle="1" w:styleId="137">
    <w:name w:val="样式1xz"/>
    <w:basedOn w:val="1"/>
    <w:qFormat/>
    <w:uiPriority w:val="0"/>
    <w:pPr>
      <w:tabs>
        <w:tab w:val="left" w:pos="1050"/>
        <w:tab w:val="right" w:leader="dot" w:pos="8296"/>
      </w:tabs>
    </w:pPr>
    <w:rPr>
      <w:caps/>
      <w:spacing w:val="20"/>
      <w:sz w:val="24"/>
    </w:rPr>
  </w:style>
  <w:style w:type="paragraph" w:customStyle="1" w:styleId="138">
    <w:name w:val="_Style 19"/>
    <w:basedOn w:val="1"/>
    <w:next w:val="139"/>
    <w:qFormat/>
    <w:uiPriority w:val="0"/>
    <w:pPr>
      <w:ind w:firstLine="420" w:firstLineChars="200"/>
    </w:pPr>
    <w:rPr>
      <w:sz w:val="21"/>
      <w:szCs w:val="22"/>
    </w:rPr>
  </w:style>
  <w:style w:type="paragraph" w:customStyle="1" w:styleId="139">
    <w:name w:val="列表段落1"/>
    <w:basedOn w:val="1"/>
    <w:qFormat/>
    <w:uiPriority w:val="0"/>
    <w:pPr>
      <w:ind w:firstLine="420" w:firstLineChars="200"/>
    </w:pPr>
  </w:style>
  <w:style w:type="paragraph" w:customStyle="1" w:styleId="140">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5">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6">
    <w:name w:val="正文文本 21"/>
    <w:basedOn w:val="1"/>
    <w:qFormat/>
    <w:uiPriority w:val="0"/>
    <w:pPr>
      <w:adjustRightInd w:val="0"/>
      <w:spacing w:before="120" w:line="360" w:lineRule="auto"/>
      <w:ind w:firstLine="480"/>
      <w:textAlignment w:val="baseline"/>
    </w:pPr>
    <w:rPr>
      <w:sz w:val="24"/>
    </w:rPr>
  </w:style>
  <w:style w:type="paragraph" w:customStyle="1" w:styleId="147">
    <w:name w:val="首行缩进"/>
    <w:basedOn w:val="1"/>
    <w:qFormat/>
    <w:uiPriority w:val="0"/>
    <w:pPr>
      <w:numPr>
        <w:ilvl w:val="0"/>
        <w:numId w:val="4"/>
      </w:numPr>
      <w:spacing w:line="360" w:lineRule="auto"/>
    </w:pPr>
    <w:rPr>
      <w:rFonts w:eastAsia="仿宋_GB2312"/>
    </w:rPr>
  </w:style>
  <w:style w:type="paragraph" w:customStyle="1" w:styleId="148">
    <w:name w:val="简单回函地址"/>
    <w:basedOn w:val="1"/>
    <w:qFormat/>
    <w:uiPriority w:val="0"/>
    <w:pPr>
      <w:adjustRightInd w:val="0"/>
      <w:snapToGrid w:val="0"/>
      <w:spacing w:line="360" w:lineRule="auto"/>
    </w:pPr>
    <w:rPr>
      <w:sz w:val="24"/>
    </w:rPr>
  </w:style>
  <w:style w:type="paragraph" w:customStyle="1" w:styleId="149">
    <w:name w:val="二级列表"/>
    <w:basedOn w:val="150"/>
    <w:next w:val="150"/>
    <w:qFormat/>
    <w:uiPriority w:val="0"/>
    <w:pPr>
      <w:tabs>
        <w:tab w:val="left" w:pos="2120"/>
      </w:tabs>
      <w:ind w:firstLine="0" w:firstLineChars="0"/>
    </w:pPr>
    <w:rPr>
      <w:b/>
    </w:rPr>
  </w:style>
  <w:style w:type="paragraph" w:customStyle="1" w:styleId="150">
    <w:name w:val="段落正文"/>
    <w:basedOn w:val="1"/>
    <w:qFormat/>
    <w:uiPriority w:val="0"/>
    <w:pPr>
      <w:spacing w:beforeLines="50" w:line="360" w:lineRule="auto"/>
      <w:ind w:firstLine="200" w:firstLineChars="200"/>
    </w:pPr>
    <w:rPr>
      <w:spacing w:val="2"/>
      <w:sz w:val="24"/>
    </w:rPr>
  </w:style>
  <w:style w:type="paragraph" w:customStyle="1" w:styleId="151">
    <w:name w:val="标题无"/>
    <w:basedOn w:val="1"/>
    <w:qFormat/>
    <w:uiPriority w:val="0"/>
    <w:pPr>
      <w:spacing w:line="360" w:lineRule="auto"/>
    </w:pPr>
    <w:rPr>
      <w:sz w:val="24"/>
    </w:rPr>
  </w:style>
  <w:style w:type="paragraph" w:customStyle="1" w:styleId="152">
    <w:name w:val="没有缩进（为图形使用）"/>
    <w:basedOn w:val="1"/>
    <w:qFormat/>
    <w:uiPriority w:val="0"/>
    <w:pPr>
      <w:spacing w:before="120" w:after="120" w:line="360" w:lineRule="auto"/>
    </w:pPr>
    <w:rPr>
      <w:sz w:val="24"/>
    </w:rPr>
  </w:style>
  <w:style w:type="paragraph" w:customStyle="1" w:styleId="15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4">
    <w:name w:val="正文表格"/>
    <w:basedOn w:val="1"/>
    <w:qFormat/>
    <w:uiPriority w:val="0"/>
    <w:pPr>
      <w:adjustRightInd w:val="0"/>
      <w:spacing w:before="40" w:after="40"/>
    </w:pPr>
    <w:rPr>
      <w:sz w:val="24"/>
    </w:rPr>
  </w:style>
  <w:style w:type="paragraph" w:customStyle="1" w:styleId="15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6">
    <w:name w:val="标书正文:  0.74 厘米"/>
    <w:basedOn w:val="1"/>
    <w:qFormat/>
    <w:uiPriority w:val="0"/>
    <w:pPr>
      <w:snapToGrid w:val="0"/>
      <w:spacing w:line="360" w:lineRule="auto"/>
      <w:ind w:firstLine="420"/>
    </w:pPr>
    <w:rPr>
      <w:sz w:val="24"/>
    </w:rPr>
  </w:style>
  <w:style w:type="paragraph" w:customStyle="1" w:styleId="157">
    <w:name w:val="Title - Date"/>
    <w:basedOn w:val="57"/>
    <w:next w:val="1"/>
    <w:qFormat/>
    <w:uiPriority w:val="0"/>
    <w:pPr>
      <w:spacing w:before="240" w:after="720"/>
    </w:pPr>
    <w:rPr>
      <w:sz w:val="28"/>
    </w:rPr>
  </w:style>
  <w:style w:type="paragraph" w:customStyle="1" w:styleId="158">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59">
    <w:name w:val="样式11"/>
    <w:basedOn w:val="1"/>
    <w:next w:val="1"/>
    <w:qFormat/>
    <w:uiPriority w:val="0"/>
    <w:rPr>
      <w:rFonts w:ascii="Times New Roman" w:hAnsi="Times New Roman"/>
    </w:rPr>
  </w:style>
  <w:style w:type="paragraph" w:customStyle="1" w:styleId="160">
    <w:name w:val="Char Char14 Char Char"/>
    <w:basedOn w:val="1"/>
    <w:qFormat/>
    <w:uiPriority w:val="0"/>
    <w:rPr>
      <w:sz w:val="21"/>
      <w:szCs w:val="2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Char Char Char Char Char Char Char"/>
    <w:basedOn w:val="1"/>
    <w:qFormat/>
    <w:uiPriority w:val="0"/>
    <w:rPr>
      <w:rFonts w:ascii="Tahoma" w:hAnsi="Tahoma"/>
      <w:sz w:val="24"/>
    </w:rPr>
  </w:style>
  <w:style w:type="paragraph" w:customStyle="1" w:styleId="163">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6">
    <w:name w:val="正文文本缩进 21"/>
    <w:basedOn w:val="1"/>
    <w:qFormat/>
    <w:uiPriority w:val="0"/>
    <w:pPr>
      <w:adjustRightInd w:val="0"/>
      <w:spacing w:before="120"/>
      <w:ind w:firstLine="420"/>
      <w:textAlignment w:val="baseline"/>
    </w:pPr>
    <w:rPr>
      <w:sz w:val="24"/>
    </w:rPr>
  </w:style>
  <w:style w:type="paragraph" w:customStyle="1" w:styleId="167">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9">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0">
    <w:name w:val="样式 首行缩进:  0.74 厘米"/>
    <w:basedOn w:val="1"/>
    <w:qFormat/>
    <w:uiPriority w:val="0"/>
    <w:pPr>
      <w:spacing w:line="360" w:lineRule="auto"/>
      <w:ind w:firstLine="420"/>
    </w:pPr>
    <w:rPr>
      <w:sz w:val="24"/>
    </w:rPr>
  </w:style>
  <w:style w:type="paragraph" w:customStyle="1" w:styleId="171">
    <w:name w:val="表格文本"/>
    <w:qFormat/>
    <w:uiPriority w:val="0"/>
    <w:pPr>
      <w:tabs>
        <w:tab w:val="decimal" w:pos="0"/>
      </w:tabs>
    </w:pPr>
    <w:rPr>
      <w:rFonts w:ascii="Arial" w:hAnsi="Arial" w:eastAsia="宋体" w:cs="Times New Roman"/>
      <w:sz w:val="21"/>
      <w:lang w:val="en-US" w:eastAsia="zh-CN" w:bidi="ar-SA"/>
    </w:rPr>
  </w:style>
  <w:style w:type="paragraph" w:customStyle="1" w:styleId="172">
    <w:name w:val="默认段落字体 Para Char Char Char Char Char Char Char"/>
    <w:basedOn w:val="1"/>
    <w:qFormat/>
    <w:uiPriority w:val="0"/>
    <w:rPr>
      <w:rFonts w:ascii="Tahoma" w:hAnsi="Tahoma"/>
      <w:sz w:val="24"/>
    </w:rPr>
  </w:style>
  <w:style w:type="paragraph" w:customStyle="1" w:styleId="17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4">
    <w:name w:val="Char1"/>
    <w:basedOn w:val="1"/>
    <w:qFormat/>
    <w:uiPriority w:val="0"/>
    <w:rPr>
      <w:sz w:val="21"/>
    </w:rPr>
  </w:style>
  <w:style w:type="paragraph" w:customStyle="1" w:styleId="175">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6">
    <w:name w:val="Char1 Char Char Char"/>
    <w:basedOn w:val="1"/>
    <w:qFormat/>
    <w:uiPriority w:val="0"/>
    <w:rPr>
      <w:rFonts w:ascii="Tahoma" w:hAnsi="Tahoma"/>
      <w:sz w:val="30"/>
    </w:rPr>
  </w:style>
  <w:style w:type="paragraph" w:customStyle="1" w:styleId="177">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8">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9">
    <w:name w:val="Table Contents"/>
    <w:basedOn w:val="22"/>
    <w:qFormat/>
    <w:uiPriority w:val="0"/>
    <w:pPr>
      <w:suppressAutoHyphens/>
      <w:jc w:val="left"/>
    </w:pPr>
    <w:rPr>
      <w:rFonts w:ascii="Times New Roman" w:eastAsia="Times New Roman"/>
      <w:kern w:val="0"/>
      <w:sz w:val="24"/>
    </w:rPr>
  </w:style>
  <w:style w:type="paragraph" w:customStyle="1" w:styleId="180">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1">
    <w:name w:val="List Paragraph11"/>
    <w:basedOn w:val="1"/>
    <w:qFormat/>
    <w:uiPriority w:val="0"/>
    <w:pPr>
      <w:ind w:firstLine="420" w:firstLineChars="200"/>
    </w:pPr>
    <w:rPr>
      <w:rFonts w:ascii="等线" w:hAnsi="等线" w:eastAsia="等线"/>
      <w:sz w:val="21"/>
      <w:szCs w:val="22"/>
    </w:rPr>
  </w:style>
  <w:style w:type="paragraph" w:customStyle="1" w:styleId="182">
    <w:name w:val="附录3"/>
    <w:basedOn w:val="1"/>
    <w:next w:val="1"/>
    <w:qFormat/>
    <w:uiPriority w:val="0"/>
    <w:pPr>
      <w:tabs>
        <w:tab w:val="left" w:pos="851"/>
      </w:tabs>
      <w:ind w:left="425" w:hanging="425"/>
      <w:outlineLvl w:val="2"/>
    </w:pPr>
    <w:rPr>
      <w:rFonts w:eastAsia="黑体"/>
      <w:b/>
      <w:sz w:val="32"/>
    </w:rPr>
  </w:style>
  <w:style w:type="paragraph" w:customStyle="1" w:styleId="183">
    <w:name w:val="标题3——2"/>
    <w:basedOn w:val="2"/>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4">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6">
    <w:name w:val="List Paragraph1"/>
    <w:basedOn w:val="1"/>
    <w:qFormat/>
    <w:uiPriority w:val="0"/>
    <w:pPr>
      <w:ind w:firstLine="420" w:firstLineChars="200"/>
    </w:pPr>
    <w:rPr>
      <w:sz w:val="21"/>
      <w:szCs w:val="22"/>
    </w:rPr>
  </w:style>
  <w:style w:type="paragraph" w:customStyle="1" w:styleId="187">
    <w:name w:val="af"/>
    <w:basedOn w:val="1"/>
    <w:qFormat/>
    <w:uiPriority w:val="0"/>
    <w:pPr>
      <w:widowControl/>
      <w:spacing w:line="300" w:lineRule="atLeast"/>
      <w:jc w:val="left"/>
    </w:pPr>
    <w:rPr>
      <w:rFonts w:ascii="宋体" w:hAnsi="宋体"/>
      <w:kern w:val="0"/>
      <w:sz w:val="18"/>
    </w:rPr>
  </w:style>
  <w:style w:type="paragraph" w:customStyle="1" w:styleId="188">
    <w:name w:val="样式8"/>
    <w:basedOn w:val="1"/>
    <w:next w:val="1"/>
    <w:qFormat/>
    <w:uiPriority w:val="0"/>
    <w:rPr>
      <w:rFonts w:ascii="Times New Roman" w:hAnsi="Times New Roman" w:eastAsia="仿宋"/>
      <w:sz w:val="24"/>
    </w:rPr>
  </w:style>
  <w:style w:type="paragraph" w:customStyle="1" w:styleId="189">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1">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2">
    <w:name w:val="图片文字"/>
    <w:basedOn w:val="1"/>
    <w:qFormat/>
    <w:uiPriority w:val="0"/>
    <w:pPr>
      <w:spacing w:line="240" w:lineRule="atLeast"/>
      <w:jc w:val="center"/>
    </w:pPr>
    <w:rPr>
      <w:sz w:val="21"/>
    </w:rPr>
  </w:style>
  <w:style w:type="paragraph" w:customStyle="1" w:styleId="193">
    <w:name w:val="表格内文字"/>
    <w:basedOn w:val="31"/>
    <w:qFormat/>
    <w:uiPriority w:val="0"/>
    <w:pPr>
      <w:adjustRightInd w:val="0"/>
    </w:pPr>
    <w:rPr>
      <w:color w:val="000000"/>
      <w:lang w:val="en-GB"/>
    </w:rPr>
  </w:style>
  <w:style w:type="paragraph" w:customStyle="1" w:styleId="194">
    <w:name w:val="二级条标题"/>
    <w:basedOn w:val="195"/>
    <w:next w:val="197"/>
    <w:qFormat/>
    <w:uiPriority w:val="0"/>
    <w:pPr>
      <w:ind w:left="840"/>
      <w:outlineLvl w:val="3"/>
    </w:pPr>
  </w:style>
  <w:style w:type="paragraph" w:customStyle="1" w:styleId="195">
    <w:name w:val="一级条标题"/>
    <w:basedOn w:val="196"/>
    <w:next w:val="197"/>
    <w:qFormat/>
    <w:uiPriority w:val="0"/>
    <w:pPr>
      <w:numPr>
        <w:numId w:val="0"/>
      </w:numPr>
      <w:spacing w:beforeLines="0" w:afterLines="0"/>
      <w:ind w:left="525"/>
      <w:outlineLvl w:val="2"/>
    </w:pPr>
    <w:rPr>
      <w:sz w:val="21"/>
    </w:rPr>
  </w:style>
  <w:style w:type="paragraph" w:customStyle="1" w:styleId="196">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7">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8">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9">
    <w:name w:val="标题 5（有编号）（绿盟科技）"/>
    <w:basedOn w:val="1"/>
    <w:next w:val="153"/>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0">
    <w:name w:val="Char2 Char Char Char Char Char Char"/>
    <w:basedOn w:val="1"/>
    <w:qFormat/>
    <w:uiPriority w:val="0"/>
    <w:rPr>
      <w:rFonts w:ascii="仿宋_GB2312"/>
      <w:b/>
      <w:sz w:val="30"/>
    </w:rPr>
  </w:style>
  <w:style w:type="paragraph" w:customStyle="1" w:styleId="201">
    <w:name w:val="表头样式"/>
    <w:basedOn w:val="1"/>
    <w:qFormat/>
    <w:uiPriority w:val="0"/>
    <w:pPr>
      <w:autoSpaceDE w:val="0"/>
      <w:autoSpaceDN w:val="0"/>
      <w:adjustRightInd w:val="0"/>
      <w:spacing w:line="360" w:lineRule="auto"/>
      <w:jc w:val="left"/>
    </w:pPr>
    <w:rPr>
      <w:b/>
      <w:kern w:val="0"/>
      <w:sz w:val="21"/>
    </w:rPr>
  </w:style>
  <w:style w:type="paragraph" w:customStyle="1" w:styleId="202">
    <w:name w:val="文本框样式1"/>
    <w:basedOn w:val="1"/>
    <w:qFormat/>
    <w:uiPriority w:val="0"/>
    <w:pPr>
      <w:adjustRightInd w:val="0"/>
      <w:snapToGrid w:val="0"/>
      <w:spacing w:before="60" w:line="180" w:lineRule="exact"/>
      <w:jc w:val="center"/>
    </w:pPr>
    <w:rPr>
      <w:sz w:val="21"/>
    </w:rPr>
  </w:style>
  <w:style w:type="paragraph" w:customStyle="1" w:styleId="203">
    <w:name w:val="样式6"/>
    <w:basedOn w:val="1"/>
    <w:next w:val="1"/>
    <w:qFormat/>
    <w:uiPriority w:val="0"/>
    <w:rPr>
      <w:rFonts w:ascii="Times New Roman" w:hAnsi="Times New Roman"/>
    </w:rPr>
  </w:style>
  <w:style w:type="paragraph" w:customStyle="1" w:styleId="204">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7">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8">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9">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0">
    <w:name w:val="文本1"/>
    <w:basedOn w:val="1"/>
    <w:qFormat/>
    <w:uiPriority w:val="0"/>
    <w:pPr>
      <w:adjustRightInd w:val="0"/>
      <w:spacing w:line="312" w:lineRule="atLeast"/>
      <w:jc w:val="center"/>
      <w:textAlignment w:val="baseline"/>
    </w:pPr>
    <w:rPr>
      <w:kern w:val="0"/>
      <w:sz w:val="18"/>
    </w:rPr>
  </w:style>
  <w:style w:type="paragraph" w:customStyle="1" w:styleId="211">
    <w:name w:val="IN Feature"/>
    <w:next w:val="212"/>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2">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3">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5">
    <w:name w:val="正文字缩2字"/>
    <w:basedOn w:val="1"/>
    <w:qFormat/>
    <w:uiPriority w:val="0"/>
    <w:pPr>
      <w:spacing w:before="60" w:after="60" w:line="360" w:lineRule="auto"/>
      <w:ind w:left="200" w:leftChars="200" w:firstLine="200" w:firstLineChars="200"/>
    </w:pPr>
    <w:rPr>
      <w:sz w:val="24"/>
    </w:rPr>
  </w:style>
  <w:style w:type="paragraph" w:customStyle="1" w:styleId="21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7">
    <w:name w:val="样式4"/>
    <w:basedOn w:val="5"/>
    <w:qFormat/>
    <w:uiPriority w:val="0"/>
    <w:pPr>
      <w:adjustRightInd w:val="0"/>
      <w:snapToGrid w:val="0"/>
    </w:pPr>
  </w:style>
  <w:style w:type="paragraph" w:customStyle="1" w:styleId="218">
    <w:name w:val="样式 行距: 1.5 倍行距1"/>
    <w:basedOn w:val="1"/>
    <w:qFormat/>
    <w:uiPriority w:val="0"/>
    <w:pPr>
      <w:snapToGrid w:val="0"/>
    </w:pPr>
    <w:rPr>
      <w:sz w:val="21"/>
    </w:rPr>
  </w:style>
  <w:style w:type="paragraph" w:customStyle="1" w:styleId="219">
    <w:name w:val="Char"/>
    <w:basedOn w:val="1"/>
    <w:qFormat/>
    <w:uiPriority w:val="0"/>
    <w:pPr>
      <w:spacing w:line="240" w:lineRule="atLeast"/>
      <w:ind w:left="420" w:firstLine="420"/>
    </w:pPr>
    <w:rPr>
      <w:kern w:val="0"/>
      <w:sz w:val="21"/>
    </w:rPr>
  </w:style>
  <w:style w:type="paragraph" w:customStyle="1" w:styleId="220">
    <w:name w:val="样式1"/>
    <w:basedOn w:val="5"/>
    <w:qFormat/>
    <w:uiPriority w:val="0"/>
    <w:pPr>
      <w:tabs>
        <w:tab w:val="left" w:pos="720"/>
      </w:tabs>
      <w:spacing w:before="500" w:after="260" w:line="560" w:lineRule="atLeast"/>
      <w:ind w:left="420" w:hanging="420"/>
    </w:pPr>
  </w:style>
  <w:style w:type="paragraph" w:customStyle="1" w:styleId="221">
    <w:name w:val="标准正文"/>
    <w:basedOn w:val="23"/>
    <w:qFormat/>
    <w:uiPriority w:val="0"/>
    <w:pPr>
      <w:spacing w:before="60" w:after="60" w:line="360" w:lineRule="auto"/>
      <w:ind w:left="0" w:firstLine="482"/>
    </w:pPr>
    <w:rPr>
      <w:rFonts w:ascii="Arial" w:hAnsi="Arial"/>
      <w:sz w:val="24"/>
    </w:rPr>
  </w:style>
  <w:style w:type="paragraph" w:customStyle="1" w:styleId="222">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3">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4">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5">
    <w:name w:val="样式7"/>
    <w:basedOn w:val="1"/>
    <w:next w:val="1"/>
    <w:qFormat/>
    <w:uiPriority w:val="0"/>
    <w:rPr>
      <w:rFonts w:ascii="Times New Roman" w:hAnsi="Times New Roman"/>
    </w:rPr>
  </w:style>
  <w:style w:type="paragraph" w:customStyle="1" w:styleId="226">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7">
    <w:name w:val="样式 宋体 五号 行距: 单倍行距"/>
    <w:basedOn w:val="1"/>
    <w:qFormat/>
    <w:uiPriority w:val="0"/>
    <w:pPr>
      <w:adjustRightInd w:val="0"/>
      <w:jc w:val="left"/>
    </w:pPr>
    <w:rPr>
      <w:rFonts w:ascii="宋体" w:hAnsi="宋体"/>
      <w:kern w:val="0"/>
      <w:sz w:val="21"/>
    </w:rPr>
  </w:style>
  <w:style w:type="paragraph" w:customStyle="1" w:styleId="228">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9">
    <w:name w:val="Char Char 字元 字元 字元 Char Char Char Char"/>
    <w:basedOn w:val="1"/>
    <w:qFormat/>
    <w:uiPriority w:val="0"/>
    <w:pPr>
      <w:adjustRightInd w:val="0"/>
      <w:spacing w:line="360" w:lineRule="auto"/>
    </w:pPr>
    <w:rPr>
      <w:kern w:val="0"/>
      <w:sz w:val="24"/>
    </w:rPr>
  </w:style>
  <w:style w:type="paragraph" w:customStyle="1" w:styleId="230">
    <w:name w:val="内容标题"/>
    <w:basedOn w:val="17"/>
    <w:qFormat/>
    <w:uiPriority w:val="0"/>
    <w:rPr>
      <w:rFonts w:ascii="Tahoma" w:hAnsi="Tahoma"/>
      <w:sz w:val="24"/>
    </w:rPr>
  </w:style>
  <w:style w:type="paragraph" w:customStyle="1" w:styleId="231">
    <w:name w:val="Char Char Char Char Char Char Char Char Char Char Char Char Char Char Char Char"/>
    <w:basedOn w:val="1"/>
    <w:qFormat/>
    <w:uiPriority w:val="0"/>
    <w:pPr>
      <w:tabs>
        <w:tab w:val="left" w:pos="360"/>
      </w:tabs>
    </w:pPr>
    <w:rPr>
      <w:sz w:val="24"/>
    </w:rPr>
  </w:style>
  <w:style w:type="paragraph" w:customStyle="1" w:styleId="232">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3">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4">
    <w:name w:val="图例"/>
    <w:basedOn w:val="1"/>
    <w:qFormat/>
    <w:uiPriority w:val="0"/>
    <w:pPr>
      <w:spacing w:before="120" w:after="120" w:line="360" w:lineRule="auto"/>
      <w:jc w:val="center"/>
    </w:pPr>
    <w:rPr>
      <w:rFonts w:eastAsia="仿宋_GB2312"/>
      <w:b/>
      <w:sz w:val="24"/>
    </w:rPr>
  </w:style>
  <w:style w:type="paragraph" w:customStyle="1" w:styleId="235">
    <w:name w:val="00"/>
    <w:basedOn w:val="1"/>
    <w:qFormat/>
    <w:uiPriority w:val="0"/>
    <w:pPr>
      <w:autoSpaceDE w:val="0"/>
      <w:autoSpaceDN w:val="0"/>
      <w:adjustRightInd w:val="0"/>
      <w:jc w:val="left"/>
    </w:pPr>
    <w:rPr>
      <w:rFonts w:ascii="黑体" w:eastAsia="黑体"/>
      <w:b/>
      <w:kern w:val="0"/>
      <w:sz w:val="20"/>
    </w:rPr>
  </w:style>
  <w:style w:type="paragraph" w:customStyle="1" w:styleId="236">
    <w:name w:val="Char1 Char Char Char1"/>
    <w:basedOn w:val="1"/>
    <w:qFormat/>
    <w:uiPriority w:val="0"/>
    <w:rPr>
      <w:rFonts w:ascii="Tahoma" w:hAnsi="Tahoma"/>
      <w:sz w:val="24"/>
    </w:rPr>
  </w:style>
  <w:style w:type="paragraph" w:customStyle="1" w:styleId="237">
    <w:name w:val="表文字"/>
    <w:qFormat/>
    <w:uiPriority w:val="0"/>
    <w:rPr>
      <w:rFonts w:ascii="宋体" w:hAnsi="Calibri" w:eastAsia="宋体" w:cs="Times New Roman"/>
      <w:kern w:val="2"/>
      <w:lang w:val="en-US" w:eastAsia="zh-CN" w:bidi="ar-SA"/>
    </w:rPr>
  </w:style>
  <w:style w:type="paragraph" w:customStyle="1" w:styleId="238">
    <w:name w:val="正文4"/>
    <w:basedOn w:val="1"/>
    <w:qFormat/>
    <w:uiPriority w:val="0"/>
    <w:pPr>
      <w:tabs>
        <w:tab w:val="left" w:pos="1275"/>
      </w:tabs>
      <w:spacing w:before="60" w:after="60" w:line="360" w:lineRule="auto"/>
      <w:ind w:left="820" w:leftChars="400" w:hanging="705"/>
    </w:pPr>
    <w:rPr>
      <w:sz w:val="24"/>
    </w:rPr>
  </w:style>
  <w:style w:type="paragraph" w:customStyle="1" w:styleId="239">
    <w:name w:val="可研正文"/>
    <w:basedOn w:val="22"/>
    <w:qFormat/>
    <w:uiPriority w:val="0"/>
    <w:pPr>
      <w:adjustRightInd w:val="0"/>
      <w:snapToGrid w:val="0"/>
      <w:spacing w:line="440" w:lineRule="exact"/>
      <w:ind w:firstLine="567"/>
    </w:pPr>
    <w:rPr>
      <w:sz w:val="28"/>
    </w:rPr>
  </w:style>
  <w:style w:type="paragraph" w:customStyle="1" w:styleId="24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1">
    <w:name w:val="正文 + 三号"/>
    <w:basedOn w:val="1"/>
    <w:qFormat/>
    <w:uiPriority w:val="0"/>
    <w:rPr>
      <w:sz w:val="21"/>
    </w:rPr>
  </w:style>
  <w:style w:type="paragraph" w:customStyle="1" w:styleId="242">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3">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4">
    <w:name w:val="标题1"/>
    <w:basedOn w:val="1"/>
    <w:next w:val="1"/>
    <w:qFormat/>
    <w:uiPriority w:val="0"/>
    <w:rPr>
      <w:rFonts w:ascii="Times New Roman" w:hAnsi="Times New Roman"/>
    </w:rPr>
  </w:style>
  <w:style w:type="paragraph" w:customStyle="1" w:styleId="245">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6">
    <w:name w:val="关键词"/>
    <w:basedOn w:val="1"/>
    <w:next w:val="1"/>
    <w:qFormat/>
    <w:uiPriority w:val="0"/>
    <w:pPr>
      <w:spacing w:line="360" w:lineRule="auto"/>
    </w:pPr>
    <w:rPr>
      <w:rFonts w:eastAsia="黑体"/>
      <w:sz w:val="20"/>
    </w:rPr>
  </w:style>
  <w:style w:type="paragraph" w:customStyle="1" w:styleId="247">
    <w:name w:val="Char Char Char Char Char Char Char1"/>
    <w:basedOn w:val="17"/>
    <w:qFormat/>
    <w:uiPriority w:val="0"/>
    <w:rPr>
      <w:rFonts w:ascii="宋体" w:hAnsi="Tahoma"/>
    </w:rPr>
  </w:style>
  <w:style w:type="paragraph" w:customStyle="1" w:styleId="248">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0">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1">
    <w:name w:val="Char2"/>
    <w:basedOn w:val="1"/>
    <w:qFormat/>
    <w:uiPriority w:val="0"/>
    <w:pPr>
      <w:spacing w:line="240" w:lineRule="atLeast"/>
      <w:ind w:left="420" w:firstLine="420"/>
    </w:pPr>
    <w:rPr>
      <w:kern w:val="0"/>
      <w:sz w:val="21"/>
    </w:rPr>
  </w:style>
  <w:style w:type="paragraph" w:customStyle="1" w:styleId="252">
    <w:name w:val="样式12"/>
    <w:basedOn w:val="1"/>
    <w:next w:val="1"/>
    <w:qFormat/>
    <w:uiPriority w:val="0"/>
    <w:rPr>
      <w:rFonts w:ascii="Times New Roman" w:hAnsi="Times New Roman" w:eastAsia="仿宋"/>
      <w:sz w:val="24"/>
    </w:rPr>
  </w:style>
  <w:style w:type="paragraph" w:customStyle="1" w:styleId="253">
    <w:name w:val="样式2"/>
    <w:basedOn w:val="5"/>
    <w:qFormat/>
    <w:uiPriority w:val="0"/>
    <w:pPr>
      <w:numPr>
        <w:ilvl w:val="0"/>
        <w:numId w:val="13"/>
      </w:numPr>
      <w:spacing w:before="560" w:line="400" w:lineRule="exact"/>
      <w:jc w:val="center"/>
      <w:outlineLvl w:val="0"/>
    </w:pPr>
    <w:rPr>
      <w:sz w:val="44"/>
    </w:rPr>
  </w:style>
  <w:style w:type="paragraph" w:customStyle="1" w:styleId="25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5">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6">
    <w:name w:val="文章正文"/>
    <w:basedOn w:val="1"/>
    <w:qFormat/>
    <w:uiPriority w:val="0"/>
    <w:pPr>
      <w:ind w:firstLine="560" w:firstLineChars="200"/>
    </w:pPr>
    <w:rPr>
      <w:rFonts w:ascii="仿宋_GB2312" w:hAnsi="宋体" w:eastAsia="仿宋_GB2312"/>
      <w:color w:val="000000"/>
    </w:rPr>
  </w:style>
  <w:style w:type="paragraph" w:customStyle="1" w:styleId="257">
    <w:name w:val="默认段落字体 Para Char Char Char Char Char Char Char Char Char1 Char Char Char Char"/>
    <w:basedOn w:val="1"/>
    <w:qFormat/>
    <w:uiPriority w:val="0"/>
    <w:rPr>
      <w:rFonts w:ascii="Tahoma" w:hAnsi="Tahoma"/>
      <w:sz w:val="24"/>
    </w:rPr>
  </w:style>
  <w:style w:type="paragraph" w:customStyle="1" w:styleId="258">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9">
    <w:name w:val="Title - Revision"/>
    <w:basedOn w:val="57"/>
    <w:qFormat/>
    <w:uiPriority w:val="0"/>
    <w:pPr>
      <w:spacing w:before="720"/>
    </w:pPr>
  </w:style>
  <w:style w:type="paragraph" w:customStyle="1" w:styleId="260">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1">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2">
    <w:name w:val="Note"/>
    <w:basedOn w:val="1"/>
    <w:qFormat/>
    <w:uiPriority w:val="0"/>
    <w:pPr>
      <w:pBdr>
        <w:top w:val="single" w:color="auto" w:sz="12" w:space="3"/>
        <w:bottom w:val="single" w:color="auto" w:sz="12" w:space="3"/>
      </w:pBdr>
      <w:spacing w:line="360" w:lineRule="auto"/>
    </w:pPr>
    <w:rPr>
      <w:sz w:val="24"/>
    </w:rPr>
  </w:style>
  <w:style w:type="paragraph" w:customStyle="1" w:styleId="263">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5">
    <w:name w:val="样式9"/>
    <w:basedOn w:val="1"/>
    <w:next w:val="1"/>
    <w:qFormat/>
    <w:uiPriority w:val="0"/>
    <w:rPr>
      <w:rFonts w:ascii="Times New Roman" w:hAnsi="Times New Roman" w:eastAsia="仿宋"/>
      <w:sz w:val="24"/>
    </w:rPr>
  </w:style>
  <w:style w:type="paragraph" w:customStyle="1" w:styleId="266">
    <w:name w:val="首行缩进 1"/>
    <w:basedOn w:val="1"/>
    <w:qFormat/>
    <w:uiPriority w:val="0"/>
    <w:pPr>
      <w:spacing w:after="120" w:line="360" w:lineRule="auto"/>
      <w:ind w:firstLine="200" w:firstLineChars="200"/>
    </w:pPr>
    <w:rPr>
      <w:sz w:val="24"/>
    </w:rPr>
  </w:style>
  <w:style w:type="paragraph" w:customStyle="1" w:styleId="267">
    <w:name w:val="1"/>
    <w:basedOn w:val="1"/>
    <w:next w:val="31"/>
    <w:qFormat/>
    <w:uiPriority w:val="0"/>
    <w:rPr>
      <w:rFonts w:ascii="宋体" w:hAnsi="Courier New"/>
      <w:sz w:val="21"/>
    </w:rPr>
  </w:style>
  <w:style w:type="paragraph" w:customStyle="1" w:styleId="268">
    <w:name w:val="1.正文"/>
    <w:basedOn w:val="1"/>
    <w:qFormat/>
    <w:uiPriority w:val="0"/>
    <w:pPr>
      <w:spacing w:line="360" w:lineRule="auto"/>
      <w:ind w:left="540" w:leftChars="225" w:firstLine="540" w:firstLineChars="225"/>
    </w:pPr>
    <w:rPr>
      <w:sz w:val="24"/>
    </w:rPr>
  </w:style>
  <w:style w:type="paragraph" w:customStyle="1" w:styleId="269">
    <w:name w:val="Style Heading 3h3Heading 3 - oldLevel 3 HeadH3level_3PIM 3se..."/>
    <w:basedOn w:val="2"/>
    <w:qFormat/>
    <w:uiPriority w:val="0"/>
    <w:pPr>
      <w:tabs>
        <w:tab w:val="left" w:pos="709"/>
        <w:tab w:val="left" w:pos="1620"/>
      </w:tabs>
      <w:ind w:left="1620" w:hanging="360"/>
    </w:pPr>
  </w:style>
  <w:style w:type="paragraph" w:customStyle="1" w:styleId="270">
    <w:name w:val="摘要"/>
    <w:basedOn w:val="1"/>
    <w:next w:val="4"/>
    <w:qFormat/>
    <w:uiPriority w:val="0"/>
    <w:pPr>
      <w:spacing w:line="360" w:lineRule="auto"/>
    </w:pPr>
    <w:rPr>
      <w:rFonts w:eastAsia="黑体"/>
      <w:sz w:val="20"/>
    </w:rPr>
  </w:style>
  <w:style w:type="paragraph" w:customStyle="1" w:styleId="271">
    <w:name w:val="Char Char Char"/>
    <w:basedOn w:val="1"/>
    <w:qFormat/>
    <w:uiPriority w:val="0"/>
    <w:rPr>
      <w:rFonts w:ascii="Tahoma" w:hAnsi="Tahoma"/>
      <w:sz w:val="24"/>
    </w:rPr>
  </w:style>
  <w:style w:type="character" w:customStyle="1" w:styleId="272">
    <w:name w:val="font61"/>
    <w:basedOn w:val="63"/>
    <w:qFormat/>
    <w:uiPriority w:val="0"/>
    <w:rPr>
      <w:rFonts w:hint="default" w:ascii="Times New Roman" w:hAnsi="Times New Roman" w:cs="Times New Roman"/>
      <w:color w:val="000000"/>
      <w:sz w:val="18"/>
      <w:szCs w:val="18"/>
      <w:u w:val="none"/>
    </w:rPr>
  </w:style>
  <w:style w:type="character" w:customStyle="1" w:styleId="273">
    <w:name w:val="font21"/>
    <w:basedOn w:val="63"/>
    <w:qFormat/>
    <w:uiPriority w:val="0"/>
    <w:rPr>
      <w:rFonts w:hint="eastAsia" w:ascii="宋体" w:hAnsi="宋体" w:eastAsia="宋体" w:cs="宋体"/>
      <w:color w:val="000000"/>
      <w:sz w:val="18"/>
      <w:szCs w:val="18"/>
      <w:u w:val="none"/>
    </w:rPr>
  </w:style>
  <w:style w:type="character" w:customStyle="1" w:styleId="274">
    <w:name w:val="NormalCharacter"/>
    <w:qFormat/>
    <w:uiPriority w:val="0"/>
    <w:rPr>
      <w:rFonts w:ascii="宋体" w:hAnsi="Tahoma"/>
    </w:rPr>
  </w:style>
  <w:style w:type="character" w:customStyle="1" w:styleId="275">
    <w:name w:val="font71"/>
    <w:basedOn w:val="63"/>
    <w:qFormat/>
    <w:uiPriority w:val="0"/>
    <w:rPr>
      <w:rFonts w:hint="eastAsia" w:ascii="宋体" w:hAnsi="宋体" w:eastAsia="宋体" w:cs="宋体"/>
      <w:color w:val="000000"/>
      <w:sz w:val="20"/>
      <w:szCs w:val="20"/>
      <w:u w:val="none"/>
    </w:rPr>
  </w:style>
  <w:style w:type="paragraph" w:customStyle="1" w:styleId="276">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styleId="277">
    <w:name w:val="List Paragraph"/>
    <w:basedOn w:val="1"/>
    <w:unhideWhenUsed/>
    <w:qFormat/>
    <w:uiPriority w:val="99"/>
    <w:pPr>
      <w:ind w:firstLine="420" w:firstLineChars="200"/>
    </w:pPr>
  </w:style>
  <w:style w:type="paragraph" w:customStyle="1" w:styleId="278">
    <w:name w:val="项目编号名称单位地点等"/>
    <w:semiHidden/>
    <w:qFormat/>
    <w:uiPriority w:val="0"/>
    <w:pPr>
      <w:tabs>
        <w:tab w:val="left" w:pos="560"/>
      </w:tabs>
      <w:spacing w:line="660" w:lineRule="exact"/>
      <w:jc w:val="center"/>
    </w:pPr>
    <w:rPr>
      <w:rFonts w:ascii="黑体" w:hAnsi="黑体" w:eastAsia="宋体" w:cs="Times New Roman"/>
      <w:b/>
      <w:kern w:val="2"/>
      <w:sz w:val="32"/>
      <w:szCs w:val="36"/>
      <w:lang w:val="en-US" w:eastAsia="zh-CN" w:bidi="ar-SA"/>
    </w:rPr>
  </w:style>
  <w:style w:type="paragraph" w:customStyle="1" w:styleId="279">
    <w:name w:val="参数正文"/>
    <w:basedOn w:val="1"/>
    <w:qFormat/>
    <w:uiPriority w:val="0"/>
    <w:pPr>
      <w:spacing w:before="0" w:beforeLines="0" w:beforeAutospacing="0" w:after="0" w:afterLines="0" w:afterAutospacing="0"/>
    </w:pPr>
    <w:rPr>
      <w:lang w:val="en-US" w:eastAsia="uk-UA"/>
    </w:rPr>
  </w:style>
  <w:style w:type="table" w:customStyle="1" w:styleId="280">
    <w:name w:val="Table Normal"/>
    <w:semiHidden/>
    <w:unhideWhenUsed/>
    <w:qFormat/>
    <w:uiPriority w:val="0"/>
    <w:tblPr>
      <w:tblCellMar>
        <w:top w:w="0" w:type="dxa"/>
        <w:left w:w="0" w:type="dxa"/>
        <w:bottom w:w="0" w:type="dxa"/>
        <w:right w:w="0" w:type="dxa"/>
      </w:tblCellMar>
    </w:tblPr>
  </w:style>
  <w:style w:type="paragraph" w:customStyle="1" w:styleId="281">
    <w:name w:val="AONormal"/>
    <w:qFormat/>
    <w:uiPriority w:val="0"/>
    <w:pPr>
      <w:spacing w:line="260" w:lineRule="atLeast"/>
    </w:pPr>
    <w:rPr>
      <w:rFonts w:ascii="Times New Roman" w:hAnsi="Times New Roman" w:eastAsia="宋体" w:cs="Times New Roman"/>
      <w:sz w:val="22"/>
      <w:szCs w:val="22"/>
      <w:lang w:val="en-GB"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34</Pages>
  <Words>13876</Words>
  <Characters>14510</Characters>
  <Lines>133</Lines>
  <Paragraphs>37</Paragraphs>
  <TotalTime>0</TotalTime>
  <ScaleCrop>false</ScaleCrop>
  <LinksUpToDate>false</LinksUpToDate>
  <CharactersWithSpaces>14992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2023-08-01T10:12:00Z</dcterms:created>
  <dc:creator>刘胜仲</dc:creator>
  <cp:lastModifiedBy>王明娅</cp:lastModifiedBy>
  <cp:lastPrinted>2023-10-20T03:01:00Z</cp:lastPrinted>
  <dcterms:modified xsi:type="dcterms:W3CDTF">2026-01-29T02:35:29Z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7990579_cloud</vt:lpwstr>
  </property>
  <property fmtid="{D5CDD505-2E9C-101B-9397-08002B2CF9AE}" pid="4" name="ICV">
    <vt:lpwstr>8A8B49E72C6E44D2B5BD45A23772521A_13</vt:lpwstr>
  </property>
  <property fmtid="{D5CDD505-2E9C-101B-9397-08002B2CF9AE}" pid="5" name="KSOTemplateDocerSaveRecord">
    <vt:lpwstr>eyJoZGlkIjoiM2U0M2Q1MTVhOWM3OTg0ZGI2MjVkMGZkYzBiYTA4OTMiLCJ1c2VySWQiOiI0NDkyNjQ0MTgifQ==</vt:lpwstr>
  </property>
</Properties>
</file>