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方正小标宋_GBK" w:hAnsi="宋体" w:eastAsia="方正小标宋_GBK" w:cs="Times New Roman"/>
          <w:b/>
          <w:color w:val="auto"/>
          <w:sz w:val="36"/>
          <w:szCs w:val="30"/>
          <w:highlight w:val="none"/>
        </w:rPr>
      </w:pPr>
      <w:r>
        <w:rPr>
          <w:rFonts w:hint="eastAsia" w:ascii="方正小标宋_GBK" w:hAnsi="宋体" w:eastAsia="方正小标宋_GBK" w:cs="Times New Roman"/>
          <w:b/>
          <w:color w:val="auto"/>
          <w:sz w:val="36"/>
          <w:szCs w:val="30"/>
          <w:highlight w:val="none"/>
        </w:rPr>
        <w:t>采购邀请书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u w:val="single"/>
          <w:lang w:eastAsia="zh-CN"/>
        </w:rPr>
        <w:t>重庆方郡建设工程咨询有限公司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u w:val="single"/>
        </w:rPr>
        <w:t>（以下简称：采购代理机构）受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u w:val="single"/>
          <w:lang w:eastAsia="zh-CN"/>
        </w:rPr>
        <w:t>重庆市渝中区文化馆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（以下简称：采购人）的委托，对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u w:val="single"/>
          <w:lang w:eastAsia="zh-CN"/>
        </w:rPr>
        <w:t>重庆市渝中区文化馆、渝中区图书馆职工食堂食材等采购配送服务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项目进行竞争性磋商采购。欢迎有资格的供应商前来参与磋商。</w:t>
      </w:r>
    </w:p>
    <w:p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ascii="方正仿宋_GBK" w:hAnsi="宋体" w:eastAsia="方正仿宋_GBK"/>
          <w:color w:val="auto"/>
          <w:sz w:val="24"/>
          <w:highlight w:val="none"/>
        </w:rPr>
      </w:pPr>
      <w:bookmarkStart w:id="0" w:name="_Toc8824"/>
      <w:bookmarkStart w:id="1" w:name="_Toc3120"/>
      <w:bookmarkStart w:id="2" w:name="_Toc7478"/>
      <w:bookmarkStart w:id="3" w:name="_Toc76462317"/>
      <w:bookmarkStart w:id="4" w:name="_Toc22931"/>
      <w:bookmarkStart w:id="5" w:name="_Toc22075"/>
      <w:bookmarkStart w:id="6" w:name="_Toc317775175"/>
      <w:bookmarkStart w:id="7" w:name="_Toc22599"/>
      <w:bookmarkStart w:id="8" w:name="_Toc6701"/>
      <w:bookmarkStart w:id="9" w:name="_Toc313893526"/>
      <w:bookmarkStart w:id="10" w:name="_Toc13542"/>
      <w:bookmarkStart w:id="11" w:name="_Toc27096"/>
      <w:bookmarkStart w:id="12" w:name="_Toc16331"/>
      <w:bookmarkStart w:id="13" w:name="_Toc20809"/>
      <w:r>
        <w:rPr>
          <w:rFonts w:hint="eastAsia" w:ascii="方正仿宋_GBK" w:hAnsi="宋体" w:eastAsia="方正仿宋_GBK"/>
          <w:color w:val="auto"/>
          <w:sz w:val="24"/>
          <w:highlight w:val="none"/>
        </w:rPr>
        <w:t>一、竞争性磋商内容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4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305"/>
        <w:gridCol w:w="1350"/>
        <w:gridCol w:w="1091"/>
        <w:gridCol w:w="122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包号及名称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预算金额</w:t>
            </w:r>
          </w:p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（万元）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left="0"/>
              <w:jc w:val="center"/>
              <w:outlineLvl w:val="0"/>
              <w:rPr>
                <w:rFonts w:hint="eastAsia" w:ascii="方正仿宋_GBK" w:hAnsi="宋体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  <w:t>最高限价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磋商保证</w:t>
            </w:r>
          </w:p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（万元）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成交供应商数量（名）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采购标的对应的中小企业划分标准所属行业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  <w:lang w:eastAsia="zh-CN"/>
              </w:rPr>
            </w:pPr>
            <w:bookmarkStart w:id="14" w:name="_Hlk344477914"/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包号1：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  <w:lang w:eastAsia="zh-CN"/>
              </w:rPr>
              <w:t>重庆市渝中区文化馆、渝中区图书馆职工食堂食材等采购配送服务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  <w:t>34.29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下浮率0-100%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无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批发业</w:t>
            </w:r>
          </w:p>
        </w:tc>
      </w:tr>
      <w:bookmarkEnd w:id="14"/>
    </w:tbl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b/>
          <w:bCs/>
          <w:color w:val="auto"/>
          <w:sz w:val="24"/>
          <w:szCs w:val="24"/>
          <w:highlight w:val="none"/>
        </w:rPr>
      </w:pPr>
      <w:bookmarkStart w:id="15" w:name="_Toc459"/>
      <w:bookmarkStart w:id="16" w:name="_Toc14595"/>
      <w:bookmarkStart w:id="17" w:name="_Toc21175"/>
      <w:bookmarkStart w:id="18" w:name="_Toc29069"/>
      <w:bookmarkStart w:id="19" w:name="_Toc272"/>
      <w:bookmarkStart w:id="20" w:name="_Toc23092"/>
      <w:bookmarkStart w:id="21" w:name="_Toc9763"/>
      <w:bookmarkStart w:id="22" w:name="_Toc10936"/>
      <w:bookmarkStart w:id="23" w:name="_Toc24226"/>
      <w:bookmarkStart w:id="24" w:name="_Toc29853"/>
      <w:bookmarkStart w:id="25" w:name="_Toc76462318"/>
      <w:bookmarkStart w:id="26" w:name="_Toc373860293"/>
      <w:bookmarkStart w:id="27" w:name="_Toc317775178"/>
      <w:r>
        <w:rPr>
          <w:rFonts w:hint="eastAsia" w:ascii="方正仿宋_GBK" w:hAnsi="宋体" w:eastAsia="方正仿宋_GBK"/>
          <w:b/>
          <w:bCs/>
          <w:color w:val="auto"/>
          <w:sz w:val="24"/>
          <w:szCs w:val="24"/>
          <w:highlight w:val="none"/>
        </w:rPr>
        <w:t>注：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bookmarkEnd w:id="23"/>
    <w:bookmarkEnd w:id="24"/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b/>
          <w:bCs/>
          <w:color w:val="auto"/>
          <w:sz w:val="24"/>
          <w:szCs w:val="24"/>
          <w:highlight w:val="none"/>
        </w:rPr>
      </w:pPr>
      <w:bookmarkStart w:id="28" w:name="_Toc27802"/>
      <w:bookmarkStart w:id="29" w:name="_Toc16336"/>
      <w:bookmarkStart w:id="30" w:name="_Toc25078"/>
      <w:bookmarkStart w:id="31" w:name="_Toc27141"/>
      <w:bookmarkStart w:id="32" w:name="_Toc22318"/>
      <w:bookmarkStart w:id="33" w:name="_Toc4697"/>
      <w:bookmarkStart w:id="34" w:name="_Toc4652"/>
      <w:bookmarkStart w:id="35" w:name="_Toc32235"/>
      <w:r>
        <w:rPr>
          <w:rFonts w:hint="eastAsia" w:ascii="方正仿宋_GBK" w:hAnsi="宋体" w:eastAsia="方正仿宋_GBK"/>
          <w:b/>
          <w:bCs/>
          <w:color w:val="auto"/>
          <w:sz w:val="24"/>
          <w:szCs w:val="24"/>
          <w:highlight w:val="none"/>
        </w:rPr>
        <w:t>1.本项目预算金额仅作为供应商在服务期限内总结算金额的预算额度，是供应商参加投标的报价参考，不作为最终结算依据。实际结算金额以供应商每月实际配送的品种数量*（双方确认的基准定价*供应商报价下浮率），每月据实结算。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36" w:name="_Toc27427"/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b/>
          <w:bCs/>
          <w:color w:val="auto"/>
          <w:sz w:val="24"/>
          <w:szCs w:val="24"/>
          <w:highlight w:val="none"/>
        </w:rPr>
      </w:pPr>
      <w:bookmarkStart w:id="37" w:name="_Toc10883"/>
      <w:bookmarkStart w:id="38" w:name="_Toc4165"/>
      <w:bookmarkStart w:id="39" w:name="_Toc31308"/>
      <w:bookmarkStart w:id="40" w:name="_Toc29362"/>
      <w:bookmarkStart w:id="41" w:name="_Toc12191"/>
      <w:bookmarkStart w:id="42" w:name="_Toc30822"/>
      <w:bookmarkStart w:id="43" w:name="_Toc11170"/>
      <w:r>
        <w:rPr>
          <w:rFonts w:hint="eastAsia" w:ascii="方正仿宋_GBK" w:hAnsi="宋体" w:eastAsia="方正仿宋_GBK"/>
          <w:b/>
          <w:bCs/>
          <w:color w:val="auto"/>
          <w:sz w:val="24"/>
          <w:szCs w:val="24"/>
          <w:highlight w:val="none"/>
        </w:rPr>
        <w:t>2.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hint="eastAsia" w:ascii="方正仿宋_GBK" w:hAnsi="宋体" w:eastAsia="方正仿宋_GBK"/>
          <w:b/>
          <w:bCs/>
          <w:color w:val="auto"/>
          <w:sz w:val="24"/>
          <w:szCs w:val="24"/>
          <w:highlight w:val="none"/>
        </w:rPr>
        <w:t>以采购人指定的当地卖场（采购人所在就近地区内重百超市、新世纪超市、麦德龙、永辉超市）等大型超市中任意选1-2家的同类食材实时挂牌价平均值为定价基础，进行下浮率报价，且在下浮率0%-100%之间进行报价【例如：供应商下浮率报价为10%，即为9折。（若供应商填报的下浮率为10%，若询价的不同超市的实时价格平均价为10元/斤或件，则采购人与供应商实际结算的供货价格为9元/斤或件）】。</w:t>
      </w:r>
    </w:p>
    <w:p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highlight w:val="none"/>
        </w:rPr>
      </w:pPr>
      <w:bookmarkStart w:id="44" w:name="_Toc24523"/>
      <w:bookmarkStart w:id="45" w:name="_Toc19236"/>
      <w:bookmarkStart w:id="46" w:name="_Toc29295"/>
      <w:bookmarkStart w:id="47" w:name="_Toc13548"/>
      <w:bookmarkStart w:id="48" w:name="_Toc16547"/>
      <w:bookmarkStart w:id="49" w:name="_Toc26967"/>
      <w:bookmarkStart w:id="50" w:name="_Toc3604"/>
      <w:bookmarkStart w:id="51" w:name="_Toc4465"/>
      <w:bookmarkStart w:id="52" w:name="_Toc20583"/>
      <w:bookmarkStart w:id="53" w:name="_Toc8677"/>
      <w:bookmarkStart w:id="54" w:name="_Toc22227"/>
      <w:r>
        <w:rPr>
          <w:rFonts w:hint="eastAsia" w:ascii="方正仿宋_GBK" w:hAnsi="宋体" w:eastAsia="方正仿宋_GBK"/>
          <w:color w:val="auto"/>
          <w:sz w:val="24"/>
          <w:highlight w:val="none"/>
        </w:rPr>
        <w:t>二、资金来源</w:t>
      </w:r>
      <w:bookmarkEnd w:id="25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spacing w:line="400" w:lineRule="exact"/>
        <w:ind w:firstLine="480" w:firstLineChars="200"/>
        <w:rPr>
          <w:rFonts w:hint="eastAsia" w:ascii="方正仿宋_GBK" w:hAnsi="仿宋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仿宋" w:eastAsia="方正仿宋_GBK"/>
          <w:color w:val="auto"/>
          <w:sz w:val="24"/>
          <w:szCs w:val="24"/>
          <w:highlight w:val="none"/>
        </w:rPr>
        <w:t>财政预算资金，预算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金额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val="en-US" w:eastAsia="zh-CN"/>
        </w:rPr>
        <w:t>34.29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万</w:t>
      </w:r>
      <w:r>
        <w:rPr>
          <w:rFonts w:hint="eastAsia" w:ascii="方正仿宋_GBK" w:hAnsi="仿宋" w:eastAsia="方正仿宋_GBK"/>
          <w:color w:val="auto"/>
          <w:sz w:val="24"/>
          <w:szCs w:val="24"/>
          <w:highlight w:val="none"/>
        </w:rPr>
        <w:t>元。</w:t>
      </w:r>
    </w:p>
    <w:p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highlight w:val="none"/>
        </w:rPr>
      </w:pPr>
      <w:bookmarkStart w:id="55" w:name="_Toc20780"/>
      <w:bookmarkStart w:id="56" w:name="_Toc23858"/>
      <w:r>
        <w:rPr>
          <w:rFonts w:hint="eastAsia" w:ascii="方正仿宋_GBK" w:hAnsi="宋体" w:eastAsia="方正仿宋_GBK" w:cs="Times New Roman"/>
          <w:color w:val="auto"/>
          <w:sz w:val="24"/>
          <w:highlight w:val="none"/>
        </w:rPr>
        <w:t>三、供应商资格条件</w:t>
      </w:r>
      <w:bookmarkEnd w:id="55"/>
      <w:bookmarkEnd w:id="56"/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（一）满足《中华人民共和国政府采购法》第二十二条规定；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（二）落实政府采购政策需满足的资格要求：无；</w:t>
      </w:r>
    </w:p>
    <w:p>
      <w:pPr>
        <w:spacing w:line="400" w:lineRule="exact"/>
        <w:ind w:firstLine="480" w:firstLineChars="200"/>
        <w:rPr>
          <w:color w:val="auto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（三）本项目的特定资格要求：供应商应具备行业主管部门颁发的有效的《食品经营许可证》。（提供许可证证书复印件并加盖供应商公章）</w:t>
      </w:r>
    </w:p>
    <w:p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highlight w:val="none"/>
        </w:rPr>
      </w:pPr>
      <w:bookmarkStart w:id="57" w:name="_Toc7257"/>
      <w:bookmarkStart w:id="58" w:name="_Toc3636"/>
      <w:bookmarkStart w:id="59" w:name="_Toc12966"/>
      <w:bookmarkStart w:id="60" w:name="_Toc18949"/>
      <w:bookmarkStart w:id="61" w:name="_Toc10075"/>
      <w:bookmarkStart w:id="62" w:name="_Toc4318"/>
      <w:bookmarkStart w:id="63" w:name="_Toc21855"/>
      <w:bookmarkStart w:id="64" w:name="_Toc8530"/>
      <w:bookmarkStart w:id="65" w:name="_Toc4474"/>
      <w:bookmarkStart w:id="66" w:name="_Toc24735"/>
      <w:bookmarkStart w:id="67" w:name="_Toc76462319"/>
      <w:bookmarkStart w:id="68" w:name="_Toc19514"/>
      <w:r>
        <w:rPr>
          <w:rFonts w:hint="eastAsia" w:ascii="方正仿宋_GBK" w:hAnsi="宋体" w:eastAsia="方正仿宋_GBK"/>
          <w:color w:val="auto"/>
          <w:sz w:val="24"/>
          <w:highlight w:val="none"/>
          <w:lang w:val="en-US" w:eastAsia="zh-CN"/>
        </w:rPr>
        <w:t>四</w:t>
      </w:r>
      <w:r>
        <w:rPr>
          <w:rFonts w:hint="eastAsia" w:ascii="方正仿宋_GBK" w:hAnsi="宋体" w:eastAsia="方正仿宋_GBK"/>
          <w:color w:val="auto"/>
          <w:sz w:val="24"/>
          <w:highlight w:val="none"/>
        </w:rPr>
        <w:t>、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rPr>
          <w:rFonts w:hint="eastAsia" w:ascii="方正仿宋_GBK" w:hAnsi="宋体" w:eastAsia="方正仿宋_GBK"/>
          <w:color w:val="auto"/>
          <w:sz w:val="24"/>
          <w:highlight w:val="none"/>
        </w:rPr>
        <w:t>磋商有关说明</w:t>
      </w:r>
      <w:bookmarkEnd w:id="68"/>
    </w:p>
    <w:p>
      <w:pPr>
        <w:snapToGrid w:val="0"/>
        <w:spacing w:line="400" w:lineRule="exact"/>
        <w:ind w:firstLine="480" w:firstLineChars="200"/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（一）凡有意参加磋商的供应商，请到采购代理机构领取或在“行采家”网（https://www.gec123.com/）下载本项目竞争性磋商文件以及补遗等磋商前公布的所有项目资料，无论供应商领取或下载与否，均视为已知晓所有磋商实质性要求内容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（二）磋商文件公告期限：自磋商公告发布之日起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个工作日。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仿宋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方正仿宋_GBK" w:hAnsi="仿宋" w:eastAsia="方正仿宋_GBK" w:cs="Times New Roman"/>
          <w:b w:val="0"/>
          <w:bCs w:val="0"/>
          <w:color w:val="auto"/>
          <w:sz w:val="24"/>
          <w:szCs w:val="24"/>
          <w:highlight w:val="none"/>
        </w:rPr>
        <w:t>（三）报名和</w:t>
      </w:r>
      <w:r>
        <w:rPr>
          <w:rFonts w:hint="eastAsia" w:ascii="方正仿宋_GBK" w:hAnsi="仿宋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方正仿宋_GBK" w:hAnsi="仿宋" w:eastAsia="方正仿宋_GBK" w:cs="Times New Roman"/>
          <w:b w:val="0"/>
          <w:bCs w:val="0"/>
          <w:color w:val="auto"/>
          <w:sz w:val="24"/>
          <w:szCs w:val="24"/>
          <w:highlight w:val="none"/>
        </w:rPr>
        <w:t>文件发售方式：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方正仿宋_GBK" w:hAnsi="仿宋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1.报名和</w:t>
      </w:r>
      <w:r>
        <w:rPr>
          <w:rFonts w:hint="eastAsia" w:ascii="方正仿宋_GBK" w:hAnsi="仿宋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方正仿宋_GBK" w:hAnsi="仿宋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文件发售期限：2025年6月26日至2025年7月6日17:00（工作时间）。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仿宋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2.报名和</w:t>
      </w:r>
      <w:r>
        <w:rPr>
          <w:rFonts w:hint="eastAsia" w:ascii="方正仿宋_GBK" w:hAnsi="仿宋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方正仿宋_GBK" w:hAnsi="仿宋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文件发售方式：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潜在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将《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val="en-US" w:eastAsia="zh-CN"/>
        </w:rPr>
        <w:t>磋商文件发售登记表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》（加盖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公章）扫描后发送至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instrText xml:space="preserve"> HYPERLINK "mailto:采购文件发售登记表》扫描后发送至617375494@qq.co" </w:instrTex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val="en-US" w:eastAsia="zh-CN"/>
        </w:rPr>
        <w:t>511237513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@qq.co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m（邮箱）。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2.1在报名和磋商文件发售期内购买了磋商文件的供应商，其报名才被接收。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3.磋商文件售价：人民币500元/份</w:t>
      </w:r>
      <w:bookmarkStart w:id="121" w:name="_GoBack"/>
      <w:bookmarkEnd w:id="121"/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，售后不退。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（四）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递交响应文件地点：</w:t>
      </w: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重庆市渝中区文化馆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会议室</w:t>
      </w: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（五）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递交响应文件开始时间：202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日北京时间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时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</w:rPr>
        <w:t>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分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（六）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响应文件递交截止时间</w:t>
      </w: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202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</w:t>
      </w: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北京时间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时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</w:rPr>
        <w:t>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分</w:t>
      </w: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（七）开标时间：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202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</w:t>
      </w: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北京时间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时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u w:val="none"/>
        </w:rPr>
        <w:t>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分</w:t>
      </w: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八</w:t>
      </w: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磋商</w:t>
      </w:r>
      <w:r>
        <w:rPr>
          <w:rFonts w:hint="eastAsia" w:ascii="方正仿宋_GBK" w:hAnsi="宋体" w:eastAsia="方正仿宋_GBK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地点：同投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递交响应文件地点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。</w:t>
      </w:r>
    </w:p>
    <w:bookmarkEnd w:id="26"/>
    <w:p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eastAsia="方正仿宋_GBK"/>
          <w:color w:val="auto"/>
          <w:highlight w:val="none"/>
          <w:lang w:eastAsia="zh-CN"/>
        </w:rPr>
      </w:pPr>
      <w:bookmarkStart w:id="69" w:name="_Toc31231"/>
      <w:bookmarkStart w:id="70" w:name="_Toc30103"/>
      <w:bookmarkStart w:id="71" w:name="_Toc11554"/>
      <w:bookmarkStart w:id="72" w:name="_Toc23810"/>
      <w:bookmarkStart w:id="73" w:name="_Toc17733"/>
      <w:bookmarkStart w:id="74" w:name="_Toc18697"/>
      <w:bookmarkStart w:id="75" w:name="_Toc3955"/>
      <w:bookmarkStart w:id="76" w:name="_Toc4848"/>
      <w:bookmarkStart w:id="77" w:name="_Toc15315"/>
      <w:bookmarkStart w:id="78" w:name="_Toc7699"/>
      <w:bookmarkStart w:id="79" w:name="_Toc30573"/>
      <w:r>
        <w:rPr>
          <w:rFonts w:hint="eastAsia" w:ascii="方正仿宋_GBK" w:hAnsi="宋体" w:eastAsia="方正仿宋_GBK"/>
          <w:color w:val="auto"/>
          <w:sz w:val="24"/>
          <w:highlight w:val="none"/>
        </w:rPr>
        <w:t>五、磋商保证金</w:t>
      </w:r>
      <w:r>
        <w:rPr>
          <w:rFonts w:hint="eastAsia" w:ascii="方正仿宋_GBK" w:hAnsi="宋体" w:eastAsia="方正仿宋_GBK"/>
          <w:b w:val="0"/>
          <w:color w:val="auto"/>
          <w:sz w:val="24"/>
          <w:szCs w:val="24"/>
          <w:highlight w:val="none"/>
          <w:lang w:val="en-US" w:eastAsia="zh-CN"/>
        </w:rPr>
        <w:t>：无</w:t>
      </w:r>
      <w:bookmarkEnd w:id="69"/>
      <w:bookmarkEnd w:id="70"/>
      <w:r>
        <w:rPr>
          <w:rFonts w:hint="eastAsia" w:ascii="方正仿宋_GBK" w:hAnsi="宋体" w:eastAsia="方正仿宋_GBK"/>
          <w:b w:val="0"/>
          <w:color w:val="auto"/>
          <w:sz w:val="24"/>
          <w:szCs w:val="24"/>
          <w:highlight w:val="none"/>
          <w:lang w:val="en-US" w:eastAsia="zh-CN"/>
        </w:rPr>
        <w:t>。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highlight w:val="none"/>
        </w:rPr>
      </w:pPr>
      <w:bookmarkStart w:id="80" w:name="_Toc373860294"/>
      <w:bookmarkStart w:id="81" w:name="_Toc6549"/>
      <w:bookmarkStart w:id="82" w:name="_Toc5173"/>
      <w:bookmarkStart w:id="83" w:name="_Toc16384"/>
      <w:bookmarkStart w:id="84" w:name="_Toc76462321"/>
      <w:bookmarkStart w:id="85" w:name="_Toc15351"/>
      <w:bookmarkStart w:id="86" w:name="_Toc18607"/>
      <w:bookmarkStart w:id="87" w:name="_Toc28144"/>
      <w:bookmarkStart w:id="88" w:name="_Toc4162"/>
      <w:bookmarkStart w:id="89" w:name="_Toc13233"/>
      <w:bookmarkStart w:id="90" w:name="_Toc779"/>
      <w:bookmarkStart w:id="91" w:name="_Toc29228"/>
      <w:bookmarkStart w:id="92" w:name="_Toc11391"/>
      <w:r>
        <w:rPr>
          <w:rFonts w:hint="eastAsia" w:ascii="方正仿宋_GBK" w:hAnsi="宋体" w:eastAsia="方正仿宋_GBK"/>
          <w:color w:val="auto"/>
          <w:sz w:val="24"/>
          <w:highlight w:val="none"/>
        </w:rPr>
        <w:t>六、</w:t>
      </w:r>
      <w:bookmarkEnd w:id="27"/>
      <w:bookmarkEnd w:id="80"/>
      <w:bookmarkStart w:id="93" w:name="_Toc480466698"/>
      <w:bookmarkStart w:id="94" w:name="_Toc479668114"/>
      <w:r>
        <w:rPr>
          <w:rFonts w:hint="eastAsia" w:ascii="方正仿宋_GBK" w:hAnsi="宋体" w:eastAsia="方正仿宋_GBK"/>
          <w:color w:val="auto"/>
          <w:sz w:val="24"/>
          <w:highlight w:val="none"/>
        </w:rPr>
        <w:t>采购项目需落实的政府采购政策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（一）按照《财政部 生态环境部关于印发环境标志产品政府采购品目清单的通知》（财库〔2019〕18号）和《财政部 发展改革委关于印发节能产品政府采购品目清单的通知》（财库〔2019〕19号）的规定，落实国家节能环保政策。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（二）按照财政部、工业和信息化部关于印发《政府采购促进中小企业发展管理办法》的通知（财库〔2020〕46号）的规定，落实促进中小企业发展政策。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（三）按照《财政部、司法部关于政府采购支持监狱企业发展有关问题的通知》（财库〔2014〕68号）的规定，落实支持监狱企业发展政策。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（四）按照《三部门联合发布关于促进残疾人就业政府采购政策的通知》（财库〔2017〕 141号）的规定，落实支持残疾人福利性单位发展政策。</w:t>
      </w:r>
    </w:p>
    <w:p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highlight w:val="none"/>
        </w:rPr>
      </w:pPr>
      <w:bookmarkStart w:id="95" w:name="_Toc76462322"/>
      <w:bookmarkStart w:id="96" w:name="_Toc5939"/>
      <w:bookmarkStart w:id="97" w:name="_Toc26097"/>
      <w:bookmarkStart w:id="98" w:name="_Toc2854"/>
      <w:bookmarkStart w:id="99" w:name="_Toc2397"/>
      <w:bookmarkStart w:id="100" w:name="_Toc2212"/>
      <w:bookmarkStart w:id="101" w:name="_Toc7393"/>
      <w:bookmarkStart w:id="102" w:name="_Toc26285"/>
      <w:bookmarkStart w:id="103" w:name="_Toc10265"/>
      <w:bookmarkStart w:id="104" w:name="_Toc14810"/>
      <w:bookmarkStart w:id="105" w:name="_Toc15243"/>
      <w:bookmarkStart w:id="106" w:name="_Toc480466699"/>
      <w:bookmarkStart w:id="107" w:name="_Toc5551"/>
      <w:r>
        <w:rPr>
          <w:rFonts w:hint="eastAsia" w:ascii="方正仿宋_GBK" w:hAnsi="宋体" w:eastAsia="方正仿宋_GBK"/>
          <w:color w:val="auto"/>
          <w:sz w:val="24"/>
          <w:highlight w:val="none"/>
        </w:rPr>
        <w:t>七、其它有关规定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（一）单位负责人为同一人或者存在直接控股、管理关系的不同供应商，</w:t>
      </w:r>
      <w:r>
        <w:rPr>
          <w:rFonts w:ascii="方正仿宋_GBK" w:hAnsi="宋体" w:eastAsia="方正仿宋_GBK"/>
          <w:color w:val="auto"/>
          <w:sz w:val="24"/>
          <w:szCs w:val="24"/>
          <w:highlight w:val="none"/>
        </w:rPr>
        <w:t>不得参加同一合同项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（包）</w:t>
      </w:r>
      <w:r>
        <w:rPr>
          <w:rFonts w:ascii="方正仿宋_GBK" w:hAnsi="宋体" w:eastAsia="方正仿宋_GBK"/>
          <w:color w:val="auto"/>
          <w:sz w:val="24"/>
          <w:szCs w:val="24"/>
          <w:highlight w:val="none"/>
        </w:rPr>
        <w:t>下的政府采购活动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，否则均为无效响应。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（二）为采购项目提供整体设计、规范编制或者项目管理、监理、检测等服务的供应商，不得再</w:t>
      </w:r>
      <w:r>
        <w:rPr>
          <w:rFonts w:ascii="方正仿宋_GBK" w:hAnsi="宋体" w:eastAsia="方正仿宋_GBK"/>
          <w:color w:val="auto"/>
          <w:sz w:val="24"/>
          <w:szCs w:val="24"/>
          <w:highlight w:val="none"/>
        </w:rPr>
        <w:t>参加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该采购</w:t>
      </w:r>
      <w:r>
        <w:rPr>
          <w:rFonts w:ascii="方正仿宋_GBK" w:hAnsi="宋体" w:eastAsia="方正仿宋_GBK"/>
          <w:color w:val="auto"/>
          <w:sz w:val="24"/>
          <w:szCs w:val="24"/>
          <w:highlight w:val="none"/>
        </w:rPr>
        <w:t>项目的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其他</w:t>
      </w:r>
      <w:r>
        <w:rPr>
          <w:rFonts w:ascii="方正仿宋_GBK" w:hAnsi="宋体" w:eastAsia="方正仿宋_GBK"/>
          <w:color w:val="auto"/>
          <w:sz w:val="24"/>
          <w:szCs w:val="24"/>
          <w:highlight w:val="none"/>
        </w:rPr>
        <w:t>采购活动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。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三）本项目的澄清文件（如果有）一律在行采家（http://www.gec123.com）上发布，请各供应商注意下载或到采购代理机构处领取；无论供应商下载或领取与否，均视同供应商已知晓本项目澄清文件（如果有）的内容。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（四）超过响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应文件截止时间递交的响应文件，恕不接收。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（五）磋商费用：无论磋商结果如何，供应商参与本项目磋商的所有费用均应由供应商自行承担。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方正仿宋_GBK" w:hAnsi="宋体" w:eastAsia="方正仿宋_GBK" w:cs="Times New Roman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（六）本项目不接受联合体参与</w:t>
      </w:r>
      <w:r>
        <w:rPr>
          <w:rFonts w:hint="eastAsia" w:ascii="方正仿宋_GBK" w:hAnsi="宋体" w:eastAsia="方正仿宋_GBK" w:cs="Times New Roman"/>
          <w:b w:val="0"/>
          <w:color w:val="auto"/>
          <w:sz w:val="24"/>
          <w:szCs w:val="24"/>
          <w:highlight w:val="none"/>
        </w:rPr>
        <w:t>磋商</w:t>
      </w:r>
      <w:r>
        <w:rPr>
          <w:rFonts w:hint="eastAsia" w:ascii="方正仿宋_GBK" w:hAnsi="宋体" w:eastAsia="方正仿宋_GBK" w:cs="Times New Roman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，否则按无效投标处理。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方正仿宋_GBK" w:hAnsi="宋体" w:eastAsia="方正仿宋_GBK" w:cs="Times New Roman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（七）本项目不接受合同分包，否则按无效投标处理。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（八）</w:t>
      </w:r>
      <w:bookmarkStart w:id="108" w:name="_Toc480466700"/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按照《财政部关于在政府采购活动中查询及使用信用记录有关问题的通知》财库〔2016〕125号，供应商列入失信被执行人、税收违法黑名单 、政府采购严重违法失信行为记录名单及其他不符合《中华人民共和国政府采购法》第二十二条规定条件的供应商，将拒绝其参与政府采购活动。</w:t>
      </w:r>
    </w:p>
    <w:p>
      <w:pPr>
        <w:pStyle w:val="2"/>
        <w:adjustRightInd w:val="0"/>
        <w:snapToGrid w:val="0"/>
        <w:spacing w:before="0" w:after="0"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highlight w:val="none"/>
        </w:rPr>
      </w:pPr>
      <w:bookmarkStart w:id="109" w:name="_Toc9242"/>
      <w:bookmarkStart w:id="110" w:name="_Toc21100"/>
      <w:bookmarkStart w:id="111" w:name="_Toc30935"/>
      <w:bookmarkStart w:id="112" w:name="_Toc12868"/>
      <w:bookmarkStart w:id="113" w:name="_Toc19412"/>
      <w:bookmarkStart w:id="114" w:name="_Toc4056"/>
      <w:bookmarkStart w:id="115" w:name="_Toc5749"/>
      <w:bookmarkStart w:id="116" w:name="_Toc24649"/>
      <w:bookmarkStart w:id="117" w:name="_Toc4458"/>
      <w:bookmarkStart w:id="118" w:name="_Toc30727"/>
      <w:bookmarkStart w:id="119" w:name="_Toc7814"/>
      <w:bookmarkStart w:id="120" w:name="_Toc76462323"/>
      <w:r>
        <w:rPr>
          <w:rFonts w:hint="eastAsia" w:ascii="方正仿宋_GBK" w:hAnsi="宋体" w:eastAsia="方正仿宋_GBK"/>
          <w:color w:val="auto"/>
          <w:sz w:val="24"/>
          <w:highlight w:val="none"/>
        </w:rPr>
        <w:t>八、联系方式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（一）采购人：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eastAsia="zh-CN"/>
        </w:rPr>
        <w:t>重庆市渝中区文化馆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val="en-US" w:eastAsia="zh-CN"/>
        </w:rPr>
        <w:t>张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 xml:space="preserve">老师 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电  话：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val="en-US" w:eastAsia="zh-CN"/>
        </w:rPr>
        <w:t>13330240012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 xml:space="preserve"> 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 xml:space="preserve">地  址：重庆市渝中区中山三路32号文图大厦11层 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（二）采购代理机构：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eastAsia="zh-CN"/>
        </w:rPr>
        <w:t>重庆方郡建设工程咨询有限公司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val="en-US" w:eastAsia="zh-CN"/>
        </w:rPr>
        <w:t>龙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老师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电  话：15696669688</w:t>
      </w:r>
    </w:p>
    <w:p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地  址：重庆市北部新区洪湖西路18号1幢15-1</w:t>
      </w:r>
    </w:p>
    <w:sectPr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D4C96"/>
    <w:rsid w:val="64891C44"/>
    <w:rsid w:val="6E8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2021-03-18T06:50:00Z</dcterms:created>
  <dc:creator>龙杨举</dc:creator>
  <cp:lastModifiedBy>苏坡man1395922180</cp:lastModifiedBy>
  <dcterms:modified xsi:type="dcterms:W3CDTF">2025-06-26T02:45:29Z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