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4F9DFE">
      <w:pPr>
        <w:spacing w:line="360" w:lineRule="auto"/>
        <w:jc w:val="center"/>
        <w:outlineLvl w:val="9"/>
        <w:rPr>
          <w:rFonts w:hint="eastAsia" w:ascii="仿宋" w:hAnsi="仿宋" w:eastAsia="仿宋" w:cs="仿宋"/>
          <w:color w:val="auto"/>
          <w:sz w:val="130"/>
          <w:szCs w:val="130"/>
          <w:highlight w:val="none"/>
        </w:rPr>
      </w:pPr>
      <w:r>
        <w:rPr>
          <w:rFonts w:hint="eastAsia" w:ascii="仿宋" w:hAnsi="仿宋" w:eastAsia="仿宋" w:cs="仿宋"/>
          <w:color w:val="auto"/>
          <w:sz w:val="130"/>
          <w:szCs w:val="130"/>
          <w:highlight w:val="none"/>
        </w:rPr>
        <w:t>竞争性磋商文件</w:t>
      </w:r>
    </w:p>
    <w:p w14:paraId="314D5295">
      <w:pPr>
        <w:spacing w:line="360" w:lineRule="auto"/>
        <w:jc w:val="center"/>
        <w:outlineLvl w:val="9"/>
        <w:rPr>
          <w:rFonts w:hint="eastAsia" w:ascii="仿宋" w:hAnsi="仿宋" w:eastAsia="仿宋" w:cs="仿宋"/>
          <w:color w:val="auto"/>
          <w:sz w:val="32"/>
          <w:highlight w:val="none"/>
        </w:rPr>
      </w:pPr>
    </w:p>
    <w:p w14:paraId="0D31CA39">
      <w:pPr>
        <w:bidi w:val="0"/>
        <w:spacing w:line="360" w:lineRule="auto"/>
        <w:outlineLvl w:val="9"/>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14:paraId="07F7D35C">
      <w:pPr>
        <w:pStyle w:val="22"/>
        <w:spacing w:line="360" w:lineRule="auto"/>
        <w:outlineLvl w:val="9"/>
        <w:rPr>
          <w:rFonts w:hint="eastAsia" w:ascii="仿宋" w:hAnsi="仿宋" w:eastAsia="仿宋" w:cs="仿宋"/>
          <w:color w:val="auto"/>
          <w:sz w:val="36"/>
          <w:szCs w:val="36"/>
          <w:highlight w:val="none"/>
        </w:rPr>
      </w:pPr>
    </w:p>
    <w:p w14:paraId="0D8CCBFC">
      <w:pPr>
        <w:spacing w:line="360" w:lineRule="auto"/>
        <w:outlineLvl w:val="9"/>
        <w:rPr>
          <w:rFonts w:hint="eastAsia" w:ascii="仿宋" w:hAnsi="仿宋" w:eastAsia="仿宋" w:cs="仿宋"/>
          <w:color w:val="auto"/>
          <w:highlight w:val="none"/>
        </w:rPr>
      </w:pPr>
    </w:p>
    <w:p w14:paraId="4D13FB70">
      <w:pPr>
        <w:spacing w:line="360" w:lineRule="auto"/>
        <w:ind w:left="4564" w:leftChars="300" w:hanging="3724" w:hangingChars="700"/>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pacing w:val="106"/>
          <w:kern w:val="0"/>
          <w:sz w:val="32"/>
          <w:szCs w:val="32"/>
          <w:highlight w:val="none"/>
          <w:fitText w:val="1920" w:id="1539400710"/>
          <w:lang w:val="en-US" w:eastAsia="zh-CN"/>
        </w:rPr>
        <w:t>项目编</w:t>
      </w:r>
      <w:r>
        <w:rPr>
          <w:rFonts w:hint="eastAsia" w:ascii="仿宋" w:hAnsi="仿宋" w:eastAsia="仿宋" w:cs="仿宋"/>
          <w:color w:val="auto"/>
          <w:spacing w:val="2"/>
          <w:kern w:val="0"/>
          <w:sz w:val="32"/>
          <w:szCs w:val="32"/>
          <w:highlight w:val="none"/>
          <w:fitText w:val="1920" w:id="1539400710"/>
          <w:lang w:val="en-US" w:eastAsia="zh-CN"/>
        </w:rPr>
        <w:t>号</w:t>
      </w:r>
      <w:r>
        <w:rPr>
          <w:rFonts w:hint="eastAsia" w:ascii="仿宋" w:hAnsi="仿宋" w:eastAsia="仿宋" w:cs="仿宋"/>
          <w:color w:val="auto"/>
          <w:sz w:val="32"/>
          <w:szCs w:val="32"/>
          <w:highlight w:val="none"/>
        </w:rPr>
        <w:t>：LTJT2025090131</w:t>
      </w:r>
    </w:p>
    <w:p w14:paraId="50263AD5">
      <w:pPr>
        <w:spacing w:line="360" w:lineRule="auto"/>
        <w:ind w:left="3080" w:leftChars="300" w:hanging="2240" w:hangingChars="700"/>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磋商项目名称：</w:t>
      </w:r>
      <w:bookmarkStart w:id="203" w:name="_GoBack"/>
      <w:r>
        <w:rPr>
          <w:rFonts w:hint="eastAsia" w:ascii="仿宋" w:hAnsi="仿宋" w:eastAsia="仿宋" w:cs="仿宋"/>
          <w:color w:val="auto"/>
          <w:sz w:val="32"/>
          <w:szCs w:val="32"/>
          <w:highlight w:val="none"/>
          <w:lang w:val="en-US" w:eastAsia="zh-CN"/>
        </w:rPr>
        <w:t>重庆第二十三中学校校服采购</w:t>
      </w:r>
    </w:p>
    <w:bookmarkEnd w:id="203"/>
    <w:p w14:paraId="3E4E3F3D">
      <w:pPr>
        <w:spacing w:line="360" w:lineRule="auto"/>
        <w:ind w:left="3080" w:leftChars="300" w:hanging="2240" w:hangingChars="700"/>
        <w:outlineLvl w:val="9"/>
        <w:rPr>
          <w:rFonts w:hint="eastAsia" w:ascii="仿宋" w:hAnsi="仿宋" w:eastAsia="仿宋" w:cs="仿宋"/>
          <w:color w:val="auto"/>
          <w:sz w:val="32"/>
          <w:szCs w:val="32"/>
          <w:highlight w:val="none"/>
        </w:rPr>
      </w:pPr>
    </w:p>
    <w:p w14:paraId="5E1772DA">
      <w:pPr>
        <w:spacing w:line="360" w:lineRule="auto"/>
        <w:ind w:left="3080" w:leftChars="300" w:hanging="2240" w:hangingChars="700"/>
        <w:outlineLvl w:val="9"/>
        <w:rPr>
          <w:rFonts w:hint="eastAsia" w:ascii="仿宋" w:hAnsi="仿宋" w:eastAsia="仿宋" w:cs="仿宋"/>
          <w:color w:val="auto"/>
          <w:sz w:val="32"/>
          <w:szCs w:val="32"/>
          <w:highlight w:val="none"/>
        </w:rPr>
      </w:pPr>
    </w:p>
    <w:p w14:paraId="2378E811">
      <w:pPr>
        <w:spacing w:line="360" w:lineRule="auto"/>
        <w:ind w:left="3080" w:leftChars="300" w:hanging="2240" w:hangingChars="700"/>
        <w:outlineLvl w:val="9"/>
        <w:rPr>
          <w:rFonts w:hint="eastAsia" w:ascii="仿宋" w:hAnsi="仿宋" w:eastAsia="仿宋" w:cs="仿宋"/>
          <w:color w:val="auto"/>
          <w:sz w:val="32"/>
          <w:szCs w:val="32"/>
          <w:highlight w:val="none"/>
        </w:rPr>
      </w:pPr>
    </w:p>
    <w:p w14:paraId="46B7E4D1">
      <w:pPr>
        <w:spacing w:line="360" w:lineRule="auto"/>
        <w:ind w:left="3080" w:leftChars="300" w:hanging="2240" w:hangingChars="700"/>
        <w:outlineLvl w:val="9"/>
        <w:rPr>
          <w:rFonts w:hint="eastAsia" w:ascii="仿宋" w:hAnsi="仿宋" w:eastAsia="仿宋" w:cs="仿宋"/>
          <w:color w:val="auto"/>
          <w:sz w:val="32"/>
          <w:szCs w:val="32"/>
          <w:highlight w:val="none"/>
        </w:rPr>
      </w:pPr>
    </w:p>
    <w:p w14:paraId="459B577C">
      <w:pPr>
        <w:spacing w:line="360" w:lineRule="auto"/>
        <w:ind w:left="3080" w:leftChars="300" w:hanging="2240" w:hangingChars="700"/>
        <w:outlineLvl w:val="9"/>
        <w:rPr>
          <w:rFonts w:hint="eastAsia" w:ascii="仿宋" w:hAnsi="仿宋" w:eastAsia="仿宋" w:cs="仿宋"/>
          <w:color w:val="auto"/>
          <w:sz w:val="32"/>
          <w:szCs w:val="32"/>
          <w:highlight w:val="none"/>
        </w:rPr>
      </w:pPr>
    </w:p>
    <w:p w14:paraId="2D5DF5D8">
      <w:pPr>
        <w:spacing w:line="360" w:lineRule="auto"/>
        <w:ind w:left="3080" w:leftChars="300" w:hanging="2240" w:hangingChars="700"/>
        <w:outlineLvl w:val="9"/>
        <w:rPr>
          <w:rFonts w:hint="eastAsia" w:ascii="仿宋" w:hAnsi="仿宋" w:eastAsia="仿宋" w:cs="仿宋"/>
          <w:color w:val="auto"/>
          <w:sz w:val="32"/>
          <w:szCs w:val="32"/>
          <w:highlight w:val="none"/>
        </w:rPr>
      </w:pPr>
    </w:p>
    <w:p w14:paraId="0E8B6C3A">
      <w:pPr>
        <w:spacing w:line="360" w:lineRule="auto"/>
        <w:ind w:left="4200" w:leftChars="300" w:hanging="3360" w:hangingChars="700"/>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pacing w:val="80"/>
          <w:kern w:val="0"/>
          <w:sz w:val="32"/>
          <w:szCs w:val="32"/>
          <w:highlight w:val="none"/>
          <w:fitText w:val="1920" w:id="1379955468"/>
        </w:rPr>
        <w:t xml:space="preserve">采 购 </w:t>
      </w:r>
      <w:r>
        <w:rPr>
          <w:rFonts w:hint="eastAsia" w:ascii="仿宋" w:hAnsi="仿宋" w:eastAsia="仿宋" w:cs="仿宋"/>
          <w:color w:val="auto"/>
          <w:spacing w:val="0"/>
          <w:kern w:val="0"/>
          <w:sz w:val="32"/>
          <w:szCs w:val="32"/>
          <w:highlight w:val="none"/>
          <w:fitText w:val="1920" w:id="1379955468"/>
        </w:rPr>
        <w:t>人</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重庆第二十三中学校</w:t>
      </w:r>
    </w:p>
    <w:p w14:paraId="02293561">
      <w:pPr>
        <w:spacing w:line="360" w:lineRule="auto"/>
        <w:ind w:left="3080" w:leftChars="300" w:hanging="2240" w:hangingChars="700"/>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采购代理机构：</w:t>
      </w:r>
      <w:r>
        <w:rPr>
          <w:rFonts w:hint="eastAsia" w:ascii="仿宋" w:hAnsi="仿宋" w:eastAsia="仿宋" w:cs="仿宋"/>
          <w:color w:val="auto"/>
          <w:sz w:val="32"/>
          <w:szCs w:val="32"/>
          <w:highlight w:val="none"/>
          <w:lang w:eastAsia="zh-CN"/>
        </w:rPr>
        <w:t>联投项目管理（集团）有限公司</w:t>
      </w:r>
    </w:p>
    <w:p w14:paraId="1A71F661">
      <w:pPr>
        <w:spacing w:line="360" w:lineRule="auto"/>
        <w:jc w:val="center"/>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w:t>
      </w:r>
      <w:r>
        <w:rPr>
          <w:rFonts w:hint="eastAsia" w:ascii="仿宋" w:hAnsi="仿宋" w:eastAsia="仿宋" w:cs="仿宋"/>
          <w:color w:val="auto"/>
          <w:sz w:val="32"/>
          <w:szCs w:val="32"/>
          <w:highlight w:val="none"/>
        </w:rPr>
        <w:t>月</w:t>
      </w:r>
    </w:p>
    <w:p w14:paraId="160FDCC1">
      <w:pPr>
        <w:spacing w:line="360" w:lineRule="auto"/>
        <w:jc w:val="center"/>
        <w:outlineLvl w:val="0"/>
        <w:rPr>
          <w:rFonts w:hint="eastAsia" w:ascii="仿宋" w:hAnsi="仿宋" w:eastAsia="仿宋" w:cs="仿宋"/>
          <w:color w:val="auto"/>
          <w:sz w:val="32"/>
          <w:szCs w:val="32"/>
          <w:highlight w:val="none"/>
        </w:rPr>
        <w:sectPr>
          <w:headerReference r:id="rId4" w:type="first"/>
          <w:footerReference r:id="rId6" w:type="first"/>
          <w:headerReference r:id="rId3" w:type="default"/>
          <w:footerReference r:id="rId5" w:type="even"/>
          <w:pgSz w:w="11907" w:h="16840"/>
          <w:pgMar w:top="1134" w:right="1191" w:bottom="1134" w:left="1304" w:header="851" w:footer="992" w:gutter="0"/>
          <w:pgNumType w:fmt="numberInDash" w:start="1"/>
          <w:cols w:space="720" w:num="1"/>
          <w:titlePg/>
          <w:docGrid w:linePitch="381" w:charSpace="-5735"/>
        </w:sectPr>
      </w:pPr>
    </w:p>
    <w:p w14:paraId="1A50D401">
      <w:pPr>
        <w:spacing w:line="360" w:lineRule="auto"/>
        <w:jc w:val="center"/>
        <w:outlineLvl w:val="0"/>
        <w:rPr>
          <w:rFonts w:hint="eastAsia" w:ascii="仿宋" w:hAnsi="仿宋" w:eastAsia="仿宋" w:cs="仿宋"/>
          <w:color w:val="auto"/>
          <w:sz w:val="44"/>
          <w:szCs w:val="28"/>
          <w:highlight w:val="none"/>
        </w:rPr>
      </w:pPr>
      <w:r>
        <w:rPr>
          <w:rFonts w:hint="eastAsia" w:ascii="仿宋" w:hAnsi="仿宋" w:eastAsia="仿宋" w:cs="仿宋"/>
          <w:color w:val="auto"/>
          <w:sz w:val="44"/>
          <w:szCs w:val="28"/>
          <w:highlight w:val="none"/>
        </w:rPr>
        <w:t>目   录</w:t>
      </w:r>
    </w:p>
    <w:p w14:paraId="3E44F4C3">
      <w:pPr>
        <w:pStyle w:val="40"/>
        <w:tabs>
          <w:tab w:val="right" w:leader="dot" w:pos="9412"/>
        </w:tabs>
        <w:spacing w:line="240" w:lineRule="auto"/>
        <w:rPr>
          <w:color w:val="auto"/>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TOC \o "1-3" \h \z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_Toc9466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22"/>
          <w:highlight w:val="none"/>
        </w:rPr>
        <w:t>第一篇  采购邀请书</w:t>
      </w:r>
      <w:r>
        <w:rPr>
          <w:color w:val="auto"/>
          <w:highlight w:val="none"/>
        </w:rPr>
        <w:tab/>
      </w:r>
      <w:r>
        <w:rPr>
          <w:color w:val="auto"/>
          <w:highlight w:val="none"/>
        </w:rPr>
        <w:fldChar w:fldCharType="begin"/>
      </w:r>
      <w:r>
        <w:rPr>
          <w:color w:val="auto"/>
          <w:highlight w:val="none"/>
        </w:rPr>
        <w:instrText xml:space="preserve"> PAGEREF _Toc9466 \h </w:instrText>
      </w:r>
      <w:r>
        <w:rPr>
          <w:color w:val="auto"/>
          <w:highlight w:val="none"/>
        </w:rPr>
        <w:fldChar w:fldCharType="separate"/>
      </w:r>
      <w:r>
        <w:rPr>
          <w:color w:val="auto"/>
          <w:highlight w:val="none"/>
        </w:rPr>
        <w:t>- 1 -</w:t>
      </w:r>
      <w:r>
        <w:rPr>
          <w:color w:val="auto"/>
          <w:highlight w:val="none"/>
        </w:rPr>
        <w:fldChar w:fldCharType="end"/>
      </w:r>
      <w:r>
        <w:rPr>
          <w:rFonts w:hint="eastAsia" w:ascii="仿宋" w:hAnsi="仿宋" w:eastAsia="仿宋" w:cs="仿宋"/>
          <w:color w:val="auto"/>
          <w:szCs w:val="21"/>
          <w:highlight w:val="none"/>
        </w:rPr>
        <w:fldChar w:fldCharType="end"/>
      </w:r>
    </w:p>
    <w:p w14:paraId="32D999D0">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_Toc2061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一、竞争性磋商内容</w:t>
      </w:r>
      <w:r>
        <w:rPr>
          <w:color w:val="auto"/>
          <w:highlight w:val="none"/>
        </w:rPr>
        <w:tab/>
      </w:r>
      <w:r>
        <w:rPr>
          <w:color w:val="auto"/>
          <w:highlight w:val="none"/>
        </w:rPr>
        <w:fldChar w:fldCharType="begin"/>
      </w:r>
      <w:r>
        <w:rPr>
          <w:color w:val="auto"/>
          <w:highlight w:val="none"/>
        </w:rPr>
        <w:instrText xml:space="preserve"> PAGEREF _Toc2061 \h </w:instrText>
      </w:r>
      <w:r>
        <w:rPr>
          <w:color w:val="auto"/>
          <w:highlight w:val="none"/>
        </w:rPr>
        <w:fldChar w:fldCharType="separate"/>
      </w:r>
      <w:r>
        <w:rPr>
          <w:color w:val="auto"/>
          <w:highlight w:val="none"/>
        </w:rPr>
        <w:t>- 1 -</w:t>
      </w:r>
      <w:r>
        <w:rPr>
          <w:color w:val="auto"/>
          <w:highlight w:val="none"/>
        </w:rPr>
        <w:fldChar w:fldCharType="end"/>
      </w:r>
      <w:r>
        <w:rPr>
          <w:rFonts w:hint="eastAsia" w:ascii="仿宋" w:hAnsi="仿宋" w:eastAsia="仿宋" w:cs="仿宋"/>
          <w:color w:val="auto"/>
          <w:szCs w:val="21"/>
          <w:highlight w:val="none"/>
        </w:rPr>
        <w:fldChar w:fldCharType="end"/>
      </w:r>
    </w:p>
    <w:p w14:paraId="2036C341">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_Toc30585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二、资金来源</w:t>
      </w:r>
      <w:r>
        <w:rPr>
          <w:color w:val="auto"/>
          <w:highlight w:val="none"/>
        </w:rPr>
        <w:tab/>
      </w:r>
      <w:r>
        <w:rPr>
          <w:color w:val="auto"/>
          <w:highlight w:val="none"/>
        </w:rPr>
        <w:fldChar w:fldCharType="begin"/>
      </w:r>
      <w:r>
        <w:rPr>
          <w:color w:val="auto"/>
          <w:highlight w:val="none"/>
        </w:rPr>
        <w:instrText xml:space="preserve"> PAGEREF _Toc30585 \h </w:instrText>
      </w:r>
      <w:r>
        <w:rPr>
          <w:color w:val="auto"/>
          <w:highlight w:val="none"/>
        </w:rPr>
        <w:fldChar w:fldCharType="separate"/>
      </w:r>
      <w:r>
        <w:rPr>
          <w:color w:val="auto"/>
          <w:highlight w:val="none"/>
        </w:rPr>
        <w:t>- 1 -</w:t>
      </w:r>
      <w:r>
        <w:rPr>
          <w:color w:val="auto"/>
          <w:highlight w:val="none"/>
        </w:rPr>
        <w:fldChar w:fldCharType="end"/>
      </w:r>
      <w:r>
        <w:rPr>
          <w:rFonts w:hint="eastAsia" w:ascii="仿宋" w:hAnsi="仿宋" w:eastAsia="仿宋" w:cs="仿宋"/>
          <w:color w:val="auto"/>
          <w:szCs w:val="21"/>
          <w:highlight w:val="none"/>
        </w:rPr>
        <w:fldChar w:fldCharType="end"/>
      </w:r>
    </w:p>
    <w:p w14:paraId="4631E3B9">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_Toc13114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三、供应商资格条件</w:t>
      </w:r>
      <w:r>
        <w:rPr>
          <w:color w:val="auto"/>
          <w:highlight w:val="none"/>
        </w:rPr>
        <w:tab/>
      </w:r>
      <w:r>
        <w:rPr>
          <w:color w:val="auto"/>
          <w:highlight w:val="none"/>
        </w:rPr>
        <w:fldChar w:fldCharType="begin"/>
      </w:r>
      <w:r>
        <w:rPr>
          <w:color w:val="auto"/>
          <w:highlight w:val="none"/>
        </w:rPr>
        <w:instrText xml:space="preserve"> PAGEREF _Toc13114 \h </w:instrText>
      </w:r>
      <w:r>
        <w:rPr>
          <w:color w:val="auto"/>
          <w:highlight w:val="none"/>
        </w:rPr>
        <w:fldChar w:fldCharType="separate"/>
      </w:r>
      <w:r>
        <w:rPr>
          <w:color w:val="auto"/>
          <w:highlight w:val="none"/>
        </w:rPr>
        <w:t>- 1 -</w:t>
      </w:r>
      <w:r>
        <w:rPr>
          <w:color w:val="auto"/>
          <w:highlight w:val="none"/>
        </w:rPr>
        <w:fldChar w:fldCharType="end"/>
      </w:r>
      <w:r>
        <w:rPr>
          <w:rFonts w:hint="eastAsia" w:ascii="仿宋" w:hAnsi="仿宋" w:eastAsia="仿宋" w:cs="仿宋"/>
          <w:color w:val="auto"/>
          <w:szCs w:val="21"/>
          <w:highlight w:val="none"/>
        </w:rPr>
        <w:fldChar w:fldCharType="end"/>
      </w:r>
    </w:p>
    <w:p w14:paraId="6E0FB991">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_Toc9755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四、磋商有关说明</w:t>
      </w:r>
      <w:r>
        <w:rPr>
          <w:color w:val="auto"/>
          <w:highlight w:val="none"/>
        </w:rPr>
        <w:tab/>
      </w:r>
      <w:r>
        <w:rPr>
          <w:color w:val="auto"/>
          <w:highlight w:val="none"/>
        </w:rPr>
        <w:fldChar w:fldCharType="begin"/>
      </w:r>
      <w:r>
        <w:rPr>
          <w:color w:val="auto"/>
          <w:highlight w:val="none"/>
        </w:rPr>
        <w:instrText xml:space="preserve"> PAGEREF _Toc9755 \h </w:instrText>
      </w:r>
      <w:r>
        <w:rPr>
          <w:color w:val="auto"/>
          <w:highlight w:val="none"/>
        </w:rPr>
        <w:fldChar w:fldCharType="separate"/>
      </w:r>
      <w:r>
        <w:rPr>
          <w:color w:val="auto"/>
          <w:highlight w:val="none"/>
        </w:rPr>
        <w:t>- 1 -</w:t>
      </w:r>
      <w:r>
        <w:rPr>
          <w:color w:val="auto"/>
          <w:highlight w:val="none"/>
        </w:rPr>
        <w:fldChar w:fldCharType="end"/>
      </w:r>
      <w:r>
        <w:rPr>
          <w:rFonts w:hint="eastAsia" w:ascii="仿宋" w:hAnsi="仿宋" w:eastAsia="仿宋" w:cs="仿宋"/>
          <w:color w:val="auto"/>
          <w:szCs w:val="21"/>
          <w:highlight w:val="none"/>
        </w:rPr>
        <w:fldChar w:fldCharType="end"/>
      </w:r>
    </w:p>
    <w:p w14:paraId="428C903F">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_Toc20086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五、其它有关规定</w:t>
      </w:r>
      <w:r>
        <w:rPr>
          <w:color w:val="auto"/>
          <w:highlight w:val="none"/>
        </w:rPr>
        <w:tab/>
      </w:r>
      <w:r>
        <w:rPr>
          <w:color w:val="auto"/>
          <w:highlight w:val="none"/>
        </w:rPr>
        <w:fldChar w:fldCharType="begin"/>
      </w:r>
      <w:r>
        <w:rPr>
          <w:color w:val="auto"/>
          <w:highlight w:val="none"/>
        </w:rPr>
        <w:instrText xml:space="preserve"> PAGEREF _Toc20086 \h </w:instrText>
      </w:r>
      <w:r>
        <w:rPr>
          <w:color w:val="auto"/>
          <w:highlight w:val="none"/>
        </w:rPr>
        <w:fldChar w:fldCharType="separate"/>
      </w:r>
      <w:r>
        <w:rPr>
          <w:color w:val="auto"/>
          <w:highlight w:val="none"/>
        </w:rPr>
        <w:t>- 2 -</w:t>
      </w:r>
      <w:r>
        <w:rPr>
          <w:color w:val="auto"/>
          <w:highlight w:val="none"/>
        </w:rPr>
        <w:fldChar w:fldCharType="end"/>
      </w:r>
      <w:r>
        <w:rPr>
          <w:rFonts w:hint="eastAsia" w:ascii="仿宋" w:hAnsi="仿宋" w:eastAsia="仿宋" w:cs="仿宋"/>
          <w:color w:val="auto"/>
          <w:szCs w:val="21"/>
          <w:highlight w:val="none"/>
        </w:rPr>
        <w:fldChar w:fldCharType="end"/>
      </w:r>
    </w:p>
    <w:p w14:paraId="1179FF58">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_Toc14364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lang w:val="en-US" w:eastAsia="zh-CN"/>
        </w:rPr>
        <w:t>六</w:t>
      </w:r>
      <w:r>
        <w:rPr>
          <w:rFonts w:hint="eastAsia" w:ascii="仿宋" w:hAnsi="仿宋" w:eastAsia="仿宋" w:cs="仿宋"/>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_Toc14364 \h </w:instrText>
      </w:r>
      <w:r>
        <w:rPr>
          <w:color w:val="auto"/>
          <w:highlight w:val="none"/>
        </w:rPr>
        <w:fldChar w:fldCharType="separate"/>
      </w:r>
      <w:r>
        <w:rPr>
          <w:color w:val="auto"/>
          <w:highlight w:val="none"/>
        </w:rPr>
        <w:t>- 2 -</w:t>
      </w:r>
      <w:r>
        <w:rPr>
          <w:color w:val="auto"/>
          <w:highlight w:val="none"/>
        </w:rPr>
        <w:fldChar w:fldCharType="end"/>
      </w:r>
      <w:r>
        <w:rPr>
          <w:rFonts w:hint="eastAsia" w:ascii="仿宋" w:hAnsi="仿宋" w:eastAsia="仿宋" w:cs="仿宋"/>
          <w:color w:val="auto"/>
          <w:szCs w:val="21"/>
          <w:highlight w:val="none"/>
        </w:rPr>
        <w:fldChar w:fldCharType="end"/>
      </w:r>
    </w:p>
    <w:p w14:paraId="4625B6D7">
      <w:pPr>
        <w:pStyle w:val="40"/>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_Toc25077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22"/>
          <w:highlight w:val="none"/>
          <w:lang w:val="en-US" w:eastAsia="zh-CN"/>
        </w:rPr>
        <w:t xml:space="preserve">第二篇 </w:t>
      </w:r>
      <w:r>
        <w:rPr>
          <w:rFonts w:hint="eastAsia" w:ascii="仿宋" w:hAnsi="仿宋" w:eastAsia="仿宋" w:cs="仿宋"/>
          <w:bCs/>
          <w:color w:val="auto"/>
          <w:szCs w:val="22"/>
          <w:highlight w:val="none"/>
        </w:rPr>
        <w:t>项目</w:t>
      </w:r>
      <w:r>
        <w:rPr>
          <w:rFonts w:hint="eastAsia" w:ascii="仿宋" w:hAnsi="仿宋" w:eastAsia="仿宋" w:cs="仿宋"/>
          <w:bCs/>
          <w:color w:val="auto"/>
          <w:szCs w:val="22"/>
          <w:highlight w:val="none"/>
          <w:lang w:val="en-US" w:eastAsia="zh-CN"/>
        </w:rPr>
        <w:t>技术（质量）</w:t>
      </w:r>
      <w:r>
        <w:rPr>
          <w:rFonts w:hint="eastAsia" w:ascii="仿宋" w:hAnsi="仿宋" w:eastAsia="仿宋" w:cs="仿宋"/>
          <w:bCs/>
          <w:color w:val="auto"/>
          <w:szCs w:val="22"/>
          <w:highlight w:val="none"/>
        </w:rPr>
        <w:t>需求</w:t>
      </w:r>
      <w:r>
        <w:rPr>
          <w:color w:val="auto"/>
          <w:highlight w:val="none"/>
        </w:rPr>
        <w:tab/>
      </w:r>
      <w:r>
        <w:rPr>
          <w:color w:val="auto"/>
          <w:highlight w:val="none"/>
        </w:rPr>
        <w:fldChar w:fldCharType="begin"/>
      </w:r>
      <w:r>
        <w:rPr>
          <w:color w:val="auto"/>
          <w:highlight w:val="none"/>
        </w:rPr>
        <w:instrText xml:space="preserve"> PAGEREF _Toc25077 \h </w:instrText>
      </w:r>
      <w:r>
        <w:rPr>
          <w:color w:val="auto"/>
          <w:highlight w:val="none"/>
        </w:rPr>
        <w:fldChar w:fldCharType="separate"/>
      </w:r>
      <w:r>
        <w:rPr>
          <w:color w:val="auto"/>
          <w:highlight w:val="none"/>
        </w:rPr>
        <w:t>- 4 -</w:t>
      </w:r>
      <w:r>
        <w:rPr>
          <w:color w:val="auto"/>
          <w:highlight w:val="none"/>
        </w:rPr>
        <w:fldChar w:fldCharType="end"/>
      </w:r>
      <w:r>
        <w:rPr>
          <w:rFonts w:hint="eastAsia" w:ascii="仿宋" w:hAnsi="仿宋" w:eastAsia="仿宋" w:cs="仿宋"/>
          <w:color w:val="auto"/>
          <w:szCs w:val="21"/>
          <w:highlight w:val="none"/>
        </w:rPr>
        <w:fldChar w:fldCharType="end"/>
      </w:r>
    </w:p>
    <w:p w14:paraId="1B7F20AC">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_Toc17211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24"/>
          <w:highlight w:val="none"/>
          <w:lang w:val="en-US" w:eastAsia="zh-CN"/>
        </w:rPr>
        <w:t>※一、项目需求</w:t>
      </w:r>
      <w:r>
        <w:rPr>
          <w:color w:val="auto"/>
          <w:highlight w:val="none"/>
        </w:rPr>
        <w:tab/>
      </w:r>
      <w:r>
        <w:rPr>
          <w:color w:val="auto"/>
          <w:highlight w:val="none"/>
        </w:rPr>
        <w:fldChar w:fldCharType="begin"/>
      </w:r>
      <w:r>
        <w:rPr>
          <w:color w:val="auto"/>
          <w:highlight w:val="none"/>
        </w:rPr>
        <w:instrText xml:space="preserve"> PAGEREF _Toc17211 \h </w:instrText>
      </w:r>
      <w:r>
        <w:rPr>
          <w:color w:val="auto"/>
          <w:highlight w:val="none"/>
        </w:rPr>
        <w:fldChar w:fldCharType="separate"/>
      </w:r>
      <w:r>
        <w:rPr>
          <w:color w:val="auto"/>
          <w:highlight w:val="none"/>
        </w:rPr>
        <w:t>- 4 -</w:t>
      </w:r>
      <w:r>
        <w:rPr>
          <w:color w:val="auto"/>
          <w:highlight w:val="none"/>
        </w:rPr>
        <w:fldChar w:fldCharType="end"/>
      </w:r>
      <w:r>
        <w:rPr>
          <w:rFonts w:hint="eastAsia" w:ascii="仿宋" w:hAnsi="仿宋" w:eastAsia="仿宋" w:cs="仿宋"/>
          <w:color w:val="auto"/>
          <w:szCs w:val="21"/>
          <w:highlight w:val="none"/>
        </w:rPr>
        <w:fldChar w:fldCharType="end"/>
      </w:r>
    </w:p>
    <w:p w14:paraId="68574972">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_Toc2412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24"/>
          <w:highlight w:val="none"/>
          <w:lang w:val="en-US" w:eastAsia="zh-CN"/>
        </w:rPr>
        <w:t>※二、项目技术</w:t>
      </w:r>
      <w:r>
        <w:rPr>
          <w:rFonts w:hint="eastAsia" w:ascii="仿宋" w:hAnsi="仿宋" w:eastAsia="仿宋" w:cs="仿宋"/>
          <w:color w:val="auto"/>
          <w:szCs w:val="24"/>
          <w:highlight w:val="none"/>
          <w:lang w:val="en-US" w:eastAsia="zh-CN"/>
        </w:rPr>
        <w:t>需求</w:t>
      </w:r>
      <w:r>
        <w:rPr>
          <w:color w:val="auto"/>
          <w:highlight w:val="none"/>
        </w:rPr>
        <w:tab/>
      </w:r>
      <w:r>
        <w:rPr>
          <w:color w:val="auto"/>
          <w:highlight w:val="none"/>
        </w:rPr>
        <w:fldChar w:fldCharType="begin"/>
      </w:r>
      <w:r>
        <w:rPr>
          <w:color w:val="auto"/>
          <w:highlight w:val="none"/>
        </w:rPr>
        <w:instrText xml:space="preserve"> PAGEREF _Toc2412 \h </w:instrText>
      </w:r>
      <w:r>
        <w:rPr>
          <w:color w:val="auto"/>
          <w:highlight w:val="none"/>
        </w:rPr>
        <w:fldChar w:fldCharType="separate"/>
      </w:r>
      <w:r>
        <w:rPr>
          <w:color w:val="auto"/>
          <w:highlight w:val="none"/>
        </w:rPr>
        <w:t>- 4 -</w:t>
      </w:r>
      <w:r>
        <w:rPr>
          <w:color w:val="auto"/>
          <w:highlight w:val="none"/>
        </w:rPr>
        <w:fldChar w:fldCharType="end"/>
      </w:r>
      <w:r>
        <w:rPr>
          <w:rFonts w:hint="eastAsia" w:ascii="仿宋" w:hAnsi="仿宋" w:eastAsia="仿宋" w:cs="仿宋"/>
          <w:color w:val="auto"/>
          <w:szCs w:val="21"/>
          <w:highlight w:val="none"/>
        </w:rPr>
        <w:fldChar w:fldCharType="end"/>
      </w:r>
    </w:p>
    <w:p w14:paraId="2D72F692">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_Toc9597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24"/>
          <w:highlight w:val="none"/>
          <w:lang w:val="en-US" w:eastAsia="zh-CN"/>
        </w:rPr>
        <w:t>※三、样品递交及退还要求</w:t>
      </w:r>
      <w:r>
        <w:rPr>
          <w:color w:val="auto"/>
          <w:highlight w:val="none"/>
        </w:rPr>
        <w:tab/>
      </w:r>
      <w:r>
        <w:rPr>
          <w:color w:val="auto"/>
          <w:highlight w:val="none"/>
        </w:rPr>
        <w:fldChar w:fldCharType="begin"/>
      </w:r>
      <w:r>
        <w:rPr>
          <w:color w:val="auto"/>
          <w:highlight w:val="none"/>
        </w:rPr>
        <w:instrText xml:space="preserve"> PAGEREF _Toc9597 \h </w:instrText>
      </w:r>
      <w:r>
        <w:rPr>
          <w:color w:val="auto"/>
          <w:highlight w:val="none"/>
        </w:rPr>
        <w:fldChar w:fldCharType="separate"/>
      </w:r>
      <w:r>
        <w:rPr>
          <w:color w:val="auto"/>
          <w:highlight w:val="none"/>
        </w:rPr>
        <w:t>- 5 -</w:t>
      </w:r>
      <w:r>
        <w:rPr>
          <w:color w:val="auto"/>
          <w:highlight w:val="none"/>
        </w:rPr>
        <w:fldChar w:fldCharType="end"/>
      </w:r>
      <w:r>
        <w:rPr>
          <w:rFonts w:hint="eastAsia" w:ascii="仿宋" w:hAnsi="仿宋" w:eastAsia="仿宋" w:cs="仿宋"/>
          <w:color w:val="auto"/>
          <w:szCs w:val="21"/>
          <w:highlight w:val="none"/>
        </w:rPr>
        <w:fldChar w:fldCharType="end"/>
      </w:r>
    </w:p>
    <w:p w14:paraId="0AAFB074">
      <w:pPr>
        <w:pStyle w:val="40"/>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_Toc16201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22"/>
          <w:highlight w:val="none"/>
        </w:rPr>
        <w:t>第三篇  项目商务需求</w:t>
      </w:r>
      <w:r>
        <w:rPr>
          <w:color w:val="auto"/>
          <w:highlight w:val="none"/>
        </w:rPr>
        <w:tab/>
      </w:r>
      <w:r>
        <w:rPr>
          <w:color w:val="auto"/>
          <w:highlight w:val="none"/>
        </w:rPr>
        <w:fldChar w:fldCharType="begin"/>
      </w:r>
      <w:r>
        <w:rPr>
          <w:color w:val="auto"/>
          <w:highlight w:val="none"/>
        </w:rPr>
        <w:instrText xml:space="preserve"> PAGEREF _Toc16201 \h </w:instrText>
      </w:r>
      <w:r>
        <w:rPr>
          <w:color w:val="auto"/>
          <w:highlight w:val="none"/>
        </w:rPr>
        <w:fldChar w:fldCharType="separate"/>
      </w:r>
      <w:r>
        <w:rPr>
          <w:color w:val="auto"/>
          <w:highlight w:val="none"/>
        </w:rPr>
        <w:t>- 7 -</w:t>
      </w:r>
      <w:r>
        <w:rPr>
          <w:color w:val="auto"/>
          <w:highlight w:val="none"/>
        </w:rPr>
        <w:fldChar w:fldCharType="end"/>
      </w:r>
      <w:r>
        <w:rPr>
          <w:rFonts w:hint="eastAsia" w:ascii="仿宋" w:hAnsi="仿宋" w:eastAsia="仿宋" w:cs="仿宋"/>
          <w:color w:val="auto"/>
          <w:szCs w:val="21"/>
          <w:highlight w:val="none"/>
        </w:rPr>
        <w:fldChar w:fldCharType="end"/>
      </w:r>
    </w:p>
    <w:p w14:paraId="7DC3C322">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_Toc14873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lang w:eastAsia="zh-CN"/>
        </w:rPr>
        <w:t>一、</w:t>
      </w:r>
      <w:r>
        <w:rPr>
          <w:rFonts w:hint="eastAsia" w:ascii="仿宋" w:hAnsi="仿宋" w:eastAsia="仿宋" w:cs="仿宋"/>
          <w:color w:val="auto"/>
          <w:szCs w:val="24"/>
          <w:highlight w:val="none"/>
          <w:lang w:val="en-US" w:eastAsia="zh-CN"/>
        </w:rPr>
        <w:t>交货</w:t>
      </w:r>
      <w:r>
        <w:rPr>
          <w:rFonts w:hint="eastAsia" w:ascii="仿宋" w:hAnsi="仿宋" w:eastAsia="仿宋" w:cs="仿宋"/>
          <w:color w:val="auto"/>
          <w:szCs w:val="24"/>
          <w:highlight w:val="none"/>
          <w:lang w:eastAsia="zh-CN"/>
        </w:rPr>
        <w:t>时间、服务期限、地点及验收方式</w:t>
      </w:r>
      <w:r>
        <w:rPr>
          <w:color w:val="auto"/>
          <w:highlight w:val="none"/>
        </w:rPr>
        <w:tab/>
      </w:r>
      <w:r>
        <w:rPr>
          <w:color w:val="auto"/>
          <w:highlight w:val="none"/>
        </w:rPr>
        <w:fldChar w:fldCharType="begin"/>
      </w:r>
      <w:r>
        <w:rPr>
          <w:color w:val="auto"/>
          <w:highlight w:val="none"/>
        </w:rPr>
        <w:instrText xml:space="preserve"> PAGEREF _Toc14873 \h </w:instrText>
      </w:r>
      <w:r>
        <w:rPr>
          <w:color w:val="auto"/>
          <w:highlight w:val="none"/>
        </w:rPr>
        <w:fldChar w:fldCharType="separate"/>
      </w:r>
      <w:r>
        <w:rPr>
          <w:color w:val="auto"/>
          <w:highlight w:val="none"/>
        </w:rPr>
        <w:t>- 7 -</w:t>
      </w:r>
      <w:r>
        <w:rPr>
          <w:color w:val="auto"/>
          <w:highlight w:val="none"/>
        </w:rPr>
        <w:fldChar w:fldCharType="end"/>
      </w:r>
      <w:r>
        <w:rPr>
          <w:rFonts w:hint="eastAsia" w:ascii="仿宋" w:hAnsi="仿宋" w:eastAsia="仿宋" w:cs="仿宋"/>
          <w:color w:val="auto"/>
          <w:szCs w:val="21"/>
          <w:highlight w:val="none"/>
        </w:rPr>
        <w:fldChar w:fldCharType="end"/>
      </w:r>
    </w:p>
    <w:p w14:paraId="353282F8">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_Toc31358 </w:instrText>
      </w:r>
      <w:r>
        <w:rPr>
          <w:rFonts w:hint="eastAsia" w:ascii="仿宋" w:hAnsi="仿宋" w:eastAsia="仿宋" w:cs="仿宋"/>
          <w:color w:val="auto"/>
          <w:szCs w:val="21"/>
          <w:highlight w:val="none"/>
        </w:rPr>
        <w:fldChar w:fldCharType="separate"/>
      </w:r>
      <w:r>
        <w:rPr>
          <w:rFonts w:hint="eastAsia" w:ascii="仿宋" w:hAnsi="仿宋" w:eastAsia="仿宋" w:cs="仿宋"/>
          <w:snapToGrid w:val="0"/>
          <w:color w:val="auto"/>
          <w:kern w:val="0"/>
          <w:szCs w:val="24"/>
          <w:highlight w:val="none"/>
          <w:lang w:val="en-US" w:eastAsia="zh-CN"/>
        </w:rPr>
        <w:t>※</w:t>
      </w:r>
      <w:r>
        <w:rPr>
          <w:rFonts w:hint="eastAsia" w:ascii="仿宋" w:hAnsi="仿宋" w:eastAsia="仿宋" w:cs="仿宋"/>
          <w:color w:val="auto"/>
          <w:szCs w:val="24"/>
          <w:highlight w:val="none"/>
          <w:lang w:eastAsia="zh-CN"/>
        </w:rPr>
        <w:t>二、报价要求</w:t>
      </w:r>
      <w:r>
        <w:rPr>
          <w:color w:val="auto"/>
          <w:highlight w:val="none"/>
        </w:rPr>
        <w:tab/>
      </w:r>
      <w:r>
        <w:rPr>
          <w:color w:val="auto"/>
          <w:highlight w:val="none"/>
        </w:rPr>
        <w:fldChar w:fldCharType="begin"/>
      </w:r>
      <w:r>
        <w:rPr>
          <w:color w:val="auto"/>
          <w:highlight w:val="none"/>
        </w:rPr>
        <w:instrText xml:space="preserve"> PAGEREF _Toc31358 \h </w:instrText>
      </w:r>
      <w:r>
        <w:rPr>
          <w:color w:val="auto"/>
          <w:highlight w:val="none"/>
        </w:rPr>
        <w:fldChar w:fldCharType="separate"/>
      </w:r>
      <w:r>
        <w:rPr>
          <w:color w:val="auto"/>
          <w:highlight w:val="none"/>
        </w:rPr>
        <w:t>- 8 -</w:t>
      </w:r>
      <w:r>
        <w:rPr>
          <w:color w:val="auto"/>
          <w:highlight w:val="none"/>
        </w:rPr>
        <w:fldChar w:fldCharType="end"/>
      </w:r>
      <w:r>
        <w:rPr>
          <w:rFonts w:hint="eastAsia" w:ascii="仿宋" w:hAnsi="仿宋" w:eastAsia="仿宋" w:cs="仿宋"/>
          <w:color w:val="auto"/>
          <w:szCs w:val="21"/>
          <w:highlight w:val="none"/>
        </w:rPr>
        <w:fldChar w:fldCharType="end"/>
      </w:r>
    </w:p>
    <w:p w14:paraId="426001C9">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_Toc19071 </w:instrText>
      </w:r>
      <w:r>
        <w:rPr>
          <w:rFonts w:hint="eastAsia" w:ascii="仿宋" w:hAnsi="仿宋" w:eastAsia="仿宋" w:cs="仿宋"/>
          <w:color w:val="auto"/>
          <w:szCs w:val="21"/>
          <w:highlight w:val="none"/>
        </w:rPr>
        <w:fldChar w:fldCharType="separate"/>
      </w:r>
      <w:r>
        <w:rPr>
          <w:rFonts w:hint="eastAsia" w:ascii="仿宋" w:hAnsi="仿宋" w:eastAsia="仿宋" w:cs="仿宋"/>
          <w:snapToGrid w:val="0"/>
          <w:color w:val="auto"/>
          <w:kern w:val="0"/>
          <w:szCs w:val="24"/>
          <w:highlight w:val="none"/>
          <w:lang w:val="en-US" w:eastAsia="zh-CN"/>
        </w:rPr>
        <w:t>※</w:t>
      </w:r>
      <w:r>
        <w:rPr>
          <w:rFonts w:hint="eastAsia" w:ascii="仿宋" w:hAnsi="仿宋" w:eastAsia="仿宋" w:cs="仿宋"/>
          <w:color w:val="auto"/>
          <w:szCs w:val="24"/>
          <w:highlight w:val="none"/>
          <w:lang w:eastAsia="zh-CN"/>
        </w:rPr>
        <w:t>三、付款方式</w:t>
      </w:r>
      <w:r>
        <w:rPr>
          <w:color w:val="auto"/>
          <w:highlight w:val="none"/>
        </w:rPr>
        <w:tab/>
      </w:r>
      <w:r>
        <w:rPr>
          <w:color w:val="auto"/>
          <w:highlight w:val="none"/>
        </w:rPr>
        <w:fldChar w:fldCharType="begin"/>
      </w:r>
      <w:r>
        <w:rPr>
          <w:color w:val="auto"/>
          <w:highlight w:val="none"/>
        </w:rPr>
        <w:instrText xml:space="preserve"> PAGEREF _Toc19071 \h </w:instrText>
      </w:r>
      <w:r>
        <w:rPr>
          <w:color w:val="auto"/>
          <w:highlight w:val="none"/>
        </w:rPr>
        <w:fldChar w:fldCharType="separate"/>
      </w:r>
      <w:r>
        <w:rPr>
          <w:color w:val="auto"/>
          <w:highlight w:val="none"/>
        </w:rPr>
        <w:t>- 8 -</w:t>
      </w:r>
      <w:r>
        <w:rPr>
          <w:color w:val="auto"/>
          <w:highlight w:val="none"/>
        </w:rPr>
        <w:fldChar w:fldCharType="end"/>
      </w:r>
      <w:r>
        <w:rPr>
          <w:rFonts w:hint="eastAsia" w:ascii="仿宋" w:hAnsi="仿宋" w:eastAsia="仿宋" w:cs="仿宋"/>
          <w:color w:val="auto"/>
          <w:szCs w:val="21"/>
          <w:highlight w:val="none"/>
        </w:rPr>
        <w:fldChar w:fldCharType="end"/>
      </w:r>
    </w:p>
    <w:p w14:paraId="2D9FB67A">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_Toc31707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4"/>
          <w:highlight w:val="none"/>
          <w:lang w:val="en-US" w:eastAsia="zh-CN"/>
        </w:rPr>
        <w:t>※四、质量保证及售后服务</w:t>
      </w:r>
      <w:r>
        <w:rPr>
          <w:color w:val="auto"/>
          <w:highlight w:val="none"/>
        </w:rPr>
        <w:tab/>
      </w:r>
      <w:r>
        <w:rPr>
          <w:color w:val="auto"/>
          <w:highlight w:val="none"/>
        </w:rPr>
        <w:fldChar w:fldCharType="begin"/>
      </w:r>
      <w:r>
        <w:rPr>
          <w:color w:val="auto"/>
          <w:highlight w:val="none"/>
        </w:rPr>
        <w:instrText xml:space="preserve"> PAGEREF _Toc31707 \h </w:instrText>
      </w:r>
      <w:r>
        <w:rPr>
          <w:color w:val="auto"/>
          <w:highlight w:val="none"/>
        </w:rPr>
        <w:fldChar w:fldCharType="separate"/>
      </w:r>
      <w:r>
        <w:rPr>
          <w:color w:val="auto"/>
          <w:highlight w:val="none"/>
        </w:rPr>
        <w:t>- 8 -</w:t>
      </w:r>
      <w:r>
        <w:rPr>
          <w:color w:val="auto"/>
          <w:highlight w:val="none"/>
        </w:rPr>
        <w:fldChar w:fldCharType="end"/>
      </w:r>
      <w:r>
        <w:rPr>
          <w:rFonts w:hint="eastAsia" w:ascii="仿宋" w:hAnsi="仿宋" w:eastAsia="仿宋" w:cs="仿宋"/>
          <w:color w:val="auto"/>
          <w:szCs w:val="21"/>
          <w:highlight w:val="none"/>
        </w:rPr>
        <w:fldChar w:fldCharType="end"/>
      </w:r>
    </w:p>
    <w:p w14:paraId="55356B56">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_Toc17627 </w:instrText>
      </w:r>
      <w:r>
        <w:rPr>
          <w:rFonts w:hint="eastAsia" w:ascii="仿宋" w:hAnsi="仿宋" w:eastAsia="仿宋" w:cs="仿宋"/>
          <w:color w:val="auto"/>
          <w:szCs w:val="21"/>
          <w:highlight w:val="none"/>
        </w:rPr>
        <w:fldChar w:fldCharType="separate"/>
      </w:r>
      <w:r>
        <w:rPr>
          <w:rFonts w:hint="eastAsia" w:ascii="仿宋" w:hAnsi="仿宋" w:eastAsia="仿宋" w:cs="仿宋"/>
          <w:snapToGrid w:val="0"/>
          <w:color w:val="auto"/>
          <w:kern w:val="0"/>
          <w:szCs w:val="24"/>
          <w:highlight w:val="none"/>
          <w:lang w:val="en-US" w:eastAsia="zh-CN"/>
        </w:rPr>
        <w:t>※</w:t>
      </w:r>
      <w:r>
        <w:rPr>
          <w:rFonts w:hint="eastAsia" w:ascii="仿宋" w:hAnsi="仿宋" w:eastAsia="仿宋" w:cs="仿宋"/>
          <w:color w:val="auto"/>
          <w:szCs w:val="24"/>
          <w:highlight w:val="none"/>
          <w:lang w:val="en-US" w:eastAsia="zh-CN"/>
        </w:rPr>
        <w:t>五</w:t>
      </w:r>
      <w:r>
        <w:rPr>
          <w:rFonts w:hint="eastAsia" w:ascii="仿宋" w:hAnsi="仿宋" w:eastAsia="仿宋" w:cs="仿宋"/>
          <w:color w:val="auto"/>
          <w:szCs w:val="24"/>
          <w:highlight w:val="none"/>
          <w:lang w:eastAsia="zh-CN"/>
        </w:rPr>
        <w:t>、知识产权</w:t>
      </w:r>
      <w:r>
        <w:rPr>
          <w:color w:val="auto"/>
          <w:highlight w:val="none"/>
        </w:rPr>
        <w:tab/>
      </w:r>
      <w:r>
        <w:rPr>
          <w:color w:val="auto"/>
          <w:highlight w:val="none"/>
        </w:rPr>
        <w:fldChar w:fldCharType="begin"/>
      </w:r>
      <w:r>
        <w:rPr>
          <w:color w:val="auto"/>
          <w:highlight w:val="none"/>
        </w:rPr>
        <w:instrText xml:space="preserve"> PAGEREF _Toc17627 \h </w:instrText>
      </w:r>
      <w:r>
        <w:rPr>
          <w:color w:val="auto"/>
          <w:highlight w:val="none"/>
        </w:rPr>
        <w:fldChar w:fldCharType="separate"/>
      </w:r>
      <w:r>
        <w:rPr>
          <w:color w:val="auto"/>
          <w:highlight w:val="none"/>
        </w:rPr>
        <w:t>- 9 -</w:t>
      </w:r>
      <w:r>
        <w:rPr>
          <w:color w:val="auto"/>
          <w:highlight w:val="none"/>
        </w:rPr>
        <w:fldChar w:fldCharType="end"/>
      </w:r>
      <w:r>
        <w:rPr>
          <w:rFonts w:hint="eastAsia" w:ascii="仿宋" w:hAnsi="仿宋" w:eastAsia="仿宋" w:cs="仿宋"/>
          <w:color w:val="auto"/>
          <w:szCs w:val="21"/>
          <w:highlight w:val="none"/>
        </w:rPr>
        <w:fldChar w:fldCharType="end"/>
      </w:r>
    </w:p>
    <w:p w14:paraId="61A7F4E1">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_Toc20238 </w:instrText>
      </w:r>
      <w:r>
        <w:rPr>
          <w:rFonts w:hint="eastAsia" w:ascii="仿宋" w:hAnsi="仿宋" w:eastAsia="仿宋" w:cs="仿宋"/>
          <w:color w:val="auto"/>
          <w:szCs w:val="21"/>
          <w:highlight w:val="none"/>
        </w:rPr>
        <w:fldChar w:fldCharType="separate"/>
      </w:r>
      <w:r>
        <w:rPr>
          <w:rFonts w:hint="eastAsia" w:ascii="仿宋" w:hAnsi="仿宋" w:eastAsia="仿宋" w:cs="仿宋"/>
          <w:snapToGrid w:val="0"/>
          <w:color w:val="auto"/>
          <w:kern w:val="0"/>
          <w:szCs w:val="24"/>
          <w:highlight w:val="none"/>
          <w:lang w:val="en-US" w:eastAsia="zh-CN"/>
        </w:rPr>
        <w:t>※</w:t>
      </w:r>
      <w:r>
        <w:rPr>
          <w:rFonts w:hint="eastAsia" w:ascii="仿宋" w:hAnsi="仿宋" w:eastAsia="仿宋" w:cs="仿宋"/>
          <w:color w:val="auto"/>
          <w:szCs w:val="24"/>
          <w:highlight w:val="none"/>
          <w:lang w:val="en-US" w:eastAsia="zh-CN"/>
        </w:rPr>
        <w:t>六</w:t>
      </w:r>
      <w:r>
        <w:rPr>
          <w:rFonts w:hint="eastAsia" w:ascii="仿宋" w:hAnsi="仿宋" w:eastAsia="仿宋" w:cs="仿宋"/>
          <w:color w:val="auto"/>
          <w:szCs w:val="24"/>
          <w:highlight w:val="none"/>
          <w:lang w:eastAsia="zh-CN"/>
        </w:rPr>
        <w:t>、其他</w:t>
      </w:r>
      <w:r>
        <w:rPr>
          <w:color w:val="auto"/>
          <w:highlight w:val="none"/>
        </w:rPr>
        <w:tab/>
      </w:r>
      <w:r>
        <w:rPr>
          <w:color w:val="auto"/>
          <w:highlight w:val="none"/>
        </w:rPr>
        <w:fldChar w:fldCharType="begin"/>
      </w:r>
      <w:r>
        <w:rPr>
          <w:color w:val="auto"/>
          <w:highlight w:val="none"/>
        </w:rPr>
        <w:instrText xml:space="preserve"> PAGEREF _Toc20238 \h </w:instrText>
      </w:r>
      <w:r>
        <w:rPr>
          <w:color w:val="auto"/>
          <w:highlight w:val="none"/>
        </w:rPr>
        <w:fldChar w:fldCharType="separate"/>
      </w:r>
      <w:r>
        <w:rPr>
          <w:color w:val="auto"/>
          <w:highlight w:val="none"/>
        </w:rPr>
        <w:t>- 9 -</w:t>
      </w:r>
      <w:r>
        <w:rPr>
          <w:color w:val="auto"/>
          <w:highlight w:val="none"/>
        </w:rPr>
        <w:fldChar w:fldCharType="end"/>
      </w:r>
      <w:r>
        <w:rPr>
          <w:rFonts w:hint="eastAsia" w:ascii="仿宋" w:hAnsi="仿宋" w:eastAsia="仿宋" w:cs="仿宋"/>
          <w:color w:val="auto"/>
          <w:szCs w:val="21"/>
          <w:highlight w:val="none"/>
        </w:rPr>
        <w:fldChar w:fldCharType="end"/>
      </w:r>
    </w:p>
    <w:p w14:paraId="760EF794">
      <w:pPr>
        <w:pStyle w:val="40"/>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_Toc19340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36"/>
          <w:highlight w:val="none"/>
        </w:rPr>
        <w:t>第四篇  磋商程序及方法、评审标准、无效响应和采购终止</w:t>
      </w:r>
      <w:r>
        <w:rPr>
          <w:color w:val="auto"/>
          <w:highlight w:val="none"/>
        </w:rPr>
        <w:tab/>
      </w:r>
      <w:r>
        <w:rPr>
          <w:color w:val="auto"/>
          <w:highlight w:val="none"/>
        </w:rPr>
        <w:fldChar w:fldCharType="begin"/>
      </w:r>
      <w:r>
        <w:rPr>
          <w:color w:val="auto"/>
          <w:highlight w:val="none"/>
        </w:rPr>
        <w:instrText xml:space="preserve"> PAGEREF _Toc19340 \h </w:instrText>
      </w:r>
      <w:r>
        <w:rPr>
          <w:color w:val="auto"/>
          <w:highlight w:val="none"/>
        </w:rPr>
        <w:fldChar w:fldCharType="separate"/>
      </w:r>
      <w:r>
        <w:rPr>
          <w:color w:val="auto"/>
          <w:highlight w:val="none"/>
        </w:rPr>
        <w:t>- 10 -</w:t>
      </w:r>
      <w:r>
        <w:rPr>
          <w:color w:val="auto"/>
          <w:highlight w:val="none"/>
        </w:rPr>
        <w:fldChar w:fldCharType="end"/>
      </w:r>
      <w:r>
        <w:rPr>
          <w:rFonts w:hint="eastAsia" w:ascii="仿宋" w:hAnsi="仿宋" w:eastAsia="仿宋" w:cs="仿宋"/>
          <w:color w:val="auto"/>
          <w:szCs w:val="21"/>
          <w:highlight w:val="none"/>
        </w:rPr>
        <w:fldChar w:fldCharType="end"/>
      </w:r>
    </w:p>
    <w:p w14:paraId="6BA5F427">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_Toc25788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一、磋商程序及方法</w:t>
      </w:r>
      <w:r>
        <w:rPr>
          <w:color w:val="auto"/>
          <w:highlight w:val="none"/>
        </w:rPr>
        <w:tab/>
      </w:r>
      <w:r>
        <w:rPr>
          <w:color w:val="auto"/>
          <w:highlight w:val="none"/>
        </w:rPr>
        <w:fldChar w:fldCharType="begin"/>
      </w:r>
      <w:r>
        <w:rPr>
          <w:color w:val="auto"/>
          <w:highlight w:val="none"/>
        </w:rPr>
        <w:instrText xml:space="preserve"> PAGEREF _Toc25788 \h </w:instrText>
      </w:r>
      <w:r>
        <w:rPr>
          <w:color w:val="auto"/>
          <w:highlight w:val="none"/>
        </w:rPr>
        <w:fldChar w:fldCharType="separate"/>
      </w:r>
      <w:r>
        <w:rPr>
          <w:color w:val="auto"/>
          <w:highlight w:val="none"/>
        </w:rPr>
        <w:t>- 10 -</w:t>
      </w:r>
      <w:r>
        <w:rPr>
          <w:color w:val="auto"/>
          <w:highlight w:val="none"/>
        </w:rPr>
        <w:fldChar w:fldCharType="end"/>
      </w:r>
      <w:r>
        <w:rPr>
          <w:rFonts w:hint="eastAsia" w:ascii="仿宋" w:hAnsi="仿宋" w:eastAsia="仿宋" w:cs="仿宋"/>
          <w:color w:val="auto"/>
          <w:szCs w:val="21"/>
          <w:highlight w:val="none"/>
        </w:rPr>
        <w:fldChar w:fldCharType="end"/>
      </w:r>
    </w:p>
    <w:p w14:paraId="118C6979">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_Toc3422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二、评审标准</w:t>
      </w:r>
      <w:r>
        <w:rPr>
          <w:color w:val="auto"/>
          <w:highlight w:val="none"/>
        </w:rPr>
        <w:tab/>
      </w:r>
      <w:r>
        <w:rPr>
          <w:color w:val="auto"/>
          <w:highlight w:val="none"/>
        </w:rPr>
        <w:fldChar w:fldCharType="begin"/>
      </w:r>
      <w:r>
        <w:rPr>
          <w:color w:val="auto"/>
          <w:highlight w:val="none"/>
        </w:rPr>
        <w:instrText xml:space="preserve"> PAGEREF _Toc3422 \h </w:instrText>
      </w:r>
      <w:r>
        <w:rPr>
          <w:color w:val="auto"/>
          <w:highlight w:val="none"/>
        </w:rPr>
        <w:fldChar w:fldCharType="separate"/>
      </w:r>
      <w:r>
        <w:rPr>
          <w:color w:val="auto"/>
          <w:highlight w:val="none"/>
        </w:rPr>
        <w:t>- 12 -</w:t>
      </w:r>
      <w:r>
        <w:rPr>
          <w:color w:val="auto"/>
          <w:highlight w:val="none"/>
        </w:rPr>
        <w:fldChar w:fldCharType="end"/>
      </w:r>
      <w:r>
        <w:rPr>
          <w:rFonts w:hint="eastAsia" w:ascii="仿宋" w:hAnsi="仿宋" w:eastAsia="仿宋" w:cs="仿宋"/>
          <w:color w:val="auto"/>
          <w:szCs w:val="21"/>
          <w:highlight w:val="none"/>
        </w:rPr>
        <w:fldChar w:fldCharType="end"/>
      </w:r>
    </w:p>
    <w:p w14:paraId="1CAFFEA7">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_Toc5717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三、无效响应</w:t>
      </w:r>
      <w:r>
        <w:rPr>
          <w:color w:val="auto"/>
          <w:highlight w:val="none"/>
        </w:rPr>
        <w:tab/>
      </w:r>
      <w:r>
        <w:rPr>
          <w:color w:val="auto"/>
          <w:highlight w:val="none"/>
        </w:rPr>
        <w:fldChar w:fldCharType="begin"/>
      </w:r>
      <w:r>
        <w:rPr>
          <w:color w:val="auto"/>
          <w:highlight w:val="none"/>
        </w:rPr>
        <w:instrText xml:space="preserve"> PAGEREF _Toc5717 \h </w:instrText>
      </w:r>
      <w:r>
        <w:rPr>
          <w:color w:val="auto"/>
          <w:highlight w:val="none"/>
        </w:rPr>
        <w:fldChar w:fldCharType="separate"/>
      </w:r>
      <w:r>
        <w:rPr>
          <w:color w:val="auto"/>
          <w:highlight w:val="none"/>
        </w:rPr>
        <w:t>- 14 -</w:t>
      </w:r>
      <w:r>
        <w:rPr>
          <w:color w:val="auto"/>
          <w:highlight w:val="none"/>
        </w:rPr>
        <w:fldChar w:fldCharType="end"/>
      </w:r>
      <w:r>
        <w:rPr>
          <w:rFonts w:hint="eastAsia" w:ascii="仿宋" w:hAnsi="仿宋" w:eastAsia="仿宋" w:cs="仿宋"/>
          <w:color w:val="auto"/>
          <w:szCs w:val="21"/>
          <w:highlight w:val="none"/>
        </w:rPr>
        <w:fldChar w:fldCharType="end"/>
      </w:r>
    </w:p>
    <w:p w14:paraId="0608DAA6">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_Toc5258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四、采购终止</w:t>
      </w:r>
      <w:r>
        <w:rPr>
          <w:color w:val="auto"/>
          <w:highlight w:val="none"/>
        </w:rPr>
        <w:tab/>
      </w:r>
      <w:r>
        <w:rPr>
          <w:color w:val="auto"/>
          <w:highlight w:val="none"/>
        </w:rPr>
        <w:fldChar w:fldCharType="begin"/>
      </w:r>
      <w:r>
        <w:rPr>
          <w:color w:val="auto"/>
          <w:highlight w:val="none"/>
        </w:rPr>
        <w:instrText xml:space="preserve"> PAGEREF _Toc5258 \h </w:instrText>
      </w:r>
      <w:r>
        <w:rPr>
          <w:color w:val="auto"/>
          <w:highlight w:val="none"/>
        </w:rPr>
        <w:fldChar w:fldCharType="separate"/>
      </w:r>
      <w:r>
        <w:rPr>
          <w:color w:val="auto"/>
          <w:highlight w:val="none"/>
        </w:rPr>
        <w:t>- 15 -</w:t>
      </w:r>
      <w:r>
        <w:rPr>
          <w:color w:val="auto"/>
          <w:highlight w:val="none"/>
        </w:rPr>
        <w:fldChar w:fldCharType="end"/>
      </w:r>
      <w:r>
        <w:rPr>
          <w:rFonts w:hint="eastAsia" w:ascii="仿宋" w:hAnsi="仿宋" w:eastAsia="仿宋" w:cs="仿宋"/>
          <w:color w:val="auto"/>
          <w:szCs w:val="21"/>
          <w:highlight w:val="none"/>
        </w:rPr>
        <w:fldChar w:fldCharType="end"/>
      </w:r>
    </w:p>
    <w:p w14:paraId="353C15B5">
      <w:pPr>
        <w:pStyle w:val="40"/>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_Toc10638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36"/>
          <w:highlight w:val="none"/>
        </w:rPr>
        <w:t>第五篇  供应商须知</w:t>
      </w:r>
      <w:r>
        <w:rPr>
          <w:color w:val="auto"/>
          <w:highlight w:val="none"/>
        </w:rPr>
        <w:tab/>
      </w:r>
      <w:r>
        <w:rPr>
          <w:color w:val="auto"/>
          <w:highlight w:val="none"/>
        </w:rPr>
        <w:fldChar w:fldCharType="begin"/>
      </w:r>
      <w:r>
        <w:rPr>
          <w:color w:val="auto"/>
          <w:highlight w:val="none"/>
        </w:rPr>
        <w:instrText xml:space="preserve"> PAGEREF _Toc10638 \h </w:instrText>
      </w:r>
      <w:r>
        <w:rPr>
          <w:color w:val="auto"/>
          <w:highlight w:val="none"/>
        </w:rPr>
        <w:fldChar w:fldCharType="separate"/>
      </w:r>
      <w:r>
        <w:rPr>
          <w:color w:val="auto"/>
          <w:highlight w:val="none"/>
        </w:rPr>
        <w:t>- 16 -</w:t>
      </w:r>
      <w:r>
        <w:rPr>
          <w:color w:val="auto"/>
          <w:highlight w:val="none"/>
        </w:rPr>
        <w:fldChar w:fldCharType="end"/>
      </w:r>
      <w:r>
        <w:rPr>
          <w:rFonts w:hint="eastAsia" w:ascii="仿宋" w:hAnsi="仿宋" w:eastAsia="仿宋" w:cs="仿宋"/>
          <w:color w:val="auto"/>
          <w:szCs w:val="21"/>
          <w:highlight w:val="none"/>
        </w:rPr>
        <w:fldChar w:fldCharType="end"/>
      </w:r>
    </w:p>
    <w:p w14:paraId="74D2537F">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_Toc27339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一、磋商费用</w:t>
      </w:r>
      <w:r>
        <w:rPr>
          <w:color w:val="auto"/>
          <w:highlight w:val="none"/>
        </w:rPr>
        <w:tab/>
      </w:r>
      <w:r>
        <w:rPr>
          <w:color w:val="auto"/>
          <w:highlight w:val="none"/>
        </w:rPr>
        <w:fldChar w:fldCharType="begin"/>
      </w:r>
      <w:r>
        <w:rPr>
          <w:color w:val="auto"/>
          <w:highlight w:val="none"/>
        </w:rPr>
        <w:instrText xml:space="preserve"> PAGEREF _Toc27339 \h </w:instrText>
      </w:r>
      <w:r>
        <w:rPr>
          <w:color w:val="auto"/>
          <w:highlight w:val="none"/>
        </w:rPr>
        <w:fldChar w:fldCharType="separate"/>
      </w:r>
      <w:r>
        <w:rPr>
          <w:color w:val="auto"/>
          <w:highlight w:val="none"/>
        </w:rPr>
        <w:t>- 16 -</w:t>
      </w:r>
      <w:r>
        <w:rPr>
          <w:color w:val="auto"/>
          <w:highlight w:val="none"/>
        </w:rPr>
        <w:fldChar w:fldCharType="end"/>
      </w:r>
      <w:r>
        <w:rPr>
          <w:rFonts w:hint="eastAsia" w:ascii="仿宋" w:hAnsi="仿宋" w:eastAsia="仿宋" w:cs="仿宋"/>
          <w:color w:val="auto"/>
          <w:szCs w:val="21"/>
          <w:highlight w:val="none"/>
        </w:rPr>
        <w:fldChar w:fldCharType="end"/>
      </w:r>
    </w:p>
    <w:p w14:paraId="4DC4C422">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_Toc22696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二、竞争性磋商文件</w:t>
      </w:r>
      <w:r>
        <w:rPr>
          <w:color w:val="auto"/>
          <w:highlight w:val="none"/>
        </w:rPr>
        <w:tab/>
      </w:r>
      <w:r>
        <w:rPr>
          <w:color w:val="auto"/>
          <w:highlight w:val="none"/>
        </w:rPr>
        <w:fldChar w:fldCharType="begin"/>
      </w:r>
      <w:r>
        <w:rPr>
          <w:color w:val="auto"/>
          <w:highlight w:val="none"/>
        </w:rPr>
        <w:instrText xml:space="preserve"> PAGEREF _Toc22696 \h </w:instrText>
      </w:r>
      <w:r>
        <w:rPr>
          <w:color w:val="auto"/>
          <w:highlight w:val="none"/>
        </w:rPr>
        <w:fldChar w:fldCharType="separate"/>
      </w:r>
      <w:r>
        <w:rPr>
          <w:color w:val="auto"/>
          <w:highlight w:val="none"/>
        </w:rPr>
        <w:t>- 16 -</w:t>
      </w:r>
      <w:r>
        <w:rPr>
          <w:color w:val="auto"/>
          <w:highlight w:val="none"/>
        </w:rPr>
        <w:fldChar w:fldCharType="end"/>
      </w:r>
      <w:r>
        <w:rPr>
          <w:rFonts w:hint="eastAsia" w:ascii="仿宋" w:hAnsi="仿宋" w:eastAsia="仿宋" w:cs="仿宋"/>
          <w:color w:val="auto"/>
          <w:szCs w:val="21"/>
          <w:highlight w:val="none"/>
        </w:rPr>
        <w:fldChar w:fldCharType="end"/>
      </w:r>
    </w:p>
    <w:p w14:paraId="39874E35">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_Toc8970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三、磋商要求</w:t>
      </w:r>
      <w:r>
        <w:rPr>
          <w:color w:val="auto"/>
          <w:highlight w:val="none"/>
        </w:rPr>
        <w:tab/>
      </w:r>
      <w:r>
        <w:rPr>
          <w:color w:val="auto"/>
          <w:highlight w:val="none"/>
        </w:rPr>
        <w:fldChar w:fldCharType="begin"/>
      </w:r>
      <w:r>
        <w:rPr>
          <w:color w:val="auto"/>
          <w:highlight w:val="none"/>
        </w:rPr>
        <w:instrText xml:space="preserve"> PAGEREF _Toc8970 \h </w:instrText>
      </w:r>
      <w:r>
        <w:rPr>
          <w:color w:val="auto"/>
          <w:highlight w:val="none"/>
        </w:rPr>
        <w:fldChar w:fldCharType="separate"/>
      </w:r>
      <w:r>
        <w:rPr>
          <w:color w:val="auto"/>
          <w:highlight w:val="none"/>
        </w:rPr>
        <w:t>- 16 -</w:t>
      </w:r>
      <w:r>
        <w:rPr>
          <w:color w:val="auto"/>
          <w:highlight w:val="none"/>
        </w:rPr>
        <w:fldChar w:fldCharType="end"/>
      </w:r>
      <w:r>
        <w:rPr>
          <w:rFonts w:hint="eastAsia" w:ascii="仿宋" w:hAnsi="仿宋" w:eastAsia="仿宋" w:cs="仿宋"/>
          <w:color w:val="auto"/>
          <w:szCs w:val="21"/>
          <w:highlight w:val="none"/>
        </w:rPr>
        <w:fldChar w:fldCharType="end"/>
      </w:r>
    </w:p>
    <w:p w14:paraId="2A034329">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_Toc19945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四、成交供应商的确认和变更</w:t>
      </w:r>
      <w:r>
        <w:rPr>
          <w:color w:val="auto"/>
          <w:highlight w:val="none"/>
        </w:rPr>
        <w:tab/>
      </w:r>
      <w:r>
        <w:rPr>
          <w:color w:val="auto"/>
          <w:highlight w:val="none"/>
        </w:rPr>
        <w:fldChar w:fldCharType="begin"/>
      </w:r>
      <w:r>
        <w:rPr>
          <w:color w:val="auto"/>
          <w:highlight w:val="none"/>
        </w:rPr>
        <w:instrText xml:space="preserve"> PAGEREF _Toc19945 \h </w:instrText>
      </w:r>
      <w:r>
        <w:rPr>
          <w:color w:val="auto"/>
          <w:highlight w:val="none"/>
        </w:rPr>
        <w:fldChar w:fldCharType="separate"/>
      </w:r>
      <w:r>
        <w:rPr>
          <w:color w:val="auto"/>
          <w:highlight w:val="none"/>
        </w:rPr>
        <w:t>- 17 -</w:t>
      </w:r>
      <w:r>
        <w:rPr>
          <w:color w:val="auto"/>
          <w:highlight w:val="none"/>
        </w:rPr>
        <w:fldChar w:fldCharType="end"/>
      </w:r>
      <w:r>
        <w:rPr>
          <w:rFonts w:hint="eastAsia" w:ascii="仿宋" w:hAnsi="仿宋" w:eastAsia="仿宋" w:cs="仿宋"/>
          <w:color w:val="auto"/>
          <w:szCs w:val="21"/>
          <w:highlight w:val="none"/>
        </w:rPr>
        <w:fldChar w:fldCharType="end"/>
      </w:r>
    </w:p>
    <w:p w14:paraId="5C238044">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_Toc7531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五、成交通知</w:t>
      </w:r>
      <w:r>
        <w:rPr>
          <w:color w:val="auto"/>
          <w:highlight w:val="none"/>
        </w:rPr>
        <w:tab/>
      </w:r>
      <w:r>
        <w:rPr>
          <w:color w:val="auto"/>
          <w:highlight w:val="none"/>
        </w:rPr>
        <w:fldChar w:fldCharType="begin"/>
      </w:r>
      <w:r>
        <w:rPr>
          <w:color w:val="auto"/>
          <w:highlight w:val="none"/>
        </w:rPr>
        <w:instrText xml:space="preserve"> PAGEREF _Toc7531 \h </w:instrText>
      </w:r>
      <w:r>
        <w:rPr>
          <w:color w:val="auto"/>
          <w:highlight w:val="none"/>
        </w:rPr>
        <w:fldChar w:fldCharType="separate"/>
      </w:r>
      <w:r>
        <w:rPr>
          <w:color w:val="auto"/>
          <w:highlight w:val="none"/>
        </w:rPr>
        <w:t>- 18 -</w:t>
      </w:r>
      <w:r>
        <w:rPr>
          <w:color w:val="auto"/>
          <w:highlight w:val="none"/>
        </w:rPr>
        <w:fldChar w:fldCharType="end"/>
      </w:r>
      <w:r>
        <w:rPr>
          <w:rFonts w:hint="eastAsia" w:ascii="仿宋" w:hAnsi="仿宋" w:eastAsia="仿宋" w:cs="仿宋"/>
          <w:color w:val="auto"/>
          <w:szCs w:val="21"/>
          <w:highlight w:val="none"/>
        </w:rPr>
        <w:fldChar w:fldCharType="end"/>
      </w:r>
    </w:p>
    <w:p w14:paraId="08D5BEDE">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_Toc13305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六、关于质疑</w:t>
      </w:r>
      <w:r>
        <w:rPr>
          <w:color w:val="auto"/>
          <w:highlight w:val="none"/>
        </w:rPr>
        <w:tab/>
      </w:r>
      <w:r>
        <w:rPr>
          <w:color w:val="auto"/>
          <w:highlight w:val="none"/>
        </w:rPr>
        <w:fldChar w:fldCharType="begin"/>
      </w:r>
      <w:r>
        <w:rPr>
          <w:color w:val="auto"/>
          <w:highlight w:val="none"/>
        </w:rPr>
        <w:instrText xml:space="preserve"> PAGEREF _Toc13305 \h </w:instrText>
      </w:r>
      <w:r>
        <w:rPr>
          <w:color w:val="auto"/>
          <w:highlight w:val="none"/>
        </w:rPr>
        <w:fldChar w:fldCharType="separate"/>
      </w:r>
      <w:r>
        <w:rPr>
          <w:color w:val="auto"/>
          <w:highlight w:val="none"/>
        </w:rPr>
        <w:t>- 18 -</w:t>
      </w:r>
      <w:r>
        <w:rPr>
          <w:color w:val="auto"/>
          <w:highlight w:val="none"/>
        </w:rPr>
        <w:fldChar w:fldCharType="end"/>
      </w:r>
      <w:r>
        <w:rPr>
          <w:rFonts w:hint="eastAsia" w:ascii="仿宋" w:hAnsi="仿宋" w:eastAsia="仿宋" w:cs="仿宋"/>
          <w:color w:val="auto"/>
          <w:szCs w:val="21"/>
          <w:highlight w:val="none"/>
        </w:rPr>
        <w:fldChar w:fldCharType="end"/>
      </w:r>
    </w:p>
    <w:p w14:paraId="43C1ACC6">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_Toc16578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4"/>
          <w:highlight w:val="none"/>
        </w:rPr>
        <w:t>七、采购代理服务费</w:t>
      </w:r>
      <w:r>
        <w:rPr>
          <w:color w:val="auto"/>
          <w:highlight w:val="none"/>
        </w:rPr>
        <w:tab/>
      </w:r>
      <w:r>
        <w:rPr>
          <w:color w:val="auto"/>
          <w:highlight w:val="none"/>
        </w:rPr>
        <w:fldChar w:fldCharType="begin"/>
      </w:r>
      <w:r>
        <w:rPr>
          <w:color w:val="auto"/>
          <w:highlight w:val="none"/>
        </w:rPr>
        <w:instrText xml:space="preserve"> PAGEREF _Toc16578 \h </w:instrText>
      </w:r>
      <w:r>
        <w:rPr>
          <w:color w:val="auto"/>
          <w:highlight w:val="none"/>
        </w:rPr>
        <w:fldChar w:fldCharType="separate"/>
      </w:r>
      <w:r>
        <w:rPr>
          <w:color w:val="auto"/>
          <w:highlight w:val="none"/>
        </w:rPr>
        <w:t>- 19 -</w:t>
      </w:r>
      <w:r>
        <w:rPr>
          <w:color w:val="auto"/>
          <w:highlight w:val="none"/>
        </w:rPr>
        <w:fldChar w:fldCharType="end"/>
      </w:r>
      <w:r>
        <w:rPr>
          <w:rFonts w:hint="eastAsia" w:ascii="仿宋" w:hAnsi="仿宋" w:eastAsia="仿宋" w:cs="仿宋"/>
          <w:color w:val="auto"/>
          <w:szCs w:val="21"/>
          <w:highlight w:val="none"/>
        </w:rPr>
        <w:fldChar w:fldCharType="end"/>
      </w:r>
    </w:p>
    <w:p w14:paraId="3C0ED200">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_Toc18941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4"/>
          <w:highlight w:val="none"/>
        </w:rPr>
        <w:t>八、</w:t>
      </w:r>
      <w:r>
        <w:rPr>
          <w:rFonts w:hint="eastAsia" w:ascii="仿宋" w:hAnsi="仿宋" w:eastAsia="仿宋" w:cs="仿宋"/>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_Toc18941 \h </w:instrText>
      </w:r>
      <w:r>
        <w:rPr>
          <w:color w:val="auto"/>
          <w:highlight w:val="none"/>
        </w:rPr>
        <w:fldChar w:fldCharType="separate"/>
      </w:r>
      <w:r>
        <w:rPr>
          <w:color w:val="auto"/>
          <w:highlight w:val="none"/>
        </w:rPr>
        <w:t>- 19 -</w:t>
      </w:r>
      <w:r>
        <w:rPr>
          <w:color w:val="auto"/>
          <w:highlight w:val="none"/>
        </w:rPr>
        <w:fldChar w:fldCharType="end"/>
      </w:r>
      <w:r>
        <w:rPr>
          <w:rFonts w:hint="eastAsia" w:ascii="仿宋" w:hAnsi="仿宋" w:eastAsia="仿宋" w:cs="仿宋"/>
          <w:color w:val="auto"/>
          <w:szCs w:val="21"/>
          <w:highlight w:val="none"/>
        </w:rPr>
        <w:fldChar w:fldCharType="end"/>
      </w:r>
    </w:p>
    <w:p w14:paraId="15DDF34B">
      <w:pPr>
        <w:pStyle w:val="40"/>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_Toc31932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36"/>
          <w:highlight w:val="none"/>
        </w:rPr>
        <w:t>第六篇  合同样本</w:t>
      </w:r>
      <w:r>
        <w:rPr>
          <w:color w:val="auto"/>
          <w:highlight w:val="none"/>
        </w:rPr>
        <w:tab/>
      </w:r>
      <w:r>
        <w:rPr>
          <w:color w:val="auto"/>
          <w:highlight w:val="none"/>
        </w:rPr>
        <w:fldChar w:fldCharType="begin"/>
      </w:r>
      <w:r>
        <w:rPr>
          <w:color w:val="auto"/>
          <w:highlight w:val="none"/>
        </w:rPr>
        <w:instrText xml:space="preserve"> PAGEREF _Toc31932 \h </w:instrText>
      </w:r>
      <w:r>
        <w:rPr>
          <w:color w:val="auto"/>
          <w:highlight w:val="none"/>
        </w:rPr>
        <w:fldChar w:fldCharType="separate"/>
      </w:r>
      <w:r>
        <w:rPr>
          <w:color w:val="auto"/>
          <w:highlight w:val="none"/>
        </w:rPr>
        <w:t>- 20 -</w:t>
      </w:r>
      <w:r>
        <w:rPr>
          <w:color w:val="auto"/>
          <w:highlight w:val="none"/>
        </w:rPr>
        <w:fldChar w:fldCharType="end"/>
      </w:r>
      <w:r>
        <w:rPr>
          <w:rFonts w:hint="eastAsia" w:ascii="仿宋" w:hAnsi="仿宋" w:eastAsia="仿宋" w:cs="仿宋"/>
          <w:color w:val="auto"/>
          <w:szCs w:val="21"/>
          <w:highlight w:val="none"/>
        </w:rPr>
        <w:fldChar w:fldCharType="end"/>
      </w:r>
    </w:p>
    <w:p w14:paraId="02B3E588">
      <w:pPr>
        <w:pStyle w:val="40"/>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_Toc8608 </w:instrText>
      </w:r>
      <w:r>
        <w:rPr>
          <w:rFonts w:hint="eastAsia" w:ascii="仿宋" w:hAnsi="仿宋" w:eastAsia="仿宋" w:cs="仿宋"/>
          <w:color w:val="auto"/>
          <w:szCs w:val="21"/>
          <w:highlight w:val="none"/>
        </w:rPr>
        <w:fldChar w:fldCharType="separate"/>
      </w:r>
      <w:r>
        <w:rPr>
          <w:rFonts w:hint="eastAsia" w:ascii="仿宋" w:hAnsi="仿宋" w:eastAsia="仿宋" w:cs="仿宋"/>
          <w:bCs/>
          <w:color w:val="auto"/>
          <w:szCs w:val="36"/>
          <w:highlight w:val="none"/>
        </w:rPr>
        <w:t>第七篇  响应文件编制要求</w:t>
      </w:r>
      <w:r>
        <w:rPr>
          <w:color w:val="auto"/>
          <w:highlight w:val="none"/>
        </w:rPr>
        <w:tab/>
      </w:r>
      <w:r>
        <w:rPr>
          <w:color w:val="auto"/>
          <w:highlight w:val="none"/>
        </w:rPr>
        <w:fldChar w:fldCharType="begin"/>
      </w:r>
      <w:r>
        <w:rPr>
          <w:color w:val="auto"/>
          <w:highlight w:val="none"/>
        </w:rPr>
        <w:instrText xml:space="preserve"> PAGEREF _Toc8608 \h </w:instrText>
      </w:r>
      <w:r>
        <w:rPr>
          <w:color w:val="auto"/>
          <w:highlight w:val="none"/>
        </w:rPr>
        <w:fldChar w:fldCharType="separate"/>
      </w:r>
      <w:r>
        <w:rPr>
          <w:color w:val="auto"/>
          <w:highlight w:val="none"/>
        </w:rPr>
        <w:t>- 22 -</w:t>
      </w:r>
      <w:r>
        <w:rPr>
          <w:color w:val="auto"/>
          <w:highlight w:val="none"/>
        </w:rPr>
        <w:fldChar w:fldCharType="end"/>
      </w:r>
      <w:r>
        <w:rPr>
          <w:rFonts w:hint="eastAsia" w:ascii="仿宋" w:hAnsi="仿宋" w:eastAsia="仿宋" w:cs="仿宋"/>
          <w:color w:val="auto"/>
          <w:szCs w:val="21"/>
          <w:highlight w:val="none"/>
        </w:rPr>
        <w:fldChar w:fldCharType="end"/>
      </w:r>
    </w:p>
    <w:p w14:paraId="3DD5ADBB">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_Toc16957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一、经济部分</w:t>
      </w:r>
      <w:r>
        <w:rPr>
          <w:color w:val="auto"/>
          <w:highlight w:val="none"/>
        </w:rPr>
        <w:tab/>
      </w:r>
      <w:r>
        <w:rPr>
          <w:color w:val="auto"/>
          <w:highlight w:val="none"/>
        </w:rPr>
        <w:fldChar w:fldCharType="begin"/>
      </w:r>
      <w:r>
        <w:rPr>
          <w:color w:val="auto"/>
          <w:highlight w:val="none"/>
        </w:rPr>
        <w:instrText xml:space="preserve"> PAGEREF _Toc16957 \h </w:instrText>
      </w:r>
      <w:r>
        <w:rPr>
          <w:color w:val="auto"/>
          <w:highlight w:val="none"/>
        </w:rPr>
        <w:fldChar w:fldCharType="separate"/>
      </w:r>
      <w:r>
        <w:rPr>
          <w:color w:val="auto"/>
          <w:highlight w:val="none"/>
        </w:rPr>
        <w:t>- 23 -</w:t>
      </w:r>
      <w:r>
        <w:rPr>
          <w:color w:val="auto"/>
          <w:highlight w:val="none"/>
        </w:rPr>
        <w:fldChar w:fldCharType="end"/>
      </w:r>
      <w:r>
        <w:rPr>
          <w:rFonts w:hint="eastAsia" w:ascii="仿宋" w:hAnsi="仿宋" w:eastAsia="仿宋" w:cs="仿宋"/>
          <w:color w:val="auto"/>
          <w:szCs w:val="21"/>
          <w:highlight w:val="none"/>
        </w:rPr>
        <w:fldChar w:fldCharType="end"/>
      </w:r>
    </w:p>
    <w:p w14:paraId="7680B4D4">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_Toc7800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二、</w:t>
      </w:r>
      <w:r>
        <w:rPr>
          <w:rFonts w:hint="eastAsia" w:ascii="仿宋" w:hAnsi="仿宋" w:eastAsia="仿宋" w:cs="仿宋"/>
          <w:color w:val="auto"/>
          <w:highlight w:val="none"/>
          <w:lang w:val="en-US" w:eastAsia="zh-CN"/>
        </w:rPr>
        <w:t>技术（质量）</w:t>
      </w:r>
      <w:r>
        <w:rPr>
          <w:rFonts w:hint="eastAsia" w:ascii="仿宋" w:hAnsi="仿宋" w:eastAsia="仿宋" w:cs="仿宋"/>
          <w:color w:val="auto"/>
          <w:highlight w:val="none"/>
        </w:rPr>
        <w:t>部分</w:t>
      </w:r>
      <w:r>
        <w:rPr>
          <w:color w:val="auto"/>
          <w:highlight w:val="none"/>
        </w:rPr>
        <w:tab/>
      </w:r>
      <w:r>
        <w:rPr>
          <w:color w:val="auto"/>
          <w:highlight w:val="none"/>
        </w:rPr>
        <w:fldChar w:fldCharType="begin"/>
      </w:r>
      <w:r>
        <w:rPr>
          <w:color w:val="auto"/>
          <w:highlight w:val="none"/>
        </w:rPr>
        <w:instrText xml:space="preserve"> PAGEREF _Toc7800 \h </w:instrText>
      </w:r>
      <w:r>
        <w:rPr>
          <w:color w:val="auto"/>
          <w:highlight w:val="none"/>
        </w:rPr>
        <w:fldChar w:fldCharType="separate"/>
      </w:r>
      <w:r>
        <w:rPr>
          <w:color w:val="auto"/>
          <w:highlight w:val="none"/>
        </w:rPr>
        <w:t>- 25 -</w:t>
      </w:r>
      <w:r>
        <w:rPr>
          <w:color w:val="auto"/>
          <w:highlight w:val="none"/>
        </w:rPr>
        <w:fldChar w:fldCharType="end"/>
      </w:r>
      <w:r>
        <w:rPr>
          <w:rFonts w:hint="eastAsia" w:ascii="仿宋" w:hAnsi="仿宋" w:eastAsia="仿宋" w:cs="仿宋"/>
          <w:color w:val="auto"/>
          <w:szCs w:val="21"/>
          <w:highlight w:val="none"/>
        </w:rPr>
        <w:fldChar w:fldCharType="end"/>
      </w:r>
    </w:p>
    <w:p w14:paraId="2495EC06">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_Toc19396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rPr>
        <w:t>三、商务部分</w:t>
      </w:r>
      <w:r>
        <w:rPr>
          <w:color w:val="auto"/>
          <w:highlight w:val="none"/>
        </w:rPr>
        <w:tab/>
      </w:r>
      <w:r>
        <w:rPr>
          <w:color w:val="auto"/>
          <w:highlight w:val="none"/>
        </w:rPr>
        <w:fldChar w:fldCharType="begin"/>
      </w:r>
      <w:r>
        <w:rPr>
          <w:color w:val="auto"/>
          <w:highlight w:val="none"/>
        </w:rPr>
        <w:instrText xml:space="preserve"> PAGEREF _Toc19396 \h </w:instrText>
      </w:r>
      <w:r>
        <w:rPr>
          <w:color w:val="auto"/>
          <w:highlight w:val="none"/>
        </w:rPr>
        <w:fldChar w:fldCharType="separate"/>
      </w:r>
      <w:r>
        <w:rPr>
          <w:color w:val="auto"/>
          <w:highlight w:val="none"/>
        </w:rPr>
        <w:t>- 27 -</w:t>
      </w:r>
      <w:r>
        <w:rPr>
          <w:color w:val="auto"/>
          <w:highlight w:val="none"/>
        </w:rPr>
        <w:fldChar w:fldCharType="end"/>
      </w:r>
      <w:r>
        <w:rPr>
          <w:rFonts w:hint="eastAsia" w:ascii="仿宋" w:hAnsi="仿宋" w:eastAsia="仿宋" w:cs="仿宋"/>
          <w:color w:val="auto"/>
          <w:szCs w:val="21"/>
          <w:highlight w:val="none"/>
        </w:rPr>
        <w:fldChar w:fldCharType="end"/>
      </w:r>
    </w:p>
    <w:p w14:paraId="5D11783A">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_Toc18780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highlight w:val="none"/>
          <w:lang w:val="en-US" w:eastAsia="zh-CN"/>
        </w:rPr>
        <w:t>四</w:t>
      </w:r>
      <w:r>
        <w:rPr>
          <w:rFonts w:hint="eastAsia" w:ascii="仿宋" w:hAnsi="仿宋" w:eastAsia="仿宋" w:cs="仿宋"/>
          <w:color w:val="auto"/>
          <w:highlight w:val="none"/>
        </w:rPr>
        <w:t>、资格条件</w:t>
      </w:r>
      <w:r>
        <w:rPr>
          <w:color w:val="auto"/>
          <w:highlight w:val="none"/>
        </w:rPr>
        <w:tab/>
      </w:r>
      <w:r>
        <w:rPr>
          <w:color w:val="auto"/>
          <w:highlight w:val="none"/>
        </w:rPr>
        <w:fldChar w:fldCharType="begin"/>
      </w:r>
      <w:r>
        <w:rPr>
          <w:color w:val="auto"/>
          <w:highlight w:val="none"/>
        </w:rPr>
        <w:instrText xml:space="preserve"> PAGEREF _Toc18780 \h </w:instrText>
      </w:r>
      <w:r>
        <w:rPr>
          <w:color w:val="auto"/>
          <w:highlight w:val="none"/>
        </w:rPr>
        <w:fldChar w:fldCharType="separate"/>
      </w:r>
      <w:r>
        <w:rPr>
          <w:color w:val="auto"/>
          <w:highlight w:val="none"/>
        </w:rPr>
        <w:t>- 29 -</w:t>
      </w:r>
      <w:r>
        <w:rPr>
          <w:color w:val="auto"/>
          <w:highlight w:val="none"/>
        </w:rPr>
        <w:fldChar w:fldCharType="end"/>
      </w:r>
      <w:r>
        <w:rPr>
          <w:rFonts w:hint="eastAsia" w:ascii="仿宋" w:hAnsi="仿宋" w:eastAsia="仿宋" w:cs="仿宋"/>
          <w:color w:val="auto"/>
          <w:szCs w:val="21"/>
          <w:highlight w:val="none"/>
        </w:rPr>
        <w:fldChar w:fldCharType="end"/>
      </w:r>
    </w:p>
    <w:p w14:paraId="1A6CF2C0">
      <w:pPr>
        <w:pStyle w:val="48"/>
        <w:tabs>
          <w:tab w:val="right" w:leader="dot" w:pos="9412"/>
        </w:tabs>
        <w:spacing w:line="240" w:lineRule="auto"/>
        <w:rPr>
          <w:color w:val="auto"/>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HYPERLINK \l _Toc7633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8"/>
          <w:highlight w:val="none"/>
        </w:rPr>
        <w:t>五、其他应提供的资料</w:t>
      </w:r>
      <w:r>
        <w:rPr>
          <w:color w:val="auto"/>
          <w:highlight w:val="none"/>
        </w:rPr>
        <w:tab/>
      </w:r>
      <w:r>
        <w:rPr>
          <w:color w:val="auto"/>
          <w:highlight w:val="none"/>
        </w:rPr>
        <w:fldChar w:fldCharType="begin"/>
      </w:r>
      <w:r>
        <w:rPr>
          <w:color w:val="auto"/>
          <w:highlight w:val="none"/>
        </w:rPr>
        <w:instrText xml:space="preserve"> PAGEREF _Toc7633 \h </w:instrText>
      </w:r>
      <w:r>
        <w:rPr>
          <w:color w:val="auto"/>
          <w:highlight w:val="none"/>
        </w:rPr>
        <w:fldChar w:fldCharType="separate"/>
      </w:r>
      <w:r>
        <w:rPr>
          <w:color w:val="auto"/>
          <w:highlight w:val="none"/>
        </w:rPr>
        <w:t>- 33 -</w:t>
      </w:r>
      <w:r>
        <w:rPr>
          <w:color w:val="auto"/>
          <w:highlight w:val="none"/>
        </w:rPr>
        <w:fldChar w:fldCharType="end"/>
      </w:r>
      <w:r>
        <w:rPr>
          <w:rFonts w:hint="eastAsia" w:ascii="仿宋" w:hAnsi="仿宋" w:eastAsia="仿宋" w:cs="仿宋"/>
          <w:color w:val="auto"/>
          <w:szCs w:val="21"/>
          <w:highlight w:val="none"/>
        </w:rPr>
        <w:fldChar w:fldCharType="end"/>
      </w:r>
    </w:p>
    <w:p w14:paraId="19FDC1B9">
      <w:pPr>
        <w:pStyle w:val="48"/>
        <w:tabs>
          <w:tab w:val="right" w:leader="dot" w:pos="9402"/>
        </w:tabs>
        <w:spacing w:line="360" w:lineRule="auto"/>
        <w:ind w:left="560"/>
        <w:jc w:val="center"/>
        <w:rPr>
          <w:rFonts w:hint="eastAsia" w:ascii="仿宋" w:hAnsi="仿宋" w:eastAsia="仿宋" w:cs="仿宋"/>
          <w:color w:val="auto"/>
          <w:sz w:val="18"/>
          <w:szCs w:val="22"/>
          <w:highlight w:val="none"/>
        </w:rPr>
        <w:sectPr>
          <w:pgSz w:w="11907" w:h="16840"/>
          <w:pgMar w:top="1134" w:right="1191" w:bottom="1134" w:left="1304" w:header="851" w:footer="992" w:gutter="0"/>
          <w:pgNumType w:fmt="numberInDash"/>
          <w:cols w:space="720" w:num="1"/>
          <w:docGrid w:linePitch="381" w:charSpace="-5735"/>
        </w:sectPr>
      </w:pPr>
      <w:r>
        <w:rPr>
          <w:rFonts w:hint="eastAsia" w:ascii="仿宋" w:hAnsi="仿宋" w:eastAsia="仿宋" w:cs="仿宋"/>
          <w:color w:val="auto"/>
          <w:szCs w:val="21"/>
          <w:highlight w:val="none"/>
        </w:rPr>
        <w:fldChar w:fldCharType="end"/>
      </w:r>
    </w:p>
    <w:p w14:paraId="71873BA4">
      <w:pPr>
        <w:pStyle w:val="2"/>
        <w:bidi w:val="0"/>
        <w:spacing w:line="360" w:lineRule="auto"/>
        <w:jc w:val="center"/>
        <w:outlineLvl w:val="0"/>
        <w:rPr>
          <w:rFonts w:hint="eastAsia" w:ascii="仿宋" w:hAnsi="仿宋" w:eastAsia="仿宋" w:cs="仿宋"/>
          <w:b/>
          <w:bCs/>
          <w:color w:val="auto"/>
          <w:sz w:val="36"/>
          <w:szCs w:val="22"/>
          <w:highlight w:val="none"/>
        </w:rPr>
      </w:pPr>
      <w:bookmarkStart w:id="0" w:name="_Toc11641050"/>
      <w:bookmarkStart w:id="1" w:name="_Toc9466"/>
      <w:bookmarkStart w:id="2" w:name="_Toc12789052"/>
      <w:r>
        <w:rPr>
          <w:rFonts w:hint="eastAsia" w:ascii="仿宋" w:hAnsi="仿宋" w:eastAsia="仿宋" w:cs="仿宋"/>
          <w:b/>
          <w:bCs/>
          <w:color w:val="auto"/>
          <w:sz w:val="36"/>
          <w:szCs w:val="22"/>
          <w:highlight w:val="none"/>
        </w:rPr>
        <w:t>第一篇  采购邀请书</w:t>
      </w:r>
      <w:bookmarkEnd w:id="0"/>
      <w:bookmarkEnd w:id="1"/>
      <w:bookmarkEnd w:id="2"/>
    </w:p>
    <w:p w14:paraId="2E88867E">
      <w:pPr>
        <w:snapToGrid w:val="0"/>
        <w:spacing w:line="360" w:lineRule="auto"/>
        <w:ind w:firstLine="480" w:firstLineChars="200"/>
        <w:rPr>
          <w:rFonts w:hint="eastAsia" w:ascii="仿宋" w:hAnsi="仿宋" w:eastAsia="仿宋" w:cs="仿宋"/>
          <w:color w:val="auto"/>
          <w:sz w:val="24"/>
          <w:szCs w:val="24"/>
          <w:highlight w:val="none"/>
        </w:rPr>
      </w:pPr>
      <w:bookmarkStart w:id="3" w:name="_Toc313893526"/>
      <w:bookmarkStart w:id="4" w:name="_Toc317775175"/>
      <w:r>
        <w:rPr>
          <w:rFonts w:hint="eastAsia" w:ascii="仿宋" w:hAnsi="仿宋" w:eastAsia="仿宋" w:cs="仿宋"/>
          <w:color w:val="auto"/>
          <w:sz w:val="24"/>
          <w:szCs w:val="24"/>
          <w:highlight w:val="none"/>
          <w:u w:val="single"/>
          <w:lang w:eastAsia="zh-CN"/>
        </w:rPr>
        <w:t>联投项目管理（集团）有限公司</w:t>
      </w:r>
      <w:r>
        <w:rPr>
          <w:rFonts w:hint="eastAsia" w:ascii="仿宋" w:hAnsi="仿宋" w:eastAsia="仿宋" w:cs="仿宋"/>
          <w:color w:val="auto"/>
          <w:sz w:val="24"/>
          <w:szCs w:val="24"/>
          <w:highlight w:val="none"/>
        </w:rPr>
        <w:t>（以下简称：采购代理机构）受</w:t>
      </w:r>
      <w:r>
        <w:rPr>
          <w:rFonts w:hint="eastAsia" w:ascii="仿宋" w:hAnsi="仿宋" w:eastAsia="仿宋" w:cs="仿宋"/>
          <w:color w:val="auto"/>
          <w:sz w:val="24"/>
          <w:szCs w:val="24"/>
          <w:highlight w:val="none"/>
          <w:u w:val="single"/>
          <w:lang w:eastAsia="zh-CN"/>
        </w:rPr>
        <w:t>重庆第二十三中学校</w:t>
      </w:r>
      <w:r>
        <w:rPr>
          <w:rFonts w:hint="eastAsia" w:ascii="仿宋" w:hAnsi="仿宋" w:eastAsia="仿宋" w:cs="仿宋"/>
          <w:color w:val="auto"/>
          <w:sz w:val="24"/>
          <w:szCs w:val="24"/>
          <w:highlight w:val="none"/>
        </w:rPr>
        <w:t>（以下简称：采购人）的委托，对</w:t>
      </w:r>
      <w:r>
        <w:rPr>
          <w:rFonts w:hint="eastAsia" w:ascii="仿宋" w:hAnsi="仿宋" w:eastAsia="仿宋" w:cs="仿宋"/>
          <w:color w:val="auto"/>
          <w:sz w:val="24"/>
          <w:szCs w:val="24"/>
          <w:highlight w:val="none"/>
          <w:u w:val="single"/>
          <w:lang w:val="en-US" w:eastAsia="zh-CN"/>
        </w:rPr>
        <w:t>重庆第二十三中学校校服采购</w:t>
      </w:r>
      <w:r>
        <w:rPr>
          <w:rFonts w:hint="eastAsia" w:ascii="仿宋" w:hAnsi="仿宋" w:eastAsia="仿宋" w:cs="仿宋"/>
          <w:color w:val="auto"/>
          <w:sz w:val="24"/>
          <w:szCs w:val="24"/>
          <w:highlight w:val="none"/>
        </w:rPr>
        <w:t>进行竞争性磋商采购。欢迎有资格的供应商前来参与磋商。</w:t>
      </w:r>
    </w:p>
    <w:p w14:paraId="5691789D">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5" w:name="_Toc2061"/>
      <w:r>
        <w:rPr>
          <w:rFonts w:hint="eastAsia" w:ascii="仿宋" w:hAnsi="仿宋" w:eastAsia="仿宋" w:cs="仿宋"/>
          <w:color w:val="auto"/>
          <w:sz w:val="24"/>
          <w:highlight w:val="none"/>
        </w:rPr>
        <w:t>一、竞争性磋商内容</w:t>
      </w:r>
      <w:bookmarkEnd w:id="3"/>
      <w:bookmarkEnd w:id="4"/>
      <w:bookmarkEnd w:id="5"/>
      <w:bookmarkStart w:id="6" w:name="_Toc373860293"/>
      <w:bookmarkStart w:id="7" w:name="_Toc317775178"/>
    </w:p>
    <w:tbl>
      <w:tblPr>
        <w:tblStyle w:val="60"/>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2763"/>
        <w:gridCol w:w="2112"/>
        <w:gridCol w:w="2332"/>
      </w:tblGrid>
      <w:tr w14:paraId="5EA7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831" w:type="dxa"/>
            <w:noWrap w:val="0"/>
            <w:vAlign w:val="center"/>
          </w:tcPr>
          <w:p w14:paraId="25170C8D">
            <w:pPr>
              <w:pStyle w:val="24"/>
              <w:spacing w:line="360" w:lineRule="auto"/>
              <w:ind w:left="0"/>
              <w:jc w:val="center"/>
              <w:outlineLvl w:val="0"/>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项目名称</w:t>
            </w:r>
          </w:p>
        </w:tc>
        <w:tc>
          <w:tcPr>
            <w:tcW w:w="2763" w:type="dxa"/>
            <w:noWrap w:val="0"/>
            <w:vAlign w:val="center"/>
          </w:tcPr>
          <w:p w14:paraId="14B30675">
            <w:pPr>
              <w:pStyle w:val="24"/>
              <w:spacing w:line="360" w:lineRule="auto"/>
              <w:ind w:left="0"/>
              <w:jc w:val="center"/>
              <w:outlineLvl w:val="0"/>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采购预算（万元）</w:t>
            </w:r>
          </w:p>
        </w:tc>
        <w:tc>
          <w:tcPr>
            <w:tcW w:w="2112" w:type="dxa"/>
            <w:noWrap w:val="0"/>
            <w:vAlign w:val="center"/>
          </w:tcPr>
          <w:p w14:paraId="6CC12162">
            <w:pPr>
              <w:pStyle w:val="24"/>
              <w:spacing w:line="360" w:lineRule="auto"/>
              <w:ind w:left="0"/>
              <w:jc w:val="center"/>
              <w:outlineLvl w:val="0"/>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最高限价</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元/套）</w:t>
            </w:r>
          </w:p>
        </w:tc>
        <w:tc>
          <w:tcPr>
            <w:tcW w:w="2332" w:type="dxa"/>
            <w:noWrap w:val="0"/>
            <w:vAlign w:val="center"/>
          </w:tcPr>
          <w:p w14:paraId="12867A43">
            <w:pPr>
              <w:pStyle w:val="24"/>
              <w:spacing w:line="360" w:lineRule="auto"/>
              <w:ind w:left="0"/>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成交供应商</w:t>
            </w:r>
            <w:r>
              <w:rPr>
                <w:rFonts w:hint="eastAsia" w:ascii="仿宋" w:hAnsi="仿宋" w:eastAsia="仿宋" w:cs="仿宋"/>
                <w:b/>
                <w:color w:val="auto"/>
                <w:sz w:val="24"/>
                <w:szCs w:val="24"/>
                <w:highlight w:val="none"/>
              </w:rPr>
              <w:t>数量（名）</w:t>
            </w:r>
          </w:p>
        </w:tc>
      </w:tr>
      <w:tr w14:paraId="7BE1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2831" w:type="dxa"/>
            <w:noWrap w:val="0"/>
            <w:vAlign w:val="center"/>
          </w:tcPr>
          <w:p w14:paraId="1E31BA69">
            <w:pPr>
              <w:pStyle w:val="15"/>
              <w:spacing w:line="360" w:lineRule="auto"/>
              <w:ind w:firstLine="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重庆第二十三中学校校服采购</w:t>
            </w:r>
          </w:p>
        </w:tc>
        <w:tc>
          <w:tcPr>
            <w:tcW w:w="2763" w:type="dxa"/>
            <w:noWrap w:val="0"/>
            <w:vAlign w:val="center"/>
          </w:tcPr>
          <w:p w14:paraId="00D43433">
            <w:pPr>
              <w:pStyle w:val="24"/>
              <w:spacing w:line="360" w:lineRule="auto"/>
              <w:ind w:left="0"/>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2112" w:type="dxa"/>
            <w:noWrap w:val="0"/>
            <w:vAlign w:val="center"/>
          </w:tcPr>
          <w:p w14:paraId="3B89D7D0">
            <w:pPr>
              <w:pStyle w:val="24"/>
              <w:spacing w:line="360" w:lineRule="auto"/>
              <w:ind w:left="0"/>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598</w:t>
            </w:r>
          </w:p>
        </w:tc>
        <w:tc>
          <w:tcPr>
            <w:tcW w:w="2332" w:type="dxa"/>
            <w:noWrap w:val="0"/>
            <w:vAlign w:val="center"/>
          </w:tcPr>
          <w:p w14:paraId="3905EB3A">
            <w:pPr>
              <w:pStyle w:val="15"/>
              <w:spacing w:line="360" w:lineRule="auto"/>
              <w:ind w:firstLine="0"/>
              <w:jc w:val="center"/>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r>
    </w:tbl>
    <w:p w14:paraId="01E2072E">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8" w:name="_Toc30585"/>
      <w:r>
        <w:rPr>
          <w:rFonts w:hint="eastAsia" w:ascii="仿宋" w:hAnsi="仿宋" w:eastAsia="仿宋" w:cs="仿宋"/>
          <w:color w:val="auto"/>
          <w:sz w:val="24"/>
          <w:highlight w:val="none"/>
        </w:rPr>
        <w:t>二、资金来源</w:t>
      </w:r>
      <w:bookmarkEnd w:id="8"/>
    </w:p>
    <w:p w14:paraId="10BFED2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非</w:t>
      </w:r>
      <w:r>
        <w:rPr>
          <w:rFonts w:hint="eastAsia" w:ascii="仿宋" w:hAnsi="仿宋" w:eastAsia="仿宋" w:cs="仿宋"/>
          <w:color w:val="auto"/>
          <w:sz w:val="24"/>
          <w:szCs w:val="24"/>
          <w:highlight w:val="none"/>
        </w:rPr>
        <w:t>财政资金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家长自筹委托</w:t>
      </w:r>
      <w:r>
        <w:rPr>
          <w:rFonts w:hint="eastAsia" w:ascii="仿宋" w:hAnsi="仿宋" w:eastAsia="仿宋" w:cs="仿宋"/>
          <w:color w:val="auto"/>
          <w:sz w:val="24"/>
          <w:szCs w:val="24"/>
          <w:highlight w:val="none"/>
          <w:lang w:eastAsia="zh-CN"/>
        </w:rPr>
        <w:t>重庆第二十三中学校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14:paraId="72947ED5">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9" w:name="_Toc13114"/>
      <w:r>
        <w:rPr>
          <w:rFonts w:hint="eastAsia" w:ascii="仿宋" w:hAnsi="仿宋" w:eastAsia="仿宋" w:cs="仿宋"/>
          <w:color w:val="auto"/>
          <w:sz w:val="24"/>
          <w:highlight w:val="none"/>
        </w:rPr>
        <w:t>三、供应商资格条件</w:t>
      </w:r>
      <w:bookmarkEnd w:id="9"/>
    </w:p>
    <w:p w14:paraId="02E10CE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（一）满足《中华人民共和国政府采购法》第二十二条规定</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w:t>
      </w:r>
    </w:p>
    <w:p w14:paraId="075C20D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14:paraId="63E4D82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2.具有良好的商业信誉和健全的财务会计制度；</w:t>
      </w:r>
    </w:p>
    <w:p w14:paraId="5318FC0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3.具有履行合同所必需的设备和专业技术能力；</w:t>
      </w:r>
    </w:p>
    <w:p w14:paraId="1CB971C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14:paraId="6408EF2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5.参加政府采购活动前三年内，在经营活动中没有重大违法记录；</w:t>
      </w:r>
    </w:p>
    <w:p w14:paraId="446C5E1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6.法律、行政法规规定的其他条件。</w:t>
      </w:r>
    </w:p>
    <w:p w14:paraId="0873FD84">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）本项目的特定资格要求：</w:t>
      </w:r>
      <w:r>
        <w:rPr>
          <w:rFonts w:hint="eastAsia" w:ascii="仿宋" w:hAnsi="仿宋" w:eastAsia="仿宋" w:cs="仿宋"/>
          <w:color w:val="auto"/>
          <w:sz w:val="24"/>
          <w:szCs w:val="24"/>
          <w:highlight w:val="none"/>
          <w:lang w:val="en-US" w:eastAsia="zh-CN"/>
        </w:rPr>
        <w:t>无</w:t>
      </w:r>
    </w:p>
    <w:p w14:paraId="62A02C2E">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0" w:name="_Toc9755"/>
      <w:r>
        <w:rPr>
          <w:rFonts w:hint="eastAsia" w:ascii="仿宋" w:hAnsi="仿宋" w:eastAsia="仿宋" w:cs="仿宋"/>
          <w:color w:val="auto"/>
          <w:sz w:val="24"/>
          <w:highlight w:val="none"/>
        </w:rPr>
        <w:t>四、磋商有关说明</w:t>
      </w:r>
      <w:bookmarkEnd w:id="6"/>
      <w:bookmarkEnd w:id="10"/>
    </w:p>
    <w:bookmarkEnd w:id="7"/>
    <w:p w14:paraId="148829AA">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（一）供应商应通过行采家</w:t>
      </w:r>
      <w:r>
        <w:rPr>
          <w:rFonts w:hint="eastAsia" w:ascii="仿宋" w:hAnsi="仿宋" w:eastAsia="仿宋" w:cs="仿宋"/>
          <w:color w:val="auto"/>
          <w:sz w:val="24"/>
          <w:szCs w:val="24"/>
          <w:highlight w:val="none"/>
          <w:lang w:val="en-US" w:eastAsia="zh-CN"/>
        </w:rPr>
        <w:t>平台</w:t>
      </w:r>
      <w:r>
        <w:rPr>
          <w:rFonts w:hint="eastAsia" w:ascii="仿宋" w:hAnsi="仿宋" w:eastAsia="仿宋" w:cs="仿宋"/>
          <w:color w:val="auto"/>
          <w:sz w:val="24"/>
          <w:szCs w:val="24"/>
          <w:highlight w:val="none"/>
        </w:rPr>
        <w:t>（http://www.gec123.com）登记注册。</w:t>
      </w:r>
    </w:p>
    <w:p w14:paraId="3F9BDB4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（二）凡有意参加磋商的供应商，请于公告发布之日起至提交首次响应文件截止时间之前，在行采家</w:t>
      </w:r>
      <w:r>
        <w:rPr>
          <w:rFonts w:hint="eastAsia" w:ascii="仿宋" w:hAnsi="仿宋" w:eastAsia="仿宋" w:cs="仿宋"/>
          <w:color w:val="auto"/>
          <w:sz w:val="24"/>
          <w:szCs w:val="24"/>
          <w:highlight w:val="none"/>
          <w:lang w:val="en-US" w:eastAsia="zh-CN"/>
        </w:rPr>
        <w:t>平台</w:t>
      </w:r>
      <w:r>
        <w:rPr>
          <w:rFonts w:hint="eastAsia" w:ascii="仿宋" w:hAnsi="仿宋" w:eastAsia="仿宋" w:cs="仿宋"/>
          <w:color w:val="auto"/>
          <w:sz w:val="24"/>
          <w:szCs w:val="24"/>
          <w:highlight w:val="none"/>
        </w:rPr>
        <w:t>（https://www.gec123.com）上下载本项目竞争性磋商文件以及图纸、澄清等磋商前公布的所有项目资料，无论供应商下载与否，均视为已知晓所有磋商实质性要求内容。</w:t>
      </w:r>
    </w:p>
    <w:p w14:paraId="5EA399F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（三）竞争性磋商公告期限：自采购公告发布之日起</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个工作日</w:t>
      </w:r>
    </w:p>
    <w:p w14:paraId="52AC124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）响应文件递交地点及磋商地点：</w:t>
      </w:r>
      <w:r>
        <w:rPr>
          <w:rFonts w:hint="eastAsia" w:ascii="仿宋" w:hAnsi="仿宋" w:eastAsia="仿宋" w:cs="仿宋"/>
          <w:snapToGrid w:val="0"/>
          <w:color w:val="auto"/>
          <w:kern w:val="0"/>
          <w:sz w:val="24"/>
          <w:szCs w:val="24"/>
          <w:highlight w:val="none"/>
          <w:lang w:val="en-US" w:eastAsia="zh-CN"/>
        </w:rPr>
        <w:t>重庆第二十三中学校</w:t>
      </w:r>
    </w:p>
    <w:p w14:paraId="1A6F4A36">
      <w:pPr>
        <w:spacing w:line="360" w:lineRule="auto"/>
        <w:ind w:firstLine="480" w:firstLineChars="200"/>
        <w:rPr>
          <w:rFonts w:hint="default" w:ascii="仿宋" w:hAnsi="仿宋" w:eastAsia="仿宋" w:cs="仿宋"/>
          <w:color w:val="auto"/>
          <w:sz w:val="24"/>
          <w:szCs w:val="24"/>
          <w:highlight w:val="yellow"/>
          <w:lang w:val="en-US" w:eastAsia="zh-CN"/>
        </w:rPr>
      </w:pPr>
      <w:r>
        <w:rPr>
          <w:rFonts w:hint="eastAsia" w:ascii="仿宋" w:hAnsi="仿宋" w:eastAsia="仿宋" w:cs="仿宋"/>
          <w:color w:val="auto"/>
          <w:sz w:val="24"/>
          <w:szCs w:val="24"/>
          <w:highlight w:val="yellow"/>
        </w:rPr>
        <w:t>（</w:t>
      </w:r>
      <w:r>
        <w:rPr>
          <w:rFonts w:hint="eastAsia" w:ascii="仿宋" w:hAnsi="仿宋" w:eastAsia="仿宋" w:cs="仿宋"/>
          <w:color w:val="auto"/>
          <w:sz w:val="24"/>
          <w:szCs w:val="24"/>
          <w:highlight w:val="yellow"/>
          <w:lang w:val="en-US" w:eastAsia="zh-CN"/>
        </w:rPr>
        <w:t>五</w:t>
      </w:r>
      <w:r>
        <w:rPr>
          <w:rFonts w:hint="eastAsia" w:ascii="仿宋" w:hAnsi="仿宋" w:eastAsia="仿宋" w:cs="仿宋"/>
          <w:color w:val="auto"/>
          <w:sz w:val="24"/>
          <w:szCs w:val="24"/>
          <w:highlight w:val="yellow"/>
        </w:rPr>
        <w:t>）响应文件递交开始时间：202</w:t>
      </w:r>
      <w:r>
        <w:rPr>
          <w:rFonts w:hint="eastAsia" w:ascii="仿宋" w:hAnsi="仿宋" w:eastAsia="仿宋" w:cs="仿宋"/>
          <w:color w:val="auto"/>
          <w:sz w:val="24"/>
          <w:szCs w:val="24"/>
          <w:highlight w:val="yellow"/>
          <w:lang w:val="en-US" w:eastAsia="zh-CN"/>
        </w:rPr>
        <w:t>5</w:t>
      </w:r>
      <w:r>
        <w:rPr>
          <w:rFonts w:hint="eastAsia" w:ascii="仿宋" w:hAnsi="仿宋" w:eastAsia="仿宋" w:cs="仿宋"/>
          <w:color w:val="auto"/>
          <w:sz w:val="24"/>
          <w:szCs w:val="24"/>
          <w:highlight w:val="yellow"/>
        </w:rPr>
        <w:t>年</w:t>
      </w:r>
      <w:r>
        <w:rPr>
          <w:rFonts w:hint="eastAsia" w:ascii="仿宋" w:hAnsi="仿宋" w:eastAsia="仿宋" w:cs="仿宋"/>
          <w:color w:val="auto"/>
          <w:sz w:val="24"/>
          <w:szCs w:val="24"/>
          <w:highlight w:val="yellow"/>
          <w:lang w:val="en-US" w:eastAsia="zh-CN"/>
        </w:rPr>
        <w:t>10</w:t>
      </w:r>
      <w:r>
        <w:rPr>
          <w:rFonts w:hint="eastAsia" w:ascii="仿宋" w:hAnsi="仿宋" w:eastAsia="仿宋" w:cs="仿宋"/>
          <w:color w:val="auto"/>
          <w:sz w:val="24"/>
          <w:szCs w:val="24"/>
          <w:highlight w:val="yellow"/>
        </w:rPr>
        <w:t>月</w:t>
      </w:r>
      <w:r>
        <w:rPr>
          <w:rFonts w:hint="eastAsia" w:ascii="仿宋" w:hAnsi="仿宋" w:eastAsia="仿宋" w:cs="仿宋"/>
          <w:color w:val="auto"/>
          <w:sz w:val="24"/>
          <w:szCs w:val="24"/>
          <w:highlight w:val="yellow"/>
          <w:lang w:val="en-US" w:eastAsia="zh-CN"/>
        </w:rPr>
        <w:t>31</w:t>
      </w:r>
      <w:r>
        <w:rPr>
          <w:rFonts w:hint="eastAsia" w:ascii="仿宋" w:hAnsi="仿宋" w:eastAsia="仿宋" w:cs="仿宋"/>
          <w:color w:val="auto"/>
          <w:sz w:val="24"/>
          <w:szCs w:val="24"/>
          <w:highlight w:val="yellow"/>
        </w:rPr>
        <w:t>日北京时间</w:t>
      </w:r>
      <w:r>
        <w:rPr>
          <w:rFonts w:hint="eastAsia" w:ascii="仿宋" w:hAnsi="仿宋" w:eastAsia="仿宋" w:cs="仿宋"/>
          <w:color w:val="auto"/>
          <w:sz w:val="24"/>
          <w:szCs w:val="24"/>
          <w:highlight w:val="yellow"/>
          <w:lang w:val="en-US" w:eastAsia="zh-CN"/>
        </w:rPr>
        <w:t>09:00</w:t>
      </w:r>
    </w:p>
    <w:p w14:paraId="24A7A3B9">
      <w:pPr>
        <w:spacing w:line="360" w:lineRule="auto"/>
        <w:ind w:firstLine="1200" w:firstLineChars="500"/>
        <w:rPr>
          <w:rFonts w:hint="default" w:ascii="仿宋" w:hAnsi="仿宋" w:eastAsia="仿宋" w:cs="仿宋"/>
          <w:color w:val="auto"/>
          <w:sz w:val="24"/>
          <w:szCs w:val="24"/>
          <w:highlight w:val="yellow"/>
          <w:lang w:val="en-US"/>
        </w:rPr>
      </w:pPr>
      <w:r>
        <w:rPr>
          <w:rFonts w:hint="eastAsia" w:ascii="仿宋" w:hAnsi="仿宋" w:eastAsia="仿宋" w:cs="仿宋"/>
          <w:color w:val="auto"/>
          <w:sz w:val="24"/>
          <w:szCs w:val="24"/>
          <w:highlight w:val="yellow"/>
        </w:rPr>
        <w:t>响应文件递交截止时间：202</w:t>
      </w:r>
      <w:r>
        <w:rPr>
          <w:rFonts w:hint="eastAsia" w:ascii="仿宋" w:hAnsi="仿宋" w:eastAsia="仿宋" w:cs="仿宋"/>
          <w:color w:val="auto"/>
          <w:sz w:val="24"/>
          <w:szCs w:val="24"/>
          <w:highlight w:val="yellow"/>
          <w:lang w:val="en-US" w:eastAsia="zh-CN"/>
        </w:rPr>
        <w:t>5</w:t>
      </w:r>
      <w:r>
        <w:rPr>
          <w:rFonts w:hint="eastAsia" w:ascii="仿宋" w:hAnsi="仿宋" w:eastAsia="仿宋" w:cs="仿宋"/>
          <w:color w:val="auto"/>
          <w:sz w:val="24"/>
          <w:szCs w:val="24"/>
          <w:highlight w:val="yellow"/>
        </w:rPr>
        <w:t>年</w:t>
      </w:r>
      <w:r>
        <w:rPr>
          <w:rFonts w:hint="eastAsia" w:ascii="仿宋" w:hAnsi="仿宋" w:eastAsia="仿宋" w:cs="仿宋"/>
          <w:color w:val="auto"/>
          <w:sz w:val="24"/>
          <w:szCs w:val="24"/>
          <w:highlight w:val="yellow"/>
          <w:lang w:val="en-US" w:eastAsia="zh-CN"/>
        </w:rPr>
        <w:t>10</w:t>
      </w:r>
      <w:r>
        <w:rPr>
          <w:rFonts w:hint="eastAsia" w:ascii="仿宋" w:hAnsi="仿宋" w:eastAsia="仿宋" w:cs="仿宋"/>
          <w:color w:val="auto"/>
          <w:sz w:val="24"/>
          <w:szCs w:val="24"/>
          <w:highlight w:val="yellow"/>
        </w:rPr>
        <w:t>月</w:t>
      </w:r>
      <w:r>
        <w:rPr>
          <w:rFonts w:hint="eastAsia" w:ascii="仿宋" w:hAnsi="仿宋" w:eastAsia="仿宋" w:cs="仿宋"/>
          <w:color w:val="auto"/>
          <w:sz w:val="24"/>
          <w:szCs w:val="24"/>
          <w:highlight w:val="yellow"/>
          <w:lang w:val="en-US" w:eastAsia="zh-CN"/>
        </w:rPr>
        <w:t>31</w:t>
      </w:r>
      <w:r>
        <w:rPr>
          <w:rFonts w:hint="eastAsia" w:ascii="仿宋" w:hAnsi="仿宋" w:eastAsia="仿宋" w:cs="仿宋"/>
          <w:color w:val="auto"/>
          <w:sz w:val="24"/>
          <w:szCs w:val="24"/>
          <w:highlight w:val="yellow"/>
        </w:rPr>
        <w:t>日北京时间</w:t>
      </w:r>
      <w:r>
        <w:rPr>
          <w:rFonts w:hint="eastAsia" w:ascii="仿宋" w:hAnsi="仿宋" w:eastAsia="仿宋" w:cs="仿宋"/>
          <w:color w:val="auto"/>
          <w:sz w:val="24"/>
          <w:szCs w:val="24"/>
          <w:highlight w:val="yellow"/>
          <w:lang w:val="en-US" w:eastAsia="zh-CN"/>
        </w:rPr>
        <w:t>09:30</w:t>
      </w:r>
    </w:p>
    <w:p w14:paraId="46932F62">
      <w:pPr>
        <w:spacing w:line="360" w:lineRule="auto"/>
        <w:ind w:firstLine="480" w:firstLineChars="200"/>
        <w:rPr>
          <w:rFonts w:hint="default" w:ascii="仿宋" w:hAnsi="仿宋" w:eastAsia="仿宋" w:cs="仿宋"/>
          <w:color w:val="auto"/>
          <w:sz w:val="24"/>
          <w:szCs w:val="24"/>
          <w:highlight w:val="yellow"/>
          <w:lang w:val="en-US"/>
        </w:rPr>
      </w:pPr>
      <w:r>
        <w:rPr>
          <w:rFonts w:hint="eastAsia" w:ascii="仿宋" w:hAnsi="仿宋" w:eastAsia="仿宋" w:cs="仿宋"/>
          <w:color w:val="auto"/>
          <w:sz w:val="24"/>
          <w:szCs w:val="24"/>
          <w:highlight w:val="yellow"/>
        </w:rPr>
        <w:t>（</w:t>
      </w:r>
      <w:r>
        <w:rPr>
          <w:rFonts w:hint="eastAsia" w:ascii="仿宋" w:hAnsi="仿宋" w:eastAsia="仿宋" w:cs="仿宋"/>
          <w:color w:val="auto"/>
          <w:sz w:val="24"/>
          <w:szCs w:val="24"/>
          <w:highlight w:val="yellow"/>
          <w:lang w:val="en-US" w:eastAsia="zh-CN"/>
        </w:rPr>
        <w:t>六</w:t>
      </w:r>
      <w:r>
        <w:rPr>
          <w:rFonts w:hint="eastAsia" w:ascii="仿宋" w:hAnsi="仿宋" w:eastAsia="仿宋" w:cs="仿宋"/>
          <w:color w:val="auto"/>
          <w:sz w:val="24"/>
          <w:szCs w:val="24"/>
          <w:highlight w:val="yellow"/>
        </w:rPr>
        <w:t>）磋商开始时间：202</w:t>
      </w:r>
      <w:r>
        <w:rPr>
          <w:rFonts w:hint="eastAsia" w:ascii="仿宋" w:hAnsi="仿宋" w:eastAsia="仿宋" w:cs="仿宋"/>
          <w:color w:val="auto"/>
          <w:sz w:val="24"/>
          <w:szCs w:val="24"/>
          <w:highlight w:val="yellow"/>
          <w:lang w:val="en-US" w:eastAsia="zh-CN"/>
        </w:rPr>
        <w:t>5</w:t>
      </w:r>
      <w:r>
        <w:rPr>
          <w:rFonts w:hint="eastAsia" w:ascii="仿宋" w:hAnsi="仿宋" w:eastAsia="仿宋" w:cs="仿宋"/>
          <w:color w:val="auto"/>
          <w:sz w:val="24"/>
          <w:szCs w:val="24"/>
          <w:highlight w:val="yellow"/>
        </w:rPr>
        <w:t>年</w:t>
      </w:r>
      <w:r>
        <w:rPr>
          <w:rFonts w:hint="eastAsia" w:ascii="仿宋" w:hAnsi="仿宋" w:eastAsia="仿宋" w:cs="仿宋"/>
          <w:color w:val="auto"/>
          <w:sz w:val="24"/>
          <w:szCs w:val="24"/>
          <w:highlight w:val="yellow"/>
          <w:lang w:val="en-US" w:eastAsia="zh-CN"/>
        </w:rPr>
        <w:t>10</w:t>
      </w:r>
      <w:r>
        <w:rPr>
          <w:rFonts w:hint="eastAsia" w:ascii="仿宋" w:hAnsi="仿宋" w:eastAsia="仿宋" w:cs="仿宋"/>
          <w:color w:val="auto"/>
          <w:sz w:val="24"/>
          <w:szCs w:val="24"/>
          <w:highlight w:val="yellow"/>
        </w:rPr>
        <w:t>月</w:t>
      </w:r>
      <w:r>
        <w:rPr>
          <w:rFonts w:hint="eastAsia" w:ascii="仿宋" w:hAnsi="仿宋" w:eastAsia="仿宋" w:cs="仿宋"/>
          <w:color w:val="auto"/>
          <w:sz w:val="24"/>
          <w:szCs w:val="24"/>
          <w:highlight w:val="yellow"/>
          <w:lang w:val="en-US" w:eastAsia="zh-CN"/>
        </w:rPr>
        <w:t>31</w:t>
      </w:r>
      <w:r>
        <w:rPr>
          <w:rFonts w:hint="eastAsia" w:ascii="仿宋" w:hAnsi="仿宋" w:eastAsia="仿宋" w:cs="仿宋"/>
          <w:color w:val="auto"/>
          <w:sz w:val="24"/>
          <w:szCs w:val="24"/>
          <w:highlight w:val="yellow"/>
        </w:rPr>
        <w:t>日北京时间</w:t>
      </w:r>
      <w:r>
        <w:rPr>
          <w:rFonts w:hint="eastAsia" w:ascii="仿宋" w:hAnsi="仿宋" w:eastAsia="仿宋" w:cs="仿宋"/>
          <w:color w:val="auto"/>
          <w:sz w:val="24"/>
          <w:szCs w:val="24"/>
          <w:highlight w:val="yellow"/>
          <w:lang w:val="en-US" w:eastAsia="zh-CN"/>
        </w:rPr>
        <w:t>09:30</w:t>
      </w:r>
    </w:p>
    <w:p w14:paraId="4CFC8DB4">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1" w:name="_Toc65662726"/>
      <w:bookmarkStart w:id="12" w:name="_Toc20086"/>
      <w:bookmarkStart w:id="13" w:name="_Toc480466699"/>
      <w:r>
        <w:rPr>
          <w:rFonts w:hint="eastAsia" w:ascii="仿宋" w:hAnsi="仿宋" w:eastAsia="仿宋" w:cs="仿宋"/>
          <w:color w:val="auto"/>
          <w:sz w:val="24"/>
          <w:highlight w:val="none"/>
        </w:rPr>
        <w:t>五、其它有关规定</w:t>
      </w:r>
      <w:bookmarkEnd w:id="11"/>
      <w:bookmarkEnd w:id="12"/>
      <w:bookmarkEnd w:id="13"/>
    </w:p>
    <w:p w14:paraId="71B7D2C4">
      <w:pPr>
        <w:snapToGrid w:val="0"/>
        <w:spacing w:line="360" w:lineRule="auto"/>
        <w:ind w:firstLine="480" w:firstLineChars="200"/>
        <w:rPr>
          <w:rFonts w:hint="eastAsia" w:ascii="仿宋" w:hAnsi="仿宋" w:eastAsia="仿宋" w:cs="仿宋"/>
          <w:color w:val="auto"/>
          <w:sz w:val="24"/>
          <w:szCs w:val="24"/>
          <w:highlight w:val="none"/>
        </w:rPr>
      </w:pPr>
      <w:bookmarkStart w:id="14" w:name="_Toc480466700"/>
      <w:r>
        <w:rPr>
          <w:rFonts w:hint="eastAsia" w:ascii="仿宋" w:hAnsi="仿宋" w:eastAsia="仿宋" w:cs="仿宋"/>
          <w:color w:val="auto"/>
          <w:sz w:val="24"/>
          <w:szCs w:val="24"/>
          <w:highlight w:val="none"/>
        </w:rPr>
        <w:t>（一）单位负责人为同一人或者存在直接控股、管理关系的不同供应商，不得参加同一合同项下的采购活动，否则均为无效响应。</w:t>
      </w:r>
    </w:p>
    <w:p w14:paraId="7FD1EB4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（二）为采购项目提供整体设计、规范编制或者项目管理、监理、检测等服务的供应商，不得再参加该采购项目的其他采购活动。</w:t>
      </w:r>
    </w:p>
    <w:p w14:paraId="5C380D9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（三）本项目的澄清文件（如果有）一律在行采家</w:t>
      </w:r>
      <w:r>
        <w:rPr>
          <w:rFonts w:hint="eastAsia" w:ascii="仿宋" w:hAnsi="仿宋" w:eastAsia="仿宋" w:cs="仿宋"/>
          <w:color w:val="auto"/>
          <w:sz w:val="24"/>
          <w:szCs w:val="24"/>
          <w:highlight w:val="none"/>
          <w:lang w:val="en-US" w:eastAsia="zh-CN"/>
        </w:rPr>
        <w:t>平台</w:t>
      </w:r>
      <w:r>
        <w:rPr>
          <w:rFonts w:hint="eastAsia" w:ascii="仿宋" w:hAnsi="仿宋" w:eastAsia="仿宋" w:cs="仿宋"/>
          <w:color w:val="auto"/>
          <w:sz w:val="24"/>
          <w:szCs w:val="24"/>
          <w:highlight w:val="none"/>
        </w:rPr>
        <w:t>（https://www.gec123.com）上发布；无论供应商下载与否，均视同供应商已知晓本项目澄清文件（如果有）的内容。</w:t>
      </w:r>
    </w:p>
    <w:p w14:paraId="502406D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（四）超过响应文件截止时间递交的响应文件</w:t>
      </w:r>
      <w:r>
        <w:rPr>
          <w:rFonts w:hint="eastAsia" w:ascii="仿宋" w:hAnsi="仿宋" w:eastAsia="仿宋" w:cs="仿宋"/>
          <w:color w:val="auto"/>
          <w:sz w:val="24"/>
          <w:szCs w:val="24"/>
          <w:highlight w:val="none"/>
          <w:lang w:val="en-US" w:eastAsia="zh-CN"/>
        </w:rPr>
        <w:t>及样品</w:t>
      </w:r>
      <w:r>
        <w:rPr>
          <w:rFonts w:hint="eastAsia" w:ascii="仿宋" w:hAnsi="仿宋" w:eastAsia="仿宋" w:cs="仿宋"/>
          <w:color w:val="auto"/>
          <w:sz w:val="24"/>
          <w:szCs w:val="24"/>
          <w:highlight w:val="none"/>
        </w:rPr>
        <w:t>，恕不接收。</w:t>
      </w:r>
    </w:p>
    <w:p w14:paraId="40745AD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（五）磋商费用：无论磋商结果如何，供应商参与本项目磋商的所有费用均应由供应商自行承担。</w:t>
      </w:r>
    </w:p>
    <w:p w14:paraId="354D6CBF">
      <w:pP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（六）本项目不接受联合体参与磋商。</w:t>
      </w:r>
    </w:p>
    <w:p w14:paraId="2A837296">
      <w:pP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（七）本项目不接受合同分包。</w:t>
      </w:r>
    </w:p>
    <w:p w14:paraId="03A931EF">
      <w:pPr>
        <w:pStyle w:val="3"/>
        <w:adjustRightInd w:val="0"/>
        <w:snapToGrid w:val="0"/>
        <w:spacing w:before="0" w:after="0" w:line="360" w:lineRule="auto"/>
        <w:ind w:firstLine="482" w:firstLineChars="200"/>
        <w:rPr>
          <w:rFonts w:hint="eastAsia" w:ascii="仿宋" w:hAnsi="仿宋" w:eastAsia="仿宋" w:cs="仿宋"/>
          <w:color w:val="auto"/>
          <w:sz w:val="24"/>
          <w:highlight w:val="none"/>
          <w:lang w:val="en-US" w:eastAsia="zh-CN"/>
        </w:rPr>
      </w:pPr>
      <w:bookmarkStart w:id="15" w:name="_Toc65662727"/>
      <w:bookmarkStart w:id="16" w:name="_Toc14364"/>
      <w:r>
        <w:rPr>
          <w:rFonts w:hint="eastAsia" w:ascii="仿宋" w:hAnsi="仿宋" w:eastAsia="仿宋" w:cs="仿宋"/>
          <w:color w:val="auto"/>
          <w:sz w:val="24"/>
          <w:highlight w:val="none"/>
          <w:lang w:val="en-US" w:eastAsia="zh-CN"/>
        </w:rPr>
        <w:t>六、现场踏勘</w:t>
      </w:r>
    </w:p>
    <w:p w14:paraId="6ACC4D70">
      <w:pPr>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采购人不统一组织踏勘。</w:t>
      </w:r>
    </w:p>
    <w:p w14:paraId="6C5F0ED0">
      <w:pPr>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本次校服采购款式不变，只可做细节调整。供应商可自行前往学校踏勘具体样式。</w:t>
      </w:r>
    </w:p>
    <w:p w14:paraId="2264D437">
      <w:pPr>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供应商自行前往学校踏勘，</w:t>
      </w:r>
      <w:r>
        <w:rPr>
          <w:rFonts w:hint="eastAsia" w:ascii="仿宋" w:hAnsi="仿宋" w:eastAsia="仿宋" w:cs="仿宋"/>
          <w:color w:val="auto"/>
          <w:sz w:val="24"/>
          <w:szCs w:val="24"/>
          <w:highlight w:val="none"/>
        </w:rPr>
        <w:t>不管供应商踏勘与否，均视作供应商已了解本项目的所有内容。</w:t>
      </w:r>
    </w:p>
    <w:p w14:paraId="6B59E7FC">
      <w:pPr>
        <w:snapToGrid w:val="0"/>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踏勘时间：递交响应文件截止日前。</w:t>
      </w:r>
    </w:p>
    <w:p w14:paraId="66774F33">
      <w:pPr>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踏勘地点：</w:t>
      </w:r>
      <w:r>
        <w:rPr>
          <w:rFonts w:hint="eastAsia" w:ascii="仿宋" w:hAnsi="仿宋" w:eastAsia="仿宋" w:cs="仿宋"/>
          <w:color w:val="auto"/>
          <w:sz w:val="24"/>
          <w:szCs w:val="24"/>
          <w:highlight w:val="none"/>
          <w:lang w:eastAsia="zh-CN"/>
        </w:rPr>
        <w:t>重庆第二十三中学校</w:t>
      </w:r>
      <w:r>
        <w:rPr>
          <w:rFonts w:hint="eastAsia" w:ascii="仿宋" w:hAnsi="仿宋" w:eastAsia="仿宋" w:cs="仿宋"/>
          <w:color w:val="auto"/>
          <w:sz w:val="24"/>
          <w:szCs w:val="24"/>
          <w:highlight w:val="none"/>
          <w:lang w:val="en-US" w:eastAsia="zh-CN"/>
        </w:rPr>
        <w:t>前门门卫室</w:t>
      </w:r>
    </w:p>
    <w:p w14:paraId="6262CC6D">
      <w:pPr>
        <w:snapToGrid w:val="0"/>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踏勘联系人：廖老师，电话：13368395390</w:t>
      </w:r>
    </w:p>
    <w:p w14:paraId="1D7ABBF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注：1.供应商踏勘现场发生的费用自理。</w:t>
      </w:r>
    </w:p>
    <w:p w14:paraId="2CACFB9E">
      <w:pPr>
        <w:numPr>
          <w:ilvl w:val="0"/>
          <w:numId w:val="0"/>
        </w:num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自行负责在踏勘现场中可能发生的人身安全和财产损失。</w:t>
      </w:r>
    </w:p>
    <w:p w14:paraId="1814E12C">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、联系方式</w:t>
      </w:r>
      <w:bookmarkEnd w:id="14"/>
      <w:bookmarkEnd w:id="15"/>
      <w:bookmarkEnd w:id="16"/>
    </w:p>
    <w:p w14:paraId="20625F27">
      <w:pPr>
        <w:snapToGrid w:val="0"/>
        <w:spacing w:line="360" w:lineRule="auto"/>
        <w:ind w:firstLine="48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（一）采购人：</w:t>
      </w:r>
      <w:r>
        <w:rPr>
          <w:rFonts w:hint="eastAsia" w:ascii="仿宋" w:hAnsi="仿宋" w:eastAsia="仿宋" w:cs="仿宋"/>
          <w:color w:val="auto"/>
          <w:sz w:val="24"/>
          <w:szCs w:val="24"/>
          <w:highlight w:val="none"/>
          <w:lang w:eastAsia="zh-CN"/>
        </w:rPr>
        <w:t>重庆第二十三中学校</w:t>
      </w:r>
      <w:r>
        <w:rPr>
          <w:rFonts w:hint="eastAsia" w:ascii="仿宋" w:hAnsi="仿宋" w:eastAsia="仿宋" w:cs="仿宋"/>
          <w:color w:val="auto"/>
          <w:sz w:val="24"/>
          <w:szCs w:val="24"/>
          <w:highlight w:val="none"/>
          <w:lang w:val="en-US" w:eastAsia="zh-CN"/>
        </w:rPr>
        <w:t xml:space="preserve"> </w:t>
      </w:r>
    </w:p>
    <w:p w14:paraId="7A0247C0">
      <w:pPr>
        <w:snapToGrid w:val="0"/>
        <w:spacing w:line="360" w:lineRule="auto"/>
        <w:ind w:firstLine="48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廖老师</w:t>
      </w:r>
    </w:p>
    <w:p w14:paraId="17A88180">
      <w:pPr>
        <w:snapToGrid w:val="0"/>
        <w:spacing w:line="360" w:lineRule="auto"/>
        <w:ind w:firstLine="48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lang w:val="en-US" w:eastAsia="zh-CN"/>
        </w:rPr>
        <w:t>13368395390</w:t>
      </w:r>
    </w:p>
    <w:p w14:paraId="13AC336F">
      <w:pPr>
        <w:snapToGrid w:val="0"/>
        <w:spacing w:line="360" w:lineRule="auto"/>
        <w:ind w:firstLine="48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址：重庆市北碚区澄江镇澄江路3巷5号</w:t>
      </w:r>
    </w:p>
    <w:p w14:paraId="7577747E">
      <w:pPr>
        <w:snapToGrid w:val="0"/>
        <w:spacing w:line="360" w:lineRule="auto"/>
        <w:ind w:firstLine="48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（二）采购代理机构：</w:t>
      </w:r>
      <w:r>
        <w:rPr>
          <w:rFonts w:hint="eastAsia" w:ascii="仿宋" w:hAnsi="仿宋" w:eastAsia="仿宋" w:cs="仿宋"/>
          <w:color w:val="auto"/>
          <w:sz w:val="24"/>
          <w:szCs w:val="24"/>
          <w:highlight w:val="none"/>
          <w:lang w:eastAsia="zh-CN"/>
        </w:rPr>
        <w:t>联投项目管理（集团）有限公司</w:t>
      </w:r>
    </w:p>
    <w:p w14:paraId="473E4A01">
      <w:pPr>
        <w:snapToGrid w:val="0"/>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联系人：徐老师</w:t>
      </w:r>
    </w:p>
    <w:p w14:paraId="06598DF2">
      <w:pPr>
        <w:snapToGrid w:val="0"/>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话：023-63944063  13389671158</w:t>
      </w:r>
    </w:p>
    <w:p w14:paraId="4606224C">
      <w:pPr>
        <w:snapToGrid w:val="0"/>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址：重庆市两江新区星光五路三号中兴科技园南门西希云谷C座1-1</w:t>
      </w:r>
    </w:p>
    <w:p w14:paraId="4EF786E2">
      <w:pPr>
        <w:snapToGrid w:val="0"/>
        <w:spacing w:line="360" w:lineRule="auto"/>
        <w:ind w:firstLine="480"/>
        <w:rPr>
          <w:rFonts w:hint="eastAsia"/>
          <w:color w:val="auto"/>
          <w:highlight w:val="none"/>
        </w:rPr>
      </w:pPr>
      <w:r>
        <w:rPr>
          <w:rFonts w:hint="eastAsia" w:ascii="仿宋" w:hAnsi="仿宋" w:eastAsia="仿宋" w:cs="仿宋"/>
          <w:color w:val="auto"/>
          <w:sz w:val="24"/>
          <w:szCs w:val="24"/>
          <w:highlight w:val="none"/>
        </w:rPr>
        <w:t>意见建议：陈女士 联系电话：028-67873777转1、17761049664</w:t>
      </w:r>
    </w:p>
    <w:p w14:paraId="7C024867">
      <w:pPr>
        <w:snapToGrid w:val="0"/>
        <w:spacing w:line="360" w:lineRule="auto"/>
        <w:ind w:firstLine="480" w:firstLineChars="200"/>
        <w:rPr>
          <w:rFonts w:hint="eastAsia" w:ascii="仿宋" w:hAnsi="仿宋" w:eastAsia="仿宋" w:cs="仿宋"/>
          <w:color w:val="auto"/>
          <w:sz w:val="24"/>
          <w:szCs w:val="24"/>
          <w:highlight w:val="none"/>
        </w:rPr>
      </w:pPr>
    </w:p>
    <w:p w14:paraId="4CBD907A">
      <w:pPr>
        <w:pStyle w:val="58"/>
        <w:rPr>
          <w:rFonts w:hint="eastAsia"/>
          <w:color w:val="auto"/>
          <w:highlight w:val="none"/>
        </w:rPr>
        <w:sectPr>
          <w:footerReference r:id="rId7" w:type="default"/>
          <w:footerReference r:id="rId8" w:type="even"/>
          <w:pgSz w:w="11907" w:h="16840"/>
          <w:pgMar w:top="1134" w:right="1191" w:bottom="1134" w:left="1304" w:header="964" w:footer="992" w:gutter="0"/>
          <w:pgNumType w:fmt="numberInDash" w:start="1"/>
          <w:cols w:space="720" w:num="1"/>
          <w:docGrid w:linePitch="312" w:charSpace="0"/>
        </w:sectPr>
      </w:pPr>
    </w:p>
    <w:p w14:paraId="111C40BE">
      <w:pPr>
        <w:pStyle w:val="2"/>
        <w:bidi w:val="0"/>
        <w:spacing w:line="360" w:lineRule="auto"/>
        <w:jc w:val="center"/>
        <w:outlineLvl w:val="0"/>
        <w:rPr>
          <w:rFonts w:hint="eastAsia" w:ascii="仿宋" w:hAnsi="仿宋" w:eastAsia="仿宋" w:cs="仿宋"/>
          <w:b/>
          <w:bCs/>
          <w:color w:val="auto"/>
          <w:sz w:val="36"/>
          <w:szCs w:val="22"/>
          <w:highlight w:val="none"/>
        </w:rPr>
      </w:pPr>
      <w:bookmarkStart w:id="17" w:name="_Toc25077"/>
      <w:r>
        <w:rPr>
          <w:rFonts w:hint="eastAsia" w:ascii="仿宋" w:hAnsi="仿宋" w:eastAsia="仿宋" w:cs="仿宋"/>
          <w:b/>
          <w:bCs/>
          <w:color w:val="auto"/>
          <w:sz w:val="36"/>
          <w:szCs w:val="22"/>
          <w:highlight w:val="none"/>
          <w:lang w:val="en-US" w:eastAsia="zh-CN"/>
        </w:rPr>
        <w:t xml:space="preserve">第二篇 </w:t>
      </w:r>
      <w:r>
        <w:rPr>
          <w:rFonts w:hint="eastAsia" w:ascii="仿宋" w:hAnsi="仿宋" w:eastAsia="仿宋" w:cs="仿宋"/>
          <w:b/>
          <w:bCs/>
          <w:color w:val="auto"/>
          <w:sz w:val="36"/>
          <w:szCs w:val="22"/>
          <w:highlight w:val="none"/>
        </w:rPr>
        <w:t>项目</w:t>
      </w:r>
      <w:r>
        <w:rPr>
          <w:rFonts w:hint="eastAsia" w:ascii="仿宋" w:hAnsi="仿宋" w:eastAsia="仿宋" w:cs="仿宋"/>
          <w:b/>
          <w:bCs/>
          <w:color w:val="auto"/>
          <w:sz w:val="36"/>
          <w:szCs w:val="22"/>
          <w:highlight w:val="none"/>
          <w:lang w:val="en-US" w:eastAsia="zh-CN"/>
        </w:rPr>
        <w:t>技术（质量）</w:t>
      </w:r>
      <w:r>
        <w:rPr>
          <w:rFonts w:hint="eastAsia" w:ascii="仿宋" w:hAnsi="仿宋" w:eastAsia="仿宋" w:cs="仿宋"/>
          <w:b/>
          <w:bCs/>
          <w:color w:val="auto"/>
          <w:sz w:val="36"/>
          <w:szCs w:val="22"/>
          <w:highlight w:val="none"/>
        </w:rPr>
        <w:t>需求</w:t>
      </w:r>
      <w:bookmarkEnd w:id="17"/>
    </w:p>
    <w:p w14:paraId="053202AC">
      <w:pPr>
        <w:spacing w:line="360" w:lineRule="auto"/>
        <w:ind w:firstLine="480" w:firstLineChars="200"/>
        <w:rPr>
          <w:rFonts w:hint="eastAsia"/>
          <w:color w:val="auto"/>
          <w:highlight w:val="none"/>
        </w:rPr>
      </w:pPr>
      <w:bookmarkStart w:id="18" w:name="_Toc76462325"/>
      <w:r>
        <w:rPr>
          <w:rFonts w:hint="eastAsia" w:ascii="仿宋" w:hAnsi="仿宋" w:eastAsia="仿宋" w:cs="仿宋"/>
          <w:color w:val="auto"/>
          <w:sz w:val="24"/>
          <w:szCs w:val="24"/>
          <w:highlight w:val="none"/>
          <w:lang w:val="zh-CN"/>
        </w:rPr>
        <w:t>“※”标注的需求为符合性审查中的实质性要求，响应文件若不满足按无效响应处理。</w:t>
      </w:r>
      <w:bookmarkEnd w:id="18"/>
      <w:bookmarkStart w:id="19" w:name="_Toc139879800"/>
      <w:bookmarkStart w:id="20" w:name="_Toc12789058"/>
    </w:p>
    <w:bookmarkEnd w:id="19"/>
    <w:p w14:paraId="1BEF9868">
      <w:pPr>
        <w:pStyle w:val="3"/>
        <w:spacing w:before="0" w:after="0" w:line="360" w:lineRule="auto"/>
        <w:outlineLvl w:val="1"/>
        <w:rPr>
          <w:rFonts w:hint="eastAsia" w:ascii="仿宋" w:hAnsi="仿宋" w:eastAsia="仿宋" w:cs="仿宋"/>
          <w:b/>
          <w:bCs/>
          <w:color w:val="auto"/>
          <w:sz w:val="24"/>
          <w:szCs w:val="24"/>
          <w:highlight w:val="none"/>
          <w:lang w:val="en-US" w:eastAsia="zh-CN"/>
        </w:rPr>
      </w:pPr>
      <w:bookmarkStart w:id="21" w:name="_Toc22047738"/>
      <w:bookmarkStart w:id="22" w:name="_Toc20542"/>
      <w:bookmarkStart w:id="23" w:name="_Toc28304"/>
      <w:bookmarkStart w:id="24" w:name="_Toc11177"/>
      <w:bookmarkStart w:id="25" w:name="_Toc14890"/>
      <w:bookmarkStart w:id="26" w:name="_Toc28421"/>
      <w:bookmarkStart w:id="27" w:name="_Toc17211"/>
      <w:r>
        <w:rPr>
          <w:rFonts w:hint="eastAsia" w:ascii="仿宋" w:hAnsi="仿宋" w:eastAsia="仿宋" w:cs="仿宋"/>
          <w:b/>
          <w:bCs/>
          <w:color w:val="auto"/>
          <w:sz w:val="24"/>
          <w:szCs w:val="24"/>
          <w:highlight w:val="none"/>
          <w:lang w:val="en-US" w:eastAsia="zh-CN"/>
        </w:rPr>
        <w:t>※一、</w:t>
      </w:r>
      <w:bookmarkEnd w:id="21"/>
      <w:r>
        <w:rPr>
          <w:rFonts w:hint="eastAsia" w:ascii="仿宋" w:hAnsi="仿宋" w:eastAsia="仿宋" w:cs="仿宋"/>
          <w:b/>
          <w:bCs/>
          <w:color w:val="auto"/>
          <w:sz w:val="24"/>
          <w:szCs w:val="24"/>
          <w:highlight w:val="none"/>
          <w:lang w:val="en-US" w:eastAsia="zh-CN"/>
        </w:rPr>
        <w:t>项目</w:t>
      </w:r>
      <w:bookmarkEnd w:id="22"/>
      <w:bookmarkEnd w:id="23"/>
      <w:bookmarkEnd w:id="24"/>
      <w:bookmarkEnd w:id="25"/>
      <w:r>
        <w:rPr>
          <w:rFonts w:hint="eastAsia" w:ascii="仿宋" w:hAnsi="仿宋" w:eastAsia="仿宋" w:cs="仿宋"/>
          <w:b/>
          <w:bCs/>
          <w:color w:val="auto"/>
          <w:sz w:val="24"/>
          <w:szCs w:val="24"/>
          <w:highlight w:val="none"/>
          <w:lang w:val="en-US" w:eastAsia="zh-CN"/>
        </w:rPr>
        <w:t>需求</w:t>
      </w:r>
      <w:bookmarkEnd w:id="26"/>
      <w:bookmarkEnd w:id="27"/>
    </w:p>
    <w:p w14:paraId="2A33E142">
      <w:pPr>
        <w:spacing w:line="360" w:lineRule="auto"/>
        <w:ind w:firstLine="480" w:firstLineChars="200"/>
        <w:outlineLvl w:val="9"/>
        <w:rPr>
          <w:rFonts w:hint="eastAsia" w:ascii="仿宋" w:hAnsi="仿宋" w:eastAsia="仿宋" w:cs="仿宋"/>
          <w:b w:val="0"/>
          <w:bCs/>
          <w:color w:val="auto"/>
          <w:sz w:val="24"/>
          <w:szCs w:val="24"/>
          <w:highlight w:val="none"/>
        </w:rPr>
      </w:pPr>
      <w:bookmarkStart w:id="28" w:name="_Toc7381"/>
      <w:bookmarkStart w:id="29" w:name="_Toc24494"/>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一</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招标项目一览表</w:t>
      </w:r>
      <w:bookmarkEnd w:id="28"/>
      <w:bookmarkEnd w:id="29"/>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4136"/>
        <w:gridCol w:w="1925"/>
        <w:gridCol w:w="2573"/>
      </w:tblGrid>
      <w:tr w14:paraId="5F2C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13" w:type="dxa"/>
            <w:noWrap w:val="0"/>
            <w:vAlign w:val="center"/>
          </w:tcPr>
          <w:p w14:paraId="1339F0B8">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4136" w:type="dxa"/>
            <w:noWrap w:val="0"/>
            <w:vAlign w:val="center"/>
          </w:tcPr>
          <w:p w14:paraId="57C82107">
            <w:pPr>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采购标的</w:t>
            </w:r>
          </w:p>
        </w:tc>
        <w:tc>
          <w:tcPr>
            <w:tcW w:w="1925" w:type="dxa"/>
            <w:noWrap w:val="0"/>
            <w:vAlign w:val="center"/>
          </w:tcPr>
          <w:p w14:paraId="718332DF">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数量/单位</w:t>
            </w:r>
          </w:p>
        </w:tc>
        <w:tc>
          <w:tcPr>
            <w:tcW w:w="2573" w:type="dxa"/>
            <w:noWrap w:val="0"/>
            <w:vAlign w:val="center"/>
          </w:tcPr>
          <w:p w14:paraId="4C32F3D7">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3930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713" w:type="dxa"/>
            <w:noWrap w:val="0"/>
            <w:vAlign w:val="center"/>
          </w:tcPr>
          <w:p w14:paraId="25122684">
            <w:pPr>
              <w:spacing w:line="400" w:lineRule="exact"/>
              <w:outlineLvl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136" w:type="dxa"/>
            <w:noWrap w:val="0"/>
            <w:vAlign w:val="center"/>
          </w:tcPr>
          <w:p w14:paraId="519A18E6">
            <w:pPr>
              <w:spacing w:line="400" w:lineRule="exact"/>
              <w:outlineLvl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一套包含：</w:t>
            </w:r>
          </w:p>
          <w:p w14:paraId="7D955360">
            <w:pPr>
              <w:spacing w:line="400" w:lineRule="exact"/>
              <w:outlineLvl w:val="2"/>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1.夏季套装（短袖2件，九分裤一条），2.防寒服套装（外壳一件，卫衣一件，冬季运动裤一条）</w:t>
            </w:r>
          </w:p>
        </w:tc>
        <w:tc>
          <w:tcPr>
            <w:tcW w:w="1925" w:type="dxa"/>
            <w:noWrap w:val="0"/>
            <w:vAlign w:val="center"/>
          </w:tcPr>
          <w:p w14:paraId="12D4A06C">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1批</w:t>
            </w:r>
          </w:p>
        </w:tc>
        <w:tc>
          <w:tcPr>
            <w:tcW w:w="2573" w:type="dxa"/>
            <w:noWrap w:val="0"/>
            <w:vAlign w:val="center"/>
          </w:tcPr>
          <w:p w14:paraId="3CBE4F44">
            <w:pPr>
              <w:spacing w:line="400" w:lineRule="exact"/>
              <w:outlineLvl w:val="2"/>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本次为采购人2025级初高中新生校服，预估采购400套，</w:t>
            </w:r>
            <w:r>
              <w:rPr>
                <w:rFonts w:hint="eastAsia" w:ascii="仿宋" w:hAnsi="仿宋" w:eastAsia="仿宋" w:cs="仿宋"/>
                <w:color w:val="auto"/>
                <w:sz w:val="24"/>
                <w:szCs w:val="24"/>
                <w:highlight w:val="none"/>
              </w:rPr>
              <w:t>具体采购数量以家长自愿购买数量为准。</w:t>
            </w:r>
          </w:p>
        </w:tc>
      </w:tr>
    </w:tbl>
    <w:p w14:paraId="43C6B34F">
      <w:pPr>
        <w:spacing w:line="360" w:lineRule="auto"/>
        <w:ind w:firstLine="480" w:firstLineChars="200"/>
        <w:outlineLvl w:val="9"/>
        <w:rPr>
          <w:rFonts w:hint="eastAsia" w:ascii="仿宋" w:hAnsi="仿宋" w:eastAsia="仿宋" w:cs="仿宋"/>
          <w:color w:val="auto"/>
          <w:sz w:val="24"/>
          <w:szCs w:val="24"/>
          <w:highlight w:val="none"/>
          <w:lang w:val="en-US" w:eastAsia="zh-CN"/>
        </w:rPr>
      </w:pPr>
      <w:bookmarkStart w:id="30" w:name="_Toc23975"/>
      <w:bookmarkStart w:id="31" w:name="_Toc28205"/>
      <w:bookmarkStart w:id="32" w:name="_Toc18800"/>
      <w:bookmarkStart w:id="33" w:name="_Toc18903"/>
      <w:bookmarkStart w:id="34" w:name="_Toc695"/>
      <w:bookmarkStart w:id="35" w:name="_Toc32262"/>
      <w:bookmarkStart w:id="36" w:name="_Toc5751"/>
      <w:bookmarkStart w:id="37" w:name="_Toc15696"/>
      <w:bookmarkStart w:id="38" w:name="_Toc27067"/>
      <w:bookmarkStart w:id="39" w:name="_Toc10143"/>
      <w:bookmarkStart w:id="40" w:name="_Toc75793506"/>
      <w:bookmarkStart w:id="41" w:name="_Toc21817"/>
      <w:bookmarkStart w:id="42" w:name="_Toc26453"/>
      <w:bookmarkStart w:id="43" w:name="_Toc12568"/>
      <w:r>
        <w:rPr>
          <w:rFonts w:hint="eastAsia" w:ascii="仿宋" w:hAnsi="仿宋" w:eastAsia="仿宋" w:cs="仿宋"/>
          <w:color w:val="auto"/>
          <w:sz w:val="24"/>
          <w:szCs w:val="24"/>
          <w:highlight w:val="none"/>
          <w:lang w:eastAsia="zh-CN"/>
        </w:rPr>
        <w:t>本次项目为</w:t>
      </w:r>
      <w:r>
        <w:rPr>
          <w:rFonts w:hint="eastAsia" w:ascii="仿宋" w:hAnsi="仿宋" w:eastAsia="仿宋" w:cs="仿宋"/>
          <w:color w:val="auto"/>
          <w:sz w:val="24"/>
          <w:szCs w:val="24"/>
          <w:highlight w:val="none"/>
          <w:lang w:val="en-US" w:eastAsia="zh-CN"/>
        </w:rPr>
        <w:t>重庆第二十三中学校校服采购，因校服为学生自愿购买，具体的需求以实际订购数量为准，不限制购买一整套服装。</w:t>
      </w:r>
    </w:p>
    <w:p w14:paraId="221C375E">
      <w:pPr>
        <w:pStyle w:val="3"/>
        <w:spacing w:before="0" w:after="0" w:line="360" w:lineRule="auto"/>
        <w:outlineLvl w:val="1"/>
        <w:rPr>
          <w:rFonts w:hint="eastAsia" w:ascii="仿宋" w:hAnsi="仿宋" w:eastAsia="仿宋" w:cs="仿宋"/>
          <w:b/>
          <w:bCs/>
          <w:color w:val="auto"/>
          <w:sz w:val="24"/>
          <w:szCs w:val="24"/>
          <w:highlight w:val="none"/>
          <w:lang w:val="en-US" w:eastAsia="zh-CN"/>
        </w:rPr>
      </w:pPr>
      <w:bookmarkStart w:id="44" w:name="_Toc2412"/>
      <w:bookmarkStart w:id="45" w:name="_Toc9535"/>
      <w:bookmarkStart w:id="46" w:name="_Toc13636"/>
      <w:r>
        <w:rPr>
          <w:rFonts w:hint="eastAsia" w:ascii="仿宋" w:hAnsi="仿宋" w:eastAsia="仿宋" w:cs="仿宋"/>
          <w:b/>
          <w:bCs/>
          <w:color w:val="auto"/>
          <w:sz w:val="24"/>
          <w:szCs w:val="24"/>
          <w:highlight w:val="none"/>
          <w:lang w:val="en-US" w:eastAsia="zh-CN"/>
        </w:rPr>
        <w:t>※二、项目技术</w:t>
      </w:r>
      <w:r>
        <w:rPr>
          <w:rFonts w:hint="eastAsia" w:ascii="仿宋" w:hAnsi="仿宋" w:eastAsia="仿宋" w:cs="仿宋"/>
          <w:b/>
          <w:color w:val="auto"/>
          <w:sz w:val="24"/>
          <w:szCs w:val="24"/>
          <w:highlight w:val="none"/>
          <w:lang w:val="en-US" w:eastAsia="zh-CN"/>
        </w:rPr>
        <w:t>需求</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14B9F7C7">
      <w:pPr>
        <w:numPr>
          <w:ilvl w:val="0"/>
          <w:numId w:val="0"/>
        </w:numPr>
        <w:spacing w:line="360" w:lineRule="auto"/>
        <w:ind w:firstLine="480" w:firstLineChars="200"/>
        <w:outlineLvl w:val="2"/>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（一）</w:t>
      </w:r>
      <w:r>
        <w:rPr>
          <w:rFonts w:hint="eastAsia" w:ascii="仿宋" w:hAnsi="仿宋" w:eastAsia="仿宋" w:cs="仿宋"/>
          <w:color w:val="auto"/>
          <w:sz w:val="24"/>
          <w:szCs w:val="24"/>
          <w:highlight w:val="none"/>
          <w:lang w:eastAsia="zh-CN"/>
        </w:rPr>
        <w:t>采购清单及参数要求</w:t>
      </w:r>
    </w:p>
    <w:tbl>
      <w:tblPr>
        <w:tblStyle w:val="6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1137"/>
        <w:gridCol w:w="1000"/>
        <w:gridCol w:w="1250"/>
        <w:gridCol w:w="2950"/>
        <w:gridCol w:w="874"/>
        <w:gridCol w:w="875"/>
        <w:gridCol w:w="842"/>
      </w:tblGrid>
      <w:tr w14:paraId="715A9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8854" w:type="dxa"/>
            <w:gridSpan w:val="7"/>
            <w:tcBorders>
              <w:top w:val="nil"/>
              <w:left w:val="nil"/>
              <w:bottom w:val="nil"/>
              <w:right w:val="nil"/>
            </w:tcBorders>
            <w:shd w:val="clear" w:color="auto" w:fill="auto"/>
            <w:noWrap/>
            <w:vAlign w:val="center"/>
          </w:tcPr>
          <w:p w14:paraId="6B74D0B1">
            <w:pPr>
              <w:keepNext w:val="0"/>
              <w:keepLines w:val="0"/>
              <w:widowControl/>
              <w:suppressLineNumbers w:val="0"/>
              <w:jc w:val="center"/>
              <w:textAlignment w:val="center"/>
              <w:rPr>
                <w:rFonts w:hint="eastAsia" w:ascii="仿宋" w:hAnsi="仿宋" w:eastAsia="仿宋" w:cs="仿宋"/>
                <w:b/>
                <w:bCs/>
                <w:i w:val="0"/>
                <w:iCs w:val="0"/>
                <w:color w:val="auto"/>
                <w:kern w:val="0"/>
                <w:sz w:val="36"/>
                <w:szCs w:val="36"/>
                <w:highlight w:val="none"/>
                <w:u w:val="none"/>
                <w:lang w:val="en-US" w:eastAsia="zh-CN" w:bidi="ar"/>
              </w:rPr>
            </w:pPr>
            <w:r>
              <w:rPr>
                <w:rFonts w:hint="eastAsia" w:ascii="仿宋" w:hAnsi="仿宋" w:eastAsia="仿宋" w:cs="仿宋"/>
                <w:b/>
                <w:bCs/>
                <w:i w:val="0"/>
                <w:iCs w:val="0"/>
                <w:color w:val="auto"/>
                <w:kern w:val="0"/>
                <w:sz w:val="36"/>
                <w:szCs w:val="36"/>
                <w:highlight w:val="none"/>
                <w:u w:val="none"/>
                <w:lang w:val="en-US" w:eastAsia="zh-CN" w:bidi="ar"/>
              </w:rPr>
              <w:t>校  服  参  数  表</w:t>
            </w:r>
          </w:p>
        </w:tc>
        <w:tc>
          <w:tcPr>
            <w:tcW w:w="842" w:type="dxa"/>
            <w:tcBorders>
              <w:top w:val="nil"/>
              <w:left w:val="nil"/>
              <w:bottom w:val="nil"/>
              <w:right w:val="nil"/>
            </w:tcBorders>
            <w:shd w:val="clear" w:color="auto" w:fill="auto"/>
            <w:noWrap/>
            <w:vAlign w:val="center"/>
          </w:tcPr>
          <w:p w14:paraId="1E36BB2E">
            <w:pPr>
              <w:keepNext w:val="0"/>
              <w:keepLines w:val="0"/>
              <w:widowControl/>
              <w:suppressLineNumbers w:val="0"/>
              <w:jc w:val="center"/>
              <w:textAlignment w:val="center"/>
              <w:rPr>
                <w:rFonts w:hint="eastAsia" w:ascii="仿宋" w:hAnsi="仿宋" w:eastAsia="仿宋" w:cs="仿宋"/>
                <w:b/>
                <w:bCs/>
                <w:i w:val="0"/>
                <w:iCs w:val="0"/>
                <w:color w:val="auto"/>
                <w:kern w:val="0"/>
                <w:sz w:val="36"/>
                <w:szCs w:val="36"/>
                <w:highlight w:val="none"/>
                <w:u w:val="none"/>
                <w:lang w:val="en-US" w:eastAsia="zh-CN" w:bidi="ar"/>
              </w:rPr>
            </w:pPr>
          </w:p>
        </w:tc>
      </w:tr>
      <w:tr w14:paraId="6D8B0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23C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3A3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套系</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DFE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品名</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8896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成分</w:t>
            </w:r>
          </w:p>
        </w:tc>
        <w:tc>
          <w:tcPr>
            <w:tcW w:w="2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8A2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参考图片（以学校样衣款式为准）</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00E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数量</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9889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单价限价（元）</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A6DA">
            <w:pPr>
              <w:keepNext w:val="0"/>
              <w:keepLines w:val="0"/>
              <w:widowControl/>
              <w:suppressLineNumbers w:val="0"/>
              <w:jc w:val="center"/>
              <w:textAlignment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合计（元）</w:t>
            </w:r>
          </w:p>
        </w:tc>
      </w:tr>
      <w:tr w14:paraId="28EBD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4"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BA82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2F61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夏季套装</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4A1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短袖</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C97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棉60%±5%；</w:t>
            </w:r>
          </w:p>
          <w:p w14:paraId="6E50652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聚酯纤维40%±5%</w:t>
            </w:r>
          </w:p>
        </w:tc>
        <w:tc>
          <w:tcPr>
            <w:tcW w:w="2950" w:type="dxa"/>
            <w:vMerge w:val="restart"/>
            <w:tcBorders>
              <w:top w:val="single" w:color="000000" w:sz="4" w:space="0"/>
              <w:left w:val="single" w:color="000000" w:sz="4" w:space="0"/>
              <w:right w:val="single" w:color="000000" w:sz="4" w:space="0"/>
            </w:tcBorders>
            <w:shd w:val="clear" w:color="auto" w:fill="auto"/>
            <w:noWrap/>
            <w:vAlign w:val="center"/>
          </w:tcPr>
          <w:p w14:paraId="536A053D">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sz w:val="28"/>
                <w:szCs w:val="28"/>
                <w:highlight w:val="none"/>
                <w:lang w:eastAsia="zh-CN"/>
              </w:rPr>
              <w:drawing>
                <wp:inline distT="0" distB="0" distL="114300" distR="114300">
                  <wp:extent cx="1326515" cy="1831340"/>
                  <wp:effectExtent l="0" t="0" r="6985" b="16510"/>
                  <wp:docPr id="4" name="图片 1" descr="IMG_20250902_140613_edit_124107175432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0250902_140613_edit_1241071754326250"/>
                          <pic:cNvPicPr>
                            <a:picLocks noChangeAspect="1"/>
                          </pic:cNvPicPr>
                        </pic:nvPicPr>
                        <pic:blipFill>
                          <a:blip r:embed="rId13"/>
                          <a:stretch>
                            <a:fillRect/>
                          </a:stretch>
                        </pic:blipFill>
                        <pic:spPr>
                          <a:xfrm>
                            <a:off x="0" y="0"/>
                            <a:ext cx="1326515" cy="1831340"/>
                          </a:xfrm>
                          <a:prstGeom prst="rect">
                            <a:avLst/>
                          </a:prstGeom>
                          <a:noFill/>
                          <a:ln>
                            <a:noFill/>
                          </a:ln>
                        </pic:spPr>
                      </pic:pic>
                    </a:graphicData>
                  </a:graphic>
                </wp:inline>
              </w:drawing>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CFF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2件</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B66B">
            <w:pPr>
              <w:keepNext w:val="0"/>
              <w:keepLines w:val="0"/>
              <w:widowControl/>
              <w:suppressLineNumbers w:val="0"/>
              <w:jc w:val="center"/>
              <w:textAlignment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80</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C645">
            <w:pPr>
              <w:keepNext w:val="0"/>
              <w:keepLines w:val="0"/>
              <w:widowControl/>
              <w:suppressLineNumbers w:val="0"/>
              <w:jc w:val="center"/>
              <w:textAlignment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160</w:t>
            </w:r>
          </w:p>
        </w:tc>
      </w:tr>
      <w:tr w14:paraId="0D018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9"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8638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3C92E">
            <w:pPr>
              <w:jc w:val="left"/>
              <w:rPr>
                <w:rFonts w:hint="eastAsia" w:ascii="仿宋" w:hAnsi="仿宋" w:eastAsia="仿宋" w:cs="仿宋"/>
                <w:i w:val="0"/>
                <w:iCs w:val="0"/>
                <w:color w:val="auto"/>
                <w:sz w:val="21"/>
                <w:szCs w:val="21"/>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EC6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九分裤</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111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棉60%±5%，</w:t>
            </w:r>
          </w:p>
          <w:p w14:paraId="10CEDFF7">
            <w:pPr>
              <w:pStyle w:val="22"/>
              <w:rPr>
                <w:rFonts w:hint="eastAsia" w:ascii="仿宋" w:hAnsi="仿宋" w:eastAsia="仿宋" w:cs="仿宋"/>
                <w:highlight w:val="none"/>
                <w:lang w:val="en-US" w:eastAsia="zh-CN"/>
              </w:rPr>
            </w:pPr>
            <w:r>
              <w:rPr>
                <w:rFonts w:hint="eastAsia" w:ascii="仿宋" w:hAnsi="仿宋" w:eastAsia="仿宋" w:cs="仿宋"/>
                <w:i w:val="0"/>
                <w:iCs w:val="0"/>
                <w:color w:val="auto"/>
                <w:sz w:val="21"/>
                <w:szCs w:val="21"/>
                <w:highlight w:val="none"/>
                <w:u w:val="none"/>
                <w:lang w:val="en-US" w:eastAsia="zh-CN"/>
              </w:rPr>
              <w:t>聚酯纤维40%±5%</w:t>
            </w:r>
          </w:p>
        </w:tc>
        <w:tc>
          <w:tcPr>
            <w:tcW w:w="2950" w:type="dxa"/>
            <w:vMerge w:val="continue"/>
            <w:tcBorders>
              <w:left w:val="single" w:color="000000" w:sz="4" w:space="0"/>
              <w:bottom w:val="single" w:color="000000" w:sz="4" w:space="0"/>
              <w:right w:val="single" w:color="000000" w:sz="4" w:space="0"/>
            </w:tcBorders>
            <w:shd w:val="clear" w:color="auto" w:fill="auto"/>
            <w:noWrap/>
            <w:vAlign w:val="center"/>
          </w:tcPr>
          <w:p w14:paraId="6CFF68BE">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AD69">
            <w:pPr>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1条</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768A">
            <w:pPr>
              <w:jc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90</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0ED4">
            <w:pPr>
              <w:jc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90</w:t>
            </w:r>
          </w:p>
        </w:tc>
      </w:tr>
      <w:tr w14:paraId="5DB2D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2"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0380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37" w:type="dxa"/>
            <w:vMerge w:val="restart"/>
            <w:tcBorders>
              <w:top w:val="single" w:color="000000" w:sz="4" w:space="0"/>
              <w:left w:val="single" w:color="000000" w:sz="4" w:space="0"/>
              <w:right w:val="single" w:color="000000" w:sz="4" w:space="0"/>
            </w:tcBorders>
            <w:shd w:val="clear" w:color="auto" w:fill="auto"/>
            <w:vAlign w:val="center"/>
          </w:tcPr>
          <w:p w14:paraId="4ED2D63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color w:val="auto"/>
                <w:sz w:val="21"/>
                <w:szCs w:val="21"/>
                <w:highlight w:val="none"/>
                <w:lang w:val="en-US" w:eastAsia="zh-CN"/>
              </w:rPr>
              <w:t>防寒服套装</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CE1F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rPr>
              <w:t>外壳</w:t>
            </w:r>
          </w:p>
        </w:tc>
        <w:tc>
          <w:tcPr>
            <w:tcW w:w="1250" w:type="dxa"/>
            <w:tcBorders>
              <w:top w:val="single" w:color="000000" w:sz="4" w:space="0"/>
              <w:left w:val="single" w:color="000000" w:sz="4" w:space="0"/>
              <w:bottom w:val="single" w:color="auto" w:sz="4" w:space="0"/>
              <w:right w:val="single" w:color="000000" w:sz="4" w:space="0"/>
            </w:tcBorders>
            <w:shd w:val="clear" w:color="auto" w:fill="auto"/>
            <w:vAlign w:val="center"/>
          </w:tcPr>
          <w:p w14:paraId="5D348F39">
            <w:pPr>
              <w:keepNext w:val="0"/>
              <w:keepLines w:val="0"/>
              <w:widowControl/>
              <w:suppressLineNumbers w:val="0"/>
              <w:jc w:val="left"/>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100%聚酯纤维</w:t>
            </w:r>
          </w:p>
        </w:tc>
        <w:tc>
          <w:tcPr>
            <w:tcW w:w="2950" w:type="dxa"/>
            <w:vMerge w:val="restart"/>
            <w:tcBorders>
              <w:top w:val="single" w:color="000000" w:sz="4" w:space="0"/>
              <w:left w:val="single" w:color="000000" w:sz="4" w:space="0"/>
              <w:bottom w:val="single" w:color="auto" w:sz="4" w:space="0"/>
              <w:right w:val="single" w:color="auto" w:sz="4" w:space="0"/>
            </w:tcBorders>
            <w:shd w:val="clear" w:color="auto" w:fill="auto"/>
            <w:noWrap/>
            <w:vAlign w:val="center"/>
          </w:tcPr>
          <w:p w14:paraId="64A94277">
            <w:pPr>
              <w:keepNext w:val="0"/>
              <w:keepLines w:val="0"/>
              <w:widowControl/>
              <w:suppressLineNumbers w:val="0"/>
              <w:jc w:val="left"/>
              <w:textAlignment w:val="center"/>
              <w:rPr>
                <w:rFonts w:hint="eastAsia" w:ascii="仿宋" w:hAnsi="仿宋" w:eastAsia="仿宋" w:cs="仿宋"/>
                <w:sz w:val="28"/>
                <w:szCs w:val="28"/>
                <w:highlight w:val="none"/>
                <w:lang w:eastAsia="zh-CN"/>
              </w:rPr>
            </w:pPr>
          </w:p>
          <w:p w14:paraId="3CE20637">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sz w:val="28"/>
                <w:szCs w:val="28"/>
                <w:highlight w:val="none"/>
                <w:lang w:eastAsia="zh-CN"/>
              </w:rPr>
              <w:drawing>
                <wp:inline distT="0" distB="0" distL="114300" distR="114300">
                  <wp:extent cx="1561465" cy="1554480"/>
                  <wp:effectExtent l="0" t="0" r="635" b="7620"/>
                  <wp:docPr id="6" name="图片 3" descr="IMG_20250902_140644_edit_124111623424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0250902_140644_edit_1241116234249681"/>
                          <pic:cNvPicPr>
                            <a:picLocks noChangeAspect="1"/>
                          </pic:cNvPicPr>
                        </pic:nvPicPr>
                        <pic:blipFill>
                          <a:blip r:embed="rId14"/>
                          <a:srcRect l="53578"/>
                          <a:stretch>
                            <a:fillRect/>
                          </a:stretch>
                        </pic:blipFill>
                        <pic:spPr>
                          <a:xfrm rot="10800000">
                            <a:off x="0" y="0"/>
                            <a:ext cx="1561465" cy="1554480"/>
                          </a:xfrm>
                          <a:prstGeom prst="rect">
                            <a:avLst/>
                          </a:prstGeom>
                          <a:noFill/>
                          <a:ln>
                            <a:noFill/>
                          </a:ln>
                        </pic:spPr>
                      </pic:pic>
                    </a:graphicData>
                  </a:graphic>
                </wp:inline>
              </w:drawing>
            </w:r>
          </w:p>
        </w:tc>
        <w:tc>
          <w:tcPr>
            <w:tcW w:w="874" w:type="dxa"/>
            <w:tcBorders>
              <w:top w:val="single" w:color="000000" w:sz="4" w:space="0"/>
              <w:left w:val="single" w:color="auto" w:sz="4" w:space="0"/>
              <w:bottom w:val="single" w:color="000000" w:sz="4" w:space="0"/>
              <w:right w:val="single" w:color="000000" w:sz="4" w:space="0"/>
            </w:tcBorders>
            <w:shd w:val="clear" w:color="auto" w:fill="auto"/>
            <w:vAlign w:val="center"/>
          </w:tcPr>
          <w:p w14:paraId="4E1C11C9">
            <w:pPr>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1件</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CB7B">
            <w:pPr>
              <w:jc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140</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CB0C">
            <w:pPr>
              <w:jc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140</w:t>
            </w:r>
          </w:p>
        </w:tc>
      </w:tr>
      <w:tr w14:paraId="7953D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6"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5C2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137" w:type="dxa"/>
            <w:vMerge w:val="continue"/>
            <w:tcBorders>
              <w:left w:val="single" w:color="000000" w:sz="4" w:space="0"/>
              <w:right w:val="single" w:color="000000" w:sz="4" w:space="0"/>
            </w:tcBorders>
            <w:shd w:val="clear" w:color="auto" w:fill="auto"/>
            <w:vAlign w:val="center"/>
          </w:tcPr>
          <w:p w14:paraId="49605F54">
            <w:pPr>
              <w:jc w:val="left"/>
              <w:rPr>
                <w:rFonts w:hint="eastAsia" w:ascii="仿宋" w:hAnsi="仿宋" w:eastAsia="仿宋" w:cs="仿宋"/>
                <w:i w:val="0"/>
                <w:iCs w:val="0"/>
                <w:color w:val="auto"/>
                <w:sz w:val="21"/>
                <w:szCs w:val="21"/>
                <w:highlight w:val="none"/>
                <w:u w:val="none"/>
              </w:rPr>
            </w:pPr>
          </w:p>
        </w:tc>
        <w:tc>
          <w:tcPr>
            <w:tcW w:w="1000" w:type="dxa"/>
            <w:tcBorders>
              <w:top w:val="single" w:color="000000" w:sz="4" w:space="0"/>
              <w:left w:val="single" w:color="000000" w:sz="4" w:space="0"/>
              <w:bottom w:val="single" w:color="000000" w:sz="4" w:space="0"/>
              <w:right w:val="single" w:color="auto" w:sz="4" w:space="0"/>
            </w:tcBorders>
            <w:shd w:val="clear" w:color="auto" w:fill="auto"/>
            <w:vAlign w:val="center"/>
          </w:tcPr>
          <w:p w14:paraId="3672998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rPr>
              <w:t>卫衣</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083941B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100%聚酯纤维</w:t>
            </w:r>
          </w:p>
        </w:tc>
        <w:tc>
          <w:tcPr>
            <w:tcW w:w="29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1F17E0">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p>
        </w:tc>
        <w:tc>
          <w:tcPr>
            <w:tcW w:w="874" w:type="dxa"/>
            <w:tcBorders>
              <w:top w:val="single" w:color="000000" w:sz="4" w:space="0"/>
              <w:left w:val="single" w:color="auto" w:sz="4" w:space="0"/>
              <w:bottom w:val="single" w:color="000000" w:sz="4" w:space="0"/>
              <w:right w:val="single" w:color="000000" w:sz="4" w:space="0"/>
            </w:tcBorders>
            <w:shd w:val="clear" w:color="auto" w:fill="auto"/>
            <w:vAlign w:val="center"/>
          </w:tcPr>
          <w:p w14:paraId="5AFEDA76">
            <w:pPr>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1件</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361F">
            <w:pPr>
              <w:jc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110</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5D84">
            <w:pPr>
              <w:jc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110</w:t>
            </w:r>
          </w:p>
        </w:tc>
      </w:tr>
      <w:tr w14:paraId="51AEB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4"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F42C0">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w:t>
            </w:r>
          </w:p>
        </w:tc>
        <w:tc>
          <w:tcPr>
            <w:tcW w:w="1137" w:type="dxa"/>
            <w:vMerge w:val="continue"/>
            <w:tcBorders>
              <w:left w:val="single" w:color="000000" w:sz="4" w:space="0"/>
              <w:bottom w:val="single" w:color="000000" w:sz="4" w:space="0"/>
              <w:right w:val="single" w:color="000000" w:sz="4" w:space="0"/>
            </w:tcBorders>
            <w:shd w:val="clear" w:color="auto" w:fill="auto"/>
            <w:vAlign w:val="center"/>
          </w:tcPr>
          <w:p w14:paraId="4A498C0D">
            <w:pPr>
              <w:jc w:val="left"/>
              <w:rPr>
                <w:rFonts w:hint="eastAsia" w:ascii="仿宋" w:hAnsi="仿宋" w:eastAsia="仿宋" w:cs="仿宋"/>
                <w:i w:val="0"/>
                <w:iCs w:val="0"/>
                <w:color w:val="auto"/>
                <w:sz w:val="21"/>
                <w:szCs w:val="21"/>
                <w:highlight w:val="none"/>
                <w:u w:val="none"/>
              </w:rPr>
            </w:pPr>
          </w:p>
        </w:tc>
        <w:tc>
          <w:tcPr>
            <w:tcW w:w="1000" w:type="dxa"/>
            <w:tcBorders>
              <w:top w:val="single" w:color="000000" w:sz="4" w:space="0"/>
              <w:left w:val="single" w:color="000000" w:sz="4" w:space="0"/>
              <w:bottom w:val="single" w:color="auto" w:sz="4" w:space="0"/>
              <w:right w:val="single" w:color="auto" w:sz="4" w:space="0"/>
            </w:tcBorders>
            <w:shd w:val="clear" w:color="auto" w:fill="auto"/>
            <w:vAlign w:val="center"/>
          </w:tcPr>
          <w:p w14:paraId="2517E2D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rPr>
              <w:t>冬季运动裤</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19E31F17">
            <w:pP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聚酯纤维</w:t>
            </w:r>
            <w:r>
              <w:rPr>
                <w:rFonts w:hint="eastAsia" w:ascii="仿宋" w:hAnsi="仿宋" w:eastAsia="仿宋" w:cs="仿宋"/>
                <w:sz w:val="24"/>
                <w:highlight w:val="none"/>
                <w:lang w:val="en-US" w:eastAsia="zh-CN"/>
              </w:rPr>
              <w:t>95%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w:t>
            </w:r>
          </w:p>
          <w:p w14:paraId="66887DA9">
            <w:pPr>
              <w:rPr>
                <w:rFonts w:hint="eastAsia" w:ascii="仿宋" w:hAnsi="仿宋" w:eastAsia="仿宋" w:cs="仿宋"/>
                <w:highlight w:val="none"/>
                <w:lang w:val="en-US" w:eastAsia="zh-CN"/>
              </w:rPr>
            </w:pPr>
            <w:r>
              <w:rPr>
                <w:rFonts w:hint="eastAsia" w:ascii="仿宋" w:hAnsi="仿宋" w:eastAsia="仿宋" w:cs="仿宋"/>
                <w:sz w:val="24"/>
                <w:highlight w:val="none"/>
                <w:lang w:eastAsia="zh-CN"/>
              </w:rPr>
              <w:t>氨纶</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p>
        </w:tc>
        <w:tc>
          <w:tcPr>
            <w:tcW w:w="29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344E5F">
            <w:pPr>
              <w:keepNext w:val="0"/>
              <w:keepLines w:val="0"/>
              <w:widowControl/>
              <w:suppressLineNumbers w:val="0"/>
              <w:jc w:val="left"/>
              <w:textAlignment w:val="center"/>
              <w:rPr>
                <w:rFonts w:hint="eastAsia" w:ascii="仿宋" w:hAnsi="仿宋" w:eastAsia="仿宋" w:cs="仿宋"/>
                <w:sz w:val="28"/>
                <w:szCs w:val="28"/>
                <w:highlight w:val="none"/>
                <w:lang w:eastAsia="zh-CN"/>
              </w:rPr>
            </w:pPr>
          </w:p>
          <w:p w14:paraId="68F2C1DD">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sz w:val="28"/>
                <w:szCs w:val="28"/>
                <w:highlight w:val="none"/>
                <w:lang w:eastAsia="zh-CN"/>
              </w:rPr>
              <w:drawing>
                <wp:inline distT="0" distB="0" distL="114300" distR="114300">
                  <wp:extent cx="1418590" cy="1300480"/>
                  <wp:effectExtent l="0" t="0" r="10160" b="13970"/>
                  <wp:docPr id="7" name="图片 3" descr="IMG_20250902_140644_edit_124111623424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0250902_140644_edit_1241116234249681"/>
                          <pic:cNvPicPr>
                            <a:picLocks noChangeAspect="1"/>
                          </pic:cNvPicPr>
                        </pic:nvPicPr>
                        <pic:blipFill>
                          <a:blip r:embed="rId14"/>
                          <a:srcRect r="47138"/>
                          <a:stretch>
                            <a:fillRect/>
                          </a:stretch>
                        </pic:blipFill>
                        <pic:spPr>
                          <a:xfrm rot="10800000">
                            <a:off x="0" y="0"/>
                            <a:ext cx="1418590" cy="1300480"/>
                          </a:xfrm>
                          <a:prstGeom prst="rect">
                            <a:avLst/>
                          </a:prstGeom>
                          <a:noFill/>
                          <a:ln>
                            <a:noFill/>
                          </a:ln>
                        </pic:spPr>
                      </pic:pic>
                    </a:graphicData>
                  </a:graphic>
                </wp:inline>
              </w:drawing>
            </w:r>
          </w:p>
        </w:tc>
        <w:tc>
          <w:tcPr>
            <w:tcW w:w="874" w:type="dxa"/>
            <w:tcBorders>
              <w:top w:val="single" w:color="000000" w:sz="4" w:space="0"/>
              <w:left w:val="single" w:color="auto" w:sz="4" w:space="0"/>
              <w:bottom w:val="single" w:color="auto" w:sz="4" w:space="0"/>
              <w:right w:val="single" w:color="000000" w:sz="4" w:space="0"/>
            </w:tcBorders>
            <w:shd w:val="clear" w:color="auto" w:fill="auto"/>
            <w:vAlign w:val="center"/>
          </w:tcPr>
          <w:p w14:paraId="491FD5DE">
            <w:pPr>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1条</w:t>
            </w:r>
          </w:p>
        </w:tc>
        <w:tc>
          <w:tcPr>
            <w:tcW w:w="875" w:type="dxa"/>
            <w:tcBorders>
              <w:top w:val="single" w:color="000000" w:sz="4" w:space="0"/>
              <w:left w:val="single" w:color="000000" w:sz="4" w:space="0"/>
              <w:bottom w:val="single" w:color="auto" w:sz="4" w:space="0"/>
              <w:right w:val="single" w:color="000000" w:sz="4" w:space="0"/>
            </w:tcBorders>
            <w:shd w:val="clear" w:color="auto" w:fill="auto"/>
            <w:vAlign w:val="center"/>
          </w:tcPr>
          <w:p w14:paraId="4A6BBE26">
            <w:pPr>
              <w:jc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98</w:t>
            </w:r>
          </w:p>
        </w:tc>
        <w:tc>
          <w:tcPr>
            <w:tcW w:w="842" w:type="dxa"/>
            <w:tcBorders>
              <w:top w:val="single" w:color="000000" w:sz="4" w:space="0"/>
              <w:left w:val="single" w:color="000000" w:sz="4" w:space="0"/>
              <w:bottom w:val="single" w:color="auto" w:sz="4" w:space="0"/>
              <w:right w:val="single" w:color="000000" w:sz="4" w:space="0"/>
            </w:tcBorders>
            <w:shd w:val="clear" w:color="auto" w:fill="auto"/>
            <w:vAlign w:val="center"/>
          </w:tcPr>
          <w:p w14:paraId="02FA3DFA">
            <w:pPr>
              <w:jc w:val="center"/>
              <w:rPr>
                <w:rFonts w:hint="default"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98</w:t>
            </w:r>
          </w:p>
        </w:tc>
      </w:tr>
    </w:tbl>
    <w:p w14:paraId="72F53460">
      <w:pPr>
        <w:numPr>
          <w:ilvl w:val="0"/>
          <w:numId w:val="0"/>
        </w:numPr>
        <w:spacing w:line="360" w:lineRule="auto"/>
        <w:ind w:firstLine="480" w:firstLineChars="200"/>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响应文件中参考图片无需响应。</w:t>
      </w:r>
    </w:p>
    <w:p w14:paraId="011B5A19">
      <w:pPr>
        <w:numPr>
          <w:ilvl w:val="0"/>
          <w:numId w:val="0"/>
        </w:numPr>
        <w:spacing w:line="360" w:lineRule="auto"/>
        <w:ind w:firstLine="480" w:firstLineChars="200"/>
        <w:outlineLvl w:val="2"/>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本次校服采购款式不变，只可做细节调整。供应商可自行前往学校踏勘具体款式。</w:t>
      </w:r>
    </w:p>
    <w:p w14:paraId="21A1496A">
      <w:pPr>
        <w:numPr>
          <w:ilvl w:val="0"/>
          <w:numId w:val="0"/>
        </w:numPr>
        <w:spacing w:line="360" w:lineRule="auto"/>
        <w:ind w:firstLine="480" w:firstLineChars="200"/>
        <w:outlineLvl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（二）</w:t>
      </w:r>
      <w:r>
        <w:rPr>
          <w:rFonts w:hint="eastAsia" w:ascii="仿宋" w:hAnsi="仿宋" w:eastAsia="仿宋" w:cs="仿宋"/>
          <w:color w:val="auto"/>
          <w:sz w:val="24"/>
          <w:szCs w:val="24"/>
          <w:highlight w:val="none"/>
          <w:lang w:val="en-US" w:eastAsia="zh-CN"/>
        </w:rPr>
        <w:t>质量要求</w:t>
      </w:r>
    </w:p>
    <w:p w14:paraId="27AA174E">
      <w:pPr>
        <w:spacing w:line="360" w:lineRule="auto"/>
        <w:ind w:firstLine="480"/>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1.供应商所投“学生校服”外观样式、规格尺寸、主要部件等技术参数、性能指标，必须满足采购文件提出的相关技术、质量标准等的要求。</w:t>
      </w:r>
    </w:p>
    <w:p w14:paraId="149F8D23">
      <w:pPr>
        <w:spacing w:line="360" w:lineRule="auto"/>
        <w:ind w:firstLine="480"/>
        <w:rPr>
          <w:rFonts w:hint="default"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2.</w:t>
      </w:r>
      <w:r>
        <w:rPr>
          <w:rFonts w:hint="eastAsia" w:ascii="仿宋" w:hAnsi="仿宋" w:eastAsia="仿宋" w:cs="仿宋"/>
          <w:snapToGrid w:val="0"/>
          <w:color w:val="auto"/>
          <w:kern w:val="0"/>
          <w:sz w:val="24"/>
          <w:szCs w:val="24"/>
          <w:highlight w:val="none"/>
        </w:rPr>
        <w:t>校服安全与质量应符合GB 18401-2010《国家纺织产品基本安全技术规范》、GB 31701-2015《婴幼儿及儿童纺织产品安全技术规范》、GB/T 31888-2015《中小学生校服》、GB/T 28468-2012《中小学交通安全反光校服》等现行标准。</w:t>
      </w:r>
    </w:p>
    <w:p w14:paraId="78E757B5">
      <w:pPr>
        <w:numPr>
          <w:ilvl w:val="0"/>
          <w:numId w:val="0"/>
        </w:numPr>
        <w:spacing w:line="360" w:lineRule="auto"/>
        <w:ind w:left="0" w:leftChars="0" w:firstLine="480" w:firstLineChars="200"/>
        <w:outlineLvl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（三）</w:t>
      </w:r>
      <w:r>
        <w:rPr>
          <w:rFonts w:hint="eastAsia" w:ascii="仿宋" w:hAnsi="仿宋" w:eastAsia="仿宋" w:cs="仿宋"/>
          <w:color w:val="auto"/>
          <w:sz w:val="24"/>
          <w:szCs w:val="24"/>
          <w:highlight w:val="none"/>
          <w:lang w:val="en-US" w:eastAsia="zh-CN"/>
        </w:rPr>
        <w:t>设计要求</w:t>
      </w:r>
    </w:p>
    <w:p w14:paraId="76A00A74">
      <w:pPr>
        <w:spacing w:line="360" w:lineRule="auto"/>
        <w:ind w:firstLine="480"/>
        <w:rPr>
          <w:rFonts w:hint="default"/>
          <w:b/>
          <w:bCs/>
          <w:color w:val="auto"/>
          <w:sz w:val="24"/>
          <w:szCs w:val="24"/>
          <w:highlight w:val="none"/>
          <w:lang w:val="en-US" w:eastAsia="zh-CN"/>
        </w:rPr>
      </w:pPr>
      <w:r>
        <w:rPr>
          <w:rFonts w:hint="eastAsia" w:ascii="仿宋" w:hAnsi="仿宋" w:eastAsia="仿宋" w:cs="仿宋"/>
          <w:b/>
          <w:bCs/>
          <w:snapToGrid w:val="0"/>
          <w:color w:val="auto"/>
          <w:kern w:val="0"/>
          <w:sz w:val="24"/>
          <w:szCs w:val="24"/>
          <w:highlight w:val="none"/>
          <w:lang w:val="en-US" w:eastAsia="zh-CN"/>
        </w:rPr>
        <w:t>1.校服按照清单中给的参考图片款式、色系不变，可做细节调整，整体不变。</w:t>
      </w:r>
    </w:p>
    <w:p w14:paraId="337F6CDE">
      <w:pPr>
        <w:spacing w:line="360" w:lineRule="auto"/>
        <w:ind w:firstLine="480"/>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2.供应商设计不得违反国家相关法律规定，尚未被注册且不得抄袭。成交后具体款式如有细节修改可与采购人协商。</w:t>
      </w:r>
    </w:p>
    <w:p w14:paraId="6EF58CCA">
      <w:pPr>
        <w:spacing w:line="360" w:lineRule="auto"/>
        <w:ind w:firstLine="480"/>
        <w:rPr>
          <w:rFonts w:hint="default"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（四）</w:t>
      </w:r>
      <w:r>
        <w:rPr>
          <w:rFonts w:hint="default" w:ascii="仿宋" w:hAnsi="仿宋" w:eastAsia="仿宋" w:cs="仿宋"/>
          <w:snapToGrid w:val="0"/>
          <w:color w:val="auto"/>
          <w:kern w:val="0"/>
          <w:sz w:val="24"/>
          <w:szCs w:val="24"/>
          <w:highlight w:val="none"/>
          <w:lang w:val="en-US" w:eastAsia="zh-CN"/>
        </w:rPr>
        <w:t>其他要求</w:t>
      </w:r>
    </w:p>
    <w:p w14:paraId="0FA4E713">
      <w:pPr>
        <w:spacing w:line="360" w:lineRule="auto"/>
        <w:ind w:firstLine="480"/>
        <w:rPr>
          <w:rFonts w:hint="default" w:ascii="仿宋" w:hAnsi="仿宋" w:eastAsia="仿宋" w:cs="仿宋"/>
          <w:snapToGrid w:val="0"/>
          <w:color w:val="auto"/>
          <w:kern w:val="0"/>
          <w:sz w:val="24"/>
          <w:szCs w:val="24"/>
          <w:highlight w:val="none"/>
          <w:lang w:val="en-US" w:eastAsia="zh-CN"/>
        </w:rPr>
      </w:pPr>
      <w:r>
        <w:rPr>
          <w:rFonts w:hint="default" w:ascii="仿宋" w:hAnsi="仿宋" w:eastAsia="仿宋" w:cs="仿宋"/>
          <w:snapToGrid w:val="0"/>
          <w:color w:val="auto"/>
          <w:kern w:val="0"/>
          <w:sz w:val="24"/>
          <w:szCs w:val="24"/>
          <w:highlight w:val="none"/>
          <w:lang w:val="en-US" w:eastAsia="zh-CN"/>
        </w:rPr>
        <w:t>1</w:t>
      </w:r>
      <w:r>
        <w:rPr>
          <w:rFonts w:hint="eastAsia" w:ascii="仿宋" w:hAnsi="仿宋" w:eastAsia="仿宋" w:cs="仿宋"/>
          <w:snapToGrid w:val="0"/>
          <w:color w:val="auto"/>
          <w:kern w:val="0"/>
          <w:sz w:val="24"/>
          <w:szCs w:val="24"/>
          <w:highlight w:val="none"/>
          <w:lang w:val="en-US" w:eastAsia="zh-CN"/>
        </w:rPr>
        <w:t>.</w:t>
      </w:r>
      <w:r>
        <w:rPr>
          <w:rFonts w:hint="default" w:ascii="仿宋" w:hAnsi="仿宋" w:eastAsia="仿宋" w:cs="仿宋"/>
          <w:snapToGrid w:val="0"/>
          <w:color w:val="auto"/>
          <w:kern w:val="0"/>
          <w:sz w:val="24"/>
          <w:szCs w:val="24"/>
          <w:highlight w:val="none"/>
          <w:lang w:val="en-US" w:eastAsia="zh-CN"/>
        </w:rPr>
        <w:t>成品达到：不掉色、不脱色、不缩水、不变形、不拔丝、无跳针、不断线、不爆线、缝线绵密整齐平直、干净无污渍、无刮痕、无折皱。</w:t>
      </w:r>
    </w:p>
    <w:p w14:paraId="2974255B">
      <w:pPr>
        <w:spacing w:line="360" w:lineRule="auto"/>
        <w:ind w:firstLine="480"/>
        <w:rPr>
          <w:rFonts w:hint="default" w:ascii="仿宋" w:hAnsi="仿宋" w:eastAsia="仿宋" w:cs="仿宋"/>
          <w:snapToGrid w:val="0"/>
          <w:color w:val="auto"/>
          <w:kern w:val="0"/>
          <w:sz w:val="24"/>
          <w:szCs w:val="24"/>
          <w:highlight w:val="none"/>
          <w:lang w:val="en-US" w:eastAsia="zh-CN"/>
        </w:rPr>
      </w:pPr>
      <w:r>
        <w:rPr>
          <w:rFonts w:hint="default" w:ascii="仿宋" w:hAnsi="仿宋" w:eastAsia="仿宋" w:cs="仿宋"/>
          <w:snapToGrid w:val="0"/>
          <w:color w:val="auto"/>
          <w:kern w:val="0"/>
          <w:sz w:val="24"/>
          <w:szCs w:val="24"/>
          <w:highlight w:val="none"/>
          <w:lang w:val="en-US" w:eastAsia="zh-CN"/>
        </w:rPr>
        <w:t>2</w:t>
      </w:r>
      <w:r>
        <w:rPr>
          <w:rFonts w:hint="eastAsia" w:ascii="仿宋" w:hAnsi="仿宋" w:eastAsia="仿宋" w:cs="仿宋"/>
          <w:snapToGrid w:val="0"/>
          <w:color w:val="auto"/>
          <w:kern w:val="0"/>
          <w:sz w:val="24"/>
          <w:szCs w:val="24"/>
          <w:highlight w:val="none"/>
          <w:lang w:val="en-US" w:eastAsia="zh-CN"/>
        </w:rPr>
        <w:t>.</w:t>
      </w:r>
      <w:r>
        <w:rPr>
          <w:rFonts w:hint="default" w:ascii="仿宋" w:hAnsi="仿宋" w:eastAsia="仿宋" w:cs="仿宋"/>
          <w:snapToGrid w:val="0"/>
          <w:color w:val="auto"/>
          <w:kern w:val="0"/>
          <w:sz w:val="24"/>
          <w:szCs w:val="24"/>
          <w:highlight w:val="none"/>
          <w:lang w:val="en-US" w:eastAsia="zh-CN"/>
        </w:rPr>
        <w:t>最终提交的服装不得低于样衣标准。</w:t>
      </w:r>
    </w:p>
    <w:p w14:paraId="5480351E">
      <w:pPr>
        <w:spacing w:line="360" w:lineRule="auto"/>
        <w:ind w:firstLine="480"/>
        <w:rPr>
          <w:rFonts w:hint="default"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3.</w:t>
      </w:r>
      <w:r>
        <w:rPr>
          <w:rFonts w:hint="default" w:ascii="仿宋" w:hAnsi="仿宋" w:eastAsia="仿宋" w:cs="仿宋"/>
          <w:snapToGrid w:val="0"/>
          <w:color w:val="auto"/>
          <w:kern w:val="0"/>
          <w:sz w:val="24"/>
          <w:szCs w:val="24"/>
          <w:highlight w:val="none"/>
          <w:lang w:val="en-US" w:eastAsia="zh-CN"/>
        </w:rPr>
        <w:t>校服种类和数量以采购人实际需求为准。因本校校服为学生自愿购买，具体的需求以各年度各班级学生实际订购数量为准。</w:t>
      </w:r>
    </w:p>
    <w:p w14:paraId="05EF2095">
      <w:pPr>
        <w:pStyle w:val="3"/>
        <w:spacing w:before="0" w:after="0" w:line="360" w:lineRule="auto"/>
        <w:outlineLvl w:val="1"/>
        <w:rPr>
          <w:rFonts w:hint="eastAsia" w:ascii="仿宋" w:hAnsi="仿宋" w:eastAsia="仿宋" w:cs="仿宋"/>
          <w:b/>
          <w:bCs/>
          <w:color w:val="auto"/>
          <w:sz w:val="24"/>
          <w:szCs w:val="24"/>
          <w:highlight w:val="none"/>
          <w:lang w:val="en-US" w:eastAsia="zh-CN"/>
        </w:rPr>
      </w:pPr>
      <w:bookmarkStart w:id="47" w:name="_Toc18180"/>
      <w:bookmarkStart w:id="48" w:name="_Toc75793507"/>
      <w:bookmarkStart w:id="49" w:name="_Toc19616"/>
      <w:bookmarkStart w:id="50" w:name="_Toc9597"/>
      <w:bookmarkStart w:id="51" w:name="_Toc31214"/>
      <w:bookmarkStart w:id="52" w:name="_Toc19729"/>
      <w:bookmarkStart w:id="53" w:name="_Toc429584806"/>
      <w:bookmarkStart w:id="54" w:name="_Toc12562"/>
      <w:bookmarkStart w:id="55" w:name="_Toc32523"/>
      <w:bookmarkStart w:id="56" w:name="_Toc14847"/>
      <w:bookmarkStart w:id="57" w:name="_Toc22886"/>
      <w:bookmarkStart w:id="58" w:name="_Toc10232"/>
      <w:bookmarkStart w:id="59" w:name="_Toc17980"/>
      <w:bookmarkStart w:id="60" w:name="_Toc6886"/>
      <w:bookmarkStart w:id="61" w:name="_Toc429584853"/>
      <w:bookmarkStart w:id="62" w:name="_Toc29560"/>
      <w:bookmarkStart w:id="63" w:name="_Toc11656"/>
      <w:bookmarkStart w:id="64" w:name="_Toc11994"/>
      <w:bookmarkStart w:id="65" w:name="_Toc6552"/>
      <w:bookmarkStart w:id="66" w:name="_Toc27855"/>
      <w:r>
        <w:rPr>
          <w:rFonts w:hint="eastAsia" w:ascii="仿宋" w:hAnsi="仿宋" w:eastAsia="仿宋" w:cs="仿宋"/>
          <w:b/>
          <w:bCs/>
          <w:color w:val="auto"/>
          <w:sz w:val="24"/>
          <w:szCs w:val="24"/>
          <w:highlight w:val="none"/>
          <w:lang w:val="en-US" w:eastAsia="zh-CN"/>
        </w:rPr>
        <w:t>※三、样品递交及退还要求</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9B4F313">
      <w:pPr>
        <w:spacing w:line="360" w:lineRule="auto"/>
        <w:ind w:firstLine="480" w:firstLineChars="200"/>
        <w:outlineLvl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样品要求</w:t>
      </w:r>
    </w:p>
    <w:p w14:paraId="68E89785">
      <w:pPr>
        <w:spacing w:line="360" w:lineRule="auto"/>
        <w:ind w:firstLine="480" w:firstLineChars="200"/>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1.样品自行标识面料成分。</w:t>
      </w:r>
    </w:p>
    <w:p w14:paraId="5F578448">
      <w:pPr>
        <w:spacing w:line="360" w:lineRule="auto"/>
        <w:ind w:firstLine="480"/>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2.样品数量要求：</w:t>
      </w:r>
    </w:p>
    <w:tbl>
      <w:tblPr>
        <w:tblStyle w:val="60"/>
        <w:tblW w:w="8958" w:type="dxa"/>
        <w:tblInd w:w="3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7"/>
        <w:gridCol w:w="1611"/>
        <w:gridCol w:w="2407"/>
        <w:gridCol w:w="2529"/>
        <w:gridCol w:w="1374"/>
      </w:tblGrid>
      <w:tr w14:paraId="10DBD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8EDA4">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序号</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C1C1">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套系</w:t>
            </w:r>
          </w:p>
        </w:tc>
        <w:tc>
          <w:tcPr>
            <w:tcW w:w="2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6BBCB">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品名</w:t>
            </w:r>
          </w:p>
        </w:tc>
        <w:tc>
          <w:tcPr>
            <w:tcW w:w="2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A712B">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样品数量</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C9860">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尺码</w:t>
            </w:r>
          </w:p>
        </w:tc>
      </w:tr>
      <w:tr w14:paraId="25C24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31D3">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w:t>
            </w:r>
          </w:p>
        </w:tc>
        <w:tc>
          <w:tcPr>
            <w:tcW w:w="16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F5A288">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夏季套装</w:t>
            </w:r>
          </w:p>
        </w:tc>
        <w:tc>
          <w:tcPr>
            <w:tcW w:w="2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FEDE5">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短袖</w:t>
            </w:r>
          </w:p>
        </w:tc>
        <w:tc>
          <w:tcPr>
            <w:tcW w:w="2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67B8">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1件</w:t>
            </w:r>
          </w:p>
        </w:tc>
        <w:tc>
          <w:tcPr>
            <w:tcW w:w="1374" w:type="dxa"/>
            <w:vMerge w:val="restart"/>
            <w:tcBorders>
              <w:top w:val="single" w:color="000000" w:sz="4" w:space="0"/>
              <w:left w:val="single" w:color="000000" w:sz="4" w:space="0"/>
              <w:right w:val="single" w:color="000000" w:sz="4" w:space="0"/>
            </w:tcBorders>
            <w:shd w:val="clear" w:color="auto" w:fill="auto"/>
            <w:noWrap/>
            <w:vAlign w:val="center"/>
          </w:tcPr>
          <w:p w14:paraId="6DFD8604">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170cm</w:t>
            </w:r>
          </w:p>
        </w:tc>
      </w:tr>
      <w:tr w14:paraId="66604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BF264">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w:t>
            </w:r>
          </w:p>
        </w:tc>
        <w:tc>
          <w:tcPr>
            <w:tcW w:w="16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173B6">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DB66">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九分裤</w:t>
            </w:r>
          </w:p>
        </w:tc>
        <w:tc>
          <w:tcPr>
            <w:tcW w:w="2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37C8">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1条</w:t>
            </w:r>
          </w:p>
        </w:tc>
        <w:tc>
          <w:tcPr>
            <w:tcW w:w="1374" w:type="dxa"/>
            <w:vMerge w:val="continue"/>
            <w:tcBorders>
              <w:left w:val="single" w:color="000000" w:sz="4" w:space="0"/>
              <w:right w:val="single" w:color="000000" w:sz="4" w:space="0"/>
            </w:tcBorders>
            <w:shd w:val="clear" w:color="auto" w:fill="auto"/>
            <w:noWrap/>
            <w:vAlign w:val="center"/>
          </w:tcPr>
          <w:p w14:paraId="1B911803">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2D43E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E337">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w:t>
            </w:r>
          </w:p>
        </w:tc>
        <w:tc>
          <w:tcPr>
            <w:tcW w:w="16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C60E0">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防寒服套装</w:t>
            </w:r>
          </w:p>
        </w:tc>
        <w:tc>
          <w:tcPr>
            <w:tcW w:w="2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7B69">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外壳</w:t>
            </w:r>
          </w:p>
        </w:tc>
        <w:tc>
          <w:tcPr>
            <w:tcW w:w="2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E65D">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1件</w:t>
            </w:r>
          </w:p>
        </w:tc>
        <w:tc>
          <w:tcPr>
            <w:tcW w:w="1374" w:type="dxa"/>
            <w:vMerge w:val="continue"/>
            <w:tcBorders>
              <w:left w:val="single" w:color="000000" w:sz="4" w:space="0"/>
              <w:right w:val="single" w:color="000000" w:sz="4" w:space="0"/>
            </w:tcBorders>
            <w:shd w:val="clear" w:color="auto" w:fill="auto"/>
            <w:noWrap/>
            <w:vAlign w:val="center"/>
          </w:tcPr>
          <w:p w14:paraId="18130F10">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7EF22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0E9E">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w:t>
            </w:r>
          </w:p>
        </w:tc>
        <w:tc>
          <w:tcPr>
            <w:tcW w:w="16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D32F4">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FDC3">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卫衣</w:t>
            </w:r>
          </w:p>
        </w:tc>
        <w:tc>
          <w:tcPr>
            <w:tcW w:w="2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AF6C">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1件</w:t>
            </w:r>
          </w:p>
        </w:tc>
        <w:tc>
          <w:tcPr>
            <w:tcW w:w="1374" w:type="dxa"/>
            <w:vMerge w:val="continue"/>
            <w:tcBorders>
              <w:left w:val="single" w:color="000000" w:sz="4" w:space="0"/>
              <w:right w:val="single" w:color="000000" w:sz="4" w:space="0"/>
            </w:tcBorders>
            <w:shd w:val="clear" w:color="auto" w:fill="auto"/>
            <w:vAlign w:val="center"/>
          </w:tcPr>
          <w:p w14:paraId="101AC671">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719AF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2976">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w:t>
            </w:r>
          </w:p>
        </w:tc>
        <w:tc>
          <w:tcPr>
            <w:tcW w:w="16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B2D72">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044E">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冬季运动裤</w:t>
            </w:r>
          </w:p>
        </w:tc>
        <w:tc>
          <w:tcPr>
            <w:tcW w:w="2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AF43">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1条</w:t>
            </w:r>
          </w:p>
        </w:tc>
        <w:tc>
          <w:tcPr>
            <w:tcW w:w="1374" w:type="dxa"/>
            <w:vMerge w:val="continue"/>
            <w:tcBorders>
              <w:left w:val="single" w:color="000000" w:sz="4" w:space="0"/>
              <w:right w:val="single" w:color="000000" w:sz="4" w:space="0"/>
            </w:tcBorders>
            <w:shd w:val="clear" w:color="auto" w:fill="auto"/>
            <w:vAlign w:val="center"/>
          </w:tcPr>
          <w:p w14:paraId="0002C9E1">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r>
    </w:tbl>
    <w:p w14:paraId="2F6EE9ED">
      <w:pPr>
        <w:spacing w:line="360" w:lineRule="auto"/>
        <w:ind w:firstLine="480" w:firstLineChars="200"/>
        <w:outlineLvl w:val="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样品评审方式</w:t>
      </w:r>
    </w:p>
    <w:p w14:paraId="4DDB7EAB">
      <w:pPr>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1.样品打捆包装，</w:t>
      </w:r>
      <w:r>
        <w:rPr>
          <w:rFonts w:hint="eastAsia" w:ascii="仿宋" w:hAnsi="仿宋" w:eastAsia="仿宋" w:cs="仿宋"/>
          <w:color w:val="auto"/>
          <w:sz w:val="24"/>
          <w:szCs w:val="24"/>
          <w:highlight w:val="none"/>
          <w:lang w:val="en-US" w:eastAsia="zh-CN"/>
        </w:rPr>
        <w:t>所有样品上均不能有供应商的名称和投标产品品牌LOGO等明显信息标识。如样品出现供应商标识信息将</w:t>
      </w:r>
      <w:r>
        <w:rPr>
          <w:rFonts w:hint="eastAsia" w:ascii="仿宋" w:hAnsi="仿宋" w:eastAsia="仿宋" w:cs="仿宋"/>
          <w:snapToGrid w:val="0"/>
          <w:color w:val="auto"/>
          <w:kern w:val="0"/>
          <w:sz w:val="24"/>
          <w:szCs w:val="24"/>
          <w:highlight w:val="none"/>
          <w:lang w:val="en-US" w:eastAsia="zh-CN"/>
        </w:rPr>
        <w:t>视作无效响应</w:t>
      </w:r>
      <w:r>
        <w:rPr>
          <w:rFonts w:hint="eastAsia" w:ascii="仿宋" w:hAnsi="仿宋" w:eastAsia="仿宋" w:cs="仿宋"/>
          <w:color w:val="auto"/>
          <w:sz w:val="24"/>
          <w:szCs w:val="24"/>
          <w:highlight w:val="none"/>
          <w:lang w:val="en-US" w:eastAsia="zh-CN"/>
        </w:rPr>
        <w:t>。样品送达后，由采购工作人员进行随机编号。</w:t>
      </w:r>
    </w:p>
    <w:p w14:paraId="56EC31DD">
      <w:pPr>
        <w:spacing w:line="360" w:lineRule="auto"/>
        <w:ind w:firstLine="480" w:firstLineChars="200"/>
        <w:rPr>
          <w:rFonts w:hint="default" w:ascii="仿宋" w:hAnsi="仿宋" w:eastAsia="仿宋" w:cs="仿宋"/>
          <w:color w:val="auto"/>
          <w:sz w:val="24"/>
          <w:szCs w:val="24"/>
          <w:highlight w:val="yellow"/>
          <w:lang w:val="en-US"/>
        </w:rPr>
      </w:pPr>
      <w:r>
        <w:rPr>
          <w:rFonts w:hint="eastAsia" w:ascii="仿宋" w:hAnsi="仿宋" w:eastAsia="仿宋" w:cs="仿宋"/>
          <w:color w:val="auto"/>
          <w:sz w:val="24"/>
          <w:szCs w:val="24"/>
          <w:highlight w:val="yellow"/>
          <w:lang w:val="en-US" w:eastAsia="zh-CN"/>
        </w:rPr>
        <w:t>2.样品递交时间：</w:t>
      </w:r>
      <w:r>
        <w:rPr>
          <w:rFonts w:hint="eastAsia" w:ascii="仿宋" w:hAnsi="仿宋" w:eastAsia="仿宋" w:cs="仿宋"/>
          <w:color w:val="auto"/>
          <w:sz w:val="24"/>
          <w:szCs w:val="24"/>
          <w:highlight w:val="yellow"/>
        </w:rPr>
        <w:t>202</w:t>
      </w:r>
      <w:r>
        <w:rPr>
          <w:rFonts w:hint="eastAsia" w:ascii="仿宋" w:hAnsi="仿宋" w:eastAsia="仿宋" w:cs="仿宋"/>
          <w:color w:val="auto"/>
          <w:sz w:val="24"/>
          <w:szCs w:val="24"/>
          <w:highlight w:val="yellow"/>
          <w:lang w:val="en-US" w:eastAsia="zh-CN"/>
        </w:rPr>
        <w:t>5</w:t>
      </w:r>
      <w:r>
        <w:rPr>
          <w:rFonts w:hint="eastAsia" w:ascii="仿宋" w:hAnsi="仿宋" w:eastAsia="仿宋" w:cs="仿宋"/>
          <w:color w:val="auto"/>
          <w:sz w:val="24"/>
          <w:szCs w:val="24"/>
          <w:highlight w:val="yellow"/>
        </w:rPr>
        <w:t>年</w:t>
      </w:r>
      <w:r>
        <w:rPr>
          <w:rFonts w:hint="eastAsia" w:ascii="仿宋" w:hAnsi="仿宋" w:eastAsia="仿宋" w:cs="仿宋"/>
          <w:color w:val="auto"/>
          <w:sz w:val="24"/>
          <w:szCs w:val="24"/>
          <w:highlight w:val="yellow"/>
          <w:lang w:val="en-US" w:eastAsia="zh-CN"/>
        </w:rPr>
        <w:t>10</w:t>
      </w:r>
      <w:r>
        <w:rPr>
          <w:rFonts w:hint="eastAsia" w:ascii="仿宋" w:hAnsi="仿宋" w:eastAsia="仿宋" w:cs="仿宋"/>
          <w:color w:val="auto"/>
          <w:sz w:val="24"/>
          <w:szCs w:val="24"/>
          <w:highlight w:val="yellow"/>
        </w:rPr>
        <w:t>月</w:t>
      </w:r>
      <w:r>
        <w:rPr>
          <w:rFonts w:hint="eastAsia" w:ascii="仿宋" w:hAnsi="仿宋" w:eastAsia="仿宋" w:cs="仿宋"/>
          <w:color w:val="auto"/>
          <w:sz w:val="24"/>
          <w:szCs w:val="24"/>
          <w:highlight w:val="yellow"/>
          <w:lang w:val="en-US" w:eastAsia="zh-CN"/>
        </w:rPr>
        <w:t>30</w:t>
      </w:r>
      <w:r>
        <w:rPr>
          <w:rFonts w:hint="eastAsia" w:ascii="仿宋" w:hAnsi="仿宋" w:eastAsia="仿宋" w:cs="仿宋"/>
          <w:color w:val="auto"/>
          <w:sz w:val="24"/>
          <w:szCs w:val="24"/>
          <w:highlight w:val="yellow"/>
        </w:rPr>
        <w:t>日北京时间</w:t>
      </w:r>
      <w:r>
        <w:rPr>
          <w:rFonts w:hint="eastAsia" w:ascii="仿宋" w:hAnsi="仿宋" w:eastAsia="仿宋" w:cs="仿宋"/>
          <w:color w:val="auto"/>
          <w:sz w:val="24"/>
          <w:szCs w:val="24"/>
          <w:highlight w:val="yellow"/>
          <w:lang w:val="en-US" w:eastAsia="zh-CN"/>
        </w:rPr>
        <w:t>09:00-12:00</w:t>
      </w:r>
    </w:p>
    <w:p w14:paraId="59C65368">
      <w:pPr>
        <w:snapToGrid w:val="0"/>
        <w:spacing w:line="360" w:lineRule="auto"/>
        <w:ind w:firstLine="480" w:firstLineChars="200"/>
        <w:rPr>
          <w:rFonts w:hint="default"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3.样品递交地点：重庆第二十三中学校。</w:t>
      </w:r>
    </w:p>
    <w:p w14:paraId="517C2800">
      <w:pPr>
        <w:snapToGrid w:val="0"/>
        <w:spacing w:line="360" w:lineRule="auto"/>
        <w:ind w:firstLine="480" w:firstLineChars="200"/>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4.未提交样品或提交的样品不齐的供应商，视作无效响应。</w:t>
      </w:r>
    </w:p>
    <w:p w14:paraId="6D924C6F">
      <w:pPr>
        <w:spacing w:line="360" w:lineRule="auto"/>
        <w:ind w:firstLine="480" w:firstLineChars="200"/>
        <w:outlineLvl w:val="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）样品退还要求</w:t>
      </w:r>
    </w:p>
    <w:p w14:paraId="51C65B48">
      <w:pPr>
        <w:snapToGrid w:val="0"/>
        <w:spacing w:line="360" w:lineRule="auto"/>
        <w:ind w:firstLine="480" w:firstLineChars="200"/>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1.未成交供应商的样品在结果公示后3个工作日内供应商自行取回，逾期未取回视同放弃取回样品由采购人自行处理。</w:t>
      </w:r>
    </w:p>
    <w:p w14:paraId="74C639F1">
      <w:pPr>
        <w:snapToGrid w:val="0"/>
        <w:spacing w:line="360" w:lineRule="auto"/>
        <w:ind w:firstLine="480" w:firstLineChars="200"/>
        <w:rPr>
          <w:rFonts w:hint="eastAsia" w:ascii="仿宋" w:hAnsi="仿宋" w:eastAsia="仿宋" w:cs="仿宋"/>
          <w:b w:val="0"/>
          <w:color w:val="auto"/>
          <w:sz w:val="36"/>
          <w:szCs w:val="30"/>
          <w:highlight w:val="none"/>
        </w:rPr>
      </w:pPr>
      <w:r>
        <w:rPr>
          <w:rFonts w:hint="eastAsia" w:ascii="仿宋" w:hAnsi="仿宋" w:eastAsia="仿宋" w:cs="仿宋"/>
          <w:snapToGrid w:val="0"/>
          <w:color w:val="auto"/>
          <w:kern w:val="0"/>
          <w:sz w:val="24"/>
          <w:szCs w:val="24"/>
          <w:highlight w:val="none"/>
          <w:lang w:val="en-US" w:eastAsia="zh-CN"/>
        </w:rPr>
        <w:t>2.成交供应商的样品将封存作为货物验收的实物质量验收标准，如成交供应商后期交货与样品质量不符，采购人将拒绝收货，造成的损失由成交供应商承担，采购人有权追究成交供应商责任。</w:t>
      </w:r>
    </w:p>
    <w:p w14:paraId="795E2590">
      <w:pPr>
        <w:pStyle w:val="2"/>
        <w:bidi w:val="0"/>
        <w:spacing w:line="360" w:lineRule="auto"/>
        <w:jc w:val="center"/>
        <w:outlineLvl w:val="0"/>
        <w:rPr>
          <w:rFonts w:hint="eastAsia" w:ascii="仿宋" w:hAnsi="仿宋" w:eastAsia="仿宋" w:cs="仿宋"/>
          <w:b/>
          <w:bCs/>
          <w:color w:val="auto"/>
          <w:sz w:val="36"/>
          <w:szCs w:val="36"/>
          <w:highlight w:val="none"/>
        </w:rPr>
      </w:pPr>
      <w:r>
        <w:rPr>
          <w:rFonts w:hint="eastAsia" w:ascii="仿宋" w:hAnsi="仿宋" w:eastAsia="仿宋" w:cs="仿宋"/>
          <w:b w:val="0"/>
          <w:color w:val="auto"/>
          <w:sz w:val="36"/>
          <w:szCs w:val="30"/>
          <w:highlight w:val="none"/>
        </w:rPr>
        <w:br w:type="page"/>
      </w:r>
      <w:bookmarkStart w:id="67" w:name="_Toc16201"/>
      <w:r>
        <w:rPr>
          <w:rFonts w:hint="eastAsia" w:ascii="仿宋" w:hAnsi="仿宋" w:eastAsia="仿宋" w:cs="仿宋"/>
          <w:b/>
          <w:bCs/>
          <w:color w:val="auto"/>
          <w:sz w:val="36"/>
          <w:szCs w:val="22"/>
          <w:highlight w:val="none"/>
        </w:rPr>
        <w:t xml:space="preserve">第三篇  </w:t>
      </w:r>
      <w:bookmarkEnd w:id="20"/>
      <w:r>
        <w:rPr>
          <w:rFonts w:hint="eastAsia" w:ascii="仿宋" w:hAnsi="仿宋" w:eastAsia="仿宋" w:cs="仿宋"/>
          <w:b/>
          <w:bCs/>
          <w:color w:val="auto"/>
          <w:sz w:val="36"/>
          <w:szCs w:val="22"/>
          <w:highlight w:val="none"/>
        </w:rPr>
        <w:t>项目商务需求</w:t>
      </w:r>
      <w:bookmarkEnd w:id="67"/>
    </w:p>
    <w:p w14:paraId="6FBAC161">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“※”标注的商务需求为符合性审查中的实质性要求，响应文件若不满足按无效响应处理。</w:t>
      </w:r>
    </w:p>
    <w:p w14:paraId="4B966529">
      <w:pPr>
        <w:pStyle w:val="3"/>
        <w:spacing w:before="0" w:after="0" w:line="360" w:lineRule="auto"/>
        <w:outlineLvl w:val="1"/>
        <w:rPr>
          <w:rFonts w:hint="eastAsia" w:ascii="仿宋" w:hAnsi="仿宋" w:eastAsia="仿宋" w:cs="仿宋"/>
          <w:b/>
          <w:color w:val="auto"/>
          <w:sz w:val="24"/>
          <w:szCs w:val="24"/>
          <w:highlight w:val="none"/>
          <w:lang w:eastAsia="zh-CN"/>
        </w:rPr>
      </w:pPr>
      <w:bookmarkStart w:id="68" w:name="_Toc14873"/>
      <w:bookmarkStart w:id="69" w:name="_Toc3369"/>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lang w:eastAsia="zh-CN"/>
        </w:rPr>
        <w:t>一、</w:t>
      </w:r>
      <w:r>
        <w:rPr>
          <w:rFonts w:hint="eastAsia" w:ascii="仿宋" w:hAnsi="仿宋" w:eastAsia="仿宋" w:cs="仿宋"/>
          <w:b/>
          <w:color w:val="auto"/>
          <w:sz w:val="24"/>
          <w:szCs w:val="24"/>
          <w:highlight w:val="none"/>
          <w:lang w:val="en-US" w:eastAsia="zh-CN"/>
        </w:rPr>
        <w:t>交货</w:t>
      </w:r>
      <w:r>
        <w:rPr>
          <w:rFonts w:hint="eastAsia" w:ascii="仿宋" w:hAnsi="仿宋" w:eastAsia="仿宋" w:cs="仿宋"/>
          <w:b/>
          <w:color w:val="auto"/>
          <w:sz w:val="24"/>
          <w:szCs w:val="24"/>
          <w:highlight w:val="none"/>
          <w:lang w:eastAsia="zh-CN"/>
        </w:rPr>
        <w:t>时间、地点及验收方式</w:t>
      </w:r>
      <w:bookmarkEnd w:id="68"/>
      <w:bookmarkEnd w:id="69"/>
    </w:p>
    <w:p w14:paraId="1408464C">
      <w:pP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val="en-US" w:eastAsia="zh-CN"/>
        </w:rPr>
        <w:t>交货</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lang w:eastAsia="zh-CN"/>
        </w:rPr>
        <w:t>、服务期</w:t>
      </w:r>
    </w:p>
    <w:p w14:paraId="288EAD2D">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1.交货时间：第一批供货于采购人下发采购需求后10日内完成交货，后续增补及换退为下单后5日内完成。</w:t>
      </w:r>
    </w:p>
    <w:p w14:paraId="32CF73F3">
      <w:pPr>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服务期：合同签订后</w:t>
      </w:r>
      <w:r>
        <w:rPr>
          <w:rFonts w:hint="eastAsia" w:ascii="仿宋" w:hAnsi="仿宋" w:eastAsia="仿宋" w:cs="仿宋"/>
          <w:color w:val="auto"/>
          <w:sz w:val="24"/>
          <w:szCs w:val="24"/>
          <w:highlight w:val="none"/>
          <w:lang w:val="en-US" w:eastAsia="zh-CN"/>
        </w:rPr>
        <w:t>两年。</w:t>
      </w:r>
    </w:p>
    <w:p w14:paraId="65DD426E">
      <w:pPr>
        <w:numPr>
          <w:ilvl w:val="0"/>
          <w:numId w:val="13"/>
        </w:numPr>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交货</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采购人指定地点</w:t>
      </w:r>
      <w:r>
        <w:rPr>
          <w:rFonts w:hint="eastAsia" w:ascii="仿宋" w:hAnsi="仿宋" w:eastAsia="仿宋" w:cs="仿宋"/>
          <w:color w:val="auto"/>
          <w:sz w:val="24"/>
          <w:szCs w:val="24"/>
          <w:highlight w:val="none"/>
          <w:lang w:eastAsia="zh-CN"/>
        </w:rPr>
        <w:t>。</w:t>
      </w:r>
    </w:p>
    <w:p w14:paraId="67BDF83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（三）验收标准及验收方式</w:t>
      </w:r>
    </w:p>
    <w:p w14:paraId="0ADCE067">
      <w:pPr>
        <w:snapToGrid w:val="0"/>
        <w:spacing w:line="360" w:lineRule="auto"/>
        <w:ind w:firstLine="480" w:firstLineChars="200"/>
        <w:rPr>
          <w:rFonts w:hint="eastAsia" w:ascii="仿宋" w:hAnsi="仿宋" w:eastAsia="仿宋" w:cs="仿宋"/>
          <w:color w:val="auto"/>
          <w:sz w:val="24"/>
          <w:szCs w:val="24"/>
          <w:highlight w:val="none"/>
        </w:rPr>
      </w:pPr>
      <w:bookmarkStart w:id="70" w:name="_Toc344475121"/>
      <w:bookmarkStart w:id="71" w:name="_Toc16683567"/>
      <w:bookmarkStart w:id="72" w:name="_Toc43125365"/>
      <w:bookmarkStart w:id="73" w:name="_Toc466546914"/>
      <w:bookmarkStart w:id="74" w:name="_Toc513145913"/>
      <w:bookmarkStart w:id="75" w:name="_Toc17439"/>
      <w:bookmarkStart w:id="76" w:name="_Toc43195292"/>
      <w:bookmarkStart w:id="77" w:name="_Toc31866"/>
      <w:r>
        <w:rPr>
          <w:rFonts w:hint="eastAsia" w:ascii="仿宋" w:hAnsi="仿宋" w:eastAsia="仿宋" w:cs="仿宋"/>
          <w:color w:val="auto"/>
          <w:sz w:val="24"/>
          <w:szCs w:val="24"/>
          <w:highlight w:val="none"/>
        </w:rPr>
        <w:t>1．货物到达现场后，供应商应经采购人或其指定验收单位清点品名、规格、数量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检查外观。</w:t>
      </w:r>
    </w:p>
    <w:p w14:paraId="3C7463BB">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2．供应商应保证货物到达用户所在地完好无损，如有缺漏、损坏，由供应商负责调换、补齐或赔偿。</w:t>
      </w:r>
    </w:p>
    <w:p w14:paraId="4164CB31">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3．供应商应提供完备的技术资料、装箱单和国家认可的第三方检验检测机构出具的有效的检验检测报告复印件</w:t>
      </w:r>
      <w:r>
        <w:rPr>
          <w:rFonts w:hint="eastAsia" w:ascii="仿宋" w:hAnsi="仿宋" w:eastAsia="仿宋" w:cs="仿宋"/>
          <w:color w:val="auto"/>
          <w:sz w:val="24"/>
          <w:szCs w:val="24"/>
          <w:highlight w:val="none"/>
        </w:rPr>
        <w:t>等。验收合格条件如下：</w:t>
      </w:r>
    </w:p>
    <w:p w14:paraId="2345A57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3.1商品品种、规格、数量、技术参数以及商品品牌、制造商等与采购合同一致，性能指标达到规定的标准。</w:t>
      </w:r>
    </w:p>
    <w:p w14:paraId="20D531B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3.2货物技术资料、装箱单、合格证等资料齐全。</w:t>
      </w:r>
    </w:p>
    <w:p w14:paraId="10544B0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3.3在规定时间内完成交货并验收，并经采购人确认。</w:t>
      </w:r>
    </w:p>
    <w:p w14:paraId="3B01BE5E">
      <w:pPr>
        <w:keepNext w:val="0"/>
        <w:keepLines w:val="0"/>
        <w:widowControl/>
        <w:suppressLineNumbers w:val="0"/>
        <w:spacing w:line="360" w:lineRule="auto"/>
        <w:ind w:firstLine="480" w:firstLineChars="20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4．</w:t>
      </w:r>
      <w:r>
        <w:rPr>
          <w:rFonts w:hint="eastAsia" w:ascii="仿宋" w:hAnsi="仿宋" w:eastAsia="仿宋" w:cs="仿宋"/>
          <w:i w:val="0"/>
          <w:iCs w:val="0"/>
          <w:color w:val="auto"/>
          <w:kern w:val="0"/>
          <w:sz w:val="24"/>
          <w:szCs w:val="24"/>
          <w:highlight w:val="none"/>
          <w:u w:val="none"/>
          <w:lang w:val="en-US" w:eastAsia="zh-CN" w:bidi="ar"/>
        </w:rPr>
        <w:t>成交供应商交付的服装必须与样衣一致，符合国家对同类产品规定的质量、环保标准，技术参数和要求与采购文件相符，否则采购人有权拒收，且不支付货款。</w:t>
      </w:r>
    </w:p>
    <w:p w14:paraId="43A9AD7B">
      <w:pPr>
        <w:keepNext w:val="0"/>
        <w:keepLines w:val="0"/>
        <w:widowControl/>
        <w:suppressLineNumbers w:val="0"/>
        <w:spacing w:line="360" w:lineRule="auto"/>
        <w:ind w:firstLine="482" w:firstLineChars="200"/>
        <w:jc w:val="left"/>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5．采购人对当批次校服成衣随机抽选送第三方机构检验，抽取送检数量不少于4件（套），同时留样4件（套）备查。检测费用由成交供应商承担；检测不合格的，采购人拒收该批次货物，所造成的一切损失由成交供应商负责。校服成衣具有合格标识，检验报告符合GB 18401-2010《国家纺织产品基本安全技术规范》、GB 31701-2015《婴幼儿及儿童纺织产品安全技术规范》、GB/T 31888-2015《中小学生校服》、GB/T 28468-2012《中小学交通安全反光校服》等国家标准。检验报告包含但不限于：甲醛含量、PH值、可分解致癌芳香胺染料、耐水色牢度、耐酸汗渍牢度、耐碱汗渍牢度、耐干摩擦色牢度、耐湿摩擦色牢度、纤维含量、绳带要求、附件锐利性、金属针、絮用纤维原料等13项检测要求。</w:t>
      </w:r>
    </w:p>
    <w:p w14:paraId="30E0D3E0">
      <w:pPr>
        <w:keepNext w:val="0"/>
        <w:keepLines w:val="0"/>
        <w:widowControl/>
        <w:suppressLineNumbers w:val="0"/>
        <w:spacing w:line="360" w:lineRule="auto"/>
        <w:ind w:firstLine="480" w:firstLineChars="20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6.按国家有关规定进行包装，因包装不当引起的损失等责任由成交供应商承担赔偿责任。</w:t>
      </w:r>
    </w:p>
    <w:p w14:paraId="5C17D68D">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产品包装材料归采购人所有（如果采购人需要）。</w:t>
      </w:r>
    </w:p>
    <w:p w14:paraId="520BCAB4">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供应商提供的校服款式采购人有无偿使用的权利。</w:t>
      </w:r>
    </w:p>
    <w:p w14:paraId="6DC6F409">
      <w:pPr>
        <w:pStyle w:val="3"/>
        <w:spacing w:before="0" w:after="0" w:line="360" w:lineRule="auto"/>
        <w:outlineLvl w:val="1"/>
        <w:rPr>
          <w:rFonts w:hint="eastAsia" w:ascii="仿宋" w:hAnsi="仿宋" w:eastAsia="仿宋" w:cs="仿宋"/>
          <w:b/>
          <w:color w:val="auto"/>
          <w:sz w:val="24"/>
          <w:szCs w:val="24"/>
          <w:highlight w:val="none"/>
          <w:lang w:eastAsia="zh-CN"/>
        </w:rPr>
      </w:pPr>
      <w:bookmarkStart w:id="78" w:name="_Toc7059"/>
      <w:bookmarkStart w:id="79" w:name="_Toc15024"/>
      <w:bookmarkStart w:id="80" w:name="_Toc31358"/>
      <w:bookmarkStart w:id="81" w:name="_Toc15042"/>
      <w:r>
        <w:rPr>
          <w:rFonts w:hint="eastAsia" w:ascii="仿宋" w:hAnsi="仿宋" w:eastAsia="仿宋" w:cs="仿宋"/>
          <w:snapToGrid w:val="0"/>
          <w:color w:val="auto"/>
          <w:kern w:val="0"/>
          <w:sz w:val="24"/>
          <w:szCs w:val="24"/>
          <w:highlight w:val="none"/>
          <w:lang w:val="en-US" w:eastAsia="zh-CN"/>
        </w:rPr>
        <w:t>※</w:t>
      </w:r>
      <w:r>
        <w:rPr>
          <w:rFonts w:hint="eastAsia" w:ascii="仿宋" w:hAnsi="仿宋" w:eastAsia="仿宋" w:cs="仿宋"/>
          <w:b/>
          <w:color w:val="auto"/>
          <w:sz w:val="24"/>
          <w:szCs w:val="24"/>
          <w:highlight w:val="none"/>
          <w:lang w:eastAsia="zh-CN"/>
        </w:rPr>
        <w:t>二、</w:t>
      </w:r>
      <w:bookmarkEnd w:id="70"/>
      <w:r>
        <w:rPr>
          <w:rFonts w:hint="eastAsia" w:ascii="仿宋" w:hAnsi="仿宋" w:eastAsia="仿宋" w:cs="仿宋"/>
          <w:b/>
          <w:color w:val="auto"/>
          <w:sz w:val="24"/>
          <w:szCs w:val="24"/>
          <w:highlight w:val="none"/>
          <w:lang w:eastAsia="zh-CN"/>
        </w:rPr>
        <w:t>报价要求</w:t>
      </w:r>
      <w:bookmarkEnd w:id="71"/>
      <w:bookmarkEnd w:id="72"/>
      <w:bookmarkEnd w:id="73"/>
      <w:bookmarkEnd w:id="74"/>
      <w:bookmarkEnd w:id="75"/>
      <w:bookmarkEnd w:id="76"/>
      <w:bookmarkEnd w:id="77"/>
      <w:bookmarkEnd w:id="78"/>
      <w:bookmarkEnd w:id="79"/>
      <w:bookmarkEnd w:id="80"/>
      <w:bookmarkEnd w:id="81"/>
    </w:p>
    <w:p w14:paraId="2797612F">
      <w:pPr>
        <w:snapToGrid w:val="0"/>
        <w:spacing w:line="360" w:lineRule="auto"/>
        <w:ind w:firstLine="480" w:firstLineChars="200"/>
        <w:rPr>
          <w:rFonts w:hint="eastAsia" w:ascii="仿宋" w:hAnsi="仿宋" w:eastAsia="仿宋" w:cs="仿宋"/>
          <w:color w:val="auto"/>
          <w:sz w:val="24"/>
          <w:szCs w:val="24"/>
          <w:highlight w:val="none"/>
        </w:rPr>
      </w:pPr>
      <w:bookmarkStart w:id="82" w:name="_Toc7792"/>
      <w:bookmarkStart w:id="83" w:name="_Toc9753"/>
      <w:bookmarkStart w:id="84" w:name="_Toc21381"/>
      <w:bookmarkStart w:id="85" w:name="_Toc15392"/>
      <w:bookmarkStart w:id="86" w:name="_Toc17233"/>
      <w:bookmarkStart w:id="87" w:name="_Toc8070"/>
      <w:bookmarkStart w:id="88" w:name="_Toc88843170"/>
      <w:bookmarkStart w:id="89" w:name="_Toc466546916"/>
      <w:bookmarkStart w:id="90" w:name="_Toc43125366"/>
      <w:bookmarkStart w:id="91" w:name="_Toc43195293"/>
      <w:bookmarkStart w:id="92" w:name="_Toc16683569"/>
      <w:bookmarkStart w:id="93" w:name="_Toc344475122"/>
      <w:bookmarkStart w:id="94" w:name="_Toc513145915"/>
      <w:r>
        <w:rPr>
          <w:rFonts w:hint="eastAsia" w:ascii="仿宋" w:hAnsi="仿宋" w:eastAsia="仿宋" w:cs="仿宋"/>
          <w:color w:val="auto"/>
          <w:sz w:val="24"/>
          <w:szCs w:val="24"/>
          <w:highlight w:val="none"/>
        </w:rPr>
        <w:t>本次报价采用</w:t>
      </w:r>
      <w:r>
        <w:rPr>
          <w:rFonts w:hint="eastAsia" w:ascii="仿宋" w:hAnsi="仿宋" w:eastAsia="仿宋" w:cs="仿宋"/>
          <w:color w:val="auto"/>
          <w:sz w:val="24"/>
          <w:szCs w:val="24"/>
          <w:highlight w:val="none"/>
          <w:lang w:val="en-US" w:eastAsia="zh-CN"/>
        </w:rPr>
        <w:t>人民币</w:t>
      </w:r>
      <w:r>
        <w:rPr>
          <w:rFonts w:hint="eastAsia" w:ascii="仿宋" w:hAnsi="仿宋" w:eastAsia="仿宋" w:cs="仿宋"/>
          <w:color w:val="auto"/>
          <w:sz w:val="24"/>
          <w:szCs w:val="24"/>
          <w:highlight w:val="none"/>
        </w:rPr>
        <w:t>报价，所报价格包括但不限于材料费、人工费、机具费、运输及应缴纳税费等所有费用。因成交供应商自身原因造成漏报、少报皆由其自行承担责任，采购人不再补偿。在服务期内，每</w:t>
      </w:r>
      <w:r>
        <w:rPr>
          <w:rFonts w:hint="eastAsia" w:ascii="仿宋" w:hAnsi="仿宋" w:eastAsia="仿宋" w:cs="仿宋"/>
          <w:color w:val="auto"/>
          <w:sz w:val="24"/>
          <w:szCs w:val="24"/>
          <w:highlight w:val="none"/>
          <w:lang w:val="en-US" w:eastAsia="zh-CN"/>
        </w:rPr>
        <w:t>件</w:t>
      </w:r>
      <w:r>
        <w:rPr>
          <w:rFonts w:hint="eastAsia" w:ascii="仿宋" w:hAnsi="仿宋" w:eastAsia="仿宋" w:cs="仿宋"/>
          <w:color w:val="auto"/>
          <w:sz w:val="24"/>
          <w:szCs w:val="24"/>
          <w:highlight w:val="none"/>
        </w:rPr>
        <w:t>单价不因任何因素作调整。</w:t>
      </w:r>
      <w:bookmarkEnd w:id="82"/>
      <w:bookmarkEnd w:id="83"/>
      <w:bookmarkEnd w:id="84"/>
      <w:bookmarkEnd w:id="85"/>
      <w:bookmarkEnd w:id="86"/>
      <w:bookmarkEnd w:id="87"/>
      <w:bookmarkEnd w:id="88"/>
    </w:p>
    <w:p w14:paraId="7AACB90E">
      <w:pPr>
        <w:pStyle w:val="3"/>
        <w:spacing w:before="0" w:after="0" w:line="360" w:lineRule="auto"/>
        <w:outlineLvl w:val="1"/>
        <w:rPr>
          <w:rFonts w:hint="eastAsia" w:ascii="仿宋" w:hAnsi="仿宋" w:eastAsia="仿宋" w:cs="仿宋"/>
          <w:b/>
          <w:color w:val="auto"/>
          <w:sz w:val="24"/>
          <w:szCs w:val="24"/>
          <w:highlight w:val="none"/>
          <w:lang w:eastAsia="zh-CN"/>
        </w:rPr>
      </w:pPr>
      <w:bookmarkStart w:id="95" w:name="_Toc13891"/>
      <w:bookmarkStart w:id="96" w:name="_Toc1395"/>
      <w:bookmarkStart w:id="97" w:name="_Toc6907"/>
      <w:bookmarkStart w:id="98" w:name="_Toc17874"/>
      <w:bookmarkStart w:id="99" w:name="_Toc30713"/>
      <w:bookmarkStart w:id="100" w:name="_Toc19071"/>
      <w:r>
        <w:rPr>
          <w:rFonts w:hint="eastAsia" w:ascii="仿宋" w:hAnsi="仿宋" w:eastAsia="仿宋" w:cs="仿宋"/>
          <w:snapToGrid w:val="0"/>
          <w:color w:val="auto"/>
          <w:kern w:val="0"/>
          <w:sz w:val="24"/>
          <w:szCs w:val="24"/>
          <w:highlight w:val="none"/>
          <w:lang w:val="en-US" w:eastAsia="zh-CN"/>
        </w:rPr>
        <w:t>※</w:t>
      </w:r>
      <w:r>
        <w:rPr>
          <w:rFonts w:hint="eastAsia" w:ascii="仿宋" w:hAnsi="仿宋" w:eastAsia="仿宋" w:cs="仿宋"/>
          <w:b/>
          <w:color w:val="auto"/>
          <w:sz w:val="24"/>
          <w:szCs w:val="24"/>
          <w:highlight w:val="none"/>
          <w:lang w:eastAsia="zh-CN"/>
        </w:rPr>
        <w:t>三、付款方式</w:t>
      </w:r>
      <w:bookmarkEnd w:id="89"/>
      <w:bookmarkEnd w:id="90"/>
      <w:bookmarkEnd w:id="91"/>
      <w:bookmarkEnd w:id="92"/>
      <w:bookmarkEnd w:id="93"/>
      <w:bookmarkEnd w:id="94"/>
      <w:bookmarkEnd w:id="95"/>
      <w:bookmarkEnd w:id="96"/>
      <w:bookmarkEnd w:id="97"/>
      <w:bookmarkEnd w:id="98"/>
      <w:bookmarkEnd w:id="99"/>
      <w:bookmarkEnd w:id="100"/>
    </w:p>
    <w:p w14:paraId="6A1FE530">
      <w:pPr>
        <w:numPr>
          <w:ilvl w:val="0"/>
          <w:numId w:val="0"/>
        </w:numPr>
        <w:snapToGrid w:val="0"/>
        <w:spacing w:line="360" w:lineRule="auto"/>
        <w:ind w:firstLine="480" w:firstLineChars="200"/>
        <w:rPr>
          <w:rFonts w:hint="eastAsia" w:ascii="仿宋" w:hAnsi="仿宋" w:eastAsia="仿宋" w:cs="仿宋"/>
          <w:color w:val="auto"/>
          <w:sz w:val="24"/>
          <w:szCs w:val="24"/>
          <w:highlight w:val="none"/>
          <w:lang w:val="en-US" w:eastAsia="zh-CN"/>
        </w:rPr>
      </w:pPr>
      <w:bookmarkStart w:id="101" w:name="_Toc43195294"/>
      <w:bookmarkStart w:id="102" w:name="_Toc31854"/>
      <w:bookmarkStart w:id="103" w:name="_Toc513145917"/>
      <w:bookmarkStart w:id="104" w:name="_Toc414610283"/>
      <w:bookmarkStart w:id="105" w:name="_Toc16683570"/>
      <w:bookmarkStart w:id="106" w:name="_Toc16882"/>
      <w:bookmarkStart w:id="107" w:name="_Toc43125367"/>
      <w:bookmarkStart w:id="108" w:name="_Toc344475123"/>
      <w:r>
        <w:rPr>
          <w:rFonts w:hint="eastAsia" w:ascii="仿宋" w:hAnsi="仿宋" w:eastAsia="仿宋" w:cs="仿宋"/>
          <w:color w:val="auto"/>
          <w:kern w:val="2"/>
          <w:sz w:val="24"/>
          <w:szCs w:val="24"/>
          <w:highlight w:val="none"/>
          <w:lang w:val="en-US" w:eastAsia="zh-CN" w:bidi="ar-SA"/>
        </w:rPr>
        <w:t>1.</w:t>
      </w:r>
      <w:bookmarkStart w:id="109" w:name="_Toc1522"/>
      <w:bookmarkStart w:id="110" w:name="_Toc21861"/>
      <w:bookmarkStart w:id="111" w:name="_Toc26470"/>
      <w:bookmarkStart w:id="112" w:name="_Toc7602"/>
      <w:r>
        <w:rPr>
          <w:rFonts w:hint="eastAsia" w:ascii="仿宋" w:hAnsi="仿宋" w:eastAsia="仿宋" w:cs="仿宋"/>
          <w:color w:val="auto"/>
          <w:sz w:val="24"/>
          <w:szCs w:val="24"/>
          <w:highlight w:val="none"/>
          <w:lang w:val="zh-CN" w:eastAsia="zh-CN"/>
        </w:rPr>
        <w:t>以家长实际购买数量×每件成交单价据实结算</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eastAsia="zh-CN"/>
        </w:rPr>
        <w:t>供应商提供“网上商城”服务，由家长按需自主采购。</w:t>
      </w:r>
    </w:p>
    <w:p w14:paraId="748B51DB">
      <w:pPr>
        <w:numPr>
          <w:ilvl w:val="0"/>
          <w:numId w:val="0"/>
        </w:numPr>
        <w:snapToGrid w:val="0"/>
        <w:spacing w:line="360" w:lineRule="auto"/>
        <w:ind w:firstLine="482" w:firstLineChars="200"/>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成交供应商应配合采购人要求进行资金监管。采购人、成交供应商、银行签订三方协议，成交供应商设立项目专用银行账户，家长选购后支付到项目专用银行账户，验收合格后支付95%货款,剩余5%于两年服务期结束后一次性支付。所有支付均为无息支付。</w:t>
      </w:r>
    </w:p>
    <w:p w14:paraId="3B064AA0">
      <w:pPr>
        <w:pStyle w:val="3"/>
        <w:spacing w:before="0" w:after="0" w:line="360" w:lineRule="auto"/>
        <w:outlineLvl w:val="1"/>
        <w:rPr>
          <w:rFonts w:hint="eastAsia" w:ascii="仿宋" w:hAnsi="仿宋" w:eastAsia="仿宋" w:cs="仿宋"/>
          <w:b/>
          <w:color w:val="auto"/>
          <w:sz w:val="24"/>
          <w:szCs w:val="24"/>
          <w:highlight w:val="none"/>
          <w:lang w:val="en-US" w:eastAsia="zh-CN"/>
        </w:rPr>
      </w:pPr>
      <w:bookmarkStart w:id="113" w:name="_Toc31707"/>
      <w:r>
        <w:rPr>
          <w:rFonts w:hint="eastAsia" w:ascii="仿宋" w:hAnsi="仿宋" w:eastAsia="仿宋" w:cs="仿宋"/>
          <w:b/>
          <w:color w:val="auto"/>
          <w:sz w:val="24"/>
          <w:szCs w:val="24"/>
          <w:highlight w:val="none"/>
          <w:lang w:val="en-US" w:eastAsia="zh-CN"/>
        </w:rPr>
        <w:t>※四、质量保证及售后服务</w:t>
      </w:r>
      <w:bookmarkEnd w:id="109"/>
      <w:bookmarkEnd w:id="110"/>
      <w:bookmarkEnd w:id="111"/>
      <w:bookmarkEnd w:id="112"/>
      <w:bookmarkEnd w:id="113"/>
    </w:p>
    <w:p w14:paraId="0379586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质量保证要求</w:t>
      </w:r>
    </w:p>
    <w:p w14:paraId="7CB06E9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质保期：自验收合格之日起，质量保证期</w:t>
      </w:r>
      <w:r>
        <w:rPr>
          <w:rFonts w:hint="eastAsia" w:ascii="仿宋" w:hAnsi="仿宋" w:eastAsia="仿宋" w:cs="仿宋"/>
          <w:color w:val="auto"/>
          <w:sz w:val="24"/>
          <w:szCs w:val="24"/>
          <w:highlight w:val="none"/>
          <w:lang w:val="en-US" w:eastAsia="zh-CN"/>
        </w:rPr>
        <w:t>不少于6个月</w:t>
      </w:r>
      <w:r>
        <w:rPr>
          <w:rFonts w:hint="eastAsia" w:ascii="仿宋" w:hAnsi="仿宋" w:eastAsia="仿宋" w:cs="仿宋"/>
          <w:color w:val="auto"/>
          <w:sz w:val="24"/>
          <w:szCs w:val="24"/>
          <w:highlight w:val="none"/>
        </w:rPr>
        <w:t>。质保期内出现质量</w:t>
      </w:r>
      <w:r>
        <w:rPr>
          <w:rFonts w:hint="eastAsia" w:ascii="仿宋" w:hAnsi="仿宋" w:eastAsia="仿宋" w:cs="仿宋"/>
          <w:color w:val="auto"/>
          <w:sz w:val="24"/>
          <w:szCs w:val="24"/>
          <w:highlight w:val="none"/>
          <w:lang w:val="en-US" w:eastAsia="zh-CN"/>
        </w:rPr>
        <w:t>问题</w:t>
      </w:r>
      <w:r>
        <w:rPr>
          <w:rFonts w:hint="eastAsia" w:ascii="仿宋" w:hAnsi="仿宋" w:eastAsia="仿宋" w:cs="仿宋"/>
          <w:color w:val="auto"/>
          <w:sz w:val="24"/>
          <w:szCs w:val="24"/>
          <w:highlight w:val="none"/>
        </w:rPr>
        <w:t>，成交供应商在接到通知后3日内完成更换，并承担更换的所有费用；如货物经成交供应商2次更换仍不能达到约定的质量标准，采购人有权退货并追究成交供应商的违约责任。</w:t>
      </w:r>
    </w:p>
    <w:p w14:paraId="5002145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供应商必须按照要求提供相应货品，所有产品均须符合国家环保要求、相关质量标准和采购文件要求，所供的货品必须是全新产品。严格执行</w:t>
      </w:r>
      <w:r>
        <w:rPr>
          <w:rFonts w:hint="eastAsia" w:ascii="仿宋" w:hAnsi="仿宋" w:eastAsia="仿宋" w:cs="仿宋"/>
          <w:snapToGrid w:val="0"/>
          <w:color w:val="auto"/>
          <w:kern w:val="0"/>
          <w:sz w:val="24"/>
          <w:szCs w:val="24"/>
          <w:highlight w:val="none"/>
          <w:lang w:val="en-US" w:eastAsia="zh-CN"/>
        </w:rPr>
        <w:t>《国家纺织产品基本安全技术规范》（GB 18401-2010）、《婴幼儿及儿童纺织产品安全技术规范》（GB 31701-2015）、《中小学生校服》（GB/T 31888-2015）、《中小学交通安全反光校服》（GB/T 28468-2012）</w:t>
      </w:r>
      <w:r>
        <w:rPr>
          <w:rFonts w:hint="eastAsia" w:ascii="仿宋" w:hAnsi="仿宋" w:eastAsia="仿宋" w:cs="仿宋"/>
          <w:color w:val="auto"/>
          <w:sz w:val="24"/>
          <w:szCs w:val="24"/>
          <w:highlight w:val="none"/>
        </w:rPr>
        <w:t>规定质量标准要求。对同类产品规定的质量、环保标准，技术参数和配置要求与采购文件相符，相关资料齐全，不得出售假冒伪劣产品。</w:t>
      </w:r>
    </w:p>
    <w:p w14:paraId="52AE469D">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1.3成交</w:t>
      </w:r>
      <w:r>
        <w:rPr>
          <w:rFonts w:hint="eastAsia" w:ascii="仿宋" w:hAnsi="仿宋" w:eastAsia="仿宋" w:cs="仿宋"/>
          <w:color w:val="auto"/>
          <w:sz w:val="24"/>
          <w:szCs w:val="24"/>
          <w:highlight w:val="none"/>
        </w:rPr>
        <w:t>供应商应提供“网上商城”服务，同时安排1-2名专门的售后服务人员与采购人对接售后服务工作，方便学生或家长后期自行购买及其他售后服务处理。</w:t>
      </w:r>
    </w:p>
    <w:p w14:paraId="1A18A0D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2.质保期外服务要求</w:t>
      </w:r>
    </w:p>
    <w:p w14:paraId="7BC94DE3">
      <w:pPr>
        <w:snapToGrid w:val="0"/>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2.1服务期后，采购人需要继续由原供应商提供售后服务的，该供应商应以不高于市场价提供售后服务。</w:t>
      </w:r>
    </w:p>
    <w:p w14:paraId="6B2EFF03">
      <w:pPr>
        <w:pStyle w:val="3"/>
        <w:spacing w:before="0" w:after="0" w:line="360" w:lineRule="auto"/>
        <w:outlineLvl w:val="1"/>
        <w:rPr>
          <w:rFonts w:hint="eastAsia" w:ascii="仿宋" w:hAnsi="仿宋" w:eastAsia="仿宋" w:cs="仿宋"/>
          <w:b/>
          <w:color w:val="auto"/>
          <w:sz w:val="24"/>
          <w:szCs w:val="24"/>
          <w:highlight w:val="none"/>
          <w:lang w:eastAsia="zh-CN"/>
        </w:rPr>
      </w:pPr>
      <w:bookmarkStart w:id="114" w:name="_Toc21449"/>
      <w:bookmarkStart w:id="115" w:name="_Toc17627"/>
      <w:bookmarkStart w:id="116" w:name="_Toc31444"/>
      <w:bookmarkStart w:id="117" w:name="_Toc20504"/>
      <w:r>
        <w:rPr>
          <w:rFonts w:hint="eastAsia" w:ascii="仿宋" w:hAnsi="仿宋" w:eastAsia="仿宋" w:cs="仿宋"/>
          <w:snapToGrid w:val="0"/>
          <w:color w:val="auto"/>
          <w:kern w:val="0"/>
          <w:sz w:val="24"/>
          <w:szCs w:val="24"/>
          <w:highlight w:val="none"/>
          <w:lang w:val="en-US" w:eastAsia="zh-CN"/>
        </w:rPr>
        <w:t>※</w:t>
      </w: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lang w:eastAsia="zh-CN"/>
        </w:rPr>
        <w:t>、知识产权</w:t>
      </w:r>
      <w:bookmarkEnd w:id="101"/>
      <w:bookmarkEnd w:id="102"/>
      <w:bookmarkEnd w:id="103"/>
      <w:bookmarkEnd w:id="104"/>
      <w:bookmarkEnd w:id="105"/>
      <w:bookmarkEnd w:id="106"/>
      <w:bookmarkEnd w:id="107"/>
      <w:bookmarkEnd w:id="108"/>
      <w:bookmarkEnd w:id="114"/>
      <w:bookmarkEnd w:id="115"/>
      <w:bookmarkEnd w:id="116"/>
      <w:bookmarkEnd w:id="117"/>
    </w:p>
    <w:p w14:paraId="62E93F14">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采购人在中华人民共和国境内使用成交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提供的项目内容及服务时免受第三方提出的侵犯其专利权或其它知识产权的起诉。如果第三方提出侵权指控，成交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应承担由此而引起的一切法律责任和费用。</w:t>
      </w:r>
    </w:p>
    <w:p w14:paraId="24FA1CA5">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val="en-US" w:eastAsia="zh-CN"/>
        </w:rPr>
        <w:t>成交供应商设计方案涉及</w:t>
      </w:r>
      <w:r>
        <w:rPr>
          <w:rFonts w:hint="eastAsia" w:ascii="仿宋" w:hAnsi="仿宋" w:eastAsia="仿宋" w:cs="仿宋"/>
          <w:color w:val="auto"/>
          <w:sz w:val="24"/>
          <w:szCs w:val="24"/>
          <w:highlight w:val="none"/>
        </w:rPr>
        <w:t>知识产权的，知识产权归采购人所有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成交供应商设计方案的所有权及使用权归采购人所有</w:t>
      </w:r>
      <w:r>
        <w:rPr>
          <w:rFonts w:hint="eastAsia" w:ascii="仿宋" w:hAnsi="仿宋" w:eastAsia="仿宋" w:cs="仿宋"/>
          <w:color w:val="auto"/>
          <w:sz w:val="24"/>
          <w:szCs w:val="24"/>
          <w:highlight w:val="none"/>
        </w:rPr>
        <w:t>）。</w:t>
      </w:r>
    </w:p>
    <w:p w14:paraId="2EFA4967">
      <w:pPr>
        <w:pStyle w:val="3"/>
        <w:spacing w:before="0" w:after="0" w:line="360" w:lineRule="auto"/>
        <w:outlineLvl w:val="1"/>
        <w:rPr>
          <w:rFonts w:hint="eastAsia" w:ascii="仿宋" w:hAnsi="仿宋" w:eastAsia="仿宋" w:cs="仿宋"/>
          <w:b/>
          <w:color w:val="auto"/>
          <w:sz w:val="24"/>
          <w:szCs w:val="24"/>
          <w:highlight w:val="none"/>
          <w:lang w:eastAsia="zh-CN"/>
        </w:rPr>
      </w:pPr>
      <w:bookmarkStart w:id="118" w:name="_Toc513145918"/>
      <w:bookmarkStart w:id="119" w:name="_Toc4528"/>
      <w:bookmarkStart w:id="120" w:name="_Toc414610285"/>
      <w:bookmarkStart w:id="121" w:name="_Toc32242"/>
      <w:bookmarkStart w:id="122" w:name="_Toc20238"/>
      <w:bookmarkStart w:id="123" w:name="_Toc43195295"/>
      <w:bookmarkStart w:id="124" w:name="_Toc16683571"/>
      <w:bookmarkStart w:id="125" w:name="_Toc17462"/>
      <w:bookmarkStart w:id="126" w:name="_Toc43125368"/>
      <w:bookmarkStart w:id="127" w:name="_Toc28619"/>
      <w:bookmarkStart w:id="128" w:name="_Toc23348"/>
      <w:r>
        <w:rPr>
          <w:rFonts w:hint="eastAsia" w:ascii="仿宋" w:hAnsi="仿宋" w:eastAsia="仿宋" w:cs="仿宋"/>
          <w:b/>
          <w:color w:val="auto"/>
          <w:sz w:val="24"/>
          <w:szCs w:val="24"/>
          <w:highlight w:val="none"/>
          <w:lang w:val="en-US" w:eastAsia="zh-CN"/>
        </w:rPr>
        <w:t>六</w:t>
      </w:r>
      <w:r>
        <w:rPr>
          <w:rFonts w:hint="eastAsia" w:ascii="仿宋" w:hAnsi="仿宋" w:eastAsia="仿宋" w:cs="仿宋"/>
          <w:b/>
          <w:color w:val="auto"/>
          <w:sz w:val="24"/>
          <w:szCs w:val="24"/>
          <w:highlight w:val="none"/>
          <w:lang w:eastAsia="zh-CN"/>
        </w:rPr>
        <w:t>、</w:t>
      </w:r>
      <w:bookmarkStart w:id="129" w:name="_Toc344475125"/>
      <w:r>
        <w:rPr>
          <w:rFonts w:hint="eastAsia" w:ascii="仿宋" w:hAnsi="仿宋" w:eastAsia="仿宋" w:cs="仿宋"/>
          <w:b/>
          <w:color w:val="auto"/>
          <w:sz w:val="24"/>
          <w:szCs w:val="24"/>
          <w:highlight w:val="none"/>
          <w:lang w:eastAsia="zh-CN"/>
        </w:rPr>
        <w:t>其他</w:t>
      </w:r>
      <w:bookmarkEnd w:id="118"/>
      <w:bookmarkEnd w:id="119"/>
      <w:bookmarkEnd w:id="120"/>
      <w:bookmarkEnd w:id="121"/>
      <w:bookmarkEnd w:id="122"/>
      <w:bookmarkEnd w:id="123"/>
      <w:bookmarkEnd w:id="124"/>
      <w:bookmarkEnd w:id="125"/>
      <w:bookmarkEnd w:id="126"/>
      <w:bookmarkEnd w:id="127"/>
      <w:bookmarkEnd w:id="128"/>
    </w:p>
    <w:bookmarkEnd w:id="129"/>
    <w:p w14:paraId="2A08F38F">
      <w:pPr>
        <w:snapToGrid w:val="0"/>
        <w:spacing w:line="360" w:lineRule="auto"/>
        <w:ind w:firstLine="54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其他未尽事宜由供需双方在采购合同中详细约定。</w:t>
      </w:r>
    </w:p>
    <w:p w14:paraId="4A523CC4">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br w:type="page"/>
      </w:r>
    </w:p>
    <w:p w14:paraId="302E8218">
      <w:pPr>
        <w:pStyle w:val="2"/>
        <w:spacing w:before="0" w:after="0" w:line="360" w:lineRule="auto"/>
        <w:jc w:val="center"/>
        <w:outlineLvl w:val="0"/>
        <w:rPr>
          <w:rFonts w:hint="eastAsia" w:ascii="仿宋" w:hAnsi="仿宋" w:eastAsia="仿宋" w:cs="仿宋"/>
          <w:b/>
          <w:bCs/>
          <w:color w:val="auto"/>
          <w:sz w:val="36"/>
          <w:szCs w:val="36"/>
          <w:highlight w:val="none"/>
        </w:rPr>
      </w:pPr>
      <w:bookmarkStart w:id="130" w:name="_Toc19340"/>
      <w:r>
        <w:rPr>
          <w:rFonts w:hint="eastAsia" w:ascii="仿宋" w:hAnsi="仿宋" w:eastAsia="仿宋" w:cs="仿宋"/>
          <w:b/>
          <w:bCs/>
          <w:color w:val="auto"/>
          <w:sz w:val="36"/>
          <w:szCs w:val="36"/>
          <w:highlight w:val="none"/>
        </w:rPr>
        <w:t>第四篇  磋商程序及方法、评审标准、无效响应和采购终止</w:t>
      </w:r>
      <w:bookmarkEnd w:id="130"/>
    </w:p>
    <w:p w14:paraId="043B9C2C">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31" w:name="_Toc25788"/>
      <w:r>
        <w:rPr>
          <w:rFonts w:hint="eastAsia" w:ascii="仿宋" w:hAnsi="仿宋" w:eastAsia="仿宋" w:cs="仿宋"/>
          <w:color w:val="auto"/>
          <w:sz w:val="24"/>
          <w:highlight w:val="none"/>
        </w:rPr>
        <w:t>一、磋商程序及方法</w:t>
      </w:r>
      <w:bookmarkEnd w:id="131"/>
    </w:p>
    <w:p w14:paraId="56DD886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磋商按竞争性磋商文件规定的时间和地点进行，供应商须有法定代表人（或其授权代表）或自然人参加并签到。竞争性磋商以抽签的形式确定磋商顺序，由本项目依法组建的竞争性磋商小组（以下简称磋商小组）分别与各供应商进行磋商。</w:t>
      </w:r>
    </w:p>
    <w:p w14:paraId="1B663A5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（二）磋商小组对各供应商的资格条件、响应文件的有效性、完整性和响应程度进行审查。各供应商只有在完全符合要求的前提下，才能参与正式磋商。</w:t>
      </w:r>
    </w:p>
    <w:p w14:paraId="5F18A09C">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kern w:val="0"/>
          <w:sz w:val="24"/>
          <w:szCs w:val="24"/>
          <w:highlight w:val="none"/>
        </w:rPr>
        <w:t>资格性审查。依据法律法规和竞争性磋商文件的规定，对响应文件中的资格证明、等进行审查，以确定供应商是否具备磋商资格。资格性审查资料表如下：</w:t>
      </w:r>
    </w:p>
    <w:tbl>
      <w:tblPr>
        <w:tblStyle w:val="60"/>
        <w:tblW w:w="0" w:type="auto"/>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20"/>
        <w:gridCol w:w="3256"/>
        <w:gridCol w:w="4806"/>
      </w:tblGrid>
      <w:tr w14:paraId="6A4A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tcBorders>
              <w:top w:val="single" w:color="auto" w:sz="4" w:space="0"/>
              <w:left w:val="single" w:color="auto" w:sz="4" w:space="0"/>
              <w:bottom w:val="single" w:color="auto" w:sz="4" w:space="0"/>
              <w:right w:val="single" w:color="auto" w:sz="4" w:space="0"/>
            </w:tcBorders>
            <w:noWrap w:val="0"/>
            <w:vAlign w:val="center"/>
          </w:tcPr>
          <w:p w14:paraId="029D9E07">
            <w:pPr>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序号</w:t>
            </w:r>
          </w:p>
        </w:tc>
        <w:tc>
          <w:tcPr>
            <w:tcW w:w="3976" w:type="dxa"/>
            <w:gridSpan w:val="2"/>
            <w:tcBorders>
              <w:top w:val="single" w:color="auto" w:sz="4" w:space="0"/>
              <w:left w:val="single" w:color="auto" w:sz="4" w:space="0"/>
              <w:bottom w:val="single" w:color="auto" w:sz="4" w:space="0"/>
              <w:right w:val="single" w:color="auto" w:sz="4" w:space="0"/>
            </w:tcBorders>
            <w:noWrap w:val="0"/>
            <w:vAlign w:val="center"/>
          </w:tcPr>
          <w:p w14:paraId="13D825D3">
            <w:pPr>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检查因素</w:t>
            </w:r>
          </w:p>
        </w:tc>
        <w:tc>
          <w:tcPr>
            <w:tcW w:w="4806" w:type="dxa"/>
            <w:tcBorders>
              <w:top w:val="single" w:color="auto" w:sz="4" w:space="0"/>
              <w:left w:val="single" w:color="auto" w:sz="4" w:space="0"/>
              <w:bottom w:val="single" w:color="auto" w:sz="4" w:space="0"/>
              <w:right w:val="single" w:color="auto" w:sz="4" w:space="0"/>
            </w:tcBorders>
            <w:noWrap w:val="0"/>
            <w:vAlign w:val="center"/>
          </w:tcPr>
          <w:p w14:paraId="7EF5A1E1">
            <w:pPr>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检查内容</w:t>
            </w:r>
          </w:p>
        </w:tc>
      </w:tr>
      <w:tr w14:paraId="32C8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noWrap w:val="0"/>
            <w:vAlign w:val="center"/>
          </w:tcPr>
          <w:p w14:paraId="7BF200AE">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w:t>
            </w:r>
          </w:p>
        </w:tc>
        <w:tc>
          <w:tcPr>
            <w:tcW w:w="720" w:type="dxa"/>
            <w:vMerge w:val="restart"/>
            <w:noWrap w:val="0"/>
            <w:vAlign w:val="center"/>
          </w:tcPr>
          <w:p w14:paraId="5E940E3B">
            <w:pPr>
              <w:spacing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《中华人民共和国政府采购法》第二十二条规定</w:t>
            </w:r>
          </w:p>
        </w:tc>
        <w:tc>
          <w:tcPr>
            <w:tcW w:w="3256" w:type="dxa"/>
            <w:noWrap w:val="0"/>
            <w:vAlign w:val="center"/>
          </w:tcPr>
          <w:p w14:paraId="46B2BB5F">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1.具有独立承担民事责任的能力</w:t>
            </w:r>
          </w:p>
        </w:tc>
        <w:tc>
          <w:tcPr>
            <w:tcW w:w="4806" w:type="dxa"/>
            <w:noWrap w:val="0"/>
            <w:vAlign w:val="center"/>
          </w:tcPr>
          <w:p w14:paraId="533036CF">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1.供应商法人营业执照（副本）或事业单位法人证书（副本）或个体工商户营业执照或有效的自然人身份证明或社会团体法人登记证书（提供复印件）。 </w:t>
            </w:r>
          </w:p>
          <w:p w14:paraId="4DAACB3A">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2.供应商法定代表人身份证明和法定代表人授权代表委托书。</w:t>
            </w:r>
          </w:p>
        </w:tc>
      </w:tr>
      <w:tr w14:paraId="27F2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3C19C419">
            <w:pPr>
              <w:spacing w:line="360" w:lineRule="auto"/>
              <w:jc w:val="center"/>
              <w:rPr>
                <w:rFonts w:hint="eastAsia" w:ascii="仿宋" w:hAnsi="仿宋" w:eastAsia="仿宋" w:cs="仿宋"/>
                <w:color w:val="auto"/>
                <w:sz w:val="21"/>
                <w:szCs w:val="21"/>
                <w:highlight w:val="none"/>
              </w:rPr>
            </w:pPr>
          </w:p>
        </w:tc>
        <w:tc>
          <w:tcPr>
            <w:tcW w:w="720" w:type="dxa"/>
            <w:vMerge w:val="continue"/>
            <w:noWrap w:val="0"/>
            <w:vAlign w:val="center"/>
          </w:tcPr>
          <w:p w14:paraId="40B1BA1B">
            <w:pPr>
              <w:spacing w:line="360" w:lineRule="auto"/>
              <w:rPr>
                <w:rFonts w:hint="eastAsia" w:ascii="仿宋" w:hAnsi="仿宋" w:eastAsia="仿宋" w:cs="仿宋"/>
                <w:color w:val="auto"/>
                <w:sz w:val="21"/>
                <w:szCs w:val="21"/>
                <w:highlight w:val="none"/>
                <w:lang w:val="zh-CN"/>
              </w:rPr>
            </w:pPr>
          </w:p>
        </w:tc>
        <w:tc>
          <w:tcPr>
            <w:tcW w:w="3256" w:type="dxa"/>
            <w:noWrap w:val="0"/>
            <w:vAlign w:val="center"/>
          </w:tcPr>
          <w:p w14:paraId="0C466363">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2.</w:t>
            </w:r>
            <w:r>
              <w:rPr>
                <w:rFonts w:hint="eastAsia" w:ascii="仿宋" w:hAnsi="仿宋" w:eastAsia="仿宋" w:cs="仿宋"/>
                <w:color w:val="auto"/>
                <w:sz w:val="21"/>
                <w:szCs w:val="21"/>
                <w:highlight w:val="none"/>
              </w:rPr>
              <w:t>具有良好的商业信誉和健全的财务会计制度</w:t>
            </w:r>
          </w:p>
        </w:tc>
        <w:tc>
          <w:tcPr>
            <w:tcW w:w="4806" w:type="dxa"/>
            <w:vMerge w:val="restart"/>
            <w:noWrap w:val="0"/>
            <w:vAlign w:val="center"/>
          </w:tcPr>
          <w:p w14:paraId="2CBB0FD2">
            <w:pPr>
              <w:spacing w:line="360" w:lineRule="auto"/>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供应商提供“基本资格条件承诺函”（格式详见第七篇）</w:t>
            </w:r>
          </w:p>
        </w:tc>
      </w:tr>
      <w:tr w14:paraId="44A5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744D368B">
            <w:pPr>
              <w:spacing w:line="360" w:lineRule="auto"/>
              <w:jc w:val="center"/>
              <w:rPr>
                <w:rFonts w:hint="eastAsia" w:ascii="仿宋" w:hAnsi="仿宋" w:eastAsia="仿宋" w:cs="仿宋"/>
                <w:color w:val="auto"/>
                <w:sz w:val="21"/>
                <w:szCs w:val="21"/>
                <w:highlight w:val="none"/>
              </w:rPr>
            </w:pPr>
          </w:p>
        </w:tc>
        <w:tc>
          <w:tcPr>
            <w:tcW w:w="720" w:type="dxa"/>
            <w:vMerge w:val="continue"/>
            <w:noWrap w:val="0"/>
            <w:vAlign w:val="center"/>
          </w:tcPr>
          <w:p w14:paraId="65A64B37">
            <w:pPr>
              <w:spacing w:line="360" w:lineRule="auto"/>
              <w:rPr>
                <w:rFonts w:hint="eastAsia" w:ascii="仿宋" w:hAnsi="仿宋" w:eastAsia="仿宋" w:cs="仿宋"/>
                <w:color w:val="auto"/>
                <w:sz w:val="21"/>
                <w:szCs w:val="21"/>
                <w:highlight w:val="none"/>
                <w:lang w:val="zh-CN"/>
              </w:rPr>
            </w:pPr>
          </w:p>
        </w:tc>
        <w:tc>
          <w:tcPr>
            <w:tcW w:w="3256" w:type="dxa"/>
            <w:noWrap w:val="0"/>
            <w:vAlign w:val="center"/>
          </w:tcPr>
          <w:p w14:paraId="0FD608AD">
            <w:pPr>
              <w:spacing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3.具有履行合同所必需的设备和专业技术能力</w:t>
            </w:r>
          </w:p>
        </w:tc>
        <w:tc>
          <w:tcPr>
            <w:tcW w:w="4806" w:type="dxa"/>
            <w:vMerge w:val="continue"/>
            <w:noWrap w:val="0"/>
            <w:vAlign w:val="center"/>
          </w:tcPr>
          <w:p w14:paraId="7614E9FA">
            <w:pPr>
              <w:spacing w:line="360" w:lineRule="auto"/>
              <w:rPr>
                <w:rFonts w:hint="eastAsia" w:ascii="仿宋" w:hAnsi="仿宋" w:eastAsia="仿宋" w:cs="仿宋"/>
                <w:color w:val="auto"/>
                <w:sz w:val="21"/>
                <w:szCs w:val="21"/>
                <w:highlight w:val="none"/>
              </w:rPr>
            </w:pPr>
          </w:p>
        </w:tc>
      </w:tr>
      <w:tr w14:paraId="0A20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3FA193EE">
            <w:pPr>
              <w:spacing w:line="360" w:lineRule="auto"/>
              <w:jc w:val="center"/>
              <w:rPr>
                <w:rFonts w:hint="eastAsia" w:ascii="仿宋" w:hAnsi="仿宋" w:eastAsia="仿宋" w:cs="仿宋"/>
                <w:color w:val="auto"/>
                <w:sz w:val="21"/>
                <w:szCs w:val="21"/>
                <w:highlight w:val="none"/>
              </w:rPr>
            </w:pPr>
          </w:p>
        </w:tc>
        <w:tc>
          <w:tcPr>
            <w:tcW w:w="720" w:type="dxa"/>
            <w:vMerge w:val="continue"/>
            <w:noWrap w:val="0"/>
            <w:vAlign w:val="center"/>
          </w:tcPr>
          <w:p w14:paraId="3BFC818E">
            <w:pPr>
              <w:spacing w:line="360" w:lineRule="auto"/>
              <w:rPr>
                <w:rFonts w:hint="eastAsia" w:ascii="仿宋" w:hAnsi="仿宋" w:eastAsia="仿宋" w:cs="仿宋"/>
                <w:color w:val="auto"/>
                <w:sz w:val="21"/>
                <w:szCs w:val="21"/>
                <w:highlight w:val="none"/>
                <w:lang w:val="zh-CN"/>
              </w:rPr>
            </w:pPr>
          </w:p>
        </w:tc>
        <w:tc>
          <w:tcPr>
            <w:tcW w:w="3256" w:type="dxa"/>
            <w:noWrap w:val="0"/>
            <w:vAlign w:val="center"/>
          </w:tcPr>
          <w:p w14:paraId="472C0CB9">
            <w:pPr>
              <w:spacing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4.有依法缴纳税收和社会保障金的良好记录</w:t>
            </w:r>
          </w:p>
        </w:tc>
        <w:tc>
          <w:tcPr>
            <w:tcW w:w="4806" w:type="dxa"/>
            <w:vMerge w:val="continue"/>
            <w:noWrap w:val="0"/>
            <w:vAlign w:val="center"/>
          </w:tcPr>
          <w:p w14:paraId="1B8709FD">
            <w:pPr>
              <w:spacing w:line="360" w:lineRule="auto"/>
              <w:rPr>
                <w:rFonts w:hint="eastAsia" w:ascii="仿宋" w:hAnsi="仿宋" w:eastAsia="仿宋" w:cs="仿宋"/>
                <w:color w:val="auto"/>
                <w:sz w:val="21"/>
                <w:szCs w:val="21"/>
                <w:highlight w:val="none"/>
              </w:rPr>
            </w:pPr>
          </w:p>
        </w:tc>
      </w:tr>
      <w:tr w14:paraId="7EBE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noWrap w:val="0"/>
            <w:vAlign w:val="center"/>
          </w:tcPr>
          <w:p w14:paraId="3594A185">
            <w:pPr>
              <w:spacing w:line="360" w:lineRule="auto"/>
              <w:jc w:val="center"/>
              <w:rPr>
                <w:rFonts w:hint="eastAsia" w:ascii="仿宋" w:hAnsi="仿宋" w:eastAsia="仿宋" w:cs="仿宋"/>
                <w:color w:val="auto"/>
                <w:sz w:val="21"/>
                <w:szCs w:val="21"/>
                <w:highlight w:val="none"/>
              </w:rPr>
            </w:pPr>
          </w:p>
        </w:tc>
        <w:tc>
          <w:tcPr>
            <w:tcW w:w="720" w:type="dxa"/>
            <w:vMerge w:val="continue"/>
            <w:noWrap w:val="0"/>
            <w:vAlign w:val="center"/>
          </w:tcPr>
          <w:p w14:paraId="2F2441C2">
            <w:pPr>
              <w:spacing w:line="360" w:lineRule="auto"/>
              <w:rPr>
                <w:rFonts w:hint="eastAsia" w:ascii="仿宋" w:hAnsi="仿宋" w:eastAsia="仿宋" w:cs="仿宋"/>
                <w:color w:val="auto"/>
                <w:sz w:val="21"/>
                <w:szCs w:val="21"/>
                <w:highlight w:val="none"/>
                <w:lang w:val="zh-CN"/>
              </w:rPr>
            </w:pPr>
          </w:p>
        </w:tc>
        <w:tc>
          <w:tcPr>
            <w:tcW w:w="3256" w:type="dxa"/>
            <w:noWrap w:val="0"/>
            <w:vAlign w:val="center"/>
          </w:tcPr>
          <w:p w14:paraId="77DA9EAE">
            <w:pPr>
              <w:spacing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5.参加政府采购活动前三年内，在经营活动中没有重大违法记录</w:t>
            </w:r>
          </w:p>
        </w:tc>
        <w:tc>
          <w:tcPr>
            <w:tcW w:w="4806" w:type="dxa"/>
            <w:vMerge w:val="continue"/>
            <w:noWrap w:val="0"/>
            <w:vAlign w:val="center"/>
          </w:tcPr>
          <w:p w14:paraId="64586718">
            <w:pPr>
              <w:spacing w:line="360" w:lineRule="auto"/>
              <w:rPr>
                <w:rFonts w:hint="eastAsia" w:ascii="仿宋" w:hAnsi="仿宋" w:eastAsia="仿宋" w:cs="仿宋"/>
                <w:b/>
                <w:color w:val="auto"/>
                <w:sz w:val="21"/>
                <w:szCs w:val="21"/>
                <w:highlight w:val="none"/>
              </w:rPr>
            </w:pPr>
          </w:p>
        </w:tc>
      </w:tr>
      <w:tr w14:paraId="352D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46" w:type="dxa"/>
            <w:vMerge w:val="continue"/>
            <w:noWrap w:val="0"/>
            <w:vAlign w:val="center"/>
          </w:tcPr>
          <w:p w14:paraId="6EB18347">
            <w:pPr>
              <w:spacing w:line="360" w:lineRule="auto"/>
              <w:jc w:val="center"/>
              <w:rPr>
                <w:rFonts w:hint="eastAsia" w:ascii="仿宋" w:hAnsi="仿宋" w:eastAsia="仿宋" w:cs="仿宋"/>
                <w:color w:val="auto"/>
                <w:sz w:val="21"/>
                <w:szCs w:val="21"/>
                <w:highlight w:val="none"/>
              </w:rPr>
            </w:pPr>
          </w:p>
        </w:tc>
        <w:tc>
          <w:tcPr>
            <w:tcW w:w="720" w:type="dxa"/>
            <w:vMerge w:val="continue"/>
            <w:noWrap w:val="0"/>
            <w:vAlign w:val="center"/>
          </w:tcPr>
          <w:p w14:paraId="77822E1B">
            <w:pPr>
              <w:spacing w:line="360" w:lineRule="auto"/>
              <w:rPr>
                <w:rFonts w:hint="eastAsia" w:ascii="仿宋" w:hAnsi="仿宋" w:eastAsia="仿宋" w:cs="仿宋"/>
                <w:color w:val="auto"/>
                <w:sz w:val="21"/>
                <w:szCs w:val="21"/>
                <w:highlight w:val="none"/>
              </w:rPr>
            </w:pPr>
          </w:p>
        </w:tc>
        <w:tc>
          <w:tcPr>
            <w:tcW w:w="3256" w:type="dxa"/>
            <w:noWrap w:val="0"/>
            <w:vAlign w:val="center"/>
          </w:tcPr>
          <w:p w14:paraId="4F649F76">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6.法律、行政法规规定的其他条件</w:t>
            </w:r>
          </w:p>
        </w:tc>
        <w:tc>
          <w:tcPr>
            <w:tcW w:w="4806" w:type="dxa"/>
            <w:noWrap w:val="0"/>
            <w:vAlign w:val="center"/>
          </w:tcPr>
          <w:p w14:paraId="4C0A7400">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r>
      <w:tr w14:paraId="4FD8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46" w:type="dxa"/>
            <w:vMerge w:val="continue"/>
            <w:noWrap w:val="0"/>
            <w:vAlign w:val="center"/>
          </w:tcPr>
          <w:p w14:paraId="5EC2C2D4">
            <w:pPr>
              <w:spacing w:line="360" w:lineRule="auto"/>
              <w:jc w:val="center"/>
              <w:rPr>
                <w:rFonts w:hint="eastAsia" w:ascii="仿宋" w:hAnsi="仿宋" w:eastAsia="仿宋" w:cs="仿宋"/>
                <w:color w:val="auto"/>
                <w:sz w:val="21"/>
                <w:szCs w:val="21"/>
                <w:highlight w:val="none"/>
              </w:rPr>
            </w:pPr>
          </w:p>
        </w:tc>
        <w:tc>
          <w:tcPr>
            <w:tcW w:w="720" w:type="dxa"/>
            <w:vMerge w:val="continue"/>
            <w:noWrap w:val="0"/>
            <w:vAlign w:val="center"/>
          </w:tcPr>
          <w:p w14:paraId="508B1DD1">
            <w:pPr>
              <w:spacing w:line="360" w:lineRule="auto"/>
              <w:rPr>
                <w:rFonts w:hint="eastAsia" w:ascii="仿宋" w:hAnsi="仿宋" w:eastAsia="仿宋" w:cs="仿宋"/>
                <w:color w:val="auto"/>
                <w:sz w:val="21"/>
                <w:szCs w:val="21"/>
                <w:highlight w:val="none"/>
              </w:rPr>
            </w:pPr>
          </w:p>
        </w:tc>
        <w:tc>
          <w:tcPr>
            <w:tcW w:w="3256" w:type="dxa"/>
            <w:noWrap w:val="0"/>
            <w:vAlign w:val="center"/>
          </w:tcPr>
          <w:p w14:paraId="2ADD3A1C">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7.本项目的特定资格要求</w:t>
            </w:r>
          </w:p>
        </w:tc>
        <w:tc>
          <w:tcPr>
            <w:tcW w:w="4806" w:type="dxa"/>
            <w:noWrap w:val="0"/>
            <w:vAlign w:val="center"/>
          </w:tcPr>
          <w:p w14:paraId="4C20E734">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按“第一篇三、供应商资格要求（三）本项目的特定资格要求”的要求提交（如有）。</w:t>
            </w:r>
          </w:p>
        </w:tc>
      </w:tr>
      <w:tr w14:paraId="6B7B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46" w:type="dxa"/>
            <w:noWrap w:val="0"/>
            <w:vAlign w:val="center"/>
          </w:tcPr>
          <w:p w14:paraId="48212AFC">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w:t>
            </w:r>
          </w:p>
        </w:tc>
        <w:tc>
          <w:tcPr>
            <w:tcW w:w="3976" w:type="dxa"/>
            <w:gridSpan w:val="2"/>
            <w:noWrap w:val="0"/>
            <w:vAlign w:val="center"/>
          </w:tcPr>
          <w:p w14:paraId="5317E20A">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落实政府采购政策需满足的资格要求</w:t>
            </w:r>
          </w:p>
        </w:tc>
        <w:tc>
          <w:tcPr>
            <w:tcW w:w="4806" w:type="dxa"/>
            <w:noWrap w:val="0"/>
            <w:vAlign w:val="center"/>
          </w:tcPr>
          <w:p w14:paraId="55C2ED68">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按“第一篇三、供应商资格要求（二）落实政府采购政策需满足的资格要求”的要求提交（如有）。</w:t>
            </w:r>
          </w:p>
        </w:tc>
      </w:tr>
      <w:tr w14:paraId="69CB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46" w:type="dxa"/>
            <w:noWrap w:val="0"/>
            <w:vAlign w:val="center"/>
          </w:tcPr>
          <w:p w14:paraId="6A036F3C">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w:t>
            </w:r>
          </w:p>
        </w:tc>
        <w:tc>
          <w:tcPr>
            <w:tcW w:w="3976" w:type="dxa"/>
            <w:gridSpan w:val="2"/>
            <w:noWrap w:val="0"/>
            <w:vAlign w:val="center"/>
          </w:tcPr>
          <w:p w14:paraId="34C8CBBC">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保证金</w:t>
            </w:r>
          </w:p>
        </w:tc>
        <w:tc>
          <w:tcPr>
            <w:tcW w:w="4806" w:type="dxa"/>
            <w:noWrap w:val="0"/>
            <w:vAlign w:val="center"/>
          </w:tcPr>
          <w:p w14:paraId="00C3BCB7">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按竞争性磋商文件要求足额缴纳保证金。（如有）</w:t>
            </w:r>
          </w:p>
        </w:tc>
      </w:tr>
    </w:tbl>
    <w:p w14:paraId="1EC3DCD1">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号）”执行。供应商可于响应文件递交截止时间前通过“信用中国”网站（www.creditchina.gov.cn）、“中国政府采购网”（www.ccgp.gov.cn）等渠道查询信用记录。</w:t>
      </w:r>
    </w:p>
    <w:p w14:paraId="3A687878">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2.符合性审查。依据竞争性磋商文件的规定，从响应文件的有效性、完整性和对竞争性磋商文件的响应程度进行审查，以确定是否对竞争性磋商文件的实质性要求作出响应。符合性审查资料表如下：</w:t>
      </w:r>
    </w:p>
    <w:tbl>
      <w:tblPr>
        <w:tblStyle w:val="60"/>
        <w:tblW w:w="0" w:type="auto"/>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7FB9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75" w:type="dxa"/>
            <w:noWrap w:val="0"/>
            <w:vAlign w:val="center"/>
          </w:tcPr>
          <w:p w14:paraId="07249B51">
            <w:pPr>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序号</w:t>
            </w:r>
          </w:p>
        </w:tc>
        <w:tc>
          <w:tcPr>
            <w:tcW w:w="3544" w:type="dxa"/>
            <w:gridSpan w:val="2"/>
            <w:noWrap w:val="0"/>
            <w:vAlign w:val="center"/>
          </w:tcPr>
          <w:p w14:paraId="514BB1E4">
            <w:pPr>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评审因素</w:t>
            </w:r>
          </w:p>
        </w:tc>
        <w:tc>
          <w:tcPr>
            <w:tcW w:w="5409" w:type="dxa"/>
            <w:noWrap w:val="0"/>
            <w:vAlign w:val="center"/>
          </w:tcPr>
          <w:p w14:paraId="57324975">
            <w:pPr>
              <w:spacing w:line="36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评审标准</w:t>
            </w:r>
          </w:p>
        </w:tc>
      </w:tr>
      <w:tr w14:paraId="0777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noWrap w:val="0"/>
            <w:vAlign w:val="center"/>
          </w:tcPr>
          <w:p w14:paraId="6721F449">
            <w:pPr>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1560" w:type="dxa"/>
            <w:vMerge w:val="restart"/>
            <w:noWrap w:val="0"/>
            <w:vAlign w:val="center"/>
          </w:tcPr>
          <w:p w14:paraId="127ABCAA">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有效性审查</w:t>
            </w:r>
          </w:p>
        </w:tc>
        <w:tc>
          <w:tcPr>
            <w:tcW w:w="1984" w:type="dxa"/>
            <w:noWrap w:val="0"/>
            <w:vAlign w:val="center"/>
          </w:tcPr>
          <w:p w14:paraId="138F82EA">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响应文件签署或盖章</w:t>
            </w:r>
          </w:p>
        </w:tc>
        <w:tc>
          <w:tcPr>
            <w:tcW w:w="5409" w:type="dxa"/>
            <w:noWrap w:val="0"/>
            <w:vAlign w:val="center"/>
          </w:tcPr>
          <w:p w14:paraId="48A56E86">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按竞争性磋商文件“第七篇响应文件编制要求”要求签署或盖章。</w:t>
            </w:r>
          </w:p>
        </w:tc>
      </w:tr>
      <w:tr w14:paraId="2EF5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noWrap w:val="0"/>
            <w:vAlign w:val="center"/>
          </w:tcPr>
          <w:p w14:paraId="59F05266">
            <w:pPr>
              <w:spacing w:line="360" w:lineRule="auto"/>
              <w:jc w:val="center"/>
              <w:rPr>
                <w:rFonts w:hint="eastAsia" w:ascii="仿宋" w:hAnsi="仿宋" w:eastAsia="仿宋" w:cs="仿宋"/>
                <w:color w:val="auto"/>
                <w:kern w:val="0"/>
                <w:sz w:val="21"/>
                <w:szCs w:val="21"/>
                <w:highlight w:val="none"/>
              </w:rPr>
            </w:pPr>
          </w:p>
        </w:tc>
        <w:tc>
          <w:tcPr>
            <w:tcW w:w="1560" w:type="dxa"/>
            <w:vMerge w:val="continue"/>
            <w:noWrap w:val="0"/>
            <w:vAlign w:val="center"/>
          </w:tcPr>
          <w:p w14:paraId="692FC3D6">
            <w:pPr>
              <w:spacing w:line="360" w:lineRule="auto"/>
              <w:rPr>
                <w:rFonts w:hint="eastAsia" w:ascii="仿宋" w:hAnsi="仿宋" w:eastAsia="仿宋" w:cs="仿宋"/>
                <w:color w:val="auto"/>
                <w:kern w:val="0"/>
                <w:sz w:val="21"/>
                <w:szCs w:val="21"/>
                <w:highlight w:val="none"/>
              </w:rPr>
            </w:pPr>
          </w:p>
        </w:tc>
        <w:tc>
          <w:tcPr>
            <w:tcW w:w="1984" w:type="dxa"/>
            <w:noWrap w:val="0"/>
            <w:vAlign w:val="center"/>
          </w:tcPr>
          <w:p w14:paraId="73FA9234">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w:t>
            </w:r>
          </w:p>
        </w:tc>
        <w:tc>
          <w:tcPr>
            <w:tcW w:w="5409" w:type="dxa"/>
            <w:noWrap w:val="0"/>
            <w:vAlign w:val="center"/>
          </w:tcPr>
          <w:p w14:paraId="3BBEDEC9">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法定代表人身份证明及授权委托书有效，符合竞争性磋商文件规定的格式，签署或盖章齐全。</w:t>
            </w:r>
          </w:p>
        </w:tc>
      </w:tr>
      <w:tr w14:paraId="10BF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14:paraId="2722C813">
            <w:pPr>
              <w:spacing w:line="360" w:lineRule="auto"/>
              <w:jc w:val="center"/>
              <w:rPr>
                <w:rFonts w:hint="eastAsia" w:ascii="仿宋" w:hAnsi="仿宋" w:eastAsia="仿宋" w:cs="仿宋"/>
                <w:color w:val="auto"/>
                <w:kern w:val="0"/>
                <w:sz w:val="21"/>
                <w:szCs w:val="21"/>
                <w:highlight w:val="none"/>
              </w:rPr>
            </w:pPr>
          </w:p>
        </w:tc>
        <w:tc>
          <w:tcPr>
            <w:tcW w:w="1560" w:type="dxa"/>
            <w:vMerge w:val="continue"/>
            <w:noWrap w:val="0"/>
            <w:vAlign w:val="center"/>
          </w:tcPr>
          <w:p w14:paraId="5663362B">
            <w:pPr>
              <w:spacing w:line="360" w:lineRule="auto"/>
              <w:rPr>
                <w:rFonts w:hint="eastAsia" w:ascii="仿宋" w:hAnsi="仿宋" w:eastAsia="仿宋" w:cs="仿宋"/>
                <w:color w:val="auto"/>
                <w:kern w:val="0"/>
                <w:sz w:val="21"/>
                <w:szCs w:val="21"/>
                <w:highlight w:val="none"/>
              </w:rPr>
            </w:pPr>
          </w:p>
        </w:tc>
        <w:tc>
          <w:tcPr>
            <w:tcW w:w="1984" w:type="dxa"/>
            <w:noWrap w:val="0"/>
            <w:vAlign w:val="center"/>
          </w:tcPr>
          <w:p w14:paraId="216A20CD">
            <w:pPr>
              <w:spacing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val="zh-CN"/>
              </w:rPr>
              <w:t>方案</w:t>
            </w:r>
          </w:p>
        </w:tc>
        <w:tc>
          <w:tcPr>
            <w:tcW w:w="5409" w:type="dxa"/>
            <w:noWrap w:val="0"/>
            <w:vAlign w:val="center"/>
          </w:tcPr>
          <w:p w14:paraId="14EF34A5">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zh-CN"/>
              </w:rPr>
              <w:t>每个包只能有一个</w:t>
            </w: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val="zh-CN"/>
              </w:rPr>
              <w:t>方案。</w:t>
            </w:r>
          </w:p>
        </w:tc>
      </w:tr>
      <w:tr w14:paraId="537A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noWrap w:val="0"/>
            <w:vAlign w:val="center"/>
          </w:tcPr>
          <w:p w14:paraId="7E148B15">
            <w:pPr>
              <w:spacing w:line="360" w:lineRule="auto"/>
              <w:jc w:val="center"/>
              <w:rPr>
                <w:rFonts w:hint="eastAsia" w:ascii="仿宋" w:hAnsi="仿宋" w:eastAsia="仿宋" w:cs="仿宋"/>
                <w:color w:val="auto"/>
                <w:kern w:val="0"/>
                <w:sz w:val="21"/>
                <w:szCs w:val="21"/>
                <w:highlight w:val="none"/>
              </w:rPr>
            </w:pPr>
          </w:p>
        </w:tc>
        <w:tc>
          <w:tcPr>
            <w:tcW w:w="1560" w:type="dxa"/>
            <w:vMerge w:val="continue"/>
            <w:noWrap w:val="0"/>
            <w:vAlign w:val="center"/>
          </w:tcPr>
          <w:p w14:paraId="67B78A32">
            <w:pPr>
              <w:spacing w:line="360" w:lineRule="auto"/>
              <w:rPr>
                <w:rFonts w:hint="eastAsia" w:ascii="仿宋" w:hAnsi="仿宋" w:eastAsia="仿宋" w:cs="仿宋"/>
                <w:color w:val="auto"/>
                <w:kern w:val="0"/>
                <w:sz w:val="21"/>
                <w:szCs w:val="21"/>
                <w:highlight w:val="none"/>
              </w:rPr>
            </w:pPr>
          </w:p>
        </w:tc>
        <w:tc>
          <w:tcPr>
            <w:tcW w:w="1984" w:type="dxa"/>
            <w:noWrap w:val="0"/>
            <w:vAlign w:val="center"/>
          </w:tcPr>
          <w:p w14:paraId="5A4CBF2B">
            <w:pPr>
              <w:spacing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报价唯一</w:t>
            </w:r>
          </w:p>
        </w:tc>
        <w:tc>
          <w:tcPr>
            <w:tcW w:w="5409" w:type="dxa"/>
            <w:noWrap w:val="0"/>
            <w:vAlign w:val="center"/>
          </w:tcPr>
          <w:p w14:paraId="18D61B62">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只能有一个有效报价，不得提交选择性报价。</w:t>
            </w:r>
          </w:p>
        </w:tc>
      </w:tr>
      <w:tr w14:paraId="39CE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noWrap w:val="0"/>
            <w:vAlign w:val="center"/>
          </w:tcPr>
          <w:p w14:paraId="3C5458C7">
            <w:pPr>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1560" w:type="dxa"/>
            <w:noWrap w:val="0"/>
            <w:vAlign w:val="center"/>
          </w:tcPr>
          <w:p w14:paraId="2918CCAC">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完整性审查</w:t>
            </w:r>
          </w:p>
        </w:tc>
        <w:tc>
          <w:tcPr>
            <w:tcW w:w="1984" w:type="dxa"/>
            <w:noWrap w:val="0"/>
            <w:vAlign w:val="center"/>
          </w:tcPr>
          <w:p w14:paraId="5C5CFFF4">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响应</w:t>
            </w:r>
            <w:r>
              <w:rPr>
                <w:rFonts w:hint="eastAsia" w:ascii="仿宋" w:hAnsi="仿宋" w:eastAsia="仿宋" w:cs="仿宋"/>
                <w:color w:val="auto"/>
                <w:sz w:val="21"/>
                <w:szCs w:val="21"/>
                <w:highlight w:val="none"/>
                <w:lang w:val="zh-CN"/>
              </w:rPr>
              <w:t>文件份数</w:t>
            </w:r>
          </w:p>
        </w:tc>
        <w:tc>
          <w:tcPr>
            <w:tcW w:w="5409" w:type="dxa"/>
            <w:noWrap w:val="0"/>
            <w:vAlign w:val="center"/>
          </w:tcPr>
          <w:p w14:paraId="540ED9EA">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响应</w:t>
            </w:r>
            <w:r>
              <w:rPr>
                <w:rFonts w:hint="eastAsia" w:ascii="仿宋" w:hAnsi="仿宋" w:eastAsia="仿宋" w:cs="仿宋"/>
                <w:color w:val="auto"/>
                <w:kern w:val="0"/>
                <w:sz w:val="21"/>
                <w:szCs w:val="21"/>
                <w:highlight w:val="none"/>
                <w:lang w:val="zh-CN"/>
              </w:rPr>
              <w:t>文件正、副本数量（含电子文档）符合</w:t>
            </w:r>
            <w:r>
              <w:rPr>
                <w:rFonts w:hint="eastAsia" w:ascii="仿宋" w:hAnsi="仿宋" w:eastAsia="仿宋" w:cs="仿宋"/>
                <w:color w:val="auto"/>
                <w:kern w:val="0"/>
                <w:sz w:val="21"/>
                <w:szCs w:val="21"/>
                <w:highlight w:val="none"/>
              </w:rPr>
              <w:t>竞争性磋商</w:t>
            </w:r>
            <w:r>
              <w:rPr>
                <w:rFonts w:hint="eastAsia" w:ascii="仿宋" w:hAnsi="仿宋" w:eastAsia="仿宋" w:cs="仿宋"/>
                <w:color w:val="auto"/>
                <w:kern w:val="0"/>
                <w:sz w:val="21"/>
                <w:szCs w:val="21"/>
                <w:highlight w:val="none"/>
                <w:lang w:val="zh-CN"/>
              </w:rPr>
              <w:t>文件要求。</w:t>
            </w:r>
          </w:p>
        </w:tc>
      </w:tr>
      <w:tr w14:paraId="5B80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noWrap w:val="0"/>
            <w:vAlign w:val="center"/>
          </w:tcPr>
          <w:p w14:paraId="130A38FF">
            <w:pPr>
              <w:spacing w:line="36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1560" w:type="dxa"/>
            <w:vMerge w:val="restart"/>
            <w:noWrap w:val="0"/>
            <w:vAlign w:val="center"/>
          </w:tcPr>
          <w:p w14:paraId="09B3A0F4">
            <w:pPr>
              <w:spacing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kern w:val="0"/>
                <w:sz w:val="21"/>
                <w:szCs w:val="21"/>
                <w:highlight w:val="none"/>
              </w:rPr>
              <w:t>响应程度审查</w:t>
            </w:r>
          </w:p>
        </w:tc>
        <w:tc>
          <w:tcPr>
            <w:tcW w:w="1984" w:type="dxa"/>
            <w:noWrap w:val="0"/>
            <w:vAlign w:val="center"/>
          </w:tcPr>
          <w:p w14:paraId="3A90774B">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实质性响应</w:t>
            </w:r>
          </w:p>
        </w:tc>
        <w:tc>
          <w:tcPr>
            <w:tcW w:w="5409" w:type="dxa"/>
            <w:noWrap w:val="0"/>
            <w:vAlign w:val="center"/>
          </w:tcPr>
          <w:p w14:paraId="3218FEA9">
            <w:pPr>
              <w:pStyle w:val="34"/>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对竞争性磋商文件第二篇及第三篇</w:t>
            </w:r>
            <w:r>
              <w:rPr>
                <w:rFonts w:hint="eastAsia" w:ascii="仿宋" w:hAnsi="仿宋" w:eastAsia="仿宋" w:cs="仿宋"/>
                <w:color w:val="auto"/>
                <w:kern w:val="0"/>
                <w:sz w:val="21"/>
                <w:szCs w:val="21"/>
                <w:highlight w:val="none"/>
                <w:lang w:val="zh-CN"/>
              </w:rPr>
              <w:t>“※”标注</w:t>
            </w:r>
            <w:r>
              <w:rPr>
                <w:rFonts w:hint="eastAsia" w:ascii="仿宋" w:hAnsi="仿宋" w:eastAsia="仿宋" w:cs="仿宋"/>
                <w:color w:val="auto"/>
                <w:kern w:val="0"/>
                <w:sz w:val="21"/>
                <w:szCs w:val="21"/>
                <w:highlight w:val="none"/>
                <w:lang w:val="en-US" w:eastAsia="zh-CN"/>
              </w:rPr>
              <w:t>的</w:t>
            </w:r>
            <w:r>
              <w:rPr>
                <w:rFonts w:hint="eastAsia" w:ascii="仿宋" w:hAnsi="仿宋" w:eastAsia="仿宋" w:cs="仿宋"/>
                <w:color w:val="auto"/>
                <w:kern w:val="0"/>
                <w:sz w:val="21"/>
                <w:szCs w:val="21"/>
                <w:highlight w:val="none"/>
              </w:rPr>
              <w:t>全部内容作出响应。</w:t>
            </w:r>
          </w:p>
        </w:tc>
      </w:tr>
      <w:tr w14:paraId="7149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noWrap w:val="0"/>
            <w:vAlign w:val="center"/>
          </w:tcPr>
          <w:p w14:paraId="583391EF">
            <w:pPr>
              <w:spacing w:line="360" w:lineRule="auto"/>
              <w:jc w:val="center"/>
              <w:rPr>
                <w:rFonts w:hint="eastAsia" w:ascii="仿宋" w:hAnsi="仿宋" w:eastAsia="仿宋" w:cs="仿宋"/>
                <w:color w:val="auto"/>
                <w:kern w:val="0"/>
                <w:sz w:val="21"/>
                <w:szCs w:val="21"/>
                <w:highlight w:val="none"/>
              </w:rPr>
            </w:pPr>
          </w:p>
        </w:tc>
        <w:tc>
          <w:tcPr>
            <w:tcW w:w="1560" w:type="dxa"/>
            <w:vMerge w:val="continue"/>
            <w:noWrap w:val="0"/>
            <w:vAlign w:val="center"/>
          </w:tcPr>
          <w:p w14:paraId="21DF9B90">
            <w:pPr>
              <w:spacing w:line="360" w:lineRule="auto"/>
              <w:rPr>
                <w:rFonts w:hint="eastAsia" w:ascii="仿宋" w:hAnsi="仿宋" w:eastAsia="仿宋" w:cs="仿宋"/>
                <w:color w:val="auto"/>
                <w:sz w:val="21"/>
                <w:szCs w:val="21"/>
                <w:highlight w:val="none"/>
                <w:lang w:val="zh-CN"/>
              </w:rPr>
            </w:pPr>
          </w:p>
        </w:tc>
        <w:tc>
          <w:tcPr>
            <w:tcW w:w="1984" w:type="dxa"/>
            <w:noWrap w:val="0"/>
            <w:vAlign w:val="center"/>
          </w:tcPr>
          <w:p w14:paraId="4EB73F32">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磋商有效期</w:t>
            </w:r>
          </w:p>
        </w:tc>
        <w:tc>
          <w:tcPr>
            <w:tcW w:w="5409" w:type="dxa"/>
            <w:noWrap w:val="0"/>
            <w:vAlign w:val="center"/>
          </w:tcPr>
          <w:p w14:paraId="7724E1CA">
            <w:pPr>
              <w:spacing w:line="36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响应文件及有关承诺文件有效期为提交响应文件截止时间起90天。</w:t>
            </w:r>
          </w:p>
        </w:tc>
      </w:tr>
    </w:tbl>
    <w:p w14:paraId="2301EAF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1CA988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5F4AB90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（五）在磋商过程中磋商的任何一方不得向他人透露与磋商有关的服务资料、价格或其他信息。</w:t>
      </w:r>
    </w:p>
    <w:p w14:paraId="0427239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（六）在磋商过程中，磋商小组可以根据竞争性磋商文件和磋商情况实质性变动采购需求中的服务、商务要求以及合同草案条款，但不得变动竞争性磋商文件中的其他内容。</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实质性变动的内容，须经采购人代表确认。对竞争性磋商文件作出的实质性变动是竞争性磋商文件的有效组成部分，磋商小组应当及时以书面形式同时通知所有参加磋商的供应商。</w:t>
      </w:r>
    </w:p>
    <w:p w14:paraId="1AD95F4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（七）供应商在磋商时作出的所有书面承诺须由法定代表人（或其授权代表）或自然人（供应商为自然人）签署。</w:t>
      </w:r>
    </w:p>
    <w:p w14:paraId="3C077C4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经磋商确定最终采购需求且磋商结束后，供应商应当按照竞争性磋商文件的变动情况和磋商小组的要求重新提交响应文件或重新做出相关的书面承诺，最后书面提交最后报价及有关承诺（《最后报价表》在磋商现场向供应商提供）。已提交响应文件但未在规定时间内进行最后报价的供应商，视为放弃最后报价，以供应商响应文件中的报价为准。</w:t>
      </w:r>
    </w:p>
    <w:p w14:paraId="7DDAC44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（九）磋商小组采用综合评分法对提交最后报价的供应商的响应文件和最后报价（含有效书面承诺）进行综合评分。</w:t>
      </w:r>
      <w:r>
        <w:rPr>
          <w:rFonts w:hint="eastAsia" w:ascii="仿宋" w:hAnsi="仿宋" w:eastAsia="仿宋" w:cs="仿宋"/>
          <w:color w:val="auto"/>
          <w:kern w:val="0"/>
          <w:sz w:val="24"/>
          <w:szCs w:val="24"/>
          <w:highlight w:val="none"/>
        </w:rPr>
        <w:t>综合评分法，是指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100分</w:t>
      </w:r>
      <w:r>
        <w:rPr>
          <w:rFonts w:hint="eastAsia" w:ascii="仿宋" w:hAnsi="仿宋" w:eastAsia="仿宋" w:cs="仿宋"/>
          <w:color w:val="auto"/>
          <w:sz w:val="24"/>
          <w:szCs w:val="24"/>
          <w:highlight w:val="none"/>
        </w:rPr>
        <w:t>。</w:t>
      </w:r>
    </w:p>
    <w:p w14:paraId="1274088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（十）磋商小组各成员独立对每个有效响应（通过资格性审查、</w:t>
      </w:r>
      <w:r>
        <w:rPr>
          <w:rFonts w:hint="eastAsia" w:ascii="仿宋" w:hAnsi="仿宋" w:eastAsia="仿宋" w:cs="仿宋"/>
          <w:color w:val="auto"/>
          <w:kern w:val="0"/>
          <w:sz w:val="24"/>
          <w:szCs w:val="24"/>
          <w:highlight w:val="none"/>
        </w:rPr>
        <w:t>符合性审查的供应商</w:t>
      </w:r>
      <w:r>
        <w:rPr>
          <w:rFonts w:hint="eastAsia" w:ascii="仿宋" w:hAnsi="仿宋" w:eastAsia="仿宋" w:cs="仿宋"/>
          <w:color w:val="auto"/>
          <w:sz w:val="24"/>
          <w:szCs w:val="24"/>
          <w:highlight w:val="none"/>
        </w:rPr>
        <w:t>）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w:t>
      </w:r>
      <w:r>
        <w:rPr>
          <w:rFonts w:hint="eastAsia" w:ascii="仿宋" w:hAnsi="仿宋" w:eastAsia="仿宋" w:cs="仿宋"/>
          <w:color w:val="auto"/>
          <w:sz w:val="24"/>
          <w:szCs w:val="24"/>
          <w:highlight w:val="none"/>
          <w:lang w:val="en-US" w:eastAsia="zh-CN"/>
        </w:rPr>
        <w:t>技术（质量）部分得分由高到低高低</w:t>
      </w:r>
      <w:r>
        <w:rPr>
          <w:rFonts w:hint="eastAsia" w:ascii="仿宋" w:hAnsi="仿宋" w:eastAsia="仿宋" w:cs="仿宋"/>
          <w:color w:val="auto"/>
          <w:sz w:val="24"/>
          <w:szCs w:val="24"/>
          <w:highlight w:val="none"/>
        </w:rPr>
        <w:t>顺序排列推荐。以上都相同的，按商务</w:t>
      </w:r>
      <w:r>
        <w:rPr>
          <w:rFonts w:hint="eastAsia" w:ascii="仿宋" w:hAnsi="仿宋" w:eastAsia="仿宋" w:cs="仿宋"/>
          <w:color w:val="auto"/>
          <w:sz w:val="24"/>
          <w:szCs w:val="24"/>
          <w:highlight w:val="none"/>
          <w:lang w:val="en-US" w:eastAsia="zh-CN"/>
        </w:rPr>
        <w:t>部分部分得分由高到低高低</w:t>
      </w:r>
      <w:r>
        <w:rPr>
          <w:rFonts w:hint="eastAsia" w:ascii="仿宋" w:hAnsi="仿宋" w:eastAsia="仿宋" w:cs="仿宋"/>
          <w:color w:val="auto"/>
          <w:sz w:val="24"/>
          <w:szCs w:val="24"/>
          <w:highlight w:val="none"/>
        </w:rPr>
        <w:t>顺序排列推荐。若供应商的服务部分为0分，将失去成为成交候选供应商的资格。</w:t>
      </w:r>
    </w:p>
    <w:p w14:paraId="05EEEA57">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32" w:name="_Toc3422"/>
      <w:r>
        <w:rPr>
          <w:rFonts w:hint="eastAsia" w:ascii="仿宋" w:hAnsi="仿宋" w:eastAsia="仿宋" w:cs="仿宋"/>
          <w:color w:val="auto"/>
          <w:sz w:val="24"/>
          <w:highlight w:val="none"/>
        </w:rPr>
        <w:t>二、</w:t>
      </w:r>
      <w:bookmarkStart w:id="133" w:name="_Toc102227320"/>
      <w:bookmarkStart w:id="134" w:name="_Toc342913394"/>
      <w:r>
        <w:rPr>
          <w:rFonts w:hint="eastAsia" w:ascii="仿宋" w:hAnsi="仿宋" w:eastAsia="仿宋" w:cs="仿宋"/>
          <w:color w:val="auto"/>
          <w:sz w:val="24"/>
          <w:highlight w:val="none"/>
        </w:rPr>
        <w:t>评审标准</w:t>
      </w:r>
      <w:bookmarkEnd w:id="132"/>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39"/>
        <w:gridCol w:w="1136"/>
        <w:gridCol w:w="4501"/>
        <w:gridCol w:w="1917"/>
      </w:tblGrid>
      <w:tr w14:paraId="04DB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noWrap w:val="0"/>
            <w:vAlign w:val="center"/>
          </w:tcPr>
          <w:p w14:paraId="4284D59E">
            <w:pPr>
              <w:ind w:firstLine="28"/>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239" w:type="dxa"/>
            <w:noWrap w:val="0"/>
            <w:vAlign w:val="center"/>
          </w:tcPr>
          <w:p w14:paraId="6C3F19DB">
            <w:pPr>
              <w:ind w:firstLine="28"/>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评分因素</w:t>
            </w:r>
          </w:p>
          <w:p w14:paraId="38F49521">
            <w:pPr>
              <w:ind w:firstLine="28"/>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及权重</w:t>
            </w:r>
          </w:p>
        </w:tc>
        <w:tc>
          <w:tcPr>
            <w:tcW w:w="1136" w:type="dxa"/>
            <w:noWrap w:val="0"/>
            <w:vAlign w:val="center"/>
          </w:tcPr>
          <w:p w14:paraId="091CF75D">
            <w:pPr>
              <w:ind w:firstLine="28"/>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c>
          <w:tcPr>
            <w:tcW w:w="4501" w:type="dxa"/>
            <w:noWrap w:val="0"/>
            <w:vAlign w:val="center"/>
          </w:tcPr>
          <w:p w14:paraId="7B05658A">
            <w:pPr>
              <w:ind w:firstLine="28"/>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1917" w:type="dxa"/>
            <w:noWrap w:val="0"/>
            <w:vAlign w:val="center"/>
          </w:tcPr>
          <w:p w14:paraId="367957A0">
            <w:pPr>
              <w:pStyle w:val="198"/>
              <w:spacing w:before="0" w:after="0"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tc>
      </w:tr>
      <w:tr w14:paraId="197D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noWrap w:val="0"/>
            <w:vAlign w:val="center"/>
          </w:tcPr>
          <w:p w14:paraId="5A2A1B35">
            <w:pPr>
              <w:ind w:firstLine="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39" w:type="dxa"/>
            <w:noWrap w:val="0"/>
            <w:vAlign w:val="center"/>
          </w:tcPr>
          <w:p w14:paraId="06402908">
            <w:pPr>
              <w:ind w:firstLine="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w:t>
            </w:r>
          </w:p>
          <w:p w14:paraId="24A4D6C3">
            <w:pPr>
              <w:ind w:firstLine="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w:t>
            </w:r>
          </w:p>
        </w:tc>
        <w:tc>
          <w:tcPr>
            <w:tcW w:w="1136" w:type="dxa"/>
            <w:noWrap w:val="0"/>
            <w:vAlign w:val="center"/>
          </w:tcPr>
          <w:p w14:paraId="243C592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40分</w:t>
            </w:r>
          </w:p>
        </w:tc>
        <w:tc>
          <w:tcPr>
            <w:tcW w:w="4501" w:type="dxa"/>
            <w:noWrap w:val="0"/>
            <w:vAlign w:val="center"/>
          </w:tcPr>
          <w:p w14:paraId="3F5CF3EF">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满足资格性、符合性要求且最后报价最低的供应商的价格为磋商基准价，其价格分为满分。</w:t>
            </w:r>
          </w:p>
          <w:p w14:paraId="0BD0320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其他供应商的价格分统一按照下列公式计算：磋商报价得分=（磋商基准价/最后磋商报价）×价格权值×100 </w:t>
            </w:r>
          </w:p>
        </w:tc>
        <w:tc>
          <w:tcPr>
            <w:tcW w:w="1917" w:type="dxa"/>
            <w:noWrap w:val="0"/>
            <w:vAlign w:val="center"/>
          </w:tcPr>
          <w:p w14:paraId="19333371">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6F0F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35" w:type="dxa"/>
            <w:vMerge w:val="restart"/>
            <w:noWrap w:val="0"/>
            <w:vAlign w:val="center"/>
          </w:tcPr>
          <w:p w14:paraId="5205A968">
            <w:pPr>
              <w:ind w:firstLine="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39" w:type="dxa"/>
            <w:vMerge w:val="restart"/>
            <w:noWrap w:val="0"/>
            <w:vAlign w:val="center"/>
          </w:tcPr>
          <w:p w14:paraId="5B381685">
            <w:pPr>
              <w:ind w:firstLine="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技术（质量）部分</w:t>
            </w:r>
          </w:p>
          <w:p w14:paraId="256A5E74">
            <w:pPr>
              <w:ind w:firstLine="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45</w:t>
            </w:r>
            <w:r>
              <w:rPr>
                <w:rFonts w:hint="eastAsia" w:ascii="仿宋" w:hAnsi="仿宋" w:eastAsia="仿宋" w:cs="仿宋"/>
                <w:color w:val="auto"/>
                <w:sz w:val="24"/>
                <w:szCs w:val="24"/>
                <w:highlight w:val="none"/>
              </w:rPr>
              <w:t>%）</w:t>
            </w:r>
          </w:p>
        </w:tc>
        <w:tc>
          <w:tcPr>
            <w:tcW w:w="1136" w:type="dxa"/>
            <w:noWrap w:val="0"/>
            <w:vAlign w:val="center"/>
          </w:tcPr>
          <w:p w14:paraId="528EAFAF">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样品投票（30分）</w:t>
            </w:r>
          </w:p>
        </w:tc>
        <w:tc>
          <w:tcPr>
            <w:tcW w:w="4501" w:type="dxa"/>
            <w:noWrap w:val="0"/>
            <w:vAlign w:val="center"/>
          </w:tcPr>
          <w:p w14:paraId="01065FF0">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投票小组从</w:t>
            </w:r>
            <w:r>
              <w:rPr>
                <w:rFonts w:hint="eastAsia" w:ascii="仿宋" w:hAnsi="仿宋" w:eastAsia="仿宋" w:cs="仿宋"/>
                <w:color w:val="auto"/>
                <w:sz w:val="24"/>
                <w:szCs w:val="24"/>
                <w:highlight w:val="none"/>
              </w:rPr>
              <w:t>样品面料、辅料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样品工艺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颜色搭配、展示效果等对供应商提供的样品</w:t>
            </w:r>
            <w:r>
              <w:rPr>
                <w:rFonts w:hint="eastAsia" w:ascii="仿宋" w:hAnsi="仿宋" w:eastAsia="仿宋" w:cs="仿宋"/>
                <w:color w:val="auto"/>
                <w:sz w:val="24"/>
                <w:szCs w:val="24"/>
                <w:highlight w:val="none"/>
              </w:rPr>
              <w:t>综合</w:t>
            </w:r>
            <w:r>
              <w:rPr>
                <w:rFonts w:hint="eastAsia" w:ascii="仿宋" w:hAnsi="仿宋" w:eastAsia="仿宋" w:cs="仿宋"/>
                <w:color w:val="auto"/>
                <w:sz w:val="24"/>
                <w:szCs w:val="24"/>
                <w:highlight w:val="none"/>
                <w:lang w:val="en-US" w:eastAsia="zh-CN"/>
              </w:rPr>
              <w:t>对比后进行投票（每个成员只投一次票）。</w:t>
            </w:r>
          </w:p>
          <w:p w14:paraId="6CEC57CF">
            <w:pPr>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样品面料、辅料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样品</w:t>
            </w:r>
            <w:r>
              <w:rPr>
                <w:rFonts w:hint="eastAsia" w:ascii="仿宋" w:hAnsi="仿宋" w:eastAsia="仿宋" w:cs="仿宋"/>
                <w:color w:val="auto"/>
                <w:sz w:val="24"/>
                <w:szCs w:val="24"/>
                <w:highlight w:val="none"/>
              </w:rPr>
              <w:t>的面料、辅料的光洁平整度、纹路清晰度、手感、观感进行综合</w:t>
            </w:r>
            <w:r>
              <w:rPr>
                <w:rFonts w:hint="eastAsia" w:ascii="仿宋" w:hAnsi="仿宋" w:eastAsia="仿宋" w:cs="仿宋"/>
                <w:color w:val="auto"/>
                <w:sz w:val="24"/>
                <w:szCs w:val="24"/>
                <w:highlight w:val="none"/>
                <w:lang w:val="en-US" w:eastAsia="zh-CN"/>
              </w:rPr>
              <w:t>评审</w:t>
            </w:r>
            <w:r>
              <w:rPr>
                <w:rFonts w:hint="eastAsia" w:ascii="仿宋" w:hAnsi="仿宋" w:eastAsia="仿宋" w:cs="仿宋"/>
                <w:color w:val="auto"/>
                <w:sz w:val="24"/>
                <w:szCs w:val="24"/>
                <w:highlight w:val="none"/>
                <w:lang w:eastAsia="zh-CN"/>
              </w:rPr>
              <w:t>。</w:t>
            </w:r>
          </w:p>
          <w:p w14:paraId="1D718FA6">
            <w:pP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rPr>
              <w:t>样品工艺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根据样衣外观、缝制、工艺质量进行综合评分，要求外观整体效果好，线迹均匀直顺、止口不反吐，锁眼整洁、光洁，不起泡</w:t>
            </w:r>
            <w:r>
              <w:rPr>
                <w:rFonts w:hint="eastAsia" w:ascii="仿宋" w:hAnsi="仿宋" w:eastAsia="仿宋" w:cs="仿宋"/>
                <w:color w:val="auto"/>
                <w:sz w:val="24"/>
                <w:szCs w:val="24"/>
                <w:highlight w:val="none"/>
                <w:lang w:eastAsia="zh-CN"/>
              </w:rPr>
              <w:t>。</w:t>
            </w:r>
          </w:p>
          <w:p w14:paraId="752DC666">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各供应商样品得分</w:t>
            </w:r>
            <w:r>
              <w:rPr>
                <w:rFonts w:hint="eastAsia" w:ascii="仿宋" w:hAnsi="仿宋" w:eastAsia="仿宋" w:cs="仿宋"/>
                <w:color w:val="auto"/>
                <w:sz w:val="24"/>
                <w:szCs w:val="24"/>
                <w:highlight w:val="none"/>
              </w:rPr>
              <w:t>按照下列公式计算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样品</w:t>
            </w:r>
            <w:r>
              <w:rPr>
                <w:rFonts w:hint="eastAsia" w:ascii="仿宋" w:hAnsi="仿宋" w:eastAsia="仿宋" w:cs="仿宋"/>
                <w:color w:val="auto"/>
                <w:sz w:val="24"/>
                <w:szCs w:val="24"/>
                <w:highlight w:val="none"/>
              </w:rPr>
              <w:t>得分＝（</w:t>
            </w:r>
            <w:r>
              <w:rPr>
                <w:rFonts w:hint="eastAsia" w:ascii="仿宋" w:hAnsi="仿宋" w:eastAsia="仿宋" w:cs="仿宋"/>
                <w:color w:val="auto"/>
                <w:sz w:val="24"/>
                <w:szCs w:val="24"/>
                <w:highlight w:val="none"/>
                <w:lang w:val="en-US" w:eastAsia="zh-CN"/>
              </w:rPr>
              <w:t>供应商所得票数</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有效投票总票数</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样品投票分值。</w:t>
            </w:r>
          </w:p>
          <w:p w14:paraId="6A87AB7A">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投票表上信息填写不全或存在涂改的为无效投票</w:t>
            </w:r>
            <w:r>
              <w:rPr>
                <w:rFonts w:hint="eastAsia" w:ascii="仿宋" w:hAnsi="仿宋" w:eastAsia="仿宋" w:cs="仿宋"/>
                <w:color w:val="auto"/>
                <w:sz w:val="24"/>
                <w:szCs w:val="24"/>
                <w:highlight w:val="none"/>
                <w:lang w:eastAsia="zh-CN"/>
              </w:rPr>
              <w:t>。</w:t>
            </w:r>
          </w:p>
        </w:tc>
        <w:tc>
          <w:tcPr>
            <w:tcW w:w="1917" w:type="dxa"/>
            <w:noWrap w:val="0"/>
            <w:vAlign w:val="center"/>
          </w:tcPr>
          <w:p w14:paraId="0A9BF6F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投票小组由采购人组织一定比例的家长、教师、学生组成，其中家长和学生占比不少于80%。</w:t>
            </w:r>
          </w:p>
          <w:p w14:paraId="17021DFE">
            <w:pP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投票方式采取盲投，评定组按随机编号投票，投票后现场揭开标识计算对应得分。</w:t>
            </w:r>
          </w:p>
        </w:tc>
      </w:tr>
      <w:tr w14:paraId="6133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35" w:type="dxa"/>
            <w:vMerge w:val="continue"/>
            <w:noWrap w:val="0"/>
            <w:vAlign w:val="center"/>
          </w:tcPr>
          <w:p w14:paraId="0F71110D">
            <w:pPr>
              <w:rPr>
                <w:rFonts w:hint="eastAsia" w:ascii="仿宋" w:hAnsi="仿宋" w:eastAsia="仿宋" w:cs="仿宋"/>
                <w:color w:val="auto"/>
                <w:sz w:val="24"/>
                <w:szCs w:val="24"/>
                <w:highlight w:val="none"/>
              </w:rPr>
            </w:pPr>
          </w:p>
        </w:tc>
        <w:tc>
          <w:tcPr>
            <w:tcW w:w="1239" w:type="dxa"/>
            <w:vMerge w:val="continue"/>
            <w:noWrap w:val="0"/>
            <w:vAlign w:val="center"/>
          </w:tcPr>
          <w:p w14:paraId="64A310FF">
            <w:pPr>
              <w:rPr>
                <w:rFonts w:hint="eastAsia" w:ascii="仿宋" w:hAnsi="仿宋" w:eastAsia="仿宋" w:cs="仿宋"/>
                <w:color w:val="auto"/>
                <w:sz w:val="24"/>
                <w:szCs w:val="24"/>
                <w:highlight w:val="none"/>
              </w:rPr>
            </w:pPr>
          </w:p>
        </w:tc>
        <w:tc>
          <w:tcPr>
            <w:tcW w:w="1136" w:type="dxa"/>
            <w:noWrap w:val="0"/>
            <w:vAlign w:val="center"/>
          </w:tcPr>
          <w:p w14:paraId="7466551E">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项目实施方案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c>
          <w:tcPr>
            <w:tcW w:w="4501" w:type="dxa"/>
            <w:noWrap w:val="0"/>
            <w:vAlign w:val="center"/>
          </w:tcPr>
          <w:p w14:paraId="7978BBBE">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供应商提供项目实施方案，包括但不限于：</w:t>
            </w:r>
          </w:p>
          <w:p w14:paraId="7646E8FA">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(1)生产计划安排；</w:t>
            </w:r>
          </w:p>
          <w:p w14:paraId="24609848">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(2)生产工艺流程；</w:t>
            </w:r>
          </w:p>
          <w:p w14:paraId="3DC041A7">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(3)包装与运输方案；</w:t>
            </w:r>
          </w:p>
          <w:p w14:paraId="41104037">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(4)交货与验收方案；</w:t>
            </w:r>
          </w:p>
          <w:p w14:paraId="1DBC42A0">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(5)应急措施方案。</w:t>
            </w:r>
          </w:p>
          <w:p w14:paraId="5AE391E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上述5项内容齐全且无缺陷得5分，每缺少一项内容扣1分，扣完为止；单项内容每存在一处缺陷扣0.5分，单项内容分扣完为止</w:t>
            </w:r>
          </w:p>
        </w:tc>
        <w:tc>
          <w:tcPr>
            <w:tcW w:w="1917" w:type="dxa"/>
            <w:vMerge w:val="restart"/>
            <w:noWrap w:val="0"/>
            <w:vAlign w:val="center"/>
          </w:tcPr>
          <w:p w14:paraId="6641B06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缺陷是指：逻辑错误、科学原理错误、表述错误、存在与项目无关的内容、不符合本项目涉及的相关规范或标准要求的任意一种情形</w:t>
            </w:r>
          </w:p>
        </w:tc>
      </w:tr>
      <w:tr w14:paraId="0142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835" w:type="dxa"/>
            <w:vMerge w:val="continue"/>
            <w:noWrap w:val="0"/>
            <w:vAlign w:val="center"/>
          </w:tcPr>
          <w:p w14:paraId="06DDA46D">
            <w:pPr>
              <w:rPr>
                <w:rFonts w:hint="eastAsia" w:ascii="仿宋" w:hAnsi="仿宋" w:eastAsia="仿宋" w:cs="仿宋"/>
                <w:color w:val="auto"/>
                <w:sz w:val="24"/>
                <w:szCs w:val="24"/>
                <w:highlight w:val="none"/>
              </w:rPr>
            </w:pPr>
          </w:p>
        </w:tc>
        <w:tc>
          <w:tcPr>
            <w:tcW w:w="1239" w:type="dxa"/>
            <w:vMerge w:val="continue"/>
            <w:noWrap w:val="0"/>
            <w:vAlign w:val="center"/>
          </w:tcPr>
          <w:p w14:paraId="6D31BB8F">
            <w:pPr>
              <w:rPr>
                <w:rFonts w:hint="eastAsia" w:ascii="仿宋" w:hAnsi="仿宋" w:eastAsia="仿宋" w:cs="仿宋"/>
                <w:color w:val="auto"/>
                <w:sz w:val="24"/>
                <w:szCs w:val="24"/>
                <w:highlight w:val="none"/>
              </w:rPr>
            </w:pPr>
          </w:p>
        </w:tc>
        <w:tc>
          <w:tcPr>
            <w:tcW w:w="1136" w:type="dxa"/>
            <w:noWrap w:val="0"/>
            <w:vAlign w:val="center"/>
          </w:tcPr>
          <w:p w14:paraId="4413A5E1">
            <w:pPr>
              <w:rPr>
                <w:rFonts w:hint="default" w:ascii="仿宋" w:hAnsi="仿宋" w:eastAsia="仿宋" w:cs="仿宋"/>
                <w:color w:val="auto"/>
                <w:sz w:val="24"/>
                <w:szCs w:val="24"/>
                <w:highlight w:val="none"/>
                <w:lang w:val="en-US"/>
              </w:rPr>
            </w:pPr>
            <w:r>
              <w:rPr>
                <w:rFonts w:hint="eastAsia" w:ascii="仿宋" w:hAnsi="仿宋" w:eastAsia="仿宋" w:cs="仿宋"/>
                <w:bCs/>
                <w:color w:val="auto"/>
                <w:sz w:val="24"/>
                <w:szCs w:val="24"/>
                <w:highlight w:val="none"/>
                <w:lang w:val="en-US" w:eastAsia="zh-CN"/>
              </w:rPr>
              <w:t>售后服务方案（5分）</w:t>
            </w:r>
          </w:p>
        </w:tc>
        <w:tc>
          <w:tcPr>
            <w:tcW w:w="4501" w:type="dxa"/>
            <w:noWrap w:val="0"/>
            <w:vAlign w:val="center"/>
          </w:tcPr>
          <w:p w14:paraId="7FD60C51">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供应商提供售后服务方案，包括但不限于：</w:t>
            </w:r>
          </w:p>
          <w:p w14:paraId="61AF7131">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lang w:val="en-US" w:eastAsia="zh-CN"/>
              </w:rPr>
              <w:t>售后服务体系；</w:t>
            </w:r>
          </w:p>
          <w:p w14:paraId="1C5B2A58">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lang w:val="en-US" w:eastAsia="zh-CN"/>
              </w:rPr>
              <w:t>售后服务保证；</w:t>
            </w:r>
          </w:p>
          <w:p w14:paraId="6A9FB94D">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lang w:val="en-US" w:eastAsia="zh-CN"/>
              </w:rPr>
              <w:t>售后服务应急处置；</w:t>
            </w:r>
          </w:p>
          <w:p w14:paraId="4C80D981">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sz w:val="24"/>
                <w:szCs w:val="24"/>
                <w:highlight w:val="none"/>
                <w:lang w:val="en-US" w:eastAsia="zh-CN"/>
              </w:rPr>
              <w:t>服务人员组织管理；</w:t>
            </w:r>
          </w:p>
          <w:p w14:paraId="739B0957">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sz w:val="24"/>
                <w:szCs w:val="24"/>
                <w:highlight w:val="none"/>
                <w:lang w:val="en-US" w:eastAsia="zh-CN"/>
              </w:rPr>
              <w:t>售后服务响应措施。</w:t>
            </w:r>
          </w:p>
          <w:p w14:paraId="73F087D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上述5项内容齐全且无缺陷得5分，每缺少一项内容扣1分，扣完为止；单项内容每存在一处缺陷扣0.5分，单项内容分扣完为止。</w:t>
            </w:r>
          </w:p>
        </w:tc>
        <w:tc>
          <w:tcPr>
            <w:tcW w:w="1917" w:type="dxa"/>
            <w:vMerge w:val="continue"/>
            <w:noWrap w:val="0"/>
            <w:vAlign w:val="center"/>
          </w:tcPr>
          <w:p w14:paraId="4857CEAA">
            <w:pPr>
              <w:rPr>
                <w:rFonts w:hint="eastAsia" w:ascii="仿宋" w:hAnsi="仿宋" w:eastAsia="仿宋" w:cs="仿宋"/>
                <w:color w:val="auto"/>
                <w:sz w:val="24"/>
                <w:szCs w:val="24"/>
                <w:highlight w:val="none"/>
              </w:rPr>
            </w:pPr>
          </w:p>
        </w:tc>
      </w:tr>
      <w:tr w14:paraId="4E86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835" w:type="dxa"/>
            <w:vMerge w:val="continue"/>
            <w:noWrap w:val="0"/>
            <w:vAlign w:val="center"/>
          </w:tcPr>
          <w:p w14:paraId="4FC3C5E4">
            <w:pPr>
              <w:rPr>
                <w:rFonts w:hint="eastAsia" w:ascii="仿宋" w:hAnsi="仿宋" w:eastAsia="仿宋" w:cs="仿宋"/>
                <w:color w:val="auto"/>
                <w:sz w:val="24"/>
                <w:szCs w:val="24"/>
                <w:highlight w:val="none"/>
              </w:rPr>
            </w:pPr>
          </w:p>
        </w:tc>
        <w:tc>
          <w:tcPr>
            <w:tcW w:w="1239" w:type="dxa"/>
            <w:vMerge w:val="continue"/>
            <w:noWrap w:val="0"/>
            <w:vAlign w:val="center"/>
          </w:tcPr>
          <w:p w14:paraId="6352A5C5">
            <w:pPr>
              <w:rPr>
                <w:rFonts w:hint="eastAsia" w:ascii="仿宋" w:hAnsi="仿宋" w:eastAsia="仿宋" w:cs="仿宋"/>
                <w:color w:val="auto"/>
                <w:sz w:val="24"/>
                <w:szCs w:val="24"/>
                <w:highlight w:val="none"/>
              </w:rPr>
            </w:pPr>
          </w:p>
        </w:tc>
        <w:tc>
          <w:tcPr>
            <w:tcW w:w="1136" w:type="dxa"/>
            <w:noWrap w:val="0"/>
            <w:vAlign w:val="center"/>
          </w:tcPr>
          <w:p w14:paraId="14EF99B3">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质量保障方案（5分）</w:t>
            </w:r>
          </w:p>
        </w:tc>
        <w:tc>
          <w:tcPr>
            <w:tcW w:w="4501" w:type="dxa"/>
            <w:noWrap w:val="0"/>
            <w:vAlign w:val="center"/>
          </w:tcPr>
          <w:p w14:paraId="30E1C02E">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供应商提供质量保障方案，包括但不限于：</w:t>
            </w:r>
          </w:p>
          <w:p w14:paraId="37A383F6">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lang w:val="en-US" w:eastAsia="zh-CN"/>
              </w:rPr>
              <w:t>质量保障体系；</w:t>
            </w:r>
          </w:p>
          <w:p w14:paraId="7BAEA224">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lang w:val="en-US" w:eastAsia="zh-CN"/>
              </w:rPr>
              <w:t>质量控制流程；</w:t>
            </w:r>
          </w:p>
          <w:p w14:paraId="746B823E">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lang w:val="en-US" w:eastAsia="zh-CN"/>
              </w:rPr>
              <w:t>质量检验管理；</w:t>
            </w:r>
          </w:p>
          <w:p w14:paraId="2F313286">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sz w:val="24"/>
                <w:szCs w:val="24"/>
                <w:highlight w:val="none"/>
                <w:lang w:val="en-US" w:eastAsia="zh-CN"/>
              </w:rPr>
              <w:t>质量问题处理方案；</w:t>
            </w:r>
          </w:p>
          <w:p w14:paraId="3825245F">
            <w:pPr>
              <w:numPr>
                <w:ilvl w:val="0"/>
                <w:numId w:val="0"/>
              </w:numPr>
              <w:ind w:left="425" w:leftChars="0" w:hanging="425"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sz w:val="24"/>
                <w:szCs w:val="24"/>
                <w:highlight w:val="none"/>
                <w:lang w:val="en-US" w:eastAsia="zh-CN"/>
              </w:rPr>
              <w:t>质量责任制度。</w:t>
            </w:r>
          </w:p>
          <w:p w14:paraId="05D8663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上述5项内容齐全且无缺陷得5分，每缺少一项内容扣1分，扣完为止；单项内容每存在一处缺陷扣0.5分，单项内容分扣完为止。</w:t>
            </w:r>
          </w:p>
        </w:tc>
        <w:tc>
          <w:tcPr>
            <w:tcW w:w="1917" w:type="dxa"/>
            <w:vMerge w:val="continue"/>
            <w:noWrap w:val="0"/>
            <w:vAlign w:val="center"/>
          </w:tcPr>
          <w:p w14:paraId="1DF89281">
            <w:pPr>
              <w:rPr>
                <w:rFonts w:hint="eastAsia" w:ascii="仿宋" w:hAnsi="仿宋" w:eastAsia="仿宋" w:cs="仿宋"/>
                <w:color w:val="auto"/>
                <w:sz w:val="24"/>
                <w:szCs w:val="24"/>
                <w:highlight w:val="none"/>
              </w:rPr>
            </w:pPr>
          </w:p>
        </w:tc>
      </w:tr>
      <w:tr w14:paraId="488A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35" w:type="dxa"/>
            <w:vMerge w:val="restart"/>
            <w:noWrap w:val="0"/>
            <w:vAlign w:val="center"/>
          </w:tcPr>
          <w:p w14:paraId="524A05EB">
            <w:pPr>
              <w:ind w:firstLine="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239" w:type="dxa"/>
            <w:vMerge w:val="restart"/>
            <w:noWrap w:val="0"/>
            <w:vAlign w:val="center"/>
          </w:tcPr>
          <w:p w14:paraId="77703EF9">
            <w:pPr>
              <w:ind w:firstLine="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商务部分</w:t>
            </w:r>
          </w:p>
          <w:p w14:paraId="0D6574C4">
            <w:pPr>
              <w:ind w:firstLine="2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w:t>
            </w:r>
          </w:p>
        </w:tc>
        <w:tc>
          <w:tcPr>
            <w:tcW w:w="1136" w:type="dxa"/>
            <w:noWrap w:val="0"/>
            <w:vAlign w:val="center"/>
          </w:tcPr>
          <w:p w14:paraId="3813B5F8">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业绩（10分）</w:t>
            </w:r>
          </w:p>
        </w:tc>
        <w:tc>
          <w:tcPr>
            <w:tcW w:w="4501" w:type="dxa"/>
            <w:noWrap w:val="0"/>
            <w:vAlign w:val="center"/>
          </w:tcPr>
          <w:p w14:paraId="4C1046B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年1月1日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至</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截止日止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以合同签订时间为准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具有</w:t>
            </w:r>
            <w:r>
              <w:rPr>
                <w:rFonts w:hint="eastAsia" w:ascii="仿宋" w:hAnsi="仿宋" w:eastAsia="仿宋" w:cs="仿宋"/>
                <w:color w:val="auto"/>
                <w:sz w:val="24"/>
                <w:szCs w:val="24"/>
                <w:highlight w:val="none"/>
                <w:lang w:val="en-US" w:eastAsia="zh-CN"/>
              </w:rPr>
              <w:t>服装或校服或制服</w:t>
            </w:r>
            <w:r>
              <w:rPr>
                <w:rFonts w:hint="eastAsia" w:ascii="仿宋" w:hAnsi="仿宋" w:eastAsia="仿宋" w:cs="仿宋"/>
                <w:color w:val="auto"/>
                <w:sz w:val="24"/>
                <w:szCs w:val="24"/>
                <w:highlight w:val="none"/>
              </w:rPr>
              <w:t>业绩</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lang w:val="en-US" w:eastAsia="zh-CN"/>
              </w:rPr>
              <w:t>具有1</w:t>
            </w:r>
            <w:r>
              <w:rPr>
                <w:rFonts w:hint="eastAsia" w:ascii="仿宋" w:hAnsi="仿宋" w:eastAsia="仿宋" w:cs="仿宋"/>
                <w:color w:val="auto"/>
                <w:sz w:val="24"/>
                <w:szCs w:val="24"/>
                <w:highlight w:val="none"/>
              </w:rPr>
              <w:t>个</w:t>
            </w:r>
            <w:r>
              <w:rPr>
                <w:rFonts w:hint="eastAsia" w:ascii="仿宋" w:hAnsi="仿宋" w:eastAsia="仿宋" w:cs="仿宋"/>
                <w:color w:val="auto"/>
                <w:sz w:val="24"/>
                <w:szCs w:val="24"/>
                <w:highlight w:val="none"/>
                <w:lang w:val="en-US" w:eastAsia="zh-CN"/>
              </w:rPr>
              <w:t>业绩</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1917" w:type="dxa"/>
            <w:noWrap w:val="0"/>
            <w:vAlign w:val="center"/>
          </w:tcPr>
          <w:p w14:paraId="5A4CB16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提供合同或中标（成交）通知书复印件并加盖供应商公章。</w:t>
            </w:r>
          </w:p>
        </w:tc>
      </w:tr>
      <w:tr w14:paraId="0862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835" w:type="dxa"/>
            <w:vMerge w:val="continue"/>
            <w:noWrap w:val="0"/>
            <w:vAlign w:val="center"/>
          </w:tcPr>
          <w:p w14:paraId="5BDD4F5E">
            <w:pPr>
              <w:rPr>
                <w:rFonts w:hint="eastAsia" w:ascii="仿宋" w:hAnsi="仿宋" w:eastAsia="仿宋" w:cs="仿宋"/>
                <w:color w:val="auto"/>
                <w:sz w:val="24"/>
                <w:szCs w:val="24"/>
                <w:highlight w:val="none"/>
              </w:rPr>
            </w:pPr>
          </w:p>
        </w:tc>
        <w:tc>
          <w:tcPr>
            <w:tcW w:w="1239" w:type="dxa"/>
            <w:vMerge w:val="continue"/>
            <w:noWrap w:val="0"/>
            <w:vAlign w:val="center"/>
          </w:tcPr>
          <w:p w14:paraId="01C4A2A8">
            <w:pPr>
              <w:rPr>
                <w:rFonts w:hint="eastAsia" w:ascii="仿宋" w:hAnsi="仿宋" w:eastAsia="仿宋" w:cs="仿宋"/>
                <w:color w:val="auto"/>
                <w:sz w:val="24"/>
                <w:szCs w:val="24"/>
                <w:highlight w:val="none"/>
              </w:rPr>
            </w:pPr>
          </w:p>
        </w:tc>
        <w:tc>
          <w:tcPr>
            <w:tcW w:w="1136" w:type="dxa"/>
            <w:noWrap w:val="0"/>
            <w:vAlign w:val="center"/>
          </w:tcPr>
          <w:p w14:paraId="73C4432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公益捐赠服务承诺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5分</w:t>
            </w:r>
            <w:r>
              <w:rPr>
                <w:rFonts w:hint="eastAsia" w:ascii="仿宋" w:hAnsi="仿宋" w:eastAsia="仿宋" w:cs="仿宋"/>
                <w:color w:val="auto"/>
                <w:sz w:val="24"/>
                <w:szCs w:val="24"/>
                <w:highlight w:val="none"/>
                <w:lang w:eastAsia="zh-CN"/>
              </w:rPr>
              <w:t>）</w:t>
            </w:r>
          </w:p>
        </w:tc>
        <w:tc>
          <w:tcPr>
            <w:tcW w:w="4501" w:type="dxa"/>
            <w:noWrap w:val="0"/>
            <w:vAlign w:val="center"/>
          </w:tcPr>
          <w:p w14:paraId="5341237C">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承诺愿意为家庭贫困学生、革命烈士子女、孤儿</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残障学生</w:t>
            </w:r>
            <w:r>
              <w:rPr>
                <w:rFonts w:hint="eastAsia" w:ascii="仿宋" w:hAnsi="仿宋" w:eastAsia="仿宋" w:cs="仿宋"/>
                <w:color w:val="auto"/>
                <w:sz w:val="24"/>
                <w:szCs w:val="24"/>
                <w:highlight w:val="none"/>
              </w:rPr>
              <w:t>等提供公益</w:t>
            </w:r>
            <w:r>
              <w:rPr>
                <w:rFonts w:hint="eastAsia" w:ascii="仿宋" w:hAnsi="仿宋" w:eastAsia="仿宋" w:cs="仿宋"/>
                <w:color w:val="auto"/>
                <w:sz w:val="24"/>
                <w:szCs w:val="24"/>
                <w:highlight w:val="none"/>
                <w:lang w:val="en-US" w:eastAsia="zh-CN"/>
              </w:rPr>
              <w:t>捐赠</w:t>
            </w: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承诺</w:t>
            </w:r>
            <w:r>
              <w:rPr>
                <w:rFonts w:hint="eastAsia" w:ascii="仿宋" w:hAnsi="仿宋" w:eastAsia="仿宋" w:cs="仿宋"/>
                <w:color w:val="auto"/>
                <w:sz w:val="24"/>
                <w:szCs w:val="24"/>
                <w:highlight w:val="none"/>
              </w:rPr>
              <w:t>提供当年</w:t>
            </w:r>
            <w:r>
              <w:rPr>
                <w:rFonts w:hint="eastAsia" w:ascii="仿宋" w:hAnsi="仿宋" w:eastAsia="仿宋" w:cs="仿宋"/>
                <w:color w:val="auto"/>
                <w:sz w:val="24"/>
                <w:szCs w:val="24"/>
                <w:highlight w:val="none"/>
                <w:lang w:val="en-US" w:eastAsia="zh-CN"/>
              </w:rPr>
              <w:t>合同</w:t>
            </w:r>
            <w:r>
              <w:rPr>
                <w:rFonts w:hint="eastAsia" w:ascii="仿宋" w:hAnsi="仿宋" w:eastAsia="仿宋" w:cs="仿宋"/>
                <w:color w:val="auto"/>
                <w:sz w:val="24"/>
                <w:szCs w:val="24"/>
                <w:highlight w:val="none"/>
              </w:rPr>
              <w:t>总金额的3%得5分，提供当年</w:t>
            </w:r>
            <w:r>
              <w:rPr>
                <w:rFonts w:hint="eastAsia" w:ascii="仿宋" w:hAnsi="仿宋" w:eastAsia="仿宋" w:cs="仿宋"/>
                <w:color w:val="auto"/>
                <w:sz w:val="24"/>
                <w:szCs w:val="24"/>
                <w:highlight w:val="none"/>
                <w:lang w:val="en-US" w:eastAsia="zh-CN"/>
              </w:rPr>
              <w:t>合同</w:t>
            </w:r>
            <w:r>
              <w:rPr>
                <w:rFonts w:hint="eastAsia" w:ascii="仿宋" w:hAnsi="仿宋" w:eastAsia="仿宋" w:cs="仿宋"/>
                <w:color w:val="auto"/>
                <w:sz w:val="24"/>
                <w:szCs w:val="24"/>
                <w:highlight w:val="none"/>
              </w:rPr>
              <w:t>总金额的2%得3分，提供当年</w:t>
            </w:r>
            <w:r>
              <w:rPr>
                <w:rFonts w:hint="eastAsia" w:ascii="仿宋" w:hAnsi="仿宋" w:eastAsia="仿宋" w:cs="仿宋"/>
                <w:color w:val="auto"/>
                <w:sz w:val="24"/>
                <w:szCs w:val="24"/>
                <w:highlight w:val="none"/>
                <w:lang w:val="en-US" w:eastAsia="zh-CN"/>
              </w:rPr>
              <w:t>合同</w:t>
            </w:r>
            <w:r>
              <w:rPr>
                <w:rFonts w:hint="eastAsia" w:ascii="仿宋" w:hAnsi="仿宋" w:eastAsia="仿宋" w:cs="仿宋"/>
                <w:color w:val="auto"/>
                <w:sz w:val="24"/>
                <w:szCs w:val="24"/>
                <w:highlight w:val="none"/>
              </w:rPr>
              <w:t>总金额的1%得1分，未</w:t>
            </w:r>
            <w:r>
              <w:rPr>
                <w:rFonts w:hint="eastAsia" w:ascii="仿宋" w:hAnsi="仿宋" w:eastAsia="仿宋" w:cs="仿宋"/>
                <w:color w:val="auto"/>
                <w:sz w:val="24"/>
                <w:szCs w:val="24"/>
                <w:highlight w:val="none"/>
                <w:lang w:val="en-US" w:eastAsia="zh-CN"/>
              </w:rPr>
              <w:t>承诺的不</w:t>
            </w:r>
            <w:r>
              <w:rPr>
                <w:rFonts w:hint="eastAsia" w:ascii="仿宋" w:hAnsi="仿宋" w:eastAsia="仿宋" w:cs="仿宋"/>
                <w:color w:val="auto"/>
                <w:sz w:val="24"/>
                <w:szCs w:val="24"/>
                <w:highlight w:val="none"/>
              </w:rPr>
              <w:t>得0分。</w:t>
            </w:r>
          </w:p>
        </w:tc>
        <w:tc>
          <w:tcPr>
            <w:tcW w:w="1917" w:type="dxa"/>
            <w:noWrap w:val="0"/>
            <w:vAlign w:val="center"/>
          </w:tcPr>
          <w:p w14:paraId="1F41B7D1">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提供承诺函（格式自拟）</w:t>
            </w:r>
          </w:p>
        </w:tc>
      </w:tr>
    </w:tbl>
    <w:p w14:paraId="0DED47D2">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处理。</w:t>
      </w:r>
    </w:p>
    <w:p w14:paraId="4B779BA7">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35" w:name="_Toc5717"/>
      <w:r>
        <w:rPr>
          <w:rFonts w:hint="eastAsia" w:ascii="仿宋" w:hAnsi="仿宋" w:eastAsia="仿宋" w:cs="仿宋"/>
          <w:color w:val="auto"/>
          <w:sz w:val="24"/>
          <w:highlight w:val="none"/>
        </w:rPr>
        <w:t>三、无效响应</w:t>
      </w:r>
      <w:bookmarkEnd w:id="135"/>
    </w:p>
    <w:p w14:paraId="1657223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供应商发生以下条款情况之一者，视为无效响应，其响应文件将被拒绝：</w:t>
      </w:r>
    </w:p>
    <w:p w14:paraId="15E5CFC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（一）供应商不符合规定的资格条件的；</w:t>
      </w:r>
    </w:p>
    <w:p w14:paraId="629127D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（二）供应商的法定代表人（或其授权代表）或自然人未参加磋商；</w:t>
      </w:r>
    </w:p>
    <w:p w14:paraId="14A0A3D1">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（三）供应商所提交的响应文件不按“第七篇响应文件编制要求”要求签署或盖章；</w:t>
      </w:r>
    </w:p>
    <w:p w14:paraId="56F323B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（四）供应商的最后报价超过采购预算或最高限价的；</w:t>
      </w:r>
    </w:p>
    <w:p w14:paraId="1E792ED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（五）法定代表人为同一个人的两个及两个以上法人，母公司、全资子公司及其控股公司，在同一包采购中同时参与磋商；</w:t>
      </w:r>
    </w:p>
    <w:p w14:paraId="4217B8A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（六）单位负责人为同一人或者存在直接控股、管理关系的不同供应商，参加同一合同项下的政府采购活动的；</w:t>
      </w:r>
    </w:p>
    <w:p w14:paraId="1664A50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（七）为采购项目提供整体设计、规范编制或者项目管理、监理、检测等服务的供应商，再参加该采购项目的其他采购活动；</w:t>
      </w:r>
    </w:p>
    <w:p w14:paraId="0050B2B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（八）供应商磋商有效期不满足竞争性磋商文件要求的；</w:t>
      </w:r>
    </w:p>
    <w:p w14:paraId="249E626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（九）供应商响应文件内容有与国家现行法律法规相违背的内容，或附有采购人无法接受的条件；</w:t>
      </w:r>
    </w:p>
    <w:p w14:paraId="578847BB">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（十）供应商以联合体形式参与磋商的；</w:t>
      </w:r>
    </w:p>
    <w:p w14:paraId="49C729CF">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（十一）供应商进行合同分包的；</w:t>
      </w:r>
    </w:p>
    <w:p w14:paraId="17A3B20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（十二）供应商被列入失信被执行人、重大税收违法案件当事人名单、政府采购严重违法失信行为记录名单及其他不符合《中华人民共和国政府采购法》第二十二条规定条件的。</w:t>
      </w:r>
    </w:p>
    <w:p w14:paraId="645857DA">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36" w:name="_Toc5258"/>
      <w:r>
        <w:rPr>
          <w:rFonts w:hint="eastAsia" w:ascii="仿宋" w:hAnsi="仿宋" w:eastAsia="仿宋" w:cs="仿宋"/>
          <w:color w:val="auto"/>
          <w:sz w:val="24"/>
          <w:highlight w:val="none"/>
        </w:rPr>
        <w:t>四、</w:t>
      </w:r>
      <w:bookmarkEnd w:id="133"/>
      <w:bookmarkEnd w:id="134"/>
      <w:r>
        <w:rPr>
          <w:rFonts w:hint="eastAsia" w:ascii="仿宋" w:hAnsi="仿宋" w:eastAsia="仿宋" w:cs="仿宋"/>
          <w:color w:val="auto"/>
          <w:sz w:val="24"/>
          <w:highlight w:val="none"/>
        </w:rPr>
        <w:t>采购终止</w:t>
      </w:r>
      <w:bookmarkEnd w:id="136"/>
    </w:p>
    <w:p w14:paraId="27D8F8A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出现下列情形之一的，采购人或者采购代理机构应当终止竞争性磋商采购活动，发布项目终止公告并说明原因，重新开展采购活动：</w:t>
      </w:r>
    </w:p>
    <w:p w14:paraId="0FFBA1A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（一）因情况变化，不再符合规定的竞争性磋商采购方式适用情形的；</w:t>
      </w:r>
    </w:p>
    <w:p w14:paraId="62D6578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（二）出现影响采购公正的违法、违规行为的；</w:t>
      </w:r>
    </w:p>
    <w:p w14:paraId="1D49B241">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（三）在采购过程中符合要求的供应商或者报价未超过采购预算的供应商不足3家的，但《政府采购竞争性磋商采购方式管理暂行办法》第二十一条第三款规定的情形除外。</w:t>
      </w:r>
    </w:p>
    <w:p w14:paraId="310FF9AB">
      <w:pPr>
        <w:spacing w:line="360" w:lineRule="auto"/>
        <w:ind w:firstLine="480" w:firstLineChars="200"/>
        <w:rPr>
          <w:rFonts w:hint="eastAsia" w:ascii="仿宋" w:hAnsi="仿宋" w:eastAsia="仿宋" w:cs="仿宋"/>
          <w:color w:val="auto"/>
          <w:sz w:val="24"/>
          <w:szCs w:val="24"/>
          <w:highlight w:val="none"/>
        </w:rPr>
        <w:sectPr>
          <w:pgSz w:w="11907" w:h="16840"/>
          <w:pgMar w:top="1134" w:right="1191" w:bottom="1134" w:left="1304" w:header="964" w:footer="992" w:gutter="0"/>
          <w:pgNumType w:fmt="numberInDash"/>
          <w:cols w:space="720" w:num="1"/>
          <w:docGrid w:linePitch="312" w:charSpace="0"/>
        </w:sectPr>
      </w:pPr>
    </w:p>
    <w:p w14:paraId="50248D15">
      <w:pPr>
        <w:pStyle w:val="2"/>
        <w:spacing w:before="0" w:after="0" w:line="360" w:lineRule="auto"/>
        <w:jc w:val="center"/>
        <w:outlineLvl w:val="0"/>
        <w:rPr>
          <w:rFonts w:hint="eastAsia" w:ascii="仿宋" w:hAnsi="仿宋" w:eastAsia="仿宋" w:cs="仿宋"/>
          <w:b/>
          <w:bCs/>
          <w:color w:val="auto"/>
          <w:sz w:val="36"/>
          <w:szCs w:val="36"/>
          <w:highlight w:val="none"/>
        </w:rPr>
      </w:pPr>
      <w:bookmarkStart w:id="137" w:name="_Toc65662743"/>
      <w:bookmarkStart w:id="138" w:name="_Toc102227313"/>
      <w:bookmarkStart w:id="139" w:name="_Toc10638"/>
      <w:bookmarkStart w:id="140" w:name="_Toc11641055"/>
      <w:bookmarkStart w:id="141" w:name="_Toc12789059"/>
      <w:r>
        <w:rPr>
          <w:rFonts w:hint="eastAsia" w:ascii="仿宋" w:hAnsi="仿宋" w:eastAsia="仿宋" w:cs="仿宋"/>
          <w:b/>
          <w:bCs/>
          <w:color w:val="auto"/>
          <w:sz w:val="36"/>
          <w:szCs w:val="36"/>
          <w:highlight w:val="none"/>
        </w:rPr>
        <w:t>第五篇  供应商须知</w:t>
      </w:r>
      <w:bookmarkEnd w:id="137"/>
      <w:bookmarkEnd w:id="138"/>
      <w:bookmarkEnd w:id="139"/>
    </w:p>
    <w:p w14:paraId="638EAA6B">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42" w:name="_Toc65662744"/>
      <w:bookmarkStart w:id="143" w:name="_Toc342913389"/>
      <w:bookmarkStart w:id="144" w:name="_Toc27339"/>
      <w:r>
        <w:rPr>
          <w:rFonts w:hint="eastAsia" w:ascii="仿宋" w:hAnsi="仿宋" w:eastAsia="仿宋" w:cs="仿宋"/>
          <w:color w:val="auto"/>
          <w:sz w:val="24"/>
          <w:highlight w:val="none"/>
        </w:rPr>
        <w:t>一、磋商费用</w:t>
      </w:r>
      <w:bookmarkEnd w:id="142"/>
      <w:bookmarkEnd w:id="143"/>
      <w:bookmarkEnd w:id="144"/>
    </w:p>
    <w:p w14:paraId="13A91B54">
      <w:pPr>
        <w:pStyle w:val="146"/>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参与磋商的供应商应承担其编制响应文件与递交响应文件所涉及的一切费用，不论磋商结果如何，采购人和采购代理机构在任何情况下无义务也无责任承担这些费用。</w:t>
      </w:r>
    </w:p>
    <w:p w14:paraId="65BFCB13">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45" w:name="_Toc342913391"/>
      <w:bookmarkStart w:id="146" w:name="_Toc22696"/>
      <w:bookmarkStart w:id="147" w:name="_Toc65662745"/>
      <w:r>
        <w:rPr>
          <w:rFonts w:hint="eastAsia" w:ascii="仿宋" w:hAnsi="仿宋" w:eastAsia="仿宋" w:cs="仿宋"/>
          <w:color w:val="auto"/>
          <w:sz w:val="24"/>
          <w:highlight w:val="none"/>
        </w:rPr>
        <w:t>二、竞争性磋商文件</w:t>
      </w:r>
      <w:bookmarkEnd w:id="145"/>
      <w:bookmarkEnd w:id="146"/>
      <w:bookmarkEnd w:id="147"/>
    </w:p>
    <w:p w14:paraId="4DEB17D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（一）竞争性磋商文件由采购邀请书、项目技术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质量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需求、项目商务需求、磋商程序及方法、评审标准、无效响应和采购终止、供应商须知、采购合同、响应文件编制要求七部分组成。</w:t>
      </w:r>
    </w:p>
    <w:p w14:paraId="2F7E374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（二）采购人（或采购代理机构）所作的一切有效的书面通知、修改及补充，都是竞争性磋商文件不可分割的部分。</w:t>
      </w:r>
    </w:p>
    <w:p w14:paraId="0BF8732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（三）竞争性磋商文件的解释</w:t>
      </w:r>
    </w:p>
    <w:p w14:paraId="3A2C291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bookmarkStart w:id="148" w:name="_Toc318159349"/>
      <w:bookmarkStart w:id="149" w:name="_Toc318166429"/>
      <w:bookmarkStart w:id="150" w:name="_Toc318159780"/>
      <w:bookmarkStart w:id="151" w:name="_Toc318159160"/>
    </w:p>
    <w:p w14:paraId="40EEE4C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（四）本竞争性磋商文件中，磋商小组根据与供应商进行磋商可能实质性变动的内容为竞争性磋商文件第二、三、六篇全部内容。</w:t>
      </w:r>
    </w:p>
    <w:p w14:paraId="7D6FD04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（五）评审的依据为竞争性磋商文件和响应文件（含有效的书面承诺）。磋商小组判断响应文件对竞争性磋商文件的响应，仅基于响应文件本身而不靠外部证据。</w:t>
      </w:r>
    </w:p>
    <w:bookmarkEnd w:id="148"/>
    <w:bookmarkEnd w:id="149"/>
    <w:bookmarkEnd w:id="150"/>
    <w:bookmarkEnd w:id="151"/>
    <w:p w14:paraId="0AF9B77D">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52" w:name="_Toc102227318"/>
      <w:bookmarkStart w:id="153" w:name="_Toc8970"/>
      <w:bookmarkStart w:id="154" w:name="_Toc179714297"/>
      <w:bookmarkStart w:id="155" w:name="_Toc342913392"/>
      <w:bookmarkStart w:id="156" w:name="_Toc65662746"/>
      <w:r>
        <w:rPr>
          <w:rFonts w:hint="eastAsia" w:ascii="仿宋" w:hAnsi="仿宋" w:eastAsia="仿宋" w:cs="仿宋"/>
          <w:color w:val="auto"/>
          <w:sz w:val="24"/>
          <w:highlight w:val="none"/>
        </w:rPr>
        <w:t>三、磋商要求</w:t>
      </w:r>
      <w:bookmarkEnd w:id="152"/>
      <w:bookmarkEnd w:id="153"/>
      <w:bookmarkEnd w:id="154"/>
      <w:bookmarkEnd w:id="155"/>
      <w:bookmarkEnd w:id="156"/>
    </w:p>
    <w:p w14:paraId="215215E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（一）响应文件</w:t>
      </w:r>
    </w:p>
    <w:p w14:paraId="1C7C2C3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1.供应商应当按照竞争性磋商文件的要求编制响应文件，并对竞争性磋商文件提出的要求和条件作出实质性响应，响应文件原则上采用软面订本，同时应编制完整的页码、目录。</w:t>
      </w:r>
    </w:p>
    <w:p w14:paraId="6745BAE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2.响应文件组成</w:t>
      </w:r>
    </w:p>
    <w:p w14:paraId="21907D5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60B4EA2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（二）联合体</w:t>
      </w:r>
    </w:p>
    <w:p w14:paraId="08F18B4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本项目不接受联合体参与磋商。</w:t>
      </w:r>
    </w:p>
    <w:p w14:paraId="2A4A422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（三）磋商有效期：响应文件及有关承诺文件有效期为提交响应文件截止时间起90天。</w:t>
      </w:r>
    </w:p>
    <w:p w14:paraId="769E347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（四）修正错误</w:t>
      </w:r>
    </w:p>
    <w:p w14:paraId="1AAA5C1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1.若供应商所递交的响应文件或最后报价中的价格出现大写金额和小写金额不一致的错误，以大写金额修正为准。</w:t>
      </w:r>
    </w:p>
    <w:p w14:paraId="6F139DD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2.磋商小组按上述修正错误的原则及方法修正供应商的报价，供应商同意并</w:t>
      </w:r>
      <w:r>
        <w:rPr>
          <w:rFonts w:hint="eastAsia" w:ascii="仿宋" w:hAnsi="仿宋" w:eastAsia="仿宋" w:cs="仿宋"/>
          <w:color w:val="auto"/>
          <w:sz w:val="24"/>
          <w:highlight w:val="none"/>
        </w:rPr>
        <w:t>签署</w:t>
      </w:r>
      <w:r>
        <w:rPr>
          <w:rFonts w:hint="eastAsia" w:ascii="仿宋" w:hAnsi="仿宋" w:eastAsia="仿宋" w:cs="仿宋"/>
          <w:color w:val="auto"/>
          <w:sz w:val="24"/>
          <w:szCs w:val="24"/>
          <w:highlight w:val="none"/>
        </w:rPr>
        <w:t>确认后，修正后的报价对供应商具有约束作用。如果供应商不接受修正后的价格，将失去成为成交供应商的资格。</w:t>
      </w:r>
    </w:p>
    <w:p w14:paraId="5CE1051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（五）提交响应文件的份数和签署</w:t>
      </w:r>
    </w:p>
    <w:p w14:paraId="58A75490">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响应文件一式四份，其中正本一份，副本二份，电子文档一份（电子文档内容应与纸质文件正本一致，如不一致以纸质文件正本为准。推荐采用光盘或U盘为电子文档载体）；副本可为正本的复印件，应与正本一致，如出现不一致情况以正本为准。</w:t>
      </w:r>
    </w:p>
    <w:p w14:paraId="76D35C70">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highlight w:val="none"/>
        </w:rPr>
        <w:t>响应文件按竞争性磋商文件“第七篇响应文件编制要求”要求签署或盖章。</w:t>
      </w:r>
    </w:p>
    <w:p w14:paraId="716653F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（六）响应文件的递交</w:t>
      </w:r>
    </w:p>
    <w:p w14:paraId="4AEE0D84">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文件的正本、副本以及电子文档均应密封送达磋商地点，应在封套上注明磋商项目名称、供应商名称。若正本、副本以及电子文档分别进行密封的，还应在封套上注明“正本”、“副本”、“电子文档”字样。</w:t>
      </w:r>
    </w:p>
    <w:p w14:paraId="586B201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（七）供应商参与人员</w:t>
      </w:r>
    </w:p>
    <w:p w14:paraId="51A32506">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各个供应商应当派1-2名代表参与磋商，至少1人应为法定代表人（或其授权代表）或自然人（供应商为自然人）。</w:t>
      </w:r>
    </w:p>
    <w:p w14:paraId="041643A0">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57" w:name="_Toc65662747"/>
      <w:bookmarkStart w:id="158" w:name="_Toc19945"/>
      <w:r>
        <w:rPr>
          <w:rFonts w:hint="eastAsia" w:ascii="仿宋" w:hAnsi="仿宋" w:eastAsia="仿宋" w:cs="仿宋"/>
          <w:color w:val="auto"/>
          <w:sz w:val="24"/>
          <w:highlight w:val="none"/>
        </w:rPr>
        <w:t>四、成交供应商的确认和变更</w:t>
      </w:r>
      <w:bookmarkEnd w:id="157"/>
      <w:bookmarkEnd w:id="158"/>
    </w:p>
    <w:p w14:paraId="289DB84D">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（一）成交供应商的确认</w:t>
      </w:r>
    </w:p>
    <w:p w14:paraId="4E50A7CF">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38AA261B">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（二）成交供应商的变更</w:t>
      </w:r>
    </w:p>
    <w:p w14:paraId="4AE8AD3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成交供应商拒绝与采购人签订合同的，采购人可以按照评标报告推荐的成交候选供应商顺序，确定排名下一位的候选人为成交供应商，也可以重新开展采购活动。</w:t>
      </w:r>
    </w:p>
    <w:p w14:paraId="5FC805D5">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59" w:name="_Toc342913395"/>
      <w:bookmarkStart w:id="160" w:name="_Toc102227321"/>
      <w:bookmarkStart w:id="161" w:name="_Toc7531"/>
      <w:bookmarkStart w:id="162" w:name="_Toc65662748"/>
      <w:r>
        <w:rPr>
          <w:rFonts w:hint="eastAsia" w:ascii="仿宋" w:hAnsi="仿宋" w:eastAsia="仿宋" w:cs="仿宋"/>
          <w:color w:val="auto"/>
          <w:sz w:val="24"/>
          <w:highlight w:val="none"/>
        </w:rPr>
        <w:t>五、成交通知</w:t>
      </w:r>
      <w:bookmarkEnd w:id="159"/>
      <w:bookmarkEnd w:id="160"/>
      <w:bookmarkEnd w:id="161"/>
      <w:bookmarkEnd w:id="162"/>
    </w:p>
    <w:p w14:paraId="740D52A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（一）成交供应商确定后，采购代理机构将在行采家官网（https://www.gec123.com）上发布成交结果公告。</w:t>
      </w:r>
    </w:p>
    <w:p w14:paraId="4C56CAA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（二）结果公告发出同时，采购代理机构将以书面形式发出《成交通知书》。《成交通知书》一经发出即发生法律效力。</w:t>
      </w:r>
    </w:p>
    <w:p w14:paraId="6DD8FDF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（三）《成交通知书》将作为签订合同的依据。</w:t>
      </w:r>
    </w:p>
    <w:p w14:paraId="14E52C45">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63" w:name="_Toc65662749"/>
      <w:bookmarkStart w:id="164" w:name="_Toc13305"/>
      <w:r>
        <w:rPr>
          <w:rFonts w:hint="eastAsia" w:ascii="仿宋" w:hAnsi="仿宋" w:eastAsia="仿宋" w:cs="仿宋"/>
          <w:color w:val="auto"/>
          <w:sz w:val="24"/>
          <w:highlight w:val="none"/>
        </w:rPr>
        <w:t>六、关于质疑</w:t>
      </w:r>
      <w:bookmarkEnd w:id="163"/>
      <w:bookmarkEnd w:id="164"/>
    </w:p>
    <w:p w14:paraId="0394482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（一）质疑</w:t>
      </w:r>
    </w:p>
    <w:p w14:paraId="357F849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供应商认为采购文件、采购过程和成交结果使自己的权益收到伤害的，可向采购人或采购代理机构以书面形式提出质疑。</w:t>
      </w:r>
    </w:p>
    <w:p w14:paraId="3443215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提出质疑的应当是参与所质疑项目采购活动的供应商。 </w:t>
      </w:r>
    </w:p>
    <w:p w14:paraId="27DBAB97">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1.质疑时限、内容</w:t>
      </w:r>
    </w:p>
    <w:p w14:paraId="753927A0">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供应商认为采购文件、采购过程、成交结果使自己的权益受到损害的，可以在知道或者应知其权益受到损害之日起7个工作日内，以书面形式向采购人、采购代理机构提出质疑。</w:t>
      </w:r>
    </w:p>
    <w:p w14:paraId="02EFE086">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1.2供应商提出质疑应当提交质疑函和必要的证明材料，质疑函应当包括下列内容：</w:t>
      </w:r>
    </w:p>
    <w:p w14:paraId="54C957E9">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1.2.1供应商的姓名或者名称、地址、邮编、联系人及联系电话；</w:t>
      </w:r>
    </w:p>
    <w:p w14:paraId="7AEF394C">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1.2.2质疑项目的名称、采购执行编号；</w:t>
      </w:r>
    </w:p>
    <w:p w14:paraId="38BE5437">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1.2.3具体、明确的质疑事项和与质疑事项相关的请求；</w:t>
      </w:r>
    </w:p>
    <w:p w14:paraId="353FB85E">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1.2.4事实依据；</w:t>
      </w:r>
    </w:p>
    <w:p w14:paraId="75991DF9">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1.2.5必要的法律依据；</w:t>
      </w:r>
    </w:p>
    <w:p w14:paraId="150BCACF">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1.2.6提出质疑的日期；</w:t>
      </w:r>
    </w:p>
    <w:p w14:paraId="7536A0D7">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1.2.7营业执照（或事业单位法人证书，或个体工商户营业执照或有效的自然人身份证明）复印件；</w:t>
      </w:r>
    </w:p>
    <w:p w14:paraId="1AC6D4D9">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1.2.8法定代表人授权委托书原件、法定代表人身份证复印件和其授权代表的身份证复印件（供应商为自然人的提供自然人身份证复印件）；</w:t>
      </w:r>
    </w:p>
    <w:p w14:paraId="439CB73A">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1.3供应商为自然人的，质疑函应当由本人签字；供应商为法人或者其他组织的，质疑函应当由法定代表人、主要负责人，或者其授权代表签字或者盖章，并加盖公章。</w:t>
      </w:r>
    </w:p>
    <w:p w14:paraId="78965226">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2.质疑答复</w:t>
      </w:r>
    </w:p>
    <w:p w14:paraId="0E778DFA">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采购人、采购代理机构应当在收到供应商的书面质疑后七个工作日内作出答复，并以书面形式通知质疑供应商和其他有关供应商。</w:t>
      </w:r>
    </w:p>
    <w:p w14:paraId="551DF32E">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3.其他</w:t>
      </w:r>
    </w:p>
    <w:p w14:paraId="2B2857AE">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3.1</w:t>
      </w:r>
      <w:r>
        <w:rPr>
          <w:rFonts w:hint="eastAsia" w:ascii="仿宋" w:hAnsi="仿宋" w:eastAsia="仿宋" w:cs="仿宋"/>
          <w:color w:val="auto"/>
          <w:sz w:val="24"/>
          <w:highlight w:val="none"/>
          <w:lang w:val="en-US" w:eastAsia="zh-CN"/>
        </w:rPr>
        <w:t>参照</w:t>
      </w:r>
      <w:r>
        <w:rPr>
          <w:rFonts w:hint="eastAsia" w:ascii="仿宋" w:hAnsi="仿宋" w:eastAsia="仿宋" w:cs="仿宋"/>
          <w:color w:val="auto"/>
          <w:sz w:val="24"/>
          <w:highlight w:val="none"/>
        </w:rPr>
        <w:t>《政府采购质疑和投诉办法》（财政部令第94号）及相关法律法规要求，在法定质疑期内一次性提出针对同一采购程序环节的质疑。</w:t>
      </w:r>
    </w:p>
    <w:p w14:paraId="21B63E2F">
      <w:pPr>
        <w:spacing w:line="360" w:lineRule="auto"/>
        <w:ind w:right="12"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3.2质疑函范本可在财政部门户网站和中国政府采购网下载。</w:t>
      </w:r>
    </w:p>
    <w:p w14:paraId="55F23FE7">
      <w:pPr>
        <w:pStyle w:val="3"/>
        <w:adjustRightInd w:val="0"/>
        <w:snapToGrid w:val="0"/>
        <w:spacing w:before="0" w:after="0" w:line="360" w:lineRule="auto"/>
        <w:ind w:firstLine="482" w:firstLineChars="200"/>
        <w:rPr>
          <w:rFonts w:hint="eastAsia" w:ascii="仿宋" w:hAnsi="仿宋" w:eastAsia="仿宋" w:cs="仿宋"/>
          <w:color w:val="auto"/>
          <w:sz w:val="24"/>
          <w:szCs w:val="24"/>
          <w:highlight w:val="none"/>
        </w:rPr>
      </w:pPr>
      <w:bookmarkStart w:id="165" w:name="_Toc12388"/>
      <w:bookmarkStart w:id="166" w:name="_Toc3868"/>
      <w:bookmarkStart w:id="167" w:name="_Toc16578"/>
      <w:bookmarkStart w:id="168" w:name="_Toc102227322"/>
      <w:bookmarkStart w:id="169" w:name="_Toc342913396"/>
      <w:bookmarkStart w:id="170" w:name="_Toc65662752"/>
      <w:r>
        <w:rPr>
          <w:rFonts w:hint="eastAsia" w:ascii="仿宋" w:hAnsi="仿宋" w:eastAsia="仿宋" w:cs="仿宋"/>
          <w:color w:val="auto"/>
          <w:sz w:val="24"/>
          <w:szCs w:val="24"/>
          <w:highlight w:val="none"/>
        </w:rPr>
        <w:t>七、采购代理服务费</w:t>
      </w:r>
      <w:bookmarkEnd w:id="165"/>
      <w:bookmarkEnd w:id="166"/>
      <w:bookmarkEnd w:id="167"/>
    </w:p>
    <w:p w14:paraId="52D727F5">
      <w:pPr>
        <w:spacing w:line="360" w:lineRule="auto"/>
        <w:ind w:right="12" w:firstLine="480"/>
        <w:rPr>
          <w:rFonts w:hint="eastAsia" w:ascii="仿宋" w:hAnsi="仿宋" w:eastAsia="仿宋" w:cs="仿宋"/>
          <w:color w:val="auto"/>
          <w:sz w:val="24"/>
          <w:highlight w:val="none"/>
        </w:rPr>
      </w:pPr>
      <w:bookmarkStart w:id="171" w:name="OLE_LINK8"/>
      <w:bookmarkStart w:id="172" w:name="OLE_LINK7"/>
      <w:bookmarkStart w:id="173" w:name="_Toc5919"/>
      <w:bookmarkStart w:id="174" w:name="_Toc18421"/>
      <w:r>
        <w:rPr>
          <w:rFonts w:hint="eastAsia" w:ascii="仿宋" w:hAnsi="仿宋" w:eastAsia="仿宋" w:cs="仿宋"/>
          <w:color w:val="auto"/>
          <w:sz w:val="24"/>
          <w:highlight w:val="none"/>
        </w:rPr>
        <w:t>（一）</w:t>
      </w:r>
      <w:bookmarkEnd w:id="171"/>
      <w:bookmarkEnd w:id="172"/>
      <w:r>
        <w:rPr>
          <w:rFonts w:hint="eastAsia" w:ascii="仿宋" w:hAnsi="仿宋" w:eastAsia="仿宋" w:cs="仿宋"/>
          <w:sz w:val="24"/>
          <w:highlight w:val="none"/>
        </w:rPr>
        <w:t>供应商成交后向采购代理机构缴纳采购代理服务费，采购代理服务</w:t>
      </w:r>
      <w:r>
        <w:rPr>
          <w:rFonts w:hint="eastAsia" w:ascii="仿宋" w:hAnsi="仿宋" w:eastAsia="仿宋" w:cs="仿宋"/>
          <w:sz w:val="24"/>
          <w:highlight w:val="none"/>
          <w:lang w:val="en-US" w:eastAsia="zh-CN"/>
        </w:rPr>
        <w:t>费参照《招标代理服务收费管理暂行办法》（[2002]1980号）文件收费标准的92%，按照单套成交价格*预估套数为基数计算（不足3500元的按3500元收取）。由成交供应商在领取成交通知书前向代理机构一次性缴纳。</w:t>
      </w:r>
    </w:p>
    <w:p w14:paraId="36C196AB">
      <w:pPr>
        <w:spacing w:line="360" w:lineRule="auto"/>
        <w:ind w:right="12"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lang w:eastAsia="zh-CN"/>
        </w:rPr>
        <w:t>）采购代理服务费缴纳账户信息：</w:t>
      </w:r>
    </w:p>
    <w:p w14:paraId="3296C17F">
      <w:pPr>
        <w:spacing w:line="360" w:lineRule="auto"/>
        <w:ind w:right="12"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户  名：联投项目管理（集团）有限公司重庆分公司</w:t>
      </w:r>
    </w:p>
    <w:p w14:paraId="3F9E70E9">
      <w:pPr>
        <w:spacing w:line="360" w:lineRule="auto"/>
        <w:ind w:right="12"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开户行：招商银行股份有限公司重庆分行营业部</w:t>
      </w:r>
    </w:p>
    <w:p w14:paraId="4E9AD4E3">
      <w:pPr>
        <w:spacing w:line="360" w:lineRule="auto"/>
        <w:ind w:right="12" w:firstLine="480"/>
        <w:rPr>
          <w:rFonts w:hint="eastAsia"/>
          <w:color w:val="auto"/>
          <w:highlight w:val="none"/>
        </w:rPr>
      </w:pPr>
      <w:r>
        <w:rPr>
          <w:rFonts w:hint="eastAsia" w:ascii="仿宋" w:hAnsi="仿宋" w:eastAsia="仿宋" w:cs="仿宋"/>
          <w:color w:val="auto"/>
          <w:sz w:val="24"/>
          <w:highlight w:val="none"/>
          <w:lang w:val="en-US" w:eastAsia="zh-CN"/>
        </w:rPr>
        <w:t>账  号：123918518710001</w:t>
      </w:r>
    </w:p>
    <w:p w14:paraId="6BA2D81B">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75" w:name="_Toc18941"/>
      <w:r>
        <w:rPr>
          <w:rFonts w:hint="eastAsia" w:ascii="仿宋" w:hAnsi="仿宋" w:eastAsia="仿宋" w:cs="仿宋"/>
          <w:color w:val="auto"/>
          <w:sz w:val="24"/>
          <w:szCs w:val="24"/>
          <w:highlight w:val="none"/>
        </w:rPr>
        <w:t>八、</w:t>
      </w:r>
      <w:bookmarkEnd w:id="173"/>
      <w:bookmarkEnd w:id="174"/>
      <w:r>
        <w:rPr>
          <w:rFonts w:hint="eastAsia" w:ascii="仿宋" w:hAnsi="仿宋" w:eastAsia="仿宋" w:cs="仿宋"/>
          <w:color w:val="auto"/>
          <w:sz w:val="24"/>
          <w:highlight w:val="none"/>
        </w:rPr>
        <w:t>签订</w:t>
      </w:r>
      <w:bookmarkEnd w:id="168"/>
      <w:r>
        <w:rPr>
          <w:rFonts w:hint="eastAsia" w:ascii="仿宋" w:hAnsi="仿宋" w:eastAsia="仿宋" w:cs="仿宋"/>
          <w:color w:val="auto"/>
          <w:sz w:val="24"/>
          <w:highlight w:val="none"/>
        </w:rPr>
        <w:t>合同</w:t>
      </w:r>
      <w:bookmarkEnd w:id="169"/>
      <w:bookmarkEnd w:id="170"/>
      <w:bookmarkEnd w:id="175"/>
    </w:p>
    <w:p w14:paraId="23AC243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（一）采购人应当自成交通知书发出之日起</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十日内，按照竞争性磋商文件和成交供应商响应文件的约定，与成交供应商签订书面合同。所签订的合同不得对竞争性磋商文件和供应商的响应文件作实质性修改。其他未尽事宜由采购人和成交供应商在采购合同中详细约定。</w:t>
      </w:r>
    </w:p>
    <w:p w14:paraId="116364C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（二）竞争性磋商文件、供应商的响应文件及澄清文件等，均为签订采购合同的依据。</w:t>
      </w:r>
    </w:p>
    <w:p w14:paraId="5804787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（三）合同生效条款由供需双方约定，法律、行政法规规定应当办理批准、登记等手续后生效的合同，依照其规定。</w:t>
      </w:r>
    </w:p>
    <w:p w14:paraId="29BF116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（四）合同原则上应按照《合同样本》签订，相关单位要求适用合同通用格式版本的，应按其要求另行签订其他合同。</w:t>
      </w:r>
    </w:p>
    <w:p w14:paraId="5A36087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（五）采购人要求成交供应商提供履约保证金的，应当在竞争性磋商文件中予以约定。成交供应商履约完毕后，采购人根据采购文件规定退还其履约保证金。</w:t>
      </w:r>
    </w:p>
    <w:p w14:paraId="0BE5B5A6">
      <w:pPr>
        <w:pStyle w:val="2"/>
        <w:spacing w:before="0" w:after="0" w:line="360" w:lineRule="auto"/>
        <w:jc w:val="center"/>
        <w:outlineLvl w:val="0"/>
        <w:rPr>
          <w:rFonts w:hint="eastAsia" w:ascii="仿宋" w:hAnsi="仿宋" w:eastAsia="仿宋" w:cs="仿宋"/>
          <w:b w:val="0"/>
          <w:color w:val="auto"/>
          <w:sz w:val="36"/>
          <w:szCs w:val="30"/>
          <w:highlight w:val="none"/>
        </w:rPr>
      </w:pPr>
      <w:r>
        <w:rPr>
          <w:rFonts w:hint="eastAsia" w:ascii="仿宋" w:hAnsi="仿宋" w:eastAsia="仿宋" w:cs="仿宋"/>
          <w:color w:val="auto"/>
          <w:sz w:val="36"/>
          <w:szCs w:val="30"/>
          <w:highlight w:val="none"/>
        </w:rPr>
        <w:br w:type="page"/>
      </w:r>
      <w:bookmarkStart w:id="176" w:name="_Toc31932"/>
      <w:r>
        <w:rPr>
          <w:rFonts w:hint="eastAsia" w:ascii="仿宋" w:hAnsi="仿宋" w:eastAsia="仿宋" w:cs="仿宋"/>
          <w:b/>
          <w:bCs/>
          <w:color w:val="auto"/>
          <w:sz w:val="36"/>
          <w:szCs w:val="36"/>
          <w:highlight w:val="none"/>
        </w:rPr>
        <w:t xml:space="preserve">第六篇  </w:t>
      </w:r>
      <w:bookmarkEnd w:id="140"/>
      <w:bookmarkEnd w:id="141"/>
      <w:r>
        <w:rPr>
          <w:rFonts w:hint="eastAsia" w:ascii="仿宋" w:hAnsi="仿宋" w:eastAsia="仿宋" w:cs="仿宋"/>
          <w:b/>
          <w:bCs/>
          <w:color w:val="auto"/>
          <w:sz w:val="36"/>
          <w:szCs w:val="36"/>
          <w:highlight w:val="none"/>
        </w:rPr>
        <w:t>合同样本</w:t>
      </w:r>
      <w:bookmarkEnd w:id="176"/>
    </w:p>
    <w:p w14:paraId="5D9AD2B5">
      <w:pPr>
        <w:spacing w:line="360" w:lineRule="auto"/>
        <w:jc w:val="center"/>
        <w:rPr>
          <w:rFonts w:hint="eastAsia" w:ascii="仿宋" w:hAnsi="仿宋" w:eastAsia="仿宋" w:cs="仿宋"/>
          <w:b/>
          <w:color w:val="auto"/>
          <w:sz w:val="44"/>
          <w:highlight w:val="none"/>
        </w:rPr>
      </w:pPr>
      <w:bookmarkStart w:id="177" w:name="_Hlt41879464"/>
      <w:bookmarkEnd w:id="177"/>
      <w:r>
        <w:rPr>
          <w:rFonts w:hint="eastAsia" w:ascii="仿宋" w:hAnsi="仿宋" w:eastAsia="仿宋" w:cs="仿宋"/>
          <w:b/>
          <w:color w:val="auto"/>
          <w:sz w:val="44"/>
          <w:highlight w:val="none"/>
        </w:rPr>
        <w:t>采购合同</w:t>
      </w:r>
    </w:p>
    <w:p w14:paraId="76DA5C14">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（项目编号：     ）</w:t>
      </w:r>
    </w:p>
    <w:p w14:paraId="032A15E9">
      <w:pPr>
        <w:spacing w:line="5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甲方（需方）：___________________________      计价单位：____________</w:t>
      </w:r>
    </w:p>
    <w:p w14:paraId="2A2DE9B4">
      <w:pPr>
        <w:spacing w:line="5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乙方（供方）：___________________________      计量单位：_____________</w:t>
      </w:r>
    </w:p>
    <w:p w14:paraId="021C2768">
      <w:pPr>
        <w:spacing w:line="520" w:lineRule="exact"/>
        <w:rPr>
          <w:rFonts w:hint="eastAsia" w:ascii="仿宋" w:hAnsi="仿宋" w:eastAsia="仿宋" w:cs="仿宋"/>
          <w:color w:val="auto"/>
          <w:sz w:val="24"/>
          <w:highlight w:val="none"/>
        </w:rPr>
      </w:pPr>
    </w:p>
    <w:p w14:paraId="19858045">
      <w:pPr>
        <w:spacing w:line="5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经双方协商一致，达成以下购销合同：</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448"/>
        <w:gridCol w:w="850"/>
        <w:gridCol w:w="1134"/>
        <w:gridCol w:w="1559"/>
        <w:gridCol w:w="1560"/>
      </w:tblGrid>
      <w:tr w14:paraId="3DEF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330" w:type="dxa"/>
            <w:noWrap w:val="0"/>
            <w:vAlign w:val="center"/>
          </w:tcPr>
          <w:p w14:paraId="69E7F184">
            <w:pPr>
              <w:spacing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商品名称</w:t>
            </w:r>
          </w:p>
        </w:tc>
        <w:tc>
          <w:tcPr>
            <w:tcW w:w="1741" w:type="dxa"/>
            <w:noWrap w:val="0"/>
            <w:vAlign w:val="center"/>
          </w:tcPr>
          <w:p w14:paraId="470E9647">
            <w:pPr>
              <w:spacing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规格型号</w:t>
            </w:r>
          </w:p>
        </w:tc>
        <w:tc>
          <w:tcPr>
            <w:tcW w:w="984" w:type="dxa"/>
            <w:noWrap w:val="0"/>
            <w:vAlign w:val="center"/>
          </w:tcPr>
          <w:p w14:paraId="3331C694">
            <w:pPr>
              <w:spacing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1298" w:type="dxa"/>
            <w:gridSpan w:val="2"/>
            <w:noWrap w:val="0"/>
            <w:vAlign w:val="center"/>
          </w:tcPr>
          <w:p w14:paraId="313B0E86">
            <w:pPr>
              <w:spacing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综合单价</w:t>
            </w:r>
          </w:p>
        </w:tc>
        <w:tc>
          <w:tcPr>
            <w:tcW w:w="1134" w:type="dxa"/>
            <w:noWrap w:val="0"/>
            <w:vAlign w:val="center"/>
          </w:tcPr>
          <w:p w14:paraId="73F1DB8C">
            <w:pPr>
              <w:spacing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总价</w:t>
            </w:r>
          </w:p>
        </w:tc>
        <w:tc>
          <w:tcPr>
            <w:tcW w:w="1559" w:type="dxa"/>
            <w:noWrap w:val="0"/>
            <w:vAlign w:val="center"/>
          </w:tcPr>
          <w:p w14:paraId="356F4BFE">
            <w:pPr>
              <w:spacing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交货时间</w:t>
            </w:r>
          </w:p>
        </w:tc>
        <w:tc>
          <w:tcPr>
            <w:tcW w:w="1560" w:type="dxa"/>
            <w:noWrap w:val="0"/>
            <w:vAlign w:val="center"/>
          </w:tcPr>
          <w:p w14:paraId="19C8168D">
            <w:pPr>
              <w:spacing w:line="5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交货地点</w:t>
            </w:r>
          </w:p>
        </w:tc>
      </w:tr>
      <w:tr w14:paraId="7E08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noWrap w:val="0"/>
            <w:vAlign w:val="center"/>
          </w:tcPr>
          <w:p w14:paraId="5D362A29">
            <w:pPr>
              <w:spacing w:line="520" w:lineRule="exact"/>
              <w:jc w:val="center"/>
              <w:rPr>
                <w:rFonts w:hint="eastAsia" w:ascii="仿宋" w:hAnsi="仿宋" w:eastAsia="仿宋" w:cs="仿宋"/>
                <w:color w:val="auto"/>
                <w:sz w:val="21"/>
                <w:szCs w:val="21"/>
                <w:highlight w:val="none"/>
              </w:rPr>
            </w:pPr>
          </w:p>
        </w:tc>
        <w:tc>
          <w:tcPr>
            <w:tcW w:w="1741" w:type="dxa"/>
            <w:noWrap w:val="0"/>
            <w:vAlign w:val="center"/>
          </w:tcPr>
          <w:p w14:paraId="1A4A33EC">
            <w:pPr>
              <w:spacing w:line="520" w:lineRule="exact"/>
              <w:jc w:val="center"/>
              <w:rPr>
                <w:rFonts w:hint="eastAsia" w:ascii="仿宋" w:hAnsi="仿宋" w:eastAsia="仿宋" w:cs="仿宋"/>
                <w:color w:val="auto"/>
                <w:sz w:val="21"/>
                <w:szCs w:val="21"/>
                <w:highlight w:val="none"/>
              </w:rPr>
            </w:pPr>
          </w:p>
        </w:tc>
        <w:tc>
          <w:tcPr>
            <w:tcW w:w="984" w:type="dxa"/>
            <w:noWrap w:val="0"/>
            <w:vAlign w:val="center"/>
          </w:tcPr>
          <w:p w14:paraId="6A75C9F6">
            <w:pPr>
              <w:spacing w:line="520" w:lineRule="exact"/>
              <w:jc w:val="center"/>
              <w:rPr>
                <w:rFonts w:hint="eastAsia" w:ascii="仿宋" w:hAnsi="仿宋" w:eastAsia="仿宋" w:cs="仿宋"/>
                <w:color w:val="auto"/>
                <w:sz w:val="21"/>
                <w:szCs w:val="21"/>
                <w:highlight w:val="none"/>
              </w:rPr>
            </w:pPr>
          </w:p>
        </w:tc>
        <w:tc>
          <w:tcPr>
            <w:tcW w:w="1298" w:type="dxa"/>
            <w:gridSpan w:val="2"/>
            <w:noWrap w:val="0"/>
            <w:vAlign w:val="center"/>
          </w:tcPr>
          <w:p w14:paraId="5E5D34C4">
            <w:pPr>
              <w:spacing w:line="520" w:lineRule="exact"/>
              <w:jc w:val="center"/>
              <w:rPr>
                <w:rFonts w:hint="eastAsia" w:ascii="仿宋" w:hAnsi="仿宋" w:eastAsia="仿宋" w:cs="仿宋"/>
                <w:color w:val="auto"/>
                <w:sz w:val="21"/>
                <w:szCs w:val="21"/>
                <w:highlight w:val="none"/>
              </w:rPr>
            </w:pPr>
          </w:p>
        </w:tc>
        <w:tc>
          <w:tcPr>
            <w:tcW w:w="1134" w:type="dxa"/>
            <w:noWrap w:val="0"/>
            <w:vAlign w:val="center"/>
          </w:tcPr>
          <w:p w14:paraId="69F993BF">
            <w:pPr>
              <w:spacing w:line="520" w:lineRule="exact"/>
              <w:jc w:val="center"/>
              <w:rPr>
                <w:rFonts w:hint="eastAsia" w:ascii="仿宋" w:hAnsi="仿宋" w:eastAsia="仿宋" w:cs="仿宋"/>
                <w:color w:val="auto"/>
                <w:sz w:val="21"/>
                <w:szCs w:val="21"/>
                <w:highlight w:val="none"/>
              </w:rPr>
            </w:pPr>
          </w:p>
        </w:tc>
        <w:tc>
          <w:tcPr>
            <w:tcW w:w="1559" w:type="dxa"/>
            <w:noWrap w:val="0"/>
            <w:vAlign w:val="center"/>
          </w:tcPr>
          <w:p w14:paraId="3E843BD2">
            <w:pPr>
              <w:spacing w:line="520" w:lineRule="exact"/>
              <w:jc w:val="center"/>
              <w:rPr>
                <w:rFonts w:hint="eastAsia" w:ascii="仿宋" w:hAnsi="仿宋" w:eastAsia="仿宋" w:cs="仿宋"/>
                <w:color w:val="auto"/>
                <w:sz w:val="21"/>
                <w:szCs w:val="21"/>
                <w:highlight w:val="none"/>
              </w:rPr>
            </w:pPr>
          </w:p>
        </w:tc>
        <w:tc>
          <w:tcPr>
            <w:tcW w:w="1560" w:type="dxa"/>
            <w:noWrap w:val="0"/>
            <w:vAlign w:val="center"/>
          </w:tcPr>
          <w:p w14:paraId="1DE72B66">
            <w:pPr>
              <w:spacing w:line="520" w:lineRule="exact"/>
              <w:jc w:val="center"/>
              <w:rPr>
                <w:rFonts w:hint="eastAsia" w:ascii="仿宋" w:hAnsi="仿宋" w:eastAsia="仿宋" w:cs="仿宋"/>
                <w:color w:val="auto"/>
                <w:sz w:val="21"/>
                <w:szCs w:val="21"/>
                <w:highlight w:val="none"/>
              </w:rPr>
            </w:pPr>
          </w:p>
        </w:tc>
      </w:tr>
      <w:tr w14:paraId="37A9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noWrap w:val="0"/>
            <w:vAlign w:val="center"/>
          </w:tcPr>
          <w:p w14:paraId="2823F6A1">
            <w:pPr>
              <w:spacing w:line="520" w:lineRule="exact"/>
              <w:jc w:val="center"/>
              <w:rPr>
                <w:rFonts w:hint="eastAsia" w:ascii="仿宋" w:hAnsi="仿宋" w:eastAsia="仿宋" w:cs="仿宋"/>
                <w:color w:val="auto"/>
                <w:sz w:val="21"/>
                <w:szCs w:val="21"/>
                <w:highlight w:val="none"/>
              </w:rPr>
            </w:pPr>
          </w:p>
        </w:tc>
        <w:tc>
          <w:tcPr>
            <w:tcW w:w="1741" w:type="dxa"/>
            <w:noWrap w:val="0"/>
            <w:vAlign w:val="center"/>
          </w:tcPr>
          <w:p w14:paraId="6850A90C">
            <w:pPr>
              <w:spacing w:line="520" w:lineRule="exact"/>
              <w:jc w:val="center"/>
              <w:rPr>
                <w:rFonts w:hint="eastAsia" w:ascii="仿宋" w:hAnsi="仿宋" w:eastAsia="仿宋" w:cs="仿宋"/>
                <w:color w:val="auto"/>
                <w:sz w:val="21"/>
                <w:szCs w:val="21"/>
                <w:highlight w:val="none"/>
              </w:rPr>
            </w:pPr>
          </w:p>
        </w:tc>
        <w:tc>
          <w:tcPr>
            <w:tcW w:w="984" w:type="dxa"/>
            <w:noWrap w:val="0"/>
            <w:vAlign w:val="center"/>
          </w:tcPr>
          <w:p w14:paraId="6EDDBAC7">
            <w:pPr>
              <w:spacing w:line="520" w:lineRule="exact"/>
              <w:jc w:val="center"/>
              <w:rPr>
                <w:rFonts w:hint="eastAsia" w:ascii="仿宋" w:hAnsi="仿宋" w:eastAsia="仿宋" w:cs="仿宋"/>
                <w:color w:val="auto"/>
                <w:sz w:val="21"/>
                <w:szCs w:val="21"/>
                <w:highlight w:val="none"/>
              </w:rPr>
            </w:pPr>
          </w:p>
        </w:tc>
        <w:tc>
          <w:tcPr>
            <w:tcW w:w="1298" w:type="dxa"/>
            <w:gridSpan w:val="2"/>
            <w:noWrap w:val="0"/>
            <w:vAlign w:val="center"/>
          </w:tcPr>
          <w:p w14:paraId="04FA7F11">
            <w:pPr>
              <w:spacing w:line="520" w:lineRule="exact"/>
              <w:jc w:val="center"/>
              <w:rPr>
                <w:rFonts w:hint="eastAsia" w:ascii="仿宋" w:hAnsi="仿宋" w:eastAsia="仿宋" w:cs="仿宋"/>
                <w:color w:val="auto"/>
                <w:sz w:val="21"/>
                <w:szCs w:val="21"/>
                <w:highlight w:val="none"/>
              </w:rPr>
            </w:pPr>
          </w:p>
        </w:tc>
        <w:tc>
          <w:tcPr>
            <w:tcW w:w="1134" w:type="dxa"/>
            <w:noWrap w:val="0"/>
            <w:vAlign w:val="center"/>
          </w:tcPr>
          <w:p w14:paraId="390AC5FF">
            <w:pPr>
              <w:spacing w:line="520" w:lineRule="exact"/>
              <w:jc w:val="center"/>
              <w:rPr>
                <w:rFonts w:hint="eastAsia" w:ascii="仿宋" w:hAnsi="仿宋" w:eastAsia="仿宋" w:cs="仿宋"/>
                <w:color w:val="auto"/>
                <w:sz w:val="21"/>
                <w:szCs w:val="21"/>
                <w:highlight w:val="none"/>
              </w:rPr>
            </w:pPr>
          </w:p>
        </w:tc>
        <w:tc>
          <w:tcPr>
            <w:tcW w:w="1559" w:type="dxa"/>
            <w:noWrap w:val="0"/>
            <w:vAlign w:val="center"/>
          </w:tcPr>
          <w:p w14:paraId="674A3DD7">
            <w:pPr>
              <w:spacing w:line="520" w:lineRule="exact"/>
              <w:jc w:val="center"/>
              <w:rPr>
                <w:rFonts w:hint="eastAsia" w:ascii="仿宋" w:hAnsi="仿宋" w:eastAsia="仿宋" w:cs="仿宋"/>
                <w:color w:val="auto"/>
                <w:sz w:val="21"/>
                <w:szCs w:val="21"/>
                <w:highlight w:val="none"/>
              </w:rPr>
            </w:pPr>
          </w:p>
        </w:tc>
        <w:tc>
          <w:tcPr>
            <w:tcW w:w="1560" w:type="dxa"/>
            <w:noWrap w:val="0"/>
            <w:vAlign w:val="center"/>
          </w:tcPr>
          <w:p w14:paraId="2597B6B0">
            <w:pPr>
              <w:spacing w:line="520" w:lineRule="exact"/>
              <w:jc w:val="center"/>
              <w:rPr>
                <w:rFonts w:hint="eastAsia" w:ascii="仿宋" w:hAnsi="仿宋" w:eastAsia="仿宋" w:cs="仿宋"/>
                <w:color w:val="auto"/>
                <w:sz w:val="21"/>
                <w:szCs w:val="21"/>
                <w:highlight w:val="none"/>
              </w:rPr>
            </w:pPr>
          </w:p>
        </w:tc>
      </w:tr>
      <w:tr w14:paraId="35A6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noWrap w:val="0"/>
            <w:vAlign w:val="center"/>
          </w:tcPr>
          <w:p w14:paraId="0DB23DCB">
            <w:pPr>
              <w:spacing w:line="520" w:lineRule="exact"/>
              <w:jc w:val="center"/>
              <w:rPr>
                <w:rFonts w:hint="eastAsia" w:ascii="仿宋" w:hAnsi="仿宋" w:eastAsia="仿宋" w:cs="仿宋"/>
                <w:color w:val="auto"/>
                <w:sz w:val="21"/>
                <w:szCs w:val="21"/>
                <w:highlight w:val="none"/>
              </w:rPr>
            </w:pPr>
          </w:p>
        </w:tc>
        <w:tc>
          <w:tcPr>
            <w:tcW w:w="1741" w:type="dxa"/>
            <w:noWrap w:val="0"/>
            <w:vAlign w:val="center"/>
          </w:tcPr>
          <w:p w14:paraId="34744F07">
            <w:pPr>
              <w:spacing w:line="520" w:lineRule="exact"/>
              <w:jc w:val="center"/>
              <w:rPr>
                <w:rFonts w:hint="eastAsia" w:ascii="仿宋" w:hAnsi="仿宋" w:eastAsia="仿宋" w:cs="仿宋"/>
                <w:color w:val="auto"/>
                <w:sz w:val="21"/>
                <w:szCs w:val="21"/>
                <w:highlight w:val="none"/>
              </w:rPr>
            </w:pPr>
          </w:p>
        </w:tc>
        <w:tc>
          <w:tcPr>
            <w:tcW w:w="984" w:type="dxa"/>
            <w:noWrap w:val="0"/>
            <w:vAlign w:val="center"/>
          </w:tcPr>
          <w:p w14:paraId="69A12734">
            <w:pPr>
              <w:spacing w:line="520" w:lineRule="exact"/>
              <w:jc w:val="center"/>
              <w:rPr>
                <w:rFonts w:hint="eastAsia" w:ascii="仿宋" w:hAnsi="仿宋" w:eastAsia="仿宋" w:cs="仿宋"/>
                <w:color w:val="auto"/>
                <w:sz w:val="21"/>
                <w:szCs w:val="21"/>
                <w:highlight w:val="none"/>
              </w:rPr>
            </w:pPr>
          </w:p>
        </w:tc>
        <w:tc>
          <w:tcPr>
            <w:tcW w:w="1298" w:type="dxa"/>
            <w:gridSpan w:val="2"/>
            <w:noWrap w:val="0"/>
            <w:vAlign w:val="center"/>
          </w:tcPr>
          <w:p w14:paraId="0899F5F6">
            <w:pPr>
              <w:spacing w:line="520" w:lineRule="exact"/>
              <w:jc w:val="center"/>
              <w:rPr>
                <w:rFonts w:hint="eastAsia" w:ascii="仿宋" w:hAnsi="仿宋" w:eastAsia="仿宋" w:cs="仿宋"/>
                <w:color w:val="auto"/>
                <w:sz w:val="21"/>
                <w:szCs w:val="21"/>
                <w:highlight w:val="none"/>
              </w:rPr>
            </w:pPr>
          </w:p>
        </w:tc>
        <w:tc>
          <w:tcPr>
            <w:tcW w:w="1134" w:type="dxa"/>
            <w:noWrap w:val="0"/>
            <w:vAlign w:val="center"/>
          </w:tcPr>
          <w:p w14:paraId="7D2D9848">
            <w:pPr>
              <w:spacing w:line="520" w:lineRule="exact"/>
              <w:jc w:val="center"/>
              <w:rPr>
                <w:rFonts w:hint="eastAsia" w:ascii="仿宋" w:hAnsi="仿宋" w:eastAsia="仿宋" w:cs="仿宋"/>
                <w:color w:val="auto"/>
                <w:sz w:val="21"/>
                <w:szCs w:val="21"/>
                <w:highlight w:val="none"/>
              </w:rPr>
            </w:pPr>
          </w:p>
        </w:tc>
        <w:tc>
          <w:tcPr>
            <w:tcW w:w="1559" w:type="dxa"/>
            <w:noWrap w:val="0"/>
            <w:vAlign w:val="center"/>
          </w:tcPr>
          <w:p w14:paraId="47BEE33E">
            <w:pPr>
              <w:spacing w:line="520" w:lineRule="exact"/>
              <w:jc w:val="center"/>
              <w:rPr>
                <w:rFonts w:hint="eastAsia" w:ascii="仿宋" w:hAnsi="仿宋" w:eastAsia="仿宋" w:cs="仿宋"/>
                <w:color w:val="auto"/>
                <w:sz w:val="21"/>
                <w:szCs w:val="21"/>
                <w:highlight w:val="none"/>
              </w:rPr>
            </w:pPr>
          </w:p>
        </w:tc>
        <w:tc>
          <w:tcPr>
            <w:tcW w:w="1560" w:type="dxa"/>
            <w:noWrap w:val="0"/>
            <w:vAlign w:val="center"/>
          </w:tcPr>
          <w:p w14:paraId="5CEDAFB2">
            <w:pPr>
              <w:spacing w:line="520" w:lineRule="exact"/>
              <w:jc w:val="center"/>
              <w:rPr>
                <w:rFonts w:hint="eastAsia" w:ascii="仿宋" w:hAnsi="仿宋" w:eastAsia="仿宋" w:cs="仿宋"/>
                <w:color w:val="auto"/>
                <w:sz w:val="21"/>
                <w:szCs w:val="21"/>
                <w:highlight w:val="none"/>
              </w:rPr>
            </w:pPr>
          </w:p>
        </w:tc>
      </w:tr>
      <w:tr w14:paraId="391A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noWrap w:val="0"/>
            <w:vAlign w:val="center"/>
          </w:tcPr>
          <w:p w14:paraId="4842CEC9">
            <w:pPr>
              <w:spacing w:line="520" w:lineRule="exact"/>
              <w:jc w:val="center"/>
              <w:rPr>
                <w:rFonts w:hint="eastAsia" w:ascii="仿宋" w:hAnsi="仿宋" w:eastAsia="仿宋" w:cs="仿宋"/>
                <w:color w:val="auto"/>
                <w:sz w:val="21"/>
                <w:szCs w:val="21"/>
                <w:highlight w:val="none"/>
              </w:rPr>
            </w:pPr>
          </w:p>
        </w:tc>
        <w:tc>
          <w:tcPr>
            <w:tcW w:w="1741" w:type="dxa"/>
            <w:noWrap w:val="0"/>
            <w:vAlign w:val="center"/>
          </w:tcPr>
          <w:p w14:paraId="54036D85">
            <w:pPr>
              <w:spacing w:line="520" w:lineRule="exact"/>
              <w:jc w:val="center"/>
              <w:rPr>
                <w:rFonts w:hint="eastAsia" w:ascii="仿宋" w:hAnsi="仿宋" w:eastAsia="仿宋" w:cs="仿宋"/>
                <w:color w:val="auto"/>
                <w:sz w:val="21"/>
                <w:szCs w:val="21"/>
                <w:highlight w:val="none"/>
              </w:rPr>
            </w:pPr>
          </w:p>
        </w:tc>
        <w:tc>
          <w:tcPr>
            <w:tcW w:w="984" w:type="dxa"/>
            <w:noWrap w:val="0"/>
            <w:vAlign w:val="center"/>
          </w:tcPr>
          <w:p w14:paraId="2DB81AD1">
            <w:pPr>
              <w:spacing w:line="520" w:lineRule="exact"/>
              <w:jc w:val="center"/>
              <w:rPr>
                <w:rFonts w:hint="eastAsia" w:ascii="仿宋" w:hAnsi="仿宋" w:eastAsia="仿宋" w:cs="仿宋"/>
                <w:color w:val="auto"/>
                <w:sz w:val="21"/>
                <w:szCs w:val="21"/>
                <w:highlight w:val="none"/>
              </w:rPr>
            </w:pPr>
          </w:p>
        </w:tc>
        <w:tc>
          <w:tcPr>
            <w:tcW w:w="1298" w:type="dxa"/>
            <w:gridSpan w:val="2"/>
            <w:noWrap w:val="0"/>
            <w:vAlign w:val="center"/>
          </w:tcPr>
          <w:p w14:paraId="1D0661B5">
            <w:pPr>
              <w:spacing w:line="520" w:lineRule="exact"/>
              <w:jc w:val="center"/>
              <w:rPr>
                <w:rFonts w:hint="eastAsia" w:ascii="仿宋" w:hAnsi="仿宋" w:eastAsia="仿宋" w:cs="仿宋"/>
                <w:color w:val="auto"/>
                <w:sz w:val="21"/>
                <w:szCs w:val="21"/>
                <w:highlight w:val="none"/>
              </w:rPr>
            </w:pPr>
          </w:p>
        </w:tc>
        <w:tc>
          <w:tcPr>
            <w:tcW w:w="1134" w:type="dxa"/>
            <w:noWrap w:val="0"/>
            <w:vAlign w:val="center"/>
          </w:tcPr>
          <w:p w14:paraId="2566E3CD">
            <w:pPr>
              <w:spacing w:line="520" w:lineRule="exact"/>
              <w:jc w:val="center"/>
              <w:rPr>
                <w:rFonts w:hint="eastAsia" w:ascii="仿宋" w:hAnsi="仿宋" w:eastAsia="仿宋" w:cs="仿宋"/>
                <w:color w:val="auto"/>
                <w:sz w:val="21"/>
                <w:szCs w:val="21"/>
                <w:highlight w:val="none"/>
              </w:rPr>
            </w:pPr>
          </w:p>
        </w:tc>
        <w:tc>
          <w:tcPr>
            <w:tcW w:w="1559" w:type="dxa"/>
            <w:noWrap w:val="0"/>
            <w:vAlign w:val="center"/>
          </w:tcPr>
          <w:p w14:paraId="5BC1F440">
            <w:pPr>
              <w:spacing w:line="520" w:lineRule="exact"/>
              <w:jc w:val="center"/>
              <w:rPr>
                <w:rFonts w:hint="eastAsia" w:ascii="仿宋" w:hAnsi="仿宋" w:eastAsia="仿宋" w:cs="仿宋"/>
                <w:color w:val="auto"/>
                <w:sz w:val="21"/>
                <w:szCs w:val="21"/>
                <w:highlight w:val="none"/>
              </w:rPr>
            </w:pPr>
          </w:p>
        </w:tc>
        <w:tc>
          <w:tcPr>
            <w:tcW w:w="1560" w:type="dxa"/>
            <w:noWrap w:val="0"/>
            <w:vAlign w:val="center"/>
          </w:tcPr>
          <w:p w14:paraId="42B572F2">
            <w:pPr>
              <w:spacing w:line="520" w:lineRule="exact"/>
              <w:jc w:val="center"/>
              <w:rPr>
                <w:rFonts w:hint="eastAsia" w:ascii="仿宋" w:hAnsi="仿宋" w:eastAsia="仿宋" w:cs="仿宋"/>
                <w:color w:val="auto"/>
                <w:sz w:val="21"/>
                <w:szCs w:val="21"/>
                <w:highlight w:val="none"/>
              </w:rPr>
            </w:pPr>
          </w:p>
        </w:tc>
      </w:tr>
      <w:tr w14:paraId="2B4A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noWrap w:val="0"/>
            <w:vAlign w:val="center"/>
          </w:tcPr>
          <w:p w14:paraId="622EB71F">
            <w:pPr>
              <w:spacing w:line="520" w:lineRule="exact"/>
              <w:jc w:val="center"/>
              <w:rPr>
                <w:rFonts w:hint="eastAsia" w:ascii="仿宋" w:hAnsi="仿宋" w:eastAsia="仿宋" w:cs="仿宋"/>
                <w:color w:val="auto"/>
                <w:sz w:val="21"/>
                <w:szCs w:val="21"/>
                <w:highlight w:val="none"/>
              </w:rPr>
            </w:pPr>
          </w:p>
        </w:tc>
        <w:tc>
          <w:tcPr>
            <w:tcW w:w="1741" w:type="dxa"/>
            <w:noWrap w:val="0"/>
            <w:vAlign w:val="center"/>
          </w:tcPr>
          <w:p w14:paraId="79DBE010">
            <w:pPr>
              <w:spacing w:line="520" w:lineRule="exact"/>
              <w:jc w:val="center"/>
              <w:rPr>
                <w:rFonts w:hint="eastAsia" w:ascii="仿宋" w:hAnsi="仿宋" w:eastAsia="仿宋" w:cs="仿宋"/>
                <w:color w:val="auto"/>
                <w:sz w:val="21"/>
                <w:szCs w:val="21"/>
                <w:highlight w:val="none"/>
              </w:rPr>
            </w:pPr>
          </w:p>
        </w:tc>
        <w:tc>
          <w:tcPr>
            <w:tcW w:w="984" w:type="dxa"/>
            <w:noWrap w:val="0"/>
            <w:vAlign w:val="center"/>
          </w:tcPr>
          <w:p w14:paraId="0802D102">
            <w:pPr>
              <w:spacing w:line="520" w:lineRule="exact"/>
              <w:jc w:val="center"/>
              <w:rPr>
                <w:rFonts w:hint="eastAsia" w:ascii="仿宋" w:hAnsi="仿宋" w:eastAsia="仿宋" w:cs="仿宋"/>
                <w:color w:val="auto"/>
                <w:sz w:val="21"/>
                <w:szCs w:val="21"/>
                <w:highlight w:val="none"/>
              </w:rPr>
            </w:pPr>
          </w:p>
        </w:tc>
        <w:tc>
          <w:tcPr>
            <w:tcW w:w="1298" w:type="dxa"/>
            <w:gridSpan w:val="2"/>
            <w:noWrap w:val="0"/>
            <w:vAlign w:val="center"/>
          </w:tcPr>
          <w:p w14:paraId="66B3B495">
            <w:pPr>
              <w:spacing w:line="520" w:lineRule="exact"/>
              <w:jc w:val="center"/>
              <w:rPr>
                <w:rFonts w:hint="eastAsia" w:ascii="仿宋" w:hAnsi="仿宋" w:eastAsia="仿宋" w:cs="仿宋"/>
                <w:color w:val="auto"/>
                <w:sz w:val="21"/>
                <w:szCs w:val="21"/>
                <w:highlight w:val="none"/>
              </w:rPr>
            </w:pPr>
          </w:p>
        </w:tc>
        <w:tc>
          <w:tcPr>
            <w:tcW w:w="1134" w:type="dxa"/>
            <w:noWrap w:val="0"/>
            <w:vAlign w:val="center"/>
          </w:tcPr>
          <w:p w14:paraId="0CAD78BA">
            <w:pPr>
              <w:spacing w:line="520" w:lineRule="exact"/>
              <w:jc w:val="center"/>
              <w:rPr>
                <w:rFonts w:hint="eastAsia" w:ascii="仿宋" w:hAnsi="仿宋" w:eastAsia="仿宋" w:cs="仿宋"/>
                <w:color w:val="auto"/>
                <w:sz w:val="21"/>
                <w:szCs w:val="21"/>
                <w:highlight w:val="none"/>
              </w:rPr>
            </w:pPr>
          </w:p>
        </w:tc>
        <w:tc>
          <w:tcPr>
            <w:tcW w:w="1559" w:type="dxa"/>
            <w:noWrap w:val="0"/>
            <w:vAlign w:val="center"/>
          </w:tcPr>
          <w:p w14:paraId="026FC63B">
            <w:pPr>
              <w:spacing w:line="520" w:lineRule="exact"/>
              <w:jc w:val="center"/>
              <w:rPr>
                <w:rFonts w:hint="eastAsia" w:ascii="仿宋" w:hAnsi="仿宋" w:eastAsia="仿宋" w:cs="仿宋"/>
                <w:color w:val="auto"/>
                <w:sz w:val="21"/>
                <w:szCs w:val="21"/>
                <w:highlight w:val="none"/>
              </w:rPr>
            </w:pPr>
          </w:p>
        </w:tc>
        <w:tc>
          <w:tcPr>
            <w:tcW w:w="1560" w:type="dxa"/>
            <w:noWrap w:val="0"/>
            <w:vAlign w:val="center"/>
          </w:tcPr>
          <w:p w14:paraId="54448E9F">
            <w:pPr>
              <w:spacing w:line="520" w:lineRule="exact"/>
              <w:jc w:val="center"/>
              <w:rPr>
                <w:rFonts w:hint="eastAsia" w:ascii="仿宋" w:hAnsi="仿宋" w:eastAsia="仿宋" w:cs="仿宋"/>
                <w:color w:val="auto"/>
                <w:sz w:val="21"/>
                <w:szCs w:val="21"/>
                <w:highlight w:val="none"/>
              </w:rPr>
            </w:pPr>
          </w:p>
        </w:tc>
      </w:tr>
      <w:tr w14:paraId="014B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noWrap w:val="0"/>
            <w:vAlign w:val="center"/>
          </w:tcPr>
          <w:p w14:paraId="48B46C9E">
            <w:pPr>
              <w:spacing w:line="520" w:lineRule="exact"/>
              <w:jc w:val="center"/>
              <w:rPr>
                <w:rFonts w:hint="eastAsia" w:ascii="仿宋" w:hAnsi="仿宋" w:eastAsia="仿宋" w:cs="仿宋"/>
                <w:color w:val="auto"/>
                <w:sz w:val="21"/>
                <w:szCs w:val="21"/>
                <w:highlight w:val="none"/>
              </w:rPr>
            </w:pPr>
          </w:p>
        </w:tc>
        <w:tc>
          <w:tcPr>
            <w:tcW w:w="1741" w:type="dxa"/>
            <w:noWrap w:val="0"/>
            <w:vAlign w:val="center"/>
          </w:tcPr>
          <w:p w14:paraId="4FBEEC0C">
            <w:pPr>
              <w:spacing w:line="520" w:lineRule="exact"/>
              <w:jc w:val="center"/>
              <w:rPr>
                <w:rFonts w:hint="eastAsia" w:ascii="仿宋" w:hAnsi="仿宋" w:eastAsia="仿宋" w:cs="仿宋"/>
                <w:color w:val="auto"/>
                <w:sz w:val="21"/>
                <w:szCs w:val="21"/>
                <w:highlight w:val="none"/>
              </w:rPr>
            </w:pPr>
          </w:p>
        </w:tc>
        <w:tc>
          <w:tcPr>
            <w:tcW w:w="984" w:type="dxa"/>
            <w:noWrap w:val="0"/>
            <w:vAlign w:val="center"/>
          </w:tcPr>
          <w:p w14:paraId="5918306C">
            <w:pPr>
              <w:spacing w:line="520" w:lineRule="exact"/>
              <w:jc w:val="center"/>
              <w:rPr>
                <w:rFonts w:hint="eastAsia" w:ascii="仿宋" w:hAnsi="仿宋" w:eastAsia="仿宋" w:cs="仿宋"/>
                <w:color w:val="auto"/>
                <w:sz w:val="21"/>
                <w:szCs w:val="21"/>
                <w:highlight w:val="none"/>
              </w:rPr>
            </w:pPr>
          </w:p>
        </w:tc>
        <w:tc>
          <w:tcPr>
            <w:tcW w:w="1298" w:type="dxa"/>
            <w:gridSpan w:val="2"/>
            <w:noWrap w:val="0"/>
            <w:vAlign w:val="center"/>
          </w:tcPr>
          <w:p w14:paraId="7F7A1783">
            <w:pPr>
              <w:spacing w:line="520" w:lineRule="exact"/>
              <w:jc w:val="center"/>
              <w:rPr>
                <w:rFonts w:hint="eastAsia" w:ascii="仿宋" w:hAnsi="仿宋" w:eastAsia="仿宋" w:cs="仿宋"/>
                <w:color w:val="auto"/>
                <w:sz w:val="21"/>
                <w:szCs w:val="21"/>
                <w:highlight w:val="none"/>
              </w:rPr>
            </w:pPr>
          </w:p>
        </w:tc>
        <w:tc>
          <w:tcPr>
            <w:tcW w:w="1134" w:type="dxa"/>
            <w:noWrap w:val="0"/>
            <w:vAlign w:val="center"/>
          </w:tcPr>
          <w:p w14:paraId="2621B872">
            <w:pPr>
              <w:spacing w:line="520" w:lineRule="exact"/>
              <w:jc w:val="center"/>
              <w:rPr>
                <w:rFonts w:hint="eastAsia" w:ascii="仿宋" w:hAnsi="仿宋" w:eastAsia="仿宋" w:cs="仿宋"/>
                <w:color w:val="auto"/>
                <w:sz w:val="21"/>
                <w:szCs w:val="21"/>
                <w:highlight w:val="none"/>
              </w:rPr>
            </w:pPr>
          </w:p>
        </w:tc>
        <w:tc>
          <w:tcPr>
            <w:tcW w:w="1559" w:type="dxa"/>
            <w:noWrap w:val="0"/>
            <w:vAlign w:val="center"/>
          </w:tcPr>
          <w:p w14:paraId="2E853CE2">
            <w:pPr>
              <w:spacing w:line="520" w:lineRule="exact"/>
              <w:jc w:val="center"/>
              <w:rPr>
                <w:rFonts w:hint="eastAsia" w:ascii="仿宋" w:hAnsi="仿宋" w:eastAsia="仿宋" w:cs="仿宋"/>
                <w:color w:val="auto"/>
                <w:sz w:val="21"/>
                <w:szCs w:val="21"/>
                <w:highlight w:val="none"/>
              </w:rPr>
            </w:pPr>
          </w:p>
        </w:tc>
        <w:tc>
          <w:tcPr>
            <w:tcW w:w="1560" w:type="dxa"/>
            <w:noWrap w:val="0"/>
            <w:vAlign w:val="center"/>
          </w:tcPr>
          <w:p w14:paraId="39DDBEFE">
            <w:pPr>
              <w:spacing w:line="520" w:lineRule="exact"/>
              <w:jc w:val="center"/>
              <w:rPr>
                <w:rFonts w:hint="eastAsia" w:ascii="仿宋" w:hAnsi="仿宋" w:eastAsia="仿宋" w:cs="仿宋"/>
                <w:color w:val="auto"/>
                <w:sz w:val="21"/>
                <w:szCs w:val="21"/>
                <w:highlight w:val="none"/>
              </w:rPr>
            </w:pPr>
          </w:p>
        </w:tc>
      </w:tr>
      <w:tr w14:paraId="728E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noWrap w:val="0"/>
            <w:vAlign w:val="center"/>
          </w:tcPr>
          <w:p w14:paraId="20829381">
            <w:pPr>
              <w:spacing w:line="520" w:lineRule="exact"/>
              <w:jc w:val="center"/>
              <w:rPr>
                <w:rFonts w:hint="eastAsia" w:ascii="仿宋" w:hAnsi="仿宋" w:eastAsia="仿宋" w:cs="仿宋"/>
                <w:color w:val="auto"/>
                <w:sz w:val="21"/>
                <w:szCs w:val="21"/>
                <w:highlight w:val="none"/>
              </w:rPr>
            </w:pPr>
          </w:p>
        </w:tc>
        <w:tc>
          <w:tcPr>
            <w:tcW w:w="1741" w:type="dxa"/>
            <w:noWrap w:val="0"/>
            <w:vAlign w:val="center"/>
          </w:tcPr>
          <w:p w14:paraId="2AC8BE13">
            <w:pPr>
              <w:spacing w:line="520" w:lineRule="exact"/>
              <w:jc w:val="center"/>
              <w:rPr>
                <w:rFonts w:hint="eastAsia" w:ascii="仿宋" w:hAnsi="仿宋" w:eastAsia="仿宋" w:cs="仿宋"/>
                <w:color w:val="auto"/>
                <w:sz w:val="21"/>
                <w:szCs w:val="21"/>
                <w:highlight w:val="none"/>
              </w:rPr>
            </w:pPr>
          </w:p>
        </w:tc>
        <w:tc>
          <w:tcPr>
            <w:tcW w:w="984" w:type="dxa"/>
            <w:noWrap w:val="0"/>
            <w:vAlign w:val="center"/>
          </w:tcPr>
          <w:p w14:paraId="3820EF25">
            <w:pPr>
              <w:spacing w:line="520" w:lineRule="exact"/>
              <w:jc w:val="center"/>
              <w:rPr>
                <w:rFonts w:hint="eastAsia" w:ascii="仿宋" w:hAnsi="仿宋" w:eastAsia="仿宋" w:cs="仿宋"/>
                <w:color w:val="auto"/>
                <w:sz w:val="21"/>
                <w:szCs w:val="21"/>
                <w:highlight w:val="none"/>
              </w:rPr>
            </w:pPr>
          </w:p>
        </w:tc>
        <w:tc>
          <w:tcPr>
            <w:tcW w:w="1298" w:type="dxa"/>
            <w:gridSpan w:val="2"/>
            <w:noWrap w:val="0"/>
            <w:vAlign w:val="center"/>
          </w:tcPr>
          <w:p w14:paraId="47FB79BE">
            <w:pPr>
              <w:spacing w:line="520" w:lineRule="exact"/>
              <w:jc w:val="center"/>
              <w:rPr>
                <w:rFonts w:hint="eastAsia" w:ascii="仿宋" w:hAnsi="仿宋" w:eastAsia="仿宋" w:cs="仿宋"/>
                <w:color w:val="auto"/>
                <w:sz w:val="21"/>
                <w:szCs w:val="21"/>
                <w:highlight w:val="none"/>
              </w:rPr>
            </w:pPr>
          </w:p>
        </w:tc>
        <w:tc>
          <w:tcPr>
            <w:tcW w:w="1134" w:type="dxa"/>
            <w:noWrap w:val="0"/>
            <w:vAlign w:val="center"/>
          </w:tcPr>
          <w:p w14:paraId="04E32DF9">
            <w:pPr>
              <w:spacing w:line="520" w:lineRule="exact"/>
              <w:jc w:val="center"/>
              <w:rPr>
                <w:rFonts w:hint="eastAsia" w:ascii="仿宋" w:hAnsi="仿宋" w:eastAsia="仿宋" w:cs="仿宋"/>
                <w:color w:val="auto"/>
                <w:sz w:val="21"/>
                <w:szCs w:val="21"/>
                <w:highlight w:val="none"/>
              </w:rPr>
            </w:pPr>
          </w:p>
        </w:tc>
        <w:tc>
          <w:tcPr>
            <w:tcW w:w="1559" w:type="dxa"/>
            <w:noWrap w:val="0"/>
            <w:vAlign w:val="center"/>
          </w:tcPr>
          <w:p w14:paraId="27C13C87">
            <w:pPr>
              <w:spacing w:line="520" w:lineRule="exact"/>
              <w:jc w:val="center"/>
              <w:rPr>
                <w:rFonts w:hint="eastAsia" w:ascii="仿宋" w:hAnsi="仿宋" w:eastAsia="仿宋" w:cs="仿宋"/>
                <w:color w:val="auto"/>
                <w:sz w:val="21"/>
                <w:szCs w:val="21"/>
                <w:highlight w:val="none"/>
              </w:rPr>
            </w:pPr>
          </w:p>
        </w:tc>
        <w:tc>
          <w:tcPr>
            <w:tcW w:w="1560" w:type="dxa"/>
            <w:noWrap w:val="0"/>
            <w:vAlign w:val="center"/>
          </w:tcPr>
          <w:p w14:paraId="58091B56">
            <w:pPr>
              <w:spacing w:line="520" w:lineRule="exact"/>
              <w:jc w:val="center"/>
              <w:rPr>
                <w:rFonts w:hint="eastAsia" w:ascii="仿宋" w:hAnsi="仿宋" w:eastAsia="仿宋" w:cs="仿宋"/>
                <w:color w:val="auto"/>
                <w:sz w:val="21"/>
                <w:szCs w:val="21"/>
                <w:highlight w:val="none"/>
              </w:rPr>
            </w:pPr>
          </w:p>
        </w:tc>
      </w:tr>
      <w:tr w14:paraId="79DE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noWrap w:val="0"/>
            <w:vAlign w:val="center"/>
          </w:tcPr>
          <w:p w14:paraId="6FDC383F">
            <w:pPr>
              <w:spacing w:line="520" w:lineRule="exact"/>
              <w:jc w:val="center"/>
              <w:rPr>
                <w:rFonts w:hint="eastAsia" w:ascii="仿宋" w:hAnsi="仿宋" w:eastAsia="仿宋" w:cs="仿宋"/>
                <w:color w:val="auto"/>
                <w:sz w:val="21"/>
                <w:szCs w:val="21"/>
                <w:highlight w:val="none"/>
              </w:rPr>
            </w:pPr>
          </w:p>
        </w:tc>
        <w:tc>
          <w:tcPr>
            <w:tcW w:w="1741" w:type="dxa"/>
            <w:noWrap w:val="0"/>
            <w:vAlign w:val="center"/>
          </w:tcPr>
          <w:p w14:paraId="79B42A07">
            <w:pPr>
              <w:spacing w:line="520" w:lineRule="exact"/>
              <w:jc w:val="center"/>
              <w:rPr>
                <w:rFonts w:hint="eastAsia" w:ascii="仿宋" w:hAnsi="仿宋" w:eastAsia="仿宋" w:cs="仿宋"/>
                <w:color w:val="auto"/>
                <w:sz w:val="21"/>
                <w:szCs w:val="21"/>
                <w:highlight w:val="none"/>
              </w:rPr>
            </w:pPr>
          </w:p>
        </w:tc>
        <w:tc>
          <w:tcPr>
            <w:tcW w:w="984" w:type="dxa"/>
            <w:noWrap w:val="0"/>
            <w:vAlign w:val="center"/>
          </w:tcPr>
          <w:p w14:paraId="35BCF698">
            <w:pPr>
              <w:spacing w:line="520" w:lineRule="exact"/>
              <w:jc w:val="center"/>
              <w:rPr>
                <w:rFonts w:hint="eastAsia" w:ascii="仿宋" w:hAnsi="仿宋" w:eastAsia="仿宋" w:cs="仿宋"/>
                <w:color w:val="auto"/>
                <w:sz w:val="21"/>
                <w:szCs w:val="21"/>
                <w:highlight w:val="none"/>
              </w:rPr>
            </w:pPr>
          </w:p>
        </w:tc>
        <w:tc>
          <w:tcPr>
            <w:tcW w:w="1298" w:type="dxa"/>
            <w:gridSpan w:val="2"/>
            <w:noWrap w:val="0"/>
            <w:vAlign w:val="center"/>
          </w:tcPr>
          <w:p w14:paraId="035E6DF0">
            <w:pPr>
              <w:spacing w:line="520" w:lineRule="exact"/>
              <w:jc w:val="center"/>
              <w:rPr>
                <w:rFonts w:hint="eastAsia" w:ascii="仿宋" w:hAnsi="仿宋" w:eastAsia="仿宋" w:cs="仿宋"/>
                <w:color w:val="auto"/>
                <w:sz w:val="21"/>
                <w:szCs w:val="21"/>
                <w:highlight w:val="none"/>
              </w:rPr>
            </w:pPr>
          </w:p>
        </w:tc>
        <w:tc>
          <w:tcPr>
            <w:tcW w:w="1134" w:type="dxa"/>
            <w:noWrap w:val="0"/>
            <w:vAlign w:val="center"/>
          </w:tcPr>
          <w:p w14:paraId="4CB6CEC1">
            <w:pPr>
              <w:spacing w:line="520" w:lineRule="exact"/>
              <w:jc w:val="center"/>
              <w:rPr>
                <w:rFonts w:hint="eastAsia" w:ascii="仿宋" w:hAnsi="仿宋" w:eastAsia="仿宋" w:cs="仿宋"/>
                <w:color w:val="auto"/>
                <w:sz w:val="21"/>
                <w:szCs w:val="21"/>
                <w:highlight w:val="none"/>
              </w:rPr>
            </w:pPr>
          </w:p>
        </w:tc>
        <w:tc>
          <w:tcPr>
            <w:tcW w:w="1559" w:type="dxa"/>
            <w:noWrap w:val="0"/>
            <w:vAlign w:val="center"/>
          </w:tcPr>
          <w:p w14:paraId="44000EB1">
            <w:pPr>
              <w:spacing w:line="520" w:lineRule="exact"/>
              <w:jc w:val="center"/>
              <w:rPr>
                <w:rFonts w:hint="eastAsia" w:ascii="仿宋" w:hAnsi="仿宋" w:eastAsia="仿宋" w:cs="仿宋"/>
                <w:color w:val="auto"/>
                <w:sz w:val="21"/>
                <w:szCs w:val="21"/>
                <w:highlight w:val="none"/>
              </w:rPr>
            </w:pPr>
          </w:p>
        </w:tc>
        <w:tc>
          <w:tcPr>
            <w:tcW w:w="1560" w:type="dxa"/>
            <w:noWrap w:val="0"/>
            <w:vAlign w:val="center"/>
          </w:tcPr>
          <w:p w14:paraId="2AA6F2E3">
            <w:pPr>
              <w:spacing w:line="520" w:lineRule="exact"/>
              <w:jc w:val="center"/>
              <w:rPr>
                <w:rFonts w:hint="eastAsia" w:ascii="仿宋" w:hAnsi="仿宋" w:eastAsia="仿宋" w:cs="仿宋"/>
                <w:color w:val="auto"/>
                <w:sz w:val="21"/>
                <w:szCs w:val="21"/>
                <w:highlight w:val="none"/>
              </w:rPr>
            </w:pPr>
          </w:p>
        </w:tc>
      </w:tr>
      <w:tr w14:paraId="2DC7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06" w:type="dxa"/>
            <w:gridSpan w:val="8"/>
            <w:noWrap w:val="0"/>
            <w:vAlign w:val="center"/>
          </w:tcPr>
          <w:p w14:paraId="61D8A5E3">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合计人民币（小写）：</w:t>
            </w:r>
          </w:p>
        </w:tc>
      </w:tr>
      <w:tr w14:paraId="12A3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06" w:type="dxa"/>
            <w:gridSpan w:val="8"/>
            <w:noWrap w:val="0"/>
            <w:vAlign w:val="center"/>
          </w:tcPr>
          <w:p w14:paraId="68BA2328">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合计人民币（大写）：</w:t>
            </w:r>
          </w:p>
        </w:tc>
      </w:tr>
      <w:tr w14:paraId="31AF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2" w:hRule="atLeast"/>
        </w:trPr>
        <w:tc>
          <w:tcPr>
            <w:tcW w:w="9606" w:type="dxa"/>
            <w:gridSpan w:val="8"/>
            <w:noWrap w:val="0"/>
            <w:vAlign w:val="top"/>
          </w:tcPr>
          <w:p w14:paraId="2E6FDF1A">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一、质量要求和技术标准。供方提供的商品必须是全新的，完全符合国家有关技术标准，供方的质量保证及售后服务承诺如下：</w:t>
            </w:r>
          </w:p>
          <w:p w14:paraId="7E99CF33">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1、质保期限：</w:t>
            </w:r>
          </w:p>
          <w:p w14:paraId="071084AA">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2、保修范围：</w:t>
            </w:r>
          </w:p>
          <w:p w14:paraId="4A76BE4C">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3、服务措施：</w:t>
            </w:r>
          </w:p>
          <w:p w14:paraId="0E3F8D8A">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4、质保期后服务：</w:t>
            </w:r>
          </w:p>
        </w:tc>
      </w:tr>
      <w:tr w14:paraId="1516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3" w:hRule="atLeast"/>
        </w:trPr>
        <w:tc>
          <w:tcPr>
            <w:tcW w:w="9606" w:type="dxa"/>
            <w:gridSpan w:val="8"/>
            <w:noWrap w:val="0"/>
            <w:vAlign w:val="top"/>
          </w:tcPr>
          <w:p w14:paraId="0516F8E4">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二、随机备品、附件、工具数量及供应方法：</w:t>
            </w:r>
          </w:p>
        </w:tc>
      </w:tr>
      <w:tr w14:paraId="3862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1" w:hRule="atLeast"/>
        </w:trPr>
        <w:tc>
          <w:tcPr>
            <w:tcW w:w="9606" w:type="dxa"/>
            <w:gridSpan w:val="8"/>
            <w:noWrap w:val="0"/>
            <w:vAlign w:val="top"/>
          </w:tcPr>
          <w:p w14:paraId="3B4DA5A2">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三、交提货方式：</w:t>
            </w:r>
          </w:p>
        </w:tc>
      </w:tr>
      <w:tr w14:paraId="43C4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06" w:type="dxa"/>
            <w:gridSpan w:val="8"/>
            <w:noWrap w:val="0"/>
            <w:vAlign w:val="top"/>
          </w:tcPr>
          <w:p w14:paraId="7C1CE08F">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四、验收标准、方法：</w:t>
            </w:r>
          </w:p>
          <w:p w14:paraId="6006DE3D">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如有异议，请于      日内提出。</w:t>
            </w:r>
          </w:p>
        </w:tc>
      </w:tr>
      <w:tr w14:paraId="1396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06" w:type="dxa"/>
            <w:gridSpan w:val="8"/>
            <w:noWrap w:val="0"/>
            <w:vAlign w:val="top"/>
          </w:tcPr>
          <w:p w14:paraId="639AE1A4">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五、付款方式：</w:t>
            </w:r>
          </w:p>
          <w:p w14:paraId="1D867D5E">
            <w:pPr>
              <w:pStyle w:val="34"/>
              <w:spacing w:line="520" w:lineRule="exact"/>
              <w:rPr>
                <w:rFonts w:hint="eastAsia" w:ascii="仿宋" w:hAnsi="仿宋" w:eastAsia="仿宋" w:cs="仿宋"/>
                <w:color w:val="auto"/>
                <w:sz w:val="21"/>
                <w:szCs w:val="21"/>
                <w:highlight w:val="none"/>
              </w:rPr>
            </w:pPr>
          </w:p>
        </w:tc>
      </w:tr>
      <w:tr w14:paraId="2101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06" w:type="dxa"/>
            <w:gridSpan w:val="8"/>
            <w:noWrap w:val="0"/>
            <w:vAlign w:val="top"/>
          </w:tcPr>
          <w:p w14:paraId="55584842">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六、违约责任：</w:t>
            </w:r>
          </w:p>
          <w:p w14:paraId="3EC0CA0A">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按《中华人民共和国民法典》执行，或按双方约定。（采购人应按项目实际情况完整填写）</w:t>
            </w:r>
          </w:p>
        </w:tc>
      </w:tr>
      <w:tr w14:paraId="041B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06" w:type="dxa"/>
            <w:gridSpan w:val="8"/>
            <w:noWrap w:val="0"/>
            <w:vAlign w:val="top"/>
          </w:tcPr>
          <w:p w14:paraId="59E4E524">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七、其他约定事项：</w:t>
            </w:r>
          </w:p>
          <w:p w14:paraId="2DA5D443">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采购</w:t>
            </w:r>
            <w:r>
              <w:rPr>
                <w:rFonts w:hint="eastAsia" w:ascii="仿宋" w:hAnsi="仿宋" w:eastAsia="仿宋" w:cs="仿宋"/>
                <w:color w:val="auto"/>
                <w:sz w:val="21"/>
                <w:szCs w:val="21"/>
                <w:highlight w:val="none"/>
              </w:rPr>
              <w:t>文件及其澄清文件、</w:t>
            </w:r>
            <w:r>
              <w:rPr>
                <w:rFonts w:hint="eastAsia" w:ascii="仿宋" w:hAnsi="仿宋" w:eastAsia="仿宋" w:cs="仿宋"/>
                <w:color w:val="auto"/>
                <w:sz w:val="21"/>
                <w:szCs w:val="21"/>
                <w:highlight w:val="none"/>
                <w:lang w:eastAsia="zh-CN"/>
              </w:rPr>
              <w:t>响应文件</w:t>
            </w:r>
            <w:r>
              <w:rPr>
                <w:rFonts w:hint="eastAsia" w:ascii="仿宋" w:hAnsi="仿宋" w:eastAsia="仿宋" w:cs="仿宋"/>
                <w:color w:val="auto"/>
                <w:sz w:val="21"/>
                <w:szCs w:val="21"/>
                <w:highlight w:val="none"/>
              </w:rPr>
              <w:t>和承诺是本合同不可分割的部分。</w:t>
            </w:r>
          </w:p>
          <w:p w14:paraId="0EBEF905">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2.本合同如发生争议由双方协商解决，协商不成向重庆仲裁委员会提请仲裁。</w:t>
            </w:r>
          </w:p>
          <w:p w14:paraId="1499B74E">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3.本合同一式__份， 需方__份，供方__份，具备同等法律效力。</w:t>
            </w:r>
          </w:p>
          <w:p w14:paraId="69934E85">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4.其他：</w:t>
            </w:r>
          </w:p>
        </w:tc>
      </w:tr>
      <w:tr w14:paraId="6134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4503" w:type="dxa"/>
            <w:gridSpan w:val="4"/>
            <w:noWrap w:val="0"/>
            <w:vAlign w:val="top"/>
          </w:tcPr>
          <w:p w14:paraId="2D8D37DA">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需方：</w:t>
            </w:r>
          </w:p>
          <w:p w14:paraId="247D857E">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p>
          <w:p w14:paraId="0A84E96F">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p>
          <w:p w14:paraId="43CA146D">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授权代表：</w:t>
            </w:r>
          </w:p>
        </w:tc>
        <w:tc>
          <w:tcPr>
            <w:tcW w:w="5103" w:type="dxa"/>
            <w:gridSpan w:val="4"/>
            <w:noWrap w:val="0"/>
            <w:vAlign w:val="top"/>
          </w:tcPr>
          <w:p w14:paraId="40F0D753">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供方：</w:t>
            </w:r>
          </w:p>
          <w:p w14:paraId="5B2DF199">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p>
          <w:p w14:paraId="1EA61013">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电话：</w:t>
            </w:r>
          </w:p>
          <w:p w14:paraId="7AE3331A">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传真：</w:t>
            </w:r>
          </w:p>
          <w:p w14:paraId="093A74C0">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开户银行：</w:t>
            </w:r>
          </w:p>
          <w:p w14:paraId="4DEAB086">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账号：</w:t>
            </w:r>
          </w:p>
          <w:p w14:paraId="3BC4F98C">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授权代表：</w:t>
            </w:r>
          </w:p>
          <w:p w14:paraId="71197AD2">
            <w:pPr>
              <w:widowControl/>
              <w:spacing w:line="52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（本栏请用计算机打印以便于准确付款）</w:t>
            </w:r>
          </w:p>
        </w:tc>
      </w:tr>
      <w:tr w14:paraId="52FB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6" w:type="dxa"/>
            <w:gridSpan w:val="8"/>
            <w:noWrap w:val="0"/>
            <w:vAlign w:val="top"/>
          </w:tcPr>
          <w:p w14:paraId="302A76C5">
            <w:pPr>
              <w:spacing w:line="52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bl>
    <w:p w14:paraId="15E2520D">
      <w:pPr>
        <w:spacing w:line="5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签约时间：           年   月   日      签约地点：</w:t>
      </w:r>
    </w:p>
    <w:p w14:paraId="5B8EB8B9">
      <w:pPr>
        <w:widowControl/>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Cs/>
          <w:color w:val="auto"/>
          <w:sz w:val="24"/>
          <w:szCs w:val="24"/>
          <w:highlight w:val="none"/>
        </w:rPr>
        <w:br w:type="page"/>
      </w:r>
    </w:p>
    <w:p w14:paraId="40E287C0">
      <w:pPr>
        <w:pStyle w:val="3"/>
        <w:spacing w:before="0" w:after="0" w:line="360" w:lineRule="auto"/>
        <w:jc w:val="center"/>
        <w:rPr>
          <w:rFonts w:hint="eastAsia" w:ascii="仿宋" w:hAnsi="仿宋" w:eastAsia="仿宋" w:cs="仿宋"/>
          <w:b w:val="0"/>
          <w:color w:val="auto"/>
          <w:sz w:val="36"/>
          <w:szCs w:val="30"/>
          <w:highlight w:val="none"/>
        </w:rPr>
        <w:sectPr>
          <w:footerReference r:id="rId9" w:type="default"/>
          <w:pgSz w:w="11907" w:h="16840"/>
          <w:pgMar w:top="1134" w:right="1191" w:bottom="1134" w:left="1304" w:header="851" w:footer="992" w:gutter="0"/>
          <w:pgNumType w:fmt="numberInDash"/>
          <w:cols w:space="720" w:num="1"/>
          <w:docGrid w:linePitch="380" w:charSpace="-5735"/>
        </w:sectPr>
      </w:pPr>
    </w:p>
    <w:p w14:paraId="0DBB47B1">
      <w:pPr>
        <w:pStyle w:val="2"/>
        <w:spacing w:before="0" w:after="0" w:line="360" w:lineRule="auto"/>
        <w:jc w:val="center"/>
        <w:outlineLvl w:val="0"/>
        <w:rPr>
          <w:rFonts w:hint="eastAsia" w:ascii="仿宋" w:hAnsi="仿宋" w:eastAsia="仿宋" w:cs="仿宋"/>
          <w:b/>
          <w:bCs/>
          <w:color w:val="auto"/>
          <w:sz w:val="36"/>
          <w:szCs w:val="36"/>
          <w:highlight w:val="none"/>
        </w:rPr>
      </w:pPr>
      <w:bookmarkStart w:id="178" w:name="_Toc8608"/>
      <w:r>
        <w:rPr>
          <w:rFonts w:hint="eastAsia" w:ascii="仿宋" w:hAnsi="仿宋" w:eastAsia="仿宋" w:cs="仿宋"/>
          <w:b/>
          <w:bCs/>
          <w:color w:val="auto"/>
          <w:sz w:val="36"/>
          <w:szCs w:val="36"/>
          <w:highlight w:val="none"/>
        </w:rPr>
        <w:t>第七篇  响应文件编制要求</w:t>
      </w:r>
      <w:bookmarkEnd w:id="178"/>
    </w:p>
    <w:p w14:paraId="4E590E3F">
      <w:pPr>
        <w:spacing w:line="360" w:lineRule="auto"/>
        <w:ind w:firstLine="482" w:firstLineChars="200"/>
        <w:rPr>
          <w:rFonts w:hint="eastAsia" w:ascii="仿宋" w:hAnsi="仿宋" w:eastAsia="仿宋" w:cs="仿宋"/>
          <w:b/>
          <w:bCs/>
          <w:color w:val="auto"/>
          <w:sz w:val="24"/>
          <w:szCs w:val="24"/>
          <w:highlight w:val="none"/>
        </w:rPr>
      </w:pPr>
      <w:bookmarkStart w:id="179" w:name="_Toc342913419"/>
      <w:bookmarkStart w:id="180" w:name="_Toc313008356"/>
      <w:bookmarkStart w:id="181" w:name="_Toc313888360"/>
      <w:bookmarkStart w:id="182" w:name="_Toc283382454"/>
      <w:bookmarkStart w:id="183" w:name="_Toc12789073"/>
      <w:r>
        <w:rPr>
          <w:rFonts w:hint="eastAsia" w:ascii="仿宋" w:hAnsi="仿宋" w:eastAsia="仿宋" w:cs="仿宋"/>
          <w:b/>
          <w:bCs/>
          <w:color w:val="auto"/>
          <w:sz w:val="24"/>
          <w:szCs w:val="24"/>
          <w:highlight w:val="none"/>
        </w:rPr>
        <w:t>一、经济部分</w:t>
      </w:r>
    </w:p>
    <w:p w14:paraId="4463FBB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（一）竞争性磋商报价函</w:t>
      </w:r>
    </w:p>
    <w:p w14:paraId="73A4E40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（二）明细报价表</w:t>
      </w:r>
    </w:p>
    <w:p w14:paraId="4F4D2A93">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技术（质量）</w:t>
      </w:r>
      <w:r>
        <w:rPr>
          <w:rFonts w:hint="eastAsia" w:ascii="仿宋" w:hAnsi="仿宋" w:eastAsia="仿宋" w:cs="仿宋"/>
          <w:b/>
          <w:bCs/>
          <w:color w:val="auto"/>
          <w:sz w:val="24"/>
          <w:szCs w:val="24"/>
          <w:highlight w:val="none"/>
        </w:rPr>
        <w:t>部分</w:t>
      </w:r>
    </w:p>
    <w:p w14:paraId="740581F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（一）技术（质量）响应偏离表</w:t>
      </w:r>
    </w:p>
    <w:p w14:paraId="2DC5D2A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（二）其他技术（质量）资料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自附</w:t>
      </w:r>
      <w:r>
        <w:rPr>
          <w:rFonts w:hint="eastAsia" w:ascii="仿宋" w:hAnsi="仿宋" w:eastAsia="仿宋" w:cs="仿宋"/>
          <w:color w:val="auto"/>
          <w:sz w:val="24"/>
          <w:szCs w:val="24"/>
          <w:highlight w:val="none"/>
          <w:lang w:eastAsia="zh-CN"/>
        </w:rPr>
        <w:t>）</w:t>
      </w:r>
    </w:p>
    <w:p w14:paraId="7B79DAA5">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三、商务部分</w:t>
      </w:r>
    </w:p>
    <w:p w14:paraId="63CBA82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（一）商务响应偏离表</w:t>
      </w:r>
    </w:p>
    <w:p w14:paraId="2157A96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（二）其它</w:t>
      </w:r>
      <w:r>
        <w:rPr>
          <w:rFonts w:hint="eastAsia" w:ascii="仿宋" w:hAnsi="仿宋" w:eastAsia="仿宋" w:cs="仿宋"/>
          <w:color w:val="auto"/>
          <w:sz w:val="24"/>
          <w:szCs w:val="24"/>
          <w:highlight w:val="none"/>
          <w:lang w:val="en-US" w:eastAsia="zh-CN"/>
        </w:rPr>
        <w:t>商务资料</w:t>
      </w:r>
      <w:r>
        <w:rPr>
          <w:rFonts w:hint="eastAsia" w:ascii="仿宋" w:hAnsi="仿宋" w:eastAsia="仿宋" w:cs="仿宋"/>
          <w:color w:val="auto"/>
          <w:sz w:val="24"/>
          <w:szCs w:val="28"/>
          <w:highlight w:val="none"/>
          <w:lang w:eastAsia="zh-CN"/>
        </w:rPr>
        <w:t>（</w:t>
      </w:r>
      <w:r>
        <w:rPr>
          <w:rFonts w:hint="eastAsia" w:ascii="仿宋" w:hAnsi="仿宋" w:eastAsia="仿宋" w:cs="仿宋"/>
          <w:color w:val="auto"/>
          <w:sz w:val="24"/>
          <w:szCs w:val="28"/>
          <w:highlight w:val="none"/>
          <w:lang w:val="en-US" w:eastAsia="zh-CN"/>
        </w:rPr>
        <w:t>自附</w:t>
      </w:r>
      <w:r>
        <w:rPr>
          <w:rFonts w:hint="eastAsia" w:ascii="仿宋" w:hAnsi="仿宋" w:eastAsia="仿宋" w:cs="仿宋"/>
          <w:color w:val="auto"/>
          <w:sz w:val="24"/>
          <w:szCs w:val="28"/>
          <w:highlight w:val="none"/>
          <w:lang w:eastAsia="zh-CN"/>
        </w:rPr>
        <w:t>）</w:t>
      </w:r>
    </w:p>
    <w:p w14:paraId="5FBEF73E">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四、资格条件及其他</w:t>
      </w:r>
    </w:p>
    <w:p w14:paraId="1814777D">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（一）法人营业执照（副本）或事业单位法人证书（副本）或个体工商户营业执照或有效的自然人身份证明或社会团体法人登记证书复印件</w:t>
      </w:r>
    </w:p>
    <w:p w14:paraId="4242F95A">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（二）法定代表人身份证明书（格式）</w:t>
      </w:r>
    </w:p>
    <w:p w14:paraId="2445711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（三）法定代表人授权委托书（格式）</w:t>
      </w:r>
    </w:p>
    <w:p w14:paraId="44D22BE1">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（四）基本资格条件承诺函（格式）</w:t>
      </w:r>
    </w:p>
    <w:p w14:paraId="4866ED6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（五）其他与项目有关的资料</w:t>
      </w:r>
    </w:p>
    <w:p w14:paraId="4FCE373E">
      <w:pPr>
        <w:pStyle w:val="3"/>
        <w:adjustRightInd w:val="0"/>
        <w:snapToGrid w:val="0"/>
        <w:spacing w:before="0" w:after="0" w:line="360" w:lineRule="auto"/>
        <w:ind w:firstLine="482" w:firstLineChars="200"/>
        <w:rPr>
          <w:rFonts w:hint="eastAsia" w:ascii="仿宋" w:hAnsi="仿宋" w:eastAsia="仿宋" w:cs="仿宋"/>
          <w:color w:val="auto"/>
          <w:sz w:val="24"/>
          <w:highlight w:val="none"/>
        </w:rPr>
        <w:sectPr>
          <w:pgSz w:w="11907" w:h="16840"/>
          <w:pgMar w:top="1134" w:right="1191" w:bottom="1134" w:left="1304" w:header="851" w:footer="992" w:gutter="0"/>
          <w:pgNumType w:fmt="numberInDash"/>
          <w:cols w:space="720" w:num="1"/>
          <w:docGrid w:linePitch="380" w:charSpace="-5735"/>
        </w:sectPr>
      </w:pPr>
    </w:p>
    <w:p w14:paraId="2DC110EE">
      <w:pPr>
        <w:spacing w:line="360" w:lineRule="auto"/>
        <w:rPr>
          <w:rFonts w:hint="eastAsia" w:ascii="仿宋" w:hAnsi="仿宋" w:eastAsia="仿宋" w:cs="仿宋"/>
          <w:color w:val="auto"/>
          <w:highlight w:val="none"/>
        </w:rPr>
      </w:pPr>
    </w:p>
    <w:p w14:paraId="05C3053E">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84" w:name="_Toc16957"/>
      <w:r>
        <w:rPr>
          <w:rFonts w:hint="eastAsia" w:ascii="仿宋" w:hAnsi="仿宋" w:eastAsia="仿宋" w:cs="仿宋"/>
          <w:color w:val="auto"/>
          <w:sz w:val="24"/>
          <w:highlight w:val="none"/>
        </w:rPr>
        <w:t>一、经济部分</w:t>
      </w:r>
      <w:bookmarkEnd w:id="179"/>
      <w:bookmarkEnd w:id="180"/>
      <w:bookmarkEnd w:id="181"/>
      <w:bookmarkEnd w:id="184"/>
    </w:p>
    <w:bookmarkEnd w:id="182"/>
    <w:bookmarkEnd w:id="183"/>
    <w:p w14:paraId="3F2BCCBB">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（一）竞争性磋商报价函</w:t>
      </w:r>
    </w:p>
    <w:p w14:paraId="2E670FB8">
      <w:pPr>
        <w:spacing w:line="360" w:lineRule="auto"/>
        <w:jc w:val="center"/>
        <w:rPr>
          <w:rFonts w:hint="eastAsia" w:ascii="仿宋" w:hAnsi="仿宋" w:eastAsia="仿宋" w:cs="仿宋"/>
          <w:b/>
          <w:color w:val="auto"/>
          <w:szCs w:val="28"/>
          <w:highlight w:val="none"/>
        </w:rPr>
      </w:pPr>
      <w:r>
        <w:rPr>
          <w:rFonts w:hint="eastAsia" w:ascii="仿宋" w:hAnsi="仿宋" w:eastAsia="仿宋" w:cs="仿宋"/>
          <w:b/>
          <w:color w:val="auto"/>
          <w:szCs w:val="28"/>
          <w:highlight w:val="none"/>
        </w:rPr>
        <w:t>竞争性磋商报价函</w:t>
      </w:r>
    </w:p>
    <w:p w14:paraId="6AC273F5">
      <w:pPr>
        <w:tabs>
          <w:tab w:val="left" w:pos="6300"/>
        </w:tabs>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（采购代理机构名称）</w:t>
      </w:r>
      <w:r>
        <w:rPr>
          <w:rFonts w:hint="eastAsia" w:ascii="仿宋" w:hAnsi="仿宋" w:eastAsia="仿宋" w:cs="仿宋"/>
          <w:color w:val="auto"/>
          <w:sz w:val="24"/>
          <w:szCs w:val="24"/>
          <w:highlight w:val="none"/>
        </w:rPr>
        <w:t>：</w:t>
      </w:r>
    </w:p>
    <w:p w14:paraId="3442CD3F">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我方收到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（磋商项目名称）的竞争性磋商文件，经详细研究，决定参加该项目的磋商。</w:t>
      </w:r>
    </w:p>
    <w:p w14:paraId="57903682">
      <w:pPr>
        <w:tabs>
          <w:tab w:val="left" w:pos="6300"/>
        </w:tabs>
        <w:snapToGrid w:val="0"/>
        <w:spacing w:line="360" w:lineRule="auto"/>
        <w:ind w:left="716" w:leftChars="170" w:hanging="240" w:hanging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1.愿意按照竞争性磋商文件中的一切要求，提供本项目的服务，初始报价为人民币</w:t>
      </w:r>
    </w:p>
    <w:p w14:paraId="6FBB16CD">
      <w:pPr>
        <w:tabs>
          <w:tab w:val="left" w:pos="6300"/>
        </w:tabs>
        <w:snapToGrid w:val="0"/>
        <w:spacing w:line="360" w:lineRule="auto"/>
        <w:ind w:left="716" w:leftChars="170" w:hanging="240" w:hanging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en-US" w:eastAsia="zh-CN"/>
        </w:rPr>
        <w:t>元/套；</w:t>
      </w:r>
      <w:r>
        <w:rPr>
          <w:rFonts w:hint="eastAsia" w:ascii="仿宋" w:hAnsi="仿宋" w:eastAsia="仿宋" w:cs="仿宋"/>
          <w:color w:val="auto"/>
          <w:sz w:val="24"/>
          <w:szCs w:val="24"/>
          <w:highlight w:val="none"/>
        </w:rPr>
        <w:t>以我公司最后报价为准。</w:t>
      </w:r>
    </w:p>
    <w:p w14:paraId="05B9B1F1">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2.我方现提交的响应文件为：响应文件正本</w:t>
      </w:r>
      <w:r>
        <w:rPr>
          <w:rFonts w:hint="eastAsia" w:ascii="仿宋" w:hAnsi="仿宋" w:eastAsia="仿宋" w:cs="仿宋"/>
          <w:color w:val="auto"/>
          <w:sz w:val="24"/>
          <w:szCs w:val="24"/>
          <w:highlight w:val="none"/>
          <w:u w:val="single"/>
        </w:rPr>
        <w:t xml:space="preserve"> 1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rPr>
        <w:t xml:space="preserve"> 2 </w:t>
      </w:r>
      <w:r>
        <w:rPr>
          <w:rFonts w:hint="eastAsia" w:ascii="仿宋" w:hAnsi="仿宋" w:eastAsia="仿宋" w:cs="仿宋"/>
          <w:color w:val="auto"/>
          <w:sz w:val="24"/>
          <w:szCs w:val="24"/>
          <w:highlight w:val="none"/>
        </w:rPr>
        <w:t>份，电子文档</w:t>
      </w:r>
      <w:r>
        <w:rPr>
          <w:rFonts w:hint="eastAsia" w:ascii="仿宋" w:hAnsi="仿宋" w:eastAsia="仿宋" w:cs="仿宋"/>
          <w:color w:val="auto"/>
          <w:sz w:val="24"/>
          <w:szCs w:val="24"/>
          <w:highlight w:val="none"/>
          <w:u w:val="single"/>
        </w:rPr>
        <w:t xml:space="preserve"> 1 </w:t>
      </w:r>
      <w:r>
        <w:rPr>
          <w:rFonts w:hint="eastAsia" w:ascii="仿宋" w:hAnsi="仿宋" w:eastAsia="仿宋" w:cs="仿宋"/>
          <w:color w:val="auto"/>
          <w:sz w:val="24"/>
          <w:szCs w:val="24"/>
          <w:highlight w:val="none"/>
        </w:rPr>
        <w:t>份。</w:t>
      </w:r>
    </w:p>
    <w:p w14:paraId="2233F83A">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3.我方承诺：本次磋商的有效期为提交响应文件截止时间起90天。</w:t>
      </w:r>
    </w:p>
    <w:p w14:paraId="5A7C49B0">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4.我方完全理解和接受贵方竞争性磋商文件的一切规定和要求及评审办法。</w:t>
      </w:r>
    </w:p>
    <w:p w14:paraId="0576258E">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5.在整个竞争性磋商过程中，我方若有违规行为，接受按照《中华人民共和国政府采购法》和《竞争性磋商文件》之规定给予惩罚。</w:t>
      </w:r>
    </w:p>
    <w:p w14:paraId="32640BD9">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6.我方若成为成交供应商，将按照最终磋商结果签订合同，并且严格履行合同义务。本承诺函将成为合同不可分割的一部分，与合同具有同等的法律效力。</w:t>
      </w:r>
    </w:p>
    <w:p w14:paraId="567412FC">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7.如果我方成为成交供应商，保证在接到成交通知书同时，向采购代理机构</w:t>
      </w:r>
      <w:r>
        <w:rPr>
          <w:rFonts w:hint="eastAsia" w:ascii="仿宋" w:hAnsi="仿宋" w:eastAsia="仿宋" w:cs="仿宋"/>
          <w:color w:val="auto"/>
          <w:sz w:val="24"/>
          <w:highlight w:val="none"/>
        </w:rPr>
        <w:t>缴纳</w:t>
      </w:r>
      <w:r>
        <w:rPr>
          <w:rFonts w:hint="eastAsia" w:ascii="仿宋" w:hAnsi="仿宋" w:eastAsia="仿宋" w:cs="仿宋"/>
          <w:color w:val="auto"/>
          <w:sz w:val="24"/>
          <w:szCs w:val="24"/>
          <w:highlight w:val="none"/>
        </w:rPr>
        <w:t>竞争性磋商文件规定的采购代理服务费；保证在接到成交通知书后，向采购人缴纳履约保证金。</w:t>
      </w:r>
    </w:p>
    <w:p w14:paraId="4D60B163">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8"/>
          <w:highlight w:val="none"/>
        </w:rPr>
        <w:t>我方未</w:t>
      </w:r>
      <w:r>
        <w:rPr>
          <w:rFonts w:hint="eastAsia" w:ascii="仿宋" w:hAnsi="仿宋" w:eastAsia="仿宋" w:cs="仿宋"/>
          <w:color w:val="auto"/>
          <w:sz w:val="24"/>
          <w:szCs w:val="24"/>
          <w:highlight w:val="none"/>
        </w:rPr>
        <w:t>为采购项目提供整体设计、规范编制或者项目管理、监理、检测等服务。</w:t>
      </w:r>
    </w:p>
    <w:p w14:paraId="5EAAC37B">
      <w:pPr>
        <w:tabs>
          <w:tab w:val="left" w:pos="6300"/>
        </w:tabs>
        <w:snapToGrid w:val="0"/>
        <w:spacing w:line="360" w:lineRule="auto"/>
        <w:ind w:firstLine="570"/>
        <w:rPr>
          <w:rFonts w:hint="eastAsia" w:ascii="仿宋" w:hAnsi="仿宋" w:eastAsia="仿宋" w:cs="仿宋"/>
          <w:color w:val="auto"/>
          <w:sz w:val="24"/>
          <w:szCs w:val="24"/>
          <w:highlight w:val="none"/>
        </w:rPr>
      </w:pPr>
    </w:p>
    <w:p w14:paraId="2065798E">
      <w:pPr>
        <w:tabs>
          <w:tab w:val="left" w:pos="6300"/>
        </w:tabs>
        <w:snapToGrid w:val="0"/>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供应商（公章）或自然人签署：</w:t>
      </w:r>
    </w:p>
    <w:p w14:paraId="4C53B0CC">
      <w:pPr>
        <w:tabs>
          <w:tab w:val="left" w:pos="6300"/>
        </w:tabs>
        <w:snapToGrid w:val="0"/>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  </w:t>
      </w:r>
    </w:p>
    <w:p w14:paraId="37EDBBD5">
      <w:pPr>
        <w:tabs>
          <w:tab w:val="left" w:pos="6300"/>
        </w:tabs>
        <w:snapToGrid w:val="0"/>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                            传  真：</w:t>
      </w:r>
    </w:p>
    <w:p w14:paraId="6293A0B3">
      <w:pPr>
        <w:tabs>
          <w:tab w:val="left" w:pos="6300"/>
        </w:tabs>
        <w:snapToGrid w:val="0"/>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网  址：                            邮  编：</w:t>
      </w:r>
    </w:p>
    <w:p w14:paraId="5BE44674">
      <w:pPr>
        <w:tabs>
          <w:tab w:val="left" w:pos="6300"/>
        </w:tabs>
        <w:snapToGrid w:val="0"/>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p>
    <w:p w14:paraId="3DAA573A">
      <w:pPr>
        <w:snapToGrid w:val="0"/>
        <w:spacing w:line="360" w:lineRule="auto"/>
        <w:ind w:firstLine="480" w:firstLineChars="200"/>
        <w:rPr>
          <w:rFonts w:hint="eastAsia" w:ascii="仿宋" w:hAnsi="仿宋" w:eastAsia="仿宋" w:cs="仿宋"/>
          <w:color w:val="auto"/>
          <w:sz w:val="24"/>
          <w:szCs w:val="24"/>
          <w:highlight w:val="none"/>
        </w:rPr>
        <w:sectPr>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color w:val="auto"/>
          <w:sz w:val="24"/>
          <w:szCs w:val="24"/>
          <w:highlight w:val="none"/>
        </w:rPr>
        <w:t xml:space="preserve">                                            年   月   日</w:t>
      </w:r>
    </w:p>
    <w:p w14:paraId="326EC81A">
      <w:pPr>
        <w:numPr>
          <w:ilvl w:val="0"/>
          <w:numId w:val="13"/>
        </w:numPr>
        <w:tabs>
          <w:tab w:val="left" w:pos="2895"/>
        </w:tabs>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明细报价表</w:t>
      </w:r>
    </w:p>
    <w:p w14:paraId="3EEFCBFD">
      <w:pPr>
        <w:pStyle w:val="22"/>
        <w:rPr>
          <w:rFonts w:hint="eastAsia" w:ascii="仿宋" w:hAnsi="仿宋" w:eastAsia="仿宋" w:cs="仿宋"/>
          <w:color w:val="auto"/>
          <w:sz w:val="24"/>
          <w:szCs w:val="28"/>
          <w:highlight w:val="none"/>
          <w:lang w:val="en-US" w:eastAsia="zh-CN"/>
        </w:rPr>
      </w:pPr>
    </w:p>
    <w:tbl>
      <w:tblPr>
        <w:tblStyle w:val="60"/>
        <w:tblW w:w="8675" w:type="dxa"/>
        <w:tblInd w:w="5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5"/>
        <w:gridCol w:w="1420"/>
        <w:gridCol w:w="2155"/>
        <w:gridCol w:w="1475"/>
        <w:gridCol w:w="1350"/>
        <w:gridCol w:w="1350"/>
      </w:tblGrid>
      <w:tr w14:paraId="2C057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3D9F">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序号</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915F">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套系</w:t>
            </w: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61D3">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品名</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3B3D">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FAD4">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单价（元）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7EB67">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sz w:val="22"/>
                <w:szCs w:val="22"/>
                <w:highlight w:val="none"/>
                <w:u w:val="none"/>
                <w:lang w:val="en-US" w:eastAsia="zh-CN"/>
              </w:rPr>
              <w:t>小计（元）</w:t>
            </w:r>
          </w:p>
        </w:tc>
      </w:tr>
      <w:tr w14:paraId="1A44C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D739">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8D81C">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夏季套装</w:t>
            </w: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6731">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短袖</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E50CA">
            <w:pPr>
              <w:keepNext w:val="0"/>
              <w:keepLines w:val="0"/>
              <w:widowControl/>
              <w:suppressLineNumbers w:val="0"/>
              <w:jc w:val="left"/>
              <w:textAlignment w:val="center"/>
              <w:rPr>
                <w:rFonts w:hint="default"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15DE">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82BB">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3ABFC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66C84">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w:t>
            </w: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CE1D3">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D07C">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九分裤</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B07B">
            <w:pPr>
              <w:keepNext w:val="0"/>
              <w:keepLines w:val="0"/>
              <w:widowControl/>
              <w:suppressLineNumbers w:val="0"/>
              <w:jc w:val="left"/>
              <w:textAlignment w:val="center"/>
              <w:rPr>
                <w:rFonts w:hint="default"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0DC37">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E0B2">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572C6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11FA">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D9B45B">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防寒服套装</w:t>
            </w:r>
          </w:p>
        </w:tc>
        <w:tc>
          <w:tcPr>
            <w:tcW w:w="2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59B7B">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外壳</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09339">
            <w:pPr>
              <w:keepNext w:val="0"/>
              <w:keepLines w:val="0"/>
              <w:widowControl/>
              <w:suppressLineNumbers w:val="0"/>
              <w:jc w:val="left"/>
              <w:textAlignment w:val="center"/>
              <w:rPr>
                <w:rFonts w:hint="default"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6DDE">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49EF">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57F52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BD98C">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w:t>
            </w: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D20E6">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272A">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卫衣</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EBE5">
            <w:pPr>
              <w:keepNext w:val="0"/>
              <w:keepLines w:val="0"/>
              <w:widowControl/>
              <w:suppressLineNumbers w:val="0"/>
              <w:jc w:val="left"/>
              <w:textAlignment w:val="center"/>
              <w:rPr>
                <w:rFonts w:hint="default"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CD12">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9857">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4B254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ED23">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w:t>
            </w: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45C15">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2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F817">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冬季运动裤</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FAC9">
            <w:pPr>
              <w:keepNext w:val="0"/>
              <w:keepLines w:val="0"/>
              <w:widowControl/>
              <w:suppressLineNumbers w:val="0"/>
              <w:jc w:val="left"/>
              <w:textAlignment w:val="center"/>
              <w:rPr>
                <w:rFonts w:hint="default"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822B">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B640">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p>
        </w:tc>
      </w:tr>
      <w:tr w14:paraId="01F71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67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B3BF">
            <w:pPr>
              <w:keepNext w:val="0"/>
              <w:keepLines w:val="0"/>
              <w:widowControl/>
              <w:suppressLineNumbers w:val="0"/>
              <w:jc w:val="left"/>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sz w:val="22"/>
                <w:szCs w:val="22"/>
                <w:highlight w:val="none"/>
                <w:u w:val="none"/>
                <w:lang w:val="en-US" w:eastAsia="zh-CN"/>
              </w:rPr>
              <w:t>合计</w:t>
            </w:r>
            <w:r>
              <w:rPr>
                <w:rFonts w:hint="eastAsia" w:ascii="仿宋" w:hAnsi="仿宋" w:eastAsia="仿宋" w:cs="仿宋"/>
                <w:i w:val="0"/>
                <w:iCs w:val="0"/>
                <w:color w:val="auto"/>
                <w:sz w:val="22"/>
                <w:szCs w:val="22"/>
                <w:highlight w:val="none"/>
                <w:u w:val="single"/>
                <w:lang w:val="en-US" w:eastAsia="zh-CN"/>
              </w:rPr>
              <w:t xml:space="preserve">      </w:t>
            </w:r>
            <w:r>
              <w:rPr>
                <w:rFonts w:hint="eastAsia" w:ascii="仿宋" w:hAnsi="仿宋" w:eastAsia="仿宋" w:cs="仿宋"/>
                <w:i w:val="0"/>
                <w:iCs w:val="0"/>
                <w:color w:val="auto"/>
                <w:sz w:val="22"/>
                <w:szCs w:val="22"/>
                <w:highlight w:val="none"/>
                <w:u w:val="none"/>
                <w:lang w:val="en-US" w:eastAsia="zh-CN"/>
              </w:rPr>
              <w:t>元/套，大写：</w:t>
            </w:r>
          </w:p>
        </w:tc>
      </w:tr>
    </w:tbl>
    <w:p w14:paraId="675298E1">
      <w:pPr>
        <w:pStyle w:val="23"/>
        <w:rPr>
          <w:rFonts w:hint="eastAsia" w:ascii="仿宋" w:hAnsi="仿宋" w:eastAsia="仿宋" w:cs="仿宋"/>
          <w:color w:val="auto"/>
          <w:sz w:val="24"/>
          <w:szCs w:val="28"/>
          <w:highlight w:val="none"/>
          <w:lang w:val="en-US" w:eastAsia="zh-CN"/>
        </w:rPr>
      </w:pPr>
    </w:p>
    <w:p w14:paraId="351F8DBE">
      <w:pPr>
        <w:rPr>
          <w:rFonts w:hint="eastAsia" w:ascii="仿宋" w:hAnsi="仿宋" w:eastAsia="仿宋" w:cs="仿宋"/>
          <w:color w:val="auto"/>
          <w:sz w:val="24"/>
          <w:szCs w:val="28"/>
          <w:highlight w:val="none"/>
          <w:lang w:val="en-US" w:eastAsia="zh-CN"/>
        </w:rPr>
      </w:pPr>
    </w:p>
    <w:p w14:paraId="5EAA9014">
      <w:pPr>
        <w:pStyle w:val="22"/>
        <w:rPr>
          <w:rFonts w:hint="eastAsia"/>
          <w:highlight w:val="none"/>
          <w:lang w:val="en-US" w:eastAsia="zh-CN"/>
        </w:rPr>
      </w:pPr>
    </w:p>
    <w:p w14:paraId="3E8EF291">
      <w:pPr>
        <w:snapToGrid w:val="0"/>
        <w:spacing w:line="360" w:lineRule="auto"/>
        <w:ind w:firstLine="480" w:firstLineChars="2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注：1.供应商应完整填写本表。</w:t>
      </w:r>
    </w:p>
    <w:p w14:paraId="4F4EAF20">
      <w:pPr>
        <w:snapToGrid w:val="0"/>
        <w:spacing w:line="360"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        2.该表可扩展</w:t>
      </w:r>
      <w:bookmarkStart w:id="185" w:name="OLE_LINK2"/>
      <w:bookmarkStart w:id="186" w:name="OLE_LINK1"/>
      <w:r>
        <w:rPr>
          <w:rFonts w:hint="eastAsia" w:ascii="仿宋" w:hAnsi="仿宋" w:eastAsia="仿宋" w:cs="仿宋"/>
          <w:color w:val="auto"/>
          <w:sz w:val="24"/>
          <w:szCs w:val="28"/>
          <w:highlight w:val="none"/>
        </w:rPr>
        <w:t>。</w:t>
      </w:r>
      <w:bookmarkEnd w:id="185"/>
      <w:bookmarkEnd w:id="186"/>
    </w:p>
    <w:p w14:paraId="392AF9F4">
      <w:pPr>
        <w:pStyle w:val="40"/>
        <w:spacing w:line="360" w:lineRule="auto"/>
        <w:rPr>
          <w:rFonts w:hint="eastAsia" w:ascii="仿宋" w:hAnsi="仿宋" w:eastAsia="仿宋" w:cs="仿宋"/>
          <w:color w:val="auto"/>
          <w:sz w:val="24"/>
          <w:szCs w:val="24"/>
          <w:highlight w:val="none"/>
        </w:rPr>
      </w:pPr>
    </w:p>
    <w:p w14:paraId="024DB806">
      <w:pPr>
        <w:pStyle w:val="40"/>
        <w:spacing w:line="360" w:lineRule="auto"/>
        <w:rPr>
          <w:rFonts w:hint="eastAsia" w:ascii="仿宋" w:hAnsi="仿宋" w:eastAsia="仿宋" w:cs="仿宋"/>
          <w:color w:val="auto"/>
          <w:highlight w:val="none"/>
        </w:rPr>
      </w:pPr>
      <w:r>
        <w:rPr>
          <w:rFonts w:hint="eastAsia" w:ascii="仿宋" w:hAnsi="仿宋" w:eastAsia="仿宋" w:cs="仿宋"/>
          <w:color w:val="auto"/>
          <w:sz w:val="24"/>
          <w:szCs w:val="24"/>
          <w:highlight w:val="none"/>
        </w:rPr>
        <w:t xml:space="preserve">            </w:t>
      </w:r>
    </w:p>
    <w:p w14:paraId="68D0BE3B">
      <w:pPr>
        <w:spacing w:line="360" w:lineRule="auto"/>
        <w:rPr>
          <w:rFonts w:hint="eastAsia" w:ascii="仿宋" w:hAnsi="仿宋" w:eastAsia="仿宋" w:cs="仿宋"/>
          <w:color w:val="auto"/>
          <w:highlight w:val="none"/>
        </w:rPr>
      </w:pPr>
      <w:r>
        <w:rPr>
          <w:rFonts w:hint="eastAsia" w:ascii="仿宋" w:hAnsi="仿宋" w:eastAsia="仿宋" w:cs="仿宋"/>
          <w:color w:val="auto"/>
          <w:sz w:val="24"/>
          <w:szCs w:val="24"/>
          <w:highlight w:val="none"/>
        </w:rPr>
        <w:t xml:space="preserve">                                             供应商名称（公章）或自然人签署：</w:t>
      </w:r>
    </w:p>
    <w:p w14:paraId="6BE1C568">
      <w:pPr>
        <w:spacing w:line="360" w:lineRule="auto"/>
        <w:ind w:right="480" w:firstLine="6480" w:firstLineChars="2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51A04437">
      <w:pPr>
        <w:snapToGrid w:val="0"/>
        <w:spacing w:line="360" w:lineRule="auto"/>
        <w:ind w:firstLine="480" w:firstLineChars="200"/>
        <w:rPr>
          <w:rFonts w:hint="eastAsia" w:ascii="仿宋" w:hAnsi="仿宋" w:eastAsia="仿宋" w:cs="仿宋"/>
          <w:color w:val="auto"/>
          <w:sz w:val="24"/>
          <w:szCs w:val="24"/>
          <w:highlight w:val="none"/>
          <w:bdr w:val="single" w:color="auto" w:sz="4" w:space="0"/>
        </w:rPr>
        <w:sectPr>
          <w:headerReference r:id="rId10" w:type="default"/>
          <w:pgSz w:w="11907" w:h="16840"/>
          <w:pgMar w:top="1134" w:right="1191" w:bottom="1134" w:left="1304" w:header="851" w:footer="992" w:gutter="0"/>
          <w:pgNumType w:fmt="numberInDash"/>
          <w:cols w:space="720" w:num="1"/>
          <w:docGrid w:linePitch="380" w:charSpace="-5735"/>
        </w:sectPr>
      </w:pPr>
    </w:p>
    <w:p w14:paraId="5DB4865E">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87" w:name="_Toc342913420"/>
      <w:bookmarkStart w:id="188" w:name="_Toc313008357"/>
      <w:bookmarkStart w:id="189" w:name="_Toc313888361"/>
      <w:bookmarkStart w:id="190" w:name="_Toc7800"/>
      <w:r>
        <w:rPr>
          <w:rFonts w:hint="eastAsia" w:ascii="仿宋" w:hAnsi="仿宋" w:eastAsia="仿宋" w:cs="仿宋"/>
          <w:color w:val="auto"/>
          <w:sz w:val="24"/>
          <w:highlight w:val="none"/>
        </w:rPr>
        <w:t>二、</w:t>
      </w:r>
      <w:r>
        <w:rPr>
          <w:rFonts w:hint="eastAsia" w:ascii="仿宋" w:hAnsi="仿宋" w:eastAsia="仿宋" w:cs="仿宋"/>
          <w:color w:val="auto"/>
          <w:sz w:val="24"/>
          <w:highlight w:val="none"/>
          <w:lang w:val="en-US" w:eastAsia="zh-CN"/>
        </w:rPr>
        <w:t>技术（质量）</w:t>
      </w:r>
      <w:r>
        <w:rPr>
          <w:rFonts w:hint="eastAsia" w:ascii="仿宋" w:hAnsi="仿宋" w:eastAsia="仿宋" w:cs="仿宋"/>
          <w:color w:val="auto"/>
          <w:sz w:val="24"/>
          <w:highlight w:val="none"/>
        </w:rPr>
        <w:t>部分</w:t>
      </w:r>
      <w:bookmarkEnd w:id="187"/>
      <w:bookmarkEnd w:id="188"/>
      <w:bookmarkEnd w:id="189"/>
      <w:bookmarkEnd w:id="190"/>
    </w:p>
    <w:p w14:paraId="0611A3B8">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（一）技术（质量）条款差异表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967"/>
        <w:gridCol w:w="3081"/>
        <w:gridCol w:w="2309"/>
      </w:tblGrid>
      <w:tr w14:paraId="454A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71" w:type="dxa"/>
            <w:noWrap w:val="0"/>
            <w:vAlign w:val="center"/>
          </w:tcPr>
          <w:p w14:paraId="1DD89371">
            <w:pPr>
              <w:tabs>
                <w:tab w:val="left" w:pos="6300"/>
              </w:tabs>
              <w:snapToGrid w:val="0"/>
              <w:spacing w:line="360" w:lineRule="auto"/>
              <w:jc w:val="center"/>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2967" w:type="dxa"/>
            <w:noWrap w:val="0"/>
            <w:vAlign w:val="center"/>
          </w:tcPr>
          <w:p w14:paraId="37CB09A1">
            <w:pPr>
              <w:tabs>
                <w:tab w:val="left" w:pos="6300"/>
              </w:tabs>
              <w:snapToGrid w:val="0"/>
              <w:spacing w:line="360" w:lineRule="auto"/>
              <w:jc w:val="center"/>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技术（质量）</w:t>
            </w:r>
            <w:r>
              <w:rPr>
                <w:rFonts w:hint="eastAsia" w:ascii="仿宋" w:hAnsi="仿宋" w:eastAsia="仿宋" w:cs="仿宋"/>
                <w:color w:val="auto"/>
                <w:sz w:val="21"/>
                <w:szCs w:val="21"/>
                <w:highlight w:val="none"/>
              </w:rPr>
              <w:t>需求</w:t>
            </w:r>
          </w:p>
        </w:tc>
        <w:tc>
          <w:tcPr>
            <w:tcW w:w="3081" w:type="dxa"/>
            <w:noWrap w:val="0"/>
            <w:vAlign w:val="center"/>
          </w:tcPr>
          <w:p w14:paraId="41410AA1">
            <w:pPr>
              <w:tabs>
                <w:tab w:val="left" w:pos="6300"/>
              </w:tabs>
              <w:snapToGrid w:val="0"/>
              <w:spacing w:line="360" w:lineRule="auto"/>
              <w:jc w:val="center"/>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响应情况</w:t>
            </w:r>
          </w:p>
        </w:tc>
        <w:tc>
          <w:tcPr>
            <w:tcW w:w="2309" w:type="dxa"/>
            <w:noWrap w:val="0"/>
            <w:vAlign w:val="center"/>
          </w:tcPr>
          <w:p w14:paraId="6AB27897">
            <w:pPr>
              <w:tabs>
                <w:tab w:val="left" w:pos="6300"/>
              </w:tabs>
              <w:snapToGrid w:val="0"/>
              <w:spacing w:line="360" w:lineRule="auto"/>
              <w:jc w:val="center"/>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差异说明</w:t>
            </w:r>
          </w:p>
        </w:tc>
      </w:tr>
      <w:tr w14:paraId="138E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7847BBAF">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285E43E4">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302FBDC0">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79492587">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r w14:paraId="7623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6B60F7B9">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2C1B95BF">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33B99CE8">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4756C1DC">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r w14:paraId="2591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00AF3D24">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32575DDD">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43751986">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1C2CD7E9">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r w14:paraId="5F28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6C142D18">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46C5C071">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596EE5B4">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16CD676E">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r w14:paraId="077B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3B09BE92">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17C611C4">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3A0F7A6C">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6374E968">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r w14:paraId="281F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0D4C91BC">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19007892">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5CB5144C">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5F4D5CD1">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r w14:paraId="6EC7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7EFEF5C0">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5454290D">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764DA2CB">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54AA8B24">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r w14:paraId="0028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18B2EB22">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0531E50A">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4B18DEEF">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3D386132">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r w14:paraId="3E66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6E3EBC75">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1A5516E6">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7F1BA836">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65438459">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r w14:paraId="1E64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noWrap w:val="0"/>
            <w:vAlign w:val="center"/>
          </w:tcPr>
          <w:p w14:paraId="5179F6A3">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967" w:type="dxa"/>
            <w:noWrap w:val="0"/>
            <w:vAlign w:val="center"/>
          </w:tcPr>
          <w:p w14:paraId="7FDCB8E7">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3081" w:type="dxa"/>
            <w:noWrap w:val="0"/>
            <w:vAlign w:val="center"/>
          </w:tcPr>
          <w:p w14:paraId="5EC19E0C">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c>
          <w:tcPr>
            <w:tcW w:w="2309" w:type="dxa"/>
            <w:noWrap w:val="0"/>
            <w:vAlign w:val="center"/>
          </w:tcPr>
          <w:p w14:paraId="701305DB">
            <w:pPr>
              <w:tabs>
                <w:tab w:val="left" w:pos="6300"/>
              </w:tabs>
              <w:snapToGrid w:val="0"/>
              <w:spacing w:line="360" w:lineRule="auto"/>
              <w:jc w:val="center"/>
              <w:outlineLvl w:val="0"/>
              <w:rPr>
                <w:rFonts w:hint="eastAsia" w:ascii="仿宋" w:hAnsi="仿宋" w:eastAsia="仿宋" w:cs="仿宋"/>
                <w:color w:val="auto"/>
                <w:sz w:val="21"/>
                <w:szCs w:val="21"/>
                <w:highlight w:val="none"/>
              </w:rPr>
            </w:pPr>
          </w:p>
        </w:tc>
      </w:tr>
    </w:tbl>
    <w:p w14:paraId="24AFBEF7">
      <w:pPr>
        <w:spacing w:line="360" w:lineRule="auto"/>
        <w:ind w:firstLine="600" w:firstLineChars="25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供应商：                            </w:t>
      </w:r>
      <w:r>
        <w:rPr>
          <w:rFonts w:hint="eastAsia" w:ascii="仿宋" w:hAnsi="仿宋" w:eastAsia="仿宋" w:cs="仿宋"/>
          <w:color w:val="auto"/>
          <w:sz w:val="24"/>
          <w:szCs w:val="24"/>
          <w:highlight w:val="none"/>
        </w:rPr>
        <w:t>法定代表人（或其授权代表）或自然人：</w:t>
      </w:r>
    </w:p>
    <w:p w14:paraId="640567D0">
      <w:pPr>
        <w:spacing w:line="360"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    </w:t>
      </w:r>
    </w:p>
    <w:p w14:paraId="59CFC5D9">
      <w:pPr>
        <w:spacing w:line="360" w:lineRule="auto"/>
        <w:ind w:firstLine="720" w:firstLineChars="30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（供应商公章）                               （签署或盖章）</w:t>
      </w:r>
    </w:p>
    <w:p w14:paraId="5D68ACEE">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szCs w:val="28"/>
          <w:highlight w:val="none"/>
        </w:rPr>
        <w:t xml:space="preserve">                                              年     月     日</w:t>
      </w:r>
    </w:p>
    <w:p w14:paraId="7E6EC8B2">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43B993A4">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highlight w:val="none"/>
        </w:rPr>
        <w:t>.本表即为对本项目“第二篇  项目</w:t>
      </w:r>
      <w:r>
        <w:rPr>
          <w:rFonts w:hint="eastAsia" w:ascii="仿宋" w:hAnsi="仿宋" w:eastAsia="仿宋" w:cs="仿宋"/>
          <w:color w:val="auto"/>
          <w:sz w:val="24"/>
          <w:highlight w:val="none"/>
          <w:lang w:val="en-US" w:eastAsia="zh-CN"/>
        </w:rPr>
        <w:t>技术（质量）</w:t>
      </w:r>
      <w:r>
        <w:rPr>
          <w:rFonts w:hint="eastAsia" w:ascii="仿宋" w:hAnsi="仿宋" w:eastAsia="仿宋" w:cs="仿宋"/>
          <w:color w:val="auto"/>
          <w:sz w:val="24"/>
          <w:highlight w:val="none"/>
        </w:rPr>
        <w:t>需求”中所列条款进行比较和响应</w:t>
      </w:r>
      <w:r>
        <w:rPr>
          <w:rFonts w:hint="eastAsia" w:ascii="仿宋" w:hAnsi="仿宋" w:eastAsia="仿宋" w:cs="仿宋"/>
          <w:color w:val="auto"/>
          <w:sz w:val="24"/>
          <w:szCs w:val="24"/>
          <w:highlight w:val="none"/>
        </w:rPr>
        <w:t>，应逐条如实填写；</w:t>
      </w:r>
    </w:p>
    <w:p w14:paraId="7DDEB5AA">
      <w:pPr>
        <w:tabs>
          <w:tab w:val="left" w:pos="6300"/>
        </w:tabs>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2.本表可扩展。</w:t>
      </w:r>
    </w:p>
    <w:p w14:paraId="78D1F204">
      <w:pPr>
        <w:numPr>
          <w:ilvl w:val="0"/>
          <w:numId w:val="13"/>
        </w:numPr>
        <w:tabs>
          <w:tab w:val="left" w:pos="6300"/>
        </w:tabs>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0CC7310A">
      <w:pPr>
        <w:tabs>
          <w:tab w:val="left" w:pos="6300"/>
        </w:tabs>
        <w:snapToGrid w:val="0"/>
        <w:spacing w:line="520" w:lineRule="exact"/>
        <w:ind w:firstLine="570"/>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（二）其他技术（质量）资料</w:t>
      </w:r>
      <w:r>
        <w:rPr>
          <w:rFonts w:hint="eastAsia" w:ascii="仿宋" w:hAnsi="仿宋" w:eastAsia="仿宋" w:cs="仿宋"/>
          <w:color w:val="auto"/>
          <w:sz w:val="24"/>
          <w:szCs w:val="28"/>
          <w:highlight w:val="none"/>
          <w:lang w:eastAsia="zh-CN"/>
        </w:rPr>
        <w:t>（</w:t>
      </w:r>
      <w:r>
        <w:rPr>
          <w:rFonts w:hint="eastAsia" w:ascii="仿宋" w:hAnsi="仿宋" w:eastAsia="仿宋" w:cs="仿宋"/>
          <w:color w:val="auto"/>
          <w:sz w:val="24"/>
          <w:szCs w:val="28"/>
          <w:highlight w:val="none"/>
          <w:lang w:val="en-US" w:eastAsia="zh-CN"/>
        </w:rPr>
        <w:t>自附</w:t>
      </w:r>
      <w:r>
        <w:rPr>
          <w:rFonts w:hint="eastAsia" w:ascii="仿宋" w:hAnsi="仿宋" w:eastAsia="仿宋" w:cs="仿宋"/>
          <w:color w:val="auto"/>
          <w:sz w:val="24"/>
          <w:szCs w:val="28"/>
          <w:highlight w:val="none"/>
          <w:lang w:eastAsia="zh-CN"/>
        </w:rPr>
        <w:t>）</w:t>
      </w:r>
    </w:p>
    <w:p w14:paraId="72BCA3EA">
      <w:pPr>
        <w:pStyle w:val="70"/>
        <w:widowControl w:val="0"/>
        <w:numPr>
          <w:ilvl w:val="0"/>
          <w:numId w:val="0"/>
        </w:numPr>
        <w:autoSpaceDE w:val="0"/>
        <w:autoSpaceDN w:val="0"/>
        <w:adjustRightInd w:val="0"/>
        <w:rPr>
          <w:rFonts w:hint="eastAsia"/>
          <w:color w:val="auto"/>
          <w:highlight w:val="none"/>
        </w:rPr>
      </w:pPr>
    </w:p>
    <w:p w14:paraId="00E478EB">
      <w:pPr>
        <w:pStyle w:val="3"/>
        <w:adjustRightInd w:val="0"/>
        <w:snapToGrid w:val="0"/>
        <w:spacing w:before="0" w:after="0" w:line="360" w:lineRule="auto"/>
        <w:ind w:firstLine="640" w:firstLineChars="200"/>
        <w:rPr>
          <w:rFonts w:hint="eastAsia" w:ascii="仿宋" w:hAnsi="仿宋" w:eastAsia="仿宋" w:cs="仿宋"/>
          <w:color w:val="auto"/>
          <w:sz w:val="24"/>
          <w:highlight w:val="none"/>
        </w:rPr>
      </w:pPr>
      <w:r>
        <w:rPr>
          <w:rFonts w:hint="eastAsia" w:ascii="仿宋" w:hAnsi="仿宋" w:eastAsia="仿宋" w:cs="仿宋"/>
          <w:b w:val="0"/>
          <w:color w:val="auto"/>
          <w:highlight w:val="none"/>
        </w:rPr>
        <w:br w:type="page"/>
      </w:r>
      <w:bookmarkStart w:id="191" w:name="_Toc342913421"/>
      <w:bookmarkStart w:id="192" w:name="_Toc19396"/>
      <w:bookmarkStart w:id="193" w:name="_Toc313008358"/>
      <w:bookmarkStart w:id="194" w:name="_Toc313888362"/>
      <w:r>
        <w:rPr>
          <w:rFonts w:hint="eastAsia" w:ascii="仿宋" w:hAnsi="仿宋" w:eastAsia="仿宋" w:cs="仿宋"/>
          <w:color w:val="auto"/>
          <w:sz w:val="24"/>
          <w:highlight w:val="none"/>
        </w:rPr>
        <w:t>三、商务部分</w:t>
      </w:r>
      <w:bookmarkEnd w:id="191"/>
      <w:bookmarkEnd w:id="192"/>
      <w:bookmarkEnd w:id="193"/>
      <w:bookmarkEnd w:id="194"/>
    </w:p>
    <w:p w14:paraId="7160BF52">
      <w:pPr>
        <w:snapToGrid w:val="0"/>
        <w:spacing w:line="360" w:lineRule="auto"/>
        <w:ind w:firstLine="480" w:firstLineChars="200"/>
        <w:rPr>
          <w:rFonts w:hint="eastAsia" w:ascii="仿宋" w:hAnsi="仿宋" w:eastAsia="仿宋" w:cs="仿宋"/>
          <w:color w:val="auto"/>
          <w:sz w:val="24"/>
          <w:szCs w:val="24"/>
          <w:highlight w:val="none"/>
        </w:rPr>
      </w:pPr>
      <w:bookmarkStart w:id="195" w:name="_Toc283382459"/>
      <w:r>
        <w:rPr>
          <w:rFonts w:hint="eastAsia" w:ascii="仿宋" w:hAnsi="仿宋" w:eastAsia="仿宋" w:cs="仿宋"/>
          <w:color w:val="auto"/>
          <w:sz w:val="24"/>
          <w:szCs w:val="24"/>
          <w:highlight w:val="none"/>
        </w:rPr>
        <w:t xml:space="preserve">（一）商务响应偏离表                                </w:t>
      </w:r>
    </w:p>
    <w:tbl>
      <w:tblPr>
        <w:tblStyle w:val="60"/>
        <w:tblW w:w="0" w:type="auto"/>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7EAB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noWrap w:val="0"/>
            <w:vAlign w:val="center"/>
          </w:tcPr>
          <w:p w14:paraId="11D8831F">
            <w:pPr>
              <w:snapToGrid w:val="0"/>
              <w:spacing w:line="360" w:lineRule="auto"/>
              <w:ind w:firstLine="465"/>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序号</w:t>
            </w:r>
          </w:p>
        </w:tc>
        <w:tc>
          <w:tcPr>
            <w:tcW w:w="3179" w:type="dxa"/>
            <w:noWrap w:val="0"/>
            <w:vAlign w:val="center"/>
          </w:tcPr>
          <w:p w14:paraId="36E426E6">
            <w:pPr>
              <w:tabs>
                <w:tab w:val="left" w:pos="6300"/>
              </w:tabs>
              <w:snapToGrid w:val="0"/>
              <w:spacing w:line="360" w:lineRule="auto"/>
              <w:jc w:val="center"/>
              <w:outlineLvl w:val="0"/>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商务需求</w:t>
            </w:r>
          </w:p>
        </w:tc>
        <w:tc>
          <w:tcPr>
            <w:tcW w:w="2434" w:type="dxa"/>
            <w:noWrap w:val="0"/>
            <w:vAlign w:val="center"/>
          </w:tcPr>
          <w:p w14:paraId="397151E4">
            <w:pPr>
              <w:tabs>
                <w:tab w:val="left" w:pos="6300"/>
              </w:tabs>
              <w:snapToGrid w:val="0"/>
              <w:spacing w:line="360" w:lineRule="auto"/>
              <w:jc w:val="center"/>
              <w:outlineLvl w:val="0"/>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响应情况</w:t>
            </w:r>
          </w:p>
        </w:tc>
        <w:tc>
          <w:tcPr>
            <w:tcW w:w="2355" w:type="dxa"/>
            <w:noWrap w:val="0"/>
            <w:vAlign w:val="center"/>
          </w:tcPr>
          <w:p w14:paraId="272BF559">
            <w:pPr>
              <w:tabs>
                <w:tab w:val="left" w:pos="6300"/>
              </w:tabs>
              <w:snapToGrid w:val="0"/>
              <w:spacing w:line="360" w:lineRule="auto"/>
              <w:jc w:val="center"/>
              <w:outlineLvl w:val="0"/>
              <w:rPr>
                <w:rFonts w:hint="eastAsia" w:ascii="仿宋" w:hAnsi="仿宋" w:eastAsia="仿宋" w:cs="仿宋"/>
                <w:color w:val="auto"/>
                <w:sz w:val="21"/>
                <w:szCs w:val="24"/>
                <w:highlight w:val="none"/>
              </w:rPr>
            </w:pPr>
            <w:r>
              <w:rPr>
                <w:rFonts w:hint="eastAsia" w:ascii="仿宋" w:hAnsi="仿宋" w:eastAsia="仿宋" w:cs="仿宋"/>
                <w:color w:val="auto"/>
                <w:sz w:val="21"/>
                <w:szCs w:val="24"/>
                <w:highlight w:val="none"/>
              </w:rPr>
              <w:t>偏离说明</w:t>
            </w:r>
          </w:p>
        </w:tc>
      </w:tr>
      <w:tr w14:paraId="52BF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466E026B">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3179" w:type="dxa"/>
            <w:noWrap w:val="0"/>
            <w:vAlign w:val="center"/>
          </w:tcPr>
          <w:p w14:paraId="23339BFE">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434" w:type="dxa"/>
            <w:noWrap w:val="0"/>
            <w:vAlign w:val="center"/>
          </w:tcPr>
          <w:p w14:paraId="470CEFDB">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355" w:type="dxa"/>
            <w:noWrap w:val="0"/>
            <w:vAlign w:val="center"/>
          </w:tcPr>
          <w:p w14:paraId="3C41C7B1">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r>
      <w:tr w14:paraId="065A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2CFDBB71">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3179" w:type="dxa"/>
            <w:noWrap w:val="0"/>
            <w:vAlign w:val="center"/>
          </w:tcPr>
          <w:p w14:paraId="5D3941B8">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434" w:type="dxa"/>
            <w:noWrap w:val="0"/>
            <w:vAlign w:val="center"/>
          </w:tcPr>
          <w:p w14:paraId="7D14C81B">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355" w:type="dxa"/>
            <w:noWrap w:val="0"/>
            <w:vAlign w:val="center"/>
          </w:tcPr>
          <w:p w14:paraId="57C6D9E8">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r>
      <w:tr w14:paraId="67BE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76E63F98">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3179" w:type="dxa"/>
            <w:noWrap w:val="0"/>
            <w:vAlign w:val="center"/>
          </w:tcPr>
          <w:p w14:paraId="1F95F097">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434" w:type="dxa"/>
            <w:noWrap w:val="0"/>
            <w:vAlign w:val="center"/>
          </w:tcPr>
          <w:p w14:paraId="773DC5F5">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355" w:type="dxa"/>
            <w:noWrap w:val="0"/>
            <w:vAlign w:val="center"/>
          </w:tcPr>
          <w:p w14:paraId="1C8CD30F">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r>
      <w:tr w14:paraId="2996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40EF733F">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3179" w:type="dxa"/>
            <w:noWrap w:val="0"/>
            <w:vAlign w:val="center"/>
          </w:tcPr>
          <w:p w14:paraId="0545AC75">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434" w:type="dxa"/>
            <w:noWrap w:val="0"/>
            <w:vAlign w:val="center"/>
          </w:tcPr>
          <w:p w14:paraId="6A32E2C7">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355" w:type="dxa"/>
            <w:noWrap w:val="0"/>
            <w:vAlign w:val="center"/>
          </w:tcPr>
          <w:p w14:paraId="197C1A77">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r>
      <w:tr w14:paraId="23D7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620FA14F">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3179" w:type="dxa"/>
            <w:noWrap w:val="0"/>
            <w:vAlign w:val="center"/>
          </w:tcPr>
          <w:p w14:paraId="169E9A96">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434" w:type="dxa"/>
            <w:noWrap w:val="0"/>
            <w:vAlign w:val="center"/>
          </w:tcPr>
          <w:p w14:paraId="101E12EF">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355" w:type="dxa"/>
            <w:noWrap w:val="0"/>
            <w:vAlign w:val="center"/>
          </w:tcPr>
          <w:p w14:paraId="230C3658">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r>
      <w:tr w14:paraId="70B4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77FD984A">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3179" w:type="dxa"/>
            <w:noWrap w:val="0"/>
            <w:vAlign w:val="center"/>
          </w:tcPr>
          <w:p w14:paraId="525C67DA">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434" w:type="dxa"/>
            <w:noWrap w:val="0"/>
            <w:vAlign w:val="center"/>
          </w:tcPr>
          <w:p w14:paraId="4BFFADFB">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c>
          <w:tcPr>
            <w:tcW w:w="2355" w:type="dxa"/>
            <w:noWrap w:val="0"/>
            <w:vAlign w:val="center"/>
          </w:tcPr>
          <w:p w14:paraId="48568E73">
            <w:pPr>
              <w:tabs>
                <w:tab w:val="left" w:pos="6300"/>
              </w:tabs>
              <w:snapToGrid w:val="0"/>
              <w:spacing w:line="360" w:lineRule="auto"/>
              <w:jc w:val="center"/>
              <w:outlineLvl w:val="0"/>
              <w:rPr>
                <w:rFonts w:hint="eastAsia" w:ascii="仿宋" w:hAnsi="仿宋" w:eastAsia="仿宋" w:cs="仿宋"/>
                <w:color w:val="auto"/>
                <w:sz w:val="21"/>
                <w:szCs w:val="24"/>
                <w:highlight w:val="none"/>
              </w:rPr>
            </w:pPr>
          </w:p>
        </w:tc>
      </w:tr>
    </w:tbl>
    <w:p w14:paraId="2C17742B">
      <w:pPr>
        <w:snapToGrid w:val="0"/>
        <w:spacing w:line="360" w:lineRule="auto"/>
        <w:ind w:firstLine="465"/>
        <w:rPr>
          <w:rFonts w:hint="eastAsia" w:ascii="仿宋" w:hAnsi="仿宋" w:eastAsia="仿宋" w:cs="仿宋"/>
          <w:color w:val="auto"/>
          <w:sz w:val="24"/>
          <w:szCs w:val="24"/>
          <w:highlight w:val="none"/>
        </w:rPr>
      </w:pPr>
    </w:p>
    <w:p w14:paraId="4FEECCDA">
      <w:pPr>
        <w:spacing w:line="360" w:lineRule="auto"/>
        <w:ind w:firstLine="600" w:firstLineChars="25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供应商：                          </w:t>
      </w:r>
      <w:r>
        <w:rPr>
          <w:rFonts w:hint="eastAsia" w:ascii="仿宋" w:hAnsi="仿宋" w:eastAsia="仿宋" w:cs="仿宋"/>
          <w:color w:val="auto"/>
          <w:sz w:val="24"/>
          <w:szCs w:val="24"/>
          <w:highlight w:val="none"/>
        </w:rPr>
        <w:t>法定代表人（或其授权代表）或自然人：</w:t>
      </w:r>
    </w:p>
    <w:p w14:paraId="4017F18A">
      <w:pPr>
        <w:spacing w:line="360"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    </w:t>
      </w:r>
    </w:p>
    <w:p w14:paraId="1EC5F03D">
      <w:pPr>
        <w:spacing w:line="360" w:lineRule="auto"/>
        <w:ind w:firstLine="360" w:firstLineChars="15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（供应商公章）                                 （签署或盖章）</w:t>
      </w:r>
    </w:p>
    <w:p w14:paraId="35A7717A">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szCs w:val="28"/>
          <w:highlight w:val="none"/>
        </w:rPr>
        <w:t xml:space="preserve">                                            年     月     日</w:t>
      </w:r>
    </w:p>
    <w:p w14:paraId="2BDBB567">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4E287AA8">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highlight w:val="none"/>
        </w:rPr>
        <w:t>.本表即为对本项目“第三篇 项目商务需求”中所列条款进行比较和响应</w:t>
      </w:r>
      <w:r>
        <w:rPr>
          <w:rFonts w:hint="eastAsia" w:ascii="仿宋" w:hAnsi="仿宋" w:eastAsia="仿宋" w:cs="仿宋"/>
          <w:color w:val="auto"/>
          <w:sz w:val="24"/>
          <w:szCs w:val="24"/>
          <w:highlight w:val="none"/>
        </w:rPr>
        <w:t>，应逐条如实填写；</w:t>
      </w:r>
    </w:p>
    <w:p w14:paraId="0D049508">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2.本表可扩展。</w:t>
      </w:r>
    </w:p>
    <w:p w14:paraId="3405B511">
      <w:pPr>
        <w:tabs>
          <w:tab w:val="left" w:pos="6300"/>
        </w:tabs>
        <w:snapToGrid w:val="0"/>
        <w:spacing w:line="520" w:lineRule="exact"/>
        <w:ind w:firstLine="570"/>
        <w:rPr>
          <w:rFonts w:hint="eastAsia" w:ascii="仿宋" w:hAnsi="仿宋" w:eastAsia="仿宋" w:cs="仿宋"/>
          <w:color w:val="auto"/>
          <w:sz w:val="24"/>
          <w:szCs w:val="28"/>
          <w:highlight w:val="none"/>
          <w:lang w:eastAsia="zh-CN"/>
        </w:rPr>
      </w:pPr>
      <w:r>
        <w:rPr>
          <w:rFonts w:hint="eastAsia" w:ascii="仿宋" w:hAnsi="仿宋" w:eastAsia="仿宋" w:cs="仿宋"/>
          <w:color w:val="auto"/>
          <w:highlight w:val="none"/>
        </w:rPr>
        <w:br w:type="page"/>
      </w:r>
      <w:r>
        <w:rPr>
          <w:rFonts w:hint="eastAsia" w:ascii="仿宋" w:hAnsi="仿宋" w:eastAsia="仿宋" w:cs="仿宋"/>
          <w:color w:val="auto"/>
          <w:sz w:val="24"/>
          <w:szCs w:val="24"/>
          <w:highlight w:val="none"/>
        </w:rPr>
        <w:t>（二）其它</w:t>
      </w:r>
      <w:bookmarkEnd w:id="195"/>
      <w:bookmarkStart w:id="196" w:name="_Toc313008359"/>
      <w:bookmarkStart w:id="197" w:name="_Toc342913422"/>
      <w:bookmarkStart w:id="198" w:name="_Toc313888363"/>
      <w:r>
        <w:rPr>
          <w:rFonts w:hint="eastAsia" w:ascii="仿宋" w:hAnsi="仿宋" w:eastAsia="仿宋" w:cs="仿宋"/>
          <w:color w:val="auto"/>
          <w:sz w:val="24"/>
          <w:szCs w:val="24"/>
          <w:highlight w:val="none"/>
          <w:lang w:val="en-US" w:eastAsia="zh-CN"/>
        </w:rPr>
        <w:t>商务资料</w:t>
      </w:r>
      <w:r>
        <w:rPr>
          <w:rFonts w:hint="eastAsia" w:ascii="仿宋" w:hAnsi="仿宋" w:eastAsia="仿宋" w:cs="仿宋"/>
          <w:color w:val="auto"/>
          <w:sz w:val="24"/>
          <w:szCs w:val="28"/>
          <w:highlight w:val="none"/>
          <w:lang w:eastAsia="zh-CN"/>
        </w:rPr>
        <w:t>（</w:t>
      </w:r>
      <w:r>
        <w:rPr>
          <w:rFonts w:hint="eastAsia" w:ascii="仿宋" w:hAnsi="仿宋" w:eastAsia="仿宋" w:cs="仿宋"/>
          <w:color w:val="auto"/>
          <w:sz w:val="24"/>
          <w:szCs w:val="28"/>
          <w:highlight w:val="none"/>
          <w:lang w:val="en-US" w:eastAsia="zh-CN"/>
        </w:rPr>
        <w:t>自附</w:t>
      </w:r>
      <w:r>
        <w:rPr>
          <w:rFonts w:hint="eastAsia" w:ascii="仿宋" w:hAnsi="仿宋" w:eastAsia="仿宋" w:cs="仿宋"/>
          <w:color w:val="auto"/>
          <w:sz w:val="24"/>
          <w:szCs w:val="28"/>
          <w:highlight w:val="none"/>
          <w:lang w:eastAsia="zh-CN"/>
        </w:rPr>
        <w:t>）</w:t>
      </w:r>
    </w:p>
    <w:p w14:paraId="4B56BF06">
      <w:pPr>
        <w:snapToGrid w:val="0"/>
        <w:spacing w:line="360" w:lineRule="auto"/>
        <w:ind w:firstLine="480" w:firstLineChars="200"/>
        <w:rPr>
          <w:rFonts w:hint="eastAsia" w:ascii="仿宋" w:hAnsi="仿宋" w:eastAsia="仿宋" w:cs="仿宋"/>
          <w:color w:val="auto"/>
          <w:sz w:val="24"/>
          <w:highlight w:val="none"/>
        </w:rPr>
      </w:pPr>
    </w:p>
    <w:p w14:paraId="02A4EAAD">
      <w:pPr>
        <w:tabs>
          <w:tab w:val="left" w:pos="6300"/>
        </w:tabs>
        <w:snapToGrid w:val="0"/>
        <w:spacing w:line="360" w:lineRule="auto"/>
        <w:ind w:firstLine="570"/>
        <w:jc w:val="left"/>
        <w:rPr>
          <w:rFonts w:hint="eastAsia" w:ascii="仿宋" w:hAnsi="仿宋" w:eastAsia="仿宋" w:cs="仿宋"/>
          <w:color w:val="auto"/>
          <w:sz w:val="24"/>
          <w:highlight w:val="none"/>
        </w:rPr>
      </w:pPr>
    </w:p>
    <w:p w14:paraId="46A66F50">
      <w:pPr>
        <w:tabs>
          <w:tab w:val="left" w:pos="6300"/>
        </w:tabs>
        <w:snapToGrid w:val="0"/>
        <w:spacing w:line="360" w:lineRule="auto"/>
        <w:jc w:val="left"/>
        <w:rPr>
          <w:rFonts w:hint="eastAsia" w:ascii="仿宋" w:hAnsi="仿宋" w:eastAsia="仿宋" w:cs="仿宋"/>
          <w:color w:val="auto"/>
          <w:sz w:val="24"/>
          <w:highlight w:val="none"/>
        </w:rPr>
      </w:pPr>
    </w:p>
    <w:p w14:paraId="2AD7B607">
      <w:pPr>
        <w:tabs>
          <w:tab w:val="left" w:pos="6300"/>
        </w:tabs>
        <w:snapToGrid w:val="0"/>
        <w:spacing w:line="360" w:lineRule="auto"/>
        <w:ind w:firstLine="570"/>
        <w:jc w:val="left"/>
        <w:rPr>
          <w:rFonts w:hint="eastAsia" w:ascii="仿宋" w:hAnsi="仿宋" w:eastAsia="仿宋" w:cs="仿宋"/>
          <w:color w:val="auto"/>
          <w:sz w:val="24"/>
          <w:highlight w:val="none"/>
        </w:rPr>
      </w:pPr>
    </w:p>
    <w:p w14:paraId="4F82DF3F">
      <w:pPr>
        <w:tabs>
          <w:tab w:val="left" w:pos="6300"/>
        </w:tabs>
        <w:snapToGrid w:val="0"/>
        <w:spacing w:line="360" w:lineRule="auto"/>
        <w:ind w:firstLine="570"/>
        <w:jc w:val="left"/>
        <w:rPr>
          <w:rFonts w:hint="eastAsia" w:ascii="仿宋" w:hAnsi="仿宋" w:eastAsia="仿宋" w:cs="仿宋"/>
          <w:color w:val="auto"/>
          <w:sz w:val="24"/>
          <w:highlight w:val="none"/>
        </w:rPr>
      </w:pPr>
    </w:p>
    <w:p w14:paraId="14461DA4">
      <w:pPr>
        <w:tabs>
          <w:tab w:val="left" w:pos="6300"/>
        </w:tabs>
        <w:snapToGrid w:val="0"/>
        <w:spacing w:line="360" w:lineRule="auto"/>
        <w:ind w:firstLine="570"/>
        <w:jc w:val="left"/>
        <w:rPr>
          <w:rFonts w:hint="eastAsia" w:ascii="仿宋" w:hAnsi="仿宋" w:eastAsia="仿宋" w:cs="仿宋"/>
          <w:color w:val="auto"/>
          <w:sz w:val="24"/>
          <w:highlight w:val="none"/>
        </w:rPr>
      </w:pPr>
    </w:p>
    <w:p w14:paraId="7F9FC3AD">
      <w:pPr>
        <w:tabs>
          <w:tab w:val="left" w:pos="6300"/>
        </w:tabs>
        <w:snapToGrid w:val="0"/>
        <w:spacing w:line="360" w:lineRule="auto"/>
        <w:ind w:firstLine="570"/>
        <w:jc w:val="left"/>
        <w:rPr>
          <w:rFonts w:hint="eastAsia" w:ascii="仿宋" w:hAnsi="仿宋" w:eastAsia="仿宋" w:cs="仿宋"/>
          <w:color w:val="auto"/>
          <w:sz w:val="24"/>
          <w:highlight w:val="none"/>
        </w:rPr>
      </w:pPr>
    </w:p>
    <w:p w14:paraId="5F9E69C9">
      <w:pPr>
        <w:pStyle w:val="22"/>
        <w:spacing w:line="360" w:lineRule="auto"/>
        <w:rPr>
          <w:rFonts w:hint="eastAsia" w:ascii="仿宋" w:hAnsi="仿宋" w:eastAsia="仿宋" w:cs="仿宋"/>
          <w:color w:val="auto"/>
          <w:highlight w:val="none"/>
        </w:rPr>
      </w:pPr>
      <w:r>
        <w:rPr>
          <w:rFonts w:hint="eastAsia" w:ascii="仿宋" w:hAnsi="仿宋" w:eastAsia="仿宋" w:cs="仿宋"/>
          <w:color w:val="auto"/>
          <w:sz w:val="24"/>
          <w:szCs w:val="24"/>
          <w:highlight w:val="none"/>
        </w:rPr>
        <w:br w:type="page"/>
      </w:r>
    </w:p>
    <w:p w14:paraId="565B7FEB">
      <w:pPr>
        <w:spacing w:line="360" w:lineRule="auto"/>
        <w:rPr>
          <w:rFonts w:hint="eastAsia" w:ascii="仿宋" w:hAnsi="仿宋" w:eastAsia="仿宋" w:cs="仿宋"/>
          <w:color w:val="auto"/>
          <w:highlight w:val="none"/>
        </w:rPr>
      </w:pPr>
    </w:p>
    <w:p w14:paraId="60043363">
      <w:pPr>
        <w:pStyle w:val="3"/>
        <w:adjustRightInd w:val="0"/>
        <w:snapToGrid w:val="0"/>
        <w:spacing w:before="0" w:after="0" w:line="360" w:lineRule="auto"/>
        <w:ind w:firstLine="482" w:firstLineChars="200"/>
        <w:rPr>
          <w:rFonts w:hint="eastAsia" w:ascii="仿宋" w:hAnsi="仿宋" w:eastAsia="仿宋" w:cs="仿宋"/>
          <w:color w:val="auto"/>
          <w:sz w:val="24"/>
          <w:highlight w:val="none"/>
        </w:rPr>
      </w:pPr>
      <w:bookmarkStart w:id="199" w:name="_Toc18780"/>
      <w:r>
        <w:rPr>
          <w:rFonts w:hint="eastAsia" w:ascii="仿宋" w:hAnsi="仿宋" w:eastAsia="仿宋" w:cs="仿宋"/>
          <w:color w:val="auto"/>
          <w:sz w:val="24"/>
          <w:highlight w:val="none"/>
          <w:lang w:val="en-US" w:eastAsia="zh-CN"/>
        </w:rPr>
        <w:t>四</w:t>
      </w:r>
      <w:r>
        <w:rPr>
          <w:rFonts w:hint="eastAsia" w:ascii="仿宋" w:hAnsi="仿宋" w:eastAsia="仿宋" w:cs="仿宋"/>
          <w:color w:val="auto"/>
          <w:sz w:val="24"/>
          <w:highlight w:val="none"/>
        </w:rPr>
        <w:t>、资格条件</w:t>
      </w:r>
      <w:bookmarkEnd w:id="196"/>
      <w:bookmarkEnd w:id="197"/>
      <w:bookmarkEnd w:id="198"/>
      <w:bookmarkEnd w:id="199"/>
    </w:p>
    <w:p w14:paraId="15CB764E">
      <w:pPr>
        <w:tabs>
          <w:tab w:val="left" w:pos="6300"/>
        </w:tabs>
        <w:snapToGrid w:val="0"/>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（一）法人营业执照（副本）或事业单位法人证书（副本）或个体工商户营业执照或有效的自然人身份证明或社会团体法人登记证书复印件</w:t>
      </w:r>
    </w:p>
    <w:p w14:paraId="061EA291">
      <w:pPr>
        <w:tabs>
          <w:tab w:val="left" w:pos="6300"/>
        </w:tabs>
        <w:snapToGrid w:val="0"/>
        <w:spacing w:line="360" w:lineRule="auto"/>
        <w:ind w:firstLine="570"/>
        <w:rPr>
          <w:rFonts w:hint="eastAsia" w:ascii="仿宋" w:hAnsi="仿宋" w:eastAsia="仿宋" w:cs="仿宋"/>
          <w:color w:val="auto"/>
          <w:highlight w:val="none"/>
        </w:rPr>
      </w:pPr>
    </w:p>
    <w:p w14:paraId="050D0CBC">
      <w:pPr>
        <w:tabs>
          <w:tab w:val="left" w:pos="6300"/>
        </w:tabs>
        <w:snapToGrid w:val="0"/>
        <w:spacing w:line="360" w:lineRule="auto"/>
        <w:ind w:firstLine="570"/>
        <w:rPr>
          <w:rFonts w:hint="eastAsia" w:ascii="仿宋" w:hAnsi="仿宋" w:eastAsia="仿宋" w:cs="仿宋"/>
          <w:color w:val="auto"/>
          <w:highlight w:val="none"/>
        </w:rPr>
      </w:pPr>
    </w:p>
    <w:p w14:paraId="34785264">
      <w:pPr>
        <w:tabs>
          <w:tab w:val="left" w:pos="6300"/>
        </w:tabs>
        <w:snapToGrid w:val="0"/>
        <w:spacing w:line="360" w:lineRule="auto"/>
        <w:ind w:firstLine="570"/>
        <w:rPr>
          <w:rFonts w:hint="eastAsia" w:ascii="仿宋" w:hAnsi="仿宋" w:eastAsia="仿宋" w:cs="仿宋"/>
          <w:color w:val="auto"/>
          <w:highlight w:val="none"/>
        </w:rPr>
      </w:pPr>
    </w:p>
    <w:p w14:paraId="12715180">
      <w:pPr>
        <w:tabs>
          <w:tab w:val="left" w:pos="6300"/>
        </w:tabs>
        <w:snapToGrid w:val="0"/>
        <w:spacing w:line="360" w:lineRule="auto"/>
        <w:ind w:firstLine="570"/>
        <w:rPr>
          <w:rFonts w:hint="eastAsia" w:ascii="仿宋" w:hAnsi="仿宋" w:eastAsia="仿宋" w:cs="仿宋"/>
          <w:color w:val="auto"/>
          <w:highlight w:val="none"/>
        </w:rPr>
      </w:pPr>
    </w:p>
    <w:p w14:paraId="5C8FE028">
      <w:pPr>
        <w:tabs>
          <w:tab w:val="left" w:pos="6300"/>
        </w:tabs>
        <w:snapToGrid w:val="0"/>
        <w:spacing w:line="360" w:lineRule="auto"/>
        <w:ind w:firstLine="570"/>
        <w:rPr>
          <w:rFonts w:hint="eastAsia" w:ascii="仿宋" w:hAnsi="仿宋" w:eastAsia="仿宋" w:cs="仿宋"/>
          <w:color w:val="auto"/>
          <w:highlight w:val="none"/>
        </w:rPr>
      </w:pPr>
    </w:p>
    <w:p w14:paraId="5C065803">
      <w:pPr>
        <w:snapToGrid w:val="0"/>
        <w:spacing w:line="360" w:lineRule="auto"/>
        <w:ind w:firstLine="560" w:firstLineChars="200"/>
        <w:rPr>
          <w:rFonts w:hint="eastAsia" w:ascii="仿宋" w:hAnsi="仿宋" w:eastAsia="仿宋" w:cs="仿宋"/>
          <w:color w:val="auto"/>
          <w:sz w:val="24"/>
          <w:szCs w:val="24"/>
          <w:highlight w:val="none"/>
        </w:rPr>
      </w:pPr>
      <w:r>
        <w:rPr>
          <w:rFonts w:hint="eastAsia" w:ascii="仿宋" w:hAnsi="仿宋" w:eastAsia="仿宋" w:cs="仿宋"/>
          <w:color w:val="auto"/>
          <w:highlight w:val="none"/>
        </w:rPr>
        <w:br w:type="page"/>
      </w:r>
      <w:r>
        <w:rPr>
          <w:rFonts w:hint="eastAsia" w:ascii="仿宋" w:hAnsi="仿宋" w:eastAsia="仿宋" w:cs="仿宋"/>
          <w:color w:val="auto"/>
          <w:sz w:val="24"/>
          <w:szCs w:val="24"/>
          <w:highlight w:val="none"/>
        </w:rPr>
        <w:t>（二）法定代表人身份证明书（格式）</w:t>
      </w:r>
    </w:p>
    <w:p w14:paraId="3B167094">
      <w:pPr>
        <w:tabs>
          <w:tab w:val="left" w:pos="6300"/>
        </w:tabs>
        <w:snapToGrid w:val="0"/>
        <w:spacing w:line="360" w:lineRule="auto"/>
        <w:ind w:firstLine="570"/>
        <w:rPr>
          <w:rFonts w:hint="eastAsia" w:ascii="仿宋" w:hAnsi="仿宋" w:eastAsia="仿宋" w:cs="仿宋"/>
          <w:color w:val="auto"/>
          <w:sz w:val="24"/>
          <w:highlight w:val="none"/>
        </w:rPr>
      </w:pPr>
    </w:p>
    <w:p w14:paraId="0F3056A2">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磋商项目名称：</w:t>
      </w:r>
      <w:r>
        <w:rPr>
          <w:rFonts w:hint="eastAsia" w:ascii="仿宋" w:hAnsi="仿宋" w:eastAsia="仿宋" w:cs="仿宋"/>
          <w:color w:val="auto"/>
          <w:sz w:val="24"/>
          <w:highlight w:val="none"/>
          <w:u w:val="single"/>
        </w:rPr>
        <w:t xml:space="preserve">                                                </w:t>
      </w:r>
    </w:p>
    <w:p w14:paraId="2673CCFC">
      <w:pPr>
        <w:tabs>
          <w:tab w:val="left" w:pos="6300"/>
        </w:tabs>
        <w:snapToGrid w:val="0"/>
        <w:spacing w:line="360" w:lineRule="auto"/>
        <w:ind w:firstLine="570"/>
        <w:rPr>
          <w:rFonts w:hint="eastAsia" w:ascii="仿宋" w:hAnsi="仿宋" w:eastAsia="仿宋" w:cs="仿宋"/>
          <w:color w:val="auto"/>
          <w:sz w:val="24"/>
          <w:highlight w:val="none"/>
        </w:rPr>
      </w:pPr>
    </w:p>
    <w:p w14:paraId="7BB84580">
      <w:pPr>
        <w:tabs>
          <w:tab w:val="left" w:pos="6300"/>
        </w:tabs>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14:paraId="6535D32A">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（法定代表人姓名）在</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（供应商名称）任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（职务名称）职务，是（供应商名称）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的法定代表人。</w:t>
      </w:r>
    </w:p>
    <w:p w14:paraId="4D9ECEE9">
      <w:pPr>
        <w:tabs>
          <w:tab w:val="left" w:pos="6300"/>
        </w:tabs>
        <w:snapToGrid w:val="0"/>
        <w:spacing w:line="360" w:lineRule="auto"/>
        <w:ind w:firstLine="570"/>
        <w:rPr>
          <w:rFonts w:hint="eastAsia" w:ascii="仿宋" w:hAnsi="仿宋" w:eastAsia="仿宋" w:cs="仿宋"/>
          <w:color w:val="auto"/>
          <w:sz w:val="24"/>
          <w:highlight w:val="none"/>
        </w:rPr>
      </w:pPr>
    </w:p>
    <w:p w14:paraId="0325778C">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B4D5715">
      <w:pPr>
        <w:tabs>
          <w:tab w:val="left" w:pos="6300"/>
        </w:tabs>
        <w:snapToGrid w:val="0"/>
        <w:spacing w:line="360" w:lineRule="auto"/>
        <w:ind w:firstLine="570"/>
        <w:rPr>
          <w:rFonts w:hint="eastAsia" w:ascii="仿宋" w:hAnsi="仿宋" w:eastAsia="仿宋" w:cs="仿宋"/>
          <w:color w:val="auto"/>
          <w:sz w:val="24"/>
          <w:highlight w:val="none"/>
        </w:rPr>
      </w:pPr>
    </w:p>
    <w:p w14:paraId="762FB6EF">
      <w:pPr>
        <w:tabs>
          <w:tab w:val="left" w:pos="6300"/>
        </w:tabs>
        <w:snapToGrid w:val="0"/>
        <w:spacing w:line="360" w:lineRule="auto"/>
        <w:ind w:firstLine="570"/>
        <w:rPr>
          <w:rFonts w:hint="eastAsia" w:ascii="仿宋" w:hAnsi="仿宋" w:eastAsia="仿宋" w:cs="仿宋"/>
          <w:color w:val="auto"/>
          <w:sz w:val="24"/>
          <w:highlight w:val="none"/>
        </w:rPr>
      </w:pPr>
    </w:p>
    <w:p w14:paraId="4CA6B823">
      <w:pPr>
        <w:tabs>
          <w:tab w:val="left" w:pos="6300"/>
        </w:tabs>
        <w:snapToGrid w:val="0"/>
        <w:spacing w:line="360" w:lineRule="auto"/>
        <w:ind w:firstLine="570"/>
        <w:rPr>
          <w:rFonts w:hint="eastAsia" w:ascii="仿宋" w:hAnsi="仿宋" w:eastAsia="仿宋" w:cs="仿宋"/>
          <w:color w:val="auto"/>
          <w:sz w:val="24"/>
          <w:highlight w:val="none"/>
        </w:rPr>
      </w:pPr>
    </w:p>
    <w:p w14:paraId="43FD37D4">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（供应商公章）</w:t>
      </w:r>
    </w:p>
    <w:p w14:paraId="053C8C98">
      <w:pPr>
        <w:tabs>
          <w:tab w:val="left" w:pos="6300"/>
        </w:tabs>
        <w:snapToGrid w:val="0"/>
        <w:spacing w:line="360" w:lineRule="auto"/>
        <w:ind w:firstLine="570"/>
        <w:rPr>
          <w:rFonts w:hint="eastAsia" w:ascii="仿宋" w:hAnsi="仿宋" w:eastAsia="仿宋" w:cs="仿宋"/>
          <w:color w:val="auto"/>
          <w:sz w:val="24"/>
          <w:highlight w:val="none"/>
        </w:rPr>
      </w:pPr>
    </w:p>
    <w:p w14:paraId="42068B7C">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2A5615ED">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法定代表人电话：XXXXXXX      电子邮箱：XXXXXX@XXXXX（若授权他人办理并签署响应文件的可不填写）</w:t>
      </w:r>
    </w:p>
    <w:p w14:paraId="5CA4E5FE">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（附：法定代表人身份证正反面复印件）</w:t>
      </w:r>
    </w:p>
    <w:p w14:paraId="2633954F">
      <w:pPr>
        <w:tabs>
          <w:tab w:val="left" w:pos="6300"/>
        </w:tabs>
        <w:snapToGrid w:val="0"/>
        <w:spacing w:line="360" w:lineRule="auto"/>
        <w:ind w:firstLine="570"/>
        <w:rPr>
          <w:rFonts w:hint="eastAsia" w:ascii="仿宋" w:hAnsi="仿宋" w:eastAsia="仿宋" w:cs="仿宋"/>
          <w:color w:val="auto"/>
          <w:sz w:val="24"/>
          <w:highlight w:val="none"/>
        </w:rPr>
      </w:pPr>
    </w:p>
    <w:p w14:paraId="6DAFE3B9">
      <w:pPr>
        <w:tabs>
          <w:tab w:val="left" w:pos="6300"/>
        </w:tabs>
        <w:snapToGrid w:val="0"/>
        <w:spacing w:line="360" w:lineRule="auto"/>
        <w:ind w:firstLine="570"/>
        <w:rPr>
          <w:rFonts w:hint="eastAsia" w:ascii="仿宋" w:hAnsi="仿宋" w:eastAsia="仿宋" w:cs="仿宋"/>
          <w:color w:val="auto"/>
          <w:sz w:val="24"/>
          <w:highlight w:val="none"/>
        </w:rPr>
      </w:pPr>
    </w:p>
    <w:p w14:paraId="54E81E8C">
      <w:pPr>
        <w:tabs>
          <w:tab w:val="left" w:pos="6300"/>
        </w:tabs>
        <w:snapToGrid w:val="0"/>
        <w:spacing w:line="360" w:lineRule="auto"/>
        <w:ind w:firstLine="570"/>
        <w:rPr>
          <w:rFonts w:hint="eastAsia" w:ascii="仿宋" w:hAnsi="仿宋" w:eastAsia="仿宋" w:cs="仿宋"/>
          <w:color w:val="auto"/>
          <w:sz w:val="24"/>
          <w:highlight w:val="none"/>
        </w:rPr>
      </w:pPr>
    </w:p>
    <w:p w14:paraId="4474DE45">
      <w:pPr>
        <w:tabs>
          <w:tab w:val="left" w:pos="6300"/>
        </w:tabs>
        <w:snapToGrid w:val="0"/>
        <w:spacing w:line="360" w:lineRule="auto"/>
        <w:ind w:firstLine="570"/>
        <w:rPr>
          <w:rFonts w:hint="eastAsia" w:ascii="仿宋" w:hAnsi="仿宋" w:eastAsia="仿宋" w:cs="仿宋"/>
          <w:color w:val="auto"/>
          <w:sz w:val="24"/>
          <w:highlight w:val="none"/>
        </w:rPr>
      </w:pPr>
    </w:p>
    <w:p w14:paraId="24CB18DF">
      <w:pPr>
        <w:tabs>
          <w:tab w:val="left" w:pos="6300"/>
        </w:tabs>
        <w:snapToGrid w:val="0"/>
        <w:spacing w:line="360" w:lineRule="auto"/>
        <w:ind w:firstLine="570"/>
        <w:rPr>
          <w:rFonts w:hint="eastAsia" w:ascii="仿宋" w:hAnsi="仿宋" w:eastAsia="仿宋" w:cs="仿宋"/>
          <w:color w:val="auto"/>
          <w:sz w:val="24"/>
          <w:highlight w:val="none"/>
        </w:rPr>
      </w:pPr>
    </w:p>
    <w:p w14:paraId="621D8008">
      <w:pPr>
        <w:tabs>
          <w:tab w:val="left" w:pos="6300"/>
        </w:tabs>
        <w:snapToGrid w:val="0"/>
        <w:spacing w:line="360" w:lineRule="auto"/>
        <w:ind w:firstLine="570"/>
        <w:rPr>
          <w:rFonts w:hint="eastAsia" w:ascii="仿宋" w:hAnsi="仿宋" w:eastAsia="仿宋" w:cs="仿宋"/>
          <w:color w:val="auto"/>
          <w:sz w:val="24"/>
          <w:highlight w:val="none"/>
        </w:rPr>
      </w:pPr>
    </w:p>
    <w:p w14:paraId="703F30F1">
      <w:pPr>
        <w:snapToGrid w:val="0"/>
        <w:spacing w:line="360" w:lineRule="auto"/>
        <w:ind w:firstLine="560" w:firstLineChars="200"/>
        <w:rPr>
          <w:rFonts w:hint="eastAsia" w:ascii="仿宋" w:hAnsi="仿宋" w:eastAsia="仿宋" w:cs="仿宋"/>
          <w:color w:val="auto"/>
          <w:sz w:val="24"/>
          <w:szCs w:val="24"/>
          <w:highlight w:val="none"/>
        </w:rPr>
      </w:pPr>
      <w:r>
        <w:rPr>
          <w:rFonts w:hint="eastAsia" w:ascii="仿宋" w:hAnsi="仿宋" w:eastAsia="仿宋" w:cs="仿宋"/>
          <w:color w:val="auto"/>
          <w:highlight w:val="none"/>
        </w:rPr>
        <w:br w:type="column"/>
      </w:r>
      <w:r>
        <w:rPr>
          <w:rFonts w:hint="eastAsia" w:ascii="仿宋" w:hAnsi="仿宋" w:eastAsia="仿宋" w:cs="仿宋"/>
          <w:color w:val="auto"/>
          <w:sz w:val="24"/>
          <w:szCs w:val="24"/>
          <w:highlight w:val="none"/>
        </w:rPr>
        <w:t>（三）法定代表人授权委托书（格式）</w:t>
      </w:r>
    </w:p>
    <w:p w14:paraId="7CCAFB1E">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7FA4555F">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8"/>
          <w:highlight w:val="none"/>
        </w:rPr>
        <w:t>磋商项目名称</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p>
    <w:p w14:paraId="4FB77727">
      <w:pPr>
        <w:tabs>
          <w:tab w:val="left" w:pos="6300"/>
        </w:tabs>
        <w:snapToGrid w:val="0"/>
        <w:spacing w:line="360" w:lineRule="auto"/>
        <w:ind w:firstLine="570"/>
        <w:rPr>
          <w:rFonts w:hint="eastAsia" w:ascii="仿宋" w:hAnsi="仿宋" w:eastAsia="仿宋" w:cs="仿宋"/>
          <w:color w:val="auto"/>
          <w:sz w:val="24"/>
          <w:highlight w:val="none"/>
        </w:rPr>
      </w:pPr>
    </w:p>
    <w:p w14:paraId="2DB5E727">
      <w:pPr>
        <w:tabs>
          <w:tab w:val="left" w:pos="6300"/>
        </w:tabs>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14:paraId="38DA612D">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（供应商法定代表人名称）是</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（供应商名称）的法定代表人，特授权</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（被授权人姓名及身份证代码）代表我单位全权办理上述项目的磋商、签约等具体工作，并签署全部有关文件、协议及合同。</w:t>
      </w:r>
    </w:p>
    <w:p w14:paraId="2811CC2E">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我单位对被授权人的</w:t>
      </w:r>
      <w:r>
        <w:rPr>
          <w:rFonts w:hint="eastAsia" w:ascii="仿宋" w:hAnsi="仿宋" w:eastAsia="仿宋" w:cs="仿宋"/>
          <w:color w:val="auto"/>
          <w:sz w:val="24"/>
          <w:szCs w:val="28"/>
          <w:highlight w:val="none"/>
        </w:rPr>
        <w:t>签署</w:t>
      </w:r>
      <w:r>
        <w:rPr>
          <w:rFonts w:hint="eastAsia" w:ascii="仿宋" w:hAnsi="仿宋" w:eastAsia="仿宋" w:cs="仿宋"/>
          <w:color w:val="auto"/>
          <w:sz w:val="24"/>
          <w:highlight w:val="none"/>
        </w:rPr>
        <w:t>负全部责任。</w:t>
      </w:r>
    </w:p>
    <w:p w14:paraId="43886452">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在撤销授权的书面通知以前，本授权书一直有效。被授权人在授权书有效期内签署的所有文件不因授权的撤销而失效。</w:t>
      </w:r>
    </w:p>
    <w:p w14:paraId="3DD10F60">
      <w:pPr>
        <w:tabs>
          <w:tab w:val="left" w:pos="6300"/>
        </w:tabs>
        <w:snapToGrid w:val="0"/>
        <w:spacing w:line="360" w:lineRule="auto"/>
        <w:ind w:firstLine="570"/>
        <w:rPr>
          <w:rFonts w:hint="eastAsia" w:ascii="仿宋" w:hAnsi="仿宋" w:eastAsia="仿宋" w:cs="仿宋"/>
          <w:color w:val="auto"/>
          <w:sz w:val="24"/>
          <w:highlight w:val="none"/>
        </w:rPr>
      </w:pPr>
    </w:p>
    <w:p w14:paraId="5B20E9BB">
      <w:pPr>
        <w:tabs>
          <w:tab w:val="left" w:pos="6300"/>
        </w:tabs>
        <w:snapToGrid w:val="0"/>
        <w:spacing w:line="360" w:lineRule="auto"/>
        <w:ind w:firstLine="570"/>
        <w:rPr>
          <w:rFonts w:hint="eastAsia" w:ascii="仿宋" w:hAnsi="仿宋" w:eastAsia="仿宋" w:cs="仿宋"/>
          <w:color w:val="auto"/>
          <w:sz w:val="24"/>
          <w:highlight w:val="none"/>
        </w:rPr>
      </w:pPr>
    </w:p>
    <w:p w14:paraId="0DA074F5">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                                 供应商法定代表人：</w:t>
      </w:r>
    </w:p>
    <w:p w14:paraId="590358E2">
      <w:pPr>
        <w:tabs>
          <w:tab w:val="left" w:pos="6300"/>
        </w:tabs>
        <w:snapToGrid w:val="0"/>
        <w:spacing w:line="360" w:lineRule="auto"/>
        <w:ind w:firstLine="570"/>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（签署或盖章）                                （签署或盖章）</w:t>
      </w:r>
    </w:p>
    <w:p w14:paraId="70345C90">
      <w:pPr>
        <w:tabs>
          <w:tab w:val="left" w:pos="6300"/>
        </w:tabs>
        <w:snapToGrid w:val="0"/>
        <w:spacing w:line="360" w:lineRule="auto"/>
        <w:ind w:firstLine="570"/>
        <w:rPr>
          <w:rFonts w:hint="eastAsia" w:ascii="仿宋" w:hAnsi="仿宋" w:eastAsia="仿宋" w:cs="仿宋"/>
          <w:color w:val="auto"/>
          <w:sz w:val="24"/>
          <w:szCs w:val="28"/>
          <w:highlight w:val="none"/>
        </w:rPr>
      </w:pPr>
    </w:p>
    <w:p w14:paraId="6DBE4DAF">
      <w:pPr>
        <w:tabs>
          <w:tab w:val="left" w:pos="6300"/>
        </w:tabs>
        <w:snapToGrid w:val="0"/>
        <w:spacing w:line="360" w:lineRule="auto"/>
        <w:ind w:firstLine="570"/>
        <w:rPr>
          <w:rFonts w:hint="eastAsia" w:ascii="仿宋" w:hAnsi="仿宋" w:eastAsia="仿宋" w:cs="仿宋"/>
          <w:color w:val="auto"/>
          <w:sz w:val="24"/>
          <w:highlight w:val="none"/>
        </w:rPr>
      </w:pPr>
    </w:p>
    <w:p w14:paraId="71F0DE62">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（附：被授权人身份证正反面复印件）</w:t>
      </w:r>
    </w:p>
    <w:p w14:paraId="101576F9">
      <w:pPr>
        <w:tabs>
          <w:tab w:val="left" w:pos="6300"/>
        </w:tabs>
        <w:snapToGrid w:val="0"/>
        <w:spacing w:line="360" w:lineRule="auto"/>
        <w:ind w:firstLine="57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2DEC57A">
      <w:pPr>
        <w:tabs>
          <w:tab w:val="left" w:pos="6300"/>
        </w:tabs>
        <w:snapToGrid w:val="0"/>
        <w:spacing w:line="360" w:lineRule="auto"/>
        <w:ind w:firstLine="570"/>
        <w:rPr>
          <w:rFonts w:hint="eastAsia" w:ascii="仿宋" w:hAnsi="仿宋" w:eastAsia="仿宋" w:cs="仿宋"/>
          <w:color w:val="auto"/>
          <w:sz w:val="24"/>
          <w:highlight w:val="none"/>
        </w:rPr>
      </w:pPr>
    </w:p>
    <w:p w14:paraId="5748204A">
      <w:pPr>
        <w:tabs>
          <w:tab w:val="left" w:pos="6300"/>
        </w:tabs>
        <w:snapToGrid w:val="0"/>
        <w:spacing w:line="360" w:lineRule="auto"/>
        <w:ind w:firstLine="570"/>
        <w:rPr>
          <w:rFonts w:hint="eastAsia" w:ascii="仿宋" w:hAnsi="仿宋" w:eastAsia="仿宋" w:cs="仿宋"/>
          <w:color w:val="auto"/>
          <w:sz w:val="24"/>
          <w:highlight w:val="none"/>
        </w:rPr>
      </w:pPr>
    </w:p>
    <w:p w14:paraId="47373E30">
      <w:pPr>
        <w:tabs>
          <w:tab w:val="left" w:pos="6300"/>
        </w:tabs>
        <w:snapToGrid w:val="0"/>
        <w:spacing w:line="360" w:lineRule="auto"/>
        <w:ind w:right="480" w:firstLine="57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（供应商公章）</w:t>
      </w:r>
    </w:p>
    <w:p w14:paraId="7A90D68B">
      <w:pPr>
        <w:tabs>
          <w:tab w:val="left" w:pos="6300"/>
        </w:tabs>
        <w:snapToGrid w:val="0"/>
        <w:spacing w:line="360" w:lineRule="auto"/>
        <w:ind w:right="480" w:firstLine="57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60118A4">
      <w:pPr>
        <w:tabs>
          <w:tab w:val="left" w:pos="6300"/>
        </w:tabs>
        <w:snapToGrid w:val="0"/>
        <w:spacing w:line="360" w:lineRule="auto"/>
        <w:ind w:right="480" w:firstLine="57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被授权人电话：XXXXXXX     电子邮箱：XXXXXX@XXXXX（若法定代表人办理并签署响应文件的可不填写）</w:t>
      </w:r>
    </w:p>
    <w:p w14:paraId="0EB1572B">
      <w:pPr>
        <w:tabs>
          <w:tab w:val="left" w:pos="6300"/>
        </w:tabs>
        <w:snapToGrid w:val="0"/>
        <w:spacing w:line="360" w:lineRule="auto"/>
        <w:ind w:right="480" w:firstLine="57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注：若为法定代表人办理并签署响应文件的，不提供此文件。</w:t>
      </w:r>
    </w:p>
    <w:p w14:paraId="6F029DDC">
      <w:pPr>
        <w:tabs>
          <w:tab w:val="left" w:pos="6300"/>
        </w:tabs>
        <w:snapToGrid w:val="0"/>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highlight w:val="none"/>
        </w:rPr>
        <w:br w:type="column"/>
      </w:r>
      <w:r>
        <w:rPr>
          <w:rFonts w:hint="eastAsia" w:ascii="仿宋" w:hAnsi="仿宋" w:eastAsia="仿宋" w:cs="仿宋"/>
          <w:color w:val="auto"/>
          <w:sz w:val="24"/>
          <w:szCs w:val="24"/>
          <w:highlight w:val="none"/>
        </w:rPr>
        <w:t>（四）</w:t>
      </w:r>
      <w:r>
        <w:rPr>
          <w:rFonts w:hint="eastAsia" w:ascii="仿宋" w:hAnsi="仿宋" w:eastAsia="仿宋" w:cs="仿宋"/>
          <w:color w:val="auto"/>
          <w:sz w:val="24"/>
          <w:szCs w:val="28"/>
          <w:highlight w:val="none"/>
        </w:rPr>
        <w:t>基本资格条件承诺函</w:t>
      </w:r>
    </w:p>
    <w:p w14:paraId="05D353FC">
      <w:pPr>
        <w:tabs>
          <w:tab w:val="left" w:pos="6300"/>
        </w:tabs>
        <w:snapToGrid w:val="0"/>
        <w:spacing w:line="360" w:lineRule="auto"/>
        <w:ind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基本资格条件承诺函</w:t>
      </w:r>
    </w:p>
    <w:p w14:paraId="4845D430">
      <w:pPr>
        <w:tabs>
          <w:tab w:val="left" w:pos="6300"/>
        </w:tabs>
        <w:snapToGrid w:val="0"/>
        <w:spacing w:line="360" w:lineRule="auto"/>
        <w:rPr>
          <w:rFonts w:hint="eastAsia" w:ascii="仿宋" w:hAnsi="仿宋" w:eastAsia="仿宋" w:cs="仿宋"/>
          <w:color w:val="auto"/>
          <w:sz w:val="24"/>
          <w:highlight w:val="none"/>
        </w:rPr>
      </w:pPr>
    </w:p>
    <w:p w14:paraId="4265A4A4">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14:paraId="5907A3B1">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（供应商名称）郑重承诺：</w:t>
      </w:r>
    </w:p>
    <w:p w14:paraId="0B6DE854">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1.我方具有良好的商业信誉和健全的财务会计制度，具有履行合同所必需的设备和专业技术能力，具</w:t>
      </w:r>
      <w:r>
        <w:rPr>
          <w:rFonts w:hint="eastAsia" w:ascii="仿宋" w:hAnsi="仿宋" w:eastAsia="仿宋" w:cs="仿宋"/>
          <w:color w:val="auto"/>
          <w:sz w:val="24"/>
          <w:highlight w:val="none"/>
          <w:lang w:val="zh-CN"/>
        </w:rPr>
        <w:t>有依法缴纳税收和社会保障金的良好记录</w:t>
      </w:r>
      <w:r>
        <w:rPr>
          <w:rFonts w:hint="eastAsia" w:ascii="仿宋" w:hAnsi="仿宋" w:eastAsia="仿宋" w:cs="仿宋"/>
          <w:color w:val="auto"/>
          <w:sz w:val="24"/>
          <w:highlight w:val="none"/>
        </w:rPr>
        <w:t>，参加本项目采购活动前三年内无重大违法活动记录。</w:t>
      </w:r>
    </w:p>
    <w:p w14:paraId="66A50E5A">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2.我方未列入在信用中国网站（www.creditchina.gov.cn）“失信被执行人”、“重大税收违法案件当事人名单”中，也未列入中国政府采购网（www.ccgp.gov.cn）“政府采购严重违法失信行为记录名单”中。</w:t>
      </w:r>
    </w:p>
    <w:p w14:paraId="72D19DC3">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3.我方在采购项目评审（评标）环节结束后，随时接受采购人、采购代理机构的检查验证，配合提供相关证明材料，证明符合《中华人民共和国政府采购法》规定的供应商基本资格条件。</w:t>
      </w:r>
    </w:p>
    <w:p w14:paraId="1114E6F3">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我方对以上承诺负全部法律责任。</w:t>
      </w:r>
    </w:p>
    <w:p w14:paraId="2B68D6ED">
      <w:pPr>
        <w:tabs>
          <w:tab w:val="left" w:pos="63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3FEADFEE">
      <w:pPr>
        <w:tabs>
          <w:tab w:val="left" w:pos="6300"/>
        </w:tabs>
        <w:snapToGrid w:val="0"/>
        <w:spacing w:line="360" w:lineRule="auto"/>
        <w:ind w:firstLine="480" w:firstLineChars="200"/>
        <w:rPr>
          <w:rFonts w:hint="eastAsia" w:ascii="仿宋" w:hAnsi="仿宋" w:eastAsia="仿宋" w:cs="仿宋"/>
          <w:color w:val="auto"/>
          <w:sz w:val="24"/>
          <w:highlight w:val="none"/>
        </w:rPr>
      </w:pPr>
    </w:p>
    <w:p w14:paraId="60E9EFD0">
      <w:pPr>
        <w:tabs>
          <w:tab w:val="left" w:pos="6300"/>
        </w:tabs>
        <w:snapToGrid w:val="0"/>
        <w:spacing w:line="360" w:lineRule="auto"/>
        <w:ind w:firstLine="480" w:firstLineChars="2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（供应商公章）</w:t>
      </w:r>
    </w:p>
    <w:p w14:paraId="756A6DD9">
      <w:pPr>
        <w:tabs>
          <w:tab w:val="left" w:pos="6300"/>
        </w:tabs>
        <w:snapToGrid w:val="0"/>
        <w:spacing w:line="360" w:lineRule="auto"/>
        <w:ind w:firstLine="7920" w:firstLineChars="33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年   月   日</w:t>
      </w:r>
    </w:p>
    <w:p w14:paraId="7DB38892">
      <w:pPr>
        <w:tabs>
          <w:tab w:val="left" w:pos="6300"/>
        </w:tabs>
        <w:snapToGrid w:val="0"/>
        <w:spacing w:line="360" w:lineRule="auto"/>
        <w:ind w:firstLine="570"/>
        <w:rPr>
          <w:rFonts w:hint="eastAsia" w:ascii="仿宋" w:hAnsi="仿宋" w:eastAsia="仿宋" w:cs="仿宋"/>
          <w:color w:val="auto"/>
          <w:sz w:val="24"/>
          <w:szCs w:val="24"/>
          <w:highlight w:val="none"/>
        </w:rPr>
      </w:pPr>
    </w:p>
    <w:p w14:paraId="3C57E14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450759C9">
      <w:pPr>
        <w:spacing w:line="360" w:lineRule="auto"/>
        <w:ind w:firstLine="562" w:firstLineChars="200"/>
        <w:rPr>
          <w:rFonts w:hint="eastAsia" w:ascii="仿宋" w:hAnsi="仿宋" w:eastAsia="仿宋" w:cs="仿宋"/>
          <w:b/>
          <w:color w:val="auto"/>
          <w:szCs w:val="28"/>
          <w:highlight w:val="none"/>
        </w:rPr>
      </w:pPr>
      <w:bookmarkStart w:id="200" w:name="_Toc12910"/>
      <w:bookmarkStart w:id="201" w:name="_Toc7633"/>
      <w:bookmarkStart w:id="202" w:name="_Toc20121"/>
      <w:r>
        <w:rPr>
          <w:rFonts w:hint="eastAsia" w:ascii="仿宋" w:hAnsi="仿宋" w:eastAsia="仿宋" w:cs="仿宋"/>
          <w:b/>
          <w:color w:val="auto"/>
          <w:szCs w:val="28"/>
          <w:highlight w:val="none"/>
        </w:rPr>
        <w:t>五、</w:t>
      </w:r>
      <w:bookmarkEnd w:id="200"/>
      <w:bookmarkEnd w:id="201"/>
      <w:bookmarkEnd w:id="202"/>
      <w:r>
        <w:rPr>
          <w:rFonts w:hint="eastAsia" w:ascii="仿宋" w:hAnsi="仿宋" w:eastAsia="仿宋" w:cs="仿宋"/>
          <w:b/>
          <w:color w:val="auto"/>
          <w:szCs w:val="28"/>
          <w:highlight w:val="none"/>
        </w:rPr>
        <w:t>其他与项目有关的资料</w:t>
      </w:r>
    </w:p>
    <w:p w14:paraId="7B0216E3">
      <w:pPr>
        <w:tabs>
          <w:tab w:val="left" w:pos="6300"/>
        </w:tabs>
        <w:snapToGrid w:val="0"/>
        <w:spacing w:line="520" w:lineRule="exact"/>
        <w:rPr>
          <w:rFonts w:hint="eastAsia" w:ascii="仿宋" w:hAnsi="仿宋" w:eastAsia="仿宋" w:cs="仿宋"/>
          <w:color w:val="auto"/>
          <w:sz w:val="24"/>
          <w:szCs w:val="28"/>
          <w:highlight w:val="none"/>
          <w:lang w:eastAsia="zh-CN"/>
        </w:rPr>
      </w:pPr>
      <w:r>
        <w:rPr>
          <w:rFonts w:hint="eastAsia" w:ascii="仿宋" w:hAnsi="仿宋" w:eastAsia="仿宋" w:cs="仿宋"/>
          <w:color w:val="auto"/>
          <w:sz w:val="24"/>
          <w:szCs w:val="28"/>
          <w:highlight w:val="none"/>
        </w:rPr>
        <w:t>（一）其他资料</w:t>
      </w:r>
      <w:r>
        <w:rPr>
          <w:rFonts w:hint="eastAsia" w:ascii="仿宋" w:hAnsi="仿宋" w:eastAsia="仿宋" w:cs="仿宋"/>
          <w:color w:val="auto"/>
          <w:sz w:val="24"/>
          <w:szCs w:val="28"/>
          <w:highlight w:val="none"/>
          <w:lang w:eastAsia="zh-CN"/>
        </w:rPr>
        <w:t>（</w:t>
      </w:r>
      <w:r>
        <w:rPr>
          <w:rFonts w:hint="eastAsia" w:ascii="仿宋" w:hAnsi="仿宋" w:eastAsia="仿宋" w:cs="仿宋"/>
          <w:color w:val="auto"/>
          <w:sz w:val="24"/>
          <w:szCs w:val="28"/>
          <w:highlight w:val="none"/>
          <w:lang w:val="en-US" w:eastAsia="zh-CN"/>
        </w:rPr>
        <w:t>自附</w:t>
      </w:r>
      <w:r>
        <w:rPr>
          <w:rFonts w:hint="eastAsia" w:ascii="仿宋" w:hAnsi="仿宋" w:eastAsia="仿宋" w:cs="仿宋"/>
          <w:color w:val="auto"/>
          <w:sz w:val="24"/>
          <w:szCs w:val="28"/>
          <w:highlight w:val="none"/>
          <w:lang w:eastAsia="zh-CN"/>
        </w:rPr>
        <w:t>）</w:t>
      </w:r>
    </w:p>
    <w:p w14:paraId="3F6C2E3F">
      <w:pPr>
        <w:pStyle w:val="70"/>
        <w:rPr>
          <w:rFonts w:hint="eastAsia"/>
          <w:color w:val="auto"/>
          <w:highlight w:val="none"/>
        </w:rPr>
      </w:pPr>
    </w:p>
    <w:p w14:paraId="75F4E267">
      <w:pPr>
        <w:pStyle w:val="70"/>
        <w:rPr>
          <w:rFonts w:hint="eastAsia"/>
          <w:color w:val="auto"/>
          <w:highlight w:val="none"/>
        </w:rPr>
      </w:pPr>
    </w:p>
    <w:p w14:paraId="090861C5">
      <w:pPr>
        <w:pStyle w:val="70"/>
        <w:rPr>
          <w:rFonts w:hint="eastAsia"/>
          <w:color w:val="auto"/>
          <w:highlight w:val="none"/>
        </w:rPr>
      </w:pPr>
    </w:p>
    <w:p w14:paraId="587E2923">
      <w:pPr>
        <w:pStyle w:val="70"/>
        <w:rPr>
          <w:rFonts w:hint="eastAsia"/>
          <w:color w:val="auto"/>
          <w:highlight w:val="none"/>
        </w:rPr>
      </w:pPr>
    </w:p>
    <w:p w14:paraId="5355A44C">
      <w:pPr>
        <w:pStyle w:val="70"/>
        <w:rPr>
          <w:rFonts w:hint="eastAsia"/>
          <w:color w:val="auto"/>
          <w:highlight w:val="none"/>
        </w:rPr>
      </w:pPr>
    </w:p>
    <w:p w14:paraId="797C5440">
      <w:pPr>
        <w:pStyle w:val="70"/>
        <w:rPr>
          <w:rFonts w:hint="eastAsia"/>
          <w:color w:val="auto"/>
          <w:highlight w:val="none"/>
        </w:rPr>
      </w:pPr>
    </w:p>
    <w:p w14:paraId="7F6492D7">
      <w:pPr>
        <w:pStyle w:val="70"/>
        <w:rPr>
          <w:rFonts w:hint="eastAsia"/>
          <w:color w:val="auto"/>
          <w:highlight w:val="none"/>
        </w:rPr>
      </w:pPr>
    </w:p>
    <w:p w14:paraId="11ADFEBC">
      <w:pPr>
        <w:pStyle w:val="70"/>
        <w:rPr>
          <w:rFonts w:hint="eastAsia"/>
          <w:color w:val="auto"/>
          <w:highlight w:val="none"/>
        </w:rPr>
      </w:pPr>
    </w:p>
    <w:p w14:paraId="4C58EEFE">
      <w:pPr>
        <w:pStyle w:val="70"/>
        <w:rPr>
          <w:rFonts w:hint="eastAsia"/>
          <w:color w:val="auto"/>
          <w:highlight w:val="none"/>
        </w:rPr>
      </w:pPr>
    </w:p>
    <w:p w14:paraId="6A82B8F3">
      <w:pPr>
        <w:pStyle w:val="70"/>
        <w:rPr>
          <w:rFonts w:hint="eastAsia"/>
          <w:color w:val="auto"/>
          <w:highlight w:val="none"/>
        </w:rPr>
      </w:pPr>
    </w:p>
    <w:p w14:paraId="18A05A1E">
      <w:pPr>
        <w:pStyle w:val="70"/>
        <w:rPr>
          <w:rFonts w:hint="eastAsia"/>
          <w:color w:val="auto"/>
          <w:highlight w:val="none"/>
        </w:rPr>
      </w:pPr>
    </w:p>
    <w:p w14:paraId="6046A3C9">
      <w:pPr>
        <w:pStyle w:val="70"/>
        <w:rPr>
          <w:rFonts w:hint="eastAsia"/>
          <w:color w:val="auto"/>
          <w:highlight w:val="none"/>
        </w:rPr>
      </w:pPr>
    </w:p>
    <w:p w14:paraId="1D595D7E">
      <w:pPr>
        <w:pStyle w:val="70"/>
        <w:rPr>
          <w:rFonts w:hint="eastAsia"/>
          <w:color w:val="auto"/>
          <w:highlight w:val="none"/>
        </w:rPr>
      </w:pPr>
    </w:p>
    <w:p w14:paraId="0DEF3A7A">
      <w:pPr>
        <w:pStyle w:val="70"/>
        <w:rPr>
          <w:rFonts w:hint="eastAsia"/>
          <w:color w:val="auto"/>
          <w:highlight w:val="none"/>
        </w:rPr>
      </w:pPr>
    </w:p>
    <w:p w14:paraId="4450D381">
      <w:pPr>
        <w:pStyle w:val="70"/>
        <w:rPr>
          <w:rFonts w:hint="eastAsia"/>
          <w:color w:val="auto"/>
          <w:highlight w:val="none"/>
        </w:rPr>
      </w:pPr>
    </w:p>
    <w:p w14:paraId="6E619B43">
      <w:pPr>
        <w:pStyle w:val="70"/>
        <w:rPr>
          <w:rFonts w:hint="eastAsia"/>
          <w:color w:val="auto"/>
          <w:highlight w:val="none"/>
        </w:rPr>
      </w:pPr>
    </w:p>
    <w:p w14:paraId="65B1A0F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（结束）</w:t>
      </w:r>
    </w:p>
    <w:p w14:paraId="06E76052">
      <w:pPr>
        <w:spacing w:line="360" w:lineRule="auto"/>
        <w:jc w:val="both"/>
        <w:rPr>
          <w:rFonts w:hint="eastAsia" w:ascii="仿宋" w:hAnsi="仿宋" w:eastAsia="仿宋" w:cs="仿宋"/>
          <w:color w:val="auto"/>
          <w:sz w:val="24"/>
          <w:szCs w:val="24"/>
          <w:highlight w:val="none"/>
          <w:lang w:val="en-US" w:eastAsia="zh-CN"/>
        </w:rPr>
      </w:pPr>
    </w:p>
    <w:sectPr>
      <w:headerReference r:id="rId11"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UI"/>
    <w:panose1 w:val="02020500000000000000"/>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E7AE9503-1431-4FD0-9701-803287EA585D}"/>
  </w:font>
  <w:font w:name="微软雅黑">
    <w:panose1 w:val="020B0503020204020204"/>
    <w:charset w:val="86"/>
    <w:family w:val="swiss"/>
    <w:pitch w:val="default"/>
    <w:sig w:usb0="80000287" w:usb1="2ACF3C50" w:usb2="00000016" w:usb3="00000000" w:csb0="0004001F" w:csb1="00000000"/>
  </w:font>
  <w:font w:name="_x000B__x000C_">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font-weight : 400">
    <w:altName w:val="微软雅黑"/>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文鼎粗黑">
    <w:altName w:val="黑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0C1A3">
    <w:pPr>
      <w:pStyle w:val="37"/>
      <w:framePr w:wrap="around" w:vAnchor="text" w:hAnchor="margin" w:xAlign="center" w:y="1"/>
      <w:rPr>
        <w:rStyle w:val="64"/>
      </w:rPr>
    </w:pPr>
    <w:r>
      <w:fldChar w:fldCharType="begin"/>
    </w:r>
    <w:r>
      <w:rPr>
        <w:rStyle w:val="64"/>
      </w:rPr>
      <w:instrText xml:space="preserve">PAGE  </w:instrText>
    </w:r>
    <w:r>
      <w:fldChar w:fldCharType="separate"/>
    </w:r>
    <w:r>
      <w:fldChar w:fldCharType="end"/>
    </w:r>
  </w:p>
  <w:p w14:paraId="629C716E">
    <w:pPr>
      <w:pStyle w:val="3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2757A">
    <w:pPr>
      <w:pStyle w:val="37"/>
      <w:jc w:val="center"/>
      <w:rPr>
        <w:rFonts w:hint="eastAsia" w:ascii="宋体" w:hAnsi="宋体"/>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A3C70">
    <w:pPr>
      <w:pStyle w:val="37"/>
      <w:rPr>
        <w:rFonts w:hint="eastAsia"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46CF10">
                          <w:pPr>
                            <w:pStyle w:val="37"/>
                          </w:pPr>
                          <w:r>
                            <w:fldChar w:fldCharType="begin"/>
                          </w:r>
                          <w:r>
                            <w:instrText xml:space="preserve"> PAGE  \* MERGEFORMAT </w:instrText>
                          </w:r>
                          <w:r>
                            <w:fldChar w:fldCharType="separate"/>
                          </w:r>
                          <w:r>
                            <w:t>- 17 -</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8bSus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Z&#10;5ekD1Jh1HzAvDe/8gEsz+wGdmfWgos1f5EMwjuKer+LKIRGRH61X63WFIYGx+YL47OF5iJDeS29J&#10;NhoacXpFVH76CGlMnVNyNefvtDFlgsb940DM7GG597HHbKVhP0yE9r49I58eB99Qh3tOifngUNe8&#10;I7MRZ2M/G8cQ9aErS5TrQbg9Jmyi9JYrjLBTYZxYYTdtV16Jx/eS9fBHb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fG0rrIAQAAmQMAAA4AAAAAAAAAAQAgAAAAHgEAAGRycy9lMm9Eb2Mu&#10;eG1sUEsFBgAAAAAGAAYAWQEAAFgFAAAAAA==&#10;">
              <v:fill on="f" focussize="0,0"/>
              <v:stroke on="f"/>
              <v:imagedata o:title=""/>
              <o:lock v:ext="edit" aspectratio="f"/>
              <v:textbox inset="0mm,0mm,0mm,0mm" style="mso-fit-shape-to-text:t;">
                <w:txbxContent>
                  <w:p w14:paraId="3446CF10">
                    <w:pPr>
                      <w:pStyle w:val="37"/>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E1C1C">
    <w:pPr>
      <w:pStyle w:val="37"/>
      <w:framePr w:wrap="around" w:vAnchor="text" w:hAnchor="margin" w:xAlign="center" w:y="1"/>
      <w:rPr>
        <w:rStyle w:val="64"/>
      </w:rPr>
    </w:pPr>
    <w:r>
      <w:fldChar w:fldCharType="begin"/>
    </w:r>
    <w:r>
      <w:rPr>
        <w:rStyle w:val="64"/>
      </w:rPr>
      <w:instrText xml:space="preserve">PAGE  </w:instrText>
    </w:r>
    <w:r>
      <w:fldChar w:fldCharType="separate"/>
    </w:r>
    <w:r>
      <w:fldChar w:fldCharType="end"/>
    </w:r>
  </w:p>
  <w:p w14:paraId="0A3627A1">
    <w:pPr>
      <w:pStyle w:val="3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E8BC8">
    <w:pPr>
      <w:pStyle w:val="37"/>
      <w:rPr>
        <w:rFonts w:hint="eastAsia"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B47B96">
                          <w:pPr>
                            <w:pStyle w:val="37"/>
                          </w:pPr>
                          <w:r>
                            <w:fldChar w:fldCharType="begin"/>
                          </w:r>
                          <w:r>
                            <w:instrText xml:space="preserve"> PAGE  \* MERGEFORMAT </w:instrText>
                          </w:r>
                          <w:r>
                            <w:fldChar w:fldCharType="separate"/>
                          </w:r>
                          <w:r>
                            <w:t>- 40 -</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rDu8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DieMWB37++eP86/H88J0s&#10;sz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FKsO7yQEAAJkDAAAOAAAAAAAAAAEAIAAAAB4BAABkcnMvZTJvRG9j&#10;LnhtbFBLBQYAAAAABgAGAFkBAABZBQAAAAA=&#10;">
              <v:fill on="f" focussize="0,0"/>
              <v:stroke on="f"/>
              <v:imagedata o:title=""/>
              <o:lock v:ext="edit" aspectratio="f"/>
              <v:textbox inset="0mm,0mm,0mm,0mm" style="mso-fit-shape-to-text:t;">
                <w:txbxContent>
                  <w:p w14:paraId="7CB47B96">
                    <w:pPr>
                      <w:pStyle w:val="37"/>
                    </w:pPr>
                    <w:r>
                      <w:fldChar w:fldCharType="begin"/>
                    </w:r>
                    <w:r>
                      <w:instrText xml:space="preserve"> PAGE  \* MERGEFORMAT </w:instrText>
                    </w:r>
                    <w:r>
                      <w:fldChar w:fldCharType="separate"/>
                    </w:r>
                    <w:r>
                      <w:t>- 40 -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437CC">
    <w:pPr>
      <w:pStyle w:val="39"/>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0714B">
    <w:pPr>
      <w:pStyle w:val="3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B6A72">
    <w:pPr>
      <w:pStyle w:val="39"/>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ECABD">
    <w:pPr>
      <w:pStyle w:val="39"/>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80"/>
      <w:suff w:val="nothing"/>
      <w:lvlText w:val="附　录　%1"/>
      <w:lvlJc w:val="left"/>
      <w:pPr>
        <w:ind w:left="0" w:firstLine="0"/>
      </w:pPr>
      <w:rPr>
        <w:rFonts w:hint="eastAsia" w:ascii="黑体" w:hAnsi="Times New Roman" w:eastAsia="黑体"/>
        <w:b w:val="0"/>
        <w:i w:val="0"/>
        <w:sz w:val="21"/>
      </w:rPr>
    </w:lvl>
    <w:lvl w:ilvl="1" w:tentative="0">
      <w:start w:val="1"/>
      <w:numFmt w:val="decimal"/>
      <w:pStyle w:val="120"/>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85"/>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8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19"/>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pStyle w:val="147"/>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63"/>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17"/>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30"/>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167"/>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130"/>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8D8ADE8"/>
    <w:multiLevelType w:val="singleLevel"/>
    <w:tmpl w:val="68D8ADE8"/>
    <w:lvl w:ilvl="0" w:tentative="0">
      <w:start w:val="2"/>
      <w:numFmt w:val="chineseCounting"/>
      <w:suff w:val="nothing"/>
      <w:lvlText w:val="（%1）"/>
      <w:lvlJc w:val="left"/>
      <w:rPr>
        <w:rFonts w:hint="eastAsia"/>
      </w:rPr>
    </w:lvl>
  </w:abstractNum>
  <w:num w:numId="1">
    <w:abstractNumId w:val="8"/>
  </w:num>
  <w:num w:numId="2">
    <w:abstractNumId w:val="5"/>
  </w:num>
  <w:num w:numId="3">
    <w:abstractNumId w:val="3"/>
  </w:num>
  <w:num w:numId="4">
    <w:abstractNumId w:val="9"/>
  </w:num>
  <w:num w:numId="5">
    <w:abstractNumId w:val="0"/>
  </w:num>
  <w:num w:numId="6">
    <w:abstractNumId w:val="11"/>
  </w:num>
  <w:num w:numId="7">
    <w:abstractNumId w:val="6"/>
  </w:num>
  <w:num w:numId="8">
    <w:abstractNumId w:val="10"/>
  </w:num>
  <w:num w:numId="9">
    <w:abstractNumId w:val="2"/>
  </w:num>
  <w:num w:numId="10">
    <w:abstractNumId w:val="1"/>
  </w:num>
  <w:num w:numId="11">
    <w:abstractNumId w:val="7"/>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zM2EyOGZkMmMyY2ExNWQ0ZmQxMTQ5NTMyZTFhYmIifQ=="/>
  </w:docVars>
  <w:rsids>
    <w:rsidRoot w:val="00172A27"/>
    <w:rsid w:val="00000E56"/>
    <w:rsid w:val="000014C5"/>
    <w:rsid w:val="00002AE4"/>
    <w:rsid w:val="00003626"/>
    <w:rsid w:val="000040DE"/>
    <w:rsid w:val="000070F0"/>
    <w:rsid w:val="000075E8"/>
    <w:rsid w:val="00011B4B"/>
    <w:rsid w:val="00016B79"/>
    <w:rsid w:val="00017816"/>
    <w:rsid w:val="00032ACA"/>
    <w:rsid w:val="0003632F"/>
    <w:rsid w:val="0004195C"/>
    <w:rsid w:val="00043835"/>
    <w:rsid w:val="0004739C"/>
    <w:rsid w:val="00051E02"/>
    <w:rsid w:val="000523C9"/>
    <w:rsid w:val="0005298B"/>
    <w:rsid w:val="0005417C"/>
    <w:rsid w:val="000576E1"/>
    <w:rsid w:val="00061A7C"/>
    <w:rsid w:val="00063981"/>
    <w:rsid w:val="00074C38"/>
    <w:rsid w:val="000816AD"/>
    <w:rsid w:val="00090C5A"/>
    <w:rsid w:val="00091B1C"/>
    <w:rsid w:val="00091D22"/>
    <w:rsid w:val="000A164E"/>
    <w:rsid w:val="000A3057"/>
    <w:rsid w:val="000B1068"/>
    <w:rsid w:val="000B3002"/>
    <w:rsid w:val="000B42F4"/>
    <w:rsid w:val="000B6330"/>
    <w:rsid w:val="000B7377"/>
    <w:rsid w:val="000B78EC"/>
    <w:rsid w:val="000B7F54"/>
    <w:rsid w:val="000C08C1"/>
    <w:rsid w:val="000C1E0E"/>
    <w:rsid w:val="000C20E6"/>
    <w:rsid w:val="000C2C03"/>
    <w:rsid w:val="000C6D89"/>
    <w:rsid w:val="000D776F"/>
    <w:rsid w:val="000E01C9"/>
    <w:rsid w:val="000E0DD7"/>
    <w:rsid w:val="000E3259"/>
    <w:rsid w:val="000E4835"/>
    <w:rsid w:val="000E4EEC"/>
    <w:rsid w:val="000E561A"/>
    <w:rsid w:val="000E5AB0"/>
    <w:rsid w:val="000F64D7"/>
    <w:rsid w:val="000F7DBF"/>
    <w:rsid w:val="0010014A"/>
    <w:rsid w:val="00100639"/>
    <w:rsid w:val="0010088E"/>
    <w:rsid w:val="001028FD"/>
    <w:rsid w:val="00105638"/>
    <w:rsid w:val="0010716D"/>
    <w:rsid w:val="001140DC"/>
    <w:rsid w:val="00114CFE"/>
    <w:rsid w:val="00115337"/>
    <w:rsid w:val="001166B8"/>
    <w:rsid w:val="0011683E"/>
    <w:rsid w:val="00116856"/>
    <w:rsid w:val="00116C42"/>
    <w:rsid w:val="0011780F"/>
    <w:rsid w:val="00117B26"/>
    <w:rsid w:val="00120259"/>
    <w:rsid w:val="00120CC9"/>
    <w:rsid w:val="00122F9D"/>
    <w:rsid w:val="001264A8"/>
    <w:rsid w:val="001266BF"/>
    <w:rsid w:val="00133D16"/>
    <w:rsid w:val="00134037"/>
    <w:rsid w:val="001342AC"/>
    <w:rsid w:val="00135BAE"/>
    <w:rsid w:val="00145224"/>
    <w:rsid w:val="00146EC3"/>
    <w:rsid w:val="00147FB4"/>
    <w:rsid w:val="0015011C"/>
    <w:rsid w:val="0015033B"/>
    <w:rsid w:val="00150429"/>
    <w:rsid w:val="001523C5"/>
    <w:rsid w:val="00152B00"/>
    <w:rsid w:val="00152CAD"/>
    <w:rsid w:val="00153556"/>
    <w:rsid w:val="0016266C"/>
    <w:rsid w:val="00171E05"/>
    <w:rsid w:val="00180ACB"/>
    <w:rsid w:val="00181A6C"/>
    <w:rsid w:val="00183B60"/>
    <w:rsid w:val="00186623"/>
    <w:rsid w:val="001879FD"/>
    <w:rsid w:val="0019571D"/>
    <w:rsid w:val="001963A2"/>
    <w:rsid w:val="00196465"/>
    <w:rsid w:val="001A1B93"/>
    <w:rsid w:val="001A64A1"/>
    <w:rsid w:val="001A667A"/>
    <w:rsid w:val="001A6DCC"/>
    <w:rsid w:val="001A773E"/>
    <w:rsid w:val="001A7A69"/>
    <w:rsid w:val="001B0396"/>
    <w:rsid w:val="001B1400"/>
    <w:rsid w:val="001B3DBD"/>
    <w:rsid w:val="001B4377"/>
    <w:rsid w:val="001B4AEF"/>
    <w:rsid w:val="001C3C39"/>
    <w:rsid w:val="001D0DF7"/>
    <w:rsid w:val="001D1038"/>
    <w:rsid w:val="001D2321"/>
    <w:rsid w:val="001D2DCD"/>
    <w:rsid w:val="001D5055"/>
    <w:rsid w:val="001D630C"/>
    <w:rsid w:val="001E1A2F"/>
    <w:rsid w:val="001E201B"/>
    <w:rsid w:val="001E5CAC"/>
    <w:rsid w:val="001E64A9"/>
    <w:rsid w:val="001E6841"/>
    <w:rsid w:val="001E725F"/>
    <w:rsid w:val="001F1AF7"/>
    <w:rsid w:val="001F4964"/>
    <w:rsid w:val="001F4A96"/>
    <w:rsid w:val="001F7063"/>
    <w:rsid w:val="00202B04"/>
    <w:rsid w:val="00203052"/>
    <w:rsid w:val="00204936"/>
    <w:rsid w:val="00206AE4"/>
    <w:rsid w:val="00207CBF"/>
    <w:rsid w:val="002100EE"/>
    <w:rsid w:val="00210168"/>
    <w:rsid w:val="00210ED7"/>
    <w:rsid w:val="00212A06"/>
    <w:rsid w:val="00212C27"/>
    <w:rsid w:val="00214342"/>
    <w:rsid w:val="00214E7A"/>
    <w:rsid w:val="00215DEE"/>
    <w:rsid w:val="0021618E"/>
    <w:rsid w:val="002163AC"/>
    <w:rsid w:val="0021704D"/>
    <w:rsid w:val="002216C7"/>
    <w:rsid w:val="00222097"/>
    <w:rsid w:val="002227DB"/>
    <w:rsid w:val="00227202"/>
    <w:rsid w:val="00227377"/>
    <w:rsid w:val="00227851"/>
    <w:rsid w:val="00233798"/>
    <w:rsid w:val="00234257"/>
    <w:rsid w:val="002348E0"/>
    <w:rsid w:val="00251052"/>
    <w:rsid w:val="00254E1A"/>
    <w:rsid w:val="00255D82"/>
    <w:rsid w:val="00256352"/>
    <w:rsid w:val="0025722E"/>
    <w:rsid w:val="00262555"/>
    <w:rsid w:val="002643C1"/>
    <w:rsid w:val="00265203"/>
    <w:rsid w:val="00266419"/>
    <w:rsid w:val="00270223"/>
    <w:rsid w:val="0027199E"/>
    <w:rsid w:val="00271D47"/>
    <w:rsid w:val="002721EA"/>
    <w:rsid w:val="00280E8A"/>
    <w:rsid w:val="00285164"/>
    <w:rsid w:val="002855B0"/>
    <w:rsid w:val="00286959"/>
    <w:rsid w:val="00295FA5"/>
    <w:rsid w:val="00297A6F"/>
    <w:rsid w:val="002A288B"/>
    <w:rsid w:val="002A4956"/>
    <w:rsid w:val="002A6710"/>
    <w:rsid w:val="002A7778"/>
    <w:rsid w:val="002A7B44"/>
    <w:rsid w:val="002B1181"/>
    <w:rsid w:val="002B1FDA"/>
    <w:rsid w:val="002B2B38"/>
    <w:rsid w:val="002B4270"/>
    <w:rsid w:val="002B578B"/>
    <w:rsid w:val="002B5ECC"/>
    <w:rsid w:val="002B7904"/>
    <w:rsid w:val="002C2507"/>
    <w:rsid w:val="002C2C19"/>
    <w:rsid w:val="002C2E6E"/>
    <w:rsid w:val="002C3A3D"/>
    <w:rsid w:val="002C7927"/>
    <w:rsid w:val="002D0A48"/>
    <w:rsid w:val="002D41FF"/>
    <w:rsid w:val="002D608F"/>
    <w:rsid w:val="002D7053"/>
    <w:rsid w:val="002D7208"/>
    <w:rsid w:val="002D7725"/>
    <w:rsid w:val="002E0CC2"/>
    <w:rsid w:val="002E3527"/>
    <w:rsid w:val="002E3824"/>
    <w:rsid w:val="002E78F7"/>
    <w:rsid w:val="002F0ED3"/>
    <w:rsid w:val="002F3278"/>
    <w:rsid w:val="002F3DE3"/>
    <w:rsid w:val="002F4E65"/>
    <w:rsid w:val="002F632E"/>
    <w:rsid w:val="003021BC"/>
    <w:rsid w:val="0030440F"/>
    <w:rsid w:val="00310AF9"/>
    <w:rsid w:val="00310DAA"/>
    <w:rsid w:val="0031465E"/>
    <w:rsid w:val="00315742"/>
    <w:rsid w:val="003163B3"/>
    <w:rsid w:val="003200C6"/>
    <w:rsid w:val="00322A7A"/>
    <w:rsid w:val="00326C5B"/>
    <w:rsid w:val="003336F0"/>
    <w:rsid w:val="0033663D"/>
    <w:rsid w:val="003366D9"/>
    <w:rsid w:val="00340777"/>
    <w:rsid w:val="00341D8A"/>
    <w:rsid w:val="00341DEB"/>
    <w:rsid w:val="003420CC"/>
    <w:rsid w:val="00346A3D"/>
    <w:rsid w:val="00350510"/>
    <w:rsid w:val="00350C20"/>
    <w:rsid w:val="00353A3B"/>
    <w:rsid w:val="003548FA"/>
    <w:rsid w:val="00355643"/>
    <w:rsid w:val="00355A74"/>
    <w:rsid w:val="0035764D"/>
    <w:rsid w:val="00361427"/>
    <w:rsid w:val="00363702"/>
    <w:rsid w:val="00364260"/>
    <w:rsid w:val="0036458B"/>
    <w:rsid w:val="0036698F"/>
    <w:rsid w:val="003703E8"/>
    <w:rsid w:val="00371D2F"/>
    <w:rsid w:val="00373122"/>
    <w:rsid w:val="0037612E"/>
    <w:rsid w:val="0038033A"/>
    <w:rsid w:val="003816ED"/>
    <w:rsid w:val="003840E9"/>
    <w:rsid w:val="00384161"/>
    <w:rsid w:val="00387610"/>
    <w:rsid w:val="00393C75"/>
    <w:rsid w:val="0039432A"/>
    <w:rsid w:val="003953EA"/>
    <w:rsid w:val="00395AFD"/>
    <w:rsid w:val="00395C2F"/>
    <w:rsid w:val="003973D3"/>
    <w:rsid w:val="00397F89"/>
    <w:rsid w:val="003A0495"/>
    <w:rsid w:val="003A0892"/>
    <w:rsid w:val="003A3162"/>
    <w:rsid w:val="003A422B"/>
    <w:rsid w:val="003A449E"/>
    <w:rsid w:val="003A71F3"/>
    <w:rsid w:val="003B19F5"/>
    <w:rsid w:val="003C157D"/>
    <w:rsid w:val="003D0E0A"/>
    <w:rsid w:val="003D3B22"/>
    <w:rsid w:val="003D57B4"/>
    <w:rsid w:val="003D7B3D"/>
    <w:rsid w:val="003E0348"/>
    <w:rsid w:val="003F3DB1"/>
    <w:rsid w:val="003F451E"/>
    <w:rsid w:val="003F4939"/>
    <w:rsid w:val="003F626F"/>
    <w:rsid w:val="003F6794"/>
    <w:rsid w:val="00402B32"/>
    <w:rsid w:val="0040519F"/>
    <w:rsid w:val="0040781E"/>
    <w:rsid w:val="00410C93"/>
    <w:rsid w:val="004115FB"/>
    <w:rsid w:val="00411B4A"/>
    <w:rsid w:val="004134DD"/>
    <w:rsid w:val="00417E99"/>
    <w:rsid w:val="00421507"/>
    <w:rsid w:val="00424D02"/>
    <w:rsid w:val="0042525A"/>
    <w:rsid w:val="00426CFA"/>
    <w:rsid w:val="0042733C"/>
    <w:rsid w:val="004305CF"/>
    <w:rsid w:val="0044185A"/>
    <w:rsid w:val="0044193A"/>
    <w:rsid w:val="0044760B"/>
    <w:rsid w:val="0045002D"/>
    <w:rsid w:val="00453B8F"/>
    <w:rsid w:val="004556B7"/>
    <w:rsid w:val="00460489"/>
    <w:rsid w:val="004608C7"/>
    <w:rsid w:val="00462878"/>
    <w:rsid w:val="00465B7A"/>
    <w:rsid w:val="00471121"/>
    <w:rsid w:val="00472AA2"/>
    <w:rsid w:val="00473B39"/>
    <w:rsid w:val="00474175"/>
    <w:rsid w:val="00481309"/>
    <w:rsid w:val="004928A2"/>
    <w:rsid w:val="00494610"/>
    <w:rsid w:val="004953EC"/>
    <w:rsid w:val="00497ADD"/>
    <w:rsid w:val="004A0D29"/>
    <w:rsid w:val="004A0DE1"/>
    <w:rsid w:val="004A2410"/>
    <w:rsid w:val="004A27AC"/>
    <w:rsid w:val="004A3995"/>
    <w:rsid w:val="004B3AB3"/>
    <w:rsid w:val="004C1DD0"/>
    <w:rsid w:val="004C2685"/>
    <w:rsid w:val="004C434B"/>
    <w:rsid w:val="004C64E4"/>
    <w:rsid w:val="004D2334"/>
    <w:rsid w:val="004D433D"/>
    <w:rsid w:val="004D4410"/>
    <w:rsid w:val="004E0544"/>
    <w:rsid w:val="004E156F"/>
    <w:rsid w:val="004E2F88"/>
    <w:rsid w:val="004E550E"/>
    <w:rsid w:val="004E55DB"/>
    <w:rsid w:val="004E67C6"/>
    <w:rsid w:val="004F5959"/>
    <w:rsid w:val="004F670C"/>
    <w:rsid w:val="00502B2F"/>
    <w:rsid w:val="00512D00"/>
    <w:rsid w:val="00512D44"/>
    <w:rsid w:val="00514179"/>
    <w:rsid w:val="00516243"/>
    <w:rsid w:val="005164D4"/>
    <w:rsid w:val="005406A0"/>
    <w:rsid w:val="00540E03"/>
    <w:rsid w:val="00541D5F"/>
    <w:rsid w:val="00544BEA"/>
    <w:rsid w:val="005460D5"/>
    <w:rsid w:val="0055157C"/>
    <w:rsid w:val="00553CF0"/>
    <w:rsid w:val="00557C75"/>
    <w:rsid w:val="00566A85"/>
    <w:rsid w:val="00570C78"/>
    <w:rsid w:val="00573AE3"/>
    <w:rsid w:val="00581EF9"/>
    <w:rsid w:val="00583690"/>
    <w:rsid w:val="005902D9"/>
    <w:rsid w:val="0059075F"/>
    <w:rsid w:val="00593F09"/>
    <w:rsid w:val="00596AB7"/>
    <w:rsid w:val="005A1B5C"/>
    <w:rsid w:val="005A1EA7"/>
    <w:rsid w:val="005A2E1B"/>
    <w:rsid w:val="005A678E"/>
    <w:rsid w:val="005A6A12"/>
    <w:rsid w:val="005A7FEE"/>
    <w:rsid w:val="005B0724"/>
    <w:rsid w:val="005B1E46"/>
    <w:rsid w:val="005B5AA4"/>
    <w:rsid w:val="005C3F4B"/>
    <w:rsid w:val="005C42AC"/>
    <w:rsid w:val="005C4F84"/>
    <w:rsid w:val="005D0029"/>
    <w:rsid w:val="005D2EC6"/>
    <w:rsid w:val="005D37D0"/>
    <w:rsid w:val="005D41E8"/>
    <w:rsid w:val="005D703E"/>
    <w:rsid w:val="005E2545"/>
    <w:rsid w:val="005E35E9"/>
    <w:rsid w:val="005E5525"/>
    <w:rsid w:val="005E61FF"/>
    <w:rsid w:val="005F38BB"/>
    <w:rsid w:val="005F7895"/>
    <w:rsid w:val="0060003E"/>
    <w:rsid w:val="00600847"/>
    <w:rsid w:val="00602BBE"/>
    <w:rsid w:val="0060315D"/>
    <w:rsid w:val="00613410"/>
    <w:rsid w:val="00617986"/>
    <w:rsid w:val="006256CA"/>
    <w:rsid w:val="00627729"/>
    <w:rsid w:val="00627F21"/>
    <w:rsid w:val="0063025A"/>
    <w:rsid w:val="0064583B"/>
    <w:rsid w:val="006468B8"/>
    <w:rsid w:val="00651127"/>
    <w:rsid w:val="0065190C"/>
    <w:rsid w:val="006542F1"/>
    <w:rsid w:val="00654A48"/>
    <w:rsid w:val="0065651B"/>
    <w:rsid w:val="00664607"/>
    <w:rsid w:val="0066755F"/>
    <w:rsid w:val="00670089"/>
    <w:rsid w:val="00670C89"/>
    <w:rsid w:val="00671233"/>
    <w:rsid w:val="006763DC"/>
    <w:rsid w:val="00680AE4"/>
    <w:rsid w:val="00682205"/>
    <w:rsid w:val="006822B0"/>
    <w:rsid w:val="00684E51"/>
    <w:rsid w:val="0068793C"/>
    <w:rsid w:val="006905A3"/>
    <w:rsid w:val="00691721"/>
    <w:rsid w:val="00694288"/>
    <w:rsid w:val="00694F91"/>
    <w:rsid w:val="00696091"/>
    <w:rsid w:val="006A100B"/>
    <w:rsid w:val="006A143A"/>
    <w:rsid w:val="006A3285"/>
    <w:rsid w:val="006A4C56"/>
    <w:rsid w:val="006B0567"/>
    <w:rsid w:val="006B4535"/>
    <w:rsid w:val="006B72DE"/>
    <w:rsid w:val="006B75CB"/>
    <w:rsid w:val="006C5FC1"/>
    <w:rsid w:val="006D3773"/>
    <w:rsid w:val="006D39C5"/>
    <w:rsid w:val="006D44E1"/>
    <w:rsid w:val="006D6350"/>
    <w:rsid w:val="006D6662"/>
    <w:rsid w:val="006E21FA"/>
    <w:rsid w:val="006E477D"/>
    <w:rsid w:val="006E5A13"/>
    <w:rsid w:val="006E6D5F"/>
    <w:rsid w:val="006F0FB7"/>
    <w:rsid w:val="006F5925"/>
    <w:rsid w:val="006F5E40"/>
    <w:rsid w:val="00704E5D"/>
    <w:rsid w:val="00705739"/>
    <w:rsid w:val="007073D6"/>
    <w:rsid w:val="00710AE5"/>
    <w:rsid w:val="007111A9"/>
    <w:rsid w:val="00712E83"/>
    <w:rsid w:val="00712FF5"/>
    <w:rsid w:val="0071464D"/>
    <w:rsid w:val="00714BF1"/>
    <w:rsid w:val="00715FB5"/>
    <w:rsid w:val="00716C50"/>
    <w:rsid w:val="007171A6"/>
    <w:rsid w:val="0071799D"/>
    <w:rsid w:val="007232C3"/>
    <w:rsid w:val="00726088"/>
    <w:rsid w:val="00730B6A"/>
    <w:rsid w:val="00731B91"/>
    <w:rsid w:val="00736D88"/>
    <w:rsid w:val="00736DD2"/>
    <w:rsid w:val="00736EE0"/>
    <w:rsid w:val="00740213"/>
    <w:rsid w:val="0074681C"/>
    <w:rsid w:val="00746EC2"/>
    <w:rsid w:val="007504DE"/>
    <w:rsid w:val="00757C0E"/>
    <w:rsid w:val="00762B70"/>
    <w:rsid w:val="007636FE"/>
    <w:rsid w:val="0077408E"/>
    <w:rsid w:val="007760AB"/>
    <w:rsid w:val="00780577"/>
    <w:rsid w:val="00781AD3"/>
    <w:rsid w:val="00781BFB"/>
    <w:rsid w:val="00784EF6"/>
    <w:rsid w:val="00786FA7"/>
    <w:rsid w:val="0079177C"/>
    <w:rsid w:val="00794382"/>
    <w:rsid w:val="007959AC"/>
    <w:rsid w:val="00796323"/>
    <w:rsid w:val="007A20E0"/>
    <w:rsid w:val="007A35D2"/>
    <w:rsid w:val="007B2204"/>
    <w:rsid w:val="007B250D"/>
    <w:rsid w:val="007B4B60"/>
    <w:rsid w:val="007B7278"/>
    <w:rsid w:val="007C1691"/>
    <w:rsid w:val="007C6B0F"/>
    <w:rsid w:val="007D0625"/>
    <w:rsid w:val="007D227B"/>
    <w:rsid w:val="007D7A44"/>
    <w:rsid w:val="007D7E65"/>
    <w:rsid w:val="007E06D1"/>
    <w:rsid w:val="007E19E0"/>
    <w:rsid w:val="007E517D"/>
    <w:rsid w:val="007F6769"/>
    <w:rsid w:val="008041D4"/>
    <w:rsid w:val="00806938"/>
    <w:rsid w:val="00807818"/>
    <w:rsid w:val="0081156A"/>
    <w:rsid w:val="00827398"/>
    <w:rsid w:val="008275B6"/>
    <w:rsid w:val="0083653E"/>
    <w:rsid w:val="008369DC"/>
    <w:rsid w:val="00842974"/>
    <w:rsid w:val="00842F87"/>
    <w:rsid w:val="00843A88"/>
    <w:rsid w:val="00843D2E"/>
    <w:rsid w:val="0085550A"/>
    <w:rsid w:val="00860B15"/>
    <w:rsid w:val="008616EF"/>
    <w:rsid w:val="00863C25"/>
    <w:rsid w:val="008641B7"/>
    <w:rsid w:val="00864D80"/>
    <w:rsid w:val="00864DC1"/>
    <w:rsid w:val="00870530"/>
    <w:rsid w:val="008705BC"/>
    <w:rsid w:val="00871999"/>
    <w:rsid w:val="00872E27"/>
    <w:rsid w:val="0087599D"/>
    <w:rsid w:val="00875A42"/>
    <w:rsid w:val="00880CB9"/>
    <w:rsid w:val="008904A8"/>
    <w:rsid w:val="00891D94"/>
    <w:rsid w:val="00895E3C"/>
    <w:rsid w:val="00896589"/>
    <w:rsid w:val="008A0CEE"/>
    <w:rsid w:val="008A19AF"/>
    <w:rsid w:val="008A20FB"/>
    <w:rsid w:val="008A4D88"/>
    <w:rsid w:val="008C160F"/>
    <w:rsid w:val="008C1B22"/>
    <w:rsid w:val="008C4C84"/>
    <w:rsid w:val="008C510F"/>
    <w:rsid w:val="008D067F"/>
    <w:rsid w:val="008D3283"/>
    <w:rsid w:val="008D6B61"/>
    <w:rsid w:val="008E437B"/>
    <w:rsid w:val="008E4D3F"/>
    <w:rsid w:val="008E66B8"/>
    <w:rsid w:val="008F09E5"/>
    <w:rsid w:val="008F0A2E"/>
    <w:rsid w:val="008F1988"/>
    <w:rsid w:val="008F2B05"/>
    <w:rsid w:val="008F5E76"/>
    <w:rsid w:val="008F6252"/>
    <w:rsid w:val="009023F3"/>
    <w:rsid w:val="0090383C"/>
    <w:rsid w:val="00905D85"/>
    <w:rsid w:val="00912132"/>
    <w:rsid w:val="00913CAA"/>
    <w:rsid w:val="0092250C"/>
    <w:rsid w:val="009226D2"/>
    <w:rsid w:val="00922FAD"/>
    <w:rsid w:val="00924F0A"/>
    <w:rsid w:val="00925082"/>
    <w:rsid w:val="00925726"/>
    <w:rsid w:val="009267A0"/>
    <w:rsid w:val="00926904"/>
    <w:rsid w:val="0092708B"/>
    <w:rsid w:val="0093049D"/>
    <w:rsid w:val="00937713"/>
    <w:rsid w:val="009409CD"/>
    <w:rsid w:val="00940E1D"/>
    <w:rsid w:val="0094759E"/>
    <w:rsid w:val="00952C13"/>
    <w:rsid w:val="0095455D"/>
    <w:rsid w:val="009566AF"/>
    <w:rsid w:val="00962BF1"/>
    <w:rsid w:val="00966820"/>
    <w:rsid w:val="00971E57"/>
    <w:rsid w:val="009723CF"/>
    <w:rsid w:val="00972F46"/>
    <w:rsid w:val="00973D3A"/>
    <w:rsid w:val="009741DC"/>
    <w:rsid w:val="0097652A"/>
    <w:rsid w:val="00980037"/>
    <w:rsid w:val="00983B43"/>
    <w:rsid w:val="00984742"/>
    <w:rsid w:val="0099161D"/>
    <w:rsid w:val="00991B37"/>
    <w:rsid w:val="009B6208"/>
    <w:rsid w:val="009B71FF"/>
    <w:rsid w:val="009C3034"/>
    <w:rsid w:val="009C4BFF"/>
    <w:rsid w:val="009C7522"/>
    <w:rsid w:val="009D0FDD"/>
    <w:rsid w:val="009D1E9A"/>
    <w:rsid w:val="009D3162"/>
    <w:rsid w:val="009D3181"/>
    <w:rsid w:val="009D7B9B"/>
    <w:rsid w:val="009E067B"/>
    <w:rsid w:val="009E162F"/>
    <w:rsid w:val="009E32D4"/>
    <w:rsid w:val="009E5E36"/>
    <w:rsid w:val="009E717E"/>
    <w:rsid w:val="009E737D"/>
    <w:rsid w:val="009F04C0"/>
    <w:rsid w:val="009F18EC"/>
    <w:rsid w:val="009F18FA"/>
    <w:rsid w:val="009F35D6"/>
    <w:rsid w:val="00A02768"/>
    <w:rsid w:val="00A03977"/>
    <w:rsid w:val="00A06013"/>
    <w:rsid w:val="00A104A7"/>
    <w:rsid w:val="00A12904"/>
    <w:rsid w:val="00A15FBF"/>
    <w:rsid w:val="00A1616D"/>
    <w:rsid w:val="00A1783B"/>
    <w:rsid w:val="00A26FF7"/>
    <w:rsid w:val="00A27159"/>
    <w:rsid w:val="00A37A20"/>
    <w:rsid w:val="00A445DC"/>
    <w:rsid w:val="00A44BEA"/>
    <w:rsid w:val="00A47C22"/>
    <w:rsid w:val="00A528A5"/>
    <w:rsid w:val="00A5340F"/>
    <w:rsid w:val="00A55B14"/>
    <w:rsid w:val="00A5689C"/>
    <w:rsid w:val="00A569E8"/>
    <w:rsid w:val="00A56E31"/>
    <w:rsid w:val="00A57FAF"/>
    <w:rsid w:val="00A601C4"/>
    <w:rsid w:val="00A61D6E"/>
    <w:rsid w:val="00A70193"/>
    <w:rsid w:val="00A711C6"/>
    <w:rsid w:val="00A72273"/>
    <w:rsid w:val="00A730F3"/>
    <w:rsid w:val="00A74B68"/>
    <w:rsid w:val="00A77EE1"/>
    <w:rsid w:val="00A84863"/>
    <w:rsid w:val="00A902C9"/>
    <w:rsid w:val="00A91750"/>
    <w:rsid w:val="00A95D95"/>
    <w:rsid w:val="00A977EC"/>
    <w:rsid w:val="00AA3561"/>
    <w:rsid w:val="00AA3FD1"/>
    <w:rsid w:val="00AA52DE"/>
    <w:rsid w:val="00AA53A3"/>
    <w:rsid w:val="00AB11B3"/>
    <w:rsid w:val="00AB1DAF"/>
    <w:rsid w:val="00AB40EF"/>
    <w:rsid w:val="00AB43D9"/>
    <w:rsid w:val="00AB5ED3"/>
    <w:rsid w:val="00AB6778"/>
    <w:rsid w:val="00AB6B0C"/>
    <w:rsid w:val="00AB70CD"/>
    <w:rsid w:val="00AB7800"/>
    <w:rsid w:val="00AB7F36"/>
    <w:rsid w:val="00AC1860"/>
    <w:rsid w:val="00AC4898"/>
    <w:rsid w:val="00AC48B3"/>
    <w:rsid w:val="00AC7893"/>
    <w:rsid w:val="00AC7AC9"/>
    <w:rsid w:val="00AE1920"/>
    <w:rsid w:val="00AE76F8"/>
    <w:rsid w:val="00AF01B3"/>
    <w:rsid w:val="00AF0F13"/>
    <w:rsid w:val="00AF2F26"/>
    <w:rsid w:val="00AF7992"/>
    <w:rsid w:val="00AF7CDD"/>
    <w:rsid w:val="00B00AB3"/>
    <w:rsid w:val="00B14C52"/>
    <w:rsid w:val="00B200AA"/>
    <w:rsid w:val="00B203A9"/>
    <w:rsid w:val="00B229A5"/>
    <w:rsid w:val="00B2488E"/>
    <w:rsid w:val="00B25EB3"/>
    <w:rsid w:val="00B42056"/>
    <w:rsid w:val="00B478C3"/>
    <w:rsid w:val="00B52715"/>
    <w:rsid w:val="00B610FA"/>
    <w:rsid w:val="00B61348"/>
    <w:rsid w:val="00B6263F"/>
    <w:rsid w:val="00B67114"/>
    <w:rsid w:val="00B678C7"/>
    <w:rsid w:val="00B70368"/>
    <w:rsid w:val="00B7097C"/>
    <w:rsid w:val="00B75449"/>
    <w:rsid w:val="00B81284"/>
    <w:rsid w:val="00B82273"/>
    <w:rsid w:val="00B83E75"/>
    <w:rsid w:val="00B86DA1"/>
    <w:rsid w:val="00B87401"/>
    <w:rsid w:val="00B93E30"/>
    <w:rsid w:val="00BA527C"/>
    <w:rsid w:val="00BA5B9C"/>
    <w:rsid w:val="00BA7D51"/>
    <w:rsid w:val="00BA7F31"/>
    <w:rsid w:val="00BB4AD5"/>
    <w:rsid w:val="00BB7494"/>
    <w:rsid w:val="00BB76A5"/>
    <w:rsid w:val="00BC089B"/>
    <w:rsid w:val="00BC0A5F"/>
    <w:rsid w:val="00BC183F"/>
    <w:rsid w:val="00BC1C37"/>
    <w:rsid w:val="00BC2390"/>
    <w:rsid w:val="00BC775D"/>
    <w:rsid w:val="00BD0051"/>
    <w:rsid w:val="00BD2939"/>
    <w:rsid w:val="00BD4A00"/>
    <w:rsid w:val="00BD5A75"/>
    <w:rsid w:val="00BD6BF7"/>
    <w:rsid w:val="00BD75F5"/>
    <w:rsid w:val="00BE07A9"/>
    <w:rsid w:val="00BE1700"/>
    <w:rsid w:val="00BE2E36"/>
    <w:rsid w:val="00BE3467"/>
    <w:rsid w:val="00BE4D8F"/>
    <w:rsid w:val="00BE675A"/>
    <w:rsid w:val="00BF0A3E"/>
    <w:rsid w:val="00BF26AC"/>
    <w:rsid w:val="00BF46A7"/>
    <w:rsid w:val="00BF5230"/>
    <w:rsid w:val="00BF6DA8"/>
    <w:rsid w:val="00C00289"/>
    <w:rsid w:val="00C1090C"/>
    <w:rsid w:val="00C16D91"/>
    <w:rsid w:val="00C201FC"/>
    <w:rsid w:val="00C20DB0"/>
    <w:rsid w:val="00C240C8"/>
    <w:rsid w:val="00C249AF"/>
    <w:rsid w:val="00C26513"/>
    <w:rsid w:val="00C30FF9"/>
    <w:rsid w:val="00C328C9"/>
    <w:rsid w:val="00C331FE"/>
    <w:rsid w:val="00C339ED"/>
    <w:rsid w:val="00C35BA8"/>
    <w:rsid w:val="00C37F72"/>
    <w:rsid w:val="00C40246"/>
    <w:rsid w:val="00C420C1"/>
    <w:rsid w:val="00C43FEE"/>
    <w:rsid w:val="00C45963"/>
    <w:rsid w:val="00C472B8"/>
    <w:rsid w:val="00C47775"/>
    <w:rsid w:val="00C47B2D"/>
    <w:rsid w:val="00C50723"/>
    <w:rsid w:val="00C529FD"/>
    <w:rsid w:val="00C53124"/>
    <w:rsid w:val="00C538A9"/>
    <w:rsid w:val="00C53B2E"/>
    <w:rsid w:val="00C6160A"/>
    <w:rsid w:val="00C65711"/>
    <w:rsid w:val="00C66460"/>
    <w:rsid w:val="00C71767"/>
    <w:rsid w:val="00C73197"/>
    <w:rsid w:val="00C76ECD"/>
    <w:rsid w:val="00C8221C"/>
    <w:rsid w:val="00C84B63"/>
    <w:rsid w:val="00C84E04"/>
    <w:rsid w:val="00C86DC6"/>
    <w:rsid w:val="00C87F6B"/>
    <w:rsid w:val="00C910BE"/>
    <w:rsid w:val="00C922BE"/>
    <w:rsid w:val="00CA14F4"/>
    <w:rsid w:val="00CA583F"/>
    <w:rsid w:val="00CA5844"/>
    <w:rsid w:val="00CA7415"/>
    <w:rsid w:val="00CB265C"/>
    <w:rsid w:val="00CB2BDD"/>
    <w:rsid w:val="00CB32BC"/>
    <w:rsid w:val="00CB4540"/>
    <w:rsid w:val="00CB4951"/>
    <w:rsid w:val="00CB7A07"/>
    <w:rsid w:val="00CC59BB"/>
    <w:rsid w:val="00CC7A32"/>
    <w:rsid w:val="00CD1B93"/>
    <w:rsid w:val="00CD3BD4"/>
    <w:rsid w:val="00CD3CC8"/>
    <w:rsid w:val="00CD4915"/>
    <w:rsid w:val="00CD60BD"/>
    <w:rsid w:val="00CD635D"/>
    <w:rsid w:val="00CD6DEE"/>
    <w:rsid w:val="00CD7C5B"/>
    <w:rsid w:val="00CD7CED"/>
    <w:rsid w:val="00CE04C7"/>
    <w:rsid w:val="00CE2AC9"/>
    <w:rsid w:val="00CE2AFE"/>
    <w:rsid w:val="00CE7B14"/>
    <w:rsid w:val="00CF156B"/>
    <w:rsid w:val="00CF1E02"/>
    <w:rsid w:val="00CF4BD6"/>
    <w:rsid w:val="00CF597A"/>
    <w:rsid w:val="00D00228"/>
    <w:rsid w:val="00D00DA0"/>
    <w:rsid w:val="00D0103F"/>
    <w:rsid w:val="00D03E34"/>
    <w:rsid w:val="00D05BAA"/>
    <w:rsid w:val="00D07F26"/>
    <w:rsid w:val="00D11A09"/>
    <w:rsid w:val="00D11BCD"/>
    <w:rsid w:val="00D12A1C"/>
    <w:rsid w:val="00D13B7A"/>
    <w:rsid w:val="00D17FD1"/>
    <w:rsid w:val="00D22C4B"/>
    <w:rsid w:val="00D230C7"/>
    <w:rsid w:val="00D23583"/>
    <w:rsid w:val="00D23E7D"/>
    <w:rsid w:val="00D2405F"/>
    <w:rsid w:val="00D26C71"/>
    <w:rsid w:val="00D30C7F"/>
    <w:rsid w:val="00D32DFB"/>
    <w:rsid w:val="00D33488"/>
    <w:rsid w:val="00D37EEE"/>
    <w:rsid w:val="00D41421"/>
    <w:rsid w:val="00D41998"/>
    <w:rsid w:val="00D41BA9"/>
    <w:rsid w:val="00D44059"/>
    <w:rsid w:val="00D4511A"/>
    <w:rsid w:val="00D51813"/>
    <w:rsid w:val="00D52376"/>
    <w:rsid w:val="00D53EE6"/>
    <w:rsid w:val="00D612C2"/>
    <w:rsid w:val="00D64D38"/>
    <w:rsid w:val="00D745E0"/>
    <w:rsid w:val="00D7528D"/>
    <w:rsid w:val="00D76AA3"/>
    <w:rsid w:val="00D80604"/>
    <w:rsid w:val="00D86529"/>
    <w:rsid w:val="00D86A86"/>
    <w:rsid w:val="00D8791E"/>
    <w:rsid w:val="00D92438"/>
    <w:rsid w:val="00D9454A"/>
    <w:rsid w:val="00DA0040"/>
    <w:rsid w:val="00DA086B"/>
    <w:rsid w:val="00DA1D7A"/>
    <w:rsid w:val="00DA5E0A"/>
    <w:rsid w:val="00DA626E"/>
    <w:rsid w:val="00DA6834"/>
    <w:rsid w:val="00DA7145"/>
    <w:rsid w:val="00DA78D8"/>
    <w:rsid w:val="00DA7E05"/>
    <w:rsid w:val="00DB4794"/>
    <w:rsid w:val="00DB5C3E"/>
    <w:rsid w:val="00DB628E"/>
    <w:rsid w:val="00DC4070"/>
    <w:rsid w:val="00DD05AB"/>
    <w:rsid w:val="00DE1DE6"/>
    <w:rsid w:val="00DE1E39"/>
    <w:rsid w:val="00DE513D"/>
    <w:rsid w:val="00DF235C"/>
    <w:rsid w:val="00DF426D"/>
    <w:rsid w:val="00DF47D6"/>
    <w:rsid w:val="00DF4D5A"/>
    <w:rsid w:val="00DF5425"/>
    <w:rsid w:val="00DF782C"/>
    <w:rsid w:val="00E01D97"/>
    <w:rsid w:val="00E030A0"/>
    <w:rsid w:val="00E04F16"/>
    <w:rsid w:val="00E075A1"/>
    <w:rsid w:val="00E0797A"/>
    <w:rsid w:val="00E11D5D"/>
    <w:rsid w:val="00E124E3"/>
    <w:rsid w:val="00E12F81"/>
    <w:rsid w:val="00E14812"/>
    <w:rsid w:val="00E15231"/>
    <w:rsid w:val="00E15DDE"/>
    <w:rsid w:val="00E17B19"/>
    <w:rsid w:val="00E2339E"/>
    <w:rsid w:val="00E300BB"/>
    <w:rsid w:val="00E3245B"/>
    <w:rsid w:val="00E32DCD"/>
    <w:rsid w:val="00E32DF0"/>
    <w:rsid w:val="00E3707B"/>
    <w:rsid w:val="00E50685"/>
    <w:rsid w:val="00E52062"/>
    <w:rsid w:val="00E57F6B"/>
    <w:rsid w:val="00E609CE"/>
    <w:rsid w:val="00E6234F"/>
    <w:rsid w:val="00E67AC7"/>
    <w:rsid w:val="00E7134F"/>
    <w:rsid w:val="00E72D2B"/>
    <w:rsid w:val="00E7342C"/>
    <w:rsid w:val="00E736E9"/>
    <w:rsid w:val="00E76363"/>
    <w:rsid w:val="00E80E6B"/>
    <w:rsid w:val="00E8240C"/>
    <w:rsid w:val="00E82ACD"/>
    <w:rsid w:val="00E90BE3"/>
    <w:rsid w:val="00E91374"/>
    <w:rsid w:val="00E91D81"/>
    <w:rsid w:val="00E92BC2"/>
    <w:rsid w:val="00EA010E"/>
    <w:rsid w:val="00EA28AB"/>
    <w:rsid w:val="00EA6FBF"/>
    <w:rsid w:val="00EB1E33"/>
    <w:rsid w:val="00EB4DA6"/>
    <w:rsid w:val="00EB7B0A"/>
    <w:rsid w:val="00EC0881"/>
    <w:rsid w:val="00EC52A8"/>
    <w:rsid w:val="00EC74F9"/>
    <w:rsid w:val="00ED13DE"/>
    <w:rsid w:val="00ED1996"/>
    <w:rsid w:val="00ED2256"/>
    <w:rsid w:val="00ED2843"/>
    <w:rsid w:val="00ED2F55"/>
    <w:rsid w:val="00ED5ED8"/>
    <w:rsid w:val="00EE0C95"/>
    <w:rsid w:val="00EE3F0F"/>
    <w:rsid w:val="00EF0199"/>
    <w:rsid w:val="00F0263C"/>
    <w:rsid w:val="00F0402A"/>
    <w:rsid w:val="00F07266"/>
    <w:rsid w:val="00F16313"/>
    <w:rsid w:val="00F1700E"/>
    <w:rsid w:val="00F20820"/>
    <w:rsid w:val="00F20FF1"/>
    <w:rsid w:val="00F24317"/>
    <w:rsid w:val="00F27AC7"/>
    <w:rsid w:val="00F32641"/>
    <w:rsid w:val="00F34974"/>
    <w:rsid w:val="00F35457"/>
    <w:rsid w:val="00F3595B"/>
    <w:rsid w:val="00F367F3"/>
    <w:rsid w:val="00F36A26"/>
    <w:rsid w:val="00F41F54"/>
    <w:rsid w:val="00F426A6"/>
    <w:rsid w:val="00F429FD"/>
    <w:rsid w:val="00F4623C"/>
    <w:rsid w:val="00F46AD7"/>
    <w:rsid w:val="00F5093F"/>
    <w:rsid w:val="00F56399"/>
    <w:rsid w:val="00F56BF8"/>
    <w:rsid w:val="00F70113"/>
    <w:rsid w:val="00F746E3"/>
    <w:rsid w:val="00F76C17"/>
    <w:rsid w:val="00F7709C"/>
    <w:rsid w:val="00F7750A"/>
    <w:rsid w:val="00F80006"/>
    <w:rsid w:val="00F80084"/>
    <w:rsid w:val="00F95676"/>
    <w:rsid w:val="00F96401"/>
    <w:rsid w:val="00F9690B"/>
    <w:rsid w:val="00FA3F8B"/>
    <w:rsid w:val="00FA56FF"/>
    <w:rsid w:val="00FA767D"/>
    <w:rsid w:val="00FB4424"/>
    <w:rsid w:val="00FB5C98"/>
    <w:rsid w:val="00FB693B"/>
    <w:rsid w:val="00FC3C96"/>
    <w:rsid w:val="00FD2470"/>
    <w:rsid w:val="00FD5823"/>
    <w:rsid w:val="00FD5C26"/>
    <w:rsid w:val="00FD7BE0"/>
    <w:rsid w:val="00FE1C27"/>
    <w:rsid w:val="00FE1FD8"/>
    <w:rsid w:val="00FE5C31"/>
    <w:rsid w:val="00FF0F20"/>
    <w:rsid w:val="00FF1B0E"/>
    <w:rsid w:val="00FF268A"/>
    <w:rsid w:val="00FF748B"/>
    <w:rsid w:val="01104D92"/>
    <w:rsid w:val="01401A33"/>
    <w:rsid w:val="01601D7A"/>
    <w:rsid w:val="01A544B3"/>
    <w:rsid w:val="01FB23CB"/>
    <w:rsid w:val="028D2DAB"/>
    <w:rsid w:val="030F6DB8"/>
    <w:rsid w:val="048F7B35"/>
    <w:rsid w:val="05151950"/>
    <w:rsid w:val="05551D4C"/>
    <w:rsid w:val="055E4FDC"/>
    <w:rsid w:val="05D6094B"/>
    <w:rsid w:val="06631469"/>
    <w:rsid w:val="076F3599"/>
    <w:rsid w:val="077E7A23"/>
    <w:rsid w:val="080037D0"/>
    <w:rsid w:val="083A5A84"/>
    <w:rsid w:val="094F5BEE"/>
    <w:rsid w:val="09517B60"/>
    <w:rsid w:val="09CC7FA4"/>
    <w:rsid w:val="0A2E4FE5"/>
    <w:rsid w:val="0A5D5410"/>
    <w:rsid w:val="0A975F97"/>
    <w:rsid w:val="0B4475D9"/>
    <w:rsid w:val="0C0F175D"/>
    <w:rsid w:val="0C1F256C"/>
    <w:rsid w:val="0C504748"/>
    <w:rsid w:val="0C5E598A"/>
    <w:rsid w:val="0C6623C9"/>
    <w:rsid w:val="0C963AB2"/>
    <w:rsid w:val="0C996073"/>
    <w:rsid w:val="0CAA6E21"/>
    <w:rsid w:val="0CE47F0E"/>
    <w:rsid w:val="0CED32F2"/>
    <w:rsid w:val="0CF81D10"/>
    <w:rsid w:val="0D2E31F4"/>
    <w:rsid w:val="0E1E6BB3"/>
    <w:rsid w:val="0E2B495D"/>
    <w:rsid w:val="0E31462F"/>
    <w:rsid w:val="0F1467D4"/>
    <w:rsid w:val="0F3E5F10"/>
    <w:rsid w:val="10AF0E8D"/>
    <w:rsid w:val="10C7406F"/>
    <w:rsid w:val="10CA4D49"/>
    <w:rsid w:val="1164703E"/>
    <w:rsid w:val="11D86FBE"/>
    <w:rsid w:val="11FA5929"/>
    <w:rsid w:val="11FB708E"/>
    <w:rsid w:val="12082C97"/>
    <w:rsid w:val="125252D0"/>
    <w:rsid w:val="1294170A"/>
    <w:rsid w:val="12A51281"/>
    <w:rsid w:val="13414A80"/>
    <w:rsid w:val="13C30762"/>
    <w:rsid w:val="13D05344"/>
    <w:rsid w:val="147A5E14"/>
    <w:rsid w:val="14834C51"/>
    <w:rsid w:val="148B2868"/>
    <w:rsid w:val="14C46915"/>
    <w:rsid w:val="14D70F63"/>
    <w:rsid w:val="151C63D2"/>
    <w:rsid w:val="152A0E2F"/>
    <w:rsid w:val="15A003CF"/>
    <w:rsid w:val="1624065A"/>
    <w:rsid w:val="163854B0"/>
    <w:rsid w:val="1662251B"/>
    <w:rsid w:val="17C03D86"/>
    <w:rsid w:val="17D91E16"/>
    <w:rsid w:val="18A21FD1"/>
    <w:rsid w:val="18ED7A84"/>
    <w:rsid w:val="18F913B2"/>
    <w:rsid w:val="19AB3A7C"/>
    <w:rsid w:val="19EC58A4"/>
    <w:rsid w:val="1AAE6AA3"/>
    <w:rsid w:val="1AEF2C98"/>
    <w:rsid w:val="1B273A70"/>
    <w:rsid w:val="1B3C01E5"/>
    <w:rsid w:val="1C6306B9"/>
    <w:rsid w:val="1CB42ABF"/>
    <w:rsid w:val="1CE974F2"/>
    <w:rsid w:val="1D177C06"/>
    <w:rsid w:val="1DB922E2"/>
    <w:rsid w:val="1E2338A6"/>
    <w:rsid w:val="1F5755CC"/>
    <w:rsid w:val="1FED3E76"/>
    <w:rsid w:val="2097627E"/>
    <w:rsid w:val="218820CC"/>
    <w:rsid w:val="22881BE3"/>
    <w:rsid w:val="229D5007"/>
    <w:rsid w:val="22D66A36"/>
    <w:rsid w:val="22FF7A6F"/>
    <w:rsid w:val="23363801"/>
    <w:rsid w:val="2338782E"/>
    <w:rsid w:val="234A216B"/>
    <w:rsid w:val="23B80062"/>
    <w:rsid w:val="24442B3D"/>
    <w:rsid w:val="245E33E0"/>
    <w:rsid w:val="24B16B47"/>
    <w:rsid w:val="24D25F6E"/>
    <w:rsid w:val="25355EDB"/>
    <w:rsid w:val="256D49D7"/>
    <w:rsid w:val="261E020C"/>
    <w:rsid w:val="264C2E76"/>
    <w:rsid w:val="26632BAA"/>
    <w:rsid w:val="284701FB"/>
    <w:rsid w:val="284D302B"/>
    <w:rsid w:val="28C3683B"/>
    <w:rsid w:val="28F80E00"/>
    <w:rsid w:val="29AC6EB1"/>
    <w:rsid w:val="29BA0EB4"/>
    <w:rsid w:val="29C037A2"/>
    <w:rsid w:val="29C643BE"/>
    <w:rsid w:val="2AA01F44"/>
    <w:rsid w:val="2AC87225"/>
    <w:rsid w:val="2AD640D4"/>
    <w:rsid w:val="2B3E375A"/>
    <w:rsid w:val="2B9D263E"/>
    <w:rsid w:val="2C0D16A7"/>
    <w:rsid w:val="2CB7651E"/>
    <w:rsid w:val="2D106F95"/>
    <w:rsid w:val="2D79031D"/>
    <w:rsid w:val="2DE1636E"/>
    <w:rsid w:val="2E5D389C"/>
    <w:rsid w:val="2F14152F"/>
    <w:rsid w:val="2F194722"/>
    <w:rsid w:val="2FBC66C4"/>
    <w:rsid w:val="31521943"/>
    <w:rsid w:val="31B74606"/>
    <w:rsid w:val="31CF5058"/>
    <w:rsid w:val="324D6403"/>
    <w:rsid w:val="327518B1"/>
    <w:rsid w:val="32AA1C55"/>
    <w:rsid w:val="332546A1"/>
    <w:rsid w:val="335950CE"/>
    <w:rsid w:val="33796E0F"/>
    <w:rsid w:val="33C8556F"/>
    <w:rsid w:val="33E23A9B"/>
    <w:rsid w:val="33EC194A"/>
    <w:rsid w:val="341B2D9E"/>
    <w:rsid w:val="34525525"/>
    <w:rsid w:val="355C3968"/>
    <w:rsid w:val="357C47C8"/>
    <w:rsid w:val="35A64FD9"/>
    <w:rsid w:val="35FD5652"/>
    <w:rsid w:val="365D2663"/>
    <w:rsid w:val="36804722"/>
    <w:rsid w:val="36BA5D6D"/>
    <w:rsid w:val="36F5355D"/>
    <w:rsid w:val="377B04DA"/>
    <w:rsid w:val="3804064C"/>
    <w:rsid w:val="3850192C"/>
    <w:rsid w:val="39396CB4"/>
    <w:rsid w:val="39622B3B"/>
    <w:rsid w:val="398A1DA4"/>
    <w:rsid w:val="39A131D7"/>
    <w:rsid w:val="39AD39FA"/>
    <w:rsid w:val="39B452AB"/>
    <w:rsid w:val="3A056ACA"/>
    <w:rsid w:val="3AF5244C"/>
    <w:rsid w:val="3AF95259"/>
    <w:rsid w:val="3B176F09"/>
    <w:rsid w:val="3B3F4CED"/>
    <w:rsid w:val="3B454DEB"/>
    <w:rsid w:val="3B5C7168"/>
    <w:rsid w:val="3B810D5F"/>
    <w:rsid w:val="3BAD2D5C"/>
    <w:rsid w:val="3C602FCF"/>
    <w:rsid w:val="3D003021"/>
    <w:rsid w:val="3D7559CD"/>
    <w:rsid w:val="3D8227AF"/>
    <w:rsid w:val="3D9077EA"/>
    <w:rsid w:val="3DA37BAD"/>
    <w:rsid w:val="3DB3254A"/>
    <w:rsid w:val="3DE55DAA"/>
    <w:rsid w:val="3DF656DB"/>
    <w:rsid w:val="3E2A3B04"/>
    <w:rsid w:val="3EE83D21"/>
    <w:rsid w:val="3F1104B7"/>
    <w:rsid w:val="3F41113A"/>
    <w:rsid w:val="3F6D29E9"/>
    <w:rsid w:val="3FC310A7"/>
    <w:rsid w:val="3FFD52AF"/>
    <w:rsid w:val="40F462E2"/>
    <w:rsid w:val="421B79D6"/>
    <w:rsid w:val="42223DAF"/>
    <w:rsid w:val="42576E55"/>
    <w:rsid w:val="42593EA4"/>
    <w:rsid w:val="428E7E25"/>
    <w:rsid w:val="429A1BDE"/>
    <w:rsid w:val="42A45AE6"/>
    <w:rsid w:val="42C817D4"/>
    <w:rsid w:val="42CD1CF7"/>
    <w:rsid w:val="43572B58"/>
    <w:rsid w:val="435E718F"/>
    <w:rsid w:val="43C875B2"/>
    <w:rsid w:val="43F46FD2"/>
    <w:rsid w:val="444E6C93"/>
    <w:rsid w:val="45816A3C"/>
    <w:rsid w:val="45BB6C39"/>
    <w:rsid w:val="46A721C2"/>
    <w:rsid w:val="473C009B"/>
    <w:rsid w:val="47C3408A"/>
    <w:rsid w:val="4A25750C"/>
    <w:rsid w:val="4A914BA1"/>
    <w:rsid w:val="4B2D12E0"/>
    <w:rsid w:val="4BF44667"/>
    <w:rsid w:val="4C0B742A"/>
    <w:rsid w:val="4CE950BA"/>
    <w:rsid w:val="4D4B0737"/>
    <w:rsid w:val="4DAB0DC1"/>
    <w:rsid w:val="4E231FB4"/>
    <w:rsid w:val="4EEB5EF1"/>
    <w:rsid w:val="4F8B2A68"/>
    <w:rsid w:val="4FAF0006"/>
    <w:rsid w:val="4FE668D5"/>
    <w:rsid w:val="502A5468"/>
    <w:rsid w:val="50640A83"/>
    <w:rsid w:val="50A455F4"/>
    <w:rsid w:val="50E36809"/>
    <w:rsid w:val="510909E3"/>
    <w:rsid w:val="516C057C"/>
    <w:rsid w:val="51797413"/>
    <w:rsid w:val="518741CF"/>
    <w:rsid w:val="51970ADD"/>
    <w:rsid w:val="521F0CE5"/>
    <w:rsid w:val="52983EA0"/>
    <w:rsid w:val="52A30145"/>
    <w:rsid w:val="52C51F91"/>
    <w:rsid w:val="52D92ACB"/>
    <w:rsid w:val="533D4D64"/>
    <w:rsid w:val="5384179E"/>
    <w:rsid w:val="53C32626"/>
    <w:rsid w:val="54072D5B"/>
    <w:rsid w:val="541F40EC"/>
    <w:rsid w:val="543301A5"/>
    <w:rsid w:val="546C510C"/>
    <w:rsid w:val="54BC5ABA"/>
    <w:rsid w:val="555F179F"/>
    <w:rsid w:val="55A27AB0"/>
    <w:rsid w:val="56A65E8B"/>
    <w:rsid w:val="576328D8"/>
    <w:rsid w:val="57B634D4"/>
    <w:rsid w:val="57D757CD"/>
    <w:rsid w:val="58617FCF"/>
    <w:rsid w:val="58A551AF"/>
    <w:rsid w:val="58BB3915"/>
    <w:rsid w:val="59BF378F"/>
    <w:rsid w:val="59D91031"/>
    <w:rsid w:val="59EF4C2E"/>
    <w:rsid w:val="5A2134B4"/>
    <w:rsid w:val="5A641D89"/>
    <w:rsid w:val="5AA3596E"/>
    <w:rsid w:val="5AEC4BD6"/>
    <w:rsid w:val="5B01348B"/>
    <w:rsid w:val="5B6776D9"/>
    <w:rsid w:val="5BBB6E69"/>
    <w:rsid w:val="5C2B65FA"/>
    <w:rsid w:val="5C374524"/>
    <w:rsid w:val="5C59248E"/>
    <w:rsid w:val="5C732FB2"/>
    <w:rsid w:val="5CDF39EC"/>
    <w:rsid w:val="5CF039A9"/>
    <w:rsid w:val="5D607F79"/>
    <w:rsid w:val="5D6B171C"/>
    <w:rsid w:val="5D8D744A"/>
    <w:rsid w:val="5D970B5A"/>
    <w:rsid w:val="5DAD014C"/>
    <w:rsid w:val="5E916AC6"/>
    <w:rsid w:val="5EE70B41"/>
    <w:rsid w:val="5FB119DC"/>
    <w:rsid w:val="603F7616"/>
    <w:rsid w:val="61BC7B89"/>
    <w:rsid w:val="61E83787"/>
    <w:rsid w:val="625F7239"/>
    <w:rsid w:val="62E73159"/>
    <w:rsid w:val="63580907"/>
    <w:rsid w:val="6475490D"/>
    <w:rsid w:val="6478389D"/>
    <w:rsid w:val="64B7454D"/>
    <w:rsid w:val="64C60630"/>
    <w:rsid w:val="65AA7C6D"/>
    <w:rsid w:val="65B2766A"/>
    <w:rsid w:val="660014C1"/>
    <w:rsid w:val="66117DBC"/>
    <w:rsid w:val="66EF6CAC"/>
    <w:rsid w:val="67173F17"/>
    <w:rsid w:val="67652DA5"/>
    <w:rsid w:val="67EE0AE5"/>
    <w:rsid w:val="685C1945"/>
    <w:rsid w:val="68A43EDF"/>
    <w:rsid w:val="68E46812"/>
    <w:rsid w:val="692A4C2A"/>
    <w:rsid w:val="694552F1"/>
    <w:rsid w:val="699B50DF"/>
    <w:rsid w:val="69F31215"/>
    <w:rsid w:val="6A180010"/>
    <w:rsid w:val="6B39764F"/>
    <w:rsid w:val="6B566D56"/>
    <w:rsid w:val="6C7B3676"/>
    <w:rsid w:val="6D0D33A9"/>
    <w:rsid w:val="6D9A41D8"/>
    <w:rsid w:val="6E4C3746"/>
    <w:rsid w:val="6E8421A4"/>
    <w:rsid w:val="6E9A536C"/>
    <w:rsid w:val="6EBA6BD9"/>
    <w:rsid w:val="6ED2159A"/>
    <w:rsid w:val="6EEF1D13"/>
    <w:rsid w:val="6F2D3F54"/>
    <w:rsid w:val="6F5D3EFA"/>
    <w:rsid w:val="6FE969BF"/>
    <w:rsid w:val="701944E1"/>
    <w:rsid w:val="705F07D2"/>
    <w:rsid w:val="70AD5E78"/>
    <w:rsid w:val="70CE2C7A"/>
    <w:rsid w:val="713603FA"/>
    <w:rsid w:val="72295D41"/>
    <w:rsid w:val="72C84C17"/>
    <w:rsid w:val="72CF006A"/>
    <w:rsid w:val="72E100ED"/>
    <w:rsid w:val="73075537"/>
    <w:rsid w:val="731D6723"/>
    <w:rsid w:val="735D4413"/>
    <w:rsid w:val="73D5152C"/>
    <w:rsid w:val="743A0F13"/>
    <w:rsid w:val="74D32793"/>
    <w:rsid w:val="74D70DF7"/>
    <w:rsid w:val="74E93BDD"/>
    <w:rsid w:val="74FD6453"/>
    <w:rsid w:val="760073E6"/>
    <w:rsid w:val="766643CE"/>
    <w:rsid w:val="76737223"/>
    <w:rsid w:val="767936DC"/>
    <w:rsid w:val="76A26D1C"/>
    <w:rsid w:val="76C55F64"/>
    <w:rsid w:val="7756518C"/>
    <w:rsid w:val="77D878F8"/>
    <w:rsid w:val="77DD428C"/>
    <w:rsid w:val="781773B7"/>
    <w:rsid w:val="789F3DA6"/>
    <w:rsid w:val="78C7663E"/>
    <w:rsid w:val="7A280F72"/>
    <w:rsid w:val="7A6F3D08"/>
    <w:rsid w:val="7AF9122E"/>
    <w:rsid w:val="7BAF0FAF"/>
    <w:rsid w:val="7BDC603D"/>
    <w:rsid w:val="7C1A7CA3"/>
    <w:rsid w:val="7C2E700D"/>
    <w:rsid w:val="7D1773E3"/>
    <w:rsid w:val="7D3C63FA"/>
    <w:rsid w:val="7DAB14FB"/>
    <w:rsid w:val="7F661766"/>
    <w:rsid w:val="7FEF81EB"/>
    <w:rsid w:val="D5FF3B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245"/>
    <w:qFormat/>
    <w:uiPriority w:val="0"/>
    <w:pPr>
      <w:keepNext/>
      <w:snapToGrid w:val="0"/>
      <w:spacing w:line="360" w:lineRule="atLeast"/>
      <w:outlineLvl w:val="0"/>
    </w:pPr>
    <w:rPr>
      <w:rFonts w:ascii="宋体"/>
    </w:rPr>
  </w:style>
  <w:style w:type="paragraph" w:styleId="3">
    <w:name w:val="heading 2"/>
    <w:basedOn w:val="1"/>
    <w:next w:val="1"/>
    <w:link w:val="7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72"/>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2">
    <w:name w:val="Default Paragraph Font"/>
    <w:qFormat/>
    <w:uiPriority w:val="0"/>
  </w:style>
  <w:style w:type="table" w:default="1" w:styleId="60">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next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73"/>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next w:val="23"/>
    <w:qFormat/>
    <w:uiPriority w:val="0"/>
    <w:rPr>
      <w:rFonts w:ascii="仿宋_GB2312" w:eastAsia="仿宋_GB2312"/>
      <w:sz w:val="32"/>
    </w:rPr>
  </w:style>
  <w:style w:type="paragraph" w:styleId="23">
    <w:name w:val="Plain Text"/>
    <w:basedOn w:val="1"/>
    <w:next w:val="1"/>
    <w:qFormat/>
    <w:uiPriority w:val="0"/>
    <w:rPr>
      <w:rFonts w:ascii="宋体" w:hAnsi="Courier New"/>
      <w:sz w:val="21"/>
    </w:rPr>
  </w:style>
  <w:style w:type="paragraph" w:styleId="24">
    <w:name w:val="Body Text Indent"/>
    <w:basedOn w:val="1"/>
    <w:next w:val="25"/>
    <w:link w:val="74"/>
    <w:qFormat/>
    <w:uiPriority w:val="0"/>
    <w:pPr>
      <w:spacing w:line="700" w:lineRule="exact"/>
      <w:ind w:left="960"/>
    </w:pPr>
    <w:rPr>
      <w:sz w:val="44"/>
    </w:rPr>
  </w:style>
  <w:style w:type="paragraph" w:customStyle="1" w:styleId="25">
    <w:name w:val="目录 51"/>
    <w:next w:val="1"/>
    <w:qFormat/>
    <w:uiPriority w:val="0"/>
    <w:pPr>
      <w:wordWrap w:val="0"/>
      <w:ind w:left="1700"/>
      <w:jc w:val="both"/>
    </w:pPr>
    <w:rPr>
      <w:rFonts w:ascii="Times New Roman" w:hAnsi="Times New Roman" w:eastAsia="Calibri" w:cs="Times New Roman"/>
      <w:sz w:val="21"/>
      <w:lang w:val="en-US" w:eastAsia="zh-CN" w:bidi="ar-SA"/>
    </w:rPr>
  </w:style>
  <w:style w:type="paragraph" w:styleId="26">
    <w:name w:val="List Number 3"/>
    <w:basedOn w:val="1"/>
    <w:qFormat/>
    <w:uiPriority w:val="0"/>
    <w:pPr>
      <w:tabs>
        <w:tab w:val="left" w:pos="2120"/>
      </w:tabs>
      <w:adjustRightInd w:val="0"/>
      <w:snapToGrid w:val="0"/>
      <w:spacing w:line="360" w:lineRule="auto"/>
      <w:ind w:left="2120" w:hanging="720"/>
    </w:pPr>
    <w:rPr>
      <w:sz w:val="24"/>
    </w:rPr>
  </w:style>
  <w:style w:type="paragraph" w:styleId="27">
    <w:name w:val="List 2"/>
    <w:basedOn w:val="1"/>
    <w:qFormat/>
    <w:uiPriority w:val="0"/>
    <w:pPr>
      <w:adjustRightInd w:val="0"/>
      <w:snapToGrid w:val="0"/>
      <w:spacing w:line="360" w:lineRule="auto"/>
      <w:ind w:left="100" w:leftChars="200" w:hanging="200" w:hangingChars="200"/>
    </w:pPr>
    <w:rPr>
      <w:sz w:val="24"/>
    </w:rPr>
  </w:style>
  <w:style w:type="paragraph" w:styleId="28">
    <w:name w:val="List Continue"/>
    <w:basedOn w:val="1"/>
    <w:qFormat/>
    <w:uiPriority w:val="0"/>
    <w:pPr>
      <w:adjustRightInd w:val="0"/>
      <w:snapToGrid w:val="0"/>
      <w:spacing w:after="120" w:afterLines="0" w:afterAutospacing="0" w:line="360" w:lineRule="auto"/>
      <w:ind w:left="420" w:leftChars="200"/>
    </w:pPr>
    <w:rPr>
      <w:sz w:val="24"/>
    </w:rPr>
  </w:style>
  <w:style w:type="paragraph" w:styleId="29">
    <w:name w:val="Block Text"/>
    <w:basedOn w:val="1"/>
    <w:qFormat/>
    <w:uiPriority w:val="0"/>
    <w:pPr>
      <w:spacing w:line="360" w:lineRule="auto"/>
    </w:pPr>
  </w:style>
  <w:style w:type="paragraph" w:styleId="30">
    <w:name w:val="List Bullet 2"/>
    <w:basedOn w:val="1"/>
    <w:qFormat/>
    <w:uiPriority w:val="0"/>
    <w:pPr>
      <w:numPr>
        <w:ilvl w:val="0"/>
        <w:numId w:val="4"/>
      </w:numPr>
      <w:adjustRightInd w:val="0"/>
      <w:snapToGrid w:val="0"/>
      <w:spacing w:line="360" w:lineRule="auto"/>
    </w:pPr>
    <w:rPr>
      <w:sz w:val="24"/>
    </w:rPr>
  </w:style>
  <w:style w:type="paragraph" w:styleId="31">
    <w:name w:val="toc 5"/>
    <w:basedOn w:val="1"/>
    <w:next w:val="1"/>
    <w:qFormat/>
    <w:uiPriority w:val="0"/>
    <w:pPr>
      <w:ind w:left="1680" w:leftChars="800"/>
    </w:pPr>
  </w:style>
  <w:style w:type="paragraph" w:styleId="32">
    <w:name w:val="toc 3"/>
    <w:basedOn w:val="1"/>
    <w:next w:val="1"/>
    <w:qFormat/>
    <w:uiPriority w:val="39"/>
    <w:pPr>
      <w:ind w:left="840" w:leftChars="400"/>
    </w:pPr>
  </w:style>
  <w:style w:type="paragraph" w:styleId="33">
    <w:name w:val="toc 8"/>
    <w:basedOn w:val="1"/>
    <w:next w:val="1"/>
    <w:qFormat/>
    <w:uiPriority w:val="0"/>
    <w:pPr>
      <w:ind w:left="2940" w:leftChars="1400"/>
    </w:pPr>
  </w:style>
  <w:style w:type="paragraph" w:styleId="34">
    <w:name w:val="Date"/>
    <w:basedOn w:val="1"/>
    <w:next w:val="1"/>
    <w:link w:val="75"/>
    <w:qFormat/>
    <w:uiPriority w:val="0"/>
  </w:style>
  <w:style w:type="paragraph" w:styleId="35">
    <w:name w:val="Body Text Indent 2"/>
    <w:basedOn w:val="1"/>
    <w:link w:val="76"/>
    <w:qFormat/>
    <w:uiPriority w:val="0"/>
    <w:pPr>
      <w:snapToGrid w:val="0"/>
      <w:spacing w:line="560" w:lineRule="atLeast"/>
      <w:ind w:firstLine="540"/>
    </w:pPr>
  </w:style>
  <w:style w:type="paragraph" w:styleId="36">
    <w:name w:val="Balloon Text"/>
    <w:basedOn w:val="1"/>
    <w:qFormat/>
    <w:uiPriority w:val="0"/>
    <w:rPr>
      <w:sz w:val="18"/>
    </w:rPr>
  </w:style>
  <w:style w:type="paragraph" w:styleId="37">
    <w:name w:val="footer"/>
    <w:basedOn w:val="1"/>
    <w:qFormat/>
    <w:uiPriority w:val="0"/>
    <w:pPr>
      <w:tabs>
        <w:tab w:val="center" w:pos="4153"/>
        <w:tab w:val="right" w:pos="8306"/>
      </w:tabs>
      <w:snapToGrid w:val="0"/>
      <w:jc w:val="left"/>
    </w:pPr>
    <w:rPr>
      <w:sz w:val="18"/>
    </w:rPr>
  </w:style>
  <w:style w:type="paragraph" w:styleId="38">
    <w:name w:val="envelope return"/>
    <w:basedOn w:val="1"/>
    <w:qFormat/>
    <w:uiPriority w:val="0"/>
    <w:pPr>
      <w:snapToGrid w:val="0"/>
    </w:pPr>
    <w:rPr>
      <w:rFonts w:ascii="Arial" w:hAnsi="Arial" w:eastAsia="微软雅黑" w:cs="Times New Roman"/>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rPr>
  </w:style>
  <w:style w:type="paragraph" w:styleId="40">
    <w:name w:val="toc 1"/>
    <w:basedOn w:val="1"/>
    <w:next w:val="1"/>
    <w:qFormat/>
    <w:uiPriority w:val="0"/>
    <w:pPr>
      <w:spacing w:line="180" w:lineRule="auto"/>
      <w:jc w:val="center"/>
    </w:pPr>
    <w:rPr>
      <w:sz w:val="30"/>
    </w:rPr>
  </w:style>
  <w:style w:type="paragraph" w:styleId="41">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2">
    <w:name w:val="toc 4"/>
    <w:basedOn w:val="1"/>
    <w:next w:val="1"/>
    <w:qFormat/>
    <w:uiPriority w:val="0"/>
    <w:pPr>
      <w:ind w:left="1260" w:leftChars="600"/>
    </w:pPr>
  </w:style>
  <w:style w:type="paragraph" w:styleId="43">
    <w:name w:val="footnote text"/>
    <w:basedOn w:val="1"/>
    <w:link w:val="77"/>
    <w:qFormat/>
    <w:uiPriority w:val="0"/>
    <w:pPr>
      <w:spacing w:line="360" w:lineRule="auto"/>
    </w:pPr>
    <w:rPr>
      <w:sz w:val="18"/>
    </w:rPr>
  </w:style>
  <w:style w:type="paragraph" w:styleId="44">
    <w:name w:val="toc 6"/>
    <w:basedOn w:val="1"/>
    <w:next w:val="1"/>
    <w:qFormat/>
    <w:uiPriority w:val="0"/>
    <w:pPr>
      <w:ind w:left="2100" w:leftChars="1000"/>
    </w:pPr>
  </w:style>
  <w:style w:type="paragraph" w:styleId="45">
    <w:name w:val="List 5"/>
    <w:basedOn w:val="1"/>
    <w:qFormat/>
    <w:uiPriority w:val="0"/>
    <w:pPr>
      <w:adjustRightInd w:val="0"/>
      <w:snapToGrid w:val="0"/>
      <w:spacing w:line="360" w:lineRule="auto"/>
      <w:ind w:left="100" w:leftChars="800" w:hanging="200" w:hangingChars="200"/>
    </w:pPr>
    <w:rPr>
      <w:sz w:val="24"/>
    </w:rPr>
  </w:style>
  <w:style w:type="paragraph" w:styleId="46">
    <w:name w:val="Body Text Indent 3"/>
    <w:basedOn w:val="1"/>
    <w:qFormat/>
    <w:uiPriority w:val="0"/>
    <w:pPr>
      <w:spacing w:line="360" w:lineRule="auto"/>
      <w:ind w:firstLine="632"/>
    </w:pPr>
    <w:rPr>
      <w:rFonts w:ascii="黑体" w:eastAsia="黑体"/>
    </w:rPr>
  </w:style>
  <w:style w:type="paragraph" w:styleId="47">
    <w:name w:val="table of figures"/>
    <w:basedOn w:val="1"/>
    <w:next w:val="1"/>
    <w:qFormat/>
    <w:uiPriority w:val="0"/>
    <w:pPr>
      <w:tabs>
        <w:tab w:val="right" w:leader="dot" w:pos="8640"/>
      </w:tabs>
      <w:spacing w:line="360" w:lineRule="auto"/>
      <w:ind w:left="400" w:hanging="400"/>
    </w:pPr>
    <w:rPr>
      <w:sz w:val="24"/>
    </w:rPr>
  </w:style>
  <w:style w:type="paragraph" w:styleId="48">
    <w:name w:val="toc 2"/>
    <w:basedOn w:val="1"/>
    <w:next w:val="1"/>
    <w:qFormat/>
    <w:uiPriority w:val="39"/>
    <w:pPr>
      <w:ind w:left="420" w:leftChars="200"/>
    </w:pPr>
  </w:style>
  <w:style w:type="paragraph" w:styleId="49">
    <w:name w:val="toc 9"/>
    <w:basedOn w:val="1"/>
    <w:next w:val="1"/>
    <w:qFormat/>
    <w:uiPriority w:val="0"/>
    <w:pPr>
      <w:ind w:left="3360" w:leftChars="1600"/>
    </w:pPr>
  </w:style>
  <w:style w:type="paragraph" w:styleId="50">
    <w:name w:val="Body Text 2"/>
    <w:basedOn w:val="1"/>
    <w:qFormat/>
    <w:uiPriority w:val="0"/>
    <w:pPr>
      <w:adjustRightInd w:val="0"/>
      <w:snapToGrid w:val="0"/>
      <w:spacing w:after="120" w:afterLines="0" w:afterAutospacing="0" w:line="480" w:lineRule="auto"/>
    </w:pPr>
    <w:rPr>
      <w:sz w:val="24"/>
    </w:rPr>
  </w:style>
  <w:style w:type="paragraph" w:styleId="51">
    <w:name w:val="List 4"/>
    <w:basedOn w:val="1"/>
    <w:qFormat/>
    <w:uiPriority w:val="0"/>
    <w:pPr>
      <w:adjustRightInd w:val="0"/>
      <w:snapToGrid w:val="0"/>
      <w:spacing w:line="360" w:lineRule="auto"/>
      <w:ind w:left="100" w:leftChars="600" w:hanging="200" w:hangingChars="200"/>
    </w:pPr>
    <w:rPr>
      <w:sz w:val="24"/>
    </w:rPr>
  </w:style>
  <w:style w:type="paragraph" w:styleId="52">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3">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4">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5">
    <w:name w:val="index 1"/>
    <w:basedOn w:val="1"/>
    <w:next w:val="1"/>
    <w:qFormat/>
    <w:uiPriority w:val="0"/>
    <w:pPr>
      <w:adjustRightInd w:val="0"/>
      <w:spacing w:line="240" w:lineRule="atLeast"/>
      <w:textAlignment w:val="baseline"/>
    </w:pPr>
    <w:rPr>
      <w:rFonts w:ascii="宋体"/>
      <w:kern w:val="0"/>
      <w:sz w:val="21"/>
    </w:rPr>
  </w:style>
  <w:style w:type="paragraph" w:styleId="56">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7">
    <w:name w:val="annotation subject"/>
    <w:basedOn w:val="19"/>
    <w:next w:val="19"/>
    <w:link w:val="78"/>
    <w:qFormat/>
    <w:uiPriority w:val="0"/>
    <w:pPr>
      <w:adjustRightInd/>
      <w:spacing w:line="240" w:lineRule="auto"/>
      <w:textAlignment w:val="auto"/>
    </w:pPr>
  </w:style>
  <w:style w:type="paragraph" w:styleId="58">
    <w:name w:val="Body Text First Indent"/>
    <w:basedOn w:val="22"/>
    <w:next w:val="59"/>
    <w:qFormat/>
    <w:uiPriority w:val="0"/>
    <w:pPr>
      <w:spacing w:line="360" w:lineRule="auto"/>
      <w:ind w:firstLine="420"/>
    </w:pPr>
    <w:rPr>
      <w:rFonts w:ascii="宋体" w:hAnsi="宋体"/>
      <w:sz w:val="24"/>
    </w:rPr>
  </w:style>
  <w:style w:type="paragraph" w:styleId="59">
    <w:name w:val="Body Text First Indent 2"/>
    <w:basedOn w:val="24"/>
    <w:next w:val="1"/>
    <w:link w:val="79"/>
    <w:qFormat/>
    <w:uiPriority w:val="0"/>
    <w:pPr>
      <w:spacing w:after="120" w:afterLines="0" w:line="240" w:lineRule="auto"/>
      <w:ind w:left="420" w:leftChars="200" w:firstLine="420" w:firstLineChars="200"/>
    </w:pPr>
  </w:style>
  <w:style w:type="table" w:styleId="61">
    <w:name w:val="Table Grid"/>
    <w:basedOn w:val="6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qFormat/>
    <w:uiPriority w:val="22"/>
    <w:rPr>
      <w:b/>
    </w:rPr>
  </w:style>
  <w:style w:type="character" w:styleId="64">
    <w:name w:val="page number"/>
    <w:qFormat/>
    <w:uiPriority w:val="0"/>
  </w:style>
  <w:style w:type="character" w:styleId="65">
    <w:name w:val="FollowedHyperlink"/>
    <w:qFormat/>
    <w:uiPriority w:val="0"/>
    <w:rPr>
      <w:color w:val="800080"/>
      <w:u w:val="single"/>
    </w:rPr>
  </w:style>
  <w:style w:type="character" w:styleId="66">
    <w:name w:val="Emphasis"/>
    <w:qFormat/>
    <w:uiPriority w:val="0"/>
    <w:rPr>
      <w:i/>
    </w:rPr>
  </w:style>
  <w:style w:type="character" w:styleId="67">
    <w:name w:val="Hyperlink"/>
    <w:qFormat/>
    <w:uiPriority w:val="99"/>
    <w:rPr>
      <w:color w:val="0000FF"/>
      <w:u w:val="single"/>
    </w:rPr>
  </w:style>
  <w:style w:type="character" w:styleId="68">
    <w:name w:val="annotation reference"/>
    <w:qFormat/>
    <w:uiPriority w:val="0"/>
    <w:rPr>
      <w:sz w:val="21"/>
      <w:szCs w:val="21"/>
    </w:rPr>
  </w:style>
  <w:style w:type="character" w:styleId="69">
    <w:name w:val="footnote reference"/>
    <w:qFormat/>
    <w:uiPriority w:val="0"/>
    <w:rPr>
      <w:position w:val="6"/>
      <w:sz w:val="14"/>
      <w:vertAlign w:val="superscript"/>
    </w:rPr>
  </w:style>
  <w:style w:type="paragraph" w:customStyle="1" w:styleId="70">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71">
    <w:name w:val="标题 2 字符"/>
    <w:link w:val="3"/>
    <w:qFormat/>
    <w:uiPriority w:val="0"/>
    <w:rPr>
      <w:rFonts w:ascii="Arial" w:hAnsi="Arial" w:eastAsia="黑体"/>
      <w:b/>
      <w:kern w:val="2"/>
      <w:sz w:val="32"/>
    </w:rPr>
  </w:style>
  <w:style w:type="character" w:customStyle="1" w:styleId="72">
    <w:name w:val="标题 3 字符"/>
    <w:link w:val="4"/>
    <w:qFormat/>
    <w:uiPriority w:val="0"/>
    <w:rPr>
      <w:rFonts w:eastAsia="宋体"/>
      <w:b/>
      <w:kern w:val="2"/>
      <w:sz w:val="32"/>
      <w:lang w:val="en-US" w:eastAsia="zh-CN"/>
    </w:rPr>
  </w:style>
  <w:style w:type="character" w:customStyle="1" w:styleId="73">
    <w:name w:val="批注文字 字符"/>
    <w:link w:val="19"/>
    <w:qFormat/>
    <w:uiPriority w:val="0"/>
    <w:rPr>
      <w:sz w:val="24"/>
    </w:rPr>
  </w:style>
  <w:style w:type="character" w:customStyle="1" w:styleId="74">
    <w:name w:val="正文文本缩进 字符"/>
    <w:link w:val="24"/>
    <w:qFormat/>
    <w:uiPriority w:val="0"/>
    <w:rPr>
      <w:kern w:val="2"/>
      <w:sz w:val="44"/>
    </w:rPr>
  </w:style>
  <w:style w:type="character" w:customStyle="1" w:styleId="75">
    <w:name w:val="日期 字符"/>
    <w:link w:val="34"/>
    <w:qFormat/>
    <w:uiPriority w:val="0"/>
    <w:rPr>
      <w:kern w:val="2"/>
      <w:sz w:val="28"/>
    </w:rPr>
  </w:style>
  <w:style w:type="character" w:customStyle="1" w:styleId="76">
    <w:name w:val="正文文本缩进 2 字符"/>
    <w:link w:val="35"/>
    <w:qFormat/>
    <w:uiPriority w:val="0"/>
    <w:rPr>
      <w:kern w:val="2"/>
      <w:sz w:val="28"/>
    </w:rPr>
  </w:style>
  <w:style w:type="character" w:customStyle="1" w:styleId="77">
    <w:name w:val="脚注文本 字符"/>
    <w:link w:val="43"/>
    <w:qFormat/>
    <w:uiPriority w:val="0"/>
    <w:rPr>
      <w:kern w:val="2"/>
      <w:sz w:val="18"/>
    </w:rPr>
  </w:style>
  <w:style w:type="character" w:customStyle="1" w:styleId="78">
    <w:name w:val="批注主题 字符"/>
    <w:link w:val="57"/>
    <w:qFormat/>
    <w:uiPriority w:val="0"/>
  </w:style>
  <w:style w:type="character" w:customStyle="1" w:styleId="79">
    <w:name w:val="正文首行缩进 2 字符"/>
    <w:link w:val="59"/>
    <w:qFormat/>
    <w:uiPriority w:val="0"/>
  </w:style>
  <w:style w:type="character" w:customStyle="1" w:styleId="80">
    <w:name w:val="未命名11"/>
    <w:qFormat/>
    <w:uiPriority w:val="0"/>
    <w:rPr>
      <w:color w:val="77FFFF"/>
      <w:sz w:val="24"/>
    </w:rPr>
  </w:style>
  <w:style w:type="character" w:customStyle="1" w:styleId="81">
    <w:name w:val="font1"/>
    <w:qFormat/>
    <w:uiPriority w:val="0"/>
    <w:rPr>
      <w:color w:val="000000"/>
      <w:sz w:val="18"/>
    </w:rPr>
  </w:style>
  <w:style w:type="character" w:customStyle="1" w:styleId="82">
    <w:name w:val="v151"/>
    <w:qFormat/>
    <w:uiPriority w:val="0"/>
    <w:rPr>
      <w:sz w:val="18"/>
    </w:rPr>
  </w:style>
  <w:style w:type="character" w:customStyle="1" w:styleId="83">
    <w:name w:val="content-white1"/>
    <w:qFormat/>
    <w:uiPriority w:val="0"/>
    <w:rPr>
      <w:rFonts w:ascii="_x000B__x000C_" w:hAnsi="_x000B__x000C_"/>
      <w:color w:val="auto"/>
      <w:sz w:val="18"/>
      <w:u w:val="none"/>
    </w:rPr>
  </w:style>
  <w:style w:type="character" w:customStyle="1" w:styleId="84">
    <w:name w:val="标书正文:  0.74 厘米 Char1"/>
    <w:qFormat/>
    <w:uiPriority w:val="0"/>
    <w:rPr>
      <w:rFonts w:eastAsia="宋体"/>
      <w:kern w:val="2"/>
      <w:sz w:val="24"/>
      <w:lang w:val="en-US" w:eastAsia="zh-CN"/>
    </w:rPr>
  </w:style>
  <w:style w:type="character" w:customStyle="1" w:styleId="85">
    <w:name w:val=" Char Char11"/>
    <w:qFormat/>
    <w:uiPriority w:val="0"/>
    <w:rPr>
      <w:rFonts w:ascii="宋体"/>
      <w:kern w:val="2"/>
      <w:sz w:val="28"/>
    </w:rPr>
  </w:style>
  <w:style w:type="character" w:customStyle="1" w:styleId="86">
    <w:name w:val="top-det1"/>
    <w:qFormat/>
    <w:uiPriority w:val="0"/>
    <w:rPr>
      <w:b/>
      <w:color w:val="000000"/>
    </w:rPr>
  </w:style>
  <w:style w:type="character" w:customStyle="1" w:styleId="87">
    <w:name w:val=" Char Char7"/>
    <w:qFormat/>
    <w:uiPriority w:val="0"/>
    <w:rPr>
      <w:rFonts w:ascii="宋体" w:hAnsi="宋体" w:eastAsia="宋体"/>
      <w:kern w:val="2"/>
      <w:sz w:val="28"/>
    </w:rPr>
  </w:style>
  <w:style w:type="character" w:customStyle="1" w:styleId="88">
    <w:name w:val="文字 Char"/>
    <w:link w:val="89"/>
    <w:qFormat/>
    <w:uiPriority w:val="0"/>
    <w:rPr>
      <w:rFonts w:ascii="宋体"/>
      <w:kern w:val="2"/>
      <w:sz w:val="28"/>
    </w:rPr>
  </w:style>
  <w:style w:type="paragraph" w:customStyle="1" w:styleId="89">
    <w:name w:val="文字"/>
    <w:basedOn w:val="1"/>
    <w:link w:val="88"/>
    <w:qFormat/>
    <w:uiPriority w:val="0"/>
    <w:pPr>
      <w:tabs>
        <w:tab w:val="left" w:pos="8520"/>
      </w:tabs>
      <w:spacing w:line="312" w:lineRule="auto"/>
      <w:ind w:right="-210" w:firstLine="556"/>
    </w:pPr>
    <w:rPr>
      <w:rFonts w:ascii="宋体"/>
    </w:rPr>
  </w:style>
  <w:style w:type="character" w:customStyle="1" w:styleId="90">
    <w:name w:val=" Char Char5"/>
    <w:qFormat/>
    <w:uiPriority w:val="0"/>
    <w:rPr>
      <w:rFonts w:ascii="Arial" w:hAnsi="Arial" w:eastAsia="宋体"/>
      <w:b/>
      <w:smallCaps/>
      <w:kern w:val="28"/>
      <w:sz w:val="36"/>
      <w:lang w:val="en-US" w:eastAsia="en-US"/>
    </w:rPr>
  </w:style>
  <w:style w:type="character" w:customStyle="1" w:styleId="91">
    <w:name w:val="H2 Char"/>
    <w:qFormat/>
    <w:uiPriority w:val="0"/>
    <w:rPr>
      <w:rFonts w:ascii="Arial" w:hAnsi="Arial" w:eastAsia="宋体"/>
      <w:kern w:val="2"/>
      <w:sz w:val="28"/>
      <w:lang w:val="en-US" w:eastAsia="zh-CN"/>
    </w:rPr>
  </w:style>
  <w:style w:type="character" w:customStyle="1" w:styleId="92">
    <w:name w:val="crowed11"/>
    <w:qFormat/>
    <w:uiPriority w:val="0"/>
    <w:rPr>
      <w:rFonts w:hint="default" w:ascii="_x000B__x000C_" w:hAnsi="_x000B__x000C_"/>
      <w:sz w:val="24"/>
    </w:rPr>
  </w:style>
  <w:style w:type="character" w:customStyle="1" w:styleId="93">
    <w:name w:val=" Char Char"/>
    <w:qFormat/>
    <w:uiPriority w:val="0"/>
    <w:rPr>
      <w:rFonts w:ascii="宋体" w:hAnsi="宋体" w:eastAsia="宋体"/>
      <w:kern w:val="2"/>
      <w:sz w:val="24"/>
      <w:lang w:val="en-US" w:eastAsia="zh-CN" w:bidi="ar-SA"/>
    </w:rPr>
  </w:style>
  <w:style w:type="character" w:customStyle="1" w:styleId="94">
    <w:name w:val="正文 + 三号 Char"/>
    <w:qFormat/>
    <w:uiPriority w:val="0"/>
    <w:rPr>
      <w:rFonts w:eastAsia="宋体"/>
      <w:kern w:val="2"/>
      <w:sz w:val="21"/>
      <w:lang w:val="en-US" w:eastAsia="zh-CN"/>
    </w:rPr>
  </w:style>
  <w:style w:type="character" w:customStyle="1" w:styleId="95">
    <w:name w:val="Table Text Char"/>
    <w:link w:val="96"/>
    <w:qFormat/>
    <w:uiPriority w:val="0"/>
    <w:rPr>
      <w:rFonts w:ascii="Arial" w:hAnsi="Arial"/>
      <w:kern w:val="2"/>
      <w:sz w:val="18"/>
      <w:lang w:val="en-US" w:eastAsia="zh-CN" w:bidi="ar-SA"/>
    </w:rPr>
  </w:style>
  <w:style w:type="paragraph" w:customStyle="1" w:styleId="96">
    <w:name w:val="Table Text"/>
    <w:link w:val="95"/>
    <w:qFormat/>
    <w:uiPriority w:val="0"/>
    <w:pPr>
      <w:snapToGrid w:val="0"/>
      <w:spacing w:before="80" w:after="80"/>
    </w:pPr>
    <w:rPr>
      <w:rFonts w:ascii="Arial" w:hAnsi="Arial" w:eastAsia="宋体" w:cs="Times New Roman"/>
      <w:kern w:val="2"/>
      <w:sz w:val="18"/>
      <w:lang w:val="en-US" w:eastAsia="zh-CN" w:bidi="ar-SA"/>
    </w:rPr>
  </w:style>
  <w:style w:type="character" w:customStyle="1" w:styleId="97">
    <w:name w:val="title_emph1"/>
    <w:qFormat/>
    <w:uiPriority w:val="0"/>
    <w:rPr>
      <w:rFonts w:hint="default" w:ascii="Arial" w:hAnsi="Arial"/>
      <w:b/>
      <w:sz w:val="20"/>
    </w:rPr>
  </w:style>
  <w:style w:type="character" w:customStyle="1" w:styleId="98">
    <w:name w:val=" Char Char4"/>
    <w:qFormat/>
    <w:uiPriority w:val="0"/>
    <w:rPr>
      <w:rFonts w:eastAsia="宋体"/>
      <w:b/>
      <w:kern w:val="2"/>
      <w:sz w:val="21"/>
      <w:lang w:val="en-US" w:eastAsia="zh-CN"/>
    </w:rPr>
  </w:style>
  <w:style w:type="character" w:customStyle="1" w:styleId="99">
    <w:name w:val="样式 宋体"/>
    <w:qFormat/>
    <w:uiPriority w:val="0"/>
    <w:rPr>
      <w:rFonts w:ascii="宋体" w:hAnsi="宋体" w:eastAsia="宋体"/>
      <w:sz w:val="28"/>
    </w:rPr>
  </w:style>
  <w:style w:type="character" w:customStyle="1" w:styleId="100">
    <w:name w:val="Table Text Char1 Char"/>
    <w:qFormat/>
    <w:uiPriority w:val="0"/>
    <w:rPr>
      <w:rFonts w:ascii="Arial" w:hAnsi="Arial"/>
      <w:kern w:val="2"/>
      <w:sz w:val="18"/>
      <w:lang w:val="en-US" w:eastAsia="zh-CN" w:bidi="ar-SA"/>
    </w:rPr>
  </w:style>
  <w:style w:type="character" w:customStyle="1" w:styleId="101">
    <w:name w:val="Table Text Char Char Char Char"/>
    <w:link w:val="102"/>
    <w:qFormat/>
    <w:uiPriority w:val="0"/>
    <w:rPr>
      <w:rFonts w:ascii="Arial" w:hAnsi="Arial"/>
      <w:kern w:val="2"/>
      <w:sz w:val="18"/>
      <w:lang w:val="en-US" w:eastAsia="zh-CN" w:bidi="ar-SA"/>
    </w:rPr>
  </w:style>
  <w:style w:type="paragraph" w:customStyle="1" w:styleId="102">
    <w:name w:val="Table Text Char Char Char"/>
    <w:link w:val="101"/>
    <w:qFormat/>
    <w:uiPriority w:val="0"/>
    <w:pPr>
      <w:snapToGrid w:val="0"/>
      <w:spacing w:before="80" w:after="80"/>
    </w:pPr>
    <w:rPr>
      <w:rFonts w:ascii="Arial" w:hAnsi="Arial" w:eastAsia="宋体" w:cs="Times New Roman"/>
      <w:kern w:val="2"/>
      <w:sz w:val="18"/>
      <w:lang w:val="en-US" w:eastAsia="zh-CN" w:bidi="ar-SA"/>
    </w:rPr>
  </w:style>
  <w:style w:type="character" w:customStyle="1" w:styleId="103">
    <w:name w:val=" Char Char3"/>
    <w:qFormat/>
    <w:uiPriority w:val="0"/>
    <w:rPr>
      <w:rFonts w:eastAsia="宋体"/>
      <w:kern w:val="2"/>
      <w:sz w:val="18"/>
      <w:lang w:val="en-US" w:eastAsia="zh-CN"/>
    </w:rPr>
  </w:style>
  <w:style w:type="character" w:customStyle="1" w:styleId="104">
    <w:name w:val="小 Char"/>
    <w:qFormat/>
    <w:uiPriority w:val="0"/>
    <w:rPr>
      <w:rFonts w:ascii="宋体" w:hAnsi="Courier New" w:eastAsia="宋体"/>
      <w:kern w:val="2"/>
      <w:sz w:val="21"/>
      <w:lang w:val="en-US" w:eastAsia="zh-CN" w:bidi="ar-SA"/>
    </w:rPr>
  </w:style>
  <w:style w:type="character" w:customStyle="1" w:styleId="105">
    <w:name w:val="Table Heading Char Char"/>
    <w:qFormat/>
    <w:uiPriority w:val="0"/>
    <w:rPr>
      <w:rFonts w:ascii="Arial" w:hAnsi="Arial" w:eastAsia="黑体"/>
      <w:kern w:val="2"/>
      <w:sz w:val="18"/>
      <w:lang w:val="en-US" w:eastAsia="zh-CN"/>
    </w:rPr>
  </w:style>
  <w:style w:type="character" w:customStyle="1" w:styleId="106">
    <w:name w:val=" Char Char6"/>
    <w:qFormat/>
    <w:uiPriority w:val="0"/>
    <w:rPr>
      <w:rFonts w:ascii="仿宋_GB2312" w:eastAsia="仿宋_GB2312"/>
      <w:kern w:val="2"/>
      <w:sz w:val="32"/>
    </w:rPr>
  </w:style>
  <w:style w:type="character" w:customStyle="1" w:styleId="107">
    <w:name w:val=" Char Char2"/>
    <w:qFormat/>
    <w:uiPriority w:val="0"/>
    <w:rPr>
      <w:rFonts w:eastAsia="宋体"/>
      <w:kern w:val="2"/>
      <w:sz w:val="18"/>
      <w:lang w:val="en-US" w:eastAsia="zh-CN"/>
    </w:rPr>
  </w:style>
  <w:style w:type="character" w:customStyle="1" w:styleId="108">
    <w:name w:val="font01"/>
    <w:qFormat/>
    <w:uiPriority w:val="0"/>
    <w:rPr>
      <w:rFonts w:ascii="font-weight : 400" w:hAnsi="font-weight : 400" w:eastAsia="font-weight : 400" w:cs="font-weight : 400"/>
      <w:color w:val="000000"/>
      <w:sz w:val="21"/>
      <w:szCs w:val="21"/>
      <w:u w:val="none"/>
    </w:rPr>
  </w:style>
  <w:style w:type="paragraph" w:customStyle="1" w:styleId="109">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110">
    <w:name w:val="af"/>
    <w:basedOn w:val="1"/>
    <w:qFormat/>
    <w:uiPriority w:val="0"/>
    <w:pPr>
      <w:widowControl/>
      <w:spacing w:line="300" w:lineRule="atLeast"/>
      <w:jc w:val="left"/>
    </w:pPr>
    <w:rPr>
      <w:rFonts w:ascii="宋体" w:hAnsi="宋体"/>
      <w:kern w:val="0"/>
      <w:sz w:val="18"/>
    </w:rPr>
  </w:style>
  <w:style w:type="paragraph" w:customStyle="1" w:styleId="111">
    <w:name w:val="关键词"/>
    <w:basedOn w:val="1"/>
    <w:next w:val="1"/>
    <w:qFormat/>
    <w:uiPriority w:val="0"/>
    <w:pPr>
      <w:spacing w:line="360" w:lineRule="auto"/>
    </w:pPr>
    <w:rPr>
      <w:rFonts w:eastAsia="黑体"/>
      <w:sz w:val="20"/>
    </w:rPr>
  </w:style>
  <w:style w:type="paragraph" w:styleId="112">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13">
    <w:name w:val="编号正文"/>
    <w:basedOn w:val="114"/>
    <w:qFormat/>
    <w:uiPriority w:val="0"/>
    <w:pPr>
      <w:snapToGrid/>
      <w:spacing w:line="360" w:lineRule="auto"/>
      <w:ind w:left="1407" w:hanging="1047"/>
      <w:jc w:val="left"/>
    </w:pPr>
    <w:rPr>
      <w:rFonts w:eastAsia="仿宋_GB2312"/>
    </w:rPr>
  </w:style>
  <w:style w:type="paragraph" w:customStyle="1" w:styleId="114">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15">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16">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7">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18">
    <w:name w:val="可研正文"/>
    <w:basedOn w:val="22"/>
    <w:qFormat/>
    <w:uiPriority w:val="0"/>
    <w:pPr>
      <w:adjustRightInd w:val="0"/>
      <w:snapToGrid w:val="0"/>
      <w:spacing w:line="440" w:lineRule="exact"/>
      <w:ind w:firstLine="567"/>
    </w:pPr>
    <w:rPr>
      <w:sz w:val="28"/>
    </w:rPr>
  </w:style>
  <w:style w:type="paragraph" w:customStyle="1" w:styleId="119">
    <w:name w:val="一级条标题"/>
    <w:basedOn w:val="120"/>
    <w:next w:val="121"/>
    <w:qFormat/>
    <w:uiPriority w:val="0"/>
    <w:pPr>
      <w:numPr>
        <w:ilvl w:val="1"/>
        <w:numId w:val="0"/>
      </w:numPr>
      <w:spacing w:before="0" w:beforeLines="0" w:beforeAutospacing="0" w:after="0" w:afterLines="0" w:afterAutospacing="0"/>
      <w:ind w:left="525"/>
      <w:outlineLvl w:val="2"/>
    </w:pPr>
    <w:rPr>
      <w:sz w:val="21"/>
    </w:rPr>
  </w:style>
  <w:style w:type="paragraph" w:customStyle="1" w:styleId="120">
    <w:name w:val="章标题"/>
    <w:next w:val="1"/>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2">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23">
    <w:name w:val="图片文字"/>
    <w:basedOn w:val="1"/>
    <w:qFormat/>
    <w:uiPriority w:val="0"/>
    <w:pPr>
      <w:spacing w:line="240" w:lineRule="atLeast"/>
      <w:jc w:val="center"/>
    </w:pPr>
    <w:rPr>
      <w:sz w:val="21"/>
    </w:rPr>
  </w:style>
  <w:style w:type="paragraph" w:customStyle="1" w:styleId="12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25">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26">
    <w:name w:val="样式 行距: 1.5 倍行距1"/>
    <w:basedOn w:val="1"/>
    <w:qFormat/>
    <w:uiPriority w:val="0"/>
    <w:pPr>
      <w:snapToGrid w:val="0"/>
    </w:pPr>
    <w:rPr>
      <w:sz w:val="21"/>
    </w:rPr>
  </w:style>
  <w:style w:type="paragraph" w:customStyle="1" w:styleId="127">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28">
    <w:name w:val="Char Char Char Char Char Char Char"/>
    <w:basedOn w:val="17"/>
    <w:qFormat/>
    <w:uiPriority w:val="0"/>
    <w:rPr>
      <w:rFonts w:ascii="宋体" w:hAnsi="Tahoma"/>
    </w:rPr>
  </w:style>
  <w:style w:type="paragraph" w:customStyle="1" w:styleId="129">
    <w:name w:val="表头文本"/>
    <w:qFormat/>
    <w:uiPriority w:val="0"/>
    <w:pPr>
      <w:jc w:val="center"/>
    </w:pPr>
    <w:rPr>
      <w:rFonts w:ascii="Arial" w:hAnsi="Arial" w:eastAsia="宋体" w:cs="Times New Roman"/>
      <w:b/>
      <w:sz w:val="21"/>
      <w:lang w:val="en-US" w:eastAsia="zh-CN" w:bidi="ar-SA"/>
    </w:rPr>
  </w:style>
  <w:style w:type="paragraph" w:customStyle="1" w:styleId="130">
    <w:name w:val="样式2"/>
    <w:basedOn w:val="5"/>
    <w:qFormat/>
    <w:uiPriority w:val="0"/>
    <w:pPr>
      <w:numPr>
        <w:ilvl w:val="0"/>
        <w:numId w:val="6"/>
      </w:numPr>
      <w:spacing w:before="560" w:beforeLines="0" w:line="400" w:lineRule="exact"/>
      <w:jc w:val="center"/>
      <w:outlineLvl w:val="0"/>
    </w:pPr>
    <w:rPr>
      <w:b w:val="0"/>
      <w:sz w:val="44"/>
    </w:rPr>
  </w:style>
  <w:style w:type="paragraph" w:customStyle="1" w:styleId="131">
    <w:name w:val="IN Feature"/>
    <w:next w:val="122"/>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32">
    <w:name w:val=" Char2 Char Char Char Char Char Char"/>
    <w:basedOn w:val="1"/>
    <w:qFormat/>
    <w:uiPriority w:val="0"/>
    <w:rPr>
      <w:rFonts w:ascii="仿宋_GB2312"/>
      <w:b/>
      <w:sz w:val="30"/>
    </w:rPr>
  </w:style>
  <w:style w:type="paragraph" w:customStyle="1" w:styleId="133">
    <w:name w:val=" Char Char 字元 字元 字元 Char Char Char Char"/>
    <w:basedOn w:val="1"/>
    <w:qFormat/>
    <w:uiPriority w:val="0"/>
    <w:pPr>
      <w:adjustRightInd w:val="0"/>
      <w:spacing w:line="360" w:lineRule="auto"/>
    </w:pPr>
    <w:rPr>
      <w:kern w:val="0"/>
      <w:sz w:val="24"/>
    </w:rPr>
  </w:style>
  <w:style w:type="paragraph" w:customStyle="1" w:styleId="134">
    <w:name w:val="Note"/>
    <w:basedOn w:val="1"/>
    <w:qFormat/>
    <w:uiPriority w:val="0"/>
    <w:pPr>
      <w:pBdr>
        <w:top w:val="single" w:color="auto" w:sz="12" w:space="3"/>
        <w:bottom w:val="single" w:color="auto" w:sz="12" w:space="3"/>
      </w:pBdr>
      <w:spacing w:line="360" w:lineRule="auto"/>
    </w:pPr>
    <w:rPr>
      <w:sz w:val="24"/>
    </w:rPr>
  </w:style>
  <w:style w:type="paragraph" w:customStyle="1" w:styleId="135">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36">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37">
    <w:name w:val="样式4"/>
    <w:basedOn w:val="5"/>
    <w:qFormat/>
    <w:uiPriority w:val="0"/>
    <w:pPr>
      <w:adjustRightInd w:val="0"/>
      <w:snapToGrid w:val="0"/>
    </w:pPr>
  </w:style>
  <w:style w:type="paragraph" w:customStyle="1" w:styleId="138">
    <w:name w:val="Body Text Indent 2"/>
    <w:basedOn w:val="1"/>
    <w:qFormat/>
    <w:uiPriority w:val="0"/>
    <w:pPr>
      <w:adjustRightInd w:val="0"/>
      <w:spacing w:before="120" w:beforeLines="0" w:beforeAutospacing="0"/>
      <w:ind w:firstLine="420"/>
      <w:textAlignment w:val="baseline"/>
    </w:pPr>
    <w:rPr>
      <w:sz w:val="24"/>
    </w:rPr>
  </w:style>
  <w:style w:type="paragraph" w:styleId="139">
    <w:name w:val="List Paragraph"/>
    <w:basedOn w:val="1"/>
    <w:qFormat/>
    <w:uiPriority w:val="34"/>
    <w:pPr>
      <w:ind w:firstLine="420" w:firstLineChars="200"/>
    </w:pPr>
    <w:rPr>
      <w:rFonts w:ascii="宋体" w:hAnsi="宋体" w:eastAsia="宋体" w:cs="Times New Roman"/>
      <w:sz w:val="21"/>
      <w:szCs w:val="22"/>
    </w:rPr>
  </w:style>
  <w:style w:type="paragraph" w:customStyle="1" w:styleId="140">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41">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42">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143">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44">
    <w:name w:val="二级列表"/>
    <w:basedOn w:val="116"/>
    <w:next w:val="116"/>
    <w:qFormat/>
    <w:uiPriority w:val="0"/>
    <w:pPr>
      <w:tabs>
        <w:tab w:val="left" w:pos="2120"/>
      </w:tabs>
      <w:ind w:firstLine="0" w:firstLineChars="0"/>
    </w:pPr>
    <w:rPr>
      <w:b/>
    </w:rPr>
  </w:style>
  <w:style w:type="paragraph" w:customStyle="1" w:styleId="145">
    <w:name w:val="样式 首行缩进:  0.74 厘米"/>
    <w:basedOn w:val="1"/>
    <w:qFormat/>
    <w:uiPriority w:val="0"/>
    <w:pPr>
      <w:spacing w:line="360" w:lineRule="auto"/>
      <w:ind w:firstLine="420"/>
    </w:pPr>
    <w:rPr>
      <w:sz w:val="24"/>
    </w:rPr>
  </w:style>
  <w:style w:type="paragraph" w:customStyle="1" w:styleId="146">
    <w:name w:val="1"/>
    <w:basedOn w:val="1"/>
    <w:next w:val="23"/>
    <w:qFormat/>
    <w:uiPriority w:val="0"/>
    <w:rPr>
      <w:rFonts w:ascii="宋体" w:hAnsi="Courier New"/>
      <w:sz w:val="21"/>
    </w:rPr>
  </w:style>
  <w:style w:type="paragraph" w:customStyle="1" w:styleId="14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48">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49">
    <w:name w:val="样式1xz"/>
    <w:basedOn w:val="1"/>
    <w:qFormat/>
    <w:uiPriority w:val="0"/>
    <w:pPr>
      <w:tabs>
        <w:tab w:val="left" w:pos="1050"/>
        <w:tab w:val="right" w:leader="dot" w:pos="8296"/>
      </w:tabs>
    </w:pPr>
    <w:rPr>
      <w:caps/>
      <w:spacing w:val="20"/>
      <w:sz w:val="24"/>
    </w:rPr>
  </w:style>
  <w:style w:type="paragraph" w:customStyle="1" w:styleId="150">
    <w:name w:val="标题3——2"/>
    <w:basedOn w:val="4"/>
    <w:next w:val="58"/>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151">
    <w:name w:val="默认段落字体 Para Char Char Char Char Char Char Char Char Char1 Char Char Char Char"/>
    <w:basedOn w:val="1"/>
    <w:qFormat/>
    <w:uiPriority w:val="0"/>
    <w:rPr>
      <w:rFonts w:ascii="Tahoma" w:hAnsi="Tahoma"/>
      <w:sz w:val="24"/>
    </w:rPr>
  </w:style>
  <w:style w:type="paragraph" w:customStyle="1" w:styleId="152">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53">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5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55">
    <w:name w:val="默认段落字体 Para Char Char Char Char Char Char Char"/>
    <w:basedOn w:val="1"/>
    <w:qFormat/>
    <w:uiPriority w:val="0"/>
    <w:rPr>
      <w:rFonts w:ascii="Tahoma" w:hAnsi="Tahoma"/>
      <w:sz w:val="24"/>
    </w:rPr>
  </w:style>
  <w:style w:type="paragraph" w:customStyle="1" w:styleId="156">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5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158">
    <w:name w:val="标准正文"/>
    <w:basedOn w:val="24"/>
    <w:qFormat/>
    <w:uiPriority w:val="0"/>
    <w:pPr>
      <w:spacing w:before="60" w:beforeLines="0" w:after="60" w:afterLines="0" w:line="360" w:lineRule="auto"/>
      <w:ind w:left="0" w:firstLine="482"/>
    </w:pPr>
    <w:rPr>
      <w:rFonts w:ascii="Arial" w:hAnsi="Arial"/>
      <w:sz w:val="24"/>
    </w:rPr>
  </w:style>
  <w:style w:type="paragraph" w:customStyle="1" w:styleId="159">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60">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61">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162">
    <w:name w:val="_"/>
    <w:basedOn w:val="1"/>
    <w:qFormat/>
    <w:uiPriority w:val="0"/>
    <w:pPr>
      <w:adjustRightInd w:val="0"/>
      <w:spacing w:line="360" w:lineRule="auto"/>
      <w:ind w:left="480" w:firstLine="200" w:firstLineChars="200"/>
      <w:textAlignment w:val="baseline"/>
    </w:pPr>
    <w:rPr>
      <w:kern w:val="0"/>
      <w:sz w:val="24"/>
    </w:rPr>
  </w:style>
  <w:style w:type="paragraph" w:customStyle="1" w:styleId="163">
    <w:name w:val="样式 样式 首行缩进:  2 字符 + 首行缩进:  2 字符"/>
    <w:basedOn w:val="1"/>
    <w:qFormat/>
    <w:uiPriority w:val="0"/>
    <w:pPr>
      <w:numPr>
        <w:ilvl w:val="0"/>
        <w:numId w:val="7"/>
      </w:numPr>
      <w:tabs>
        <w:tab w:val="clear" w:pos="1230"/>
      </w:tabs>
      <w:spacing w:line="360" w:lineRule="auto"/>
      <w:ind w:firstLine="480" w:firstLineChars="200"/>
    </w:pPr>
    <w:rPr>
      <w:sz w:val="24"/>
    </w:rPr>
  </w:style>
  <w:style w:type="paragraph" w:customStyle="1" w:styleId="164">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5">
    <w:name w:val="_Style 162"/>
    <w:qFormat/>
    <w:uiPriority w:val="0"/>
    <w:rPr>
      <w:rFonts w:ascii="Times New Roman" w:hAnsi="Times New Roman" w:eastAsia="宋体" w:cs="Times New Roman"/>
      <w:kern w:val="2"/>
      <w:sz w:val="21"/>
      <w:lang w:val="en-US" w:eastAsia="zh-CN" w:bidi="ar-SA"/>
    </w:rPr>
  </w:style>
  <w:style w:type="paragraph" w:customStyle="1" w:styleId="166">
    <w:name w:val=" Char Char1 Char"/>
    <w:basedOn w:val="1"/>
    <w:qFormat/>
    <w:uiPriority w:val="0"/>
    <w:rPr>
      <w:rFonts w:ascii="Tahoma" w:hAnsi="Tahoma"/>
      <w:sz w:val="24"/>
      <w:szCs w:val="24"/>
    </w:rPr>
  </w:style>
  <w:style w:type="paragraph" w:customStyle="1" w:styleId="167">
    <w:name w:val="操作步骤"/>
    <w:basedOn w:val="1"/>
    <w:qFormat/>
    <w:uiPriority w:val="0"/>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68">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69">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70">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171">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72">
    <w:name w:val=" Char Char Char Char Char Char Char"/>
    <w:basedOn w:val="1"/>
    <w:qFormat/>
    <w:uiPriority w:val="0"/>
    <w:rPr>
      <w:rFonts w:ascii="Tahoma" w:hAnsi="Tahoma"/>
      <w:sz w:val="24"/>
    </w:rPr>
  </w:style>
  <w:style w:type="paragraph" w:customStyle="1" w:styleId="173">
    <w:name w:val="正文 + 三号"/>
    <w:basedOn w:val="1"/>
    <w:qFormat/>
    <w:uiPriority w:val="0"/>
    <w:rPr>
      <w:sz w:val="21"/>
    </w:rPr>
  </w:style>
  <w:style w:type="paragraph" w:customStyle="1" w:styleId="174">
    <w:name w:val="文章正文"/>
    <w:basedOn w:val="1"/>
    <w:qFormat/>
    <w:uiPriority w:val="0"/>
    <w:pPr>
      <w:ind w:firstLine="560" w:firstLineChars="200"/>
    </w:pPr>
    <w:rPr>
      <w:rFonts w:ascii="仿宋_GB2312" w:hAnsi="宋体" w:eastAsia="仿宋_GB2312"/>
      <w:color w:val="000000"/>
    </w:rPr>
  </w:style>
  <w:style w:type="paragraph" w:customStyle="1" w:styleId="175">
    <w:name w:val="Title - Revision"/>
    <w:basedOn w:val="56"/>
    <w:qFormat/>
    <w:uiPriority w:val="0"/>
    <w:pPr>
      <w:spacing w:before="720" w:beforeLines="0" w:beforeAutospacing="0"/>
    </w:pPr>
  </w:style>
  <w:style w:type="paragraph" w:customStyle="1" w:styleId="176">
    <w:name w:val="首行缩进 1"/>
    <w:basedOn w:val="1"/>
    <w:qFormat/>
    <w:uiPriority w:val="0"/>
    <w:pPr>
      <w:spacing w:after="120" w:afterLines="0" w:afterAutospacing="0" w:line="360" w:lineRule="auto"/>
      <w:ind w:firstLine="200" w:firstLineChars="200"/>
    </w:pPr>
    <w:rPr>
      <w:sz w:val="24"/>
    </w:rPr>
  </w:style>
  <w:style w:type="paragraph" w:customStyle="1" w:styleId="177">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78">
    <w:name w:val="文本1"/>
    <w:basedOn w:val="1"/>
    <w:qFormat/>
    <w:uiPriority w:val="0"/>
    <w:pPr>
      <w:adjustRightInd w:val="0"/>
      <w:spacing w:line="312" w:lineRule="atLeast"/>
      <w:jc w:val="center"/>
      <w:textAlignment w:val="baseline"/>
    </w:pPr>
    <w:rPr>
      <w:kern w:val="0"/>
      <w:sz w:val="18"/>
    </w:rPr>
  </w:style>
  <w:style w:type="paragraph" w:customStyle="1" w:styleId="179">
    <w:name w:val="标书正文:  0.74 厘米"/>
    <w:basedOn w:val="1"/>
    <w:qFormat/>
    <w:uiPriority w:val="0"/>
    <w:pPr>
      <w:snapToGrid w:val="0"/>
      <w:spacing w:line="360" w:lineRule="auto"/>
      <w:ind w:firstLine="420"/>
    </w:pPr>
    <w:rPr>
      <w:sz w:val="24"/>
    </w:rPr>
  </w:style>
  <w:style w:type="paragraph" w:customStyle="1" w:styleId="180">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81">
    <w:name w:val="表号"/>
    <w:basedOn w:val="1"/>
    <w:qFormat/>
    <w:uiPriority w:val="0"/>
    <w:pPr>
      <w:numPr>
        <w:ilvl w:val="0"/>
        <w:numId w:val="9"/>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82">
    <w:name w:val="表格文本"/>
    <w:qFormat/>
    <w:uiPriority w:val="0"/>
    <w:pPr>
      <w:tabs>
        <w:tab w:val="decimal" w:pos="0"/>
      </w:tabs>
    </w:pPr>
    <w:rPr>
      <w:rFonts w:ascii="Arial" w:hAnsi="Arial" w:eastAsia="宋体" w:cs="Times New Roman"/>
      <w:sz w:val="21"/>
      <w:lang w:val="en-US" w:eastAsia="zh-CN" w:bidi="ar-SA"/>
    </w:rPr>
  </w:style>
  <w:style w:type="paragraph" w:customStyle="1" w:styleId="183">
    <w:name w:val="内容标题"/>
    <w:basedOn w:val="17"/>
    <w:qFormat/>
    <w:uiPriority w:val="0"/>
    <w:rPr>
      <w:rFonts w:ascii="Tahoma" w:hAnsi="Tahoma"/>
      <w:sz w:val="24"/>
    </w:rPr>
  </w:style>
  <w:style w:type="paragraph" w:customStyle="1" w:styleId="18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85">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18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87">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8">
    <w:name w:val="正文表格"/>
    <w:basedOn w:val="1"/>
    <w:qFormat/>
    <w:uiPriority w:val="0"/>
    <w:pPr>
      <w:adjustRightInd w:val="0"/>
      <w:spacing w:before="40" w:beforeLines="0" w:beforeAutospacing="0" w:after="40" w:afterLines="0" w:afterAutospacing="0"/>
    </w:pPr>
    <w:rPr>
      <w:sz w:val="24"/>
    </w:rPr>
  </w:style>
  <w:style w:type="paragraph" w:customStyle="1" w:styleId="189">
    <w:name w:val="正文1"/>
    <w:basedOn w:val="1"/>
    <w:qFormat/>
    <w:uiPriority w:val="0"/>
    <w:pPr>
      <w:spacing w:line="300" w:lineRule="auto"/>
      <w:ind w:firstLine="200" w:firstLineChars="200"/>
    </w:pPr>
    <w:rPr>
      <w:sz w:val="24"/>
    </w:rPr>
  </w:style>
  <w:style w:type="paragraph" w:customStyle="1" w:styleId="190">
    <w:name w:val=" Char Char14 Char Char"/>
    <w:basedOn w:val="1"/>
    <w:qFormat/>
    <w:uiPriority w:val="0"/>
    <w:rPr>
      <w:sz w:val="21"/>
      <w:szCs w:val="24"/>
    </w:rPr>
  </w:style>
  <w:style w:type="paragraph" w:customStyle="1" w:styleId="191">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92">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93">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94">
    <w:name w:val="列出段落1"/>
    <w:basedOn w:val="1"/>
    <w:qFormat/>
    <w:uiPriority w:val="34"/>
    <w:pPr>
      <w:ind w:firstLine="420" w:firstLineChars="200"/>
    </w:pPr>
    <w:rPr>
      <w:rFonts w:ascii="宋体" w:hAnsi="宋体" w:eastAsia="宋体" w:cs="Times New Roman"/>
      <w:sz w:val="21"/>
      <w:szCs w:val="22"/>
    </w:rPr>
  </w:style>
  <w:style w:type="paragraph" w:customStyle="1" w:styleId="195">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9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9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98">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99">
    <w:name w:val="Table Contents"/>
    <w:basedOn w:val="22"/>
    <w:qFormat/>
    <w:uiPriority w:val="0"/>
    <w:pPr>
      <w:suppressAutoHyphens/>
      <w:jc w:val="left"/>
    </w:pPr>
    <w:rPr>
      <w:rFonts w:ascii="Times New Roman" w:eastAsia="Times New Roman"/>
      <w:kern w:val="0"/>
      <w:sz w:val="24"/>
    </w:rPr>
  </w:style>
  <w:style w:type="paragraph" w:customStyle="1" w:styleId="200">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01">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02">
    <w:name w:val=" Char Char Char"/>
    <w:basedOn w:val="1"/>
    <w:qFormat/>
    <w:uiPriority w:val="0"/>
    <w:rPr>
      <w:rFonts w:ascii="Tahoma" w:hAnsi="Tahoma"/>
      <w:sz w:val="24"/>
    </w:rPr>
  </w:style>
  <w:style w:type="paragraph" w:customStyle="1" w:styleId="203">
    <w:name w:val="表头样式"/>
    <w:basedOn w:val="1"/>
    <w:qFormat/>
    <w:uiPriority w:val="0"/>
    <w:pPr>
      <w:autoSpaceDE w:val="0"/>
      <w:autoSpaceDN w:val="0"/>
      <w:adjustRightInd w:val="0"/>
      <w:spacing w:line="360" w:lineRule="auto"/>
      <w:jc w:val="left"/>
    </w:pPr>
    <w:rPr>
      <w:b/>
      <w:kern w:val="0"/>
      <w:sz w:val="21"/>
    </w:rPr>
  </w:style>
  <w:style w:type="paragraph" w:customStyle="1" w:styleId="204">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205">
    <w:name w:val="简单回函地址"/>
    <w:basedOn w:val="1"/>
    <w:qFormat/>
    <w:uiPriority w:val="0"/>
    <w:pPr>
      <w:adjustRightInd w:val="0"/>
      <w:snapToGrid w:val="0"/>
      <w:spacing w:line="360" w:lineRule="auto"/>
    </w:pPr>
    <w:rPr>
      <w:sz w:val="24"/>
    </w:rPr>
  </w:style>
  <w:style w:type="paragraph" w:customStyle="1" w:styleId="206">
    <w:name w:val=" Char1 Char Char Char"/>
    <w:basedOn w:val="1"/>
    <w:qFormat/>
    <w:uiPriority w:val="0"/>
    <w:rPr>
      <w:rFonts w:ascii="Tahoma" w:hAnsi="Tahoma"/>
      <w:sz w:val="24"/>
    </w:rPr>
  </w:style>
  <w:style w:type="paragraph" w:customStyle="1" w:styleId="207">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208">
    <w:name w:val="样式 正文缩进正文（首行缩进两字）表正文正文非缩进特点标题4段1 + 首行缩进:  2 字符"/>
    <w:basedOn w:val="15"/>
    <w:qFormat/>
    <w:uiPriority w:val="0"/>
    <w:pPr>
      <w:ind w:firstLine="480" w:firstLineChars="200"/>
    </w:pPr>
  </w:style>
  <w:style w:type="paragraph" w:customStyle="1" w:styleId="20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10">
    <w:name w:val=" Char"/>
    <w:basedOn w:val="1"/>
    <w:qFormat/>
    <w:uiPriority w:val="0"/>
    <w:pPr>
      <w:spacing w:line="240" w:lineRule="atLeast"/>
      <w:ind w:left="420" w:firstLine="420"/>
    </w:pPr>
    <w:rPr>
      <w:kern w:val="0"/>
      <w:sz w:val="21"/>
    </w:rPr>
  </w:style>
  <w:style w:type="paragraph" w:customStyle="1" w:styleId="211">
    <w:name w:val="表内容不缩进"/>
    <w:basedOn w:val="1"/>
    <w:qFormat/>
    <w:uiPriority w:val="0"/>
    <w:pPr>
      <w:spacing w:afterLines="25" w:line="560" w:lineRule="exact"/>
    </w:pPr>
    <w:rPr>
      <w:rFonts w:ascii="仿宋_GB2312" w:hAnsi="等线" w:eastAsia="仿宋_GB2312"/>
      <w:sz w:val="24"/>
      <w:szCs w:val="22"/>
    </w:rPr>
  </w:style>
  <w:style w:type="paragraph" w:customStyle="1" w:styleId="212">
    <w:name w:val="Title - Date"/>
    <w:basedOn w:val="56"/>
    <w:next w:val="1"/>
    <w:qFormat/>
    <w:uiPriority w:val="0"/>
    <w:pPr>
      <w:spacing w:before="240" w:beforeLines="0" w:beforeAutospacing="0" w:after="720" w:afterLines="0" w:afterAutospacing="0"/>
    </w:pPr>
    <w:rPr>
      <w:sz w:val="28"/>
    </w:rPr>
  </w:style>
  <w:style w:type="paragraph" w:customStyle="1" w:styleId="21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214">
    <w:name w:val="1.正文"/>
    <w:basedOn w:val="1"/>
    <w:qFormat/>
    <w:uiPriority w:val="0"/>
    <w:pPr>
      <w:spacing w:line="360" w:lineRule="auto"/>
      <w:ind w:left="540" w:leftChars="225" w:firstLine="540" w:firstLineChars="225"/>
    </w:pPr>
    <w:rPr>
      <w:sz w:val="24"/>
    </w:rPr>
  </w:style>
  <w:style w:type="paragraph" w:customStyle="1" w:styleId="215">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216">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17">
    <w:name w:val="Item List"/>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218">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9">
    <w:name w:val="首行缩进"/>
    <w:basedOn w:val="1"/>
    <w:qFormat/>
    <w:uiPriority w:val="0"/>
    <w:pPr>
      <w:numPr>
        <w:ilvl w:val="0"/>
        <w:numId w:val="12"/>
      </w:numPr>
      <w:spacing w:line="360" w:lineRule="auto"/>
    </w:pPr>
    <w:rPr>
      <w:rFonts w:eastAsia="仿宋_GB2312"/>
    </w:rPr>
  </w:style>
  <w:style w:type="paragraph" w:customStyle="1" w:styleId="220">
    <w:name w:val="Char1 Char Char Char"/>
    <w:basedOn w:val="1"/>
    <w:qFormat/>
    <w:uiPriority w:val="0"/>
    <w:rPr>
      <w:rFonts w:ascii="Tahoma" w:hAnsi="Tahoma"/>
      <w:sz w:val="30"/>
    </w:rPr>
  </w:style>
  <w:style w:type="paragraph" w:customStyle="1" w:styleId="221">
    <w:name w:val="摘要"/>
    <w:basedOn w:val="1"/>
    <w:next w:val="3"/>
    <w:qFormat/>
    <w:uiPriority w:val="0"/>
    <w:pPr>
      <w:spacing w:line="360" w:lineRule="auto"/>
    </w:pPr>
    <w:rPr>
      <w:rFonts w:eastAsia="黑体"/>
      <w:sz w:val="20"/>
    </w:rPr>
  </w:style>
  <w:style w:type="paragraph" w:customStyle="1" w:styleId="222">
    <w:name w:val="表格内文字"/>
    <w:basedOn w:val="23"/>
    <w:qFormat/>
    <w:uiPriority w:val="0"/>
    <w:pPr>
      <w:adjustRightInd w:val="0"/>
    </w:pPr>
    <w:rPr>
      <w:color w:val="000000"/>
      <w:lang w:val="en-GB"/>
    </w:rPr>
  </w:style>
  <w:style w:type="paragraph" w:customStyle="1" w:styleId="223">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24">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25">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27">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28">
    <w:name w:val="表文字"/>
    <w:qFormat/>
    <w:uiPriority w:val="0"/>
    <w:rPr>
      <w:rFonts w:ascii="宋体" w:hAnsi="Times New Roman" w:eastAsia="宋体" w:cs="Times New Roman"/>
      <w:kern w:val="2"/>
      <w:lang w:val="en-US" w:eastAsia="zh-CN" w:bidi="ar-SA"/>
    </w:rPr>
  </w:style>
  <w:style w:type="paragraph" w:customStyle="1" w:styleId="229">
    <w:name w:val=" Char Char Char Char Char Char Char Char Char Char Char Char Char Char Char Char"/>
    <w:basedOn w:val="1"/>
    <w:qFormat/>
    <w:uiPriority w:val="0"/>
    <w:pPr>
      <w:tabs>
        <w:tab w:val="left" w:pos="360"/>
      </w:tabs>
    </w:pPr>
    <w:rPr>
      <w:sz w:val="24"/>
    </w:rPr>
  </w:style>
  <w:style w:type="paragraph" w:customStyle="1" w:styleId="230">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31">
    <w:name w:val="00"/>
    <w:basedOn w:val="1"/>
    <w:qFormat/>
    <w:uiPriority w:val="0"/>
    <w:pPr>
      <w:autoSpaceDE w:val="0"/>
      <w:autoSpaceDN w:val="0"/>
      <w:adjustRightInd w:val="0"/>
      <w:jc w:val="left"/>
    </w:pPr>
    <w:rPr>
      <w:rFonts w:ascii="黑体" w:eastAsia="黑体"/>
      <w:b/>
      <w:kern w:val="0"/>
      <w:sz w:val="20"/>
    </w:rPr>
  </w:style>
  <w:style w:type="paragraph" w:customStyle="1" w:styleId="232">
    <w:name w:val=" Char1"/>
    <w:basedOn w:val="1"/>
    <w:qFormat/>
    <w:uiPriority w:val="0"/>
    <w:rPr>
      <w:sz w:val="21"/>
    </w:rPr>
  </w:style>
  <w:style w:type="paragraph" w:customStyle="1" w:styleId="233">
    <w:name w:val="标题无"/>
    <w:basedOn w:val="1"/>
    <w:qFormat/>
    <w:uiPriority w:val="0"/>
    <w:pPr>
      <w:spacing w:line="360" w:lineRule="auto"/>
    </w:pPr>
    <w:rPr>
      <w:sz w:val="24"/>
    </w:rPr>
  </w:style>
  <w:style w:type="paragraph" w:customStyle="1" w:styleId="23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35">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36">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237">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238">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9">
    <w:name w:val="二级条标题"/>
    <w:basedOn w:val="119"/>
    <w:next w:val="121"/>
    <w:qFormat/>
    <w:uiPriority w:val="0"/>
    <w:pPr>
      <w:ind w:left="840"/>
      <w:outlineLvl w:val="3"/>
    </w:pPr>
  </w:style>
  <w:style w:type="paragraph" w:customStyle="1" w:styleId="240">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241">
    <w:name w:val="Char"/>
    <w:basedOn w:val="1"/>
    <w:qFormat/>
    <w:uiPriority w:val="0"/>
    <w:pPr>
      <w:spacing w:line="240" w:lineRule="atLeast"/>
      <w:ind w:left="420" w:firstLine="420"/>
    </w:pPr>
    <w:rPr>
      <w:kern w:val="0"/>
      <w:sz w:val="21"/>
    </w:rPr>
  </w:style>
  <w:style w:type="paragraph" w:customStyle="1" w:styleId="242">
    <w:name w:val="样式 宋体 五号 行距: 单倍行距"/>
    <w:basedOn w:val="1"/>
    <w:qFormat/>
    <w:uiPriority w:val="0"/>
    <w:pPr>
      <w:adjustRightInd w:val="0"/>
      <w:jc w:val="left"/>
    </w:pPr>
    <w:rPr>
      <w:rFonts w:ascii="宋体" w:hAnsi="宋体"/>
      <w:kern w:val="0"/>
      <w:sz w:val="21"/>
    </w:rPr>
  </w:style>
  <w:style w:type="paragraph" w:customStyle="1" w:styleId="243">
    <w:name w:val="正文（首行不缩进）"/>
    <w:basedOn w:val="1"/>
    <w:qFormat/>
    <w:uiPriority w:val="0"/>
    <w:pPr>
      <w:autoSpaceDE w:val="0"/>
      <w:autoSpaceDN w:val="0"/>
      <w:adjustRightInd w:val="0"/>
      <w:spacing w:line="360" w:lineRule="auto"/>
      <w:jc w:val="left"/>
    </w:pPr>
    <w:rPr>
      <w:kern w:val="0"/>
      <w:sz w:val="21"/>
    </w:rPr>
  </w:style>
  <w:style w:type="paragraph" w:customStyle="1" w:styleId="244">
    <w:name w:val="标题11"/>
    <w:basedOn w:val="1"/>
    <w:next w:val="1"/>
    <w:qFormat/>
    <w:uiPriority w:val="0"/>
    <w:pPr>
      <w:keepNext/>
      <w:snapToGrid w:val="0"/>
      <w:spacing w:line="360" w:lineRule="atLeast"/>
      <w:jc w:val="center"/>
      <w:outlineLvl w:val="0"/>
    </w:pPr>
    <w:rPr>
      <w:rFonts w:hint="eastAsia" w:ascii="宋体" w:hAnsi="宋体" w:eastAsia="仿宋"/>
      <w:b/>
      <w:sz w:val="36"/>
    </w:rPr>
  </w:style>
  <w:style w:type="character" w:customStyle="1" w:styleId="245">
    <w:name w:val="标题 1 Char"/>
    <w:link w:val="2"/>
    <w:qFormat/>
    <w:uiPriority w:val="0"/>
    <w:rPr>
      <w:rFonts w:ascii="宋体"/>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6017</Words>
  <Characters>6512</Characters>
  <Lines>200</Lines>
  <Paragraphs>56</Paragraphs>
  <TotalTime>110</TotalTime>
  <ScaleCrop>false</ScaleCrop>
  <LinksUpToDate>false</LinksUpToDate>
  <CharactersWithSpaces>6690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2023-06-08T09:00:00Z</dcterms:created>
  <dc:creator>瀚涵</dc:creator>
  <cp:lastModifiedBy>187----1537</cp:lastModifiedBy>
  <cp:lastPrinted>2025-09-29T08:41:00Z</cp:lastPrinted>
  <dcterms:modified xsi:type="dcterms:W3CDTF">2025-10-20T09:26:27Z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228CC5C8DEB84C42AA188E9839BE835C_13</vt:lpwstr>
  </property>
  <property fmtid="{D5CDD505-2E9C-101B-9397-08002B2CF9AE}" pid="4" name="KSOTemplateDocerSaveRecord">
    <vt:lpwstr>eyJoZGlkIjoiMjhhYjNhMzg1ZDY4YmQxN2ZkNDA1Y2RlZTkyNDE4MGYiLCJ1c2VySWQiOiI3NTI4OTI5MjYifQ==</vt:lpwstr>
  </property>
</Properties>
</file>