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F14EA">
      <w:pPr>
        <w:jc w:val="center"/>
        <w:rPr>
          <w:rFonts w:hint="eastAsia" w:ascii="方正仿宋_GBK" w:hAnsi="方正仿宋_GBK" w:eastAsia="方正仿宋_GBK" w:cs="方正仿宋_GBK"/>
          <w:b/>
          <w:bCs/>
          <w:color w:val="auto"/>
          <w:sz w:val="144"/>
          <w:szCs w:val="52"/>
          <w:highlight w:val="none"/>
        </w:rPr>
      </w:pPr>
      <w:bookmarkStart w:id="0" w:name="_Toc31917"/>
      <w:bookmarkStart w:id="1" w:name="_Toc31370"/>
      <w:bookmarkStart w:id="2" w:name="_Toc19609"/>
      <w:bookmarkStart w:id="3" w:name="_Toc17591"/>
      <w:bookmarkStart w:id="4" w:name="_Toc7408"/>
      <w:bookmarkStart w:id="5" w:name="_Toc16779"/>
      <w:bookmarkStart w:id="6" w:name="_Toc30711"/>
      <w:bookmarkStart w:id="7" w:name="_Toc30988"/>
      <w:r>
        <w:rPr>
          <w:rFonts w:hint="eastAsia" w:ascii="方正仿宋_GBK" w:hAnsi="方正仿宋_GBK" w:eastAsia="方正仿宋_GBK" w:cs="方正仿宋_GBK"/>
          <w:b/>
          <w:bCs/>
          <w:color w:val="auto"/>
          <w:sz w:val="144"/>
          <w:szCs w:val="52"/>
          <w:highlight w:val="none"/>
        </w:rPr>
        <w:t>国企采购</w:t>
      </w:r>
    </w:p>
    <w:p w14:paraId="60A24074">
      <w:pPr>
        <w:jc w:val="center"/>
        <w:rPr>
          <w:rFonts w:hint="eastAsia" w:ascii="方正仿宋_GBK" w:hAnsi="方正仿宋_GBK" w:eastAsia="方正仿宋_GBK" w:cs="方正仿宋_GBK"/>
          <w:b/>
          <w:bCs/>
          <w:color w:val="auto"/>
          <w:sz w:val="144"/>
          <w:szCs w:val="52"/>
          <w:highlight w:val="none"/>
        </w:rPr>
      </w:pPr>
      <w:r>
        <w:rPr>
          <w:rFonts w:hint="eastAsia" w:ascii="方正仿宋_GBK" w:hAnsi="方正仿宋_GBK" w:eastAsia="方正仿宋_GBK" w:cs="方正仿宋_GBK"/>
          <w:b/>
          <w:bCs/>
          <w:color w:val="auto"/>
          <w:sz w:val="144"/>
          <w:szCs w:val="52"/>
          <w:highlight w:val="none"/>
        </w:rPr>
        <w:t>竞采文件</w:t>
      </w:r>
      <w:bookmarkStart w:id="210" w:name="_GoBack"/>
      <w:bookmarkEnd w:id="210"/>
    </w:p>
    <w:bookmarkEnd w:id="0"/>
    <w:bookmarkEnd w:id="1"/>
    <w:bookmarkEnd w:id="2"/>
    <w:bookmarkEnd w:id="3"/>
    <w:bookmarkEnd w:id="4"/>
    <w:bookmarkEnd w:id="5"/>
    <w:bookmarkEnd w:id="6"/>
    <w:bookmarkEnd w:id="7"/>
    <w:p w14:paraId="4B8F8E1D">
      <w:pPr>
        <w:spacing w:line="1600" w:lineRule="exact"/>
        <w:jc w:val="center"/>
        <w:rPr>
          <w:rFonts w:hint="eastAsia" w:ascii="方正仿宋_GBK" w:hAnsi="方正仿宋_GBK" w:eastAsia="方正仿宋_GBK" w:cs="方正仿宋_GBK"/>
          <w:b/>
          <w:bCs/>
          <w:color w:val="auto"/>
          <w:spacing w:val="80"/>
          <w:sz w:val="86"/>
          <w:szCs w:val="86"/>
          <w:highlight w:val="none"/>
        </w:rPr>
      </w:pPr>
      <w:r>
        <w:rPr>
          <w:rFonts w:hint="eastAsia" w:ascii="方正仿宋_GBK" w:hAnsi="方正仿宋_GBK" w:eastAsia="方正仿宋_GBK" w:cs="方正仿宋_GBK"/>
          <w:b/>
          <w:bCs/>
          <w:color w:val="auto"/>
          <w:sz w:val="72"/>
          <w:szCs w:val="44"/>
          <w:highlight w:val="none"/>
        </w:rPr>
        <w:t>（服务类综合评分）</w:t>
      </w:r>
    </w:p>
    <w:p w14:paraId="5D4BBE8F">
      <w:pPr>
        <w:pStyle w:val="3"/>
        <w:jc w:val="center"/>
        <w:rPr>
          <w:rFonts w:hint="eastAsia" w:ascii="方正仿宋_GBK" w:hAnsi="方正仿宋_GBK" w:eastAsia="方正仿宋_GBK" w:cs="方正仿宋_GBK"/>
          <w:bCs/>
          <w:color w:val="auto"/>
          <w:spacing w:val="80"/>
          <w:sz w:val="44"/>
          <w:szCs w:val="44"/>
          <w:highlight w:val="none"/>
        </w:rPr>
      </w:pPr>
    </w:p>
    <w:p w14:paraId="50036204">
      <w:pPr>
        <w:spacing w:line="700" w:lineRule="exact"/>
        <w:ind w:firstLine="720" w:firstLineChars="200"/>
        <w:rPr>
          <w:rFonts w:hint="eastAsia" w:ascii="方正仿宋_GBK" w:hAnsi="方正仿宋_GBK" w:eastAsia="方正仿宋_GBK" w:cs="方正仿宋_GBK"/>
          <w:color w:val="auto"/>
          <w:sz w:val="36"/>
          <w:szCs w:val="30"/>
          <w:highlight w:val="none"/>
        </w:rPr>
      </w:pPr>
      <w:bookmarkStart w:id="8" w:name="_Hlk111636989"/>
      <w:r>
        <w:rPr>
          <w:rFonts w:hint="eastAsia" w:ascii="方正仿宋_GBK" w:hAnsi="方正仿宋_GBK" w:eastAsia="方正仿宋_GBK" w:cs="方正仿宋_GBK"/>
          <w:color w:val="auto"/>
          <w:sz w:val="36"/>
          <w:szCs w:val="30"/>
          <w:highlight w:val="none"/>
          <w:lang w:val="en-US" w:eastAsia="zh-CN"/>
        </w:rPr>
        <w:t>项目编号：lfjt25C00133</w:t>
      </w:r>
    </w:p>
    <w:p w14:paraId="752E2B71">
      <w:pPr>
        <w:spacing w:line="700" w:lineRule="exact"/>
        <w:ind w:firstLine="720" w:firstLineChars="200"/>
        <w:rPr>
          <w:rFonts w:hint="eastAsia" w:ascii="方正仿宋_GBK" w:hAnsi="方正仿宋_GBK" w:eastAsia="方正仿宋_GBK" w:cs="方正仿宋_GBK"/>
          <w:color w:val="auto"/>
          <w:sz w:val="36"/>
          <w:szCs w:val="30"/>
          <w:highlight w:val="none"/>
          <w:lang w:eastAsia="zh-CN"/>
        </w:rPr>
      </w:pPr>
      <w:r>
        <w:rPr>
          <w:rFonts w:hint="eastAsia" w:ascii="方正仿宋_GBK" w:hAnsi="方正仿宋_GBK" w:eastAsia="方正仿宋_GBK" w:cs="方正仿宋_GBK"/>
          <w:color w:val="auto"/>
          <w:sz w:val="36"/>
          <w:szCs w:val="30"/>
          <w:highlight w:val="none"/>
        </w:rPr>
        <w:t>项目名称：</w:t>
      </w:r>
      <w:bookmarkEnd w:id="8"/>
      <w:r>
        <w:rPr>
          <w:rFonts w:hint="eastAsia" w:ascii="方正仿宋_GBK" w:hAnsi="方正仿宋_GBK" w:eastAsia="方正仿宋_GBK" w:cs="方正仿宋_GBK"/>
          <w:color w:val="auto"/>
          <w:sz w:val="36"/>
          <w:szCs w:val="30"/>
          <w:highlight w:val="none"/>
          <w:lang w:eastAsia="zh-CN"/>
        </w:rPr>
        <w:t>璧山区全域研学项目规划方案</w:t>
      </w:r>
    </w:p>
    <w:p w14:paraId="20834FD0">
      <w:pPr>
        <w:spacing w:line="700" w:lineRule="exact"/>
        <w:ind w:firstLine="2520" w:firstLineChars="700"/>
        <w:rPr>
          <w:rFonts w:hint="eastAsia" w:ascii="方正仿宋_GBK" w:hAnsi="方正仿宋_GBK" w:eastAsia="方正仿宋_GBK" w:cs="方正仿宋_GBK"/>
          <w:color w:val="auto"/>
          <w:sz w:val="36"/>
          <w:szCs w:val="30"/>
          <w:highlight w:val="none"/>
          <w:lang w:val="en-US" w:eastAsia="zh-CN"/>
        </w:rPr>
      </w:pPr>
      <w:r>
        <w:rPr>
          <w:rFonts w:hint="eastAsia" w:ascii="方正仿宋_GBK" w:hAnsi="方正仿宋_GBK" w:eastAsia="方正仿宋_GBK" w:cs="方正仿宋_GBK"/>
          <w:color w:val="auto"/>
          <w:sz w:val="36"/>
          <w:szCs w:val="30"/>
          <w:highlight w:val="none"/>
          <w:lang w:eastAsia="zh-CN"/>
        </w:rPr>
        <w:t>编制单位（第二次）</w:t>
      </w:r>
    </w:p>
    <w:p w14:paraId="68999901">
      <w:pPr>
        <w:pStyle w:val="7"/>
        <w:rPr>
          <w:rFonts w:hint="eastAsia" w:ascii="方正仿宋_GBK" w:hAnsi="方正仿宋_GBK" w:eastAsia="方正仿宋_GBK" w:cs="方正仿宋_GBK"/>
          <w:color w:val="auto"/>
          <w:highlight w:val="none"/>
        </w:rPr>
      </w:pPr>
    </w:p>
    <w:p w14:paraId="7F4AA125">
      <w:pPr>
        <w:rPr>
          <w:rFonts w:hint="eastAsia" w:ascii="方正仿宋_GBK" w:hAnsi="方正仿宋_GBK" w:eastAsia="方正仿宋_GBK" w:cs="方正仿宋_GBK"/>
          <w:color w:val="auto"/>
          <w:highlight w:val="none"/>
        </w:rPr>
      </w:pPr>
    </w:p>
    <w:p w14:paraId="4FD4005A">
      <w:pPr>
        <w:rPr>
          <w:rFonts w:hint="eastAsia" w:ascii="方正仿宋_GBK" w:hAnsi="方正仿宋_GBK" w:eastAsia="方正仿宋_GBK" w:cs="方正仿宋_GBK"/>
          <w:color w:val="auto"/>
          <w:highlight w:val="none"/>
        </w:rPr>
      </w:pPr>
    </w:p>
    <w:p w14:paraId="78977A09">
      <w:pPr>
        <w:spacing w:line="700" w:lineRule="exact"/>
        <w:ind w:firstLine="720" w:firstLineChars="200"/>
        <w:jc w:val="left"/>
        <w:rPr>
          <w:rFonts w:hint="eastAsia" w:ascii="方正仿宋_GBK" w:hAnsi="方正仿宋_GBK" w:eastAsia="方正仿宋_GBK" w:cs="方正仿宋_GBK"/>
          <w:color w:val="auto"/>
          <w:sz w:val="36"/>
          <w:szCs w:val="30"/>
          <w:highlight w:val="none"/>
          <w:lang w:eastAsia="zh-CN"/>
        </w:rPr>
      </w:pPr>
      <w:r>
        <w:rPr>
          <w:rFonts w:hint="eastAsia" w:ascii="方正仿宋_GBK" w:hAnsi="方正仿宋_GBK" w:eastAsia="方正仿宋_GBK" w:cs="方正仿宋_GBK"/>
          <w:color w:val="auto"/>
          <w:sz w:val="36"/>
          <w:szCs w:val="30"/>
          <w:highlight w:val="none"/>
        </w:rPr>
        <w:t>采购人：</w:t>
      </w:r>
      <w:r>
        <w:rPr>
          <w:rFonts w:hint="eastAsia" w:ascii="方正仿宋_GBK" w:hAnsi="方正仿宋_GBK" w:eastAsia="方正仿宋_GBK" w:cs="方正仿宋_GBK"/>
          <w:color w:val="auto"/>
          <w:sz w:val="36"/>
          <w:szCs w:val="30"/>
          <w:highlight w:val="none"/>
          <w:lang w:eastAsia="zh-CN"/>
        </w:rPr>
        <w:t>重庆必好城市运营管理有限公司</w:t>
      </w:r>
    </w:p>
    <w:p w14:paraId="643C08A7">
      <w:pPr>
        <w:spacing w:line="700" w:lineRule="exact"/>
        <w:ind w:firstLine="720" w:firstLineChars="200"/>
        <w:jc w:val="left"/>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采购代理机构：重庆璟浩工程咨询有限公司</w:t>
      </w:r>
    </w:p>
    <w:p w14:paraId="6E24CC2D">
      <w:pPr>
        <w:spacing w:line="700" w:lineRule="exact"/>
        <w:jc w:val="center"/>
        <w:rPr>
          <w:rFonts w:hint="eastAsia" w:ascii="方正仿宋_GBK" w:hAnsi="方正仿宋_GBK" w:eastAsia="方正仿宋_GBK" w:cs="方正仿宋_GBK"/>
          <w:color w:val="auto"/>
          <w:sz w:val="36"/>
          <w:szCs w:val="30"/>
          <w:highlight w:val="none"/>
        </w:rPr>
      </w:pPr>
    </w:p>
    <w:p w14:paraId="14B9CE90">
      <w:pPr>
        <w:rPr>
          <w:color w:val="auto"/>
          <w:highlight w:val="none"/>
        </w:rPr>
      </w:pPr>
    </w:p>
    <w:p w14:paraId="373639AA">
      <w:pPr>
        <w:pStyle w:val="7"/>
        <w:jc w:val="center"/>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二〇二</w:t>
      </w:r>
      <w:r>
        <w:rPr>
          <w:rFonts w:hint="eastAsia" w:ascii="方正仿宋_GBK" w:hAnsi="方正仿宋_GBK" w:eastAsia="方正仿宋_GBK" w:cs="方正仿宋_GBK"/>
          <w:color w:val="auto"/>
          <w:sz w:val="36"/>
          <w:szCs w:val="30"/>
          <w:highlight w:val="none"/>
          <w:lang w:eastAsia="zh-CN"/>
        </w:rPr>
        <w:t>五</w:t>
      </w:r>
      <w:r>
        <w:rPr>
          <w:rFonts w:hint="eastAsia" w:ascii="方正仿宋_GBK" w:hAnsi="方正仿宋_GBK" w:eastAsia="方正仿宋_GBK" w:cs="方正仿宋_GBK"/>
          <w:color w:val="auto"/>
          <w:sz w:val="36"/>
          <w:szCs w:val="30"/>
          <w:highlight w:val="none"/>
        </w:rPr>
        <w:t>年</w:t>
      </w:r>
      <w:r>
        <w:rPr>
          <w:rFonts w:hint="eastAsia" w:ascii="方正仿宋_GBK" w:hAnsi="方正仿宋_GBK" w:eastAsia="方正仿宋_GBK" w:cs="方正仿宋_GBK"/>
          <w:color w:val="auto"/>
          <w:sz w:val="36"/>
          <w:szCs w:val="30"/>
          <w:highlight w:val="none"/>
          <w:lang w:eastAsia="zh-CN"/>
        </w:rPr>
        <w:t>六</w:t>
      </w:r>
      <w:r>
        <w:rPr>
          <w:rFonts w:hint="eastAsia" w:ascii="方正仿宋_GBK" w:hAnsi="方正仿宋_GBK" w:eastAsia="方正仿宋_GBK" w:cs="方正仿宋_GBK"/>
          <w:color w:val="auto"/>
          <w:sz w:val="36"/>
          <w:szCs w:val="30"/>
          <w:highlight w:val="none"/>
        </w:rPr>
        <w:t>月</w:t>
      </w:r>
    </w:p>
    <w:sdt>
      <w:sdtPr>
        <w:rPr>
          <w:rFonts w:ascii="宋体" w:hAnsi="宋体"/>
          <w:color w:val="auto"/>
          <w:sz w:val="21"/>
          <w:highlight w:val="none"/>
        </w:rPr>
        <w:id w:val="147465042"/>
        <w15:color w:val="DBDBDB"/>
        <w:docPartObj>
          <w:docPartGallery w:val="Table of Contents"/>
          <w:docPartUnique/>
        </w:docPartObj>
      </w:sdtPr>
      <w:sdtEndPr>
        <w:rPr>
          <w:rFonts w:hint="eastAsia" w:ascii="方正仿宋_GBK" w:hAnsi="方正仿宋_GBK" w:eastAsia="方正仿宋_GBK" w:cs="方正仿宋_GBK"/>
          <w:color w:val="auto"/>
          <w:sz w:val="28"/>
          <w:szCs w:val="28"/>
          <w:highlight w:val="none"/>
        </w:rPr>
      </w:sdtEndPr>
      <w:sdtContent>
        <w:p w14:paraId="364EEFF2">
          <w:pPr>
            <w:jc w:val="center"/>
            <w:rPr>
              <w:rFonts w:hint="eastAsia" w:ascii="宋体" w:hAnsi="宋体"/>
              <w:color w:val="auto"/>
              <w:sz w:val="21"/>
              <w:highlight w:val="none"/>
            </w:rPr>
          </w:pPr>
        </w:p>
        <w:p w14:paraId="6D798285">
          <w:pPr>
            <w:rPr>
              <w:rFonts w:hint="eastAsia" w:ascii="方正仿宋_GBK" w:hAnsi="方正仿宋_GBK" w:eastAsia="方正仿宋_GBK" w:cs="方正仿宋_GBK"/>
              <w:color w:val="auto"/>
              <w:sz w:val="40"/>
              <w:szCs w:val="40"/>
              <w:highlight w:val="none"/>
            </w:rPr>
          </w:pPr>
          <w:r>
            <w:rPr>
              <w:rFonts w:hint="eastAsia" w:ascii="方正仿宋_GBK" w:hAnsi="方正仿宋_GBK" w:eastAsia="方正仿宋_GBK" w:cs="方正仿宋_GBK"/>
              <w:color w:val="auto"/>
              <w:sz w:val="40"/>
              <w:szCs w:val="40"/>
              <w:highlight w:val="none"/>
            </w:rPr>
            <w:br w:type="page"/>
          </w:r>
        </w:p>
        <w:p w14:paraId="0D57F1CE">
          <w:pPr>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 w:val="40"/>
              <w:szCs w:val="40"/>
              <w:highlight w:val="none"/>
            </w:rPr>
            <w:t>目录</w:t>
          </w:r>
        </w:p>
        <w:p w14:paraId="666910F5">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_Toc17402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第一篇  竞采邀请书</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_Toc17402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2030049C">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_Toc21917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一、竞采项目内容</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_Toc21917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511A80C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_Toc2175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二、资金来源</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_Toc2175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4769496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_Toc9966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三、竞采资格条件</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_Toc9966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6A5F3CD2">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_Toc6928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四、竞采有关说明</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_Toc6928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2EBD6D63">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_Toc12875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五、联系方式</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_Toc12875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5</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6C6A97F">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_Toc11240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六、其它有关规定</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_Toc11240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5</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2E273EE1">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_Toc29336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第二篇  项目服务需求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_Toc29336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7</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22F97234">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_Toc28578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一、招标项目一览表</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_Toc28578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7</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2E7D345">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_Toc549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lang w:val="en-US" w:eastAsia="zh-CN"/>
            </w:rPr>
            <w:t>二</w:t>
          </w:r>
          <w:r>
            <w:rPr>
              <w:rFonts w:hint="eastAsia" w:ascii="方正仿宋_GBK" w:hAnsi="方正仿宋_GBK" w:eastAsia="方正仿宋_GBK" w:cs="方正仿宋_GBK"/>
              <w:highlight w:val="none"/>
            </w:rPr>
            <w:t>、招标项目</w:t>
          </w:r>
          <w:r>
            <w:rPr>
              <w:rFonts w:hint="eastAsia" w:ascii="方正仿宋_GBK" w:hAnsi="方正仿宋_GBK" w:eastAsia="方正仿宋_GBK" w:cs="方正仿宋_GBK"/>
              <w:highlight w:val="none"/>
              <w:lang w:val="en-US" w:eastAsia="zh-CN"/>
            </w:rPr>
            <w:t>服务</w:t>
          </w:r>
          <w:r>
            <w:rPr>
              <w:rFonts w:hint="eastAsia" w:ascii="方正仿宋_GBK" w:hAnsi="方正仿宋_GBK" w:eastAsia="方正仿宋_GBK" w:cs="方正仿宋_GBK"/>
              <w:highlight w:val="none"/>
            </w:rPr>
            <w:t>需求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_Toc549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7</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3CA9000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_Toc30443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lang w:eastAsia="zh-CN"/>
            </w:rPr>
            <w:t>三、</w:t>
          </w:r>
          <w:r>
            <w:rPr>
              <w:rFonts w:hint="eastAsia" w:ascii="方正仿宋_GBK" w:hAnsi="方正仿宋_GBK" w:eastAsia="方正仿宋_GBK" w:cs="方正仿宋_GBK"/>
              <w:highlight w:val="none"/>
            </w:rPr>
            <w:t>其他要求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_Toc30443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7</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728E03F6">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_Toc30749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第三篇 项目商务需求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_Toc30749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790376F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_Toc26793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一、服务期、地点及验收方式</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_Toc26793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54F0374C">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_Toc17041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二、报价要求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_Toc17041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CD4F540">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_Toc23139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三、付款方式</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_Toc23139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303951FD">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_Toc27067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四、其他商务要求内容</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_Toc27067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8AEF226">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_Toc8439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szCs w:val="18"/>
              <w:highlight w:val="none"/>
            </w:rPr>
            <w:t>第四篇  竞采程序、评标办法、无效响应及采购终止</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_Toc8439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9</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2ECC4DAB">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_Toc20072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一、网上竞采程序</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_Toc20072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9</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1B264E2">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_Toc984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二、 评审标准</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_Toc984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11</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47CA13E1">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_Toc17582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三、无效响应</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_Toc17582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12</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67E9A55">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_Toc20333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四、采购终止</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_Toc20333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12</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6E03F575">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_Toc13656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第五篇 供应商须知</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_Toc13656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13</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343ACA2A">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_Toc26448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一、竞采费用</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_Toc26448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13</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60D0ECA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_Toc943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二、竞采文件</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_Toc943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13</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EF55155">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_Toc16239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三、竞采要求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_Toc16239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13</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1BC444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_Toc8839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四、成交供应商的确认和变更</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_Toc8839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14</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4559D6BC">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_Toc7015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五、成交通知</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_Toc7015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15</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7AAC1DB4">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_Toc23227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六、关于质疑和投诉</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_Toc23227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15</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50D3F86">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_Toc11669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七、采购代理服务费</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_Toc11669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16</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7C203E3D">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_Toc5753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八、签订合同</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_Toc5753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16</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3139EB0D">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_Toc15266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九、项目验收</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_Toc15266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17</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4964EFB0">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_Toc24597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第六篇  网上竞采合同（格式）</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_Toc24597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18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72761117">
          <w:pPr>
            <w:pStyle w:val="16"/>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_Toc8403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第七篇  响应文件编制要求</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_Toc8403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28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ACC329A">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_Toc3332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一、经济部分</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_Toc3332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28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0DDDE1EF">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_Toc3794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二、服务部分</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_Toc3794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28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9DC543F">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_Toc19254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三、商务文件</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_Toc19254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28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42126217">
          <w:pPr>
            <w:pStyle w:val="18"/>
            <w:tabs>
              <w:tab w:val="right" w:leader="dot" w:pos="9412"/>
            </w:tabs>
            <w:spacing w:line="24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szCs w:val="28"/>
              <w:highlight w:val="none"/>
            </w:rPr>
            <w:instrText xml:space="preserve"> HYPERLINK \l _Toc20942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四、资格条件及其他</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PAGEREF _Toc20942 \h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t>28</w:t>
          </w:r>
          <w:r>
            <w:rPr>
              <w:rFonts w:hint="eastAsia" w:ascii="方正仿宋_GBK" w:hAnsi="方正仿宋_GBK" w:eastAsia="方正仿宋_GBK" w:cs="方正仿宋_GBK"/>
              <w:highlight w:val="none"/>
            </w:rPr>
            <w:fldChar w:fldCharType="end"/>
          </w:r>
          <w:r>
            <w:rPr>
              <w:rFonts w:hint="eastAsia" w:ascii="方正仿宋_GBK" w:hAnsi="方正仿宋_GBK" w:eastAsia="方正仿宋_GBK" w:cs="方正仿宋_GBK"/>
              <w:color w:val="auto"/>
              <w:szCs w:val="28"/>
              <w:highlight w:val="none"/>
            </w:rPr>
            <w:fldChar w:fldCharType="end"/>
          </w:r>
        </w:p>
        <w:p w14:paraId="187A0967">
          <w:pPr>
            <w:spacing w:line="240" w:lineRule="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end"/>
          </w:r>
        </w:p>
      </w:sdtContent>
    </w:sdt>
    <w:p w14:paraId="1CC77442">
      <w:pPr>
        <w:pStyle w:val="7"/>
        <w:jc w:val="center"/>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44"/>
          <w:szCs w:val="28"/>
          <w:highlight w:val="none"/>
        </w:rPr>
        <w:t xml:space="preserve">   </w:t>
      </w:r>
      <w:r>
        <w:rPr>
          <w:rFonts w:hint="eastAsia" w:ascii="方正仿宋_GBK" w:hAnsi="方正仿宋_GBK" w:eastAsia="方正仿宋_GBK" w:cs="方正仿宋_GBK"/>
          <w:color w:val="auto"/>
          <w:sz w:val="44"/>
          <w:szCs w:val="28"/>
          <w:highlight w:val="none"/>
        </w:rPr>
        <w:br w:type="page"/>
      </w:r>
    </w:p>
    <w:p w14:paraId="2AC3D887">
      <w:pPr>
        <w:pStyle w:val="2"/>
        <w:jc w:val="center"/>
        <w:rPr>
          <w:color w:val="auto"/>
          <w:highlight w:val="none"/>
        </w:rPr>
      </w:pPr>
      <w:bookmarkStart w:id="9" w:name="_Toc11641050"/>
      <w:bookmarkStart w:id="10" w:name="_Toc12789052"/>
      <w:bookmarkStart w:id="11" w:name="_Toc106030870"/>
      <w:bookmarkStart w:id="12" w:name="_Toc17402"/>
      <w:bookmarkStart w:id="13" w:name="_Toc76462316"/>
      <w:r>
        <w:rPr>
          <w:rFonts w:hint="eastAsia"/>
          <w:color w:val="auto"/>
          <w:highlight w:val="none"/>
        </w:rPr>
        <w:t>第一篇  竞采邀请书</w:t>
      </w:r>
      <w:bookmarkEnd w:id="9"/>
      <w:bookmarkEnd w:id="10"/>
      <w:bookmarkEnd w:id="11"/>
      <w:bookmarkEnd w:id="12"/>
      <w:bookmarkEnd w:id="13"/>
    </w:p>
    <w:p w14:paraId="365670A3">
      <w:pPr>
        <w:snapToGrid w:val="0"/>
        <w:spacing w:line="400" w:lineRule="exact"/>
        <w:ind w:firstLine="480" w:firstLineChars="200"/>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24"/>
          <w:szCs w:val="24"/>
          <w:highlight w:val="none"/>
        </w:rPr>
        <w:t>重庆璟浩工程咨询有限公司（以下简称：采购代理机构）受</w:t>
      </w:r>
      <w:r>
        <w:rPr>
          <w:rFonts w:hint="eastAsia" w:ascii="方正仿宋_GBK" w:hAnsi="方正仿宋_GBK" w:eastAsia="方正仿宋_GBK" w:cs="方正仿宋_GBK"/>
          <w:color w:val="auto"/>
          <w:sz w:val="24"/>
          <w:szCs w:val="24"/>
          <w:highlight w:val="none"/>
          <w:lang w:eastAsia="zh-CN"/>
        </w:rPr>
        <w:t>重庆必好城市运营管理有限公司</w:t>
      </w:r>
      <w:r>
        <w:rPr>
          <w:rFonts w:hint="eastAsia" w:ascii="方正仿宋_GBK" w:hAnsi="方正仿宋_GBK" w:eastAsia="方正仿宋_GBK" w:cs="方正仿宋_GBK"/>
          <w:color w:val="auto"/>
          <w:sz w:val="24"/>
          <w:szCs w:val="24"/>
          <w:highlight w:val="none"/>
        </w:rPr>
        <w:t>（以下简称：采购人）的委托，对</w:t>
      </w:r>
      <w:r>
        <w:rPr>
          <w:rFonts w:hint="eastAsia" w:ascii="方正仿宋_GBK" w:hAnsi="方正仿宋_GBK" w:eastAsia="方正仿宋_GBK" w:cs="方正仿宋_GBK"/>
          <w:color w:val="auto"/>
          <w:sz w:val="24"/>
          <w:szCs w:val="24"/>
          <w:highlight w:val="none"/>
          <w:lang w:eastAsia="zh-CN"/>
        </w:rPr>
        <w:t>璧山区全域研学项目规划方案编制单位（第二次）</w:t>
      </w:r>
      <w:r>
        <w:rPr>
          <w:rFonts w:hint="eastAsia" w:ascii="方正仿宋_GBK" w:hAnsi="方正仿宋_GBK" w:eastAsia="方正仿宋_GBK" w:cs="方正仿宋_GBK"/>
          <w:color w:val="auto"/>
          <w:sz w:val="24"/>
          <w:szCs w:val="24"/>
          <w:highlight w:val="none"/>
        </w:rPr>
        <w:t>进行网上竞采采购。欢迎有资格的供应商前来参与网上竞采。</w:t>
      </w:r>
    </w:p>
    <w:p w14:paraId="2D2BDC88">
      <w:pPr>
        <w:pStyle w:val="3"/>
        <w:rPr>
          <w:color w:val="auto"/>
          <w:highlight w:val="none"/>
        </w:rPr>
      </w:pPr>
      <w:bookmarkStart w:id="14" w:name="_Toc7625"/>
      <w:bookmarkStart w:id="15" w:name="_Toc21917"/>
      <w:bookmarkStart w:id="16" w:name="_Toc317775175"/>
      <w:bookmarkStart w:id="17" w:name="_Toc26820"/>
      <w:bookmarkStart w:id="18" w:name="_Toc18881"/>
      <w:bookmarkStart w:id="19" w:name="_Toc18159"/>
      <w:bookmarkStart w:id="20" w:name="_Toc12808"/>
      <w:bookmarkStart w:id="21" w:name="_Toc3463"/>
      <w:bookmarkStart w:id="22" w:name="_Toc313893526"/>
      <w:bookmarkStart w:id="23" w:name="_Toc25458"/>
      <w:r>
        <w:rPr>
          <w:rFonts w:hint="eastAsia"/>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365"/>
        <w:gridCol w:w="1950"/>
        <w:gridCol w:w="2360"/>
      </w:tblGrid>
      <w:tr w14:paraId="1D6D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970" w:type="dxa"/>
            <w:tcBorders>
              <w:top w:val="single" w:color="auto" w:sz="4" w:space="0"/>
              <w:left w:val="single" w:color="auto" w:sz="4" w:space="0"/>
              <w:right w:val="single" w:color="auto" w:sz="4" w:space="0"/>
            </w:tcBorders>
            <w:vAlign w:val="center"/>
          </w:tcPr>
          <w:p w14:paraId="06B8138B">
            <w:pPr>
              <w:widowControl/>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365" w:type="dxa"/>
            <w:tcBorders>
              <w:top w:val="single" w:color="auto" w:sz="4" w:space="0"/>
              <w:left w:val="single" w:color="auto" w:sz="4" w:space="0"/>
              <w:right w:val="single" w:color="auto" w:sz="4" w:space="0"/>
            </w:tcBorders>
            <w:vAlign w:val="center"/>
          </w:tcPr>
          <w:p w14:paraId="4649E99C">
            <w:pPr>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eastAsia="zh-CN"/>
              </w:rPr>
              <w:t>最高限价（万元）</w:t>
            </w:r>
          </w:p>
        </w:tc>
        <w:tc>
          <w:tcPr>
            <w:tcW w:w="1950" w:type="dxa"/>
            <w:tcBorders>
              <w:top w:val="single" w:color="auto" w:sz="4" w:space="0"/>
              <w:left w:val="single" w:color="auto" w:sz="4" w:space="0"/>
              <w:right w:val="single" w:color="auto" w:sz="4" w:space="0"/>
            </w:tcBorders>
            <w:vAlign w:val="center"/>
          </w:tcPr>
          <w:p w14:paraId="3FF5D281">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c>
          <w:tcPr>
            <w:tcW w:w="2360" w:type="dxa"/>
            <w:tcBorders>
              <w:top w:val="single" w:color="auto" w:sz="4" w:space="0"/>
              <w:left w:val="single" w:color="auto" w:sz="4" w:space="0"/>
              <w:right w:val="single" w:color="auto" w:sz="4" w:space="0"/>
            </w:tcBorders>
            <w:vAlign w:val="center"/>
          </w:tcPr>
          <w:p w14:paraId="54997016">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备注</w:t>
            </w:r>
          </w:p>
        </w:tc>
      </w:tr>
      <w:tr w14:paraId="7C13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970" w:type="dxa"/>
            <w:tcBorders>
              <w:top w:val="single" w:color="auto" w:sz="4" w:space="0"/>
              <w:left w:val="single" w:color="auto" w:sz="4" w:space="0"/>
              <w:right w:val="single" w:color="auto" w:sz="4" w:space="0"/>
            </w:tcBorders>
            <w:vAlign w:val="center"/>
          </w:tcPr>
          <w:p w14:paraId="191BA4C7">
            <w:pPr>
              <w:widowControl/>
              <w:jc w:val="center"/>
              <w:rPr>
                <w:rFonts w:hint="eastAsia" w:ascii="方正仿宋_GBK" w:hAnsi="方正仿宋_GBK" w:eastAsia="方正仿宋_GBK" w:cs="方正仿宋_GBK"/>
                <w:color w:val="auto"/>
                <w:kern w:val="0"/>
                <w:sz w:val="24"/>
                <w:szCs w:val="24"/>
                <w:highlight w:val="none"/>
                <w:lang w:eastAsia="zh-CN"/>
              </w:rPr>
            </w:pPr>
            <w:bookmarkStart w:id="24" w:name="_Hlk344477914"/>
            <w:r>
              <w:rPr>
                <w:rFonts w:hint="eastAsia" w:ascii="方正仿宋_GBK" w:hAnsi="方正仿宋_GBK" w:eastAsia="方正仿宋_GBK" w:cs="方正仿宋_GBK"/>
                <w:color w:val="auto"/>
                <w:kern w:val="0"/>
                <w:sz w:val="24"/>
                <w:szCs w:val="24"/>
                <w:highlight w:val="none"/>
                <w:lang w:eastAsia="zh-CN"/>
              </w:rPr>
              <w:t>璧山区全域研学项目规划方案编制单位（第二次）</w:t>
            </w:r>
          </w:p>
        </w:tc>
        <w:tc>
          <w:tcPr>
            <w:tcW w:w="1365" w:type="dxa"/>
            <w:tcBorders>
              <w:top w:val="single" w:color="auto" w:sz="4" w:space="0"/>
              <w:left w:val="single" w:color="auto" w:sz="4" w:space="0"/>
              <w:right w:val="single" w:color="auto" w:sz="4" w:space="0"/>
            </w:tcBorders>
            <w:vAlign w:val="center"/>
          </w:tcPr>
          <w:p w14:paraId="570898F3">
            <w:pPr>
              <w:widowControl/>
              <w:jc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19.50</w:t>
            </w:r>
          </w:p>
        </w:tc>
        <w:tc>
          <w:tcPr>
            <w:tcW w:w="1950" w:type="dxa"/>
            <w:tcBorders>
              <w:top w:val="single" w:color="auto" w:sz="4" w:space="0"/>
              <w:left w:val="single" w:color="auto" w:sz="4" w:space="0"/>
              <w:right w:val="single" w:color="auto" w:sz="4" w:space="0"/>
            </w:tcBorders>
            <w:vAlign w:val="center"/>
          </w:tcPr>
          <w:p w14:paraId="476F8637">
            <w:pPr>
              <w:widowControl/>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2360" w:type="dxa"/>
            <w:tcBorders>
              <w:top w:val="single" w:color="auto" w:sz="4" w:space="0"/>
              <w:left w:val="single" w:color="auto" w:sz="4" w:space="0"/>
              <w:right w:val="single" w:color="auto" w:sz="4" w:space="0"/>
            </w:tcBorders>
            <w:vAlign w:val="center"/>
          </w:tcPr>
          <w:p w14:paraId="1C7CD568">
            <w:pPr>
              <w:jc w:val="center"/>
              <w:rPr>
                <w:rFonts w:hint="eastAsia" w:ascii="方正仿宋_GBK" w:hAnsi="方正仿宋_GBK" w:eastAsia="方正仿宋_GBK" w:cs="方正仿宋_GBK"/>
                <w:b/>
                <w:color w:val="auto"/>
                <w:sz w:val="24"/>
                <w:szCs w:val="24"/>
                <w:highlight w:val="none"/>
              </w:rPr>
            </w:pPr>
          </w:p>
        </w:tc>
      </w:tr>
      <w:bookmarkEnd w:id="24"/>
    </w:tbl>
    <w:p w14:paraId="1CBBF204">
      <w:pPr>
        <w:pStyle w:val="3"/>
        <w:rPr>
          <w:color w:val="auto"/>
          <w:highlight w:val="none"/>
        </w:rPr>
      </w:pPr>
      <w:bookmarkStart w:id="25" w:name="_Toc2175"/>
      <w:bookmarkStart w:id="26" w:name="_Toc25190"/>
      <w:bookmarkStart w:id="27" w:name="_Toc1790"/>
      <w:bookmarkStart w:id="28" w:name="_Toc15576"/>
      <w:bookmarkStart w:id="29" w:name="_Toc6462"/>
      <w:bookmarkStart w:id="30" w:name="_Toc15727"/>
      <w:bookmarkStart w:id="31" w:name="_Toc22399"/>
      <w:bookmarkStart w:id="32" w:name="_Toc19437"/>
      <w:bookmarkStart w:id="33" w:name="_Toc317775178"/>
      <w:bookmarkStart w:id="34" w:name="_Toc373860293"/>
      <w:r>
        <w:rPr>
          <w:rFonts w:hint="eastAsia"/>
          <w:color w:val="auto"/>
          <w:highlight w:val="none"/>
        </w:rPr>
        <w:t>二、资金来源</w:t>
      </w:r>
      <w:bookmarkEnd w:id="25"/>
    </w:p>
    <w:p w14:paraId="714052F3">
      <w:pPr>
        <w:ind w:firstLine="480" w:firstLineChars="200"/>
        <w:rPr>
          <w:color w:val="auto"/>
          <w:highlight w:val="none"/>
        </w:rPr>
      </w:pPr>
      <w:r>
        <w:rPr>
          <w:rFonts w:hint="eastAsia" w:ascii="方正仿宋_GBK" w:hAnsi="方正仿宋_GBK" w:eastAsia="方正仿宋_GBK" w:cs="方正仿宋_GBK"/>
          <w:color w:val="auto"/>
          <w:sz w:val="24"/>
          <w:szCs w:val="24"/>
          <w:highlight w:val="none"/>
        </w:rPr>
        <w:t>单位自筹资金，预算金额为</w:t>
      </w:r>
      <w:r>
        <w:rPr>
          <w:rFonts w:hint="eastAsia" w:ascii="方正仿宋_GBK" w:hAnsi="方正仿宋_GBK" w:eastAsia="方正仿宋_GBK" w:cs="方正仿宋_GBK"/>
          <w:color w:val="auto"/>
          <w:sz w:val="24"/>
          <w:szCs w:val="24"/>
          <w:highlight w:val="none"/>
          <w:lang w:val="en-US" w:eastAsia="zh-CN"/>
        </w:rPr>
        <w:t>19.50</w:t>
      </w:r>
      <w:r>
        <w:rPr>
          <w:rFonts w:hint="eastAsia" w:ascii="方正仿宋_GBK" w:hAnsi="方正仿宋_GBK" w:eastAsia="方正仿宋_GBK" w:cs="方正仿宋_GBK"/>
          <w:color w:val="auto"/>
          <w:sz w:val="24"/>
          <w:szCs w:val="24"/>
          <w:highlight w:val="none"/>
        </w:rPr>
        <w:t>万元。</w:t>
      </w:r>
    </w:p>
    <w:p w14:paraId="4BBB29C4">
      <w:pPr>
        <w:pStyle w:val="3"/>
        <w:rPr>
          <w:color w:val="auto"/>
          <w:highlight w:val="none"/>
        </w:rPr>
      </w:pPr>
      <w:bookmarkStart w:id="35" w:name="_Toc9966"/>
      <w:r>
        <w:rPr>
          <w:rFonts w:hint="eastAsia"/>
          <w:color w:val="auto"/>
          <w:highlight w:val="none"/>
        </w:rPr>
        <w:t>三、</w:t>
      </w:r>
      <w:bookmarkEnd w:id="26"/>
      <w:bookmarkEnd w:id="27"/>
      <w:bookmarkEnd w:id="28"/>
      <w:bookmarkEnd w:id="29"/>
      <w:bookmarkEnd w:id="30"/>
      <w:bookmarkEnd w:id="31"/>
      <w:bookmarkEnd w:id="32"/>
      <w:r>
        <w:rPr>
          <w:rFonts w:hint="eastAsia"/>
          <w:color w:val="auto"/>
          <w:highlight w:val="none"/>
        </w:rPr>
        <w:t>竞采资格条件</w:t>
      </w:r>
      <w:bookmarkEnd w:id="35"/>
    </w:p>
    <w:p w14:paraId="663E16D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（一）基本条件</w:t>
      </w:r>
    </w:p>
    <w:p w14:paraId="76FF6A15">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满足《中华人民共和国政府采购法》第二十二条规定</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w:t>
      </w:r>
    </w:p>
    <w:p w14:paraId="3F958D02">
      <w:pPr>
        <w:numPr>
          <w:ilvl w:val="0"/>
          <w:numId w:val="1"/>
        </w:num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bookmarkEnd w:id="33"/>
    <w:bookmarkEnd w:id="34"/>
    <w:p w14:paraId="4F982532">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p w14:paraId="69B35F20">
      <w:pPr>
        <w:pStyle w:val="3"/>
        <w:rPr>
          <w:color w:val="auto"/>
          <w:highlight w:val="none"/>
        </w:rPr>
      </w:pPr>
      <w:bookmarkStart w:id="36" w:name="_Toc6928"/>
      <w:r>
        <w:rPr>
          <w:rFonts w:hint="eastAsia"/>
          <w:color w:val="auto"/>
          <w:highlight w:val="none"/>
        </w:rPr>
        <w:t>四、竞采有关说明</w:t>
      </w:r>
      <w:bookmarkEnd w:id="36"/>
    </w:p>
    <w:p w14:paraId="21552C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（一）供应商应通过行采家采（www.gec123.com）登记加入“</w:t>
      </w:r>
      <w:r>
        <w:rPr>
          <w:rFonts w:hint="eastAsia" w:ascii="方正仿宋_GBK" w:hAnsi="方正仿宋_GBK" w:eastAsia="方正仿宋_GBK" w:cs="方正仿宋_GBK"/>
          <w:color w:val="auto"/>
          <w:sz w:val="24"/>
          <w:szCs w:val="24"/>
          <w:highlight w:val="none"/>
          <w:lang w:eastAsia="zh-CN"/>
        </w:rPr>
        <w:t>行采家</w:t>
      </w:r>
      <w:r>
        <w:rPr>
          <w:rFonts w:hint="eastAsia" w:ascii="方正仿宋_GBK" w:hAnsi="方正仿宋_GBK" w:eastAsia="方正仿宋_GBK" w:cs="方正仿宋_GBK"/>
          <w:color w:val="auto"/>
          <w:sz w:val="24"/>
          <w:szCs w:val="24"/>
          <w:highlight w:val="none"/>
        </w:rPr>
        <w:t>供应商库”。</w:t>
      </w:r>
    </w:p>
    <w:p w14:paraId="5B8828B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（二）凡有意参加采购的供应商，请在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网上下载本项目网上竞采文件以及变更等采购前公布的所有项目资料，无论供应商下载与否，均视为已知晓所有采购实质性要求内容。</w:t>
      </w:r>
    </w:p>
    <w:p w14:paraId="118E08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（三）线上报价</w:t>
      </w:r>
    </w:p>
    <w:p w14:paraId="10D807A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1.线上报价时间：按本项目网上公告规定的报价截止时间为准。</w:t>
      </w:r>
    </w:p>
    <w:p w14:paraId="4AAA9A9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2.线上报价要求：按本项目规定的时间在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进行网上报价。</w:t>
      </w:r>
    </w:p>
    <w:p w14:paraId="0DF85AA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w:t>
      </w:r>
      <w:r>
        <w:rPr>
          <w:rFonts w:hint="eastAsia" w:ascii="方正仿宋_GBK" w:hAnsi="方正仿宋_GBK" w:eastAsia="方正仿宋_GBK" w:cs="方正仿宋_GBK"/>
          <w:bCs/>
          <w:color w:val="auto"/>
          <w:sz w:val="24"/>
          <w:szCs w:val="24"/>
          <w:highlight w:val="none"/>
        </w:rPr>
        <w:t>供应商须在平台上报价并按要求上传响应文件，未按要求提供的为无效供应商。</w:t>
      </w:r>
    </w:p>
    <w:p w14:paraId="0BBBB34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3AD9A47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1.供应商线上报价时须上传响应文件一份。</w:t>
      </w:r>
    </w:p>
    <w:p w14:paraId="4A87B58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2.采购人将以平台的线上资料作为评判依据。</w:t>
      </w:r>
    </w:p>
    <w:p w14:paraId="4F4288F0">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468C50C7">
      <w:pPr>
        <w:pStyle w:val="3"/>
        <w:rPr>
          <w:color w:val="auto"/>
          <w:highlight w:val="none"/>
        </w:rPr>
      </w:pPr>
      <w:bookmarkStart w:id="37" w:name="_Toc12875"/>
      <w:r>
        <w:rPr>
          <w:rFonts w:hint="eastAsia"/>
          <w:color w:val="auto"/>
          <w:highlight w:val="none"/>
        </w:rPr>
        <w:t>五、</w:t>
      </w:r>
      <w:bookmarkStart w:id="38" w:name="_Toc3475"/>
      <w:bookmarkStart w:id="39" w:name="_Toc9654"/>
      <w:bookmarkStart w:id="40" w:name="_Toc25886"/>
      <w:bookmarkStart w:id="41" w:name="_Toc11828"/>
      <w:bookmarkStart w:id="42" w:name="_Toc20778"/>
      <w:bookmarkStart w:id="43" w:name="_Toc27955"/>
      <w:bookmarkStart w:id="44" w:name="_Toc5085"/>
      <w:bookmarkStart w:id="45" w:name="_Toc9027"/>
      <w:bookmarkStart w:id="46" w:name="_Toc14778"/>
      <w:bookmarkStart w:id="47" w:name="_Toc15478"/>
      <w:bookmarkStart w:id="48" w:name="_Toc31315"/>
      <w:bookmarkStart w:id="49" w:name="_Toc25516"/>
      <w:bookmarkStart w:id="50" w:name="_Toc13969"/>
      <w:bookmarkStart w:id="51" w:name="_Toc19730"/>
      <w:r>
        <w:rPr>
          <w:rFonts w:hint="eastAsia"/>
          <w:color w:val="auto"/>
          <w:highlight w:val="none"/>
        </w:rPr>
        <w:t>联系方式</w:t>
      </w:r>
      <w:bookmarkEnd w:id="37"/>
      <w:bookmarkEnd w:id="38"/>
      <w:bookmarkEnd w:id="39"/>
      <w:bookmarkEnd w:id="40"/>
      <w:bookmarkEnd w:id="41"/>
      <w:bookmarkEnd w:id="42"/>
      <w:bookmarkEnd w:id="43"/>
      <w:bookmarkEnd w:id="44"/>
    </w:p>
    <w:p w14:paraId="01373575">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（一）采购人：</w:t>
      </w:r>
      <w:r>
        <w:rPr>
          <w:rFonts w:hint="eastAsia" w:ascii="方正仿宋_GBK" w:hAnsi="方正仿宋_GBK" w:eastAsia="方正仿宋_GBK" w:cs="方正仿宋_GBK"/>
          <w:color w:val="auto"/>
          <w:sz w:val="24"/>
          <w:szCs w:val="24"/>
          <w:highlight w:val="none"/>
          <w:lang w:eastAsia="zh-CN"/>
        </w:rPr>
        <w:t>重庆必好城市运营管理有限公司</w:t>
      </w:r>
    </w:p>
    <w:p w14:paraId="7C719DB5">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eastAsia="zh-CN"/>
        </w:rPr>
        <w:t>李</w:t>
      </w:r>
      <w:r>
        <w:rPr>
          <w:rFonts w:hint="eastAsia" w:ascii="方正仿宋_GBK" w:hAnsi="方正仿宋_GBK" w:eastAsia="方正仿宋_GBK" w:cs="方正仿宋_GBK"/>
          <w:color w:val="auto"/>
          <w:sz w:val="24"/>
          <w:szCs w:val="24"/>
          <w:highlight w:val="none"/>
        </w:rPr>
        <w:t>老师</w:t>
      </w:r>
      <w:r>
        <w:rPr>
          <w:rFonts w:hint="eastAsia" w:ascii="方正仿宋_GBK" w:hAnsi="方正仿宋_GBK" w:eastAsia="方正仿宋_GBK" w:cs="方正仿宋_GBK"/>
          <w:color w:val="auto"/>
          <w:sz w:val="24"/>
          <w:szCs w:val="24"/>
          <w:highlight w:val="none"/>
        </w:rPr>
        <w:tab/>
      </w:r>
    </w:p>
    <w:p w14:paraId="2DBC2104">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话：15736060546</w:t>
      </w:r>
    </w:p>
    <w:p w14:paraId="254B5E76">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地  址：重庆市璧山区璧泉街道双星大道50号1幢6</w:t>
      </w:r>
      <w:r>
        <w:rPr>
          <w:rFonts w:hint="eastAsia" w:ascii="方正仿宋_GBK" w:hAnsi="方正仿宋_GBK" w:eastAsia="方正仿宋_GBK" w:cs="方正仿宋_GBK"/>
          <w:color w:val="auto"/>
          <w:sz w:val="24"/>
          <w:szCs w:val="24"/>
          <w:highlight w:val="none"/>
          <w:lang w:eastAsia="zh-CN"/>
        </w:rPr>
        <w:t>楼</w:t>
      </w:r>
    </w:p>
    <w:p w14:paraId="57739DB2">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（二）采购代理机构：重庆璟浩工程咨询有限公司</w:t>
      </w:r>
    </w:p>
    <w:p w14:paraId="0975A4C9">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联系人：杨老师</w:t>
      </w:r>
    </w:p>
    <w:p w14:paraId="013F74D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电  话：023-89311888 18716341362 </w:t>
      </w:r>
    </w:p>
    <w:p w14:paraId="7A70EF1B">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址：重庆市九龙坡区科园一路渝高广场C座13-3</w:t>
      </w:r>
    </w:p>
    <w:p w14:paraId="5991CAB5">
      <w:pPr>
        <w:pStyle w:val="3"/>
        <w:rPr>
          <w:color w:val="auto"/>
          <w:highlight w:val="none"/>
        </w:rPr>
      </w:pPr>
      <w:bookmarkStart w:id="52" w:name="_Toc11240"/>
      <w:r>
        <w:rPr>
          <w:rFonts w:hint="eastAsia"/>
          <w:color w:val="auto"/>
          <w:highlight w:val="none"/>
        </w:rPr>
        <w:t>六、</w:t>
      </w:r>
      <w:bookmarkEnd w:id="45"/>
      <w:bookmarkEnd w:id="46"/>
      <w:bookmarkEnd w:id="47"/>
      <w:bookmarkEnd w:id="48"/>
      <w:bookmarkEnd w:id="49"/>
      <w:bookmarkEnd w:id="50"/>
      <w:bookmarkEnd w:id="51"/>
      <w:r>
        <w:rPr>
          <w:rFonts w:hint="eastAsia"/>
          <w:color w:val="auto"/>
          <w:highlight w:val="none"/>
        </w:rPr>
        <w:t>其它有关规定</w:t>
      </w:r>
      <w:bookmarkEnd w:id="52"/>
    </w:p>
    <w:p w14:paraId="491A565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（一）单位负责人为同一人或者存在直接控股、管理关系的不同供应商，不得参加同一合同项（分包）下的竞采活动，否则均为无效响应。</w:t>
      </w:r>
    </w:p>
    <w:p w14:paraId="126F70F2">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584CBAD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2A9D7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14:paraId="18B859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（五）竞采费用：无论竞采结果如何，供应商参与本项目竞采的所有成本费用均应由供应商自行承担。</w:t>
      </w:r>
    </w:p>
    <w:p w14:paraId="7360154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（六）本项目不接受联合体参与竞采。</w:t>
      </w:r>
    </w:p>
    <w:p w14:paraId="481CEF4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p>
    <w:p w14:paraId="19145056">
      <w:pPr>
        <w:pStyle w:val="7"/>
        <w:rPr>
          <w:rFonts w:hint="eastAsia" w:ascii="方正仿宋_GBK" w:hAnsi="方正仿宋_GBK" w:eastAsia="方正仿宋_GBK" w:cs="方正仿宋_GBK"/>
          <w:color w:val="auto"/>
          <w:sz w:val="24"/>
          <w:szCs w:val="24"/>
          <w:highlight w:val="none"/>
        </w:rPr>
      </w:pPr>
    </w:p>
    <w:p w14:paraId="3B5AA90B">
      <w:pPr>
        <w:jc w:val="left"/>
        <w:rPr>
          <w:rFonts w:hint="eastAsia" w:ascii="方正仿宋_GBK" w:hAnsi="方正仿宋_GBK" w:eastAsia="方正仿宋_GBK" w:cs="方正仿宋_GBK"/>
          <w:color w:val="auto"/>
          <w:sz w:val="24"/>
          <w:szCs w:val="24"/>
          <w:highlight w:val="none"/>
        </w:rPr>
      </w:pPr>
      <w:bookmarkStart w:id="53" w:name="_Toc76462324"/>
      <w:bookmarkStart w:id="54" w:name="_Toc106030878"/>
    </w:p>
    <w:p w14:paraId="2013CE82">
      <w:pPr>
        <w:jc w:val="left"/>
        <w:rPr>
          <w:rFonts w:hint="eastAsia" w:ascii="方正仿宋_GBK" w:hAnsi="方正仿宋_GBK" w:eastAsia="方正仿宋_GBK" w:cs="方正仿宋_GBK"/>
          <w:color w:val="auto"/>
          <w:sz w:val="24"/>
          <w:szCs w:val="24"/>
          <w:highlight w:val="none"/>
        </w:rPr>
      </w:pPr>
    </w:p>
    <w:p w14:paraId="32E61DF4">
      <w:pPr>
        <w:jc w:val="left"/>
        <w:rPr>
          <w:rFonts w:hint="eastAsia" w:ascii="方正仿宋_GBK" w:hAnsi="方正仿宋_GBK" w:eastAsia="方正仿宋_GBK" w:cs="方正仿宋_GBK"/>
          <w:color w:val="auto"/>
          <w:sz w:val="24"/>
          <w:szCs w:val="24"/>
          <w:highlight w:val="none"/>
        </w:rPr>
      </w:pPr>
    </w:p>
    <w:p w14:paraId="4117F37B">
      <w:pPr>
        <w:jc w:val="left"/>
        <w:rPr>
          <w:rFonts w:hint="eastAsia" w:ascii="方正仿宋_GBK" w:hAnsi="方正仿宋_GBK" w:eastAsia="方正仿宋_GBK" w:cs="方正仿宋_GBK"/>
          <w:color w:val="auto"/>
          <w:sz w:val="24"/>
          <w:szCs w:val="24"/>
          <w:highlight w:val="none"/>
        </w:rPr>
      </w:pPr>
    </w:p>
    <w:p w14:paraId="4EE4875B">
      <w:pPr>
        <w:jc w:val="left"/>
        <w:rPr>
          <w:rFonts w:hint="eastAsia" w:ascii="方正仿宋_GBK" w:hAnsi="方正仿宋_GBK" w:eastAsia="方正仿宋_GBK" w:cs="方正仿宋_GBK"/>
          <w:color w:val="auto"/>
          <w:sz w:val="24"/>
          <w:szCs w:val="24"/>
          <w:highlight w:val="none"/>
        </w:rPr>
      </w:pPr>
    </w:p>
    <w:p w14:paraId="30298773">
      <w:pPr>
        <w:jc w:val="left"/>
        <w:rPr>
          <w:rFonts w:hint="eastAsia" w:ascii="方正仿宋_GBK" w:hAnsi="方正仿宋_GBK" w:eastAsia="方正仿宋_GBK" w:cs="方正仿宋_GBK"/>
          <w:color w:val="auto"/>
          <w:sz w:val="24"/>
          <w:szCs w:val="24"/>
          <w:highlight w:val="none"/>
        </w:rPr>
      </w:pPr>
    </w:p>
    <w:p w14:paraId="443E1501">
      <w:pPr>
        <w:jc w:val="left"/>
        <w:rPr>
          <w:rFonts w:hint="eastAsia" w:ascii="方正仿宋_GBK" w:hAnsi="方正仿宋_GBK" w:eastAsia="方正仿宋_GBK" w:cs="方正仿宋_GBK"/>
          <w:color w:val="auto"/>
          <w:sz w:val="24"/>
          <w:szCs w:val="24"/>
          <w:highlight w:val="none"/>
        </w:rPr>
      </w:pPr>
    </w:p>
    <w:p w14:paraId="1CB8931E">
      <w:pPr>
        <w:jc w:val="left"/>
        <w:rPr>
          <w:rFonts w:hint="eastAsia" w:ascii="方正仿宋_GBK" w:hAnsi="方正仿宋_GBK" w:eastAsia="方正仿宋_GBK" w:cs="方正仿宋_GBK"/>
          <w:color w:val="auto"/>
          <w:sz w:val="24"/>
          <w:szCs w:val="24"/>
          <w:highlight w:val="none"/>
        </w:rPr>
      </w:pPr>
    </w:p>
    <w:p w14:paraId="6FF0B1E0">
      <w:pPr>
        <w:jc w:val="left"/>
        <w:rPr>
          <w:rFonts w:hint="eastAsia" w:ascii="方正仿宋_GBK" w:hAnsi="方正仿宋_GBK" w:eastAsia="方正仿宋_GBK" w:cs="方正仿宋_GBK"/>
          <w:color w:val="auto"/>
          <w:sz w:val="24"/>
          <w:szCs w:val="24"/>
          <w:highlight w:val="none"/>
        </w:rPr>
      </w:pPr>
    </w:p>
    <w:p w14:paraId="7FE4BF41">
      <w:pPr>
        <w:jc w:val="left"/>
        <w:rPr>
          <w:rFonts w:hint="eastAsia" w:ascii="方正仿宋_GBK" w:hAnsi="方正仿宋_GBK" w:eastAsia="方正仿宋_GBK" w:cs="方正仿宋_GBK"/>
          <w:color w:val="auto"/>
          <w:sz w:val="24"/>
          <w:szCs w:val="24"/>
          <w:highlight w:val="none"/>
        </w:rPr>
      </w:pPr>
    </w:p>
    <w:p w14:paraId="058A1B93">
      <w:pPr>
        <w:jc w:val="left"/>
        <w:rPr>
          <w:rFonts w:hint="eastAsia" w:ascii="方正仿宋_GBK" w:hAnsi="方正仿宋_GBK" w:eastAsia="方正仿宋_GBK" w:cs="方正仿宋_GBK"/>
          <w:color w:val="auto"/>
          <w:sz w:val="24"/>
          <w:szCs w:val="24"/>
          <w:highlight w:val="none"/>
        </w:rPr>
      </w:pPr>
    </w:p>
    <w:p w14:paraId="1E508CBA">
      <w:pPr>
        <w:jc w:val="left"/>
        <w:rPr>
          <w:rFonts w:hint="eastAsia" w:ascii="方正仿宋_GBK" w:hAnsi="方正仿宋_GBK" w:eastAsia="方正仿宋_GBK" w:cs="方正仿宋_GBK"/>
          <w:color w:val="auto"/>
          <w:sz w:val="24"/>
          <w:szCs w:val="24"/>
          <w:highlight w:val="none"/>
        </w:rPr>
      </w:pPr>
    </w:p>
    <w:p w14:paraId="13338980">
      <w:pPr>
        <w:jc w:val="left"/>
        <w:rPr>
          <w:rFonts w:hint="eastAsia" w:ascii="方正仿宋_GBK" w:hAnsi="方正仿宋_GBK" w:eastAsia="方正仿宋_GBK" w:cs="方正仿宋_GBK"/>
          <w:color w:val="auto"/>
          <w:sz w:val="24"/>
          <w:szCs w:val="24"/>
          <w:highlight w:val="none"/>
        </w:rPr>
      </w:pPr>
    </w:p>
    <w:p w14:paraId="3B2EA361">
      <w:pPr>
        <w:jc w:val="left"/>
        <w:rPr>
          <w:rFonts w:hint="eastAsia" w:ascii="方正仿宋_GBK" w:hAnsi="方正仿宋_GBK" w:eastAsia="方正仿宋_GBK" w:cs="方正仿宋_GBK"/>
          <w:color w:val="auto"/>
          <w:sz w:val="24"/>
          <w:szCs w:val="24"/>
          <w:highlight w:val="none"/>
        </w:rPr>
      </w:pPr>
    </w:p>
    <w:p w14:paraId="073E9CB4">
      <w:pPr>
        <w:jc w:val="left"/>
        <w:rPr>
          <w:rFonts w:hint="eastAsia" w:ascii="方正仿宋_GBK" w:hAnsi="方正仿宋_GBK" w:eastAsia="方正仿宋_GBK" w:cs="方正仿宋_GBK"/>
          <w:color w:val="auto"/>
          <w:sz w:val="24"/>
          <w:szCs w:val="24"/>
          <w:highlight w:val="none"/>
        </w:rPr>
      </w:pPr>
    </w:p>
    <w:p w14:paraId="080E5E6A">
      <w:pPr>
        <w:jc w:val="left"/>
        <w:rPr>
          <w:rFonts w:hint="eastAsia" w:ascii="方正仿宋_GBK" w:hAnsi="方正仿宋_GBK" w:eastAsia="方正仿宋_GBK" w:cs="方正仿宋_GBK"/>
          <w:color w:val="auto"/>
          <w:sz w:val="24"/>
          <w:szCs w:val="24"/>
          <w:highlight w:val="none"/>
        </w:rPr>
      </w:pPr>
    </w:p>
    <w:p w14:paraId="2A48C4C0">
      <w:pPr>
        <w:jc w:val="left"/>
        <w:rPr>
          <w:rFonts w:hint="eastAsia" w:ascii="方正仿宋_GBK" w:hAnsi="方正仿宋_GBK" w:eastAsia="方正仿宋_GBK" w:cs="方正仿宋_GBK"/>
          <w:color w:val="auto"/>
          <w:sz w:val="24"/>
          <w:szCs w:val="24"/>
          <w:highlight w:val="none"/>
        </w:rPr>
      </w:pPr>
    </w:p>
    <w:p w14:paraId="44B0D516">
      <w:pPr>
        <w:jc w:val="left"/>
        <w:rPr>
          <w:rFonts w:hint="eastAsia" w:ascii="方正仿宋_GBK" w:hAnsi="方正仿宋_GBK" w:eastAsia="方正仿宋_GBK" w:cs="方正仿宋_GBK"/>
          <w:color w:val="auto"/>
          <w:sz w:val="24"/>
          <w:szCs w:val="24"/>
          <w:highlight w:val="none"/>
        </w:rPr>
      </w:pPr>
    </w:p>
    <w:p w14:paraId="4EEB96F1">
      <w:pPr>
        <w:jc w:val="left"/>
        <w:rPr>
          <w:rFonts w:hint="eastAsia" w:ascii="方正仿宋_GBK" w:hAnsi="方正仿宋_GBK" w:eastAsia="方正仿宋_GBK" w:cs="方正仿宋_GBK"/>
          <w:color w:val="auto"/>
          <w:sz w:val="24"/>
          <w:szCs w:val="24"/>
          <w:highlight w:val="none"/>
        </w:rPr>
      </w:pPr>
    </w:p>
    <w:p w14:paraId="3F0A6F3F">
      <w:pPr>
        <w:jc w:val="left"/>
        <w:rPr>
          <w:rFonts w:hint="eastAsia" w:ascii="方正仿宋_GBK" w:hAnsi="方正仿宋_GBK" w:eastAsia="方正仿宋_GBK" w:cs="方正仿宋_GBK"/>
          <w:color w:val="auto"/>
          <w:sz w:val="24"/>
          <w:szCs w:val="24"/>
          <w:highlight w:val="none"/>
        </w:rPr>
      </w:pPr>
    </w:p>
    <w:p w14:paraId="6AF19886">
      <w:pPr>
        <w:rPr>
          <w:rFonts w:hint="eastAsia"/>
          <w:color w:val="auto"/>
          <w:highlight w:val="none"/>
        </w:rPr>
      </w:pPr>
      <w:r>
        <w:rPr>
          <w:rFonts w:hint="eastAsia"/>
          <w:color w:val="auto"/>
          <w:highlight w:val="none"/>
        </w:rPr>
        <w:br w:type="page"/>
      </w:r>
    </w:p>
    <w:p w14:paraId="13883259">
      <w:pPr>
        <w:pStyle w:val="2"/>
        <w:jc w:val="center"/>
        <w:rPr>
          <w:color w:val="auto"/>
          <w:highlight w:val="none"/>
        </w:rPr>
      </w:pPr>
      <w:bookmarkStart w:id="55" w:name="_Toc29336"/>
      <w:r>
        <w:rPr>
          <w:rFonts w:hint="eastAsia"/>
          <w:color w:val="auto"/>
          <w:highlight w:val="none"/>
        </w:rPr>
        <w:t>第二篇  项目</w:t>
      </w:r>
      <w:bookmarkEnd w:id="53"/>
      <w:bookmarkEnd w:id="54"/>
      <w:r>
        <w:rPr>
          <w:rFonts w:hint="eastAsia"/>
          <w:color w:val="auto"/>
          <w:highlight w:val="none"/>
        </w:rPr>
        <w:t>服务需求</w:t>
      </w:r>
      <w:bookmarkEnd w:id="55"/>
    </w:p>
    <w:p w14:paraId="6B0046EA">
      <w:pPr>
        <w:jc w:val="left"/>
        <w:rPr>
          <w:rFonts w:hint="eastAsia" w:ascii="方正仿宋_GBK" w:hAnsi="方正仿宋_GBK" w:eastAsia="方正仿宋_GBK" w:cs="方正仿宋_GBK"/>
          <w:color w:val="auto"/>
          <w:highlight w:val="none"/>
        </w:rPr>
      </w:pPr>
      <w:bookmarkStart w:id="56" w:name="_Toc76462325"/>
      <w:bookmarkStart w:id="57" w:name="_Toc12789058"/>
      <w:r>
        <w:rPr>
          <w:rFonts w:hint="eastAsia" w:ascii="方正仿宋_GBK" w:hAnsi="方正仿宋_GBK" w:eastAsia="方正仿宋_GBK" w:cs="方正仿宋_GBK"/>
          <w:b/>
          <w:bCs/>
          <w:color w:val="auto"/>
          <w:sz w:val="24"/>
          <w:szCs w:val="24"/>
          <w:highlight w:val="none"/>
          <w:u w:val="single"/>
        </w:rPr>
        <w:t>本篇服务需求为符合性审查中的实质性要求，响应文件若不满足按无效处理。</w:t>
      </w:r>
    </w:p>
    <w:bookmarkEnd w:id="56"/>
    <w:p w14:paraId="04AD5CE6">
      <w:pPr>
        <w:pStyle w:val="3"/>
        <w:rPr>
          <w:color w:val="auto"/>
          <w:highlight w:val="none"/>
        </w:rPr>
      </w:pPr>
      <w:bookmarkStart w:id="58" w:name="_Toc106030880"/>
      <w:bookmarkStart w:id="59" w:name="_Toc28578"/>
      <w:r>
        <w:rPr>
          <w:rFonts w:hint="eastAsia"/>
          <w:color w:val="auto"/>
          <w:highlight w:val="none"/>
        </w:rPr>
        <w:t>一、</w:t>
      </w:r>
      <w:bookmarkEnd w:id="58"/>
      <w:r>
        <w:rPr>
          <w:rFonts w:hint="eastAsia"/>
          <w:color w:val="auto"/>
          <w:highlight w:val="none"/>
        </w:rPr>
        <w:t>招标项目一览表</w:t>
      </w:r>
      <w:bookmarkEnd w:id="59"/>
    </w:p>
    <w:tbl>
      <w:tblPr>
        <w:tblStyle w:val="20"/>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85"/>
        <w:gridCol w:w="2054"/>
        <w:gridCol w:w="675"/>
        <w:gridCol w:w="675"/>
        <w:gridCol w:w="810"/>
        <w:gridCol w:w="825"/>
        <w:gridCol w:w="922"/>
      </w:tblGrid>
      <w:tr w14:paraId="2966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4" w:type="dxa"/>
            <w:vAlign w:val="center"/>
          </w:tcPr>
          <w:p w14:paraId="09D18799">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1785" w:type="dxa"/>
            <w:vAlign w:val="center"/>
          </w:tcPr>
          <w:p w14:paraId="464BBA38">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服务名称</w:t>
            </w:r>
          </w:p>
        </w:tc>
        <w:tc>
          <w:tcPr>
            <w:tcW w:w="2054" w:type="dxa"/>
            <w:vAlign w:val="center"/>
          </w:tcPr>
          <w:p w14:paraId="6233D4AD">
            <w:pPr>
              <w:jc w:val="center"/>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val="en-US" w:eastAsia="zh-CN"/>
              </w:rPr>
              <w:t>服务范围、标准及要求</w:t>
            </w:r>
          </w:p>
        </w:tc>
        <w:tc>
          <w:tcPr>
            <w:tcW w:w="675" w:type="dxa"/>
            <w:vAlign w:val="center"/>
          </w:tcPr>
          <w:p w14:paraId="4C74D0C2">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单位</w:t>
            </w:r>
          </w:p>
        </w:tc>
        <w:tc>
          <w:tcPr>
            <w:tcW w:w="675" w:type="dxa"/>
            <w:vAlign w:val="center"/>
          </w:tcPr>
          <w:p w14:paraId="07ADA9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数量</w:t>
            </w:r>
          </w:p>
        </w:tc>
        <w:tc>
          <w:tcPr>
            <w:tcW w:w="810" w:type="dxa"/>
            <w:vAlign w:val="center"/>
          </w:tcPr>
          <w:p w14:paraId="3FE55D9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单价</w:t>
            </w:r>
          </w:p>
        </w:tc>
        <w:tc>
          <w:tcPr>
            <w:tcW w:w="825" w:type="dxa"/>
            <w:vAlign w:val="center"/>
          </w:tcPr>
          <w:p w14:paraId="1BBFC9AB">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金额</w:t>
            </w:r>
          </w:p>
        </w:tc>
        <w:tc>
          <w:tcPr>
            <w:tcW w:w="922" w:type="dxa"/>
            <w:vAlign w:val="center"/>
          </w:tcPr>
          <w:p w14:paraId="3879881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2321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24" w:type="dxa"/>
            <w:vAlign w:val="center"/>
          </w:tcPr>
          <w:p w14:paraId="549CE6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1</w:t>
            </w:r>
          </w:p>
        </w:tc>
        <w:tc>
          <w:tcPr>
            <w:tcW w:w="1785" w:type="dxa"/>
            <w:vAlign w:val="center"/>
          </w:tcPr>
          <w:p w14:paraId="223C2105">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璧山区全域研学项目规划方案编制单位（第二次）</w:t>
            </w:r>
          </w:p>
        </w:tc>
        <w:tc>
          <w:tcPr>
            <w:tcW w:w="2054" w:type="dxa"/>
            <w:vAlign w:val="center"/>
          </w:tcPr>
          <w:p w14:paraId="26C8ADC7">
            <w:pPr>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完成</w:t>
            </w:r>
            <w:r>
              <w:rPr>
                <w:rFonts w:hint="eastAsia" w:ascii="方正仿宋_GBK" w:hAnsi="方正仿宋_GBK" w:eastAsia="方正仿宋_GBK" w:cs="方正仿宋_GBK"/>
                <w:color w:val="auto"/>
                <w:sz w:val="21"/>
                <w:szCs w:val="21"/>
                <w:highlight w:val="none"/>
                <w:lang w:val="en-US" w:eastAsia="zh-CN"/>
              </w:rPr>
              <w:t>全域研学产业布局方案，包括背景分析、愿景定位规划、在地优势研究、全域研学产业打造、前景价值研究、联合造就规划等。</w:t>
            </w:r>
          </w:p>
        </w:tc>
        <w:tc>
          <w:tcPr>
            <w:tcW w:w="675" w:type="dxa"/>
            <w:vAlign w:val="center"/>
          </w:tcPr>
          <w:p w14:paraId="59BEA384">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w:t>
            </w:r>
          </w:p>
        </w:tc>
        <w:tc>
          <w:tcPr>
            <w:tcW w:w="675" w:type="dxa"/>
            <w:vAlign w:val="center"/>
          </w:tcPr>
          <w:p w14:paraId="2CD5A2B0">
            <w:pP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810" w:type="dxa"/>
            <w:vAlign w:val="center"/>
          </w:tcPr>
          <w:p w14:paraId="5912EEA2">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19.50万元</w:t>
            </w:r>
          </w:p>
        </w:tc>
        <w:tc>
          <w:tcPr>
            <w:tcW w:w="825" w:type="dxa"/>
            <w:vAlign w:val="center"/>
          </w:tcPr>
          <w:p w14:paraId="58D7AFEA">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19.50万元</w:t>
            </w:r>
          </w:p>
        </w:tc>
        <w:tc>
          <w:tcPr>
            <w:tcW w:w="922" w:type="dxa"/>
            <w:vAlign w:val="center"/>
          </w:tcPr>
          <w:p w14:paraId="6DD2A1F3">
            <w:pPr>
              <w:rPr>
                <w:rFonts w:hint="eastAsia" w:ascii="方正仿宋_GBK" w:hAnsi="方正仿宋_GBK" w:eastAsia="方正仿宋_GBK" w:cs="方正仿宋_GBK"/>
                <w:color w:val="auto"/>
                <w:sz w:val="21"/>
                <w:szCs w:val="21"/>
                <w:highlight w:val="none"/>
              </w:rPr>
            </w:pPr>
          </w:p>
        </w:tc>
      </w:tr>
    </w:tbl>
    <w:p w14:paraId="7837180E">
      <w:pPr>
        <w:pStyle w:val="3"/>
        <w:rPr>
          <w:rFonts w:hint="eastAsia"/>
          <w:color w:val="auto"/>
          <w:highlight w:val="none"/>
        </w:rPr>
      </w:pPr>
      <w:bookmarkStart w:id="60" w:name="_Toc344475116"/>
      <w:bookmarkStart w:id="61" w:name="_Toc76462326"/>
      <w:bookmarkStart w:id="62" w:name="_Toc313536013"/>
      <w:bookmarkStart w:id="63" w:name="_Toc106030881"/>
      <w:bookmarkStart w:id="64" w:name="_Toc549"/>
      <w:r>
        <w:rPr>
          <w:rFonts w:hint="eastAsia"/>
          <w:color w:val="auto"/>
          <w:highlight w:val="none"/>
          <w:lang w:val="en-US" w:eastAsia="zh-CN"/>
        </w:rPr>
        <w:t>二</w:t>
      </w:r>
      <w:r>
        <w:rPr>
          <w:rFonts w:hint="eastAsia"/>
          <w:color w:val="auto"/>
          <w:highlight w:val="none"/>
        </w:rPr>
        <w:t>、</w:t>
      </w:r>
      <w:bookmarkEnd w:id="60"/>
      <w:bookmarkEnd w:id="61"/>
      <w:bookmarkEnd w:id="62"/>
      <w:bookmarkEnd w:id="63"/>
      <w:bookmarkStart w:id="65" w:name="_Toc31234"/>
      <w:r>
        <w:rPr>
          <w:rFonts w:hint="eastAsia"/>
          <w:color w:val="auto"/>
          <w:highlight w:val="none"/>
        </w:rPr>
        <w:t>招标项目</w:t>
      </w:r>
      <w:r>
        <w:rPr>
          <w:rFonts w:hint="eastAsia"/>
          <w:color w:val="auto"/>
          <w:highlight w:val="none"/>
          <w:lang w:val="en-US" w:eastAsia="zh-CN"/>
        </w:rPr>
        <w:t>服务</w:t>
      </w:r>
      <w:r>
        <w:rPr>
          <w:rFonts w:hint="eastAsia"/>
          <w:color w:val="auto"/>
          <w:highlight w:val="none"/>
        </w:rPr>
        <w:t>需求</w:t>
      </w:r>
      <w:bookmarkEnd w:id="64"/>
      <w:bookmarkEnd w:id="65"/>
    </w:p>
    <w:p w14:paraId="7DB10E5B">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无</w:t>
      </w:r>
      <w:r>
        <w:rPr>
          <w:rFonts w:hint="eastAsia" w:ascii="方正仿宋_GBK" w:hAnsi="方正仿宋_GBK" w:eastAsia="方正仿宋_GBK" w:cs="方正仿宋_GBK"/>
          <w:color w:val="auto"/>
          <w:sz w:val="24"/>
          <w:szCs w:val="24"/>
          <w:highlight w:val="none"/>
          <w:lang w:eastAsia="zh-CN"/>
        </w:rPr>
        <w:t>。</w:t>
      </w:r>
    </w:p>
    <w:p w14:paraId="4895A512">
      <w:pPr>
        <w:pStyle w:val="3"/>
        <w:rPr>
          <w:rFonts w:hint="eastAsia"/>
          <w:color w:val="auto"/>
          <w:highlight w:val="none"/>
        </w:rPr>
      </w:pPr>
      <w:bookmarkStart w:id="66" w:name="_Toc30443"/>
      <w:r>
        <w:rPr>
          <w:rFonts w:hint="eastAsia"/>
          <w:color w:val="auto"/>
          <w:highlight w:val="none"/>
          <w:lang w:eastAsia="zh-CN"/>
        </w:rPr>
        <w:t>三、</w:t>
      </w:r>
      <w:r>
        <w:rPr>
          <w:rFonts w:hint="eastAsia"/>
          <w:color w:val="auto"/>
          <w:highlight w:val="none"/>
        </w:rPr>
        <w:t>其他要求</w:t>
      </w:r>
      <w:bookmarkEnd w:id="66"/>
    </w:p>
    <w:p w14:paraId="4454C90B">
      <w:pPr>
        <w:spacing w:line="400" w:lineRule="exact"/>
        <w:ind w:firstLine="480" w:firstLineChars="200"/>
        <w:rPr>
          <w:rFonts w:hint="eastAsia" w:ascii="方正仿宋_GBK" w:hAnsi="方正仿宋_GBK" w:eastAsia="方正仿宋_GBK" w:cs="方正仿宋_GBK"/>
          <w:color w:val="auto"/>
          <w:sz w:val="24"/>
          <w:szCs w:val="24"/>
          <w:highlight w:val="none"/>
        </w:rPr>
        <w:sectPr>
          <w:headerReference r:id="rId3" w:type="default"/>
          <w:footerReference r:id="rId4" w:type="default"/>
          <w:footerReference r:id="rId5" w:type="even"/>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bookmarkEnd w:id="57"/>
    <w:p w14:paraId="57EC42F7">
      <w:pPr>
        <w:pStyle w:val="2"/>
        <w:numPr>
          <w:ilvl w:val="0"/>
          <w:numId w:val="2"/>
        </w:numPr>
        <w:jc w:val="center"/>
        <w:rPr>
          <w:color w:val="auto"/>
          <w:highlight w:val="none"/>
        </w:rPr>
      </w:pPr>
      <w:bookmarkStart w:id="67" w:name="_Toc106030882"/>
      <w:bookmarkStart w:id="68" w:name="_Toc76462327"/>
      <w:bookmarkStart w:id="69" w:name="_Toc30749"/>
      <w:r>
        <w:rPr>
          <w:rFonts w:hint="eastAsia"/>
          <w:color w:val="auto"/>
          <w:highlight w:val="none"/>
        </w:rPr>
        <w:t>项目商务需求</w:t>
      </w:r>
      <w:bookmarkEnd w:id="67"/>
      <w:bookmarkEnd w:id="68"/>
      <w:bookmarkEnd w:id="69"/>
    </w:p>
    <w:p w14:paraId="1DD1E835">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本篇商务需求为符合性审查中的实质性要求，响应文件若不满足按无效处理。</w:t>
      </w:r>
    </w:p>
    <w:p w14:paraId="18C5F101">
      <w:pPr>
        <w:pStyle w:val="3"/>
        <w:rPr>
          <w:color w:val="auto"/>
          <w:highlight w:val="none"/>
        </w:rPr>
      </w:pPr>
      <w:bookmarkStart w:id="70" w:name="_Toc106030883"/>
      <w:bookmarkStart w:id="71" w:name="_Toc344475120"/>
      <w:bookmarkStart w:id="72" w:name="_Toc76462328"/>
      <w:bookmarkStart w:id="73" w:name="_Toc26793"/>
      <w:r>
        <w:rPr>
          <w:rFonts w:hint="eastAsia"/>
          <w:color w:val="auto"/>
          <w:highlight w:val="none"/>
        </w:rPr>
        <w:t>一、服务期、地点及验收方式</w:t>
      </w:r>
      <w:bookmarkEnd w:id="70"/>
      <w:bookmarkEnd w:id="71"/>
      <w:bookmarkEnd w:id="72"/>
      <w:bookmarkEnd w:id="73"/>
    </w:p>
    <w:p w14:paraId="7CBB6C3B">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74" w:name="_Toc344475121"/>
      <w:bookmarkStart w:id="75" w:name="_Toc106030884"/>
      <w:bookmarkStart w:id="76" w:name="_Toc76462329"/>
      <w:r>
        <w:rPr>
          <w:rFonts w:hint="eastAsia" w:ascii="方正仿宋_GBK" w:hAnsi="方正仿宋_GBK" w:eastAsia="方正仿宋_GBK" w:cs="方正仿宋_GBK"/>
          <w:color w:val="auto"/>
          <w:sz w:val="24"/>
          <w:szCs w:val="24"/>
          <w:highlight w:val="none"/>
        </w:rPr>
        <w:t>（一）服务期：合同签订之日起</w:t>
      </w:r>
      <w:r>
        <w:rPr>
          <w:rFonts w:hint="eastAsia" w:ascii="方正仿宋_GBK" w:hAnsi="方正仿宋_GBK" w:eastAsia="方正仿宋_GBK" w:cs="方正仿宋_GBK"/>
          <w:color w:val="auto"/>
          <w:sz w:val="24"/>
          <w:szCs w:val="24"/>
          <w:highlight w:val="none"/>
          <w:lang w:val="en-US" w:eastAsia="zh-CN"/>
        </w:rPr>
        <w:t>30个工作日完成规划工作。</w:t>
      </w:r>
    </w:p>
    <w:p w14:paraId="3D340E7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（二）服务地点：采购人指定地点。</w:t>
      </w:r>
    </w:p>
    <w:p w14:paraId="111BCE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（三）验收方式：</w:t>
      </w:r>
      <w:bookmarkStart w:id="77" w:name="_Toc21875"/>
      <w:r>
        <w:rPr>
          <w:rFonts w:hint="eastAsia" w:ascii="方正仿宋_GBK" w:hAnsi="方正仿宋_GBK" w:eastAsia="方正仿宋_GBK" w:cs="方正仿宋_GBK"/>
          <w:color w:val="auto"/>
          <w:sz w:val="24"/>
          <w:szCs w:val="24"/>
          <w:highlight w:val="none"/>
        </w:rPr>
        <w:t>采购人自行验收</w:t>
      </w:r>
      <w:bookmarkEnd w:id="77"/>
      <w:r>
        <w:rPr>
          <w:rFonts w:hint="eastAsia" w:ascii="方正仿宋_GBK" w:hAnsi="方正仿宋_GBK" w:eastAsia="方正仿宋_GBK" w:cs="方正仿宋_GBK"/>
          <w:color w:val="auto"/>
          <w:sz w:val="24"/>
          <w:szCs w:val="24"/>
          <w:highlight w:val="none"/>
        </w:rPr>
        <w:t>。</w:t>
      </w:r>
    </w:p>
    <w:p w14:paraId="1CBA5DC4">
      <w:pPr>
        <w:pStyle w:val="3"/>
        <w:rPr>
          <w:rFonts w:hint="eastAsia" w:ascii="方正仿宋_GBK" w:hAnsi="方正仿宋_GBK" w:eastAsia="方正仿宋_GBK" w:cs="方正仿宋_GBK"/>
          <w:color w:val="auto"/>
          <w:sz w:val="24"/>
          <w:szCs w:val="24"/>
          <w:highlight w:val="none"/>
          <w:lang w:val="en-US" w:eastAsia="zh-CN"/>
        </w:rPr>
      </w:pPr>
      <w:bookmarkStart w:id="78" w:name="_Toc17041"/>
      <w:r>
        <w:rPr>
          <w:rFonts w:hint="eastAsia"/>
          <w:color w:val="auto"/>
          <w:highlight w:val="none"/>
        </w:rPr>
        <w:t>二、</w:t>
      </w:r>
      <w:bookmarkEnd w:id="74"/>
      <w:r>
        <w:rPr>
          <w:rFonts w:hint="eastAsia"/>
          <w:color w:val="auto"/>
          <w:highlight w:val="none"/>
        </w:rPr>
        <w:t>报价要求</w:t>
      </w:r>
      <w:bookmarkEnd w:id="75"/>
      <w:bookmarkEnd w:id="76"/>
      <w:bookmarkEnd w:id="78"/>
    </w:p>
    <w:p w14:paraId="4D6D7C1F">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（一）竞采</w:t>
      </w:r>
      <w:bookmarkStart w:id="79" w:name="_Toc32652"/>
      <w:bookmarkStart w:id="80" w:name="_Toc24284"/>
      <w:bookmarkStart w:id="81" w:name="_Toc11730"/>
      <w:bookmarkStart w:id="82" w:name="_Toc4713"/>
      <w:r>
        <w:rPr>
          <w:rFonts w:hint="eastAsia" w:ascii="方正仿宋_GBK" w:hAnsi="方正仿宋_GBK" w:eastAsia="方正仿宋_GBK" w:cs="方正仿宋_GBK"/>
          <w:color w:val="auto"/>
          <w:sz w:val="24"/>
          <w:szCs w:val="24"/>
          <w:highlight w:val="none"/>
          <w:lang w:val="en-US" w:eastAsia="zh-CN"/>
        </w:rPr>
        <w:t>本次报价为人民币报价，报价须包含但不限于：完成本项目所需的服务费、人工费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bookmarkEnd w:id="79"/>
      <w:bookmarkEnd w:id="80"/>
      <w:bookmarkEnd w:id="81"/>
      <w:bookmarkEnd w:id="82"/>
    </w:p>
    <w:p w14:paraId="2DAC246B">
      <w:pPr>
        <w:spacing w:line="400" w:lineRule="exact"/>
        <w:ind w:firstLine="480" w:firstLineChars="200"/>
        <w:rPr>
          <w:rFonts w:hint="default"/>
          <w:color w:val="auto"/>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（二）本项目采用总价包干方式报价，供应商的网上报价必须与响应文件中报价函的报价一致，否则视为无效响应。</w:t>
      </w:r>
    </w:p>
    <w:p w14:paraId="56DD7FCA">
      <w:pPr>
        <w:pStyle w:val="3"/>
        <w:rPr>
          <w:color w:val="auto"/>
          <w:highlight w:val="none"/>
        </w:rPr>
      </w:pPr>
      <w:bookmarkStart w:id="83" w:name="_Toc23139"/>
      <w:r>
        <w:rPr>
          <w:rFonts w:hint="eastAsia"/>
          <w:color w:val="auto"/>
          <w:highlight w:val="none"/>
        </w:rPr>
        <w:t>三、付款方式</w:t>
      </w:r>
      <w:bookmarkEnd w:id="83"/>
    </w:p>
    <w:p w14:paraId="4F5301F7">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bookmarkStart w:id="84" w:name="_Toc267320054"/>
      <w:bookmarkStart w:id="85" w:name="_Toc529"/>
      <w:bookmarkStart w:id="86" w:name="_Toc17569"/>
      <w:bookmarkStart w:id="87" w:name="_Toc30515"/>
      <w:bookmarkStart w:id="88" w:name="_Toc6099"/>
      <w:bookmarkStart w:id="89" w:name="_Toc28513"/>
      <w:bookmarkStart w:id="90" w:name="_Toc13936"/>
      <w:bookmarkStart w:id="91" w:name="_Toc32308"/>
      <w:bookmarkStart w:id="92" w:name="_Toc1138"/>
      <w:bookmarkStart w:id="93" w:name="_Toc6385"/>
      <w:bookmarkStart w:id="94" w:name="_Toc10406"/>
      <w:bookmarkStart w:id="95" w:name="_Toc106030392"/>
      <w:bookmarkStart w:id="96" w:name="_Toc23858"/>
      <w:bookmarkStart w:id="97" w:name="_Toc27175"/>
      <w:bookmarkStart w:id="98" w:name="_Toc4353"/>
      <w:bookmarkStart w:id="99" w:name="_Toc14923"/>
      <w:bookmarkStart w:id="100" w:name="_Toc75793516"/>
      <w:r>
        <w:rPr>
          <w:rFonts w:hint="eastAsia" w:ascii="方正仿宋_GBK" w:hAnsi="方正仿宋_GBK" w:eastAsia="方正仿宋_GBK" w:cs="方正仿宋_GBK"/>
          <w:color w:val="auto"/>
          <w:sz w:val="24"/>
          <w:szCs w:val="24"/>
          <w:highlight w:val="none"/>
          <w:lang w:val="en-US" w:eastAsia="zh-CN"/>
        </w:rPr>
        <w:t>根据规划方案进度支付，第一次汇报完成支付合同总金额的50%，完成所有工作并提交所有成果经验收后支付剩下的50%。每次付款前，成交供应商均须出具国家税务机关开具合法等额的增值税专用发票，并提供重庆市璧山区税务机关的完税证明后，由项目业主</w:t>
      </w:r>
      <w:r>
        <w:rPr>
          <w:rFonts w:hint="eastAsia" w:ascii="方正仿宋_GBK" w:hAnsi="方正仿宋_GBK" w:eastAsia="方正仿宋_GBK" w:cs="方正仿宋_GBK"/>
          <w:color w:val="auto"/>
          <w:sz w:val="24"/>
          <w:szCs w:val="24"/>
          <w:highlight w:val="none"/>
          <w:lang w:val="en-US" w:eastAsia="zh-CN"/>
        </w:rPr>
        <w:t>重庆必好城市运营管理有限公司</w:t>
      </w:r>
      <w:r>
        <w:rPr>
          <w:rFonts w:hint="eastAsia" w:ascii="方正仿宋_GBK" w:hAnsi="方正仿宋_GBK" w:eastAsia="方正仿宋_GBK" w:cs="方正仿宋_GBK"/>
          <w:color w:val="auto"/>
          <w:sz w:val="24"/>
          <w:szCs w:val="24"/>
          <w:highlight w:val="none"/>
          <w:lang w:val="en-US" w:eastAsia="zh-CN"/>
        </w:rPr>
        <w:t>采用银行转账支付或电汇至成交供应商在璧银行账户。否则项目业主有权拒绝支付并不承担任何违约责任。</w:t>
      </w:r>
    </w:p>
    <w:p w14:paraId="60078835">
      <w:pPr>
        <w:pStyle w:val="3"/>
        <w:rPr>
          <w:color w:val="auto"/>
          <w:highlight w:val="none"/>
        </w:rPr>
      </w:pPr>
      <w:bookmarkStart w:id="101" w:name="_Toc27067"/>
      <w:r>
        <w:rPr>
          <w:rFonts w:hint="eastAsia"/>
          <w:color w:val="auto"/>
          <w:highlight w:val="none"/>
        </w:rPr>
        <w:t>四、</w:t>
      </w:r>
      <w:bookmarkEnd w:id="84"/>
      <w:r>
        <w:rPr>
          <w:rFonts w:hint="eastAsia"/>
          <w:color w:val="auto"/>
          <w:highlight w:val="none"/>
        </w:rPr>
        <w:t>其他商务要求内容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BD98B49">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zh-TW" w:eastAsia="zh-CN"/>
        </w:rPr>
        <w:t>无</w:t>
      </w:r>
      <w:r>
        <w:rPr>
          <w:rFonts w:hint="eastAsia" w:ascii="方正仿宋_GBK" w:hAnsi="方正仿宋_GBK" w:eastAsia="方正仿宋_GBK" w:cs="方正仿宋_GBK"/>
          <w:color w:val="auto"/>
          <w:sz w:val="24"/>
          <w:szCs w:val="24"/>
          <w:highlight w:val="none"/>
          <w:lang w:val="en-US" w:eastAsia="zh-CN"/>
        </w:rPr>
        <w:t>。</w:t>
      </w:r>
    </w:p>
    <w:p w14:paraId="6C842B34">
      <w:pPr>
        <w:snapToGrid w:val="0"/>
        <w:spacing w:line="594" w:lineRule="exact"/>
        <w:ind w:firstLine="640" w:firstLineChars="200"/>
        <w:rPr>
          <w:rFonts w:hint="eastAsia" w:ascii="黑体" w:hAnsi="黑体" w:eastAsia="黑体" w:cs="黑体"/>
          <w:color w:val="auto"/>
          <w:sz w:val="32"/>
          <w:szCs w:val="32"/>
          <w:highlight w:val="none"/>
        </w:rPr>
      </w:pPr>
    </w:p>
    <w:p w14:paraId="67D63A4D">
      <w:pPr>
        <w:rPr>
          <w:rFonts w:ascii="Times New Roman" w:hAnsi="Times New Roman" w:eastAsia="方正小标宋_GBK"/>
          <w:color w:val="auto"/>
          <w:sz w:val="44"/>
          <w:szCs w:val="44"/>
          <w:highlight w:val="none"/>
        </w:rPr>
      </w:pPr>
      <w:r>
        <w:rPr>
          <w:rFonts w:hint="eastAsia" w:ascii="黑体" w:hAnsi="黑体" w:eastAsia="黑体" w:cs="黑体"/>
          <w:color w:val="auto"/>
          <w:sz w:val="32"/>
          <w:szCs w:val="32"/>
          <w:highlight w:val="none"/>
        </w:rPr>
        <w:br w:type="page"/>
      </w:r>
    </w:p>
    <w:p w14:paraId="2857A4F7">
      <w:pPr>
        <w:pStyle w:val="2"/>
        <w:rPr>
          <w:rFonts w:hint="eastAsia" w:ascii="方正仿宋_GBK" w:hAnsi="方正仿宋_GBK" w:eastAsia="方正仿宋_GBK" w:cs="方正仿宋_GBK"/>
          <w:color w:val="auto"/>
          <w:sz w:val="24"/>
          <w:szCs w:val="24"/>
          <w:highlight w:val="none"/>
        </w:rPr>
      </w:pPr>
      <w:bookmarkStart w:id="102" w:name="_Toc109836389"/>
      <w:bookmarkStart w:id="103" w:name="_Toc8439"/>
      <w:r>
        <w:rPr>
          <w:rFonts w:hint="eastAsia"/>
          <w:color w:val="auto"/>
          <w:sz w:val="40"/>
          <w:szCs w:val="18"/>
          <w:highlight w:val="none"/>
        </w:rPr>
        <w:t>第四篇  竞采程序、评标办法</w:t>
      </w:r>
      <w:bookmarkEnd w:id="102"/>
      <w:r>
        <w:rPr>
          <w:rFonts w:hint="eastAsia"/>
          <w:color w:val="auto"/>
          <w:sz w:val="40"/>
          <w:szCs w:val="18"/>
          <w:highlight w:val="none"/>
        </w:rPr>
        <w:t>、无效响应及采购终止</w:t>
      </w:r>
      <w:bookmarkEnd w:id="103"/>
    </w:p>
    <w:p w14:paraId="45606D60">
      <w:pPr>
        <w:pStyle w:val="3"/>
        <w:rPr>
          <w:color w:val="auto"/>
          <w:highlight w:val="none"/>
        </w:rPr>
      </w:pPr>
      <w:bookmarkStart w:id="104" w:name="_Toc10124"/>
      <w:bookmarkStart w:id="105" w:name="_Toc20072"/>
      <w:r>
        <w:rPr>
          <w:rFonts w:hint="eastAsia"/>
          <w:color w:val="auto"/>
          <w:highlight w:val="none"/>
        </w:rPr>
        <w:t>一、</w:t>
      </w:r>
      <w:bookmarkEnd w:id="104"/>
      <w:bookmarkStart w:id="106" w:name="_Toc75793518"/>
      <w:r>
        <w:rPr>
          <w:rFonts w:hint="eastAsia"/>
          <w:color w:val="auto"/>
          <w:highlight w:val="none"/>
        </w:rPr>
        <w:t>网上竞采程序</w:t>
      </w:r>
      <w:bookmarkEnd w:id="105"/>
      <w:bookmarkEnd w:id="106"/>
    </w:p>
    <w:p w14:paraId="1F50C6F5">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78ED58A0">
      <w:pPr>
        <w:ind w:firstLine="482"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1.资格性检查。</w:t>
      </w:r>
      <w:r>
        <w:rPr>
          <w:rFonts w:hint="eastAsia" w:ascii="方正仿宋_GBK" w:hAnsi="方正仿宋_GBK" w:eastAsia="方正仿宋_GBK" w:cs="方正仿宋_GBK"/>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AD4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46DF81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685" w:type="dxa"/>
            <w:gridSpan w:val="2"/>
            <w:vAlign w:val="center"/>
          </w:tcPr>
          <w:p w14:paraId="49D3A83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5155" w:type="dxa"/>
            <w:vAlign w:val="center"/>
          </w:tcPr>
          <w:p w14:paraId="57E9AE6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7ACC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D77B8B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709" w:type="dxa"/>
            <w:vMerge w:val="restart"/>
            <w:vAlign w:val="center"/>
          </w:tcPr>
          <w:p w14:paraId="44F51C91">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sz w:val="24"/>
                <w:szCs w:val="24"/>
                <w:highlight w:val="none"/>
                <w:lang w:val="zh-CN"/>
              </w:rPr>
              <w:t>应符合的基本资格条件</w:t>
            </w:r>
          </w:p>
        </w:tc>
        <w:tc>
          <w:tcPr>
            <w:tcW w:w="2976" w:type="dxa"/>
            <w:vAlign w:val="center"/>
          </w:tcPr>
          <w:p w14:paraId="0A55BE5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5155" w:type="dxa"/>
            <w:vAlign w:val="center"/>
          </w:tcPr>
          <w:p w14:paraId="1673FD6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供应商法人营业执照（副本）或事业单位法人证书（副本）； 供应商法定代表人身份证明和法定代表人授权代表委托书。</w:t>
            </w:r>
          </w:p>
        </w:tc>
      </w:tr>
      <w:tr w14:paraId="11E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68084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31330D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12456AC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5155" w:type="dxa"/>
            <w:vMerge w:val="restart"/>
            <w:vAlign w:val="center"/>
          </w:tcPr>
          <w:p w14:paraId="0C1EBA8E">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供应商提供承诺函（见格式文件）</w:t>
            </w:r>
          </w:p>
        </w:tc>
      </w:tr>
      <w:tr w14:paraId="2EBA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9D97EF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27E8CAAF">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8B4664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5155" w:type="dxa"/>
            <w:vMerge w:val="continue"/>
            <w:vAlign w:val="center"/>
          </w:tcPr>
          <w:p w14:paraId="2BC48F4E">
            <w:pPr>
              <w:jc w:val="left"/>
              <w:rPr>
                <w:rFonts w:hint="eastAsia" w:ascii="方正仿宋_GBK" w:hAnsi="方正仿宋_GBK" w:eastAsia="方正仿宋_GBK" w:cs="方正仿宋_GBK"/>
                <w:color w:val="auto"/>
                <w:sz w:val="24"/>
                <w:szCs w:val="24"/>
                <w:highlight w:val="none"/>
              </w:rPr>
            </w:pPr>
          </w:p>
        </w:tc>
      </w:tr>
      <w:tr w14:paraId="559B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6" w:type="dxa"/>
            <w:vMerge w:val="continue"/>
            <w:vAlign w:val="center"/>
          </w:tcPr>
          <w:p w14:paraId="41950DB6">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E3BDFB4">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A01B50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5155" w:type="dxa"/>
            <w:vMerge w:val="continue"/>
            <w:vAlign w:val="center"/>
          </w:tcPr>
          <w:p w14:paraId="1E8B0066">
            <w:pPr>
              <w:jc w:val="left"/>
              <w:rPr>
                <w:rFonts w:hint="eastAsia" w:ascii="方正仿宋_GBK" w:hAnsi="方正仿宋_GBK" w:eastAsia="方正仿宋_GBK" w:cs="方正仿宋_GBK"/>
                <w:color w:val="auto"/>
                <w:sz w:val="24"/>
                <w:szCs w:val="24"/>
                <w:highlight w:val="none"/>
              </w:rPr>
            </w:pPr>
          </w:p>
        </w:tc>
      </w:tr>
      <w:tr w14:paraId="0992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926B8E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1D91416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6886D612">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5155" w:type="dxa"/>
            <w:vAlign w:val="center"/>
          </w:tcPr>
          <w:p w14:paraId="17CF5F96">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1.供应商提供承诺函（见格式文件）；2.采购人或采购代理机构将通过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6BD5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vMerge w:val="continue"/>
            <w:vAlign w:val="center"/>
          </w:tcPr>
          <w:p w14:paraId="5CB59F1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3EA520E1">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5FEB2450">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5155" w:type="dxa"/>
            <w:vAlign w:val="center"/>
          </w:tcPr>
          <w:p w14:paraId="5ADD0354">
            <w:pPr>
              <w:jc w:val="left"/>
              <w:rPr>
                <w:rFonts w:hint="eastAsia" w:ascii="方正仿宋_GBK" w:hAnsi="方正仿宋_GBK" w:eastAsia="方正仿宋_GBK" w:cs="方正仿宋_GBK"/>
                <w:color w:val="auto"/>
                <w:sz w:val="24"/>
                <w:szCs w:val="24"/>
                <w:highlight w:val="none"/>
              </w:rPr>
            </w:pPr>
          </w:p>
        </w:tc>
      </w:tr>
      <w:tr w14:paraId="28E7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Align w:val="center"/>
          </w:tcPr>
          <w:p w14:paraId="79B95F9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685" w:type="dxa"/>
            <w:gridSpan w:val="2"/>
            <w:vAlign w:val="center"/>
          </w:tcPr>
          <w:p w14:paraId="57956C4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tc>
        <w:tc>
          <w:tcPr>
            <w:tcW w:w="5155" w:type="dxa"/>
            <w:vAlign w:val="center"/>
          </w:tcPr>
          <w:p w14:paraId="1A682887">
            <w:pPr>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按第一篇“三、供应商资格条件（二）本项目的特定资格要求”的要求提交</w:t>
            </w:r>
            <w:r>
              <w:rPr>
                <w:rFonts w:hint="eastAsia" w:ascii="方正仿宋_GBK" w:hAnsi="方正仿宋_GBK" w:eastAsia="方正仿宋_GBK" w:cs="方正仿宋_GBK"/>
                <w:color w:val="auto"/>
                <w:sz w:val="24"/>
                <w:szCs w:val="24"/>
                <w:highlight w:val="none"/>
                <w:lang w:eastAsia="zh-CN"/>
              </w:rPr>
              <w:t>（如果有）</w:t>
            </w:r>
          </w:p>
        </w:tc>
      </w:tr>
    </w:tbl>
    <w:p w14:paraId="5644154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CF017DD">
      <w:pPr>
        <w:snapToGrid w:val="0"/>
        <w:spacing w:line="360" w:lineRule="auto"/>
        <w:ind w:firstLine="482"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2.符合性检查。</w:t>
      </w:r>
      <w:r>
        <w:rPr>
          <w:rFonts w:hint="eastAsia" w:ascii="方正仿宋_GBK" w:hAnsi="方正仿宋_GBK" w:eastAsia="方正仿宋_GBK"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3C60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5" w:type="dxa"/>
            <w:vAlign w:val="center"/>
          </w:tcPr>
          <w:p w14:paraId="71D0241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384" w:type="dxa"/>
            <w:gridSpan w:val="2"/>
            <w:vAlign w:val="center"/>
          </w:tcPr>
          <w:p w14:paraId="59049583">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409" w:type="dxa"/>
            <w:vAlign w:val="center"/>
          </w:tcPr>
          <w:p w14:paraId="1FE8ADD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409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5" w:type="dxa"/>
            <w:vMerge w:val="restart"/>
            <w:vAlign w:val="center"/>
          </w:tcPr>
          <w:p w14:paraId="6AD68BDF">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00" w:type="dxa"/>
            <w:vMerge w:val="restart"/>
            <w:vAlign w:val="center"/>
          </w:tcPr>
          <w:p w14:paraId="43C0E8C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1884" w:type="dxa"/>
            <w:vAlign w:val="center"/>
          </w:tcPr>
          <w:p w14:paraId="5AAF741C">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409" w:type="dxa"/>
            <w:vAlign w:val="center"/>
          </w:tcPr>
          <w:p w14:paraId="18063123">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highlight w:val="none"/>
              </w:rPr>
              <w:t>网上电子文档及响应文件</w:t>
            </w:r>
            <w:r>
              <w:rPr>
                <w:rFonts w:hint="eastAsia" w:ascii="方正仿宋_GBK" w:hAnsi="方正仿宋_GBK" w:eastAsia="方正仿宋_GBK" w:cs="方正仿宋_GBK"/>
                <w:color w:val="auto"/>
                <w:sz w:val="24"/>
                <w:szCs w:val="24"/>
                <w:highlight w:val="none"/>
              </w:rPr>
              <w:t>上法定代表人或其授权代表人的签字齐全。</w:t>
            </w:r>
          </w:p>
        </w:tc>
      </w:tr>
      <w:tr w14:paraId="1736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5" w:type="dxa"/>
            <w:vMerge w:val="continue"/>
            <w:vAlign w:val="center"/>
          </w:tcPr>
          <w:p w14:paraId="1B7FAA98">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0BC036B4">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7FF54AE">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409" w:type="dxa"/>
            <w:vAlign w:val="center"/>
          </w:tcPr>
          <w:p w14:paraId="49608761">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法定代表人身份证明及授权委托书有效，符合网上竞采文件规定的格式，签字或盖章齐全。</w:t>
            </w:r>
          </w:p>
        </w:tc>
      </w:tr>
      <w:tr w14:paraId="1001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5" w:type="dxa"/>
            <w:vMerge w:val="continue"/>
            <w:vAlign w:val="center"/>
          </w:tcPr>
          <w:p w14:paraId="1DAE2C80">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3DEDF547">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CE78945">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409" w:type="dxa"/>
            <w:vAlign w:val="center"/>
          </w:tcPr>
          <w:p w14:paraId="098A0C2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每个分包只能有一个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1EB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vMerge w:val="continue"/>
            <w:vAlign w:val="center"/>
          </w:tcPr>
          <w:p w14:paraId="1D7BC18F">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2FBD555B">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0D8045B3">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409" w:type="dxa"/>
            <w:vAlign w:val="center"/>
          </w:tcPr>
          <w:p w14:paraId="0CFE9C01">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只能在采购预算范围内报价，</w:t>
            </w:r>
            <w:r>
              <w:rPr>
                <w:rFonts w:hint="eastAsia" w:ascii="方正仿宋_GBK" w:hAnsi="方正仿宋_GBK" w:eastAsia="方正仿宋_GBK" w:cs="方正仿宋_GBK"/>
                <w:color w:val="auto"/>
                <w:sz w:val="24"/>
                <w:szCs w:val="24"/>
                <w:highlight w:val="none"/>
              </w:rPr>
              <w:t>只能有一个有效报价，不得提交选择性报价。</w:t>
            </w:r>
          </w:p>
        </w:tc>
      </w:tr>
      <w:tr w14:paraId="26A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66538F99">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500" w:type="dxa"/>
            <w:vAlign w:val="center"/>
          </w:tcPr>
          <w:p w14:paraId="2EB8C549">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完整性审查</w:t>
            </w:r>
          </w:p>
        </w:tc>
        <w:tc>
          <w:tcPr>
            <w:tcW w:w="1884" w:type="dxa"/>
            <w:vAlign w:val="center"/>
          </w:tcPr>
          <w:p w14:paraId="01756028">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文件份数</w:t>
            </w:r>
          </w:p>
        </w:tc>
        <w:tc>
          <w:tcPr>
            <w:tcW w:w="5409" w:type="dxa"/>
            <w:vAlign w:val="center"/>
          </w:tcPr>
          <w:p w14:paraId="0EF6A1D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文件数量（</w:t>
            </w:r>
            <w:r>
              <w:rPr>
                <w:rFonts w:hint="eastAsia" w:ascii="方正仿宋_GBK" w:hAnsi="方正仿宋_GBK" w:eastAsia="方正仿宋_GBK" w:cs="方正仿宋_GBK"/>
                <w:color w:val="auto"/>
                <w:sz w:val="24"/>
                <w:szCs w:val="24"/>
                <w:highlight w:val="none"/>
              </w:rPr>
              <w:t>含电子文档</w:t>
            </w:r>
            <w:r>
              <w:rPr>
                <w:rFonts w:hint="eastAsia" w:ascii="方正仿宋_GBK" w:hAnsi="方正仿宋_GBK" w:eastAsia="方正仿宋_GBK" w:cs="方正仿宋_GBK"/>
                <w:color w:val="auto"/>
                <w:sz w:val="24"/>
                <w:szCs w:val="24"/>
                <w:highlight w:val="none"/>
                <w:lang w:val="zh-CN"/>
              </w:rPr>
              <w:t>）符合</w:t>
            </w:r>
            <w:r>
              <w:rPr>
                <w:rFonts w:hint="eastAsia" w:ascii="方正仿宋_GBK" w:hAnsi="方正仿宋_GBK" w:eastAsia="方正仿宋_GBK" w:cs="方正仿宋_GBK"/>
                <w:color w:val="auto"/>
                <w:sz w:val="24"/>
                <w:szCs w:val="24"/>
                <w:highlight w:val="none"/>
              </w:rPr>
              <w:t>网上竞采</w:t>
            </w:r>
            <w:r>
              <w:rPr>
                <w:rFonts w:hint="eastAsia" w:ascii="方正仿宋_GBK" w:hAnsi="方正仿宋_GBK" w:eastAsia="方正仿宋_GBK" w:cs="方正仿宋_GBK"/>
                <w:color w:val="auto"/>
                <w:sz w:val="24"/>
                <w:szCs w:val="24"/>
                <w:highlight w:val="none"/>
                <w:lang w:val="zh-CN"/>
              </w:rPr>
              <w:t>文件要求。</w:t>
            </w:r>
          </w:p>
        </w:tc>
      </w:tr>
      <w:tr w14:paraId="7C8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7CBFFCDF">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1500" w:type="dxa"/>
            <w:vAlign w:val="center"/>
          </w:tcPr>
          <w:p w14:paraId="6C54FC9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响应程度审查</w:t>
            </w:r>
          </w:p>
        </w:tc>
        <w:tc>
          <w:tcPr>
            <w:tcW w:w="1884" w:type="dxa"/>
            <w:vAlign w:val="center"/>
          </w:tcPr>
          <w:p w14:paraId="136A5185">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409" w:type="dxa"/>
            <w:vAlign w:val="center"/>
          </w:tcPr>
          <w:p w14:paraId="70C6251E">
            <w:pPr>
              <w:spacing w:line="240" w:lineRule="exact"/>
              <w:rPr>
                <w:rFonts w:hint="eastAsia" w:ascii="方正仿宋_GBK" w:hAnsi="方正仿宋_GBK" w:eastAsia="方正仿宋_GBK" w:cs="方正仿宋_GBK"/>
                <w:color w:val="auto"/>
                <w:kern w:val="0"/>
                <w:sz w:val="24"/>
                <w:szCs w:val="24"/>
                <w:highlight w:val="none"/>
              </w:rPr>
            </w:pPr>
            <w:r>
              <w:rPr>
                <w:rFonts w:hint="eastAsia" w:ascii="仿宋" w:hAnsi="仿宋" w:eastAsia="仿宋" w:cs="宋体"/>
                <w:color w:val="auto"/>
                <w:kern w:val="0"/>
                <w:sz w:val="24"/>
                <w:szCs w:val="24"/>
                <w:highlight w:val="none"/>
              </w:rPr>
              <w:t>对网上竞采文件第二篇、第三篇规定的网上竞采内容作出响应。</w:t>
            </w:r>
          </w:p>
        </w:tc>
      </w:tr>
    </w:tbl>
    <w:p w14:paraId="78AE4CAD">
      <w:pPr>
        <w:snapToGrid w:val="0"/>
        <w:spacing w:line="360" w:lineRule="auto"/>
        <w:ind w:firstLine="482" w:firstLineChars="200"/>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3.评选方法：综合评分法。</w:t>
      </w:r>
    </w:p>
    <w:p w14:paraId="51C07A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s="宋体"/>
          <w:color w:val="auto"/>
          <w:kern w:val="0"/>
          <w:sz w:val="24"/>
          <w:szCs w:val="24"/>
          <w:highlight w:val="none"/>
        </w:rPr>
        <w:t>综合评分法，是指响应</w:t>
      </w:r>
      <w:r>
        <w:rPr>
          <w:rFonts w:ascii="仿宋" w:hAnsi="仿宋" w:eastAsia="仿宋" w:cs="宋体"/>
          <w:color w:val="auto"/>
          <w:kern w:val="0"/>
          <w:sz w:val="24"/>
          <w:szCs w:val="24"/>
          <w:highlight w:val="none"/>
        </w:rPr>
        <w:t>文件满足</w:t>
      </w:r>
      <w:r>
        <w:rPr>
          <w:rFonts w:hint="eastAsia" w:ascii="仿宋" w:hAnsi="仿宋" w:eastAsia="仿宋" w:cs="宋体"/>
          <w:color w:val="auto"/>
          <w:kern w:val="0"/>
          <w:sz w:val="24"/>
          <w:szCs w:val="24"/>
          <w:highlight w:val="none"/>
        </w:rPr>
        <w:t>网上竞采</w:t>
      </w:r>
      <w:r>
        <w:rPr>
          <w:rFonts w:ascii="仿宋" w:hAnsi="仿宋" w:eastAsia="仿宋" w:cs="宋体"/>
          <w:color w:val="auto"/>
          <w:kern w:val="0"/>
          <w:sz w:val="24"/>
          <w:szCs w:val="24"/>
          <w:highlight w:val="none"/>
        </w:rPr>
        <w:t>文件全部实质性要求且按照评审因素的量化指标评审得分最高的供应商为</w:t>
      </w:r>
      <w:r>
        <w:rPr>
          <w:rFonts w:hint="eastAsia" w:ascii="仿宋" w:hAnsi="仿宋" w:eastAsia="仿宋" w:cs="宋体"/>
          <w:color w:val="auto"/>
          <w:kern w:val="0"/>
          <w:sz w:val="24"/>
          <w:szCs w:val="24"/>
          <w:highlight w:val="none"/>
        </w:rPr>
        <w:t>成交</w:t>
      </w:r>
      <w:r>
        <w:rPr>
          <w:rFonts w:ascii="仿宋" w:hAnsi="仿宋" w:eastAsia="仿宋" w:cs="宋体"/>
          <w:color w:val="auto"/>
          <w:kern w:val="0"/>
          <w:sz w:val="24"/>
          <w:szCs w:val="24"/>
          <w:highlight w:val="none"/>
        </w:rPr>
        <w:t>候选</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的</w:t>
      </w:r>
      <w:r>
        <w:rPr>
          <w:rFonts w:hint="eastAsia" w:ascii="仿宋" w:hAnsi="仿宋" w:eastAsia="仿宋" w:cs="宋体"/>
          <w:color w:val="auto"/>
          <w:kern w:val="0"/>
          <w:sz w:val="24"/>
          <w:szCs w:val="24"/>
          <w:highlight w:val="none"/>
        </w:rPr>
        <w:t>评审</w:t>
      </w:r>
      <w:r>
        <w:rPr>
          <w:rFonts w:ascii="仿宋" w:hAnsi="仿宋" w:eastAsia="仿宋" w:cs="宋体"/>
          <w:color w:val="auto"/>
          <w:kern w:val="0"/>
          <w:sz w:val="24"/>
          <w:szCs w:val="24"/>
          <w:highlight w:val="none"/>
        </w:rPr>
        <w:t>方法</w:t>
      </w:r>
      <w:r>
        <w:rPr>
          <w:rFonts w:hint="eastAsia" w:ascii="仿宋" w:hAnsi="仿宋" w:eastAsia="仿宋" w:cs="宋体"/>
          <w:color w:val="auto"/>
          <w:kern w:val="0"/>
          <w:sz w:val="24"/>
          <w:szCs w:val="24"/>
          <w:highlight w:val="none"/>
        </w:rPr>
        <w:t>。供应商总得分为价格、</w:t>
      </w:r>
      <w:r>
        <w:rPr>
          <w:rFonts w:hint="eastAsia" w:ascii="仿宋" w:hAnsi="仿宋" w:eastAsia="仿宋" w:cs="宋体"/>
          <w:color w:val="auto"/>
          <w:kern w:val="0"/>
          <w:sz w:val="24"/>
          <w:szCs w:val="24"/>
          <w:highlight w:val="none"/>
          <w:lang w:eastAsia="zh-CN"/>
        </w:rPr>
        <w:t>服务</w:t>
      </w:r>
      <w:r>
        <w:rPr>
          <w:rFonts w:hint="eastAsia" w:ascii="仿宋" w:hAnsi="仿宋" w:eastAsia="仿宋" w:cs="宋体"/>
          <w:color w:val="auto"/>
          <w:kern w:val="0"/>
          <w:sz w:val="24"/>
          <w:szCs w:val="24"/>
          <w:highlight w:val="none"/>
        </w:rPr>
        <w:t>、商务等评定因素分别按照相应权重值计算分项得分后相加，满分为100分</w:t>
      </w:r>
      <w:r>
        <w:rPr>
          <w:rFonts w:hint="eastAsia" w:ascii="仿宋" w:hAnsi="仿宋" w:eastAsia="仿宋"/>
          <w:color w:val="auto"/>
          <w:sz w:val="24"/>
          <w:szCs w:val="24"/>
          <w:highlight w:val="none"/>
        </w:rPr>
        <w:t>。</w:t>
      </w:r>
      <w:r>
        <w:rPr>
          <w:rFonts w:hint="eastAsia" w:ascii="方正仿宋_GBK" w:hAnsi="方正仿宋_GBK" w:eastAsia="方正仿宋_GBK" w:cs="方正仿宋_GBK"/>
          <w:color w:val="auto"/>
          <w:sz w:val="24"/>
          <w:szCs w:val="24"/>
          <w:highlight w:val="none"/>
        </w:rPr>
        <w:t>按评审后得分由高到低的排列顺序推荐综合得分排名前三的供应商为本包（项目）成交候选供应商，排名第一的为第一成交候选供应商。得分相同的，按投标报价由低到高顺序排列。得分且投标报价相同的并列。</w:t>
      </w:r>
    </w:p>
    <w:p w14:paraId="6017A355">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E1E6D3">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60D231">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（四）在网上竞采过程中网上竞采的任何一方不得向他人透露与网上竞采有关的服务资料、价格或其他信息。</w:t>
      </w:r>
    </w:p>
    <w:p w14:paraId="5BD2F41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olor w:val="auto"/>
          <w:sz w:val="24"/>
          <w:szCs w:val="24"/>
          <w:highlight w:val="none"/>
        </w:rPr>
        <w:t>（五）供应商在网上竞采时作出的所有书面承诺须由法定代表人或其授权代表签字。</w:t>
      </w:r>
    </w:p>
    <w:p w14:paraId="46EC1E88">
      <w:pPr>
        <w:pStyle w:val="3"/>
        <w:numPr>
          <w:ilvl w:val="0"/>
          <w:numId w:val="3"/>
        </w:numPr>
        <w:rPr>
          <w:color w:val="auto"/>
          <w:highlight w:val="none"/>
        </w:rPr>
      </w:pPr>
      <w:bookmarkStart w:id="107" w:name="_Toc984"/>
      <w:bookmarkStart w:id="108" w:name="_Hlk27399823"/>
      <w:r>
        <w:rPr>
          <w:rFonts w:hint="eastAsia"/>
          <w:color w:val="auto"/>
          <w:highlight w:val="none"/>
        </w:rPr>
        <w:t>评审标准</w:t>
      </w:r>
      <w:bookmarkEnd w:id="107"/>
    </w:p>
    <w:p w14:paraId="6B5C1601">
      <w:pPr>
        <w:pStyle w:val="7"/>
        <w:numPr>
          <w:ilvl w:val="0"/>
          <w:numId w:val="4"/>
        </w:numPr>
        <w:rPr>
          <w:color w:val="auto"/>
          <w:highlight w:val="none"/>
        </w:rPr>
      </w:pPr>
      <w:r>
        <w:rPr>
          <w:rFonts w:hint="eastAsia"/>
          <w:color w:val="auto"/>
          <w:highlight w:val="none"/>
        </w:rPr>
        <w:t>评审因素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43"/>
        <w:gridCol w:w="717"/>
        <w:gridCol w:w="3658"/>
        <w:gridCol w:w="2180"/>
      </w:tblGrid>
      <w:tr w14:paraId="7CD4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14:paraId="00F28B52">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序号</w:t>
            </w:r>
          </w:p>
        </w:tc>
        <w:tc>
          <w:tcPr>
            <w:tcW w:w="1443" w:type="dxa"/>
          </w:tcPr>
          <w:p w14:paraId="3B7D6759">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w:t>
            </w:r>
            <w:r>
              <w:rPr>
                <w:rFonts w:hint="eastAsia" w:ascii="Times New Roman" w:hAnsi="Times New Roman" w:eastAsia="方正仿宋_GBK"/>
                <w:b/>
                <w:bCs/>
                <w:color w:val="auto"/>
                <w:sz w:val="24"/>
                <w:szCs w:val="24"/>
                <w:highlight w:val="none"/>
              </w:rPr>
              <w:t>因素及权重</w:t>
            </w:r>
          </w:p>
        </w:tc>
        <w:tc>
          <w:tcPr>
            <w:tcW w:w="717" w:type="dxa"/>
          </w:tcPr>
          <w:p w14:paraId="03F2CC21">
            <w:pPr>
              <w:spacing w:line="400" w:lineRule="exact"/>
              <w:jc w:val="center"/>
              <w:rPr>
                <w:rFonts w:ascii="Times New Roman" w:hAnsi="Times New Roman" w:eastAsia="方正仿宋_GBK"/>
                <w:b/>
                <w:bCs/>
                <w:color w:val="auto"/>
                <w:sz w:val="24"/>
                <w:szCs w:val="24"/>
                <w:highlight w:val="none"/>
              </w:rPr>
            </w:pPr>
            <w:r>
              <w:rPr>
                <w:rFonts w:hint="eastAsia" w:ascii="Times New Roman" w:hAnsi="Times New Roman" w:eastAsia="方正仿宋_GBK"/>
                <w:b/>
                <w:bCs/>
                <w:color w:val="auto"/>
                <w:sz w:val="24"/>
                <w:szCs w:val="24"/>
                <w:highlight w:val="none"/>
              </w:rPr>
              <w:t>分值</w:t>
            </w:r>
          </w:p>
        </w:tc>
        <w:tc>
          <w:tcPr>
            <w:tcW w:w="3658" w:type="dxa"/>
          </w:tcPr>
          <w:p w14:paraId="6A5F23D3">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评分标准</w:t>
            </w:r>
          </w:p>
        </w:tc>
        <w:tc>
          <w:tcPr>
            <w:tcW w:w="2180" w:type="dxa"/>
          </w:tcPr>
          <w:p w14:paraId="6C4ACF23">
            <w:pPr>
              <w:spacing w:line="400" w:lineRule="exact"/>
              <w:jc w:val="center"/>
              <w:rPr>
                <w:rFonts w:hint="eastAsia" w:ascii="Times New Roman" w:hAnsi="Times New Roman" w:eastAsia="方正仿宋_GBK"/>
                <w:b/>
                <w:bCs/>
                <w:color w:val="auto"/>
                <w:sz w:val="24"/>
                <w:szCs w:val="24"/>
                <w:highlight w:val="none"/>
                <w:lang w:eastAsia="zh-CN"/>
              </w:rPr>
            </w:pPr>
            <w:r>
              <w:rPr>
                <w:rFonts w:hint="eastAsia" w:eastAsia="方正仿宋_GBK"/>
                <w:b/>
                <w:bCs/>
                <w:color w:val="auto"/>
                <w:sz w:val="24"/>
                <w:szCs w:val="24"/>
                <w:highlight w:val="none"/>
                <w:lang w:eastAsia="zh-CN"/>
              </w:rPr>
              <w:t>说明</w:t>
            </w:r>
          </w:p>
        </w:tc>
      </w:tr>
      <w:tr w14:paraId="602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1C77BB68">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w:t>
            </w:r>
          </w:p>
        </w:tc>
        <w:tc>
          <w:tcPr>
            <w:tcW w:w="1443" w:type="dxa"/>
            <w:vAlign w:val="center"/>
          </w:tcPr>
          <w:p w14:paraId="01DA2315">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eastAsia="zh-CN"/>
              </w:rPr>
              <w:t>投标</w:t>
            </w:r>
            <w:r>
              <w:rPr>
                <w:rFonts w:ascii="Times New Roman" w:hAnsi="Times New Roman" w:eastAsia="方正仿宋_GBK"/>
                <w:color w:val="auto"/>
                <w:sz w:val="24"/>
                <w:szCs w:val="24"/>
                <w:highlight w:val="none"/>
              </w:rPr>
              <w:t>报价</w:t>
            </w:r>
          </w:p>
          <w:p w14:paraId="4F055767">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1E5CF979">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0分</w:t>
            </w:r>
          </w:p>
        </w:tc>
        <w:tc>
          <w:tcPr>
            <w:tcW w:w="3658" w:type="dxa"/>
            <w:shd w:val="clear" w:color="auto" w:fill="auto"/>
            <w:vAlign w:val="top"/>
          </w:tcPr>
          <w:p w14:paraId="37FF03D1">
            <w:pPr>
              <w:widowControl/>
              <w:spacing w:line="400" w:lineRule="exact"/>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有效的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报价中的最低价为评标基准价，按照下列公式计算每个</w:t>
            </w:r>
            <w:r>
              <w:rPr>
                <w:rFonts w:hint="eastAsia" w:eastAsia="方正仿宋_GBK"/>
                <w:color w:val="auto"/>
                <w:kern w:val="0"/>
                <w:sz w:val="24"/>
                <w:szCs w:val="24"/>
                <w:highlight w:val="none"/>
                <w:lang w:eastAsia="zh-CN"/>
              </w:rPr>
              <w:t>供应商</w:t>
            </w:r>
            <w:r>
              <w:rPr>
                <w:rFonts w:ascii="Times New Roman" w:hAnsi="Times New Roman" w:eastAsia="方正仿宋_GBK"/>
                <w:color w:val="auto"/>
                <w:kern w:val="0"/>
                <w:sz w:val="24"/>
                <w:szCs w:val="24"/>
                <w:highlight w:val="none"/>
              </w:rPr>
              <w:t>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 xml:space="preserve">价格得分。 </w:t>
            </w:r>
          </w:p>
          <w:p w14:paraId="5B544B3C">
            <w:pPr>
              <w:widowControl/>
              <w:spacing w:line="400" w:lineRule="exact"/>
              <w:jc w:val="left"/>
              <w:rPr>
                <w:rFonts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报价得分＝（评标基准价/</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报价）×价格权重×100</w:t>
            </w:r>
          </w:p>
        </w:tc>
        <w:tc>
          <w:tcPr>
            <w:tcW w:w="2180" w:type="dxa"/>
          </w:tcPr>
          <w:p w14:paraId="3BD4B1C7">
            <w:pPr>
              <w:widowControl/>
              <w:spacing w:line="400" w:lineRule="exact"/>
              <w:jc w:val="left"/>
              <w:rPr>
                <w:rFonts w:ascii="Times New Roman" w:hAnsi="Times New Roman" w:eastAsia="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高于预算价为无效报价</w:t>
            </w:r>
          </w:p>
        </w:tc>
      </w:tr>
      <w:tr w14:paraId="07F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7080CF1">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w:t>
            </w:r>
          </w:p>
        </w:tc>
        <w:tc>
          <w:tcPr>
            <w:tcW w:w="1443" w:type="dxa"/>
            <w:vAlign w:val="center"/>
          </w:tcPr>
          <w:p w14:paraId="517DF206">
            <w:pPr>
              <w:spacing w:line="400" w:lineRule="exact"/>
              <w:jc w:val="center"/>
              <w:rPr>
                <w:color w:val="auto"/>
                <w:sz w:val="24"/>
                <w:szCs w:val="24"/>
                <w:highlight w:val="none"/>
              </w:rPr>
            </w:pPr>
            <w:r>
              <w:rPr>
                <w:rFonts w:hint="eastAsia" w:eastAsia="方正仿宋_GBK"/>
                <w:color w:val="auto"/>
                <w:sz w:val="24"/>
                <w:szCs w:val="24"/>
                <w:highlight w:val="none"/>
                <w:lang w:eastAsia="zh-CN"/>
              </w:rPr>
              <w:t>技术部分</w:t>
            </w: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6</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0CE29521">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服务方案6</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分</w:t>
            </w:r>
          </w:p>
        </w:tc>
        <w:tc>
          <w:tcPr>
            <w:tcW w:w="3658" w:type="dxa"/>
            <w:vAlign w:val="center"/>
          </w:tcPr>
          <w:p w14:paraId="1F1B8BAE">
            <w:pPr>
              <w:spacing w:line="400" w:lineRule="exact"/>
              <w:rPr>
                <w:rFonts w:hint="eastAsia" w:ascii="Times New Roman" w:hAnsi="Times New Roman" w:eastAsia="方正仿宋_GBK"/>
                <w:color w:val="auto"/>
                <w:sz w:val="24"/>
                <w:szCs w:val="24"/>
                <w:highlight w:val="none"/>
              </w:rPr>
            </w:pPr>
            <w:r>
              <w:rPr>
                <w:rFonts w:hint="eastAsia" w:eastAsia="方正仿宋_GBK"/>
                <w:color w:val="auto"/>
                <w:sz w:val="24"/>
                <w:szCs w:val="24"/>
                <w:highlight w:val="none"/>
                <w:lang w:eastAsia="zh-CN"/>
              </w:rPr>
              <w:t>评审小组</w:t>
            </w:r>
            <w:r>
              <w:rPr>
                <w:rFonts w:hint="eastAsia" w:ascii="Times New Roman" w:hAnsi="Times New Roman" w:eastAsia="方正仿宋_GBK"/>
                <w:color w:val="auto"/>
                <w:sz w:val="24"/>
                <w:szCs w:val="24"/>
                <w:highlight w:val="none"/>
              </w:rPr>
              <w:t>根据</w:t>
            </w:r>
            <w:r>
              <w:rPr>
                <w:rFonts w:hint="eastAsia" w:eastAsia="方正仿宋_GBK"/>
                <w:color w:val="auto"/>
                <w:sz w:val="24"/>
                <w:szCs w:val="24"/>
                <w:highlight w:val="none"/>
                <w:lang w:eastAsia="zh-CN"/>
              </w:rPr>
              <w:t>供应商的服务</w:t>
            </w:r>
            <w:r>
              <w:rPr>
                <w:rFonts w:hint="eastAsia" w:ascii="Times New Roman" w:hAnsi="Times New Roman" w:eastAsia="方正仿宋_GBK"/>
                <w:color w:val="auto"/>
                <w:sz w:val="24"/>
                <w:szCs w:val="24"/>
                <w:highlight w:val="none"/>
              </w:rPr>
              <w:t>方案对以下内容进行综合评审：主要围绕</w:t>
            </w:r>
            <w:r>
              <w:rPr>
                <w:rFonts w:hint="eastAsia" w:ascii="Times New Roman" w:hAnsi="Times New Roman" w:eastAsia="方正仿宋_GBK"/>
                <w:color w:val="auto"/>
                <w:sz w:val="24"/>
                <w:szCs w:val="24"/>
                <w:highlight w:val="none"/>
                <w:lang w:val="en-US" w:eastAsia="zh-CN"/>
              </w:rPr>
              <w:t>璧山区全域研学产业</w:t>
            </w:r>
            <w:r>
              <w:rPr>
                <w:rFonts w:hint="eastAsia" w:eastAsia="方正仿宋_GBK"/>
                <w:color w:val="auto"/>
                <w:sz w:val="24"/>
                <w:szCs w:val="24"/>
                <w:highlight w:val="none"/>
                <w:lang w:val="en-US" w:eastAsia="zh-CN"/>
              </w:rPr>
              <w:t>规划</w:t>
            </w:r>
            <w:r>
              <w:rPr>
                <w:rFonts w:hint="eastAsia" w:ascii="Times New Roman" w:hAnsi="Times New Roman" w:eastAsia="方正仿宋_GBK"/>
                <w:color w:val="auto"/>
                <w:sz w:val="24"/>
                <w:szCs w:val="24"/>
                <w:highlight w:val="none"/>
              </w:rPr>
              <w:t>的角度去思考，制订</w:t>
            </w:r>
            <w:r>
              <w:rPr>
                <w:rFonts w:hint="eastAsia" w:ascii="Times New Roman" w:hAnsi="Times New Roman" w:eastAsia="方正仿宋_GBK"/>
                <w:color w:val="auto"/>
                <w:sz w:val="24"/>
                <w:szCs w:val="24"/>
                <w:highlight w:val="none"/>
                <w:lang w:val="en-US" w:eastAsia="zh-CN"/>
              </w:rPr>
              <w:t>全域研学产业</w:t>
            </w:r>
            <w:r>
              <w:rPr>
                <w:rFonts w:hint="eastAsia" w:eastAsia="方正仿宋_GBK"/>
                <w:color w:val="auto"/>
                <w:sz w:val="24"/>
                <w:szCs w:val="24"/>
                <w:highlight w:val="none"/>
                <w:lang w:val="en-US" w:eastAsia="zh-CN"/>
              </w:rPr>
              <w:t>规划</w:t>
            </w:r>
            <w:r>
              <w:rPr>
                <w:rFonts w:hint="eastAsia" w:ascii="Times New Roman" w:hAnsi="Times New Roman" w:eastAsia="方正仿宋_GBK"/>
                <w:color w:val="auto"/>
                <w:sz w:val="24"/>
                <w:szCs w:val="24"/>
                <w:highlight w:val="none"/>
              </w:rPr>
              <w:t>的服务方案，内容包括：</w:t>
            </w:r>
            <w:r>
              <w:rPr>
                <w:rFonts w:hint="eastAsia" w:ascii="Times New Roman" w:hAnsi="Times New Roman" w:eastAsia="方正仿宋_GBK"/>
                <w:color w:val="auto"/>
                <w:sz w:val="24"/>
                <w:szCs w:val="24"/>
                <w:highlight w:val="none"/>
                <w:lang w:val="en-US" w:eastAsia="zh-CN"/>
              </w:rPr>
              <w:t>全域研学产业背景分析</w:t>
            </w:r>
            <w:r>
              <w:rPr>
                <w:rFonts w:hint="eastAsia" w:ascii="Times New Roman" w:hAnsi="Times New Roman" w:eastAsia="方正仿宋_GBK"/>
                <w:color w:val="auto"/>
                <w:sz w:val="24"/>
                <w:szCs w:val="24"/>
                <w:highlight w:val="none"/>
              </w:rPr>
              <w:t>、</w:t>
            </w:r>
            <w:r>
              <w:rPr>
                <w:rFonts w:hint="eastAsia" w:ascii="Times New Roman" w:hAnsi="Times New Roman" w:eastAsia="方正仿宋_GBK"/>
                <w:color w:val="auto"/>
                <w:sz w:val="24"/>
                <w:szCs w:val="24"/>
                <w:highlight w:val="none"/>
                <w:lang w:val="en-US" w:eastAsia="zh-CN"/>
              </w:rPr>
              <w:t>全域研学产业</w:t>
            </w:r>
            <w:r>
              <w:rPr>
                <w:rFonts w:hint="eastAsia" w:eastAsia="方正仿宋_GBK"/>
                <w:color w:val="auto"/>
                <w:sz w:val="24"/>
                <w:szCs w:val="24"/>
                <w:highlight w:val="none"/>
                <w:lang w:val="en-US" w:eastAsia="zh-CN"/>
              </w:rPr>
              <w:t>规划</w:t>
            </w:r>
            <w:r>
              <w:rPr>
                <w:rFonts w:hint="eastAsia" w:ascii="Times New Roman" w:hAnsi="Times New Roman" w:eastAsia="方正仿宋_GBK"/>
                <w:color w:val="auto"/>
                <w:sz w:val="24"/>
                <w:szCs w:val="24"/>
                <w:highlight w:val="none"/>
                <w:lang w:val="en-US" w:eastAsia="zh-CN"/>
              </w:rPr>
              <w:t>、全域研学落地性运营纲领、全域研学建设资金来源梳理</w:t>
            </w:r>
            <w:r>
              <w:rPr>
                <w:rFonts w:hint="eastAsia" w:ascii="Times New Roman" w:hAnsi="Times New Roman" w:eastAsia="方正仿宋_GBK"/>
                <w:color w:val="auto"/>
                <w:sz w:val="24"/>
                <w:szCs w:val="24"/>
                <w:highlight w:val="none"/>
              </w:rPr>
              <w:t>等，分别从完整性、可执行性进行评价。</w:t>
            </w:r>
          </w:p>
          <w:p w14:paraId="7514C610">
            <w:pPr>
              <w:spacing w:line="400" w:lineRule="exact"/>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编制方案完整，针对性强、可操作性强的为优，得</w:t>
            </w:r>
            <w:r>
              <w:rPr>
                <w:rFonts w:hint="eastAsia" w:eastAsia="方正仿宋_GBK"/>
                <w:color w:val="auto"/>
                <w:sz w:val="24"/>
                <w:szCs w:val="24"/>
                <w:highlight w:val="none"/>
                <w:lang w:val="en-US" w:eastAsia="zh-CN"/>
              </w:rPr>
              <w:t>60</w:t>
            </w:r>
            <w:r>
              <w:rPr>
                <w:rFonts w:hint="eastAsia" w:ascii="Times New Roman" w:hAnsi="Times New Roman" w:eastAsia="方正仿宋_GBK"/>
                <w:color w:val="auto"/>
                <w:sz w:val="24"/>
                <w:szCs w:val="24"/>
                <w:highlight w:val="none"/>
                <w:lang w:val="en-US" w:eastAsia="zh-CN"/>
              </w:rPr>
              <w:t>分；</w:t>
            </w:r>
          </w:p>
          <w:p w14:paraId="6556D76F">
            <w:pPr>
              <w:spacing w:line="400" w:lineRule="exact"/>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编制方案较完整，针对性较强、可操作性较强的为良，得5</w:t>
            </w:r>
            <w:r>
              <w:rPr>
                <w:rFonts w:hint="eastAsia" w:eastAsia="方正仿宋_GBK"/>
                <w:color w:val="auto"/>
                <w:sz w:val="24"/>
                <w:szCs w:val="24"/>
                <w:highlight w:val="none"/>
                <w:lang w:val="en-US" w:eastAsia="zh-CN"/>
              </w:rPr>
              <w:t>0</w:t>
            </w:r>
            <w:r>
              <w:rPr>
                <w:rFonts w:hint="eastAsia" w:ascii="Times New Roman" w:hAnsi="Times New Roman" w:eastAsia="方正仿宋_GBK"/>
                <w:color w:val="auto"/>
                <w:sz w:val="24"/>
                <w:szCs w:val="24"/>
                <w:highlight w:val="none"/>
                <w:lang w:val="en-US" w:eastAsia="zh-CN"/>
              </w:rPr>
              <w:t>分；</w:t>
            </w:r>
          </w:p>
          <w:p w14:paraId="49121536">
            <w:pPr>
              <w:spacing w:line="400" w:lineRule="exact"/>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编制方案基本完整，针对性一般、可操作性一般的为</w:t>
            </w:r>
            <w:r>
              <w:rPr>
                <w:rFonts w:hint="eastAsia" w:eastAsia="方正仿宋_GBK"/>
                <w:color w:val="auto"/>
                <w:sz w:val="24"/>
                <w:szCs w:val="24"/>
                <w:highlight w:val="none"/>
                <w:lang w:val="en-US" w:eastAsia="zh-CN"/>
              </w:rPr>
              <w:t>中</w:t>
            </w:r>
            <w:r>
              <w:rPr>
                <w:rFonts w:hint="eastAsia" w:ascii="Times New Roman" w:hAnsi="Times New Roman" w:eastAsia="方正仿宋_GBK"/>
                <w:color w:val="auto"/>
                <w:sz w:val="24"/>
                <w:szCs w:val="24"/>
                <w:highlight w:val="none"/>
                <w:lang w:val="en-US" w:eastAsia="zh-CN"/>
              </w:rPr>
              <w:t>，得</w:t>
            </w:r>
            <w:r>
              <w:rPr>
                <w:rFonts w:hint="eastAsia" w:eastAsia="方正仿宋_GBK"/>
                <w:color w:val="auto"/>
                <w:sz w:val="24"/>
                <w:szCs w:val="24"/>
                <w:highlight w:val="none"/>
                <w:lang w:val="en-US" w:eastAsia="zh-CN"/>
              </w:rPr>
              <w:t>30</w:t>
            </w:r>
            <w:r>
              <w:rPr>
                <w:rFonts w:hint="eastAsia" w:ascii="Times New Roman" w:hAnsi="Times New Roman" w:eastAsia="方正仿宋_GBK"/>
                <w:color w:val="auto"/>
                <w:sz w:val="24"/>
                <w:szCs w:val="24"/>
                <w:highlight w:val="none"/>
                <w:lang w:val="en-US" w:eastAsia="zh-CN"/>
              </w:rPr>
              <w:t>分；</w:t>
            </w:r>
          </w:p>
          <w:p w14:paraId="7E65F6A8">
            <w:pPr>
              <w:spacing w:line="400" w:lineRule="exact"/>
              <w:rPr>
                <w:rFonts w:hint="eastAsia" w:ascii="Times New Roman" w:hAnsi="Times New Roman" w:eastAsia="方正仿宋_GBK"/>
                <w:color w:val="auto"/>
                <w:sz w:val="24"/>
                <w:szCs w:val="24"/>
                <w:highlight w:val="none"/>
                <w:lang w:val="en-US" w:eastAsia="zh-CN"/>
              </w:rPr>
            </w:pPr>
            <w:r>
              <w:rPr>
                <w:rFonts w:hint="eastAsia" w:ascii="Times New Roman" w:hAnsi="Times New Roman" w:eastAsia="方正仿宋_GBK"/>
                <w:color w:val="auto"/>
                <w:sz w:val="24"/>
                <w:szCs w:val="24"/>
                <w:highlight w:val="none"/>
                <w:lang w:val="en-US" w:eastAsia="zh-CN"/>
              </w:rPr>
              <w:t>编制方案不完整，针对性差、指导性差、可操作性差的为差，得</w:t>
            </w:r>
            <w:r>
              <w:rPr>
                <w:rFonts w:hint="eastAsia" w:eastAsia="方正仿宋_GBK"/>
                <w:color w:val="auto"/>
                <w:sz w:val="24"/>
                <w:szCs w:val="24"/>
                <w:highlight w:val="none"/>
                <w:lang w:val="en-US" w:eastAsia="zh-CN"/>
              </w:rPr>
              <w:t>20</w:t>
            </w:r>
            <w:r>
              <w:rPr>
                <w:rFonts w:hint="eastAsia" w:ascii="Times New Roman" w:hAnsi="Times New Roman" w:eastAsia="方正仿宋_GBK"/>
                <w:color w:val="auto"/>
                <w:sz w:val="24"/>
                <w:szCs w:val="24"/>
                <w:highlight w:val="none"/>
                <w:lang w:val="en-US" w:eastAsia="zh-CN"/>
              </w:rPr>
              <w:t>分；</w:t>
            </w:r>
          </w:p>
          <w:p w14:paraId="4FEBD714">
            <w:pPr>
              <w:spacing w:line="400" w:lineRule="exac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未提供</w:t>
            </w:r>
            <w:r>
              <w:rPr>
                <w:rFonts w:hint="eastAsia" w:eastAsia="方正仿宋_GBK"/>
                <w:color w:val="auto"/>
                <w:sz w:val="24"/>
                <w:szCs w:val="24"/>
                <w:highlight w:val="none"/>
                <w:lang w:val="en-US" w:eastAsia="zh-CN"/>
              </w:rPr>
              <w:t>服务方案</w:t>
            </w:r>
            <w:r>
              <w:rPr>
                <w:rFonts w:hint="eastAsia" w:ascii="Times New Roman" w:hAnsi="Times New Roman" w:eastAsia="方正仿宋_GBK"/>
                <w:color w:val="auto"/>
                <w:sz w:val="24"/>
                <w:szCs w:val="24"/>
                <w:highlight w:val="none"/>
                <w:lang w:val="en-US" w:eastAsia="zh-CN"/>
              </w:rPr>
              <w:t>得</w:t>
            </w:r>
            <w:r>
              <w:rPr>
                <w:rFonts w:hint="eastAsia" w:eastAsia="方正仿宋_GBK"/>
                <w:color w:val="auto"/>
                <w:sz w:val="24"/>
                <w:szCs w:val="24"/>
                <w:highlight w:val="none"/>
                <w:lang w:val="en-US" w:eastAsia="zh-CN"/>
              </w:rPr>
              <w:t>0</w:t>
            </w:r>
            <w:r>
              <w:rPr>
                <w:rFonts w:hint="eastAsia" w:ascii="Times New Roman" w:hAnsi="Times New Roman" w:eastAsia="方正仿宋_GBK"/>
                <w:color w:val="auto"/>
                <w:sz w:val="24"/>
                <w:szCs w:val="24"/>
                <w:highlight w:val="none"/>
                <w:lang w:val="en-US" w:eastAsia="zh-CN"/>
              </w:rPr>
              <w:t>分。</w:t>
            </w:r>
          </w:p>
        </w:tc>
        <w:tc>
          <w:tcPr>
            <w:tcW w:w="2180" w:type="dxa"/>
            <w:vAlign w:val="center"/>
          </w:tcPr>
          <w:p w14:paraId="05EA8E9B">
            <w:pPr>
              <w:spacing w:line="400" w:lineRule="exact"/>
              <w:jc w:val="left"/>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格式自拟。</w:t>
            </w:r>
          </w:p>
        </w:tc>
      </w:tr>
      <w:tr w14:paraId="59E8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5539D7F">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w:t>
            </w:r>
          </w:p>
        </w:tc>
        <w:tc>
          <w:tcPr>
            <w:tcW w:w="1443" w:type="dxa"/>
            <w:vAlign w:val="center"/>
          </w:tcPr>
          <w:p w14:paraId="7485A7B4">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商务部分</w:t>
            </w:r>
          </w:p>
          <w:p w14:paraId="2D0B895C">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1</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6060B699">
            <w:pPr>
              <w:spacing w:line="400" w:lineRule="exact"/>
              <w:jc w:val="left"/>
              <w:rPr>
                <w:rFonts w:hint="eastAsia" w:ascii="Times New Roman" w:hAnsi="Times New Roman" w:eastAsia="方正仿宋_GBK"/>
                <w:color w:val="auto"/>
                <w:sz w:val="24"/>
                <w:szCs w:val="24"/>
                <w:highlight w:val="none"/>
                <w:lang w:eastAsia="zh-CN"/>
              </w:rPr>
            </w:pPr>
            <w:r>
              <w:rPr>
                <w:rFonts w:hint="eastAsia" w:eastAsia="方正仿宋_GBK"/>
                <w:color w:val="auto"/>
                <w:sz w:val="24"/>
                <w:szCs w:val="24"/>
                <w:highlight w:val="none"/>
                <w:lang w:val="en-US" w:eastAsia="zh-CN"/>
              </w:rPr>
              <w:t>10</w:t>
            </w:r>
            <w:r>
              <w:rPr>
                <w:rFonts w:hint="eastAsia" w:eastAsia="方正仿宋_GBK"/>
                <w:color w:val="auto"/>
                <w:sz w:val="24"/>
                <w:szCs w:val="24"/>
                <w:highlight w:val="none"/>
                <w:lang w:eastAsia="zh-CN"/>
              </w:rPr>
              <w:t>分</w:t>
            </w:r>
          </w:p>
        </w:tc>
        <w:tc>
          <w:tcPr>
            <w:tcW w:w="3658" w:type="dxa"/>
            <w:vAlign w:val="top"/>
          </w:tcPr>
          <w:p w14:paraId="3BC5591B">
            <w:pPr>
              <w:spacing w:line="400" w:lineRule="exact"/>
              <w:jc w:val="left"/>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供应商自 202</w:t>
            </w:r>
            <w:r>
              <w:rPr>
                <w:rFonts w:hint="eastAsia" w:eastAsia="方正仿宋_GBK" w:cs="Times New Roman"/>
                <w:color w:val="auto"/>
                <w:sz w:val="24"/>
                <w:szCs w:val="24"/>
                <w:highlight w:val="none"/>
                <w:lang w:val="en-US" w:eastAsia="zh-CN"/>
              </w:rPr>
              <w:t>0</w:t>
            </w:r>
            <w:r>
              <w:rPr>
                <w:rFonts w:hint="eastAsia" w:ascii="Times New Roman" w:hAnsi="Times New Roman" w:eastAsia="方正仿宋_GBK" w:cs="Times New Roman"/>
                <w:color w:val="auto"/>
                <w:sz w:val="24"/>
                <w:szCs w:val="24"/>
                <w:highlight w:val="none"/>
                <w:lang w:val="en-US" w:eastAsia="zh-CN"/>
              </w:rPr>
              <w:t xml:space="preserve"> 年1 月 1 日起至</w:t>
            </w:r>
            <w:r>
              <w:rPr>
                <w:rFonts w:hint="eastAsia" w:eastAsia="方正仿宋_GBK" w:cs="Times New Roman"/>
                <w:color w:val="auto"/>
                <w:sz w:val="24"/>
                <w:szCs w:val="24"/>
                <w:highlight w:val="none"/>
                <w:lang w:val="en-US" w:eastAsia="zh-CN"/>
              </w:rPr>
              <w:t>报价截止日止（以合同签订时间为准）</w:t>
            </w:r>
            <w:r>
              <w:rPr>
                <w:rFonts w:hint="eastAsia" w:ascii="Times New Roman" w:hAnsi="Times New Roman" w:eastAsia="方正仿宋_GBK" w:cs="Times New Roman"/>
                <w:color w:val="auto"/>
                <w:sz w:val="24"/>
                <w:szCs w:val="24"/>
                <w:highlight w:val="none"/>
                <w:lang w:val="en-US" w:eastAsia="zh-CN"/>
              </w:rPr>
              <w:t>，承担过类似</w:t>
            </w:r>
            <w:r>
              <w:rPr>
                <w:rFonts w:hint="eastAsia" w:eastAsia="方正仿宋_GBK" w:cs="Times New Roman"/>
                <w:color w:val="auto"/>
                <w:sz w:val="24"/>
                <w:szCs w:val="24"/>
                <w:highlight w:val="none"/>
                <w:lang w:val="en-US" w:eastAsia="zh-CN"/>
              </w:rPr>
              <w:t>规划</w:t>
            </w:r>
            <w:r>
              <w:rPr>
                <w:rFonts w:hint="eastAsia" w:ascii="Times New Roman" w:hAnsi="Times New Roman" w:eastAsia="方正仿宋_GBK" w:cs="Times New Roman"/>
                <w:color w:val="auto"/>
                <w:sz w:val="24"/>
                <w:szCs w:val="24"/>
                <w:highlight w:val="none"/>
                <w:lang w:val="en-US" w:eastAsia="zh-CN"/>
              </w:rPr>
              <w:t>服务的每一项得2 分</w:t>
            </w:r>
            <w:r>
              <w:rPr>
                <w:rFonts w:hint="eastAsia" w:eastAsia="方正仿宋_GBK" w:cs="Times New Roman"/>
                <w:color w:val="auto"/>
                <w:sz w:val="24"/>
                <w:szCs w:val="24"/>
                <w:highlight w:val="none"/>
                <w:lang w:val="en-US" w:eastAsia="zh-CN"/>
              </w:rPr>
              <w:t>，最多的10分</w:t>
            </w:r>
            <w:r>
              <w:rPr>
                <w:rFonts w:hint="eastAsia" w:ascii="Times New Roman" w:hAnsi="Times New Roman" w:eastAsia="方正仿宋_GBK" w:cs="Times New Roman"/>
                <w:color w:val="auto"/>
                <w:sz w:val="24"/>
                <w:szCs w:val="24"/>
                <w:highlight w:val="none"/>
                <w:lang w:val="en-US" w:eastAsia="zh-CN"/>
              </w:rPr>
              <w:t>。</w:t>
            </w:r>
          </w:p>
        </w:tc>
        <w:tc>
          <w:tcPr>
            <w:tcW w:w="2180" w:type="dxa"/>
            <w:vAlign w:val="center"/>
          </w:tcPr>
          <w:p w14:paraId="38A4A292">
            <w:pPr>
              <w:spacing w:line="400" w:lineRule="exact"/>
              <w:jc w:val="left"/>
              <w:rPr>
                <w:rFonts w:hint="eastAsia"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提供合同协议书复印件</w:t>
            </w:r>
            <w:r>
              <w:rPr>
                <w:rFonts w:hint="eastAsia" w:eastAsia="方正仿宋_GBK" w:cs="Times New Roman"/>
                <w:color w:val="auto"/>
                <w:sz w:val="24"/>
                <w:szCs w:val="24"/>
                <w:highlight w:val="none"/>
                <w:lang w:val="en-US" w:eastAsia="zh-CN"/>
              </w:rPr>
              <w:t>并加盖供应商公章。</w:t>
            </w:r>
          </w:p>
        </w:tc>
      </w:tr>
    </w:tbl>
    <w:p w14:paraId="65406B07">
      <w:pPr>
        <w:pStyle w:val="7"/>
        <w:numPr>
          <w:ilvl w:val="0"/>
          <w:numId w:val="0"/>
        </w:numPr>
        <w:rPr>
          <w:color w:val="auto"/>
          <w:highlight w:val="none"/>
        </w:rPr>
      </w:pPr>
    </w:p>
    <w:bookmarkEnd w:id="108"/>
    <w:p w14:paraId="4244E934">
      <w:pPr>
        <w:pStyle w:val="3"/>
        <w:rPr>
          <w:color w:val="auto"/>
          <w:highlight w:val="none"/>
        </w:rPr>
      </w:pPr>
      <w:bookmarkStart w:id="109" w:name="_Toc17582"/>
      <w:bookmarkStart w:id="110" w:name="_Toc106030892"/>
      <w:bookmarkStart w:id="111" w:name="_Toc76462337"/>
      <w:bookmarkStart w:id="112" w:name="_Toc102227313"/>
      <w:r>
        <w:rPr>
          <w:rFonts w:hint="eastAsia"/>
          <w:color w:val="auto"/>
          <w:highlight w:val="none"/>
        </w:rPr>
        <w:t>三、无效响应</w:t>
      </w:r>
      <w:bookmarkEnd w:id="109"/>
    </w:p>
    <w:p w14:paraId="68B336BC">
      <w:pPr>
        <w:snapToGrid w:val="0"/>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供应商发生以下条款情况之一者，视为无效报价：</w:t>
      </w:r>
    </w:p>
    <w:p w14:paraId="3E47AD5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（一）供应商不符合规定的资格条件的；</w:t>
      </w:r>
    </w:p>
    <w:p w14:paraId="5ED2347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（二）供应商未通过实质性响应审查的；</w:t>
      </w:r>
    </w:p>
    <w:p w14:paraId="413423E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（三）供应商所提交的响应文件未按“第七篇响应文件格式要求”要求签署或盖章的；</w:t>
      </w:r>
    </w:p>
    <w:p w14:paraId="0852513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（四）供应商的报价超过采购预算或最高限价的；</w:t>
      </w:r>
    </w:p>
    <w:p w14:paraId="5902DEA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（五）单位负责人为同一人或者存在直接控股、管理关系的不同供应商，参加同一合同项（包）报价的；</w:t>
      </w:r>
    </w:p>
    <w:p w14:paraId="5E24C2E6">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（六）为采购项目提供整体设计、规范编制或者项目管理、监理、检测等服务的供应商再参加该采购项目的其他采购活动的；</w:t>
      </w:r>
    </w:p>
    <w:p w14:paraId="4355D2A9">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（七）法律、法规和竞采邀请书规定的其他无效情形。</w:t>
      </w:r>
    </w:p>
    <w:p w14:paraId="4E7F86D1">
      <w:pPr>
        <w:pStyle w:val="3"/>
        <w:rPr>
          <w:color w:val="auto"/>
          <w:highlight w:val="none"/>
        </w:rPr>
      </w:pPr>
      <w:bookmarkStart w:id="113" w:name="_Toc20005"/>
      <w:bookmarkStart w:id="114" w:name="_Toc25960"/>
      <w:bookmarkStart w:id="115" w:name="_Toc30605"/>
      <w:bookmarkStart w:id="116" w:name="_Toc7802"/>
      <w:bookmarkStart w:id="117" w:name="_Toc14355"/>
      <w:bookmarkStart w:id="118" w:name="_Toc6719"/>
      <w:bookmarkStart w:id="119" w:name="_Toc6956"/>
      <w:bookmarkStart w:id="120" w:name="_Toc21946"/>
      <w:bookmarkStart w:id="121" w:name="_Toc75793522"/>
      <w:bookmarkStart w:id="122" w:name="_Toc27133"/>
      <w:bookmarkStart w:id="123" w:name="_Toc6204"/>
      <w:bookmarkStart w:id="124" w:name="_Toc4422"/>
      <w:bookmarkStart w:id="125" w:name="_Toc11293"/>
      <w:bookmarkStart w:id="126" w:name="_Toc25549"/>
      <w:bookmarkStart w:id="127" w:name="_Toc23533"/>
      <w:bookmarkStart w:id="128" w:name="_Toc106030398"/>
      <w:bookmarkStart w:id="129" w:name="_Toc20333"/>
      <w:r>
        <w:rPr>
          <w:rFonts w:hint="eastAsia"/>
          <w:color w:val="auto"/>
          <w:highlight w:val="none"/>
        </w:rPr>
        <w:t>四、</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color w:val="auto"/>
          <w:highlight w:val="none"/>
        </w:rPr>
        <w:t>采购终止</w:t>
      </w:r>
      <w:bookmarkEnd w:id="129"/>
    </w:p>
    <w:p w14:paraId="0D63EF9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出现下列情形之一的，采购人或者采购代理机构应当终止采购活动，发布项目终止公告并说明原因，重新开展采购活动：</w:t>
      </w:r>
    </w:p>
    <w:p w14:paraId="4DEA803E">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（一）因情况变化，不再符合规定的采购方式适用情形的；</w:t>
      </w:r>
    </w:p>
    <w:p w14:paraId="384699F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078CC77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（三）在采购过程中符合竞采要求的供应商不足3家的。</w:t>
      </w:r>
    </w:p>
    <w:p w14:paraId="3ECBC417">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（四）项目出现其他实质性影响，可能导致项目无法正常开展的情形。</w:t>
      </w:r>
    </w:p>
    <w:p w14:paraId="6EFBAC79">
      <w:pPr>
        <w:rPr>
          <w:rFonts w:hint="eastAsia"/>
          <w:color w:val="auto"/>
          <w:highlight w:val="none"/>
        </w:rPr>
      </w:pPr>
      <w:r>
        <w:rPr>
          <w:rFonts w:hint="eastAsia"/>
          <w:color w:val="auto"/>
          <w:highlight w:val="none"/>
        </w:rPr>
        <w:br w:type="page"/>
      </w:r>
    </w:p>
    <w:p w14:paraId="2A2E8D3C">
      <w:pPr>
        <w:pStyle w:val="2"/>
        <w:jc w:val="center"/>
        <w:rPr>
          <w:color w:val="auto"/>
          <w:highlight w:val="none"/>
        </w:rPr>
      </w:pPr>
      <w:bookmarkStart w:id="130" w:name="_Toc13656"/>
      <w:r>
        <w:rPr>
          <w:rFonts w:hint="eastAsia"/>
          <w:color w:val="auto"/>
          <w:highlight w:val="none"/>
        </w:rPr>
        <w:t>第五篇 供应商须知</w:t>
      </w:r>
      <w:bookmarkEnd w:id="110"/>
      <w:bookmarkEnd w:id="111"/>
      <w:bookmarkEnd w:id="112"/>
      <w:bookmarkEnd w:id="130"/>
    </w:p>
    <w:p w14:paraId="56ECF955">
      <w:pPr>
        <w:pStyle w:val="3"/>
        <w:rPr>
          <w:color w:val="auto"/>
          <w:highlight w:val="none"/>
        </w:rPr>
      </w:pPr>
      <w:bookmarkStart w:id="131" w:name="_Toc76462338"/>
      <w:bookmarkStart w:id="132" w:name="_Toc342913389"/>
      <w:bookmarkStart w:id="133" w:name="_Toc26448"/>
      <w:bookmarkStart w:id="134" w:name="_Toc106030893"/>
      <w:r>
        <w:rPr>
          <w:rFonts w:hint="eastAsia"/>
          <w:color w:val="auto"/>
          <w:highlight w:val="none"/>
        </w:rPr>
        <w:t>一、竞采费用</w:t>
      </w:r>
      <w:bookmarkEnd w:id="131"/>
      <w:bookmarkEnd w:id="132"/>
      <w:bookmarkEnd w:id="133"/>
      <w:bookmarkEnd w:id="134"/>
    </w:p>
    <w:p w14:paraId="5C26171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3C514FDC">
      <w:pPr>
        <w:pStyle w:val="3"/>
        <w:rPr>
          <w:color w:val="auto"/>
          <w:highlight w:val="none"/>
        </w:rPr>
      </w:pPr>
      <w:bookmarkStart w:id="135" w:name="_Toc76462339"/>
      <w:bookmarkStart w:id="136" w:name="_Toc106030894"/>
      <w:bookmarkStart w:id="137" w:name="_Toc342913391"/>
      <w:bookmarkStart w:id="138" w:name="_Toc943"/>
      <w:r>
        <w:rPr>
          <w:rFonts w:hint="eastAsia"/>
          <w:color w:val="auto"/>
          <w:highlight w:val="none"/>
        </w:rPr>
        <w:t>二、竞采文件</w:t>
      </w:r>
      <w:bookmarkEnd w:id="135"/>
      <w:bookmarkEnd w:id="136"/>
      <w:bookmarkEnd w:id="137"/>
      <w:bookmarkEnd w:id="138"/>
    </w:p>
    <w:p w14:paraId="167177BA">
      <w:pPr>
        <w:pStyle w:val="26"/>
        <w:ind w:firstLine="480"/>
        <w:rPr>
          <w:rFonts w:hint="eastAsia"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b/>
          <w:bCs/>
          <w:color w:val="auto"/>
          <w:szCs w:val="28"/>
          <w:highlight w:val="none"/>
        </w:rPr>
        <w:t>竞采文件由采购邀请书、项目服务需求、供应商须知、项目商务需求、竞采程序及评审标准、网上竞采合同、响应文件编制要求七部分组成。</w:t>
      </w:r>
    </w:p>
    <w:p w14:paraId="1A0AD50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（二）采购人（或采购代理机构）所作的一切有效的书面通知、修改及补充，都是竞采文件不可分割的部分。</w:t>
      </w:r>
    </w:p>
    <w:p w14:paraId="2C9AC8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（三）竞采文件的解释</w:t>
      </w:r>
    </w:p>
    <w:p w14:paraId="48F7A82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9" w:name="_Toc318159349"/>
      <w:bookmarkStart w:id="140" w:name="_Toc318166429"/>
      <w:bookmarkStart w:id="141" w:name="_Toc318159780"/>
      <w:bookmarkStart w:id="142" w:name="_Toc318159160"/>
    </w:p>
    <w:p w14:paraId="5FF9C4B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（四）评审的依据为竞采文件和响应文件（含有效的书面承诺）。评审小组判断响应文件对竞采文件的响应，仅基于响应文件本身而不靠外部证据。</w:t>
      </w:r>
    </w:p>
    <w:bookmarkEnd w:id="139"/>
    <w:bookmarkEnd w:id="140"/>
    <w:bookmarkEnd w:id="141"/>
    <w:bookmarkEnd w:id="142"/>
    <w:p w14:paraId="0BFB97D1">
      <w:pPr>
        <w:pStyle w:val="3"/>
        <w:rPr>
          <w:color w:val="auto"/>
          <w:highlight w:val="none"/>
        </w:rPr>
      </w:pPr>
      <w:bookmarkStart w:id="143" w:name="_Toc76462340"/>
      <w:bookmarkStart w:id="144" w:name="_Toc179714297"/>
      <w:bookmarkStart w:id="145" w:name="_Toc342913392"/>
      <w:bookmarkStart w:id="146" w:name="_Toc106030895"/>
      <w:bookmarkStart w:id="147" w:name="_Toc102227318"/>
      <w:bookmarkStart w:id="148" w:name="_Toc16239"/>
      <w:r>
        <w:rPr>
          <w:rFonts w:hint="eastAsia"/>
          <w:color w:val="auto"/>
          <w:highlight w:val="none"/>
        </w:rPr>
        <w:t>三、竞采要求</w:t>
      </w:r>
      <w:bookmarkEnd w:id="143"/>
      <w:bookmarkEnd w:id="144"/>
      <w:bookmarkEnd w:id="145"/>
      <w:bookmarkEnd w:id="146"/>
      <w:bookmarkEnd w:id="147"/>
      <w:bookmarkEnd w:id="148"/>
    </w:p>
    <w:p w14:paraId="4DFBD46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（一）响应文件</w:t>
      </w:r>
    </w:p>
    <w:p w14:paraId="5110B5C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1.供应商应当按照竞采文件的要求编制响应文件，并对竞采文件提出的要求和条件作出实质性响应。</w:t>
      </w:r>
    </w:p>
    <w:p w14:paraId="091A9A3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2.响应文件组成</w:t>
      </w:r>
    </w:p>
    <w:p w14:paraId="5C9BF52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61958B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（二）竞采有效期：响应文件及有关承诺文件有效期为提交响应文件截止时间起90天。</w:t>
      </w:r>
    </w:p>
    <w:p w14:paraId="756E875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（三）修正错误</w:t>
      </w:r>
    </w:p>
    <w:p w14:paraId="2C4A899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color w:val="auto"/>
          <w:szCs w:val="28"/>
          <w:highlight w:val="none"/>
          <w:u w:val="single"/>
        </w:rPr>
        <w:t>大写金额修正为准</w:t>
      </w:r>
      <w:r>
        <w:rPr>
          <w:rFonts w:hint="eastAsia" w:ascii="方正仿宋_GBK" w:hAnsi="方正仿宋_GBK" w:eastAsia="方正仿宋_GBK" w:cs="方正仿宋_GBK"/>
          <w:color w:val="auto"/>
          <w:szCs w:val="28"/>
          <w:highlight w:val="none"/>
        </w:rPr>
        <w:t>。</w:t>
      </w:r>
    </w:p>
    <w:p w14:paraId="428D4B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18C0D6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（四）提交响应文件的份数和签署</w:t>
      </w:r>
    </w:p>
    <w:p w14:paraId="34EBACC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1.响应文件电子文档一份。</w:t>
      </w:r>
    </w:p>
    <w:p w14:paraId="5050C94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2.响应文件按竞采文件“第七篇响应文件编制要求”要求签署或盖章。</w:t>
      </w:r>
    </w:p>
    <w:p w14:paraId="46477B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（五）响应文件的递交</w:t>
      </w:r>
    </w:p>
    <w:p w14:paraId="3F66E46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响应文件的电子文档应在有效报名时间段内，通过竞采系统在线提交。</w:t>
      </w:r>
    </w:p>
    <w:p w14:paraId="689C5B2A">
      <w:pPr>
        <w:pStyle w:val="3"/>
        <w:rPr>
          <w:rFonts w:hint="eastAsia"/>
          <w:color w:val="auto"/>
          <w:highlight w:val="none"/>
        </w:rPr>
      </w:pPr>
      <w:bookmarkStart w:id="149" w:name="_Toc106030896"/>
      <w:bookmarkStart w:id="150" w:name="_Toc76462341"/>
      <w:bookmarkStart w:id="151" w:name="_Toc8839"/>
      <w:r>
        <w:rPr>
          <w:rFonts w:hint="eastAsia"/>
          <w:color w:val="auto"/>
          <w:highlight w:val="none"/>
        </w:rPr>
        <w:t>四、成交供应商的确认和变更</w:t>
      </w:r>
      <w:bookmarkEnd w:id="149"/>
      <w:bookmarkEnd w:id="150"/>
      <w:bookmarkEnd w:id="151"/>
    </w:p>
    <w:p w14:paraId="516240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（一）成交供应商的确认</w:t>
      </w:r>
    </w:p>
    <w:p w14:paraId="41471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采购人应当在5个工作日内，从评审报告提出的成交候选供应商中，按照排序由高到低的原则确定成交供应商，也可以授权竞采小组直接确定成交供应商。</w:t>
      </w:r>
    </w:p>
    <w:p w14:paraId="609BEBC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（二）成交供应商的变更</w:t>
      </w:r>
    </w:p>
    <w:p w14:paraId="58B188E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成交供应商拒绝与采购人签订合同的，采购人可以按照评审报告推荐的成交候选供应商顺序，确定排名下一位的候选供应商为成交供应商，也可以重新开展竞采活动。</w:t>
      </w:r>
    </w:p>
    <w:p w14:paraId="2DDF2FE3">
      <w:pPr>
        <w:pStyle w:val="3"/>
        <w:rPr>
          <w:color w:val="auto"/>
          <w:highlight w:val="none"/>
        </w:rPr>
      </w:pPr>
      <w:bookmarkStart w:id="152" w:name="_Toc76462342"/>
      <w:bookmarkStart w:id="153" w:name="_Toc342913395"/>
      <w:bookmarkStart w:id="154" w:name="_Toc102227321"/>
      <w:bookmarkStart w:id="155" w:name="_Toc106030897"/>
      <w:bookmarkStart w:id="156" w:name="_Toc7015"/>
      <w:r>
        <w:rPr>
          <w:rFonts w:hint="eastAsia"/>
          <w:color w:val="auto"/>
          <w:highlight w:val="none"/>
        </w:rPr>
        <w:t>五、成交通知</w:t>
      </w:r>
      <w:bookmarkEnd w:id="152"/>
      <w:bookmarkEnd w:id="153"/>
      <w:bookmarkEnd w:id="154"/>
      <w:bookmarkEnd w:id="155"/>
      <w:bookmarkEnd w:id="156"/>
    </w:p>
    <w:p w14:paraId="663CE2F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（一）成交供应商确定后，采购人/代理机构将在行采家（https://www.gec123.com/）上发布成交结果公告。</w:t>
      </w:r>
    </w:p>
    <w:p w14:paraId="48DD07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（二）结果公告发出同时，采购人/代理机构将以书面形式发出《成交通知书》。《成交通知书》一经发出即发生法律效力。</w:t>
      </w:r>
    </w:p>
    <w:p w14:paraId="627D97F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（三）《成交通知书》作为签订合同的依据。</w:t>
      </w:r>
    </w:p>
    <w:p w14:paraId="073D0B66">
      <w:pPr>
        <w:pStyle w:val="3"/>
        <w:rPr>
          <w:color w:val="auto"/>
          <w:highlight w:val="none"/>
        </w:rPr>
      </w:pPr>
      <w:bookmarkStart w:id="157" w:name="_Toc106030898"/>
      <w:bookmarkStart w:id="158" w:name="_Toc76462343"/>
      <w:bookmarkStart w:id="159" w:name="_Toc23227"/>
      <w:r>
        <w:rPr>
          <w:rFonts w:hint="eastAsia"/>
          <w:color w:val="auto"/>
          <w:highlight w:val="none"/>
        </w:rPr>
        <w:t>六、关于质疑和投诉</w:t>
      </w:r>
      <w:bookmarkEnd w:id="157"/>
      <w:bookmarkEnd w:id="158"/>
      <w:bookmarkEnd w:id="159"/>
    </w:p>
    <w:p w14:paraId="4BEB01E6">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（一）质疑</w:t>
      </w:r>
    </w:p>
    <w:p w14:paraId="11B4B71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供应商认为采购文件、采购过程和成交结果使自己的权益收到伤害的，可向采购人或采购代理机构以书面形式提出质疑。</w:t>
      </w:r>
    </w:p>
    <w:p w14:paraId="5CE09B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2FB5067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4EC6E31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3F02E8F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1.2供应商提出质疑应当提交质疑函和必要的证明材料，质疑函应当包括下列内容：</w:t>
      </w:r>
    </w:p>
    <w:p w14:paraId="6DAFE5A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1.2.1供应商的名称、地址、联系人及联系电话；</w:t>
      </w:r>
    </w:p>
    <w:p w14:paraId="100A320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1.2.2质疑项目的名称、采购编号；</w:t>
      </w:r>
    </w:p>
    <w:p w14:paraId="722E01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1.2.3具体、明确的质疑事项和与质疑事项相关的请求；</w:t>
      </w:r>
    </w:p>
    <w:p w14:paraId="6A09AA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1.2.4事实依据；</w:t>
      </w:r>
    </w:p>
    <w:p w14:paraId="0FD98509">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1.2.5必要的法律依据；</w:t>
      </w:r>
    </w:p>
    <w:p w14:paraId="26D1562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1.2.6提出质疑的日期；</w:t>
      </w:r>
    </w:p>
    <w:p w14:paraId="47E3E71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1.2.7营业执照（或事业单位法人证书，或个体工商户营业执照或有效的自然人身份证明）复印件；</w:t>
      </w:r>
    </w:p>
    <w:p w14:paraId="0D2663E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1.2.8法定代表人授权委托书原件、法定代表人身份证复印件和其授权代表的身份证复印件（供应商为自然人的提供自然人身份证复印件）；</w:t>
      </w:r>
    </w:p>
    <w:p w14:paraId="14D2A3D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1.3供应商为自然人的，质疑函应当由本人签字；供应商为法人或者其他组织的，质疑函应当由法定代表人、主要负责人，或者其授权代表签字或者盖章，并加盖公章。</w:t>
      </w:r>
    </w:p>
    <w:p w14:paraId="6FE4B8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34819D4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采购人、采购代理机构应当在收到供应商的书面质疑后2个工作日内作出答复，并以书面形式通知质疑供应商和其他有关供应商。</w:t>
      </w:r>
    </w:p>
    <w:p w14:paraId="6B7B905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3.其他</w:t>
      </w:r>
    </w:p>
    <w:p w14:paraId="7E5E75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（如有）</w:t>
      </w:r>
    </w:p>
    <w:p w14:paraId="08D6A1D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2D0C273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1.供应商对采购人、采购代理机构的答复不满意，或者采购人、采购代理机构未在规定时间内作出答复的，可以在答复期满后2个工作日内向璧山国资中心提起投诉。</w:t>
      </w:r>
    </w:p>
    <w:p w14:paraId="4648A4C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6BE6F4B5">
      <w:pPr>
        <w:pStyle w:val="3"/>
        <w:rPr>
          <w:color w:val="auto"/>
          <w:highlight w:val="none"/>
        </w:rPr>
      </w:pPr>
      <w:bookmarkStart w:id="160" w:name="_Toc106030899"/>
      <w:bookmarkStart w:id="161" w:name="_Toc11669"/>
      <w:bookmarkStart w:id="162" w:name="_Toc76462344"/>
      <w:r>
        <w:rPr>
          <w:rFonts w:hint="eastAsia"/>
          <w:color w:val="auto"/>
          <w:highlight w:val="none"/>
        </w:rPr>
        <w:t>七、采购代理服务费</w:t>
      </w:r>
      <w:bookmarkEnd w:id="160"/>
      <w:bookmarkEnd w:id="161"/>
      <w:bookmarkEnd w:id="162"/>
    </w:p>
    <w:p w14:paraId="1646B25A">
      <w:pPr>
        <w:pStyle w:val="26"/>
        <w:ind w:firstLine="480"/>
        <w:rPr>
          <w:rFonts w:hint="eastAsia" w:ascii="方正仿宋_GBK" w:hAnsi="方正仿宋_GBK" w:eastAsia="方正仿宋_GBK" w:cs="方正仿宋_GBK"/>
          <w:color w:val="auto"/>
          <w:szCs w:val="28"/>
          <w:highlight w:val="none"/>
        </w:rPr>
      </w:pPr>
      <w:bookmarkStart w:id="163" w:name="OLE_LINK8"/>
      <w:bookmarkStart w:id="164" w:name="OLE_LINK7"/>
      <w:r>
        <w:rPr>
          <w:rFonts w:hint="eastAsia" w:ascii="方正仿宋_GBK" w:hAnsi="方正仿宋_GBK" w:eastAsia="方正仿宋_GBK" w:cs="方正仿宋_GBK"/>
          <w:color w:val="auto"/>
          <w:szCs w:val="28"/>
          <w:highlight w:val="none"/>
        </w:rPr>
        <w:t>（一）供应商成交后向采购代理机构缴纳采购代理服务费，采购代理服务费</w:t>
      </w:r>
      <w:bookmarkEnd w:id="163"/>
      <w:bookmarkEnd w:id="164"/>
      <w:r>
        <w:rPr>
          <w:rFonts w:hint="eastAsia" w:ascii="方正仿宋_GBK" w:hAnsi="方正仿宋_GBK" w:eastAsia="方正仿宋_GBK" w:cs="方正仿宋_GBK"/>
          <w:color w:val="auto"/>
          <w:szCs w:val="28"/>
          <w:highlight w:val="none"/>
        </w:rPr>
        <w:t>为</w:t>
      </w:r>
      <w:r>
        <w:rPr>
          <w:rFonts w:hint="eastAsia" w:ascii="方正仿宋_GBK" w:hAnsi="方正仿宋_GBK" w:eastAsia="方正仿宋_GBK" w:cs="方正仿宋_GBK"/>
          <w:color w:val="auto"/>
          <w:szCs w:val="28"/>
          <w:highlight w:val="none"/>
          <w:lang w:val="en-US" w:eastAsia="zh-CN"/>
        </w:rPr>
        <w:t>3000.00</w:t>
      </w:r>
      <w:r>
        <w:rPr>
          <w:rFonts w:hint="eastAsia" w:ascii="方正仿宋_GBK" w:hAnsi="方正仿宋_GBK" w:eastAsia="方正仿宋_GBK" w:cs="方正仿宋_GBK"/>
          <w:color w:val="auto"/>
          <w:szCs w:val="28"/>
          <w:highlight w:val="none"/>
        </w:rPr>
        <w:t>元。</w:t>
      </w:r>
    </w:p>
    <w:p w14:paraId="3134DE12">
      <w:pPr>
        <w:pStyle w:val="3"/>
        <w:rPr>
          <w:color w:val="auto"/>
          <w:highlight w:val="none"/>
        </w:rPr>
      </w:pPr>
      <w:bookmarkStart w:id="165" w:name="_Toc102227322"/>
      <w:bookmarkStart w:id="166" w:name="_Toc76462346"/>
      <w:bookmarkStart w:id="167" w:name="_Toc106030901"/>
      <w:bookmarkStart w:id="168" w:name="_Toc342913396"/>
      <w:bookmarkStart w:id="169" w:name="_Toc5753"/>
      <w:r>
        <w:rPr>
          <w:rFonts w:hint="eastAsia"/>
          <w:color w:val="auto"/>
          <w:highlight w:val="none"/>
        </w:rPr>
        <w:t>八、签订</w:t>
      </w:r>
      <w:bookmarkEnd w:id="165"/>
      <w:r>
        <w:rPr>
          <w:rFonts w:hint="eastAsia"/>
          <w:color w:val="auto"/>
          <w:highlight w:val="none"/>
        </w:rPr>
        <w:t>合同</w:t>
      </w:r>
      <w:bookmarkEnd w:id="166"/>
      <w:bookmarkEnd w:id="167"/>
      <w:bookmarkEnd w:id="168"/>
      <w:bookmarkEnd w:id="169"/>
    </w:p>
    <w:p w14:paraId="543814E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（一）采购人原则上应在结果公告发出之日起1</w:t>
      </w:r>
      <w:r>
        <w:rPr>
          <w:rFonts w:hint="eastAsia" w:ascii="方正仿宋_GBK" w:hAnsi="方正仿宋_GBK" w:eastAsia="方正仿宋_GBK" w:cs="方正仿宋_GBK"/>
          <w:color w:val="auto"/>
          <w:szCs w:val="28"/>
          <w:highlight w:val="none"/>
          <w:lang w:val="en-US" w:eastAsia="zh-CN"/>
        </w:rPr>
        <w:t>5</w:t>
      </w:r>
      <w:r>
        <w:rPr>
          <w:rFonts w:hint="eastAsia" w:ascii="方正仿宋_GBK" w:hAnsi="方正仿宋_GBK" w:eastAsia="方正仿宋_GBK" w:cs="方正仿宋_GBK"/>
          <w:color w:val="auto"/>
          <w:szCs w:val="28"/>
          <w:highlight w:val="none"/>
        </w:rPr>
        <w:t>个工作日内和成交供应商签订采购合同，无正当理由不得拒绝或拖延合同签订。所签订的合同不得对竞采文件和</w:t>
      </w:r>
      <w:r>
        <w:rPr>
          <w:rFonts w:hint="eastAsia" w:ascii="方正仿宋_GBK" w:hAnsi="方正仿宋_GBK" w:eastAsia="方正仿宋_GBK" w:cs="方正仿宋_GBK"/>
          <w:color w:val="auto"/>
          <w:szCs w:val="28"/>
          <w:highlight w:val="none"/>
          <w:lang w:val="en-US" w:eastAsia="zh-CN"/>
        </w:rPr>
        <w:t>成交</w:t>
      </w:r>
      <w:r>
        <w:rPr>
          <w:rFonts w:hint="eastAsia" w:ascii="方正仿宋_GBK" w:hAnsi="方正仿宋_GBK" w:eastAsia="方正仿宋_GBK" w:cs="方正仿宋_GBK"/>
          <w:color w:val="auto"/>
          <w:szCs w:val="28"/>
          <w:highlight w:val="none"/>
        </w:rPr>
        <w:t>供应商的响应文件作实质性修改。其他未尽事宜由采购人和成交供应商在采购合同中详细约定。</w:t>
      </w:r>
    </w:p>
    <w:p w14:paraId="0687D7B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（二）竞采文件、供应商的响应文件及澄清文件等，均为签订采购合同的依据。</w:t>
      </w:r>
    </w:p>
    <w:p w14:paraId="246C29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（三）合同生效条款由供需双方约定，法律、行政法规规定应当办理批准、登记等手续后生效的合同，依照其规定。</w:t>
      </w:r>
    </w:p>
    <w:p w14:paraId="646DD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（四）合同原则上应按照</w:t>
      </w:r>
      <w:bookmarkStart w:id="170" w:name="OLE_LINK1"/>
      <w:r>
        <w:rPr>
          <w:rFonts w:hint="eastAsia" w:ascii="方正仿宋_GBK" w:hAnsi="方正仿宋_GBK" w:eastAsia="方正仿宋_GBK" w:cs="方正仿宋_GBK"/>
          <w:color w:val="auto"/>
          <w:szCs w:val="28"/>
          <w:highlight w:val="none"/>
        </w:rPr>
        <w:t>《</w:t>
      </w:r>
      <w:bookmarkEnd w:id="170"/>
      <w:r>
        <w:rPr>
          <w:rFonts w:hint="eastAsia" w:ascii="方正仿宋_GBK" w:hAnsi="方正仿宋_GBK" w:eastAsia="方正仿宋_GBK" w:cs="方正仿宋_GBK"/>
          <w:color w:val="auto"/>
          <w:szCs w:val="28"/>
          <w:highlight w:val="none"/>
          <w:lang w:eastAsia="zh-CN"/>
        </w:rPr>
        <w:t>竞采合同</w:t>
      </w:r>
      <w:r>
        <w:rPr>
          <w:rFonts w:hint="eastAsia" w:ascii="方正仿宋_GBK" w:hAnsi="方正仿宋_GBK" w:eastAsia="方正仿宋_GBK" w:cs="方正仿宋_GBK"/>
          <w:color w:val="auto"/>
          <w:szCs w:val="28"/>
          <w:highlight w:val="none"/>
        </w:rPr>
        <w:t>》签订，相关单位要求适用合同通用格式版本的，应按其要求另行签订其他合同。</w:t>
      </w:r>
    </w:p>
    <w:p w14:paraId="662FD6DF">
      <w:pPr>
        <w:pStyle w:val="3"/>
        <w:rPr>
          <w:color w:val="auto"/>
          <w:highlight w:val="none"/>
        </w:rPr>
      </w:pPr>
      <w:bookmarkStart w:id="171" w:name="_Toc15266"/>
      <w:bookmarkStart w:id="172" w:name="_Toc106030902"/>
      <w:r>
        <w:rPr>
          <w:rFonts w:hint="eastAsia"/>
          <w:color w:val="auto"/>
          <w:highlight w:val="none"/>
        </w:rPr>
        <w:t>九、项目验收</w:t>
      </w:r>
      <w:bookmarkEnd w:id="171"/>
      <w:bookmarkEnd w:id="172"/>
    </w:p>
    <w:p w14:paraId="54531E9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合同执行完毕，采购人或采购代理机构原则上应在5个工作日内组织履约情况验收，不得无故拖延或附加额外条件。</w:t>
      </w:r>
    </w:p>
    <w:p w14:paraId="13C8C705">
      <w:pPr>
        <w:pStyle w:val="26"/>
        <w:ind w:firstLine="480"/>
        <w:rPr>
          <w:rFonts w:hint="eastAsia" w:ascii="方正仿宋_GBK" w:hAnsi="方正仿宋_GBK" w:eastAsia="方正仿宋_GBK" w:cs="方正仿宋_GBK"/>
          <w:color w:val="auto"/>
          <w:szCs w:val="28"/>
          <w:highlight w:val="none"/>
        </w:rPr>
      </w:pPr>
    </w:p>
    <w:p w14:paraId="1887C796">
      <w:pPr>
        <w:pStyle w:val="26"/>
        <w:ind w:firstLine="480"/>
        <w:rPr>
          <w:rFonts w:hint="eastAsia" w:ascii="方正仿宋_GBK" w:hAnsi="方正仿宋_GBK" w:eastAsia="方正仿宋_GBK" w:cs="方正仿宋_GBK"/>
          <w:color w:val="auto"/>
          <w:szCs w:val="28"/>
          <w:highlight w:val="none"/>
        </w:rPr>
      </w:pPr>
    </w:p>
    <w:p w14:paraId="2C0084E2">
      <w:pPr>
        <w:pStyle w:val="26"/>
        <w:ind w:firstLine="480"/>
        <w:rPr>
          <w:rFonts w:hint="eastAsia" w:ascii="方正仿宋_GBK" w:hAnsi="方正仿宋_GBK" w:eastAsia="方正仿宋_GBK" w:cs="方正仿宋_GBK"/>
          <w:color w:val="auto"/>
          <w:szCs w:val="28"/>
          <w:highlight w:val="none"/>
        </w:rPr>
      </w:pPr>
    </w:p>
    <w:p w14:paraId="2AF69F34">
      <w:pPr>
        <w:pStyle w:val="26"/>
        <w:ind w:firstLine="480"/>
        <w:rPr>
          <w:rFonts w:hint="eastAsia" w:ascii="方正仿宋_GBK" w:hAnsi="方正仿宋_GBK" w:eastAsia="方正仿宋_GBK" w:cs="方正仿宋_GBK"/>
          <w:color w:val="auto"/>
          <w:szCs w:val="28"/>
          <w:highlight w:val="none"/>
        </w:rPr>
      </w:pPr>
    </w:p>
    <w:p w14:paraId="52466435">
      <w:pPr>
        <w:pStyle w:val="26"/>
        <w:ind w:firstLine="480"/>
        <w:rPr>
          <w:rFonts w:hint="eastAsia" w:ascii="方正仿宋_GBK" w:hAnsi="方正仿宋_GBK" w:eastAsia="方正仿宋_GBK" w:cs="方正仿宋_GBK"/>
          <w:color w:val="auto"/>
          <w:szCs w:val="28"/>
          <w:highlight w:val="none"/>
        </w:rPr>
      </w:pPr>
    </w:p>
    <w:p w14:paraId="717F28AE">
      <w:pPr>
        <w:pStyle w:val="26"/>
        <w:ind w:firstLine="480"/>
        <w:rPr>
          <w:rFonts w:hint="eastAsia" w:ascii="方正仿宋_GBK" w:hAnsi="方正仿宋_GBK" w:eastAsia="方正仿宋_GBK" w:cs="方正仿宋_GBK"/>
          <w:color w:val="auto"/>
          <w:szCs w:val="28"/>
          <w:highlight w:val="none"/>
        </w:rPr>
      </w:pPr>
    </w:p>
    <w:p w14:paraId="15D78D22">
      <w:pPr>
        <w:rPr>
          <w:rFonts w:hint="eastAsia"/>
          <w:color w:val="auto"/>
          <w:highlight w:val="none"/>
        </w:rPr>
      </w:pPr>
      <w:bookmarkStart w:id="173" w:name="_Toc109836391"/>
      <w:r>
        <w:rPr>
          <w:rFonts w:hint="eastAsia"/>
          <w:color w:val="auto"/>
          <w:highlight w:val="none"/>
        </w:rPr>
        <w:br w:type="page"/>
      </w:r>
    </w:p>
    <w:p w14:paraId="7CF1200F">
      <w:pPr>
        <w:pStyle w:val="2"/>
        <w:jc w:val="center"/>
        <w:rPr>
          <w:color w:val="auto"/>
          <w:highlight w:val="none"/>
        </w:rPr>
      </w:pPr>
      <w:bookmarkStart w:id="174" w:name="_Toc24597"/>
      <w:r>
        <w:rPr>
          <w:rFonts w:hint="eastAsia"/>
          <w:color w:val="auto"/>
          <w:highlight w:val="none"/>
        </w:rPr>
        <w:t>第六篇  网上竞采合同</w:t>
      </w:r>
      <w:bookmarkEnd w:id="173"/>
      <w:r>
        <w:rPr>
          <w:rFonts w:hint="eastAsia"/>
          <w:color w:val="auto"/>
          <w:highlight w:val="none"/>
        </w:rPr>
        <w:t>（格式）</w:t>
      </w:r>
      <w:bookmarkEnd w:id="174"/>
    </w:p>
    <w:p w14:paraId="4C321A93">
      <w:pPr>
        <w:spacing w:line="360" w:lineRule="auto"/>
        <w:ind w:firstLine="9360" w:firstLineChars="1800"/>
        <w:rPr>
          <w:rFonts w:hint="eastAsia" w:ascii="仿宋" w:hAnsi="仿宋" w:eastAsia="仿宋" w:cs="仿宋"/>
          <w:color w:val="auto"/>
          <w:sz w:val="28"/>
          <w:szCs w:val="28"/>
          <w:highlight w:val="none"/>
        </w:rPr>
      </w:pPr>
      <w:r>
        <w:rPr>
          <w:rFonts w:hint="eastAsia" w:ascii="Times New Roman" w:hAnsi="Times New Roman" w:eastAsia="方正小标宋_GBK"/>
          <w:color w:val="auto"/>
          <w:sz w:val="52"/>
          <w:szCs w:val="52"/>
          <w:highlight w:val="none"/>
          <w:lang w:eastAsia="zh-CN"/>
        </w:rPr>
        <w:br w:type="page"/>
      </w:r>
      <w:bookmarkStart w:id="175" w:name="_Toc10837"/>
    </w:p>
    <w:p w14:paraId="60ACF5E6">
      <w:pPr>
        <w:widowControl/>
        <w:snapToGrid w:val="0"/>
        <w:spacing w:line="360" w:lineRule="auto"/>
        <w:jc w:val="center"/>
        <w:rPr>
          <w:rFonts w:hint="eastAsia" w:ascii="仿宋" w:hAnsi="仿宋" w:eastAsia="仿宋" w:cs="宋体"/>
          <w:b/>
          <w:bCs/>
          <w:color w:val="auto"/>
          <w:kern w:val="0"/>
          <w:sz w:val="48"/>
          <w:szCs w:val="48"/>
          <w:highlight w:val="none"/>
          <w:lang w:val="en-US" w:eastAsia="zh-CN"/>
        </w:rPr>
      </w:pPr>
      <w:r>
        <w:rPr>
          <w:rFonts w:hint="eastAsia" w:ascii="仿宋" w:hAnsi="仿宋" w:eastAsia="仿宋" w:cs="宋体"/>
          <w:b/>
          <w:bCs/>
          <w:color w:val="auto"/>
          <w:kern w:val="0"/>
          <w:sz w:val="48"/>
          <w:szCs w:val="48"/>
          <w:highlight w:val="none"/>
          <w:lang w:eastAsia="zh-CN"/>
        </w:rPr>
        <w:t>璧山区全域研学项目规划方案编制单位</w:t>
      </w:r>
    </w:p>
    <w:p w14:paraId="6550253E">
      <w:pPr>
        <w:widowControl/>
        <w:snapToGrid w:val="0"/>
        <w:spacing w:line="360" w:lineRule="auto"/>
        <w:jc w:val="center"/>
        <w:rPr>
          <w:rFonts w:hint="eastAsia" w:ascii="仿宋" w:hAnsi="仿宋" w:eastAsia="仿宋"/>
          <w:color w:val="auto"/>
          <w:highlight w:val="none"/>
        </w:rPr>
      </w:pPr>
      <w:r>
        <w:rPr>
          <w:rFonts w:hint="eastAsia" w:ascii="仿宋" w:hAnsi="仿宋" w:eastAsia="仿宋" w:cs="宋体"/>
          <w:b/>
          <w:bCs/>
          <w:color w:val="auto"/>
          <w:kern w:val="0"/>
          <w:sz w:val="48"/>
          <w:szCs w:val="48"/>
          <w:highlight w:val="none"/>
        </w:rPr>
        <w:t>服务合同</w:t>
      </w:r>
    </w:p>
    <w:p w14:paraId="714EC738">
      <w:pPr>
        <w:spacing w:line="360" w:lineRule="auto"/>
        <w:rPr>
          <w:rFonts w:hint="eastAsia" w:ascii="仿宋" w:hAnsi="仿宋" w:eastAsia="仿宋"/>
          <w:color w:val="auto"/>
          <w:highlight w:val="none"/>
        </w:rPr>
      </w:pPr>
      <w:r>
        <w:rPr>
          <w:rFonts w:hint="eastAsia" w:ascii="仿宋" w:hAnsi="仿宋" w:eastAsia="仿宋"/>
          <w:color w:val="auto"/>
          <w:highlight w:val="none"/>
        </w:rPr>
        <w:t>甲方（委托方）：</w:t>
      </w:r>
    </w:p>
    <w:p w14:paraId="53911CF9">
      <w:pPr>
        <w:spacing w:line="360" w:lineRule="auto"/>
        <w:rPr>
          <w:rFonts w:hint="eastAsia" w:ascii="仿宋" w:hAnsi="仿宋" w:eastAsia="仿宋"/>
          <w:color w:val="auto"/>
          <w:highlight w:val="none"/>
        </w:rPr>
      </w:pPr>
      <w:r>
        <w:rPr>
          <w:rFonts w:hint="eastAsia" w:ascii="仿宋" w:hAnsi="仿宋" w:eastAsia="仿宋"/>
          <w:color w:val="auto"/>
          <w:highlight w:val="none"/>
        </w:rPr>
        <w:t>地址：</w:t>
      </w:r>
    </w:p>
    <w:p w14:paraId="55DD3D7F">
      <w:pPr>
        <w:spacing w:line="360" w:lineRule="auto"/>
        <w:rPr>
          <w:rFonts w:hint="eastAsia" w:ascii="仿宋" w:hAnsi="仿宋" w:eastAsia="仿宋"/>
          <w:color w:val="auto"/>
          <w:highlight w:val="none"/>
        </w:rPr>
      </w:pPr>
      <w:r>
        <w:rPr>
          <w:rFonts w:hint="eastAsia" w:ascii="仿宋" w:hAnsi="仿宋" w:eastAsia="仿宋"/>
          <w:color w:val="auto"/>
          <w:highlight w:val="none"/>
        </w:rPr>
        <w:t>法定代表人：</w:t>
      </w:r>
    </w:p>
    <w:p w14:paraId="2A072CB1">
      <w:pPr>
        <w:spacing w:line="360" w:lineRule="auto"/>
        <w:rPr>
          <w:rFonts w:hint="eastAsia" w:ascii="仿宋" w:hAnsi="仿宋" w:eastAsia="仿宋"/>
          <w:color w:val="auto"/>
          <w:highlight w:val="none"/>
        </w:rPr>
      </w:pPr>
    </w:p>
    <w:p w14:paraId="0BBFB76B">
      <w:pPr>
        <w:spacing w:line="360" w:lineRule="auto"/>
        <w:rPr>
          <w:rFonts w:hint="default" w:ascii="仿宋" w:hAnsi="仿宋" w:eastAsia="仿宋"/>
          <w:color w:val="auto"/>
          <w:highlight w:val="none"/>
          <w:lang w:val="en-US" w:eastAsia="zh-CN"/>
        </w:rPr>
      </w:pPr>
      <w:r>
        <w:rPr>
          <w:rFonts w:hint="eastAsia" w:ascii="仿宋" w:hAnsi="仿宋" w:eastAsia="仿宋"/>
          <w:color w:val="auto"/>
          <w:highlight w:val="none"/>
        </w:rPr>
        <w:t>乙方（受托方）：</w:t>
      </w:r>
    </w:p>
    <w:p w14:paraId="0D654718">
      <w:pPr>
        <w:spacing w:line="360" w:lineRule="auto"/>
        <w:rPr>
          <w:rFonts w:hint="eastAsia" w:ascii="仿宋" w:hAnsi="仿宋" w:eastAsia="仿宋"/>
          <w:color w:val="auto"/>
          <w:highlight w:val="none"/>
        </w:rPr>
      </w:pPr>
      <w:r>
        <w:rPr>
          <w:rFonts w:hint="eastAsia" w:ascii="仿宋" w:hAnsi="仿宋" w:eastAsia="仿宋"/>
          <w:color w:val="auto"/>
          <w:highlight w:val="none"/>
        </w:rPr>
        <w:t>地址：</w:t>
      </w:r>
    </w:p>
    <w:p w14:paraId="1001928E">
      <w:pPr>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法定代表人： </w:t>
      </w:r>
    </w:p>
    <w:p w14:paraId="7FD79AC7">
      <w:pPr>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 </w:t>
      </w:r>
    </w:p>
    <w:p w14:paraId="21BD9E4B">
      <w:pPr>
        <w:widowControl/>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    甲、乙双方经友好协商，在平等互利、诚信为本的基础上，</w:t>
      </w:r>
      <w:r>
        <w:rPr>
          <w:rFonts w:ascii="仿宋" w:hAnsi="仿宋" w:eastAsia="仿宋"/>
          <w:color w:val="auto"/>
          <w:highlight w:val="none"/>
          <w:lang w:val="zh-CN"/>
        </w:rPr>
        <w:t>根据《中华人民共和国</w:t>
      </w:r>
      <w:r>
        <w:rPr>
          <w:rFonts w:hint="eastAsia" w:ascii="仿宋" w:hAnsi="仿宋" w:eastAsia="仿宋"/>
          <w:color w:val="auto"/>
          <w:highlight w:val="none"/>
          <w:lang w:val="zh-CN"/>
        </w:rPr>
        <w:t>民法典</w:t>
      </w:r>
      <w:r>
        <w:rPr>
          <w:rFonts w:ascii="仿宋" w:hAnsi="仿宋" w:eastAsia="仿宋"/>
          <w:color w:val="auto"/>
          <w:highlight w:val="none"/>
          <w:lang w:val="zh-CN"/>
        </w:rPr>
        <w:t>》的有关规定，</w:t>
      </w:r>
      <w:r>
        <w:rPr>
          <w:rFonts w:hint="eastAsia" w:ascii="仿宋" w:hAnsi="仿宋" w:eastAsia="仿宋"/>
          <w:color w:val="auto"/>
          <w:highlight w:val="none"/>
        </w:rPr>
        <w:t>就甲方委托乙方完成</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eastAsia="zh-CN"/>
        </w:rPr>
        <w:t>璧山区全域研学项目规划方案编制单位</w:t>
      </w:r>
      <w:r>
        <w:rPr>
          <w:rFonts w:hint="eastAsia" w:ascii="仿宋" w:hAnsi="仿宋" w:eastAsia="仿宋"/>
          <w:color w:val="auto"/>
          <w:highlight w:val="none"/>
        </w:rPr>
        <w:t>服务工作事宜，达成如下合同。</w:t>
      </w:r>
    </w:p>
    <w:p w14:paraId="7EEFBDDF">
      <w:pPr>
        <w:spacing w:line="360" w:lineRule="auto"/>
        <w:rPr>
          <w:rFonts w:hint="eastAsia" w:ascii="仿宋" w:hAnsi="仿宋" w:eastAsia="仿宋"/>
          <w:b/>
          <w:color w:val="auto"/>
          <w:highlight w:val="none"/>
        </w:rPr>
      </w:pPr>
      <w:r>
        <w:rPr>
          <w:rFonts w:hint="eastAsia" w:ascii="仿宋" w:hAnsi="仿宋" w:eastAsia="仿宋"/>
          <w:b/>
          <w:color w:val="auto"/>
          <w:highlight w:val="none"/>
        </w:rPr>
        <w:t>第1条  委托项目</w:t>
      </w:r>
    </w:p>
    <w:p w14:paraId="22D5992E">
      <w:pPr>
        <w:spacing w:line="360" w:lineRule="auto"/>
        <w:rPr>
          <w:rFonts w:hint="eastAsia" w:ascii="仿宋" w:hAnsi="仿宋" w:eastAsia="仿宋"/>
          <w:color w:val="auto"/>
          <w:highlight w:val="none"/>
        </w:rPr>
      </w:pPr>
      <w:r>
        <w:rPr>
          <w:rFonts w:hint="eastAsia" w:ascii="仿宋" w:hAnsi="仿宋" w:eastAsia="仿宋"/>
          <w:color w:val="auto"/>
          <w:highlight w:val="none"/>
        </w:rPr>
        <w:t>1-1、项目名称：</w:t>
      </w:r>
      <w:r>
        <w:rPr>
          <w:rFonts w:hint="eastAsia" w:ascii="仿宋" w:hAnsi="仿宋" w:eastAsia="仿宋"/>
          <w:color w:val="auto"/>
          <w:highlight w:val="none"/>
          <w:u w:val="single"/>
          <w:lang w:eastAsia="zh-CN"/>
        </w:rPr>
        <w:t>璧山区全域研学项目规划方案编制单位</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p>
    <w:p w14:paraId="6DDE3E95">
      <w:pPr>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1-2、项目位置：璧山区                 </w:t>
      </w:r>
    </w:p>
    <w:p w14:paraId="164F8475">
      <w:pPr>
        <w:spacing w:line="360" w:lineRule="auto"/>
        <w:rPr>
          <w:rFonts w:hint="eastAsia" w:ascii="仿宋" w:hAnsi="仿宋" w:eastAsia="仿宋"/>
          <w:color w:val="auto"/>
          <w:highlight w:val="none"/>
        </w:rPr>
      </w:pPr>
      <w:r>
        <w:rPr>
          <w:rFonts w:hint="eastAsia" w:ascii="仿宋" w:hAnsi="仿宋" w:eastAsia="仿宋"/>
          <w:color w:val="auto"/>
          <w:highlight w:val="none"/>
        </w:rPr>
        <w:t xml:space="preserve">        </w:t>
      </w:r>
    </w:p>
    <w:p w14:paraId="2FE707AE">
      <w:pPr>
        <w:spacing w:line="360" w:lineRule="auto"/>
        <w:rPr>
          <w:rFonts w:hint="eastAsia" w:ascii="仿宋" w:hAnsi="仿宋" w:eastAsia="仿宋"/>
          <w:b/>
          <w:color w:val="auto"/>
          <w:highlight w:val="none"/>
        </w:rPr>
      </w:pPr>
      <w:r>
        <w:rPr>
          <w:rFonts w:hint="eastAsia" w:ascii="仿宋" w:hAnsi="仿宋" w:eastAsia="仿宋"/>
          <w:b/>
          <w:color w:val="auto"/>
          <w:highlight w:val="none"/>
        </w:rPr>
        <w:t>第2条  服务期限</w:t>
      </w:r>
    </w:p>
    <w:p w14:paraId="06ED3629">
      <w:pPr>
        <w:spacing w:line="360" w:lineRule="auto"/>
        <w:outlineLvl w:val="0"/>
        <w:rPr>
          <w:rFonts w:hint="eastAsia" w:ascii="仿宋" w:hAnsi="仿宋" w:eastAsia="仿宋"/>
          <w:color w:val="auto"/>
          <w:highlight w:val="none"/>
        </w:rPr>
      </w:pPr>
      <w:bookmarkStart w:id="176" w:name="_Toc23715"/>
      <w:r>
        <w:rPr>
          <w:rFonts w:hint="eastAsia" w:ascii="仿宋" w:hAnsi="仿宋" w:eastAsia="仿宋"/>
          <w:color w:val="auto"/>
          <w:highlight w:val="none"/>
        </w:rPr>
        <w:t xml:space="preserve">2-1、本合同签订之日起 </w:t>
      </w:r>
      <w:r>
        <w:rPr>
          <w:rFonts w:hint="eastAsia" w:ascii="仿宋" w:hAnsi="仿宋" w:eastAsia="仿宋"/>
          <w:color w:val="auto"/>
          <w:highlight w:val="none"/>
          <w:lang w:val="en-US" w:eastAsia="zh-CN"/>
        </w:rPr>
        <w:t>10个工作日内完成</w:t>
      </w:r>
      <w:r>
        <w:rPr>
          <w:rFonts w:hint="eastAsia" w:ascii="仿宋" w:hAnsi="仿宋" w:eastAsia="仿宋"/>
          <w:color w:val="auto"/>
          <w:highlight w:val="none"/>
        </w:rPr>
        <w:t>《璧山区全域研学产业</w:t>
      </w:r>
      <w:r>
        <w:rPr>
          <w:rFonts w:hint="eastAsia" w:ascii="仿宋" w:hAnsi="仿宋" w:eastAsia="仿宋"/>
          <w:color w:val="auto"/>
          <w:highlight w:val="none"/>
          <w:lang w:eastAsia="zh-CN"/>
        </w:rPr>
        <w:t>规划</w:t>
      </w:r>
      <w:r>
        <w:rPr>
          <w:rFonts w:hint="eastAsia" w:ascii="仿宋" w:hAnsi="仿宋" w:eastAsia="仿宋"/>
          <w:color w:val="auto"/>
          <w:highlight w:val="none"/>
        </w:rPr>
        <w:t>服务合作建议书》</w:t>
      </w:r>
      <w:r>
        <w:rPr>
          <w:rFonts w:hint="eastAsia" w:ascii="仿宋" w:hAnsi="仿宋" w:eastAsia="仿宋"/>
          <w:color w:val="auto"/>
          <w:highlight w:val="none"/>
          <w:lang w:val="en-US" w:eastAsia="zh-CN"/>
        </w:rPr>
        <w:t>初稿，并在合同签订之日起</w:t>
      </w:r>
      <w:r>
        <w:rPr>
          <w:rFonts w:hint="eastAsia" w:ascii="仿宋" w:hAnsi="仿宋" w:eastAsia="仿宋"/>
          <w:color w:val="auto"/>
          <w:highlight w:val="none"/>
        </w:rPr>
        <w:t>30个工作日</w:t>
      </w:r>
      <w:r>
        <w:rPr>
          <w:rFonts w:hint="eastAsia" w:ascii="仿宋" w:hAnsi="仿宋" w:eastAsia="仿宋"/>
          <w:color w:val="auto"/>
          <w:highlight w:val="none"/>
          <w:lang w:val="en-US" w:eastAsia="zh-CN"/>
        </w:rPr>
        <w:t>内形成定稿、</w:t>
      </w:r>
      <w:r>
        <w:rPr>
          <w:rFonts w:hint="eastAsia" w:ascii="仿宋" w:hAnsi="仿宋" w:eastAsia="仿宋"/>
          <w:color w:val="auto"/>
          <w:highlight w:val="none"/>
        </w:rPr>
        <w:t>完成全部工作内容，若有工作时间变更可经双方协商确定。</w:t>
      </w:r>
      <w:bookmarkEnd w:id="176"/>
      <w:r>
        <w:rPr>
          <w:rFonts w:hint="eastAsia" w:ascii="仿宋" w:hAnsi="仿宋" w:eastAsia="仿宋"/>
          <w:color w:val="auto"/>
          <w:highlight w:val="none"/>
        </w:rPr>
        <w:t xml:space="preserve"> </w:t>
      </w:r>
    </w:p>
    <w:p w14:paraId="692D996C">
      <w:pPr>
        <w:spacing w:line="360" w:lineRule="auto"/>
        <w:rPr>
          <w:rFonts w:hint="eastAsia" w:ascii="仿宋" w:hAnsi="仿宋" w:eastAsia="仿宋"/>
          <w:b/>
          <w:color w:val="auto"/>
          <w:highlight w:val="none"/>
        </w:rPr>
      </w:pPr>
      <w:r>
        <w:rPr>
          <w:rFonts w:hint="eastAsia" w:ascii="仿宋" w:hAnsi="仿宋" w:eastAsia="仿宋"/>
          <w:b/>
          <w:color w:val="auto"/>
          <w:highlight w:val="none"/>
        </w:rPr>
        <w:t>第3条  服务内容</w:t>
      </w:r>
    </w:p>
    <w:p w14:paraId="76AA07F6">
      <w:pPr>
        <w:spacing w:line="360" w:lineRule="auto"/>
        <w:outlineLvl w:val="0"/>
        <w:rPr>
          <w:rFonts w:hint="eastAsia" w:ascii="仿宋" w:hAnsi="仿宋" w:eastAsia="仿宋"/>
          <w:color w:val="auto"/>
          <w:szCs w:val="21"/>
          <w:highlight w:val="none"/>
        </w:rPr>
      </w:pPr>
      <w:bookmarkStart w:id="177" w:name="_Toc30772"/>
      <w:r>
        <w:rPr>
          <w:rFonts w:hint="eastAsia" w:ascii="仿宋" w:hAnsi="仿宋" w:eastAsia="仿宋"/>
          <w:color w:val="auto"/>
          <w:szCs w:val="21"/>
          <w:highlight w:val="none"/>
        </w:rPr>
        <w:t>3-1、委托代理主要事项：</w:t>
      </w:r>
      <w:r>
        <w:rPr>
          <w:rFonts w:hint="eastAsia" w:ascii="仿宋" w:hAnsi="仿宋" w:eastAsia="仿宋"/>
          <w:color w:val="auto"/>
          <w:spacing w:val="20"/>
          <w:szCs w:val="44"/>
          <w:highlight w:val="none"/>
          <w:u w:val="single"/>
        </w:rPr>
        <w:t>璧山区全域研学产业</w:t>
      </w:r>
      <w:r>
        <w:rPr>
          <w:rFonts w:hint="eastAsia" w:ascii="仿宋" w:hAnsi="仿宋" w:eastAsia="仿宋"/>
          <w:color w:val="auto"/>
          <w:szCs w:val="21"/>
          <w:highlight w:val="none"/>
        </w:rPr>
        <w:t>项目</w:t>
      </w:r>
      <w:r>
        <w:rPr>
          <w:rFonts w:hint="eastAsia" w:ascii="仿宋" w:hAnsi="仿宋" w:eastAsia="仿宋"/>
          <w:color w:val="auto"/>
          <w:szCs w:val="21"/>
          <w:highlight w:val="none"/>
          <w:lang w:eastAsia="zh-CN"/>
        </w:rPr>
        <w:t>规划</w:t>
      </w:r>
      <w:r>
        <w:rPr>
          <w:rFonts w:hint="eastAsia" w:ascii="仿宋" w:hAnsi="仿宋" w:eastAsia="仿宋"/>
          <w:color w:val="auto"/>
          <w:szCs w:val="21"/>
          <w:highlight w:val="none"/>
        </w:rPr>
        <w:t>服务并按合同要求提供相应方案。</w:t>
      </w:r>
      <w:bookmarkEnd w:id="177"/>
    </w:p>
    <w:p w14:paraId="06F73596">
      <w:pPr>
        <w:spacing w:line="360" w:lineRule="auto"/>
        <w:outlineLvl w:val="0"/>
        <w:rPr>
          <w:rFonts w:hint="default" w:ascii="仿宋" w:hAnsi="仿宋" w:eastAsia="仿宋"/>
          <w:color w:val="auto"/>
          <w:highlight w:val="none"/>
          <w:lang w:val="en-US" w:eastAsia="zh-CN"/>
        </w:rPr>
      </w:pPr>
      <w:bookmarkStart w:id="178" w:name="_Toc17665"/>
      <w:r>
        <w:rPr>
          <w:rFonts w:hint="eastAsia" w:ascii="仿宋" w:hAnsi="仿宋" w:eastAsia="仿宋"/>
          <w:color w:val="auto"/>
          <w:highlight w:val="none"/>
        </w:rPr>
        <w:t>3-2、</w:t>
      </w:r>
      <w:r>
        <w:rPr>
          <w:rFonts w:hint="eastAsia" w:ascii="仿宋" w:hAnsi="仿宋" w:eastAsia="仿宋"/>
          <w:color w:val="auto"/>
          <w:highlight w:val="none"/>
          <w:lang w:val="en-US" w:eastAsia="zh-CN"/>
        </w:rPr>
        <w:t>针对本案具体规划服务内容包含不限于详见《璧山区全域研学产业策划规划服务合作建议书》，超出合作建议书内容部分，以甲乙双方商议确认为准。。</w:t>
      </w:r>
      <w:bookmarkEnd w:id="178"/>
    </w:p>
    <w:p w14:paraId="40338807">
      <w:pPr>
        <w:spacing w:line="360" w:lineRule="auto"/>
        <w:rPr>
          <w:rFonts w:hint="eastAsia" w:ascii="仿宋" w:hAnsi="仿宋" w:eastAsia="仿宋"/>
          <w:b/>
          <w:color w:val="auto"/>
          <w:highlight w:val="none"/>
        </w:rPr>
      </w:pPr>
      <w:r>
        <w:rPr>
          <w:rFonts w:hint="eastAsia" w:ascii="仿宋" w:hAnsi="仿宋" w:eastAsia="仿宋"/>
          <w:b/>
          <w:color w:val="auto"/>
          <w:highlight w:val="none"/>
        </w:rPr>
        <w:t>第4条  服务费用</w:t>
      </w:r>
    </w:p>
    <w:p w14:paraId="67BEB7E4">
      <w:pPr>
        <w:spacing w:line="360" w:lineRule="auto"/>
        <w:ind w:firstLine="560" w:firstLineChars="200"/>
        <w:rPr>
          <w:rFonts w:hint="eastAsia" w:ascii="仿宋" w:hAnsi="仿宋" w:eastAsia="仿宋"/>
          <w:color w:val="auto"/>
          <w:highlight w:val="none"/>
        </w:rPr>
      </w:pPr>
      <w:r>
        <w:rPr>
          <w:rFonts w:hint="eastAsia" w:ascii="仿宋" w:hAnsi="仿宋" w:eastAsia="仿宋"/>
          <w:color w:val="auto"/>
          <w:highlight w:val="none"/>
        </w:rPr>
        <w:t>乙方收取</w:t>
      </w:r>
      <w:r>
        <w:rPr>
          <w:rFonts w:hint="eastAsia" w:ascii="仿宋" w:hAnsi="仿宋" w:eastAsia="仿宋"/>
          <w:color w:val="auto"/>
          <w:highlight w:val="none"/>
          <w:lang w:eastAsia="zh-CN"/>
        </w:rPr>
        <w:t>规划</w:t>
      </w:r>
      <w:r>
        <w:rPr>
          <w:rFonts w:hint="eastAsia" w:ascii="仿宋" w:hAnsi="仿宋" w:eastAsia="仿宋"/>
          <w:color w:val="auto"/>
          <w:highlight w:val="none"/>
        </w:rPr>
        <w:t>的服务费用共计人民币：</w:t>
      </w:r>
      <w:r>
        <w:rPr>
          <w:rFonts w:hint="eastAsia" w:ascii="仿宋" w:hAnsi="仿宋" w:eastAsia="仿宋"/>
          <w:b/>
          <w:color w:val="auto"/>
          <w:highlight w:val="none"/>
          <w:u w:val="single"/>
          <w:lang w:val="en-US" w:eastAsia="zh-CN"/>
        </w:rPr>
        <w:t xml:space="preserve">   </w:t>
      </w:r>
      <w:r>
        <w:rPr>
          <w:rFonts w:hint="eastAsia" w:ascii="仿宋" w:hAnsi="仿宋" w:eastAsia="仿宋"/>
          <w:b/>
          <w:color w:val="auto"/>
          <w:highlight w:val="none"/>
          <w:u w:val="single"/>
        </w:rPr>
        <w:t>元 （大写：</w:t>
      </w:r>
      <w:r>
        <w:rPr>
          <w:rFonts w:hint="eastAsia" w:ascii="仿宋" w:hAnsi="仿宋" w:eastAsia="仿宋"/>
          <w:b/>
          <w:color w:val="auto"/>
          <w:highlight w:val="none"/>
          <w:u w:val="single"/>
          <w:lang w:val="en-US" w:eastAsia="zh-CN"/>
        </w:rPr>
        <w:t xml:space="preserve"> </w:t>
      </w:r>
      <w:r>
        <w:rPr>
          <w:rFonts w:hint="eastAsia" w:ascii="仿宋" w:hAnsi="仿宋" w:eastAsia="仿宋"/>
          <w:b/>
          <w:color w:val="auto"/>
          <w:highlight w:val="none"/>
          <w:u w:val="single"/>
        </w:rPr>
        <w:t>）</w:t>
      </w:r>
      <w:r>
        <w:rPr>
          <w:rFonts w:hint="eastAsia" w:ascii="仿宋" w:hAnsi="仿宋" w:eastAsia="仿宋"/>
          <w:b/>
          <w:color w:val="auto"/>
          <w:highlight w:val="none"/>
          <w:u w:val="single"/>
          <w:lang w:eastAsia="zh-CN"/>
        </w:rPr>
        <w:t>，</w:t>
      </w:r>
    </w:p>
    <w:p w14:paraId="2790C8EF">
      <w:pPr>
        <w:spacing w:line="360" w:lineRule="auto"/>
        <w:ind w:firstLine="562" w:firstLineChars="200"/>
        <w:rPr>
          <w:rFonts w:hint="eastAsia" w:ascii="仿宋" w:hAnsi="仿宋" w:eastAsia="仿宋"/>
          <w:b/>
          <w:color w:val="auto"/>
          <w:highlight w:val="none"/>
        </w:rPr>
      </w:pPr>
      <w:r>
        <w:rPr>
          <w:rFonts w:hint="eastAsia" w:ascii="仿宋" w:hAnsi="仿宋" w:eastAsia="仿宋"/>
          <w:b/>
          <w:color w:val="auto"/>
          <w:highlight w:val="none"/>
        </w:rPr>
        <w:t>具体支付时间及支付方式为：</w:t>
      </w:r>
    </w:p>
    <w:p w14:paraId="31825220">
      <w:pPr>
        <w:spacing w:line="360" w:lineRule="auto"/>
        <w:outlineLvl w:val="0"/>
        <w:rPr>
          <w:rFonts w:hint="eastAsia" w:ascii="仿宋" w:hAnsi="仿宋" w:eastAsia="仿宋"/>
          <w:color w:val="auto"/>
          <w:highlight w:val="none"/>
        </w:rPr>
      </w:pPr>
      <w:bookmarkStart w:id="179" w:name="_Toc18062"/>
      <w:r>
        <w:rPr>
          <w:rFonts w:hint="eastAsia" w:ascii="仿宋" w:hAnsi="仿宋" w:eastAsia="仿宋"/>
          <w:color w:val="auto"/>
          <w:highlight w:val="none"/>
        </w:rPr>
        <w:t>4-1、乙方完成《璧山区全域研学产业</w:t>
      </w:r>
      <w:r>
        <w:rPr>
          <w:rFonts w:hint="eastAsia" w:ascii="仿宋" w:hAnsi="仿宋" w:eastAsia="仿宋"/>
          <w:color w:val="auto"/>
          <w:highlight w:val="none"/>
          <w:lang w:eastAsia="zh-CN"/>
        </w:rPr>
        <w:t>规划</w:t>
      </w:r>
      <w:r>
        <w:rPr>
          <w:rFonts w:hint="eastAsia" w:ascii="仿宋" w:hAnsi="仿宋" w:eastAsia="仿宋"/>
          <w:color w:val="auto"/>
          <w:highlight w:val="none"/>
        </w:rPr>
        <w:t>服务合作建议书》</w:t>
      </w:r>
      <w:bookmarkEnd w:id="179"/>
    </w:p>
    <w:p w14:paraId="7E75B696">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初稿第一次汇报完成后并经甲方验收通过后10个工作日内，甲方向乙方支付委托服务费总额的50%即</w:t>
      </w:r>
      <w:r>
        <w:rPr>
          <w:rFonts w:hint="eastAsia" w:ascii="仿宋" w:hAnsi="仿宋" w:eastAsia="仿宋"/>
          <w:b/>
          <w:bCs/>
          <w:color w:val="auto"/>
          <w:highlight w:val="none"/>
        </w:rPr>
        <w:t>人民币：</w:t>
      </w:r>
      <w:r>
        <w:rPr>
          <w:rFonts w:hint="eastAsia" w:ascii="仿宋" w:hAnsi="仿宋" w:eastAsia="仿宋"/>
          <w:b/>
          <w:bCs/>
          <w:color w:val="auto"/>
          <w:highlight w:val="none"/>
          <w:lang w:val="en-US" w:eastAsia="zh-CN"/>
        </w:rPr>
        <w:t xml:space="preserve">  </w:t>
      </w:r>
      <w:r>
        <w:rPr>
          <w:rFonts w:hint="eastAsia" w:ascii="仿宋" w:hAnsi="仿宋" w:eastAsia="仿宋"/>
          <w:b/>
          <w:bCs/>
          <w:color w:val="auto"/>
          <w:highlight w:val="none"/>
        </w:rPr>
        <w:t>元（大写：</w:t>
      </w:r>
      <w:r>
        <w:rPr>
          <w:rFonts w:hint="eastAsia" w:ascii="仿宋" w:hAnsi="仿宋" w:eastAsia="仿宋"/>
          <w:b/>
          <w:bCs/>
          <w:color w:val="auto"/>
          <w:highlight w:val="none"/>
          <w:lang w:val="en-US" w:eastAsia="zh-CN"/>
        </w:rPr>
        <w:t xml:space="preserve">  </w:t>
      </w:r>
      <w:r>
        <w:rPr>
          <w:rFonts w:hint="eastAsia" w:ascii="仿宋" w:hAnsi="仿宋" w:eastAsia="仿宋"/>
          <w:b/>
          <w:bCs/>
          <w:color w:val="auto"/>
          <w:highlight w:val="none"/>
        </w:rPr>
        <w:t>）</w:t>
      </w:r>
      <w:r>
        <w:rPr>
          <w:rFonts w:hint="eastAsia" w:ascii="仿宋" w:hAnsi="仿宋" w:eastAsia="仿宋"/>
          <w:color w:val="auto"/>
          <w:highlight w:val="none"/>
        </w:rPr>
        <w:t>。</w:t>
      </w:r>
    </w:p>
    <w:p w14:paraId="08322248">
      <w:pPr>
        <w:spacing w:line="360" w:lineRule="auto"/>
        <w:ind w:firstLine="560" w:firstLineChars="200"/>
        <w:jc w:val="left"/>
        <w:rPr>
          <w:rFonts w:hint="eastAsia" w:ascii="仿宋" w:hAnsi="仿宋" w:eastAsia="仿宋"/>
          <w:b/>
          <w:color w:val="auto"/>
          <w:highlight w:val="none"/>
          <w:u w:val="single"/>
        </w:rPr>
      </w:pPr>
      <w:r>
        <w:rPr>
          <w:rFonts w:hint="eastAsia" w:ascii="仿宋" w:hAnsi="仿宋" w:eastAsia="仿宋"/>
          <w:color w:val="auto"/>
          <w:highlight w:val="none"/>
        </w:rPr>
        <w:t>4-2、乙方完成所有工作并提交所有成果经甲方验收通过后10个工作日内，甲方向乙方支付委托服务费总额的50%即</w:t>
      </w:r>
      <w:r>
        <w:rPr>
          <w:rFonts w:hint="eastAsia" w:ascii="仿宋" w:hAnsi="仿宋" w:eastAsia="仿宋"/>
          <w:b/>
          <w:color w:val="auto"/>
          <w:highlight w:val="none"/>
          <w:u w:val="single"/>
        </w:rPr>
        <w:t>人民币：</w:t>
      </w:r>
      <w:r>
        <w:rPr>
          <w:rFonts w:hint="eastAsia" w:ascii="仿宋" w:hAnsi="仿宋" w:eastAsia="仿宋"/>
          <w:b/>
          <w:bCs/>
          <w:color w:val="auto"/>
          <w:highlight w:val="none"/>
          <w:lang w:val="en-US" w:eastAsia="zh-CN"/>
        </w:rPr>
        <w:t xml:space="preserve"> </w:t>
      </w:r>
      <w:r>
        <w:rPr>
          <w:rFonts w:hint="eastAsia" w:ascii="仿宋" w:hAnsi="仿宋" w:eastAsia="仿宋"/>
          <w:b/>
          <w:bCs/>
          <w:color w:val="auto"/>
          <w:highlight w:val="none"/>
        </w:rPr>
        <w:t>元（大写：</w:t>
      </w:r>
      <w:r>
        <w:rPr>
          <w:rFonts w:hint="eastAsia" w:ascii="仿宋" w:hAnsi="仿宋" w:eastAsia="仿宋"/>
          <w:b/>
          <w:bCs/>
          <w:color w:val="auto"/>
          <w:highlight w:val="none"/>
          <w:lang w:val="en-US" w:eastAsia="zh-CN"/>
        </w:rPr>
        <w:t xml:space="preserve">  </w:t>
      </w:r>
      <w:r>
        <w:rPr>
          <w:rFonts w:hint="eastAsia" w:ascii="仿宋" w:hAnsi="仿宋" w:eastAsia="仿宋"/>
          <w:b/>
          <w:bCs/>
          <w:color w:val="auto"/>
          <w:highlight w:val="none"/>
        </w:rPr>
        <w:t>）</w:t>
      </w:r>
      <w:r>
        <w:rPr>
          <w:rFonts w:hint="eastAsia" w:ascii="仿宋" w:hAnsi="仿宋" w:eastAsia="仿宋"/>
          <w:b/>
          <w:color w:val="auto"/>
          <w:highlight w:val="none"/>
          <w:u w:val="single"/>
        </w:rPr>
        <w:t>。</w:t>
      </w:r>
    </w:p>
    <w:p w14:paraId="2E38F673">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4-3、乙方提交的工作成果形式为PDF电子文件1份、打印文本2份。</w:t>
      </w:r>
    </w:p>
    <w:p w14:paraId="591639F2">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4-4、甲方每次付款前，乙方应向甲方提供增值税</w:t>
      </w:r>
      <w:r>
        <w:rPr>
          <w:rFonts w:hint="eastAsia" w:ascii="仿宋" w:hAnsi="仿宋" w:eastAsia="仿宋"/>
          <w:color w:val="auto"/>
          <w:highlight w:val="none"/>
          <w:lang w:val="en-US" w:eastAsia="zh-CN"/>
        </w:rPr>
        <w:t>专用</w:t>
      </w:r>
      <w:r>
        <w:rPr>
          <w:rFonts w:hint="eastAsia" w:ascii="仿宋" w:hAnsi="仿宋" w:eastAsia="仿宋"/>
          <w:color w:val="auto"/>
          <w:highlight w:val="none"/>
        </w:rPr>
        <w:t>发票，否则甲方有权暂缓付款。</w:t>
      </w:r>
    </w:p>
    <w:p w14:paraId="6A181961">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甲方开票信息</w:t>
      </w:r>
    </w:p>
    <w:p w14:paraId="3F53DB4D">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公司名称：</w:t>
      </w:r>
    </w:p>
    <w:p w14:paraId="7B6F55F5">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税号：</w:t>
      </w:r>
    </w:p>
    <w:p w14:paraId="4D32B641">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开户行、账号：</w:t>
      </w:r>
    </w:p>
    <w:p w14:paraId="38FE1DB5">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地址、电话：</w:t>
      </w:r>
    </w:p>
    <w:p w14:paraId="3A2F94F6">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发票类型：增值税</w:t>
      </w:r>
      <w:r>
        <w:rPr>
          <w:rFonts w:hint="eastAsia" w:ascii="仿宋" w:hAnsi="仿宋" w:eastAsia="仿宋"/>
          <w:color w:val="auto"/>
          <w:highlight w:val="none"/>
          <w:lang w:val="en-US" w:eastAsia="zh-CN"/>
        </w:rPr>
        <w:t>专用</w:t>
      </w:r>
      <w:r>
        <w:rPr>
          <w:rFonts w:hint="eastAsia" w:ascii="仿宋" w:hAnsi="仿宋" w:eastAsia="仿宋"/>
          <w:color w:val="auto"/>
          <w:highlight w:val="none"/>
        </w:rPr>
        <w:t>发票</w:t>
      </w:r>
    </w:p>
    <w:p w14:paraId="3F125DC0">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开票名目：</w:t>
      </w:r>
      <w:r>
        <w:rPr>
          <w:rFonts w:hint="eastAsia" w:ascii="仿宋" w:hAnsi="仿宋" w:eastAsia="仿宋"/>
          <w:color w:val="auto"/>
          <w:highlight w:val="none"/>
          <w:lang w:eastAsia="zh-CN"/>
        </w:rPr>
        <w:t>规划</w:t>
      </w:r>
      <w:r>
        <w:rPr>
          <w:rFonts w:hint="eastAsia" w:ascii="仿宋" w:hAnsi="仿宋" w:eastAsia="仿宋"/>
          <w:color w:val="auto"/>
          <w:highlight w:val="none"/>
        </w:rPr>
        <w:t>服务费</w:t>
      </w:r>
    </w:p>
    <w:p w14:paraId="44E9395D">
      <w:pPr>
        <w:spacing w:line="360" w:lineRule="auto"/>
        <w:ind w:firstLine="560" w:firstLineChars="200"/>
        <w:jc w:val="left"/>
        <w:rPr>
          <w:rFonts w:ascii="仿宋" w:hAnsi="仿宋" w:eastAsia="仿宋"/>
          <w:color w:val="auto"/>
          <w:highlight w:val="none"/>
        </w:rPr>
      </w:pPr>
    </w:p>
    <w:p w14:paraId="61DB703F">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乙方收款信息</w:t>
      </w:r>
    </w:p>
    <w:p w14:paraId="2084F777">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 xml:space="preserve">账户名称： </w:t>
      </w:r>
    </w:p>
    <w:p w14:paraId="00EAB57E">
      <w:pPr>
        <w:spacing w:line="360" w:lineRule="auto"/>
        <w:ind w:firstLine="560" w:firstLineChars="200"/>
        <w:jc w:val="left"/>
        <w:rPr>
          <w:rFonts w:ascii="仿宋" w:hAnsi="仿宋" w:eastAsia="仿宋"/>
          <w:color w:val="auto"/>
          <w:highlight w:val="none"/>
        </w:rPr>
      </w:pPr>
      <w:r>
        <w:rPr>
          <w:rFonts w:hint="eastAsia" w:ascii="仿宋" w:hAnsi="仿宋" w:eastAsia="仿宋"/>
          <w:color w:val="auto"/>
          <w:highlight w:val="none"/>
        </w:rPr>
        <w:t>开户行：</w:t>
      </w:r>
    </w:p>
    <w:p w14:paraId="21601BB6">
      <w:pPr>
        <w:spacing w:line="360" w:lineRule="auto"/>
        <w:ind w:firstLine="560" w:firstLineChars="200"/>
        <w:jc w:val="left"/>
        <w:rPr>
          <w:rFonts w:hint="eastAsia" w:ascii="仿宋" w:hAnsi="仿宋" w:eastAsia="仿宋"/>
          <w:color w:val="auto"/>
          <w:highlight w:val="none"/>
        </w:rPr>
      </w:pPr>
      <w:r>
        <w:rPr>
          <w:rFonts w:hint="eastAsia" w:ascii="仿宋" w:hAnsi="仿宋" w:eastAsia="仿宋"/>
          <w:color w:val="auto"/>
          <w:highlight w:val="none"/>
        </w:rPr>
        <w:t>账号：</w:t>
      </w:r>
    </w:p>
    <w:p w14:paraId="135AA2FA">
      <w:pPr>
        <w:spacing w:line="360" w:lineRule="auto"/>
        <w:rPr>
          <w:rFonts w:hint="eastAsia" w:ascii="仿宋" w:hAnsi="仿宋" w:eastAsia="仿宋"/>
          <w:b/>
          <w:color w:val="auto"/>
          <w:highlight w:val="none"/>
        </w:rPr>
      </w:pPr>
      <w:r>
        <w:rPr>
          <w:rFonts w:hint="eastAsia" w:ascii="仿宋" w:hAnsi="仿宋" w:eastAsia="仿宋"/>
          <w:b/>
          <w:color w:val="auto"/>
          <w:highlight w:val="none"/>
        </w:rPr>
        <w:t>第5条  甲、乙双方权利</w:t>
      </w:r>
    </w:p>
    <w:p w14:paraId="61449A37">
      <w:pPr>
        <w:spacing w:line="360" w:lineRule="auto"/>
        <w:rPr>
          <w:rFonts w:hint="eastAsia" w:ascii="仿宋" w:hAnsi="仿宋" w:eastAsia="仿宋"/>
          <w:color w:val="auto"/>
          <w:highlight w:val="none"/>
        </w:rPr>
      </w:pPr>
      <w:r>
        <w:rPr>
          <w:rFonts w:hint="eastAsia" w:ascii="仿宋" w:hAnsi="仿宋" w:eastAsia="仿宋"/>
          <w:color w:val="auto"/>
          <w:highlight w:val="none"/>
        </w:rPr>
        <w:t>5-1、甲方权利</w:t>
      </w:r>
    </w:p>
    <w:p w14:paraId="78172128">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5-1-1、甲方负责对项目所涉及的资料进行整理、汇总、分析，甲方须按双方确定的工作内容及时间向乙方提供其所掌握的此项目所必要的文字/图片/影像资料及信息。</w:t>
      </w:r>
    </w:p>
    <w:p w14:paraId="1B74C964">
      <w:pPr>
        <w:adjustRightInd w:val="0"/>
        <w:snapToGrid w:val="0"/>
        <w:spacing w:before="156" w:beforeLines="50" w:line="360" w:lineRule="auto"/>
        <w:ind w:left="420" w:hanging="560" w:hangingChars="200"/>
        <w:rPr>
          <w:rFonts w:ascii="方正细圆简体" w:hAnsi="宋体" w:eastAsia="方正细圆简体" w:cs="宋体"/>
          <w:bCs/>
          <w:color w:val="auto"/>
          <w:highlight w:val="none"/>
        </w:rPr>
      </w:pPr>
      <w:r>
        <w:rPr>
          <w:rFonts w:hint="eastAsia" w:ascii="仿宋" w:hAnsi="仿宋" w:eastAsia="仿宋"/>
          <w:color w:val="auto"/>
          <w:highlight w:val="none"/>
        </w:rPr>
        <w:t>5-1-2、甲方应及时审定、整合乙方提交的各类</w:t>
      </w:r>
      <w:r>
        <w:rPr>
          <w:rFonts w:hint="eastAsia" w:ascii="仿宋" w:hAnsi="仿宋" w:eastAsia="仿宋"/>
          <w:color w:val="auto"/>
          <w:highlight w:val="none"/>
          <w:lang w:eastAsia="zh-CN"/>
        </w:rPr>
        <w:t>规划</w:t>
      </w:r>
      <w:r>
        <w:rPr>
          <w:rFonts w:hint="eastAsia" w:ascii="仿宋" w:hAnsi="仿宋" w:eastAsia="仿宋"/>
          <w:color w:val="auto"/>
          <w:highlight w:val="none"/>
        </w:rPr>
        <w:t>文案、图片等，</w:t>
      </w:r>
      <w:r>
        <w:rPr>
          <w:rFonts w:ascii="仿宋" w:hAnsi="仿宋" w:eastAsia="仿宋"/>
          <w:color w:val="auto"/>
          <w:highlight w:val="none"/>
        </w:rPr>
        <w:t>保证资料的</w:t>
      </w:r>
      <w:r>
        <w:rPr>
          <w:rFonts w:hint="eastAsia" w:ascii="仿宋" w:hAnsi="仿宋" w:eastAsia="仿宋"/>
          <w:color w:val="auto"/>
          <w:highlight w:val="none"/>
        </w:rPr>
        <w:t>客观、真实</w:t>
      </w:r>
      <w:r>
        <w:rPr>
          <w:rFonts w:ascii="仿宋" w:hAnsi="仿宋" w:eastAsia="仿宋"/>
          <w:color w:val="auto"/>
          <w:highlight w:val="none"/>
        </w:rPr>
        <w:t>性，</w:t>
      </w:r>
      <w:r>
        <w:rPr>
          <w:rFonts w:hint="eastAsia" w:ascii="仿宋" w:hAnsi="仿宋" w:eastAsia="仿宋"/>
          <w:color w:val="auto"/>
          <w:highlight w:val="none"/>
        </w:rPr>
        <w:t>并对甲方已经使用或已经认可的工作成果及时进行工作确认。需甲方确认的一切事项均以甲方工作确认人签字为准。若甲方工作确认人发生变化，甲方另行书面通知乙方，以甲方签字盖章为准。甲方工作确认人以电子邮件、微信、QQ、短信等电子通讯工具所做的回复亦视同为签字确认。</w:t>
      </w:r>
    </w:p>
    <w:p w14:paraId="4CBD36A4">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5-1-3、甲方须及时将甲方工作进展情况等相关信息提供给乙方，以方便策略的调整。</w:t>
      </w:r>
    </w:p>
    <w:p w14:paraId="5E08E417">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5-1-4、方案在不推翻甲乙双方已确定方案的原则上，甲方有权根据工作需要提出调整，乙方应配合调整，原则上不超过</w:t>
      </w:r>
      <w:r>
        <w:rPr>
          <w:rFonts w:hint="eastAsia" w:ascii="仿宋" w:hAnsi="仿宋" w:eastAsia="仿宋"/>
          <w:color w:val="auto"/>
          <w:highlight w:val="none"/>
          <w:lang w:val="en-US" w:eastAsia="zh-CN"/>
        </w:rPr>
        <w:t>7</w:t>
      </w:r>
      <w:r>
        <w:rPr>
          <w:rFonts w:hint="eastAsia" w:ascii="仿宋" w:hAnsi="仿宋" w:eastAsia="仿宋"/>
          <w:color w:val="auto"/>
          <w:highlight w:val="none"/>
        </w:rPr>
        <w:t>次，但尽可能达成甲方的要求</w:t>
      </w:r>
      <w:r>
        <w:rPr>
          <w:rFonts w:ascii="仿宋" w:hAnsi="仿宋" w:eastAsia="仿宋"/>
          <w:color w:val="auto"/>
          <w:highlight w:val="none"/>
        </w:rPr>
        <w:t>。</w:t>
      </w:r>
    </w:p>
    <w:p w14:paraId="581BBEC2">
      <w:pPr>
        <w:adjustRightInd w:val="0"/>
        <w:snapToGrid w:val="0"/>
        <w:spacing w:before="156" w:beforeLines="50" w:line="360" w:lineRule="auto"/>
        <w:ind w:left="420" w:hanging="560" w:hangingChars="200"/>
        <w:rPr>
          <w:rFonts w:ascii="仿宋" w:hAnsi="仿宋" w:eastAsia="仿宋"/>
          <w:color w:val="auto"/>
          <w:highlight w:val="none"/>
        </w:rPr>
      </w:pPr>
      <w:r>
        <w:rPr>
          <w:rFonts w:hint="eastAsia" w:ascii="仿宋" w:hAnsi="仿宋" w:eastAsia="仿宋"/>
          <w:color w:val="auto"/>
          <w:highlight w:val="none"/>
        </w:rPr>
        <w:t>5-1-5、在双方充分沟通、认可的基础上，取得乙方完成的本项目</w:t>
      </w:r>
      <w:r>
        <w:rPr>
          <w:rFonts w:hint="eastAsia" w:ascii="仿宋" w:hAnsi="仿宋" w:eastAsia="仿宋"/>
          <w:color w:val="auto"/>
          <w:highlight w:val="none"/>
          <w:lang w:eastAsia="zh-CN"/>
        </w:rPr>
        <w:t>规划</w:t>
      </w:r>
      <w:r>
        <w:rPr>
          <w:rFonts w:hint="eastAsia" w:ascii="仿宋" w:hAnsi="仿宋" w:eastAsia="仿宋"/>
          <w:color w:val="auto"/>
          <w:highlight w:val="none"/>
        </w:rPr>
        <w:t>相关成果。甲方</w:t>
      </w:r>
      <w:r>
        <w:rPr>
          <w:rFonts w:hint="eastAsia" w:ascii="仿宋" w:hAnsi="仿宋" w:eastAsia="仿宋"/>
          <w:color w:val="auto"/>
          <w:highlight w:val="none"/>
          <w:lang w:val="en-US" w:eastAsia="zh-CN"/>
        </w:rPr>
        <w:t>付清本合同约定费用后，</w:t>
      </w:r>
      <w:r>
        <w:rPr>
          <w:rFonts w:hint="eastAsia" w:ascii="仿宋" w:hAnsi="仿宋" w:eastAsia="仿宋"/>
          <w:color w:val="auto"/>
          <w:highlight w:val="none"/>
        </w:rPr>
        <w:t>享有乙方工作成果的著作权。</w:t>
      </w:r>
    </w:p>
    <w:p w14:paraId="3C24B4C7">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5-1-6、甲方要求乙方集中汇报次数不超过</w:t>
      </w:r>
      <w:r>
        <w:rPr>
          <w:rFonts w:hint="eastAsia" w:ascii="仿宋" w:hAnsi="仿宋" w:eastAsia="仿宋"/>
          <w:color w:val="auto"/>
          <w:highlight w:val="none"/>
          <w:lang w:val="en-US" w:eastAsia="zh-CN"/>
        </w:rPr>
        <w:t>7</w:t>
      </w:r>
      <w:r>
        <w:rPr>
          <w:rFonts w:hint="eastAsia" w:ascii="仿宋" w:hAnsi="仿宋" w:eastAsia="仿宋"/>
          <w:color w:val="auto"/>
          <w:highlight w:val="none"/>
        </w:rPr>
        <w:t>次，如要求乙方去往重庆市主城区及璧山区以外的区域进行方案汇报，乙方应当全力配合，所产生的合理费用全部由甲方承担。</w:t>
      </w:r>
    </w:p>
    <w:p w14:paraId="63A09614">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5-1-7、甲方不得要求乙方使用未有正规版权的创作素材，以及违反广告法规定的图形、文字使用要求等，所涉及的第三方素材甲方需经过正规渠道进行购买。</w:t>
      </w:r>
    </w:p>
    <w:p w14:paraId="077C9667">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5-1-8、甲方为本合同履行过程中获悉的乙方商业机密严格保密。</w:t>
      </w:r>
    </w:p>
    <w:p w14:paraId="3B21048C">
      <w:pPr>
        <w:adjustRightInd w:val="0"/>
        <w:snapToGrid w:val="0"/>
        <w:spacing w:before="156" w:beforeLines="50" w:line="360" w:lineRule="auto"/>
        <w:ind w:left="420" w:hanging="560" w:hangingChars="200"/>
        <w:rPr>
          <w:rFonts w:hint="default" w:ascii="仿宋" w:hAnsi="仿宋" w:eastAsia="仿宋"/>
          <w:color w:val="auto"/>
          <w:highlight w:val="none"/>
          <w:lang w:val="en-US" w:eastAsia="zh-CN"/>
        </w:rPr>
      </w:pPr>
      <w:r>
        <w:rPr>
          <w:rFonts w:hint="eastAsia" w:ascii="仿宋" w:hAnsi="仿宋" w:eastAsia="仿宋"/>
          <w:color w:val="auto"/>
          <w:highlight w:val="none"/>
        </w:rPr>
        <w:t>5-1-9、甲方应尊重乙方的专业经验和知识，并应考虑乙方工作周期等因素，在乙方提交有关文件后</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甲方应及时</w:t>
      </w:r>
      <w:r>
        <w:rPr>
          <w:rFonts w:hint="eastAsia" w:ascii="仿宋" w:hAnsi="仿宋" w:eastAsia="仿宋"/>
          <w:color w:val="auto"/>
          <w:highlight w:val="none"/>
        </w:rPr>
        <w:t>提出，以便乙方有足够时间保质保量完成各项业务。</w:t>
      </w:r>
      <w:r>
        <w:rPr>
          <w:rFonts w:hint="eastAsia" w:ascii="仿宋" w:hAnsi="仿宋" w:eastAsia="仿宋"/>
          <w:color w:val="auto"/>
          <w:highlight w:val="none"/>
          <w:lang w:val="en-US" w:eastAsia="zh-CN"/>
        </w:rPr>
        <w:t>甲方应在乙方提交设计成果的48小时内，核实并验收，逾期未验收或提出异议的视为验收合格。</w:t>
      </w:r>
    </w:p>
    <w:p w14:paraId="4498F429">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5-1-10、按合同约定向乙方支付相应的合同款项。</w:t>
      </w:r>
    </w:p>
    <w:p w14:paraId="698ED1E6">
      <w:pPr>
        <w:adjustRightInd w:val="0"/>
        <w:snapToGrid w:val="0"/>
        <w:spacing w:before="156" w:beforeLines="50" w:line="360" w:lineRule="auto"/>
        <w:ind w:left="420" w:hanging="560" w:hangingChars="200"/>
        <w:rPr>
          <w:rFonts w:hint="eastAsia" w:ascii="仿宋" w:hAnsi="仿宋" w:eastAsia="仿宋"/>
          <w:color w:val="auto"/>
          <w:highlight w:val="none"/>
        </w:rPr>
      </w:pPr>
      <w:r>
        <w:rPr>
          <w:rFonts w:hint="eastAsia" w:ascii="仿宋" w:hAnsi="仿宋" w:eastAsia="仿宋"/>
          <w:color w:val="auto"/>
          <w:highlight w:val="none"/>
        </w:rPr>
        <w:t>5-1-11、指定</w:t>
      </w:r>
      <w:r>
        <w:rPr>
          <w:rFonts w:hint="eastAsia" w:ascii="仿宋" w:hAnsi="仿宋" w:eastAsia="仿宋"/>
          <w:color w:val="auto"/>
          <w:highlight w:val="none"/>
          <w:u w:val="single"/>
        </w:rPr>
        <w:t xml:space="preserve">    </w:t>
      </w:r>
      <w:r>
        <w:rPr>
          <w:rFonts w:hint="eastAsia" w:ascii="仿宋" w:hAnsi="仿宋" w:eastAsia="仿宋"/>
          <w:color w:val="auto"/>
          <w:highlight w:val="none"/>
        </w:rPr>
        <w:t>为项目对接负责人（工作确认人），负责合作期间一切文件签署。</w:t>
      </w:r>
    </w:p>
    <w:p w14:paraId="3A8CFF8A">
      <w:pPr>
        <w:spacing w:line="360" w:lineRule="auto"/>
        <w:outlineLvl w:val="0"/>
        <w:rPr>
          <w:rFonts w:hint="eastAsia" w:ascii="仿宋" w:hAnsi="仿宋" w:eastAsia="仿宋"/>
          <w:color w:val="auto"/>
          <w:highlight w:val="none"/>
        </w:rPr>
      </w:pPr>
      <w:bookmarkStart w:id="180" w:name="_Toc30396"/>
      <w:r>
        <w:rPr>
          <w:rFonts w:hint="eastAsia" w:ascii="仿宋" w:hAnsi="仿宋" w:eastAsia="仿宋"/>
          <w:color w:val="auto"/>
          <w:highlight w:val="none"/>
        </w:rPr>
        <w:t>5-2、乙方权利</w:t>
      </w:r>
      <w:bookmarkEnd w:id="180"/>
    </w:p>
    <w:p w14:paraId="7492176B">
      <w:pPr>
        <w:spacing w:line="360" w:lineRule="auto"/>
        <w:ind w:firstLine="560" w:firstLineChars="200"/>
        <w:jc w:val="left"/>
        <w:rPr>
          <w:rFonts w:hint="eastAsia" w:ascii="仿宋" w:hAnsi="仿宋" w:eastAsia="仿宋"/>
          <w:color w:val="auto"/>
          <w:szCs w:val="21"/>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1、乙方有权要求甲方按时支付合同约定的服务费用。</w:t>
      </w:r>
    </w:p>
    <w:p w14:paraId="52D189D9">
      <w:pPr>
        <w:spacing w:line="360" w:lineRule="auto"/>
        <w:ind w:firstLine="560" w:firstLineChars="200"/>
        <w:jc w:val="left"/>
        <w:rPr>
          <w:rFonts w:hint="eastAsia" w:ascii="仿宋" w:hAnsi="仿宋" w:eastAsia="仿宋"/>
          <w:color w:val="auto"/>
          <w:szCs w:val="21"/>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2、乙方有权要求甲方按合同约定提供全面、真实的相关资料。</w:t>
      </w:r>
    </w:p>
    <w:p w14:paraId="25C3E705">
      <w:pPr>
        <w:spacing w:line="360" w:lineRule="auto"/>
        <w:ind w:firstLine="560" w:firstLineChars="200"/>
        <w:jc w:val="left"/>
        <w:rPr>
          <w:rFonts w:hint="eastAsia" w:ascii="仿宋" w:hAnsi="仿宋" w:eastAsia="仿宋"/>
          <w:color w:val="auto"/>
          <w:szCs w:val="21"/>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3、乙方有权要求甲方积极配合本合同约定工作。</w:t>
      </w:r>
    </w:p>
    <w:p w14:paraId="5EC2E22C">
      <w:pPr>
        <w:spacing w:line="360" w:lineRule="auto"/>
        <w:ind w:left="1540" w:leftChars="200" w:hanging="980" w:hangingChars="350"/>
        <w:jc w:val="left"/>
        <w:rPr>
          <w:rFonts w:hint="eastAsia" w:ascii="仿宋" w:hAnsi="仿宋" w:eastAsia="仿宋"/>
          <w:color w:val="auto"/>
          <w:szCs w:val="21"/>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4、在乙方按合同约定提供工作成果后，甲方若不按时支付相关服务费用，乙方有权单方面解除合同，并向甲方收取已完成工作内容的相关费用并追究甲方的违约责任。</w:t>
      </w:r>
    </w:p>
    <w:p w14:paraId="6730B676">
      <w:pPr>
        <w:spacing w:line="360" w:lineRule="auto"/>
        <w:ind w:left="1540" w:leftChars="200" w:hanging="980" w:hangingChars="350"/>
        <w:jc w:val="left"/>
        <w:rPr>
          <w:rFonts w:hint="eastAsia" w:ascii="仿宋" w:hAnsi="仿宋" w:eastAsia="仿宋"/>
          <w:color w:val="auto"/>
          <w:szCs w:val="21"/>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5、在甲方提出新的工作要求而导致乙方新增工作量的情况下，乙方有权要求甲方适当延长服务期和追加服务费用。</w:t>
      </w:r>
    </w:p>
    <w:p w14:paraId="6F19415D">
      <w:pPr>
        <w:spacing w:line="360" w:lineRule="auto"/>
        <w:ind w:left="1540" w:leftChars="200" w:hanging="980" w:hangingChars="350"/>
        <w:jc w:val="left"/>
        <w:rPr>
          <w:rFonts w:ascii="仿宋" w:hAnsi="仿宋" w:eastAsia="仿宋"/>
          <w:color w:val="auto"/>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6</w:t>
      </w:r>
      <w:r>
        <w:rPr>
          <w:rFonts w:hint="eastAsia" w:ascii="仿宋" w:hAnsi="仿宋" w:eastAsia="仿宋"/>
          <w:color w:val="auto"/>
          <w:highlight w:val="none"/>
        </w:rPr>
        <w:t>、指定</w:t>
      </w:r>
      <w:r>
        <w:rPr>
          <w:rFonts w:hint="eastAsia" w:ascii="仿宋" w:hAnsi="仿宋" w:eastAsia="仿宋"/>
          <w:color w:val="auto"/>
          <w:highlight w:val="none"/>
          <w:u w:val="single"/>
        </w:rPr>
        <w:t xml:space="preserve">    </w:t>
      </w:r>
      <w:r>
        <w:rPr>
          <w:rFonts w:hint="eastAsia" w:ascii="仿宋" w:hAnsi="仿宋" w:eastAsia="仿宋"/>
          <w:color w:val="auto"/>
          <w:highlight w:val="none"/>
        </w:rPr>
        <w:t>为</w:t>
      </w:r>
      <w:r>
        <w:rPr>
          <w:rFonts w:ascii="仿宋" w:hAnsi="仿宋" w:eastAsia="仿宋"/>
          <w:color w:val="auto"/>
          <w:highlight w:val="none"/>
        </w:rPr>
        <w:t>项目服务团队负责人，负责合作期间一切文件签署</w:t>
      </w:r>
      <w:r>
        <w:rPr>
          <w:rFonts w:hint="eastAsia" w:ascii="仿宋" w:hAnsi="仿宋" w:eastAsia="仿宋"/>
          <w:color w:val="auto"/>
          <w:highlight w:val="none"/>
        </w:rPr>
        <w:t>；</w:t>
      </w:r>
    </w:p>
    <w:p w14:paraId="54103CD3">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7</w:t>
      </w:r>
      <w:r>
        <w:rPr>
          <w:rFonts w:hint="eastAsia" w:ascii="仿宋" w:hAnsi="仿宋" w:eastAsia="仿宋"/>
          <w:color w:val="auto"/>
          <w:highlight w:val="none"/>
        </w:rPr>
        <w:t>、按照甲、乙双方议定的进度安排服务工作，保质、按时提交服务成果。</w:t>
      </w:r>
    </w:p>
    <w:p w14:paraId="5F4FAB8A">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8</w:t>
      </w:r>
      <w:r>
        <w:rPr>
          <w:rFonts w:hint="eastAsia" w:ascii="仿宋" w:hAnsi="仿宋" w:eastAsia="仿宋"/>
          <w:color w:val="auto"/>
          <w:highlight w:val="none"/>
        </w:rPr>
        <w:t>、在甲方组织的涉及本合同服务内容的各项研讨、汇报及评审会上，对服务成果或研讨意见等进行讲解说明，并充分阐述对项目开发的相关建议。</w:t>
      </w:r>
    </w:p>
    <w:p w14:paraId="06EEFD30">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9</w:t>
      </w:r>
      <w:r>
        <w:rPr>
          <w:rFonts w:hint="eastAsia" w:ascii="仿宋" w:hAnsi="仿宋" w:eastAsia="仿宋"/>
          <w:color w:val="auto"/>
          <w:highlight w:val="none"/>
        </w:rPr>
        <w:t>、乙方在从事本合同约定的工作任务期间所获知的甲方工作思路与工作计划、工作内容及所有项目资料，属甲方企业商业秘密，乙方不得向第三人披露。乙方对本合同约定的项目的有关规划方案内容，在甲方未公开前应对其进行保密。</w:t>
      </w:r>
    </w:p>
    <w:p w14:paraId="6302FD97">
      <w:pPr>
        <w:spacing w:line="360" w:lineRule="auto"/>
        <w:ind w:left="1540" w:leftChars="200" w:hanging="980" w:hangingChars="350"/>
        <w:jc w:val="left"/>
        <w:rPr>
          <w:rFonts w:ascii="仿宋" w:hAnsi="仿宋" w:eastAsia="仿宋"/>
          <w:color w:val="auto"/>
          <w:highlight w:val="none"/>
        </w:rPr>
      </w:pPr>
      <w:r>
        <w:rPr>
          <w:rFonts w:hint="eastAsia" w:ascii="仿宋" w:hAnsi="仿宋" w:eastAsia="仿宋"/>
          <w:color w:val="auto"/>
          <w:highlight w:val="none"/>
        </w:rPr>
        <w:t>5-2-</w:t>
      </w:r>
      <w:r>
        <w:rPr>
          <w:rFonts w:hint="eastAsia" w:ascii="仿宋" w:hAnsi="仿宋" w:eastAsia="仿宋"/>
          <w:color w:val="auto"/>
          <w:szCs w:val="21"/>
          <w:highlight w:val="none"/>
        </w:rPr>
        <w:t>10</w:t>
      </w:r>
      <w:r>
        <w:rPr>
          <w:rFonts w:hint="eastAsia" w:ascii="仿宋" w:hAnsi="仿宋" w:eastAsia="仿宋"/>
          <w:color w:val="auto"/>
          <w:highlight w:val="none"/>
        </w:rPr>
        <w:t>、未经甲方书面同意，乙方不得将本合同义务转委托第三方实施。未经甲方书面同意乙方不得以任何形式将工作成果的内容向第三人透露，也不得为履行本合同义务以外的目的对工作成果进行使用。</w:t>
      </w:r>
    </w:p>
    <w:p w14:paraId="0E1CB2AF">
      <w:pPr>
        <w:spacing w:line="360" w:lineRule="auto"/>
        <w:rPr>
          <w:rFonts w:hint="eastAsia" w:ascii="仿宋" w:hAnsi="仿宋" w:eastAsia="仿宋"/>
          <w:b/>
          <w:color w:val="auto"/>
          <w:highlight w:val="none"/>
        </w:rPr>
      </w:pPr>
      <w:r>
        <w:rPr>
          <w:rFonts w:hint="eastAsia" w:ascii="仿宋" w:hAnsi="仿宋" w:eastAsia="仿宋"/>
          <w:b/>
          <w:color w:val="auto"/>
          <w:highlight w:val="none"/>
        </w:rPr>
        <w:t>第8条  违约责任</w:t>
      </w:r>
    </w:p>
    <w:p w14:paraId="41F0C652">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-1、在乙方按照阶段性计划准时、保质、保量完成甲方所下达或确认的工作任务的前提下，若甲方不能按时支付乙方合同中约定的款项，逾期超过15日的，自逾期第16日起甲方按应付未付金额的万分之一/日的标准承担违约金。如已逾期一个月仍无法付清，乙方有权终止合同。</w:t>
      </w:r>
    </w:p>
    <w:p w14:paraId="1413F641">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8-2、乙方在服务期内不得无故单方面终止合同及服务，否则甲方除有权要求乙方继续履行合同外，还有权要求乙方按照合同总额的</w:t>
      </w:r>
      <w:r>
        <w:rPr>
          <w:rFonts w:hint="eastAsia" w:ascii="仿宋" w:hAnsi="仿宋" w:eastAsia="仿宋"/>
          <w:color w:val="auto"/>
          <w:highlight w:val="none"/>
          <w:lang w:val="en-US" w:eastAsia="zh-CN"/>
        </w:rPr>
        <w:t>10</w:t>
      </w:r>
      <w:r>
        <w:rPr>
          <w:rFonts w:hint="eastAsia" w:ascii="仿宋" w:hAnsi="仿宋" w:eastAsia="仿宋"/>
          <w:color w:val="auto"/>
          <w:highlight w:val="none"/>
        </w:rPr>
        <w:t>%支付违约金。</w:t>
      </w:r>
    </w:p>
    <w:p w14:paraId="4318306A">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8-3、乙方如违反本合同约定之义务，甲方有权拒绝向其支付相关费用，直至甲方解除本合同，且乙方应按合同总金额的</w:t>
      </w:r>
      <w:r>
        <w:rPr>
          <w:rFonts w:hint="eastAsia" w:ascii="仿宋" w:hAnsi="仿宋" w:eastAsia="仿宋"/>
          <w:color w:val="auto"/>
          <w:highlight w:val="none"/>
          <w:lang w:val="en-US" w:eastAsia="zh-CN"/>
        </w:rPr>
        <w:t>10</w:t>
      </w:r>
      <w:r>
        <w:rPr>
          <w:rFonts w:hint="eastAsia" w:ascii="仿宋" w:hAnsi="仿宋" w:eastAsia="仿宋"/>
          <w:color w:val="auto"/>
          <w:highlight w:val="none"/>
        </w:rPr>
        <w:t>%支付甲方违约金。</w:t>
      </w:r>
    </w:p>
    <w:p w14:paraId="09D1811E">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8-4、甲方如违反本合同约定之义务，乙方有权暂停提供相关服务，同时甲方已经缴付的全部费用将不获返还，直至单方解除本合同，且甲方应按合同总金额的</w:t>
      </w:r>
      <w:r>
        <w:rPr>
          <w:rFonts w:hint="eastAsia" w:ascii="仿宋" w:hAnsi="仿宋" w:eastAsia="仿宋"/>
          <w:color w:val="auto"/>
          <w:highlight w:val="none"/>
          <w:lang w:val="en-US" w:eastAsia="zh-CN"/>
        </w:rPr>
        <w:t>10</w:t>
      </w:r>
      <w:r>
        <w:rPr>
          <w:rFonts w:hint="eastAsia" w:ascii="仿宋" w:hAnsi="仿宋" w:eastAsia="仿宋"/>
          <w:color w:val="auto"/>
          <w:highlight w:val="none"/>
        </w:rPr>
        <w:t>%支付乙方违约金。</w:t>
      </w:r>
    </w:p>
    <w:p w14:paraId="26A6933A">
      <w:pPr>
        <w:spacing w:line="360" w:lineRule="auto"/>
        <w:ind w:left="1540" w:leftChars="200" w:hanging="980" w:hangingChars="350"/>
        <w:jc w:val="left"/>
        <w:rPr>
          <w:rFonts w:ascii="仿宋" w:hAnsi="仿宋" w:eastAsia="仿宋"/>
          <w:color w:val="auto"/>
          <w:highlight w:val="none"/>
        </w:rPr>
      </w:pPr>
      <w:r>
        <w:rPr>
          <w:rFonts w:hint="eastAsia" w:ascii="仿宋" w:hAnsi="仿宋" w:eastAsia="仿宋"/>
          <w:color w:val="auto"/>
          <w:highlight w:val="none"/>
        </w:rPr>
        <w:t>8-5、乙方分批次按时将标准完稿交付甲方审核验收，若未能通过甲方验收，甲方可以要求乙方对完稿进行修改，乙方应积极配合。乙方未在甲方要求的期限内完成修改的，每逾期一日承担违约金1000元。</w:t>
      </w:r>
    </w:p>
    <w:p w14:paraId="0313CB29">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-6、如因甲方原因（如：前期要求有误，文字修改、超过前期沟通增加服务项目等）造成交付内容错误，要求乙方修改，乙方应积极配合。一切额外产生的拖延时间和修改费用由甲方承担，修改费用以改动大小进行协商，以补充协议方式签订并确认改动后的服务内容及金额。</w:t>
      </w:r>
    </w:p>
    <w:p w14:paraId="521D7F55">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8-7、若在甲方确定方案，乙方正在完成工作的过程中，以及乙方完成工作后，甲方要求更换主题方向进行重新出方案，则应对所完成之</w:t>
      </w:r>
      <w:r>
        <w:rPr>
          <w:rFonts w:hint="eastAsia" w:ascii="仿宋" w:hAnsi="仿宋" w:eastAsia="仿宋"/>
          <w:color w:val="auto"/>
          <w:highlight w:val="none"/>
          <w:lang w:eastAsia="zh-CN"/>
        </w:rPr>
        <w:t>规划</w:t>
      </w:r>
      <w:r>
        <w:rPr>
          <w:rFonts w:hint="eastAsia" w:ascii="仿宋" w:hAnsi="仿宋" w:eastAsia="仿宋"/>
          <w:color w:val="auto"/>
          <w:highlight w:val="none"/>
        </w:rPr>
        <w:t>工作按进度进行结算。新风格重新商洽合作周期，计算费用。</w:t>
      </w:r>
    </w:p>
    <w:p w14:paraId="2BDF3ED9">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8-8、一方违反本合同中所做的声明及保证或有其它违约行为，致使不能实现本合同目的的，另一方有权单方解除本合同，违约方应按合同总金额的5%支付守约方违约金。</w:t>
      </w:r>
    </w:p>
    <w:p w14:paraId="77A0BB68">
      <w:pPr>
        <w:spacing w:line="360" w:lineRule="auto"/>
        <w:ind w:left="1540" w:leftChars="200" w:hanging="980" w:hangingChars="350"/>
        <w:jc w:val="left"/>
        <w:rPr>
          <w:rFonts w:ascii="仿宋" w:hAnsi="仿宋" w:eastAsia="仿宋"/>
          <w:color w:val="auto"/>
          <w:highlight w:val="none"/>
        </w:rPr>
      </w:pPr>
      <w:r>
        <w:rPr>
          <w:rFonts w:hint="eastAsia" w:ascii="仿宋" w:hAnsi="仿宋" w:eastAsia="仿宋"/>
          <w:color w:val="auto"/>
          <w:highlight w:val="none"/>
        </w:rPr>
        <w:t>8-9、乙方未按合同约定期限完成</w:t>
      </w:r>
      <w:r>
        <w:rPr>
          <w:rFonts w:hint="eastAsia" w:ascii="仿宋" w:hAnsi="仿宋" w:eastAsia="仿宋"/>
          <w:color w:val="auto"/>
          <w:highlight w:val="none"/>
          <w:lang w:val="en-US" w:eastAsia="zh-CN"/>
        </w:rPr>
        <w:t>初稿、定稿或其他</w:t>
      </w:r>
      <w:r>
        <w:rPr>
          <w:rFonts w:hint="eastAsia" w:ascii="仿宋" w:hAnsi="仿宋" w:eastAsia="仿宋"/>
          <w:color w:val="auto"/>
          <w:highlight w:val="none"/>
        </w:rPr>
        <w:t>工作内容的，</w:t>
      </w:r>
      <w:r>
        <w:rPr>
          <w:rFonts w:hint="eastAsia" w:ascii="仿宋" w:hAnsi="仿宋" w:eastAsia="仿宋"/>
          <w:color w:val="auto"/>
          <w:highlight w:val="none"/>
          <w:lang w:val="en-US" w:eastAsia="zh-CN"/>
        </w:rPr>
        <w:t>均构成逾期，</w:t>
      </w:r>
      <w:r>
        <w:rPr>
          <w:rFonts w:hint="eastAsia" w:ascii="仿宋" w:hAnsi="仿宋" w:eastAsia="仿宋"/>
          <w:color w:val="auto"/>
          <w:highlight w:val="none"/>
        </w:rPr>
        <w:t>每</w:t>
      </w:r>
      <w:r>
        <w:rPr>
          <w:rFonts w:hint="eastAsia" w:ascii="仿宋" w:hAnsi="仿宋" w:eastAsia="仿宋"/>
          <w:color w:val="auto"/>
          <w:highlight w:val="none"/>
          <w:lang w:val="en-US" w:eastAsia="zh-CN"/>
        </w:rPr>
        <w:t>项工作每</w:t>
      </w:r>
      <w:r>
        <w:rPr>
          <w:rFonts w:hint="eastAsia" w:ascii="仿宋" w:hAnsi="仿宋" w:eastAsia="仿宋"/>
          <w:color w:val="auto"/>
          <w:highlight w:val="none"/>
        </w:rPr>
        <w:t>逾期一日承担违约金1000元；</w:t>
      </w:r>
      <w:r>
        <w:rPr>
          <w:rFonts w:hint="eastAsia" w:ascii="仿宋" w:hAnsi="仿宋" w:eastAsia="仿宋"/>
          <w:color w:val="auto"/>
          <w:highlight w:val="none"/>
          <w:lang w:val="en-US" w:eastAsia="zh-CN"/>
        </w:rPr>
        <w:t>按本款约定乙方应承担的违约金累计达到合同总价10%的</w:t>
      </w:r>
      <w:r>
        <w:rPr>
          <w:rFonts w:hint="eastAsia" w:ascii="仿宋" w:hAnsi="仿宋" w:eastAsia="仿宋"/>
          <w:color w:val="auto"/>
          <w:highlight w:val="none"/>
        </w:rPr>
        <w:t>，甲方还有权解除合同。</w:t>
      </w:r>
    </w:p>
    <w:p w14:paraId="01404ACD">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8-10、甲乙双方在履行本合同中，必须遵守中华人民共和国法律及其他法律有关规定，甲方不得要求乙方在为甲方提供服务时做出违反法律和规定的行为。</w:t>
      </w:r>
    </w:p>
    <w:p w14:paraId="430FB75C">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8-12、根据甲方指示采取的行为而对任何第三方产生纠纷或被有关部门处罚，由甲方承担责任。</w:t>
      </w:r>
    </w:p>
    <w:p w14:paraId="303EFB9A">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8-13、若遇法定不可抗力情形，使得合同无法继续履行的，受不可抗力影响一方应自不可抗力发生之日起</w:t>
      </w:r>
      <w:r>
        <w:rPr>
          <w:rFonts w:ascii="仿宋" w:hAnsi="仿宋" w:eastAsia="仿宋"/>
          <w:color w:val="auto"/>
          <w:highlight w:val="none"/>
        </w:rPr>
        <w:t>5个工作日</w:t>
      </w:r>
      <w:r>
        <w:rPr>
          <w:rFonts w:hint="eastAsia" w:ascii="仿宋" w:hAnsi="仿宋" w:eastAsia="仿宋"/>
          <w:color w:val="auto"/>
          <w:highlight w:val="none"/>
        </w:rPr>
        <w:t>内书面通知另一方，同时出具不可抗力发生的书面证明文件并尽最大努力避免扩大损失，否则应对扩大部分损失承担责任。</w:t>
      </w:r>
    </w:p>
    <w:p w14:paraId="7C808940">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8-14、甲乙双方若任何一方丧失继续执行本合同能力，守约方有权终止合同，并结清已完成项目所对应的款项，不再追究违约责任。</w:t>
      </w:r>
    </w:p>
    <w:p w14:paraId="7EE173D2">
      <w:pPr>
        <w:spacing w:line="360" w:lineRule="auto"/>
        <w:rPr>
          <w:rFonts w:hint="eastAsia" w:ascii="仿宋" w:hAnsi="仿宋" w:eastAsia="仿宋"/>
          <w:b/>
          <w:color w:val="auto"/>
          <w:highlight w:val="none"/>
        </w:rPr>
      </w:pPr>
      <w:r>
        <w:rPr>
          <w:rFonts w:hint="eastAsia" w:ascii="仿宋" w:hAnsi="仿宋" w:eastAsia="仿宋"/>
          <w:b/>
          <w:color w:val="auto"/>
          <w:highlight w:val="none"/>
        </w:rPr>
        <w:t>第9条  保密</w:t>
      </w:r>
    </w:p>
    <w:p w14:paraId="03D205F2">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由甲方或甲方指定人提供给乙方并向乙方明示应加以保守机密之专业或其他资料，乙方将遵守以下规定</w:t>
      </w:r>
      <w:r>
        <w:rPr>
          <w:rFonts w:ascii="仿宋" w:hAnsi="仿宋" w:eastAsia="仿宋"/>
          <w:color w:val="auto"/>
          <w:highlight w:val="none"/>
        </w:rPr>
        <w:t>。</w:t>
      </w:r>
    </w:p>
    <w:p w14:paraId="70F15E19">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9-1、未经甲方书面许可，乙方不得对任何人、公司泄露资料及技术。</w:t>
      </w:r>
    </w:p>
    <w:p w14:paraId="1CBE84AE">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9-2、未经甲方书面许可，乙方不得以任何方式将前述资料及技术等信息向第三方透露。</w:t>
      </w:r>
    </w:p>
    <w:p w14:paraId="59816695">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9-3、双方合同终止时，应即时将前述资料与技术、信息归还甲方。</w:t>
      </w:r>
    </w:p>
    <w:p w14:paraId="7DA5EAB1">
      <w:pPr>
        <w:spacing w:line="360" w:lineRule="auto"/>
        <w:rPr>
          <w:rFonts w:ascii="仿宋" w:hAnsi="仿宋" w:eastAsia="仿宋"/>
          <w:b/>
          <w:color w:val="auto"/>
          <w:highlight w:val="none"/>
        </w:rPr>
      </w:pPr>
      <w:r>
        <w:rPr>
          <w:rFonts w:hint="eastAsia" w:ascii="仿宋" w:hAnsi="仿宋" w:eastAsia="仿宋"/>
          <w:b/>
          <w:color w:val="auto"/>
          <w:highlight w:val="none"/>
        </w:rPr>
        <w:t>第10条  合同效力及其它</w:t>
      </w:r>
    </w:p>
    <w:p w14:paraId="510DC507">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10-1、本合同自甲乙双方</w:t>
      </w:r>
      <w:r>
        <w:rPr>
          <w:rFonts w:hint="eastAsia" w:ascii="仿宋" w:hAnsi="仿宋" w:eastAsia="仿宋" w:cs="宋体"/>
          <w:color w:val="auto"/>
          <w:szCs w:val="21"/>
          <w:highlight w:val="none"/>
        </w:rPr>
        <w:t>法定代表人（或委托代理人）</w:t>
      </w:r>
      <w:r>
        <w:rPr>
          <w:rFonts w:hint="eastAsia" w:ascii="仿宋" w:hAnsi="仿宋" w:eastAsia="仿宋"/>
          <w:color w:val="auto"/>
          <w:highlight w:val="none"/>
        </w:rPr>
        <w:t>签字并加盖公章或合同专用章之日起生效，至各方履行完毕约定义务之日终止。</w:t>
      </w:r>
    </w:p>
    <w:p w14:paraId="0CC5F6F3">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10-2、双方公司之营业执照复印件，为合同附件。视为合约不可分割之部分，作为合同附件。</w:t>
      </w:r>
    </w:p>
    <w:p w14:paraId="0D6FAFB9">
      <w:pPr>
        <w:spacing w:line="360" w:lineRule="auto"/>
        <w:ind w:left="1540" w:leftChars="200" w:hanging="980" w:hangingChars="350"/>
        <w:jc w:val="left"/>
        <w:rPr>
          <w:rFonts w:ascii="仿宋" w:hAnsi="仿宋" w:eastAsia="仿宋"/>
          <w:color w:val="auto"/>
          <w:highlight w:val="none"/>
        </w:rPr>
      </w:pPr>
      <w:r>
        <w:rPr>
          <w:rFonts w:hint="eastAsia" w:ascii="仿宋" w:hAnsi="仿宋" w:eastAsia="仿宋"/>
          <w:color w:val="auto"/>
          <w:highlight w:val="none"/>
        </w:rPr>
        <w:t>10-3、协议中，合作内容的表述不完整的，以合作清单的表述内容为准。</w:t>
      </w:r>
    </w:p>
    <w:p w14:paraId="609AF878">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10-4、本合同一式贰份，双方各执壹份。</w:t>
      </w:r>
    </w:p>
    <w:p w14:paraId="4B9B2F7D">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10-5 、本合同未尽事宜，双方另行协商，并以签订书面补充协议的形式另行约定，其签订的补充协议与本合同具有同等法律效力。</w:t>
      </w:r>
    </w:p>
    <w:p w14:paraId="75728502">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10-6、凡因本合同所引起的或与本合同有关的任何争议将由双方当事人通过友好协商解决。如果协商不成，任一方可向甲方所在地有管辖权的人民法院提起诉讼。</w:t>
      </w:r>
    </w:p>
    <w:p w14:paraId="61A9DFA2">
      <w:pPr>
        <w:spacing w:line="360" w:lineRule="auto"/>
        <w:ind w:left="1540" w:leftChars="200" w:hanging="980" w:hangingChars="350"/>
        <w:jc w:val="left"/>
        <w:rPr>
          <w:rFonts w:hint="eastAsia" w:ascii="仿宋" w:hAnsi="仿宋" w:eastAsia="仿宋"/>
          <w:color w:val="auto"/>
          <w:highlight w:val="none"/>
        </w:rPr>
      </w:pPr>
      <w:r>
        <w:rPr>
          <w:rFonts w:hint="eastAsia" w:ascii="仿宋" w:hAnsi="仿宋" w:eastAsia="仿宋"/>
          <w:color w:val="auto"/>
          <w:highlight w:val="none"/>
        </w:rPr>
        <w:t>10-6、本合同附件与本合同具有同等法律效力。</w:t>
      </w:r>
    </w:p>
    <w:p w14:paraId="74B6B61F">
      <w:pPr>
        <w:spacing w:line="360" w:lineRule="auto"/>
        <w:ind w:left="1540" w:leftChars="200" w:hanging="980" w:hangingChars="350"/>
        <w:jc w:val="left"/>
        <w:rPr>
          <w:rFonts w:hint="eastAsia" w:ascii="仿宋" w:hAnsi="仿宋" w:eastAsia="仿宋"/>
          <w:color w:val="auto"/>
          <w:highlight w:val="none"/>
        </w:rPr>
      </w:pPr>
    </w:p>
    <w:p w14:paraId="264ACAA6">
      <w:pPr>
        <w:spacing w:line="360" w:lineRule="auto"/>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 xml:space="preserve">甲方：                                       乙方： </w:t>
      </w:r>
    </w:p>
    <w:p w14:paraId="2E484149">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法定代表人（或委托代理人）：                  法定代表人（或委托代理人）：      </w:t>
      </w:r>
    </w:p>
    <w:p w14:paraId="46B4DD4F">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经办人：                                     经办人：</w:t>
      </w:r>
    </w:p>
    <w:p w14:paraId="14AAA23A">
      <w:pPr>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签订日期：                                   签订日期：</w:t>
      </w:r>
    </w:p>
    <w:p w14:paraId="26C1EB15">
      <w:pPr>
        <w:tabs>
          <w:tab w:val="left" w:pos="0"/>
          <w:tab w:val="left" w:pos="142"/>
          <w:tab w:val="left" w:pos="426"/>
        </w:tabs>
        <w:spacing w:line="360" w:lineRule="auto"/>
        <w:jc w:val="left"/>
        <w:outlineLvl w:val="1"/>
        <w:rPr>
          <w:rFonts w:hint="eastAsia" w:ascii="仿宋" w:hAnsi="仿宋" w:eastAsia="仿宋"/>
          <w:color w:val="auto"/>
          <w:szCs w:val="21"/>
          <w:highlight w:val="none"/>
        </w:rPr>
      </w:pPr>
    </w:p>
    <w:p w14:paraId="73FCC487">
      <w:pPr>
        <w:rPr>
          <w:rFonts w:hint="eastAsia" w:ascii="仿宋" w:hAnsi="仿宋" w:eastAsia="仿宋"/>
          <w:b/>
          <w:color w:val="auto"/>
          <w:szCs w:val="21"/>
          <w:highlight w:val="none"/>
        </w:rPr>
      </w:pPr>
      <w:r>
        <w:rPr>
          <w:rFonts w:hint="eastAsia" w:ascii="仿宋" w:hAnsi="仿宋" w:eastAsia="仿宋"/>
          <w:b/>
          <w:color w:val="auto"/>
          <w:szCs w:val="21"/>
          <w:highlight w:val="none"/>
        </w:rPr>
        <w:br w:type="page"/>
      </w:r>
    </w:p>
    <w:p w14:paraId="306575A1">
      <w:pPr>
        <w:tabs>
          <w:tab w:val="left" w:pos="0"/>
          <w:tab w:val="left" w:pos="142"/>
          <w:tab w:val="left" w:pos="426"/>
        </w:tabs>
        <w:spacing w:line="360" w:lineRule="auto"/>
        <w:jc w:val="left"/>
        <w:outlineLvl w:val="1"/>
        <w:rPr>
          <w:rFonts w:hint="eastAsia" w:ascii="仿宋" w:hAnsi="仿宋" w:eastAsia="仿宋"/>
          <w:b/>
          <w:color w:val="auto"/>
          <w:szCs w:val="21"/>
          <w:highlight w:val="none"/>
        </w:rPr>
      </w:pPr>
      <w:bookmarkStart w:id="181" w:name="_Toc16802"/>
      <w:r>
        <w:rPr>
          <w:rFonts w:hint="eastAsia" w:ascii="仿宋" w:hAnsi="仿宋" w:eastAsia="仿宋"/>
          <w:b/>
          <w:color w:val="auto"/>
          <w:szCs w:val="21"/>
          <w:highlight w:val="none"/>
        </w:rPr>
        <w:t>附件：《璧山区全域研学产业</w:t>
      </w:r>
      <w:r>
        <w:rPr>
          <w:rFonts w:hint="eastAsia" w:ascii="仿宋" w:hAnsi="仿宋" w:eastAsia="仿宋"/>
          <w:b/>
          <w:color w:val="auto"/>
          <w:szCs w:val="21"/>
          <w:highlight w:val="none"/>
          <w:lang w:eastAsia="zh-CN"/>
        </w:rPr>
        <w:t>规划</w:t>
      </w:r>
      <w:r>
        <w:rPr>
          <w:rFonts w:hint="eastAsia" w:ascii="仿宋" w:hAnsi="仿宋" w:eastAsia="仿宋"/>
          <w:b/>
          <w:color w:val="auto"/>
          <w:szCs w:val="21"/>
          <w:highlight w:val="none"/>
        </w:rPr>
        <w:t>服务合作建议书》</w:t>
      </w:r>
      <w:bookmarkEnd w:id="181"/>
    </w:p>
    <w:p w14:paraId="406F007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第一部分 全域研学产业背景分析 </w:t>
      </w:r>
    </w:p>
    <w:p w14:paraId="48144887">
      <w:pPr>
        <w:numPr>
          <w:ilvl w:val="0"/>
          <w:numId w:val="5"/>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研学发展研析，研学产业规划的宏观行业背景依据 </w:t>
      </w:r>
    </w:p>
    <w:p w14:paraId="35C6AC57">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全域研学的含义</w:t>
      </w:r>
    </w:p>
    <w:p w14:paraId="4823CB6A">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国内其他省市全域研学发展现状</w:t>
      </w:r>
    </w:p>
    <w:p w14:paraId="72AA4AE1">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重庆全域研学发展现状</w:t>
      </w:r>
    </w:p>
    <w:p w14:paraId="0BEFB41F">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全域研学发展研判</w:t>
      </w:r>
    </w:p>
    <w:p w14:paraId="07896963">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重庆研学市场浅析</w:t>
      </w:r>
    </w:p>
    <w:p w14:paraId="0BD847C0">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璧山研学市场浅析</w:t>
      </w:r>
    </w:p>
    <w:p w14:paraId="5528C08C">
      <w:pPr>
        <w:numPr>
          <w:ilvl w:val="0"/>
          <w:numId w:val="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教育政策导向</w:t>
      </w:r>
    </w:p>
    <w:p w14:paraId="40F429FF">
      <w:pPr>
        <w:numPr>
          <w:ilvl w:val="0"/>
          <w:numId w:val="5"/>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璧山在地资源研析</w:t>
      </w:r>
    </w:p>
    <w:p w14:paraId="5AA54674">
      <w:pPr>
        <w:numPr>
          <w:ilvl w:val="0"/>
          <w:numId w:val="7"/>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基于研学产业的基本情况研析：璧山区位概况、交通条件、产业方向等</w:t>
      </w:r>
    </w:p>
    <w:p w14:paraId="6951A318">
      <w:pPr>
        <w:numPr>
          <w:ilvl w:val="0"/>
          <w:numId w:val="7"/>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在地文化梳理</w:t>
      </w:r>
    </w:p>
    <w:p w14:paraId="146A7FCA">
      <w:pPr>
        <w:numPr>
          <w:ilvl w:val="0"/>
          <w:numId w:val="7"/>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在地教育资源梳理</w:t>
      </w:r>
    </w:p>
    <w:p w14:paraId="472C0DA6">
      <w:pPr>
        <w:numPr>
          <w:ilvl w:val="0"/>
          <w:numId w:val="7"/>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研学基地梳理</w:t>
      </w:r>
    </w:p>
    <w:p w14:paraId="64738B24">
      <w:pPr>
        <w:ind w:left="630"/>
        <w:rPr>
          <w:rFonts w:hint="eastAsia" w:ascii="仿宋" w:hAnsi="仿宋" w:eastAsia="仿宋" w:cs="仿宋"/>
          <w:color w:val="auto"/>
          <w:szCs w:val="21"/>
          <w:highlight w:val="none"/>
        </w:rPr>
      </w:pPr>
    </w:p>
    <w:p w14:paraId="5F69F904">
      <w:pPr>
        <w:numPr>
          <w:ilvl w:val="0"/>
          <w:numId w:val="8"/>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全域研学产业</w:t>
      </w:r>
      <w:r>
        <w:rPr>
          <w:rFonts w:hint="eastAsia" w:ascii="仿宋" w:hAnsi="仿宋" w:eastAsia="仿宋" w:cs="仿宋"/>
          <w:b/>
          <w:bCs/>
          <w:color w:val="auto"/>
          <w:szCs w:val="21"/>
          <w:highlight w:val="none"/>
          <w:lang w:eastAsia="zh-CN"/>
        </w:rPr>
        <w:t>规划</w:t>
      </w:r>
    </w:p>
    <w:p w14:paraId="214A1E2E">
      <w:pPr>
        <w:numPr>
          <w:ilvl w:val="0"/>
          <w:numId w:val="9"/>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全域研学定位</w:t>
      </w:r>
      <w:r>
        <w:rPr>
          <w:rFonts w:hint="eastAsia" w:ascii="仿宋" w:hAnsi="仿宋" w:eastAsia="仿宋" w:cs="仿宋"/>
          <w:b/>
          <w:bCs/>
          <w:color w:val="auto"/>
          <w:szCs w:val="21"/>
          <w:highlight w:val="none"/>
          <w:lang w:eastAsia="zh-CN"/>
        </w:rPr>
        <w:t>规划</w:t>
      </w:r>
    </w:p>
    <w:p w14:paraId="1192E752">
      <w:pPr>
        <w:numPr>
          <w:ilvl w:val="0"/>
          <w:numId w:val="10"/>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全域研学产业愿景定位</w:t>
      </w:r>
    </w:p>
    <w:p w14:paraId="025448D7">
      <w:pPr>
        <w:numPr>
          <w:ilvl w:val="0"/>
          <w:numId w:val="10"/>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全域研学产业客群定位</w:t>
      </w:r>
    </w:p>
    <w:p w14:paraId="603A672E">
      <w:pPr>
        <w:numPr>
          <w:ilvl w:val="0"/>
          <w:numId w:val="9"/>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全域研学产业，多点主题项目布局</w:t>
      </w:r>
    </w:p>
    <w:p w14:paraId="202AB9C6">
      <w:pPr>
        <w:numPr>
          <w:ilvl w:val="0"/>
          <w:numId w:val="11"/>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全域研学产业布局总图</w:t>
      </w:r>
    </w:p>
    <w:p w14:paraId="1B718CEB">
      <w:pPr>
        <w:numPr>
          <w:ilvl w:val="0"/>
          <w:numId w:val="11"/>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全域研学多点主题项目定位（不少于15个），包括：</w:t>
      </w:r>
    </w:p>
    <w:p w14:paraId="51C49C3B">
      <w:pPr>
        <w:numPr>
          <w:ilvl w:val="0"/>
          <w:numId w:val="12"/>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现有研学基地：研学主题定位，研学活动产品方向</w:t>
      </w:r>
    </w:p>
    <w:p w14:paraId="4765AA3A">
      <w:pPr>
        <w:numPr>
          <w:ilvl w:val="0"/>
          <w:numId w:val="12"/>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国有资产盘活：基于国有资产项目植入研学主题定位和产品方向</w:t>
      </w:r>
    </w:p>
    <w:p w14:paraId="0BAC316C">
      <w:pPr>
        <w:numPr>
          <w:ilvl w:val="0"/>
          <w:numId w:val="12"/>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新增重点区域基地：璧山境内缙云山植入研学主题定位和产品方向、中新生命科技城等科学产业项目植入研学主题定位和产品方向</w:t>
      </w:r>
    </w:p>
    <w:p w14:paraId="2A3439BB">
      <w:pPr>
        <w:rPr>
          <w:rFonts w:hint="eastAsia" w:ascii="仿宋" w:hAnsi="仿宋" w:eastAsia="仿宋" w:cs="仿宋"/>
          <w:b/>
          <w:bCs/>
          <w:color w:val="auto"/>
          <w:szCs w:val="21"/>
          <w:highlight w:val="none"/>
        </w:rPr>
      </w:pPr>
    </w:p>
    <w:p w14:paraId="521E8E25">
      <w:pPr>
        <w:numPr>
          <w:ilvl w:val="0"/>
          <w:numId w:val="8"/>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全域研学落地性运营纲领</w:t>
      </w:r>
    </w:p>
    <w:p w14:paraId="492DDFCE">
      <w:pPr>
        <w:numPr>
          <w:ilvl w:val="0"/>
          <w:numId w:val="13"/>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全域研学执行管理模式</w:t>
      </w:r>
    </w:p>
    <w:p w14:paraId="635933A6">
      <w:pPr>
        <w:numPr>
          <w:ilvl w:val="0"/>
          <w:numId w:val="14"/>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组织架构梳理与职责拟定——政府统筹的多方协同机制</w:t>
      </w:r>
    </w:p>
    <w:p w14:paraId="70AFDEB9">
      <w:pPr>
        <w:numPr>
          <w:ilvl w:val="0"/>
          <w:numId w:val="15"/>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顶层统筹指挥部</w:t>
      </w:r>
    </w:p>
    <w:p w14:paraId="6DBE22AB">
      <w:pPr>
        <w:numPr>
          <w:ilvl w:val="0"/>
          <w:numId w:val="15"/>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研学运营联盟</w:t>
      </w:r>
    </w:p>
    <w:p w14:paraId="19D22F6D">
      <w:pPr>
        <w:numPr>
          <w:ilvl w:val="0"/>
          <w:numId w:val="14"/>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全域研学数字化管理平台要求</w:t>
      </w:r>
    </w:p>
    <w:p w14:paraId="0A7D5C8D">
      <w:pPr>
        <w:numPr>
          <w:ilvl w:val="0"/>
          <w:numId w:val="13"/>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全域研学运营策略</w:t>
      </w:r>
    </w:p>
    <w:p w14:paraId="29DA99A0">
      <w:pPr>
        <w:numPr>
          <w:ilvl w:val="0"/>
          <w:numId w:val="1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运营主体</w:t>
      </w:r>
    </w:p>
    <w:p w14:paraId="11BD52F4">
      <w:pPr>
        <w:numPr>
          <w:ilvl w:val="0"/>
          <w:numId w:val="1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产业模式</w:t>
      </w:r>
    </w:p>
    <w:p w14:paraId="21214BB0">
      <w:pPr>
        <w:numPr>
          <w:ilvl w:val="0"/>
          <w:numId w:val="17"/>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产品可零可整，结合多个项目不同主题及位置关系，规划多日研学路线</w:t>
      </w:r>
    </w:p>
    <w:p w14:paraId="0D6E1893">
      <w:pPr>
        <w:numPr>
          <w:ilvl w:val="0"/>
          <w:numId w:val="16"/>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营销策略</w:t>
      </w:r>
    </w:p>
    <w:p w14:paraId="196772CD">
      <w:pPr>
        <w:numPr>
          <w:ilvl w:val="0"/>
          <w:numId w:val="18"/>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创建全域研学品牌</w:t>
      </w:r>
    </w:p>
    <w:p w14:paraId="6D9EB414">
      <w:pPr>
        <w:numPr>
          <w:ilvl w:val="0"/>
          <w:numId w:val="18"/>
        </w:num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全市及川渝研学资源联动</w:t>
      </w:r>
    </w:p>
    <w:p w14:paraId="53016596">
      <w:pPr>
        <w:numPr>
          <w:ilvl w:val="0"/>
          <w:numId w:val="13"/>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全域研学建设资金来源梳理</w:t>
      </w:r>
    </w:p>
    <w:p w14:paraId="6DC821D3">
      <w:pPr>
        <w:numPr>
          <w:ilvl w:val="0"/>
          <w:numId w:val="19"/>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政府专项可利用资金端口梳理</w:t>
      </w:r>
    </w:p>
    <w:p w14:paraId="547DC2D7">
      <w:pPr>
        <w:numPr>
          <w:ilvl w:val="0"/>
          <w:numId w:val="19"/>
        </w:num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社会资本引入办法</w:t>
      </w:r>
    </w:p>
    <w:p w14:paraId="682B665D">
      <w:pPr>
        <w:ind w:left="630"/>
        <w:rPr>
          <w:rFonts w:hint="eastAsia" w:ascii="仿宋" w:hAnsi="仿宋" w:eastAsia="仿宋" w:cs="仿宋"/>
          <w:color w:val="auto"/>
          <w:szCs w:val="21"/>
          <w:highlight w:val="none"/>
        </w:rPr>
      </w:pPr>
    </w:p>
    <w:p w14:paraId="7EE1EEE6">
      <w:pPr>
        <w:numPr>
          <w:ilvl w:val="0"/>
          <w:numId w:val="8"/>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全域研学产业推进计划</w:t>
      </w:r>
    </w:p>
    <w:p w14:paraId="04BCCC9A">
      <w:pPr>
        <w:numPr>
          <w:ilvl w:val="0"/>
          <w:numId w:val="20"/>
        </w:num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以5年为单位的年度推进计划</w:t>
      </w:r>
    </w:p>
    <w:p w14:paraId="655E457B">
      <w:pPr>
        <w:ind w:left="63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结合基地重要性及打造难易程度，规划每个基地呈现时间及总体呈现时间。</w:t>
      </w:r>
    </w:p>
    <w:p w14:paraId="0571A33F">
      <w:pPr>
        <w:rPr>
          <w:rFonts w:hint="eastAsia" w:ascii="仿宋" w:hAnsi="仿宋" w:eastAsia="仿宋" w:cs="仿宋"/>
          <w:color w:val="auto"/>
          <w:highlight w:val="none"/>
        </w:rPr>
      </w:pPr>
    </w:p>
    <w:p w14:paraId="0AA6B5A4">
      <w:pPr>
        <w:rPr>
          <w:rFonts w:hint="eastAsia"/>
          <w:color w:val="auto"/>
          <w:highlight w:val="none"/>
        </w:rPr>
      </w:pPr>
      <w:r>
        <w:rPr>
          <w:rFonts w:hint="eastAsia"/>
          <w:color w:val="auto"/>
          <w:highlight w:val="none"/>
        </w:rPr>
        <w:br w:type="page"/>
      </w:r>
    </w:p>
    <w:p w14:paraId="332C76D0">
      <w:pPr>
        <w:pStyle w:val="2"/>
        <w:jc w:val="center"/>
        <w:rPr>
          <w:color w:val="auto"/>
          <w:highlight w:val="none"/>
        </w:rPr>
      </w:pPr>
      <w:bookmarkStart w:id="182" w:name="_Toc8403"/>
      <w:r>
        <w:rPr>
          <w:rFonts w:hint="eastAsia"/>
          <w:color w:val="auto"/>
          <w:highlight w:val="none"/>
        </w:rPr>
        <w:t>第七篇  响应文件编制要求</w:t>
      </w:r>
      <w:bookmarkEnd w:id="175"/>
      <w:bookmarkEnd w:id="182"/>
    </w:p>
    <w:p w14:paraId="4BD6DE3B">
      <w:pPr>
        <w:pStyle w:val="3"/>
        <w:rPr>
          <w:color w:val="auto"/>
          <w:highlight w:val="none"/>
        </w:rPr>
      </w:pPr>
      <w:bookmarkStart w:id="183" w:name="_Toc3332"/>
      <w:r>
        <w:rPr>
          <w:rFonts w:hint="eastAsia"/>
          <w:color w:val="auto"/>
          <w:highlight w:val="none"/>
        </w:rPr>
        <w:t>一、经济部分</w:t>
      </w:r>
      <w:bookmarkEnd w:id="183"/>
    </w:p>
    <w:p w14:paraId="0D18610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（一）报价函</w:t>
      </w:r>
    </w:p>
    <w:p w14:paraId="115B86A0">
      <w:pPr>
        <w:pStyle w:val="3"/>
        <w:rPr>
          <w:color w:val="auto"/>
          <w:highlight w:val="none"/>
        </w:rPr>
      </w:pPr>
      <w:bookmarkStart w:id="184" w:name="_Toc3794"/>
      <w:r>
        <w:rPr>
          <w:rFonts w:hint="eastAsia"/>
          <w:color w:val="auto"/>
          <w:highlight w:val="none"/>
        </w:rPr>
        <w:t>二、服务部分</w:t>
      </w:r>
      <w:bookmarkEnd w:id="184"/>
    </w:p>
    <w:p w14:paraId="4CD9524B">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（一）服务条款差异表</w:t>
      </w:r>
    </w:p>
    <w:p w14:paraId="26C48CB0">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服务方案</w:t>
      </w:r>
    </w:p>
    <w:p w14:paraId="5D56121B">
      <w:pPr>
        <w:pStyle w:val="3"/>
        <w:rPr>
          <w:color w:val="auto"/>
          <w:highlight w:val="none"/>
        </w:rPr>
      </w:pPr>
      <w:bookmarkStart w:id="185" w:name="_Toc19254"/>
      <w:r>
        <w:rPr>
          <w:rFonts w:hint="eastAsia"/>
          <w:color w:val="auto"/>
          <w:highlight w:val="none"/>
        </w:rPr>
        <w:t>三、商务文件</w:t>
      </w:r>
      <w:bookmarkEnd w:id="185"/>
    </w:p>
    <w:p w14:paraId="4A016B4D">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s="宋体"/>
          <w:color w:val="auto"/>
          <w:sz w:val="24"/>
          <w:szCs w:val="24"/>
          <w:highlight w:val="none"/>
        </w:rPr>
        <w:t>（一）商务条款偏离表</w:t>
      </w:r>
    </w:p>
    <w:p w14:paraId="0F48C68E">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）其</w:t>
      </w:r>
      <w:r>
        <w:rPr>
          <w:rFonts w:hint="eastAsia" w:ascii="仿宋" w:hAnsi="仿宋" w:eastAsia="仿宋"/>
          <w:color w:val="auto"/>
          <w:sz w:val="24"/>
          <w:szCs w:val="24"/>
          <w:highlight w:val="none"/>
          <w:lang w:eastAsia="zh-CN"/>
        </w:rPr>
        <w:t>他</w:t>
      </w:r>
      <w:r>
        <w:rPr>
          <w:rFonts w:hint="eastAsia" w:ascii="仿宋" w:hAnsi="仿宋" w:eastAsia="仿宋"/>
          <w:color w:val="auto"/>
          <w:sz w:val="24"/>
          <w:szCs w:val="24"/>
          <w:highlight w:val="none"/>
        </w:rPr>
        <w:t>优惠承诺</w:t>
      </w:r>
    </w:p>
    <w:p w14:paraId="75F5EE14">
      <w:pPr>
        <w:pStyle w:val="3"/>
        <w:rPr>
          <w:color w:val="auto"/>
          <w:highlight w:val="none"/>
        </w:rPr>
      </w:pPr>
      <w:bookmarkStart w:id="186" w:name="_Toc20942"/>
      <w:r>
        <w:rPr>
          <w:rFonts w:hint="eastAsia"/>
          <w:color w:val="auto"/>
          <w:highlight w:val="none"/>
        </w:rPr>
        <w:t>四、资格条件及其他</w:t>
      </w:r>
      <w:bookmarkEnd w:id="186"/>
    </w:p>
    <w:p w14:paraId="76BB73D1">
      <w:pPr>
        <w:snapToGrid w:val="0"/>
        <w:spacing w:line="400" w:lineRule="exact"/>
        <w:ind w:left="476" w:leftChars="1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1057113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773B2671">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333EAC3F">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46DB3305">
      <w:pPr>
        <w:snapToGrid w:val="0"/>
        <w:spacing w:line="400" w:lineRule="exact"/>
        <w:ind w:firstLine="480" w:firstLineChars="200"/>
        <w:rPr>
          <w:rFonts w:hint="eastAsia" w:ascii="方正仿宋_GBK" w:hAnsi="方正仿宋_GBK" w:eastAsia="方正仿宋_GBK" w:cs="方正仿宋_GBK"/>
          <w:color w:val="auto"/>
          <w:sz w:val="24"/>
          <w:szCs w:val="24"/>
          <w:highlight w:val="none"/>
          <w:bdr w:val="single" w:color="auto" w:sz="4" w:space="0"/>
        </w:rPr>
      </w:pPr>
      <w:r>
        <w:rPr>
          <w:rFonts w:hint="eastAsia" w:ascii="方正仿宋_GBK" w:hAnsi="方正仿宋_GBK" w:eastAsia="方正仿宋_GBK" w:cs="方正仿宋_GBK"/>
          <w:color w:val="auto"/>
          <w:sz w:val="24"/>
          <w:szCs w:val="24"/>
          <w:highlight w:val="none"/>
        </w:rPr>
        <w:t>（五）特定资格条件证书或证明文件</w:t>
      </w:r>
    </w:p>
    <w:p w14:paraId="15281C82">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lang w:eastAsia="zh-CN"/>
        </w:rPr>
        <w:t>）其他资料</w:t>
      </w:r>
    </w:p>
    <w:p w14:paraId="51ED926B">
      <w:pPr>
        <w:numPr>
          <w:ilvl w:val="0"/>
          <w:numId w:val="21"/>
        </w:numPr>
        <w:rPr>
          <w:color w:val="auto"/>
          <w:highlight w:val="none"/>
        </w:rPr>
      </w:pPr>
      <w:r>
        <w:rPr>
          <w:rFonts w:hint="eastAsia"/>
          <w:color w:val="auto"/>
          <w:highlight w:val="none"/>
        </w:rPr>
        <w:t>经济部分</w:t>
      </w:r>
    </w:p>
    <w:p w14:paraId="2216F089">
      <w:pPr>
        <w:snapToGrid w:val="0"/>
        <w:spacing w:line="4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（一）报价函</w:t>
      </w:r>
    </w:p>
    <w:p w14:paraId="57E93E6F">
      <w:pPr>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报价函</w:t>
      </w:r>
    </w:p>
    <w:p w14:paraId="5F83ABC8">
      <w:pPr>
        <w:pStyle w:val="7"/>
        <w:spacing w:line="554" w:lineRule="exact"/>
        <w:rPr>
          <w:rFonts w:ascii="方正仿宋_GBK" w:eastAsia="方正仿宋_GBK"/>
          <w:color w:val="auto"/>
          <w:sz w:val="24"/>
          <w:szCs w:val="24"/>
          <w:highlight w:val="none"/>
        </w:rPr>
      </w:pPr>
      <w:r>
        <w:rPr>
          <w:rFonts w:hint="eastAsia" w:ascii="方正仿宋_GBK" w:eastAsia="方正仿宋_GBK"/>
          <w:color w:val="auto"/>
          <w:sz w:val="24"/>
          <w:szCs w:val="24"/>
          <w:highlight w:val="none"/>
          <w:u w:val="single"/>
        </w:rPr>
        <w:t>（采购人名称）</w:t>
      </w:r>
      <w:r>
        <w:rPr>
          <w:rFonts w:hint="eastAsia" w:ascii="方正仿宋_GBK" w:eastAsia="方正仿宋_GBK"/>
          <w:color w:val="auto"/>
          <w:sz w:val="24"/>
          <w:szCs w:val="24"/>
          <w:highlight w:val="none"/>
        </w:rPr>
        <w:t>：</w:t>
      </w:r>
    </w:p>
    <w:p w14:paraId="19C79D36">
      <w:pPr>
        <w:pStyle w:val="7"/>
        <w:spacing w:line="554"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我方收到</w:t>
      </w:r>
      <w:r>
        <w:rPr>
          <w:rFonts w:hint="eastAsia" w:ascii="方正仿宋_GBK" w:eastAsia="方正仿宋_GBK"/>
          <w:color w:val="auto"/>
          <w:sz w:val="24"/>
          <w:szCs w:val="24"/>
          <w:highlight w:val="none"/>
          <w:u w:val="single"/>
        </w:rPr>
        <w:t xml:space="preserve">        （</w:t>
      </w:r>
      <w:r>
        <w:rPr>
          <w:rFonts w:hint="eastAsia" w:ascii="方正仿宋_GBK" w:eastAsia="方正仿宋_GBK"/>
          <w:color w:val="auto"/>
          <w:sz w:val="24"/>
          <w:szCs w:val="24"/>
          <w:highlight w:val="none"/>
        </w:rPr>
        <w:t>项目名称）的采购</w:t>
      </w:r>
      <w:r>
        <w:rPr>
          <w:rFonts w:hint="eastAsia" w:ascii="方正仿宋_GBK" w:eastAsia="方正仿宋_GBK"/>
          <w:color w:val="auto"/>
          <w:sz w:val="24"/>
          <w:szCs w:val="24"/>
          <w:highlight w:val="none"/>
          <w:lang w:eastAsia="zh-CN"/>
        </w:rPr>
        <w:t>竞采</w:t>
      </w:r>
      <w:r>
        <w:rPr>
          <w:rFonts w:hint="eastAsia" w:ascii="方正仿宋_GBK" w:eastAsia="方正仿宋_GBK"/>
          <w:color w:val="auto"/>
          <w:sz w:val="24"/>
          <w:szCs w:val="24"/>
          <w:highlight w:val="none"/>
        </w:rPr>
        <w:t>文件，经详细研究，决定参加该项目的竞选。</w:t>
      </w:r>
    </w:p>
    <w:p w14:paraId="32AE157C">
      <w:pPr>
        <w:tabs>
          <w:tab w:val="left" w:pos="6300"/>
        </w:tabs>
        <w:snapToGrid w:val="0"/>
        <w:spacing w:line="360" w:lineRule="auto"/>
        <w:ind w:left="14" w:leftChars="5" w:firstLine="458" w:firstLineChars="191"/>
        <w:jc w:val="lef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1.愿意按照采购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文件中的一切要求，提供本项目的技术服务，</w:t>
      </w:r>
      <w:r>
        <w:rPr>
          <w:rFonts w:hint="eastAsia" w:ascii="方正仿宋_GBK" w:hAnsi="方正仿宋_GBK" w:eastAsia="方正仿宋_GBK" w:cs="方正仿宋_GBK"/>
          <w:i w:val="0"/>
          <w:iCs w:val="0"/>
          <w:color w:val="auto"/>
          <w:sz w:val="24"/>
          <w:szCs w:val="24"/>
          <w:highlight w:val="none"/>
        </w:rPr>
        <w:t>报价为人民币</w:t>
      </w:r>
      <w:r>
        <w:rPr>
          <w:rFonts w:hint="eastAsia" w:ascii="方正仿宋_GBK" w:hAnsi="方正仿宋_GBK" w:eastAsia="方正仿宋_GBK" w:cs="方正仿宋_GBK"/>
          <w:i w:val="0"/>
          <w:iCs w:val="0"/>
          <w:color w:val="auto"/>
          <w:sz w:val="24"/>
          <w:szCs w:val="24"/>
          <w:highlight w:val="none"/>
          <w:u w:val="single"/>
        </w:rPr>
        <w:t>大写：     元整</w:t>
      </w:r>
      <w:r>
        <w:rPr>
          <w:rFonts w:hint="eastAsia" w:ascii="方正仿宋_GBK" w:hAnsi="方正仿宋_GBK" w:eastAsia="方正仿宋_GBK" w:cs="方正仿宋_GBK"/>
          <w:i w:val="0"/>
          <w:iCs w:val="0"/>
          <w:color w:val="auto"/>
          <w:sz w:val="24"/>
          <w:szCs w:val="24"/>
          <w:highlight w:val="none"/>
        </w:rPr>
        <w:t>；人民币</w:t>
      </w:r>
      <w:r>
        <w:rPr>
          <w:rFonts w:hint="eastAsia" w:ascii="方正仿宋_GBK" w:hAnsi="方正仿宋_GBK" w:eastAsia="方正仿宋_GBK" w:cs="方正仿宋_GBK"/>
          <w:i w:val="0"/>
          <w:iCs w:val="0"/>
          <w:color w:val="auto"/>
          <w:sz w:val="24"/>
          <w:szCs w:val="24"/>
          <w:highlight w:val="none"/>
          <w:u w:val="single"/>
        </w:rPr>
        <w:t>小写：    元</w:t>
      </w:r>
      <w:r>
        <w:rPr>
          <w:rFonts w:ascii="Times New Roman" w:hAnsi="Times New Roman" w:eastAsia="方正仿宋_GBK"/>
          <w:color w:val="auto"/>
          <w:sz w:val="24"/>
          <w:szCs w:val="24"/>
          <w:highlight w:val="none"/>
        </w:rPr>
        <w:t>。</w:t>
      </w:r>
    </w:p>
    <w:p w14:paraId="659F9316">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2.我方现提交的响应文件为：响应文件电子文档壹份。</w:t>
      </w:r>
    </w:p>
    <w:p w14:paraId="7CA9F3BC">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3.我方承诺：本次竞选的有效期为 90 天。</w:t>
      </w:r>
    </w:p>
    <w:p w14:paraId="2806BE47">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4.我方完全理解和接受贵方采购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文件的一切规定和要求及评审办法。</w:t>
      </w:r>
    </w:p>
    <w:p w14:paraId="4B7C4DE9">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5.在整个竞选过程中，我方若有违规行为，</w:t>
      </w:r>
      <w:r>
        <w:rPr>
          <w:rFonts w:hint="eastAsia" w:ascii="Times New Roman" w:hAnsi="Times New Roman" w:eastAsia="方正仿宋_GBK"/>
          <w:color w:val="auto"/>
          <w:sz w:val="24"/>
          <w:szCs w:val="24"/>
          <w:highlight w:val="none"/>
        </w:rPr>
        <w:t>接受按照《中华人民共和国政府采购法》规定给予惩罚。</w:t>
      </w:r>
    </w:p>
    <w:p w14:paraId="66404D9B">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6.我方若中选，将按照竞选结果签订合同，并且严格履行合同义务。本承诺函将成为合同不可分割的一部分，与合同具有同等的法律效力。</w:t>
      </w:r>
    </w:p>
    <w:p w14:paraId="04011C32">
      <w:pPr>
        <w:pStyle w:val="7"/>
        <w:spacing w:line="554" w:lineRule="exact"/>
        <w:ind w:firstLine="480" w:firstLineChars="200"/>
        <w:rPr>
          <w:rFonts w:ascii="方正仿宋_GBK" w:eastAsia="方正仿宋_GBK"/>
          <w:color w:val="auto"/>
          <w:sz w:val="24"/>
          <w:szCs w:val="24"/>
          <w:highlight w:val="none"/>
        </w:rPr>
      </w:pPr>
      <w:r>
        <w:rPr>
          <w:rFonts w:ascii="Times New Roman" w:hAnsi="Times New Roman" w:eastAsia="方正仿宋_GBK"/>
          <w:color w:val="auto"/>
          <w:sz w:val="24"/>
          <w:szCs w:val="24"/>
          <w:highlight w:val="none"/>
        </w:rPr>
        <w:t>7.我方理解</w:t>
      </w:r>
      <w:r>
        <w:rPr>
          <w:rFonts w:hint="eastAsia" w:ascii="方正仿宋_GBK" w:eastAsia="方正仿宋_GBK"/>
          <w:color w:val="auto"/>
          <w:sz w:val="24"/>
          <w:szCs w:val="24"/>
          <w:highlight w:val="none"/>
        </w:rPr>
        <w:t>，最低报价不是成交的唯一条件。</w:t>
      </w:r>
    </w:p>
    <w:p w14:paraId="6A2844DC">
      <w:pPr>
        <w:pStyle w:val="7"/>
        <w:spacing w:line="554" w:lineRule="exact"/>
        <w:rPr>
          <w:rFonts w:ascii="方正仿宋_GBK" w:eastAsia="方正仿宋_GBK"/>
          <w:color w:val="auto"/>
          <w:sz w:val="24"/>
          <w:szCs w:val="24"/>
          <w:highlight w:val="none"/>
        </w:rPr>
      </w:pPr>
    </w:p>
    <w:p w14:paraId="68D12E38">
      <w:pPr>
        <w:pStyle w:val="7"/>
        <w:spacing w:line="554" w:lineRule="exact"/>
        <w:ind w:right="960" w:firstLine="480" w:firstLineChars="200"/>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供应商名称（公章）：</w:t>
      </w:r>
    </w:p>
    <w:p w14:paraId="1C127DAA">
      <w:pPr>
        <w:spacing w:line="554" w:lineRule="exact"/>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年   月   日</w:t>
      </w:r>
    </w:p>
    <w:p w14:paraId="4707934C">
      <w:pPr>
        <w:spacing w:line="554" w:lineRule="exact"/>
        <w:jc w:val="right"/>
        <w:rPr>
          <w:rFonts w:ascii="方正仿宋_GBK" w:eastAsia="方正仿宋_GBK"/>
          <w:color w:val="auto"/>
          <w:highlight w:val="none"/>
        </w:rPr>
      </w:pPr>
    </w:p>
    <w:p w14:paraId="2BFD4BA7">
      <w:pPr>
        <w:rPr>
          <w:rFonts w:hint="eastAsia"/>
          <w:color w:val="auto"/>
          <w:highlight w:val="none"/>
        </w:rPr>
      </w:pPr>
    </w:p>
    <w:p w14:paraId="329BC5E3">
      <w:pPr>
        <w:rPr>
          <w:rFonts w:hint="eastAsia"/>
          <w:color w:val="auto"/>
          <w:highlight w:val="none"/>
        </w:rPr>
      </w:pPr>
    </w:p>
    <w:p w14:paraId="279628C3">
      <w:pPr>
        <w:rPr>
          <w:rFonts w:hint="eastAsia"/>
          <w:color w:val="auto"/>
          <w:highlight w:val="none"/>
        </w:rPr>
      </w:pPr>
    </w:p>
    <w:p w14:paraId="0DB3B96F">
      <w:pPr>
        <w:rPr>
          <w:rFonts w:hint="eastAsia"/>
          <w:color w:val="auto"/>
          <w:highlight w:val="none"/>
        </w:rPr>
      </w:pPr>
    </w:p>
    <w:p w14:paraId="77D6B237">
      <w:pPr>
        <w:rPr>
          <w:rFonts w:hint="eastAsia"/>
          <w:color w:val="auto"/>
          <w:highlight w:val="none"/>
        </w:rPr>
      </w:pPr>
    </w:p>
    <w:p w14:paraId="4646A224">
      <w:pPr>
        <w:pStyle w:val="2"/>
        <w:rPr>
          <w:rFonts w:hint="eastAsia"/>
          <w:color w:val="auto"/>
          <w:highlight w:val="none"/>
        </w:rPr>
      </w:pPr>
    </w:p>
    <w:p w14:paraId="36C16A4F">
      <w:pPr>
        <w:rPr>
          <w:rFonts w:hint="eastAsia"/>
          <w:color w:val="auto"/>
          <w:highlight w:val="none"/>
        </w:rPr>
      </w:pPr>
    </w:p>
    <w:p w14:paraId="28C0E14B">
      <w:pPr>
        <w:numPr>
          <w:ilvl w:val="0"/>
          <w:numId w:val="21"/>
        </w:numPr>
        <w:snapToGrid w:val="0"/>
        <w:spacing w:line="400" w:lineRule="exact"/>
        <w:rPr>
          <w:rFonts w:hint="eastAsia" w:ascii="方正仿宋_GBK" w:hAnsi="方正仿宋_GBK" w:eastAsia="方正仿宋_GBK" w:cs="方正仿宋_GBK"/>
          <w:color w:val="auto"/>
          <w:highlight w:val="none"/>
        </w:rPr>
      </w:pPr>
      <w:bookmarkStart w:id="187" w:name="_Toc9090"/>
      <w:bookmarkStart w:id="188" w:name="_Toc487204798"/>
      <w:bookmarkStart w:id="189" w:name="_Toc486585241"/>
      <w:bookmarkStart w:id="190" w:name="_Toc3192"/>
      <w:bookmarkStart w:id="191" w:name="_Toc486608278"/>
      <w:r>
        <w:rPr>
          <w:rFonts w:hint="eastAsia" w:ascii="方正仿宋_GBK" w:hAnsi="方正仿宋_GBK" w:eastAsia="方正仿宋_GBK" w:cs="方正仿宋_GBK"/>
          <w:color w:val="auto"/>
          <w:highlight w:val="none"/>
        </w:rPr>
        <w:t>服务部分</w:t>
      </w:r>
      <w:bookmarkEnd w:id="187"/>
      <w:bookmarkEnd w:id="188"/>
      <w:bookmarkEnd w:id="189"/>
      <w:bookmarkEnd w:id="190"/>
      <w:bookmarkEnd w:id="191"/>
    </w:p>
    <w:p w14:paraId="4A21692A">
      <w:pPr>
        <w:rPr>
          <w:rFonts w:hint="eastAsia" w:ascii="方正仿宋_GBK" w:hAnsi="方正仿宋_GBK" w:eastAsia="方正仿宋_GBK" w:cs="方正仿宋_GBK"/>
          <w:color w:val="auto"/>
          <w:szCs w:val="24"/>
          <w:highlight w:val="none"/>
        </w:rPr>
      </w:pPr>
    </w:p>
    <w:p w14:paraId="7ECC527C">
      <w:pPr>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w:t>
      </w:r>
      <w:r>
        <w:rPr>
          <w:rFonts w:hint="eastAsia" w:ascii="方正仿宋_GBK" w:hAnsi="方正仿宋_GBK" w:eastAsia="方正仿宋_GBK" w:cs="方正仿宋_GBK"/>
          <w:color w:val="auto"/>
          <w:sz w:val="24"/>
          <w:szCs w:val="18"/>
          <w:highlight w:val="none"/>
          <w:lang w:eastAsia="zh-CN"/>
        </w:rPr>
        <w:t>一</w:t>
      </w:r>
      <w:r>
        <w:rPr>
          <w:rFonts w:hint="eastAsia" w:ascii="方正仿宋_GBK" w:hAnsi="方正仿宋_GBK" w:eastAsia="方正仿宋_GBK" w:cs="方正仿宋_GBK"/>
          <w:color w:val="auto"/>
          <w:sz w:val="24"/>
          <w:szCs w:val="18"/>
          <w:highlight w:val="none"/>
        </w:rPr>
        <w:t>）服务条款差异表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E8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7F856444">
            <w:pPr>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1"/>
                <w:szCs w:val="21"/>
                <w:highlight w:val="none"/>
              </w:rPr>
              <w:t>序号</w:t>
            </w:r>
          </w:p>
        </w:tc>
        <w:tc>
          <w:tcPr>
            <w:tcW w:w="1542" w:type="pct"/>
            <w:vAlign w:val="center"/>
          </w:tcPr>
          <w:p w14:paraId="3B648368">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1600" w:type="pct"/>
            <w:vAlign w:val="center"/>
          </w:tcPr>
          <w:p w14:paraId="1A120C9E">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9" w:type="pct"/>
            <w:vAlign w:val="center"/>
          </w:tcPr>
          <w:p w14:paraId="417AC916">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48D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99A4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4758FD07">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3BEFC2B8">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提醒：请注明技术参数或具体内容以及响应文件中技术参数或具体内容的位置（页码）</w:t>
            </w:r>
          </w:p>
        </w:tc>
        <w:tc>
          <w:tcPr>
            <w:tcW w:w="1199" w:type="pct"/>
            <w:vAlign w:val="center"/>
          </w:tcPr>
          <w:p w14:paraId="780DEA20">
            <w:pPr>
              <w:jc w:val="center"/>
              <w:rPr>
                <w:rFonts w:hint="eastAsia" w:ascii="方正仿宋_GBK" w:hAnsi="方正仿宋_GBK" w:eastAsia="方正仿宋_GBK" w:cs="方正仿宋_GBK"/>
                <w:color w:val="auto"/>
                <w:sz w:val="21"/>
                <w:szCs w:val="21"/>
                <w:highlight w:val="none"/>
              </w:rPr>
            </w:pPr>
          </w:p>
        </w:tc>
      </w:tr>
      <w:tr w14:paraId="1B45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45E63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89EDE58">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1C4BF8C">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3F50EC9">
            <w:pPr>
              <w:jc w:val="center"/>
              <w:rPr>
                <w:rFonts w:hint="eastAsia" w:ascii="方正仿宋_GBK" w:hAnsi="方正仿宋_GBK" w:eastAsia="方正仿宋_GBK" w:cs="方正仿宋_GBK"/>
                <w:color w:val="auto"/>
                <w:sz w:val="21"/>
                <w:szCs w:val="21"/>
                <w:highlight w:val="none"/>
              </w:rPr>
            </w:pPr>
          </w:p>
        </w:tc>
      </w:tr>
      <w:tr w14:paraId="474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DBAE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4B6738D">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67BDBB1">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8A7C555">
            <w:pPr>
              <w:jc w:val="center"/>
              <w:rPr>
                <w:rFonts w:hint="eastAsia" w:ascii="方正仿宋_GBK" w:hAnsi="方正仿宋_GBK" w:eastAsia="方正仿宋_GBK" w:cs="方正仿宋_GBK"/>
                <w:color w:val="auto"/>
                <w:sz w:val="21"/>
                <w:szCs w:val="21"/>
                <w:highlight w:val="none"/>
              </w:rPr>
            </w:pPr>
          </w:p>
        </w:tc>
      </w:tr>
      <w:tr w14:paraId="198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F9E152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E9E36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6909757">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0AB3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CD7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13706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03A5D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1FD25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7874E6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310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587023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6CBF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20B35D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531E78E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BCB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BAE07F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1E73F5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1A8C0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1FAC10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0A5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27929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D2F978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D3F1E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EF2F94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B7C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FBCD58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A586F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DBADB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938C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C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A7157F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9495AB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E29846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9C95B8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3C6C7B86">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28CB8FCF">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2458C0A8">
      <w:pPr>
        <w:spacing w:line="500" w:lineRule="exact"/>
        <w:ind w:firstLine="720" w:firstLineChars="3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（签署或盖章）</w:t>
      </w:r>
    </w:p>
    <w:p w14:paraId="7BE3B94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6A48E21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091676D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项目服务需求”中所列条款进行比较和响应；</w:t>
      </w:r>
    </w:p>
    <w:p w14:paraId="3DD9812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5C3B87D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3.可附相关技术（质量）支撑材料。（格式自定）</w:t>
      </w:r>
    </w:p>
    <w:p w14:paraId="72D7D797">
      <w:pPr>
        <w:tabs>
          <w:tab w:val="left" w:pos="6300"/>
        </w:tabs>
        <w:snapToGrid w:val="0"/>
        <w:spacing w:line="500" w:lineRule="exact"/>
        <w:ind w:firstLine="570"/>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 w:val="24"/>
          <w:szCs w:val="28"/>
          <w:highlight w:val="none"/>
        </w:rPr>
        <w:t>4.投标应答栏中应当注明技术参数或具体内容，且必须标注技术参数或具体内容在响应文件中的位置（页码）。</w:t>
      </w:r>
    </w:p>
    <w:p w14:paraId="15879A84">
      <w:pP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rPr>
        <w:br w:type="page"/>
      </w:r>
    </w:p>
    <w:p w14:paraId="5D769F6F">
      <w:pPr>
        <w:snapToGrid w:val="0"/>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服务方案</w:t>
      </w:r>
      <w:r>
        <w:rPr>
          <w:rFonts w:hint="eastAsia" w:ascii="方正仿宋_GBK" w:hAnsi="方正仿宋_GBK" w:eastAsia="方正仿宋_GBK" w:cs="方正仿宋_GBK"/>
          <w:color w:val="auto"/>
          <w:szCs w:val="24"/>
          <w:highlight w:val="none"/>
        </w:rPr>
        <w:br w:type="page"/>
      </w:r>
    </w:p>
    <w:p w14:paraId="2ACF4E9A">
      <w:pPr>
        <w:numPr>
          <w:ilvl w:val="0"/>
          <w:numId w:val="21"/>
        </w:numPr>
        <w:spacing w:line="360" w:lineRule="auto"/>
        <w:rPr>
          <w:rFonts w:hint="eastAsia" w:ascii="方正仿宋_GBK" w:hAnsi="方正仿宋_GBK" w:eastAsia="方正仿宋_GBK" w:cs="方正仿宋_GBK"/>
          <w:color w:val="auto"/>
          <w:highlight w:val="none"/>
        </w:rPr>
      </w:pPr>
      <w:bookmarkStart w:id="192" w:name="_Toc4362"/>
      <w:bookmarkStart w:id="193" w:name="_Toc493178791"/>
      <w:bookmarkStart w:id="194" w:name="_Toc26494"/>
      <w:bookmarkStart w:id="195" w:name="_Toc17290"/>
      <w:bookmarkStart w:id="196" w:name="_Toc10372"/>
      <w:bookmarkStart w:id="197" w:name="_Toc492721039"/>
      <w:bookmarkStart w:id="198" w:name="_Toc6786"/>
      <w:bookmarkStart w:id="199" w:name="_Toc32670"/>
      <w:bookmarkStart w:id="200" w:name="_Toc8958"/>
      <w:bookmarkStart w:id="201" w:name="_Toc7069"/>
      <w:bookmarkStart w:id="202" w:name="_Toc28242"/>
      <w:bookmarkStart w:id="203" w:name="_Toc30496"/>
      <w:bookmarkStart w:id="204" w:name="_Toc106030419"/>
      <w:bookmarkStart w:id="205" w:name="_Toc22113"/>
      <w:bookmarkStart w:id="206" w:name="_Toc23523"/>
      <w:bookmarkStart w:id="207" w:name="_Toc75793542"/>
      <w:bookmarkStart w:id="208" w:name="_Toc14954"/>
      <w:bookmarkStart w:id="209" w:name="_Toc5573"/>
      <w:r>
        <w:rPr>
          <w:rFonts w:hint="eastAsia" w:ascii="方正仿宋_GBK" w:hAnsi="方正仿宋_GBK" w:eastAsia="方正仿宋_GBK" w:cs="方正仿宋_GBK"/>
          <w:color w:val="auto"/>
          <w:highlight w:val="none"/>
        </w:rPr>
        <w:t>商务文件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32E5C54">
      <w:pPr>
        <w:rPr>
          <w:rFonts w:hint="eastAsia" w:ascii="方正仿宋_GBK" w:hAnsi="方正仿宋_GBK" w:eastAsia="方正仿宋_GBK" w:cs="方正仿宋_GBK"/>
          <w:b/>
          <w:color w:val="auto"/>
          <w:szCs w:val="28"/>
          <w:highlight w:val="none"/>
        </w:rPr>
      </w:pPr>
    </w:p>
    <w:p w14:paraId="4498D144">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w:t>
      </w:r>
      <w:r>
        <w:rPr>
          <w:rFonts w:hint="eastAsia" w:ascii="方正仿宋_GBK" w:hAnsi="方正仿宋_GBK" w:eastAsia="方正仿宋_GBK" w:cs="方正仿宋_GBK"/>
          <w:color w:val="auto"/>
          <w:sz w:val="22"/>
          <w:szCs w:val="16"/>
          <w:highlight w:val="none"/>
          <w:lang w:eastAsia="zh-CN"/>
        </w:rPr>
        <w:t>一</w:t>
      </w:r>
      <w:r>
        <w:rPr>
          <w:rFonts w:hint="eastAsia" w:ascii="方正仿宋_GBK" w:hAnsi="方正仿宋_GBK" w:eastAsia="方正仿宋_GBK" w:cs="方正仿宋_GBK"/>
          <w:color w:val="auto"/>
          <w:sz w:val="22"/>
          <w:szCs w:val="16"/>
          <w:highlight w:val="none"/>
        </w:rPr>
        <w:t>）商务条款偏离表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66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5A0F3D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序号</w:t>
            </w:r>
          </w:p>
        </w:tc>
        <w:tc>
          <w:tcPr>
            <w:tcW w:w="1541" w:type="pct"/>
            <w:vAlign w:val="center"/>
          </w:tcPr>
          <w:p w14:paraId="7AB88780">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招标商务要求</w:t>
            </w:r>
          </w:p>
        </w:tc>
        <w:tc>
          <w:tcPr>
            <w:tcW w:w="1600" w:type="pct"/>
            <w:vAlign w:val="center"/>
          </w:tcPr>
          <w:p w14:paraId="1433435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投标商务应答</w:t>
            </w:r>
          </w:p>
        </w:tc>
        <w:tc>
          <w:tcPr>
            <w:tcW w:w="1198" w:type="pct"/>
            <w:vAlign w:val="center"/>
          </w:tcPr>
          <w:p w14:paraId="0DAC4F62">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差异说明</w:t>
            </w:r>
          </w:p>
        </w:tc>
      </w:tr>
      <w:tr w14:paraId="51D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126645">
            <w:pPr>
              <w:rPr>
                <w:rFonts w:hint="eastAsia" w:ascii="方正仿宋_GBK" w:hAnsi="方正仿宋_GBK" w:eastAsia="方正仿宋_GBK" w:cs="方正仿宋_GBK"/>
                <w:color w:val="auto"/>
                <w:sz w:val="22"/>
                <w:szCs w:val="16"/>
                <w:highlight w:val="none"/>
              </w:rPr>
            </w:pPr>
          </w:p>
        </w:tc>
        <w:tc>
          <w:tcPr>
            <w:tcW w:w="1541" w:type="pct"/>
            <w:vAlign w:val="center"/>
          </w:tcPr>
          <w:p w14:paraId="01EA5D41">
            <w:pPr>
              <w:rPr>
                <w:rFonts w:hint="eastAsia" w:ascii="方正仿宋_GBK" w:hAnsi="方正仿宋_GBK" w:eastAsia="方正仿宋_GBK" w:cs="方正仿宋_GBK"/>
                <w:color w:val="auto"/>
                <w:sz w:val="22"/>
                <w:szCs w:val="16"/>
                <w:highlight w:val="none"/>
              </w:rPr>
            </w:pPr>
          </w:p>
        </w:tc>
        <w:tc>
          <w:tcPr>
            <w:tcW w:w="1600" w:type="pct"/>
            <w:vAlign w:val="center"/>
          </w:tcPr>
          <w:p w14:paraId="17084794">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提醒：请注明具体内容以及响应文件中具体内容的位置（页码）</w:t>
            </w:r>
          </w:p>
        </w:tc>
        <w:tc>
          <w:tcPr>
            <w:tcW w:w="1198" w:type="pct"/>
            <w:vAlign w:val="center"/>
          </w:tcPr>
          <w:p w14:paraId="33AEBEC1">
            <w:pPr>
              <w:rPr>
                <w:rFonts w:hint="eastAsia" w:ascii="方正仿宋_GBK" w:hAnsi="方正仿宋_GBK" w:eastAsia="方正仿宋_GBK" w:cs="方正仿宋_GBK"/>
                <w:color w:val="auto"/>
                <w:sz w:val="22"/>
                <w:szCs w:val="16"/>
                <w:highlight w:val="none"/>
              </w:rPr>
            </w:pPr>
          </w:p>
        </w:tc>
      </w:tr>
      <w:tr w14:paraId="1D6B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C832D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1B53675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9AFD9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1A3FD2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F3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0A4C63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3C54610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C1C175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2CB893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8BB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BB90B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08ABD92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3B6A62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111F39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65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DFC2F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F484E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405230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41CF7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42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DB318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6ACA8DC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7AE761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AF640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89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4FD315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405ADAA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8822E4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53620D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7B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255DE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462B0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ED3A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08D9F44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690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348AB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BB23D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5BBFC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FD8539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61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56343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7B1EEBB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C469AE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BB2A49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17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0BBC8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0F9A2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49A82B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694B20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887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DD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D122E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3560F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FD4F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01A597E1">
      <w:pPr>
        <w:spacing w:line="500" w:lineRule="exact"/>
        <w:ind w:firstLine="600" w:firstLineChars="250"/>
        <w:rPr>
          <w:rFonts w:hint="eastAsia" w:ascii="方正仿宋_GBK" w:hAnsi="方正仿宋_GBK" w:eastAsia="方正仿宋_GBK" w:cs="方正仿宋_GBK"/>
          <w:color w:val="auto"/>
          <w:sz w:val="24"/>
          <w:szCs w:val="28"/>
          <w:highlight w:val="none"/>
        </w:rPr>
      </w:pPr>
    </w:p>
    <w:p w14:paraId="48C04E3B">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14860FD2">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（供应商公章）                               （签署或盖章）</w:t>
      </w:r>
    </w:p>
    <w:p w14:paraId="761996D2">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4EBBE495">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193D10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项目商务需求”中所列条款进行比较和响应；</w:t>
      </w:r>
    </w:p>
    <w:p w14:paraId="56A93FEF">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2.本表可扩展。</w:t>
      </w:r>
    </w:p>
    <w:p w14:paraId="36069B9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8"/>
          <w:highlight w:val="none"/>
        </w:rPr>
        <w:t>3.投标应答栏中应当注明具体内容，且必须标注具体内容在响应文件中的位置（页码）。</w:t>
      </w:r>
    </w:p>
    <w:p w14:paraId="368C2C60">
      <w:pPr>
        <w:tabs>
          <w:tab w:val="left" w:pos="6300"/>
        </w:tabs>
        <w:snapToGrid w:val="0"/>
        <w:spacing w:line="500" w:lineRule="exact"/>
        <w:ind w:firstLine="56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二</w:t>
      </w:r>
      <w:r>
        <w:rPr>
          <w:rFonts w:hint="eastAsia" w:ascii="方正仿宋_GBK" w:hAnsi="方正仿宋_GBK" w:eastAsia="方正仿宋_GBK" w:cs="方正仿宋_GBK"/>
          <w:color w:val="auto"/>
          <w:sz w:val="24"/>
          <w:szCs w:val="28"/>
          <w:highlight w:val="none"/>
        </w:rPr>
        <w:t>）其他优惠承诺</w:t>
      </w:r>
    </w:p>
    <w:p w14:paraId="238B15A3">
      <w:pPr>
        <w:rPr>
          <w:color w:val="auto"/>
          <w:highlight w:val="none"/>
        </w:rPr>
      </w:pPr>
      <w:r>
        <w:rPr>
          <w:rFonts w:hint="eastAsia" w:ascii="方正仿宋_GBK" w:hAnsi="方正仿宋_GBK" w:eastAsia="方正仿宋_GBK" w:cs="方正仿宋_GBK"/>
          <w:color w:val="auto"/>
          <w:sz w:val="24"/>
          <w:highlight w:val="none"/>
        </w:rPr>
        <w:br w:type="page"/>
      </w:r>
    </w:p>
    <w:p w14:paraId="29C9D71F">
      <w:pPr>
        <w:numPr>
          <w:ilvl w:val="0"/>
          <w:numId w:val="21"/>
        </w:numPr>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资格条件及其他</w:t>
      </w:r>
    </w:p>
    <w:p w14:paraId="3F4E8FFC">
      <w:pPr>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（一）法人营业执照（副本）或事业单位法人证书（副本）或个体工商户营业执照或有效的自然人身份证明或社会团体法人登记证书复印件</w:t>
      </w:r>
    </w:p>
    <w:p w14:paraId="43F69A9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6694E60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794A42BB">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30EF011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5C0A6EB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745DFF0">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r>
        <w:rPr>
          <w:rFonts w:hint="eastAsia" w:ascii="方正仿宋_GBK" w:hAnsi="方正仿宋_GBK" w:eastAsia="方正仿宋_GBK" w:cs="方正仿宋_GBK"/>
          <w:color w:val="auto"/>
          <w:sz w:val="24"/>
          <w:highlight w:val="none"/>
        </w:rPr>
        <w:t>（二）法定代表人身份证明书（格式）</w:t>
      </w:r>
    </w:p>
    <w:p w14:paraId="6EACA6EB">
      <w:pPr>
        <w:tabs>
          <w:tab w:val="left" w:pos="6300"/>
        </w:tabs>
        <w:snapToGrid w:val="0"/>
        <w:spacing w:line="500" w:lineRule="exact"/>
        <w:rPr>
          <w:rFonts w:hint="eastAsia" w:ascii="方正仿宋_GBK" w:hAnsi="方正仿宋_GBK" w:eastAsia="方正仿宋_GBK" w:cs="方正仿宋_GBK"/>
          <w:color w:val="auto"/>
          <w:sz w:val="24"/>
          <w:highlight w:val="none"/>
        </w:rPr>
      </w:pPr>
    </w:p>
    <w:p w14:paraId="708C701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u w:val="single"/>
        </w:rPr>
        <w:t xml:space="preserve">                                                </w:t>
      </w:r>
    </w:p>
    <w:p w14:paraId="56B42F3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59833DBF">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（采购人名称）：</w:t>
      </w:r>
    </w:p>
    <w:p w14:paraId="1AE4A52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（法定代表人姓名）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（性别）在</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（职务名称）职务，是（供应商名称）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的法定代表人。</w:t>
      </w:r>
    </w:p>
    <w:p w14:paraId="50A077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71CE02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69CFEEA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902E570">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F28EE0D">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w:t>
      </w:r>
    </w:p>
    <w:p w14:paraId="504145EF">
      <w:pPr>
        <w:tabs>
          <w:tab w:val="left" w:pos="6300"/>
        </w:tabs>
        <w:snapToGrid w:val="0"/>
        <w:spacing w:line="500" w:lineRule="exact"/>
        <w:ind w:firstLine="5848" w:firstLineChars="2437"/>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7324BA29">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306BD04">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148E21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法定代表人电话：XXXXXXX      电子邮箱：XXXXXX@XXXXX（若授权他人办理并签署响应文件的可不填写）</w:t>
      </w:r>
    </w:p>
    <w:p w14:paraId="2BAF319C">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7B0EEAE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0655EFAB">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D8277F">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4700B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97DC6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3C470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highlight w:val="none"/>
        </w:rPr>
        <w:br w:type="column"/>
      </w:r>
      <w:r>
        <w:rPr>
          <w:rFonts w:hint="eastAsia" w:ascii="方正仿宋_GBK" w:hAnsi="宋体" w:eastAsia="方正仿宋_GBK"/>
          <w:color w:val="auto"/>
          <w:sz w:val="24"/>
          <w:szCs w:val="24"/>
          <w:highlight w:val="none"/>
        </w:rPr>
        <w:t>（三）法定代表人授权委托书（格式）</w:t>
      </w:r>
    </w:p>
    <w:p w14:paraId="087D790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0992F8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1FC11F0B">
      <w:pPr>
        <w:tabs>
          <w:tab w:val="left" w:pos="6300"/>
        </w:tabs>
        <w:snapToGrid w:val="0"/>
        <w:spacing w:line="500" w:lineRule="exact"/>
        <w:ind w:firstLine="570"/>
        <w:rPr>
          <w:rFonts w:hint="eastAsia" w:ascii="方正仿宋_GBK" w:hAnsi="宋体" w:eastAsia="方正仿宋_GBK"/>
          <w:color w:val="auto"/>
          <w:sz w:val="24"/>
          <w:highlight w:val="none"/>
        </w:rPr>
      </w:pPr>
    </w:p>
    <w:p w14:paraId="4ED0AA09">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（采购人名称）：</w:t>
      </w:r>
    </w:p>
    <w:p w14:paraId="3617E839">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（被授权人姓名及身份证代码）代表我单位全权办理上述项目的磋商、签约等具体工作，并签署全部有关文件、协议及合同。</w:t>
      </w:r>
    </w:p>
    <w:p w14:paraId="4E349B16">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532E86AA">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3AF10246">
      <w:pPr>
        <w:tabs>
          <w:tab w:val="left" w:pos="6300"/>
        </w:tabs>
        <w:snapToGrid w:val="0"/>
        <w:spacing w:line="500" w:lineRule="exact"/>
        <w:ind w:firstLine="570"/>
        <w:rPr>
          <w:rFonts w:hint="eastAsia" w:ascii="方正仿宋_GBK" w:hAnsi="宋体" w:eastAsia="方正仿宋_GBK"/>
          <w:color w:val="auto"/>
          <w:sz w:val="24"/>
          <w:highlight w:val="none"/>
        </w:rPr>
      </w:pPr>
    </w:p>
    <w:p w14:paraId="4AF0FB17">
      <w:pPr>
        <w:tabs>
          <w:tab w:val="left" w:pos="6300"/>
        </w:tabs>
        <w:snapToGrid w:val="0"/>
        <w:spacing w:line="500" w:lineRule="exact"/>
        <w:ind w:firstLine="570"/>
        <w:rPr>
          <w:rFonts w:hint="eastAsia" w:ascii="方正仿宋_GBK" w:hAnsi="宋体" w:eastAsia="方正仿宋_GBK"/>
          <w:color w:val="auto"/>
          <w:sz w:val="24"/>
          <w:highlight w:val="none"/>
        </w:rPr>
      </w:pPr>
    </w:p>
    <w:p w14:paraId="19DD7C0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60EB9D69">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4A02BDEE">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663D25CE">
      <w:pPr>
        <w:tabs>
          <w:tab w:val="left" w:pos="6300"/>
        </w:tabs>
        <w:snapToGrid w:val="0"/>
        <w:spacing w:line="500" w:lineRule="exact"/>
        <w:ind w:firstLine="570"/>
        <w:rPr>
          <w:rFonts w:hint="eastAsia" w:ascii="方正仿宋_GBK" w:hAnsi="宋体" w:eastAsia="方正仿宋_GBK"/>
          <w:color w:val="auto"/>
          <w:sz w:val="24"/>
          <w:highlight w:val="none"/>
        </w:rPr>
      </w:pPr>
    </w:p>
    <w:p w14:paraId="52E0419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00409A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496AF1D4">
      <w:pPr>
        <w:tabs>
          <w:tab w:val="left" w:pos="6300"/>
        </w:tabs>
        <w:snapToGrid w:val="0"/>
        <w:spacing w:line="500" w:lineRule="exact"/>
        <w:ind w:firstLine="570"/>
        <w:rPr>
          <w:rFonts w:hint="eastAsia" w:ascii="方正仿宋_GBK" w:hAnsi="宋体" w:eastAsia="方正仿宋_GBK"/>
          <w:color w:val="auto"/>
          <w:sz w:val="24"/>
          <w:highlight w:val="none"/>
        </w:rPr>
      </w:pPr>
    </w:p>
    <w:p w14:paraId="26CC24AA">
      <w:pPr>
        <w:tabs>
          <w:tab w:val="left" w:pos="6300"/>
        </w:tabs>
        <w:snapToGrid w:val="0"/>
        <w:spacing w:line="500" w:lineRule="exact"/>
        <w:ind w:firstLine="570"/>
        <w:rPr>
          <w:rFonts w:hint="eastAsia" w:ascii="方正仿宋_GBK" w:hAnsi="宋体" w:eastAsia="方正仿宋_GBK"/>
          <w:color w:val="auto"/>
          <w:sz w:val="24"/>
          <w:highlight w:val="none"/>
        </w:rPr>
      </w:pPr>
    </w:p>
    <w:p w14:paraId="00A75D0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2FA8DC7D">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C1F866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6074A880">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76710ED6">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6A532DDD">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p>
    <w:p w14:paraId="1413568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（四）基本资格条件承诺函</w:t>
      </w:r>
    </w:p>
    <w:p w14:paraId="44EB00F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基本资格条件承诺函</w:t>
      </w:r>
    </w:p>
    <w:p w14:paraId="0691A721">
      <w:pPr>
        <w:tabs>
          <w:tab w:val="left" w:pos="6300"/>
        </w:tabs>
        <w:snapToGrid w:val="0"/>
        <w:spacing w:line="530" w:lineRule="exact"/>
        <w:rPr>
          <w:rFonts w:hint="eastAsia" w:ascii="方正仿宋_GBK" w:hAnsi="方正仿宋_GBK" w:eastAsia="方正仿宋_GBK" w:cs="方正仿宋_GBK"/>
          <w:color w:val="auto"/>
          <w:sz w:val="24"/>
          <w:highlight w:val="none"/>
        </w:rPr>
      </w:pPr>
    </w:p>
    <w:p w14:paraId="1CC55FD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（采购人名称）：</w:t>
      </w:r>
    </w:p>
    <w:p w14:paraId="5AF9FC6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（供应商名称）郑重承诺：</w:t>
      </w:r>
    </w:p>
    <w:p w14:paraId="435460E5">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highlight w:val="none"/>
          <w:lang w:val="zh-CN"/>
        </w:rPr>
        <w:t>有依法缴纳税收和社会保障金的良好记录</w:t>
      </w:r>
      <w:r>
        <w:rPr>
          <w:rFonts w:hint="eastAsia" w:ascii="方正仿宋_GBK" w:hAnsi="方正仿宋_GBK" w:eastAsia="方正仿宋_GBK" w:cs="方正仿宋_GBK"/>
          <w:color w:val="auto"/>
          <w:sz w:val="24"/>
          <w:highlight w:val="none"/>
        </w:rPr>
        <w:t>，参加本项目采购活动前三年内无重大违法活动记录。</w:t>
      </w:r>
    </w:p>
    <w:p w14:paraId="1715FF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1F757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8E46AFE">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7DE97387">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0001F968">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66C9CBE4">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669FE41C">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1EFEFEA9">
      <w:pPr>
        <w:snapToGrid w:val="0"/>
        <w:spacing w:line="440" w:lineRule="exact"/>
        <w:ind w:firstLine="480" w:firstLineChars="200"/>
        <w:rPr>
          <w:rFonts w:hint="eastAsia" w:ascii="方正仿宋_GBK" w:hAnsi="方正仿宋_GBK" w:eastAsia="方正仿宋_GBK" w:cs="方正仿宋_GBK"/>
          <w:color w:val="auto"/>
          <w:sz w:val="24"/>
          <w:szCs w:val="24"/>
          <w:highlight w:val="none"/>
        </w:rPr>
      </w:pPr>
    </w:p>
    <w:p w14:paraId="377C4FDE">
      <w:pPr>
        <w:spacing w:line="400" w:lineRule="exact"/>
        <w:rPr>
          <w:rFonts w:hint="eastAsia" w:ascii="方正仿宋_GBK" w:hAnsi="方正仿宋_GBK" w:eastAsia="方正仿宋_GBK" w:cs="方正仿宋_GBK"/>
          <w:color w:val="auto"/>
          <w:highlight w:val="none"/>
        </w:rPr>
      </w:pPr>
    </w:p>
    <w:p w14:paraId="3710D383">
      <w:pPr>
        <w:spacing w:line="400" w:lineRule="exact"/>
        <w:rPr>
          <w:rFonts w:hint="eastAsia" w:ascii="方正仿宋_GBK" w:hAnsi="方正仿宋_GBK" w:eastAsia="方正仿宋_GBK" w:cs="方正仿宋_GBK"/>
          <w:color w:val="auto"/>
          <w:highlight w:val="none"/>
        </w:rPr>
      </w:pPr>
    </w:p>
    <w:p w14:paraId="1B8F1698">
      <w:pPr>
        <w:spacing w:line="400" w:lineRule="exact"/>
        <w:rPr>
          <w:rFonts w:hint="eastAsia" w:ascii="方正仿宋_GBK" w:hAnsi="方正仿宋_GBK" w:eastAsia="方正仿宋_GBK" w:cs="方正仿宋_GBK"/>
          <w:color w:val="auto"/>
          <w:highlight w:val="none"/>
        </w:rPr>
      </w:pPr>
    </w:p>
    <w:p w14:paraId="5B627C11">
      <w:pPr>
        <w:spacing w:line="400" w:lineRule="exact"/>
        <w:rPr>
          <w:rFonts w:hint="eastAsia" w:ascii="方正仿宋_GBK" w:hAnsi="方正仿宋_GBK" w:eastAsia="方正仿宋_GBK" w:cs="方正仿宋_GBK"/>
          <w:color w:val="auto"/>
          <w:highlight w:val="none"/>
        </w:rPr>
      </w:pPr>
    </w:p>
    <w:p w14:paraId="6C3E7084">
      <w:pPr>
        <w:spacing w:line="400" w:lineRule="exact"/>
        <w:rPr>
          <w:rFonts w:hint="eastAsia" w:ascii="方正仿宋_GBK" w:hAnsi="方正仿宋_GBK" w:eastAsia="方正仿宋_GBK" w:cs="方正仿宋_GBK"/>
          <w:color w:val="auto"/>
          <w:highlight w:val="none"/>
        </w:rPr>
      </w:pPr>
    </w:p>
    <w:p w14:paraId="326F57B6">
      <w:pPr>
        <w:spacing w:line="400" w:lineRule="exact"/>
        <w:rPr>
          <w:rFonts w:hint="eastAsia" w:ascii="方正仿宋_GBK" w:hAnsi="方正仿宋_GBK" w:eastAsia="方正仿宋_GBK" w:cs="方正仿宋_GBK"/>
          <w:color w:val="auto"/>
          <w:highlight w:val="none"/>
        </w:rPr>
      </w:pPr>
    </w:p>
    <w:p w14:paraId="7484C059">
      <w:pPr>
        <w:spacing w:line="400" w:lineRule="exact"/>
        <w:rPr>
          <w:rFonts w:hint="eastAsia" w:ascii="方正仿宋_GBK" w:hAnsi="方正仿宋_GBK" w:eastAsia="方正仿宋_GBK" w:cs="方正仿宋_GBK"/>
          <w:color w:val="auto"/>
          <w:highlight w:val="none"/>
        </w:rPr>
      </w:pPr>
    </w:p>
    <w:p w14:paraId="23D4115E">
      <w:pPr>
        <w:spacing w:line="400" w:lineRule="exact"/>
        <w:rPr>
          <w:rFonts w:hint="eastAsia" w:ascii="方正仿宋_GBK" w:hAnsi="方正仿宋_GBK" w:eastAsia="方正仿宋_GBK" w:cs="方正仿宋_GBK"/>
          <w:color w:val="auto"/>
          <w:highlight w:val="none"/>
        </w:rPr>
      </w:pPr>
    </w:p>
    <w:p w14:paraId="19AB0084">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503F98B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32D2EA11">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（五）特定资格条件证书或证明文件</w:t>
      </w:r>
      <w:r>
        <w:rPr>
          <w:rFonts w:hint="eastAsia" w:ascii="方正仿宋_GBK" w:hAnsi="方正仿宋_GBK" w:eastAsia="方正仿宋_GBK" w:cs="方正仿宋_GBK"/>
          <w:color w:val="auto"/>
          <w:sz w:val="24"/>
          <w:highlight w:val="none"/>
          <w:lang w:eastAsia="zh-CN"/>
        </w:rPr>
        <w:t>（如果有）</w:t>
      </w:r>
    </w:p>
    <w:p w14:paraId="606A677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11140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33A46C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DBA3269">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B2CB21F">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CBA3024">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D5CFF5">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E97E60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45FCC3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A2B477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962152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2D30A82">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546E8A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C5931A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1B46CF9">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3CF3F3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9E8527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9AF43C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943481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2A362F6">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FC3465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D43B65C">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139893A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1EF2E35">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CB5D4AF">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16B1224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9D3DE7C">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0E2100C">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eastAsia="zh-CN"/>
        </w:rPr>
        <w:t>（六）其他资料</w:t>
      </w:r>
    </w:p>
    <w:p w14:paraId="04D3AB3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75C3013">
      <w:pPr>
        <w:tabs>
          <w:tab w:val="left" w:pos="6300"/>
        </w:tabs>
        <w:snapToGrid w:val="0"/>
        <w:spacing w:line="500" w:lineRule="exact"/>
        <w:jc w:val="left"/>
        <w:rPr>
          <w:rFonts w:hint="eastAsia" w:ascii="方正仿宋_GBK" w:hAnsi="方正仿宋_GBK" w:eastAsia="方正仿宋_GBK" w:cs="方正仿宋_GBK"/>
          <w:color w:val="auto"/>
          <w:sz w:val="24"/>
          <w:highlight w:val="none"/>
        </w:rPr>
      </w:pPr>
    </w:p>
    <w:p w14:paraId="72CF1FB6">
      <w:pPr>
        <w:pStyle w:val="7"/>
        <w:jc w:val="center"/>
        <w:rPr>
          <w:rFonts w:hint="eastAsia"/>
          <w:color w:val="auto"/>
          <w:highlight w:val="none"/>
        </w:rPr>
      </w:pPr>
    </w:p>
    <w:p w14:paraId="334BD62B">
      <w:pPr>
        <w:pStyle w:val="7"/>
        <w:jc w:val="center"/>
        <w:rPr>
          <w:rFonts w:hint="eastAsia"/>
          <w:color w:val="auto"/>
          <w:highlight w:val="none"/>
        </w:rPr>
      </w:pPr>
    </w:p>
    <w:p w14:paraId="30FC4FBA">
      <w:pPr>
        <w:pStyle w:val="7"/>
        <w:jc w:val="center"/>
        <w:rPr>
          <w:rFonts w:hint="eastAsia"/>
          <w:color w:val="auto"/>
          <w:highlight w:val="none"/>
        </w:rPr>
      </w:pPr>
    </w:p>
    <w:p w14:paraId="5D5295AC">
      <w:pPr>
        <w:pStyle w:val="7"/>
        <w:jc w:val="center"/>
        <w:rPr>
          <w:rFonts w:hint="eastAsia"/>
          <w:color w:val="auto"/>
          <w:highlight w:val="none"/>
        </w:rPr>
      </w:pPr>
    </w:p>
    <w:p w14:paraId="10474EC5">
      <w:pPr>
        <w:pStyle w:val="7"/>
        <w:jc w:val="center"/>
        <w:rPr>
          <w:rFonts w:hint="eastAsia"/>
          <w:color w:val="auto"/>
          <w:highlight w:val="none"/>
        </w:rPr>
      </w:pPr>
    </w:p>
    <w:p w14:paraId="1884CB71">
      <w:pPr>
        <w:pStyle w:val="7"/>
        <w:jc w:val="center"/>
        <w:rPr>
          <w:rFonts w:hint="eastAsia"/>
          <w:color w:val="auto"/>
          <w:highlight w:val="none"/>
        </w:rPr>
      </w:pPr>
    </w:p>
    <w:p w14:paraId="5D03AD31">
      <w:pPr>
        <w:pStyle w:val="7"/>
        <w:jc w:val="center"/>
        <w:rPr>
          <w:rFonts w:hint="eastAsia"/>
          <w:color w:val="auto"/>
          <w:highlight w:val="none"/>
        </w:rPr>
      </w:pPr>
    </w:p>
    <w:p w14:paraId="28BA7969">
      <w:pPr>
        <w:pStyle w:val="7"/>
        <w:jc w:val="center"/>
        <w:rPr>
          <w:rFonts w:hint="eastAsia"/>
          <w:color w:val="auto"/>
          <w:highlight w:val="none"/>
        </w:rPr>
      </w:pPr>
    </w:p>
    <w:p w14:paraId="36AD339A">
      <w:pPr>
        <w:pStyle w:val="7"/>
        <w:jc w:val="center"/>
        <w:rPr>
          <w:color w:val="auto"/>
          <w:highlight w:val="none"/>
        </w:rPr>
      </w:pPr>
      <w:r>
        <w:rPr>
          <w:rFonts w:hint="eastAsia"/>
          <w:color w:val="auto"/>
          <w:highlight w:val="none"/>
        </w:rPr>
        <w:t>（结束）</w:t>
      </w:r>
    </w:p>
    <w:p w14:paraId="2DA16799">
      <w:pPr>
        <w:pStyle w:val="5"/>
        <w:ind w:left="560"/>
        <w:rPr>
          <w:rFonts w:hint="eastAsia" w:ascii="方正仿宋_GBK" w:hAnsi="方正仿宋_GBK" w:eastAsia="方正仿宋_GBK" w:cs="方正仿宋_GBK"/>
          <w:color w:val="auto"/>
          <w:sz w:val="24"/>
          <w:szCs w:val="24"/>
          <w:highlight w:val="none"/>
        </w:rPr>
      </w:pPr>
    </w:p>
    <w:p w14:paraId="24102B74">
      <w:pPr>
        <w:rPr>
          <w:rFonts w:hint="eastAsia" w:ascii="方正仿宋_GBK" w:hAnsi="方正仿宋_GBK" w:eastAsia="方正仿宋_GBK" w:cs="方正仿宋_GBK"/>
          <w:color w:val="auto"/>
          <w:sz w:val="24"/>
          <w:szCs w:val="24"/>
          <w:highlight w:val="none"/>
        </w:rPr>
      </w:pPr>
    </w:p>
    <w:p w14:paraId="1B5FD6F0">
      <w:pPr>
        <w:pStyle w:val="5"/>
        <w:ind w:left="560"/>
        <w:rPr>
          <w:rFonts w:hint="eastAsia" w:ascii="方正仿宋_GBK" w:hAnsi="方正仿宋_GBK" w:eastAsia="方正仿宋_GBK" w:cs="方正仿宋_GBK"/>
          <w:color w:val="auto"/>
          <w:sz w:val="24"/>
          <w:szCs w:val="24"/>
          <w:highlight w:val="none"/>
        </w:rPr>
      </w:pPr>
    </w:p>
    <w:p w14:paraId="46C567D7">
      <w:pPr>
        <w:rPr>
          <w:rFonts w:hint="eastAsia" w:ascii="方正仿宋_GBK" w:hAnsi="方正仿宋_GBK" w:eastAsia="方正仿宋_GBK" w:cs="方正仿宋_GBK"/>
          <w:color w:val="auto"/>
          <w:sz w:val="24"/>
          <w:szCs w:val="24"/>
          <w:highlight w:val="none"/>
        </w:rPr>
      </w:pPr>
    </w:p>
    <w:p w14:paraId="1E2D74DB">
      <w:pPr>
        <w:pStyle w:val="5"/>
        <w:ind w:left="560"/>
        <w:rPr>
          <w:rFonts w:hint="eastAsia" w:ascii="方正仿宋_GBK" w:hAnsi="方正仿宋_GBK" w:eastAsia="方正仿宋_GBK" w:cs="方正仿宋_GBK"/>
          <w:color w:val="auto"/>
          <w:sz w:val="24"/>
          <w:szCs w:val="24"/>
          <w:highlight w:val="none"/>
        </w:rPr>
      </w:pPr>
    </w:p>
    <w:p w14:paraId="50E8AF8D">
      <w:pPr>
        <w:rPr>
          <w:rFonts w:hint="eastAsia" w:ascii="方正仿宋_GBK" w:hAnsi="方正仿宋_GBK" w:eastAsia="方正仿宋_GBK" w:cs="方正仿宋_GBK"/>
          <w:color w:val="auto"/>
          <w:sz w:val="24"/>
          <w:szCs w:val="24"/>
          <w:highlight w:val="none"/>
        </w:rPr>
      </w:pPr>
    </w:p>
    <w:p w14:paraId="09A3A4B2">
      <w:pPr>
        <w:pStyle w:val="5"/>
        <w:ind w:left="560"/>
        <w:rPr>
          <w:rFonts w:hint="eastAsia" w:ascii="方正仿宋_GBK" w:hAnsi="方正仿宋_GBK" w:eastAsia="方正仿宋_GBK" w:cs="方正仿宋_GBK"/>
          <w:color w:val="auto"/>
          <w:sz w:val="24"/>
          <w:szCs w:val="24"/>
          <w:highlight w:val="none"/>
        </w:rPr>
      </w:pPr>
    </w:p>
    <w:p w14:paraId="65F1E66D">
      <w:pPr>
        <w:rPr>
          <w:rFonts w:hint="eastAsia" w:ascii="方正仿宋_GBK" w:hAnsi="方正仿宋_GBK" w:eastAsia="方正仿宋_GBK" w:cs="方正仿宋_GBK"/>
          <w:color w:val="auto"/>
          <w:sz w:val="24"/>
          <w:szCs w:val="24"/>
          <w:highlight w:val="none"/>
        </w:rPr>
      </w:pPr>
    </w:p>
    <w:sectPr>
      <w:headerReference r:id="rId8" w:type="default"/>
      <w:footerReference r:id="rId9"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656C61-067F-4D82-B126-C9846131E7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DFDF4CB-859C-4085-8EB2-19137C9BC462}"/>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方正仿宋_GBK">
    <w:panose1 w:val="02000000000000000000"/>
    <w:charset w:val="86"/>
    <w:family w:val="script"/>
    <w:pitch w:val="default"/>
    <w:sig w:usb0="A00002BF" w:usb1="38CF7CFA" w:usb2="00082016" w:usb3="00000000" w:csb0="00040001" w:csb1="00000000"/>
    <w:embedRegular r:id="rId3" w:fontKey="{4BC63293-BC0D-4A28-BCB8-915789CBCD5F}"/>
  </w:font>
  <w:font w:name="方正小标宋_GBK">
    <w:panose1 w:val="03000509000000000000"/>
    <w:charset w:val="86"/>
    <w:family w:val="script"/>
    <w:pitch w:val="default"/>
    <w:sig w:usb0="00000001" w:usb1="080E0000" w:usb2="00000000" w:usb3="00000000" w:csb0="00040000" w:csb1="00000000"/>
    <w:embedRegular r:id="rId4" w:fontKey="{3A203583-F7F5-4E67-8BE1-FD7061ACF353}"/>
  </w:font>
  <w:font w:name="方正细圆简体">
    <w:altName w:val="微软雅黑"/>
    <w:panose1 w:val="00000000000000000000"/>
    <w:charset w:val="86"/>
    <w:family w:val="auto"/>
    <w:pitch w:val="default"/>
    <w:sig w:usb0="00000000" w:usb1="00000000" w:usb2="00000010" w:usb3="00000000" w:csb0="00040000" w:csb1="00000000"/>
    <w:embedRegular r:id="rId5" w:fontKey="{775FC558-6F54-4FB2-B174-DFD21DAA7D1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F4D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CF4B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4CF4B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3588">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30155A2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D41F">
    <w:pPr>
      <w:pStyle w:val="14"/>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5C3C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85C3C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601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C6D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8C6D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D0DA">
    <w:pPr>
      <w:pStyle w:val="15"/>
      <w:jc w:val="left"/>
      <w:rPr>
        <w:b/>
        <w:bCs/>
      </w:rPr>
    </w:pPr>
    <w:r>
      <w:rPr>
        <w:rFonts w:hint="eastAsia" w:ascii="仿宋" w:hAnsi="仿宋" w:eastAsia="仿宋" w:cs="宋体"/>
        <w:b/>
        <w:bCs/>
      </w:rPr>
      <w:t>重庆璟浩工程咨询有限公司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E3D">
    <w:pPr>
      <w:pStyle w:val="15"/>
    </w:pPr>
    <w:r>
      <w:rPr>
        <w:rFonts w:hint="eastAsia" w:ascii="仿宋" w:hAnsi="仿宋" w:eastAsia="仿宋" w:cs="宋体"/>
        <w:b/>
        <w:bCs/>
      </w:rPr>
      <w:t>重庆璟浩工程咨询有限公司                                                                        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483B">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91A6"/>
    <w:multiLevelType w:val="singleLevel"/>
    <w:tmpl w:val="871C91A6"/>
    <w:lvl w:ilvl="0" w:tentative="0">
      <w:start w:val="1"/>
      <w:numFmt w:val="decimal"/>
      <w:lvlText w:val="%1."/>
      <w:lvlJc w:val="left"/>
      <w:pPr>
        <w:ind w:left="1055" w:hanging="425"/>
      </w:pPr>
      <w:rPr>
        <w:rFonts w:hint="default"/>
      </w:rPr>
    </w:lvl>
  </w:abstractNum>
  <w:abstractNum w:abstractNumId="1">
    <w:nsid w:val="87DB049F"/>
    <w:multiLevelType w:val="singleLevel"/>
    <w:tmpl w:val="87DB049F"/>
    <w:lvl w:ilvl="0" w:tentative="0">
      <w:start w:val="1"/>
      <w:numFmt w:val="decimalEnclosedCircleChinese"/>
      <w:suff w:val="nothing"/>
      <w:lvlText w:val="%1　"/>
      <w:lvlJc w:val="left"/>
      <w:pPr>
        <w:ind w:left="570" w:firstLine="400"/>
      </w:pPr>
      <w:rPr>
        <w:rFonts w:hint="eastAsia"/>
      </w:rPr>
    </w:lvl>
  </w:abstractNum>
  <w:abstractNum w:abstractNumId="2">
    <w:nsid w:val="A1B7CC58"/>
    <w:multiLevelType w:val="singleLevel"/>
    <w:tmpl w:val="A1B7CC58"/>
    <w:lvl w:ilvl="0" w:tentative="0">
      <w:start w:val="1"/>
      <w:numFmt w:val="decimalEnclosedCircleChinese"/>
      <w:suff w:val="nothing"/>
      <w:lvlText w:val="%1　"/>
      <w:lvlJc w:val="left"/>
      <w:pPr>
        <w:ind w:left="570" w:firstLine="400"/>
      </w:pPr>
      <w:rPr>
        <w:rFonts w:hint="eastAsia"/>
      </w:rPr>
    </w:lvl>
  </w:abstractNum>
  <w:abstractNum w:abstractNumId="3">
    <w:nsid w:val="AE696741"/>
    <w:multiLevelType w:val="singleLevel"/>
    <w:tmpl w:val="AE696741"/>
    <w:lvl w:ilvl="0" w:tentative="0">
      <w:start w:val="1"/>
      <w:numFmt w:val="chineseCounting"/>
      <w:suff w:val="nothing"/>
      <w:lvlText w:val="%1、"/>
      <w:lvlJc w:val="left"/>
      <w:pPr>
        <w:ind w:left="0" w:firstLine="420"/>
      </w:pPr>
      <w:rPr>
        <w:rFonts w:hint="eastAsia"/>
      </w:rPr>
    </w:lvl>
  </w:abstractNum>
  <w:abstractNum w:abstractNumId="4">
    <w:nsid w:val="B3C31223"/>
    <w:multiLevelType w:val="singleLevel"/>
    <w:tmpl w:val="B3C31223"/>
    <w:lvl w:ilvl="0" w:tentative="0">
      <w:start w:val="1"/>
      <w:numFmt w:val="decimal"/>
      <w:lvlText w:val="%1."/>
      <w:lvlJc w:val="left"/>
      <w:pPr>
        <w:ind w:left="1055" w:hanging="425"/>
      </w:pPr>
      <w:rPr>
        <w:rFonts w:hint="default"/>
      </w:rPr>
    </w:lvl>
  </w:abstractNum>
  <w:abstractNum w:abstractNumId="5">
    <w:nsid w:val="BEB9E105"/>
    <w:multiLevelType w:val="singleLevel"/>
    <w:tmpl w:val="BEB9E105"/>
    <w:lvl w:ilvl="0" w:tentative="0">
      <w:start w:val="1"/>
      <w:numFmt w:val="chineseCounting"/>
      <w:suff w:val="nothing"/>
      <w:lvlText w:val="%1、"/>
      <w:lvlJc w:val="left"/>
      <w:pPr>
        <w:ind w:left="0" w:firstLine="420"/>
      </w:pPr>
      <w:rPr>
        <w:rFonts w:hint="eastAsia"/>
      </w:rPr>
    </w:lvl>
  </w:abstractNum>
  <w:abstractNum w:abstractNumId="6">
    <w:nsid w:val="C10EFC23"/>
    <w:multiLevelType w:val="singleLevel"/>
    <w:tmpl w:val="C10EFC23"/>
    <w:lvl w:ilvl="0" w:tentative="0">
      <w:start w:val="1"/>
      <w:numFmt w:val="decimal"/>
      <w:lvlText w:val="%1."/>
      <w:lvlJc w:val="left"/>
      <w:pPr>
        <w:ind w:left="1055" w:hanging="425"/>
      </w:pPr>
      <w:rPr>
        <w:rFonts w:hint="default"/>
      </w:rPr>
    </w:lvl>
  </w:abstractNum>
  <w:abstractNum w:abstractNumId="7">
    <w:nsid w:val="D4604AC8"/>
    <w:multiLevelType w:val="singleLevel"/>
    <w:tmpl w:val="D4604AC8"/>
    <w:lvl w:ilvl="0" w:tentative="0">
      <w:start w:val="1"/>
      <w:numFmt w:val="chineseCounting"/>
      <w:suff w:val="nothing"/>
      <w:lvlText w:val="（%1）"/>
      <w:lvlJc w:val="left"/>
      <w:rPr>
        <w:rFonts w:hint="eastAsia"/>
      </w:rPr>
    </w:lvl>
  </w:abstractNum>
  <w:abstractNum w:abstractNumId="8">
    <w:nsid w:val="E509A139"/>
    <w:multiLevelType w:val="singleLevel"/>
    <w:tmpl w:val="E509A139"/>
    <w:lvl w:ilvl="0" w:tentative="0">
      <w:start w:val="1"/>
      <w:numFmt w:val="decimalEnclosedCircleChinese"/>
      <w:suff w:val="nothing"/>
      <w:lvlText w:val="%1　"/>
      <w:lvlJc w:val="left"/>
      <w:pPr>
        <w:ind w:left="570" w:firstLine="400"/>
      </w:pPr>
      <w:rPr>
        <w:rFonts w:hint="eastAsia"/>
      </w:rPr>
    </w:lvl>
  </w:abstractNum>
  <w:abstractNum w:abstractNumId="9">
    <w:nsid w:val="E81DEC47"/>
    <w:multiLevelType w:val="singleLevel"/>
    <w:tmpl w:val="E81DEC47"/>
    <w:lvl w:ilvl="0" w:tentative="0">
      <w:start w:val="1"/>
      <w:numFmt w:val="decimal"/>
      <w:lvlText w:val="%1."/>
      <w:lvlJc w:val="left"/>
      <w:pPr>
        <w:ind w:left="1055" w:hanging="425"/>
      </w:pPr>
      <w:rPr>
        <w:rFonts w:hint="default"/>
      </w:rPr>
    </w:lvl>
  </w:abstractNum>
  <w:abstractNum w:abstractNumId="10">
    <w:nsid w:val="13CD5B2A"/>
    <w:multiLevelType w:val="singleLevel"/>
    <w:tmpl w:val="13CD5B2A"/>
    <w:lvl w:ilvl="0" w:tentative="0">
      <w:start w:val="2"/>
      <w:numFmt w:val="chineseCounting"/>
      <w:suff w:val="space"/>
      <w:lvlText w:val="第%1部分"/>
      <w:lvlJc w:val="left"/>
      <w:rPr>
        <w:rFonts w:hint="eastAsia"/>
      </w:rPr>
    </w:lvl>
  </w:abstractNum>
  <w:abstractNum w:abstractNumId="11">
    <w:nsid w:val="19341078"/>
    <w:multiLevelType w:val="singleLevel"/>
    <w:tmpl w:val="19341078"/>
    <w:lvl w:ilvl="0" w:tentative="0">
      <w:start w:val="1"/>
      <w:numFmt w:val="chineseCounting"/>
      <w:suff w:val="nothing"/>
      <w:lvlText w:val="%1、"/>
      <w:lvlJc w:val="left"/>
      <w:pPr>
        <w:ind w:left="0" w:firstLine="420"/>
      </w:pPr>
      <w:rPr>
        <w:rFonts w:hint="eastAsia"/>
      </w:rPr>
    </w:lvl>
  </w:abstractNum>
  <w:abstractNum w:abstractNumId="12">
    <w:nsid w:val="285E4B5D"/>
    <w:multiLevelType w:val="singleLevel"/>
    <w:tmpl w:val="285E4B5D"/>
    <w:lvl w:ilvl="0" w:tentative="0">
      <w:start w:val="1"/>
      <w:numFmt w:val="decimal"/>
      <w:lvlText w:val="%1."/>
      <w:lvlJc w:val="left"/>
      <w:pPr>
        <w:ind w:left="1055" w:hanging="425"/>
      </w:pPr>
      <w:rPr>
        <w:rFonts w:hint="default"/>
      </w:rPr>
    </w:lvl>
  </w:abstractNum>
  <w:abstractNum w:abstractNumId="13">
    <w:nsid w:val="33EA5EB7"/>
    <w:multiLevelType w:val="singleLevel"/>
    <w:tmpl w:val="33EA5EB7"/>
    <w:lvl w:ilvl="0" w:tentative="0">
      <w:start w:val="1"/>
      <w:numFmt w:val="decimalEnclosedCircleChinese"/>
      <w:suff w:val="nothing"/>
      <w:lvlText w:val="%1　"/>
      <w:lvlJc w:val="left"/>
      <w:pPr>
        <w:ind w:left="570" w:firstLine="400"/>
      </w:pPr>
      <w:rPr>
        <w:rFonts w:hint="eastAsia"/>
      </w:rPr>
    </w:lvl>
  </w:abstractNum>
  <w:abstractNum w:abstractNumId="14">
    <w:nsid w:val="462D3959"/>
    <w:multiLevelType w:val="singleLevel"/>
    <w:tmpl w:val="462D3959"/>
    <w:lvl w:ilvl="0" w:tentative="0">
      <w:start w:val="1"/>
      <w:numFmt w:val="decimal"/>
      <w:lvlText w:val="%1."/>
      <w:lvlJc w:val="left"/>
      <w:pPr>
        <w:ind w:left="1055" w:hanging="425"/>
      </w:pPr>
      <w:rPr>
        <w:rFonts w:hint="default"/>
      </w:rPr>
    </w:lvl>
  </w:abstractNum>
  <w:abstractNum w:abstractNumId="15">
    <w:nsid w:val="483CD81B"/>
    <w:multiLevelType w:val="singleLevel"/>
    <w:tmpl w:val="483CD81B"/>
    <w:lvl w:ilvl="0" w:tentative="0">
      <w:start w:val="2"/>
      <w:numFmt w:val="chineseCounting"/>
      <w:suff w:val="nothing"/>
      <w:lvlText w:val="%1、"/>
      <w:lvlJc w:val="left"/>
      <w:rPr>
        <w:rFonts w:hint="eastAsia"/>
      </w:rPr>
    </w:lvl>
  </w:abstractNum>
  <w:abstractNum w:abstractNumId="16">
    <w:nsid w:val="4E0A0500"/>
    <w:multiLevelType w:val="singleLevel"/>
    <w:tmpl w:val="4E0A0500"/>
    <w:lvl w:ilvl="0" w:tentative="0">
      <w:start w:val="1"/>
      <w:numFmt w:val="chineseCounting"/>
      <w:suff w:val="nothing"/>
      <w:lvlText w:val="%1、"/>
      <w:lvlJc w:val="left"/>
      <w:pPr>
        <w:ind w:left="0" w:firstLine="420"/>
      </w:pPr>
      <w:rPr>
        <w:rFonts w:hint="eastAsia"/>
      </w:rPr>
    </w:lvl>
  </w:abstractNum>
  <w:abstractNum w:abstractNumId="17">
    <w:nsid w:val="52308251"/>
    <w:multiLevelType w:val="singleLevel"/>
    <w:tmpl w:val="52308251"/>
    <w:lvl w:ilvl="0" w:tentative="0">
      <w:start w:val="1"/>
      <w:numFmt w:val="decimal"/>
      <w:lvlText w:val="%1."/>
      <w:lvlJc w:val="left"/>
      <w:pPr>
        <w:ind w:left="1055" w:hanging="425"/>
      </w:pPr>
      <w:rPr>
        <w:rFonts w:hint="default"/>
      </w:rPr>
    </w:lvl>
  </w:abstractNum>
  <w:abstractNum w:abstractNumId="18">
    <w:nsid w:val="5A272F86"/>
    <w:multiLevelType w:val="singleLevel"/>
    <w:tmpl w:val="5A272F86"/>
    <w:lvl w:ilvl="0" w:tentative="0">
      <w:start w:val="2"/>
      <w:numFmt w:val="chineseCounting"/>
      <w:suff w:val="nothing"/>
      <w:lvlText w:val="（%1）"/>
      <w:lvlJc w:val="left"/>
      <w:rPr>
        <w:rFonts w:hint="eastAsia"/>
      </w:rPr>
    </w:lvl>
  </w:abstractNum>
  <w:abstractNum w:abstractNumId="19">
    <w:nsid w:val="64F7617D"/>
    <w:multiLevelType w:val="singleLevel"/>
    <w:tmpl w:val="64F7617D"/>
    <w:lvl w:ilvl="0" w:tentative="0">
      <w:start w:val="1"/>
      <w:numFmt w:val="chineseCounting"/>
      <w:suff w:val="nothing"/>
      <w:lvlText w:val="%1、"/>
      <w:lvlJc w:val="left"/>
      <w:rPr>
        <w:rFonts w:hint="eastAsia"/>
      </w:rPr>
    </w:lvl>
  </w:abstractNum>
  <w:abstractNum w:abstractNumId="20">
    <w:nsid w:val="7D764751"/>
    <w:multiLevelType w:val="singleLevel"/>
    <w:tmpl w:val="7D764751"/>
    <w:lvl w:ilvl="0" w:tentative="0">
      <w:start w:val="3"/>
      <w:numFmt w:val="chineseCounting"/>
      <w:suff w:val="space"/>
      <w:lvlText w:val="第%1篇"/>
      <w:lvlJc w:val="left"/>
      <w:rPr>
        <w:rFonts w:hint="eastAsia"/>
      </w:rPr>
    </w:lvl>
  </w:abstractNum>
  <w:num w:numId="1">
    <w:abstractNumId w:val="18"/>
  </w:num>
  <w:num w:numId="2">
    <w:abstractNumId w:val="20"/>
  </w:num>
  <w:num w:numId="3">
    <w:abstractNumId w:val="15"/>
  </w:num>
  <w:num w:numId="4">
    <w:abstractNumId w:val="7"/>
  </w:num>
  <w:num w:numId="5">
    <w:abstractNumId w:val="11"/>
  </w:num>
  <w:num w:numId="6">
    <w:abstractNumId w:val="0"/>
  </w:num>
  <w:num w:numId="7">
    <w:abstractNumId w:val="14"/>
  </w:num>
  <w:num w:numId="8">
    <w:abstractNumId w:val="10"/>
  </w:num>
  <w:num w:numId="9">
    <w:abstractNumId w:val="5"/>
  </w:num>
  <w:num w:numId="10">
    <w:abstractNumId w:val="17"/>
  </w:num>
  <w:num w:numId="11">
    <w:abstractNumId w:val="6"/>
  </w:num>
  <w:num w:numId="12">
    <w:abstractNumId w:val="13"/>
  </w:num>
  <w:num w:numId="13">
    <w:abstractNumId w:val="3"/>
  </w:num>
  <w:num w:numId="14">
    <w:abstractNumId w:val="12"/>
  </w:num>
  <w:num w:numId="15">
    <w:abstractNumId w:val="8"/>
  </w:num>
  <w:num w:numId="16">
    <w:abstractNumId w:val="4"/>
  </w:num>
  <w:num w:numId="17">
    <w:abstractNumId w:val="1"/>
  </w:num>
  <w:num w:numId="18">
    <w:abstractNumId w:val="2"/>
  </w:num>
  <w:num w:numId="19">
    <w:abstractNumId w:val="9"/>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TZkNGJmMjBkY2RjNTc3YjVmNDYxZjQwN2ZlMWUifQ=="/>
  </w:docVars>
  <w:rsids>
    <w:rsidRoot w:val="4DEF5E83"/>
    <w:rsid w:val="001C0BF9"/>
    <w:rsid w:val="002A0829"/>
    <w:rsid w:val="003229F9"/>
    <w:rsid w:val="009314F6"/>
    <w:rsid w:val="00A241E2"/>
    <w:rsid w:val="00AB27B8"/>
    <w:rsid w:val="00CF2445"/>
    <w:rsid w:val="00D54920"/>
    <w:rsid w:val="00F941FA"/>
    <w:rsid w:val="010131A7"/>
    <w:rsid w:val="01782C45"/>
    <w:rsid w:val="01B87D5F"/>
    <w:rsid w:val="02A27CF7"/>
    <w:rsid w:val="02D20C1F"/>
    <w:rsid w:val="02FC6AF6"/>
    <w:rsid w:val="032D4760"/>
    <w:rsid w:val="0333432F"/>
    <w:rsid w:val="036C5C5C"/>
    <w:rsid w:val="037E30D1"/>
    <w:rsid w:val="038500F8"/>
    <w:rsid w:val="03A70F25"/>
    <w:rsid w:val="03AC20C9"/>
    <w:rsid w:val="04223B99"/>
    <w:rsid w:val="042E69E2"/>
    <w:rsid w:val="0493138A"/>
    <w:rsid w:val="04D85F23"/>
    <w:rsid w:val="050414F1"/>
    <w:rsid w:val="05290F57"/>
    <w:rsid w:val="05467D5B"/>
    <w:rsid w:val="05654685"/>
    <w:rsid w:val="056E4905"/>
    <w:rsid w:val="057332A8"/>
    <w:rsid w:val="05AE345A"/>
    <w:rsid w:val="06A32425"/>
    <w:rsid w:val="06B70870"/>
    <w:rsid w:val="07697D31"/>
    <w:rsid w:val="07B15B08"/>
    <w:rsid w:val="07B471FE"/>
    <w:rsid w:val="08D47934"/>
    <w:rsid w:val="098324D2"/>
    <w:rsid w:val="098F1CD1"/>
    <w:rsid w:val="0A743A81"/>
    <w:rsid w:val="0AE45737"/>
    <w:rsid w:val="0AEF67D4"/>
    <w:rsid w:val="0C611B8E"/>
    <w:rsid w:val="0C770FC2"/>
    <w:rsid w:val="0C9910B8"/>
    <w:rsid w:val="0CB63DBF"/>
    <w:rsid w:val="0CF32576"/>
    <w:rsid w:val="0D057EFC"/>
    <w:rsid w:val="0D1F2DFE"/>
    <w:rsid w:val="0D8A776F"/>
    <w:rsid w:val="0E715230"/>
    <w:rsid w:val="101C58C4"/>
    <w:rsid w:val="102B7629"/>
    <w:rsid w:val="105C48D7"/>
    <w:rsid w:val="106877E7"/>
    <w:rsid w:val="10AA3894"/>
    <w:rsid w:val="116544B1"/>
    <w:rsid w:val="11751EFC"/>
    <w:rsid w:val="11E30F4E"/>
    <w:rsid w:val="13276B00"/>
    <w:rsid w:val="13540CE3"/>
    <w:rsid w:val="13936861"/>
    <w:rsid w:val="13FF7A53"/>
    <w:rsid w:val="14152623"/>
    <w:rsid w:val="14997EA7"/>
    <w:rsid w:val="14AE0CDA"/>
    <w:rsid w:val="15211C4B"/>
    <w:rsid w:val="15344EF4"/>
    <w:rsid w:val="15770AE8"/>
    <w:rsid w:val="160A5D40"/>
    <w:rsid w:val="17340E19"/>
    <w:rsid w:val="18694035"/>
    <w:rsid w:val="18CD6371"/>
    <w:rsid w:val="19212219"/>
    <w:rsid w:val="1957287E"/>
    <w:rsid w:val="1960032A"/>
    <w:rsid w:val="19A80DC9"/>
    <w:rsid w:val="1A2D1FED"/>
    <w:rsid w:val="1A653468"/>
    <w:rsid w:val="1ABD5F72"/>
    <w:rsid w:val="1B2D30CF"/>
    <w:rsid w:val="1B55787A"/>
    <w:rsid w:val="1B8934C7"/>
    <w:rsid w:val="1BB6167F"/>
    <w:rsid w:val="1C4865E5"/>
    <w:rsid w:val="1C8B4B07"/>
    <w:rsid w:val="1C9D13F9"/>
    <w:rsid w:val="1CD048C1"/>
    <w:rsid w:val="1D6B7F07"/>
    <w:rsid w:val="1D925B8A"/>
    <w:rsid w:val="1DB216A4"/>
    <w:rsid w:val="1E2B7565"/>
    <w:rsid w:val="1EB308A5"/>
    <w:rsid w:val="1F7405B1"/>
    <w:rsid w:val="203C379F"/>
    <w:rsid w:val="21224D81"/>
    <w:rsid w:val="219D08AB"/>
    <w:rsid w:val="21E12896"/>
    <w:rsid w:val="22155FAB"/>
    <w:rsid w:val="225856E4"/>
    <w:rsid w:val="22A63C2D"/>
    <w:rsid w:val="22C562CD"/>
    <w:rsid w:val="231B7B7A"/>
    <w:rsid w:val="232C638A"/>
    <w:rsid w:val="236723EA"/>
    <w:rsid w:val="23897339"/>
    <w:rsid w:val="24912949"/>
    <w:rsid w:val="24AA7567"/>
    <w:rsid w:val="25094B3F"/>
    <w:rsid w:val="258242A3"/>
    <w:rsid w:val="25893620"/>
    <w:rsid w:val="25BE5CC5"/>
    <w:rsid w:val="26AB7B5B"/>
    <w:rsid w:val="26C93665"/>
    <w:rsid w:val="26F70B82"/>
    <w:rsid w:val="27147861"/>
    <w:rsid w:val="27637EA1"/>
    <w:rsid w:val="27764078"/>
    <w:rsid w:val="27B9485D"/>
    <w:rsid w:val="27BF5BC8"/>
    <w:rsid w:val="28171FD2"/>
    <w:rsid w:val="2899437D"/>
    <w:rsid w:val="28DF032D"/>
    <w:rsid w:val="296D59A0"/>
    <w:rsid w:val="29702FAD"/>
    <w:rsid w:val="2AE05372"/>
    <w:rsid w:val="2B326508"/>
    <w:rsid w:val="2B6709C4"/>
    <w:rsid w:val="2BBF53D5"/>
    <w:rsid w:val="2BD650E5"/>
    <w:rsid w:val="2CAA24D4"/>
    <w:rsid w:val="2CEA709A"/>
    <w:rsid w:val="2CFE2B46"/>
    <w:rsid w:val="2DB92430"/>
    <w:rsid w:val="2E132621"/>
    <w:rsid w:val="2EC93486"/>
    <w:rsid w:val="2F454A5C"/>
    <w:rsid w:val="2FB96DD9"/>
    <w:rsid w:val="30E005E5"/>
    <w:rsid w:val="31A619F8"/>
    <w:rsid w:val="31D41AA5"/>
    <w:rsid w:val="31D6499F"/>
    <w:rsid w:val="31F43B9D"/>
    <w:rsid w:val="32676A97"/>
    <w:rsid w:val="3268462F"/>
    <w:rsid w:val="3272322F"/>
    <w:rsid w:val="328F34B6"/>
    <w:rsid w:val="32B011BC"/>
    <w:rsid w:val="33521A86"/>
    <w:rsid w:val="33750DA6"/>
    <w:rsid w:val="33F1416E"/>
    <w:rsid w:val="35011425"/>
    <w:rsid w:val="350519CA"/>
    <w:rsid w:val="353A4937"/>
    <w:rsid w:val="3547648D"/>
    <w:rsid w:val="356544C7"/>
    <w:rsid w:val="35771216"/>
    <w:rsid w:val="35987B8D"/>
    <w:rsid w:val="363520FB"/>
    <w:rsid w:val="367139CE"/>
    <w:rsid w:val="36D36DF1"/>
    <w:rsid w:val="3789228D"/>
    <w:rsid w:val="37A24350"/>
    <w:rsid w:val="37FD732F"/>
    <w:rsid w:val="38BE37BC"/>
    <w:rsid w:val="3919775A"/>
    <w:rsid w:val="39451F9F"/>
    <w:rsid w:val="39704576"/>
    <w:rsid w:val="3979525D"/>
    <w:rsid w:val="39A24859"/>
    <w:rsid w:val="39C37F20"/>
    <w:rsid w:val="3A3C3485"/>
    <w:rsid w:val="3AAF3477"/>
    <w:rsid w:val="3AAF786D"/>
    <w:rsid w:val="3AB160D5"/>
    <w:rsid w:val="3B31058A"/>
    <w:rsid w:val="3BFD113E"/>
    <w:rsid w:val="3C1926A8"/>
    <w:rsid w:val="3C2A6D55"/>
    <w:rsid w:val="3CA040CD"/>
    <w:rsid w:val="3D6E2D89"/>
    <w:rsid w:val="3D753879"/>
    <w:rsid w:val="3D7D2A20"/>
    <w:rsid w:val="3DBE08A9"/>
    <w:rsid w:val="3E377B2F"/>
    <w:rsid w:val="3E9A0C6C"/>
    <w:rsid w:val="3EF0645B"/>
    <w:rsid w:val="3FA550A3"/>
    <w:rsid w:val="3FB026E8"/>
    <w:rsid w:val="3FE91433"/>
    <w:rsid w:val="404A3285"/>
    <w:rsid w:val="40694082"/>
    <w:rsid w:val="41417280"/>
    <w:rsid w:val="41684B4C"/>
    <w:rsid w:val="41744D2D"/>
    <w:rsid w:val="419F6289"/>
    <w:rsid w:val="41AB652E"/>
    <w:rsid w:val="423144EF"/>
    <w:rsid w:val="42FC4EA8"/>
    <w:rsid w:val="432E655F"/>
    <w:rsid w:val="43FA7557"/>
    <w:rsid w:val="46155B08"/>
    <w:rsid w:val="46192347"/>
    <w:rsid w:val="46357180"/>
    <w:rsid w:val="46665873"/>
    <w:rsid w:val="468679DC"/>
    <w:rsid w:val="46B3312C"/>
    <w:rsid w:val="479B6000"/>
    <w:rsid w:val="49027FE8"/>
    <w:rsid w:val="49CA74E0"/>
    <w:rsid w:val="49E369F5"/>
    <w:rsid w:val="4AC93198"/>
    <w:rsid w:val="4B3F63AB"/>
    <w:rsid w:val="4B594059"/>
    <w:rsid w:val="4BCA6B34"/>
    <w:rsid w:val="4BD1512D"/>
    <w:rsid w:val="4C670DF0"/>
    <w:rsid w:val="4C770C39"/>
    <w:rsid w:val="4C8C608C"/>
    <w:rsid w:val="4D0104F9"/>
    <w:rsid w:val="4D0F047A"/>
    <w:rsid w:val="4D126EAC"/>
    <w:rsid w:val="4D5819A6"/>
    <w:rsid w:val="4DEF5E83"/>
    <w:rsid w:val="4E3A10AC"/>
    <w:rsid w:val="4F046A5D"/>
    <w:rsid w:val="4F0516BA"/>
    <w:rsid w:val="4F977F9F"/>
    <w:rsid w:val="4FD322A6"/>
    <w:rsid w:val="4FE45692"/>
    <w:rsid w:val="5038161B"/>
    <w:rsid w:val="504852D5"/>
    <w:rsid w:val="50690566"/>
    <w:rsid w:val="509C153C"/>
    <w:rsid w:val="50ED2F48"/>
    <w:rsid w:val="514744C0"/>
    <w:rsid w:val="517C3D6C"/>
    <w:rsid w:val="5186459D"/>
    <w:rsid w:val="51C75820"/>
    <w:rsid w:val="51E93115"/>
    <w:rsid w:val="51EB103B"/>
    <w:rsid w:val="51FF6894"/>
    <w:rsid w:val="5215304F"/>
    <w:rsid w:val="525C5004"/>
    <w:rsid w:val="52AB07CA"/>
    <w:rsid w:val="52B775E1"/>
    <w:rsid w:val="52FD2E8D"/>
    <w:rsid w:val="531130E7"/>
    <w:rsid w:val="53180B34"/>
    <w:rsid w:val="534F1B12"/>
    <w:rsid w:val="535A7887"/>
    <w:rsid w:val="53AC5E79"/>
    <w:rsid w:val="53B84F4D"/>
    <w:rsid w:val="53CD66E0"/>
    <w:rsid w:val="54001B3E"/>
    <w:rsid w:val="54703A7A"/>
    <w:rsid w:val="548062A4"/>
    <w:rsid w:val="55CB16B9"/>
    <w:rsid w:val="55DE6D3A"/>
    <w:rsid w:val="56A54175"/>
    <w:rsid w:val="56C836F9"/>
    <w:rsid w:val="56F800AF"/>
    <w:rsid w:val="570858F2"/>
    <w:rsid w:val="57C230D5"/>
    <w:rsid w:val="57DC0F5F"/>
    <w:rsid w:val="588C08D1"/>
    <w:rsid w:val="59561490"/>
    <w:rsid w:val="5A180D4E"/>
    <w:rsid w:val="5AC056CA"/>
    <w:rsid w:val="5B5B4F5B"/>
    <w:rsid w:val="5B6E20A4"/>
    <w:rsid w:val="5B8F3C7E"/>
    <w:rsid w:val="5C5251DF"/>
    <w:rsid w:val="5CB02956"/>
    <w:rsid w:val="5CB62EC5"/>
    <w:rsid w:val="5CF60D2A"/>
    <w:rsid w:val="5D725FF1"/>
    <w:rsid w:val="5D8B36D2"/>
    <w:rsid w:val="5DFE04B3"/>
    <w:rsid w:val="5EE93CAC"/>
    <w:rsid w:val="5F1F0576"/>
    <w:rsid w:val="5F506A56"/>
    <w:rsid w:val="5F97237B"/>
    <w:rsid w:val="5FE536D5"/>
    <w:rsid w:val="5FEB66AA"/>
    <w:rsid w:val="60616F20"/>
    <w:rsid w:val="614F3918"/>
    <w:rsid w:val="61515E49"/>
    <w:rsid w:val="6232470C"/>
    <w:rsid w:val="634E31D8"/>
    <w:rsid w:val="63B72157"/>
    <w:rsid w:val="64370110"/>
    <w:rsid w:val="643B5584"/>
    <w:rsid w:val="64567B35"/>
    <w:rsid w:val="645C744A"/>
    <w:rsid w:val="64610CE9"/>
    <w:rsid w:val="64B41760"/>
    <w:rsid w:val="65512720"/>
    <w:rsid w:val="65F06D2C"/>
    <w:rsid w:val="66646CC6"/>
    <w:rsid w:val="66BB2590"/>
    <w:rsid w:val="66E203D8"/>
    <w:rsid w:val="670859D2"/>
    <w:rsid w:val="671B7922"/>
    <w:rsid w:val="672A74A7"/>
    <w:rsid w:val="677F153E"/>
    <w:rsid w:val="67A07E5F"/>
    <w:rsid w:val="6813679E"/>
    <w:rsid w:val="690946BA"/>
    <w:rsid w:val="6AE04B74"/>
    <w:rsid w:val="6AF01C56"/>
    <w:rsid w:val="6B272C8C"/>
    <w:rsid w:val="6BA50055"/>
    <w:rsid w:val="6C710B23"/>
    <w:rsid w:val="6C9D7D69"/>
    <w:rsid w:val="6CEB1A97"/>
    <w:rsid w:val="6D396CA7"/>
    <w:rsid w:val="6E1E4550"/>
    <w:rsid w:val="6EAD3978"/>
    <w:rsid w:val="6F443096"/>
    <w:rsid w:val="6F5778B8"/>
    <w:rsid w:val="70235A3C"/>
    <w:rsid w:val="704E0CBB"/>
    <w:rsid w:val="70D21129"/>
    <w:rsid w:val="70E51287"/>
    <w:rsid w:val="71557AF1"/>
    <w:rsid w:val="71780AA4"/>
    <w:rsid w:val="72A46970"/>
    <w:rsid w:val="73835A79"/>
    <w:rsid w:val="73A00AF1"/>
    <w:rsid w:val="741837D0"/>
    <w:rsid w:val="74542618"/>
    <w:rsid w:val="74A569D0"/>
    <w:rsid w:val="74FD0F42"/>
    <w:rsid w:val="74FD4A5E"/>
    <w:rsid w:val="75D32535"/>
    <w:rsid w:val="75F05AFC"/>
    <w:rsid w:val="762878B8"/>
    <w:rsid w:val="768B3D56"/>
    <w:rsid w:val="76C01EF0"/>
    <w:rsid w:val="774C5829"/>
    <w:rsid w:val="777110D9"/>
    <w:rsid w:val="77C11D73"/>
    <w:rsid w:val="791553F6"/>
    <w:rsid w:val="799B1910"/>
    <w:rsid w:val="79B44B41"/>
    <w:rsid w:val="7A024B57"/>
    <w:rsid w:val="7A373298"/>
    <w:rsid w:val="7A41363F"/>
    <w:rsid w:val="7A542AC5"/>
    <w:rsid w:val="7AB61F4E"/>
    <w:rsid w:val="7B5628D6"/>
    <w:rsid w:val="7B721153"/>
    <w:rsid w:val="7B826770"/>
    <w:rsid w:val="7BEF3A58"/>
    <w:rsid w:val="7C025669"/>
    <w:rsid w:val="7C030480"/>
    <w:rsid w:val="7C331A1A"/>
    <w:rsid w:val="7C4C02E1"/>
    <w:rsid w:val="7C7D2A53"/>
    <w:rsid w:val="7D692412"/>
    <w:rsid w:val="7DD926ED"/>
    <w:rsid w:val="7E2F71EE"/>
    <w:rsid w:val="7EC41BEB"/>
    <w:rsid w:val="7ED21848"/>
    <w:rsid w:val="7EE534A5"/>
    <w:rsid w:val="7F0B3EEA"/>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napToGrid w:val="0"/>
      <w:spacing w:line="360" w:lineRule="auto"/>
      <w:jc w:val="left"/>
    </w:pPr>
    <w:rPr>
      <w:rFonts w:ascii="宋体" w:hAnsi="Courier New" w:eastAsia="Times New Roman"/>
      <w:color w:val="000000"/>
      <w:kern w:val="0"/>
      <w:lang w:eastAsia="en-US" w:bidi="en-US"/>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0"/>
    <w:pPr>
      <w:ind w:left="420" w:leftChars="200"/>
    </w:pPr>
  </w:style>
  <w:style w:type="paragraph" w:styleId="19">
    <w:name w:val="Body Text First Indent 2"/>
    <w:basedOn w:val="8"/>
    <w:next w:val="1"/>
    <w:qFormat/>
    <w:uiPriority w:val="0"/>
    <w:pPr>
      <w:spacing w:after="12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autoRedefine/>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32">
    <w:name w:val="正文缩2"/>
    <w:autoRedefine/>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character" w:customStyle="1" w:styleId="33">
    <w:name w:val="font31"/>
    <w:basedOn w:val="22"/>
    <w:autoRedefine/>
    <w:qFormat/>
    <w:uiPriority w:val="0"/>
    <w:rPr>
      <w:rFonts w:hint="eastAsia" w:ascii="宋体" w:hAnsi="宋体" w:eastAsia="宋体" w:cs="宋体"/>
      <w:b/>
      <w:bCs/>
      <w:color w:val="000000"/>
      <w:sz w:val="20"/>
      <w:szCs w:val="20"/>
      <w:u w:val="none"/>
    </w:rPr>
  </w:style>
  <w:style w:type="paragraph" w:customStyle="1" w:styleId="34">
    <w:name w:val="正文文本1"/>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customStyle="1" w:styleId="35">
    <w:name w:val="正文文本 (2)"/>
    <w:basedOn w:val="1"/>
    <w:qFormat/>
    <w:uiPriority w:val="0"/>
    <w:pPr>
      <w:shd w:val="clear" w:color="auto" w:fill="FFFFFF"/>
      <w:spacing w:after="180"/>
      <w:ind w:firstLine="220"/>
      <w:jc w:val="left"/>
    </w:pPr>
    <w:rPr>
      <w:rFonts w:ascii="Gulim" w:hAnsi="Gulim" w:eastAsia="Gulim" w:cs="Gulim"/>
      <w:kern w:val="0"/>
      <w:sz w:val="20"/>
      <w:lang w:val="zh-CN" w:bidi="zh-CN"/>
    </w:rPr>
  </w:style>
  <w:style w:type="paragraph" w:customStyle="1" w:styleId="36">
    <w:name w:val="其他"/>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style>
  <w:style w:type="paragraph" w:customStyle="1" w:styleId="39">
    <w:name w:val="p0"/>
    <w:basedOn w:val="1"/>
    <w:qFormat/>
    <w:uiPriority w:val="99"/>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7997</Words>
  <Characters>8359</Characters>
  <Lines>108</Lines>
  <Paragraphs>30</Paragraphs>
  <TotalTime>18</TotalTime>
  <ScaleCrop>false</ScaleCrop>
  <LinksUpToDate>false</LinksUpToDate>
  <CharactersWithSpaces>8534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一</cp:lastModifiedBy>
  <cp:lastPrinted>2024-05-24T04:05:00Z</cp:lastPrinted>
  <dcterms:modified xsi:type="dcterms:W3CDTF">2025-06-23T06:54:44Z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5EC88CB8D7794D648EE9B1696507ACFE_13</vt:lpwstr>
  </property>
  <property fmtid="{D5CDD505-2E9C-101B-9397-08002B2CF9AE}" pid="4" name="KSOTemplateDocerSaveRecord">
    <vt:lpwstr>eyJoZGlkIjoiODhlMzg4YWU0MDMyYjM1MWY5NTBiYmU1YWI5ZTdlMmIiLCJ1c2VySWQiOiIxNDQ1MDc0OSJ9</vt:lpwstr>
  </property>
</Properties>
</file>