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869BCC">
      <w:pPr>
        <w:jc w:val="center"/>
        <w:outlineLvl w:val="0"/>
        <w:rPr>
          <w:rFonts w:hint="eastAsia" w:ascii="方正小标宋_GBK" w:hAnsi="方正小标宋_GBK" w:eastAsia="方正小标宋_GBK" w:cs="方正小标宋_GBK"/>
          <w:spacing w:val="80"/>
          <w:sz w:val="96"/>
          <w:szCs w:val="96"/>
        </w:rPr>
      </w:pPr>
    </w:p>
    <w:p w14:paraId="1DBA8E02">
      <w:pPr>
        <w:jc w:val="center"/>
        <w:outlineLvl w:val="0"/>
        <w:rPr>
          <w:rFonts w:ascii="方正小标宋_GBK" w:hAnsi="方正小标宋_GBK" w:eastAsia="方正小标宋_GBK" w:cs="方正小标宋_GBK"/>
          <w:spacing w:val="80"/>
          <w:sz w:val="96"/>
          <w:szCs w:val="96"/>
        </w:rPr>
      </w:pPr>
      <w:r>
        <w:rPr>
          <w:rFonts w:hint="eastAsia" w:ascii="方正小标宋_GBK" w:hAnsi="方正小标宋_GBK" w:eastAsia="方正小标宋_GBK" w:cs="方正小标宋_GBK"/>
          <w:spacing w:val="80"/>
          <w:sz w:val="96"/>
          <w:szCs w:val="96"/>
        </w:rPr>
        <w:t>货物网上竞采文件</w:t>
      </w:r>
    </w:p>
    <w:p w14:paraId="49C7A104">
      <w:pPr>
        <w:spacing w:line="700" w:lineRule="exact"/>
        <w:jc w:val="center"/>
        <w:rPr>
          <w:rFonts w:hint="default" w:ascii="方正小标宋_GBK" w:hAnsi="方正小标宋_GBK" w:eastAsia="方正小标宋_GBK" w:cs="方正小标宋_GBK"/>
          <w:sz w:val="48"/>
          <w:szCs w:val="48"/>
          <w:lang w:val="en-US" w:eastAsia="zh-CN"/>
        </w:rPr>
      </w:pPr>
      <w:r>
        <w:rPr>
          <w:rFonts w:hint="eastAsia" w:ascii="方正小标宋_GBK" w:hAnsi="方正小标宋_GBK" w:eastAsia="方正小标宋_GBK" w:cs="方正小标宋_GBK"/>
          <w:sz w:val="48"/>
          <w:szCs w:val="48"/>
          <w:lang w:eastAsia="zh-CN"/>
        </w:rPr>
        <w:t>（</w:t>
      </w:r>
      <w:r>
        <w:rPr>
          <w:rFonts w:hint="eastAsia" w:ascii="方正小标宋_GBK" w:hAnsi="方正小标宋_GBK" w:eastAsia="方正小标宋_GBK" w:cs="方正小标宋_GBK"/>
          <w:sz w:val="48"/>
          <w:szCs w:val="48"/>
          <w:lang w:val="en-US" w:eastAsia="zh-CN"/>
        </w:rPr>
        <w:t>最终审核版）</w:t>
      </w:r>
    </w:p>
    <w:p w14:paraId="477C29B0">
      <w:pPr>
        <w:spacing w:line="700" w:lineRule="exact"/>
        <w:ind w:left="3435" w:leftChars="557" w:hanging="2265" w:hangingChars="708"/>
        <w:rPr>
          <w:rFonts w:ascii="方正小标宋_GBK" w:hAnsi="方正小标宋_GBK" w:eastAsia="方正小标宋_GBK" w:cs="方正小标宋_GBK"/>
          <w:sz w:val="32"/>
          <w:szCs w:val="32"/>
        </w:rPr>
      </w:pPr>
    </w:p>
    <w:p w14:paraId="068DAC9E">
      <w:pPr>
        <w:spacing w:line="700" w:lineRule="exact"/>
        <w:ind w:left="3435" w:leftChars="557" w:hanging="2265" w:hangingChars="708"/>
        <w:rPr>
          <w:rFonts w:ascii="方正小标宋_GBK" w:hAnsi="方正小标宋_GBK" w:eastAsia="方正小标宋_GBK" w:cs="方正小标宋_GBK"/>
          <w:sz w:val="32"/>
          <w:szCs w:val="32"/>
        </w:rPr>
      </w:pPr>
    </w:p>
    <w:p w14:paraId="0F2B6D8B">
      <w:pPr>
        <w:spacing w:line="700" w:lineRule="exact"/>
        <w:ind w:left="3435" w:leftChars="557" w:hanging="2265" w:hangingChars="708"/>
        <w:rPr>
          <w:rFonts w:ascii="方正小标宋_GBK" w:hAnsi="方正小标宋_GBK" w:eastAsia="方正小标宋_GBK" w:cs="方正小标宋_GBK"/>
          <w:sz w:val="32"/>
          <w:szCs w:val="32"/>
        </w:rPr>
      </w:pPr>
    </w:p>
    <w:p w14:paraId="6708A424">
      <w:pPr>
        <w:spacing w:line="700" w:lineRule="exact"/>
        <w:ind w:left="3435" w:leftChars="557" w:hanging="2265" w:hangingChars="708"/>
        <w:rPr>
          <w:rFonts w:ascii="方正小标宋_GBK" w:hAnsi="方正小标宋_GBK" w:eastAsia="方正小标宋_GBK" w:cs="方正小标宋_GBK"/>
          <w:sz w:val="32"/>
          <w:szCs w:val="32"/>
        </w:rPr>
      </w:pPr>
    </w:p>
    <w:p w14:paraId="300883F9">
      <w:pPr>
        <w:spacing w:line="700" w:lineRule="exact"/>
        <w:ind w:left="3435" w:leftChars="557" w:hanging="2265" w:hangingChars="708"/>
        <w:rPr>
          <w:rFonts w:ascii="方正小标宋_GBK" w:hAnsi="方正小标宋_GBK" w:eastAsia="方正小标宋_GBK" w:cs="方正小标宋_GBK"/>
          <w:sz w:val="32"/>
          <w:szCs w:val="32"/>
        </w:rPr>
      </w:pPr>
    </w:p>
    <w:p w14:paraId="1D28CDDC">
      <w:pPr>
        <w:spacing w:line="360" w:lineRule="auto"/>
        <w:ind w:left="3435" w:leftChars="557" w:hanging="2265" w:hangingChars="708"/>
        <w:rPr>
          <w:rFonts w:hint="eastAsia" w:ascii="方正小标宋_GBK" w:hAnsi="方正小标宋_GBK" w:eastAsia="方正小标宋_GBK" w:cs="方正小标宋_GBK"/>
          <w:sz w:val="32"/>
          <w:szCs w:val="32"/>
          <w:u w:val="single"/>
          <w:lang w:val="en-US" w:eastAsia="zh-CN"/>
        </w:rPr>
      </w:pPr>
      <w:r>
        <w:rPr>
          <w:rFonts w:hint="eastAsia" w:ascii="方正小标宋_GBK" w:hAnsi="方正小标宋_GBK" w:eastAsia="方正小标宋_GBK" w:cs="方正小标宋_GBK"/>
          <w:sz w:val="32"/>
          <w:szCs w:val="32"/>
        </w:rPr>
        <w:t>项目名称：</w:t>
      </w:r>
      <w:r>
        <w:rPr>
          <w:rFonts w:hint="eastAsia" w:ascii="方正小标宋_GBK" w:hAnsi="方正小标宋_GBK" w:eastAsia="方正小标宋_GBK" w:cs="方正小标宋_GBK"/>
          <w:sz w:val="32"/>
          <w:szCs w:val="32"/>
          <w:u w:val="single"/>
        </w:rPr>
        <w:t>重庆市渝北区双湖小学校</w:t>
      </w:r>
      <w:r>
        <w:rPr>
          <w:rFonts w:hint="eastAsia" w:ascii="方正小标宋_GBK" w:hAnsi="方正小标宋_GBK" w:eastAsia="方正小标宋_GBK" w:cs="方正小标宋_GBK"/>
          <w:sz w:val="32"/>
          <w:szCs w:val="32"/>
          <w:u w:val="single"/>
          <w:lang w:val="en-US" w:eastAsia="zh-CN"/>
        </w:rPr>
        <w:t>2025年</w:t>
      </w:r>
    </w:p>
    <w:p w14:paraId="66039724">
      <w:pPr>
        <w:spacing w:line="360" w:lineRule="auto"/>
        <w:ind w:left="1170" w:leftChars="557" w:firstLine="1600" w:firstLineChars="500"/>
        <w:rPr>
          <w:rFonts w:hint="eastAsia" w:ascii="方正小标宋_GBK" w:hAnsi="方正小标宋_GBK" w:eastAsia="方正小标宋_GBK" w:cs="方正小标宋_GBK"/>
          <w:sz w:val="32"/>
          <w:szCs w:val="32"/>
          <w:u w:val="single"/>
        </w:rPr>
      </w:pPr>
      <w:r>
        <w:rPr>
          <w:rFonts w:hint="eastAsia" w:ascii="方正小标宋_GBK" w:hAnsi="方正小标宋_GBK" w:eastAsia="方正小标宋_GBK" w:cs="方正小标宋_GBK"/>
          <w:sz w:val="32"/>
          <w:szCs w:val="32"/>
          <w:u w:val="single"/>
          <w:lang w:val="en-US" w:eastAsia="zh-CN"/>
        </w:rPr>
        <w:t>校</w:t>
      </w:r>
      <w:r>
        <w:rPr>
          <w:rFonts w:hint="eastAsia" w:ascii="方正小标宋_GBK" w:hAnsi="方正小标宋_GBK" w:eastAsia="方正小标宋_GBK" w:cs="方正小标宋_GBK"/>
          <w:sz w:val="32"/>
          <w:szCs w:val="32"/>
          <w:u w:val="single"/>
        </w:rPr>
        <w:t>园广播设备采购</w:t>
      </w:r>
    </w:p>
    <w:p w14:paraId="1659EC72">
      <w:pPr>
        <w:spacing w:line="360" w:lineRule="auto"/>
        <w:ind w:left="3435" w:leftChars="557" w:hanging="2265" w:hangingChars="708"/>
        <w:rPr>
          <w:rFonts w:hint="eastAsia" w:ascii="方正小标宋_GBK" w:hAnsi="方正小标宋_GBK" w:eastAsia="方正小标宋_GBK" w:cs="方正小标宋_GBK"/>
          <w:sz w:val="32"/>
          <w:szCs w:val="32"/>
        </w:rPr>
      </w:pPr>
    </w:p>
    <w:p w14:paraId="31DDEFD4">
      <w:pPr>
        <w:spacing w:line="360" w:lineRule="auto"/>
        <w:ind w:left="3435" w:leftChars="557" w:hanging="2265" w:hangingChars="708"/>
        <w:rPr>
          <w:rFonts w:hint="default" w:ascii="方正小标宋_GBK" w:hAnsi="方正小标宋_GBK" w:eastAsia="方正小标宋_GBK" w:cs="方正小标宋_GBK"/>
          <w:sz w:val="32"/>
          <w:szCs w:val="32"/>
          <w:lang w:val="en-US" w:eastAsia="zh-CN"/>
        </w:rPr>
      </w:pPr>
    </w:p>
    <w:p w14:paraId="296C13E3">
      <w:pPr>
        <w:spacing w:line="360" w:lineRule="auto"/>
        <w:ind w:left="3435" w:leftChars="557" w:hanging="2265" w:hangingChars="708"/>
        <w:rPr>
          <w:rFonts w:hint="default" w:ascii="方正小标宋_GBK" w:hAnsi="方正小标宋_GBK" w:eastAsia="方正小标宋_GBK" w:cs="方正小标宋_GBK"/>
          <w:sz w:val="32"/>
          <w:szCs w:val="32"/>
          <w:lang w:val="en-US" w:eastAsia="zh-CN"/>
        </w:rPr>
      </w:pPr>
      <w:r>
        <w:rPr>
          <w:rFonts w:hint="eastAsia" w:ascii="方正小标宋_GBK" w:hAnsi="方正小标宋_GBK" w:eastAsia="方正小标宋_GBK" w:cs="方正小标宋_GBK"/>
          <w:sz w:val="32"/>
          <w:szCs w:val="32"/>
        </w:rPr>
        <w:t>采购单位：</w:t>
      </w:r>
      <w:r>
        <w:rPr>
          <w:rFonts w:hint="eastAsia" w:ascii="方正小标宋_GBK" w:hAnsi="方正小标宋_GBK" w:eastAsia="方正小标宋_GBK" w:cs="方正小标宋_GBK"/>
          <w:sz w:val="32"/>
          <w:szCs w:val="32"/>
          <w:lang w:val="en-US" w:eastAsia="zh-CN"/>
        </w:rPr>
        <w:t>重庆市渝北区双湖小学校</w:t>
      </w:r>
    </w:p>
    <w:p w14:paraId="235F3FF1">
      <w:pPr>
        <w:spacing w:line="700" w:lineRule="exact"/>
        <w:ind w:left="3435" w:leftChars="557" w:hanging="2265" w:hangingChars="708"/>
        <w:rPr>
          <w:rFonts w:ascii="方正小标宋_GBK" w:hAnsi="方正小标宋_GBK" w:eastAsia="方正小标宋_GBK" w:cs="方正小标宋_GBK"/>
          <w:sz w:val="32"/>
          <w:szCs w:val="32"/>
        </w:rPr>
      </w:pPr>
    </w:p>
    <w:p w14:paraId="6A043B84">
      <w:pPr>
        <w:spacing w:line="700" w:lineRule="exact"/>
        <w:ind w:left="3435" w:leftChars="557" w:hanging="2265" w:hangingChars="708"/>
        <w:rPr>
          <w:rFonts w:ascii="方正小标宋_GBK" w:hAnsi="方正小标宋_GBK" w:eastAsia="方正小标宋_GBK" w:cs="方正小标宋_GBK"/>
          <w:sz w:val="32"/>
          <w:szCs w:val="32"/>
        </w:rPr>
      </w:pPr>
    </w:p>
    <w:p w14:paraId="641F2B3A">
      <w:pPr>
        <w:spacing w:line="700" w:lineRule="exact"/>
        <w:ind w:left="3435" w:leftChars="557" w:hanging="2265" w:hangingChars="708"/>
        <w:rPr>
          <w:rFonts w:ascii="方正小标宋_GBK" w:hAnsi="方正小标宋_GBK" w:eastAsia="方正小标宋_GBK" w:cs="方正小标宋_GBK"/>
          <w:sz w:val="32"/>
          <w:szCs w:val="32"/>
        </w:rPr>
      </w:pPr>
    </w:p>
    <w:p w14:paraId="268B8DA1">
      <w:pPr>
        <w:spacing w:line="700" w:lineRule="exact"/>
        <w:ind w:left="3435" w:leftChars="557" w:hanging="2265" w:hangingChars="708"/>
        <w:rPr>
          <w:rFonts w:ascii="方正小标宋_GBK" w:hAnsi="方正小标宋_GBK" w:eastAsia="方正小标宋_GBK" w:cs="方正小标宋_GBK"/>
          <w:sz w:val="32"/>
          <w:szCs w:val="32"/>
        </w:rPr>
      </w:pPr>
    </w:p>
    <w:p w14:paraId="02721E2E">
      <w:pPr>
        <w:spacing w:line="700" w:lineRule="exact"/>
        <w:jc w:val="center"/>
        <w:rPr>
          <w:rFonts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二〇二</w:t>
      </w:r>
      <w:r>
        <w:rPr>
          <w:rFonts w:hint="eastAsia" w:ascii="方正小标宋_GBK" w:hAnsi="方正小标宋_GBK" w:eastAsia="方正小标宋_GBK" w:cs="方正小标宋_GBK"/>
          <w:sz w:val="32"/>
          <w:szCs w:val="32"/>
          <w:lang w:val="en-US" w:eastAsia="zh-CN"/>
        </w:rPr>
        <w:t>五</w:t>
      </w:r>
      <w:r>
        <w:rPr>
          <w:rFonts w:hint="eastAsia" w:ascii="方正小标宋_GBK" w:hAnsi="方正小标宋_GBK" w:eastAsia="方正小标宋_GBK" w:cs="方正小标宋_GBK"/>
          <w:sz w:val="32"/>
          <w:szCs w:val="32"/>
        </w:rPr>
        <w:t>年</w:t>
      </w:r>
      <w:r>
        <w:rPr>
          <w:rFonts w:hint="eastAsia" w:ascii="方正小标宋_GBK" w:hAnsi="方正小标宋_GBK" w:eastAsia="方正小标宋_GBK" w:cs="方正小标宋_GBK"/>
          <w:sz w:val="32"/>
          <w:szCs w:val="32"/>
          <w:lang w:val="en-US" w:eastAsia="zh-CN"/>
        </w:rPr>
        <w:t>六</w:t>
      </w:r>
      <w:r>
        <w:rPr>
          <w:rFonts w:hint="eastAsia" w:ascii="方正小标宋_GBK" w:hAnsi="方正小标宋_GBK" w:eastAsia="方正小标宋_GBK" w:cs="方正小标宋_GBK"/>
          <w:sz w:val="32"/>
          <w:szCs w:val="32"/>
        </w:rPr>
        <w:t>月</w:t>
      </w:r>
    </w:p>
    <w:p w14:paraId="2795D7A3">
      <w:pPr>
        <w:widowControl/>
        <w:jc w:val="left"/>
        <w:rPr>
          <w:rFonts w:ascii="宋体" w:hAnsi="宋体" w:eastAsia="宋体" w:cs="宋体"/>
          <w:b/>
          <w:kern w:val="2"/>
          <w:sz w:val="24"/>
          <w:szCs w:val="24"/>
          <w:lang w:val="en-US" w:eastAsia="zh-CN" w:bidi="ar-SA"/>
        </w:rPr>
      </w:pPr>
      <w:r>
        <w:rPr>
          <w:rFonts w:ascii="宋体" w:hAnsi="宋体" w:eastAsia="宋体" w:cs="宋体"/>
          <w:sz w:val="24"/>
          <w:szCs w:val="24"/>
        </w:rPr>
        <w:br w:type="page"/>
      </w:r>
    </w:p>
    <w:p w14:paraId="140A3297">
      <w:pPr>
        <w:keepNext/>
        <w:keepLines/>
        <w:pageBreakBefore w:val="0"/>
        <w:widowControl w:val="0"/>
        <w:kinsoku/>
        <w:wordWrap/>
        <w:overflowPunct/>
        <w:topLinePunct w:val="0"/>
        <w:autoSpaceDE/>
        <w:autoSpaceDN/>
        <w:bidi w:val="0"/>
        <w:adjustRightInd/>
        <w:snapToGrid w:val="0"/>
        <w:spacing w:before="0" w:after="0" w:line="579" w:lineRule="exact"/>
        <w:ind w:firstLine="643" w:firstLineChars="200"/>
        <w:jc w:val="both"/>
        <w:textAlignment w:val="auto"/>
        <w:outlineLvl w:val="2"/>
        <w:rPr>
          <w:rFonts w:hint="eastAsia" w:ascii="黑体" w:hAnsi="黑体" w:eastAsia="黑体" w:cs="黑体"/>
          <w:b/>
          <w:kern w:val="2"/>
          <w:sz w:val="32"/>
          <w:szCs w:val="32"/>
          <w:lang w:val="en-US" w:eastAsia="zh-CN" w:bidi="ar-SA"/>
        </w:rPr>
      </w:pPr>
    </w:p>
    <w:p w14:paraId="6B10504D">
      <w:pPr>
        <w:keepNext/>
        <w:keepLines/>
        <w:pageBreakBefore w:val="0"/>
        <w:widowControl w:val="0"/>
        <w:kinsoku/>
        <w:wordWrap/>
        <w:overflowPunct/>
        <w:topLinePunct w:val="0"/>
        <w:autoSpaceDE/>
        <w:autoSpaceDN/>
        <w:bidi w:val="0"/>
        <w:adjustRightInd/>
        <w:snapToGrid w:val="0"/>
        <w:spacing w:before="0" w:after="0" w:line="579" w:lineRule="exact"/>
        <w:ind w:firstLine="643" w:firstLineChars="200"/>
        <w:jc w:val="both"/>
        <w:textAlignment w:val="auto"/>
        <w:outlineLvl w:val="2"/>
        <w:rPr>
          <w:rFonts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一、采购内容</w:t>
      </w:r>
    </w:p>
    <w:tbl>
      <w:tblPr>
        <w:tblStyle w:val="5"/>
        <w:tblW w:w="88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30"/>
        <w:gridCol w:w="1746"/>
        <w:gridCol w:w="1903"/>
        <w:gridCol w:w="1231"/>
      </w:tblGrid>
      <w:tr w14:paraId="353CC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3930" w:type="dxa"/>
            <w:tcBorders>
              <w:top w:val="single" w:color="auto" w:sz="4" w:space="0"/>
              <w:left w:val="single" w:color="auto" w:sz="4" w:space="0"/>
              <w:right w:val="single" w:color="auto" w:sz="4" w:space="0"/>
            </w:tcBorders>
            <w:vAlign w:val="center"/>
          </w:tcPr>
          <w:p w14:paraId="2DA6DBEE">
            <w:pPr>
              <w:pageBreakBefore w:val="0"/>
              <w:widowControl/>
              <w:kinsoku/>
              <w:wordWrap/>
              <w:overflowPunct/>
              <w:topLinePunct w:val="0"/>
              <w:autoSpaceDE/>
              <w:autoSpaceDN/>
              <w:bidi w:val="0"/>
              <w:adjustRightInd/>
              <w:snapToGrid w:val="0"/>
              <w:spacing w:line="579" w:lineRule="exact"/>
              <w:jc w:val="center"/>
              <w:textAlignment w:val="auto"/>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项目名称</w:t>
            </w:r>
          </w:p>
        </w:tc>
        <w:tc>
          <w:tcPr>
            <w:tcW w:w="1746" w:type="dxa"/>
            <w:tcBorders>
              <w:top w:val="single" w:color="auto" w:sz="4" w:space="0"/>
              <w:left w:val="single" w:color="auto" w:sz="4" w:space="0"/>
              <w:right w:val="single" w:color="auto" w:sz="4" w:space="0"/>
            </w:tcBorders>
            <w:vAlign w:val="center"/>
          </w:tcPr>
          <w:p w14:paraId="666B0D89">
            <w:pPr>
              <w:pageBreakBefore w:val="0"/>
              <w:widowControl/>
              <w:kinsoku/>
              <w:wordWrap/>
              <w:overflowPunct/>
              <w:topLinePunct w:val="0"/>
              <w:autoSpaceDE/>
              <w:autoSpaceDN/>
              <w:bidi w:val="0"/>
              <w:adjustRightInd/>
              <w:snapToGrid w:val="0"/>
              <w:spacing w:line="579" w:lineRule="exact"/>
              <w:jc w:val="center"/>
              <w:textAlignment w:val="auto"/>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采购预算</w:t>
            </w:r>
          </w:p>
          <w:p w14:paraId="20A48BCA">
            <w:pPr>
              <w:pageBreakBefore w:val="0"/>
              <w:kinsoku/>
              <w:wordWrap/>
              <w:overflowPunct/>
              <w:topLinePunct w:val="0"/>
              <w:autoSpaceDE/>
              <w:autoSpaceDN/>
              <w:bidi w:val="0"/>
              <w:adjustRightInd/>
              <w:snapToGrid w:val="0"/>
              <w:spacing w:line="579" w:lineRule="exact"/>
              <w:jc w:val="center"/>
              <w:textAlignment w:val="auto"/>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（元）</w:t>
            </w:r>
          </w:p>
        </w:tc>
        <w:tc>
          <w:tcPr>
            <w:tcW w:w="1903" w:type="dxa"/>
            <w:tcBorders>
              <w:top w:val="single" w:color="auto" w:sz="4" w:space="0"/>
              <w:left w:val="single" w:color="auto" w:sz="4" w:space="0"/>
              <w:right w:val="single" w:color="auto" w:sz="4" w:space="0"/>
            </w:tcBorders>
            <w:vAlign w:val="center"/>
          </w:tcPr>
          <w:p w14:paraId="3669F2EF">
            <w:pPr>
              <w:pageBreakBefore w:val="0"/>
              <w:kinsoku/>
              <w:wordWrap/>
              <w:overflowPunct/>
              <w:topLinePunct w:val="0"/>
              <w:autoSpaceDE/>
              <w:autoSpaceDN/>
              <w:bidi w:val="0"/>
              <w:adjustRightInd/>
              <w:snapToGrid w:val="0"/>
              <w:spacing w:line="579" w:lineRule="exact"/>
              <w:jc w:val="center"/>
              <w:textAlignment w:val="auto"/>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资金来源</w:t>
            </w:r>
          </w:p>
        </w:tc>
        <w:tc>
          <w:tcPr>
            <w:tcW w:w="1231" w:type="dxa"/>
            <w:tcBorders>
              <w:top w:val="single" w:color="auto" w:sz="4" w:space="0"/>
              <w:left w:val="single" w:color="auto" w:sz="4" w:space="0"/>
              <w:right w:val="single" w:color="auto" w:sz="4" w:space="0"/>
            </w:tcBorders>
            <w:vAlign w:val="center"/>
          </w:tcPr>
          <w:p w14:paraId="13FD5731">
            <w:pPr>
              <w:pageBreakBefore w:val="0"/>
              <w:kinsoku/>
              <w:wordWrap/>
              <w:overflowPunct/>
              <w:topLinePunct w:val="0"/>
              <w:autoSpaceDE/>
              <w:autoSpaceDN/>
              <w:bidi w:val="0"/>
              <w:adjustRightInd/>
              <w:snapToGrid w:val="0"/>
              <w:spacing w:line="579" w:lineRule="exact"/>
              <w:jc w:val="center"/>
              <w:textAlignment w:val="auto"/>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备注</w:t>
            </w:r>
          </w:p>
        </w:tc>
      </w:tr>
      <w:tr w14:paraId="5CC4C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3930" w:type="dxa"/>
            <w:tcBorders>
              <w:top w:val="single" w:color="auto" w:sz="4" w:space="0"/>
              <w:left w:val="single" w:color="auto" w:sz="4" w:space="0"/>
              <w:right w:val="single" w:color="auto" w:sz="4" w:space="0"/>
            </w:tcBorders>
            <w:vAlign w:val="center"/>
          </w:tcPr>
          <w:p w14:paraId="6E9C1CF2">
            <w:pPr>
              <w:pageBreakBefore w:val="0"/>
              <w:widowControl/>
              <w:kinsoku/>
              <w:wordWrap/>
              <w:overflowPunct/>
              <w:topLinePunct w:val="0"/>
              <w:autoSpaceDE/>
              <w:autoSpaceDN/>
              <w:bidi w:val="0"/>
              <w:adjustRightInd/>
              <w:snapToGrid w:val="0"/>
              <w:spacing w:line="579" w:lineRule="exact"/>
              <w:jc w:val="center"/>
              <w:textAlignment w:val="auto"/>
              <w:rPr>
                <w:rFonts w:hint="default" w:ascii="仿宋_GB2312" w:hAnsi="仿宋_GB2312" w:eastAsia="仿宋_GB2312" w:cs="仿宋_GB2312"/>
                <w:color w:val="auto"/>
                <w:kern w:val="0"/>
                <w:sz w:val="32"/>
                <w:szCs w:val="32"/>
                <w:lang w:val="en-US" w:eastAsia="zh-CN"/>
              </w:rPr>
            </w:pPr>
            <w:bookmarkStart w:id="0" w:name="_Hlk344477914"/>
            <w:r>
              <w:rPr>
                <w:rFonts w:hint="default" w:ascii="仿宋_GB2312" w:hAnsi="仿宋_GB2312" w:eastAsia="仿宋_GB2312" w:cs="仿宋_GB2312"/>
                <w:color w:val="auto"/>
                <w:kern w:val="0"/>
                <w:sz w:val="32"/>
                <w:szCs w:val="32"/>
                <w:lang w:val="en-US" w:eastAsia="zh-CN"/>
              </w:rPr>
              <w:t>重庆市渝北区双湖小学校2025年校园广播设备采购</w:t>
            </w:r>
          </w:p>
          <w:p w14:paraId="37D31FE1">
            <w:pPr>
              <w:pageBreakBefore w:val="0"/>
              <w:widowControl/>
              <w:kinsoku/>
              <w:wordWrap/>
              <w:overflowPunct/>
              <w:topLinePunct w:val="0"/>
              <w:autoSpaceDE/>
              <w:autoSpaceDN/>
              <w:bidi w:val="0"/>
              <w:adjustRightInd/>
              <w:snapToGrid w:val="0"/>
              <w:spacing w:line="579" w:lineRule="exact"/>
              <w:jc w:val="center"/>
              <w:textAlignment w:val="auto"/>
              <w:rPr>
                <w:rFonts w:hint="default" w:ascii="仿宋_GB2312" w:hAnsi="仿宋_GB2312" w:eastAsia="仿宋_GB2312" w:cs="仿宋_GB2312"/>
                <w:color w:val="auto"/>
                <w:kern w:val="0"/>
                <w:sz w:val="32"/>
                <w:szCs w:val="32"/>
                <w:lang w:val="en-US" w:eastAsia="zh-CN"/>
              </w:rPr>
            </w:pPr>
          </w:p>
        </w:tc>
        <w:tc>
          <w:tcPr>
            <w:tcW w:w="1746" w:type="dxa"/>
            <w:tcBorders>
              <w:top w:val="single" w:color="auto" w:sz="4" w:space="0"/>
              <w:left w:val="single" w:color="auto" w:sz="4" w:space="0"/>
              <w:right w:val="single" w:color="auto" w:sz="4" w:space="0"/>
            </w:tcBorders>
            <w:vAlign w:val="center"/>
          </w:tcPr>
          <w:p w14:paraId="599EF663">
            <w:pPr>
              <w:pageBreakBefore w:val="0"/>
              <w:widowControl/>
              <w:kinsoku/>
              <w:wordWrap/>
              <w:overflowPunct/>
              <w:topLinePunct w:val="0"/>
              <w:autoSpaceDE/>
              <w:autoSpaceDN/>
              <w:bidi w:val="0"/>
              <w:adjustRightInd/>
              <w:snapToGrid w:val="0"/>
              <w:spacing w:line="579" w:lineRule="exact"/>
              <w:jc w:val="center"/>
              <w:textAlignment w:val="auto"/>
              <w:rPr>
                <w:rFonts w:hint="default" w:ascii="仿宋_GB2312" w:hAnsi="仿宋_GB2312" w:eastAsia="仿宋_GB2312" w:cs="仿宋_GB2312"/>
                <w:color w:val="auto"/>
                <w:kern w:val="0"/>
                <w:sz w:val="32"/>
                <w:szCs w:val="32"/>
                <w:lang w:val="en-US"/>
              </w:rPr>
            </w:pPr>
            <w:r>
              <w:rPr>
                <w:rFonts w:hint="eastAsia" w:ascii="仿宋_GB2312" w:hAnsi="仿宋_GB2312" w:eastAsia="仿宋_GB2312" w:cs="仿宋_GB2312"/>
                <w:color w:val="FF0000"/>
                <w:kern w:val="0"/>
                <w:sz w:val="32"/>
                <w:szCs w:val="32"/>
                <w:lang w:val="en-US" w:eastAsia="zh-CN"/>
              </w:rPr>
              <w:t>300000</w:t>
            </w:r>
          </w:p>
        </w:tc>
        <w:tc>
          <w:tcPr>
            <w:tcW w:w="1903" w:type="dxa"/>
            <w:tcBorders>
              <w:top w:val="single" w:color="auto" w:sz="4" w:space="0"/>
              <w:left w:val="single" w:color="auto" w:sz="4" w:space="0"/>
              <w:right w:val="single" w:color="auto" w:sz="4" w:space="0"/>
            </w:tcBorders>
            <w:vAlign w:val="center"/>
          </w:tcPr>
          <w:p w14:paraId="04EF2CA7">
            <w:pPr>
              <w:pageBreakBefore w:val="0"/>
              <w:widowControl/>
              <w:kinsoku/>
              <w:wordWrap/>
              <w:overflowPunct/>
              <w:topLinePunct w:val="0"/>
              <w:autoSpaceDE/>
              <w:autoSpaceDN/>
              <w:bidi w:val="0"/>
              <w:adjustRightInd/>
              <w:snapToGrid w:val="0"/>
              <w:spacing w:line="579" w:lineRule="exact"/>
              <w:jc w:val="center"/>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中央薄改</w:t>
            </w:r>
          </w:p>
          <w:p w14:paraId="38A45950">
            <w:pPr>
              <w:pageBreakBefore w:val="0"/>
              <w:widowControl/>
              <w:kinsoku/>
              <w:wordWrap/>
              <w:overflowPunct/>
              <w:topLinePunct w:val="0"/>
              <w:autoSpaceDE/>
              <w:autoSpaceDN/>
              <w:bidi w:val="0"/>
              <w:adjustRightInd/>
              <w:snapToGrid w:val="0"/>
              <w:spacing w:line="579" w:lineRule="exact"/>
              <w:jc w:val="center"/>
              <w:textAlignment w:val="auto"/>
              <w:rPr>
                <w:rFonts w:ascii="仿宋_GB2312" w:hAnsi="仿宋_GB2312" w:eastAsia="仿宋_GB2312" w:cs="仿宋_GB2312"/>
                <w:color w:val="auto"/>
                <w:kern w:val="0"/>
                <w:sz w:val="32"/>
                <w:szCs w:val="32"/>
              </w:rPr>
            </w:pPr>
            <w:r>
              <w:rPr>
                <w:rFonts w:hint="eastAsia" w:ascii="仿宋_GB2312" w:hAnsi="仿宋_GB2312" w:eastAsia="仿宋_GB2312" w:cs="仿宋_GB2312"/>
                <w:color w:val="auto"/>
                <w:sz w:val="32"/>
                <w:szCs w:val="32"/>
              </w:rPr>
              <w:t>资金</w:t>
            </w:r>
          </w:p>
        </w:tc>
        <w:tc>
          <w:tcPr>
            <w:tcW w:w="1231" w:type="dxa"/>
            <w:tcBorders>
              <w:top w:val="single" w:color="auto" w:sz="4" w:space="0"/>
              <w:left w:val="single" w:color="auto" w:sz="4" w:space="0"/>
              <w:right w:val="single" w:color="auto" w:sz="4" w:space="0"/>
            </w:tcBorders>
            <w:vAlign w:val="center"/>
          </w:tcPr>
          <w:p w14:paraId="75BC174F">
            <w:pPr>
              <w:pageBreakBefore w:val="0"/>
              <w:kinsoku/>
              <w:wordWrap/>
              <w:overflowPunct/>
              <w:topLinePunct w:val="0"/>
              <w:autoSpaceDE/>
              <w:autoSpaceDN/>
              <w:bidi w:val="0"/>
              <w:adjustRightInd/>
              <w:snapToGrid w:val="0"/>
              <w:spacing w:line="579" w:lineRule="exact"/>
              <w:textAlignment w:val="auto"/>
              <w:rPr>
                <w:rFonts w:ascii="仿宋_GB2312" w:hAnsi="仿宋_GB2312" w:eastAsia="仿宋_GB2312" w:cs="仿宋_GB2312"/>
                <w:b/>
                <w:sz w:val="32"/>
                <w:szCs w:val="32"/>
              </w:rPr>
            </w:pPr>
          </w:p>
        </w:tc>
      </w:tr>
      <w:bookmarkEnd w:id="0"/>
    </w:tbl>
    <w:p w14:paraId="1191EFC8">
      <w:pPr>
        <w:keepNext/>
        <w:keepLines/>
        <w:pageBreakBefore w:val="0"/>
        <w:widowControl w:val="0"/>
        <w:kinsoku/>
        <w:wordWrap/>
        <w:overflowPunct/>
        <w:topLinePunct w:val="0"/>
        <w:autoSpaceDE/>
        <w:autoSpaceDN/>
        <w:bidi w:val="0"/>
        <w:adjustRightInd/>
        <w:snapToGrid w:val="0"/>
        <w:spacing w:before="0" w:after="0" w:line="579" w:lineRule="exact"/>
        <w:jc w:val="both"/>
        <w:textAlignment w:val="auto"/>
        <w:outlineLvl w:val="2"/>
        <w:rPr>
          <w:rFonts w:ascii="宋体" w:hAnsi="宋体" w:eastAsia="宋体" w:cs="宋体"/>
          <w:b/>
          <w:kern w:val="2"/>
          <w:sz w:val="24"/>
          <w:szCs w:val="24"/>
          <w:lang w:val="en-US" w:eastAsia="zh-CN" w:bidi="ar-SA"/>
        </w:rPr>
      </w:pPr>
      <w:bookmarkStart w:id="1" w:name="_Toc25190"/>
      <w:bookmarkStart w:id="2" w:name="_Toc15727"/>
      <w:bookmarkStart w:id="3" w:name="_Toc19437"/>
      <w:bookmarkStart w:id="4" w:name="_Toc1790"/>
      <w:bookmarkStart w:id="5" w:name="_Toc15576"/>
      <w:bookmarkStart w:id="6" w:name="_Toc22399"/>
      <w:bookmarkStart w:id="7" w:name="_Toc6462"/>
      <w:bookmarkStart w:id="8" w:name="_Toc317775178"/>
      <w:bookmarkStart w:id="9" w:name="_Toc373860293"/>
    </w:p>
    <w:p w14:paraId="3086C6C3">
      <w:pPr>
        <w:keepNext/>
        <w:keepLines/>
        <w:pageBreakBefore w:val="0"/>
        <w:widowControl w:val="0"/>
        <w:kinsoku/>
        <w:wordWrap/>
        <w:overflowPunct/>
        <w:topLinePunct w:val="0"/>
        <w:autoSpaceDE/>
        <w:autoSpaceDN/>
        <w:bidi w:val="0"/>
        <w:adjustRightInd/>
        <w:snapToGrid w:val="0"/>
        <w:spacing w:before="0" w:after="0" w:line="579" w:lineRule="exact"/>
        <w:ind w:firstLine="643" w:firstLineChars="200"/>
        <w:jc w:val="both"/>
        <w:textAlignment w:val="auto"/>
        <w:outlineLvl w:val="2"/>
        <w:rPr>
          <w:rFonts w:hint="eastAsia"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二、</w:t>
      </w:r>
      <w:bookmarkEnd w:id="1"/>
      <w:bookmarkEnd w:id="2"/>
      <w:bookmarkEnd w:id="3"/>
      <w:bookmarkEnd w:id="4"/>
      <w:bookmarkEnd w:id="5"/>
      <w:bookmarkEnd w:id="6"/>
      <w:bookmarkEnd w:id="7"/>
      <w:r>
        <w:rPr>
          <w:rFonts w:hint="eastAsia" w:ascii="黑体" w:hAnsi="黑体" w:eastAsia="黑体" w:cs="黑体"/>
          <w:b/>
          <w:kern w:val="2"/>
          <w:sz w:val="32"/>
          <w:szCs w:val="32"/>
          <w:lang w:val="en-US" w:eastAsia="zh-CN" w:bidi="ar-SA"/>
        </w:rPr>
        <w:t>供应商资格条件</w:t>
      </w:r>
    </w:p>
    <w:p w14:paraId="2E51DE24">
      <w:pPr>
        <w:keepNext/>
        <w:keepLines/>
        <w:pageBreakBefore w:val="0"/>
        <w:widowControl w:val="0"/>
        <w:kinsoku/>
        <w:wordWrap/>
        <w:overflowPunct/>
        <w:topLinePunct w:val="0"/>
        <w:autoSpaceDE/>
        <w:autoSpaceDN/>
        <w:bidi w:val="0"/>
        <w:adjustRightInd/>
        <w:snapToGrid w:val="0"/>
        <w:spacing w:before="0" w:after="0" w:line="579" w:lineRule="exact"/>
        <w:ind w:firstLine="643" w:firstLineChars="200"/>
        <w:jc w:val="both"/>
        <w:textAlignment w:val="auto"/>
        <w:outlineLvl w:val="2"/>
        <w:rPr>
          <w:rFonts w:hint="eastAsia" w:ascii="黑体" w:hAnsi="黑体" w:eastAsia="黑体" w:cs="黑体"/>
          <w:b/>
          <w:kern w:val="2"/>
          <w:sz w:val="32"/>
          <w:szCs w:val="32"/>
          <w:lang w:val="en-US" w:eastAsia="zh-CN" w:bidi="ar-SA"/>
        </w:rPr>
      </w:pPr>
    </w:p>
    <w:p w14:paraId="00154850">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（一）满足《中华人民共和国政府采购法》第二十二条规定：</w:t>
      </w:r>
    </w:p>
    <w:p w14:paraId="705898D6">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1.具有独立承担民事责任的能力；</w:t>
      </w:r>
    </w:p>
    <w:p w14:paraId="7842B7DD">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2.具有良好的商业信誉和健全的财务会计制度；</w:t>
      </w:r>
    </w:p>
    <w:p w14:paraId="259A7CE8">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3.具有履行合同所必需的设备和专业技术能力；</w:t>
      </w:r>
    </w:p>
    <w:p w14:paraId="247936D5">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4.有依法缴纳税收和社会保障资金的良好记录；</w:t>
      </w:r>
    </w:p>
    <w:p w14:paraId="607258BD">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5.参加政府采购活动前三年内，在经营活动中没有重大违法记录；</w:t>
      </w:r>
    </w:p>
    <w:p w14:paraId="03ECDC48">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6.法律、行政法规规定的其他条件。</w:t>
      </w:r>
    </w:p>
    <w:p w14:paraId="27BF0A0C">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sz w:val="32"/>
          <w:szCs w:val="32"/>
        </w:rPr>
        <w:t>（二）本项目的特定资格要求：</w:t>
      </w:r>
      <w:r>
        <w:rPr>
          <w:rFonts w:hint="eastAsia" w:ascii="仿宋_GB2312" w:hAnsi="仿宋_GB2312" w:eastAsia="仿宋_GB2312" w:cs="仿宋_GB2312"/>
          <w:color w:val="auto"/>
          <w:sz w:val="32"/>
          <w:szCs w:val="32"/>
        </w:rPr>
        <w:t>无。</w:t>
      </w:r>
      <w:bookmarkEnd w:id="8"/>
      <w:bookmarkEnd w:id="9"/>
    </w:p>
    <w:p w14:paraId="642EBD0A">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color w:val="auto"/>
          <w:sz w:val="32"/>
          <w:szCs w:val="32"/>
        </w:rPr>
      </w:pPr>
    </w:p>
    <w:p w14:paraId="632C582E">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color w:val="auto"/>
          <w:sz w:val="32"/>
          <w:szCs w:val="32"/>
        </w:rPr>
      </w:pPr>
    </w:p>
    <w:p w14:paraId="3BD4CC10">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color w:val="auto"/>
          <w:sz w:val="32"/>
          <w:szCs w:val="32"/>
        </w:rPr>
      </w:pPr>
    </w:p>
    <w:p w14:paraId="737768D7">
      <w:pPr>
        <w:pageBreakBefore w:val="0"/>
        <w:kinsoku/>
        <w:wordWrap/>
        <w:overflowPunct/>
        <w:topLinePunct w:val="0"/>
        <w:autoSpaceDE/>
        <w:autoSpaceDN/>
        <w:bidi w:val="0"/>
        <w:adjustRightInd/>
        <w:snapToGrid w:val="0"/>
        <w:spacing w:line="579" w:lineRule="exact"/>
        <w:ind w:firstLine="640" w:firstLineChars="200"/>
        <w:textAlignment w:val="auto"/>
        <w:rPr>
          <w:rFonts w:hint="eastAsia" w:ascii="仿宋_GB2312" w:hAnsi="仿宋_GB2312" w:eastAsia="仿宋_GB2312" w:cs="仿宋_GB2312"/>
          <w:color w:val="auto"/>
          <w:sz w:val="32"/>
          <w:szCs w:val="32"/>
        </w:rPr>
      </w:pPr>
    </w:p>
    <w:p w14:paraId="138038A8">
      <w:pPr>
        <w:keepNext/>
        <w:keepLines/>
        <w:widowControl w:val="0"/>
        <w:spacing w:before="0" w:after="0" w:line="360" w:lineRule="auto"/>
        <w:ind w:firstLine="643" w:firstLineChars="200"/>
        <w:jc w:val="both"/>
        <w:outlineLvl w:val="2"/>
        <w:rPr>
          <w:rFonts w:hint="default"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三、技术要求</w:t>
      </w:r>
    </w:p>
    <w:p w14:paraId="1D68EAF7">
      <w:pPr>
        <w:keepNext/>
        <w:keepLines/>
        <w:widowControl w:val="0"/>
        <w:spacing w:before="0" w:after="0" w:line="360" w:lineRule="auto"/>
        <w:ind w:firstLine="643" w:firstLineChars="200"/>
        <w:jc w:val="both"/>
        <w:outlineLvl w:val="2"/>
        <w:rPr>
          <w:rFonts w:hint="default"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（一）设备清单</w:t>
      </w:r>
    </w:p>
    <w:tbl>
      <w:tblPr>
        <w:tblStyle w:val="5"/>
        <w:tblW w:w="979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83"/>
        <w:gridCol w:w="1009"/>
        <w:gridCol w:w="6184"/>
        <w:gridCol w:w="508"/>
        <w:gridCol w:w="700"/>
        <w:gridCol w:w="813"/>
      </w:tblGrid>
      <w:tr w14:paraId="249A53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A8E3B">
            <w:pPr>
              <w:keepNext w:val="0"/>
              <w:keepLines w:val="0"/>
              <w:widowControl/>
              <w:suppressLineNumbers w:val="0"/>
              <w:jc w:val="center"/>
              <w:textAlignment w:val="center"/>
              <w:rPr>
                <w:rFonts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序号</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B3BF3">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名称</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75349">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技术参数</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53990">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单位</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7F48420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数量</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DF825">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备注</w:t>
            </w:r>
          </w:p>
        </w:tc>
      </w:tr>
      <w:tr w14:paraId="000A07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9" w:hRule="atLeast"/>
        </w:trPr>
        <w:tc>
          <w:tcPr>
            <w:tcW w:w="8984" w:type="dxa"/>
            <w:gridSpan w:val="5"/>
            <w:tcBorders>
              <w:top w:val="single" w:color="000000" w:sz="4" w:space="0"/>
              <w:left w:val="single" w:color="000000" w:sz="4" w:space="0"/>
              <w:bottom w:val="single" w:color="000000" w:sz="4" w:space="0"/>
              <w:right w:val="nil"/>
            </w:tcBorders>
            <w:shd w:val="clear" w:color="auto" w:fill="auto"/>
            <w:vAlign w:val="center"/>
          </w:tcPr>
          <w:p w14:paraId="24A1D462">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一、室内广播补充部分</w:t>
            </w:r>
          </w:p>
        </w:tc>
        <w:tc>
          <w:tcPr>
            <w:tcW w:w="81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583363">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所提供产品必须为中国关境内生产，若为进口产品按无效报价处理。</w:t>
            </w:r>
          </w:p>
        </w:tc>
      </w:tr>
      <w:tr w14:paraId="439D8B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3"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369D0">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939EA">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IP网络</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播放器</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37213">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1、壁挂式设计，防蚀金属面板；</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2、采用高速工业级双核（ARM+DSP）芯片，启动时间≤1秒；</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3、支持WEB登录查看及修改系统参数；</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4、标准RJ45网络接口，支持跨网段和跨路由；</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5、不少于1组音频线路输出，1路音频线路输入；</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6、网络通讯协议：TCP、UDP、ARP、ICMP、IGMP；</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7、音频编码：MP2/MP3/PCM/ADPCM；</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8、信噪比：≥90dB；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9、频响：20Hz-16KHz；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10、输出功率：≥2×30W(定阻8Ω）；</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注：此设备为补充原有设备，需保证与原广播系统无缝兼容。</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629AD">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1F88F5F2">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5</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9B2111">
            <w:pPr>
              <w:jc w:val="center"/>
              <w:rPr>
                <w:rFonts w:hint="eastAsia" w:ascii="楷体" w:hAnsi="楷体" w:eastAsia="楷体" w:cs="楷体"/>
                <w:i w:val="0"/>
                <w:iCs w:val="0"/>
                <w:color w:val="0D0D0D"/>
                <w:sz w:val="20"/>
                <w:szCs w:val="20"/>
                <w:u w:val="none"/>
              </w:rPr>
            </w:pPr>
          </w:p>
        </w:tc>
      </w:tr>
      <w:tr w14:paraId="5D3720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2"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5255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5FFC1">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壁挂</w:t>
            </w:r>
          </w:p>
          <w:p w14:paraId="03F7193F">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定阻</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喇叭</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D0399">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1、功率：≥15W（额定）/30W（峰值）；</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2、阻抗：8Ω；</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3、喇叭单元：6.5"×11.5"×1；</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4、频率响应：60Hz-18KHz。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注：此设备为补充原有设备，需保证与原广播系统无缝兼容。</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5DB74">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个</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21F66259">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4</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CF9C32">
            <w:pPr>
              <w:jc w:val="center"/>
              <w:rPr>
                <w:rFonts w:hint="eastAsia" w:ascii="楷体" w:hAnsi="楷体" w:eastAsia="楷体" w:cs="楷体"/>
                <w:i w:val="0"/>
                <w:iCs w:val="0"/>
                <w:color w:val="0D0D0D"/>
                <w:sz w:val="20"/>
                <w:szCs w:val="20"/>
                <w:u w:val="none"/>
              </w:rPr>
            </w:pPr>
          </w:p>
        </w:tc>
      </w:tr>
      <w:tr w14:paraId="2EB04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2"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C9AA4">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3</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E7A46">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壁挂</w:t>
            </w:r>
          </w:p>
          <w:p w14:paraId="57A8AAE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定压</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喇叭</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C6455">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1、功率：≥15W（额定）/30W（峰值）；</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2、输入：100V；</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3、喇叭单元：6.5"×11.5"×1；</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4、频率响应：60Hz-18KHz。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注：此设备为补充原有设备，需保证与原广播系统无缝兼容。</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2417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个</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2D0F3504">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8</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DE5A8D">
            <w:pPr>
              <w:jc w:val="center"/>
              <w:rPr>
                <w:rFonts w:hint="eastAsia" w:ascii="楷体" w:hAnsi="楷体" w:eastAsia="楷体" w:cs="楷体"/>
                <w:i w:val="0"/>
                <w:iCs w:val="0"/>
                <w:color w:val="0D0D0D"/>
                <w:sz w:val="20"/>
                <w:szCs w:val="20"/>
                <w:u w:val="none"/>
              </w:rPr>
            </w:pPr>
          </w:p>
        </w:tc>
      </w:tr>
      <w:tr w14:paraId="509094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9" w:hRule="atLeast"/>
        </w:trPr>
        <w:tc>
          <w:tcPr>
            <w:tcW w:w="8984" w:type="dxa"/>
            <w:gridSpan w:val="5"/>
            <w:tcBorders>
              <w:top w:val="single" w:color="000000" w:sz="4" w:space="0"/>
              <w:left w:val="single" w:color="000000" w:sz="4" w:space="0"/>
              <w:bottom w:val="single" w:color="000000" w:sz="4" w:space="0"/>
              <w:right w:val="nil"/>
            </w:tcBorders>
            <w:shd w:val="clear" w:color="auto" w:fill="auto"/>
            <w:vAlign w:val="center"/>
          </w:tcPr>
          <w:p w14:paraId="6BAB86EF">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二、大操场广播部分</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21FB11">
            <w:pPr>
              <w:jc w:val="center"/>
              <w:rPr>
                <w:rFonts w:hint="eastAsia" w:ascii="楷体" w:hAnsi="楷体" w:eastAsia="楷体" w:cs="楷体"/>
                <w:i w:val="0"/>
                <w:iCs w:val="0"/>
                <w:color w:val="0D0D0D"/>
                <w:sz w:val="20"/>
                <w:szCs w:val="20"/>
                <w:u w:val="none"/>
              </w:rPr>
            </w:pPr>
          </w:p>
        </w:tc>
      </w:tr>
      <w:tr w14:paraId="0C884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7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F965F">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4</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3425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全天候线性阵列全频</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扬声器</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3247B">
            <w:pPr>
              <w:keepNext w:val="0"/>
              <w:keepLines w:val="0"/>
              <w:widowControl/>
              <w:suppressLineNumbers w:val="0"/>
              <w:jc w:val="left"/>
              <w:textAlignment w:val="center"/>
              <w:rPr>
                <w:rFonts w:hint="default"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1、二分频线阵列全频扬声器：10"钕铁硼内磁防水低频单元≥2只，1.75"钕铁硼防水高频单元≥2只；</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2、频率响应：</w:t>
            </w:r>
            <w:r>
              <w:rPr>
                <w:rFonts w:hint="eastAsia" w:ascii="楷体" w:hAnsi="楷体" w:eastAsia="楷体" w:cs="楷体"/>
                <w:i w:val="0"/>
                <w:iCs w:val="0"/>
                <w:color w:val="0D0D0D"/>
                <w:kern w:val="0"/>
                <w:sz w:val="20"/>
                <w:szCs w:val="20"/>
                <w:highlight w:val="yellow"/>
                <w:u w:val="none"/>
                <w:lang w:val="en-US" w:eastAsia="zh-CN" w:bidi="ar"/>
              </w:rPr>
              <w:t>范围等同或优于65Hz-20kHz；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3、最大声压级：HF≥134dB，LF≥128dB；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4、额定功率RMS(1)LF:≥400WHF:≥140W；连续功率LF:800W，HF:280W；最大功率LF:1600W，HF:560W；</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5、指向性：水平指向性120°±10°，垂直指向性可变；</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6、防护等级≥IP56</w:t>
            </w:r>
          </w:p>
          <w:p w14:paraId="784D3226">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（签订合同时提供具有CMA或CNAS标志的具备不低于IP56防护等级的产品检测报告。）</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6C66B">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只</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4096EC91">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8</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4E00D9">
            <w:pPr>
              <w:jc w:val="center"/>
              <w:rPr>
                <w:rFonts w:hint="eastAsia" w:ascii="楷体" w:hAnsi="楷体" w:eastAsia="楷体" w:cs="楷体"/>
                <w:i w:val="0"/>
                <w:iCs w:val="0"/>
                <w:color w:val="0D0D0D"/>
                <w:sz w:val="20"/>
                <w:szCs w:val="20"/>
                <w:u w:val="none"/>
              </w:rPr>
            </w:pPr>
          </w:p>
        </w:tc>
      </w:tr>
      <w:tr w14:paraId="1D9F5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7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D4016">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5</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6643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线性阵列高音功放</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D30F8">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1、采用与扬声器同一品牌，采用扬声器与功放的标准配置方式；</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2、额定功率：8Ω不低于500W×4；4Ω不低于900W×4；</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3、总谐波失真(1kHz)：≤0.05%；</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4、互调失真(60Hz/7kHz4:1)：≤0.05%；</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5、信噪比(@1kHz,X40(32dB)A计权)：≥106dB；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6、内置信号Link开关，支持过载保护；</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7、集中的风道和热管理，具备零温差温度控制和中频(人声)门限校正功能；</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（签订合同时，提供CQC产品认证证书。）</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71A2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3B9E8DF9">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1CC4CB">
            <w:pPr>
              <w:jc w:val="center"/>
              <w:rPr>
                <w:rFonts w:hint="eastAsia" w:ascii="楷体" w:hAnsi="楷体" w:eastAsia="楷体" w:cs="楷体"/>
                <w:i w:val="0"/>
                <w:iCs w:val="0"/>
                <w:color w:val="0D0D0D"/>
                <w:sz w:val="20"/>
                <w:szCs w:val="20"/>
                <w:u w:val="none"/>
              </w:rPr>
            </w:pPr>
          </w:p>
        </w:tc>
      </w:tr>
      <w:tr w14:paraId="2A88E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7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FAE86">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6</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E085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线性阵列低音功放</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DA31C">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1、采用与扬声器同一品牌，采用扬声器与功放的标准配置方式；</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2、额定功率：8Ω不低于900W×4；4Ω不低于1500W×4；</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3、总谐波失真(1kHz)：≤0.05%；</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4、互调失真(60Hz/7kHz4:1)：≤0.05%；</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5、信噪比(@1kHz,X40(32dB)A计权)：≥106dB；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6、内置信号Link开关，支持过载保护；</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7、集中的风道和热管理，具备零温差温度控制和中频(人声)门限校正功能；</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（签订合同时，提供CQC产品认证证书。）</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A54C3">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0EE2981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AC014D">
            <w:pPr>
              <w:jc w:val="center"/>
              <w:rPr>
                <w:rFonts w:hint="eastAsia" w:ascii="楷体" w:hAnsi="楷体" w:eastAsia="楷体" w:cs="楷体"/>
                <w:i w:val="0"/>
                <w:iCs w:val="0"/>
                <w:color w:val="0D0D0D"/>
                <w:sz w:val="20"/>
                <w:szCs w:val="20"/>
                <w:u w:val="none"/>
              </w:rPr>
            </w:pPr>
          </w:p>
        </w:tc>
      </w:tr>
      <w:tr w14:paraId="22F844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1"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5C7C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7</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01C40">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全天候线性</w:t>
            </w:r>
          </w:p>
          <w:p w14:paraId="20E659BC">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阵列</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次低频音箱</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601AE">
            <w:pPr>
              <w:keepNext w:val="0"/>
              <w:keepLines w:val="0"/>
              <w:widowControl/>
              <w:suppressLineNumbers w:val="0"/>
              <w:jc w:val="left"/>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1、线性阵列次低频扬声器：12"低音防水驱动单元≥2只；</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2、频率响应：</w:t>
            </w:r>
            <w:r>
              <w:rPr>
                <w:rFonts w:hint="eastAsia" w:ascii="楷体" w:hAnsi="楷体" w:eastAsia="楷体" w:cs="楷体"/>
                <w:i w:val="0"/>
                <w:iCs w:val="0"/>
                <w:color w:val="auto"/>
                <w:kern w:val="0"/>
                <w:sz w:val="20"/>
                <w:szCs w:val="20"/>
                <w:highlight w:val="yellow"/>
                <w:u w:val="none"/>
                <w:lang w:val="en-US" w:eastAsia="zh-CN" w:bidi="ar"/>
              </w:rPr>
              <w:t>范围等同或优于40Hz-800Hz；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3、最大声压级：≥127dB；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4、灵敏度(1W/1m)：≥99dB；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5、额定功率：≥800W；</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6、防护等级≥IP46</w:t>
            </w:r>
          </w:p>
          <w:p w14:paraId="0F7F1AD5">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（签订合同时，提供具有CMA或CNAS标志的具备不低于IP46防护等级的产品检测报告。）</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E4B0D">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只</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22787B9F">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AC896C">
            <w:pPr>
              <w:jc w:val="center"/>
              <w:rPr>
                <w:rFonts w:hint="eastAsia" w:ascii="楷体" w:hAnsi="楷体" w:eastAsia="楷体" w:cs="楷体"/>
                <w:i w:val="0"/>
                <w:iCs w:val="0"/>
                <w:color w:val="0D0D0D"/>
                <w:sz w:val="20"/>
                <w:szCs w:val="20"/>
                <w:u w:val="none"/>
              </w:rPr>
            </w:pPr>
          </w:p>
        </w:tc>
      </w:tr>
      <w:tr w14:paraId="06A3D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1"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5F376">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8</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25CB7">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线性阵列次</w:t>
            </w:r>
          </w:p>
          <w:p w14:paraId="1FB5BE8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低频</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音箱功放</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259BB">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1、放大器种类：H类；</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2、额定功率：1000W×2（8Ω），1600W×2（4Ω）；</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3、总谐波失真：≤0.025%@8Ω,20Hz-20kHz；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4、互调失真：≤0.05%@8Ω,60Hz/7kHz4:1；</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5、频率响应：≤±0.5dB20Hz-20kHz；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6、阻尼系数：≥300:18Ω@20Hz-1kHz。</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C9E3B">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7083BB1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38947C">
            <w:pPr>
              <w:jc w:val="center"/>
              <w:rPr>
                <w:rFonts w:hint="eastAsia" w:ascii="楷体" w:hAnsi="楷体" w:eastAsia="楷体" w:cs="楷体"/>
                <w:i w:val="0"/>
                <w:iCs w:val="0"/>
                <w:color w:val="0D0D0D"/>
                <w:sz w:val="20"/>
                <w:szCs w:val="20"/>
                <w:u w:val="none"/>
              </w:rPr>
            </w:pPr>
          </w:p>
        </w:tc>
      </w:tr>
      <w:tr w14:paraId="613C3F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1"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7C333">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9</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08FE3">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全天候双18寸防水</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超低线阵音箱</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FBA5E">
            <w:pPr>
              <w:keepNext w:val="0"/>
              <w:keepLines w:val="0"/>
              <w:widowControl/>
              <w:suppressLineNumbers w:val="0"/>
              <w:jc w:val="left"/>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1、线性阵列低频扬声器：18"低音防水驱动单元≥2只；</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2、频率响应：</w:t>
            </w:r>
            <w:r>
              <w:rPr>
                <w:rFonts w:hint="eastAsia" w:ascii="楷体" w:hAnsi="楷体" w:eastAsia="楷体" w:cs="楷体"/>
                <w:i w:val="0"/>
                <w:iCs w:val="0"/>
                <w:color w:val="0D0D0D"/>
                <w:kern w:val="0"/>
                <w:sz w:val="20"/>
                <w:szCs w:val="20"/>
                <w:highlight w:val="yellow"/>
                <w:u w:val="none"/>
                <w:lang w:val="en-US" w:eastAsia="zh-CN" w:bidi="ar"/>
              </w:rPr>
              <w:t>范围等同或优于20Hz-500Hz；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3、最大声压级：≥133dB；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4、灵敏度(1W/1m)：≥102dB；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5、额定功率：≥1000W；</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6、防护等级≥IP46</w:t>
            </w:r>
          </w:p>
          <w:p w14:paraId="0D30EAD0">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（签订合同时，提供具有CMA或CNAS标志的具备不低于IP46防护等级的产品检测报告。）</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29B25">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只</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16C67226">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124054">
            <w:pPr>
              <w:jc w:val="center"/>
              <w:rPr>
                <w:rFonts w:hint="eastAsia" w:ascii="楷体" w:hAnsi="楷体" w:eastAsia="楷体" w:cs="楷体"/>
                <w:i w:val="0"/>
                <w:iCs w:val="0"/>
                <w:color w:val="0D0D0D"/>
                <w:sz w:val="20"/>
                <w:szCs w:val="20"/>
                <w:u w:val="none"/>
              </w:rPr>
            </w:pPr>
          </w:p>
        </w:tc>
      </w:tr>
      <w:tr w14:paraId="7966D9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2"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15335">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10</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DDDE2">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超低线阵音箱功放</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B219B">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1、采用与扬声器同一品牌，采用扬声器与功放的标准配置方式；</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2、输出功率：(8Ω)两通道不低于1300W×2；(4Ω)两通道不低于2000W×2；</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3、总谐波失真(1kHz)：≤0.1%；</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4、互调失真(60Hz/7kHz4:1)：≤0.5%；</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5、信噪比(@1kHz,X40(32dB)A计权)：≥105dB；</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16296">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5CB13729">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451CB7">
            <w:pPr>
              <w:jc w:val="center"/>
              <w:rPr>
                <w:rFonts w:hint="eastAsia" w:ascii="楷体" w:hAnsi="楷体" w:eastAsia="楷体" w:cs="楷体"/>
                <w:i w:val="0"/>
                <w:iCs w:val="0"/>
                <w:color w:val="0D0D0D"/>
                <w:sz w:val="20"/>
                <w:szCs w:val="20"/>
                <w:u w:val="none"/>
              </w:rPr>
            </w:pPr>
          </w:p>
        </w:tc>
      </w:tr>
      <w:tr w14:paraId="22E342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1"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B4675">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11</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52D15">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返送扬声器</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A115C">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1、系统组成：HF:1X2"压缩驱动单元LF:1x12"低频驱动单元；</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2、频率响应：</w:t>
            </w:r>
            <w:r>
              <w:rPr>
                <w:rFonts w:hint="eastAsia" w:ascii="楷体" w:hAnsi="楷体" w:eastAsia="楷体" w:cs="楷体"/>
                <w:i w:val="0"/>
                <w:iCs w:val="0"/>
                <w:color w:val="0D0D0D"/>
                <w:kern w:val="0"/>
                <w:sz w:val="20"/>
                <w:szCs w:val="20"/>
                <w:highlight w:val="yellow"/>
                <w:u w:val="none"/>
                <w:lang w:val="en-US" w:eastAsia="zh-CN" w:bidi="ar"/>
              </w:rPr>
              <w:t>范围等同或优于50Hz-18kHz；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3、额定功率(RMS)300WRMS；</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4、灵敏度(1m/1W):97dB；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5、最大声压级:128dB(峰值)；</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6、阻抗：8Ω。</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00046">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只</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4C4B352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38E86D">
            <w:pPr>
              <w:jc w:val="center"/>
              <w:rPr>
                <w:rFonts w:hint="eastAsia" w:ascii="楷体" w:hAnsi="楷体" w:eastAsia="楷体" w:cs="楷体"/>
                <w:i w:val="0"/>
                <w:iCs w:val="0"/>
                <w:color w:val="0D0D0D"/>
                <w:sz w:val="20"/>
                <w:szCs w:val="20"/>
                <w:u w:val="none"/>
              </w:rPr>
            </w:pPr>
          </w:p>
        </w:tc>
      </w:tr>
      <w:tr w14:paraId="4D003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7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6F200">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12</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07585">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返送</w:t>
            </w:r>
          </w:p>
          <w:p w14:paraId="1CF0603D">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扬声器功放</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74CC5">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1、放大器种类：H类；</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2、额定功率：600W×2（8Ω），1000W×2（4Ω）；</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3、总谐波失真：≤0.025%@8Ω,20Hz-20kHz；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4、互调失真：≤0.05%@8Ω,60Hz/7kHz4:1；</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5、频率响应：≤±0.5dB20Hz-20kHz；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6、阻尼系数：≥300:18Ω@20Hz-1kHz；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7、分离度：≥80dB1kHz@8Ω额定功率；</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8、信噪比：≥106dB1kHz，A计权@8Ω额定功率。</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F5D86">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438BAF3F">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D362E0">
            <w:pPr>
              <w:jc w:val="center"/>
              <w:rPr>
                <w:rFonts w:hint="eastAsia" w:ascii="楷体" w:hAnsi="楷体" w:eastAsia="楷体" w:cs="楷体"/>
                <w:i w:val="0"/>
                <w:iCs w:val="0"/>
                <w:color w:val="0D0D0D"/>
                <w:sz w:val="20"/>
                <w:szCs w:val="20"/>
                <w:u w:val="none"/>
              </w:rPr>
            </w:pPr>
          </w:p>
        </w:tc>
      </w:tr>
      <w:tr w14:paraId="37F311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1"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9E9B9">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13</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04EEE">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全天候补声</w:t>
            </w:r>
          </w:p>
          <w:p w14:paraId="6BDE055D">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音箱</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5E9C4">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1、系统组成：HF:1x2"压缩驱动单元LF:1X15"低频驱动单元；</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2、频率响应：</w:t>
            </w:r>
            <w:r>
              <w:rPr>
                <w:rFonts w:hint="eastAsia" w:ascii="楷体" w:hAnsi="楷体" w:eastAsia="楷体" w:cs="楷体"/>
                <w:i w:val="0"/>
                <w:iCs w:val="0"/>
                <w:color w:val="0D0D0D"/>
                <w:kern w:val="0"/>
                <w:sz w:val="20"/>
                <w:szCs w:val="20"/>
                <w:highlight w:val="yellow"/>
                <w:u w:val="none"/>
                <w:lang w:val="en-US" w:eastAsia="zh-CN" w:bidi="ar"/>
              </w:rPr>
              <w:t>范围等同或优于40Hz-18kHz；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3、额定功率(RMS)：350W(RMS)；</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4、灵敏度(1m/1W)：98dB；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5、最大声压级：130dB(峰值)；</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6、阻抗：8Ω。</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65549">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只</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09D3BA91">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4</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4D0726">
            <w:pPr>
              <w:jc w:val="center"/>
              <w:rPr>
                <w:rFonts w:hint="eastAsia" w:ascii="楷体" w:hAnsi="楷体" w:eastAsia="楷体" w:cs="楷体"/>
                <w:i w:val="0"/>
                <w:iCs w:val="0"/>
                <w:color w:val="0D0D0D"/>
                <w:sz w:val="20"/>
                <w:szCs w:val="20"/>
                <w:u w:val="none"/>
              </w:rPr>
            </w:pPr>
          </w:p>
        </w:tc>
      </w:tr>
      <w:tr w14:paraId="58184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7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4DA40">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14</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D102D">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全天候补声音箱功放</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F3BA6">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1、放大器种类：H类；</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2、额定功率：600W×2（8Ω），1000W×2（4Ω）；</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3、总谐波失真：≤0.025%@8Ω,20Hz-20kHz；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4、互调失真：≤0.05%@8Ω,60Hz/7kHz4:1；</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5、频率响应：≤±0.5dB20Hz-20kHz；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6、阻尼系数：≥300:18Ω@20Hz-1kHz；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7、分离度：≥80dB1kHz@8Ω额定功率；</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8、信噪比：≥106dB1kHz，A计权@8Ω额定功率。</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C29FE">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58C8F45B">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0ABA00">
            <w:pPr>
              <w:jc w:val="center"/>
              <w:rPr>
                <w:rFonts w:hint="eastAsia" w:ascii="楷体" w:hAnsi="楷体" w:eastAsia="楷体" w:cs="楷体"/>
                <w:i w:val="0"/>
                <w:iCs w:val="0"/>
                <w:color w:val="0D0D0D"/>
                <w:sz w:val="20"/>
                <w:szCs w:val="20"/>
                <w:u w:val="none"/>
              </w:rPr>
            </w:pPr>
          </w:p>
        </w:tc>
      </w:tr>
      <w:tr w14:paraId="452BF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B936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15</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4FC1F">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音频处理器</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45CBA">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1、平衡模拟信号输入接口≥4路，平衡模拟信号输出接口≥8路，支持任意输入信号按比例自由路由至任意输出通道；</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2、采用≥32位浮点DSP，≥24位AD/DA芯片；</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3、具有主动动态反馈抑制功能、主动分布式回声处理功能、自动降噪等信号处理功能；</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4、频率响应：20Hz～20kHz，±0.5dB；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5、动态范围：≥110dB（A 计权）；</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6、总谐波失真：≤0.006%；</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7、输入阻抗：≥10kΩ；</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8、信噪比：≥110dB；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9、串音衰减：＞80dB；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10、最大输入电平：≥20dBu，最大输出电平：≥20dBu；</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11、负载阻抗：600Ω±50Ω。</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（签订合同时，提供1-11条参数的具有CMA或CNAS标志的产品检测报告。）</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90A64">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5AEAD68C">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0D014A">
            <w:pPr>
              <w:jc w:val="center"/>
              <w:rPr>
                <w:rFonts w:hint="eastAsia" w:ascii="楷体" w:hAnsi="楷体" w:eastAsia="楷体" w:cs="楷体"/>
                <w:i w:val="0"/>
                <w:iCs w:val="0"/>
                <w:color w:val="0D0D0D"/>
                <w:sz w:val="20"/>
                <w:szCs w:val="20"/>
                <w:u w:val="none"/>
              </w:rPr>
            </w:pPr>
          </w:p>
        </w:tc>
      </w:tr>
      <w:tr w14:paraId="3EBB6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3"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4804A">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16</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22BD9">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数字调音台</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4B562">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1、可编程话放的输入≥24路、100毫米行程电动推子≥24个；</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2、XLR主输出≥12路，线路输出≥10路，耳机监听插口≥2个，面板具有对讲麦克风输入接口；</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3、具有32×32通道USB音频接口；</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4、可与移动终端、PC联机远程控制；</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6、彩色显示屏≥7寸；</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7、矩阵混音总线≥8个，混音母线≥24个，均有≥6段参量均衡可调；</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8、DCA编组≥8个，静音编组≥6个；</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9、内置不少于8种立体声效果器；</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10、具有AES/EBU数字立体声输出口和MIDI控制接口、ULTRANET网络接口；</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11、USB接口提供文件存储和立体声录音（WAV格式）。</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A472D">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149D8AD5">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2B5E51">
            <w:pPr>
              <w:jc w:val="center"/>
              <w:rPr>
                <w:rFonts w:hint="eastAsia" w:ascii="楷体" w:hAnsi="楷体" w:eastAsia="楷体" w:cs="楷体"/>
                <w:i w:val="0"/>
                <w:iCs w:val="0"/>
                <w:color w:val="0D0D0D"/>
                <w:sz w:val="20"/>
                <w:szCs w:val="20"/>
                <w:u w:val="none"/>
              </w:rPr>
            </w:pPr>
          </w:p>
        </w:tc>
      </w:tr>
      <w:tr w14:paraId="60E8D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36"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39249">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17</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B5F43">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控制室监听</w:t>
            </w:r>
          </w:p>
          <w:p w14:paraId="0632262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音箱</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53281">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1、2.0木质音箱；</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2、音频输入：立体声莲花音频输入；</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3、调节形式：主音量、高音、低音独立调节；</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4、功率： ≥40W；</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5、阻抗： 4Ω；</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6、频率范围：80Hz-20KHz；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7、输入电源：AC:220V/50Hz/1.6A(±5%)；</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8、失 真 度：≤1%；</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9、扬声器单元：≥4"低音单元、≥3/4"丝膜球顶高音单元。</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22084">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套</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71DCFB93">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1A9B15">
            <w:pPr>
              <w:jc w:val="center"/>
              <w:rPr>
                <w:rFonts w:hint="eastAsia" w:ascii="楷体" w:hAnsi="楷体" w:eastAsia="楷体" w:cs="楷体"/>
                <w:i w:val="0"/>
                <w:iCs w:val="0"/>
                <w:color w:val="0D0D0D"/>
                <w:sz w:val="20"/>
                <w:szCs w:val="20"/>
                <w:u w:val="none"/>
              </w:rPr>
            </w:pPr>
          </w:p>
        </w:tc>
      </w:tr>
      <w:tr w14:paraId="464192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2"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AAF7C">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18</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6BFFE">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一拖二无线手持话筒</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D0673">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1、具有DPLL数字锁相环多信道频率合成技术及杂讯自动控制技术(带导频)；</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2、使用UHF740MHz～770MHz频段，避免干扰频率；</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3、具有节能模式设置，自动/手动EQ控制，自动校正音色，全自动开关机，自动红外线对频，全自动扫描功能；</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4、配套2支手持麦克风，采用高频声表面滤波器，滤除带外干扰信号。</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47E16">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套</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38B59180">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8F69E2">
            <w:pPr>
              <w:jc w:val="center"/>
              <w:rPr>
                <w:rFonts w:hint="eastAsia" w:ascii="楷体" w:hAnsi="楷体" w:eastAsia="楷体" w:cs="楷体"/>
                <w:i w:val="0"/>
                <w:iCs w:val="0"/>
                <w:color w:val="0D0D0D"/>
                <w:sz w:val="20"/>
                <w:szCs w:val="20"/>
                <w:u w:val="none"/>
              </w:rPr>
            </w:pPr>
          </w:p>
        </w:tc>
      </w:tr>
      <w:tr w14:paraId="4742F2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2"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63A10">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19</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733F2">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一拖二无线头戴话筒</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786ED">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1、具有DPLL数字锁相环多信道频率合成技术及杂讯自动控制技术(带导频)；</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2、使用UHF740MHz～770MHz频段，避免干扰频率；</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3、具有节能模式设置，自动/手动EQ控制，自动校正音色，全自动开关机，自动红外线对频，全自动扫描功能；</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4、配套2支头戴麦克风，采用高频声表面滤波器，滤除带外干扰信号。</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C9A99">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套</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0F723234">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4</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9B1F8B">
            <w:pPr>
              <w:jc w:val="center"/>
              <w:rPr>
                <w:rFonts w:hint="eastAsia" w:ascii="楷体" w:hAnsi="楷体" w:eastAsia="楷体" w:cs="楷体"/>
                <w:i w:val="0"/>
                <w:iCs w:val="0"/>
                <w:color w:val="0D0D0D"/>
                <w:sz w:val="20"/>
                <w:szCs w:val="20"/>
                <w:u w:val="none"/>
              </w:rPr>
            </w:pPr>
          </w:p>
        </w:tc>
      </w:tr>
      <w:tr w14:paraId="769C9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94"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5FD14">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20</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E0290">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一拖四</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无线</w:t>
            </w:r>
          </w:p>
          <w:p w14:paraId="6E3D9D94">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电容</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合唱</w:t>
            </w:r>
          </w:p>
          <w:p w14:paraId="7AA87436">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话筒</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2AB54">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1、换能方式:电容式；</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2、指向特性:超心型单一指向；</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3、频率响应:80Hz-20KHz；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4、信噪比:≥65dB；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5、音频输出：无线接收机输出；</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6、灵敏度:-30dB；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7、参考拾音距离:≥10-60cm；</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8、发射机供电：两节1.5V_AA干电池；</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9、单杆单话筒设计，每支话筒配套一个专用收纳箱。</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D1D71">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套</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145EEE6F">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8FA739">
            <w:pPr>
              <w:jc w:val="center"/>
              <w:rPr>
                <w:rFonts w:hint="eastAsia" w:ascii="楷体" w:hAnsi="楷体" w:eastAsia="楷体" w:cs="楷体"/>
                <w:i w:val="0"/>
                <w:iCs w:val="0"/>
                <w:color w:val="0D0D0D"/>
                <w:sz w:val="20"/>
                <w:szCs w:val="20"/>
                <w:u w:val="none"/>
              </w:rPr>
            </w:pPr>
          </w:p>
        </w:tc>
      </w:tr>
      <w:tr w14:paraId="094CFB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1"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2BC41">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21</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BB5D4">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室外无线信号放大分配器</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ACCB1">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1、频率范围：450-950MHz；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2、RF输出增益：1dB±1dB；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3、输出三阶交调截取点：+14dBm；</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4、噪声指数：≤2dB；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5、系统阻抗：50Ω；</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6、输出端口数量：≥4个标准输出端口。</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A733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092C4FDE">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42C34A">
            <w:pPr>
              <w:jc w:val="center"/>
              <w:rPr>
                <w:rFonts w:hint="eastAsia" w:ascii="楷体" w:hAnsi="楷体" w:eastAsia="楷体" w:cs="楷体"/>
                <w:i w:val="0"/>
                <w:iCs w:val="0"/>
                <w:color w:val="0D0D0D"/>
                <w:sz w:val="20"/>
                <w:szCs w:val="20"/>
                <w:u w:val="none"/>
              </w:rPr>
            </w:pPr>
          </w:p>
        </w:tc>
      </w:tr>
      <w:tr w14:paraId="710231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36"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A99B0">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22</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6A5A0">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室外</w:t>
            </w:r>
          </w:p>
          <w:p w14:paraId="1F430172">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天线</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18887">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1、频率范围：450-950MHz；</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2、3dB波束宽：垂直对面90度，水平面120度；</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3、输出三阶交调截取点：+14dBm；</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4、增益：天线增益≥7dB；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4、噪声指数：≤2dB；</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5、系统阻抗：50Ω；</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6、极化方式：采用线性极化方式，减少信号损耗；</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7、安装方式：支持抱杆、壁挂等多种安装方式，根据现场环境、信号需求优化天线指向。</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75A64">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对</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40F12353">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5A8D8E">
            <w:pPr>
              <w:jc w:val="center"/>
              <w:rPr>
                <w:rFonts w:hint="eastAsia" w:ascii="楷体" w:hAnsi="楷体" w:eastAsia="楷体" w:cs="楷体"/>
                <w:i w:val="0"/>
                <w:iCs w:val="0"/>
                <w:color w:val="0D0D0D"/>
                <w:sz w:val="20"/>
                <w:szCs w:val="20"/>
                <w:u w:val="none"/>
              </w:rPr>
            </w:pPr>
          </w:p>
        </w:tc>
      </w:tr>
      <w:tr w14:paraId="2B53B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4211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23</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66D97">
            <w:pPr>
              <w:keepNext w:val="0"/>
              <w:keepLines w:val="0"/>
              <w:widowControl/>
              <w:suppressLineNumbers w:val="0"/>
              <w:jc w:val="center"/>
              <w:textAlignment w:val="center"/>
              <w:rPr>
                <w:rFonts w:hint="eastAsia" w:ascii="楷体" w:hAnsi="楷体" w:eastAsia="楷体" w:cs="楷体"/>
                <w:i w:val="0"/>
                <w:iCs w:val="0"/>
                <w:color w:val="000000"/>
                <w:kern w:val="0"/>
                <w:sz w:val="20"/>
                <w:szCs w:val="20"/>
                <w:u w:val="none"/>
                <w:lang w:val="en-US" w:eastAsia="zh-CN" w:bidi="ar"/>
              </w:rPr>
            </w:pPr>
            <w:r>
              <w:rPr>
                <w:rFonts w:hint="eastAsia" w:ascii="楷体" w:hAnsi="楷体" w:eastAsia="楷体" w:cs="楷体"/>
                <w:i w:val="0"/>
                <w:iCs w:val="0"/>
                <w:color w:val="000000"/>
                <w:kern w:val="0"/>
                <w:sz w:val="20"/>
                <w:szCs w:val="20"/>
                <w:u w:val="none"/>
                <w:lang w:val="en-US" w:eastAsia="zh-CN" w:bidi="ar"/>
              </w:rPr>
              <w:t>智能</w:t>
            </w:r>
          </w:p>
          <w:p w14:paraId="5E3BC1F4">
            <w:pPr>
              <w:keepNext w:val="0"/>
              <w:keepLines w:val="0"/>
              <w:widowControl/>
              <w:suppressLineNumbers w:val="0"/>
              <w:jc w:val="center"/>
              <w:textAlignment w:val="center"/>
              <w:rPr>
                <w:rFonts w:hint="eastAsia" w:ascii="楷体" w:hAnsi="楷体" w:eastAsia="楷体" w:cs="楷体"/>
                <w:i w:val="0"/>
                <w:iCs w:val="0"/>
                <w:color w:val="000000"/>
                <w:kern w:val="0"/>
                <w:sz w:val="20"/>
                <w:szCs w:val="20"/>
                <w:u w:val="none"/>
                <w:lang w:val="en-US" w:eastAsia="zh-CN" w:bidi="ar"/>
              </w:rPr>
            </w:pPr>
            <w:r>
              <w:rPr>
                <w:rFonts w:hint="eastAsia" w:ascii="楷体" w:hAnsi="楷体" w:eastAsia="楷体" w:cs="楷体"/>
                <w:i w:val="0"/>
                <w:iCs w:val="0"/>
                <w:color w:val="000000"/>
                <w:kern w:val="0"/>
                <w:sz w:val="20"/>
                <w:szCs w:val="20"/>
                <w:u w:val="none"/>
                <w:lang w:val="en-US" w:eastAsia="zh-CN" w:bidi="ar"/>
              </w:rPr>
              <w:t>电源</w:t>
            </w:r>
          </w:p>
          <w:p w14:paraId="2DB9C3AF">
            <w:pPr>
              <w:keepNext w:val="0"/>
              <w:keepLines w:val="0"/>
              <w:widowControl/>
              <w:suppressLineNumbers w:val="0"/>
              <w:jc w:val="center"/>
              <w:textAlignment w:val="center"/>
              <w:rPr>
                <w:rFonts w:hint="eastAsia" w:ascii="楷体" w:hAnsi="楷体" w:eastAsia="楷体" w:cs="楷体"/>
                <w:i w:val="0"/>
                <w:iCs w:val="0"/>
                <w:color w:val="000000"/>
                <w:sz w:val="20"/>
                <w:szCs w:val="20"/>
                <w:u w:val="none"/>
              </w:rPr>
            </w:pPr>
            <w:r>
              <w:rPr>
                <w:rFonts w:hint="eastAsia" w:ascii="楷体" w:hAnsi="楷体" w:eastAsia="楷体" w:cs="楷体"/>
                <w:i w:val="0"/>
                <w:iCs w:val="0"/>
                <w:color w:val="000000"/>
                <w:kern w:val="0"/>
                <w:sz w:val="20"/>
                <w:szCs w:val="20"/>
                <w:u w:val="none"/>
                <w:lang w:val="en-US" w:eastAsia="zh-CN" w:bidi="ar"/>
              </w:rPr>
              <w:t>时序器</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3E948">
            <w:pPr>
              <w:keepNext w:val="0"/>
              <w:keepLines w:val="0"/>
              <w:widowControl/>
              <w:suppressLineNumbers w:val="0"/>
              <w:jc w:val="left"/>
              <w:textAlignment w:val="center"/>
              <w:rPr>
                <w:rFonts w:hint="eastAsia" w:ascii="楷体" w:hAnsi="楷体" w:eastAsia="楷体" w:cs="楷体"/>
                <w:i w:val="0"/>
                <w:iCs w:val="0"/>
                <w:color w:val="000000"/>
                <w:sz w:val="20"/>
                <w:szCs w:val="20"/>
                <w:u w:val="none"/>
              </w:rPr>
            </w:pPr>
            <w:r>
              <w:rPr>
                <w:rFonts w:hint="eastAsia" w:ascii="楷体" w:hAnsi="楷体" w:eastAsia="楷体" w:cs="楷体"/>
                <w:i w:val="0"/>
                <w:iCs w:val="0"/>
                <w:color w:val="000000"/>
                <w:kern w:val="0"/>
                <w:sz w:val="20"/>
                <w:szCs w:val="20"/>
                <w:u w:val="none"/>
                <w:lang w:val="en-US" w:eastAsia="zh-CN" w:bidi="ar"/>
              </w:rPr>
              <w:t>1、通道数量：≥14路；</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2、额定输出电压：交流100V-240V50/60Hz；</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3、供电电源：AC100-240V50/60Hz40A；</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4、单路额定输出电流：≥13A；</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5、额定总输出电流：≥40A；</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6、带有彩色液晶触摸屏，实时显示电压/日期时间/通道开关状态；</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7、内置时钟芯片，可根据日期时间定时设置自动开关机，每路开关时间可自由设置；</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8、配置有RS232接口，RJ45接口，支持外部中控设备控制；</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9、支持≥8种设备开关场景数据保存/调用；</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10、可连接有线、无线网络，可通过PC、手机、WEB控制每路开关；</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11、支持外部I0触发，可对接中控设备实现的开、关机</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12、支持多台设备级联顺序控制，级联自动检测设备</w:t>
            </w:r>
            <w:r>
              <w:rPr>
                <w:rFonts w:hint="eastAsia" w:ascii="楷体" w:hAnsi="楷体" w:eastAsia="楷体" w:cs="楷体"/>
                <w:i w:val="0"/>
                <w:iCs w:val="0"/>
                <w:color w:val="000000"/>
                <w:kern w:val="0"/>
                <w:sz w:val="20"/>
                <w:szCs w:val="20"/>
                <w:u w:val="none"/>
                <w:lang w:val="en-US" w:eastAsia="zh-CN" w:bidi="ar"/>
              </w:rPr>
              <w:br w:type="textWrapping"/>
            </w:r>
            <w:r>
              <w:rPr>
                <w:rFonts w:hint="eastAsia" w:ascii="楷体" w:hAnsi="楷体" w:eastAsia="楷体" w:cs="楷体"/>
                <w:i w:val="0"/>
                <w:iCs w:val="0"/>
                <w:color w:val="000000"/>
                <w:kern w:val="0"/>
                <w:sz w:val="20"/>
                <w:szCs w:val="20"/>
                <w:u w:val="none"/>
                <w:lang w:val="en-US" w:eastAsia="zh-CN" w:bidi="ar"/>
              </w:rPr>
              <w:t>13、1-7路带独立滤波器，欠压、超压检测及报警。</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B15E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台</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4B92EB81">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26A777">
            <w:pPr>
              <w:jc w:val="center"/>
              <w:rPr>
                <w:rFonts w:hint="eastAsia" w:ascii="楷体" w:hAnsi="楷体" w:eastAsia="楷体" w:cs="楷体"/>
                <w:i w:val="0"/>
                <w:iCs w:val="0"/>
                <w:color w:val="0D0D0D"/>
                <w:sz w:val="20"/>
                <w:szCs w:val="20"/>
                <w:u w:val="none"/>
              </w:rPr>
            </w:pPr>
          </w:p>
        </w:tc>
      </w:tr>
      <w:tr w14:paraId="033554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6"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05ACC">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24</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07193">
            <w:pPr>
              <w:keepNext w:val="0"/>
              <w:keepLines w:val="0"/>
              <w:widowControl/>
              <w:suppressLineNumbers w:val="0"/>
              <w:jc w:val="center"/>
              <w:textAlignment w:val="center"/>
              <w:rPr>
                <w:rFonts w:hint="eastAsia" w:ascii="楷体" w:hAnsi="楷体" w:eastAsia="楷体" w:cs="楷体"/>
                <w:i w:val="0"/>
                <w:iCs w:val="0"/>
                <w:color w:val="0D0D0D"/>
                <w:kern w:val="0"/>
                <w:sz w:val="20"/>
                <w:szCs w:val="20"/>
                <w:u w:val="none"/>
                <w:lang w:val="en-US" w:eastAsia="zh-CN" w:bidi="ar"/>
              </w:rPr>
            </w:pPr>
            <w:r>
              <w:rPr>
                <w:rFonts w:hint="eastAsia" w:ascii="楷体" w:hAnsi="楷体" w:eastAsia="楷体" w:cs="楷体"/>
                <w:i w:val="0"/>
                <w:iCs w:val="0"/>
                <w:color w:val="0D0D0D"/>
                <w:kern w:val="0"/>
                <w:sz w:val="20"/>
                <w:szCs w:val="20"/>
                <w:u w:val="none"/>
                <w:lang w:val="en-US" w:eastAsia="zh-CN" w:bidi="ar"/>
              </w:rPr>
              <w:t>线阵列音箱</w:t>
            </w:r>
          </w:p>
          <w:p w14:paraId="10CEEC4F">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吊架</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43813">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线阵列音箱组合田字架，多个开孔位选择，并配有相应的U型扣，</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吊架采用阳极氧化加厚镀漆处理，防腐蚀，防生锈，适用各种严苛环境。</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单只≥承重1吨，满足多组大型线阵音箱吊挂。</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05D4A">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套</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3A8C57A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3E6F8F">
            <w:pPr>
              <w:jc w:val="center"/>
              <w:rPr>
                <w:rFonts w:hint="eastAsia" w:ascii="楷体" w:hAnsi="楷体" w:eastAsia="楷体" w:cs="楷体"/>
                <w:i w:val="0"/>
                <w:iCs w:val="0"/>
                <w:color w:val="0D0D0D"/>
                <w:sz w:val="20"/>
                <w:szCs w:val="20"/>
                <w:u w:val="none"/>
              </w:rPr>
            </w:pPr>
          </w:p>
        </w:tc>
      </w:tr>
      <w:tr w14:paraId="619D2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9" w:hRule="atLeast"/>
        </w:trPr>
        <w:tc>
          <w:tcPr>
            <w:tcW w:w="8984" w:type="dxa"/>
            <w:gridSpan w:val="5"/>
            <w:tcBorders>
              <w:top w:val="single" w:color="000000" w:sz="4" w:space="0"/>
              <w:left w:val="single" w:color="000000" w:sz="4" w:space="0"/>
              <w:bottom w:val="single" w:color="000000" w:sz="4" w:space="0"/>
              <w:right w:val="nil"/>
            </w:tcBorders>
            <w:shd w:val="clear" w:color="auto" w:fill="auto"/>
            <w:vAlign w:val="center"/>
          </w:tcPr>
          <w:p w14:paraId="4E4DCA5B">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三、其他材料及附属部分</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1C986F">
            <w:pPr>
              <w:jc w:val="center"/>
              <w:rPr>
                <w:rFonts w:hint="eastAsia" w:ascii="楷体" w:hAnsi="楷体" w:eastAsia="楷体" w:cs="楷体"/>
                <w:i w:val="0"/>
                <w:iCs w:val="0"/>
                <w:color w:val="0D0D0D"/>
                <w:sz w:val="20"/>
                <w:szCs w:val="20"/>
                <w:u w:val="none"/>
              </w:rPr>
            </w:pPr>
          </w:p>
        </w:tc>
      </w:tr>
      <w:tr w14:paraId="06935D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2"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1679E">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25</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96DB5">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42U机柜</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5F91F">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1、优质冷轧钢；</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2、静载≥800KG；</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3、内部敷铝锌板方孔条；</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4、顶置强劲散热风扇；</w:t>
            </w:r>
            <w:r>
              <w:rPr>
                <w:rFonts w:hint="eastAsia" w:ascii="楷体" w:hAnsi="楷体" w:eastAsia="楷体" w:cs="楷体"/>
                <w:i w:val="0"/>
                <w:iCs w:val="0"/>
                <w:color w:val="0D0D0D"/>
                <w:kern w:val="0"/>
                <w:sz w:val="20"/>
                <w:szCs w:val="20"/>
                <w:u w:val="none"/>
                <w:lang w:val="en-US" w:eastAsia="zh-CN" w:bidi="ar"/>
              </w:rPr>
              <w:br w:type="textWrapping"/>
            </w:r>
            <w:r>
              <w:rPr>
                <w:rFonts w:hint="eastAsia" w:ascii="楷体" w:hAnsi="楷体" w:eastAsia="楷体" w:cs="楷体"/>
                <w:i w:val="0"/>
                <w:iCs w:val="0"/>
                <w:color w:val="0D0D0D"/>
                <w:kern w:val="0"/>
                <w:sz w:val="20"/>
                <w:szCs w:val="20"/>
                <w:u w:val="none"/>
                <w:lang w:val="en-US" w:eastAsia="zh-CN" w:bidi="ar"/>
              </w:rPr>
              <w:t>5、配置本项目所需各种小配件（请自行计算）。</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4C402">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个</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29528E0D">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1</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4BBC51">
            <w:pPr>
              <w:jc w:val="center"/>
              <w:rPr>
                <w:rFonts w:hint="eastAsia" w:ascii="楷体" w:hAnsi="楷体" w:eastAsia="楷体" w:cs="楷体"/>
                <w:i w:val="0"/>
                <w:iCs w:val="0"/>
                <w:color w:val="0D0D0D"/>
                <w:sz w:val="20"/>
                <w:szCs w:val="20"/>
                <w:u w:val="none"/>
              </w:rPr>
            </w:pPr>
          </w:p>
        </w:tc>
      </w:tr>
      <w:tr w14:paraId="6C8857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FF8CC">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26</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95322">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音响航空箱</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3A9FF">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返送扬声器航空箱，根据本项目中返送扬声器定制。</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46D6A">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个</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45046FC5">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60D117">
            <w:pPr>
              <w:jc w:val="center"/>
              <w:rPr>
                <w:rFonts w:hint="eastAsia" w:ascii="楷体" w:hAnsi="楷体" w:eastAsia="楷体" w:cs="楷体"/>
                <w:i w:val="0"/>
                <w:iCs w:val="0"/>
                <w:color w:val="0D0D0D"/>
                <w:sz w:val="20"/>
                <w:szCs w:val="20"/>
                <w:u w:val="none"/>
              </w:rPr>
            </w:pPr>
          </w:p>
        </w:tc>
      </w:tr>
      <w:tr w14:paraId="08787E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3F382">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27</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B5AC1">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4芯护套音响线</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A8DA7">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单芯导体截面积1.5平方，请供应商实地勘察后，自行计算，按需配置。</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C9989">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米</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526A8E7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按需配置</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66C45A">
            <w:pPr>
              <w:jc w:val="center"/>
              <w:rPr>
                <w:rFonts w:hint="eastAsia" w:ascii="楷体" w:hAnsi="楷体" w:eastAsia="楷体" w:cs="楷体"/>
                <w:i w:val="0"/>
                <w:iCs w:val="0"/>
                <w:color w:val="0D0D0D"/>
                <w:sz w:val="20"/>
                <w:szCs w:val="20"/>
                <w:u w:val="none"/>
              </w:rPr>
            </w:pPr>
          </w:p>
        </w:tc>
      </w:tr>
      <w:tr w14:paraId="19C87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6863A">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28</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B9DEB">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2芯护套音响线</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BFED1">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单芯导体截面积2.5平方，请供应商实地勘察后，自行计算，按需配置。</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7D71F">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米</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5B7E0BED">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按需配置</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74F7AC">
            <w:pPr>
              <w:jc w:val="center"/>
              <w:rPr>
                <w:rFonts w:hint="eastAsia" w:ascii="楷体" w:hAnsi="楷体" w:eastAsia="楷体" w:cs="楷体"/>
                <w:i w:val="0"/>
                <w:iCs w:val="0"/>
                <w:color w:val="0D0D0D"/>
                <w:sz w:val="20"/>
                <w:szCs w:val="20"/>
                <w:u w:val="none"/>
              </w:rPr>
            </w:pPr>
          </w:p>
        </w:tc>
      </w:tr>
      <w:tr w14:paraId="6BC045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641EC">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29</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D469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2芯护套音响线</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10590">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单芯导体截面积1.5平方，请供应商实地勘察后，自行计算，按需配置。</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1222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米</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05B9814E">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按需配置</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B85F3D">
            <w:pPr>
              <w:jc w:val="center"/>
              <w:rPr>
                <w:rFonts w:hint="eastAsia" w:ascii="楷体" w:hAnsi="楷体" w:eastAsia="楷体" w:cs="楷体"/>
                <w:i w:val="0"/>
                <w:iCs w:val="0"/>
                <w:color w:val="0D0D0D"/>
                <w:sz w:val="20"/>
                <w:szCs w:val="20"/>
                <w:u w:val="none"/>
              </w:rPr>
            </w:pPr>
          </w:p>
        </w:tc>
      </w:tr>
      <w:tr w14:paraId="153C61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9"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7DE97">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30</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41BDB">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同轴线</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8F1BA">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屏蔽编织112编密绞铜加铝箔，线芯采用30AWG,芯线截面积2*0.3mm</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1382C">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米</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76D009F6">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按需配置</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3A8168">
            <w:pPr>
              <w:jc w:val="center"/>
              <w:rPr>
                <w:rFonts w:hint="eastAsia" w:ascii="楷体" w:hAnsi="楷体" w:eastAsia="楷体" w:cs="楷体"/>
                <w:i w:val="0"/>
                <w:iCs w:val="0"/>
                <w:color w:val="0D0D0D"/>
                <w:sz w:val="20"/>
                <w:szCs w:val="20"/>
                <w:u w:val="none"/>
              </w:rPr>
            </w:pPr>
          </w:p>
        </w:tc>
      </w:tr>
      <w:tr w14:paraId="209093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2520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31</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6B8B5">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立杆</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C4012">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主音箱、补声音箱立杆。满足本项目中音箱的安装需求和安全需求，请供应商实地勘察后，自行计算，按需配置。</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F5C4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米</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6B73785E">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按需配置</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A3B837">
            <w:pPr>
              <w:jc w:val="center"/>
              <w:rPr>
                <w:rFonts w:hint="eastAsia" w:ascii="楷体" w:hAnsi="楷体" w:eastAsia="楷体" w:cs="楷体"/>
                <w:i w:val="0"/>
                <w:iCs w:val="0"/>
                <w:color w:val="0D0D0D"/>
                <w:sz w:val="20"/>
                <w:szCs w:val="20"/>
                <w:u w:val="none"/>
              </w:rPr>
            </w:pPr>
          </w:p>
        </w:tc>
      </w:tr>
      <w:tr w14:paraId="1EB64E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F82B1">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32</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9178F">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安装及布线</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6421A">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主音箱、补声音箱挖沟、立杆、地笼、浇灌、回填、复原，超重低音箱的嵌入安装、防潮处理，及线路铺设所需开挖、埋管、布线、回填、复原等。</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D6110">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批</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5DDA9721">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按需配置</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9AEE6D">
            <w:pPr>
              <w:jc w:val="center"/>
              <w:rPr>
                <w:rFonts w:hint="eastAsia" w:ascii="楷体" w:hAnsi="楷体" w:eastAsia="楷体" w:cs="楷体"/>
                <w:i w:val="0"/>
                <w:iCs w:val="0"/>
                <w:color w:val="0D0D0D"/>
                <w:sz w:val="20"/>
                <w:szCs w:val="20"/>
                <w:u w:val="none"/>
              </w:rPr>
            </w:pPr>
          </w:p>
        </w:tc>
      </w:tr>
      <w:tr w14:paraId="58291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8"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5387B">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33</w:t>
            </w:r>
          </w:p>
        </w:tc>
        <w:tc>
          <w:tcPr>
            <w:tcW w:w="10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E355E">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辅材</w:t>
            </w:r>
          </w:p>
        </w:tc>
        <w:tc>
          <w:tcPr>
            <w:tcW w:w="61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96EBF">
            <w:pPr>
              <w:keepNext w:val="0"/>
              <w:keepLines w:val="0"/>
              <w:widowControl/>
              <w:suppressLineNumbers w:val="0"/>
              <w:jc w:val="left"/>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电缆线、各类音响接头、空气开关、管材、扎带、接插件、连接线、地插盒等</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D949F">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批</w:t>
            </w:r>
          </w:p>
        </w:tc>
        <w:tc>
          <w:tcPr>
            <w:tcW w:w="700" w:type="dxa"/>
            <w:tcBorders>
              <w:top w:val="single" w:color="000000" w:sz="4" w:space="0"/>
              <w:left w:val="single" w:color="000000" w:sz="4" w:space="0"/>
              <w:bottom w:val="single" w:color="000000" w:sz="4" w:space="0"/>
              <w:right w:val="nil"/>
            </w:tcBorders>
            <w:shd w:val="clear" w:color="auto" w:fill="auto"/>
            <w:vAlign w:val="center"/>
          </w:tcPr>
          <w:p w14:paraId="2184A4E8">
            <w:pPr>
              <w:keepNext w:val="0"/>
              <w:keepLines w:val="0"/>
              <w:widowControl/>
              <w:suppressLineNumbers w:val="0"/>
              <w:jc w:val="center"/>
              <w:textAlignment w:val="center"/>
              <w:rPr>
                <w:rFonts w:hint="eastAsia" w:ascii="楷体" w:hAnsi="楷体" w:eastAsia="楷体" w:cs="楷体"/>
                <w:i w:val="0"/>
                <w:iCs w:val="0"/>
                <w:color w:val="0D0D0D"/>
                <w:sz w:val="20"/>
                <w:szCs w:val="20"/>
                <w:u w:val="none"/>
              </w:rPr>
            </w:pPr>
            <w:r>
              <w:rPr>
                <w:rFonts w:hint="eastAsia" w:ascii="楷体" w:hAnsi="楷体" w:eastAsia="楷体" w:cs="楷体"/>
                <w:i w:val="0"/>
                <w:iCs w:val="0"/>
                <w:color w:val="0D0D0D"/>
                <w:kern w:val="0"/>
                <w:sz w:val="20"/>
                <w:szCs w:val="20"/>
                <w:u w:val="none"/>
                <w:lang w:val="en-US" w:eastAsia="zh-CN" w:bidi="ar"/>
              </w:rPr>
              <w:t>按需配置</w:t>
            </w:r>
          </w:p>
        </w:tc>
        <w:tc>
          <w:tcPr>
            <w:tcW w:w="81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0D2D94">
            <w:pPr>
              <w:jc w:val="center"/>
              <w:rPr>
                <w:rFonts w:hint="eastAsia" w:ascii="楷体" w:hAnsi="楷体" w:eastAsia="楷体" w:cs="楷体"/>
                <w:i w:val="0"/>
                <w:iCs w:val="0"/>
                <w:color w:val="0D0D0D"/>
                <w:sz w:val="20"/>
                <w:szCs w:val="20"/>
                <w:u w:val="none"/>
              </w:rPr>
            </w:pPr>
          </w:p>
        </w:tc>
      </w:tr>
    </w:tbl>
    <w:p w14:paraId="49350ABC">
      <w:pPr>
        <w:keepNext/>
        <w:keepLines/>
        <w:widowControl w:val="0"/>
        <w:spacing w:before="0" w:after="0" w:line="360" w:lineRule="auto"/>
        <w:ind w:firstLine="643" w:firstLineChars="200"/>
        <w:jc w:val="both"/>
        <w:outlineLvl w:val="2"/>
        <w:rPr>
          <w:rFonts w:hint="default" w:ascii="黑体" w:hAnsi="黑体" w:eastAsia="黑体" w:cs="黑体"/>
          <w:b/>
          <w:kern w:val="2"/>
          <w:sz w:val="32"/>
          <w:szCs w:val="32"/>
          <w:lang w:val="en-US" w:eastAsia="zh-CN" w:bidi="ar-SA"/>
        </w:rPr>
      </w:pPr>
    </w:p>
    <w:p w14:paraId="6D60D06E">
      <w:pPr>
        <w:keepNext/>
        <w:keepLines/>
        <w:widowControl w:val="0"/>
        <w:spacing w:before="0" w:after="0" w:line="360" w:lineRule="auto"/>
        <w:ind w:firstLine="643" w:firstLineChars="200"/>
        <w:jc w:val="both"/>
        <w:outlineLvl w:val="2"/>
        <w:rPr>
          <w:rFonts w:hint="eastAsia"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（二）特别说明：</w:t>
      </w:r>
    </w:p>
    <w:p w14:paraId="29262553">
      <w:pPr>
        <w:numPr>
          <w:ilvl w:val="0"/>
          <w:numId w:val="1"/>
        </w:numPr>
        <w:snapToGrid w:val="0"/>
        <w:spacing w:line="360" w:lineRule="auto"/>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该项目为“交钥匙”工程。具体要求如下：</w:t>
      </w:r>
    </w:p>
    <w:p w14:paraId="3E8CF7A8">
      <w:pPr>
        <w:numPr>
          <w:ilvl w:val="0"/>
          <w:numId w:val="2"/>
        </w:numPr>
        <w:snapToGrid w:val="0"/>
        <w:spacing w:line="360" w:lineRule="auto"/>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为保证各设备间的兼容性，保证校园广播运行稳定，大操场广播须与室内广播实现联动，成交供应商须根据采购人要求完成广播系统调试。</w:t>
      </w:r>
    </w:p>
    <w:p w14:paraId="08346718">
      <w:pPr>
        <w:numPr>
          <w:ilvl w:val="0"/>
          <w:numId w:val="2"/>
        </w:numPr>
        <w:snapToGrid w:val="0"/>
        <w:spacing w:line="360" w:lineRule="auto"/>
        <w:ind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供应商须对采购人进行细致的操作培训。</w:t>
      </w:r>
    </w:p>
    <w:p w14:paraId="0DF8D85F">
      <w:pPr>
        <w:keepNext/>
        <w:keepLines/>
        <w:widowControl w:val="0"/>
        <w:spacing w:before="0" w:after="0" w:line="360" w:lineRule="auto"/>
        <w:ind w:firstLine="643" w:firstLineChars="200"/>
        <w:jc w:val="both"/>
        <w:outlineLvl w:val="2"/>
        <w:rPr>
          <w:rFonts w:hint="eastAsia"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四、商务要求</w:t>
      </w:r>
    </w:p>
    <w:p w14:paraId="5F514F03">
      <w:pPr>
        <w:keepNext/>
        <w:keepLines/>
        <w:widowControl w:val="0"/>
        <w:spacing w:before="0" w:after="0" w:line="360" w:lineRule="auto"/>
        <w:ind w:firstLine="643" w:firstLineChars="200"/>
        <w:jc w:val="both"/>
        <w:outlineLvl w:val="2"/>
        <w:rPr>
          <w:rFonts w:ascii="黑体" w:hAnsi="黑体" w:eastAsia="黑体" w:cs="黑体"/>
          <w:b/>
          <w:color w:val="000000"/>
          <w:kern w:val="2"/>
          <w:sz w:val="32"/>
          <w:szCs w:val="32"/>
          <w:lang w:val="en-US" w:eastAsia="zh-CN" w:bidi="ar-SA"/>
        </w:rPr>
      </w:pPr>
      <w:r>
        <w:rPr>
          <w:rFonts w:hint="eastAsia" w:ascii="黑体" w:hAnsi="黑体" w:eastAsia="黑体" w:cs="黑体"/>
          <w:b/>
          <w:color w:val="000000"/>
          <w:kern w:val="2"/>
          <w:sz w:val="32"/>
          <w:szCs w:val="32"/>
          <w:lang w:val="en-US" w:eastAsia="zh-CN" w:bidi="ar-SA"/>
        </w:rPr>
        <w:t>（一）交货期限及地点</w:t>
      </w:r>
    </w:p>
    <w:p w14:paraId="742D1C71">
      <w:pPr>
        <w:snapToGrid w:val="0"/>
        <w:spacing w:line="360" w:lineRule="auto"/>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1、</w:t>
      </w:r>
      <w:r>
        <w:rPr>
          <w:rFonts w:hint="eastAsia" w:ascii="仿宋_GB2312" w:hAnsi="仿宋_GB2312" w:eastAsia="仿宋_GB2312" w:cs="仿宋_GB2312"/>
          <w:color w:val="000000"/>
          <w:sz w:val="32"/>
          <w:szCs w:val="32"/>
        </w:rPr>
        <w:t>交货时间</w:t>
      </w:r>
    </w:p>
    <w:p w14:paraId="3020BCCA">
      <w:pPr>
        <w:snapToGrid w:val="0"/>
        <w:spacing w:line="360" w:lineRule="auto"/>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签订合同后，30个日历日完成送货、安装、调试</w:t>
      </w:r>
      <w:r>
        <w:rPr>
          <w:rFonts w:hint="eastAsia" w:ascii="仿宋_GB2312" w:hAnsi="仿宋_GB2312" w:eastAsia="仿宋_GB2312" w:cs="仿宋_GB2312"/>
          <w:color w:val="000000"/>
          <w:sz w:val="32"/>
          <w:szCs w:val="32"/>
        </w:rPr>
        <w:t>。</w:t>
      </w:r>
    </w:p>
    <w:p w14:paraId="57F537CC">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交货地点</w:t>
      </w:r>
    </w:p>
    <w:p w14:paraId="6B6F1462">
      <w:pPr>
        <w:keepNext/>
        <w:keepLines/>
        <w:widowControl w:val="0"/>
        <w:spacing w:before="0" w:after="0" w:line="360" w:lineRule="auto"/>
        <w:ind w:firstLine="643" w:firstLineChars="200"/>
        <w:jc w:val="both"/>
        <w:outlineLvl w:val="2"/>
        <w:rPr>
          <w:rFonts w:hint="eastAsia" w:ascii="仿宋_GB2312" w:hAnsi="仿宋_GB2312" w:eastAsia="仿宋_GB2312" w:cs="仿宋_GB2312"/>
          <w:b/>
          <w:bCs/>
          <w:i w:val="0"/>
          <w:iCs w:val="0"/>
          <w:color w:val="auto"/>
          <w:sz w:val="32"/>
          <w:szCs w:val="32"/>
          <w:u w:val="none"/>
          <w:lang w:val="en-US" w:eastAsia="zh-CN"/>
        </w:rPr>
      </w:pPr>
      <w:r>
        <w:rPr>
          <w:rFonts w:hint="eastAsia" w:ascii="仿宋_GB2312" w:hAnsi="仿宋_GB2312" w:eastAsia="仿宋_GB2312" w:cs="仿宋_GB2312"/>
          <w:b/>
          <w:bCs/>
          <w:i w:val="0"/>
          <w:iCs w:val="0"/>
          <w:color w:val="auto"/>
          <w:sz w:val="32"/>
          <w:szCs w:val="32"/>
          <w:u w:val="none"/>
          <w:lang w:val="en-US" w:eastAsia="zh-CN"/>
        </w:rPr>
        <w:t>采购人指定地点。</w:t>
      </w:r>
    </w:p>
    <w:p w14:paraId="25F97931">
      <w:pPr>
        <w:keepNext/>
        <w:keepLines/>
        <w:widowControl w:val="0"/>
        <w:spacing w:before="0" w:after="0" w:line="360" w:lineRule="auto"/>
        <w:ind w:firstLine="643" w:firstLineChars="200"/>
        <w:jc w:val="both"/>
        <w:outlineLvl w:val="2"/>
        <w:rPr>
          <w:rFonts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（二）验收方式</w:t>
      </w:r>
    </w:p>
    <w:p w14:paraId="45D983C5">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货物到达现场后，成交供应商应在使用单位人员在场情况下当面开箱，共同清点、检查外观，作出开箱记录，双方签字确认。</w:t>
      </w:r>
    </w:p>
    <w:p w14:paraId="1BBA4817">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成交供应商应保证货物到达采购人所在地完好无损，如有缺漏、损坏，由供应商负责调换、补齐或赔偿。</w:t>
      </w:r>
    </w:p>
    <w:p w14:paraId="3D928810">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成交供应商应提供完备的技术资料、装箱单和合格证等，并派遣专业技术人员进行现场指导。验收合格条件如下：</w:t>
      </w:r>
    </w:p>
    <w:p w14:paraId="408DFFA9">
      <w:pPr>
        <w:snapToGrid w:val="0"/>
        <w:spacing w:line="360" w:lineRule="auto"/>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1</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产品技术参数与采购合同一致，性能指标达到规定的标准。</w:t>
      </w:r>
    </w:p>
    <w:p w14:paraId="415DD606">
      <w:pPr>
        <w:snapToGrid w:val="0"/>
        <w:spacing w:line="360" w:lineRule="auto"/>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货物技术资料、装箱单、合格证等资料齐全。</w:t>
      </w:r>
    </w:p>
    <w:p w14:paraId="027681CD">
      <w:pPr>
        <w:snapToGrid w:val="0"/>
        <w:spacing w:line="360" w:lineRule="auto"/>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3</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在规定时间内完成交货并验收，并经采购人确认。</w:t>
      </w:r>
    </w:p>
    <w:p w14:paraId="196BC65A">
      <w:pPr>
        <w:snapToGrid w:val="0"/>
        <w:spacing w:line="360" w:lineRule="auto"/>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采购人随机抽取的样品检测结果为合格</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若有</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w:t>
      </w:r>
    </w:p>
    <w:p w14:paraId="59C6AC80">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产品在用户掌握使用技术要领，使用符合要求，</w:t>
      </w:r>
      <w:r>
        <w:rPr>
          <w:rFonts w:hint="eastAsia" w:ascii="仿宋_GB2312" w:hAnsi="仿宋_GB2312" w:eastAsia="仿宋_GB2312" w:cs="仿宋_GB2312"/>
          <w:sz w:val="32"/>
          <w:szCs w:val="32"/>
          <w:lang w:val="en-US" w:eastAsia="zh-CN"/>
        </w:rPr>
        <w:t>出具正式验收结论，</w:t>
      </w:r>
      <w:r>
        <w:rPr>
          <w:rFonts w:hint="eastAsia" w:ascii="仿宋_GB2312" w:hAnsi="仿宋_GB2312" w:eastAsia="仿宋_GB2312" w:cs="仿宋_GB2312"/>
          <w:sz w:val="32"/>
          <w:szCs w:val="32"/>
        </w:rPr>
        <w:t>才作为最终验收。</w:t>
      </w:r>
    </w:p>
    <w:p w14:paraId="77604DF7">
      <w:pPr>
        <w:keepNext/>
        <w:keepLines/>
        <w:widowControl w:val="0"/>
        <w:spacing w:before="0" w:after="0" w:line="360" w:lineRule="auto"/>
        <w:ind w:firstLine="643" w:firstLineChars="200"/>
        <w:jc w:val="both"/>
        <w:outlineLvl w:val="2"/>
        <w:rPr>
          <w:rFonts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（三）质量保证及售后服务要求</w:t>
      </w:r>
    </w:p>
    <w:p w14:paraId="4B17D9EE">
      <w:pPr>
        <w:snapToGrid w:val="0"/>
        <w:spacing w:line="360" w:lineRule="auto"/>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en-US" w:eastAsia="zh-CN"/>
        </w:rPr>
        <w:t>1、</w:t>
      </w:r>
      <w:r>
        <w:rPr>
          <w:rFonts w:hint="eastAsia" w:ascii="仿宋_GB2312" w:hAnsi="仿宋_GB2312" w:eastAsia="仿宋_GB2312" w:cs="仿宋_GB2312"/>
          <w:kern w:val="0"/>
          <w:sz w:val="32"/>
          <w:szCs w:val="32"/>
        </w:rPr>
        <w:t xml:space="preserve">供应商所供产品名称、规格、数量、质量要求、生产企业与竞采文件要求相符。 </w:t>
      </w:r>
    </w:p>
    <w:p w14:paraId="61F66CAA">
      <w:pPr>
        <w:snapToGrid w:val="0"/>
        <w:spacing w:line="360" w:lineRule="auto"/>
        <w:ind w:firstLine="640" w:firstLineChars="2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2、</w:t>
      </w:r>
      <w:r>
        <w:rPr>
          <w:rFonts w:hint="eastAsia" w:ascii="仿宋_GB2312" w:hAnsi="仿宋_GB2312" w:eastAsia="仿宋_GB2312" w:cs="仿宋_GB2312"/>
          <w:kern w:val="0"/>
          <w:sz w:val="32"/>
          <w:szCs w:val="32"/>
        </w:rPr>
        <w:t>自验收之日起</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val="en-US" w:eastAsia="zh-CN"/>
        </w:rPr>
        <w:t>本项目中的所有</w:t>
      </w:r>
      <w:r>
        <w:rPr>
          <w:rFonts w:hint="eastAsia" w:ascii="仿宋_GB2312" w:hAnsi="仿宋_GB2312" w:eastAsia="仿宋_GB2312" w:cs="仿宋_GB2312"/>
          <w:kern w:val="0"/>
          <w:sz w:val="32"/>
          <w:szCs w:val="32"/>
        </w:rPr>
        <w:t>产品质量保证期不低于</w:t>
      </w:r>
      <w:r>
        <w:rPr>
          <w:rFonts w:hint="eastAsia" w:ascii="仿宋_GB2312" w:hAnsi="仿宋_GB2312" w:eastAsia="仿宋_GB2312" w:cs="仿宋_GB2312"/>
          <w:kern w:val="0"/>
          <w:sz w:val="32"/>
          <w:szCs w:val="32"/>
          <w:u w:val="single"/>
        </w:rPr>
        <w:t>5</w:t>
      </w:r>
      <w:r>
        <w:rPr>
          <w:rFonts w:hint="eastAsia" w:ascii="仿宋_GB2312" w:hAnsi="仿宋_GB2312" w:eastAsia="仿宋_GB2312" w:cs="仿宋_GB2312"/>
          <w:kern w:val="0"/>
          <w:sz w:val="32"/>
          <w:szCs w:val="32"/>
        </w:rPr>
        <w:t>年</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lang w:val="en-US" w:eastAsia="zh-CN"/>
        </w:rPr>
        <w:t>质保期内，除采购人人为损坏之外引起的故障，供应商须提供免费的产品更换或维修，且免费提供针对全系统的调试服务。</w:t>
      </w:r>
    </w:p>
    <w:p w14:paraId="79C6F278">
      <w:pPr>
        <w:snapToGrid w:val="0"/>
        <w:spacing w:line="360" w:lineRule="auto"/>
        <w:ind w:firstLine="640" w:firstLineChars="2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3、质保期限后，供应商须承诺以优于市场价格为采购人提供维保服务。</w:t>
      </w:r>
    </w:p>
    <w:p w14:paraId="14704BCF">
      <w:pPr>
        <w:snapToGrid w:val="0"/>
        <w:spacing w:line="360" w:lineRule="auto"/>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en-US" w:eastAsia="zh-CN"/>
        </w:rPr>
        <w:t>4、</w:t>
      </w:r>
      <w:r>
        <w:rPr>
          <w:rFonts w:hint="eastAsia" w:ascii="仿宋_GB2312" w:hAnsi="仿宋_GB2312" w:eastAsia="仿宋_GB2312" w:cs="仿宋_GB2312"/>
          <w:kern w:val="0"/>
          <w:sz w:val="32"/>
          <w:szCs w:val="32"/>
        </w:rPr>
        <w:t>产品属于国家规定“三包”范围的，其产品质量保证期不得低于“三包”规定。</w:t>
      </w:r>
    </w:p>
    <w:p w14:paraId="7FC1D425">
      <w:pPr>
        <w:snapToGrid w:val="0"/>
        <w:spacing w:line="360" w:lineRule="auto"/>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en-US" w:eastAsia="zh-CN"/>
        </w:rPr>
        <w:t>5、</w:t>
      </w:r>
      <w:r>
        <w:rPr>
          <w:rFonts w:hint="eastAsia" w:ascii="仿宋_GB2312" w:hAnsi="仿宋_GB2312" w:eastAsia="仿宋_GB2312" w:cs="仿宋_GB2312"/>
          <w:kern w:val="0"/>
          <w:sz w:val="32"/>
          <w:szCs w:val="32"/>
        </w:rPr>
        <w:t>成交供应商须免费提供现场技术培训与技术支持。</w:t>
      </w:r>
    </w:p>
    <w:p w14:paraId="264D2DCD">
      <w:pPr>
        <w:snapToGrid w:val="0"/>
        <w:spacing w:line="360" w:lineRule="auto"/>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kern w:val="0"/>
          <w:sz w:val="32"/>
          <w:szCs w:val="32"/>
          <w:lang w:val="en-US" w:eastAsia="zh-CN"/>
        </w:rPr>
        <w:t>6、</w:t>
      </w:r>
      <w:r>
        <w:rPr>
          <w:rFonts w:hint="eastAsia" w:ascii="仿宋_GB2312" w:hAnsi="仿宋_GB2312" w:eastAsia="仿宋_GB2312" w:cs="仿宋_GB2312"/>
          <w:color w:val="000000"/>
          <w:kern w:val="0"/>
          <w:sz w:val="32"/>
          <w:szCs w:val="32"/>
        </w:rPr>
        <w:t>用户遇到使用及技术问题，电话咨询不能解决的，成交供应商或制造商应在2小时内采取相应响应措施；无法在2小时内解决的，应在24小时内派出专业人员进行技术支持。</w:t>
      </w:r>
    </w:p>
    <w:p w14:paraId="7B00A8BD">
      <w:pPr>
        <w:snapToGrid w:val="0"/>
        <w:spacing w:line="360" w:lineRule="auto"/>
        <w:ind w:firstLine="640" w:firstLineChars="200"/>
        <w:rPr>
          <w:rFonts w:hint="default" w:ascii="仿宋_GB2312" w:hAnsi="仿宋_GB2312" w:eastAsia="仿宋_GB2312" w:cs="仿宋_GB2312"/>
          <w:color w:val="FF0000"/>
          <w:kern w:val="0"/>
          <w:sz w:val="32"/>
          <w:szCs w:val="32"/>
          <w:lang w:val="en-US" w:eastAsia="zh-CN"/>
        </w:rPr>
      </w:pPr>
      <w:r>
        <w:rPr>
          <w:rFonts w:hint="eastAsia" w:ascii="仿宋_GB2312" w:hAnsi="仿宋_GB2312" w:eastAsia="仿宋_GB2312" w:cs="仿宋_GB2312"/>
          <w:color w:val="FF0000"/>
          <w:kern w:val="0"/>
          <w:sz w:val="32"/>
          <w:szCs w:val="32"/>
          <w:lang w:val="en-US" w:eastAsia="zh-CN"/>
        </w:rPr>
        <w:t>7、在质保期内出现产品问题，48小时内不能处理的，须提供备件；若遇重大活动，须提供技术和设备保障。</w:t>
      </w:r>
    </w:p>
    <w:p w14:paraId="06F74D47">
      <w:pPr>
        <w:keepNext/>
        <w:keepLines/>
        <w:widowControl w:val="0"/>
        <w:spacing w:before="0" w:after="0" w:line="360" w:lineRule="auto"/>
        <w:ind w:firstLine="643" w:firstLineChars="200"/>
        <w:jc w:val="both"/>
        <w:outlineLvl w:val="2"/>
        <w:rPr>
          <w:rFonts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（四）报价要求</w:t>
      </w:r>
    </w:p>
    <w:p w14:paraId="734A35C0">
      <w:pPr>
        <w:keepNext w:val="0"/>
        <w:keepLines w:val="0"/>
        <w:widowControl w:val="0"/>
        <w:suppressLineNumbers w:val="0"/>
        <w:snapToGrid w:val="0"/>
        <w:spacing w:before="0" w:beforeAutospacing="0" w:after="0" w:afterAutospacing="0" w:line="360" w:lineRule="auto"/>
        <w:ind w:left="0" w:right="0" w:firstLine="640" w:firstLineChars="200"/>
        <w:jc w:val="both"/>
        <w:rPr>
          <w:rFonts w:hint="default" w:ascii="仿宋_GB2312" w:eastAsia="仿宋_GB2312" w:cs="仿宋_GB2312"/>
          <w:color w:val="000000"/>
          <w:kern w:val="2"/>
          <w:sz w:val="32"/>
          <w:szCs w:val="32"/>
        </w:rPr>
      </w:pPr>
      <w:r>
        <w:rPr>
          <w:rFonts w:hint="eastAsia" w:ascii="仿宋_GB2312" w:eastAsia="仿宋_GB2312" w:cs="仿宋_GB2312"/>
          <w:color w:val="000000"/>
          <w:kern w:val="2"/>
          <w:sz w:val="32"/>
          <w:szCs w:val="32"/>
          <w:lang w:val="en-US" w:eastAsia="zh-CN"/>
        </w:rPr>
        <w:t>1、</w:t>
      </w:r>
      <w:r>
        <w:rPr>
          <w:rFonts w:hint="default" w:ascii="仿宋_GB2312" w:hAnsi="Calibri" w:eastAsia="仿宋_GB2312" w:cs="仿宋_GB2312"/>
          <w:color w:val="000000"/>
          <w:kern w:val="2"/>
          <w:sz w:val="32"/>
          <w:szCs w:val="32"/>
          <w:lang w:val="en-US" w:eastAsia="zh-CN"/>
        </w:rPr>
        <w:t>报价开始时间、报价截止时间、有效报价家数均以公告内容为准。</w:t>
      </w:r>
    </w:p>
    <w:p w14:paraId="2183882C">
      <w:pPr>
        <w:keepNext w:val="0"/>
        <w:keepLines w:val="0"/>
        <w:widowControl w:val="0"/>
        <w:suppressLineNumbers w:val="0"/>
        <w:snapToGrid w:val="0"/>
        <w:spacing w:before="0" w:beforeAutospacing="0" w:after="0" w:afterAutospacing="0" w:line="360" w:lineRule="auto"/>
        <w:ind w:left="0" w:right="0" w:firstLine="640" w:firstLineChars="200"/>
        <w:jc w:val="both"/>
        <w:rPr>
          <w:rFonts w:hint="default" w:ascii="仿宋_GB2312" w:hAnsi="Calibri" w:eastAsia="仿宋_GB2312" w:cs="仿宋_GB2312"/>
          <w:color w:val="000000"/>
          <w:kern w:val="2"/>
          <w:sz w:val="32"/>
          <w:szCs w:val="32"/>
          <w:lang w:val="en-US" w:eastAsia="zh-CN"/>
        </w:rPr>
      </w:pPr>
      <w:r>
        <w:rPr>
          <w:rFonts w:hint="eastAsia" w:ascii="仿宋_GB2312" w:eastAsia="仿宋_GB2312" w:cs="仿宋_GB2312"/>
          <w:color w:val="000000"/>
          <w:kern w:val="2"/>
          <w:sz w:val="32"/>
          <w:szCs w:val="32"/>
          <w:lang w:val="en-US" w:eastAsia="zh-CN"/>
        </w:rPr>
        <w:t>2、</w:t>
      </w:r>
      <w:r>
        <w:rPr>
          <w:rFonts w:hint="default" w:ascii="仿宋_GB2312" w:hAnsi="Calibri" w:eastAsia="仿宋_GB2312" w:cs="仿宋_GB2312"/>
          <w:color w:val="000000"/>
          <w:kern w:val="2"/>
          <w:sz w:val="32"/>
          <w:szCs w:val="32"/>
          <w:lang w:val="en-US" w:eastAsia="zh-CN"/>
        </w:rPr>
        <w:t>竞采报价是指供应商在正确地完全履行合同义务后采购人应支付给供应商所有的货物价款，本次报价为人民币报价，即（包含且不限于）货物的供货、税金、包装、运输（含二次及多次转运费）、装卸、拆装、保护原有装饰、恢复原样、安装调试（含各种辅材费、人工费）、垃圾清运费、保险费、验收（含第三方检测及验收）、技术服务、售后服务、材料、采购代理服务费、人员培训费、合理的利润、不可预见费及其他国家相关规定的全部费用，实行货到采购人指定地点的所有费用总包干，供应商应根据上述因素自行考虑含入投标总价。因成交供应商自身原因造成漏报、少报皆由其自行承担责任，采购</w:t>
      </w:r>
      <w:r>
        <w:rPr>
          <w:rFonts w:hint="eastAsia" w:ascii="仿宋_GB2312" w:eastAsia="仿宋_GB2312" w:cs="仿宋_GB2312"/>
          <w:color w:val="000000"/>
          <w:kern w:val="2"/>
          <w:sz w:val="32"/>
          <w:szCs w:val="32"/>
          <w:lang w:val="en-US" w:eastAsia="zh-CN"/>
        </w:rPr>
        <w:t>人</w:t>
      </w:r>
      <w:r>
        <w:rPr>
          <w:rFonts w:hint="default" w:ascii="仿宋_GB2312" w:hAnsi="Calibri" w:eastAsia="仿宋_GB2312" w:cs="仿宋_GB2312"/>
          <w:color w:val="000000"/>
          <w:kern w:val="2"/>
          <w:sz w:val="32"/>
          <w:szCs w:val="32"/>
          <w:lang w:val="en-US" w:eastAsia="zh-CN"/>
        </w:rPr>
        <w:t>不再补偿。</w:t>
      </w:r>
    </w:p>
    <w:p w14:paraId="6E67E2F1">
      <w:pPr>
        <w:keepNext w:val="0"/>
        <w:keepLines w:val="0"/>
        <w:widowControl w:val="0"/>
        <w:suppressLineNumbers w:val="0"/>
        <w:snapToGrid w:val="0"/>
        <w:spacing w:before="0" w:beforeAutospacing="0" w:after="0" w:afterAutospacing="0" w:line="360" w:lineRule="auto"/>
        <w:ind w:left="0" w:right="0" w:firstLine="643" w:firstLineChars="200"/>
        <w:jc w:val="both"/>
        <w:rPr>
          <w:rFonts w:hint="eastAsia"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（五）付款方式</w:t>
      </w:r>
    </w:p>
    <w:p w14:paraId="0C8A6CC7">
      <w:pPr>
        <w:keepNext w:val="0"/>
        <w:keepLines w:val="0"/>
        <w:widowControl w:val="0"/>
        <w:suppressLineNumbers w:val="0"/>
        <w:snapToGrid w:val="0"/>
        <w:spacing w:before="0" w:beforeAutospacing="0" w:after="0" w:afterAutospacing="0" w:line="360" w:lineRule="auto"/>
        <w:ind w:left="0" w:right="0" w:firstLine="640" w:firstLineChars="200"/>
        <w:jc w:val="both"/>
        <w:rPr>
          <w:rFonts w:hint="eastAsia" w:ascii="方正仿宋_GB2312" w:hAnsi="方正仿宋_GB2312" w:eastAsia="方正仿宋_GB2312" w:cs="方正仿宋_GB2312"/>
          <w:b w:val="0"/>
          <w:bCs/>
          <w:kern w:val="2"/>
          <w:sz w:val="32"/>
          <w:szCs w:val="32"/>
          <w:lang w:val="en-US" w:eastAsia="zh-CN" w:bidi="ar-SA"/>
        </w:rPr>
      </w:pPr>
      <w:r>
        <w:rPr>
          <w:rFonts w:hint="eastAsia" w:ascii="方正仿宋_GB2312" w:hAnsi="方正仿宋_GB2312" w:eastAsia="方正仿宋_GB2312" w:cs="方正仿宋_GB2312"/>
          <w:b w:val="0"/>
          <w:bCs/>
          <w:kern w:val="2"/>
          <w:sz w:val="32"/>
          <w:szCs w:val="32"/>
          <w:lang w:val="en-US" w:eastAsia="zh-CN" w:bidi="ar-SA"/>
        </w:rPr>
        <w:t>本项目中所有产品送达指定地点，完成安装调试，经采购人组织验收，出具正式验收报告后，供应商出具与成交金额同等的正式发票，采购人在收到发票后20个工作日内以对公转账的方式，100%汇入供应商指定账户。</w:t>
      </w:r>
      <w:bookmarkStart w:id="10" w:name="_Toc13932"/>
      <w:bookmarkStart w:id="11" w:name="_Toc32358"/>
      <w:bookmarkStart w:id="12" w:name="_Toc10965"/>
      <w:bookmarkStart w:id="13" w:name="_Toc267320052"/>
      <w:bookmarkStart w:id="14" w:name="_Toc20741"/>
      <w:bookmarkStart w:id="15" w:name="_Toc76373881"/>
      <w:bookmarkStart w:id="16" w:name="_Toc196406411"/>
    </w:p>
    <w:p w14:paraId="3BF03626">
      <w:pPr>
        <w:keepNext w:val="0"/>
        <w:keepLines w:val="0"/>
        <w:widowControl w:val="0"/>
        <w:suppressLineNumbers w:val="0"/>
        <w:snapToGrid w:val="0"/>
        <w:spacing w:before="0" w:beforeAutospacing="0" w:after="0" w:afterAutospacing="0" w:line="360" w:lineRule="auto"/>
        <w:ind w:left="0" w:right="0" w:firstLine="643" w:firstLineChars="200"/>
        <w:jc w:val="both"/>
        <w:rPr>
          <w:rFonts w:hint="eastAsia"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（六）知识产权</w:t>
      </w:r>
      <w:bookmarkEnd w:id="10"/>
      <w:bookmarkEnd w:id="11"/>
      <w:bookmarkEnd w:id="12"/>
      <w:bookmarkEnd w:id="13"/>
      <w:bookmarkEnd w:id="14"/>
      <w:bookmarkEnd w:id="15"/>
      <w:bookmarkEnd w:id="16"/>
    </w:p>
    <w:p w14:paraId="7F12A6E2">
      <w:pPr>
        <w:keepNext w:val="0"/>
        <w:keepLines w:val="0"/>
        <w:widowControl w:val="0"/>
        <w:suppressLineNumbers w:val="0"/>
        <w:snapToGrid w:val="0"/>
        <w:spacing w:before="0" w:beforeAutospacing="0" w:after="0" w:afterAutospacing="0" w:line="360" w:lineRule="auto"/>
        <w:ind w:left="0" w:right="0" w:firstLine="640" w:firstLineChars="200"/>
        <w:jc w:val="both"/>
        <w:rPr>
          <w:rFonts w:hint="eastAsia" w:ascii="方正仿宋_GB2312" w:hAnsi="方正仿宋_GB2312" w:eastAsia="方正仿宋_GB2312" w:cs="方正仿宋_GB2312"/>
          <w:b w:val="0"/>
          <w:bCs/>
          <w:kern w:val="2"/>
          <w:sz w:val="32"/>
          <w:szCs w:val="32"/>
          <w:lang w:val="en-US" w:eastAsia="zh-CN" w:bidi="ar-SA"/>
        </w:rPr>
      </w:pPr>
      <w:r>
        <w:rPr>
          <w:rFonts w:hint="eastAsia" w:ascii="方正仿宋_GB2312" w:hAnsi="方正仿宋_GB2312" w:eastAsia="方正仿宋_GB2312" w:cs="方正仿宋_GB2312"/>
          <w:b w:val="0"/>
          <w:bCs/>
          <w:kern w:val="2"/>
          <w:sz w:val="32"/>
          <w:szCs w:val="32"/>
          <w:lang w:val="en-US" w:eastAsia="zh-CN" w:bidi="ar-SA"/>
        </w:rPr>
        <w:t>采购人在中华人民共和国境内使用投标人提供的货物及服务时免受第三方提出的侵犯其专利权或其它知识产权的起诉。如果第三方提出侵权指控，成交供应商应承担由此而引起的一切法律责任和费用。</w:t>
      </w:r>
    </w:p>
    <w:p w14:paraId="0744058C">
      <w:pPr>
        <w:keepNext/>
        <w:keepLines/>
        <w:widowControl w:val="0"/>
        <w:spacing w:before="0" w:after="0" w:line="360" w:lineRule="auto"/>
        <w:ind w:firstLine="643" w:firstLineChars="200"/>
        <w:jc w:val="both"/>
        <w:outlineLvl w:val="2"/>
        <w:rPr>
          <w:rFonts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五、供应商响应文件要求</w:t>
      </w:r>
    </w:p>
    <w:p w14:paraId="21F26BEE">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供应商必须在平台上按要求上传响应文件，未按要求提供的视为无效供应商。</w:t>
      </w:r>
    </w:p>
    <w:p w14:paraId="1A636C87">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（一）响应文件内容</w:t>
      </w:r>
    </w:p>
    <w:p w14:paraId="75E70212">
      <w:pPr>
        <w:snapToGri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1.盖鲜章的《报价函》《明细报价表》各1份。</w:t>
      </w:r>
    </w:p>
    <w:p w14:paraId="04701060">
      <w:pPr>
        <w:snapToGrid w:val="0"/>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2.技术应答</w:t>
      </w:r>
    </w:p>
    <w:p w14:paraId="4BA21A49">
      <w:pPr>
        <w:snapToGrid w:val="0"/>
        <w:spacing w:line="360" w:lineRule="auto"/>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3.商务应答</w:t>
      </w:r>
    </w:p>
    <w:p w14:paraId="2B260562">
      <w:pPr>
        <w:snapToGrid w:val="0"/>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盖鲜章的法人营业执照（副本）或事业单位法人证书（副本）或个体工商户营业执照或有效的自然人身份证明或社会团体法人登记证书复印件</w:t>
      </w:r>
      <w:r>
        <w:rPr>
          <w:rFonts w:hint="eastAsia" w:ascii="仿宋_GB2312" w:hAnsi="仿宋_GB2312" w:eastAsia="仿宋_GB2312" w:cs="仿宋_GB2312"/>
          <w:sz w:val="32"/>
          <w:szCs w:val="32"/>
          <w:lang w:eastAsia="zh-CN"/>
        </w:rPr>
        <w:t>。</w:t>
      </w:r>
    </w:p>
    <w:p w14:paraId="208042E3">
      <w:pPr>
        <w:snapToGri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盖鲜章的《法定代表人身份证明书》1份，其中应包含法定代表人身份证复印件。若法定代表人委托他人投标，请提供盖鲜章的《法定代表人授权委托书》1份，其中应包含法定代表人及被授权人身份证复印件各1份。</w:t>
      </w:r>
    </w:p>
    <w:p w14:paraId="70F9C89F">
      <w:pPr>
        <w:snapToGri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.盖鲜章的基本资格条件承诺函。</w:t>
      </w:r>
    </w:p>
    <w:p w14:paraId="790C41AF">
      <w:pPr>
        <w:snapToGri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采购文件要求</w:t>
      </w:r>
      <w:r>
        <w:rPr>
          <w:rFonts w:hint="eastAsia" w:ascii="仿宋_GB2312" w:hAnsi="仿宋_GB2312" w:eastAsia="仿宋_GB2312" w:cs="仿宋_GB2312"/>
          <w:sz w:val="32"/>
          <w:szCs w:val="32"/>
        </w:rPr>
        <w:t>提供的</w:t>
      </w:r>
      <w:r>
        <w:rPr>
          <w:rFonts w:hint="eastAsia" w:ascii="仿宋_GB2312" w:hAnsi="仿宋_GB2312" w:eastAsia="仿宋_GB2312" w:cs="仿宋_GB2312"/>
          <w:sz w:val="32"/>
          <w:szCs w:val="32"/>
          <w:lang w:val="en-US" w:eastAsia="zh-CN"/>
        </w:rPr>
        <w:t>其他</w:t>
      </w:r>
      <w:r>
        <w:rPr>
          <w:rFonts w:hint="eastAsia" w:ascii="仿宋_GB2312" w:hAnsi="仿宋_GB2312" w:eastAsia="仿宋_GB2312" w:cs="仿宋_GB2312"/>
          <w:sz w:val="32"/>
          <w:szCs w:val="32"/>
        </w:rPr>
        <w:t>资料。</w:t>
      </w:r>
    </w:p>
    <w:p w14:paraId="0B91EC14">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（二）提交文件的要求</w:t>
      </w:r>
    </w:p>
    <w:p w14:paraId="73AC3365">
      <w:pPr>
        <w:snapToGrid w:val="0"/>
        <w:spacing w:line="360" w:lineRule="auto"/>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w:t>
      </w:r>
      <w:r>
        <w:rPr>
          <w:rFonts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rPr>
        <w:t>供应商线上报名、报价时需上传盖鲜章后的电子文档一份。</w:t>
      </w:r>
    </w:p>
    <w:p w14:paraId="451A9FC8">
      <w:pPr>
        <w:snapToGri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供应商在系统中的报价与响应文件中的报价不一致时</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采购人将以系统中供应商的报价作为评判依据。</w:t>
      </w:r>
    </w:p>
    <w:p w14:paraId="712B759C">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供应商只能有一个有效报价，供应商只能以自己单位名义提交响应文件。</w:t>
      </w:r>
    </w:p>
    <w:p w14:paraId="12D610D5">
      <w:pPr>
        <w:snapToGrid w:val="0"/>
        <w:spacing w:line="360" w:lineRule="auto"/>
        <w:ind w:firstLine="640" w:firstLineChars="200"/>
        <w:rPr>
          <w:rFonts w:ascii="仿宋_GB2312" w:hAnsi="仿宋_GB2312" w:eastAsia="仿宋_GB2312" w:cs="仿宋_GB2312"/>
          <w:b/>
          <w:bCs/>
          <w:i/>
          <w:iCs/>
          <w:color w:val="FF0000"/>
          <w:sz w:val="32"/>
          <w:szCs w:val="32"/>
          <w:u w:val="single"/>
        </w:rPr>
      </w:pPr>
      <w:r>
        <w:rPr>
          <w:rFonts w:hint="eastAsia" w:ascii="仿宋_GB2312" w:hAnsi="仿宋_GB2312" w:eastAsia="仿宋_GB2312" w:cs="仿宋_GB2312"/>
          <w:sz w:val="32"/>
          <w:szCs w:val="32"/>
        </w:rPr>
        <w:t xml:space="preserve">4. </w:t>
      </w:r>
      <w:r>
        <w:rPr>
          <w:rFonts w:hint="eastAsia" w:ascii="仿宋_GB2312" w:hAnsi="仿宋_GB2312" w:eastAsia="仿宋_GB2312" w:cs="仿宋_GB2312"/>
          <w:sz w:val="32"/>
          <w:szCs w:val="32"/>
          <w:u w:val="single"/>
        </w:rPr>
        <w:t>供应商制作的响应文件电子文档，须按照要求制作，</w:t>
      </w:r>
      <w:r>
        <w:rPr>
          <w:rFonts w:hint="eastAsia" w:ascii="仿宋_GB2312" w:hAnsi="仿宋_GB2312" w:eastAsia="仿宋_GB2312" w:cs="仿宋_GB2312"/>
          <w:sz w:val="32"/>
          <w:szCs w:val="32"/>
          <w:u w:val="single"/>
          <w:lang w:val="en-US" w:eastAsia="zh-CN"/>
        </w:rPr>
        <w:t>必须对技术要求、商务要求作出实质性响应，</w:t>
      </w:r>
      <w:r>
        <w:rPr>
          <w:rFonts w:hint="eastAsia" w:ascii="仿宋_GB2312" w:hAnsi="仿宋_GB2312" w:eastAsia="仿宋_GB2312" w:cs="仿宋_GB2312"/>
          <w:sz w:val="32"/>
          <w:szCs w:val="32"/>
          <w:u w:val="single"/>
        </w:rPr>
        <w:t>规定签字、盖章的地方必须按规定签字、盖章，上传的文件需字迹清晰，未按要求制作响应文件的作废标处理。</w:t>
      </w:r>
    </w:p>
    <w:p w14:paraId="73450580">
      <w:pPr>
        <w:keepNext/>
        <w:keepLines/>
        <w:widowControl w:val="0"/>
        <w:spacing w:before="0" w:after="0" w:line="360" w:lineRule="auto"/>
        <w:ind w:firstLine="643" w:firstLineChars="200"/>
        <w:jc w:val="both"/>
        <w:outlineLvl w:val="2"/>
        <w:rPr>
          <w:rFonts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六、成交规则</w:t>
      </w:r>
    </w:p>
    <w:p w14:paraId="67F2CFBE">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采购人在符合审查的供应商中，确认报价最低的</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为成交供应商。（</w:t>
      </w:r>
      <w:r>
        <w:rPr>
          <w:rFonts w:hint="eastAsia" w:ascii="仿宋_GB2312" w:hAnsi="仿宋_GB2312" w:eastAsia="仿宋_GB2312" w:cs="仿宋_GB2312"/>
          <w:sz w:val="32"/>
          <w:szCs w:val="32"/>
          <w:lang w:val="en-US" w:eastAsia="zh-CN"/>
        </w:rPr>
        <w:t>若</w:t>
      </w:r>
      <w:r>
        <w:rPr>
          <w:rFonts w:hint="eastAsia" w:ascii="仿宋_GB2312" w:hAnsi="仿宋_GB2312" w:eastAsia="仿宋_GB2312" w:cs="仿宋_GB2312"/>
          <w:sz w:val="32"/>
          <w:szCs w:val="32"/>
        </w:rPr>
        <w:t>出现供应商报价相同的情况，以报价时间先后确定成交供应商</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w:t>
      </w:r>
    </w:p>
    <w:p w14:paraId="06BD0108">
      <w:pPr>
        <w:keepNext/>
        <w:keepLines/>
        <w:widowControl w:val="0"/>
        <w:spacing w:before="0" w:after="0" w:line="360" w:lineRule="auto"/>
        <w:ind w:firstLine="643" w:firstLineChars="200"/>
        <w:jc w:val="both"/>
        <w:outlineLvl w:val="2"/>
        <w:rPr>
          <w:rFonts w:ascii="黑体" w:hAnsi="黑体" w:eastAsia="黑体" w:cs="黑体"/>
          <w:b/>
          <w:kern w:val="2"/>
          <w:sz w:val="32"/>
          <w:szCs w:val="32"/>
          <w:lang w:val="en-US" w:eastAsia="zh-CN" w:bidi="ar-SA"/>
        </w:rPr>
      </w:pPr>
      <w:bookmarkStart w:id="17" w:name="_Toc11828"/>
      <w:bookmarkStart w:id="18" w:name="_Toc9654"/>
      <w:bookmarkStart w:id="19" w:name="_Toc5085"/>
      <w:bookmarkStart w:id="20" w:name="_Toc20778"/>
      <w:bookmarkStart w:id="21" w:name="_Toc3475"/>
      <w:bookmarkStart w:id="22" w:name="_Toc27955"/>
      <w:bookmarkStart w:id="23" w:name="_Toc25886"/>
      <w:bookmarkStart w:id="24" w:name="_Toc15478"/>
      <w:bookmarkStart w:id="25" w:name="_Toc9027"/>
      <w:bookmarkStart w:id="26" w:name="_Toc31315"/>
      <w:bookmarkStart w:id="27" w:name="_Toc14778"/>
      <w:bookmarkStart w:id="28" w:name="_Toc13969"/>
      <w:bookmarkStart w:id="29" w:name="_Toc19730"/>
      <w:bookmarkStart w:id="30" w:name="_Toc25516"/>
      <w:r>
        <w:rPr>
          <w:rFonts w:hint="eastAsia" w:ascii="黑体" w:hAnsi="黑体" w:eastAsia="黑体" w:cs="黑体"/>
          <w:b/>
          <w:kern w:val="2"/>
          <w:sz w:val="32"/>
          <w:szCs w:val="32"/>
          <w:lang w:val="en-US" w:eastAsia="zh-CN" w:bidi="ar-SA"/>
        </w:rPr>
        <w:t>七、联系方式</w:t>
      </w:r>
      <w:bookmarkEnd w:id="17"/>
      <w:bookmarkEnd w:id="18"/>
      <w:bookmarkEnd w:id="19"/>
      <w:bookmarkEnd w:id="20"/>
      <w:bookmarkEnd w:id="21"/>
      <w:bookmarkEnd w:id="22"/>
      <w:bookmarkEnd w:id="23"/>
    </w:p>
    <w:p w14:paraId="4E9F115D">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（一）采购人：重庆市渝北区</w:t>
      </w:r>
      <w:r>
        <w:rPr>
          <w:rFonts w:hint="eastAsia" w:ascii="仿宋_GB2312" w:hAnsi="仿宋_GB2312" w:eastAsia="仿宋_GB2312" w:cs="仿宋_GB2312"/>
          <w:sz w:val="32"/>
          <w:szCs w:val="32"/>
          <w:lang w:val="en-US" w:eastAsia="zh-CN"/>
        </w:rPr>
        <w:t>双湖小学校</w:t>
      </w:r>
      <w:r>
        <w:rPr>
          <w:rFonts w:hint="eastAsia" w:ascii="仿宋_GB2312" w:hAnsi="仿宋_GB2312" w:eastAsia="仿宋_GB2312" w:cs="仿宋_GB2312"/>
          <w:sz w:val="32"/>
          <w:szCs w:val="32"/>
        </w:rPr>
        <w:t xml:space="preserve">                   </w:t>
      </w:r>
    </w:p>
    <w:p w14:paraId="438B62D5">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联系人：江笑龙</w:t>
      </w:r>
      <w:r>
        <w:rPr>
          <w:rFonts w:hint="eastAsia" w:ascii="仿宋_GB2312" w:hAnsi="仿宋_GB2312" w:eastAsia="仿宋_GB2312" w:cs="仿宋_GB2312"/>
          <w:color w:val="FF0000"/>
          <w:sz w:val="32"/>
          <w:szCs w:val="32"/>
          <w:lang w:val="en-US" w:eastAsia="zh-CN"/>
        </w:rPr>
        <w:t xml:space="preserve"> </w:t>
      </w:r>
      <w:r>
        <w:rPr>
          <w:rFonts w:hint="eastAsia" w:ascii="仿宋_GB2312" w:hAnsi="仿宋_GB2312" w:eastAsia="仿宋_GB2312" w:cs="仿宋_GB2312"/>
          <w:sz w:val="32"/>
          <w:szCs w:val="32"/>
          <w:lang w:val="en-US" w:eastAsia="zh-CN"/>
        </w:rPr>
        <w:t xml:space="preserve"> </w:t>
      </w:r>
    </w:p>
    <w:p w14:paraId="3F7417E2">
      <w:pPr>
        <w:spacing w:line="360" w:lineRule="auto"/>
        <w:ind w:firstLine="640" w:firstLineChars="200"/>
        <w:rPr>
          <w:rFonts w:hint="eastAsia" w:ascii="仿宋_GB2312" w:hAnsi="仿宋_GB2312" w:eastAsia="仿宋_GB2312" w:cs="仿宋_GB2312"/>
          <w:color w:val="FF0000"/>
          <w:sz w:val="32"/>
          <w:szCs w:val="32"/>
          <w:lang w:val="en-US"/>
        </w:rPr>
      </w:pPr>
      <w:r>
        <w:rPr>
          <w:rFonts w:hint="eastAsia" w:ascii="仿宋_GB2312" w:hAnsi="仿宋_GB2312" w:eastAsia="仿宋_GB2312" w:cs="仿宋_GB2312"/>
          <w:sz w:val="32"/>
          <w:szCs w:val="32"/>
        </w:rPr>
        <w:t>电  话：15823169869</w:t>
      </w:r>
    </w:p>
    <w:p w14:paraId="420C5BD5">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地  址： 重庆市渝北区双湖支路33号    </w:t>
      </w:r>
    </w:p>
    <w:p w14:paraId="67C75FB1">
      <w:pPr>
        <w:numPr>
          <w:ilvl w:val="0"/>
          <w:numId w:val="3"/>
        </w:numPr>
        <w:spacing w:line="360" w:lineRule="auto"/>
        <w:ind w:firstLine="640" w:firstLineChars="200"/>
        <w:rPr>
          <w:rFonts w:hint="eastAsia" w:ascii="仿宋_GB2312" w:hAnsi="仿宋_GB2312" w:eastAsia="仿宋_GB2312" w:cs="仿宋_GB2312"/>
          <w:sz w:val="32"/>
          <w:szCs w:val="32"/>
          <w:highlight w:val="yellow"/>
          <w:lang w:val="en-US" w:eastAsia="zh-CN"/>
        </w:rPr>
      </w:pPr>
      <w:r>
        <w:rPr>
          <w:rFonts w:hint="eastAsia" w:ascii="仿宋_GB2312" w:hAnsi="仿宋_GB2312" w:eastAsia="仿宋_GB2312" w:cs="仿宋_GB2312"/>
          <w:sz w:val="32"/>
          <w:szCs w:val="32"/>
          <w:highlight w:val="yellow"/>
          <w:lang w:val="en-US" w:eastAsia="zh-CN"/>
        </w:rPr>
        <w:t>集中现场踏勘</w:t>
      </w:r>
    </w:p>
    <w:p w14:paraId="3C49342E">
      <w:pPr>
        <w:numPr>
          <w:ilvl w:val="0"/>
          <w:numId w:val="0"/>
        </w:num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项目设置集中现场踏勘，凡有意参加本项目的供应商，请于2025年6月18日上午9时30分至10时30分自行到达现场进行踏勘。供应商自行承担踏勘现场的责任、风险及有关费用。采购人不对各供应商在踏勘现场时遇到的任何事故或人身伤害承担责任及费用。无论供应商是否踏勘过现场，均被认为在递交响应文件之前已经踏勘现场，对本项目的风险和义务已了解，并在其响应文件中充分考虑现场和环境因素。</w:t>
      </w:r>
    </w:p>
    <w:p w14:paraId="16B9EB0E">
      <w:pPr>
        <w:spacing w:line="360" w:lineRule="auto"/>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联系人：江笑龙</w:t>
      </w:r>
      <w:r>
        <w:rPr>
          <w:rFonts w:hint="eastAsia" w:ascii="仿宋_GB2312" w:hAnsi="仿宋_GB2312" w:eastAsia="仿宋_GB2312" w:cs="仿宋_GB2312"/>
          <w:color w:val="FF0000"/>
          <w:sz w:val="32"/>
          <w:szCs w:val="32"/>
          <w:lang w:val="en-US" w:eastAsia="zh-CN"/>
        </w:rPr>
        <w:t xml:space="preserve"> </w:t>
      </w:r>
      <w:r>
        <w:rPr>
          <w:rFonts w:hint="eastAsia" w:ascii="仿宋_GB2312" w:hAnsi="仿宋_GB2312" w:eastAsia="仿宋_GB2312" w:cs="仿宋_GB2312"/>
          <w:sz w:val="32"/>
          <w:szCs w:val="32"/>
          <w:lang w:val="en-US" w:eastAsia="zh-CN"/>
        </w:rPr>
        <w:t xml:space="preserve"> </w:t>
      </w:r>
    </w:p>
    <w:p w14:paraId="5095969E">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电  话：15823169869</w:t>
      </w:r>
    </w:p>
    <w:p w14:paraId="1C9F1CA3">
      <w:p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地  址： 重庆市渝北区双湖支路33号                    </w:t>
      </w:r>
    </w:p>
    <w:p w14:paraId="76737F61">
      <w:pPr>
        <w:keepNext/>
        <w:keepLines/>
        <w:widowControl w:val="0"/>
        <w:spacing w:before="0" w:after="0" w:line="360" w:lineRule="auto"/>
        <w:ind w:firstLine="643" w:firstLineChars="200"/>
        <w:jc w:val="both"/>
        <w:outlineLvl w:val="2"/>
        <w:rPr>
          <w:rFonts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八、</w:t>
      </w:r>
      <w:bookmarkEnd w:id="24"/>
      <w:bookmarkEnd w:id="25"/>
      <w:bookmarkEnd w:id="26"/>
      <w:bookmarkEnd w:id="27"/>
      <w:bookmarkEnd w:id="28"/>
      <w:bookmarkEnd w:id="29"/>
      <w:bookmarkEnd w:id="30"/>
      <w:r>
        <w:rPr>
          <w:rFonts w:hint="eastAsia" w:ascii="黑体" w:hAnsi="黑体" w:eastAsia="黑体" w:cs="黑体"/>
          <w:b/>
          <w:kern w:val="2"/>
          <w:sz w:val="32"/>
          <w:szCs w:val="32"/>
          <w:lang w:val="en-US" w:eastAsia="zh-CN" w:bidi="ar-SA"/>
        </w:rPr>
        <w:t>其它有关规定</w:t>
      </w:r>
    </w:p>
    <w:p w14:paraId="600951EA">
      <w:pPr>
        <w:spacing w:line="360" w:lineRule="auto"/>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w:t>
      </w:r>
      <w:r>
        <w:rPr>
          <w:rFonts w:hint="eastAsia" w:ascii="仿宋_GB2312" w:hAnsi="仿宋_GB2312" w:eastAsia="仿宋_GB2312" w:cs="仿宋_GB2312"/>
          <w:sz w:val="32"/>
          <w:szCs w:val="32"/>
        </w:rPr>
        <w:t>一</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凡有意参加此项目的供应商，请于公告发布之日起至报价截止时间之前，在</w:t>
      </w:r>
      <w:r>
        <w:rPr>
          <w:rFonts w:ascii="Calibri" w:hAnsi="Calibri" w:eastAsia="宋体" w:cs="Times New Roman"/>
          <w:szCs w:val="21"/>
        </w:rPr>
        <w:fldChar w:fldCharType="begin"/>
      </w:r>
      <w:r>
        <w:rPr>
          <w:rFonts w:ascii="Calibri" w:hAnsi="Calibri" w:eastAsia="宋体" w:cs="Times New Roman"/>
          <w:szCs w:val="21"/>
        </w:rPr>
        <w:instrText xml:space="preserve"> HYPERLINK "https://xj.ccgp-chongqing.gov.cn/ge/content/yptczzn/list" </w:instrText>
      </w:r>
      <w:r>
        <w:rPr>
          <w:rFonts w:ascii="Calibri" w:hAnsi="Calibri" w:eastAsia="宋体" w:cs="Times New Roman"/>
          <w:szCs w:val="21"/>
        </w:rPr>
        <w:fldChar w:fldCharType="separate"/>
      </w:r>
      <w:r>
        <w:rPr>
          <w:rFonts w:hint="eastAsia" w:ascii="仿宋_GB2312" w:hAnsi="仿宋_GB2312" w:eastAsia="仿宋_GB2312" w:cs="仿宋_GB2312"/>
          <w:color w:val="333333"/>
          <w:sz w:val="32"/>
          <w:szCs w:val="32"/>
          <w:u w:val="none"/>
        </w:rPr>
        <w:t>https://</w:t>
      </w:r>
      <w:r>
        <w:rPr>
          <w:rFonts w:hint="eastAsia" w:ascii="仿宋_GB2312" w:hAnsi="仿宋_GB2312" w:eastAsia="仿宋_GB2312" w:cs="仿宋_GB2312"/>
          <w:color w:val="333333"/>
          <w:sz w:val="32"/>
          <w:szCs w:val="32"/>
          <w:u w:val="none"/>
          <w:lang w:val="en-US" w:eastAsia="zh-CN"/>
        </w:rPr>
        <w:t>w</w:t>
      </w:r>
      <w:r>
        <w:rPr>
          <w:rFonts w:hint="eastAsia" w:ascii="仿宋_GB2312" w:hAnsi="仿宋_GB2312" w:eastAsia="仿宋_GB2312" w:cs="仿宋_GB2312"/>
          <w:color w:val="333333"/>
          <w:sz w:val="32"/>
          <w:szCs w:val="32"/>
          <w:u w:val="none"/>
        </w:rPr>
        <w:fldChar w:fldCharType="end"/>
      </w:r>
      <w:r>
        <w:rPr>
          <w:rFonts w:hint="eastAsia" w:ascii="仿宋_GB2312" w:hAnsi="仿宋_GB2312" w:eastAsia="仿宋_GB2312" w:cs="仿宋_GB2312"/>
          <w:color w:val="333333"/>
          <w:sz w:val="32"/>
          <w:szCs w:val="32"/>
          <w:u w:val="none"/>
          <w:lang w:val="en-US" w:eastAsia="zh-CN"/>
        </w:rPr>
        <w:t>ww.gec123.com(行采家)</w:t>
      </w:r>
      <w:r>
        <w:rPr>
          <w:rFonts w:hint="eastAsia" w:ascii="仿宋_GB2312" w:hAnsi="仿宋_GB2312" w:eastAsia="仿宋_GB2312" w:cs="仿宋_GB2312"/>
          <w:sz w:val="32"/>
          <w:szCs w:val="32"/>
        </w:rPr>
        <w:t>下载查看本项目竞采文件，无论供应商下载</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查看与否，均视为已知晓所有实质性要求内容。</w:t>
      </w:r>
    </w:p>
    <w:p w14:paraId="437550FD">
      <w:pPr>
        <w:widowControl/>
        <w:wordWrap w:val="0"/>
        <w:autoSpaceDE w:val="0"/>
        <w:autoSpaceDN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w:t>
      </w:r>
      <w:r>
        <w:rPr>
          <w:rFonts w:hint="eastAsia" w:ascii="仿宋_GB2312" w:hAnsi="仿宋_GB2312" w:eastAsia="仿宋_GB2312" w:cs="仿宋_GB2312"/>
          <w:b/>
          <w:bCs/>
          <w:color w:val="000000"/>
          <w:sz w:val="32"/>
          <w:szCs w:val="32"/>
        </w:rPr>
        <w:t>供应商应于报价开始前</w:t>
      </w:r>
      <w:r>
        <w:rPr>
          <w:rFonts w:hint="eastAsia" w:ascii="仿宋_GB2312" w:hAnsi="仿宋_GB2312" w:eastAsia="仿宋_GB2312" w:cs="仿宋_GB2312"/>
          <w:color w:val="000000"/>
          <w:sz w:val="32"/>
          <w:szCs w:val="32"/>
        </w:rPr>
        <w:t>完成</w:t>
      </w:r>
      <w:r>
        <w:rPr>
          <w:rFonts w:hint="eastAsia" w:ascii="仿宋_GB2312" w:hAnsi="仿宋_GB2312" w:eastAsia="仿宋_GB2312" w:cs="仿宋_GB2312"/>
          <w:color w:val="000000"/>
          <w:sz w:val="32"/>
          <w:szCs w:val="32"/>
          <w:lang w:val="en-US" w:eastAsia="zh-CN"/>
        </w:rPr>
        <w:t>行采家</w:t>
      </w:r>
      <w:r>
        <w:rPr>
          <w:rFonts w:hint="eastAsia" w:ascii="仿宋_GB2312" w:hAnsi="仿宋_GB2312" w:eastAsia="仿宋_GB2312" w:cs="仿宋_GB2312"/>
          <w:color w:val="000000"/>
          <w:sz w:val="32"/>
          <w:szCs w:val="32"/>
        </w:rPr>
        <w:t>账号注册、</w:t>
      </w:r>
      <w:r>
        <w:rPr>
          <w:rFonts w:hint="eastAsia" w:ascii="仿宋_GB2312" w:hAnsi="仿宋_GB2312" w:eastAsia="仿宋_GB2312" w:cs="仿宋_GB2312"/>
          <w:color w:val="000000"/>
          <w:sz w:val="32"/>
          <w:szCs w:val="32"/>
          <w:lang w:val="en-US" w:eastAsia="zh-CN"/>
        </w:rPr>
        <w:t>行采家</w:t>
      </w:r>
      <w:r>
        <w:rPr>
          <w:rFonts w:hint="eastAsia" w:ascii="仿宋_GB2312" w:hAnsi="仿宋_GB2312" w:eastAsia="仿宋_GB2312" w:cs="仿宋_GB2312"/>
          <w:color w:val="000000"/>
          <w:sz w:val="32"/>
          <w:szCs w:val="32"/>
        </w:rPr>
        <w:t>账号关联等操作</w:t>
      </w:r>
      <w:r>
        <w:rPr>
          <w:rFonts w:hint="eastAsia" w:ascii="仿宋_GB2312" w:hAnsi="仿宋_GB2312" w:eastAsia="仿宋_GB2312" w:cs="仿宋_GB2312"/>
          <w:sz w:val="32"/>
          <w:szCs w:val="32"/>
        </w:rPr>
        <w:t>，</w:t>
      </w:r>
      <w:r>
        <w:rPr>
          <w:rFonts w:hint="eastAsia" w:ascii="仿宋_GB2312" w:hAnsi="仿宋_GB2312" w:eastAsia="仿宋_GB2312" w:cs="仿宋_GB2312"/>
          <w:color w:val="000000"/>
          <w:sz w:val="32"/>
          <w:szCs w:val="32"/>
        </w:rPr>
        <w:t>提前学习</w:t>
      </w:r>
      <w:r>
        <w:rPr>
          <w:rFonts w:hint="eastAsia" w:ascii="仿宋_GB2312" w:hAnsi="仿宋_GB2312" w:eastAsia="仿宋_GB2312" w:cs="仿宋_GB2312"/>
          <w:color w:val="000000"/>
          <w:sz w:val="32"/>
          <w:szCs w:val="32"/>
          <w:lang w:val="en-US" w:eastAsia="zh-CN"/>
        </w:rPr>
        <w:t>行采家</w:t>
      </w:r>
      <w:r>
        <w:rPr>
          <w:rFonts w:hint="eastAsia" w:ascii="仿宋_GB2312" w:hAnsi="仿宋_GB2312" w:eastAsia="仿宋_GB2312" w:cs="仿宋_GB2312"/>
          <w:color w:val="000000"/>
          <w:sz w:val="32"/>
          <w:szCs w:val="32"/>
        </w:rPr>
        <w:t>操作手册并检查账号是否可用</w:t>
      </w:r>
      <w:r>
        <w:rPr>
          <w:rFonts w:ascii="仿宋_GB2312" w:hAnsi="仿宋_GB2312" w:eastAsia="仿宋_GB2312" w:cs="仿宋_GB2312"/>
          <w:color w:val="000000"/>
          <w:sz w:val="32"/>
          <w:szCs w:val="32"/>
        </w:rPr>
        <w:t>，</w:t>
      </w:r>
      <w:r>
        <w:rPr>
          <w:rFonts w:hint="eastAsia" w:ascii="仿宋_GB2312" w:hAnsi="仿宋_GB2312" w:eastAsia="仿宋_GB2312" w:cs="仿宋_GB2312"/>
          <w:sz w:val="32"/>
          <w:szCs w:val="32"/>
        </w:rPr>
        <w:t>遇到操作问题请及时咨询手册中的客服电话，如因账号注册关联、操作不熟练等原因导致供应商未成功报价，责任由供应商自行承担。</w:t>
      </w:r>
    </w:p>
    <w:p w14:paraId="1B559E95">
      <w:pPr>
        <w:widowControl/>
        <w:wordWrap w:val="0"/>
        <w:autoSpaceDE w:val="0"/>
        <w:autoSpaceDN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详见</w:t>
      </w:r>
      <w:r>
        <w:rPr>
          <w:rFonts w:ascii="Calibri" w:hAnsi="Calibri" w:eastAsia="宋体" w:cs="Times New Roman"/>
          <w:szCs w:val="21"/>
        </w:rPr>
        <w:fldChar w:fldCharType="begin"/>
      </w:r>
      <w:r>
        <w:rPr>
          <w:rFonts w:ascii="Calibri" w:hAnsi="Calibri" w:eastAsia="宋体" w:cs="Times New Roman"/>
          <w:szCs w:val="21"/>
        </w:rPr>
        <w:instrText xml:space="preserve"> HYPERLINK "https://xj.ccgp-chongqing.gov.cn/ge/content/yptczzn/list" </w:instrText>
      </w:r>
      <w:r>
        <w:rPr>
          <w:rFonts w:ascii="Calibri" w:hAnsi="Calibri" w:eastAsia="宋体" w:cs="Times New Roman"/>
          <w:szCs w:val="21"/>
        </w:rPr>
        <w:fldChar w:fldCharType="separate"/>
      </w:r>
      <w:r>
        <w:rPr>
          <w:rFonts w:hint="eastAsia" w:ascii="仿宋_GB2312" w:hAnsi="仿宋_GB2312" w:eastAsia="仿宋_GB2312" w:cs="仿宋_GB2312"/>
          <w:color w:val="333333"/>
          <w:sz w:val="32"/>
          <w:szCs w:val="32"/>
          <w:u w:val="none"/>
        </w:rPr>
        <w:t>https://</w:t>
      </w:r>
      <w:r>
        <w:rPr>
          <w:rFonts w:hint="eastAsia" w:ascii="仿宋_GB2312" w:hAnsi="仿宋_GB2312" w:eastAsia="仿宋_GB2312" w:cs="仿宋_GB2312"/>
          <w:color w:val="333333"/>
          <w:sz w:val="32"/>
          <w:szCs w:val="32"/>
          <w:u w:val="none"/>
          <w:lang w:val="en-US" w:eastAsia="zh-CN"/>
        </w:rPr>
        <w:t>w</w:t>
      </w:r>
      <w:r>
        <w:rPr>
          <w:rFonts w:hint="eastAsia" w:ascii="仿宋_GB2312" w:hAnsi="仿宋_GB2312" w:eastAsia="仿宋_GB2312" w:cs="仿宋_GB2312"/>
          <w:color w:val="333333"/>
          <w:sz w:val="32"/>
          <w:szCs w:val="32"/>
          <w:u w:val="none"/>
        </w:rPr>
        <w:fldChar w:fldCharType="end"/>
      </w:r>
      <w:r>
        <w:rPr>
          <w:rFonts w:hint="eastAsia" w:ascii="仿宋_GB2312" w:hAnsi="仿宋_GB2312" w:eastAsia="仿宋_GB2312" w:cs="仿宋_GB2312"/>
          <w:color w:val="333333"/>
          <w:sz w:val="32"/>
          <w:szCs w:val="32"/>
          <w:u w:val="none"/>
          <w:lang w:val="en-US" w:eastAsia="zh-CN"/>
        </w:rPr>
        <w:t>ww.gec123.com</w:t>
      </w:r>
      <w:r>
        <w:rPr>
          <w:rFonts w:hint="eastAsia" w:ascii="仿宋_GB2312" w:hAnsi="仿宋_GB2312" w:eastAsia="仿宋_GB2312" w:cs="仿宋_GB2312"/>
          <w:sz w:val="32"/>
          <w:szCs w:val="32"/>
        </w:rPr>
        <w:t>。</w:t>
      </w:r>
    </w:p>
    <w:p w14:paraId="3EBB4611">
      <w:pPr>
        <w:spacing w:line="360" w:lineRule="auto"/>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w:t>
      </w:r>
      <w:r>
        <w:rPr>
          <w:rFonts w:hint="eastAsia" w:ascii="仿宋_GB2312" w:hAnsi="仿宋_GB2312" w:eastAsia="仿宋_GB2312" w:cs="仿宋_GB2312"/>
          <w:sz w:val="32"/>
          <w:szCs w:val="32"/>
        </w:rPr>
        <w:t>三</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无论竞采结果如何，供应商参与本项目的所有费用均自行承担。</w:t>
      </w:r>
    </w:p>
    <w:p w14:paraId="6EAB3875">
      <w:pPr>
        <w:spacing w:line="360" w:lineRule="auto"/>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w:t>
      </w:r>
      <w:r>
        <w:rPr>
          <w:rFonts w:hint="eastAsia" w:ascii="仿宋_GB2312" w:hAnsi="仿宋_GB2312" w:eastAsia="仿宋_GB2312" w:cs="仿宋_GB2312"/>
          <w:sz w:val="32"/>
          <w:szCs w:val="32"/>
        </w:rPr>
        <w:t>四</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其他未尽事宜由双方在采购合同中详细约定。</w:t>
      </w:r>
    </w:p>
    <w:p w14:paraId="51B45531">
      <w:pPr>
        <w:snapToGrid w:val="0"/>
        <w:spacing w:line="360" w:lineRule="auto"/>
        <w:jc w:val="center"/>
        <w:rPr>
          <w:rFonts w:hint="eastAsia" w:ascii="方正小标宋_GBK" w:hAnsi="Calibri" w:eastAsia="方正小标宋_GBK" w:cs="Times New Roman"/>
          <w:sz w:val="44"/>
          <w:szCs w:val="44"/>
        </w:rPr>
      </w:pPr>
    </w:p>
    <w:p w14:paraId="635623B6">
      <w:pPr>
        <w:snapToGrid w:val="0"/>
        <w:spacing w:line="360" w:lineRule="auto"/>
        <w:jc w:val="center"/>
        <w:rPr>
          <w:rFonts w:ascii="Calibri" w:hAnsi="Calibri" w:eastAsia="宋体" w:cs="Times New Roman"/>
          <w:szCs w:val="21"/>
        </w:rPr>
      </w:pPr>
      <w:bookmarkStart w:id="31" w:name="_GoBack"/>
      <w:bookmarkEnd w:id="31"/>
      <w:r>
        <w:rPr>
          <w:rFonts w:hint="eastAsia" w:ascii="方正小标宋_GBK" w:hAnsi="Calibri" w:eastAsia="方正小标宋_GBK" w:cs="Times New Roman"/>
          <w:sz w:val="44"/>
          <w:szCs w:val="44"/>
        </w:rPr>
        <w:t>供应商编制响应文件要求</w:t>
      </w:r>
    </w:p>
    <w:p w14:paraId="1DADD273">
      <w:pPr>
        <w:keepNext/>
        <w:keepLines/>
        <w:widowControl w:val="0"/>
        <w:spacing w:before="0" w:after="0" w:line="360" w:lineRule="auto"/>
        <w:ind w:firstLine="643" w:firstLineChars="200"/>
        <w:jc w:val="both"/>
        <w:outlineLvl w:val="2"/>
        <w:rPr>
          <w:rFonts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一、报价</w:t>
      </w:r>
    </w:p>
    <w:p w14:paraId="1C4C72EF">
      <w:pPr>
        <w:snapToGrid w:val="0"/>
        <w:ind w:firstLine="420"/>
        <w:rPr>
          <w:rFonts w:ascii="宋体" w:hAnsi="宋体" w:eastAsia="宋体" w:cs="宋体"/>
          <w:color w:val="FF0000"/>
          <w:sz w:val="24"/>
          <w:szCs w:val="24"/>
        </w:rPr>
      </w:pPr>
      <w:r>
        <w:rPr>
          <w:rFonts w:hint="eastAsia" w:ascii="仿宋_GB2312" w:hAnsi="仿宋_GB2312" w:eastAsia="仿宋_GB2312" w:cs="仿宋_GB2312"/>
          <w:sz w:val="32"/>
          <w:szCs w:val="32"/>
        </w:rPr>
        <w:t>（一）报价函</w:t>
      </w:r>
    </w:p>
    <w:p w14:paraId="05FA01FC">
      <w:pPr>
        <w:keepNext/>
        <w:keepLines/>
        <w:widowControl w:val="0"/>
        <w:spacing w:before="0" w:after="0" w:line="240" w:lineRule="auto"/>
        <w:jc w:val="center"/>
        <w:outlineLvl w:val="2"/>
        <w:rPr>
          <w:rFonts w:ascii="黑体" w:hAnsi="黑体" w:eastAsia="黑体" w:cs="黑体"/>
          <w:b/>
          <w:kern w:val="2"/>
          <w:sz w:val="32"/>
          <w:szCs w:val="32"/>
          <w:lang w:val="en-US" w:eastAsia="zh-CN" w:bidi="ar-SA"/>
        </w:rPr>
      </w:pPr>
      <w:r>
        <w:rPr>
          <w:rFonts w:hint="eastAsia" w:ascii="黑体" w:hAnsi="黑体" w:eastAsia="黑体" w:cs="黑体"/>
          <w:b/>
          <w:kern w:val="2"/>
          <w:sz w:val="32"/>
          <w:szCs w:val="32"/>
          <w:lang w:val="en-US" w:eastAsia="zh-CN" w:bidi="ar-SA"/>
        </w:rPr>
        <w:t>报 价 函</w:t>
      </w:r>
    </w:p>
    <w:p w14:paraId="7AB37B84">
      <w:pPr>
        <w:rPr>
          <w:rFonts w:ascii="Calibri" w:hAnsi="Calibri" w:eastAsia="宋体" w:cs="Times New Roman"/>
          <w:szCs w:val="21"/>
        </w:rPr>
      </w:pPr>
    </w:p>
    <w:p w14:paraId="2473EC7A">
      <w:pPr>
        <w:rPr>
          <w:rFonts w:ascii="Calibri" w:hAnsi="Calibri" w:eastAsia="宋体" w:cs="Times New Roman"/>
          <w:szCs w:val="21"/>
        </w:rPr>
      </w:pPr>
    </w:p>
    <w:p w14:paraId="2AFA40A2">
      <w:pPr>
        <w:spacing w:line="360" w:lineRule="auto"/>
        <w:rPr>
          <w:rFonts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color w:val="auto"/>
          <w:sz w:val="32"/>
          <w:szCs w:val="32"/>
          <w:u w:val="none"/>
        </w:rPr>
        <w:t>（采购单位名称）：</w:t>
      </w:r>
    </w:p>
    <w:p w14:paraId="3005FBED">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333333"/>
          <w:sz w:val="32"/>
          <w:szCs w:val="32"/>
          <w:u w:val="none"/>
        </w:rPr>
        <w:t>我方收到</w:t>
      </w:r>
      <w:r>
        <w:rPr>
          <w:rFonts w:ascii="仿宋_GB2312" w:hAnsi="仿宋_GB2312" w:eastAsia="仿宋_GB2312" w:cs="仿宋_GB2312"/>
          <w:color w:val="333333"/>
          <w:sz w:val="32"/>
          <w:szCs w:val="32"/>
          <w:u w:val="single"/>
        </w:rPr>
        <w:t xml:space="preserve">                         </w:t>
      </w:r>
      <w:r>
        <w:rPr>
          <w:rFonts w:hint="eastAsia" w:ascii="仿宋_GB2312" w:hAnsi="仿宋_GB2312" w:eastAsia="仿宋_GB2312" w:cs="仿宋_GB2312"/>
          <w:color w:val="333333"/>
          <w:sz w:val="32"/>
          <w:szCs w:val="32"/>
          <w:u w:val="none"/>
        </w:rPr>
        <w:t>（项目名称）的竞采文件，经详细研究，决定参加该项目。</w:t>
      </w:r>
    </w:p>
    <w:p w14:paraId="557CE13E">
      <w:pPr>
        <w:spacing w:line="360" w:lineRule="auto"/>
        <w:ind w:firstLine="640" w:firstLineChars="200"/>
        <w:rPr>
          <w:rFonts w:ascii="仿宋_GB2312" w:hAnsi="仿宋_GB2312" w:eastAsia="仿宋_GB2312" w:cs="仿宋_GB2312"/>
          <w:sz w:val="32"/>
          <w:szCs w:val="32"/>
        </w:rPr>
      </w:pPr>
      <w:r>
        <w:rPr>
          <w:rFonts w:ascii="仿宋_GB2312" w:hAnsi="仿宋_GB2312" w:eastAsia="仿宋_GB2312" w:cs="仿宋_GB2312"/>
          <w:color w:val="333333"/>
          <w:sz w:val="32"/>
          <w:szCs w:val="32"/>
          <w:u w:val="none"/>
        </w:rPr>
        <w:t>1</w:t>
      </w:r>
      <w:r>
        <w:rPr>
          <w:rFonts w:hint="eastAsia" w:ascii="仿宋_GB2312" w:hAnsi="仿宋_GB2312" w:eastAsia="仿宋_GB2312" w:cs="仿宋_GB2312"/>
          <w:color w:val="333333"/>
          <w:sz w:val="32"/>
          <w:szCs w:val="32"/>
          <w:u w:val="none"/>
        </w:rPr>
        <w:t>.愿意按照竞采文件中的一切要求，提供本项目的商品、及服务，报价为人民币大写：</w:t>
      </w:r>
      <w:r>
        <w:rPr>
          <w:rFonts w:ascii="仿宋_GB2312" w:hAnsi="仿宋_GB2312" w:eastAsia="仿宋_GB2312" w:cs="仿宋_GB2312"/>
          <w:color w:val="333333"/>
          <w:sz w:val="32"/>
          <w:szCs w:val="32"/>
          <w:u w:val="single"/>
        </w:rPr>
        <w:t xml:space="preserve">          </w:t>
      </w:r>
      <w:r>
        <w:rPr>
          <w:rFonts w:hint="eastAsia" w:ascii="仿宋_GB2312" w:hAnsi="仿宋_GB2312" w:eastAsia="仿宋_GB2312" w:cs="仿宋_GB2312"/>
          <w:color w:val="333333"/>
          <w:sz w:val="32"/>
          <w:szCs w:val="32"/>
          <w:u w:val="none"/>
        </w:rPr>
        <w:t>元整；人民币小写</w:t>
      </w:r>
      <w:r>
        <w:rPr>
          <w:rFonts w:ascii="仿宋_GB2312" w:hAnsi="仿宋_GB2312" w:eastAsia="仿宋_GB2312" w:cs="仿宋_GB2312"/>
          <w:color w:val="333333"/>
          <w:sz w:val="32"/>
          <w:szCs w:val="32"/>
          <w:u w:val="single"/>
        </w:rPr>
        <w:t xml:space="preserve">          </w:t>
      </w:r>
      <w:r>
        <w:rPr>
          <w:rFonts w:hint="eastAsia" w:ascii="仿宋_GB2312" w:hAnsi="仿宋_GB2312" w:eastAsia="仿宋_GB2312" w:cs="仿宋_GB2312"/>
          <w:color w:val="333333"/>
          <w:sz w:val="32"/>
          <w:szCs w:val="32"/>
          <w:u w:val="none"/>
        </w:rPr>
        <w:t>元。</w:t>
      </w:r>
    </w:p>
    <w:p w14:paraId="2E4BDFF8">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333333"/>
          <w:sz w:val="32"/>
          <w:szCs w:val="32"/>
          <w:u w:val="none"/>
        </w:rPr>
        <w:t>2</w:t>
      </w:r>
      <w:r>
        <w:rPr>
          <w:rFonts w:ascii="仿宋_GB2312" w:hAnsi="仿宋_GB2312" w:eastAsia="仿宋_GB2312" w:cs="仿宋_GB2312"/>
          <w:color w:val="333333"/>
          <w:sz w:val="32"/>
          <w:szCs w:val="32"/>
          <w:u w:val="none"/>
        </w:rPr>
        <w:t>.</w:t>
      </w:r>
      <w:r>
        <w:rPr>
          <w:rFonts w:hint="eastAsia" w:ascii="仿宋_GB2312" w:hAnsi="仿宋_GB2312" w:eastAsia="仿宋_GB2312" w:cs="仿宋_GB2312"/>
          <w:color w:val="333333"/>
          <w:sz w:val="32"/>
          <w:szCs w:val="32"/>
          <w:u w:val="none"/>
        </w:rPr>
        <w:t>我方现提交的响应文件为：</w:t>
      </w:r>
      <w:r>
        <w:rPr>
          <w:rFonts w:hint="eastAsia" w:ascii="仿宋_GB2312" w:hAnsi="仿宋_GB2312" w:eastAsia="仿宋_GB2312" w:cs="仿宋_GB2312"/>
          <w:color w:val="FF0000"/>
          <w:sz w:val="32"/>
          <w:szCs w:val="32"/>
          <w:u w:val="none"/>
        </w:rPr>
        <w:t>响应文件正本壹份</w:t>
      </w:r>
      <w:r>
        <w:rPr>
          <w:rFonts w:hint="eastAsia" w:ascii="仿宋_GB2312" w:hAnsi="仿宋_GB2312" w:eastAsia="仿宋_GB2312" w:cs="仿宋_GB2312"/>
          <w:color w:val="333333"/>
          <w:sz w:val="32"/>
          <w:szCs w:val="32"/>
          <w:u w:val="none"/>
        </w:rPr>
        <w:t>。</w:t>
      </w:r>
    </w:p>
    <w:p w14:paraId="153E827F">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333333"/>
          <w:sz w:val="32"/>
          <w:szCs w:val="32"/>
          <w:u w:val="none"/>
        </w:rPr>
        <w:t>3</w:t>
      </w:r>
      <w:r>
        <w:rPr>
          <w:rFonts w:ascii="仿宋_GB2312" w:hAnsi="仿宋_GB2312" w:eastAsia="仿宋_GB2312" w:cs="仿宋_GB2312"/>
          <w:color w:val="333333"/>
          <w:sz w:val="32"/>
          <w:szCs w:val="32"/>
          <w:u w:val="none"/>
        </w:rPr>
        <w:t>.</w:t>
      </w:r>
      <w:r>
        <w:rPr>
          <w:rFonts w:hint="eastAsia" w:ascii="仿宋_GB2312" w:hAnsi="仿宋_GB2312" w:eastAsia="仿宋_GB2312" w:cs="仿宋_GB2312"/>
          <w:color w:val="333333"/>
          <w:sz w:val="32"/>
          <w:szCs w:val="32"/>
          <w:u w:val="none"/>
        </w:rPr>
        <w:t>我方承诺：本次报价的有效期为</w:t>
      </w:r>
      <w:r>
        <w:rPr>
          <w:rFonts w:hint="eastAsia" w:ascii="仿宋_GB2312" w:hAnsi="仿宋_GB2312" w:eastAsia="仿宋_GB2312" w:cs="仿宋_GB2312"/>
          <w:color w:val="FF0000"/>
          <w:sz w:val="32"/>
          <w:szCs w:val="32"/>
          <w:u w:val="none"/>
        </w:rPr>
        <w:t>90</w:t>
      </w:r>
      <w:r>
        <w:rPr>
          <w:rFonts w:hint="eastAsia" w:ascii="仿宋_GB2312" w:hAnsi="仿宋_GB2312" w:eastAsia="仿宋_GB2312" w:cs="仿宋_GB2312"/>
          <w:color w:val="333333"/>
          <w:sz w:val="32"/>
          <w:szCs w:val="32"/>
          <w:u w:val="none"/>
        </w:rPr>
        <w:t>天。</w:t>
      </w:r>
    </w:p>
    <w:p w14:paraId="2D1600B6">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333333"/>
          <w:sz w:val="32"/>
          <w:szCs w:val="32"/>
          <w:u w:val="none"/>
        </w:rPr>
        <w:t>4</w:t>
      </w:r>
      <w:r>
        <w:rPr>
          <w:rFonts w:ascii="仿宋_GB2312" w:hAnsi="仿宋_GB2312" w:eastAsia="仿宋_GB2312" w:cs="仿宋_GB2312"/>
          <w:color w:val="333333"/>
          <w:sz w:val="32"/>
          <w:szCs w:val="32"/>
          <w:u w:val="none"/>
        </w:rPr>
        <w:t>.</w:t>
      </w:r>
      <w:r>
        <w:rPr>
          <w:rFonts w:hint="eastAsia" w:ascii="仿宋_GB2312" w:hAnsi="仿宋_GB2312" w:eastAsia="仿宋_GB2312" w:cs="仿宋_GB2312"/>
          <w:color w:val="333333"/>
          <w:sz w:val="32"/>
          <w:szCs w:val="32"/>
          <w:u w:val="none"/>
        </w:rPr>
        <w:t>我方完全理解和接受竞采文件的一切规定、要求和评审办法。</w:t>
      </w:r>
    </w:p>
    <w:p w14:paraId="1698AFA3">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333333"/>
          <w:sz w:val="32"/>
          <w:szCs w:val="32"/>
          <w:u w:val="none"/>
        </w:rPr>
        <w:t>5</w:t>
      </w:r>
      <w:r>
        <w:rPr>
          <w:rFonts w:ascii="仿宋_GB2312" w:hAnsi="仿宋_GB2312" w:eastAsia="仿宋_GB2312" w:cs="仿宋_GB2312"/>
          <w:color w:val="333333"/>
          <w:sz w:val="32"/>
          <w:szCs w:val="32"/>
          <w:u w:val="none"/>
        </w:rPr>
        <w:t>.</w:t>
      </w:r>
      <w:r>
        <w:rPr>
          <w:rFonts w:hint="eastAsia" w:ascii="仿宋_GB2312" w:hAnsi="仿宋_GB2312" w:eastAsia="仿宋_GB2312" w:cs="仿宋_GB2312"/>
          <w:color w:val="333333"/>
          <w:sz w:val="32"/>
          <w:szCs w:val="32"/>
          <w:u w:val="none"/>
        </w:rPr>
        <w:t>在整个采购过程中，我方若有违规行为，愿意接受重庆市政府采购云平台相关管理方的处罚。</w:t>
      </w:r>
    </w:p>
    <w:p w14:paraId="372F3A2F">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333333"/>
          <w:sz w:val="32"/>
          <w:szCs w:val="32"/>
          <w:u w:val="none"/>
        </w:rPr>
        <w:t>6</w:t>
      </w:r>
      <w:r>
        <w:rPr>
          <w:rFonts w:ascii="仿宋_GB2312" w:hAnsi="仿宋_GB2312" w:eastAsia="仿宋_GB2312" w:cs="仿宋_GB2312"/>
          <w:color w:val="333333"/>
          <w:sz w:val="32"/>
          <w:szCs w:val="32"/>
          <w:u w:val="none"/>
        </w:rPr>
        <w:t>.</w:t>
      </w:r>
      <w:r>
        <w:rPr>
          <w:rFonts w:hint="eastAsia" w:ascii="仿宋_GB2312" w:hAnsi="仿宋_GB2312" w:eastAsia="仿宋_GB2312" w:cs="仿宋_GB2312"/>
          <w:color w:val="333333"/>
          <w:sz w:val="32"/>
          <w:szCs w:val="32"/>
          <w:u w:val="none"/>
        </w:rPr>
        <w:t>我方若中选，将按照竞采结果签订合同，并且严格履行合同义务。本承诺函将成为合同不可分割的一部分，与合同具有同等的法律效力。</w:t>
      </w:r>
    </w:p>
    <w:p w14:paraId="3BD32DCC">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333333"/>
          <w:sz w:val="32"/>
          <w:szCs w:val="32"/>
          <w:u w:val="none"/>
        </w:rPr>
        <w:t>7</w:t>
      </w:r>
      <w:r>
        <w:rPr>
          <w:rFonts w:ascii="仿宋_GB2312" w:hAnsi="仿宋_GB2312" w:eastAsia="仿宋_GB2312" w:cs="仿宋_GB2312"/>
          <w:color w:val="333333"/>
          <w:sz w:val="32"/>
          <w:szCs w:val="32"/>
          <w:u w:val="none"/>
        </w:rPr>
        <w:t>.</w:t>
      </w:r>
      <w:r>
        <w:rPr>
          <w:rFonts w:hint="eastAsia" w:ascii="仿宋_GB2312" w:hAnsi="仿宋_GB2312" w:eastAsia="仿宋_GB2312" w:cs="仿宋_GB2312"/>
          <w:color w:val="333333"/>
          <w:sz w:val="32"/>
          <w:szCs w:val="32"/>
          <w:u w:val="none"/>
        </w:rPr>
        <w:t>我方理解，最低报价不是成交的唯一条件。</w:t>
      </w:r>
    </w:p>
    <w:p w14:paraId="4E721847">
      <w:pPr>
        <w:widowControl w:val="0"/>
        <w:autoSpaceDE w:val="0"/>
        <w:autoSpaceDN w:val="0"/>
        <w:adjustRightInd w:val="0"/>
        <w:spacing w:line="360" w:lineRule="auto"/>
        <w:rPr>
          <w:rFonts w:ascii="宋体" w:hAnsi="Times New Roman" w:eastAsia="宋体" w:cs="Times New Roman"/>
          <w:color w:val="000000"/>
          <w:sz w:val="24"/>
          <w:lang w:val="en-US" w:eastAsia="zh-CN" w:bidi="ar-SA"/>
        </w:rPr>
      </w:pPr>
    </w:p>
    <w:p w14:paraId="5435BDC1">
      <w:pPr>
        <w:ind w:firstLine="640" w:firstLineChars="200"/>
        <w:jc w:val="right"/>
        <w:rPr>
          <w:rFonts w:ascii="仿宋_GB2312" w:hAnsi="仿宋_GB2312" w:eastAsia="仿宋_GB2312" w:cs="仿宋_GB2312"/>
          <w:sz w:val="32"/>
          <w:szCs w:val="32"/>
        </w:rPr>
      </w:pPr>
      <w:r>
        <w:rPr>
          <w:rFonts w:hint="eastAsia" w:ascii="仿宋_GB2312" w:hAnsi="仿宋_GB2312" w:eastAsia="仿宋_GB2312" w:cs="仿宋_GB2312"/>
          <w:color w:val="333333"/>
          <w:sz w:val="32"/>
          <w:szCs w:val="32"/>
          <w:u w:val="none"/>
        </w:rPr>
        <w:t>供应商名称（公章）：</w:t>
      </w:r>
    </w:p>
    <w:p w14:paraId="15DD86D7">
      <w:pPr>
        <w:ind w:firstLine="640" w:firstLineChars="200"/>
        <w:jc w:val="center"/>
        <w:rPr>
          <w:rFonts w:ascii="仿宋" w:hAnsi="仿宋" w:eastAsia="仿宋" w:cs="宋体"/>
          <w:sz w:val="24"/>
          <w:szCs w:val="24"/>
        </w:rPr>
        <w:sectPr>
          <w:footerReference r:id="rId3" w:type="default"/>
          <w:pgSz w:w="11907" w:h="16840"/>
          <w:pgMar w:top="1134" w:right="1191" w:bottom="1134" w:left="1304" w:header="851" w:footer="992" w:gutter="0"/>
          <w:pgNumType w:fmt="numberInDash" w:start="1"/>
          <w:cols w:space="720" w:num="1"/>
          <w:docGrid w:linePitch="380" w:charSpace="-5735"/>
        </w:sectPr>
      </w:pPr>
      <w:r>
        <w:rPr>
          <w:rFonts w:ascii="仿宋_GB2312" w:hAnsi="仿宋_GB2312" w:eastAsia="仿宋_GB2312" w:cs="仿宋_GB2312"/>
          <w:color w:val="333333"/>
          <w:sz w:val="32"/>
          <w:szCs w:val="32"/>
          <w:u w:val="none"/>
        </w:rPr>
        <w:t xml:space="preserve">                                  </w:t>
      </w:r>
      <w:r>
        <w:rPr>
          <w:rFonts w:hint="eastAsia" w:ascii="仿宋_GB2312" w:hAnsi="仿宋_GB2312" w:eastAsia="仿宋_GB2312" w:cs="仿宋_GB2312"/>
          <w:color w:val="333333"/>
          <w:sz w:val="32"/>
          <w:szCs w:val="32"/>
          <w:u w:val="none"/>
        </w:rPr>
        <w:t>年  月  日</w:t>
      </w:r>
      <w:r>
        <w:rPr>
          <w:rFonts w:hint="eastAsia" w:ascii="仿宋" w:hAnsi="仿宋" w:eastAsia="仿宋" w:cs="宋体"/>
          <w:sz w:val="24"/>
          <w:szCs w:val="24"/>
        </w:rPr>
        <w:t xml:space="preserve">                                        </w:t>
      </w:r>
    </w:p>
    <w:p w14:paraId="6E86D96D">
      <w:pPr>
        <w:snapToGrid w:val="0"/>
        <w:spacing w:line="360" w:lineRule="auto"/>
        <w:ind w:firstLine="420"/>
        <w:rPr>
          <w:rFonts w:ascii="方正仿宋_GBK" w:hAnsi="宋体" w:eastAsia="方正仿宋_GBK" w:cs="方正仿宋_GBK"/>
          <w:sz w:val="24"/>
          <w:szCs w:val="24"/>
        </w:rPr>
      </w:pPr>
      <w:r>
        <w:rPr>
          <w:rFonts w:hint="eastAsia" w:ascii="仿宋_GB2312" w:hAnsi="仿宋_GB2312" w:eastAsia="仿宋_GB2312" w:cs="仿宋_GB2312"/>
          <w:sz w:val="32"/>
          <w:szCs w:val="32"/>
        </w:rPr>
        <w:t xml:space="preserve">（二）明细报价表   </w:t>
      </w:r>
      <w:r>
        <w:rPr>
          <w:rFonts w:hint="eastAsia" w:ascii="方正仿宋_GBK" w:hAnsi="宋体" w:eastAsia="方正仿宋_GBK" w:cs="方正仿宋_GBK"/>
          <w:sz w:val="24"/>
          <w:szCs w:val="24"/>
        </w:rPr>
        <w:t xml:space="preserve">     </w:t>
      </w:r>
    </w:p>
    <w:p w14:paraId="7E525D42">
      <w:pPr>
        <w:keepNext/>
        <w:keepLines/>
        <w:widowControl w:val="0"/>
        <w:spacing w:before="0" w:after="0" w:line="360" w:lineRule="auto"/>
        <w:jc w:val="center"/>
        <w:outlineLvl w:val="2"/>
        <w:rPr>
          <w:rFonts w:ascii="方正仿宋_GBK" w:hAnsi="宋体" w:eastAsia="方正仿宋_GBK" w:cs="方正仿宋_GBK"/>
          <w:b/>
          <w:kern w:val="2"/>
          <w:sz w:val="24"/>
          <w:szCs w:val="24"/>
          <w:lang w:val="en-US" w:eastAsia="zh-CN" w:bidi="ar-SA"/>
        </w:rPr>
      </w:pPr>
      <w:r>
        <w:rPr>
          <w:rFonts w:hint="eastAsia" w:ascii="方正仿宋_GBK" w:hAnsi="宋体" w:eastAsia="方正仿宋_GBK" w:cs="方正仿宋_GBK"/>
          <w:b/>
          <w:kern w:val="2"/>
          <w:sz w:val="24"/>
          <w:szCs w:val="24"/>
          <w:lang w:val="en-US" w:eastAsia="zh-CN" w:bidi="ar-SA"/>
        </w:rPr>
        <w:t xml:space="preserve">    </w:t>
      </w:r>
    </w:p>
    <w:p w14:paraId="3A9AAB4C">
      <w:pPr>
        <w:keepNext/>
        <w:keepLines/>
        <w:widowControl w:val="0"/>
        <w:spacing w:before="0" w:after="0" w:line="360" w:lineRule="auto"/>
        <w:jc w:val="center"/>
        <w:outlineLvl w:val="2"/>
        <w:rPr>
          <w:rFonts w:ascii="仿宋_GB2312" w:hAnsi="仿宋_GB2312" w:eastAsia="仿宋_GB2312" w:cs="仿宋_GB2312"/>
          <w:b/>
          <w:kern w:val="2"/>
          <w:sz w:val="32"/>
          <w:szCs w:val="32"/>
          <w:lang w:val="en-US" w:eastAsia="zh-CN" w:bidi="ar-SA"/>
        </w:rPr>
      </w:pPr>
      <w:r>
        <w:rPr>
          <w:rFonts w:hint="eastAsia" w:ascii="黑体" w:hAnsi="黑体" w:eastAsia="黑体" w:cs="黑体"/>
          <w:b/>
          <w:kern w:val="2"/>
          <w:sz w:val="32"/>
          <w:szCs w:val="32"/>
          <w:lang w:val="en-US" w:eastAsia="zh-CN" w:bidi="ar-SA"/>
        </w:rPr>
        <w:t>明细报价表</w:t>
      </w:r>
    </w:p>
    <w:p w14:paraId="42FF1E8E">
      <w:pPr>
        <w:keepNext/>
        <w:keepLines/>
        <w:widowControl w:val="0"/>
        <w:spacing w:before="0" w:after="0" w:line="360" w:lineRule="auto"/>
        <w:jc w:val="left"/>
        <w:outlineLvl w:val="2"/>
        <w:rPr>
          <w:rFonts w:ascii="黑体" w:hAnsi="黑体" w:eastAsia="黑体" w:cs="黑体"/>
          <w:b/>
          <w:kern w:val="2"/>
          <w:sz w:val="24"/>
          <w:szCs w:val="24"/>
          <w:lang w:val="en-US" w:eastAsia="zh-CN" w:bidi="ar-SA"/>
        </w:rPr>
      </w:pPr>
      <w:r>
        <w:rPr>
          <w:rFonts w:hint="eastAsia" w:ascii="黑体" w:hAnsi="黑体" w:eastAsia="黑体" w:cs="黑体"/>
          <w:b/>
          <w:kern w:val="2"/>
          <w:sz w:val="24"/>
          <w:szCs w:val="24"/>
          <w:lang w:val="en-US" w:eastAsia="zh-CN" w:bidi="ar-SA"/>
        </w:rPr>
        <w:t>项目名称：</w:t>
      </w:r>
    </w:p>
    <w:tbl>
      <w:tblPr>
        <w:tblStyle w:val="5"/>
        <w:tblW w:w="9229" w:type="dxa"/>
        <w:tblInd w:w="93" w:type="dxa"/>
        <w:tblLayout w:type="fixed"/>
        <w:tblCellMar>
          <w:top w:w="0" w:type="dxa"/>
          <w:left w:w="108" w:type="dxa"/>
          <w:bottom w:w="0" w:type="dxa"/>
          <w:right w:w="108" w:type="dxa"/>
        </w:tblCellMar>
      </w:tblPr>
      <w:tblGrid>
        <w:gridCol w:w="724"/>
        <w:gridCol w:w="2410"/>
        <w:gridCol w:w="850"/>
        <w:gridCol w:w="709"/>
        <w:gridCol w:w="851"/>
        <w:gridCol w:w="850"/>
        <w:gridCol w:w="851"/>
        <w:gridCol w:w="992"/>
        <w:gridCol w:w="992"/>
      </w:tblGrid>
      <w:tr w14:paraId="1492676B">
        <w:tblPrEx>
          <w:tblCellMar>
            <w:top w:w="0" w:type="dxa"/>
            <w:left w:w="108" w:type="dxa"/>
            <w:bottom w:w="0" w:type="dxa"/>
            <w:right w:w="108" w:type="dxa"/>
          </w:tblCellMar>
        </w:tblPrEx>
        <w:trPr>
          <w:trHeight w:val="300" w:hRule="atLeast"/>
        </w:trPr>
        <w:tc>
          <w:tcPr>
            <w:tcW w:w="724" w:type="dxa"/>
            <w:tcBorders>
              <w:top w:val="single" w:color="auto" w:sz="4" w:space="0"/>
              <w:left w:val="single" w:color="auto" w:sz="4" w:space="0"/>
              <w:bottom w:val="single" w:color="auto" w:sz="4" w:space="0"/>
              <w:right w:val="single" w:color="auto" w:sz="4" w:space="0"/>
            </w:tcBorders>
            <w:noWrap/>
            <w:vAlign w:val="center"/>
          </w:tcPr>
          <w:p w14:paraId="55019FBE">
            <w:pPr>
              <w:widowControl/>
              <w:jc w:val="center"/>
              <w:rPr>
                <w:rFonts w:ascii="仿宋_GB2312" w:hAnsi="仿宋_GB2312" w:eastAsia="仿宋_GB2312" w:cs="仿宋_GB2312"/>
                <w:b/>
                <w:bCs/>
                <w:kern w:val="0"/>
                <w:sz w:val="28"/>
                <w:szCs w:val="28"/>
              </w:rPr>
            </w:pPr>
            <w:r>
              <w:rPr>
                <w:rFonts w:hint="eastAsia" w:ascii="方正仿宋_GBK" w:hAnsi="宋体" w:eastAsia="方正仿宋_GBK" w:cs="宋体"/>
                <w:b/>
                <w:bCs/>
                <w:kern w:val="0"/>
                <w:sz w:val="28"/>
                <w:szCs w:val="28"/>
              </w:rPr>
              <w:t>序号</w:t>
            </w:r>
          </w:p>
        </w:tc>
        <w:tc>
          <w:tcPr>
            <w:tcW w:w="2410" w:type="dxa"/>
            <w:tcBorders>
              <w:top w:val="single" w:color="auto" w:sz="4" w:space="0"/>
              <w:left w:val="nil"/>
              <w:bottom w:val="single" w:color="auto" w:sz="4" w:space="0"/>
              <w:right w:val="single" w:color="auto" w:sz="4" w:space="0"/>
            </w:tcBorders>
            <w:noWrap/>
            <w:vAlign w:val="center"/>
          </w:tcPr>
          <w:p w14:paraId="06790A18">
            <w:pPr>
              <w:widowControl/>
              <w:jc w:val="center"/>
              <w:rPr>
                <w:rFonts w:ascii="仿宋_GB2312" w:hAnsi="仿宋_GB2312" w:eastAsia="仿宋_GB2312" w:cs="仿宋_GB2312"/>
                <w:b/>
                <w:bCs/>
                <w:kern w:val="0"/>
                <w:sz w:val="28"/>
                <w:szCs w:val="28"/>
              </w:rPr>
            </w:pPr>
            <w:r>
              <w:rPr>
                <w:rFonts w:hint="eastAsia" w:ascii="方正仿宋_GBK" w:hAnsi="宋体" w:eastAsia="方正仿宋_GBK" w:cs="宋体"/>
                <w:b/>
                <w:bCs/>
                <w:kern w:val="0"/>
                <w:sz w:val="28"/>
                <w:szCs w:val="28"/>
              </w:rPr>
              <w:t>产品名称</w:t>
            </w:r>
          </w:p>
        </w:tc>
        <w:tc>
          <w:tcPr>
            <w:tcW w:w="850" w:type="dxa"/>
            <w:tcBorders>
              <w:top w:val="single" w:color="auto" w:sz="4" w:space="0"/>
              <w:left w:val="nil"/>
              <w:bottom w:val="single" w:color="auto" w:sz="4" w:space="0"/>
              <w:right w:val="single" w:color="auto" w:sz="4" w:space="0"/>
            </w:tcBorders>
            <w:noWrap/>
            <w:vAlign w:val="center"/>
          </w:tcPr>
          <w:p w14:paraId="466C9D16">
            <w:pPr>
              <w:widowControl/>
              <w:jc w:val="center"/>
              <w:rPr>
                <w:rFonts w:ascii="仿宋_GB2312" w:hAnsi="仿宋_GB2312" w:eastAsia="仿宋_GB2312" w:cs="仿宋_GB2312"/>
                <w:b/>
                <w:bCs/>
                <w:kern w:val="0"/>
                <w:sz w:val="28"/>
                <w:szCs w:val="28"/>
              </w:rPr>
            </w:pPr>
            <w:r>
              <w:rPr>
                <w:rFonts w:hint="eastAsia" w:ascii="方正仿宋_GBK" w:hAnsi="宋体" w:eastAsia="方正仿宋_GBK" w:cs="宋体"/>
                <w:b/>
                <w:bCs/>
                <w:kern w:val="0"/>
                <w:sz w:val="28"/>
                <w:szCs w:val="28"/>
              </w:rPr>
              <w:t>数量</w:t>
            </w:r>
          </w:p>
        </w:tc>
        <w:tc>
          <w:tcPr>
            <w:tcW w:w="709" w:type="dxa"/>
            <w:tcBorders>
              <w:top w:val="single" w:color="auto" w:sz="4" w:space="0"/>
              <w:left w:val="nil"/>
              <w:bottom w:val="single" w:color="auto" w:sz="4" w:space="0"/>
              <w:right w:val="single" w:color="auto" w:sz="4" w:space="0"/>
            </w:tcBorders>
            <w:noWrap/>
            <w:vAlign w:val="center"/>
          </w:tcPr>
          <w:p w14:paraId="18C4C6BF">
            <w:pPr>
              <w:widowControl/>
              <w:jc w:val="center"/>
              <w:rPr>
                <w:rFonts w:ascii="仿宋_GB2312" w:hAnsi="仿宋_GB2312" w:eastAsia="仿宋_GB2312" w:cs="仿宋_GB2312"/>
                <w:b/>
                <w:bCs/>
                <w:kern w:val="0"/>
                <w:sz w:val="28"/>
                <w:szCs w:val="28"/>
              </w:rPr>
            </w:pPr>
            <w:r>
              <w:rPr>
                <w:rFonts w:hint="eastAsia" w:ascii="方正仿宋_GBK" w:hAnsi="宋体" w:eastAsia="方正仿宋_GBK" w:cs="宋体"/>
                <w:b/>
                <w:bCs/>
                <w:kern w:val="0"/>
                <w:sz w:val="28"/>
                <w:szCs w:val="28"/>
              </w:rPr>
              <w:t>单位</w:t>
            </w:r>
          </w:p>
        </w:tc>
        <w:tc>
          <w:tcPr>
            <w:tcW w:w="851" w:type="dxa"/>
            <w:tcBorders>
              <w:top w:val="single" w:color="auto" w:sz="4" w:space="0"/>
              <w:left w:val="nil"/>
              <w:bottom w:val="single" w:color="auto" w:sz="4" w:space="0"/>
              <w:right w:val="single" w:color="auto" w:sz="4" w:space="0"/>
            </w:tcBorders>
            <w:vAlign w:val="center"/>
          </w:tcPr>
          <w:p w14:paraId="4868F2E6">
            <w:pPr>
              <w:widowControl/>
              <w:jc w:val="center"/>
              <w:rPr>
                <w:rFonts w:ascii="仿宋_GB2312" w:hAnsi="仿宋_GB2312" w:eastAsia="仿宋_GB2312" w:cs="仿宋_GB2312"/>
                <w:b/>
                <w:bCs/>
                <w:kern w:val="0"/>
                <w:sz w:val="28"/>
                <w:szCs w:val="28"/>
              </w:rPr>
            </w:pPr>
            <w:r>
              <w:rPr>
                <w:rFonts w:hint="eastAsia" w:ascii="方正仿宋_GBK" w:hAnsi="宋体" w:eastAsia="方正仿宋_GBK" w:cs="宋体"/>
                <w:b/>
                <w:bCs/>
                <w:kern w:val="0"/>
                <w:sz w:val="28"/>
                <w:szCs w:val="28"/>
              </w:rPr>
              <w:t>品牌及产地</w:t>
            </w:r>
          </w:p>
        </w:tc>
        <w:tc>
          <w:tcPr>
            <w:tcW w:w="850" w:type="dxa"/>
            <w:tcBorders>
              <w:top w:val="single" w:color="auto" w:sz="4" w:space="0"/>
              <w:left w:val="nil"/>
              <w:bottom w:val="single" w:color="auto" w:sz="4" w:space="0"/>
              <w:right w:val="single" w:color="auto" w:sz="4" w:space="0"/>
            </w:tcBorders>
            <w:vAlign w:val="center"/>
          </w:tcPr>
          <w:p w14:paraId="196920F9">
            <w:pPr>
              <w:widowControl/>
              <w:jc w:val="center"/>
              <w:rPr>
                <w:rFonts w:ascii="仿宋_GB2312" w:hAnsi="仿宋_GB2312" w:eastAsia="仿宋_GB2312" w:cs="仿宋_GB2312"/>
                <w:b/>
                <w:bCs/>
                <w:kern w:val="0"/>
                <w:sz w:val="28"/>
                <w:szCs w:val="28"/>
              </w:rPr>
            </w:pPr>
            <w:r>
              <w:rPr>
                <w:rFonts w:hint="eastAsia" w:ascii="方正仿宋_GBK" w:hAnsi="宋体" w:eastAsia="方正仿宋_GBK" w:cs="宋体"/>
                <w:b/>
                <w:bCs/>
                <w:kern w:val="0"/>
                <w:sz w:val="28"/>
                <w:szCs w:val="28"/>
              </w:rPr>
              <w:t>制造商名称</w:t>
            </w:r>
          </w:p>
        </w:tc>
        <w:tc>
          <w:tcPr>
            <w:tcW w:w="851" w:type="dxa"/>
            <w:tcBorders>
              <w:top w:val="single" w:color="auto" w:sz="4" w:space="0"/>
              <w:left w:val="nil"/>
              <w:bottom w:val="single" w:color="auto" w:sz="4" w:space="0"/>
              <w:right w:val="single" w:color="auto" w:sz="4" w:space="0"/>
            </w:tcBorders>
            <w:vAlign w:val="center"/>
          </w:tcPr>
          <w:p w14:paraId="26861A75">
            <w:pPr>
              <w:widowControl/>
              <w:jc w:val="center"/>
              <w:rPr>
                <w:rFonts w:ascii="仿宋_GB2312" w:hAnsi="仿宋_GB2312" w:eastAsia="仿宋_GB2312" w:cs="仿宋_GB2312"/>
                <w:b/>
                <w:bCs/>
                <w:kern w:val="0"/>
                <w:sz w:val="28"/>
                <w:szCs w:val="28"/>
              </w:rPr>
            </w:pPr>
            <w:r>
              <w:rPr>
                <w:rFonts w:hint="eastAsia" w:ascii="方正仿宋_GBK" w:hAnsi="宋体" w:eastAsia="方正仿宋_GBK" w:cs="宋体"/>
                <w:b/>
                <w:bCs/>
                <w:kern w:val="0"/>
                <w:sz w:val="28"/>
                <w:szCs w:val="28"/>
              </w:rPr>
              <w:t>规格型号</w:t>
            </w:r>
          </w:p>
        </w:tc>
        <w:tc>
          <w:tcPr>
            <w:tcW w:w="992" w:type="dxa"/>
            <w:tcBorders>
              <w:top w:val="single" w:color="auto" w:sz="4" w:space="0"/>
              <w:left w:val="nil"/>
              <w:bottom w:val="single" w:color="auto" w:sz="4" w:space="0"/>
              <w:right w:val="single" w:color="auto" w:sz="4" w:space="0"/>
            </w:tcBorders>
            <w:vAlign w:val="center"/>
          </w:tcPr>
          <w:p w14:paraId="34099078">
            <w:pPr>
              <w:widowControl/>
              <w:jc w:val="center"/>
              <w:rPr>
                <w:rFonts w:ascii="方正仿宋_GBK" w:hAnsi="宋体" w:eastAsia="方正仿宋_GBK" w:cs="宋体"/>
                <w:b/>
                <w:bCs/>
                <w:kern w:val="0"/>
                <w:sz w:val="28"/>
                <w:szCs w:val="28"/>
                <w:lang w:val="en-US" w:eastAsia="zh-CN" w:bidi="ar-SA"/>
              </w:rPr>
            </w:pPr>
            <w:r>
              <w:rPr>
                <w:rFonts w:hint="eastAsia" w:ascii="方正仿宋_GBK" w:hAnsi="宋体" w:eastAsia="方正仿宋_GBK" w:cs="宋体"/>
                <w:b/>
                <w:bCs/>
                <w:kern w:val="0"/>
                <w:sz w:val="28"/>
                <w:szCs w:val="28"/>
                <w:lang w:val="en-US" w:eastAsia="zh-CN" w:bidi="ar-SA"/>
              </w:rPr>
              <w:t>单价</w:t>
            </w:r>
          </w:p>
          <w:p w14:paraId="1CC72AC8">
            <w:pPr>
              <w:widowControl/>
              <w:jc w:val="center"/>
              <w:rPr>
                <w:rFonts w:ascii="仿宋_GB2312" w:hAnsi="仿宋_GB2312" w:eastAsia="仿宋_GB2312" w:cs="仿宋_GB2312"/>
                <w:b/>
                <w:bCs/>
                <w:kern w:val="0"/>
                <w:sz w:val="28"/>
                <w:szCs w:val="28"/>
                <w:lang w:val="en-US" w:eastAsia="zh-CN" w:bidi="ar-SA"/>
              </w:rPr>
            </w:pPr>
            <w:r>
              <w:rPr>
                <w:rFonts w:hint="eastAsia" w:ascii="方正仿宋_GBK" w:hAnsi="宋体" w:eastAsia="方正仿宋_GBK" w:cs="宋体"/>
                <w:b/>
                <w:bCs/>
                <w:kern w:val="0"/>
                <w:sz w:val="28"/>
                <w:szCs w:val="28"/>
                <w:lang w:val="en-US" w:eastAsia="zh-CN" w:bidi="ar-SA"/>
              </w:rPr>
              <w:t>（元）</w:t>
            </w:r>
          </w:p>
        </w:tc>
        <w:tc>
          <w:tcPr>
            <w:tcW w:w="992" w:type="dxa"/>
            <w:tcBorders>
              <w:top w:val="single" w:color="auto" w:sz="4" w:space="0"/>
              <w:left w:val="nil"/>
              <w:bottom w:val="single" w:color="auto" w:sz="4" w:space="0"/>
              <w:right w:val="single" w:color="auto" w:sz="4" w:space="0"/>
            </w:tcBorders>
            <w:vAlign w:val="center"/>
          </w:tcPr>
          <w:p w14:paraId="39691B43">
            <w:pPr>
              <w:widowControl/>
              <w:jc w:val="center"/>
              <w:rPr>
                <w:rFonts w:ascii="方正仿宋_GBK" w:hAnsi="宋体" w:eastAsia="方正仿宋_GBK" w:cs="宋体"/>
                <w:b/>
                <w:bCs/>
                <w:kern w:val="0"/>
                <w:sz w:val="28"/>
                <w:szCs w:val="28"/>
              </w:rPr>
            </w:pPr>
            <w:r>
              <w:rPr>
                <w:rFonts w:hint="eastAsia" w:ascii="方正仿宋_GBK" w:hAnsi="宋体" w:eastAsia="方正仿宋_GBK" w:cs="宋体"/>
                <w:b/>
                <w:bCs/>
                <w:kern w:val="0"/>
                <w:sz w:val="28"/>
                <w:szCs w:val="28"/>
              </w:rPr>
              <w:t>合计</w:t>
            </w:r>
          </w:p>
          <w:p w14:paraId="5605DCA3">
            <w:pPr>
              <w:widowControl/>
              <w:jc w:val="center"/>
              <w:rPr>
                <w:rFonts w:ascii="仿宋_GB2312" w:hAnsi="仿宋_GB2312" w:eastAsia="仿宋_GB2312" w:cs="仿宋_GB2312"/>
                <w:b/>
                <w:bCs/>
                <w:kern w:val="0"/>
                <w:sz w:val="28"/>
                <w:szCs w:val="28"/>
              </w:rPr>
            </w:pPr>
            <w:r>
              <w:rPr>
                <w:rFonts w:hint="eastAsia" w:ascii="方正仿宋_GBK" w:hAnsi="宋体" w:eastAsia="方正仿宋_GBK" w:cs="宋体"/>
                <w:b/>
                <w:bCs/>
                <w:kern w:val="0"/>
                <w:sz w:val="28"/>
                <w:szCs w:val="28"/>
              </w:rPr>
              <w:t>（元）</w:t>
            </w:r>
          </w:p>
        </w:tc>
      </w:tr>
      <w:tr w14:paraId="67DD5322">
        <w:tblPrEx>
          <w:tblCellMar>
            <w:top w:w="0" w:type="dxa"/>
            <w:left w:w="108" w:type="dxa"/>
            <w:bottom w:w="0" w:type="dxa"/>
            <w:right w:w="108" w:type="dxa"/>
          </w:tblCellMar>
        </w:tblPrEx>
        <w:trPr>
          <w:trHeight w:val="480" w:hRule="atLeast"/>
        </w:trPr>
        <w:tc>
          <w:tcPr>
            <w:tcW w:w="724" w:type="dxa"/>
            <w:tcBorders>
              <w:top w:val="nil"/>
              <w:left w:val="single" w:color="auto" w:sz="4" w:space="0"/>
              <w:bottom w:val="single" w:color="auto" w:sz="4" w:space="0"/>
              <w:right w:val="single" w:color="auto" w:sz="4" w:space="0"/>
            </w:tcBorders>
            <w:noWrap/>
            <w:vAlign w:val="center"/>
          </w:tcPr>
          <w:p w14:paraId="6A8FCA44">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2410" w:type="dxa"/>
            <w:tcBorders>
              <w:top w:val="nil"/>
              <w:left w:val="nil"/>
              <w:bottom w:val="single" w:color="auto" w:sz="4" w:space="0"/>
              <w:right w:val="single" w:color="auto" w:sz="4" w:space="0"/>
            </w:tcBorders>
            <w:vAlign w:val="center"/>
          </w:tcPr>
          <w:p w14:paraId="76B83F22">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850" w:type="dxa"/>
            <w:tcBorders>
              <w:top w:val="nil"/>
              <w:left w:val="nil"/>
              <w:bottom w:val="single" w:color="auto" w:sz="4" w:space="0"/>
              <w:right w:val="single" w:color="auto" w:sz="4" w:space="0"/>
            </w:tcBorders>
            <w:vAlign w:val="center"/>
          </w:tcPr>
          <w:p w14:paraId="360AA779">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709" w:type="dxa"/>
            <w:tcBorders>
              <w:top w:val="nil"/>
              <w:left w:val="nil"/>
              <w:bottom w:val="single" w:color="auto" w:sz="4" w:space="0"/>
              <w:right w:val="single" w:color="auto" w:sz="4" w:space="0"/>
            </w:tcBorders>
            <w:vAlign w:val="center"/>
          </w:tcPr>
          <w:p w14:paraId="4380314E">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851" w:type="dxa"/>
            <w:tcBorders>
              <w:top w:val="nil"/>
              <w:left w:val="nil"/>
              <w:bottom w:val="single" w:color="auto" w:sz="4" w:space="0"/>
              <w:right w:val="single" w:color="auto" w:sz="4" w:space="0"/>
            </w:tcBorders>
            <w:vAlign w:val="center"/>
          </w:tcPr>
          <w:p w14:paraId="6715ED7C">
            <w:pPr>
              <w:keepNext/>
              <w:snapToGrid w:val="0"/>
              <w:spacing w:line="360" w:lineRule="auto"/>
              <w:jc w:val="center"/>
              <w:outlineLvl w:val="0"/>
              <w:rPr>
                <w:rFonts w:ascii="方正仿宋_GBK" w:hAnsi="方正仿宋_GBK" w:eastAsia="方正仿宋_GBK" w:cs="方正仿宋_GBK"/>
                <w:sz w:val="24"/>
                <w:szCs w:val="24"/>
              </w:rPr>
            </w:pPr>
          </w:p>
        </w:tc>
        <w:tc>
          <w:tcPr>
            <w:tcW w:w="850" w:type="dxa"/>
            <w:tcBorders>
              <w:top w:val="nil"/>
              <w:left w:val="nil"/>
              <w:bottom w:val="single" w:color="auto" w:sz="4" w:space="0"/>
              <w:right w:val="single" w:color="auto" w:sz="4" w:space="0"/>
            </w:tcBorders>
            <w:vAlign w:val="center"/>
          </w:tcPr>
          <w:p w14:paraId="30FBDA30">
            <w:pPr>
              <w:keepNext/>
              <w:snapToGrid w:val="0"/>
              <w:spacing w:line="360" w:lineRule="auto"/>
              <w:jc w:val="center"/>
              <w:outlineLvl w:val="0"/>
              <w:rPr>
                <w:rFonts w:ascii="方正仿宋_GBK" w:hAnsi="方正仿宋_GBK" w:eastAsia="方正仿宋_GBK" w:cs="方正仿宋_GBK"/>
                <w:sz w:val="24"/>
                <w:szCs w:val="24"/>
              </w:rPr>
            </w:pPr>
          </w:p>
        </w:tc>
        <w:tc>
          <w:tcPr>
            <w:tcW w:w="851" w:type="dxa"/>
            <w:tcBorders>
              <w:top w:val="nil"/>
              <w:left w:val="nil"/>
              <w:bottom w:val="single" w:color="auto" w:sz="4" w:space="0"/>
              <w:right w:val="single" w:color="auto" w:sz="4" w:space="0"/>
            </w:tcBorders>
            <w:vAlign w:val="center"/>
          </w:tcPr>
          <w:p w14:paraId="7ECAD215">
            <w:pPr>
              <w:keepNext/>
              <w:snapToGrid w:val="0"/>
              <w:spacing w:line="360" w:lineRule="auto"/>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14:paraId="4BB29B51">
            <w:pPr>
              <w:keepNext/>
              <w:snapToGrid w:val="0"/>
              <w:spacing w:line="360" w:lineRule="auto"/>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14:paraId="17953695">
            <w:pPr>
              <w:keepNext/>
              <w:snapToGrid w:val="0"/>
              <w:spacing w:line="360" w:lineRule="auto"/>
              <w:jc w:val="center"/>
              <w:outlineLvl w:val="0"/>
              <w:rPr>
                <w:rFonts w:ascii="方正仿宋_GBK" w:hAnsi="方正仿宋_GBK" w:eastAsia="方正仿宋_GBK" w:cs="方正仿宋_GBK"/>
                <w:sz w:val="24"/>
                <w:szCs w:val="24"/>
              </w:rPr>
            </w:pPr>
          </w:p>
        </w:tc>
      </w:tr>
      <w:tr w14:paraId="689E159B">
        <w:tblPrEx>
          <w:tblCellMar>
            <w:top w:w="0" w:type="dxa"/>
            <w:left w:w="108" w:type="dxa"/>
            <w:bottom w:w="0" w:type="dxa"/>
            <w:right w:w="108" w:type="dxa"/>
          </w:tblCellMar>
        </w:tblPrEx>
        <w:trPr>
          <w:trHeight w:val="480" w:hRule="atLeast"/>
        </w:trPr>
        <w:tc>
          <w:tcPr>
            <w:tcW w:w="724" w:type="dxa"/>
            <w:tcBorders>
              <w:top w:val="nil"/>
              <w:left w:val="single" w:color="auto" w:sz="4" w:space="0"/>
              <w:bottom w:val="single" w:color="auto" w:sz="4" w:space="0"/>
              <w:right w:val="single" w:color="auto" w:sz="4" w:space="0"/>
            </w:tcBorders>
            <w:noWrap/>
            <w:vAlign w:val="center"/>
          </w:tcPr>
          <w:p w14:paraId="0D27D056">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2410" w:type="dxa"/>
            <w:tcBorders>
              <w:top w:val="nil"/>
              <w:left w:val="nil"/>
              <w:bottom w:val="single" w:color="auto" w:sz="4" w:space="0"/>
              <w:right w:val="single" w:color="auto" w:sz="4" w:space="0"/>
            </w:tcBorders>
            <w:vAlign w:val="center"/>
          </w:tcPr>
          <w:p w14:paraId="67D6B7DE">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850" w:type="dxa"/>
            <w:tcBorders>
              <w:top w:val="nil"/>
              <w:left w:val="nil"/>
              <w:bottom w:val="single" w:color="auto" w:sz="4" w:space="0"/>
              <w:right w:val="single" w:color="auto" w:sz="4" w:space="0"/>
            </w:tcBorders>
            <w:vAlign w:val="center"/>
          </w:tcPr>
          <w:p w14:paraId="03583142">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709" w:type="dxa"/>
            <w:tcBorders>
              <w:top w:val="nil"/>
              <w:left w:val="nil"/>
              <w:bottom w:val="single" w:color="auto" w:sz="4" w:space="0"/>
              <w:right w:val="single" w:color="auto" w:sz="4" w:space="0"/>
            </w:tcBorders>
            <w:vAlign w:val="center"/>
          </w:tcPr>
          <w:p w14:paraId="18E15346">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851" w:type="dxa"/>
            <w:tcBorders>
              <w:top w:val="nil"/>
              <w:left w:val="nil"/>
              <w:bottom w:val="single" w:color="auto" w:sz="4" w:space="0"/>
              <w:right w:val="single" w:color="auto" w:sz="4" w:space="0"/>
            </w:tcBorders>
            <w:vAlign w:val="center"/>
          </w:tcPr>
          <w:p w14:paraId="2D84F7ED">
            <w:pPr>
              <w:keepNext/>
              <w:snapToGrid w:val="0"/>
              <w:spacing w:line="360" w:lineRule="auto"/>
              <w:jc w:val="center"/>
              <w:outlineLvl w:val="0"/>
              <w:rPr>
                <w:rFonts w:ascii="方正仿宋_GBK" w:hAnsi="方正仿宋_GBK" w:eastAsia="方正仿宋_GBK" w:cs="方正仿宋_GBK"/>
                <w:sz w:val="24"/>
                <w:szCs w:val="24"/>
              </w:rPr>
            </w:pPr>
          </w:p>
        </w:tc>
        <w:tc>
          <w:tcPr>
            <w:tcW w:w="850" w:type="dxa"/>
            <w:tcBorders>
              <w:top w:val="nil"/>
              <w:left w:val="nil"/>
              <w:bottom w:val="single" w:color="auto" w:sz="4" w:space="0"/>
              <w:right w:val="single" w:color="auto" w:sz="4" w:space="0"/>
            </w:tcBorders>
            <w:vAlign w:val="center"/>
          </w:tcPr>
          <w:p w14:paraId="7C94F6C0">
            <w:pPr>
              <w:keepNext/>
              <w:snapToGrid w:val="0"/>
              <w:spacing w:line="360" w:lineRule="auto"/>
              <w:jc w:val="center"/>
              <w:outlineLvl w:val="0"/>
              <w:rPr>
                <w:rFonts w:ascii="方正仿宋_GBK" w:hAnsi="方正仿宋_GBK" w:eastAsia="方正仿宋_GBK" w:cs="方正仿宋_GBK"/>
                <w:sz w:val="24"/>
                <w:szCs w:val="24"/>
              </w:rPr>
            </w:pPr>
          </w:p>
        </w:tc>
        <w:tc>
          <w:tcPr>
            <w:tcW w:w="851" w:type="dxa"/>
            <w:tcBorders>
              <w:top w:val="nil"/>
              <w:left w:val="nil"/>
              <w:bottom w:val="single" w:color="auto" w:sz="4" w:space="0"/>
              <w:right w:val="single" w:color="auto" w:sz="4" w:space="0"/>
            </w:tcBorders>
            <w:vAlign w:val="center"/>
          </w:tcPr>
          <w:p w14:paraId="73737389">
            <w:pPr>
              <w:keepNext/>
              <w:snapToGrid w:val="0"/>
              <w:spacing w:line="360" w:lineRule="auto"/>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14:paraId="135FEBEB">
            <w:pPr>
              <w:keepNext/>
              <w:snapToGrid w:val="0"/>
              <w:spacing w:line="360" w:lineRule="auto"/>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14:paraId="70D344CD">
            <w:pPr>
              <w:keepNext/>
              <w:snapToGrid w:val="0"/>
              <w:spacing w:line="360" w:lineRule="auto"/>
              <w:jc w:val="center"/>
              <w:outlineLvl w:val="0"/>
              <w:rPr>
                <w:rFonts w:ascii="方正仿宋_GBK" w:hAnsi="方正仿宋_GBK" w:eastAsia="方正仿宋_GBK" w:cs="方正仿宋_GBK"/>
                <w:sz w:val="24"/>
                <w:szCs w:val="24"/>
              </w:rPr>
            </w:pPr>
          </w:p>
        </w:tc>
      </w:tr>
      <w:tr w14:paraId="2F342DEF">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30ADCD0D">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2410" w:type="dxa"/>
            <w:tcBorders>
              <w:top w:val="nil"/>
              <w:left w:val="nil"/>
              <w:bottom w:val="single" w:color="auto" w:sz="4" w:space="0"/>
              <w:right w:val="single" w:color="auto" w:sz="4" w:space="0"/>
            </w:tcBorders>
            <w:vAlign w:val="center"/>
          </w:tcPr>
          <w:p w14:paraId="03456042">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850" w:type="dxa"/>
            <w:tcBorders>
              <w:top w:val="nil"/>
              <w:left w:val="nil"/>
              <w:bottom w:val="single" w:color="auto" w:sz="4" w:space="0"/>
              <w:right w:val="single" w:color="auto" w:sz="4" w:space="0"/>
            </w:tcBorders>
            <w:vAlign w:val="center"/>
          </w:tcPr>
          <w:p w14:paraId="22FAC27D">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709" w:type="dxa"/>
            <w:tcBorders>
              <w:top w:val="nil"/>
              <w:left w:val="nil"/>
              <w:bottom w:val="single" w:color="auto" w:sz="4" w:space="0"/>
              <w:right w:val="single" w:color="auto" w:sz="4" w:space="0"/>
            </w:tcBorders>
            <w:vAlign w:val="center"/>
          </w:tcPr>
          <w:p w14:paraId="0436746E">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851" w:type="dxa"/>
            <w:tcBorders>
              <w:top w:val="nil"/>
              <w:left w:val="nil"/>
              <w:bottom w:val="single" w:color="auto" w:sz="4" w:space="0"/>
              <w:right w:val="single" w:color="auto" w:sz="4" w:space="0"/>
            </w:tcBorders>
            <w:vAlign w:val="center"/>
          </w:tcPr>
          <w:p w14:paraId="3C876B6E">
            <w:pPr>
              <w:keepNext/>
              <w:snapToGrid w:val="0"/>
              <w:spacing w:line="360" w:lineRule="auto"/>
              <w:jc w:val="center"/>
              <w:outlineLvl w:val="0"/>
              <w:rPr>
                <w:rFonts w:ascii="方正仿宋_GBK" w:hAnsi="方正仿宋_GBK" w:eastAsia="方正仿宋_GBK" w:cs="方正仿宋_GBK"/>
                <w:sz w:val="24"/>
                <w:szCs w:val="24"/>
              </w:rPr>
            </w:pPr>
          </w:p>
        </w:tc>
        <w:tc>
          <w:tcPr>
            <w:tcW w:w="850" w:type="dxa"/>
            <w:tcBorders>
              <w:top w:val="nil"/>
              <w:left w:val="nil"/>
              <w:bottom w:val="single" w:color="auto" w:sz="4" w:space="0"/>
              <w:right w:val="single" w:color="auto" w:sz="4" w:space="0"/>
            </w:tcBorders>
            <w:vAlign w:val="center"/>
          </w:tcPr>
          <w:p w14:paraId="2424E128">
            <w:pPr>
              <w:keepNext/>
              <w:snapToGrid w:val="0"/>
              <w:spacing w:line="360" w:lineRule="auto"/>
              <w:jc w:val="center"/>
              <w:outlineLvl w:val="0"/>
              <w:rPr>
                <w:rFonts w:ascii="方正仿宋_GBK" w:hAnsi="方正仿宋_GBK" w:eastAsia="方正仿宋_GBK" w:cs="方正仿宋_GBK"/>
                <w:sz w:val="24"/>
                <w:szCs w:val="24"/>
              </w:rPr>
            </w:pPr>
          </w:p>
        </w:tc>
        <w:tc>
          <w:tcPr>
            <w:tcW w:w="851" w:type="dxa"/>
            <w:tcBorders>
              <w:top w:val="nil"/>
              <w:left w:val="nil"/>
              <w:bottom w:val="single" w:color="auto" w:sz="4" w:space="0"/>
              <w:right w:val="single" w:color="auto" w:sz="4" w:space="0"/>
            </w:tcBorders>
            <w:vAlign w:val="center"/>
          </w:tcPr>
          <w:p w14:paraId="781DE469">
            <w:pPr>
              <w:keepNext/>
              <w:snapToGrid w:val="0"/>
              <w:spacing w:line="360" w:lineRule="auto"/>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14:paraId="5616B3A4">
            <w:pPr>
              <w:keepNext/>
              <w:snapToGrid w:val="0"/>
              <w:spacing w:line="360" w:lineRule="auto"/>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14:paraId="2DDF208F">
            <w:pPr>
              <w:keepNext/>
              <w:snapToGrid w:val="0"/>
              <w:spacing w:line="360" w:lineRule="auto"/>
              <w:jc w:val="center"/>
              <w:outlineLvl w:val="0"/>
              <w:rPr>
                <w:rFonts w:ascii="方正仿宋_GBK" w:hAnsi="方正仿宋_GBK" w:eastAsia="方正仿宋_GBK" w:cs="方正仿宋_GBK"/>
                <w:sz w:val="24"/>
                <w:szCs w:val="24"/>
              </w:rPr>
            </w:pPr>
          </w:p>
        </w:tc>
      </w:tr>
      <w:tr w14:paraId="31EC4741">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7900B574">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2410" w:type="dxa"/>
            <w:tcBorders>
              <w:top w:val="nil"/>
              <w:left w:val="nil"/>
              <w:bottom w:val="single" w:color="auto" w:sz="4" w:space="0"/>
              <w:right w:val="single" w:color="auto" w:sz="4" w:space="0"/>
            </w:tcBorders>
            <w:vAlign w:val="center"/>
          </w:tcPr>
          <w:p w14:paraId="5E0539DA">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850" w:type="dxa"/>
            <w:tcBorders>
              <w:top w:val="nil"/>
              <w:left w:val="nil"/>
              <w:bottom w:val="single" w:color="auto" w:sz="4" w:space="0"/>
              <w:right w:val="single" w:color="auto" w:sz="4" w:space="0"/>
            </w:tcBorders>
            <w:vAlign w:val="center"/>
          </w:tcPr>
          <w:p w14:paraId="3211BC11">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709" w:type="dxa"/>
            <w:tcBorders>
              <w:top w:val="nil"/>
              <w:left w:val="nil"/>
              <w:bottom w:val="single" w:color="auto" w:sz="4" w:space="0"/>
              <w:right w:val="single" w:color="auto" w:sz="4" w:space="0"/>
            </w:tcBorders>
            <w:vAlign w:val="center"/>
          </w:tcPr>
          <w:p w14:paraId="58FC044B">
            <w:pPr>
              <w:widowControl/>
              <w:spacing w:line="360" w:lineRule="auto"/>
              <w:jc w:val="center"/>
              <w:textAlignment w:val="center"/>
              <w:rPr>
                <w:rFonts w:ascii="方正仿宋_GBK" w:hAnsi="方正仿宋_GBK" w:eastAsia="方正仿宋_GBK" w:cs="方正仿宋_GBK"/>
                <w:color w:val="000000"/>
                <w:kern w:val="0"/>
                <w:sz w:val="24"/>
                <w:szCs w:val="24"/>
              </w:rPr>
            </w:pPr>
          </w:p>
        </w:tc>
        <w:tc>
          <w:tcPr>
            <w:tcW w:w="851" w:type="dxa"/>
            <w:tcBorders>
              <w:top w:val="nil"/>
              <w:left w:val="nil"/>
              <w:bottom w:val="single" w:color="auto" w:sz="4" w:space="0"/>
              <w:right w:val="single" w:color="auto" w:sz="4" w:space="0"/>
            </w:tcBorders>
            <w:vAlign w:val="center"/>
          </w:tcPr>
          <w:p w14:paraId="4E8F6917">
            <w:pPr>
              <w:keepNext/>
              <w:snapToGrid w:val="0"/>
              <w:spacing w:line="360" w:lineRule="auto"/>
              <w:jc w:val="center"/>
              <w:outlineLvl w:val="0"/>
              <w:rPr>
                <w:rFonts w:ascii="方正仿宋_GBK" w:hAnsi="方正仿宋_GBK" w:eastAsia="方正仿宋_GBK" w:cs="方正仿宋_GBK"/>
                <w:sz w:val="24"/>
                <w:szCs w:val="24"/>
              </w:rPr>
            </w:pPr>
          </w:p>
        </w:tc>
        <w:tc>
          <w:tcPr>
            <w:tcW w:w="850" w:type="dxa"/>
            <w:tcBorders>
              <w:top w:val="nil"/>
              <w:left w:val="nil"/>
              <w:bottom w:val="single" w:color="auto" w:sz="4" w:space="0"/>
              <w:right w:val="single" w:color="auto" w:sz="4" w:space="0"/>
            </w:tcBorders>
            <w:vAlign w:val="center"/>
          </w:tcPr>
          <w:p w14:paraId="633226B1">
            <w:pPr>
              <w:keepNext/>
              <w:snapToGrid w:val="0"/>
              <w:spacing w:line="360" w:lineRule="auto"/>
              <w:jc w:val="center"/>
              <w:outlineLvl w:val="0"/>
              <w:rPr>
                <w:rFonts w:ascii="方正仿宋_GBK" w:hAnsi="方正仿宋_GBK" w:eastAsia="方正仿宋_GBK" w:cs="方正仿宋_GBK"/>
                <w:sz w:val="24"/>
                <w:szCs w:val="24"/>
              </w:rPr>
            </w:pPr>
          </w:p>
        </w:tc>
        <w:tc>
          <w:tcPr>
            <w:tcW w:w="851" w:type="dxa"/>
            <w:tcBorders>
              <w:top w:val="nil"/>
              <w:left w:val="nil"/>
              <w:bottom w:val="single" w:color="auto" w:sz="4" w:space="0"/>
              <w:right w:val="single" w:color="auto" w:sz="4" w:space="0"/>
            </w:tcBorders>
            <w:vAlign w:val="center"/>
          </w:tcPr>
          <w:p w14:paraId="4E4C9B93">
            <w:pPr>
              <w:keepNext/>
              <w:snapToGrid w:val="0"/>
              <w:spacing w:line="360" w:lineRule="auto"/>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14:paraId="5508D223">
            <w:pPr>
              <w:keepNext/>
              <w:snapToGrid w:val="0"/>
              <w:spacing w:line="360" w:lineRule="auto"/>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14:paraId="5E7D2109">
            <w:pPr>
              <w:keepNext/>
              <w:snapToGrid w:val="0"/>
              <w:spacing w:line="360" w:lineRule="auto"/>
              <w:jc w:val="center"/>
              <w:outlineLvl w:val="0"/>
              <w:rPr>
                <w:rFonts w:ascii="方正仿宋_GBK" w:hAnsi="方正仿宋_GBK" w:eastAsia="方正仿宋_GBK" w:cs="方正仿宋_GBK"/>
                <w:sz w:val="24"/>
                <w:szCs w:val="24"/>
              </w:rPr>
            </w:pPr>
          </w:p>
        </w:tc>
      </w:tr>
      <w:tr w14:paraId="0C92AE7E">
        <w:tblPrEx>
          <w:tblCellMar>
            <w:top w:w="0" w:type="dxa"/>
            <w:left w:w="108" w:type="dxa"/>
            <w:bottom w:w="0" w:type="dxa"/>
            <w:right w:w="108" w:type="dxa"/>
          </w:tblCellMar>
        </w:tblPrEx>
        <w:trPr>
          <w:trHeight w:val="270" w:hRule="atLeast"/>
        </w:trPr>
        <w:tc>
          <w:tcPr>
            <w:tcW w:w="8237" w:type="dxa"/>
            <w:gridSpan w:val="8"/>
            <w:tcBorders>
              <w:top w:val="single" w:color="auto" w:sz="4" w:space="0"/>
              <w:left w:val="single" w:color="auto" w:sz="4" w:space="0"/>
              <w:bottom w:val="single" w:color="auto" w:sz="4" w:space="0"/>
              <w:right w:val="single" w:color="auto" w:sz="4" w:space="0"/>
            </w:tcBorders>
            <w:noWrap/>
            <w:vAlign w:val="center"/>
          </w:tcPr>
          <w:p w14:paraId="38015E0A">
            <w:pPr>
              <w:keepNext/>
              <w:widowControl/>
              <w:snapToGrid w:val="0"/>
              <w:spacing w:line="360" w:lineRule="auto"/>
              <w:jc w:val="center"/>
              <w:outlineLvl w:val="0"/>
              <w:rPr>
                <w:rFonts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合计（元）</w:t>
            </w:r>
          </w:p>
        </w:tc>
        <w:tc>
          <w:tcPr>
            <w:tcW w:w="992" w:type="dxa"/>
            <w:tcBorders>
              <w:top w:val="single" w:color="auto" w:sz="4" w:space="0"/>
              <w:left w:val="nil"/>
              <w:bottom w:val="single" w:color="auto" w:sz="4" w:space="0"/>
              <w:right w:val="single" w:color="auto" w:sz="4" w:space="0"/>
            </w:tcBorders>
          </w:tcPr>
          <w:p w14:paraId="3F7B0C43">
            <w:pPr>
              <w:keepNext/>
              <w:widowControl/>
              <w:snapToGrid w:val="0"/>
              <w:spacing w:line="360" w:lineRule="auto"/>
              <w:jc w:val="center"/>
              <w:outlineLvl w:val="0"/>
              <w:rPr>
                <w:rFonts w:ascii="方正仿宋_GBK" w:hAnsi="方正仿宋_GBK" w:eastAsia="方正仿宋_GBK" w:cs="方正仿宋_GBK"/>
                <w:color w:val="000000"/>
                <w:kern w:val="0"/>
                <w:sz w:val="24"/>
                <w:szCs w:val="24"/>
              </w:rPr>
            </w:pPr>
          </w:p>
        </w:tc>
      </w:tr>
    </w:tbl>
    <w:p w14:paraId="04EF6647">
      <w:pPr>
        <w:snapToGrid w:val="0"/>
        <w:spacing w:line="360" w:lineRule="auto"/>
        <w:ind w:firstLine="480" w:firstLineChars="200"/>
        <w:rPr>
          <w:rFonts w:ascii="方正仿宋_GBK" w:hAnsi="宋体" w:eastAsia="方正仿宋_GBK" w:cs="方正仿宋_GBK"/>
          <w:sz w:val="24"/>
          <w:szCs w:val="24"/>
        </w:rPr>
      </w:pPr>
      <w:r>
        <w:rPr>
          <w:rFonts w:hint="eastAsia" w:ascii="方正仿宋_GBK" w:hAnsi="宋体" w:eastAsia="方正仿宋_GBK" w:cs="方正仿宋_GBK"/>
          <w:sz w:val="24"/>
          <w:szCs w:val="24"/>
        </w:rPr>
        <w:t xml:space="preserve"> </w:t>
      </w:r>
    </w:p>
    <w:p w14:paraId="2F772A1F">
      <w:pPr>
        <w:snapToGrid w:val="0"/>
        <w:spacing w:line="360" w:lineRule="auto"/>
        <w:ind w:firstLine="640" w:firstLineChars="200"/>
        <w:rPr>
          <w:rFonts w:hint="eastAsia" w:ascii="方正仿宋_GBK" w:hAnsi="宋体" w:eastAsia="方正仿宋_GBK" w:cs="方正仿宋_GBK"/>
          <w:sz w:val="32"/>
          <w:szCs w:val="32"/>
        </w:rPr>
      </w:pPr>
      <w:r>
        <w:rPr>
          <w:rFonts w:hint="eastAsia" w:ascii="方正仿宋_GBK" w:hAnsi="宋体" w:eastAsia="方正仿宋_GBK" w:cs="方正仿宋_GBK"/>
          <w:sz w:val="32"/>
          <w:szCs w:val="32"/>
        </w:rPr>
        <w:t>填写要求：</w:t>
      </w:r>
    </w:p>
    <w:p w14:paraId="1DB57DA9">
      <w:pPr>
        <w:snapToGrid w:val="0"/>
        <w:spacing w:line="360" w:lineRule="auto"/>
        <w:ind w:firstLine="640" w:firstLineChars="200"/>
        <w:rPr>
          <w:rFonts w:hint="eastAsia" w:ascii="方正仿宋_GBK" w:hAnsi="宋体" w:eastAsia="方正仿宋_GBK" w:cs="方正仿宋_GBK"/>
          <w:sz w:val="32"/>
          <w:szCs w:val="32"/>
        </w:rPr>
      </w:pPr>
      <w:r>
        <w:rPr>
          <w:rFonts w:hint="eastAsia" w:ascii="方正仿宋_GBK" w:hAnsi="宋体" w:eastAsia="方正仿宋_GBK" w:cs="方正仿宋_GBK"/>
          <w:sz w:val="32"/>
          <w:szCs w:val="32"/>
        </w:rPr>
        <w:t>1.供应商应完整填写本表，并逐页盖章。</w:t>
      </w:r>
    </w:p>
    <w:p w14:paraId="1B0E462A">
      <w:pPr>
        <w:snapToGrid w:val="0"/>
        <w:spacing w:line="360" w:lineRule="auto"/>
        <w:ind w:firstLine="640" w:firstLineChars="200"/>
        <w:rPr>
          <w:rFonts w:hint="eastAsia" w:ascii="方正仿宋_GBK" w:hAnsi="宋体" w:eastAsia="方正仿宋_GBK" w:cs="方正仿宋_GBK"/>
          <w:sz w:val="32"/>
          <w:szCs w:val="32"/>
        </w:rPr>
      </w:pPr>
      <w:r>
        <w:rPr>
          <w:rFonts w:hint="eastAsia" w:ascii="方正仿宋_GBK" w:hAnsi="宋体" w:eastAsia="方正仿宋_GBK" w:cs="方正仿宋_GBK"/>
          <w:sz w:val="32"/>
          <w:szCs w:val="32"/>
        </w:rPr>
        <w:t>2.该表</w:t>
      </w:r>
      <w:r>
        <w:rPr>
          <w:rFonts w:hint="eastAsia" w:ascii="方正仿宋_GBK" w:hAnsi="宋体" w:eastAsia="方正仿宋_GBK" w:cs="方正仿宋_GBK"/>
          <w:b/>
          <w:bCs/>
          <w:sz w:val="32"/>
          <w:szCs w:val="32"/>
          <w:lang w:val="en-US" w:eastAsia="zh-CN"/>
        </w:rPr>
        <w:t>字段</w:t>
      </w:r>
      <w:r>
        <w:rPr>
          <w:rFonts w:hint="eastAsia" w:ascii="方正仿宋_GBK" w:hAnsi="宋体" w:eastAsia="方正仿宋_GBK" w:cs="方正仿宋_GBK"/>
          <w:sz w:val="32"/>
          <w:szCs w:val="32"/>
        </w:rPr>
        <w:t>不可扩展、不可变更。</w:t>
      </w:r>
    </w:p>
    <w:p w14:paraId="20E3C441">
      <w:pPr>
        <w:snapToGrid w:val="0"/>
        <w:spacing w:line="360" w:lineRule="auto"/>
        <w:rPr>
          <w:rFonts w:ascii="方正仿宋_GBK" w:hAnsi="宋体" w:eastAsia="方正仿宋_GBK" w:cs="方正仿宋_GBK"/>
          <w:sz w:val="32"/>
          <w:szCs w:val="32"/>
        </w:rPr>
      </w:pPr>
      <w:r>
        <w:rPr>
          <w:rFonts w:hint="eastAsia" w:ascii="方正仿宋_GBK" w:hAnsi="宋体" w:eastAsia="方正仿宋_GBK" w:cs="方正仿宋_GBK"/>
          <w:sz w:val="32"/>
          <w:szCs w:val="32"/>
        </w:rPr>
        <w:t xml:space="preserve"> </w:t>
      </w:r>
    </w:p>
    <w:p w14:paraId="425CFAA6">
      <w:pPr>
        <w:widowControl w:val="0"/>
        <w:spacing w:line="360" w:lineRule="auto"/>
        <w:ind w:left="1600" w:hanging="480"/>
        <w:jc w:val="center"/>
        <w:rPr>
          <w:rFonts w:ascii="方正仿宋_GBK" w:hAnsi="宋体" w:eastAsia="方正仿宋_GBK" w:cs="方正仿宋_GBK"/>
          <w:kern w:val="2"/>
          <w:sz w:val="32"/>
          <w:szCs w:val="32"/>
          <w:lang w:val="en-US" w:eastAsia="zh-CN" w:bidi="ar-SA"/>
        </w:rPr>
      </w:pPr>
      <w:r>
        <w:rPr>
          <w:rFonts w:hint="eastAsia" w:ascii="方正仿宋_GBK" w:hAnsi="宋体" w:eastAsia="方正仿宋_GBK" w:cs="方正仿宋_GBK"/>
          <w:kern w:val="2"/>
          <w:sz w:val="32"/>
          <w:szCs w:val="32"/>
          <w:lang w:val="en-US" w:eastAsia="zh-CN" w:bidi="ar-SA"/>
        </w:rPr>
        <w:t xml:space="preserve"> </w:t>
      </w:r>
    </w:p>
    <w:p w14:paraId="1C8923E3">
      <w:pPr>
        <w:spacing w:line="360" w:lineRule="auto"/>
        <w:jc w:val="right"/>
        <w:rPr>
          <w:rFonts w:ascii="Times New Roman" w:hAnsi="Times New Roman" w:eastAsia="宋体" w:cs="Times New Roman"/>
          <w:sz w:val="32"/>
          <w:szCs w:val="32"/>
        </w:rPr>
      </w:pPr>
      <w:r>
        <w:rPr>
          <w:rFonts w:hint="eastAsia" w:ascii="方正仿宋_GBK" w:hAnsi="方正仿宋_GBK" w:eastAsia="方正仿宋_GBK" w:cs="方正仿宋_GBK"/>
          <w:sz w:val="32"/>
          <w:szCs w:val="32"/>
        </w:rPr>
        <w:t>供应商名称（公章）：</w:t>
      </w:r>
    </w:p>
    <w:p w14:paraId="2760CBBA">
      <w:pPr>
        <w:spacing w:line="360" w:lineRule="auto"/>
        <w:jc w:val="center"/>
        <w:rPr>
          <w:rFonts w:ascii="方正仿宋_GBK" w:hAnsi="方正仿宋_GBK" w:eastAsia="方正仿宋_GBK" w:cs="方正仿宋_GBK"/>
          <w:sz w:val="32"/>
          <w:szCs w:val="32"/>
        </w:rPr>
      </w:pPr>
      <w:r>
        <w:rPr>
          <w:rFonts w:ascii="方正仿宋_GBK" w:hAnsi="方正仿宋_GBK" w:eastAsia="方正仿宋_GBK" w:cs="方正仿宋_GBK"/>
          <w:sz w:val="32"/>
          <w:szCs w:val="32"/>
        </w:rPr>
        <w:t xml:space="preserve">                                   </w:t>
      </w:r>
      <w:r>
        <w:rPr>
          <w:rFonts w:hint="eastAsia" w:ascii="方正仿宋_GBK" w:hAnsi="方正仿宋_GBK" w:eastAsia="方正仿宋_GBK" w:cs="方正仿宋_GBK"/>
          <w:sz w:val="32"/>
          <w:szCs w:val="32"/>
        </w:rPr>
        <w:t>年</w:t>
      </w:r>
      <w:r>
        <w:rPr>
          <w:rFonts w:hint="eastAsia" w:ascii="方正仿宋_GBK" w:hAnsi="宋体" w:eastAsia="方正仿宋_GBK" w:cs="方正仿宋_GBK"/>
          <w:sz w:val="32"/>
          <w:szCs w:val="32"/>
        </w:rPr>
        <w:t xml:space="preserve">  </w:t>
      </w:r>
      <w:r>
        <w:rPr>
          <w:rFonts w:hint="eastAsia" w:ascii="方正仿宋_GBK" w:hAnsi="方正仿宋_GBK" w:eastAsia="方正仿宋_GBK" w:cs="方正仿宋_GBK"/>
          <w:sz w:val="32"/>
          <w:szCs w:val="32"/>
        </w:rPr>
        <w:t>月</w:t>
      </w:r>
      <w:r>
        <w:rPr>
          <w:rFonts w:hint="eastAsia" w:ascii="方正仿宋_GBK" w:hAnsi="宋体" w:eastAsia="方正仿宋_GBK" w:cs="方正仿宋_GBK"/>
          <w:sz w:val="32"/>
          <w:szCs w:val="32"/>
        </w:rPr>
        <w:t xml:space="preserve">  </w:t>
      </w:r>
      <w:r>
        <w:rPr>
          <w:rFonts w:hint="eastAsia" w:ascii="方正仿宋_GBK" w:hAnsi="方正仿宋_GBK" w:eastAsia="方正仿宋_GBK" w:cs="方正仿宋_GBK"/>
          <w:sz w:val="32"/>
          <w:szCs w:val="32"/>
        </w:rPr>
        <w:t>日</w:t>
      </w:r>
    </w:p>
    <w:p w14:paraId="53E14DBC">
      <w:pPr>
        <w:keepNext/>
        <w:keepLines/>
        <w:widowControl w:val="0"/>
        <w:spacing w:before="260" w:after="260" w:line="360" w:lineRule="auto"/>
        <w:jc w:val="both"/>
        <w:outlineLvl w:val="2"/>
        <w:rPr>
          <w:rFonts w:ascii="方正仿宋_GBK" w:hAnsi="方正仿宋_GBK" w:eastAsia="方正仿宋_GBK" w:cs="Arial"/>
          <w:b/>
          <w:kern w:val="2"/>
          <w:sz w:val="32"/>
          <w:szCs w:val="21"/>
          <w:lang w:val="en-US" w:eastAsia="zh-CN" w:bidi="ar-SA"/>
        </w:rPr>
      </w:pPr>
      <w:r>
        <w:rPr>
          <w:rFonts w:ascii="Calibri" w:hAnsi="Calibri" w:eastAsia="宋体" w:cs="Times New Roman"/>
          <w:b/>
          <w:kern w:val="2"/>
          <w:sz w:val="32"/>
          <w:szCs w:val="21"/>
          <w:lang w:val="en-US" w:eastAsia="zh-CN" w:bidi="ar-SA"/>
        </w:rPr>
        <w:br w:type="page"/>
      </w:r>
    </w:p>
    <w:p w14:paraId="62AA62BC">
      <w:pPr>
        <w:tabs>
          <w:tab w:val="left" w:pos="6300"/>
        </w:tabs>
        <w:snapToGrid w:val="0"/>
        <w:spacing w:line="360" w:lineRule="auto"/>
        <w:ind w:firstLine="643" w:firstLineChars="200"/>
        <w:jc w:val="left"/>
        <w:rPr>
          <w:rFonts w:hint="eastAsia" w:ascii="黑体" w:hAnsi="黑体" w:eastAsia="黑体" w:cs="黑体"/>
          <w:b/>
          <w:sz w:val="32"/>
          <w:szCs w:val="32"/>
          <w:lang w:val="en-US" w:eastAsia="zh-CN"/>
        </w:rPr>
      </w:pPr>
      <w:r>
        <w:rPr>
          <w:rFonts w:hint="eastAsia" w:ascii="黑体" w:hAnsi="黑体" w:eastAsia="黑体" w:cs="黑体"/>
          <w:b/>
          <w:sz w:val="32"/>
          <w:szCs w:val="32"/>
          <w:lang w:val="en-US" w:eastAsia="zh-CN"/>
        </w:rPr>
        <w:t>二、技术应答</w:t>
      </w:r>
    </w:p>
    <w:p w14:paraId="54292625">
      <w:pPr>
        <w:tabs>
          <w:tab w:val="left" w:pos="6300"/>
        </w:tabs>
        <w:snapToGrid w:val="0"/>
        <w:spacing w:line="360" w:lineRule="auto"/>
        <w:ind w:firstLine="643" w:firstLineChars="200"/>
        <w:jc w:val="left"/>
        <w:rPr>
          <w:rFonts w:hint="default" w:ascii="黑体" w:hAnsi="黑体" w:eastAsia="黑体" w:cs="黑体"/>
          <w:b/>
          <w:sz w:val="32"/>
          <w:szCs w:val="32"/>
          <w:lang w:val="en-US" w:eastAsia="zh-CN"/>
        </w:rPr>
      </w:pPr>
      <w:r>
        <w:rPr>
          <w:rFonts w:hint="eastAsia" w:ascii="黑体" w:hAnsi="黑体" w:eastAsia="黑体" w:cs="黑体"/>
          <w:b/>
          <w:sz w:val="32"/>
          <w:szCs w:val="32"/>
          <w:lang w:val="en-US" w:eastAsia="zh-CN"/>
        </w:rPr>
        <w:t>三、商务应答</w:t>
      </w:r>
    </w:p>
    <w:p w14:paraId="210D28C1">
      <w:pPr>
        <w:tabs>
          <w:tab w:val="left" w:pos="6300"/>
        </w:tabs>
        <w:snapToGrid w:val="0"/>
        <w:spacing w:line="360" w:lineRule="auto"/>
        <w:ind w:firstLine="643" w:firstLineChars="200"/>
        <w:jc w:val="left"/>
        <w:rPr>
          <w:rFonts w:hint="default" w:ascii="黑体" w:hAnsi="黑体" w:eastAsia="黑体" w:cs="黑体"/>
          <w:b/>
          <w:sz w:val="32"/>
          <w:szCs w:val="32"/>
          <w:lang w:val="en-US" w:eastAsia="zh-CN"/>
        </w:rPr>
      </w:pPr>
      <w:r>
        <w:rPr>
          <w:rFonts w:hint="eastAsia" w:ascii="黑体" w:hAnsi="黑体" w:eastAsia="黑体" w:cs="黑体"/>
          <w:b/>
          <w:sz w:val="32"/>
          <w:szCs w:val="32"/>
          <w:lang w:val="en-US" w:eastAsia="zh-CN"/>
        </w:rPr>
        <w:t>四、资格文件</w:t>
      </w:r>
    </w:p>
    <w:p w14:paraId="0EF64208">
      <w:pPr>
        <w:spacing w:line="400" w:lineRule="exact"/>
        <w:ind w:firstLine="640" w:firstLineChars="200"/>
        <w:rPr>
          <w:rFonts w:hint="eastAsia" w:ascii="方正仿宋_GB2312" w:hAnsi="方正仿宋_GB2312" w:eastAsia="方正仿宋_GB2312" w:cs="方正仿宋_GB2312"/>
          <w:b w:val="0"/>
          <w:bCs w:val="0"/>
          <w:sz w:val="32"/>
          <w:szCs w:val="32"/>
        </w:rPr>
      </w:pPr>
      <w:r>
        <w:rPr>
          <w:rFonts w:hint="eastAsia" w:ascii="方正仿宋_GB2312" w:hAnsi="方正仿宋_GB2312" w:eastAsia="方正仿宋_GB2312" w:cs="方正仿宋_GB2312"/>
          <w:b w:val="0"/>
          <w:bCs w:val="0"/>
          <w:sz w:val="32"/>
          <w:szCs w:val="32"/>
          <w:lang w:eastAsia="zh-CN"/>
        </w:rPr>
        <w:t>（</w:t>
      </w:r>
      <w:r>
        <w:rPr>
          <w:rFonts w:hint="eastAsia" w:ascii="方正仿宋_GB2312" w:hAnsi="方正仿宋_GB2312" w:eastAsia="方正仿宋_GB2312" w:cs="方正仿宋_GB2312"/>
          <w:b w:val="0"/>
          <w:bCs w:val="0"/>
          <w:sz w:val="32"/>
          <w:szCs w:val="32"/>
          <w:lang w:val="en-US" w:eastAsia="zh-CN"/>
        </w:rPr>
        <w:t>一</w:t>
      </w:r>
      <w:r>
        <w:rPr>
          <w:rFonts w:hint="eastAsia" w:ascii="方正仿宋_GB2312" w:hAnsi="方正仿宋_GB2312" w:eastAsia="方正仿宋_GB2312" w:cs="方正仿宋_GB2312"/>
          <w:b w:val="0"/>
          <w:bCs w:val="0"/>
          <w:sz w:val="32"/>
          <w:szCs w:val="32"/>
          <w:lang w:eastAsia="zh-CN"/>
        </w:rPr>
        <w:t>）</w:t>
      </w:r>
      <w:r>
        <w:rPr>
          <w:rFonts w:hint="eastAsia" w:ascii="方正仿宋_GB2312" w:hAnsi="方正仿宋_GB2312" w:eastAsia="方正仿宋_GB2312" w:cs="方正仿宋_GB2312"/>
          <w:b w:val="0"/>
          <w:bCs w:val="0"/>
          <w:sz w:val="32"/>
          <w:szCs w:val="32"/>
        </w:rPr>
        <w:t>法人营业执照（副本）或事业单位法人证书（副本）或个体工商户营业执照或有效的自然人身份证明或社会团体法人登记证书复印件</w:t>
      </w:r>
    </w:p>
    <w:p w14:paraId="0A8D9349">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62C6B29D">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709B63BC">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7DAEC782">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4583FFCD">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0FE88ED0">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7DEEB86F">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46E31B14">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2CF91305">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0C51392E">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76E8E510">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58079994">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1FB79EB1">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14AF754B">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6F2412C8">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sz w:val="32"/>
          <w:szCs w:val="32"/>
          <w:lang w:val="en-US" w:eastAsia="zh-CN"/>
        </w:rPr>
      </w:pPr>
    </w:p>
    <w:p w14:paraId="69C9F4D3">
      <w:pPr>
        <w:tabs>
          <w:tab w:val="left" w:pos="6300"/>
        </w:tabs>
        <w:snapToGrid w:val="0"/>
        <w:spacing w:line="360" w:lineRule="auto"/>
        <w:ind w:firstLine="640" w:firstLineChars="200"/>
        <w:jc w:val="left"/>
        <w:rPr>
          <w:rFonts w:hint="eastAsia" w:ascii="方正仿宋_GB2312" w:hAnsi="方正仿宋_GB2312" w:eastAsia="方正仿宋_GB2312" w:cs="方正仿宋_GB2312"/>
          <w:b w:val="0"/>
          <w:bCs w:val="0"/>
          <w:color w:val="FF0000"/>
          <w:sz w:val="32"/>
          <w:szCs w:val="32"/>
        </w:rPr>
      </w:pPr>
      <w:r>
        <w:rPr>
          <w:rFonts w:hint="eastAsia" w:ascii="方正仿宋_GB2312" w:hAnsi="方正仿宋_GB2312" w:eastAsia="方正仿宋_GB2312" w:cs="方正仿宋_GB2312"/>
          <w:b w:val="0"/>
          <w:bCs w:val="0"/>
          <w:sz w:val="32"/>
          <w:szCs w:val="32"/>
          <w:lang w:val="en-US" w:eastAsia="zh-CN"/>
        </w:rPr>
        <w:t>（二）</w:t>
      </w:r>
      <w:r>
        <w:rPr>
          <w:rFonts w:hint="eastAsia" w:ascii="方正仿宋_GB2312" w:hAnsi="方正仿宋_GB2312" w:eastAsia="方正仿宋_GB2312" w:cs="方正仿宋_GB2312"/>
          <w:b w:val="0"/>
          <w:bCs w:val="0"/>
          <w:sz w:val="32"/>
          <w:szCs w:val="32"/>
        </w:rPr>
        <w:t>法定代表人身份证明书（格式）/法定代表人授权委托书（格式）</w:t>
      </w:r>
      <w:r>
        <w:rPr>
          <w:rFonts w:hint="eastAsia" w:ascii="方正仿宋_GB2312" w:hAnsi="方正仿宋_GB2312" w:eastAsia="方正仿宋_GB2312" w:cs="方正仿宋_GB2312"/>
          <w:b w:val="0"/>
          <w:bCs w:val="0"/>
          <w:color w:val="FF0000"/>
          <w:sz w:val="32"/>
          <w:szCs w:val="32"/>
        </w:rPr>
        <w:t>（二选一）</w:t>
      </w:r>
    </w:p>
    <w:p w14:paraId="55A8983E">
      <w:pPr>
        <w:tabs>
          <w:tab w:val="left" w:pos="6300"/>
        </w:tabs>
        <w:snapToGrid w:val="0"/>
        <w:spacing w:line="360" w:lineRule="auto"/>
        <w:jc w:val="center"/>
        <w:rPr>
          <w:rFonts w:ascii="宋体" w:hAnsi="宋体" w:eastAsia="宋体" w:cs="宋体"/>
          <w:b/>
          <w:bCs/>
          <w:sz w:val="24"/>
          <w:szCs w:val="24"/>
        </w:rPr>
      </w:pPr>
    </w:p>
    <w:p w14:paraId="1B9DBC8C">
      <w:pPr>
        <w:tabs>
          <w:tab w:val="left" w:pos="6300"/>
        </w:tabs>
        <w:snapToGrid w:val="0"/>
        <w:spacing w:line="360" w:lineRule="auto"/>
        <w:jc w:val="center"/>
        <w:rPr>
          <w:rFonts w:ascii="黑体" w:hAnsi="黑体" w:eastAsia="黑体" w:cs="黑体"/>
          <w:b/>
          <w:bCs/>
          <w:sz w:val="32"/>
          <w:szCs w:val="32"/>
        </w:rPr>
      </w:pPr>
      <w:r>
        <w:rPr>
          <w:rFonts w:hint="eastAsia" w:ascii="黑体" w:hAnsi="黑体" w:eastAsia="黑体" w:cs="黑体"/>
          <w:b/>
          <w:bCs/>
          <w:sz w:val="32"/>
          <w:szCs w:val="32"/>
        </w:rPr>
        <w:t>法定代表人身份证明书</w:t>
      </w:r>
    </w:p>
    <w:p w14:paraId="4AE253D7">
      <w:pPr>
        <w:tabs>
          <w:tab w:val="left" w:pos="6300"/>
        </w:tabs>
        <w:snapToGrid w:val="0"/>
        <w:spacing w:line="360" w:lineRule="auto"/>
        <w:rPr>
          <w:rFonts w:ascii="仿宋_GB2312" w:hAnsi="仿宋_GB2312" w:eastAsia="仿宋_GB2312" w:cs="仿宋_GB2312"/>
          <w:sz w:val="32"/>
          <w:szCs w:val="32"/>
          <w:u w:val="single"/>
        </w:rPr>
      </w:pPr>
    </w:p>
    <w:p w14:paraId="407DA93D">
      <w:pPr>
        <w:tabs>
          <w:tab w:val="left" w:pos="6300"/>
        </w:tabs>
        <w:snapToGrid w:val="0"/>
        <w:spacing w:line="360" w:lineRule="auto"/>
        <w:rPr>
          <w:rFonts w:ascii="仿宋_GB2312" w:hAnsi="仿宋_GB2312" w:eastAsia="仿宋_GB2312" w:cs="仿宋_GB2312"/>
          <w:sz w:val="32"/>
          <w:szCs w:val="32"/>
        </w:rPr>
      </w:pPr>
      <w:r>
        <w:rPr>
          <w:rFonts w:hint="eastAsia" w:ascii="仿宋_GB2312" w:hAnsi="仿宋_GB2312" w:eastAsia="仿宋_GB2312" w:cs="仿宋_GB2312"/>
          <w:sz w:val="32"/>
          <w:szCs w:val="32"/>
        </w:rPr>
        <w:t>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（采购单位名称）：</w:t>
      </w:r>
    </w:p>
    <w:p w14:paraId="10710202">
      <w:pPr>
        <w:tabs>
          <w:tab w:val="left" w:pos="6300"/>
        </w:tabs>
        <w:snapToGrid w:val="0"/>
        <w:spacing w:line="360" w:lineRule="auto"/>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（法定代表人名称及身份证代码）是</w:t>
      </w:r>
      <w:r>
        <w:rPr>
          <w:rFonts w:hint="eastAsia" w:ascii="仿宋_GB2312" w:hAnsi="仿宋_GB2312" w:eastAsia="仿宋_GB2312" w:cs="仿宋_GB2312"/>
          <w:sz w:val="32"/>
          <w:szCs w:val="32"/>
          <w:u w:val="single"/>
        </w:rPr>
        <w:t>（供应商名称）</w:t>
      </w:r>
      <w:r>
        <w:rPr>
          <w:rFonts w:hint="eastAsia" w:ascii="仿宋_GB2312" w:hAnsi="仿宋_GB2312" w:eastAsia="仿宋_GB2312" w:cs="仿宋_GB2312"/>
          <w:sz w:val="32"/>
          <w:szCs w:val="32"/>
        </w:rPr>
        <w:t>的法定代表人，电话</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代表我单位全权办理上述项目的竞采报价、签约等具体工作，并签署全部有关文件、协议及合同。签字负全部责任。</w:t>
      </w:r>
    </w:p>
    <w:p w14:paraId="7798CB1F">
      <w:pPr>
        <w:tabs>
          <w:tab w:val="left" w:pos="6300"/>
        </w:tabs>
        <w:snapToGrid w:val="0"/>
        <w:spacing w:line="360" w:lineRule="auto"/>
        <w:ind w:firstLine="570"/>
        <w:rPr>
          <w:rFonts w:ascii="仿宋_GB2312" w:hAnsi="仿宋_GB2312" w:eastAsia="仿宋_GB2312" w:cs="仿宋_GB2312"/>
          <w:sz w:val="32"/>
          <w:szCs w:val="32"/>
        </w:rPr>
      </w:pPr>
    </w:p>
    <w:p w14:paraId="5F4ED588">
      <w:pPr>
        <w:tabs>
          <w:tab w:val="left" w:pos="6300"/>
        </w:tabs>
        <w:snapToGrid w:val="0"/>
        <w:spacing w:line="360" w:lineRule="auto"/>
        <w:ind w:firstLine="570"/>
        <w:jc w:val="center"/>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 xml:space="preserve">法定代表人（签字或盖章）：                          </w:t>
      </w:r>
    </w:p>
    <w:p w14:paraId="093B14BB">
      <w:pPr>
        <w:tabs>
          <w:tab w:val="left" w:pos="6300"/>
        </w:tabs>
        <w:snapToGrid w:val="0"/>
        <w:spacing w:line="360" w:lineRule="auto"/>
        <w:ind w:firstLine="570"/>
        <w:jc w:val="center"/>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供应商名称（公章）</w:t>
      </w:r>
    </w:p>
    <w:p w14:paraId="722AB1AE">
      <w:pPr>
        <w:tabs>
          <w:tab w:val="left" w:pos="6300"/>
        </w:tabs>
        <w:snapToGrid w:val="0"/>
        <w:spacing w:line="360" w:lineRule="auto"/>
        <w:ind w:right="360" w:firstLine="570"/>
        <w:jc w:val="center"/>
        <w:rPr>
          <w:rFonts w:ascii="Calibri" w:hAnsi="Calibri" w:eastAsia="宋体" w:cs="Times New Roman"/>
          <w:szCs w:val="21"/>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年   月   日</w:t>
      </w:r>
    </w:p>
    <w:p w14:paraId="589BA990">
      <w:pPr>
        <w:widowControl w:val="0"/>
        <w:autoSpaceDE w:val="0"/>
        <w:autoSpaceDN w:val="0"/>
        <w:adjustRightInd w:val="0"/>
        <w:spacing w:line="360" w:lineRule="auto"/>
        <w:rPr>
          <w:rFonts w:ascii="宋体" w:hAnsi="Times New Roman" w:eastAsia="宋体" w:cs="Times New Roman"/>
          <w:color w:val="000000"/>
          <w:sz w:val="24"/>
          <w:lang w:val="en-US" w:eastAsia="zh-CN" w:bidi="ar-SA"/>
        </w:rPr>
      </w:pPr>
    </w:p>
    <w:p w14:paraId="7F058015">
      <w:pPr>
        <w:tabs>
          <w:tab w:val="left" w:pos="6300"/>
        </w:tabs>
        <w:snapToGrid w:val="0"/>
        <w:spacing w:line="360" w:lineRule="auto"/>
        <w:ind w:firstLine="570"/>
        <w:rPr>
          <w:rFonts w:ascii="仿宋_GB2312" w:hAnsi="仿宋_GB2312" w:eastAsia="仿宋_GB2312" w:cs="仿宋_GB2312"/>
          <w:sz w:val="32"/>
          <w:szCs w:val="32"/>
        </w:rPr>
      </w:pPr>
      <w:r>
        <w:rPr>
          <w:rFonts w:hint="eastAsia" w:ascii="仿宋_GB2312" w:hAnsi="仿宋_GB2312" w:eastAsia="仿宋_GB2312" w:cs="仿宋_GB2312"/>
          <w:sz w:val="32"/>
          <w:szCs w:val="32"/>
        </w:rPr>
        <w:t>（附：法定代表人身份证正反面复印件）</w:t>
      </w:r>
    </w:p>
    <w:p w14:paraId="193B9499">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p>
    <w:p w14:paraId="7164FAE6">
      <w:pPr>
        <w:rPr>
          <w:rFonts w:ascii="宋体" w:hAnsi="宋体" w:eastAsia="宋体" w:cs="宋体"/>
          <w:sz w:val="24"/>
          <w:szCs w:val="24"/>
        </w:rPr>
      </w:pPr>
      <w:r>
        <w:rPr>
          <w:rFonts w:ascii="宋体" w:hAnsi="宋体" w:eastAsia="宋体" w:cs="宋体"/>
          <w:sz w:val="24"/>
          <w:szCs w:val="24"/>
        </w:rPr>
        <w:br w:type="page"/>
      </w:r>
    </w:p>
    <w:p w14:paraId="32451F09">
      <w:pPr>
        <w:widowControl w:val="0"/>
        <w:autoSpaceDE w:val="0"/>
        <w:autoSpaceDN w:val="0"/>
        <w:adjustRightInd w:val="0"/>
        <w:rPr>
          <w:rFonts w:ascii="宋体" w:hAnsi="Times New Roman" w:eastAsia="宋体" w:cs="Times New Roman"/>
          <w:color w:val="000000"/>
          <w:sz w:val="24"/>
          <w:lang w:val="en-US" w:eastAsia="zh-CN" w:bidi="ar-SA"/>
        </w:rPr>
      </w:pPr>
    </w:p>
    <w:p w14:paraId="78E12B3D">
      <w:pPr>
        <w:tabs>
          <w:tab w:val="left" w:pos="6300"/>
        </w:tabs>
        <w:snapToGrid w:val="0"/>
        <w:spacing w:line="360" w:lineRule="auto"/>
        <w:jc w:val="center"/>
        <w:rPr>
          <w:rFonts w:ascii="黑体" w:hAnsi="黑体" w:eastAsia="黑体" w:cs="黑体"/>
          <w:b/>
          <w:bCs/>
          <w:sz w:val="32"/>
          <w:szCs w:val="32"/>
        </w:rPr>
      </w:pPr>
      <w:r>
        <w:rPr>
          <w:rFonts w:hint="eastAsia" w:ascii="黑体" w:hAnsi="黑体" w:eastAsia="黑体" w:cs="黑体"/>
          <w:b/>
          <w:bCs/>
          <w:sz w:val="32"/>
          <w:szCs w:val="32"/>
        </w:rPr>
        <w:t>法定代表人授权委托书</w:t>
      </w:r>
    </w:p>
    <w:p w14:paraId="73BAD391">
      <w:pPr>
        <w:tabs>
          <w:tab w:val="left" w:pos="6300"/>
        </w:tabs>
        <w:snapToGrid w:val="0"/>
        <w:spacing w:line="360" w:lineRule="auto"/>
        <w:rPr>
          <w:rFonts w:ascii="仿宋_GB2312" w:hAnsi="仿宋_GB2312" w:eastAsia="仿宋_GB2312" w:cs="仿宋_GB2312"/>
          <w:sz w:val="32"/>
          <w:szCs w:val="32"/>
          <w:u w:val="single"/>
        </w:rPr>
      </w:pPr>
    </w:p>
    <w:p w14:paraId="3CEF71F5">
      <w:pPr>
        <w:tabs>
          <w:tab w:val="left" w:pos="6300"/>
        </w:tabs>
        <w:snapToGrid w:val="0"/>
        <w:spacing w:line="360" w:lineRule="auto"/>
        <w:rPr>
          <w:rFonts w:ascii="仿宋_GB2312" w:hAnsi="仿宋_GB2312" w:eastAsia="仿宋_GB2312" w:cs="仿宋_GB2312"/>
          <w:sz w:val="32"/>
          <w:szCs w:val="32"/>
        </w:rPr>
      </w:pPr>
      <w:r>
        <w:rPr>
          <w:rFonts w:hint="eastAsia" w:ascii="仿宋_GB2312" w:hAnsi="仿宋_GB2312" w:eastAsia="仿宋_GB2312" w:cs="仿宋_GB2312"/>
          <w:sz w:val="32"/>
          <w:szCs w:val="32"/>
        </w:rPr>
        <w:t>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（采购单位名称）：</w:t>
      </w:r>
    </w:p>
    <w:p w14:paraId="63FA03F0">
      <w:pPr>
        <w:tabs>
          <w:tab w:val="left" w:pos="6300"/>
        </w:tabs>
        <w:wordWrap w:val="0"/>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（法定代表人名称）是</w:t>
      </w:r>
      <w:r>
        <w:rPr>
          <w:rFonts w:hint="eastAsia" w:ascii="仿宋_GB2312" w:hAnsi="仿宋_GB2312" w:eastAsia="仿宋_GB2312" w:cs="仿宋_GB2312"/>
          <w:sz w:val="32"/>
          <w:szCs w:val="32"/>
          <w:u w:val="single"/>
        </w:rPr>
        <w:t>（供应商名称）</w:t>
      </w:r>
      <w:r>
        <w:rPr>
          <w:rFonts w:hint="eastAsia" w:ascii="仿宋_GB2312" w:hAnsi="仿宋_GB2312" w:eastAsia="仿宋_GB2312" w:cs="仿宋_GB2312"/>
          <w:sz w:val="32"/>
          <w:szCs w:val="32"/>
        </w:rPr>
        <w:t>的法定代表人，特授权</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（被授权人姓名及身份证代码）电话</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代表我单位全权办理上述项目的竞采报价、签约等具体工作，并签署全部有关文件、协议及合同。</w:t>
      </w:r>
    </w:p>
    <w:p w14:paraId="6257006F">
      <w:pPr>
        <w:tabs>
          <w:tab w:val="left" w:pos="6300"/>
        </w:tabs>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我单位对被授权人的签字负全部责任。</w:t>
      </w:r>
    </w:p>
    <w:p w14:paraId="7E4A1338">
      <w:pPr>
        <w:tabs>
          <w:tab w:val="left" w:pos="6300"/>
        </w:tabs>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在撤消授权的书面通知以前，本授权书一直有效。被授权人在授权书有效期内签署的所有文件不因授权的撤消而失效。</w:t>
      </w:r>
    </w:p>
    <w:p w14:paraId="491A87E7">
      <w:pPr>
        <w:tabs>
          <w:tab w:val="left" w:pos="6300"/>
        </w:tabs>
        <w:snapToGrid w:val="0"/>
        <w:spacing w:line="360" w:lineRule="auto"/>
        <w:ind w:firstLine="570"/>
        <w:rPr>
          <w:rFonts w:ascii="仿宋_GB2312" w:hAnsi="仿宋_GB2312" w:eastAsia="仿宋_GB2312" w:cs="仿宋_GB2312"/>
          <w:sz w:val="32"/>
          <w:szCs w:val="32"/>
        </w:rPr>
      </w:pPr>
    </w:p>
    <w:p w14:paraId="03968E33">
      <w:pPr>
        <w:tabs>
          <w:tab w:val="left" w:pos="6300"/>
        </w:tabs>
        <w:snapToGrid w:val="0"/>
        <w:spacing w:line="360" w:lineRule="auto"/>
        <w:ind w:firstLine="570"/>
        <w:rPr>
          <w:rFonts w:ascii="仿宋_GB2312" w:hAnsi="仿宋_GB2312" w:eastAsia="仿宋_GB2312" w:cs="仿宋_GB2312"/>
          <w:sz w:val="32"/>
          <w:szCs w:val="32"/>
        </w:rPr>
      </w:pPr>
      <w:r>
        <w:rPr>
          <w:rFonts w:hint="eastAsia" w:ascii="仿宋_GB2312" w:hAnsi="仿宋_GB2312" w:eastAsia="仿宋_GB2312" w:cs="仿宋_GB2312"/>
          <w:sz w:val="32"/>
          <w:szCs w:val="32"/>
        </w:rPr>
        <w:t>被授权人：                          法定代表人：</w:t>
      </w:r>
    </w:p>
    <w:p w14:paraId="63149078">
      <w:pPr>
        <w:tabs>
          <w:tab w:val="left" w:pos="6300"/>
        </w:tabs>
        <w:snapToGrid w:val="0"/>
        <w:spacing w:line="360" w:lineRule="auto"/>
        <w:ind w:firstLine="57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（签字或盖章）                     </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（签字或盖章）</w:t>
      </w:r>
    </w:p>
    <w:p w14:paraId="043757E8">
      <w:pPr>
        <w:tabs>
          <w:tab w:val="left" w:pos="6300"/>
        </w:tabs>
        <w:snapToGrid w:val="0"/>
        <w:spacing w:line="360" w:lineRule="auto"/>
        <w:ind w:firstLine="570"/>
        <w:rPr>
          <w:rFonts w:ascii="仿宋_GB2312" w:hAnsi="仿宋_GB2312" w:eastAsia="仿宋_GB2312" w:cs="仿宋_GB2312"/>
          <w:sz w:val="32"/>
          <w:szCs w:val="32"/>
        </w:rPr>
      </w:pPr>
    </w:p>
    <w:p w14:paraId="6EFBAA42">
      <w:pPr>
        <w:tabs>
          <w:tab w:val="left" w:pos="6300"/>
        </w:tabs>
        <w:snapToGrid w:val="0"/>
        <w:spacing w:line="360" w:lineRule="auto"/>
        <w:ind w:firstLine="570"/>
        <w:rPr>
          <w:rFonts w:ascii="仿宋_GB2312" w:hAnsi="仿宋_GB2312" w:eastAsia="仿宋_GB2312" w:cs="仿宋_GB2312"/>
          <w:sz w:val="32"/>
          <w:szCs w:val="32"/>
        </w:rPr>
      </w:pPr>
      <w:r>
        <w:rPr>
          <w:rFonts w:hint="eastAsia" w:ascii="仿宋_GB2312" w:hAnsi="仿宋_GB2312" w:eastAsia="仿宋_GB2312" w:cs="仿宋_GB2312"/>
          <w:sz w:val="32"/>
          <w:szCs w:val="32"/>
        </w:rPr>
        <w:t>（附：被授权人、法定代表人身份证正反面复印件）</w:t>
      </w:r>
    </w:p>
    <w:p w14:paraId="5D6A25AF">
      <w:pPr>
        <w:tabs>
          <w:tab w:val="left" w:pos="6300"/>
        </w:tabs>
        <w:snapToGrid w:val="0"/>
        <w:spacing w:line="360" w:lineRule="auto"/>
        <w:ind w:firstLine="570"/>
        <w:rPr>
          <w:rFonts w:ascii="仿宋_GB2312" w:hAnsi="仿宋_GB2312" w:eastAsia="仿宋_GB2312" w:cs="仿宋_GB2312"/>
          <w:sz w:val="32"/>
          <w:szCs w:val="32"/>
        </w:rPr>
      </w:pPr>
    </w:p>
    <w:p w14:paraId="29EAE505">
      <w:pPr>
        <w:tabs>
          <w:tab w:val="left" w:pos="6300"/>
        </w:tabs>
        <w:snapToGrid w:val="0"/>
        <w:spacing w:line="360" w:lineRule="auto"/>
        <w:ind w:right="480" w:firstLine="570"/>
        <w:jc w:val="right"/>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供应商名称（公章）</w:t>
      </w:r>
    </w:p>
    <w:p w14:paraId="6DC24B2B">
      <w:pPr>
        <w:tabs>
          <w:tab w:val="left" w:pos="6300"/>
        </w:tabs>
        <w:snapToGrid w:val="0"/>
        <w:spacing w:line="360" w:lineRule="auto"/>
        <w:ind w:right="480" w:firstLine="570"/>
        <w:jc w:val="center"/>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年   月   日</w:t>
      </w:r>
    </w:p>
    <w:p w14:paraId="242ECD3A">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r>
        <w:rPr>
          <w:rFonts w:ascii="Calibri" w:hAnsi="Calibri" w:eastAsia="宋体" w:cs="Times New Roman"/>
          <w:b/>
          <w:kern w:val="2"/>
          <w:sz w:val="32"/>
          <w:szCs w:val="21"/>
          <w:lang w:val="en-US" w:eastAsia="zh-CN" w:bidi="ar-SA"/>
        </w:rPr>
        <w:br w:type="page"/>
      </w:r>
    </w:p>
    <w:p w14:paraId="6DD6D5EA">
      <w:pPr>
        <w:tabs>
          <w:tab w:val="left" w:pos="6300"/>
        </w:tabs>
        <w:snapToGrid w:val="0"/>
        <w:spacing w:line="360" w:lineRule="auto"/>
        <w:ind w:firstLine="57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rPr>
        <w:t>基本资格条件承诺函</w:t>
      </w:r>
    </w:p>
    <w:p w14:paraId="54608400">
      <w:pPr>
        <w:widowControl w:val="0"/>
        <w:autoSpaceDE w:val="0"/>
        <w:autoSpaceDN w:val="0"/>
        <w:adjustRightInd w:val="0"/>
        <w:rPr>
          <w:rFonts w:ascii="宋体" w:hAnsi="Times New Roman" w:eastAsia="宋体" w:cs="Times New Roman"/>
          <w:color w:val="000000"/>
          <w:sz w:val="24"/>
          <w:lang w:val="en-US" w:eastAsia="zh-CN" w:bidi="ar-SA"/>
        </w:rPr>
      </w:pPr>
    </w:p>
    <w:p w14:paraId="36E313B8">
      <w:pPr>
        <w:snapToGrid w:val="0"/>
        <w:spacing w:line="360" w:lineRule="auto"/>
        <w:ind w:firstLine="570"/>
        <w:jc w:val="center"/>
        <w:rPr>
          <w:rFonts w:ascii="黑体" w:hAnsi="黑体" w:eastAsia="黑体" w:cs="黑体"/>
          <w:b/>
          <w:sz w:val="32"/>
          <w:szCs w:val="32"/>
        </w:rPr>
      </w:pPr>
      <w:r>
        <w:rPr>
          <w:rFonts w:hint="eastAsia" w:ascii="黑体" w:hAnsi="黑体" w:eastAsia="黑体" w:cs="黑体"/>
          <w:b/>
          <w:sz w:val="32"/>
          <w:szCs w:val="32"/>
        </w:rPr>
        <w:t>基本资格条件承诺函</w:t>
      </w:r>
    </w:p>
    <w:p w14:paraId="01881EDE">
      <w:pPr>
        <w:snapToGrid w:val="0"/>
        <w:spacing w:line="360" w:lineRule="auto"/>
        <w:rPr>
          <w:rFonts w:ascii="方正仿宋_GBK" w:hAnsi="宋体" w:eastAsia="方正仿宋_GBK" w:cs="方正仿宋_GBK"/>
          <w:b/>
          <w:sz w:val="24"/>
          <w:szCs w:val="24"/>
        </w:rPr>
      </w:pPr>
      <w:r>
        <w:rPr>
          <w:rFonts w:ascii="方正仿宋_GBK" w:hAnsi="宋体" w:eastAsia="方正仿宋_GBK" w:cs="方正仿宋_GBK"/>
          <w:b/>
          <w:sz w:val="24"/>
          <w:szCs w:val="24"/>
        </w:rPr>
        <w:t xml:space="preserve"> </w:t>
      </w:r>
    </w:p>
    <w:p w14:paraId="31BCC80B">
      <w:pPr>
        <w:snapToGrid w:val="0"/>
        <w:spacing w:line="360" w:lineRule="auto"/>
        <w:rPr>
          <w:rFonts w:ascii="仿宋_GB2312" w:hAnsi="仿宋_GB2312" w:eastAsia="仿宋_GB2312" w:cs="仿宋_GB2312"/>
          <w:sz w:val="32"/>
          <w:szCs w:val="32"/>
        </w:rPr>
      </w:pPr>
      <w:r>
        <w:rPr>
          <w:rFonts w:hint="eastAsia" w:ascii="仿宋_GB2312" w:hAnsi="仿宋_GB2312" w:eastAsia="仿宋_GB2312" w:cs="仿宋_GB2312"/>
          <w:sz w:val="32"/>
          <w:szCs w:val="32"/>
        </w:rPr>
        <w:t>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（采购单位名称）：</w:t>
      </w:r>
    </w:p>
    <w:p w14:paraId="52529CCC">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（供应商名称）郑重承诺：</w:t>
      </w:r>
    </w:p>
    <w:p w14:paraId="35B2DF54">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1.我方具有良好的商业信誉和健全的财务会计制度，具有履行合同所必需的设备和专业技术能力，具有依法缴纳税收和社会保障金的良好记录，参加本项目采购活动前三年内无重大违法活动记录。</w:t>
      </w:r>
    </w:p>
    <w:p w14:paraId="0C4E809A">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2.我方未列入在信用中国网站（www.creditchina.gov.cn）“失信被执行人”、“重大税收违法案件当事人名单”中，也未列入中国政府采购网（www.ccgp.gov.cn）“政府采购严重违法失信行为记录名单”中。</w:t>
      </w:r>
    </w:p>
    <w:p w14:paraId="0B3E8B31">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3.我方在项目评审环节结束后，随时接受采购人检查验证，配合提供相关证明材料，证明符合《中华人民共和国政府采购法》第二十二条规定的供应商基本资格条件。</w:t>
      </w:r>
    </w:p>
    <w:p w14:paraId="09BB02B0">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我方对以上承诺负全部法律责任。</w:t>
      </w:r>
    </w:p>
    <w:p w14:paraId="2018609D">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特此承诺。</w:t>
      </w:r>
    </w:p>
    <w:p w14:paraId="1446931C">
      <w:pPr>
        <w:widowControl w:val="0"/>
        <w:autoSpaceDE w:val="0"/>
        <w:autoSpaceDN w:val="0"/>
        <w:adjustRightInd w:val="0"/>
        <w:rPr>
          <w:rFonts w:ascii="宋体" w:hAnsi="Times New Roman" w:eastAsia="宋体" w:cs="Times New Roman"/>
          <w:color w:val="000000"/>
          <w:sz w:val="24"/>
          <w:lang w:val="en-US" w:eastAsia="zh-CN" w:bidi="ar-SA"/>
        </w:rPr>
      </w:pPr>
    </w:p>
    <w:p w14:paraId="2895AA3E">
      <w:pPr>
        <w:tabs>
          <w:tab w:val="left" w:pos="6300"/>
        </w:tabs>
        <w:snapToGrid w:val="0"/>
        <w:spacing w:line="360" w:lineRule="auto"/>
        <w:ind w:right="480" w:firstLine="570"/>
        <w:jc w:val="right"/>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供应商名称（公章）</w:t>
      </w:r>
    </w:p>
    <w:p w14:paraId="5C277C0D">
      <w:pPr>
        <w:tabs>
          <w:tab w:val="left" w:pos="6300"/>
        </w:tabs>
        <w:snapToGrid w:val="0"/>
        <w:spacing w:line="360" w:lineRule="auto"/>
        <w:ind w:right="480" w:firstLine="570"/>
        <w:jc w:val="center"/>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年   月   日</w:t>
      </w:r>
    </w:p>
    <w:p w14:paraId="0F01D2FD">
      <w:pPr>
        <w:spacing w:line="360" w:lineRule="auto"/>
        <w:jc w:val="right"/>
        <w:rPr>
          <w:rFonts w:ascii="仿宋_GB2312" w:hAnsi="仿宋_GB2312" w:eastAsia="仿宋_GB2312" w:cs="仿宋_GB2312"/>
          <w:sz w:val="32"/>
          <w:szCs w:val="32"/>
        </w:rPr>
      </w:pPr>
      <w:r>
        <w:rPr>
          <w:rFonts w:hint="eastAsia" w:ascii="仿宋_GB2312" w:hAnsi="仿宋_GB2312" w:eastAsia="仿宋_GB2312" w:cs="仿宋_GB2312"/>
          <w:sz w:val="32"/>
          <w:szCs w:val="32"/>
        </w:rPr>
        <w:br w:type="page"/>
      </w:r>
    </w:p>
    <w:p w14:paraId="7EA77C74">
      <w:pPr>
        <w:tabs>
          <w:tab w:val="left" w:pos="6300"/>
        </w:tabs>
        <w:snapToGrid w:val="0"/>
        <w:spacing w:line="360" w:lineRule="auto"/>
        <w:ind w:firstLine="643" w:firstLineChars="200"/>
        <w:rPr>
          <w:rFonts w:hint="default" w:ascii="黑体" w:hAnsi="黑体" w:eastAsia="黑体" w:cs="黑体"/>
          <w:b/>
          <w:sz w:val="32"/>
          <w:szCs w:val="32"/>
          <w:lang w:val="en-US" w:eastAsia="zh-CN"/>
        </w:rPr>
      </w:pPr>
      <w:r>
        <w:rPr>
          <w:rFonts w:hint="eastAsia" w:ascii="黑体" w:hAnsi="黑体" w:eastAsia="黑体" w:cs="黑体"/>
          <w:b/>
          <w:sz w:val="32"/>
          <w:szCs w:val="32"/>
          <w:lang w:val="en-US" w:eastAsia="zh-CN"/>
        </w:rPr>
        <w:t>五</w:t>
      </w:r>
      <w:r>
        <w:rPr>
          <w:rFonts w:hint="eastAsia" w:ascii="黑体" w:hAnsi="黑体" w:eastAsia="黑体" w:cs="黑体"/>
          <w:b/>
          <w:sz w:val="32"/>
          <w:szCs w:val="32"/>
        </w:rPr>
        <w:t>、</w:t>
      </w:r>
      <w:r>
        <w:rPr>
          <w:rFonts w:hint="eastAsia" w:ascii="黑体" w:hAnsi="黑体" w:eastAsia="黑体" w:cs="黑体"/>
          <w:b/>
          <w:sz w:val="32"/>
          <w:szCs w:val="32"/>
          <w:lang w:val="en-US" w:eastAsia="zh-CN"/>
        </w:rPr>
        <w:t>其他材料</w:t>
      </w:r>
    </w:p>
    <w:p w14:paraId="7D959DFC">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p>
    <w:p w14:paraId="1083D61C">
      <w:pPr>
        <w:tabs>
          <w:tab w:val="left" w:pos="6300"/>
        </w:tabs>
        <w:snapToGrid w:val="0"/>
        <w:spacing w:line="360" w:lineRule="auto"/>
        <w:ind w:right="480" w:firstLine="570"/>
        <w:jc w:val="right"/>
        <w:rPr>
          <w:rFonts w:ascii="宋体" w:hAnsi="宋体" w:eastAsia="宋体" w:cs="宋体"/>
          <w:sz w:val="24"/>
          <w:szCs w:val="24"/>
        </w:rPr>
      </w:pPr>
    </w:p>
    <w:p w14:paraId="1157FDD6">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p>
    <w:p w14:paraId="2398B98C">
      <w:pPr>
        <w:spacing w:line="360" w:lineRule="auto"/>
        <w:rPr>
          <w:rFonts w:ascii="Calibri" w:hAnsi="Calibri" w:eastAsia="宋体" w:cs="Times New Roman"/>
          <w:szCs w:val="21"/>
        </w:rPr>
      </w:pPr>
    </w:p>
    <w:p w14:paraId="776602D0">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p>
    <w:p w14:paraId="196741B5">
      <w:pPr>
        <w:spacing w:line="360" w:lineRule="auto"/>
        <w:rPr>
          <w:rFonts w:ascii="Calibri" w:hAnsi="Calibri" w:eastAsia="宋体" w:cs="Times New Roman"/>
          <w:szCs w:val="21"/>
        </w:rPr>
      </w:pPr>
    </w:p>
    <w:p w14:paraId="7A7BBAE2">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p>
    <w:p w14:paraId="57B9B085">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p>
    <w:p w14:paraId="67816CBB">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p>
    <w:p w14:paraId="79E55ACA">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p>
    <w:p w14:paraId="50A64A6F">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p>
    <w:p w14:paraId="0287EE69">
      <w:pPr>
        <w:spacing w:line="360" w:lineRule="auto"/>
        <w:rPr>
          <w:rFonts w:ascii="Calibri" w:hAnsi="Calibri" w:eastAsia="宋体" w:cs="Times New Roman"/>
          <w:szCs w:val="21"/>
        </w:rPr>
      </w:pPr>
    </w:p>
    <w:p w14:paraId="50305632">
      <w:pPr>
        <w:tabs>
          <w:tab w:val="left" w:pos="6300"/>
        </w:tabs>
        <w:snapToGrid w:val="0"/>
        <w:spacing w:line="360" w:lineRule="auto"/>
        <w:ind w:right="480"/>
        <w:jc w:val="center"/>
      </w:pPr>
      <w:r>
        <w:rPr>
          <w:rFonts w:hint="eastAsia" w:ascii="仿宋_GB2312" w:hAnsi="仿宋_GB2312" w:eastAsia="仿宋_GB2312" w:cs="仿宋_GB2312"/>
          <w:sz w:val="32"/>
          <w:szCs w:val="32"/>
        </w:rPr>
        <w:t>（结束）</w:t>
      </w:r>
    </w:p>
    <w:p w14:paraId="0EAB7ECE">
      <w:pPr>
        <w:keepNext/>
        <w:keepLines/>
        <w:widowControl w:val="0"/>
        <w:spacing w:before="260" w:after="260" w:line="360" w:lineRule="auto"/>
        <w:jc w:val="both"/>
        <w:outlineLvl w:val="2"/>
        <w:rPr>
          <w:rFonts w:ascii="Calibri" w:hAnsi="Calibri" w:eastAsia="宋体" w:cs="Times New Roman"/>
          <w:b/>
          <w:kern w:val="2"/>
          <w:sz w:val="32"/>
          <w:szCs w:val="21"/>
          <w:lang w:val="en-US" w:eastAsia="zh-CN" w:bidi="ar-SA"/>
        </w:rPr>
      </w:pPr>
    </w:p>
    <w:p w14:paraId="53DA84D9">
      <w:pPr>
        <w:spacing w:line="360" w:lineRule="auto"/>
        <w:rPr>
          <w:rFonts w:ascii="Calibri" w:hAnsi="Calibri" w:eastAsia="宋体" w:cs="Times New Roman"/>
          <w:szCs w:val="21"/>
        </w:rPr>
      </w:pPr>
    </w:p>
    <w:p w14:paraId="751EBD4F">
      <w:pPr>
        <w:tabs>
          <w:tab w:val="left" w:pos="6300"/>
        </w:tabs>
        <w:snapToGrid w:val="0"/>
        <w:spacing w:line="360" w:lineRule="auto"/>
        <w:ind w:right="-1"/>
        <w:rPr>
          <w:rFonts w:ascii="宋体" w:hAnsi="宋体" w:eastAsia="宋体" w:cs="宋体"/>
          <w:sz w:val="24"/>
          <w:szCs w:val="24"/>
        </w:rPr>
      </w:pPr>
      <w:r>
        <w:rPr>
          <w:rFonts w:ascii="宋体" w:hAnsi="宋体" w:eastAsia="宋体" w:cs="宋体"/>
          <w:sz w:val="24"/>
          <w:szCs w:val="24"/>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D3C8F147-FCB8-452A-AA5F-CC92C840E004}"/>
  </w:font>
  <w:font w:name="黑体">
    <w:panose1 w:val="02010609060101010101"/>
    <w:charset w:val="86"/>
    <w:family w:val="auto"/>
    <w:pitch w:val="default"/>
    <w:sig w:usb0="800002BF" w:usb1="38CF7CFA" w:usb2="00000016" w:usb3="00000000" w:csb0="00040001" w:csb1="00000000"/>
    <w:embedRegular r:id="rId2" w:fontKey="{CFEFE36F-7B04-4F35-940C-1A1DFD80017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4BCFF6CC-F3D2-4666-A778-B1DAB614C5D9}"/>
  </w:font>
  <w:font w:name="方正仿宋_GBK">
    <w:panose1 w:val="02000000000000000000"/>
    <w:charset w:val="86"/>
    <w:family w:val="auto"/>
    <w:pitch w:val="default"/>
    <w:sig w:usb0="00000001" w:usb1="080E0000" w:usb2="00000000" w:usb3="00000000" w:csb0="00040000" w:csb1="00000000"/>
    <w:embedRegular r:id="rId4" w:fontKey="{F25B963C-35D5-4C89-8615-0B1AEF9A1C81}"/>
  </w:font>
  <w:font w:name="方正小标宋_GBK">
    <w:panose1 w:val="02000000000000000000"/>
    <w:charset w:val="86"/>
    <w:family w:val="script"/>
    <w:pitch w:val="default"/>
    <w:sig w:usb0="A00002BF" w:usb1="38CF7CFA" w:usb2="00082016" w:usb3="00000000" w:csb0="00040001" w:csb1="00000000"/>
    <w:embedRegular r:id="rId5" w:fontKey="{6D99F240-FEA2-47B5-800A-76176F5E15C2}"/>
  </w:font>
  <w:font w:name="楷体">
    <w:panose1 w:val="02010609060101010101"/>
    <w:charset w:val="86"/>
    <w:family w:val="auto"/>
    <w:pitch w:val="default"/>
    <w:sig w:usb0="800002BF" w:usb1="38CF7CFA" w:usb2="00000016" w:usb3="00000000" w:csb0="00040001" w:csb1="00000000"/>
    <w:embedRegular r:id="rId6" w:fontKey="{73C5E314-B1BB-496C-936E-4A02E95ACDF9}"/>
  </w:font>
  <w:font w:name="方正楷体_GBK">
    <w:panose1 w:val="02000000000000000000"/>
    <w:charset w:val="86"/>
    <w:family w:val="auto"/>
    <w:pitch w:val="default"/>
    <w:sig w:usb0="800002BF" w:usb1="38CF7CFA" w:usb2="00000016" w:usb3="00000000" w:csb0="00040000" w:csb1="00000000"/>
  </w:font>
  <w:font w:name="仿宋">
    <w:panose1 w:val="02010609060101010101"/>
    <w:charset w:val="86"/>
    <w:family w:val="auto"/>
    <w:pitch w:val="default"/>
    <w:sig w:usb0="800002BF" w:usb1="38CF7CFA" w:usb2="00000016" w:usb3="00000000" w:csb0="00040001" w:csb1="00000000"/>
    <w:embedRegular r:id="rId7" w:fontKey="{6D1AC656-2AC4-4F30-B1CA-83D00163332C}"/>
  </w:font>
  <w:font w:name="仿宋_GB2312">
    <w:altName w:val="仿宋"/>
    <w:panose1 w:val="020B0604020002020204"/>
    <w:charset w:val="00"/>
    <w:family w:val="auto"/>
    <w:pitch w:val="default"/>
    <w:sig w:usb0="00000000" w:usb1="00000000" w:usb2="00000000" w:usb3="00000000" w:csb0="00000000" w:csb1="00000000"/>
    <w:embedRegular r:id="rId8" w:fontKey="{E214325F-8F5B-40E2-AB0F-C82AD887B1D8}"/>
  </w:font>
  <w:font w:name="方正仿宋_GB2312">
    <w:panose1 w:val="02000000000000000000"/>
    <w:charset w:val="86"/>
    <w:family w:val="auto"/>
    <w:pitch w:val="default"/>
    <w:sig w:usb0="A00002BF" w:usb1="184F6CFA" w:usb2="00000012" w:usb3="00000000" w:csb0="00040001" w:csb1="00000000"/>
    <w:embedRegular r:id="rId9" w:fontKey="{31B66B72-8D31-4EB6-A130-AC71A4C455D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D6329">
    <w:pPr>
      <w:widowControl w:val="0"/>
      <w:tabs>
        <w:tab w:val="center" w:pos="4153"/>
        <w:tab w:val="right" w:pos="8306"/>
      </w:tabs>
      <w:snapToGrid w:val="0"/>
      <w:jc w:val="left"/>
      <w:rPr>
        <w:rFonts w:ascii="Calibri" w:hAnsi="Calibri" w:eastAsia="宋体" w:cs="Times New Roman"/>
        <w:kern w:val="2"/>
        <w:sz w:val="18"/>
        <w:szCs w:val="21"/>
        <w:lang w:val="en-US" w:eastAsia="zh-CN" w:bidi="ar-SA"/>
      </w:rPr>
    </w:pPr>
    <w:r>
      <w:rPr>
        <w:rFonts w:ascii="Calibri" w:hAnsi="Calibri" w:eastAsia="宋体" w:cs="Times New Roman"/>
        <w:kern w:val="2"/>
        <w:sz w:val="18"/>
        <w:szCs w:val="21"/>
        <w:lang w:val="en-US" w:eastAsia="zh-CN" w:bidi="ar-SA"/>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96850" cy="137795"/>
              <wp:effectExtent l="0" t="0" r="0" b="0"/>
              <wp:wrapNone/>
              <wp:docPr id="4097" name="文本框 6"/>
              <wp:cNvGraphicFramePr/>
              <a:graphic xmlns:a="http://schemas.openxmlformats.org/drawingml/2006/main">
                <a:graphicData uri="http://schemas.microsoft.com/office/word/2010/wordprocessingShape">
                  <wps:wsp>
                    <wps:cNvSpPr/>
                    <wps:spPr>
                      <a:xfrm>
                        <a:off x="0" y="0"/>
                        <a:ext cx="196850" cy="137795"/>
                      </a:xfrm>
                      <a:prstGeom prst="rect">
                        <a:avLst/>
                      </a:prstGeom>
                      <a:ln>
                        <a:noFill/>
                      </a:ln>
                    </wps:spPr>
                    <wps:txbx>
                      <w:txbxContent>
                        <w:p w14:paraId="147CD849">
                          <w:pPr>
                            <w:widowControl w:val="0"/>
                            <w:tabs>
                              <w:tab w:val="center" w:pos="4153"/>
                              <w:tab w:val="right" w:pos="8306"/>
                            </w:tabs>
                            <w:snapToGrid w:val="0"/>
                            <w:jc w:val="left"/>
                            <w:rPr>
                              <w:rFonts w:ascii="Calibri" w:hAnsi="Calibri" w:eastAsia="宋体" w:cs="Times New Roman"/>
                              <w:kern w:val="2"/>
                              <w:sz w:val="18"/>
                              <w:szCs w:val="21"/>
                              <w:lang w:val="en-US" w:eastAsia="zh-CN" w:bidi="ar-SA"/>
                            </w:rPr>
                          </w:pPr>
                          <w:r>
                            <w:rPr>
                              <w:rFonts w:hint="eastAsia" w:ascii="Calibri" w:hAnsi="Calibri" w:eastAsia="宋体" w:cs="Times New Roman"/>
                              <w:kern w:val="2"/>
                              <w:sz w:val="18"/>
                              <w:szCs w:val="21"/>
                              <w:lang w:val="en-US" w:eastAsia="zh-CN" w:bidi="ar-SA"/>
                            </w:rPr>
                            <w:fldChar w:fldCharType="begin"/>
                          </w:r>
                          <w:r>
                            <w:rPr>
                              <w:rFonts w:hint="eastAsia" w:ascii="Calibri" w:hAnsi="Calibri" w:eastAsia="宋体" w:cs="Times New Roman"/>
                              <w:kern w:val="2"/>
                              <w:sz w:val="18"/>
                              <w:szCs w:val="21"/>
                              <w:lang w:val="en-US" w:eastAsia="zh-CN" w:bidi="ar-SA"/>
                            </w:rPr>
                            <w:instrText xml:space="preserve"> PAGE  \* MERGEFORMAT </w:instrText>
                          </w:r>
                          <w:r>
                            <w:rPr>
                              <w:rFonts w:hint="eastAsia" w:ascii="Calibri" w:hAnsi="Calibri" w:eastAsia="宋体" w:cs="Times New Roman"/>
                              <w:kern w:val="2"/>
                              <w:sz w:val="18"/>
                              <w:szCs w:val="21"/>
                              <w:lang w:val="en-US" w:eastAsia="zh-CN" w:bidi="ar-SA"/>
                            </w:rPr>
                            <w:fldChar w:fldCharType="separate"/>
                          </w:r>
                          <w:r>
                            <w:rPr>
                              <w:rFonts w:ascii="Calibri" w:hAnsi="Calibri" w:eastAsia="宋体" w:cs="Times New Roman"/>
                              <w:kern w:val="2"/>
                              <w:sz w:val="18"/>
                              <w:szCs w:val="21"/>
                              <w:lang w:val="en-US" w:eastAsia="zh-CN" w:bidi="ar-SA"/>
                            </w:rPr>
                            <w:t>- 3 -</w:t>
                          </w:r>
                          <w:r>
                            <w:rPr>
                              <w:rFonts w:hint="eastAsia" w:ascii="Calibri" w:hAnsi="Calibri" w:eastAsia="宋体" w:cs="Times New Roman"/>
                              <w:kern w:val="2"/>
                              <w:sz w:val="18"/>
                              <w:szCs w:val="21"/>
                              <w:lang w:val="en-US" w:eastAsia="zh-CN" w:bidi="ar-SA"/>
                            </w:rPr>
                            <w:fldChar w:fldCharType="end"/>
                          </w:r>
                        </w:p>
                      </w:txbxContent>
                    </wps:txbx>
                    <wps:bodyPr vert="horz" wrap="none" lIns="0" tIns="0" rIns="0" bIns="0" anchor="t">
                      <a:spAutoFit/>
                    </wps:bodyPr>
                  </wps:wsp>
                </a:graphicData>
              </a:graphic>
            </wp:anchor>
          </w:drawing>
        </mc:Choice>
        <mc:Fallback>
          <w:pict>
            <v:rect id="文本框 6" o:spid="_x0000_s1026" o:spt="1" style="position:absolute;left:0pt;margin-top:0pt;height:10.85pt;width:15.5pt;mso-position-horizontal:center;mso-position-horizontal-relative:margin;mso-wrap-style:none;z-index:251659264;mso-width-relative:page;mso-height-relative:page;" filled="f" stroked="f" coordsize="21600,21600" o:gfxdata="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jjgsA9EAAAADAQAADwAAAAAAAAABACAAAAAiAAAAZHJzL2Rv&#10;d25yZXYueG1sUEsBAhQAFAAAAAgAh07iQGpRjSrPAQAAkAMAAA4AAAAAAAAAAQAgAAAAIAEAAGRy&#10;cy9lMm9Eb2MueG1sUEsFBgAAAAAGAAYAWQEAAGEFAAAAAA==&#10;">
              <v:fill on="f" focussize="0,0"/>
              <v:stroke on="f"/>
              <v:imagedata o:title=""/>
              <o:lock v:ext="edit" aspectratio="f"/>
              <v:textbox inset="0mm,0mm,0mm,0mm" style="mso-fit-shape-to-text:t;">
                <w:txbxContent>
                  <w:p w14:paraId="147CD849">
                    <w:pPr>
                      <w:widowControl w:val="0"/>
                      <w:tabs>
                        <w:tab w:val="center" w:pos="4153"/>
                        <w:tab w:val="right" w:pos="8306"/>
                      </w:tabs>
                      <w:snapToGrid w:val="0"/>
                      <w:jc w:val="left"/>
                      <w:rPr>
                        <w:rFonts w:ascii="Calibri" w:hAnsi="Calibri" w:eastAsia="宋体" w:cs="Times New Roman"/>
                        <w:kern w:val="2"/>
                        <w:sz w:val="18"/>
                        <w:szCs w:val="21"/>
                        <w:lang w:val="en-US" w:eastAsia="zh-CN" w:bidi="ar-SA"/>
                      </w:rPr>
                    </w:pPr>
                    <w:r>
                      <w:rPr>
                        <w:rFonts w:hint="eastAsia" w:ascii="Calibri" w:hAnsi="Calibri" w:eastAsia="宋体" w:cs="Times New Roman"/>
                        <w:kern w:val="2"/>
                        <w:sz w:val="18"/>
                        <w:szCs w:val="21"/>
                        <w:lang w:val="en-US" w:eastAsia="zh-CN" w:bidi="ar-SA"/>
                      </w:rPr>
                      <w:fldChar w:fldCharType="begin"/>
                    </w:r>
                    <w:r>
                      <w:rPr>
                        <w:rFonts w:hint="eastAsia" w:ascii="Calibri" w:hAnsi="Calibri" w:eastAsia="宋体" w:cs="Times New Roman"/>
                        <w:kern w:val="2"/>
                        <w:sz w:val="18"/>
                        <w:szCs w:val="21"/>
                        <w:lang w:val="en-US" w:eastAsia="zh-CN" w:bidi="ar-SA"/>
                      </w:rPr>
                      <w:instrText xml:space="preserve"> PAGE  \* MERGEFORMAT </w:instrText>
                    </w:r>
                    <w:r>
                      <w:rPr>
                        <w:rFonts w:hint="eastAsia" w:ascii="Calibri" w:hAnsi="Calibri" w:eastAsia="宋体" w:cs="Times New Roman"/>
                        <w:kern w:val="2"/>
                        <w:sz w:val="18"/>
                        <w:szCs w:val="21"/>
                        <w:lang w:val="en-US" w:eastAsia="zh-CN" w:bidi="ar-SA"/>
                      </w:rPr>
                      <w:fldChar w:fldCharType="separate"/>
                    </w:r>
                    <w:r>
                      <w:rPr>
                        <w:rFonts w:ascii="Calibri" w:hAnsi="Calibri" w:eastAsia="宋体" w:cs="Times New Roman"/>
                        <w:kern w:val="2"/>
                        <w:sz w:val="18"/>
                        <w:szCs w:val="21"/>
                        <w:lang w:val="en-US" w:eastAsia="zh-CN" w:bidi="ar-SA"/>
                      </w:rPr>
                      <w:t>- 3 -</w:t>
                    </w:r>
                    <w:r>
                      <w:rPr>
                        <w:rFonts w:hint="eastAsia" w:ascii="Calibri" w:hAnsi="Calibri" w:eastAsia="宋体" w:cs="Times New Roman"/>
                        <w:kern w:val="2"/>
                        <w:sz w:val="18"/>
                        <w:szCs w:val="21"/>
                        <w:lang w:val="en-US" w:eastAsia="zh-CN" w:bidi="ar-SA"/>
                      </w:rP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E05275"/>
    <w:multiLevelType w:val="singleLevel"/>
    <w:tmpl w:val="BDE05275"/>
    <w:lvl w:ilvl="0" w:tentative="0">
      <w:start w:val="2"/>
      <w:numFmt w:val="chineseCounting"/>
      <w:suff w:val="nothing"/>
      <w:lvlText w:val="（%1）"/>
      <w:lvlJc w:val="left"/>
      <w:rPr>
        <w:rFonts w:hint="eastAsia"/>
      </w:rPr>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67DD126"/>
    <w:multiLevelType w:val="singleLevel"/>
    <w:tmpl w:val="067DD126"/>
    <w:lvl w:ilvl="0" w:tentative="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AzNTdjYTMxNzEwMjZlZDljYmNjYzMzYWZhZjFkMTQifQ=="/>
  </w:docVars>
  <w:rsids>
    <w:rsidRoot w:val="00000000"/>
    <w:rsid w:val="01440491"/>
    <w:rsid w:val="01D2574E"/>
    <w:rsid w:val="07401897"/>
    <w:rsid w:val="08A96637"/>
    <w:rsid w:val="09C3197A"/>
    <w:rsid w:val="0C1D1901"/>
    <w:rsid w:val="0DB95C4F"/>
    <w:rsid w:val="12BE79B8"/>
    <w:rsid w:val="155E6652"/>
    <w:rsid w:val="17F55B7C"/>
    <w:rsid w:val="21823A71"/>
    <w:rsid w:val="280101EF"/>
    <w:rsid w:val="2D60735C"/>
    <w:rsid w:val="2DA46725"/>
    <w:rsid w:val="2E1F1D87"/>
    <w:rsid w:val="379E4A4D"/>
    <w:rsid w:val="392F2D8F"/>
    <w:rsid w:val="3CE219BA"/>
    <w:rsid w:val="3E333D2C"/>
    <w:rsid w:val="3F7E400B"/>
    <w:rsid w:val="44A57770"/>
    <w:rsid w:val="4DC74AA8"/>
    <w:rsid w:val="51344C16"/>
    <w:rsid w:val="52AB0240"/>
    <w:rsid w:val="554A0E6A"/>
    <w:rsid w:val="5CD8581B"/>
    <w:rsid w:val="5F8953E4"/>
    <w:rsid w:val="63FD7D6C"/>
    <w:rsid w:val="64520EFB"/>
    <w:rsid w:val="679D92A8"/>
    <w:rsid w:val="6AB41472"/>
    <w:rsid w:val="6AD8211B"/>
    <w:rsid w:val="6B4A616F"/>
    <w:rsid w:val="7416389E"/>
    <w:rsid w:val="74167D41"/>
    <w:rsid w:val="77077A78"/>
    <w:rsid w:val="77AB3D63"/>
    <w:rsid w:val="7B4B2CFB"/>
    <w:rsid w:val="7CAE5955"/>
    <w:rsid w:val="B1BFBD86"/>
    <w:rsid w:val="DFCEBD13"/>
    <w:rsid w:val="F79F05E4"/>
    <w:rsid w:val="FB7FA35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paragraph" w:styleId="2">
    <w:name w:val="heading 2"/>
    <w:basedOn w:val="1"/>
    <w:next w:val="1"/>
    <w:qFormat/>
    <w:uiPriority w:val="0"/>
    <w:pPr>
      <w:keepNext/>
      <w:keepLines/>
      <w:adjustRightInd w:val="0"/>
      <w:snapToGrid w:val="0"/>
      <w:spacing w:line="360" w:lineRule="auto"/>
      <w:jc w:val="left"/>
      <w:outlineLvl w:val="1"/>
    </w:pPr>
    <w:rPr>
      <w:rFonts w:ascii="宋体" w:hAnsi="宋体"/>
    </w:rPr>
  </w:style>
  <w:style w:type="character" w:default="1" w:styleId="7">
    <w:name w:val="Default Paragraph Font"/>
    <w:qFormat/>
    <w:uiPriority w:val="0"/>
  </w:style>
  <w:style w:type="table" w:default="1" w:styleId="5">
    <w:name w:val="Normal Table"/>
    <w:qFormat/>
    <w:uiPriority w:val="0"/>
    <w:tblPr>
      <w:tblCellMar>
        <w:top w:w="0" w:type="dxa"/>
        <w:left w:w="108" w:type="dxa"/>
        <w:bottom w:w="0" w:type="dxa"/>
        <w:right w:w="108" w:type="dxa"/>
      </w:tblCellMar>
    </w:tbl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font31"/>
    <w:basedOn w:val="7"/>
    <w:qFormat/>
    <w:uiPriority w:val="0"/>
    <w:rPr>
      <w:rFonts w:hint="eastAsia" w:ascii="宋体" w:hAnsi="宋体" w:eastAsia="宋体" w:cs="宋体"/>
      <w:color w:val="000000"/>
      <w:sz w:val="24"/>
      <w:szCs w:val="24"/>
      <w:u w:val="none"/>
    </w:rPr>
  </w:style>
  <w:style w:type="character" w:customStyle="1" w:styleId="9">
    <w:name w:val="font61"/>
    <w:basedOn w:val="7"/>
    <w:qFormat/>
    <w:uiPriority w:val="0"/>
    <w:rPr>
      <w:rFonts w:ascii="Arial" w:hAnsi="Arial" w:cs="Arial"/>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19</Pages>
  <Words>357</Words>
  <Characters>374</Characters>
  <Paragraphs>311</Paragraphs>
  <TotalTime>13</TotalTime>
  <ScaleCrop>false</ScaleCrop>
  <LinksUpToDate>false</LinksUpToDate>
  <CharactersWithSpaces>374</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2024-05-18T04:23:00Z</dcterms:created>
  <dc:creator>Lenovo</dc:creator>
  <cp:lastModifiedBy>罗林</cp:lastModifiedBy>
  <cp:lastPrinted>2025-01-13T06:52:00Z</cp:lastPrinted>
  <dcterms:modified xsi:type="dcterms:W3CDTF">2025-06-20T11:04:01Z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4EC75A2B7F924DF69E1FD4445C184D23_13</vt:lpwstr>
  </property>
  <property fmtid="{D5CDD505-2E9C-101B-9397-08002B2CF9AE}" pid="4" name="KSOTemplateDocerSaveRecord">
    <vt:lpwstr>eyJoZGlkIjoiMzAzNTdjYTMxNzEwMjZlZDljYmNjYzMzYWZhZjFkMTQiLCJ1c2VySWQiOiIyNDEwMjk5NjkifQ==</vt:lpwstr>
  </property>
</Properties>
</file>