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3D339">
      <w:pPr>
        <w:jc w:val="center"/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</w:pPr>
      <w:bookmarkStart w:id="0" w:name="_Hlk215151114"/>
      <w:r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  <w:t>基础医学院人体解剖与组织胚胎学教研室2026学年新型</w:t>
      </w:r>
    </w:p>
    <w:p w14:paraId="1000AFB0">
      <w:pPr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  <w:t>环保标本保存液采购</w:t>
      </w:r>
      <w:bookmarkEnd w:id="0"/>
      <w:r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  <w:t>补遗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>通知（</w:t>
      </w:r>
      <w:r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  <w:t>一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>）</w:t>
      </w:r>
    </w:p>
    <w:p w14:paraId="578BF841">
      <w:pPr>
        <w:spacing w:line="360" w:lineRule="auto"/>
        <w:jc w:val="left"/>
        <w:rPr>
          <w:rFonts w:ascii="Times New Roman" w:hAnsi="Times New Roman"/>
          <w:b/>
          <w:bCs/>
          <w:sz w:val="24"/>
          <w:highlight w:val="none"/>
        </w:rPr>
      </w:pPr>
      <w:r>
        <w:rPr>
          <w:rFonts w:ascii="Times New Roman" w:hAnsi="Times New Roman"/>
          <w:b/>
          <w:bCs/>
          <w:sz w:val="24"/>
          <w:highlight w:val="none"/>
        </w:rPr>
        <w:t>各潜在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供应商</w:t>
      </w:r>
      <w:r>
        <w:rPr>
          <w:rFonts w:ascii="Times New Roman" w:hAnsi="Times New Roman"/>
          <w:b/>
          <w:bCs/>
          <w:sz w:val="24"/>
          <w:highlight w:val="none"/>
        </w:rPr>
        <w:t>：</w:t>
      </w:r>
    </w:p>
    <w:p w14:paraId="529F4C03">
      <w:pPr>
        <w:spacing w:line="360" w:lineRule="auto"/>
        <w:ind w:firstLine="560"/>
        <w:jc w:val="left"/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</w:pPr>
      <w:r>
        <w:rPr>
          <w:rFonts w:ascii="Times New Roman" w:hAnsi="Times New Roman"/>
          <w:b/>
          <w:bCs/>
          <w:sz w:val="24"/>
          <w:highlight w:val="none"/>
        </w:rPr>
        <w:t>现将</w:t>
      </w:r>
      <w:r>
        <w:rPr>
          <w:rFonts w:hint="eastAsia" w:ascii="Times New Roman" w:hAnsi="Times New Roman"/>
          <w:b/>
          <w:bCs/>
          <w:sz w:val="24"/>
          <w:highlight w:val="none"/>
          <w:lang w:eastAsia="zh-CN"/>
        </w:rPr>
        <w:t>“基础医学院人体解剖与组织胚胎学教研室2026学年新型环保标本保存液采购”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比选</w:t>
      </w:r>
      <w:r>
        <w:rPr>
          <w:rFonts w:ascii="Times New Roman" w:hAnsi="Times New Roman"/>
          <w:b/>
          <w:bCs/>
          <w:sz w:val="24"/>
          <w:highlight w:val="none"/>
        </w:rPr>
        <w:t>项目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补遗</w:t>
      </w:r>
      <w:r>
        <w:rPr>
          <w:rFonts w:ascii="Times New Roman" w:hAnsi="Times New Roman"/>
          <w:b/>
          <w:bCs/>
          <w:sz w:val="24"/>
          <w:highlight w:val="none"/>
        </w:rPr>
        <w:t>发布。本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补遗</w:t>
      </w:r>
      <w:r>
        <w:rPr>
          <w:rFonts w:ascii="Times New Roman" w:hAnsi="Times New Roman"/>
          <w:b/>
          <w:bCs/>
          <w:sz w:val="24"/>
          <w:highlight w:val="none"/>
        </w:rPr>
        <w:t>文件是对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比选</w:t>
      </w:r>
      <w:r>
        <w:rPr>
          <w:rFonts w:ascii="Times New Roman" w:hAnsi="Times New Roman"/>
          <w:b/>
          <w:bCs/>
          <w:sz w:val="24"/>
          <w:highlight w:val="none"/>
        </w:rPr>
        <w:t>文件的澄清、说明或补正，已发布的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比选</w:t>
      </w:r>
      <w:r>
        <w:rPr>
          <w:rFonts w:ascii="Times New Roman" w:hAnsi="Times New Roman"/>
          <w:b/>
          <w:bCs/>
          <w:sz w:val="24"/>
          <w:highlight w:val="none"/>
        </w:rPr>
        <w:t>文件与本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补遗</w:t>
      </w:r>
      <w:r>
        <w:rPr>
          <w:rFonts w:ascii="Times New Roman" w:hAnsi="Times New Roman"/>
          <w:b/>
          <w:bCs/>
          <w:sz w:val="24"/>
          <w:highlight w:val="none"/>
        </w:rPr>
        <w:t>文件内容不一致的，以本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补遗</w:t>
      </w:r>
      <w:r>
        <w:rPr>
          <w:rFonts w:ascii="Times New Roman" w:hAnsi="Times New Roman"/>
          <w:b/>
          <w:bCs/>
          <w:sz w:val="24"/>
          <w:highlight w:val="none"/>
        </w:rPr>
        <w:t>文件内容为准。</w:t>
      </w:r>
    </w:p>
    <w:p w14:paraId="574B9962">
      <w:pPr>
        <w:spacing w:line="360" w:lineRule="auto"/>
        <w:ind w:firstLine="560"/>
        <w:jc w:val="center"/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</w:pPr>
    </w:p>
    <w:p w14:paraId="76ACE3D5">
      <w:pPr>
        <w:spacing w:line="360" w:lineRule="auto"/>
        <w:ind w:firstLine="560"/>
        <w:jc w:val="center"/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  <w:t>一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>、</w:t>
      </w:r>
      <w:r>
        <w:rPr>
          <w:rFonts w:hint="eastAsia" w:ascii="Times New Roman" w:hAnsi="Times New Roman"/>
          <w:b/>
          <w:bCs/>
          <w:sz w:val="28"/>
          <w:szCs w:val="28"/>
          <w:highlight w:val="none"/>
          <w:lang w:val="en-US" w:eastAsia="zh-CN"/>
        </w:rPr>
        <w:t>补遗</w:t>
      </w:r>
    </w:p>
    <w:p w14:paraId="19D800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1、比选文件</w:t>
      </w:r>
      <w:bookmarkStart w:id="1" w:name="_Toc710"/>
      <w:bookmarkStart w:id="2" w:name="_Toc7494"/>
      <w:bookmarkStart w:id="3" w:name="_Toc15493"/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P10第四</w:t>
      </w:r>
      <w:bookmarkEnd w:id="1"/>
      <w:bookmarkEnd w:id="2"/>
      <w:bookmarkEnd w:id="3"/>
      <w:bookmarkStart w:id="4" w:name="_Toc6240"/>
      <w:bookmarkStart w:id="5" w:name="_Toc9715"/>
      <w:bookmarkStart w:id="6" w:name="_Toc287607867"/>
      <w:bookmarkStart w:id="7" w:name="_Toc287620814"/>
      <w:bookmarkStart w:id="8" w:name="_Toc509218854"/>
      <w:bookmarkStart w:id="9" w:name="_Toc536800772"/>
      <w:bookmarkStart w:id="10" w:name="_Toc534185831"/>
      <w:bookmarkStart w:id="11" w:name="_Toc224103495"/>
      <w:bookmarkStart w:id="12" w:name="_Toc430530530"/>
      <w:bookmarkStart w:id="13" w:name="_Toc277082643"/>
      <w:bookmarkStart w:id="14" w:name="_Toc5995"/>
      <w:bookmarkStart w:id="15" w:name="_Toc2842"/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篇竞争性比选程序、成交原则、无效响应及采购终止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中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二、评审标准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highlight w:val="none"/>
          <w:lang w:val="en-US" w:eastAsia="zh-CN" w:bidi="ar-SA"/>
        </w:rPr>
        <w:t>修改内容如下：</w:t>
      </w:r>
    </w:p>
    <w:p w14:paraId="6DC6E7C7">
      <w:pPr>
        <w:rPr>
          <w:rFonts w:hint="default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原表格：</w:t>
      </w:r>
    </w:p>
    <w:tbl>
      <w:tblPr>
        <w:tblStyle w:val="9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064"/>
        <w:gridCol w:w="695"/>
        <w:gridCol w:w="4268"/>
        <w:gridCol w:w="2070"/>
      </w:tblGrid>
      <w:tr w14:paraId="5745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373" w:type="pct"/>
            <w:vMerge w:val="restart"/>
            <w:noWrap w:val="0"/>
            <w:vAlign w:val="center"/>
          </w:tcPr>
          <w:p w14:paraId="04ED155D">
            <w:pPr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608" w:type="pct"/>
            <w:vMerge w:val="restart"/>
            <w:noWrap w:val="0"/>
            <w:vAlign w:val="center"/>
          </w:tcPr>
          <w:p w14:paraId="352A078C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商务部分（25分）</w:t>
            </w:r>
          </w:p>
        </w:tc>
        <w:tc>
          <w:tcPr>
            <w:tcW w:w="397" w:type="pct"/>
            <w:noWrap w:val="0"/>
            <w:vAlign w:val="center"/>
          </w:tcPr>
          <w:p w14:paraId="77B2D73C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10</w:t>
            </w:r>
          </w:p>
        </w:tc>
        <w:tc>
          <w:tcPr>
            <w:tcW w:w="2438" w:type="pct"/>
            <w:noWrap w:val="0"/>
            <w:vAlign w:val="center"/>
          </w:tcPr>
          <w:p w14:paraId="6B5F04FF">
            <w:pPr>
              <w:spacing w:line="400" w:lineRule="exac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1.供货计划、安装方案（10分）：包括货物包装及货物运输方式、交货时间、安装方式等服务内容。</w:t>
            </w:r>
          </w:p>
          <w:p w14:paraId="4860F736">
            <w:pPr>
              <w:spacing w:line="400" w:lineRule="exac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方案不存在瑕疵得10分，方案存在1处瑕疵得8分，方案存在2处瑕疵得6分，方案存在3处瑕疵得4分，方案存在4处瑕疵得2分，未提供方案或方案存在5处及以上的瑕疵得0分</w:t>
            </w:r>
          </w:p>
          <w:p w14:paraId="45986451">
            <w:pPr>
              <w:spacing w:line="400" w:lineRule="exact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。</w:t>
            </w:r>
          </w:p>
        </w:tc>
        <w:tc>
          <w:tcPr>
            <w:tcW w:w="1182" w:type="pct"/>
            <w:noWrap w:val="0"/>
            <w:vAlign w:val="center"/>
          </w:tcPr>
          <w:p w14:paraId="421B82FD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提供中标通知书及合同复印件（至少包括合同首页、标的及标的金额页、签字盖章页及相应标的明细等内容）。</w:t>
            </w:r>
          </w:p>
        </w:tc>
      </w:tr>
      <w:tr w14:paraId="12DF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373" w:type="pct"/>
            <w:vMerge w:val="continue"/>
            <w:noWrap w:val="0"/>
            <w:vAlign w:val="center"/>
          </w:tcPr>
          <w:p w14:paraId="2F5BA917">
            <w:pPr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08" w:type="pct"/>
            <w:vMerge w:val="continue"/>
            <w:noWrap w:val="0"/>
            <w:vAlign w:val="center"/>
          </w:tcPr>
          <w:p w14:paraId="53449AA5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7" w:type="pct"/>
            <w:noWrap w:val="0"/>
            <w:vAlign w:val="center"/>
          </w:tcPr>
          <w:p w14:paraId="7ACEFC33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15</w:t>
            </w:r>
          </w:p>
        </w:tc>
        <w:tc>
          <w:tcPr>
            <w:tcW w:w="2438" w:type="pct"/>
            <w:noWrap w:val="0"/>
            <w:vAlign w:val="center"/>
          </w:tcPr>
          <w:p w14:paraId="16A1CE35">
            <w:pPr>
              <w:spacing w:line="400" w:lineRule="exac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2.售后服务方案（15分）：售后服务承诺、质量保证期、响应时间、问题处理机制、退换货流程。</w:t>
            </w:r>
          </w:p>
          <w:p w14:paraId="79369807">
            <w:pPr>
              <w:spacing w:line="400" w:lineRule="exac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方案不存在瑕疵得15分，方案存在1处瑕疵得12分，方案存在2处瑕疵得9分，方案存在3处瑕疵得6分，方案存在4处瑕疵得3分，未提供方案或方案存在5处及以上的瑕疵得0分</w:t>
            </w:r>
          </w:p>
          <w:p w14:paraId="55853266">
            <w:pPr>
              <w:spacing w:line="400" w:lineRule="exac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。</w:t>
            </w:r>
          </w:p>
        </w:tc>
        <w:tc>
          <w:tcPr>
            <w:tcW w:w="1182" w:type="pct"/>
            <w:vMerge w:val="restart"/>
            <w:noWrap w:val="0"/>
            <w:vAlign w:val="center"/>
          </w:tcPr>
          <w:p w14:paraId="604FE80A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10" w:leftChars="0" w:firstLine="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1.提供方案，格式自拟。</w:t>
            </w:r>
          </w:p>
          <w:p w14:paraId="6E7AA310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10" w:leftChars="0" w:firstLine="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2.本项内容中所称的“瑕疵”为以下任一情形：</w:t>
            </w:r>
          </w:p>
          <w:p w14:paraId="51F467EB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①方案内容要素欠缺、仅有标题而无实质意义叙述内容；</w:t>
            </w:r>
          </w:p>
          <w:p w14:paraId="60C4D92D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②方案内容中包含其他项目名称，或出现与本项目不相关的其他内容；</w:t>
            </w:r>
          </w:p>
          <w:p w14:paraId="038DB026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③内容表述前后矛盾、无连贯性、内容存在逻辑漏洞；</w:t>
            </w:r>
          </w:p>
          <w:p w14:paraId="211A890A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④常识性错误；</w:t>
            </w:r>
          </w:p>
          <w:p w14:paraId="3C330C21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⑤技术措施保障安排并不适用本项目特性或非专门针对本项目制定；</w:t>
            </w:r>
          </w:p>
          <w:p w14:paraId="12B2A030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⑥方案中提出的措施举措不利于本项目目标的实现；</w:t>
            </w:r>
          </w:p>
          <w:p w14:paraId="567A921D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⑦现有技术条件下不可能实现采购目标。</w:t>
            </w:r>
          </w:p>
          <w:p w14:paraId="23BCD7C4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>上述任意一种情形为1处瑕疵。</w:t>
            </w:r>
          </w:p>
        </w:tc>
      </w:tr>
      <w:tr w14:paraId="5A8FF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373" w:type="pct"/>
            <w:vMerge w:val="continue"/>
            <w:noWrap w:val="0"/>
            <w:vAlign w:val="center"/>
          </w:tcPr>
          <w:p w14:paraId="751AC310">
            <w:pPr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08" w:type="pct"/>
            <w:vMerge w:val="continue"/>
            <w:noWrap w:val="0"/>
            <w:vAlign w:val="center"/>
          </w:tcPr>
          <w:p w14:paraId="2CD851FE">
            <w:pPr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7" w:type="pct"/>
            <w:noWrap w:val="0"/>
            <w:vAlign w:val="center"/>
          </w:tcPr>
          <w:p w14:paraId="05EBFAF2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438" w:type="pct"/>
            <w:noWrap w:val="0"/>
            <w:vAlign w:val="center"/>
          </w:tcPr>
          <w:p w14:paraId="3FDB6E02">
            <w:pPr>
              <w:pStyle w:val="8"/>
              <w:spacing w:beforeLines="0" w:after="0" w:afterLines="0" w:line="400" w:lineRule="exact"/>
              <w:ind w:left="0" w:leftChars="0" w:firstLine="0" w:firstLineChars="0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2" w:type="pct"/>
            <w:vMerge w:val="continue"/>
            <w:noWrap w:val="0"/>
            <w:vAlign w:val="center"/>
          </w:tcPr>
          <w:p w14:paraId="464589D1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595E104D">
      <w:pPr>
        <w:spacing w:line="360" w:lineRule="auto"/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修改后表格：</w:t>
      </w:r>
    </w:p>
    <w:tbl>
      <w:tblPr>
        <w:tblStyle w:val="9"/>
        <w:tblW w:w="511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063"/>
        <w:gridCol w:w="695"/>
        <w:gridCol w:w="4276"/>
        <w:gridCol w:w="2037"/>
      </w:tblGrid>
      <w:tr w14:paraId="32540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373" w:type="pct"/>
            <w:vMerge w:val="restart"/>
            <w:noWrap w:val="0"/>
            <w:vAlign w:val="center"/>
          </w:tcPr>
          <w:p w14:paraId="300AE980">
            <w:pPr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609" w:type="pct"/>
            <w:vMerge w:val="restart"/>
            <w:noWrap w:val="0"/>
            <w:vAlign w:val="center"/>
          </w:tcPr>
          <w:p w14:paraId="167C428A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商务部分（25分）</w:t>
            </w:r>
          </w:p>
        </w:tc>
        <w:tc>
          <w:tcPr>
            <w:tcW w:w="398" w:type="pct"/>
            <w:noWrap w:val="0"/>
            <w:vAlign w:val="center"/>
          </w:tcPr>
          <w:p w14:paraId="72591A4F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10</w:t>
            </w:r>
          </w:p>
        </w:tc>
        <w:tc>
          <w:tcPr>
            <w:tcW w:w="2450" w:type="pct"/>
            <w:noWrap w:val="0"/>
            <w:vAlign w:val="center"/>
          </w:tcPr>
          <w:p w14:paraId="39048C8C">
            <w:pPr>
              <w:spacing w:line="400" w:lineRule="exac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1.供货计划、安装方案（10分）：包括货物包装及货物运输方式、交货时间、安装方式等服务内容。</w:t>
            </w:r>
          </w:p>
          <w:p w14:paraId="21E3B8DA">
            <w:pPr>
              <w:spacing w:line="400" w:lineRule="exac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方案不存在瑕疵得10分，方案存在1处瑕疵得8分，方案存在2处瑕疵得6分，方案存在3处瑕疵得4分，方案存在4处瑕疵得2分，未提供方案或方案存在5处及以上的瑕疵得0分</w:t>
            </w:r>
          </w:p>
          <w:p w14:paraId="0B6251EA">
            <w:pPr>
              <w:spacing w:line="400" w:lineRule="exact"/>
              <w:jc w:val="lef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。</w:t>
            </w:r>
          </w:p>
        </w:tc>
        <w:tc>
          <w:tcPr>
            <w:tcW w:w="1167" w:type="pct"/>
            <w:vMerge w:val="restart"/>
            <w:noWrap w:val="0"/>
            <w:vAlign w:val="center"/>
          </w:tcPr>
          <w:p w14:paraId="7AA27F35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10" w:leftChars="0" w:firstLine="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1.提供方案，格式自拟。</w:t>
            </w:r>
          </w:p>
          <w:p w14:paraId="38A8EE91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10" w:leftChars="0" w:firstLine="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2.本项内容中所称的“瑕疵”为以下任一情形：</w:t>
            </w:r>
          </w:p>
          <w:p w14:paraId="749D2095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①方案内容要素欠缺、仅有标题而无实质意义叙述内容；</w:t>
            </w:r>
          </w:p>
          <w:p w14:paraId="5A11FCE3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②方案内容中包含其他项目名称，或出现与本项目不相关的其他内容；</w:t>
            </w:r>
          </w:p>
          <w:p w14:paraId="6958E314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③内容表述前后矛盾、无连贯性、内容存在逻辑漏洞；</w:t>
            </w:r>
          </w:p>
          <w:p w14:paraId="41EE0397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④常识性错误；</w:t>
            </w:r>
          </w:p>
          <w:p w14:paraId="2955B734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⑤技术措施保障安排并不适用本项目特性或非专门针对本项目制定；</w:t>
            </w:r>
          </w:p>
          <w:p w14:paraId="38031D4C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⑥方案中提出的措施举措不利于本项目目标的实现；</w:t>
            </w:r>
          </w:p>
          <w:p w14:paraId="729DDC43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⑦现有技术条件下不可能实现采购目标。</w:t>
            </w:r>
          </w:p>
          <w:p w14:paraId="284A5B52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上述任意一种情形为1处瑕疵。</w:t>
            </w:r>
          </w:p>
        </w:tc>
      </w:tr>
      <w:tr w14:paraId="297A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373" w:type="pct"/>
            <w:vMerge w:val="continue"/>
            <w:noWrap w:val="0"/>
            <w:vAlign w:val="center"/>
          </w:tcPr>
          <w:p w14:paraId="6C5A281A">
            <w:pPr>
              <w:spacing w:line="400" w:lineRule="exact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09" w:type="pct"/>
            <w:vMerge w:val="continue"/>
            <w:noWrap w:val="0"/>
            <w:vAlign w:val="center"/>
          </w:tcPr>
          <w:p w14:paraId="166ADC26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398" w:type="pct"/>
            <w:noWrap w:val="0"/>
            <w:vAlign w:val="center"/>
          </w:tcPr>
          <w:p w14:paraId="1770E90E">
            <w:pPr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15</w:t>
            </w:r>
          </w:p>
        </w:tc>
        <w:tc>
          <w:tcPr>
            <w:tcW w:w="2450" w:type="pct"/>
            <w:noWrap w:val="0"/>
            <w:vAlign w:val="center"/>
          </w:tcPr>
          <w:p w14:paraId="332FF97A">
            <w:pPr>
              <w:spacing w:line="400" w:lineRule="exact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2.售后服务方案（15分）：售后服务承诺、质量保证期、响应时间、问题处理机制、退换货流程。</w:t>
            </w:r>
          </w:p>
          <w:p w14:paraId="22F3EF0F">
            <w:pPr>
              <w:spacing w:line="400" w:lineRule="exac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方案不存在瑕疵得15分，方案存在1处瑕疵得12分，方案存在2处瑕疵得9分，方案存在3处瑕疵得6分，方案存在4处瑕疵得3分，未提供方案或方案存在5处及以上的瑕疵得0分</w:t>
            </w:r>
          </w:p>
          <w:p w14:paraId="12256F0F">
            <w:pPr>
              <w:spacing w:line="400" w:lineRule="exact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。</w:t>
            </w:r>
          </w:p>
        </w:tc>
        <w:tc>
          <w:tcPr>
            <w:tcW w:w="1167" w:type="pct"/>
            <w:vMerge w:val="continue"/>
            <w:tcBorders/>
            <w:noWrap w:val="0"/>
            <w:vAlign w:val="center"/>
          </w:tcPr>
          <w:p w14:paraId="12B5BA9B">
            <w:pPr>
              <w:pStyle w:val="8"/>
              <w:tabs>
                <w:tab w:val="left" w:pos="545"/>
              </w:tabs>
              <w:spacing w:beforeLines="0" w:after="0" w:afterLines="0" w:line="400" w:lineRule="exact"/>
              <w:ind w:left="0" w:leftChars="0" w:firstLine="10" w:firstLineChars="0"/>
              <w:jc w:val="left"/>
              <w:rPr>
                <w:color w:val="auto"/>
                <w:sz w:val="20"/>
                <w:szCs w:val="20"/>
                <w:highlight w:val="none"/>
              </w:rPr>
            </w:pPr>
          </w:p>
        </w:tc>
      </w:tr>
    </w:tbl>
    <w:p w14:paraId="78B37206">
      <w:pPr>
        <w:spacing w:line="360" w:lineRule="auto"/>
        <w:rPr>
          <w:rFonts w:hint="default" w:ascii="Times New Roman" w:hAnsi="Times New Roman"/>
          <w:b/>
          <w:bCs/>
          <w:sz w:val="24"/>
          <w:highlight w:val="none"/>
          <w:lang w:val="en-US" w:eastAsia="zh-CN"/>
        </w:rPr>
      </w:pPr>
    </w:p>
    <w:p w14:paraId="5B58278B">
      <w:pPr>
        <w:spacing w:line="360" w:lineRule="auto"/>
        <w:ind w:firstLine="482" w:firstLineChars="200"/>
        <w:rPr>
          <w:rFonts w:ascii="Times New Roman" w:hAnsi="Times New Roman"/>
          <w:b/>
          <w:bCs/>
          <w:sz w:val="24"/>
          <w:highlight w:val="none"/>
        </w:rPr>
      </w:pPr>
      <w:r>
        <w:rPr>
          <w:rFonts w:ascii="Times New Roman" w:hAnsi="Times New Roman"/>
          <w:b/>
          <w:bCs/>
          <w:sz w:val="24"/>
          <w:highlight w:val="none"/>
        </w:rPr>
        <w:t>特别提示：</w:t>
      </w:r>
    </w:p>
    <w:p w14:paraId="0D8E383B">
      <w:pPr>
        <w:spacing w:line="360" w:lineRule="auto"/>
        <w:ind w:firstLine="482" w:firstLineChars="200"/>
        <w:rPr>
          <w:rFonts w:ascii="Times New Roman" w:hAnsi="Times New Roman"/>
          <w:b/>
          <w:bCs/>
          <w:sz w:val="24"/>
          <w:highlight w:val="none"/>
        </w:rPr>
      </w:pPr>
      <w:r>
        <w:rPr>
          <w:rFonts w:ascii="Times New Roman" w:hAnsi="Times New Roman"/>
          <w:b/>
          <w:bCs/>
          <w:sz w:val="24"/>
          <w:highlight w:val="none"/>
        </w:rPr>
        <w:t>1、本通知与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比选</w:t>
      </w:r>
      <w:r>
        <w:rPr>
          <w:rFonts w:ascii="Times New Roman" w:hAnsi="Times New Roman"/>
          <w:b/>
          <w:bCs/>
          <w:sz w:val="24"/>
          <w:highlight w:val="none"/>
        </w:rPr>
        <w:t>文件具有同等法律效力，若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比选</w:t>
      </w:r>
      <w:r>
        <w:rPr>
          <w:rFonts w:ascii="Times New Roman" w:hAnsi="Times New Roman"/>
          <w:b/>
          <w:bCs/>
          <w:sz w:val="24"/>
          <w:highlight w:val="none"/>
        </w:rPr>
        <w:t>文件与本通知不一致时，一律以本通知为准。</w:t>
      </w:r>
    </w:p>
    <w:p w14:paraId="1D7DADD0">
      <w:pPr>
        <w:spacing w:line="360" w:lineRule="auto"/>
        <w:ind w:firstLine="560"/>
        <w:jc w:val="right"/>
        <w:rPr>
          <w:rFonts w:ascii="Times New Roman" w:hAnsi="Times New Roman"/>
          <w:b/>
          <w:bCs/>
          <w:sz w:val="24"/>
          <w:highlight w:val="none"/>
        </w:rPr>
      </w:pPr>
    </w:p>
    <w:p w14:paraId="4280AC3D">
      <w:pPr>
        <w:spacing w:line="360" w:lineRule="auto"/>
        <w:ind w:firstLine="560"/>
        <w:jc w:val="right"/>
        <w:rPr>
          <w:rFonts w:ascii="Times New Roman" w:hAnsi="Times New Roman"/>
          <w:b/>
          <w:bCs/>
          <w:sz w:val="24"/>
          <w:highlight w:val="none"/>
        </w:rPr>
      </w:pP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比选</w:t>
      </w:r>
      <w:r>
        <w:rPr>
          <w:rFonts w:ascii="Times New Roman" w:hAnsi="Times New Roman"/>
          <w:b/>
          <w:bCs/>
          <w:sz w:val="24"/>
          <w:highlight w:val="none"/>
        </w:rPr>
        <w:t>人：</w:t>
      </w:r>
      <w:r>
        <w:rPr>
          <w:rFonts w:hint="eastAsia" w:ascii="Times New Roman" w:hAnsi="Times New Roman"/>
          <w:b/>
          <w:bCs/>
          <w:sz w:val="24"/>
          <w:highlight w:val="none"/>
        </w:rPr>
        <w:t>重庆中医药学院</w:t>
      </w:r>
    </w:p>
    <w:p w14:paraId="5150EA4C">
      <w:pPr>
        <w:spacing w:line="360" w:lineRule="auto"/>
        <w:ind w:firstLine="560"/>
        <w:jc w:val="right"/>
        <w:rPr>
          <w:rFonts w:ascii="Times New Roman" w:hAnsi="Times New Roman"/>
          <w:b/>
          <w:bCs/>
          <w:sz w:val="24"/>
          <w:highlight w:val="none"/>
        </w:rPr>
      </w:pP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比选</w:t>
      </w:r>
      <w:r>
        <w:rPr>
          <w:rFonts w:ascii="Times New Roman" w:hAnsi="Times New Roman"/>
          <w:b/>
          <w:bCs/>
          <w:sz w:val="24"/>
          <w:highlight w:val="none"/>
        </w:rPr>
        <w:t>代理机构：重庆市工程管理有限公司</w:t>
      </w:r>
    </w:p>
    <w:p w14:paraId="2A13C089">
      <w:pPr>
        <w:pStyle w:val="3"/>
        <w:numPr>
          <w:ilvl w:val="0"/>
          <w:numId w:val="0"/>
        </w:numPr>
        <w:jc w:val="right"/>
        <w:rPr>
          <w:rFonts w:hint="eastAsia" w:ascii="Times New Roman" w:hAnsi="Times New Roman"/>
          <w:b w:val="0"/>
          <w:bCs w:val="0"/>
          <w:sz w:val="24"/>
          <w:szCs w:val="24"/>
          <w:highlight w:val="none"/>
          <w:lang w:val="en-US" w:eastAsia="zh-CN"/>
        </w:rPr>
      </w:pPr>
    </w:p>
    <w:p w14:paraId="75E6BFA3">
      <w:pPr>
        <w:pStyle w:val="3"/>
        <w:numPr>
          <w:ilvl w:val="0"/>
          <w:numId w:val="0"/>
        </w:numPr>
        <w:jc w:val="right"/>
        <w:rPr>
          <w:rFonts w:hint="default"/>
          <w:highlight w:val="none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highlight w:val="none"/>
          <w:lang w:val="en-US" w:eastAsia="zh-CN"/>
        </w:rPr>
        <w:t>2026</w:t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 w:val="0"/>
          <w:bCs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 w:val="0"/>
          <w:bCs w:val="0"/>
          <w:sz w:val="24"/>
          <w:szCs w:val="24"/>
          <w:highlight w:val="none"/>
          <w:lang w:val="en-US" w:eastAsia="zh-CN"/>
        </w:rPr>
        <w:t>15</w:t>
      </w:r>
      <w:bookmarkStart w:id="16" w:name="_GoBack"/>
      <w:bookmarkEnd w:id="16"/>
      <w:r>
        <w:rPr>
          <w:rFonts w:ascii="Times New Roman" w:hAnsi="Times New Roman"/>
          <w:b w:val="0"/>
          <w:bCs w:val="0"/>
          <w:sz w:val="24"/>
          <w:szCs w:val="24"/>
          <w:highlight w:val="none"/>
        </w:rPr>
        <w:t>日</w:t>
      </w:r>
    </w:p>
    <w:p w14:paraId="475ADAB4">
      <w:pPr>
        <w:rPr>
          <w:rFonts w:hint="default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7862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6A56D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6A56D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77B0A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ZDQ5ZDkwYzA4ZmM2YThiZWIzZjFmYWYxYmViZDcifQ=="/>
  </w:docVars>
  <w:rsids>
    <w:rsidRoot w:val="6C3B61AA"/>
    <w:rsid w:val="00047E83"/>
    <w:rsid w:val="002B566D"/>
    <w:rsid w:val="00340DD6"/>
    <w:rsid w:val="0044247E"/>
    <w:rsid w:val="004E6A0C"/>
    <w:rsid w:val="005A0DE6"/>
    <w:rsid w:val="006326E9"/>
    <w:rsid w:val="007B4F18"/>
    <w:rsid w:val="007E7D8E"/>
    <w:rsid w:val="007F3A4E"/>
    <w:rsid w:val="007F3CCD"/>
    <w:rsid w:val="009A1FE3"/>
    <w:rsid w:val="00EA5F64"/>
    <w:rsid w:val="01902ADD"/>
    <w:rsid w:val="02DC4BE0"/>
    <w:rsid w:val="043D4CAD"/>
    <w:rsid w:val="060C4BE3"/>
    <w:rsid w:val="0A37705F"/>
    <w:rsid w:val="0C0E0296"/>
    <w:rsid w:val="14795517"/>
    <w:rsid w:val="172D48D7"/>
    <w:rsid w:val="17A32DEB"/>
    <w:rsid w:val="1A2312B9"/>
    <w:rsid w:val="1A4F32C5"/>
    <w:rsid w:val="1B3516C8"/>
    <w:rsid w:val="1E7A4080"/>
    <w:rsid w:val="1FE4035F"/>
    <w:rsid w:val="206230B5"/>
    <w:rsid w:val="21043A4B"/>
    <w:rsid w:val="21C60FCE"/>
    <w:rsid w:val="23C1223B"/>
    <w:rsid w:val="2649166F"/>
    <w:rsid w:val="2A8C0BFB"/>
    <w:rsid w:val="2E317DD1"/>
    <w:rsid w:val="325B2B8C"/>
    <w:rsid w:val="3386105B"/>
    <w:rsid w:val="34C812FF"/>
    <w:rsid w:val="37C45030"/>
    <w:rsid w:val="397E5593"/>
    <w:rsid w:val="3AB17723"/>
    <w:rsid w:val="3DB767D4"/>
    <w:rsid w:val="3DEB4D64"/>
    <w:rsid w:val="3FCD0BF3"/>
    <w:rsid w:val="425C406C"/>
    <w:rsid w:val="4A846016"/>
    <w:rsid w:val="4BC411A5"/>
    <w:rsid w:val="4C341C88"/>
    <w:rsid w:val="4D287F4A"/>
    <w:rsid w:val="4EC913BF"/>
    <w:rsid w:val="56FB41A7"/>
    <w:rsid w:val="597F6D0A"/>
    <w:rsid w:val="59B72A94"/>
    <w:rsid w:val="5AC16DDD"/>
    <w:rsid w:val="5AF36778"/>
    <w:rsid w:val="5D3D4489"/>
    <w:rsid w:val="5FF81B2D"/>
    <w:rsid w:val="618C1F7B"/>
    <w:rsid w:val="674C031B"/>
    <w:rsid w:val="6BB049EA"/>
    <w:rsid w:val="6C3B61AA"/>
    <w:rsid w:val="71D152F0"/>
    <w:rsid w:val="73E37ECA"/>
    <w:rsid w:val="74033F97"/>
    <w:rsid w:val="74832D6D"/>
    <w:rsid w:val="757755FF"/>
    <w:rsid w:val="76C43A85"/>
    <w:rsid w:val="79DA5105"/>
    <w:rsid w:val="7C6829B0"/>
    <w:rsid w:val="BBCF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9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</w:style>
  <w:style w:type="paragraph" w:styleId="4">
    <w:name w:val="Body Text Indent"/>
    <w:basedOn w:val="1"/>
    <w:uiPriority w:val="0"/>
    <w:pPr>
      <w:widowControl w:val="0"/>
      <w:spacing w:beforeLines="50" w:afterLines="50" w:line="360" w:lineRule="auto"/>
      <w:ind w:left="420" w:leftChars="200" w:firstLine="200" w:firstLineChars="2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Body Text First Indent 2"/>
    <w:basedOn w:val="4"/>
    <w:unhideWhenUsed/>
    <w:qFormat/>
    <w:uiPriority w:val="99"/>
    <w:pPr>
      <w:spacing w:after="120"/>
      <w:ind w:left="420" w:leftChars="200" w:firstLine="420"/>
    </w:pPr>
    <w:rPr>
      <w:rFonts w:cs="宋体"/>
      <w:sz w:val="21"/>
      <w:szCs w:val="21"/>
    </w:rPr>
  </w:style>
  <w:style w:type="character" w:styleId="11">
    <w:name w:val="Strong"/>
    <w:basedOn w:val="10"/>
    <w:autoRedefine/>
    <w:qFormat/>
    <w:uiPriority w:val="0"/>
  </w:style>
  <w:style w:type="character" w:styleId="12">
    <w:name w:val="FollowedHyperlink"/>
    <w:basedOn w:val="10"/>
    <w:autoRedefine/>
    <w:qFormat/>
    <w:uiPriority w:val="0"/>
    <w:rPr>
      <w:color w:val="800080"/>
      <w:u w:val="none"/>
    </w:rPr>
  </w:style>
  <w:style w:type="character" w:styleId="13">
    <w:name w:val="Emphasis"/>
    <w:basedOn w:val="10"/>
    <w:autoRedefine/>
    <w:qFormat/>
    <w:uiPriority w:val="0"/>
  </w:style>
  <w:style w:type="character" w:styleId="14">
    <w:name w:val="HTML Definition"/>
    <w:basedOn w:val="10"/>
    <w:autoRedefine/>
    <w:qFormat/>
    <w:uiPriority w:val="0"/>
  </w:style>
  <w:style w:type="character" w:styleId="15">
    <w:name w:val="HTML Typewriter"/>
    <w:basedOn w:val="10"/>
    <w:autoRedefine/>
    <w:qFormat/>
    <w:uiPriority w:val="0"/>
    <w:rPr>
      <w:rFonts w:ascii="monospace" w:hAnsi="monospace" w:eastAsia="monospace" w:cs="monospace"/>
      <w:sz w:val="20"/>
    </w:rPr>
  </w:style>
  <w:style w:type="character" w:styleId="16">
    <w:name w:val="HTML Acronym"/>
    <w:basedOn w:val="10"/>
    <w:autoRedefine/>
    <w:qFormat/>
    <w:uiPriority w:val="0"/>
  </w:style>
  <w:style w:type="character" w:styleId="17">
    <w:name w:val="HTML Variable"/>
    <w:basedOn w:val="10"/>
    <w:autoRedefine/>
    <w:qFormat/>
    <w:uiPriority w:val="0"/>
  </w:style>
  <w:style w:type="character" w:styleId="18">
    <w:name w:val="Hyperlink"/>
    <w:basedOn w:val="10"/>
    <w:autoRedefine/>
    <w:qFormat/>
    <w:uiPriority w:val="0"/>
    <w:rPr>
      <w:color w:val="0000FF"/>
      <w:u w:val="none"/>
    </w:rPr>
  </w:style>
  <w:style w:type="character" w:styleId="19">
    <w:name w:val="HTML Code"/>
    <w:basedOn w:val="10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Cite"/>
    <w:basedOn w:val="10"/>
    <w:autoRedefine/>
    <w:qFormat/>
    <w:uiPriority w:val="0"/>
  </w:style>
  <w:style w:type="character" w:styleId="21">
    <w:name w:val="HTML Keyboard"/>
    <w:basedOn w:val="10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Sample"/>
    <w:basedOn w:val="10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23">
    <w:name w:val="Heading3"/>
    <w:basedOn w:val="1"/>
    <w:next w:val="1"/>
    <w:autoRedefine/>
    <w:qFormat/>
    <w:uiPriority w:val="0"/>
    <w:pPr>
      <w:keepNext/>
      <w:keepLines/>
      <w:spacing w:before="260" w:after="260" w:line="416" w:lineRule="auto"/>
    </w:pPr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303</Words>
  <Characters>314</Characters>
  <Lines>15</Lines>
  <Paragraphs>4</Paragraphs>
  <TotalTime>0</TotalTime>
  <ScaleCrop>false</ScaleCrop>
  <LinksUpToDate>false</LinksUpToDate>
  <CharactersWithSpaces>314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2023-01-28T08:21:00Z</dcterms:created>
  <dc:creator>User1</dc:creator>
  <cp:lastModifiedBy>廖祖鹤</cp:lastModifiedBy>
  <dcterms:modified xsi:type="dcterms:W3CDTF">2026-05-14T13:27:28Z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C22F8BDFC61B4D91B55316C8578DE9A7_13</vt:lpwstr>
  </property>
  <property fmtid="{D5CDD505-2E9C-101B-9397-08002B2CF9AE}" pid="4" name="KSOTemplateDocerSaveRecord">
    <vt:lpwstr>eyJoZGlkIjoiOGIxYjc2ODM3MGYxMzEzMzNjYTIxZmZhYmY5YjE1NDYiLCJ1c2VySWQiOiIzMzg2MTA2In0=</vt:lpwstr>
  </property>
</Properties>
</file>