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44862755">
      <w:pPr>
        <w:rPr>
          <w:rFonts w:ascii="宋体" w:hAnsi="宋体" w:eastAsia="宋体" w:cs="宋体"/>
          <w:spacing w:val="80"/>
          <w:sz w:val="112"/>
          <w:szCs w:val="112"/>
        </w:rPr>
      </w:pPr>
    </w:p>
    <w:p w14:paraId="4F65D64A">
      <w:pPr>
        <w:spacing w:line="1600" w:lineRule="exact"/>
        <w:jc w:val="center"/>
        <w:outlineLvl w:val="0"/>
        <w:rPr>
          <w:rFonts w:ascii="宋体" w:hAnsi="宋体" w:eastAsia="宋体" w:cs="宋体"/>
          <w:b/>
          <w:sz w:val="96"/>
          <w:szCs w:val="130"/>
        </w:rPr>
      </w:pPr>
      <w:bookmarkStart w:id="0" w:name="_Toc127527435"/>
      <w:bookmarkStart w:id="1" w:name="_Toc132634017"/>
      <w:bookmarkStart w:id="2" w:name="_Toc8339"/>
      <w:bookmarkStart w:id="3" w:name="_Toc16745"/>
      <w:bookmarkStart w:id="4" w:name="_Toc23670"/>
      <w:r>
        <w:rPr>
          <w:rFonts w:hint="eastAsia" w:ascii="宋体" w:hAnsi="宋体" w:eastAsia="宋体" w:cs="宋体"/>
          <w:b/>
          <w:sz w:val="96"/>
          <w:szCs w:val="130"/>
        </w:rPr>
        <w:t>政府采购</w:t>
      </w:r>
      <w:bookmarkEnd w:id="0"/>
      <w:bookmarkEnd w:id="1"/>
      <w:bookmarkEnd w:id="2"/>
      <w:bookmarkEnd w:id="3"/>
      <w:bookmarkEnd w:id="4"/>
    </w:p>
    <w:p w14:paraId="2AA40EE1">
      <w:pPr>
        <w:spacing w:line="1600" w:lineRule="exact"/>
        <w:jc w:val="center"/>
        <w:outlineLvl w:val="0"/>
        <w:rPr>
          <w:rFonts w:ascii="宋体" w:hAnsi="宋体" w:eastAsia="宋体" w:cs="宋体"/>
          <w:b/>
          <w:sz w:val="96"/>
          <w:szCs w:val="130"/>
        </w:rPr>
      </w:pPr>
      <w:bookmarkStart w:id="5" w:name="_Toc127527436"/>
      <w:bookmarkStart w:id="6" w:name="_Toc21092"/>
      <w:bookmarkStart w:id="7" w:name="_Toc5037"/>
      <w:bookmarkStart w:id="8" w:name="_Toc132634018"/>
      <w:bookmarkStart w:id="9" w:name="_Toc22388"/>
      <w:r>
        <w:rPr>
          <w:rFonts w:hint="eastAsia" w:ascii="宋体" w:hAnsi="宋体" w:eastAsia="宋体" w:cs="宋体"/>
          <w:b/>
          <w:sz w:val="96"/>
          <w:szCs w:val="130"/>
        </w:rPr>
        <w:t>竞争性谈判文件</w:t>
      </w:r>
      <w:bookmarkEnd w:id="5"/>
      <w:bookmarkEnd w:id="6"/>
      <w:bookmarkEnd w:id="7"/>
      <w:bookmarkEnd w:id="8"/>
      <w:bookmarkEnd w:id="9"/>
    </w:p>
    <w:p w14:paraId="740BC541">
      <w:pPr>
        <w:spacing w:line="700" w:lineRule="exact"/>
        <w:ind w:firstLine="840" w:firstLineChars="300"/>
        <w:rPr>
          <w:rFonts w:ascii="宋体" w:hAnsi="宋体" w:eastAsia="宋体" w:cs="宋体"/>
          <w:szCs w:val="28"/>
        </w:rPr>
      </w:pPr>
    </w:p>
    <w:p w14:paraId="668F0F46">
      <w:pPr>
        <w:ind w:firstLine="840" w:firstLineChars="300"/>
        <w:rPr>
          <w:rFonts w:ascii="宋体" w:hAnsi="宋体" w:eastAsia="宋体" w:cs="宋体"/>
        </w:rPr>
      </w:pPr>
    </w:p>
    <w:p w14:paraId="04B8D135">
      <w:pPr>
        <w:pStyle w:val="2"/>
      </w:pPr>
    </w:p>
    <w:p w14:paraId="60BD66D2">
      <w:pPr>
        <w:pStyle w:val="2"/>
      </w:pPr>
    </w:p>
    <w:p w14:paraId="1C058CE9">
      <w:pPr>
        <w:spacing w:line="700" w:lineRule="exact"/>
        <w:ind w:firstLine="1405" w:firstLineChars="500"/>
        <w:rPr>
          <w:rFonts w:hint="default" w:ascii="宋体" w:hAnsi="宋体" w:eastAsia="宋体" w:cs="宋体"/>
          <w:b/>
          <w:bCs/>
          <w:szCs w:val="28"/>
          <w:u w:val="single"/>
          <w:lang w:val="en-US" w:eastAsia="zh-CN"/>
        </w:rPr>
      </w:pPr>
      <w:r>
        <w:rPr>
          <w:rFonts w:hint="eastAsia" w:ascii="宋体" w:hAnsi="宋体" w:eastAsia="宋体" w:cs="宋体"/>
          <w:b/>
          <w:bCs/>
          <w:szCs w:val="28"/>
          <w:u w:val="single"/>
        </w:rPr>
        <w:t>项目编号：</w:t>
      </w:r>
      <w:r>
        <w:rPr>
          <w:rFonts w:hint="eastAsia" w:ascii="宋体" w:hAnsi="宋体" w:eastAsia="宋体" w:cs="宋体"/>
          <w:b/>
          <w:bCs/>
          <w:szCs w:val="28"/>
          <w:u w:val="single"/>
          <w:lang w:val="en-US" w:eastAsia="zh-CN"/>
        </w:rPr>
        <w:t>CQLD25057</w:t>
      </w:r>
    </w:p>
    <w:p w14:paraId="2DBA8D33">
      <w:pPr>
        <w:spacing w:line="700" w:lineRule="exact"/>
        <w:ind w:left="1120" w:leftChars="400" w:firstLine="281" w:firstLineChars="100"/>
        <w:rPr>
          <w:rFonts w:hint="default" w:ascii="宋体" w:hAnsi="宋体" w:eastAsia="宋体" w:cs="宋体"/>
          <w:b/>
          <w:bCs/>
          <w:color w:val="FF0000"/>
          <w:szCs w:val="28"/>
          <w:u w:val="single"/>
          <w:lang w:val="en-US" w:eastAsia="zh-CN"/>
        </w:rPr>
      </w:pPr>
      <w:r>
        <w:rPr>
          <w:rFonts w:hint="eastAsia" w:ascii="宋体" w:hAnsi="宋体" w:eastAsia="宋体" w:cs="宋体"/>
          <w:b/>
          <w:bCs/>
          <w:szCs w:val="28"/>
          <w:u w:val="single"/>
        </w:rPr>
        <w:t>项目名称：</w:t>
      </w:r>
      <w:r>
        <w:rPr>
          <w:rFonts w:hint="eastAsia" w:ascii="宋体" w:hAnsi="宋体" w:eastAsia="宋体" w:cs="宋体"/>
          <w:b/>
          <w:bCs/>
          <w:szCs w:val="28"/>
          <w:u w:val="single"/>
          <w:lang w:val="en-US" w:eastAsia="zh-CN"/>
        </w:rPr>
        <w:t>荣昌区林业局名木古树复壮服务</w:t>
      </w:r>
    </w:p>
    <w:p w14:paraId="3F7134FE">
      <w:pPr>
        <w:spacing w:line="700" w:lineRule="exact"/>
        <w:ind w:left="1120" w:leftChars="400" w:firstLine="281" w:firstLineChars="100"/>
        <w:rPr>
          <w:rFonts w:hint="eastAsia" w:ascii="宋体" w:hAnsi="宋体" w:eastAsia="宋体" w:cs="宋体"/>
          <w:b/>
          <w:bCs/>
          <w:szCs w:val="28"/>
          <w:u w:val="single"/>
          <w:lang w:eastAsia="zh-CN"/>
        </w:rPr>
      </w:pPr>
      <w:r>
        <w:rPr>
          <w:rFonts w:hint="eastAsia" w:ascii="宋体" w:hAnsi="宋体" w:eastAsia="宋体" w:cs="宋体"/>
          <w:b/>
          <w:bCs/>
          <w:szCs w:val="28"/>
          <w:u w:val="single"/>
        </w:rPr>
        <w:t>采 购 人：</w:t>
      </w:r>
      <w:r>
        <w:rPr>
          <w:rFonts w:hint="eastAsia" w:ascii="宋体" w:hAnsi="宋体" w:eastAsia="宋体" w:cs="宋体"/>
          <w:b/>
          <w:bCs/>
          <w:szCs w:val="28"/>
          <w:u w:val="single"/>
          <w:lang w:eastAsia="zh-CN"/>
        </w:rPr>
        <w:t>重庆市荣昌区林业局</w:t>
      </w:r>
    </w:p>
    <w:p w14:paraId="5387B7F7">
      <w:pPr>
        <w:spacing w:line="700" w:lineRule="exact"/>
        <w:ind w:firstLine="1405" w:firstLineChars="500"/>
        <w:rPr>
          <w:rFonts w:hint="eastAsia" w:ascii="宋体" w:hAnsi="宋体" w:eastAsia="宋体" w:cs="宋体"/>
          <w:b/>
          <w:szCs w:val="28"/>
          <w:u w:val="single"/>
          <w:lang w:eastAsia="zh-CN"/>
        </w:rPr>
      </w:pPr>
      <w:r>
        <w:rPr>
          <w:rFonts w:hint="eastAsia" w:ascii="宋体" w:hAnsi="宋体" w:eastAsia="宋体" w:cs="宋体"/>
          <w:b/>
          <w:bCs/>
          <w:szCs w:val="28"/>
          <w:u w:val="single"/>
        </w:rPr>
        <w:t>采购代理机构：</w:t>
      </w:r>
      <w:r>
        <w:rPr>
          <w:rFonts w:hint="eastAsia" w:ascii="宋体" w:hAnsi="宋体" w:eastAsia="宋体" w:cs="宋体"/>
          <w:b/>
          <w:bCs/>
          <w:szCs w:val="28"/>
          <w:u w:val="single"/>
          <w:lang w:eastAsia="zh-CN"/>
        </w:rPr>
        <w:t>重庆联点项目管理有限公司</w:t>
      </w:r>
    </w:p>
    <w:p w14:paraId="162D01E1">
      <w:pPr>
        <w:spacing w:line="420" w:lineRule="exact"/>
        <w:rPr>
          <w:rFonts w:ascii="宋体" w:hAnsi="宋体" w:eastAsia="宋体" w:cs="宋体"/>
          <w:b/>
          <w:bCs/>
          <w:szCs w:val="28"/>
        </w:rPr>
      </w:pPr>
      <w:bookmarkStart w:id="10" w:name="_Toc11758"/>
      <w:bookmarkStart w:id="11" w:name="_Toc31448"/>
      <w:bookmarkStart w:id="12" w:name="_Toc4256"/>
      <w:bookmarkStart w:id="13" w:name="_Toc18387"/>
      <w:bookmarkStart w:id="14" w:name="_Toc2956"/>
      <w:bookmarkStart w:id="15" w:name="_Toc27136"/>
      <w:bookmarkStart w:id="16" w:name="_Toc5510"/>
    </w:p>
    <w:p w14:paraId="674BC696">
      <w:pPr>
        <w:spacing w:line="420" w:lineRule="exact"/>
        <w:jc w:val="center"/>
        <w:rPr>
          <w:rFonts w:ascii="宋体" w:hAnsi="宋体" w:eastAsia="宋体" w:cs="宋体"/>
          <w:b/>
          <w:bCs/>
          <w:szCs w:val="28"/>
        </w:rPr>
      </w:pPr>
    </w:p>
    <w:p w14:paraId="5EA2126C">
      <w:pPr>
        <w:spacing w:line="420" w:lineRule="exact"/>
        <w:jc w:val="center"/>
        <w:outlineLvl w:val="0"/>
        <w:rPr>
          <w:rFonts w:ascii="宋体" w:hAnsi="宋体" w:eastAsia="宋体" w:cs="宋体"/>
          <w:b/>
          <w:bCs/>
          <w:szCs w:val="28"/>
          <w:u w:val="single"/>
        </w:rPr>
      </w:pPr>
      <w:bookmarkStart w:id="17" w:name="_Toc11424"/>
      <w:bookmarkStart w:id="18" w:name="_Toc21471"/>
      <w:bookmarkStart w:id="19" w:name="_Toc127527437"/>
      <w:bookmarkStart w:id="20" w:name="_Toc132634019"/>
      <w:r>
        <w:rPr>
          <w:rFonts w:hint="eastAsia" w:ascii="宋体" w:hAnsi="宋体" w:eastAsia="宋体" w:cs="宋体"/>
          <w:b/>
          <w:bCs/>
          <w:szCs w:val="28"/>
          <w:u w:val="single"/>
          <w:lang w:val="en-US" w:eastAsia="zh-CN"/>
        </w:rPr>
        <w:t>2025</w:t>
      </w:r>
      <w:r>
        <w:rPr>
          <w:rFonts w:hint="eastAsia" w:ascii="宋体" w:hAnsi="宋体" w:eastAsia="宋体" w:cs="宋体"/>
          <w:b/>
          <w:bCs/>
          <w:szCs w:val="28"/>
          <w:u w:val="single"/>
        </w:rPr>
        <w:t>年</w:t>
      </w:r>
      <w:r>
        <w:rPr>
          <w:rFonts w:hint="eastAsia" w:ascii="宋体" w:hAnsi="宋体" w:eastAsia="宋体" w:cs="宋体"/>
          <w:b/>
          <w:bCs/>
          <w:szCs w:val="28"/>
          <w:u w:val="single"/>
          <w:lang w:val="en-US" w:eastAsia="zh-CN"/>
        </w:rPr>
        <w:t>10</w:t>
      </w:r>
      <w:r>
        <w:rPr>
          <w:rFonts w:hint="eastAsia" w:ascii="宋体" w:hAnsi="宋体" w:eastAsia="宋体" w:cs="宋体"/>
          <w:b/>
          <w:bCs/>
          <w:szCs w:val="28"/>
          <w:u w:val="single"/>
        </w:rPr>
        <w:t>月</w:t>
      </w:r>
      <w:bookmarkEnd w:id="10"/>
      <w:bookmarkEnd w:id="11"/>
      <w:bookmarkEnd w:id="12"/>
      <w:bookmarkEnd w:id="13"/>
      <w:bookmarkEnd w:id="14"/>
      <w:bookmarkEnd w:id="15"/>
      <w:bookmarkEnd w:id="16"/>
      <w:bookmarkEnd w:id="17"/>
      <w:bookmarkEnd w:id="18"/>
      <w:bookmarkEnd w:id="19"/>
      <w:bookmarkEnd w:id="20"/>
    </w:p>
    <w:p w14:paraId="7DC73F2A">
      <w:pPr>
        <w:jc w:val="center"/>
        <w:rPr>
          <w:rFonts w:ascii="宋体" w:hAnsi="宋体" w:eastAsia="宋体" w:cs="宋体"/>
          <w:b/>
          <w:sz w:val="44"/>
          <w:szCs w:val="28"/>
        </w:rPr>
      </w:pPr>
    </w:p>
    <w:p w14:paraId="451128A5">
      <w:pPr>
        <w:jc w:val="center"/>
        <w:rPr>
          <w:rFonts w:ascii="宋体" w:hAnsi="宋体" w:eastAsia="宋体" w:cs="宋体"/>
          <w:sz w:val="44"/>
          <w:szCs w:val="28"/>
        </w:rPr>
        <w:sectPr>
          <w:headerReference r:id="rId3" w:type="default"/>
          <w:footerReference r:id="rId4" w:type="default"/>
          <w:pgSz w:w="11915" w:h="16840"/>
          <w:pgMar w:top="1134" w:right="1134" w:bottom="1134" w:left="1134" w:header="964" w:footer="992" w:gutter="0"/>
          <w:pgNumType w:start="0"/>
          <w:cols w:space="720" w:num="1"/>
          <w:docGrid w:type="lines" w:linePitch="393" w:charSpace="0"/>
        </w:sectPr>
      </w:pPr>
    </w:p>
    <w:p w14:paraId="0A3A85A2">
      <w:pPr>
        <w:ind w:firstLine="4016" w:firstLineChars="1000"/>
        <w:rPr>
          <w:rFonts w:hint="eastAsia" w:ascii="宋体" w:hAnsi="宋体" w:eastAsia="宋体" w:cs="宋体"/>
          <w:color w:val="FF0000"/>
          <w:kern w:val="2"/>
          <w:sz w:val="28"/>
          <w:szCs w:val="28"/>
          <w:lang w:val="en-US" w:eastAsia="zh-CN" w:bidi="ar"/>
        </w:rPr>
      </w:pPr>
      <w:bookmarkStart w:id="21" w:name="_Toc12575"/>
      <w:bookmarkStart w:id="22" w:name="_Toc132984299"/>
      <w:bookmarkStart w:id="23" w:name="_Toc127527438"/>
      <w:bookmarkStart w:id="24" w:name="_Toc132634020"/>
      <w:bookmarkStart w:id="25" w:name="_Toc134095321"/>
      <w:bookmarkStart w:id="26" w:name="_Toc13165"/>
      <w:bookmarkStart w:id="27" w:name="_Toc141379971"/>
      <w:bookmarkStart w:id="28" w:name="_Toc132982922"/>
      <w:bookmarkStart w:id="29" w:name="_Toc6880"/>
      <w:bookmarkStart w:id="30" w:name="_Toc11237"/>
      <w:r>
        <w:rPr>
          <w:rFonts w:hint="eastAsia" w:ascii="宋体" w:hAnsi="宋体" w:eastAsia="宋体" w:cs="宋体"/>
          <w:b/>
          <w:kern w:val="2"/>
          <w:sz w:val="40"/>
          <w:szCs w:val="32"/>
          <w:lang w:val="en-US" w:eastAsia="zh-CN" w:bidi="ar"/>
        </w:rPr>
        <w:t>目  录</w:t>
      </w:r>
      <w:bookmarkEnd w:id="21"/>
      <w:bookmarkEnd w:id="22"/>
      <w:bookmarkEnd w:id="23"/>
      <w:bookmarkEnd w:id="24"/>
      <w:bookmarkEnd w:id="25"/>
      <w:bookmarkEnd w:id="26"/>
      <w:bookmarkEnd w:id="27"/>
      <w:bookmarkEnd w:id="28"/>
      <w:bookmarkEnd w:id="29"/>
      <w:bookmarkEnd w:id="30"/>
      <w:r>
        <w:rPr>
          <w:rFonts w:hint="eastAsia" w:ascii="宋体" w:hAnsi="宋体" w:eastAsia="宋体" w:cs="宋体"/>
          <w:color w:val="FF0000"/>
          <w:kern w:val="2"/>
          <w:sz w:val="44"/>
          <w:szCs w:val="28"/>
          <w:lang w:val="en-US" w:eastAsia="zh-CN" w:bidi="ar"/>
        </w:rPr>
        <w:fldChar w:fldCharType="begin"/>
      </w:r>
      <w:r>
        <w:rPr>
          <w:rFonts w:hint="eastAsia" w:ascii="宋体" w:hAnsi="宋体" w:eastAsia="宋体" w:cs="宋体"/>
          <w:color w:val="FF0000"/>
          <w:kern w:val="2"/>
          <w:sz w:val="44"/>
          <w:szCs w:val="28"/>
          <w:lang w:val="en-US" w:eastAsia="zh-CN" w:bidi="ar"/>
        </w:rPr>
        <w:instrText xml:space="preserve">TOC \o "1-3" \h \u </w:instrText>
      </w:r>
      <w:r>
        <w:rPr>
          <w:rFonts w:hint="eastAsia" w:ascii="宋体" w:hAnsi="宋体" w:eastAsia="宋体" w:cs="宋体"/>
          <w:color w:val="FF0000"/>
          <w:kern w:val="2"/>
          <w:sz w:val="44"/>
          <w:szCs w:val="28"/>
          <w:lang w:val="en-US" w:eastAsia="zh-CN" w:bidi="ar"/>
        </w:rPr>
        <w:fldChar w:fldCharType="separate"/>
      </w:r>
    </w:p>
    <w:p w14:paraId="2E565AF6">
      <w:pPr>
        <w:pStyle w:val="39"/>
        <w:tabs>
          <w:tab w:val="right" w:leader="dot" w:pos="9647"/>
        </w:tabs>
      </w:pPr>
    </w:p>
    <w:p w14:paraId="44522D9D">
      <w:pPr>
        <w:pStyle w:val="39"/>
        <w:tabs>
          <w:tab w:val="right" w:leader="dot" w:pos="9647"/>
        </w:tabs>
        <w:rPr>
          <w:sz w:val="28"/>
          <w:szCs w:val="18"/>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_Toc23771 </w:instrText>
      </w:r>
      <w:r>
        <w:rPr>
          <w:rFonts w:hint="eastAsia" w:ascii="宋体" w:hAnsi="宋体" w:eastAsia="宋体" w:cs="宋体"/>
          <w:b/>
          <w:bCs/>
          <w:kern w:val="2"/>
          <w:sz w:val="28"/>
          <w:szCs w:val="24"/>
          <w:lang w:val="en-US" w:eastAsia="zh-CN" w:bidi="ar"/>
        </w:rPr>
        <w:fldChar w:fldCharType="separate"/>
      </w:r>
      <w:r>
        <w:rPr>
          <w:rFonts w:hint="eastAsia" w:hAnsi="宋体" w:eastAsia="宋体" w:cs="宋体"/>
          <w:b/>
          <w:bCs/>
          <w:sz w:val="28"/>
          <w:szCs w:val="28"/>
        </w:rPr>
        <w:t>第一篇  竞争性谈判邀请书</w:t>
      </w:r>
      <w:r>
        <w:rPr>
          <w:b/>
          <w:bCs/>
          <w:sz w:val="28"/>
          <w:szCs w:val="18"/>
        </w:rPr>
        <w:tab/>
      </w:r>
      <w:r>
        <w:rPr>
          <w:b/>
          <w:bCs/>
          <w:sz w:val="28"/>
          <w:szCs w:val="18"/>
        </w:rPr>
        <w:fldChar w:fldCharType="begin"/>
      </w:r>
      <w:r>
        <w:rPr>
          <w:b/>
          <w:bCs/>
          <w:sz w:val="28"/>
          <w:szCs w:val="18"/>
        </w:rPr>
        <w:instrText xml:space="preserve"> PAGEREF _Toc23771 \h </w:instrText>
      </w:r>
      <w:r>
        <w:rPr>
          <w:b/>
          <w:bCs/>
          <w:sz w:val="28"/>
          <w:szCs w:val="18"/>
        </w:rPr>
        <w:fldChar w:fldCharType="separate"/>
      </w:r>
      <w:r>
        <w:rPr>
          <w:b/>
          <w:bCs/>
          <w:sz w:val="28"/>
          <w:szCs w:val="18"/>
        </w:rPr>
        <w:t>2</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566A1EC4">
      <w:pPr>
        <w:pStyle w:val="39"/>
        <w:tabs>
          <w:tab w:val="right" w:leader="dot" w:pos="9647"/>
        </w:tabs>
        <w:rPr>
          <w:b/>
          <w:bCs/>
          <w:sz w:val="28"/>
          <w:szCs w:val="18"/>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_Toc14075 </w:instrText>
      </w:r>
      <w:r>
        <w:rPr>
          <w:rFonts w:hint="eastAsia" w:ascii="宋体" w:hAnsi="宋体" w:eastAsia="宋体" w:cs="宋体"/>
          <w:b/>
          <w:bCs/>
          <w:kern w:val="2"/>
          <w:sz w:val="28"/>
          <w:szCs w:val="24"/>
          <w:lang w:val="en-US" w:eastAsia="zh-CN" w:bidi="ar"/>
        </w:rPr>
        <w:fldChar w:fldCharType="separate"/>
      </w:r>
      <w:r>
        <w:rPr>
          <w:rFonts w:hint="eastAsia" w:ascii="宋体" w:hAnsi="宋体" w:eastAsia="宋体" w:cs="宋体"/>
          <w:b/>
          <w:bCs/>
          <w:kern w:val="2"/>
          <w:sz w:val="28"/>
          <w:szCs w:val="32"/>
          <w:lang w:val="en-US" w:eastAsia="zh-CN" w:bidi="ar-SA"/>
        </w:rPr>
        <w:t>第二篇  谈判项目信息及技术需求</w:t>
      </w:r>
      <w:r>
        <w:rPr>
          <w:b/>
          <w:bCs/>
          <w:sz w:val="28"/>
          <w:szCs w:val="18"/>
        </w:rPr>
        <w:tab/>
      </w:r>
      <w:r>
        <w:rPr>
          <w:b/>
          <w:bCs/>
          <w:sz w:val="28"/>
          <w:szCs w:val="18"/>
        </w:rPr>
        <w:fldChar w:fldCharType="begin"/>
      </w:r>
      <w:r>
        <w:rPr>
          <w:b/>
          <w:bCs/>
          <w:sz w:val="28"/>
          <w:szCs w:val="18"/>
        </w:rPr>
        <w:instrText xml:space="preserve"> PAGEREF _Toc14075 \h </w:instrText>
      </w:r>
      <w:r>
        <w:rPr>
          <w:b/>
          <w:bCs/>
          <w:sz w:val="28"/>
          <w:szCs w:val="18"/>
        </w:rPr>
        <w:fldChar w:fldCharType="separate"/>
      </w:r>
      <w:r>
        <w:rPr>
          <w:b/>
          <w:bCs/>
          <w:sz w:val="28"/>
          <w:szCs w:val="18"/>
        </w:rPr>
        <w:t>5</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4CA6B1A4">
      <w:pPr>
        <w:pStyle w:val="39"/>
        <w:tabs>
          <w:tab w:val="right" w:leader="dot" w:pos="9647"/>
        </w:tabs>
        <w:rPr>
          <w:sz w:val="28"/>
          <w:szCs w:val="18"/>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_Toc14075 </w:instrText>
      </w:r>
      <w:r>
        <w:rPr>
          <w:rFonts w:hint="eastAsia" w:ascii="宋体" w:hAnsi="宋体" w:eastAsia="宋体" w:cs="宋体"/>
          <w:b/>
          <w:bCs/>
          <w:kern w:val="2"/>
          <w:sz w:val="28"/>
          <w:szCs w:val="24"/>
          <w:lang w:val="en-US" w:eastAsia="zh-CN" w:bidi="ar"/>
        </w:rPr>
        <w:fldChar w:fldCharType="separate"/>
      </w:r>
      <w:r>
        <w:rPr>
          <w:rFonts w:hint="eastAsia" w:ascii="宋体" w:hAnsi="宋体" w:eastAsia="宋体" w:cs="宋体"/>
          <w:b/>
          <w:bCs/>
          <w:kern w:val="2"/>
          <w:sz w:val="28"/>
          <w:szCs w:val="32"/>
          <w:lang w:val="en-US" w:eastAsia="zh-CN" w:bidi="ar-SA"/>
        </w:rPr>
        <w:t>第三篇  谈判项目商务需求</w:t>
      </w:r>
      <w:r>
        <w:rPr>
          <w:b/>
          <w:bCs/>
          <w:sz w:val="28"/>
          <w:szCs w:val="18"/>
        </w:rPr>
        <w:tab/>
      </w:r>
      <w:r>
        <w:rPr>
          <w:rFonts w:hint="eastAsia"/>
          <w:b/>
          <w:bCs/>
          <w:sz w:val="28"/>
          <w:szCs w:val="18"/>
          <w:lang w:val="en-US" w:eastAsia="zh-CN"/>
        </w:rPr>
        <w:t>6</w:t>
      </w:r>
      <w:r>
        <w:rPr>
          <w:rFonts w:hint="eastAsia" w:ascii="宋体" w:hAnsi="宋体" w:eastAsia="宋体" w:cs="宋体"/>
          <w:b/>
          <w:bCs/>
          <w:color w:val="FF0000"/>
          <w:kern w:val="2"/>
          <w:sz w:val="28"/>
          <w:szCs w:val="24"/>
          <w:lang w:val="en-US" w:eastAsia="zh-CN" w:bidi="ar"/>
        </w:rPr>
        <w:fldChar w:fldCharType="end"/>
      </w:r>
    </w:p>
    <w:p w14:paraId="64F704ED">
      <w:pPr>
        <w:pStyle w:val="39"/>
        <w:tabs>
          <w:tab w:val="right" w:leader="dot" w:pos="9647"/>
        </w:tabs>
        <w:rPr>
          <w:sz w:val="28"/>
          <w:szCs w:val="18"/>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_Toc1219 </w:instrText>
      </w:r>
      <w:r>
        <w:rPr>
          <w:rFonts w:hint="eastAsia" w:ascii="宋体" w:hAnsi="宋体" w:eastAsia="宋体" w:cs="宋体"/>
          <w:b/>
          <w:bCs/>
          <w:kern w:val="2"/>
          <w:sz w:val="28"/>
          <w:szCs w:val="24"/>
          <w:lang w:val="en-US" w:eastAsia="zh-CN" w:bidi="ar"/>
        </w:rPr>
        <w:fldChar w:fldCharType="separate"/>
      </w:r>
      <w:r>
        <w:rPr>
          <w:rFonts w:hint="eastAsia" w:hAnsi="宋体" w:eastAsia="宋体" w:cs="宋体"/>
          <w:b/>
          <w:bCs/>
          <w:sz w:val="28"/>
          <w:szCs w:val="28"/>
        </w:rPr>
        <w:t>第四篇  采购程序、评定成交的标准、无效谈判及采购终止</w:t>
      </w:r>
      <w:r>
        <w:rPr>
          <w:b/>
          <w:bCs/>
          <w:sz w:val="28"/>
          <w:szCs w:val="18"/>
        </w:rPr>
        <w:tab/>
      </w:r>
      <w:r>
        <w:rPr>
          <w:b/>
          <w:bCs/>
          <w:sz w:val="28"/>
          <w:szCs w:val="18"/>
        </w:rPr>
        <w:fldChar w:fldCharType="begin"/>
      </w:r>
      <w:r>
        <w:rPr>
          <w:b/>
          <w:bCs/>
          <w:sz w:val="28"/>
          <w:szCs w:val="18"/>
        </w:rPr>
        <w:instrText xml:space="preserve"> PAGEREF _Toc1219 \h </w:instrText>
      </w:r>
      <w:r>
        <w:rPr>
          <w:b/>
          <w:bCs/>
          <w:sz w:val="28"/>
          <w:szCs w:val="18"/>
        </w:rPr>
        <w:fldChar w:fldCharType="separate"/>
      </w:r>
      <w:r>
        <w:rPr>
          <w:b/>
          <w:bCs/>
          <w:sz w:val="28"/>
          <w:szCs w:val="18"/>
        </w:rPr>
        <w:t>8</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48340ABB">
      <w:pPr>
        <w:pStyle w:val="39"/>
        <w:tabs>
          <w:tab w:val="right" w:leader="dot" w:pos="9647"/>
        </w:tabs>
        <w:rPr>
          <w:sz w:val="28"/>
          <w:szCs w:val="18"/>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_Toc21293 </w:instrText>
      </w:r>
      <w:r>
        <w:rPr>
          <w:rFonts w:hint="eastAsia" w:ascii="宋体" w:hAnsi="宋体" w:eastAsia="宋体" w:cs="宋体"/>
          <w:b/>
          <w:bCs/>
          <w:kern w:val="2"/>
          <w:sz w:val="28"/>
          <w:szCs w:val="24"/>
          <w:lang w:val="en-US" w:eastAsia="zh-CN" w:bidi="ar"/>
        </w:rPr>
        <w:fldChar w:fldCharType="separate"/>
      </w:r>
      <w:r>
        <w:rPr>
          <w:rFonts w:hint="eastAsia" w:hAnsi="宋体" w:eastAsia="宋体" w:cs="宋体"/>
          <w:b/>
          <w:bCs/>
          <w:sz w:val="28"/>
          <w:szCs w:val="28"/>
        </w:rPr>
        <w:t>第五篇  供应商须知</w:t>
      </w:r>
      <w:r>
        <w:rPr>
          <w:b/>
          <w:bCs/>
          <w:sz w:val="28"/>
          <w:szCs w:val="18"/>
        </w:rPr>
        <w:tab/>
      </w:r>
      <w:r>
        <w:rPr>
          <w:b/>
          <w:bCs/>
          <w:sz w:val="28"/>
          <w:szCs w:val="18"/>
        </w:rPr>
        <w:fldChar w:fldCharType="begin"/>
      </w:r>
      <w:r>
        <w:rPr>
          <w:b/>
          <w:bCs/>
          <w:sz w:val="28"/>
          <w:szCs w:val="18"/>
        </w:rPr>
        <w:instrText xml:space="preserve"> PAGEREF _Toc21293 \h </w:instrText>
      </w:r>
      <w:r>
        <w:rPr>
          <w:b/>
          <w:bCs/>
          <w:sz w:val="28"/>
          <w:szCs w:val="18"/>
        </w:rPr>
        <w:fldChar w:fldCharType="separate"/>
      </w:r>
      <w:r>
        <w:rPr>
          <w:b/>
          <w:bCs/>
          <w:sz w:val="28"/>
          <w:szCs w:val="18"/>
        </w:rPr>
        <w:t>12</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21B50879">
      <w:pPr>
        <w:pStyle w:val="39"/>
        <w:tabs>
          <w:tab w:val="right" w:leader="dot" w:pos="9647"/>
        </w:tabs>
        <w:rPr>
          <w:rFonts w:hint="eastAsia" w:ascii="宋体" w:hAnsi="宋体" w:eastAsia="宋体" w:cs="宋体"/>
          <w:b/>
          <w:bCs/>
          <w:color w:val="FF0000"/>
          <w:kern w:val="2"/>
          <w:sz w:val="28"/>
          <w:szCs w:val="24"/>
          <w:lang w:val="en-US" w:eastAsia="zh-CN" w:bidi="ar"/>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_Toc21293 </w:instrText>
      </w:r>
      <w:r>
        <w:rPr>
          <w:rFonts w:hint="eastAsia" w:ascii="宋体" w:hAnsi="宋体" w:eastAsia="宋体" w:cs="宋体"/>
          <w:b/>
          <w:bCs/>
          <w:kern w:val="2"/>
          <w:sz w:val="28"/>
          <w:szCs w:val="24"/>
          <w:lang w:val="en-US" w:eastAsia="zh-CN" w:bidi="ar"/>
        </w:rPr>
        <w:fldChar w:fldCharType="separate"/>
      </w:r>
      <w:r>
        <w:rPr>
          <w:rFonts w:hint="eastAsia" w:hAnsi="宋体" w:eastAsia="宋体" w:cs="宋体"/>
          <w:b/>
          <w:bCs/>
          <w:sz w:val="28"/>
          <w:szCs w:val="28"/>
        </w:rPr>
        <w:t>第</w:t>
      </w:r>
      <w:r>
        <w:rPr>
          <w:rFonts w:hint="eastAsia" w:hAnsi="宋体" w:eastAsia="宋体" w:cs="宋体"/>
          <w:b/>
          <w:bCs/>
          <w:sz w:val="28"/>
          <w:szCs w:val="28"/>
          <w:lang w:val="en-US" w:eastAsia="zh-CN"/>
        </w:rPr>
        <w:t>六</w:t>
      </w:r>
      <w:r>
        <w:rPr>
          <w:rFonts w:hint="eastAsia" w:hAnsi="宋体" w:eastAsia="宋体" w:cs="宋体"/>
          <w:b/>
          <w:bCs/>
          <w:sz w:val="28"/>
          <w:szCs w:val="28"/>
        </w:rPr>
        <w:t xml:space="preserve">篇  </w:t>
      </w:r>
      <w:r>
        <w:rPr>
          <w:rFonts w:hint="eastAsia" w:hAnsi="宋体" w:eastAsia="宋体" w:cs="宋体"/>
          <w:b/>
          <w:bCs/>
          <w:sz w:val="28"/>
          <w:szCs w:val="28"/>
          <w:lang w:val="en-US" w:eastAsia="zh-CN"/>
        </w:rPr>
        <w:t>合同模板</w:t>
      </w:r>
      <w:r>
        <w:rPr>
          <w:b/>
          <w:bCs/>
          <w:sz w:val="28"/>
          <w:szCs w:val="18"/>
        </w:rPr>
        <w:tab/>
      </w:r>
      <w:r>
        <w:rPr>
          <w:b/>
          <w:bCs/>
          <w:sz w:val="28"/>
          <w:szCs w:val="18"/>
        </w:rPr>
        <w:fldChar w:fldCharType="begin"/>
      </w:r>
      <w:r>
        <w:rPr>
          <w:b/>
          <w:bCs/>
          <w:sz w:val="28"/>
          <w:szCs w:val="18"/>
        </w:rPr>
        <w:instrText xml:space="preserve"> PAGEREF _Toc21293 \h </w:instrText>
      </w:r>
      <w:r>
        <w:rPr>
          <w:b/>
          <w:bCs/>
          <w:sz w:val="28"/>
          <w:szCs w:val="18"/>
        </w:rPr>
        <w:fldChar w:fldCharType="separate"/>
      </w:r>
      <w:r>
        <w:rPr>
          <w:b/>
          <w:bCs/>
          <w:sz w:val="28"/>
          <w:szCs w:val="18"/>
        </w:rPr>
        <w:t>12</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3B88AEAD">
      <w:pPr>
        <w:pStyle w:val="39"/>
        <w:tabs>
          <w:tab w:val="right" w:leader="dot" w:pos="9647"/>
        </w:tabs>
        <w:rPr>
          <w:b/>
          <w:bCs/>
        </w:rPr>
      </w:pPr>
      <w:r>
        <w:rPr>
          <w:rFonts w:hint="eastAsia" w:ascii="宋体" w:hAnsi="宋体" w:eastAsia="宋体" w:cs="宋体"/>
          <w:b/>
          <w:bCs/>
          <w:color w:val="FF0000"/>
          <w:kern w:val="2"/>
          <w:sz w:val="28"/>
          <w:szCs w:val="24"/>
          <w:lang w:val="en-US" w:eastAsia="zh-CN" w:bidi="ar"/>
        </w:rPr>
        <w:fldChar w:fldCharType="begin"/>
      </w:r>
      <w:r>
        <w:rPr>
          <w:rFonts w:hint="eastAsia" w:ascii="宋体" w:hAnsi="宋体" w:eastAsia="宋体" w:cs="宋体"/>
          <w:b/>
          <w:bCs/>
          <w:kern w:val="2"/>
          <w:sz w:val="28"/>
          <w:szCs w:val="24"/>
          <w:lang w:val="en-US" w:eastAsia="zh-CN" w:bidi="ar"/>
        </w:rPr>
        <w:instrText xml:space="preserve"> HYPERLINK \l _Toc24022 </w:instrText>
      </w:r>
      <w:r>
        <w:rPr>
          <w:rFonts w:hint="eastAsia" w:ascii="宋体" w:hAnsi="宋体" w:eastAsia="宋体" w:cs="宋体"/>
          <w:b/>
          <w:bCs/>
          <w:kern w:val="2"/>
          <w:sz w:val="28"/>
          <w:szCs w:val="24"/>
          <w:lang w:val="en-US" w:eastAsia="zh-CN" w:bidi="ar"/>
        </w:rPr>
        <w:fldChar w:fldCharType="separate"/>
      </w:r>
      <w:r>
        <w:rPr>
          <w:rFonts w:hint="eastAsia" w:hAnsi="宋体" w:eastAsia="宋体" w:cs="宋体"/>
          <w:b/>
          <w:bCs/>
          <w:sz w:val="28"/>
          <w:szCs w:val="28"/>
        </w:rPr>
        <w:t>第七篇  响应文件格式要求</w:t>
      </w:r>
      <w:r>
        <w:rPr>
          <w:b/>
          <w:bCs/>
          <w:sz w:val="28"/>
          <w:szCs w:val="18"/>
        </w:rPr>
        <w:tab/>
      </w:r>
      <w:r>
        <w:rPr>
          <w:b/>
          <w:bCs/>
          <w:sz w:val="28"/>
          <w:szCs w:val="18"/>
        </w:rPr>
        <w:fldChar w:fldCharType="begin"/>
      </w:r>
      <w:r>
        <w:rPr>
          <w:b/>
          <w:bCs/>
          <w:sz w:val="28"/>
          <w:szCs w:val="18"/>
        </w:rPr>
        <w:instrText xml:space="preserve"> PAGEREF _Toc24022 \h </w:instrText>
      </w:r>
      <w:r>
        <w:rPr>
          <w:b/>
          <w:bCs/>
          <w:sz w:val="28"/>
          <w:szCs w:val="18"/>
        </w:rPr>
        <w:fldChar w:fldCharType="separate"/>
      </w:r>
      <w:r>
        <w:rPr>
          <w:b/>
          <w:bCs/>
          <w:sz w:val="28"/>
          <w:szCs w:val="18"/>
        </w:rPr>
        <w:t>21</w:t>
      </w:r>
      <w:r>
        <w:rPr>
          <w:b/>
          <w:bCs/>
          <w:sz w:val="28"/>
          <w:szCs w:val="18"/>
        </w:rPr>
        <w:fldChar w:fldCharType="end"/>
      </w:r>
      <w:r>
        <w:rPr>
          <w:rFonts w:hint="eastAsia" w:ascii="宋体" w:hAnsi="宋体" w:eastAsia="宋体" w:cs="宋体"/>
          <w:b/>
          <w:bCs/>
          <w:color w:val="FF0000"/>
          <w:kern w:val="2"/>
          <w:sz w:val="28"/>
          <w:szCs w:val="24"/>
          <w:lang w:val="en-US" w:eastAsia="zh-CN" w:bidi="ar"/>
        </w:rPr>
        <w:fldChar w:fldCharType="end"/>
      </w:r>
    </w:p>
    <w:p w14:paraId="28D5D583">
      <w:pPr>
        <w:pStyle w:val="48"/>
        <w:tabs>
          <w:tab w:val="right" w:leader="dot" w:pos="9647"/>
        </w:tabs>
      </w:pPr>
    </w:p>
    <w:p w14:paraId="2B656EB7">
      <w:pPr>
        <w:keepNext w:val="0"/>
        <w:keepLines w:val="0"/>
        <w:widowControl w:val="0"/>
        <w:suppressLineNumbers w:val="0"/>
        <w:spacing w:before="0" w:beforeAutospacing="0" w:after="0" w:afterAutospacing="0"/>
        <w:ind w:left="0" w:right="0"/>
        <w:jc w:val="center"/>
        <w:outlineLvl w:val="0"/>
        <w:rPr>
          <w:rFonts w:ascii="宋体" w:hAnsi="宋体" w:eastAsia="宋体" w:cs="宋体"/>
          <w:color w:val="FF0000"/>
          <w:szCs w:val="28"/>
        </w:rPr>
      </w:pPr>
      <w:r>
        <w:rPr>
          <w:rFonts w:hint="eastAsia" w:ascii="宋体" w:hAnsi="宋体" w:eastAsia="宋体" w:cs="宋体"/>
          <w:color w:val="FF0000"/>
          <w:kern w:val="2"/>
          <w:sz w:val="28"/>
          <w:szCs w:val="28"/>
          <w:lang w:val="en-US" w:eastAsia="zh-CN" w:bidi="ar"/>
        </w:rPr>
        <w:fldChar w:fldCharType="end"/>
      </w:r>
    </w:p>
    <w:p w14:paraId="44A9C2FC"/>
    <w:p w14:paraId="1DB98FC8"/>
    <w:p w14:paraId="3277C7D0">
      <w:pPr>
        <w:rPr>
          <w:rFonts w:ascii="宋体" w:hAnsi="宋体" w:eastAsia="宋体" w:cs="宋体"/>
        </w:rPr>
        <w:sectPr>
          <w:footerReference r:id="rId5" w:type="default"/>
          <w:pgSz w:w="11915" w:h="16840"/>
          <w:pgMar w:top="1134" w:right="1134" w:bottom="1134" w:left="1134" w:header="850" w:footer="850" w:gutter="0"/>
          <w:pgNumType w:start="1"/>
          <w:cols w:space="720" w:num="1"/>
          <w:docGrid w:type="lines" w:linePitch="393" w:charSpace="0"/>
        </w:sectPr>
      </w:pPr>
    </w:p>
    <w:p w14:paraId="2872DA38">
      <w:pPr>
        <w:pStyle w:val="3"/>
        <w:spacing w:line="440" w:lineRule="exact"/>
        <w:jc w:val="center"/>
        <w:rPr>
          <w:rFonts w:hAnsi="宋体" w:eastAsia="宋体" w:cs="宋体"/>
          <w:sz w:val="36"/>
          <w:szCs w:val="30"/>
        </w:rPr>
      </w:pPr>
      <w:bookmarkStart w:id="31" w:name="_Toc19557"/>
      <w:bookmarkStart w:id="32" w:name="_Toc29973"/>
      <w:bookmarkStart w:id="33" w:name="_Toc6400"/>
      <w:bookmarkStart w:id="34" w:name="_Toc23771"/>
      <w:bookmarkStart w:id="35" w:name="_Toc17642"/>
      <w:bookmarkStart w:id="36" w:name="_Toc10131"/>
      <w:bookmarkStart w:id="37" w:name="_Toc132634021"/>
      <w:r>
        <w:rPr>
          <w:rFonts w:hint="eastAsia" w:hAnsi="宋体" w:eastAsia="宋体" w:cs="宋体"/>
          <w:b/>
          <w:bCs/>
          <w:sz w:val="36"/>
          <w:szCs w:val="30"/>
        </w:rPr>
        <w:t>第一篇  竞争性谈判邀请书</w:t>
      </w:r>
      <w:bookmarkEnd w:id="31"/>
      <w:bookmarkEnd w:id="32"/>
      <w:bookmarkEnd w:id="33"/>
      <w:bookmarkEnd w:id="34"/>
      <w:bookmarkEnd w:id="35"/>
      <w:bookmarkEnd w:id="36"/>
      <w:bookmarkEnd w:id="37"/>
    </w:p>
    <w:p w14:paraId="1EDEBF9E">
      <w:pPr>
        <w:spacing w:line="440" w:lineRule="exact"/>
        <w:ind w:firstLine="480" w:firstLineChars="200"/>
        <w:rPr>
          <w:rFonts w:ascii="宋体" w:hAnsi="宋体" w:eastAsia="宋体" w:cs="宋体"/>
          <w:bCs/>
          <w:sz w:val="24"/>
          <w:szCs w:val="24"/>
        </w:rPr>
      </w:pPr>
      <w:r>
        <w:rPr>
          <w:rFonts w:hint="eastAsia" w:ascii="宋体" w:hAnsi="宋体" w:eastAsia="宋体" w:cs="宋体"/>
          <w:sz w:val="24"/>
          <w:szCs w:val="24"/>
          <w:lang w:eastAsia="zh-CN"/>
        </w:rPr>
        <w:t>重庆联点项目管理有限公司</w:t>
      </w:r>
      <w:r>
        <w:rPr>
          <w:rFonts w:hint="eastAsia" w:ascii="宋体" w:hAnsi="宋体" w:eastAsia="宋体" w:cs="宋体"/>
          <w:sz w:val="24"/>
          <w:szCs w:val="24"/>
        </w:rPr>
        <w:t>（以下简称：采购代理机构）接受</w:t>
      </w:r>
      <w:r>
        <w:rPr>
          <w:rFonts w:hint="eastAsia" w:ascii="宋体" w:hAnsi="宋体" w:eastAsia="宋体" w:cs="宋体"/>
          <w:sz w:val="24"/>
          <w:szCs w:val="24"/>
          <w:lang w:eastAsia="zh-CN"/>
        </w:rPr>
        <w:t>重庆市荣昌区林业局</w:t>
      </w:r>
      <w:r>
        <w:rPr>
          <w:rFonts w:hint="eastAsia" w:ascii="宋体" w:hAnsi="宋体" w:eastAsia="宋体" w:cs="宋体"/>
          <w:sz w:val="24"/>
          <w:szCs w:val="24"/>
        </w:rPr>
        <w:t>的委托，对</w:t>
      </w:r>
      <w:r>
        <w:rPr>
          <w:rFonts w:hint="eastAsia" w:ascii="宋体" w:hAnsi="宋体" w:eastAsia="宋体" w:cs="宋体"/>
          <w:bCs/>
          <w:sz w:val="24"/>
          <w:szCs w:val="24"/>
          <w:lang w:eastAsia="zh-CN"/>
        </w:rPr>
        <w:t>荣昌区林业局名木古树复壮服务</w:t>
      </w:r>
      <w:r>
        <w:rPr>
          <w:rFonts w:hint="eastAsia" w:ascii="宋体" w:hAnsi="宋体" w:eastAsia="宋体" w:cs="宋体"/>
          <w:bCs/>
          <w:sz w:val="24"/>
          <w:szCs w:val="24"/>
        </w:rPr>
        <w:t>进行竞争性谈判采购，欢迎有资格的供应商前来参加谈判。</w:t>
      </w:r>
    </w:p>
    <w:p w14:paraId="682A29CB">
      <w:pPr>
        <w:pStyle w:val="4"/>
        <w:spacing w:before="0" w:after="0" w:line="440" w:lineRule="exact"/>
        <w:ind w:firstLine="482" w:firstLineChars="200"/>
        <w:rPr>
          <w:rFonts w:ascii="宋体" w:hAnsi="宋体" w:eastAsia="宋体" w:cs="宋体"/>
          <w:sz w:val="24"/>
          <w:szCs w:val="24"/>
        </w:rPr>
      </w:pPr>
      <w:bookmarkStart w:id="38" w:name="_Toc1257"/>
      <w:bookmarkStart w:id="39" w:name="_Toc7004"/>
      <w:bookmarkStart w:id="40" w:name="_Toc132634022"/>
      <w:bookmarkStart w:id="41" w:name="_Toc2861"/>
      <w:bookmarkStart w:id="42" w:name="_Toc22922"/>
      <w:bookmarkStart w:id="43" w:name="_Toc22063"/>
      <w:bookmarkStart w:id="44" w:name="_Toc21954"/>
      <w:r>
        <w:rPr>
          <w:rFonts w:hint="eastAsia" w:ascii="宋体" w:hAnsi="宋体" w:eastAsia="宋体" w:cs="宋体"/>
          <w:sz w:val="24"/>
          <w:szCs w:val="24"/>
        </w:rPr>
        <w:t>一、竞争性谈判内容</w:t>
      </w:r>
      <w:bookmarkEnd w:id="38"/>
      <w:bookmarkEnd w:id="39"/>
      <w:bookmarkEnd w:id="40"/>
      <w:bookmarkEnd w:id="41"/>
      <w:bookmarkEnd w:id="42"/>
      <w:bookmarkEnd w:id="43"/>
      <w:bookmarkEnd w:id="44"/>
    </w:p>
    <w:tbl>
      <w:tblPr>
        <w:tblStyle w:val="61"/>
        <w:tblW w:w="94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9"/>
        <w:gridCol w:w="1882"/>
        <w:gridCol w:w="1537"/>
        <w:gridCol w:w="3661"/>
      </w:tblGrid>
      <w:tr w14:paraId="1A26D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49" w:type="dxa"/>
            <w:vAlign w:val="center"/>
          </w:tcPr>
          <w:p w14:paraId="6B8EF871">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sz w:val="24"/>
                <w:szCs w:val="24"/>
              </w:rPr>
            </w:pPr>
            <w:bookmarkStart w:id="45" w:name="_Toc7368"/>
            <w:bookmarkStart w:id="46" w:name="_Toc2886"/>
            <w:bookmarkStart w:id="47" w:name="_Toc28992"/>
            <w:bookmarkStart w:id="48" w:name="_Toc31159"/>
            <w:bookmarkStart w:id="49" w:name="_Toc132634023"/>
            <w:bookmarkStart w:id="50" w:name="_Toc127527441"/>
            <w:bookmarkStart w:id="51" w:name="_Toc3423"/>
            <w:bookmarkStart w:id="52" w:name="_Toc20011"/>
            <w:bookmarkStart w:id="53" w:name="_Toc11408"/>
            <w:r>
              <w:rPr>
                <w:rFonts w:hint="eastAsia" w:ascii="宋体" w:hAnsi="宋体" w:eastAsia="宋体" w:cs="宋体"/>
                <w:b/>
                <w:sz w:val="24"/>
                <w:szCs w:val="24"/>
              </w:rPr>
              <w:t>项目名称</w:t>
            </w:r>
            <w:bookmarkEnd w:id="45"/>
            <w:bookmarkEnd w:id="46"/>
            <w:bookmarkEnd w:id="47"/>
            <w:bookmarkEnd w:id="48"/>
            <w:bookmarkEnd w:id="49"/>
            <w:bookmarkEnd w:id="50"/>
          </w:p>
        </w:tc>
        <w:tc>
          <w:tcPr>
            <w:tcW w:w="1882" w:type="dxa"/>
            <w:vAlign w:val="center"/>
          </w:tcPr>
          <w:p w14:paraId="2D2BA0ED">
            <w:pPr>
              <w:pStyle w:val="23"/>
              <w:keepNext w:val="0"/>
              <w:keepLines w:val="0"/>
              <w:suppressLineNumbers w:val="0"/>
              <w:spacing w:before="0" w:beforeAutospacing="0" w:after="0" w:afterAutospacing="0" w:line="240" w:lineRule="atLeast"/>
              <w:ind w:left="0" w:right="0"/>
              <w:jc w:val="center"/>
              <w:outlineLvl w:val="0"/>
              <w:rPr>
                <w:rFonts w:hint="eastAsia" w:ascii="宋体" w:hAnsi="宋体" w:eastAsia="宋体" w:cs="宋体"/>
                <w:b/>
                <w:sz w:val="24"/>
                <w:szCs w:val="24"/>
              </w:rPr>
            </w:pPr>
            <w:bookmarkStart w:id="54" w:name="_Toc26273"/>
            <w:bookmarkStart w:id="55" w:name="_Toc132634024"/>
            <w:bookmarkStart w:id="56" w:name="_Toc6890"/>
            <w:bookmarkStart w:id="57" w:name="_Toc127527442"/>
            <w:bookmarkStart w:id="58" w:name="_Toc997"/>
            <w:bookmarkStart w:id="59" w:name="_Toc25364"/>
            <w:r>
              <w:rPr>
                <w:rFonts w:hint="eastAsia" w:ascii="宋体" w:hAnsi="宋体" w:eastAsia="宋体" w:cs="宋体"/>
                <w:b/>
                <w:sz w:val="24"/>
                <w:szCs w:val="24"/>
              </w:rPr>
              <w:t>最高限价</w:t>
            </w:r>
            <w:bookmarkEnd w:id="54"/>
          </w:p>
          <w:p w14:paraId="768040C0">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sz w:val="24"/>
                <w:szCs w:val="24"/>
              </w:rPr>
            </w:pPr>
            <w:bookmarkStart w:id="60" w:name="_Toc20489"/>
            <w:r>
              <w:rPr>
                <w:rFonts w:hint="eastAsia" w:ascii="宋体" w:hAnsi="宋体" w:eastAsia="宋体" w:cs="宋体"/>
                <w:b/>
                <w:sz w:val="24"/>
                <w:szCs w:val="24"/>
              </w:rPr>
              <w:t>（</w:t>
            </w:r>
            <w:r>
              <w:rPr>
                <w:rFonts w:hint="eastAsia" w:ascii="宋体" w:hAnsi="宋体" w:eastAsia="宋体" w:cs="宋体"/>
                <w:b/>
                <w:sz w:val="24"/>
                <w:szCs w:val="24"/>
                <w:lang w:val="en-US" w:eastAsia="zh-CN"/>
              </w:rPr>
              <w:t>万</w:t>
            </w:r>
            <w:r>
              <w:rPr>
                <w:rFonts w:hint="eastAsia" w:ascii="宋体" w:hAnsi="宋体" w:eastAsia="宋体" w:cs="宋体"/>
                <w:b/>
                <w:sz w:val="24"/>
                <w:szCs w:val="24"/>
              </w:rPr>
              <w:t>元）</w:t>
            </w:r>
            <w:bookmarkEnd w:id="55"/>
            <w:bookmarkEnd w:id="56"/>
            <w:bookmarkEnd w:id="57"/>
            <w:bookmarkEnd w:id="58"/>
            <w:bookmarkEnd w:id="59"/>
            <w:bookmarkEnd w:id="60"/>
          </w:p>
        </w:tc>
        <w:tc>
          <w:tcPr>
            <w:tcW w:w="1537" w:type="dxa"/>
            <w:vAlign w:val="center"/>
          </w:tcPr>
          <w:p w14:paraId="79BB9FDC">
            <w:pPr>
              <w:pStyle w:val="23"/>
              <w:keepNext w:val="0"/>
              <w:keepLines w:val="0"/>
              <w:suppressLineNumbers w:val="0"/>
              <w:spacing w:before="0" w:beforeAutospacing="0" w:after="0" w:afterAutospacing="0" w:line="240" w:lineRule="atLeast"/>
              <w:ind w:left="0" w:right="0"/>
              <w:jc w:val="center"/>
              <w:outlineLvl w:val="0"/>
              <w:rPr>
                <w:rFonts w:hint="eastAsia" w:ascii="宋体" w:hAnsi="宋体" w:eastAsia="宋体" w:cs="宋体"/>
                <w:b/>
                <w:sz w:val="24"/>
                <w:szCs w:val="24"/>
                <w:lang w:eastAsia="zh-CN"/>
              </w:rPr>
            </w:pPr>
            <w:bookmarkStart w:id="61" w:name="_Toc28130"/>
            <w:bookmarkStart w:id="62" w:name="_Toc132634027"/>
            <w:bookmarkStart w:id="63" w:name="_Toc127527445"/>
            <w:bookmarkStart w:id="64" w:name="_Toc22693"/>
            <w:bookmarkStart w:id="65" w:name="_Toc11089"/>
            <w:bookmarkStart w:id="66" w:name="_Toc31211"/>
            <w:r>
              <w:rPr>
                <w:rFonts w:hint="eastAsia" w:ascii="宋体" w:hAnsi="宋体" w:eastAsia="宋体" w:cs="宋体"/>
                <w:b/>
                <w:sz w:val="24"/>
                <w:szCs w:val="24"/>
              </w:rPr>
              <w:t>成交供应商</w:t>
            </w:r>
            <w:r>
              <w:rPr>
                <w:rFonts w:hint="eastAsia" w:ascii="宋体" w:hAnsi="宋体" w:eastAsia="宋体" w:cs="宋体"/>
                <w:b/>
                <w:sz w:val="24"/>
                <w:szCs w:val="24"/>
                <w:lang w:eastAsia="zh-CN"/>
              </w:rPr>
              <w:t>（</w:t>
            </w:r>
            <w:r>
              <w:rPr>
                <w:rFonts w:hint="eastAsia" w:ascii="宋体" w:hAnsi="宋体" w:eastAsia="宋体" w:cs="宋体"/>
                <w:b/>
                <w:sz w:val="24"/>
                <w:szCs w:val="24"/>
              </w:rPr>
              <w:t>数量</w:t>
            </w:r>
            <w:bookmarkEnd w:id="61"/>
            <w:bookmarkEnd w:id="62"/>
            <w:bookmarkEnd w:id="63"/>
            <w:bookmarkEnd w:id="64"/>
            <w:bookmarkEnd w:id="65"/>
            <w:r>
              <w:rPr>
                <w:rFonts w:hint="eastAsia" w:ascii="宋体" w:hAnsi="宋体" w:eastAsia="宋体" w:cs="宋体"/>
                <w:b/>
                <w:sz w:val="24"/>
                <w:szCs w:val="24"/>
                <w:lang w:eastAsia="zh-CN"/>
              </w:rPr>
              <w:t>）</w:t>
            </w:r>
            <w:bookmarkEnd w:id="66"/>
          </w:p>
        </w:tc>
        <w:tc>
          <w:tcPr>
            <w:tcW w:w="3661" w:type="dxa"/>
            <w:vAlign w:val="center"/>
          </w:tcPr>
          <w:p w14:paraId="5DFAD15B">
            <w:pPr>
              <w:pStyle w:val="23"/>
              <w:keepNext w:val="0"/>
              <w:keepLines w:val="0"/>
              <w:suppressLineNumbers w:val="0"/>
              <w:spacing w:before="0" w:beforeAutospacing="0" w:after="0" w:afterAutospacing="0" w:line="240" w:lineRule="atLeast"/>
              <w:ind w:left="0" w:right="0"/>
              <w:jc w:val="center"/>
              <w:outlineLvl w:val="0"/>
              <w:rPr>
                <w:rFonts w:hint="eastAsia" w:ascii="宋体" w:hAnsi="宋体" w:eastAsia="宋体" w:cs="宋体"/>
                <w:b/>
                <w:sz w:val="24"/>
                <w:szCs w:val="24"/>
              </w:rPr>
            </w:pPr>
            <w:bookmarkStart w:id="67" w:name="_Toc127527446"/>
            <w:bookmarkStart w:id="68" w:name="_Toc22821"/>
            <w:bookmarkStart w:id="69" w:name="_Toc132634028"/>
            <w:r>
              <w:rPr>
                <w:rFonts w:hint="eastAsia" w:ascii="宋体" w:hAnsi="宋体" w:eastAsia="宋体" w:cs="宋体"/>
                <w:b/>
                <w:sz w:val="24"/>
                <w:szCs w:val="24"/>
              </w:rPr>
              <w:t>采购标的对应的中小企业</w:t>
            </w:r>
          </w:p>
          <w:p w14:paraId="3309A804">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sz w:val="24"/>
                <w:szCs w:val="24"/>
              </w:rPr>
            </w:pPr>
            <w:r>
              <w:rPr>
                <w:rFonts w:hint="eastAsia" w:ascii="宋体" w:hAnsi="宋体" w:eastAsia="宋体" w:cs="宋体"/>
                <w:b/>
                <w:sz w:val="24"/>
                <w:szCs w:val="24"/>
              </w:rPr>
              <w:t>划分标准所属行业</w:t>
            </w:r>
            <w:bookmarkEnd w:id="67"/>
            <w:bookmarkEnd w:id="68"/>
            <w:bookmarkEnd w:id="69"/>
          </w:p>
        </w:tc>
      </w:tr>
      <w:tr w14:paraId="6EF98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49" w:type="dxa"/>
            <w:vAlign w:val="center"/>
          </w:tcPr>
          <w:p w14:paraId="7F91B2AD">
            <w:pPr>
              <w:keepNext w:val="0"/>
              <w:keepLines w:val="0"/>
              <w:suppressLineNumbers w:val="0"/>
              <w:spacing w:before="0" w:beforeAutospacing="0" w:after="0" w:afterAutospacing="0" w:line="400" w:lineRule="exact"/>
              <w:ind w:left="0" w:right="0"/>
              <w:rPr>
                <w:rFonts w:hint="eastAsia" w:ascii="宋体" w:hAnsi="宋体" w:eastAsia="宋体" w:cs="宋体"/>
                <w:bCs/>
                <w:sz w:val="24"/>
                <w:szCs w:val="24"/>
                <w:lang w:eastAsia="zh-CN"/>
              </w:rPr>
            </w:pPr>
            <w:r>
              <w:rPr>
                <w:rFonts w:hint="eastAsia" w:ascii="宋体" w:hAnsi="宋体" w:eastAsia="宋体" w:cs="宋体"/>
                <w:bCs/>
                <w:sz w:val="24"/>
                <w:szCs w:val="24"/>
                <w:lang w:eastAsia="zh-CN"/>
              </w:rPr>
              <w:t>荣昌区林业局名</w:t>
            </w:r>
          </w:p>
          <w:p w14:paraId="6E8A04DC">
            <w:pPr>
              <w:keepNext w:val="0"/>
              <w:keepLines w:val="0"/>
              <w:suppressLineNumbers w:val="0"/>
              <w:spacing w:before="0" w:beforeAutospacing="0" w:after="0" w:afterAutospacing="0" w:line="400" w:lineRule="exact"/>
              <w:ind w:left="0" w:right="0"/>
              <w:rPr>
                <w:rFonts w:hint="eastAsia" w:ascii="宋体" w:hAnsi="宋体" w:eastAsia="宋体" w:cs="宋体"/>
                <w:sz w:val="24"/>
                <w:szCs w:val="24"/>
                <w:lang w:eastAsia="zh-CN"/>
              </w:rPr>
            </w:pPr>
            <w:r>
              <w:rPr>
                <w:rFonts w:hint="eastAsia" w:ascii="宋体" w:hAnsi="宋体" w:eastAsia="宋体" w:cs="宋体"/>
                <w:bCs/>
                <w:sz w:val="24"/>
                <w:szCs w:val="24"/>
                <w:lang w:eastAsia="zh-CN"/>
              </w:rPr>
              <w:t>木古树复壮服务</w:t>
            </w:r>
          </w:p>
        </w:tc>
        <w:tc>
          <w:tcPr>
            <w:tcW w:w="1882" w:type="dxa"/>
            <w:vAlign w:val="center"/>
          </w:tcPr>
          <w:p w14:paraId="5E31F2FF">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Cs/>
                <w:sz w:val="24"/>
                <w:szCs w:val="24"/>
                <w:lang w:val="en-US"/>
              </w:rPr>
            </w:pPr>
            <w:bookmarkStart w:id="70" w:name="_Toc14146"/>
            <w:r>
              <w:rPr>
                <w:rFonts w:hint="eastAsia" w:ascii="宋体" w:hAnsi="宋体" w:eastAsia="宋体" w:cs="宋体"/>
                <w:bCs/>
                <w:sz w:val="24"/>
                <w:szCs w:val="24"/>
                <w:lang w:val="en-US" w:eastAsia="zh-CN"/>
              </w:rPr>
              <w:t>8.</w:t>
            </w:r>
            <w:bookmarkEnd w:id="70"/>
            <w:r>
              <w:rPr>
                <w:rFonts w:hint="eastAsia" w:ascii="宋体" w:hAnsi="宋体" w:eastAsia="宋体" w:cs="宋体"/>
                <w:bCs/>
                <w:sz w:val="24"/>
                <w:szCs w:val="24"/>
                <w:lang w:val="en-US" w:eastAsia="zh-CN"/>
              </w:rPr>
              <w:t>2</w:t>
            </w:r>
          </w:p>
        </w:tc>
        <w:tc>
          <w:tcPr>
            <w:tcW w:w="1537" w:type="dxa"/>
            <w:vAlign w:val="center"/>
          </w:tcPr>
          <w:p w14:paraId="62F22026">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color w:val="000000" w:themeColor="text1"/>
                <w:sz w:val="24"/>
                <w:szCs w:val="24"/>
                <w14:textFill>
                  <w14:solidFill>
                    <w14:schemeClr w14:val="tx1"/>
                  </w14:solidFill>
                </w14:textFill>
              </w:rPr>
            </w:pPr>
            <w:bookmarkStart w:id="71" w:name="_Toc12859"/>
            <w:bookmarkStart w:id="72" w:name="_Toc28082"/>
            <w:bookmarkStart w:id="73" w:name="_Toc127527449"/>
            <w:bookmarkStart w:id="74" w:name="_Toc132634031"/>
            <w:bookmarkStart w:id="75" w:name="_Toc24181"/>
            <w:bookmarkStart w:id="76" w:name="_Toc18931"/>
            <w:r>
              <w:rPr>
                <w:rFonts w:hint="eastAsia" w:ascii="宋体" w:hAnsi="宋体" w:eastAsia="宋体" w:cs="宋体"/>
                <w:color w:val="000000" w:themeColor="text1"/>
                <w:sz w:val="24"/>
                <w:szCs w:val="24"/>
                <w14:textFill>
                  <w14:solidFill>
                    <w14:schemeClr w14:val="tx1"/>
                  </w14:solidFill>
                </w14:textFill>
              </w:rPr>
              <w:t>1名</w:t>
            </w:r>
            <w:bookmarkEnd w:id="71"/>
            <w:bookmarkEnd w:id="72"/>
            <w:bookmarkEnd w:id="73"/>
            <w:bookmarkEnd w:id="74"/>
            <w:bookmarkEnd w:id="75"/>
            <w:bookmarkEnd w:id="76"/>
          </w:p>
        </w:tc>
        <w:tc>
          <w:tcPr>
            <w:tcW w:w="3661" w:type="dxa"/>
            <w:vAlign w:val="center"/>
          </w:tcPr>
          <w:p w14:paraId="1AE687D0">
            <w:pPr>
              <w:keepNext w:val="0"/>
              <w:keepLines w:val="0"/>
              <w:suppressLineNumbers w:val="0"/>
              <w:spacing w:before="0" w:beforeAutospacing="0" w:after="0" w:afterAutospacing="0" w:line="400" w:lineRule="exact"/>
              <w:ind w:left="0" w:right="0" w:firstLine="720" w:firstLineChars="300"/>
              <w:rPr>
                <w:rFonts w:hint="default" w:ascii="宋体" w:hAnsi="宋体" w:eastAsia="宋体" w:cs="宋体"/>
                <w:sz w:val="24"/>
                <w:szCs w:val="24"/>
              </w:rPr>
            </w:pPr>
            <w:r>
              <w:rPr>
                <w:rFonts w:hint="eastAsia" w:ascii="宋体" w:hAnsi="宋体" w:eastAsia="宋体" w:cs="宋体"/>
                <w:sz w:val="24"/>
                <w:szCs w:val="24"/>
              </w:rPr>
              <w:t>其他</w:t>
            </w:r>
            <w:r>
              <w:rPr>
                <w:rFonts w:hint="eastAsia" w:ascii="宋体" w:hAnsi="宋体" w:eastAsia="宋体" w:cs="宋体"/>
                <w:sz w:val="24"/>
                <w:szCs w:val="24"/>
                <w:lang w:val="en-US" w:eastAsia="zh-CN"/>
              </w:rPr>
              <w:t>为列明</w:t>
            </w:r>
            <w:r>
              <w:rPr>
                <w:rFonts w:hint="eastAsia" w:ascii="宋体" w:hAnsi="宋体" w:eastAsia="宋体" w:cs="宋体"/>
                <w:sz w:val="24"/>
                <w:szCs w:val="24"/>
              </w:rPr>
              <w:t>行业</w:t>
            </w:r>
          </w:p>
        </w:tc>
      </w:tr>
    </w:tbl>
    <w:p w14:paraId="37E7C229">
      <w:pPr>
        <w:pStyle w:val="4"/>
        <w:spacing w:before="0" w:after="0" w:line="440" w:lineRule="exact"/>
        <w:ind w:firstLine="482" w:firstLineChars="200"/>
        <w:rPr>
          <w:rFonts w:ascii="宋体" w:hAnsi="宋体" w:eastAsia="宋体" w:cs="宋体"/>
          <w:sz w:val="24"/>
          <w:szCs w:val="24"/>
        </w:rPr>
      </w:pPr>
      <w:bookmarkStart w:id="77" w:name="_Toc16463"/>
      <w:bookmarkStart w:id="78" w:name="_Toc127527450"/>
      <w:bookmarkStart w:id="79" w:name="_Toc132634032"/>
      <w:bookmarkStart w:id="80" w:name="_Toc9253"/>
      <w:bookmarkStart w:id="81" w:name="_Toc10062"/>
      <w:r>
        <w:rPr>
          <w:rFonts w:hint="eastAsia" w:ascii="宋体" w:hAnsi="宋体" w:eastAsia="宋体" w:cs="宋体"/>
          <w:sz w:val="24"/>
          <w:szCs w:val="24"/>
        </w:rPr>
        <w:t>二、资金来源</w:t>
      </w:r>
      <w:bookmarkEnd w:id="51"/>
      <w:bookmarkEnd w:id="52"/>
      <w:bookmarkEnd w:id="53"/>
      <w:bookmarkEnd w:id="77"/>
      <w:bookmarkEnd w:id="78"/>
      <w:bookmarkEnd w:id="79"/>
      <w:bookmarkEnd w:id="80"/>
      <w:bookmarkEnd w:id="81"/>
    </w:p>
    <w:p w14:paraId="5A0A3FEC">
      <w:pPr>
        <w:spacing w:line="44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财政资金。</w:t>
      </w:r>
    </w:p>
    <w:p w14:paraId="60FD76A3">
      <w:pPr>
        <w:pStyle w:val="4"/>
        <w:spacing w:before="0" w:after="0" w:line="440" w:lineRule="exact"/>
        <w:ind w:firstLine="482" w:firstLineChars="200"/>
        <w:rPr>
          <w:rFonts w:ascii="宋体" w:hAnsi="宋体" w:eastAsia="宋体" w:cs="宋体"/>
          <w:sz w:val="24"/>
          <w:szCs w:val="24"/>
        </w:rPr>
      </w:pPr>
      <w:bookmarkStart w:id="82" w:name="_Toc25676"/>
      <w:bookmarkStart w:id="83" w:name="_Toc30"/>
      <w:bookmarkStart w:id="84" w:name="_Toc29708"/>
      <w:bookmarkStart w:id="85" w:name="_Toc25566"/>
      <w:bookmarkStart w:id="86" w:name="_Toc8634"/>
      <w:bookmarkStart w:id="87" w:name="_Toc19581"/>
      <w:bookmarkStart w:id="88" w:name="_Toc132634033"/>
      <w:r>
        <w:rPr>
          <w:rFonts w:hint="eastAsia" w:ascii="宋体" w:hAnsi="宋体" w:eastAsia="宋体" w:cs="宋体"/>
          <w:sz w:val="24"/>
          <w:szCs w:val="24"/>
        </w:rPr>
        <w:t>三、谈判资格</w:t>
      </w:r>
      <w:bookmarkEnd w:id="82"/>
      <w:bookmarkEnd w:id="83"/>
      <w:bookmarkEnd w:id="84"/>
      <w:bookmarkEnd w:id="85"/>
      <w:bookmarkEnd w:id="86"/>
      <w:bookmarkEnd w:id="87"/>
      <w:bookmarkEnd w:id="88"/>
    </w:p>
    <w:p w14:paraId="3B7572E3">
      <w:pPr>
        <w:spacing w:line="360" w:lineRule="auto"/>
        <w:ind w:firstLine="480" w:firstLineChars="200"/>
        <w:rPr>
          <w:rFonts w:ascii="宋体" w:hAnsi="宋体" w:eastAsia="宋体" w:cs="宋体"/>
          <w:sz w:val="24"/>
          <w:szCs w:val="24"/>
        </w:rPr>
      </w:pPr>
      <w:bookmarkStart w:id="89" w:name="_Toc3494"/>
      <w:bookmarkStart w:id="90" w:name="_Toc6703"/>
      <w:bookmarkStart w:id="91" w:name="_Toc26250"/>
      <w:bookmarkStart w:id="92" w:name="_Toc2454"/>
      <w:bookmarkStart w:id="93" w:name="_Toc20987"/>
      <w:r>
        <w:rPr>
          <w:rFonts w:hint="eastAsia" w:ascii="宋体" w:hAnsi="宋体" w:eastAsia="宋体" w:cs="宋体"/>
          <w:sz w:val="24"/>
          <w:szCs w:val="24"/>
        </w:rPr>
        <w:t>（一）满足《中华人民共和国政府采购法》第二十二条规定；</w:t>
      </w:r>
    </w:p>
    <w:p w14:paraId="641BBAE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（二）落实政府采购政策需满足的资格要求：</w:t>
      </w:r>
      <w:r>
        <w:rPr>
          <w:rFonts w:hint="eastAsia" w:ascii="宋体" w:hAnsi="宋体" w:eastAsia="宋体" w:cs="宋体"/>
          <w:sz w:val="24"/>
          <w:szCs w:val="24"/>
          <w:lang w:eastAsia="zh-CN"/>
        </w:rPr>
        <w:t>无</w:t>
      </w:r>
      <w:r>
        <w:rPr>
          <w:rFonts w:hint="eastAsia" w:ascii="宋体" w:hAnsi="宋体" w:eastAsia="宋体" w:cs="宋体"/>
          <w:sz w:val="24"/>
          <w:szCs w:val="24"/>
        </w:rPr>
        <w:t>；</w:t>
      </w:r>
    </w:p>
    <w:p w14:paraId="23DCEFBB">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（三）本项目的特定资格要求：</w:t>
      </w:r>
    </w:p>
    <w:p w14:paraId="4D7BAE02">
      <w:pPr>
        <w:pStyle w:val="4"/>
        <w:spacing w:before="0" w:after="0" w:line="440" w:lineRule="exact"/>
        <w:ind w:firstLine="480" w:firstLineChars="200"/>
        <w:rPr>
          <w:rFonts w:hint="eastAsia" w:ascii="宋体" w:hAnsi="宋体" w:eastAsia="宋体" w:cs="宋体"/>
          <w:b w:val="0"/>
          <w:bCs/>
          <w:sz w:val="24"/>
          <w:szCs w:val="24"/>
        </w:rPr>
      </w:pPr>
      <w:bookmarkStart w:id="94" w:name="_Toc11807"/>
      <w:bookmarkStart w:id="95" w:name="_Toc132634034"/>
      <w:r>
        <w:rPr>
          <w:rFonts w:hint="eastAsia" w:ascii="宋体" w:hAnsi="宋体" w:eastAsia="宋体" w:cs="宋体"/>
          <w:b w:val="0"/>
          <w:bCs/>
          <w:sz w:val="24"/>
          <w:szCs w:val="24"/>
        </w:rPr>
        <w:t>1、营业执照上具备林业有害生物防治服务资质。</w:t>
      </w:r>
      <w:bookmarkEnd w:id="94"/>
    </w:p>
    <w:p w14:paraId="4B350BD9">
      <w:pPr>
        <w:pStyle w:val="4"/>
        <w:spacing w:before="0" w:after="0" w:line="440" w:lineRule="exact"/>
        <w:ind w:firstLine="482" w:firstLineChars="200"/>
        <w:rPr>
          <w:rFonts w:ascii="宋体" w:hAnsi="宋体" w:eastAsia="宋体" w:cs="宋体"/>
          <w:sz w:val="24"/>
          <w:szCs w:val="24"/>
        </w:rPr>
      </w:pPr>
      <w:bookmarkStart w:id="96" w:name="_Toc3568"/>
      <w:r>
        <w:rPr>
          <w:rFonts w:hint="eastAsia" w:ascii="宋体" w:hAnsi="宋体" w:eastAsia="宋体" w:cs="宋体"/>
          <w:sz w:val="24"/>
          <w:szCs w:val="24"/>
        </w:rPr>
        <w:t>四、谈判有关说明</w:t>
      </w:r>
      <w:bookmarkEnd w:id="89"/>
      <w:bookmarkEnd w:id="90"/>
      <w:bookmarkEnd w:id="91"/>
      <w:bookmarkEnd w:id="92"/>
      <w:bookmarkEnd w:id="93"/>
      <w:bookmarkEnd w:id="95"/>
      <w:bookmarkEnd w:id="96"/>
    </w:p>
    <w:p w14:paraId="2E4B75FE">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（一）凡有意参加谈判的供应商，请于公告发布之日起至提交响应文件截止时间之前，在</w:t>
      </w:r>
      <w:r>
        <w:rPr>
          <w:rFonts w:hint="eastAsia" w:ascii="宋体" w:hAnsi="宋体" w:eastAsia="宋体" w:cs="宋体"/>
          <w:sz w:val="24"/>
          <w:szCs w:val="24"/>
          <w:lang w:val="en-US" w:eastAsia="zh-CN"/>
        </w:rPr>
        <w:t>行采家</w:t>
      </w:r>
      <w:r>
        <w:rPr>
          <w:rFonts w:hint="eastAsia" w:ascii="宋体" w:hAnsi="宋体" w:eastAsia="宋体" w:cs="宋体"/>
          <w:sz w:val="24"/>
          <w:szCs w:val="24"/>
        </w:rPr>
        <w:t>上下载本项目竞争性谈判文件以及图纸、补遗等谈判前公布的所有项目资料，无论供应商下载与否，均视为已知晓所有谈判实质性要求内容。</w:t>
      </w:r>
    </w:p>
    <w:p w14:paraId="67B35E4F">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（二）报名及采购文件发售</w:t>
      </w:r>
    </w:p>
    <w:p w14:paraId="4900043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1、报名和采购文件发售期：202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25</w:t>
      </w:r>
      <w:r>
        <w:rPr>
          <w:rFonts w:hint="eastAsia" w:ascii="宋体" w:hAnsi="宋体" w:eastAsia="宋体" w:cs="宋体"/>
          <w:sz w:val="24"/>
          <w:szCs w:val="24"/>
        </w:rPr>
        <w:t>日至202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color w:val="auto"/>
          <w:sz w:val="24"/>
          <w:szCs w:val="24"/>
        </w:rPr>
        <w:t>月</w:t>
      </w:r>
      <w:r>
        <w:rPr>
          <w:rFonts w:hint="eastAsia" w:ascii="宋体" w:hAnsi="宋体" w:eastAsia="宋体" w:cs="宋体"/>
          <w:color w:val="auto"/>
          <w:sz w:val="24"/>
          <w:szCs w:val="24"/>
          <w:lang w:val="en-US" w:eastAsia="zh-CN"/>
        </w:rPr>
        <w:t>29</w:t>
      </w:r>
      <w:r>
        <w:rPr>
          <w:rFonts w:hint="eastAsia" w:ascii="宋体" w:hAnsi="宋体" w:eastAsia="宋体" w:cs="宋体"/>
          <w:color w:val="auto"/>
          <w:sz w:val="24"/>
          <w:szCs w:val="24"/>
        </w:rPr>
        <w:t>日</w:t>
      </w:r>
      <w:r>
        <w:rPr>
          <w:rFonts w:hint="eastAsia" w:ascii="宋体" w:hAnsi="宋体" w:eastAsia="宋体" w:cs="宋体"/>
          <w:sz w:val="24"/>
          <w:szCs w:val="24"/>
        </w:rPr>
        <w:t>（工作时间）。</w:t>
      </w:r>
    </w:p>
    <w:p w14:paraId="6B6BD80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2、采购文件售价：人民币</w:t>
      </w:r>
      <w:r>
        <w:rPr>
          <w:rFonts w:hint="eastAsia" w:ascii="宋体" w:hAnsi="宋体" w:eastAsia="宋体" w:cs="宋体"/>
          <w:sz w:val="24"/>
          <w:szCs w:val="24"/>
          <w:lang w:val="en-US" w:eastAsia="zh-CN"/>
        </w:rPr>
        <w:t>2</w:t>
      </w:r>
      <w:r>
        <w:rPr>
          <w:rFonts w:hint="eastAsia" w:ascii="宋体" w:hAnsi="宋体" w:eastAsia="宋体" w:cs="宋体"/>
          <w:sz w:val="24"/>
          <w:szCs w:val="24"/>
        </w:rPr>
        <w:t>00元/份（售后不退）。</w:t>
      </w:r>
    </w:p>
    <w:p w14:paraId="192E236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3、在报名和采购文件发售期内供应商扫描二维码缴纳报名费，填写《</w:t>
      </w:r>
      <w:r>
        <w:rPr>
          <w:rFonts w:hint="eastAsia" w:ascii="宋体" w:hAnsi="宋体" w:eastAsia="宋体" w:cs="宋体"/>
          <w:sz w:val="24"/>
          <w:szCs w:val="24"/>
          <w:lang w:eastAsia="zh-CN"/>
        </w:rPr>
        <w:t>重庆联点项目管理有限公司</w:t>
      </w:r>
      <w:r>
        <w:rPr>
          <w:rFonts w:hint="eastAsia" w:ascii="宋体" w:hAnsi="宋体" w:eastAsia="宋体" w:cs="宋体"/>
          <w:sz w:val="24"/>
          <w:szCs w:val="24"/>
        </w:rPr>
        <w:t>采购文件发售登记表》，将发售登记表扫描件发送至邮箱</w:t>
      </w:r>
      <w:r>
        <w:rPr>
          <w:rFonts w:hint="eastAsia" w:ascii="宋体" w:hAnsi="宋体" w:eastAsia="宋体" w:cs="宋体"/>
          <w:sz w:val="24"/>
          <w:szCs w:val="24"/>
          <w:lang w:val="en-US" w:eastAsia="zh-CN"/>
        </w:rPr>
        <w:t>404088077</w:t>
      </w:r>
      <w:r>
        <w:rPr>
          <w:rFonts w:hint="eastAsia" w:ascii="宋体" w:hAnsi="宋体" w:eastAsia="宋体" w:cs="宋体"/>
          <w:sz w:val="24"/>
          <w:szCs w:val="24"/>
        </w:rPr>
        <w:t>@qq.com，邮件主题为：项目名称+供应商名称报名资料。</w:t>
      </w:r>
    </w:p>
    <w:p w14:paraId="36FDA5BD">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（三）供应商须满足以下三种要件，其响应文件才被接受：</w:t>
      </w:r>
    </w:p>
    <w:p w14:paraId="03C4B7E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1.按时递交了响应文件；</w:t>
      </w:r>
    </w:p>
    <w:p w14:paraId="7752AA51">
      <w:pPr>
        <w:spacing w:line="400" w:lineRule="exact"/>
        <w:ind w:left="476" w:leftChars="170"/>
        <w:rPr>
          <w:rFonts w:ascii="宋体" w:hAnsi="宋体" w:eastAsia="宋体" w:cs="宋体"/>
          <w:sz w:val="24"/>
          <w:szCs w:val="24"/>
        </w:rPr>
      </w:pPr>
      <w:r>
        <w:rPr>
          <w:rFonts w:hint="eastAsia" w:ascii="宋体" w:hAnsi="宋体" w:eastAsia="宋体" w:cs="宋体"/>
          <w:sz w:val="24"/>
          <w:szCs w:val="24"/>
        </w:rPr>
        <w:t>2.递交《</w:t>
      </w:r>
      <w:r>
        <w:rPr>
          <w:rFonts w:hint="eastAsia" w:ascii="宋体" w:hAnsi="宋体" w:eastAsia="宋体" w:cs="宋体"/>
          <w:sz w:val="24"/>
          <w:szCs w:val="24"/>
          <w:lang w:eastAsia="zh-CN"/>
        </w:rPr>
        <w:t>重庆联点项目管理有限公司</w:t>
      </w:r>
      <w:r>
        <w:rPr>
          <w:rFonts w:hint="eastAsia" w:ascii="宋体" w:hAnsi="宋体" w:eastAsia="宋体" w:cs="宋体"/>
          <w:sz w:val="24"/>
          <w:szCs w:val="24"/>
        </w:rPr>
        <w:t>采购文件发售登记表》并购买了采购文件；</w:t>
      </w:r>
    </w:p>
    <w:p w14:paraId="69621C3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（四）谈判地点：</w:t>
      </w:r>
      <w:r>
        <w:rPr>
          <w:rFonts w:hint="eastAsia" w:ascii="宋体" w:hAnsi="宋体" w:eastAsia="宋体" w:cs="宋体"/>
          <w:sz w:val="24"/>
          <w:szCs w:val="24"/>
          <w:lang w:eastAsia="zh-CN"/>
        </w:rPr>
        <w:t>重庆联点项目管理有限公司</w:t>
      </w:r>
      <w:r>
        <w:rPr>
          <w:rFonts w:hint="eastAsia" w:ascii="宋体" w:hAnsi="宋体" w:eastAsia="宋体" w:cs="宋体"/>
          <w:sz w:val="24"/>
          <w:szCs w:val="24"/>
        </w:rPr>
        <w:t>开评标室（重庆市荣昌区昌龙大道37号瑞尔国际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807</w:t>
      </w:r>
      <w:r>
        <w:rPr>
          <w:rFonts w:hint="eastAsia" w:ascii="宋体" w:hAnsi="宋体" w:eastAsia="宋体" w:cs="宋体"/>
          <w:sz w:val="24"/>
          <w:szCs w:val="24"/>
        </w:rPr>
        <w:t>）</w:t>
      </w:r>
    </w:p>
    <w:p w14:paraId="18E8B04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（五）响应文件递交开始时间：202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30</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16</w:t>
      </w:r>
      <w:r>
        <w:rPr>
          <w:rFonts w:hint="eastAsia" w:ascii="宋体" w:hAnsi="宋体" w:eastAsia="宋体" w:cs="宋体"/>
          <w:sz w:val="24"/>
          <w:szCs w:val="24"/>
        </w:rPr>
        <w:t>：</w:t>
      </w:r>
      <w:r>
        <w:rPr>
          <w:rFonts w:hint="eastAsia" w:ascii="宋体" w:hAnsi="宋体" w:eastAsia="宋体" w:cs="宋体"/>
          <w:sz w:val="24"/>
          <w:szCs w:val="24"/>
          <w:lang w:val="en-US" w:eastAsia="zh-CN"/>
        </w:rPr>
        <w:t>0</w:t>
      </w:r>
      <w:r>
        <w:rPr>
          <w:rFonts w:hint="eastAsia" w:ascii="宋体" w:hAnsi="宋体" w:eastAsia="宋体" w:cs="宋体"/>
          <w:sz w:val="24"/>
          <w:szCs w:val="24"/>
        </w:rPr>
        <w:t>0</w:t>
      </w:r>
    </w:p>
    <w:p w14:paraId="5013016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（六）响应文件递交截止时间：202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30</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16：3</w:t>
      </w:r>
      <w:r>
        <w:rPr>
          <w:rFonts w:hint="eastAsia" w:ascii="宋体" w:hAnsi="宋体" w:eastAsia="宋体" w:cs="宋体"/>
          <w:sz w:val="24"/>
          <w:szCs w:val="24"/>
        </w:rPr>
        <w:t>0</w:t>
      </w:r>
    </w:p>
    <w:p w14:paraId="3F12FD68">
      <w:pPr>
        <w:spacing w:line="400" w:lineRule="exact"/>
        <w:ind w:left="476" w:leftChars="170"/>
        <w:rPr>
          <w:rFonts w:ascii="宋体" w:hAnsi="宋体" w:eastAsia="宋体" w:cs="宋体"/>
          <w:sz w:val="24"/>
          <w:szCs w:val="24"/>
        </w:rPr>
      </w:pPr>
      <w:r>
        <w:rPr>
          <w:rFonts w:hint="eastAsia" w:ascii="宋体" w:hAnsi="宋体" w:eastAsia="宋体" w:cs="宋体"/>
          <w:sz w:val="24"/>
          <w:szCs w:val="24"/>
        </w:rPr>
        <w:t>（七）谈判开始时间：202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30</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16</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0</w:t>
      </w:r>
    </w:p>
    <w:p w14:paraId="6D8CE81D">
      <w:pPr>
        <w:pStyle w:val="4"/>
        <w:adjustRightInd w:val="0"/>
        <w:snapToGrid w:val="0"/>
        <w:spacing w:before="0" w:after="0" w:line="400" w:lineRule="exact"/>
        <w:ind w:firstLine="482" w:firstLineChars="200"/>
        <w:rPr>
          <w:rFonts w:ascii="宋体" w:hAnsi="宋体" w:eastAsia="宋体" w:cs="宋体"/>
          <w:sz w:val="24"/>
        </w:rPr>
      </w:pPr>
      <w:bookmarkStart w:id="97" w:name="_Toc12923"/>
      <w:bookmarkStart w:id="98" w:name="_Toc65660335"/>
      <w:bookmarkStart w:id="99" w:name="_Toc2945"/>
      <w:bookmarkStart w:id="100" w:name="_Toc132634036"/>
      <w:bookmarkStart w:id="101" w:name="_Toc525047162"/>
      <w:bookmarkStart w:id="102" w:name="_Toc106034626"/>
      <w:bookmarkStart w:id="103" w:name="_Toc479668114"/>
      <w:bookmarkStart w:id="104" w:name="_Toc14219"/>
      <w:bookmarkStart w:id="105" w:name="_Toc521053054"/>
      <w:bookmarkStart w:id="106" w:name="_Toc4355"/>
      <w:bookmarkStart w:id="107" w:name="_Toc6270"/>
      <w:bookmarkStart w:id="108" w:name="_Toc4570"/>
      <w:bookmarkStart w:id="109" w:name="_Toc10788"/>
      <w:bookmarkStart w:id="110" w:name="_Toc15891"/>
      <w:r>
        <w:rPr>
          <w:rFonts w:hint="eastAsia" w:ascii="宋体" w:hAnsi="宋体" w:eastAsia="宋体" w:cs="宋体"/>
          <w:sz w:val="24"/>
          <w:lang w:val="en-US" w:eastAsia="zh-CN"/>
        </w:rPr>
        <w:t>五</w:t>
      </w:r>
      <w:r>
        <w:rPr>
          <w:rFonts w:hint="eastAsia" w:ascii="宋体" w:hAnsi="宋体" w:eastAsia="宋体" w:cs="宋体"/>
          <w:sz w:val="24"/>
        </w:rPr>
        <w:t>、采购项目需落实的政府采购政策</w:t>
      </w:r>
      <w:bookmarkEnd w:id="97"/>
      <w:bookmarkEnd w:id="98"/>
      <w:bookmarkEnd w:id="99"/>
      <w:bookmarkEnd w:id="100"/>
      <w:bookmarkEnd w:id="101"/>
      <w:bookmarkEnd w:id="102"/>
      <w:bookmarkEnd w:id="103"/>
      <w:bookmarkEnd w:id="104"/>
      <w:bookmarkEnd w:id="105"/>
      <w:bookmarkEnd w:id="106"/>
    </w:p>
    <w:p w14:paraId="15F08D6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（一）按照《财政部 生态环境部关于印发环境标志产品政府采购品目清单的通知》（财库〔2019〕18号）和《财政部 发展改革委关于印发节能产品政府采购品目清单的通知》（财库〔2019〕19号）的规定，落实国家节能环保政策。</w:t>
      </w:r>
    </w:p>
    <w:p w14:paraId="054695B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（二）按照财政部、工业和信息化部关于印发《政府采购促进中小企业发展管理办法》的通知（财库〔2020〕46号），落实促进中小企业发展政策。</w:t>
      </w:r>
    </w:p>
    <w:p w14:paraId="05FEDF1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（三）按照《财政部、司法部关于政府采购支持监狱企业发展有关问题的通知》（财库〔2014〕68号）的规定，落实支持监狱企业发展政策。</w:t>
      </w:r>
    </w:p>
    <w:p w14:paraId="0B7FCE8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（四）按照《三部门联合发布关于促进残疾人就业政府采购政策的通知》（财库〔2017〕 141号）的规定，落实支持残疾人福利性单位发展政策。</w:t>
      </w:r>
    </w:p>
    <w:p w14:paraId="3F13A523">
      <w:pPr>
        <w:pStyle w:val="4"/>
        <w:adjustRightInd w:val="0"/>
        <w:snapToGrid w:val="0"/>
        <w:spacing w:before="0" w:after="0" w:line="400" w:lineRule="exact"/>
        <w:ind w:firstLine="482" w:firstLineChars="200"/>
        <w:rPr>
          <w:rFonts w:ascii="宋体" w:hAnsi="宋体" w:eastAsia="宋体" w:cs="宋体"/>
          <w:sz w:val="24"/>
        </w:rPr>
      </w:pPr>
      <w:bookmarkStart w:id="111" w:name="_Toc6563"/>
      <w:bookmarkStart w:id="112" w:name="_Toc32224"/>
      <w:bookmarkStart w:id="113" w:name="_Toc132634037"/>
      <w:bookmarkStart w:id="114" w:name="_Toc7362"/>
      <w:bookmarkStart w:id="115" w:name="_Toc521053055"/>
      <w:bookmarkStart w:id="116" w:name="_Toc106034627"/>
      <w:bookmarkStart w:id="117" w:name="_Toc525047163"/>
      <w:bookmarkStart w:id="118" w:name="_Toc65660336"/>
      <w:bookmarkStart w:id="119" w:name="_Toc16269"/>
      <w:r>
        <w:rPr>
          <w:rFonts w:hint="eastAsia" w:ascii="宋体" w:hAnsi="宋体" w:eastAsia="宋体" w:cs="宋体"/>
          <w:sz w:val="24"/>
          <w:lang w:val="en-US" w:eastAsia="zh-CN"/>
        </w:rPr>
        <w:t>六</w:t>
      </w:r>
      <w:r>
        <w:rPr>
          <w:rFonts w:hint="eastAsia" w:ascii="宋体" w:hAnsi="宋体" w:eastAsia="宋体" w:cs="宋体"/>
          <w:sz w:val="24"/>
        </w:rPr>
        <w:t>、其它有关规定</w:t>
      </w:r>
      <w:bookmarkEnd w:id="111"/>
      <w:bookmarkEnd w:id="112"/>
      <w:bookmarkEnd w:id="113"/>
      <w:bookmarkEnd w:id="114"/>
      <w:bookmarkEnd w:id="115"/>
      <w:bookmarkEnd w:id="116"/>
      <w:bookmarkEnd w:id="117"/>
      <w:bookmarkEnd w:id="118"/>
      <w:bookmarkEnd w:id="119"/>
    </w:p>
    <w:p w14:paraId="0AC12EC2">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（一）单位负责人为同一人或者存在直接控股、管理关系的不同供应商，不得参加同一合同项（包）下的政府采购活动，否则均为无效谈判。</w:t>
      </w:r>
    </w:p>
    <w:p w14:paraId="060BD7A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（二）为采购项目提供整体设计、规范编制或者项目管理、监理、检测等服务的供应商，不得再参加该采购项目的其他采购活动。</w:t>
      </w:r>
    </w:p>
    <w:p w14:paraId="43870F6B">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（三）同一合同项（包）下为单一品目的货物采购中，同一品牌同一型号产品有多家供应商参加谈判，只能按照一家供应商计算。</w:t>
      </w:r>
    </w:p>
    <w:p w14:paraId="1D6F13C2">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（四）同一合同项（包）下的货物，制造商参与谈判的，不得再委托代理商参与谈判。</w:t>
      </w:r>
    </w:p>
    <w:p w14:paraId="1820AE6D">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（五）本项目的澄清文件（如果有）一律在</w:t>
      </w:r>
      <w:r>
        <w:rPr>
          <w:rFonts w:hint="eastAsia" w:ascii="宋体" w:hAnsi="宋体" w:eastAsia="宋体" w:cs="宋体"/>
          <w:sz w:val="24"/>
          <w:szCs w:val="24"/>
          <w:lang w:val="en-US" w:eastAsia="zh-CN"/>
        </w:rPr>
        <w:t>行采家</w:t>
      </w:r>
      <w:r>
        <w:rPr>
          <w:rFonts w:hint="eastAsia" w:ascii="宋体" w:hAnsi="宋体" w:eastAsia="宋体" w:cs="宋体"/>
          <w:sz w:val="24"/>
          <w:szCs w:val="24"/>
        </w:rPr>
        <w:t>上发布，请各供应商注意下载或到采购代理机构处领取；无论供应商下载或领取与否，均视同供应商已知晓本项目澄清文件（如果有）的内容。</w:t>
      </w:r>
    </w:p>
    <w:p w14:paraId="4CC6AD24">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（六）超过响应文件截止时间递交的响应文件，恕不接收。</w:t>
      </w:r>
    </w:p>
    <w:p w14:paraId="3855BD8F">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（七）谈判费用：无论谈判结果如何，供应商参与本项目谈判的所有费用均应由供应商自行承担。</w:t>
      </w:r>
    </w:p>
    <w:p w14:paraId="45A28C7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（八）本项目不接受联合体参与谈判，否则按无效处理。</w:t>
      </w:r>
    </w:p>
    <w:p w14:paraId="3FD10F3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（九）本项目不接受合同分包，否则按无效处理。</w:t>
      </w:r>
    </w:p>
    <w:p w14:paraId="252D332A">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十）按照《财政部关于在政府采购活动中查询及使用信用记录有关问题的通知》财库〔2016〕125号，供应商列入失信被执行人、重大税收违法案件当事人名单、政府采购严重违法失信行为记录名单及其他不符合《中华人民共和国政府采购法》第二十二条规定条件的供应商，将拒绝其参与政府采购活动。</w:t>
      </w:r>
    </w:p>
    <w:p w14:paraId="7A041680">
      <w:pPr>
        <w:spacing w:line="360" w:lineRule="auto"/>
        <w:ind w:firstLine="482" w:firstLineChars="200"/>
        <w:outlineLvl w:val="1"/>
        <w:rPr>
          <w:rFonts w:ascii="宋体" w:hAnsi="宋体" w:eastAsia="宋体" w:cs="宋体"/>
          <w:b/>
          <w:bCs/>
          <w:color w:val="FF0000"/>
          <w:sz w:val="24"/>
          <w:szCs w:val="24"/>
        </w:rPr>
      </w:pPr>
      <w:bookmarkStart w:id="120" w:name="_Toc20343"/>
      <w:bookmarkStart w:id="121" w:name="_Toc132634038"/>
      <w:r>
        <w:rPr>
          <w:rFonts w:hint="eastAsia" w:ascii="宋体" w:hAnsi="宋体" w:eastAsia="宋体" w:cs="宋体"/>
          <w:b/>
          <w:bCs/>
          <w:sz w:val="24"/>
          <w:szCs w:val="24"/>
          <w:lang w:val="en-US" w:eastAsia="zh-CN"/>
        </w:rPr>
        <w:t>七</w:t>
      </w:r>
      <w:r>
        <w:rPr>
          <w:rFonts w:hint="eastAsia" w:ascii="宋体" w:hAnsi="宋体" w:eastAsia="宋体" w:cs="宋体"/>
          <w:b/>
          <w:bCs/>
          <w:sz w:val="24"/>
          <w:szCs w:val="24"/>
        </w:rPr>
        <w:t>、联系方式</w:t>
      </w:r>
      <w:bookmarkEnd w:id="107"/>
      <w:bookmarkEnd w:id="108"/>
      <w:bookmarkEnd w:id="109"/>
      <w:bookmarkEnd w:id="110"/>
      <w:bookmarkEnd w:id="120"/>
      <w:bookmarkEnd w:id="121"/>
    </w:p>
    <w:p w14:paraId="13292394">
      <w:pPr>
        <w:widowControl/>
        <w:ind w:firstLine="480" w:firstLineChars="200"/>
        <w:jc w:val="left"/>
        <w:rPr>
          <w:rFonts w:hint="eastAsia" w:ascii="宋体" w:hAnsi="宋体" w:eastAsia="宋体" w:cs="宋体"/>
          <w:sz w:val="24"/>
          <w:szCs w:val="24"/>
          <w:lang w:eastAsia="zh-CN"/>
        </w:rPr>
      </w:pPr>
      <w:r>
        <w:rPr>
          <w:rFonts w:hint="eastAsia" w:ascii="宋体" w:hAnsi="宋体" w:eastAsia="宋体" w:cs="宋体"/>
          <w:sz w:val="24"/>
          <w:szCs w:val="24"/>
        </w:rPr>
        <w:t>（一）采购人：</w:t>
      </w:r>
      <w:r>
        <w:rPr>
          <w:rFonts w:hint="eastAsia" w:ascii="宋体" w:hAnsi="宋体" w:eastAsia="宋体" w:cs="宋体"/>
          <w:kern w:val="0"/>
          <w:sz w:val="24"/>
          <w:szCs w:val="24"/>
          <w:lang w:eastAsia="zh-CN" w:bidi="ar"/>
        </w:rPr>
        <w:t>重庆市荣昌区林业局</w:t>
      </w:r>
    </w:p>
    <w:p w14:paraId="36CC52A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1、联系人：</w:t>
      </w:r>
      <w:r>
        <w:rPr>
          <w:rFonts w:hint="eastAsia" w:ascii="宋体" w:hAnsi="宋体" w:eastAsia="宋体" w:cs="宋体"/>
          <w:sz w:val="24"/>
          <w:szCs w:val="24"/>
          <w:lang w:val="en-US" w:eastAsia="zh-CN"/>
        </w:rPr>
        <w:t>肖</w:t>
      </w:r>
      <w:r>
        <w:rPr>
          <w:rFonts w:hint="eastAsia" w:ascii="宋体" w:hAnsi="宋体" w:eastAsia="宋体" w:cs="宋体"/>
          <w:sz w:val="24"/>
          <w:szCs w:val="24"/>
        </w:rPr>
        <w:t>老师</w:t>
      </w:r>
    </w:p>
    <w:p w14:paraId="2CC4C7AF">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电  话：</w:t>
      </w:r>
      <w:r>
        <w:rPr>
          <w:rFonts w:hint="eastAsia" w:ascii="宋体" w:hAnsi="宋体" w:eastAsia="宋体" w:cs="宋体"/>
          <w:kern w:val="2"/>
          <w:sz w:val="24"/>
          <w:szCs w:val="24"/>
          <w:lang w:val="en-US" w:eastAsia="zh-CN" w:bidi="ar"/>
        </w:rPr>
        <w:t>13594269955</w:t>
      </w:r>
    </w:p>
    <w:p w14:paraId="2AAC11CF">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地  址：</w:t>
      </w:r>
      <w:bookmarkStart w:id="473" w:name="_GoBack"/>
      <w:r>
        <w:rPr>
          <w:rFonts w:hint="eastAsia" w:ascii="宋体" w:hAnsi="宋体" w:eastAsia="宋体" w:cs="宋体"/>
          <w:sz w:val="24"/>
          <w:szCs w:val="24"/>
        </w:rPr>
        <w:t>重庆市荣昌区</w:t>
      </w:r>
      <w:r>
        <w:rPr>
          <w:rFonts w:hint="eastAsia" w:ascii="宋体" w:hAnsi="宋体" w:eastAsia="宋体" w:cs="宋体"/>
          <w:sz w:val="24"/>
          <w:szCs w:val="24"/>
          <w:lang w:val="en-US" w:eastAsia="zh-CN"/>
        </w:rPr>
        <w:t>农业大厦9楼</w:t>
      </w:r>
      <w:bookmarkEnd w:id="473"/>
    </w:p>
    <w:p w14:paraId="766D2FAC">
      <w:pPr>
        <w:spacing w:line="440" w:lineRule="exact"/>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（二）采购代理机构：</w:t>
      </w:r>
      <w:r>
        <w:rPr>
          <w:rFonts w:hint="eastAsia" w:ascii="宋体" w:hAnsi="宋体" w:eastAsia="宋体" w:cs="宋体"/>
          <w:sz w:val="24"/>
          <w:szCs w:val="24"/>
          <w:lang w:eastAsia="zh-CN"/>
        </w:rPr>
        <w:t>重庆联点项目管理有限公司</w:t>
      </w:r>
    </w:p>
    <w:p w14:paraId="24E52C2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1、业务联系人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秦</w:t>
      </w:r>
      <w:r>
        <w:rPr>
          <w:rFonts w:hint="eastAsia" w:ascii="宋体" w:hAnsi="宋体" w:eastAsia="宋体" w:cs="宋体"/>
          <w:sz w:val="24"/>
          <w:szCs w:val="24"/>
        </w:rPr>
        <w:t>老师</w:t>
      </w:r>
    </w:p>
    <w:p w14:paraId="3E7D2877">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电  话：18223307573</w:t>
      </w:r>
    </w:p>
    <w:p w14:paraId="48F469F8">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地  址：重庆市荣昌区昌龙大道37号瑞尔国际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807</w:t>
      </w:r>
    </w:p>
    <w:p w14:paraId="01B586D1">
      <w:pPr>
        <w:spacing w:line="440" w:lineRule="exact"/>
        <w:ind w:firstLine="960" w:firstLineChars="400"/>
        <w:rPr>
          <w:rFonts w:ascii="宋体" w:hAnsi="宋体" w:eastAsia="宋体" w:cs="宋体"/>
          <w:sz w:val="24"/>
          <w:szCs w:val="24"/>
        </w:rPr>
      </w:pPr>
    </w:p>
    <w:p w14:paraId="3B4ED2EF">
      <w:pPr>
        <w:spacing w:line="440" w:lineRule="exact"/>
        <w:ind w:firstLine="960" w:firstLineChars="400"/>
        <w:rPr>
          <w:rFonts w:ascii="宋体" w:hAnsi="宋体" w:eastAsia="宋体" w:cs="宋体"/>
          <w:sz w:val="24"/>
          <w:szCs w:val="24"/>
        </w:rPr>
      </w:pPr>
    </w:p>
    <w:p w14:paraId="29CF58E9">
      <w:pPr>
        <w:spacing w:line="440" w:lineRule="exact"/>
        <w:ind w:firstLine="960" w:firstLineChars="400"/>
        <w:rPr>
          <w:rFonts w:ascii="宋体" w:hAnsi="宋体" w:eastAsia="宋体" w:cs="宋体"/>
          <w:sz w:val="24"/>
          <w:szCs w:val="24"/>
        </w:rPr>
      </w:pPr>
    </w:p>
    <w:p w14:paraId="726D5EA4">
      <w:pPr>
        <w:pStyle w:val="3"/>
        <w:spacing w:line="400" w:lineRule="exact"/>
        <w:jc w:val="center"/>
        <w:rPr>
          <w:rFonts w:hAnsi="宋体" w:eastAsia="宋体" w:cs="宋体"/>
          <w:color w:val="FF0000"/>
          <w:sz w:val="24"/>
          <w:szCs w:val="24"/>
        </w:rPr>
      </w:pPr>
      <w:r>
        <w:rPr>
          <w:rFonts w:hint="eastAsia" w:hAnsi="宋体" w:eastAsia="宋体" w:cs="宋体"/>
        </w:rPr>
        <w:br w:type="page"/>
      </w:r>
      <w:bookmarkStart w:id="122" w:name="_Toc132634039"/>
      <w:bookmarkStart w:id="123" w:name="_Toc2239"/>
      <w:bookmarkStart w:id="124" w:name="_Toc14075"/>
      <w:bookmarkStart w:id="125" w:name="_Toc17873"/>
      <w:bookmarkStart w:id="126" w:name="_Toc872"/>
      <w:bookmarkStart w:id="127" w:name="_Toc13085"/>
      <w:bookmarkStart w:id="128" w:name="_Toc5359"/>
      <w:r>
        <w:rPr>
          <w:rFonts w:hint="eastAsia" w:ascii="宋体" w:hAnsi="宋体" w:eastAsia="宋体" w:cs="宋体"/>
          <w:b/>
          <w:bCs/>
          <w:color w:val="000000"/>
          <w:kern w:val="2"/>
          <w:sz w:val="36"/>
          <w:szCs w:val="36"/>
          <w:lang w:val="en-US" w:eastAsia="zh-CN" w:bidi="ar-SA"/>
        </w:rPr>
        <w:t>第二篇  谈判项目信息及技术需求</w:t>
      </w:r>
      <w:bookmarkEnd w:id="122"/>
      <w:bookmarkEnd w:id="123"/>
      <w:bookmarkEnd w:id="124"/>
      <w:bookmarkEnd w:id="125"/>
      <w:bookmarkEnd w:id="126"/>
      <w:bookmarkEnd w:id="127"/>
      <w:bookmarkEnd w:id="128"/>
    </w:p>
    <w:p w14:paraId="5243C03F">
      <w:pPr>
        <w:pStyle w:val="4"/>
        <w:widowControl/>
        <w:adjustRightInd w:val="0"/>
        <w:snapToGrid w:val="0"/>
        <w:spacing w:before="0" w:beforeAutospacing="0" w:after="0" w:afterAutospacing="0" w:line="400" w:lineRule="exact"/>
        <w:ind w:right="0" w:firstLine="482" w:firstLineChars="200"/>
        <w:rPr>
          <w:rFonts w:hint="eastAsia" w:ascii="宋体" w:hAnsi="宋体" w:eastAsia="宋体" w:cs="宋体"/>
          <w:sz w:val="24"/>
          <w:szCs w:val="20"/>
          <w:lang w:val="en-US"/>
        </w:rPr>
      </w:pPr>
      <w:bookmarkStart w:id="129" w:name="_Toc24129"/>
      <w:bookmarkStart w:id="130" w:name="_Toc65660339"/>
      <w:bookmarkStart w:id="131" w:name="_Toc19832"/>
      <w:bookmarkStart w:id="132" w:name="_Toc26971"/>
      <w:bookmarkStart w:id="133" w:name="_Toc106034630"/>
      <w:bookmarkStart w:id="134" w:name="_Toc29404"/>
      <w:bookmarkStart w:id="135" w:name="_Toc30956"/>
      <w:bookmarkStart w:id="136" w:name="_Toc12873"/>
      <w:bookmarkStart w:id="137" w:name="_Toc7016"/>
      <w:r>
        <w:rPr>
          <w:rFonts w:hint="eastAsia" w:ascii="宋体" w:hAnsi="宋体" w:eastAsia="宋体" w:cs="宋体"/>
          <w:sz w:val="24"/>
          <w:szCs w:val="20"/>
          <w:lang w:eastAsia="zh-CN"/>
        </w:rPr>
        <w:t>一、</w:t>
      </w:r>
      <w:r>
        <w:rPr>
          <w:rFonts w:hint="eastAsia" w:ascii="宋体" w:hAnsi="宋体" w:eastAsia="宋体" w:cs="宋体"/>
          <w:sz w:val="24"/>
          <w:szCs w:val="20"/>
          <w:lang w:val="en-US" w:eastAsia="zh-CN"/>
        </w:rPr>
        <w:t>采购需求</w:t>
      </w:r>
      <w:r>
        <w:rPr>
          <w:rFonts w:hint="eastAsia" w:ascii="宋体" w:hAnsi="宋体" w:eastAsia="宋体" w:cs="宋体"/>
          <w:sz w:val="24"/>
          <w:szCs w:val="20"/>
          <w:lang w:eastAsia="zh-CN"/>
        </w:rPr>
        <w:t>一览表</w:t>
      </w:r>
      <w:bookmarkEnd w:id="129"/>
      <w:bookmarkEnd w:id="130"/>
      <w:bookmarkEnd w:id="131"/>
      <w:bookmarkEnd w:id="132"/>
      <w:bookmarkEnd w:id="133"/>
    </w:p>
    <w:tbl>
      <w:tblPr>
        <w:tblStyle w:val="61"/>
        <w:tblW w:w="9066" w:type="dxa"/>
        <w:tblInd w:w="182" w:type="dxa"/>
        <w:shd w:val="clear" w:color="auto" w:fill="auto"/>
        <w:tblLayout w:type="fixed"/>
        <w:tblCellMar>
          <w:top w:w="0" w:type="dxa"/>
          <w:left w:w="0" w:type="dxa"/>
          <w:bottom w:w="0" w:type="dxa"/>
          <w:right w:w="0" w:type="dxa"/>
        </w:tblCellMar>
      </w:tblPr>
      <w:tblGrid>
        <w:gridCol w:w="1516"/>
        <w:gridCol w:w="3300"/>
        <w:gridCol w:w="1184"/>
        <w:gridCol w:w="3066"/>
      </w:tblGrid>
      <w:tr w14:paraId="67F69A48">
        <w:tblPrEx>
          <w:shd w:val="clear" w:color="auto" w:fill="auto"/>
          <w:tblCellMar>
            <w:top w:w="0" w:type="dxa"/>
            <w:left w:w="0" w:type="dxa"/>
            <w:bottom w:w="0" w:type="dxa"/>
            <w:right w:w="0" w:type="dxa"/>
          </w:tblCellMar>
        </w:tblPrEx>
        <w:trPr>
          <w:trHeight w:val="1080" w:hRule="atLeast"/>
        </w:trPr>
        <w:tc>
          <w:tcPr>
            <w:tcW w:w="151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7BD0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黄角树</w:t>
            </w:r>
          </w:p>
        </w:tc>
        <w:tc>
          <w:tcPr>
            <w:tcW w:w="3300"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1B9718B2">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清流镇永兴寺1社自沟盐井</w:t>
            </w:r>
          </w:p>
        </w:tc>
        <w:tc>
          <w:tcPr>
            <w:tcW w:w="1184"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4898745A">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7ADF6884">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树洞修补，病虫害防治</w:t>
            </w:r>
          </w:p>
        </w:tc>
      </w:tr>
      <w:tr w14:paraId="36B24350">
        <w:tblPrEx>
          <w:tblCellMar>
            <w:top w:w="0" w:type="dxa"/>
            <w:left w:w="0" w:type="dxa"/>
            <w:bottom w:w="0" w:type="dxa"/>
            <w:right w:w="0" w:type="dxa"/>
          </w:tblCellMar>
        </w:tblPrEx>
        <w:trPr>
          <w:trHeight w:val="63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F06EE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黄角树</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20240BA6">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清流镇永兴寺1社自沟盐井</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00739AE1">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1193AC5A">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树洞修补，病虫害防治</w:t>
            </w:r>
          </w:p>
        </w:tc>
      </w:tr>
      <w:tr w14:paraId="4B2A7BA2">
        <w:tblPrEx>
          <w:tblCellMar>
            <w:top w:w="0" w:type="dxa"/>
            <w:left w:w="0" w:type="dxa"/>
            <w:bottom w:w="0" w:type="dxa"/>
            <w:right w:w="0" w:type="dxa"/>
          </w:tblCellMar>
        </w:tblPrEx>
        <w:trPr>
          <w:trHeight w:val="63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377B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黄角树</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65EC7E65">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河包镇白塔居委会8社三寿宫</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148303AF">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6F4DBF92">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树洞修补，病虫害防治</w:t>
            </w:r>
          </w:p>
        </w:tc>
      </w:tr>
      <w:tr w14:paraId="661526AA">
        <w:tblPrEx>
          <w:tblCellMar>
            <w:top w:w="0" w:type="dxa"/>
            <w:left w:w="0" w:type="dxa"/>
            <w:bottom w:w="0" w:type="dxa"/>
            <w:right w:w="0" w:type="dxa"/>
          </w:tblCellMar>
        </w:tblPrEx>
        <w:trPr>
          <w:trHeight w:val="63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AE9E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黄角树</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7799779D">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河包镇白塔居委会9社海月桥</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645F1B7B">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0F26D383">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树洞修补，病虫害防治</w:t>
            </w:r>
          </w:p>
        </w:tc>
      </w:tr>
      <w:tr w14:paraId="6A626B4A">
        <w:tblPrEx>
          <w:tblCellMar>
            <w:top w:w="0" w:type="dxa"/>
            <w:left w:w="0" w:type="dxa"/>
            <w:bottom w:w="0" w:type="dxa"/>
            <w:right w:w="0" w:type="dxa"/>
          </w:tblCellMar>
        </w:tblPrEx>
        <w:trPr>
          <w:trHeight w:val="63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DE99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皂角</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665FA9BF">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河包镇白塔居委会10社海月桥</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1299BAC2">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1D08F51D">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剪除与黄角树共生关系</w:t>
            </w:r>
          </w:p>
        </w:tc>
      </w:tr>
      <w:tr w14:paraId="58AFCDA3">
        <w:tblPrEx>
          <w:tblCellMar>
            <w:top w:w="0" w:type="dxa"/>
            <w:left w:w="0" w:type="dxa"/>
            <w:bottom w:w="0" w:type="dxa"/>
            <w:right w:w="0" w:type="dxa"/>
          </w:tblCellMar>
        </w:tblPrEx>
        <w:trPr>
          <w:trHeight w:val="75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305DF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黄连木</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34C623EE">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吴家镇人和社区吴家中学</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5D8796BB">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三级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264C8E47">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白蚁防治，枝条修减</w:t>
            </w:r>
          </w:p>
        </w:tc>
      </w:tr>
      <w:tr w14:paraId="4622CD78">
        <w:tblPrEx>
          <w:tblCellMar>
            <w:top w:w="0" w:type="dxa"/>
            <w:left w:w="0" w:type="dxa"/>
            <w:bottom w:w="0" w:type="dxa"/>
            <w:right w:w="0" w:type="dxa"/>
          </w:tblCellMar>
        </w:tblPrEx>
        <w:trPr>
          <w:trHeight w:val="1170" w:hRule="atLeast"/>
        </w:trPr>
        <w:tc>
          <w:tcPr>
            <w:tcW w:w="1516"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74DF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黄角树</w:t>
            </w:r>
          </w:p>
        </w:tc>
        <w:tc>
          <w:tcPr>
            <w:tcW w:w="3300"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2CDC4A0A">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吴家镇人和社区吴家中学</w:t>
            </w:r>
          </w:p>
        </w:tc>
        <w:tc>
          <w:tcPr>
            <w:tcW w:w="1184"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1EF05BFF">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color w:val="000000"/>
                <w:kern w:val="0"/>
                <w:sz w:val="22"/>
                <w:szCs w:val="22"/>
                <w:u w:val="none"/>
                <w:lang w:val="en-US" w:eastAsia="zh-CN" w:bidi="ar"/>
              </w:rPr>
            </w:pPr>
            <w:r>
              <w:rPr>
                <w:rFonts w:hint="eastAsia" w:ascii="宋体" w:hAnsi="宋体" w:eastAsia="宋体" w:cs="宋体"/>
                <w:i w:val="0"/>
                <w:color w:val="000000"/>
                <w:kern w:val="0"/>
                <w:sz w:val="22"/>
                <w:szCs w:val="22"/>
                <w:u w:val="none"/>
                <w:lang w:val="en-US" w:eastAsia="zh-CN" w:bidi="ar"/>
              </w:rPr>
              <w:t>二级</w:t>
            </w:r>
          </w:p>
        </w:tc>
        <w:tc>
          <w:tcPr>
            <w:tcW w:w="30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6BFFB1C5">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sz w:val="24"/>
                <w:szCs w:val="24"/>
              </w:rPr>
            </w:pPr>
            <w:r>
              <w:rPr>
                <w:rFonts w:hint="eastAsia" w:ascii="宋体" w:hAnsi="宋体" w:eastAsia="宋体" w:cs="宋体"/>
                <w:i w:val="0"/>
                <w:color w:val="000000"/>
                <w:kern w:val="0"/>
                <w:sz w:val="22"/>
                <w:szCs w:val="22"/>
                <w:u w:val="none"/>
                <w:lang w:val="en-US" w:eastAsia="zh-CN" w:bidi="ar"/>
              </w:rPr>
              <w:t>白蚁防治，枝条修减</w:t>
            </w:r>
          </w:p>
        </w:tc>
      </w:tr>
    </w:tbl>
    <w:p w14:paraId="24E41D54">
      <w:pPr>
        <w:keepNext w:val="0"/>
        <w:keepLines w:val="0"/>
        <w:widowControl w:val="0"/>
        <w:suppressLineNumbers w:val="0"/>
        <w:spacing w:before="0" w:beforeAutospacing="0" w:after="0" w:afterAutospacing="0"/>
        <w:ind w:left="0" w:right="0"/>
        <w:jc w:val="both"/>
        <w:rPr>
          <w:rFonts w:hint="eastAsia" w:ascii="宋体" w:hAnsi="宋体" w:eastAsia="宋体" w:cs="宋体"/>
          <w:sz w:val="24"/>
          <w:szCs w:val="20"/>
          <w:lang w:val="en-US"/>
        </w:rPr>
      </w:pPr>
    </w:p>
    <w:p w14:paraId="54DA78B5">
      <w:pPr>
        <w:pStyle w:val="4"/>
        <w:widowControl/>
        <w:adjustRightInd w:val="0"/>
        <w:snapToGrid w:val="0"/>
        <w:spacing w:before="0" w:beforeAutospacing="0" w:after="0" w:afterAutospacing="0" w:line="400" w:lineRule="exact"/>
        <w:ind w:right="0" w:firstLine="482" w:firstLineChars="200"/>
        <w:rPr>
          <w:rFonts w:hint="eastAsia" w:ascii="宋体" w:hAnsi="宋体" w:eastAsia="宋体" w:cs="宋体"/>
          <w:sz w:val="24"/>
          <w:szCs w:val="20"/>
          <w:lang w:val="en-US"/>
        </w:rPr>
      </w:pPr>
      <w:bookmarkStart w:id="138" w:name="_Toc10723"/>
      <w:bookmarkStart w:id="139" w:name="_Toc106034631"/>
      <w:bookmarkStart w:id="140" w:name="_Toc65660340"/>
      <w:bookmarkStart w:id="141" w:name="_Toc11439"/>
      <w:bookmarkStart w:id="142" w:name="_Toc32534"/>
      <w:r>
        <w:rPr>
          <w:rFonts w:hint="eastAsia" w:ascii="宋体" w:hAnsi="宋体" w:eastAsia="宋体" w:cs="宋体"/>
          <w:sz w:val="24"/>
          <w:szCs w:val="20"/>
          <w:lang w:eastAsia="zh-CN"/>
        </w:rPr>
        <w:t>二、</w:t>
      </w:r>
      <w:r>
        <w:rPr>
          <w:rFonts w:hint="eastAsia" w:ascii="宋体" w:hAnsi="宋体" w:eastAsia="宋体" w:cs="宋体"/>
          <w:sz w:val="24"/>
          <w:szCs w:val="20"/>
          <w:lang w:val="en-US" w:eastAsia="zh-CN"/>
        </w:rPr>
        <w:t>采购</w:t>
      </w:r>
      <w:r>
        <w:rPr>
          <w:rFonts w:hint="eastAsia" w:ascii="宋体" w:hAnsi="宋体" w:eastAsia="宋体" w:cs="宋体"/>
          <w:sz w:val="24"/>
          <w:szCs w:val="20"/>
          <w:lang w:eastAsia="zh-CN"/>
        </w:rPr>
        <w:t>技术要求</w:t>
      </w:r>
      <w:bookmarkEnd w:id="138"/>
      <w:bookmarkEnd w:id="139"/>
      <w:bookmarkEnd w:id="140"/>
      <w:bookmarkEnd w:id="141"/>
      <w:bookmarkEnd w:id="142"/>
    </w:p>
    <w:p w14:paraId="1A73F237">
      <w:pPr>
        <w:spacing w:line="44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2.1、投标单位在投标前应自行前往复壮古树地点进行自行勘察，按照上表进行制作名木古树复壮方案，古树名木株数不得少于表内的株数且要与古树名木编号相对应，复壮技术包含且不限于表内措施，并在复壮树周边制作宣传牌（宣传牌），并经过荣昌区林业局组织的专家评审后，按照方案进行施工；施工过程中发生的一切安全事故均由中标方承担，中标方提供安全承诺函（格式自理）。</w:t>
      </w:r>
    </w:p>
    <w:p w14:paraId="51CA52D0">
      <w:pPr>
        <w:spacing w:line="44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2.2、具有两个及以上名木古树复壮方案合同和中标通知书。</w:t>
      </w:r>
    </w:p>
    <w:p w14:paraId="426D122A">
      <w:pPr>
        <w:spacing w:line="440" w:lineRule="exact"/>
        <w:ind w:firstLine="480" w:firstLineChars="200"/>
        <w:rPr>
          <w:rFonts w:hint="eastAsia" w:ascii="宋体" w:hAnsi="宋体" w:eastAsia="宋体" w:cs="宋体"/>
          <w:sz w:val="24"/>
          <w:szCs w:val="24"/>
          <w:lang w:val="en-US" w:eastAsia="zh-CN"/>
        </w:rPr>
      </w:pPr>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2560320</wp:posOffset>
            </wp:positionH>
            <wp:positionV relativeFrom="paragraph">
              <wp:posOffset>821690</wp:posOffset>
            </wp:positionV>
            <wp:extent cx="961390" cy="1552575"/>
            <wp:effectExtent l="0" t="0" r="10160" b="9525"/>
            <wp:wrapSquare wrapText="bothSides"/>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11"/>
                    <a:stretch>
                      <a:fillRect/>
                    </a:stretch>
                  </pic:blipFill>
                  <pic:spPr>
                    <a:xfrm>
                      <a:off x="0" y="0"/>
                      <a:ext cx="961390" cy="1552575"/>
                    </a:xfrm>
                    <a:prstGeom prst="rect">
                      <a:avLst/>
                    </a:prstGeom>
                    <a:noFill/>
                    <a:ln w="9525">
                      <a:noFill/>
                    </a:ln>
                  </pic:spPr>
                </pic:pic>
              </a:graphicData>
            </a:graphic>
          </wp:anchor>
        </w:drawing>
      </w:r>
      <w:r>
        <w:rPr>
          <w:rFonts w:hint="eastAsia" w:ascii="宋体" w:hAnsi="宋体" w:eastAsia="宋体" w:cs="宋体"/>
          <w:b w:val="0"/>
          <w:kern w:val="2"/>
          <w:sz w:val="24"/>
          <w:szCs w:val="24"/>
          <w:lang w:val="en-US" w:eastAsia="zh-CN" w:bidi="ar-SA"/>
        </w:rPr>
        <w:t>2.3、宣传牌样式如下：由铝合金框架构成，PVC喷印版面，主体长50cm*40cm宽，露出地面高80CM，上面描述本次改善前和改善后照片及相应的复壮措施，下部由水泥浇筑。(如下图示范）</w:t>
      </w:r>
    </w:p>
    <w:p w14:paraId="027D2CFB">
      <w:pPr>
        <w:spacing w:line="440" w:lineRule="exact"/>
        <w:ind w:firstLine="480" w:firstLineChars="200"/>
        <w:rPr>
          <w:rFonts w:hint="eastAsia" w:ascii="宋体" w:hAnsi="宋体" w:eastAsia="宋体" w:cs="宋体"/>
          <w:sz w:val="24"/>
          <w:szCs w:val="24"/>
          <w:lang w:val="en-US" w:eastAsia="zh-CN"/>
        </w:rPr>
      </w:pPr>
    </w:p>
    <w:p w14:paraId="2EC96F83">
      <w:pPr>
        <w:spacing w:line="440" w:lineRule="exact"/>
        <w:ind w:firstLine="480" w:firstLineChars="200"/>
        <w:rPr>
          <w:rFonts w:hint="default" w:ascii="宋体" w:hAnsi="宋体" w:eastAsia="宋体" w:cs="宋体"/>
          <w:sz w:val="24"/>
          <w:szCs w:val="24"/>
          <w:lang w:val="en-US"/>
        </w:rPr>
      </w:pPr>
    </w:p>
    <w:p w14:paraId="2FACD31C">
      <w:pPr>
        <w:spacing w:line="440" w:lineRule="exact"/>
        <w:ind w:firstLine="480" w:firstLineChars="200"/>
        <w:rPr>
          <w:rFonts w:hint="eastAsia" w:ascii="宋体" w:hAnsi="宋体" w:eastAsia="宋体" w:cs="宋体"/>
          <w:sz w:val="24"/>
          <w:szCs w:val="24"/>
        </w:rPr>
      </w:pPr>
    </w:p>
    <w:p w14:paraId="734CC34C">
      <w:pPr>
        <w:spacing w:line="440" w:lineRule="exact"/>
        <w:ind w:firstLine="480" w:firstLineChars="200"/>
        <w:rPr>
          <w:rFonts w:hint="eastAsia" w:ascii="宋体" w:hAnsi="宋体" w:eastAsia="宋体" w:cs="宋体"/>
          <w:sz w:val="24"/>
          <w:szCs w:val="24"/>
        </w:rPr>
      </w:pPr>
    </w:p>
    <w:p w14:paraId="53BE1891">
      <w:pPr>
        <w:rPr>
          <w:rFonts w:hint="eastAsia" w:ascii="宋体" w:hAnsi="宋体" w:eastAsia="宋体" w:cs="宋体"/>
          <w:b/>
          <w:bCs/>
          <w:color w:val="000000"/>
          <w:sz w:val="36"/>
          <w:szCs w:val="36"/>
        </w:rPr>
      </w:pPr>
      <w:r>
        <w:rPr>
          <w:rFonts w:hint="eastAsia" w:ascii="宋体" w:hAnsi="宋体" w:eastAsia="宋体" w:cs="宋体"/>
          <w:b/>
          <w:bCs/>
          <w:color w:val="000000"/>
          <w:sz w:val="36"/>
          <w:szCs w:val="36"/>
        </w:rPr>
        <w:br w:type="page"/>
      </w:r>
    </w:p>
    <w:p w14:paraId="4DA78DE9">
      <w:pPr>
        <w:widowControl/>
        <w:ind w:firstLine="3253" w:firstLineChars="900"/>
        <w:jc w:val="left"/>
        <w:rPr>
          <w:rFonts w:ascii="宋体" w:hAnsi="宋体" w:eastAsia="宋体" w:cs="宋体"/>
          <w:b/>
          <w:bCs/>
          <w:color w:val="000000"/>
          <w:sz w:val="36"/>
          <w:szCs w:val="30"/>
        </w:rPr>
      </w:pPr>
      <w:r>
        <w:rPr>
          <w:rFonts w:hint="eastAsia" w:ascii="宋体" w:hAnsi="宋体" w:eastAsia="宋体" w:cs="宋体"/>
          <w:b/>
          <w:bCs/>
          <w:color w:val="000000"/>
          <w:sz w:val="36"/>
          <w:szCs w:val="36"/>
        </w:rPr>
        <w:t>第三篇  谈判项目商务需求</w:t>
      </w:r>
      <w:bookmarkEnd w:id="134"/>
      <w:bookmarkEnd w:id="135"/>
      <w:bookmarkEnd w:id="136"/>
      <w:bookmarkEnd w:id="137"/>
    </w:p>
    <w:p w14:paraId="313680BE">
      <w:pPr>
        <w:pStyle w:val="5"/>
        <w:spacing w:before="0" w:after="0" w:line="440" w:lineRule="exact"/>
        <w:ind w:firstLine="482" w:firstLineChars="200"/>
        <w:rPr>
          <w:rFonts w:ascii="宋体" w:hAnsi="宋体" w:cs="宋体"/>
          <w:sz w:val="24"/>
          <w:szCs w:val="24"/>
        </w:rPr>
      </w:pPr>
      <w:bookmarkStart w:id="143" w:name="_Toc2331"/>
      <w:bookmarkStart w:id="144" w:name="_Toc13935"/>
      <w:bookmarkStart w:id="145" w:name="_Toc132634046"/>
      <w:bookmarkStart w:id="146" w:name="_Toc14981"/>
      <w:bookmarkStart w:id="147" w:name="_Toc2835"/>
      <w:bookmarkStart w:id="148" w:name="_Toc493506291"/>
      <w:bookmarkStart w:id="149" w:name="_Toc267320050"/>
      <w:bookmarkStart w:id="150" w:name="_Toc106034640"/>
      <w:bookmarkStart w:id="151" w:name="_Toc16123"/>
      <w:bookmarkStart w:id="152" w:name="_Toc65660349"/>
      <w:bookmarkStart w:id="153" w:name="_Toc24195"/>
      <w:bookmarkStart w:id="154" w:name="_Toc5272"/>
      <w:bookmarkStart w:id="155" w:name="_Toc23108"/>
      <w:bookmarkStart w:id="156" w:name="_Toc8203"/>
      <w:bookmarkStart w:id="157" w:name="_Toc27476"/>
      <w:bookmarkStart w:id="158" w:name="_Toc27258"/>
      <w:bookmarkStart w:id="159" w:name="_Toc2776"/>
      <w:r>
        <w:rPr>
          <w:rFonts w:hint="eastAsia" w:ascii="宋体" w:hAnsi="宋体" w:cs="宋体"/>
          <w:sz w:val="24"/>
          <w:szCs w:val="24"/>
        </w:rPr>
        <w:t>一、实施时间、地点及验收方式</w:t>
      </w:r>
      <w:bookmarkEnd w:id="143"/>
      <w:bookmarkEnd w:id="144"/>
      <w:bookmarkEnd w:id="145"/>
      <w:bookmarkEnd w:id="146"/>
    </w:p>
    <w:p w14:paraId="70CCB4C5">
      <w:pPr>
        <w:spacing w:line="39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（一）实施时间：202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底前，按照重庆市绿化委员会办公室关于征求《关于做好2024年古树名木保护工作的通知》（征求意见稿）意见的函中“古树名木保护措施一览表”（附件3）和“古树名木复壮保护实施方案编制提纲”（附件4）的要求，将复壮保护措施进行细化，制定古树名木复壮保护实施方案，</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10日前</w:t>
      </w:r>
      <w:r>
        <w:rPr>
          <w:rFonts w:hint="eastAsia" w:ascii="宋体" w:hAnsi="宋体" w:eastAsia="宋体" w:cs="宋体"/>
          <w:sz w:val="24"/>
          <w:szCs w:val="24"/>
        </w:rPr>
        <w:t>完成方案评审</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11</w:t>
      </w:r>
      <w:r>
        <w:rPr>
          <w:rFonts w:hint="eastAsia" w:ascii="宋体" w:hAnsi="宋体" w:eastAsia="宋体" w:cs="宋体"/>
          <w:sz w:val="24"/>
          <w:szCs w:val="24"/>
        </w:rPr>
        <w:t>月底完成所有施工内容并提交相应资料交荣昌区林业局。</w:t>
      </w:r>
    </w:p>
    <w:p w14:paraId="37ABBA1F">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（二）服务地点：采购人指定地点。</w:t>
      </w:r>
    </w:p>
    <w:p w14:paraId="4CAC7842">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（三）验收方式</w:t>
      </w:r>
    </w:p>
    <w:bookmarkEnd w:id="147"/>
    <w:bookmarkEnd w:id="148"/>
    <w:p w14:paraId="36ABE33A">
      <w:pPr>
        <w:keepNext w:val="0"/>
        <w:keepLines w:val="0"/>
        <w:widowControl/>
        <w:suppressLineNumbers w:val="0"/>
        <w:wordWrap w:val="0"/>
        <w:spacing w:before="0" w:beforeAutospacing="0" w:after="0" w:afterAutospacing="0" w:line="400" w:lineRule="exact"/>
        <w:ind w:left="0" w:right="0" w:firstLine="480" w:firstLineChars="200"/>
        <w:jc w:val="left"/>
        <w:rPr>
          <w:rFonts w:hint="eastAsia" w:ascii="宋体" w:hAnsi="宋体" w:eastAsia="宋体" w:cs="宋体"/>
          <w:lang w:val="en-US"/>
        </w:rPr>
      </w:pPr>
      <w:bookmarkStart w:id="160" w:name="_Toc19265"/>
      <w:r>
        <w:rPr>
          <w:rFonts w:hint="eastAsia" w:ascii="宋体" w:hAnsi="宋体" w:eastAsia="宋体" w:cs="宋体"/>
          <w:kern w:val="2"/>
          <w:sz w:val="24"/>
          <w:szCs w:val="24"/>
          <w:lang w:val="en-US" w:eastAsia="zh-CN" w:bidi="ar"/>
        </w:rPr>
        <w:t>1、</w:t>
      </w:r>
      <w:r>
        <w:rPr>
          <w:rFonts w:hint="eastAsia" w:ascii="宋体" w:hAnsi="宋体" w:eastAsia="宋体" w:cs="宋体"/>
          <w:sz w:val="24"/>
          <w:szCs w:val="24"/>
        </w:rPr>
        <w:t>荣昌区林业局</w:t>
      </w:r>
      <w:r>
        <w:rPr>
          <w:rFonts w:hint="eastAsia" w:ascii="宋体" w:hAnsi="宋体" w:eastAsia="宋体" w:cs="宋体"/>
          <w:sz w:val="24"/>
          <w:szCs w:val="24"/>
          <w:lang w:val="en-US" w:eastAsia="zh-CN"/>
        </w:rPr>
        <w:t>组织相关人员进行</w:t>
      </w:r>
      <w:r>
        <w:rPr>
          <w:rFonts w:hint="eastAsia" w:ascii="宋体" w:hAnsi="宋体" w:eastAsia="宋体" w:cs="宋体"/>
          <w:kern w:val="2"/>
          <w:sz w:val="24"/>
          <w:szCs w:val="24"/>
          <w:lang w:val="en-US" w:eastAsia="zh-CN" w:bidi="ar"/>
        </w:rPr>
        <w:t>验收。</w:t>
      </w:r>
    </w:p>
    <w:p w14:paraId="00181957">
      <w:pPr>
        <w:keepNext w:val="0"/>
        <w:keepLines w:val="0"/>
        <w:widowControl/>
        <w:suppressLineNumbers w:val="0"/>
        <w:wordWrap w:val="0"/>
        <w:spacing w:before="0" w:beforeAutospacing="0" w:after="0" w:afterAutospacing="0" w:line="400" w:lineRule="exact"/>
        <w:ind w:left="0" w:right="0" w:firstLine="480" w:firstLineChars="200"/>
        <w:jc w:val="left"/>
        <w:rPr>
          <w:rFonts w:ascii="宋体" w:hAnsi="宋体" w:eastAsia="宋体" w:cs="宋体"/>
          <w:sz w:val="24"/>
          <w:szCs w:val="24"/>
        </w:rPr>
      </w:pPr>
      <w:r>
        <w:rPr>
          <w:rFonts w:hint="eastAsia" w:ascii="宋体" w:hAnsi="宋体" w:eastAsia="宋体" w:cs="宋体"/>
          <w:kern w:val="2"/>
          <w:sz w:val="24"/>
          <w:szCs w:val="24"/>
          <w:lang w:val="en-US" w:eastAsia="zh-CN" w:bidi="ar"/>
        </w:rPr>
        <w:t>2、若验收不合格需要整改的，成交供应商需在采购人规定时间内无偿整改直至合格。</w:t>
      </w:r>
    </w:p>
    <w:p w14:paraId="51218324">
      <w:pPr>
        <w:pStyle w:val="5"/>
        <w:spacing w:before="0" w:after="0" w:line="440" w:lineRule="exact"/>
        <w:ind w:firstLine="482" w:firstLineChars="200"/>
        <w:rPr>
          <w:rFonts w:ascii="宋体" w:hAnsi="宋体" w:cs="宋体"/>
          <w:sz w:val="24"/>
          <w:szCs w:val="24"/>
        </w:rPr>
      </w:pPr>
      <w:bookmarkStart w:id="161" w:name="_Toc27001"/>
      <w:bookmarkStart w:id="162" w:name="_Toc132634048"/>
      <w:r>
        <w:rPr>
          <w:rFonts w:hint="eastAsia" w:ascii="宋体" w:hAnsi="宋体" w:cs="宋体"/>
          <w:sz w:val="24"/>
          <w:szCs w:val="24"/>
        </w:rPr>
        <w:t>二、</w:t>
      </w:r>
      <w:bookmarkEnd w:id="149"/>
      <w:bookmarkStart w:id="163" w:name="_Toc493506293"/>
      <w:bookmarkStart w:id="164" w:name="_Toc267320051"/>
      <w:bookmarkStart w:id="165" w:name="_Toc22342"/>
      <w:r>
        <w:rPr>
          <w:rFonts w:hint="eastAsia" w:ascii="宋体" w:hAnsi="宋体" w:cs="宋体"/>
          <w:sz w:val="24"/>
          <w:szCs w:val="24"/>
        </w:rPr>
        <w:t>售后服务</w:t>
      </w:r>
      <w:bookmarkEnd w:id="160"/>
      <w:bookmarkEnd w:id="161"/>
      <w:bookmarkEnd w:id="162"/>
    </w:p>
    <w:p w14:paraId="5D387ED8">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售后服务内容</w:t>
      </w:r>
    </w:p>
    <w:p w14:paraId="54BB09A3">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供应商在服务保证期内应当为采购人提供以下技术支持服务：</w:t>
      </w:r>
    </w:p>
    <w:p w14:paraId="3949F4A6">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1、质量保证期内服务要求</w:t>
      </w:r>
    </w:p>
    <w:p w14:paraId="7F63A15A">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1.1电话咨询</w:t>
      </w:r>
    </w:p>
    <w:p w14:paraId="7C7CE6DF">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成交供应商应当为用户提供技术援助电话，解答用户在使用中遇到的问题，及时为用户提出解决问题的建议。</w:t>
      </w:r>
    </w:p>
    <w:p w14:paraId="44D99984">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1.2现场响应</w:t>
      </w:r>
    </w:p>
    <w:p w14:paraId="79A02543">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用户遇到使用及技术问题，电话咨询不能解决的，成交供应商应在</w:t>
      </w:r>
      <w:r>
        <w:rPr>
          <w:rFonts w:hint="eastAsia" w:ascii="宋体" w:hAnsi="宋体" w:eastAsia="宋体" w:cs="宋体"/>
          <w:sz w:val="24"/>
          <w:szCs w:val="24"/>
          <w:lang w:val="en-US" w:eastAsia="zh-CN"/>
        </w:rPr>
        <w:t>2</w:t>
      </w:r>
      <w:r>
        <w:rPr>
          <w:rFonts w:hint="eastAsia" w:ascii="宋体" w:hAnsi="宋体" w:eastAsia="宋体" w:cs="宋体"/>
          <w:sz w:val="24"/>
          <w:szCs w:val="24"/>
        </w:rPr>
        <w:t>小时内采取相应响应措施；无法在</w:t>
      </w:r>
      <w:r>
        <w:rPr>
          <w:rFonts w:hint="eastAsia" w:ascii="宋体" w:hAnsi="宋体" w:eastAsia="宋体" w:cs="宋体"/>
          <w:sz w:val="24"/>
          <w:szCs w:val="24"/>
          <w:lang w:val="en-US" w:eastAsia="zh-CN"/>
        </w:rPr>
        <w:t>2</w:t>
      </w:r>
      <w:r>
        <w:rPr>
          <w:rFonts w:hint="eastAsia" w:ascii="宋体" w:hAnsi="宋体" w:eastAsia="宋体" w:cs="宋体"/>
          <w:sz w:val="24"/>
          <w:szCs w:val="24"/>
        </w:rPr>
        <w:t>小时内解决的，应在24小时内派出专业人员进行技术支持。</w:t>
      </w:r>
    </w:p>
    <w:p w14:paraId="1F2544BA">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sz w:val="24"/>
          <w:szCs w:val="24"/>
          <w:lang w:val="en-US" w:eastAsia="zh-CN"/>
        </w:rPr>
        <w:t>服务</w:t>
      </w:r>
      <w:r>
        <w:rPr>
          <w:rFonts w:hint="eastAsia" w:ascii="宋体" w:hAnsi="宋体" w:eastAsia="宋体" w:cs="宋体"/>
          <w:sz w:val="24"/>
          <w:szCs w:val="24"/>
        </w:rPr>
        <w:t>期外要求</w:t>
      </w:r>
    </w:p>
    <w:p w14:paraId="6B2CEB38">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2.1</w:t>
      </w:r>
      <w:r>
        <w:rPr>
          <w:rFonts w:hint="eastAsia" w:ascii="宋体" w:hAnsi="宋体" w:eastAsia="宋体" w:cs="宋体"/>
          <w:sz w:val="24"/>
          <w:szCs w:val="24"/>
          <w:lang w:val="en-US" w:eastAsia="zh-CN"/>
        </w:rPr>
        <w:t>服务</w:t>
      </w:r>
      <w:r>
        <w:rPr>
          <w:rFonts w:hint="eastAsia" w:ascii="宋体" w:hAnsi="宋体" w:eastAsia="宋体" w:cs="宋体"/>
          <w:sz w:val="24"/>
          <w:szCs w:val="24"/>
        </w:rPr>
        <w:t>期过后，成交供应商应同样提供免费电话咨询服务，并应承诺提供上门维护服务。</w:t>
      </w:r>
    </w:p>
    <w:p w14:paraId="30EA3FB0">
      <w:pPr>
        <w:spacing w:line="390" w:lineRule="exact"/>
        <w:ind w:firstLine="480" w:firstLineChars="200"/>
        <w:rPr>
          <w:rFonts w:ascii="宋体" w:hAnsi="宋体" w:eastAsia="宋体" w:cs="宋体"/>
          <w:sz w:val="24"/>
          <w:szCs w:val="24"/>
        </w:rPr>
      </w:pPr>
      <w:r>
        <w:rPr>
          <w:rFonts w:hint="eastAsia" w:ascii="宋体" w:hAnsi="宋体" w:eastAsia="宋体" w:cs="宋体"/>
          <w:sz w:val="24"/>
          <w:szCs w:val="24"/>
        </w:rPr>
        <w:t>2.2</w:t>
      </w:r>
      <w:r>
        <w:rPr>
          <w:rFonts w:hint="eastAsia" w:ascii="宋体" w:hAnsi="宋体" w:eastAsia="宋体" w:cs="宋体"/>
          <w:sz w:val="24"/>
          <w:szCs w:val="24"/>
          <w:lang w:val="en-US" w:eastAsia="zh-CN"/>
        </w:rPr>
        <w:t>服务</w:t>
      </w:r>
      <w:r>
        <w:rPr>
          <w:rFonts w:hint="eastAsia" w:ascii="宋体" w:hAnsi="宋体" w:eastAsia="宋体" w:cs="宋体"/>
          <w:sz w:val="24"/>
          <w:szCs w:val="24"/>
        </w:rPr>
        <w:t>期过后，采购人需要继续由原成交供应商提供售后服务的，成交供应商应以优惠价格提供售后服务。</w:t>
      </w:r>
    </w:p>
    <w:bookmarkEnd w:id="163"/>
    <w:bookmarkEnd w:id="164"/>
    <w:bookmarkEnd w:id="165"/>
    <w:p w14:paraId="0939AED3">
      <w:pPr>
        <w:pStyle w:val="5"/>
        <w:spacing w:before="0" w:after="0" w:line="440" w:lineRule="exact"/>
        <w:ind w:firstLine="482" w:firstLineChars="200"/>
        <w:rPr>
          <w:rFonts w:ascii="宋体" w:hAnsi="宋体" w:cs="宋体"/>
          <w:sz w:val="24"/>
          <w:szCs w:val="24"/>
        </w:rPr>
      </w:pPr>
      <w:bookmarkStart w:id="166" w:name="_Toc132634049"/>
      <w:bookmarkStart w:id="167" w:name="_Toc19467"/>
      <w:bookmarkStart w:id="168" w:name="_Toc4047"/>
      <w:r>
        <w:rPr>
          <w:rFonts w:hint="eastAsia" w:ascii="宋体" w:hAnsi="宋体" w:cs="宋体"/>
          <w:sz w:val="24"/>
          <w:szCs w:val="24"/>
        </w:rPr>
        <w:t>三、报价要求</w:t>
      </w:r>
      <w:bookmarkEnd w:id="166"/>
      <w:bookmarkEnd w:id="167"/>
    </w:p>
    <w:p w14:paraId="45F4F68B">
      <w:pPr>
        <w:keepNext w:val="0"/>
        <w:keepLines w:val="0"/>
        <w:suppressLineNumbers w:val="0"/>
        <w:snapToGrid w:val="0"/>
        <w:spacing w:before="0" w:beforeAutospacing="0" w:after="0" w:afterAutospacing="0" w:line="400" w:lineRule="exact"/>
        <w:ind w:right="0" w:firstLine="480" w:firstLineChars="200"/>
        <w:rPr>
          <w:rFonts w:ascii="宋体" w:hAnsi="宋体" w:eastAsia="宋体" w:cs="宋体"/>
          <w:sz w:val="24"/>
          <w:szCs w:val="24"/>
        </w:rPr>
      </w:pPr>
      <w:r>
        <w:rPr>
          <w:rFonts w:hint="eastAsia" w:ascii="宋体" w:hAnsi="宋体" w:eastAsia="宋体" w:cs="宋体"/>
          <w:sz w:val="24"/>
          <w:szCs w:val="24"/>
        </w:rPr>
        <w:t>本项目均为人民币报价，包括但不限于包括完成本项目所需的</w:t>
      </w:r>
      <w:r>
        <w:rPr>
          <w:rFonts w:hint="eastAsia" w:ascii="宋体" w:hAnsi="宋体" w:eastAsia="宋体" w:cs="宋体"/>
          <w:bCs/>
          <w:sz w:val="24"/>
          <w:szCs w:val="24"/>
          <w:lang w:val="en-US" w:eastAsia="zh-CN"/>
        </w:rPr>
        <w:t>相关费用、如</w:t>
      </w:r>
      <w:r>
        <w:rPr>
          <w:rFonts w:hint="eastAsia" w:ascii="宋体" w:hAnsi="宋体" w:eastAsia="宋体" w:cs="宋体"/>
          <w:sz w:val="24"/>
          <w:szCs w:val="24"/>
          <w:lang w:val="en-US" w:eastAsia="zh-CN"/>
        </w:rPr>
        <w:t>树洞修补，枝条清理，培土施肥；有害生物及病害防治，白蚁防治，树体支撑加固、枝条清理费、相关管理</w:t>
      </w:r>
      <w:r>
        <w:rPr>
          <w:rFonts w:hint="eastAsia" w:ascii="宋体" w:hAnsi="宋体" w:eastAsia="宋体" w:cs="宋体"/>
          <w:sz w:val="24"/>
          <w:szCs w:val="24"/>
        </w:rPr>
        <w:t>费、</w:t>
      </w:r>
      <w:r>
        <w:rPr>
          <w:rFonts w:hint="eastAsia" w:ascii="宋体" w:hAnsi="宋体" w:eastAsia="宋体" w:cs="宋体"/>
          <w:sz w:val="24"/>
          <w:szCs w:val="24"/>
          <w:lang w:val="en-US" w:eastAsia="zh-CN"/>
        </w:rPr>
        <w:t>材料</w:t>
      </w:r>
      <w:r>
        <w:rPr>
          <w:rFonts w:hint="eastAsia" w:ascii="宋体" w:hAnsi="宋体" w:eastAsia="宋体" w:cs="宋体"/>
          <w:sz w:val="24"/>
          <w:szCs w:val="24"/>
        </w:rPr>
        <w:t>费、人工服务费用、税费及安全风险等与之相关的全部费用，实行包干制，因中标供应商自身原因造成漏报、少报皆由其自行承担责任，采购人不再补偿。</w:t>
      </w:r>
    </w:p>
    <w:p w14:paraId="06C251AD">
      <w:pPr>
        <w:pStyle w:val="5"/>
        <w:spacing w:before="0" w:after="0" w:line="440" w:lineRule="exact"/>
        <w:ind w:firstLine="482" w:firstLineChars="200"/>
        <w:rPr>
          <w:rFonts w:ascii="宋体" w:hAnsi="宋体" w:cs="宋体"/>
          <w:color w:val="auto"/>
          <w:sz w:val="24"/>
          <w:szCs w:val="24"/>
        </w:rPr>
      </w:pPr>
      <w:bookmarkStart w:id="169" w:name="_Toc23665"/>
      <w:bookmarkStart w:id="170" w:name="_Toc132634050"/>
      <w:r>
        <w:rPr>
          <w:rFonts w:hint="eastAsia" w:ascii="宋体" w:hAnsi="宋体" w:cs="宋体"/>
          <w:color w:val="auto"/>
          <w:sz w:val="24"/>
          <w:szCs w:val="24"/>
        </w:rPr>
        <w:t>四、付款方式</w:t>
      </w:r>
      <w:bookmarkEnd w:id="168"/>
      <w:bookmarkEnd w:id="169"/>
      <w:bookmarkEnd w:id="170"/>
    </w:p>
    <w:p w14:paraId="03BC5342">
      <w:pPr>
        <w:spacing w:line="390" w:lineRule="exact"/>
        <w:ind w:firstLine="480" w:firstLineChars="200"/>
        <w:rPr>
          <w:rFonts w:ascii="宋体" w:hAnsi="宋体" w:eastAsia="宋体" w:cs="宋体"/>
          <w:color w:val="auto"/>
          <w:sz w:val="24"/>
          <w:szCs w:val="24"/>
        </w:rPr>
      </w:pPr>
      <w:r>
        <w:rPr>
          <w:rFonts w:hint="eastAsia" w:ascii="宋体" w:hAnsi="宋体" w:eastAsia="宋体" w:cs="宋体"/>
          <w:color w:val="auto"/>
          <w:sz w:val="24"/>
          <w:szCs w:val="24"/>
        </w:rPr>
        <w:t>1、付款方式：转账支付</w:t>
      </w:r>
    </w:p>
    <w:p w14:paraId="6902B7A7">
      <w:pPr>
        <w:keepNext w:val="0"/>
        <w:keepLines w:val="0"/>
        <w:widowControl w:val="0"/>
        <w:suppressLineNumbers w:val="0"/>
        <w:snapToGrid w:val="0"/>
        <w:spacing w:before="0" w:beforeAutospacing="0" w:after="0" w:afterAutospacing="0" w:line="400" w:lineRule="exact"/>
        <w:ind w:left="0" w:right="0" w:firstLine="480" w:firstLineChars="200"/>
        <w:jc w:val="both"/>
        <w:rPr>
          <w:rFonts w:hint="eastAsia" w:ascii="宋体" w:hAnsi="宋体" w:eastAsia="宋体" w:cs="宋体"/>
          <w:color w:val="auto"/>
          <w:sz w:val="24"/>
          <w:szCs w:val="24"/>
        </w:rPr>
      </w:pPr>
      <w:r>
        <w:rPr>
          <w:rFonts w:hint="eastAsia" w:ascii="宋体" w:hAnsi="宋体" w:eastAsia="宋体" w:cs="宋体"/>
          <w:color w:val="auto"/>
          <w:sz w:val="24"/>
          <w:szCs w:val="24"/>
        </w:rPr>
        <w:t>2、支付方式：</w:t>
      </w:r>
      <w:bookmarkStart w:id="171" w:name="OLE_LINK3"/>
      <w:bookmarkStart w:id="172" w:name="OLE_LINK4"/>
    </w:p>
    <w:p w14:paraId="43AEA7C5">
      <w:pPr>
        <w:keepNext w:val="0"/>
        <w:keepLines w:val="0"/>
        <w:widowControl w:val="0"/>
        <w:suppressLineNumbers w:val="0"/>
        <w:snapToGrid w:val="0"/>
        <w:spacing w:before="0" w:beforeAutospacing="0" w:after="0" w:afterAutospacing="0" w:line="400" w:lineRule="exact"/>
        <w:ind w:left="0" w:right="0" w:firstLine="480" w:firstLineChars="200"/>
        <w:jc w:val="both"/>
        <w:rPr>
          <w:rFonts w:hint="eastAsia" w:ascii="宋体" w:hAnsi="宋体" w:eastAsia="宋体" w:cs="宋体"/>
          <w:color w:val="auto"/>
          <w:sz w:val="24"/>
          <w:szCs w:val="24"/>
          <w:lang w:val="en-US"/>
        </w:rPr>
      </w:pPr>
      <w:r>
        <w:rPr>
          <w:rFonts w:hint="eastAsia" w:ascii="宋体" w:hAnsi="宋体" w:eastAsia="宋体" w:cs="宋体"/>
          <w:color w:val="auto"/>
          <w:sz w:val="24"/>
          <w:szCs w:val="24"/>
          <w:lang w:val="en-US" w:eastAsia="zh-CN"/>
        </w:rPr>
        <w:t>2.</w:t>
      </w:r>
      <w:r>
        <w:rPr>
          <w:rFonts w:hint="eastAsia" w:ascii="宋体" w:hAnsi="宋体" w:eastAsia="宋体" w:cs="宋体"/>
          <w:color w:val="auto"/>
          <w:kern w:val="0"/>
          <w:sz w:val="24"/>
          <w:szCs w:val="24"/>
          <w:lang w:val="en-US" w:eastAsia="zh-CN" w:bidi="ar"/>
        </w:rPr>
        <w:t>1履约保证金：</w:t>
      </w:r>
      <w:bookmarkEnd w:id="171"/>
      <w:bookmarkEnd w:id="172"/>
      <w:r>
        <w:rPr>
          <w:rFonts w:hint="eastAsia" w:ascii="宋体" w:hAnsi="宋体" w:eastAsia="宋体" w:cs="宋体"/>
          <w:color w:val="auto"/>
          <w:kern w:val="0"/>
          <w:sz w:val="24"/>
          <w:szCs w:val="24"/>
          <w:lang w:val="en-US" w:eastAsia="zh-CN" w:bidi="ar"/>
        </w:rPr>
        <w:t>成交供应商向荣昌区林业局缴纳合同金额的3%作为履约保证金，在经过市级验收后，由区林业局出具验收合格后15个工作日内无息退还。</w:t>
      </w:r>
    </w:p>
    <w:p w14:paraId="7DFB426F">
      <w:pPr>
        <w:keepNext w:val="0"/>
        <w:keepLines w:val="0"/>
        <w:widowControl w:val="0"/>
        <w:suppressLineNumbers w:val="0"/>
        <w:snapToGrid w:val="0"/>
        <w:spacing w:before="0" w:beforeAutospacing="0" w:after="0" w:afterAutospacing="0" w:line="400" w:lineRule="exact"/>
        <w:ind w:right="0" w:firstLine="480" w:firstLineChars="200"/>
        <w:jc w:val="both"/>
        <w:rPr>
          <w:rFonts w:hint="eastAsia" w:ascii="宋体" w:hAnsi="宋体" w:eastAsia="宋体" w:cs="宋体"/>
          <w:color w:val="auto"/>
          <w:kern w:val="0"/>
          <w:sz w:val="24"/>
          <w:szCs w:val="24"/>
          <w:lang w:val="en-US"/>
        </w:rPr>
      </w:pPr>
      <w:r>
        <w:rPr>
          <w:rFonts w:hint="eastAsia" w:ascii="宋体" w:hAnsi="宋体" w:eastAsia="宋体" w:cs="宋体"/>
          <w:color w:val="auto"/>
          <w:kern w:val="0"/>
          <w:sz w:val="24"/>
          <w:szCs w:val="24"/>
          <w:lang w:val="en-US" w:eastAsia="zh-CN" w:bidi="ar"/>
        </w:rPr>
        <w:t>2.2、施工完成后并经过荣昌区林业局聘请的第三方中介验收合格后，荣昌区林业局在区财政申报资金使用指标到达后1月内付清。</w:t>
      </w:r>
    </w:p>
    <w:p w14:paraId="38DA85A7">
      <w:pPr>
        <w:pStyle w:val="5"/>
        <w:spacing w:before="0" w:after="0" w:line="440" w:lineRule="exact"/>
        <w:ind w:firstLine="482" w:firstLineChars="200"/>
        <w:rPr>
          <w:rFonts w:ascii="宋体" w:hAnsi="宋体" w:cs="宋体"/>
          <w:sz w:val="24"/>
          <w:szCs w:val="24"/>
        </w:rPr>
      </w:pPr>
      <w:bookmarkStart w:id="173" w:name="_Toc132634051"/>
      <w:bookmarkStart w:id="174" w:name="_Toc16729"/>
      <w:bookmarkStart w:id="175" w:name="_Toc29262"/>
      <w:r>
        <w:rPr>
          <w:rFonts w:hint="eastAsia" w:ascii="宋体" w:hAnsi="宋体" w:cs="宋体"/>
          <w:sz w:val="24"/>
          <w:szCs w:val="24"/>
        </w:rPr>
        <w:t>五、知识产权</w:t>
      </w:r>
      <w:bookmarkEnd w:id="173"/>
      <w:bookmarkEnd w:id="174"/>
      <w:bookmarkEnd w:id="175"/>
    </w:p>
    <w:p w14:paraId="307543C0">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采购人在中华人民共和国境内使用供应商提供的货物及服务时免受第三方提出的侵犯其专利权或其它知识产权的起诉。如果第三方提出侵权指控，成交供应商应承担由此而引起的一切法律责任和费用。</w:t>
      </w:r>
    </w:p>
    <w:p w14:paraId="5F4C043B">
      <w:pPr>
        <w:pStyle w:val="5"/>
        <w:spacing w:before="0" w:after="0" w:line="440" w:lineRule="exact"/>
        <w:ind w:firstLine="482" w:firstLineChars="200"/>
        <w:rPr>
          <w:rFonts w:ascii="宋体" w:hAnsi="宋体" w:cs="宋体"/>
          <w:sz w:val="24"/>
          <w:szCs w:val="24"/>
        </w:rPr>
      </w:pPr>
      <w:bookmarkStart w:id="176" w:name="_Toc28709"/>
      <w:bookmarkStart w:id="177" w:name="_Toc132634052"/>
      <w:bookmarkStart w:id="178" w:name="_Toc21766"/>
      <w:r>
        <w:rPr>
          <w:rFonts w:hint="eastAsia" w:ascii="宋体" w:hAnsi="宋体" w:cs="宋体"/>
          <w:sz w:val="24"/>
          <w:szCs w:val="24"/>
        </w:rPr>
        <w:t>六、其他</w:t>
      </w:r>
      <w:bookmarkEnd w:id="176"/>
      <w:bookmarkEnd w:id="177"/>
      <w:bookmarkEnd w:id="178"/>
    </w:p>
    <w:p w14:paraId="18337B3B">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（一）供应商必须在响应文件中对以上条款和服务承诺明确列出，承诺内容必须达到本篇及采购文件其他条款的要求。</w:t>
      </w:r>
    </w:p>
    <w:p w14:paraId="637762B4">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（二）其他未尽事宜由供需双方在采购合同中详细约定。</w:t>
      </w:r>
    </w:p>
    <w:p w14:paraId="6FA9CC29">
      <w:pPr>
        <w:pStyle w:val="46"/>
        <w:ind w:left="4960" w:hanging="480"/>
        <w:rPr>
          <w:rFonts w:ascii="宋体" w:hAnsi="宋体" w:eastAsia="宋体" w:cs="宋体"/>
          <w:sz w:val="24"/>
          <w:szCs w:val="24"/>
        </w:rPr>
      </w:pPr>
    </w:p>
    <w:p w14:paraId="48FFD534">
      <w:pPr>
        <w:rPr>
          <w:rFonts w:ascii="宋体" w:hAnsi="宋体" w:eastAsia="宋体" w:cs="宋体"/>
          <w:sz w:val="24"/>
          <w:szCs w:val="24"/>
        </w:rPr>
      </w:pPr>
    </w:p>
    <w:p w14:paraId="458F9C6F">
      <w:pPr>
        <w:pStyle w:val="46"/>
        <w:ind w:left="4960" w:hanging="480"/>
        <w:rPr>
          <w:rFonts w:ascii="宋体" w:hAnsi="宋体" w:eastAsia="宋体" w:cs="宋体"/>
          <w:sz w:val="24"/>
          <w:szCs w:val="24"/>
        </w:rPr>
      </w:pPr>
    </w:p>
    <w:p w14:paraId="6873CFF7">
      <w:pPr>
        <w:rPr>
          <w:rFonts w:ascii="宋体" w:hAnsi="宋体" w:eastAsia="宋体" w:cs="宋体"/>
          <w:sz w:val="24"/>
          <w:szCs w:val="24"/>
        </w:rPr>
      </w:pPr>
    </w:p>
    <w:p w14:paraId="34CC0A0A">
      <w:pPr>
        <w:rPr>
          <w:rFonts w:ascii="宋体" w:hAnsi="宋体" w:eastAsia="宋体" w:cs="宋体"/>
          <w:sz w:val="24"/>
          <w:szCs w:val="24"/>
        </w:rPr>
      </w:pPr>
    </w:p>
    <w:p w14:paraId="60C65CB4">
      <w:pPr>
        <w:widowControl/>
        <w:jc w:val="left"/>
        <w:rPr>
          <w:rFonts w:ascii="宋体" w:hAnsi="宋体" w:eastAsia="宋体" w:cs="宋体"/>
          <w:sz w:val="24"/>
          <w:szCs w:val="24"/>
        </w:rPr>
      </w:pPr>
      <w:r>
        <w:rPr>
          <w:rFonts w:ascii="宋体" w:hAnsi="宋体" w:eastAsia="宋体" w:cs="宋体"/>
          <w:sz w:val="24"/>
          <w:szCs w:val="24"/>
        </w:rPr>
        <w:br w:type="page"/>
      </w:r>
    </w:p>
    <w:p w14:paraId="0D492529">
      <w:pPr>
        <w:pStyle w:val="3"/>
        <w:keepLines/>
        <w:snapToGrid/>
        <w:spacing w:line="360" w:lineRule="auto"/>
        <w:jc w:val="center"/>
        <w:rPr>
          <w:rFonts w:hAnsi="宋体" w:eastAsia="宋体" w:cs="宋体"/>
          <w:b/>
          <w:sz w:val="36"/>
          <w:szCs w:val="30"/>
        </w:rPr>
      </w:pPr>
      <w:bookmarkStart w:id="179" w:name="_Toc132634053"/>
      <w:bookmarkStart w:id="180" w:name="_Toc1219"/>
      <w:r>
        <w:rPr>
          <w:rFonts w:hint="eastAsia" w:hAnsi="宋体" w:eastAsia="宋体" w:cs="宋体"/>
          <w:b/>
          <w:bCs/>
          <w:sz w:val="36"/>
          <w:szCs w:val="30"/>
        </w:rPr>
        <w:t>第四篇  采购程序、评定成交的标准、无效谈判及采购终止</w:t>
      </w:r>
      <w:bookmarkEnd w:id="150"/>
      <w:bookmarkEnd w:id="151"/>
      <w:bookmarkEnd w:id="152"/>
      <w:bookmarkEnd w:id="153"/>
      <w:bookmarkEnd w:id="154"/>
      <w:bookmarkEnd w:id="179"/>
      <w:bookmarkEnd w:id="180"/>
    </w:p>
    <w:p w14:paraId="34270A6F">
      <w:pPr>
        <w:pStyle w:val="4"/>
        <w:adjustRightInd w:val="0"/>
        <w:snapToGrid w:val="0"/>
        <w:spacing w:before="0" w:after="0" w:line="400" w:lineRule="exact"/>
        <w:ind w:firstLine="482" w:firstLineChars="200"/>
        <w:rPr>
          <w:rFonts w:ascii="宋体" w:hAnsi="宋体" w:eastAsia="宋体" w:cs="宋体"/>
          <w:sz w:val="24"/>
        </w:rPr>
      </w:pPr>
      <w:bookmarkStart w:id="181" w:name="_Toc64732012"/>
      <w:bookmarkStart w:id="182" w:name="_Toc5167"/>
      <w:bookmarkStart w:id="183" w:name="_Toc9361"/>
      <w:bookmarkStart w:id="184" w:name="_Toc24431"/>
      <w:bookmarkStart w:id="185" w:name="_Toc65660350"/>
      <w:bookmarkStart w:id="186" w:name="_Toc106034641"/>
      <w:bookmarkStart w:id="187" w:name="_Toc132634054"/>
      <w:bookmarkStart w:id="188" w:name="_Toc17955"/>
      <w:r>
        <w:rPr>
          <w:rFonts w:hint="eastAsia" w:ascii="宋体" w:hAnsi="宋体" w:eastAsia="宋体" w:cs="宋体"/>
          <w:sz w:val="24"/>
        </w:rPr>
        <w:t>一、采购程序</w:t>
      </w:r>
      <w:bookmarkEnd w:id="181"/>
      <w:bookmarkEnd w:id="182"/>
      <w:bookmarkEnd w:id="183"/>
      <w:bookmarkEnd w:id="184"/>
      <w:bookmarkEnd w:id="185"/>
      <w:bookmarkEnd w:id="186"/>
      <w:bookmarkEnd w:id="187"/>
      <w:bookmarkEnd w:id="188"/>
    </w:p>
    <w:p w14:paraId="7BE19CB6">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（一）谈判按竞争性谈判文件规定的时间和地点进行。供应商须有法定代表人（或其授权代表）或自然人参加并签到。</w:t>
      </w:r>
    </w:p>
    <w:p w14:paraId="14FAA5C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 xml:space="preserve">（二）竞争性谈判以抽签的形式确定谈判顺序，由本项目谈判小组分别与各供应商进行谈判。在谈判前，对各供应商的资格条件、实质性响应等进行审查。 </w:t>
      </w:r>
    </w:p>
    <w:p w14:paraId="4B932029">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1.资格性审查。依据法律法规和竞争性谈判文件的规定，对响应文件中的资格证明材料等进行审查。资格性审查内容如下：</w:t>
      </w:r>
    </w:p>
    <w:tbl>
      <w:tblPr>
        <w:tblStyle w:val="61"/>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88"/>
        <w:gridCol w:w="3686"/>
        <w:gridCol w:w="3537"/>
      </w:tblGrid>
      <w:tr w14:paraId="5D7AB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vAlign w:val="center"/>
          </w:tcPr>
          <w:p w14:paraId="64948641">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序号</w:t>
            </w:r>
          </w:p>
        </w:tc>
        <w:tc>
          <w:tcPr>
            <w:tcW w:w="5274" w:type="dxa"/>
            <w:gridSpan w:val="2"/>
            <w:tcBorders>
              <w:top w:val="single" w:color="auto" w:sz="4" w:space="0"/>
              <w:left w:val="single" w:color="auto" w:sz="4" w:space="0"/>
              <w:bottom w:val="single" w:color="auto" w:sz="4" w:space="0"/>
              <w:right w:val="single" w:color="auto" w:sz="4" w:space="0"/>
            </w:tcBorders>
            <w:vAlign w:val="center"/>
          </w:tcPr>
          <w:p w14:paraId="45DF7B32">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检查因素</w:t>
            </w:r>
          </w:p>
        </w:tc>
        <w:tc>
          <w:tcPr>
            <w:tcW w:w="3537" w:type="dxa"/>
            <w:tcBorders>
              <w:top w:val="single" w:color="auto" w:sz="4" w:space="0"/>
              <w:left w:val="single" w:color="auto" w:sz="4" w:space="0"/>
              <w:bottom w:val="single" w:color="auto" w:sz="4" w:space="0"/>
              <w:right w:val="single" w:color="auto" w:sz="4" w:space="0"/>
            </w:tcBorders>
            <w:vAlign w:val="center"/>
          </w:tcPr>
          <w:p w14:paraId="35308497">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检查内容</w:t>
            </w:r>
          </w:p>
        </w:tc>
      </w:tr>
      <w:tr w14:paraId="7B537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vAlign w:val="center"/>
          </w:tcPr>
          <w:p w14:paraId="4FA31927">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（一）</w:t>
            </w:r>
          </w:p>
        </w:tc>
        <w:tc>
          <w:tcPr>
            <w:tcW w:w="1588" w:type="dxa"/>
            <w:vMerge w:val="restart"/>
            <w:vAlign w:val="center"/>
          </w:tcPr>
          <w:p w14:paraId="1DAA10B8">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《中华人民共和国政府采购法》第二十二条规定</w:t>
            </w:r>
          </w:p>
        </w:tc>
        <w:tc>
          <w:tcPr>
            <w:tcW w:w="3686" w:type="dxa"/>
            <w:vAlign w:val="center"/>
          </w:tcPr>
          <w:p w14:paraId="426BBCCA">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1.具有独立承担民事责任的能力</w:t>
            </w:r>
          </w:p>
        </w:tc>
        <w:tc>
          <w:tcPr>
            <w:tcW w:w="3537" w:type="dxa"/>
            <w:vAlign w:val="center"/>
          </w:tcPr>
          <w:p w14:paraId="2D235C65">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 xml:space="preserve">1.供应商法人营业执照（副本）或事业单位法人证书（副本）或个体工商户营业执照或有效的自然人身份证明或社会团体法人登记证书（提供复印件）。 </w:t>
            </w:r>
          </w:p>
          <w:p w14:paraId="3370969A">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2.供应商法定代表人身份证明和法定代表人授权代表委托书。</w:t>
            </w:r>
          </w:p>
        </w:tc>
      </w:tr>
      <w:tr w14:paraId="1FED5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3D0D03FA">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01F676C9">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611AC7A9">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2.具有良好的商业信誉和健全的财务会计制度</w:t>
            </w:r>
          </w:p>
        </w:tc>
        <w:tc>
          <w:tcPr>
            <w:tcW w:w="3537" w:type="dxa"/>
            <w:vMerge w:val="restart"/>
            <w:vAlign w:val="center"/>
          </w:tcPr>
          <w:p w14:paraId="08D9E441">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供应商提供“基本资格条件承诺函”（格式详见第七篇）</w:t>
            </w:r>
          </w:p>
        </w:tc>
      </w:tr>
      <w:tr w14:paraId="5546E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6E1CC5A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72A31C12">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56CC2351">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3.具有履行合同所必需的设备和专业技术能力</w:t>
            </w:r>
          </w:p>
        </w:tc>
        <w:tc>
          <w:tcPr>
            <w:tcW w:w="3537" w:type="dxa"/>
            <w:vMerge w:val="continue"/>
            <w:vAlign w:val="center"/>
          </w:tcPr>
          <w:p w14:paraId="75761BC4">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17AF8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6C75DCF5">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2F84A48A">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594044DE">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4.有依法缴纳税收和社会保障金的良好记录</w:t>
            </w:r>
          </w:p>
        </w:tc>
        <w:tc>
          <w:tcPr>
            <w:tcW w:w="3537" w:type="dxa"/>
            <w:vMerge w:val="continue"/>
            <w:vAlign w:val="center"/>
          </w:tcPr>
          <w:p w14:paraId="4D4C0777">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358DD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14:paraId="2E73B9F8">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4B03039E">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41C4986F">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5.参加政府采购活动前三年内，在经营活动中没有重大违法记录</w:t>
            </w:r>
          </w:p>
        </w:tc>
        <w:tc>
          <w:tcPr>
            <w:tcW w:w="3537" w:type="dxa"/>
            <w:vMerge w:val="continue"/>
            <w:vAlign w:val="center"/>
          </w:tcPr>
          <w:p w14:paraId="4BA39F56">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238BD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817" w:type="dxa"/>
            <w:vMerge w:val="continue"/>
            <w:vAlign w:val="center"/>
          </w:tcPr>
          <w:p w14:paraId="6A426863">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1EF7EB94">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596BA851">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6.法律、行政法规规定的其他条件</w:t>
            </w:r>
          </w:p>
        </w:tc>
        <w:tc>
          <w:tcPr>
            <w:tcW w:w="3537" w:type="dxa"/>
            <w:vAlign w:val="center"/>
          </w:tcPr>
          <w:p w14:paraId="09BF84F1">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r>
      <w:tr w14:paraId="4F4B0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vAlign w:val="center"/>
          </w:tcPr>
          <w:p w14:paraId="4DEA077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1588" w:type="dxa"/>
            <w:vMerge w:val="continue"/>
            <w:vAlign w:val="center"/>
          </w:tcPr>
          <w:p w14:paraId="6A92E501">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p>
        </w:tc>
        <w:tc>
          <w:tcPr>
            <w:tcW w:w="3686" w:type="dxa"/>
            <w:vAlign w:val="center"/>
          </w:tcPr>
          <w:p w14:paraId="5BCDB7A9">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7.本项目的特定资格要求</w:t>
            </w:r>
          </w:p>
        </w:tc>
        <w:tc>
          <w:tcPr>
            <w:tcW w:w="3537" w:type="dxa"/>
            <w:vAlign w:val="center"/>
          </w:tcPr>
          <w:p w14:paraId="485911BB">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按“第一篇三、供应商资格要求（三）本项目的特定资格要求”的要求提交（如果有）。</w:t>
            </w:r>
          </w:p>
        </w:tc>
      </w:tr>
      <w:tr w14:paraId="09C7D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45540A9">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（二）</w:t>
            </w:r>
          </w:p>
        </w:tc>
        <w:tc>
          <w:tcPr>
            <w:tcW w:w="5274" w:type="dxa"/>
            <w:gridSpan w:val="2"/>
            <w:vAlign w:val="center"/>
          </w:tcPr>
          <w:p w14:paraId="2BFC1971">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落实政府采购政策需满足的资格要求</w:t>
            </w:r>
          </w:p>
        </w:tc>
        <w:tc>
          <w:tcPr>
            <w:tcW w:w="3537" w:type="dxa"/>
            <w:vAlign w:val="center"/>
          </w:tcPr>
          <w:p w14:paraId="066F751F">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按“第一篇三、供应商资格要求（二）落实政府采购政策需满足的资格要求”的要求提交（如果有）。</w:t>
            </w:r>
          </w:p>
        </w:tc>
      </w:tr>
      <w:tr w14:paraId="353F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Pr>
          <w:p w14:paraId="0C7F727A">
            <w:pPr>
              <w:pStyle w:val="35"/>
              <w:keepNext w:val="0"/>
              <w:keepLines w:val="0"/>
              <w:suppressLineNumbers w:val="0"/>
              <w:spacing w:before="0" w:beforeAutospacing="0" w:afterAutospacing="0" w:line="400" w:lineRule="exact"/>
              <w:ind w:left="0" w:leftChars="0" w:right="0"/>
              <w:rPr>
                <w:rFonts w:hint="default" w:ascii="宋体" w:hAnsi="宋体" w:eastAsia="宋体" w:cs="宋体"/>
                <w:sz w:val="24"/>
                <w:szCs w:val="24"/>
              </w:rPr>
            </w:pPr>
            <w:r>
              <w:rPr>
                <w:rFonts w:hint="eastAsia" w:ascii="宋体" w:hAnsi="宋体" w:eastAsia="宋体" w:cs="宋体"/>
                <w:sz w:val="24"/>
                <w:szCs w:val="24"/>
              </w:rPr>
              <w:t>（三）</w:t>
            </w:r>
          </w:p>
        </w:tc>
        <w:tc>
          <w:tcPr>
            <w:tcW w:w="5274" w:type="dxa"/>
            <w:gridSpan w:val="2"/>
          </w:tcPr>
          <w:p w14:paraId="71737FEB">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rPr>
              <w:t>保证金</w:t>
            </w:r>
          </w:p>
        </w:tc>
        <w:tc>
          <w:tcPr>
            <w:tcW w:w="3537" w:type="dxa"/>
          </w:tcPr>
          <w:p w14:paraId="088D8044">
            <w:pPr>
              <w:pStyle w:val="35"/>
              <w:keepNext w:val="0"/>
              <w:keepLines w:val="0"/>
              <w:suppressLineNumbers w:val="0"/>
              <w:spacing w:before="0" w:beforeAutospacing="0" w:afterAutospacing="0" w:line="400" w:lineRule="exact"/>
              <w:ind w:left="0" w:leftChars="0" w:right="0" w:firstLine="480" w:firstLineChars="200"/>
              <w:rPr>
                <w:rFonts w:hint="default" w:ascii="宋体" w:hAnsi="宋体" w:eastAsia="宋体" w:cs="宋体"/>
                <w:sz w:val="24"/>
                <w:szCs w:val="24"/>
              </w:rPr>
            </w:pPr>
            <w:r>
              <w:rPr>
                <w:rFonts w:hint="eastAsia" w:ascii="宋体" w:hAnsi="宋体" w:eastAsia="宋体" w:cs="宋体"/>
                <w:sz w:val="24"/>
                <w:szCs w:val="24"/>
                <w:lang w:val="en-US" w:eastAsia="zh-CN"/>
              </w:rPr>
              <w:t>无</w:t>
            </w:r>
            <w:r>
              <w:rPr>
                <w:rFonts w:hint="eastAsia" w:ascii="宋体" w:hAnsi="宋体" w:eastAsia="宋体" w:cs="宋体"/>
                <w:sz w:val="24"/>
                <w:szCs w:val="24"/>
              </w:rPr>
              <w:t>。</w:t>
            </w:r>
          </w:p>
        </w:tc>
      </w:tr>
    </w:tbl>
    <w:p w14:paraId="55D40330">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注：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按照“财政部关于《中华人民共和国政府采购法实施条例》第十九条第一款“较大数额罚款”具体适用问题的意见（财库〔2022〕3 号）”执行。供应商可于响应文件递交截止时间前通过 “信用中国”网站(www.creditchina.gov.cn)、"中国政府采购网"(www.ccgp.gov.cn)等渠道查询信用记录。</w:t>
      </w:r>
    </w:p>
    <w:p w14:paraId="38D79CB2">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2.实质性响应审查。谈判小组应当对响应文件进行评审，并根据谈判文件规定的采购程序、评定成交的标准等事项与实质性响应谈判文件要求的供应商进行谈判。未实质性响应谈判文件的响应文件按无效处理，谈判小组应当告知有关供应商。实质性响应审查内容如下：</w:t>
      </w:r>
    </w:p>
    <w:tbl>
      <w:tblPr>
        <w:tblStyle w:val="61"/>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6259"/>
      </w:tblGrid>
      <w:tr w14:paraId="6FD43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75" w:type="dxa"/>
            <w:vAlign w:val="center"/>
          </w:tcPr>
          <w:p w14:paraId="42C2E916">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序号</w:t>
            </w:r>
          </w:p>
        </w:tc>
        <w:tc>
          <w:tcPr>
            <w:tcW w:w="2694" w:type="dxa"/>
            <w:vAlign w:val="center"/>
          </w:tcPr>
          <w:p w14:paraId="38251384">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审查因素</w:t>
            </w:r>
          </w:p>
        </w:tc>
        <w:tc>
          <w:tcPr>
            <w:tcW w:w="6259" w:type="dxa"/>
            <w:vAlign w:val="center"/>
          </w:tcPr>
          <w:p w14:paraId="31690DC1">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审查标准</w:t>
            </w:r>
          </w:p>
        </w:tc>
      </w:tr>
      <w:tr w14:paraId="53869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75" w:type="dxa"/>
            <w:vMerge w:val="restart"/>
            <w:vAlign w:val="center"/>
          </w:tcPr>
          <w:p w14:paraId="23EF2348">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1</w:t>
            </w:r>
          </w:p>
        </w:tc>
        <w:tc>
          <w:tcPr>
            <w:tcW w:w="2694" w:type="dxa"/>
            <w:vAlign w:val="center"/>
          </w:tcPr>
          <w:p w14:paraId="044C198A">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响应文件签署或盖章</w:t>
            </w:r>
          </w:p>
        </w:tc>
        <w:tc>
          <w:tcPr>
            <w:tcW w:w="6259" w:type="dxa"/>
            <w:vAlign w:val="center"/>
          </w:tcPr>
          <w:p w14:paraId="57B9BD35">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按“第七篇响应文件格式要求”要求签署或盖章</w:t>
            </w:r>
          </w:p>
        </w:tc>
      </w:tr>
      <w:tr w14:paraId="28C83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75" w:type="dxa"/>
            <w:vMerge w:val="continue"/>
            <w:vAlign w:val="center"/>
          </w:tcPr>
          <w:p w14:paraId="613A3216">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4BACDFD9">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w:t>
            </w:r>
          </w:p>
        </w:tc>
        <w:tc>
          <w:tcPr>
            <w:tcW w:w="6259" w:type="dxa"/>
            <w:vAlign w:val="center"/>
          </w:tcPr>
          <w:p w14:paraId="07B3B05D">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法定代表人身份证明及授权委托书有效，符合竞争性谈判文件规定的格式，签署或盖章齐全。</w:t>
            </w:r>
          </w:p>
        </w:tc>
      </w:tr>
      <w:tr w14:paraId="17D69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5" w:type="dxa"/>
            <w:vMerge w:val="continue"/>
            <w:vAlign w:val="center"/>
          </w:tcPr>
          <w:p w14:paraId="3A0CFFA8">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03CDF858">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响应方案</w:t>
            </w:r>
          </w:p>
        </w:tc>
        <w:tc>
          <w:tcPr>
            <w:tcW w:w="6259" w:type="dxa"/>
            <w:vAlign w:val="center"/>
          </w:tcPr>
          <w:p w14:paraId="2E4C5668">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只能有一个响应方案。</w:t>
            </w:r>
          </w:p>
        </w:tc>
      </w:tr>
      <w:tr w14:paraId="25817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675" w:type="dxa"/>
            <w:vMerge w:val="continue"/>
            <w:vAlign w:val="center"/>
          </w:tcPr>
          <w:p w14:paraId="32BFD9B1">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30EDFA95">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报价唯一</w:t>
            </w:r>
          </w:p>
        </w:tc>
        <w:tc>
          <w:tcPr>
            <w:tcW w:w="6259" w:type="dxa"/>
            <w:vAlign w:val="center"/>
          </w:tcPr>
          <w:p w14:paraId="0C88DD0A">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只能有一个有效报价，不得提交选择性报价。</w:t>
            </w:r>
          </w:p>
        </w:tc>
      </w:tr>
      <w:tr w14:paraId="16865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75" w:type="dxa"/>
            <w:vAlign w:val="center"/>
          </w:tcPr>
          <w:p w14:paraId="72ED9317">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2</w:t>
            </w:r>
          </w:p>
        </w:tc>
        <w:tc>
          <w:tcPr>
            <w:tcW w:w="2694" w:type="dxa"/>
            <w:vAlign w:val="center"/>
          </w:tcPr>
          <w:p w14:paraId="2F98A57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响应文件份数</w:t>
            </w:r>
          </w:p>
        </w:tc>
        <w:tc>
          <w:tcPr>
            <w:tcW w:w="6259" w:type="dxa"/>
            <w:vAlign w:val="center"/>
          </w:tcPr>
          <w:p w14:paraId="3D542A9C">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响应文件正、副本数量符合竞争性谈判文件要求。</w:t>
            </w:r>
          </w:p>
        </w:tc>
      </w:tr>
      <w:tr w14:paraId="76470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75" w:type="dxa"/>
            <w:vMerge w:val="restart"/>
            <w:vAlign w:val="center"/>
          </w:tcPr>
          <w:p w14:paraId="610795D1">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3</w:t>
            </w:r>
          </w:p>
        </w:tc>
        <w:tc>
          <w:tcPr>
            <w:tcW w:w="2694" w:type="dxa"/>
            <w:vAlign w:val="center"/>
          </w:tcPr>
          <w:p w14:paraId="094CAD28">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响应文件内容</w:t>
            </w:r>
          </w:p>
        </w:tc>
        <w:tc>
          <w:tcPr>
            <w:tcW w:w="6259" w:type="dxa"/>
            <w:vAlign w:val="center"/>
          </w:tcPr>
          <w:p w14:paraId="4EA12B84">
            <w:pPr>
              <w:pStyle w:val="34"/>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对竞争性谈判文件第二篇、第三篇规定的谈判内容进行实质性响应。</w:t>
            </w:r>
          </w:p>
        </w:tc>
      </w:tr>
      <w:tr w14:paraId="56540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Merge w:val="continue"/>
            <w:vAlign w:val="center"/>
          </w:tcPr>
          <w:p w14:paraId="76F5FA8A">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vAlign w:val="center"/>
          </w:tcPr>
          <w:p w14:paraId="28EBA9A1">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谈判有效期</w:t>
            </w:r>
          </w:p>
        </w:tc>
        <w:tc>
          <w:tcPr>
            <w:tcW w:w="6259" w:type="dxa"/>
            <w:vAlign w:val="center"/>
          </w:tcPr>
          <w:p w14:paraId="2F0C5C7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响应文件及有关承诺文件有效期为提交响应文件截止时间起90天。</w:t>
            </w:r>
          </w:p>
        </w:tc>
      </w:tr>
    </w:tbl>
    <w:p w14:paraId="54F0299B">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谈判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676AC057">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谈判小组要求供应商澄清、说明或者更正响应文件应当以书面形式作出。供应商的澄清、说明或者更正应当由法定代表人（或其授权代表）或自然人（供应商为自然人）签署或者加盖公章。由授权代表签署的，应当附法定代表人授权书。供应商为自然人的，应当由本人签署并附身份证明。</w:t>
      </w:r>
    </w:p>
    <w:p w14:paraId="3E6645FB">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（四）在谈判过程中谈判的任何一方不得向他人透露与谈判有关的技术资料、价格或其他信息。</w:t>
      </w:r>
    </w:p>
    <w:p w14:paraId="03194D3D">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在谈判过程中，谈判小组可以根据竞争性谈判文件和谈判情况实质性变动采购需求中的技术（质量）、服务要求以及合同草案条款，但不得变动竞争性谈判文件中的其他内容。实质性变动的内容，须经采购人代表确认。对竞争性谈判文件作出的实质性变动是竞争性谈判文件的有效组成部分，谈判小组应当及时以书面形式同时通知所有参加谈判的供应商。供应商应当按照谈判文件的变动情况和谈判小组的要求重新提交响应文件，并由其法定代表人或授权代表签字或者加盖公章。由授权代表签字的，应当附法定代表人授权书。供应商为自然人的，应当由本人签字并附身份证明。</w:t>
      </w:r>
    </w:p>
    <w:p w14:paraId="5BFCC51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（六）供应商在谈判时作出的所有书面承诺须由法定代表人（或其授权代表）或自然人（供应商为自然人）签署。</w:t>
      </w:r>
    </w:p>
    <w:p w14:paraId="0C7D3288">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七）谈判结束后，谈判小组要求所有参加正式谈判的供应商在规定时间内同时书面提交最后报价及有关承诺（《最后报价表》在谈判现场向供应商提供）。已提交响应文件但未在规定时间内进行最后报价的供应商，视为放弃最后报价，以供应商响应文件中的报价为准。</w:t>
      </w:r>
    </w:p>
    <w:p w14:paraId="291247BF">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（八）评审的依据为竞争性谈判文件和响应文件（含有效的补充文件）。谈判小组判断响应文件对竞争性谈判文件的响应，仅基于响应文件本身而不靠外部证据。</w:t>
      </w:r>
    </w:p>
    <w:p w14:paraId="09980361">
      <w:pPr>
        <w:pStyle w:val="4"/>
        <w:adjustRightInd w:val="0"/>
        <w:snapToGrid w:val="0"/>
        <w:spacing w:before="0" w:after="0" w:line="400" w:lineRule="exact"/>
        <w:ind w:firstLine="482" w:firstLineChars="200"/>
        <w:rPr>
          <w:rFonts w:ascii="宋体" w:hAnsi="宋体" w:eastAsia="宋体" w:cs="宋体"/>
          <w:sz w:val="24"/>
        </w:rPr>
      </w:pPr>
      <w:bookmarkStart w:id="189" w:name="_Toc64732013"/>
      <w:bookmarkStart w:id="190" w:name="_Toc30755"/>
      <w:bookmarkStart w:id="191" w:name="_Toc65660351"/>
      <w:bookmarkStart w:id="192" w:name="_Toc132634055"/>
      <w:bookmarkStart w:id="193" w:name="_Toc11713"/>
      <w:bookmarkStart w:id="194" w:name="_Toc106034642"/>
      <w:bookmarkStart w:id="195" w:name="_Toc30639"/>
      <w:bookmarkStart w:id="196" w:name="_Toc21301"/>
      <w:r>
        <w:rPr>
          <w:rFonts w:hint="eastAsia" w:ascii="宋体" w:hAnsi="宋体" w:eastAsia="宋体" w:cs="宋体"/>
          <w:sz w:val="24"/>
        </w:rPr>
        <w:t>二、评定成交的标准</w:t>
      </w:r>
      <w:bookmarkEnd w:id="189"/>
      <w:bookmarkEnd w:id="190"/>
      <w:bookmarkEnd w:id="191"/>
      <w:bookmarkEnd w:id="192"/>
      <w:bookmarkEnd w:id="193"/>
      <w:bookmarkEnd w:id="194"/>
      <w:bookmarkEnd w:id="195"/>
      <w:bookmarkEnd w:id="196"/>
    </w:p>
    <w:p w14:paraId="7E96B887">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小组将依照本竞争性谈判文件相关规定对技术（质量）和服务均能满足竞争性谈判实质性响应要求的供应商所提交的最后报价进行政策性扣减，并依据扣减后的价格按照由低到高的顺序提出3名以上成交候选人，并编写评审报告。</w:t>
      </w:r>
    </w:p>
    <w:p w14:paraId="66A8DACB">
      <w:pPr>
        <w:pStyle w:val="35"/>
        <w:spacing w:line="400" w:lineRule="exact"/>
        <w:ind w:left="560"/>
        <w:rPr>
          <w:rFonts w:ascii="宋体" w:hAnsi="宋体" w:eastAsia="宋体" w:cs="宋体"/>
          <w:sz w:val="24"/>
          <w:szCs w:val="24"/>
        </w:rPr>
      </w:pPr>
      <w:r>
        <w:rPr>
          <w:rFonts w:hint="eastAsia" w:ascii="宋体" w:hAnsi="宋体" w:eastAsia="宋体" w:cs="宋体"/>
          <w:sz w:val="24"/>
          <w:szCs w:val="24"/>
        </w:rPr>
        <w:t>注：政策性扣减方式</w:t>
      </w:r>
    </w:p>
    <w:p w14:paraId="3B6388A2">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1.供应商为非联合体参与谈判的，对小微型企业给予</w:t>
      </w:r>
      <w:r>
        <w:rPr>
          <w:rFonts w:hint="eastAsia" w:ascii="宋体" w:hAnsi="宋体" w:eastAsia="宋体" w:cs="宋体"/>
          <w:sz w:val="24"/>
          <w:szCs w:val="24"/>
          <w:u w:val="single"/>
        </w:rPr>
        <w:t xml:space="preserve"> 10 %</w:t>
      </w:r>
      <w:r>
        <w:rPr>
          <w:rFonts w:ascii="宋体" w:hAnsi="宋体" w:eastAsia="宋体" w:cs="宋体"/>
          <w:sz w:val="24"/>
          <w:szCs w:val="24"/>
        </w:rPr>
        <w:t xml:space="preserve"> </w:t>
      </w:r>
      <w:r>
        <w:rPr>
          <w:rFonts w:hint="eastAsia" w:ascii="宋体" w:hAnsi="宋体" w:eastAsia="宋体" w:cs="宋体"/>
          <w:sz w:val="24"/>
          <w:szCs w:val="24"/>
        </w:rPr>
        <w:t>的扣除，以扣除后的报价参与评审。</w:t>
      </w:r>
    </w:p>
    <w:p w14:paraId="7B06BC7B">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2.监狱企业、残疾人福利性单位视同小型、微型企业。</w:t>
      </w:r>
    </w:p>
    <w:p w14:paraId="483224D1">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（二）若供应商的最后报价经扣减后价格相同，按技术（质量）的优劣顺序排列；以上都相同的，按服务条款的优劣顺序排列。</w:t>
      </w:r>
    </w:p>
    <w:p w14:paraId="7C2198A9">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（三）成交价格=成交供应商的最后报价。</w:t>
      </w:r>
    </w:p>
    <w:p w14:paraId="2EAE88F6">
      <w:pPr>
        <w:pStyle w:val="4"/>
        <w:adjustRightInd w:val="0"/>
        <w:snapToGrid w:val="0"/>
        <w:spacing w:before="0" w:after="0" w:line="400" w:lineRule="exact"/>
        <w:ind w:firstLine="482" w:firstLineChars="200"/>
        <w:rPr>
          <w:rFonts w:ascii="宋体" w:hAnsi="宋体" w:eastAsia="宋体" w:cs="宋体"/>
          <w:sz w:val="24"/>
        </w:rPr>
      </w:pPr>
      <w:bookmarkStart w:id="197" w:name="_Toc7023"/>
      <w:bookmarkStart w:id="198" w:name="_Toc132634056"/>
      <w:bookmarkStart w:id="199" w:name="_Toc65660352"/>
      <w:bookmarkStart w:id="200" w:name="_Toc26673"/>
      <w:bookmarkStart w:id="201" w:name="_Toc29113"/>
      <w:bookmarkStart w:id="202" w:name="_Toc12644"/>
      <w:bookmarkStart w:id="203" w:name="_Toc106034643"/>
      <w:r>
        <w:rPr>
          <w:rFonts w:hint="eastAsia" w:ascii="宋体" w:hAnsi="宋体" w:eastAsia="宋体" w:cs="宋体"/>
          <w:sz w:val="24"/>
        </w:rPr>
        <w:t>三、无效谈判</w:t>
      </w:r>
      <w:bookmarkEnd w:id="197"/>
      <w:bookmarkEnd w:id="198"/>
      <w:bookmarkEnd w:id="199"/>
      <w:bookmarkEnd w:id="200"/>
      <w:bookmarkEnd w:id="201"/>
      <w:bookmarkEnd w:id="202"/>
      <w:bookmarkEnd w:id="203"/>
    </w:p>
    <w:p w14:paraId="6B34392B">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供应商发生以下条款情况之一者，视为无效谈判：</w:t>
      </w:r>
    </w:p>
    <w:p w14:paraId="39D447DF">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（一）供应商不符合规定的资格条件的；</w:t>
      </w:r>
    </w:p>
    <w:p w14:paraId="4356AA64">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（二）供应商未通过实质性响应审查的；</w:t>
      </w:r>
    </w:p>
    <w:p w14:paraId="2B58B377">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（三）供应商的法定代表人（或其授权代表）或自然人未参加谈判的；</w:t>
      </w:r>
    </w:p>
    <w:p w14:paraId="471D0703">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四</w:t>
      </w:r>
      <w:r>
        <w:rPr>
          <w:rFonts w:hint="eastAsia" w:ascii="宋体" w:hAnsi="宋体" w:eastAsia="宋体" w:cs="宋体"/>
          <w:sz w:val="24"/>
          <w:szCs w:val="24"/>
        </w:rPr>
        <w:t>）供应商所提交的响应文件未按“第七篇响应文件格式要求”要求签署或盖章的；</w:t>
      </w:r>
    </w:p>
    <w:p w14:paraId="05A2A0EC">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五</w:t>
      </w:r>
      <w:r>
        <w:rPr>
          <w:rFonts w:hint="eastAsia" w:ascii="宋体" w:hAnsi="宋体" w:eastAsia="宋体" w:cs="宋体"/>
          <w:sz w:val="24"/>
          <w:szCs w:val="24"/>
        </w:rPr>
        <w:t>）供应商的最后报价超过采购预算或最高限价的；</w:t>
      </w:r>
    </w:p>
    <w:p w14:paraId="63139327">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六</w:t>
      </w:r>
      <w:r>
        <w:rPr>
          <w:rFonts w:hint="eastAsia" w:ascii="宋体" w:hAnsi="宋体" w:eastAsia="宋体" w:cs="宋体"/>
          <w:sz w:val="24"/>
          <w:szCs w:val="24"/>
        </w:rPr>
        <w:t>）供应商不接受谈判小组修正后的价格的；</w:t>
      </w:r>
    </w:p>
    <w:p w14:paraId="0C7DBA6A">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七</w:t>
      </w:r>
      <w:r>
        <w:rPr>
          <w:rFonts w:hint="eastAsia" w:ascii="宋体" w:hAnsi="宋体" w:eastAsia="宋体" w:cs="宋体"/>
          <w:sz w:val="24"/>
          <w:szCs w:val="24"/>
        </w:rPr>
        <w:t>）单位负责人为同一人或者存在直接控股、管理关系的不同供应商，参加同一合同项（包）谈判的；</w:t>
      </w:r>
    </w:p>
    <w:p w14:paraId="117B8113">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八</w:t>
      </w:r>
      <w:r>
        <w:rPr>
          <w:rFonts w:hint="eastAsia" w:ascii="宋体" w:hAnsi="宋体" w:eastAsia="宋体" w:cs="宋体"/>
          <w:sz w:val="24"/>
          <w:szCs w:val="24"/>
        </w:rPr>
        <w:t>）为采购项目提供整体设计、规范编制或者项目管理、监理、检测等服务的供应商再参加该采购项目的其他采购活动的；</w:t>
      </w:r>
    </w:p>
    <w:p w14:paraId="4AD763D6">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九</w:t>
      </w:r>
      <w:r>
        <w:rPr>
          <w:rFonts w:hint="eastAsia" w:ascii="宋体" w:hAnsi="宋体" w:eastAsia="宋体" w:cs="宋体"/>
          <w:sz w:val="24"/>
          <w:szCs w:val="24"/>
        </w:rPr>
        <w:t>）同一合同项（包）下的货物，制造商参与谈判，再委托代理商参与谈判的；</w:t>
      </w:r>
    </w:p>
    <w:p w14:paraId="601F72D0">
      <w:pPr>
        <w:pStyle w:val="35"/>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（十）供应商响应文件内容有与国家现行法律法规相违背的内容，或附有采购人无法接受条件的；</w:t>
      </w:r>
    </w:p>
    <w:p w14:paraId="21AC0A7A">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（十</w:t>
      </w:r>
      <w:r>
        <w:rPr>
          <w:rFonts w:hint="eastAsia" w:ascii="宋体" w:hAnsi="宋体" w:eastAsia="宋体" w:cs="宋体"/>
          <w:sz w:val="24"/>
          <w:szCs w:val="24"/>
          <w:lang w:val="en-US" w:eastAsia="zh-CN"/>
        </w:rPr>
        <w:t>一</w:t>
      </w:r>
      <w:r>
        <w:rPr>
          <w:rFonts w:hint="eastAsia" w:ascii="宋体" w:hAnsi="宋体" w:eastAsia="宋体" w:cs="宋体"/>
          <w:sz w:val="24"/>
          <w:szCs w:val="24"/>
        </w:rPr>
        <w:t>）法律、法规和竞争性谈判文件规定的其他无效情形。</w:t>
      </w:r>
    </w:p>
    <w:p w14:paraId="6F771FDC">
      <w:pPr>
        <w:pStyle w:val="4"/>
        <w:adjustRightInd w:val="0"/>
        <w:snapToGrid w:val="0"/>
        <w:spacing w:before="0" w:after="0" w:line="400" w:lineRule="exact"/>
        <w:ind w:firstLine="482" w:firstLineChars="200"/>
        <w:rPr>
          <w:rFonts w:ascii="宋体" w:hAnsi="宋体" w:eastAsia="宋体" w:cs="宋体"/>
          <w:sz w:val="24"/>
        </w:rPr>
      </w:pPr>
      <w:bookmarkStart w:id="204" w:name="_Toc7704"/>
      <w:bookmarkStart w:id="205" w:name="_Toc28422"/>
      <w:bookmarkStart w:id="206" w:name="_Toc29298"/>
      <w:bookmarkStart w:id="207" w:name="_Toc132634057"/>
      <w:bookmarkStart w:id="208" w:name="_Toc9539"/>
      <w:bookmarkStart w:id="209" w:name="_Toc65660353"/>
      <w:bookmarkStart w:id="210" w:name="_Toc106034644"/>
      <w:r>
        <w:rPr>
          <w:rFonts w:hint="eastAsia" w:ascii="宋体" w:hAnsi="宋体" w:eastAsia="宋体" w:cs="宋体"/>
          <w:sz w:val="24"/>
        </w:rPr>
        <w:t>四、采购终止</w:t>
      </w:r>
      <w:bookmarkEnd w:id="204"/>
      <w:bookmarkEnd w:id="205"/>
      <w:bookmarkEnd w:id="206"/>
      <w:bookmarkEnd w:id="207"/>
      <w:bookmarkEnd w:id="208"/>
      <w:bookmarkEnd w:id="209"/>
      <w:bookmarkEnd w:id="210"/>
    </w:p>
    <w:p w14:paraId="730B679C">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出现下列情形之一的，采购人或者采购代理机构应当终止竞争性谈判采购活动，发布项目终止公告并说明原因，重新开展采购活动：</w:t>
      </w:r>
    </w:p>
    <w:p w14:paraId="46463508">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（一）因情况变化，不再符合规定的竞争性谈判采购方式适用情形的；</w:t>
      </w:r>
    </w:p>
    <w:p w14:paraId="67B5354F">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（二）出现影响采购公正的违法、违规行为的；</w:t>
      </w:r>
    </w:p>
    <w:p w14:paraId="56BA1A24">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（三）在采购过程中符合竞争要求的供应商或者报价未超过采购预算的供应商不足3家的，但《政府采购非招标采购方式管理办法》第二十七条第二款规定的情形除外。</w:t>
      </w:r>
    </w:p>
    <w:p w14:paraId="54EE6E29">
      <w:pPr>
        <w:pStyle w:val="3"/>
        <w:keepLines/>
        <w:snapToGrid/>
        <w:spacing w:line="360" w:lineRule="auto"/>
        <w:jc w:val="center"/>
        <w:rPr>
          <w:rFonts w:hAnsi="宋体" w:eastAsia="宋体" w:cs="宋体"/>
          <w:b/>
          <w:sz w:val="36"/>
          <w:szCs w:val="30"/>
        </w:rPr>
      </w:pPr>
      <w:r>
        <w:rPr>
          <w:rFonts w:hint="eastAsia" w:hAnsi="宋体" w:eastAsia="宋体" w:cs="宋体"/>
          <w:sz w:val="24"/>
          <w:szCs w:val="24"/>
        </w:rPr>
        <w:br w:type="page"/>
      </w:r>
      <w:bookmarkStart w:id="211" w:name="_Toc106034645"/>
      <w:bookmarkStart w:id="212" w:name="_Toc18209"/>
      <w:bookmarkStart w:id="213" w:name="_Toc132634058"/>
      <w:bookmarkStart w:id="214" w:name="_Toc20055"/>
      <w:bookmarkStart w:id="215" w:name="_Toc21293"/>
      <w:bookmarkStart w:id="216" w:name="_Toc10768"/>
      <w:bookmarkStart w:id="217" w:name="_Toc65660354"/>
      <w:r>
        <w:rPr>
          <w:rFonts w:hint="eastAsia" w:hAnsi="宋体" w:eastAsia="宋体" w:cs="宋体"/>
          <w:b/>
          <w:bCs/>
          <w:sz w:val="36"/>
          <w:szCs w:val="30"/>
        </w:rPr>
        <w:t>第五篇  供应商须知</w:t>
      </w:r>
      <w:bookmarkEnd w:id="211"/>
      <w:bookmarkEnd w:id="212"/>
      <w:bookmarkEnd w:id="213"/>
      <w:bookmarkEnd w:id="214"/>
      <w:bookmarkEnd w:id="215"/>
      <w:bookmarkEnd w:id="216"/>
      <w:bookmarkEnd w:id="217"/>
    </w:p>
    <w:p w14:paraId="0D186F83">
      <w:pPr>
        <w:pStyle w:val="4"/>
        <w:adjustRightInd w:val="0"/>
        <w:snapToGrid w:val="0"/>
        <w:spacing w:before="0" w:after="0" w:line="400" w:lineRule="exact"/>
        <w:ind w:firstLine="482" w:firstLineChars="200"/>
        <w:rPr>
          <w:rFonts w:ascii="宋体" w:hAnsi="宋体" w:eastAsia="宋体" w:cs="宋体"/>
          <w:sz w:val="24"/>
        </w:rPr>
      </w:pPr>
      <w:bookmarkStart w:id="218" w:name="_Toc5290"/>
      <w:bookmarkStart w:id="219" w:name="_Toc5347"/>
      <w:bookmarkStart w:id="220" w:name="_Toc132634059"/>
      <w:bookmarkStart w:id="221" w:name="_Toc16524"/>
      <w:bookmarkStart w:id="222" w:name="_Toc106034646"/>
      <w:bookmarkStart w:id="223" w:name="_Toc20088"/>
      <w:bookmarkStart w:id="224" w:name="_Toc65660355"/>
      <w:r>
        <w:rPr>
          <w:rFonts w:hint="eastAsia" w:ascii="宋体" w:hAnsi="宋体" w:eastAsia="宋体" w:cs="宋体"/>
          <w:sz w:val="24"/>
        </w:rPr>
        <w:t>一、谈判费用</w:t>
      </w:r>
      <w:bookmarkEnd w:id="218"/>
      <w:bookmarkEnd w:id="219"/>
      <w:bookmarkEnd w:id="220"/>
      <w:bookmarkEnd w:id="221"/>
      <w:bookmarkEnd w:id="222"/>
      <w:bookmarkEnd w:id="223"/>
      <w:bookmarkEnd w:id="224"/>
    </w:p>
    <w:p w14:paraId="5FDDB95B">
      <w:pPr>
        <w:pStyle w:val="146"/>
        <w:spacing w:line="400" w:lineRule="exact"/>
        <w:ind w:firstLine="480" w:firstLineChars="200"/>
        <w:rPr>
          <w:rFonts w:hAnsi="宋体" w:eastAsia="宋体" w:cs="宋体"/>
          <w:sz w:val="24"/>
          <w:szCs w:val="24"/>
        </w:rPr>
      </w:pPr>
      <w:r>
        <w:rPr>
          <w:rFonts w:hint="eastAsia" w:hAnsi="宋体" w:eastAsia="宋体" w:cs="宋体"/>
          <w:sz w:val="24"/>
          <w:szCs w:val="24"/>
        </w:rPr>
        <w:t>参与谈判的供应商应承担其编制响应文件与递交响应文件所涉及的一切费用，不论谈判结果如何，采购人和采购代理机构在任何情况下无义务也无责任承担这些费用。</w:t>
      </w:r>
    </w:p>
    <w:p w14:paraId="6A415F9A">
      <w:pPr>
        <w:pStyle w:val="4"/>
        <w:adjustRightInd w:val="0"/>
        <w:snapToGrid w:val="0"/>
        <w:spacing w:before="0" w:after="0" w:line="400" w:lineRule="exact"/>
        <w:ind w:firstLine="482" w:firstLineChars="200"/>
        <w:rPr>
          <w:rFonts w:ascii="宋体" w:hAnsi="宋体" w:eastAsia="宋体" w:cs="宋体"/>
          <w:sz w:val="24"/>
        </w:rPr>
      </w:pPr>
      <w:bookmarkStart w:id="225" w:name="_Toc5915"/>
      <w:bookmarkStart w:id="226" w:name="_Toc65660356"/>
      <w:bookmarkStart w:id="227" w:name="_Toc28717"/>
      <w:bookmarkStart w:id="228" w:name="_Toc106034647"/>
      <w:bookmarkStart w:id="229" w:name="_Toc31739"/>
      <w:bookmarkStart w:id="230" w:name="_Toc132634060"/>
      <w:bookmarkStart w:id="231" w:name="_Toc32054"/>
      <w:r>
        <w:rPr>
          <w:rFonts w:hint="eastAsia" w:ascii="宋体" w:hAnsi="宋体" w:eastAsia="宋体" w:cs="宋体"/>
          <w:sz w:val="24"/>
        </w:rPr>
        <w:t>二、竞争性谈判文件</w:t>
      </w:r>
      <w:bookmarkEnd w:id="225"/>
      <w:bookmarkEnd w:id="226"/>
      <w:bookmarkEnd w:id="227"/>
      <w:bookmarkEnd w:id="228"/>
      <w:bookmarkEnd w:id="229"/>
      <w:bookmarkEnd w:id="230"/>
      <w:bookmarkEnd w:id="231"/>
      <w:r>
        <w:rPr>
          <w:rFonts w:hint="eastAsia" w:ascii="宋体" w:hAnsi="宋体" w:eastAsia="宋体" w:cs="宋体"/>
          <w:sz w:val="24"/>
        </w:rPr>
        <w:tab/>
      </w:r>
    </w:p>
    <w:p w14:paraId="2FC06DCF">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（一）竞争性谈判文件由竞争性谈判邀请书、谈判项目技术需求、谈判项目服务需求、采购程序、评定成交的标准、无效谈判及采购终止、供应商须知、合同草案条款、响应文件格式要求七部分组成。</w:t>
      </w:r>
    </w:p>
    <w:p w14:paraId="32DF1D6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（二）采购人（或采购代理机构）所作的一切有效的书面通知、修改及补充，都是竞争性谈判文件不可分割的部分。</w:t>
      </w:r>
    </w:p>
    <w:p w14:paraId="07E2A239">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（三）本竞争性谈判文件中，谈判小组根据与供应商谈判情况可能实质性变动的内容为竞争性谈判文件第二、三、六篇全部内容。</w:t>
      </w:r>
    </w:p>
    <w:p w14:paraId="2D09F560">
      <w:pPr>
        <w:pStyle w:val="4"/>
        <w:adjustRightInd w:val="0"/>
        <w:snapToGrid w:val="0"/>
        <w:spacing w:before="0" w:after="0" w:line="400" w:lineRule="exact"/>
        <w:ind w:firstLine="482" w:firstLineChars="200"/>
        <w:rPr>
          <w:rFonts w:ascii="宋体" w:hAnsi="宋体" w:eastAsia="宋体" w:cs="宋体"/>
          <w:sz w:val="24"/>
        </w:rPr>
      </w:pPr>
      <w:bookmarkStart w:id="232" w:name="_Toc9532"/>
      <w:bookmarkStart w:id="233" w:name="_Toc132634061"/>
      <w:bookmarkStart w:id="234" w:name="_Toc3061"/>
      <w:bookmarkStart w:id="235" w:name="_Toc10305"/>
      <w:bookmarkStart w:id="236" w:name="_Toc106034648"/>
      <w:bookmarkStart w:id="237" w:name="_Toc65660357"/>
      <w:bookmarkStart w:id="238" w:name="_Toc2790"/>
      <w:r>
        <w:rPr>
          <w:rFonts w:hint="eastAsia" w:ascii="宋体" w:hAnsi="宋体" w:eastAsia="宋体" w:cs="宋体"/>
          <w:sz w:val="24"/>
        </w:rPr>
        <w:t>三、谈判要求</w:t>
      </w:r>
      <w:bookmarkEnd w:id="232"/>
      <w:bookmarkEnd w:id="233"/>
      <w:bookmarkEnd w:id="234"/>
      <w:bookmarkEnd w:id="235"/>
      <w:bookmarkEnd w:id="236"/>
      <w:bookmarkEnd w:id="237"/>
      <w:bookmarkEnd w:id="238"/>
    </w:p>
    <w:p w14:paraId="50FBBB1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（一）响应文件</w:t>
      </w:r>
    </w:p>
    <w:p w14:paraId="317B99F9">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供应商应当按照竞争性谈判文件的要求编制响应文件，并对竞争性谈判文件提出的要求和条件作出实质性响应，响应文件原则上采用软面订本。</w:t>
      </w:r>
    </w:p>
    <w:p w14:paraId="15F3FFE7">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1.响应文件组成</w:t>
      </w:r>
    </w:p>
    <w:p w14:paraId="1984320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响应文件由“第七篇响应文件格式要求”规定的部分和供应商所作的一切有效补充、修改和承诺等文件组成，供应商应按照“第七篇响应文件格式”规定进行编写和装订，也可在基本格式基础上对表格进行扩展，未规定格式的由供应商自定格式。</w:t>
      </w:r>
    </w:p>
    <w:p w14:paraId="3CEEB6D6">
      <w:pPr>
        <w:spacing w:line="400" w:lineRule="exact"/>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.谈判有效期：响应文件及有关承诺文件有效期为提交响应文件截止时间起90天。</w:t>
      </w:r>
    </w:p>
    <w:p w14:paraId="451B7EC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二</w:t>
      </w:r>
      <w:r>
        <w:rPr>
          <w:rFonts w:hint="eastAsia" w:ascii="宋体" w:hAnsi="宋体" w:eastAsia="宋体" w:cs="宋体"/>
          <w:sz w:val="24"/>
          <w:szCs w:val="24"/>
        </w:rPr>
        <w:t>）修正错误</w:t>
      </w:r>
    </w:p>
    <w:p w14:paraId="6DD0DA1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若供应商所递交的响应文件或最后报价中的价格出现大写金额和小写金额不一致的错误，以大写金额修正为准。</w:t>
      </w:r>
    </w:p>
    <w:p w14:paraId="37FF8002">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谈判小组按上述修正错误的原则及方法修正供应商的报价，供应商同意并签署确认后，修正后的报价对供应商具有约束作用。如果供应商不接受修正后的价格，将视为无效谈判。</w:t>
      </w:r>
    </w:p>
    <w:p w14:paraId="091FAF26">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（四）提交响应文件的份数和签署</w:t>
      </w:r>
    </w:p>
    <w:p w14:paraId="19E23AD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b/>
          <w:bCs/>
          <w:sz w:val="24"/>
          <w:szCs w:val="24"/>
        </w:rPr>
        <w:t>响应文件一式</w:t>
      </w:r>
      <w:r>
        <w:rPr>
          <w:rFonts w:hint="eastAsia" w:ascii="宋体" w:hAnsi="宋体" w:eastAsia="宋体" w:cs="宋体"/>
          <w:b/>
          <w:bCs/>
          <w:sz w:val="24"/>
          <w:szCs w:val="24"/>
          <w:lang w:val="en-US" w:eastAsia="zh-CN"/>
        </w:rPr>
        <w:t>二</w:t>
      </w:r>
      <w:r>
        <w:rPr>
          <w:rFonts w:hint="eastAsia" w:ascii="宋体" w:hAnsi="宋体" w:eastAsia="宋体" w:cs="宋体"/>
          <w:b/>
          <w:bCs/>
          <w:sz w:val="24"/>
          <w:szCs w:val="24"/>
        </w:rPr>
        <w:t>份，其中正本一份，副本</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rPr>
        <w:t>份</w:t>
      </w:r>
      <w:r>
        <w:rPr>
          <w:rFonts w:hint="eastAsia" w:ascii="宋体" w:hAnsi="宋体" w:eastAsia="宋体" w:cs="宋体"/>
          <w:sz w:val="24"/>
          <w:szCs w:val="24"/>
        </w:rPr>
        <w:t>；副本可为正本的复印件，应与正本一致，如出现不一致情况以正本为准。</w:t>
      </w:r>
    </w:p>
    <w:p w14:paraId="45258925">
      <w:pPr>
        <w:snapToGrid w:val="0"/>
        <w:spacing w:line="400" w:lineRule="exact"/>
        <w:ind w:firstLine="480" w:firstLineChars="200"/>
        <w:rPr>
          <w:rFonts w:ascii="宋体" w:hAnsi="宋体" w:eastAsia="宋体" w:cs="宋体"/>
          <w:sz w:val="24"/>
        </w:rPr>
      </w:pPr>
      <w:r>
        <w:rPr>
          <w:rFonts w:hint="eastAsia" w:ascii="宋体" w:hAnsi="宋体" w:eastAsia="宋体" w:cs="宋体"/>
          <w:sz w:val="24"/>
          <w:szCs w:val="24"/>
        </w:rPr>
        <w:t>2.</w:t>
      </w:r>
      <w:r>
        <w:rPr>
          <w:rFonts w:hint="eastAsia" w:ascii="宋体" w:hAnsi="宋体" w:eastAsia="宋体" w:cs="宋体"/>
          <w:sz w:val="24"/>
        </w:rPr>
        <w:t>在响应文件正本中，竞争性谈判文件第七篇响应文件格式中规定签署、盖章的地方必须按其规定签署、盖章；响应文件应逐页盖章。</w:t>
      </w:r>
    </w:p>
    <w:p w14:paraId="69FDC677">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3.若供应商对响应文件的错处作必要修改，则应在修改处加盖供应商公章或由法定代表人（或其授权代表）或自然人</w:t>
      </w:r>
      <w:r>
        <w:rPr>
          <w:rFonts w:hint="eastAsia" w:ascii="宋体" w:hAnsi="宋体" w:eastAsia="宋体" w:cs="宋体"/>
          <w:sz w:val="24"/>
          <w:szCs w:val="24"/>
        </w:rPr>
        <w:t>（供应商为自然人）签署</w:t>
      </w:r>
      <w:r>
        <w:rPr>
          <w:rFonts w:hint="eastAsia" w:ascii="宋体" w:hAnsi="宋体" w:eastAsia="宋体" w:cs="宋体"/>
          <w:sz w:val="24"/>
        </w:rPr>
        <w:t>确认。</w:t>
      </w:r>
    </w:p>
    <w:p w14:paraId="681CE807">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4.电报、电话、传真形式的响应文件概不接受。</w:t>
      </w:r>
    </w:p>
    <w:p w14:paraId="382626E3">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（五）响应文件的递交</w:t>
      </w:r>
    </w:p>
    <w:p w14:paraId="45D0D8BC">
      <w:pPr>
        <w:pStyle w:val="30"/>
        <w:spacing w:line="400" w:lineRule="exact"/>
        <w:ind w:firstLine="480" w:firstLineChars="200"/>
        <w:rPr>
          <w:rFonts w:hAnsi="宋体" w:eastAsia="宋体" w:cs="宋体"/>
          <w:sz w:val="24"/>
        </w:rPr>
      </w:pPr>
      <w:r>
        <w:rPr>
          <w:rFonts w:hint="eastAsia" w:hAnsi="宋体" w:eastAsia="宋体" w:cs="宋体"/>
          <w:sz w:val="24"/>
          <w:szCs w:val="24"/>
        </w:rPr>
        <w:t>响应文件的正本、副本以均应密封送达谈判地点，应在封套上注明谈判项目名称、供应商名称。若正本、副本分别进行密封的，还应在封套上注明“正本”、“副本”、字样。</w:t>
      </w:r>
    </w:p>
    <w:p w14:paraId="49795342">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（六）响应文件语言：简体中文</w:t>
      </w:r>
    </w:p>
    <w:p w14:paraId="471647C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（七）供应商参与人员</w:t>
      </w:r>
    </w:p>
    <w:p w14:paraId="2BBBB5C2">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各供应商应当派1-2名代表参与谈判，至少1人应为法定代表人（或其授权代表）或自然人（供应商为自然人）。</w:t>
      </w:r>
    </w:p>
    <w:p w14:paraId="3457C5D6">
      <w:pPr>
        <w:pStyle w:val="4"/>
        <w:adjustRightInd w:val="0"/>
        <w:snapToGrid w:val="0"/>
        <w:spacing w:before="0" w:after="0" w:line="400" w:lineRule="exact"/>
        <w:ind w:firstLine="482" w:firstLineChars="200"/>
        <w:rPr>
          <w:rFonts w:ascii="宋体" w:hAnsi="宋体" w:eastAsia="宋体" w:cs="宋体"/>
          <w:sz w:val="24"/>
        </w:rPr>
      </w:pPr>
      <w:bookmarkStart w:id="239" w:name="_Toc6242"/>
      <w:bookmarkStart w:id="240" w:name="_Toc106034649"/>
      <w:bookmarkStart w:id="241" w:name="_Toc24740"/>
      <w:bookmarkStart w:id="242" w:name="_Toc132634062"/>
      <w:bookmarkStart w:id="243" w:name="_Toc14702"/>
      <w:bookmarkStart w:id="244" w:name="_Toc65660358"/>
      <w:bookmarkStart w:id="245" w:name="_Toc7053"/>
      <w:r>
        <w:rPr>
          <w:rFonts w:hint="eastAsia" w:ascii="宋体" w:hAnsi="宋体" w:eastAsia="宋体" w:cs="宋体"/>
          <w:sz w:val="24"/>
        </w:rPr>
        <w:t>四、成交供应商的确定和变更</w:t>
      </w:r>
      <w:bookmarkEnd w:id="239"/>
      <w:bookmarkEnd w:id="240"/>
      <w:bookmarkEnd w:id="241"/>
      <w:bookmarkEnd w:id="242"/>
      <w:bookmarkEnd w:id="243"/>
      <w:bookmarkEnd w:id="244"/>
      <w:bookmarkEnd w:id="245"/>
    </w:p>
    <w:p w14:paraId="17BF6177">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采购代理机构应当在评审结束后2个工作日内将评审报告送采购人确认。采购人应当在收到评审报告后5个工作日内，从评审报告提出的成交候选人中，根据质量和服务均能满足采购文件实质性响应要求且最后报价最低的原则确定成交供应商，也可以书面授权谈判小组直接确定成交供应商。采购人逾期未确定成交供应商且不提出异议的，视为确定评审报告提出的最后报价最低的供应商为成交供应商。</w:t>
      </w:r>
    </w:p>
    <w:p w14:paraId="7563175F">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（二）成交供应商的变更</w:t>
      </w:r>
    </w:p>
    <w:p w14:paraId="38BEE979">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05CD7FED">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2.成交供应商无充分理由放弃成交的，采购人将向同级财政部门报告，财政部门将根据相关法律法规的规定进行处理。</w:t>
      </w:r>
    </w:p>
    <w:p w14:paraId="73D9F6D4">
      <w:pPr>
        <w:pStyle w:val="4"/>
        <w:adjustRightInd w:val="0"/>
        <w:snapToGrid w:val="0"/>
        <w:spacing w:before="0" w:after="0" w:line="400" w:lineRule="exact"/>
        <w:ind w:firstLine="482" w:firstLineChars="200"/>
        <w:rPr>
          <w:rFonts w:ascii="宋体" w:hAnsi="宋体" w:eastAsia="宋体" w:cs="宋体"/>
          <w:sz w:val="24"/>
        </w:rPr>
      </w:pPr>
      <w:bookmarkStart w:id="246" w:name="_Toc106034650"/>
      <w:bookmarkStart w:id="247" w:name="_Toc29821"/>
      <w:bookmarkStart w:id="248" w:name="_Toc65660359"/>
      <w:bookmarkStart w:id="249" w:name="_Toc1092"/>
      <w:bookmarkStart w:id="250" w:name="_Toc132634063"/>
      <w:bookmarkStart w:id="251" w:name="_Toc21342"/>
      <w:bookmarkStart w:id="252" w:name="_Toc11533"/>
      <w:r>
        <w:rPr>
          <w:rFonts w:hint="eastAsia" w:ascii="宋体" w:hAnsi="宋体" w:eastAsia="宋体" w:cs="宋体"/>
          <w:sz w:val="24"/>
        </w:rPr>
        <w:t>五、成交通知</w:t>
      </w:r>
      <w:bookmarkEnd w:id="246"/>
      <w:bookmarkEnd w:id="247"/>
      <w:bookmarkEnd w:id="248"/>
      <w:bookmarkEnd w:id="249"/>
      <w:bookmarkEnd w:id="250"/>
      <w:bookmarkEnd w:id="251"/>
      <w:bookmarkEnd w:id="252"/>
    </w:p>
    <w:p w14:paraId="3941D0DA">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（一）成交供应商确定后，采购代理机构将在</w:t>
      </w:r>
      <w:r>
        <w:rPr>
          <w:rFonts w:hint="eastAsia" w:ascii="宋体" w:hAnsi="宋体" w:eastAsia="宋体" w:cs="宋体"/>
          <w:sz w:val="24"/>
          <w:szCs w:val="24"/>
          <w:lang w:val="en-US" w:eastAsia="zh-CN"/>
        </w:rPr>
        <w:t>行采家</w:t>
      </w:r>
      <w:r>
        <w:rPr>
          <w:rFonts w:hint="eastAsia" w:ascii="宋体" w:hAnsi="宋体" w:eastAsia="宋体" w:cs="宋体"/>
          <w:sz w:val="24"/>
          <w:szCs w:val="24"/>
        </w:rPr>
        <w:t>上发布成交结果公告。</w:t>
      </w:r>
    </w:p>
    <w:p w14:paraId="772A5E9D">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（二）结果公告发出同时，采购代理机构将以书面形式发出《成交通知书》。《成交通知书》一经发出即发生法律效力。</w:t>
      </w:r>
    </w:p>
    <w:p w14:paraId="1E187BC3">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（三）《成交通知书》将作为签订合同的依据。</w:t>
      </w:r>
    </w:p>
    <w:p w14:paraId="0268761E">
      <w:pPr>
        <w:pStyle w:val="4"/>
        <w:adjustRightInd w:val="0"/>
        <w:snapToGrid w:val="0"/>
        <w:spacing w:before="0" w:after="0" w:line="400" w:lineRule="exact"/>
        <w:ind w:firstLine="482" w:firstLineChars="200"/>
        <w:rPr>
          <w:rFonts w:ascii="宋体" w:hAnsi="宋体" w:eastAsia="宋体" w:cs="宋体"/>
          <w:sz w:val="24"/>
        </w:rPr>
      </w:pPr>
      <w:bookmarkStart w:id="253" w:name="_Toc24777"/>
      <w:bookmarkStart w:id="254" w:name="_Toc132634064"/>
      <w:bookmarkStart w:id="255" w:name="_Toc106034651"/>
      <w:bookmarkStart w:id="256" w:name="_Toc1010"/>
      <w:bookmarkStart w:id="257" w:name="_Toc30909"/>
      <w:bookmarkStart w:id="258" w:name="_Toc27084"/>
      <w:bookmarkStart w:id="259" w:name="_Toc65660360"/>
      <w:r>
        <w:rPr>
          <w:rFonts w:hint="eastAsia" w:ascii="宋体" w:hAnsi="宋体" w:eastAsia="宋体" w:cs="宋体"/>
          <w:sz w:val="24"/>
        </w:rPr>
        <w:t>六、关于质疑</w:t>
      </w:r>
      <w:bookmarkEnd w:id="253"/>
      <w:bookmarkEnd w:id="254"/>
      <w:bookmarkEnd w:id="255"/>
      <w:bookmarkEnd w:id="256"/>
      <w:bookmarkEnd w:id="257"/>
      <w:bookmarkEnd w:id="258"/>
      <w:bookmarkEnd w:id="259"/>
    </w:p>
    <w:p w14:paraId="0FD3F2B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（一）质疑</w:t>
      </w:r>
    </w:p>
    <w:p w14:paraId="123114C5">
      <w:pPr>
        <w:spacing w:line="400" w:lineRule="exact"/>
        <w:ind w:right="12" w:firstLine="480"/>
        <w:rPr>
          <w:rFonts w:ascii="宋体" w:hAnsi="宋体" w:eastAsia="宋体" w:cs="宋体"/>
          <w:sz w:val="24"/>
        </w:rPr>
      </w:pPr>
      <w:r>
        <w:rPr>
          <w:rFonts w:hint="eastAsia" w:ascii="宋体" w:hAnsi="宋体" w:eastAsia="宋体" w:cs="宋体"/>
          <w:sz w:val="24"/>
        </w:rPr>
        <w:t>供应商认为采购文件、采购过程和成交结果使自己的权益收到伤害的，可向采购人或采购代理机构以书面形式提出质疑。</w:t>
      </w:r>
    </w:p>
    <w:p w14:paraId="332442C4">
      <w:pPr>
        <w:spacing w:line="400" w:lineRule="exact"/>
        <w:ind w:right="12" w:firstLine="480"/>
        <w:rPr>
          <w:rFonts w:ascii="宋体" w:hAnsi="宋体" w:eastAsia="宋体" w:cs="宋体"/>
          <w:sz w:val="24"/>
        </w:rPr>
      </w:pPr>
      <w:r>
        <w:rPr>
          <w:rFonts w:hint="eastAsia" w:ascii="宋体" w:hAnsi="宋体" w:eastAsia="宋体" w:cs="宋体"/>
          <w:sz w:val="24"/>
        </w:rPr>
        <w:t xml:space="preserve">提出质疑的应当是参与所质疑项目采购活动的供应商。 </w:t>
      </w:r>
    </w:p>
    <w:p w14:paraId="3FEDD2CA">
      <w:pPr>
        <w:spacing w:line="400" w:lineRule="exact"/>
        <w:ind w:right="12" w:firstLine="480"/>
        <w:rPr>
          <w:rFonts w:ascii="宋体" w:hAnsi="宋体" w:eastAsia="宋体" w:cs="宋体"/>
          <w:sz w:val="24"/>
        </w:rPr>
      </w:pPr>
      <w:r>
        <w:rPr>
          <w:rFonts w:hint="eastAsia" w:ascii="宋体" w:hAnsi="宋体" w:eastAsia="宋体" w:cs="宋体"/>
          <w:sz w:val="24"/>
        </w:rPr>
        <w:t>1.质疑时限、内容</w:t>
      </w:r>
    </w:p>
    <w:p w14:paraId="7DB967BE">
      <w:pPr>
        <w:spacing w:line="400" w:lineRule="exact"/>
        <w:ind w:right="12" w:firstLine="480"/>
        <w:rPr>
          <w:rFonts w:ascii="宋体" w:hAnsi="宋体" w:eastAsia="宋体" w:cs="宋体"/>
          <w:sz w:val="24"/>
        </w:rPr>
      </w:pPr>
      <w:r>
        <w:rPr>
          <w:rFonts w:hint="eastAsia" w:ascii="宋体" w:hAnsi="宋体" w:eastAsia="宋体" w:cs="宋体"/>
          <w:sz w:val="24"/>
        </w:rPr>
        <w:t>1.1供应商认为采购文件、采购过程、成交结果使自己的权益受到损害的，可以在知道或者应知其权益受到损害之日起7个工作日内，以书面形式向采购人、采购代理机构提出质疑。</w:t>
      </w:r>
    </w:p>
    <w:p w14:paraId="6C947C46">
      <w:pPr>
        <w:spacing w:line="400" w:lineRule="exact"/>
        <w:ind w:right="12" w:firstLine="480"/>
        <w:rPr>
          <w:rFonts w:ascii="宋体" w:hAnsi="宋体" w:eastAsia="宋体" w:cs="宋体"/>
          <w:sz w:val="24"/>
        </w:rPr>
      </w:pPr>
      <w:r>
        <w:rPr>
          <w:rFonts w:hint="eastAsia" w:ascii="宋体" w:hAnsi="宋体" w:eastAsia="宋体" w:cs="宋体"/>
          <w:sz w:val="24"/>
        </w:rPr>
        <w:t>1.2供应商提出质疑应当提交质疑函和必要的证明材料，质疑函应当包括下列内容：</w:t>
      </w:r>
    </w:p>
    <w:p w14:paraId="0194D75E">
      <w:pPr>
        <w:spacing w:line="400" w:lineRule="exact"/>
        <w:ind w:right="12" w:firstLine="480"/>
        <w:rPr>
          <w:rFonts w:ascii="宋体" w:hAnsi="宋体" w:eastAsia="宋体" w:cs="宋体"/>
          <w:sz w:val="24"/>
        </w:rPr>
      </w:pPr>
      <w:r>
        <w:rPr>
          <w:rFonts w:hint="eastAsia" w:ascii="宋体" w:hAnsi="宋体" w:eastAsia="宋体" w:cs="宋体"/>
          <w:sz w:val="24"/>
        </w:rPr>
        <w:t>1.2.1供应商的姓名或者名称、地址、邮编、联系人及联系电话；</w:t>
      </w:r>
    </w:p>
    <w:p w14:paraId="34DA8B70">
      <w:pPr>
        <w:spacing w:line="400" w:lineRule="exact"/>
        <w:ind w:right="12" w:firstLine="480"/>
        <w:rPr>
          <w:rFonts w:ascii="宋体" w:hAnsi="宋体" w:eastAsia="宋体" w:cs="宋体"/>
          <w:sz w:val="24"/>
        </w:rPr>
      </w:pPr>
      <w:r>
        <w:rPr>
          <w:rFonts w:hint="eastAsia" w:ascii="宋体" w:hAnsi="宋体" w:eastAsia="宋体" w:cs="宋体"/>
          <w:sz w:val="24"/>
        </w:rPr>
        <w:t>1.2.2</w:t>
      </w:r>
      <w:r>
        <w:rPr>
          <w:rFonts w:hint="eastAsia" w:ascii="宋体" w:hAnsi="宋体" w:eastAsia="宋体" w:cs="宋体"/>
          <w:sz w:val="24"/>
          <w:szCs w:val="24"/>
        </w:rPr>
        <w:t>质疑项目的项目名称、项目号以及采购执行编号</w:t>
      </w:r>
      <w:r>
        <w:rPr>
          <w:rFonts w:hint="eastAsia" w:ascii="宋体" w:hAnsi="宋体" w:eastAsia="宋体" w:cs="宋体"/>
          <w:sz w:val="24"/>
        </w:rPr>
        <w:t>；</w:t>
      </w:r>
    </w:p>
    <w:p w14:paraId="5ACF5A4C">
      <w:pPr>
        <w:spacing w:line="400" w:lineRule="exact"/>
        <w:ind w:right="12" w:firstLine="480"/>
        <w:rPr>
          <w:rFonts w:ascii="宋体" w:hAnsi="宋体" w:eastAsia="宋体" w:cs="宋体"/>
          <w:sz w:val="24"/>
        </w:rPr>
      </w:pPr>
      <w:r>
        <w:rPr>
          <w:rFonts w:hint="eastAsia" w:ascii="宋体" w:hAnsi="宋体" w:eastAsia="宋体" w:cs="宋体"/>
          <w:sz w:val="24"/>
        </w:rPr>
        <w:t>1.2.3具体、明确的质疑事项和与质疑事项相关的请求；</w:t>
      </w:r>
    </w:p>
    <w:p w14:paraId="14742A13">
      <w:pPr>
        <w:spacing w:line="400" w:lineRule="exact"/>
        <w:ind w:right="12" w:firstLine="480"/>
        <w:rPr>
          <w:rFonts w:ascii="宋体" w:hAnsi="宋体" w:eastAsia="宋体" w:cs="宋体"/>
          <w:sz w:val="24"/>
        </w:rPr>
      </w:pPr>
      <w:r>
        <w:rPr>
          <w:rFonts w:hint="eastAsia" w:ascii="宋体" w:hAnsi="宋体" w:eastAsia="宋体" w:cs="宋体"/>
          <w:sz w:val="24"/>
        </w:rPr>
        <w:t>1.2.4事实依据；</w:t>
      </w:r>
    </w:p>
    <w:p w14:paraId="7E7891A5">
      <w:pPr>
        <w:spacing w:line="400" w:lineRule="exact"/>
        <w:ind w:right="12" w:firstLine="480"/>
        <w:rPr>
          <w:rFonts w:ascii="宋体" w:hAnsi="宋体" w:eastAsia="宋体" w:cs="宋体"/>
          <w:sz w:val="24"/>
        </w:rPr>
      </w:pPr>
      <w:r>
        <w:rPr>
          <w:rFonts w:hint="eastAsia" w:ascii="宋体" w:hAnsi="宋体" w:eastAsia="宋体" w:cs="宋体"/>
          <w:sz w:val="24"/>
        </w:rPr>
        <w:t>1.2.5必要的法律依据；</w:t>
      </w:r>
    </w:p>
    <w:p w14:paraId="6FA77F92">
      <w:pPr>
        <w:spacing w:line="400" w:lineRule="exact"/>
        <w:ind w:right="12" w:firstLine="480"/>
        <w:rPr>
          <w:rFonts w:ascii="宋体" w:hAnsi="宋体" w:eastAsia="宋体" w:cs="宋体"/>
          <w:sz w:val="24"/>
        </w:rPr>
      </w:pPr>
      <w:r>
        <w:rPr>
          <w:rFonts w:hint="eastAsia" w:ascii="宋体" w:hAnsi="宋体" w:eastAsia="宋体" w:cs="宋体"/>
          <w:sz w:val="24"/>
        </w:rPr>
        <w:t>1.2.6提出质疑的日期；</w:t>
      </w:r>
    </w:p>
    <w:p w14:paraId="154BCA18">
      <w:pPr>
        <w:spacing w:line="400" w:lineRule="exact"/>
        <w:ind w:right="12" w:firstLine="480"/>
        <w:rPr>
          <w:rFonts w:ascii="宋体" w:hAnsi="宋体" w:eastAsia="宋体" w:cs="宋体"/>
          <w:sz w:val="24"/>
        </w:rPr>
      </w:pPr>
      <w:r>
        <w:rPr>
          <w:rFonts w:hint="eastAsia" w:ascii="宋体" w:hAnsi="宋体" w:eastAsia="宋体" w:cs="宋体"/>
          <w:sz w:val="24"/>
        </w:rPr>
        <w:t>1.2.7营业执照（或事业单位法人证书，或个体工商户营业执照或有效的自然人身份证明）复印件；</w:t>
      </w:r>
    </w:p>
    <w:p w14:paraId="7D81FCE1">
      <w:pPr>
        <w:spacing w:line="400" w:lineRule="exact"/>
        <w:ind w:right="12" w:firstLine="480"/>
        <w:rPr>
          <w:rFonts w:ascii="宋体" w:hAnsi="宋体" w:eastAsia="宋体" w:cs="宋体"/>
          <w:sz w:val="24"/>
        </w:rPr>
      </w:pPr>
      <w:r>
        <w:rPr>
          <w:rFonts w:hint="eastAsia" w:ascii="宋体" w:hAnsi="宋体" w:eastAsia="宋体" w:cs="宋体"/>
          <w:sz w:val="24"/>
        </w:rPr>
        <w:t>1.2.8法定代表人授权委托书原件、法定代表人身份证复印件和其授权代表的身份证复印件（供应商为自然人的提供自然人身份证复印件）；</w:t>
      </w:r>
    </w:p>
    <w:p w14:paraId="72413F02">
      <w:pPr>
        <w:spacing w:line="400" w:lineRule="exact"/>
        <w:ind w:right="12" w:firstLine="480"/>
        <w:rPr>
          <w:rFonts w:ascii="宋体" w:hAnsi="宋体" w:eastAsia="宋体" w:cs="宋体"/>
          <w:sz w:val="24"/>
        </w:rPr>
      </w:pPr>
      <w:r>
        <w:rPr>
          <w:rFonts w:hint="eastAsia" w:ascii="宋体" w:hAnsi="宋体" w:eastAsia="宋体" w:cs="宋体"/>
          <w:sz w:val="24"/>
        </w:rPr>
        <w:t>1.3供应商为自然人的，质疑函应当由本人签字；供应商为法人或者其他组织的，质疑函应当由法定代表人、主要负责人，或者其授权代表签字或者盖章，并加盖公章。</w:t>
      </w:r>
    </w:p>
    <w:p w14:paraId="4221AE0F">
      <w:pPr>
        <w:spacing w:line="400" w:lineRule="exact"/>
        <w:ind w:right="12" w:firstLine="480"/>
        <w:rPr>
          <w:rFonts w:ascii="宋体" w:hAnsi="宋体" w:eastAsia="宋体" w:cs="宋体"/>
          <w:sz w:val="24"/>
        </w:rPr>
      </w:pPr>
      <w:r>
        <w:rPr>
          <w:rFonts w:hint="eastAsia" w:ascii="宋体" w:hAnsi="宋体" w:eastAsia="宋体" w:cs="宋体"/>
          <w:sz w:val="24"/>
        </w:rPr>
        <w:t>2.质疑答复</w:t>
      </w:r>
    </w:p>
    <w:p w14:paraId="4EEDFBD0">
      <w:pPr>
        <w:spacing w:line="400" w:lineRule="exact"/>
        <w:ind w:right="12" w:firstLine="480"/>
        <w:rPr>
          <w:rFonts w:ascii="宋体" w:hAnsi="宋体" w:eastAsia="宋体" w:cs="宋体"/>
          <w:sz w:val="24"/>
        </w:rPr>
      </w:pPr>
      <w:r>
        <w:rPr>
          <w:rFonts w:hint="eastAsia" w:ascii="宋体" w:hAnsi="宋体" w:eastAsia="宋体" w:cs="宋体"/>
          <w:sz w:val="24"/>
        </w:rPr>
        <w:t>采购人、采购代理机构应当在收到供应商的书面质疑后七个工作日内作出答复，并以书面形式通知质疑供应商和其他有关供应商。</w:t>
      </w:r>
    </w:p>
    <w:p w14:paraId="1A3252F3">
      <w:pPr>
        <w:pStyle w:val="4"/>
        <w:adjustRightInd w:val="0"/>
        <w:snapToGrid w:val="0"/>
        <w:spacing w:before="0" w:after="0" w:line="400" w:lineRule="exact"/>
        <w:ind w:firstLine="482" w:firstLineChars="200"/>
        <w:rPr>
          <w:rFonts w:ascii="宋体" w:hAnsi="宋体" w:eastAsia="宋体" w:cs="宋体"/>
          <w:sz w:val="24"/>
        </w:rPr>
      </w:pPr>
      <w:bookmarkStart w:id="260" w:name="_Toc3127"/>
      <w:bookmarkStart w:id="261" w:name="_Toc16648"/>
      <w:bookmarkStart w:id="262" w:name="_Toc15183"/>
      <w:bookmarkStart w:id="263" w:name="_Toc106034652"/>
      <w:bookmarkStart w:id="264" w:name="_Toc65660361"/>
      <w:bookmarkStart w:id="265" w:name="_Toc19870"/>
      <w:bookmarkStart w:id="266" w:name="_Toc132634065"/>
      <w:r>
        <w:rPr>
          <w:rFonts w:hint="eastAsia" w:ascii="宋体" w:hAnsi="宋体" w:eastAsia="宋体" w:cs="宋体"/>
          <w:sz w:val="24"/>
        </w:rPr>
        <w:t>七、签订合同</w:t>
      </w:r>
      <w:bookmarkEnd w:id="260"/>
      <w:bookmarkEnd w:id="261"/>
      <w:bookmarkEnd w:id="262"/>
      <w:bookmarkEnd w:id="263"/>
      <w:bookmarkEnd w:id="264"/>
      <w:bookmarkEnd w:id="265"/>
      <w:bookmarkEnd w:id="266"/>
    </w:p>
    <w:p w14:paraId="449B00D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w:t>
      </w:r>
      <w:r>
        <w:rPr>
          <w:rFonts w:hint="eastAsia" w:ascii="宋体" w:hAnsi="宋体" w:eastAsia="宋体" w:cs="宋体"/>
          <w:sz w:val="24"/>
        </w:rPr>
        <w:t>采购人原则上应在成交通知书发出之日起二十日内和成交供应商签订政府采购合同，无正当理由不得拒绝或拖延合同签订</w:t>
      </w:r>
      <w:r>
        <w:rPr>
          <w:rFonts w:hint="eastAsia" w:ascii="宋体" w:hAnsi="宋体" w:eastAsia="宋体" w:cs="宋体"/>
          <w:sz w:val="24"/>
          <w:szCs w:val="24"/>
        </w:rPr>
        <w:t>。所签订的合同不得对竞争性谈判文件和供应商的响应文件作实质性修改。其他未尽事宜由采购人和成交供应商在采购合同中详细约定。</w:t>
      </w:r>
    </w:p>
    <w:p w14:paraId="6CC38C32">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二</w:t>
      </w:r>
      <w:r>
        <w:rPr>
          <w:rFonts w:hint="eastAsia" w:ascii="宋体" w:hAnsi="宋体" w:eastAsia="宋体" w:cs="宋体"/>
          <w:sz w:val="24"/>
          <w:szCs w:val="24"/>
        </w:rPr>
        <w:t>）竞争性谈判文件、供应商的响应文件及澄清文件等，均为签订政府采购合同的依据。</w:t>
      </w:r>
    </w:p>
    <w:p w14:paraId="320FC7C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三</w:t>
      </w:r>
      <w:r>
        <w:rPr>
          <w:rFonts w:hint="eastAsia" w:ascii="宋体" w:hAnsi="宋体" w:eastAsia="宋体" w:cs="宋体"/>
          <w:sz w:val="24"/>
          <w:szCs w:val="24"/>
        </w:rPr>
        <w:t>）合同生效条款由供需双方约定，法律、行政法规规定应当办理批准、登记等手续后生效的合同，依照其规定。</w:t>
      </w:r>
    </w:p>
    <w:p w14:paraId="4992274C">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四</w:t>
      </w:r>
      <w:r>
        <w:rPr>
          <w:rFonts w:hint="eastAsia" w:ascii="宋体" w:hAnsi="宋体" w:eastAsia="宋体" w:cs="宋体"/>
          <w:sz w:val="24"/>
          <w:szCs w:val="24"/>
        </w:rPr>
        <w:t>）合同原则上应按照《重庆市政府采购合同》签订，相关单位要求适用合同通用格式版本的，应按其要求另行签订其他合同。</w:t>
      </w:r>
    </w:p>
    <w:p w14:paraId="00102793">
      <w:pPr>
        <w:pStyle w:val="4"/>
        <w:adjustRightInd w:val="0"/>
        <w:snapToGrid w:val="0"/>
        <w:spacing w:before="0" w:after="0" w:line="400" w:lineRule="exact"/>
        <w:ind w:firstLine="482" w:firstLineChars="200"/>
        <w:rPr>
          <w:rFonts w:ascii="宋体" w:hAnsi="宋体" w:eastAsia="宋体" w:cs="宋体"/>
          <w:sz w:val="24"/>
        </w:rPr>
      </w:pPr>
      <w:bookmarkStart w:id="267" w:name="_Toc13877"/>
      <w:bookmarkStart w:id="268" w:name="_Toc132634066"/>
      <w:bookmarkStart w:id="269" w:name="_Toc23822"/>
      <w:bookmarkStart w:id="270" w:name="_Toc106034653"/>
      <w:r>
        <w:rPr>
          <w:rFonts w:hint="eastAsia" w:ascii="宋体" w:hAnsi="宋体" w:eastAsia="宋体" w:cs="宋体"/>
          <w:sz w:val="24"/>
        </w:rPr>
        <w:t>八、项目验收</w:t>
      </w:r>
      <w:bookmarkEnd w:id="267"/>
      <w:bookmarkEnd w:id="268"/>
      <w:bookmarkEnd w:id="269"/>
      <w:bookmarkEnd w:id="270"/>
    </w:p>
    <w:p w14:paraId="7D1A4C70">
      <w:pPr>
        <w:spacing w:line="400" w:lineRule="exact"/>
        <w:ind w:firstLine="360" w:firstLineChars="150"/>
        <w:rPr>
          <w:rFonts w:ascii="宋体" w:hAnsi="宋体" w:eastAsia="宋体" w:cs="宋体"/>
          <w:sz w:val="24"/>
          <w:szCs w:val="24"/>
        </w:rPr>
      </w:pPr>
      <w:r>
        <w:rPr>
          <w:rFonts w:hint="eastAsia" w:ascii="宋体" w:hAnsi="宋体" w:eastAsia="宋体" w:cs="宋体"/>
          <w:sz w:val="24"/>
        </w:rPr>
        <w:t>合同执行完毕，采购人或采购代理机构原则上应在7个工作日内组织履约情况验收，不得无故拖延或附加额外条件。</w:t>
      </w:r>
    </w:p>
    <w:p w14:paraId="5BAE8E5B">
      <w:pPr>
        <w:pStyle w:val="4"/>
        <w:adjustRightInd w:val="0"/>
        <w:snapToGrid w:val="0"/>
        <w:spacing w:before="0" w:after="0" w:line="400" w:lineRule="exact"/>
        <w:ind w:firstLine="482" w:firstLineChars="200"/>
        <w:rPr>
          <w:rFonts w:ascii="宋体" w:hAnsi="宋体" w:eastAsia="宋体" w:cs="宋体"/>
          <w:sz w:val="24"/>
        </w:rPr>
      </w:pPr>
      <w:bookmarkStart w:id="271" w:name="_Toc30443"/>
      <w:bookmarkStart w:id="272" w:name="_Toc106034654"/>
      <w:bookmarkStart w:id="273" w:name="_Toc65660362"/>
      <w:bookmarkStart w:id="274" w:name="_Toc29513"/>
      <w:bookmarkStart w:id="275" w:name="_Toc32594"/>
      <w:bookmarkStart w:id="276" w:name="_Toc132634067"/>
      <w:bookmarkStart w:id="277" w:name="_Toc22938"/>
      <w:r>
        <w:rPr>
          <w:rFonts w:hint="eastAsia" w:ascii="宋体" w:hAnsi="宋体" w:eastAsia="宋体" w:cs="宋体"/>
          <w:sz w:val="24"/>
        </w:rPr>
        <w:t>九、采购代理服务费</w:t>
      </w:r>
      <w:bookmarkEnd w:id="271"/>
      <w:bookmarkEnd w:id="272"/>
      <w:bookmarkEnd w:id="273"/>
      <w:bookmarkEnd w:id="274"/>
      <w:bookmarkEnd w:id="275"/>
      <w:bookmarkEnd w:id="276"/>
      <w:bookmarkEnd w:id="277"/>
    </w:p>
    <w:p w14:paraId="0F18CE87">
      <w:pPr>
        <w:spacing w:line="400" w:lineRule="exact"/>
        <w:ind w:firstLine="480" w:firstLineChars="200"/>
        <w:rPr>
          <w:rFonts w:ascii="宋体" w:hAnsi="宋体" w:eastAsia="宋体" w:cs="宋体"/>
          <w:color w:val="000000" w:themeColor="text1"/>
          <w:sz w:val="24"/>
          <w14:textFill>
            <w14:solidFill>
              <w14:schemeClr w14:val="tx1"/>
            </w14:solidFill>
          </w14:textFill>
        </w:rPr>
      </w:pPr>
      <w:bookmarkStart w:id="278" w:name="_Toc20744"/>
      <w:bookmarkStart w:id="279" w:name="_Toc22442"/>
      <w:bookmarkStart w:id="280" w:name="_Toc21724"/>
      <w:bookmarkStart w:id="281" w:name="_Toc25492"/>
      <w:bookmarkStart w:id="282" w:name="_Toc124177321"/>
      <w:r>
        <w:rPr>
          <w:rFonts w:hint="eastAsia" w:ascii="宋体" w:hAnsi="宋体" w:eastAsia="宋体" w:cs="宋体"/>
          <w:color w:val="000000" w:themeColor="text1"/>
          <w:sz w:val="24"/>
          <w14:textFill>
            <w14:solidFill>
              <w14:schemeClr w14:val="tx1"/>
            </w14:solidFill>
          </w14:textFill>
        </w:rPr>
        <w:t>（1）供应商成交后向采购代理机构缴纳</w:t>
      </w:r>
      <w:r>
        <w:rPr>
          <w:rFonts w:hint="eastAsia" w:ascii="宋体" w:hAnsi="宋体" w:eastAsia="宋体" w:cs="宋体"/>
          <w:color w:val="000000" w:themeColor="text1"/>
          <w:sz w:val="24"/>
          <w:szCs w:val="24"/>
          <w14:textFill>
            <w14:solidFill>
              <w14:schemeClr w14:val="tx1"/>
            </w14:solidFill>
          </w14:textFill>
        </w:rPr>
        <w:t>采购</w:t>
      </w:r>
      <w:r>
        <w:rPr>
          <w:rFonts w:hint="eastAsia" w:ascii="宋体" w:hAnsi="宋体" w:eastAsia="宋体" w:cs="宋体"/>
          <w:color w:val="000000" w:themeColor="text1"/>
          <w:sz w:val="24"/>
          <w14:textFill>
            <w14:solidFill>
              <w14:schemeClr w14:val="tx1"/>
            </w14:solidFill>
          </w14:textFill>
        </w:rPr>
        <w:t>代理服务费</w:t>
      </w:r>
    </w:p>
    <w:p w14:paraId="366620B9">
      <w:pPr>
        <w:spacing w:line="400" w:lineRule="exact"/>
        <w:ind w:firstLine="480" w:firstLineChars="200"/>
        <w:rPr>
          <w:rFonts w:hint="eastAsia" w:ascii="宋体" w:hAnsi="宋体" w:eastAsia="宋体" w:cs="宋体"/>
          <w:b/>
          <w:color w:val="000000" w:themeColor="text1"/>
          <w:sz w:val="24"/>
          <w:lang w:eastAsia="zh-CN"/>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①本项目代理服务费按照下表执行</w:t>
      </w:r>
      <w:r>
        <w:rPr>
          <w:rFonts w:hint="eastAsia" w:ascii="宋体" w:hAnsi="宋体" w:eastAsia="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收费不足3000元，按3000元计取</w:t>
      </w:r>
      <w:r>
        <w:rPr>
          <w:rFonts w:hint="eastAsia" w:ascii="宋体" w:hAnsi="宋体" w:eastAsia="宋体" w:cs="宋体"/>
          <w:color w:val="000000" w:themeColor="text1"/>
          <w:sz w:val="24"/>
          <w:lang w:eastAsia="zh-CN"/>
          <w14:textFill>
            <w14:solidFill>
              <w14:schemeClr w14:val="tx1"/>
            </w14:solidFill>
          </w14:textFill>
        </w:rPr>
        <w:t>）</w:t>
      </w:r>
    </w:p>
    <w:tbl>
      <w:tblPr>
        <w:tblStyle w:val="61"/>
        <w:tblW w:w="959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5"/>
        <w:gridCol w:w="2367"/>
        <w:gridCol w:w="2235"/>
        <w:gridCol w:w="2100"/>
      </w:tblGrid>
      <w:tr w14:paraId="2F945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2895" w:type="dxa"/>
          </w:tcPr>
          <w:p w14:paraId="7590AB23">
            <w:pPr>
              <w:keepNext w:val="0"/>
              <w:keepLines w:val="0"/>
              <w:suppressLineNumbers w:val="0"/>
              <w:spacing w:before="0" w:beforeAutospacing="0" w:after="0" w:afterAutospacing="0" w:line="400" w:lineRule="exact"/>
              <w:ind w:left="0" w:right="0" w:firstLine="1680" w:firstLineChars="7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费率</w:t>
            </w:r>
            <w:r>
              <w:rPr>
                <w:rFonts w:hint="eastAsia" w:ascii="宋体" w:hAnsi="宋体" w:eastAsia="宋体" w:cs="宋体"/>
                <w:color w:val="000000" w:themeColor="text1"/>
                <w:sz w:val="24"/>
                <w:szCs w:val="20"/>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-68580</wp:posOffset>
                      </wp:positionH>
                      <wp:positionV relativeFrom="paragraph">
                        <wp:posOffset>-6350</wp:posOffset>
                      </wp:positionV>
                      <wp:extent cx="1847850" cy="688340"/>
                      <wp:effectExtent l="7620" t="12700" r="11430" b="13335"/>
                      <wp:wrapNone/>
                      <wp:docPr id="4" name="直接连接符 4"/>
                      <wp:cNvGraphicFramePr/>
                      <a:graphic xmlns:a="http://schemas.openxmlformats.org/drawingml/2006/main">
                        <a:graphicData uri="http://schemas.microsoft.com/office/word/2010/wordprocessingShape">
                          <wps:wsp>
                            <wps:cNvCnPr>
                              <a:cxnSpLocks noChangeShapeType="1"/>
                            </wps:cNvCnPr>
                            <wps:spPr bwMode="auto">
                              <a:xfrm>
                                <a:off x="0" y="0"/>
                                <a:ext cx="1847850" cy="68834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pt;margin-top:-0.5pt;height:54.2pt;width:145.5pt;z-index:251661312;mso-width-relative:page;mso-height-relative:page;" filled="f" stroked="t" coordsize="21600,21600" o:gfxdata="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IUd&#10;BdYAAAAKAQAADwAAAAAAAAABACAAAAAiAAAAZHJzL2Rvd25yZXYueG1sUEsBAhQAFAAAAAgAh07i&#10;QMt3J8/rAQAArwMAAA4AAAAAAAAAAQAgAAAAJQEAAGRycy9lMm9Eb2MueG1sUEsFBgAAAAAGAAYA&#10;WQEAAIIFAAAAAA==&#10;">
                      <v:fill on="f" focussize="0,0"/>
                      <v:stroke color="#000000" joinstyle="round"/>
                      <v:imagedata o:title=""/>
                      <o:lock v:ext="edit" aspectratio="f"/>
                    </v:line>
                  </w:pict>
                </mc:Fallback>
              </mc:AlternateContent>
            </w:r>
          </w:p>
          <w:p w14:paraId="54632ECF">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中标金额</w:t>
            </w:r>
          </w:p>
        </w:tc>
        <w:tc>
          <w:tcPr>
            <w:tcW w:w="2367" w:type="dxa"/>
            <w:vAlign w:val="center"/>
          </w:tcPr>
          <w:p w14:paraId="642F3BF2">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货物招标</w:t>
            </w:r>
          </w:p>
        </w:tc>
        <w:tc>
          <w:tcPr>
            <w:tcW w:w="2235" w:type="dxa"/>
            <w:vAlign w:val="center"/>
          </w:tcPr>
          <w:p w14:paraId="26D02F73">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服务招标</w:t>
            </w:r>
          </w:p>
        </w:tc>
        <w:tc>
          <w:tcPr>
            <w:tcW w:w="2100" w:type="dxa"/>
            <w:vAlign w:val="center"/>
          </w:tcPr>
          <w:p w14:paraId="1064DCCE">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工程招标</w:t>
            </w:r>
          </w:p>
        </w:tc>
      </w:tr>
      <w:tr w14:paraId="6CADA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2895" w:type="dxa"/>
          </w:tcPr>
          <w:p w14:paraId="35C0FD08">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100万元以下</w:t>
            </w:r>
          </w:p>
        </w:tc>
        <w:tc>
          <w:tcPr>
            <w:tcW w:w="2367" w:type="dxa"/>
          </w:tcPr>
          <w:p w14:paraId="26E67314">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1.5%</w:t>
            </w:r>
          </w:p>
        </w:tc>
        <w:tc>
          <w:tcPr>
            <w:tcW w:w="2235" w:type="dxa"/>
          </w:tcPr>
          <w:p w14:paraId="2C5E5D7E">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1.5%</w:t>
            </w:r>
          </w:p>
        </w:tc>
        <w:tc>
          <w:tcPr>
            <w:tcW w:w="2100" w:type="dxa"/>
          </w:tcPr>
          <w:p w14:paraId="46107894">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 xml:space="preserve">1.0% </w:t>
            </w:r>
          </w:p>
        </w:tc>
      </w:tr>
      <w:tr w14:paraId="5F83E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2895" w:type="dxa"/>
          </w:tcPr>
          <w:p w14:paraId="5B7E05F4">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100～500万元</w:t>
            </w:r>
          </w:p>
        </w:tc>
        <w:tc>
          <w:tcPr>
            <w:tcW w:w="2367" w:type="dxa"/>
          </w:tcPr>
          <w:p w14:paraId="01B17EEC">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1.1%</w:t>
            </w:r>
          </w:p>
        </w:tc>
        <w:tc>
          <w:tcPr>
            <w:tcW w:w="2235" w:type="dxa"/>
          </w:tcPr>
          <w:p w14:paraId="7FF4D98F">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0.8%</w:t>
            </w:r>
          </w:p>
        </w:tc>
        <w:tc>
          <w:tcPr>
            <w:tcW w:w="2100" w:type="dxa"/>
          </w:tcPr>
          <w:p w14:paraId="6D45A11E">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 xml:space="preserve">0.7% </w:t>
            </w:r>
          </w:p>
        </w:tc>
      </w:tr>
      <w:tr w14:paraId="1D8C2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2895" w:type="dxa"/>
          </w:tcPr>
          <w:p w14:paraId="2A217297">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500～1000万元</w:t>
            </w:r>
          </w:p>
        </w:tc>
        <w:tc>
          <w:tcPr>
            <w:tcW w:w="2367" w:type="dxa"/>
          </w:tcPr>
          <w:p w14:paraId="0AA47C1F">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0.8%</w:t>
            </w:r>
          </w:p>
        </w:tc>
        <w:tc>
          <w:tcPr>
            <w:tcW w:w="2235" w:type="dxa"/>
          </w:tcPr>
          <w:p w14:paraId="790AD708">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0.45%</w:t>
            </w:r>
          </w:p>
        </w:tc>
        <w:tc>
          <w:tcPr>
            <w:tcW w:w="2100" w:type="dxa"/>
          </w:tcPr>
          <w:p w14:paraId="6AFFF72A">
            <w:pPr>
              <w:keepNext w:val="0"/>
              <w:keepLines w:val="0"/>
              <w:suppressLineNumbers w:val="0"/>
              <w:spacing w:before="0" w:beforeAutospacing="0" w:after="0" w:afterAutospacing="0" w:line="400" w:lineRule="exact"/>
              <w:ind w:left="0" w:right="0" w:firstLine="480" w:firstLineChars="200"/>
              <w:rPr>
                <w:rFonts w:hint="default" w:ascii="宋体" w:hAnsi="宋体" w:eastAsia="宋体" w:cs="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0.55%</w:t>
            </w:r>
          </w:p>
        </w:tc>
      </w:tr>
    </w:tbl>
    <w:p w14:paraId="71C6D5A3">
      <w:pPr>
        <w:spacing w:line="360" w:lineRule="auto"/>
        <w:ind w:right="12" w:firstLine="480"/>
        <w:rPr>
          <w:rFonts w:ascii="宋体" w:hAnsi="宋体" w:eastAsia="宋体" w:cs="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代理服务费由成交供应商支付，即成交供应商在领取中标通知书之前以转账形式一次性支付给代理机构。</w:t>
      </w:r>
    </w:p>
    <w:p w14:paraId="3EABD6F5">
      <w:pPr>
        <w:spacing w:line="360" w:lineRule="auto"/>
        <w:ind w:right="12" w:firstLine="480"/>
        <w:rPr>
          <w:rFonts w:ascii="宋体" w:hAnsi="宋体" w:eastAsia="宋体" w:cs="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②采购代理服务费缴纳账户信息：</w:t>
      </w:r>
    </w:p>
    <w:p w14:paraId="374C0771">
      <w:pPr>
        <w:spacing w:line="360" w:lineRule="auto"/>
        <w:ind w:right="12" w:firstLine="480"/>
        <w:rPr>
          <w:rFonts w:hint="eastAsia" w:ascii="宋体" w:hAnsi="宋体" w:eastAsia="宋体" w:cs="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户  名：重庆联点项目管理有限公司</w:t>
      </w:r>
    </w:p>
    <w:p w14:paraId="53D57674">
      <w:pPr>
        <w:spacing w:line="360" w:lineRule="auto"/>
        <w:ind w:right="12" w:firstLine="480"/>
        <w:rPr>
          <w:rFonts w:hint="eastAsia" w:ascii="宋体" w:hAnsi="宋体" w:eastAsia="宋体" w:cs="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开户行：中国工商银行重庆荣昌支行</w:t>
      </w:r>
    </w:p>
    <w:p w14:paraId="775BCDC0">
      <w:pPr>
        <w:spacing w:line="360" w:lineRule="auto"/>
        <w:ind w:right="12" w:firstLine="480"/>
        <w:rPr>
          <w:rFonts w:hint="eastAsia" w:ascii="宋体" w:hAnsi="宋体" w:eastAsia="宋体" w:cs="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账  号：3100232709000036960</w:t>
      </w:r>
    </w:p>
    <w:bookmarkEnd w:id="278"/>
    <w:bookmarkEnd w:id="279"/>
    <w:bookmarkEnd w:id="280"/>
    <w:bookmarkEnd w:id="281"/>
    <w:bookmarkEnd w:id="282"/>
    <w:p w14:paraId="258BBCA5">
      <w:pPr>
        <w:pStyle w:val="4"/>
        <w:adjustRightInd w:val="0"/>
        <w:snapToGrid w:val="0"/>
        <w:spacing w:before="0" w:after="0" w:line="400" w:lineRule="exact"/>
        <w:ind w:firstLine="482" w:firstLineChars="200"/>
        <w:rPr>
          <w:rFonts w:ascii="宋体" w:hAnsi="宋体" w:eastAsia="宋体" w:cs="宋体"/>
          <w:sz w:val="24"/>
        </w:rPr>
      </w:pPr>
      <w:bookmarkStart w:id="283" w:name="_Toc132634068"/>
      <w:bookmarkStart w:id="284" w:name="_Toc18609"/>
      <w:bookmarkStart w:id="285" w:name="_Toc65660364"/>
      <w:bookmarkStart w:id="286" w:name="_Toc106034656"/>
      <w:bookmarkStart w:id="287" w:name="_Toc9785"/>
      <w:bookmarkStart w:id="288" w:name="_Toc22689"/>
      <w:bookmarkStart w:id="289" w:name="_Toc1715"/>
      <w:r>
        <w:rPr>
          <w:rFonts w:hint="eastAsia" w:ascii="宋体" w:hAnsi="宋体" w:eastAsia="宋体" w:cs="宋体"/>
          <w:sz w:val="24"/>
        </w:rPr>
        <w:t>十、政府采购信用融资</w:t>
      </w:r>
      <w:bookmarkEnd w:id="283"/>
      <w:bookmarkEnd w:id="284"/>
      <w:bookmarkEnd w:id="285"/>
      <w:bookmarkEnd w:id="286"/>
      <w:bookmarkEnd w:id="287"/>
      <w:bookmarkEnd w:id="288"/>
      <w:bookmarkEnd w:id="289"/>
    </w:p>
    <w:p w14:paraId="4D83A7C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参与重庆市政府采购活动，成为成交供应商，并与采购人签订政府采购合同后，可按照重庆市政府采购支持中小企业信用融资办法的规定，向开展政府采购信用融资业务的银行申请贷款。具体内容详见重庆市政府采购网“信用融资”信息专栏。</w:t>
      </w:r>
    </w:p>
    <w:p w14:paraId="6CCCD415">
      <w:pPr>
        <w:pStyle w:val="22"/>
        <w:ind w:left="1600" w:hanging="480"/>
        <w:rPr>
          <w:rFonts w:ascii="宋体" w:hAnsi="宋体" w:eastAsia="宋体" w:cs="宋体"/>
          <w:sz w:val="24"/>
          <w:szCs w:val="24"/>
        </w:rPr>
      </w:pPr>
    </w:p>
    <w:p w14:paraId="7AB12B93">
      <w:pPr>
        <w:rPr>
          <w:rFonts w:ascii="宋体" w:hAnsi="宋体" w:eastAsia="宋体" w:cs="宋体"/>
          <w:sz w:val="24"/>
          <w:szCs w:val="24"/>
        </w:rPr>
      </w:pPr>
    </w:p>
    <w:p w14:paraId="6518781F">
      <w:pPr>
        <w:spacing w:line="360" w:lineRule="auto"/>
        <w:ind w:firstLine="2640" w:firstLineChars="1100"/>
        <w:rPr>
          <w:rFonts w:ascii="宋体" w:hAnsi="宋体" w:eastAsia="宋体" w:cs="宋体"/>
          <w:b/>
          <w:bCs/>
          <w:sz w:val="36"/>
          <w:szCs w:val="30"/>
        </w:rPr>
      </w:pPr>
      <w:r>
        <w:rPr>
          <w:rFonts w:hint="eastAsia" w:ascii="宋体" w:hAnsi="宋体" w:eastAsia="宋体" w:cs="宋体"/>
          <w:sz w:val="24"/>
          <w:szCs w:val="24"/>
        </w:rPr>
        <w:br w:type="page"/>
      </w:r>
      <w:bookmarkEnd w:id="155"/>
      <w:bookmarkEnd w:id="156"/>
      <w:bookmarkEnd w:id="157"/>
      <w:bookmarkEnd w:id="158"/>
      <w:bookmarkEnd w:id="159"/>
      <w:bookmarkStart w:id="290" w:name="_Toc5331"/>
      <w:bookmarkStart w:id="291" w:name="_Toc28162"/>
      <w:bookmarkStart w:id="292" w:name="_Toc65660365"/>
      <w:bookmarkStart w:id="293" w:name="_Toc14861"/>
      <w:bookmarkStart w:id="294" w:name="_Toc106034657"/>
      <w:bookmarkStart w:id="295" w:name="_Toc29455"/>
      <w:bookmarkStart w:id="296" w:name="_Toc31468"/>
      <w:r>
        <w:rPr>
          <w:rFonts w:hint="eastAsia" w:ascii="宋体" w:hAnsi="宋体" w:eastAsia="宋体" w:cs="宋体"/>
          <w:b/>
          <w:bCs/>
          <w:sz w:val="36"/>
          <w:szCs w:val="30"/>
        </w:rPr>
        <w:t>第六篇  合同草案条款</w:t>
      </w:r>
      <w:bookmarkEnd w:id="290"/>
      <w:bookmarkEnd w:id="291"/>
      <w:bookmarkEnd w:id="292"/>
      <w:bookmarkEnd w:id="293"/>
      <w:bookmarkEnd w:id="294"/>
      <w:bookmarkEnd w:id="295"/>
      <w:bookmarkEnd w:id="296"/>
    </w:p>
    <w:p w14:paraId="008A413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1、定义</w:t>
      </w:r>
    </w:p>
    <w:p w14:paraId="24B45C6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1.1甲方（需方）即采购人，是指通过竞争性谈判采购，接受合同货物及服务的各级国家机关、事业单位和团体组织。</w:t>
      </w:r>
    </w:p>
    <w:p w14:paraId="771FC30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1.2乙方（供方）即成交供应商，是指成交后提供合同货物和服务的自然人、法人及其他组织。</w:t>
      </w:r>
    </w:p>
    <w:p w14:paraId="72A1358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1.3合同是指由甲乙双方按照竞争性谈判文件和响应文件的实质性内容，通过协商一致达成的书面协议。</w:t>
      </w:r>
    </w:p>
    <w:p w14:paraId="36AB3621">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1.4合同价格指以成交价格为依据，在供方全面履行合同义务后，需方（或财政部门）应支付给供方的金额。</w:t>
      </w:r>
    </w:p>
    <w:p w14:paraId="635EB70D">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1.5技术资料是指合同货物及其相关的设计、制造、监造、检验、验收等文件（包括图纸、各种文字说明、标准）。</w:t>
      </w:r>
    </w:p>
    <w:p w14:paraId="4E1CD87C">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2、货物内容</w:t>
      </w:r>
    </w:p>
    <w:p w14:paraId="397A6AA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合同包括以下内容：货物名称、型号规格、技术参数、数量（单位）等内容。</w:t>
      </w:r>
    </w:p>
    <w:p w14:paraId="4F96168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3、合同价格</w:t>
      </w:r>
    </w:p>
    <w:p w14:paraId="73DCD796">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3.1合同价格即合同总价。</w:t>
      </w:r>
    </w:p>
    <w:p w14:paraId="5D54732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3.2合同价格包括合同货物、技术资料、合同货物的税费、运杂费、保险费、包装费、装卸费及与货物有关的供方应纳的税费，所有税费由乙方负担。</w:t>
      </w:r>
    </w:p>
    <w:p w14:paraId="3B55FC0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3.3合同货物单价为不变价。</w:t>
      </w:r>
    </w:p>
    <w:p w14:paraId="29982ACC">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4、转包或分包</w:t>
      </w:r>
    </w:p>
    <w:p w14:paraId="0B4208A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4.1本合同范围的货物，应由乙方直接供应，不得转让他人供应；</w:t>
      </w:r>
    </w:p>
    <w:p w14:paraId="5A2983A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4.2非经甲方书面同意，乙方不得将本合同范围的货物全部或部分分包给他人供应；</w:t>
      </w:r>
    </w:p>
    <w:p w14:paraId="687D1B2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5、质量保证及售后服务</w:t>
      </w:r>
    </w:p>
    <w:p w14:paraId="467CFC5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5.1乙方应按竞争性谈判文件规定的货物性能、技术要求、质量标准向甲方提供未经使用的全新产品。</w:t>
      </w:r>
    </w:p>
    <w:p w14:paraId="4818965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5.2乙方提供的货物在质保期内因货物本身的质量问题发生故障，乙方应负责免费更换。对达不到技术要求者，根据实际情况，经双方协商，可按以下办法处理：</w:t>
      </w:r>
    </w:p>
    <w:p w14:paraId="64925A3D">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5.2.1更换：由乙方承担所发生的全部费用。</w:t>
      </w:r>
    </w:p>
    <w:p w14:paraId="5BE5449F">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5.2.2贬值处理：由甲乙双方合议定价。</w:t>
      </w:r>
    </w:p>
    <w:p w14:paraId="4E19D0E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5.2.3退货处理：乙方应退还甲方支付的合同款，同时应承担该货物的直接费用（运输、保险、检验、货款利息及银行手续费等）。</w:t>
      </w:r>
    </w:p>
    <w:p w14:paraId="35EC31F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5.3如在使用过程中发生质量问题，乙方应同本项目“第四篇 谈判项目服务需求”对质量保证及售后服务内容的约定。</w:t>
      </w:r>
    </w:p>
    <w:p w14:paraId="384DD93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5.4在质保期内，乙方应对货物出现的质量及安全问题负责处理解决并承担一切费用。</w:t>
      </w:r>
    </w:p>
    <w:p w14:paraId="0B7F0EF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6、付款</w:t>
      </w:r>
    </w:p>
    <w:p w14:paraId="78D5CF3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6.1本合同使用货币币制如未作特别说明均为人民币。</w:t>
      </w:r>
    </w:p>
    <w:p w14:paraId="4934FD9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6.2付款方式：银行转账、现金支票。</w:t>
      </w:r>
    </w:p>
    <w:p w14:paraId="51C7BDD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6.3付款方法：同本项目“第四篇 谈判项目商务需求”中关于付款方式的约定。</w:t>
      </w:r>
    </w:p>
    <w:p w14:paraId="4D97333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7、检查验收</w:t>
      </w:r>
    </w:p>
    <w:p w14:paraId="5FB7512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7.1供方应随货物提供合格证和质量证明文件，如是国外进口的货物还须提供入关证明。</w:t>
      </w:r>
    </w:p>
    <w:p w14:paraId="1D07898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7.2货物验收</w:t>
      </w:r>
    </w:p>
    <w:p w14:paraId="78AD9B4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供方所交货物的各种质量指标不得低于供方提供样品的质量指标（无样品时按供方响应文件中所提供的“技术文件”执行），售后服务质量要求按照竞争性谈判文件和响应文件的内容执行。供方交货时，需方可根据需要随机抽取一部分货物送有关权威检测部门检测，如检测不合格，供方负责赔偿需方一切损失。</w:t>
      </w:r>
    </w:p>
    <w:p w14:paraId="587C80F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7.3货物验收报告应由需方、供方经办人签字，并加盖双方公章，以此作为支付凭据。</w:t>
      </w:r>
    </w:p>
    <w:p w14:paraId="6DFF254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8、索赔</w:t>
      </w:r>
    </w:p>
    <w:p w14:paraId="1C90D72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供方对货物与合同要求不符负有责任，并且需方已于规定交货内和质量保证期内提出索赔，供方应按需方同意的下述一种或多种方法解决索赔事宜。</w:t>
      </w:r>
    </w:p>
    <w:p w14:paraId="3A32FE9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8.1供方同意需方拒收货物并把拒收货物的金额以合同规定的同类货币付给需方，供方负担发生的一切损失和费用，包括利息、运输和保险费、检验费、仓储和装卸费以及为保管和保护被拒绝货物所需要的其它必要费用。</w:t>
      </w:r>
    </w:p>
    <w:p w14:paraId="319CDFF1">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8.2根据货物的疵劣和受损程度以及需方遭受损失的金额，经双方同意降低货物价格。</w:t>
      </w:r>
    </w:p>
    <w:p w14:paraId="1629E87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9、知识产权</w:t>
      </w:r>
    </w:p>
    <w:p w14:paraId="5B3B7F9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9.1甲方在中华人民共和国境内使用乙方提供的货物及服务时免受第三方提出的侵犯其专利权或其它知识产权的起诉。如果第三方提出侵权指控，乙方承担由此而引起的一切法律责任和费用。</w:t>
      </w:r>
    </w:p>
    <w:p w14:paraId="58408D4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9.2若涉及软件开发等服务类项目知识产权的，知识产权归采购人所有</w:t>
      </w:r>
    </w:p>
    <w:p w14:paraId="0739AB3F">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10、合同争议的解决</w:t>
      </w:r>
    </w:p>
    <w:p w14:paraId="7BCD510C">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10.1当事人友好协商达成一致</w:t>
      </w:r>
    </w:p>
    <w:p w14:paraId="306BA9D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10.2在60天内当事人协商不能达成协议的，可提请采购人当地仲裁机构仲裁。</w:t>
      </w:r>
    </w:p>
    <w:p w14:paraId="147E482D">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11、违约责任</w:t>
      </w:r>
    </w:p>
    <w:p w14:paraId="2D153D95">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按《中华人民共和国民法典》、《中华人民共和国政府采购法》有关条款，或由供需双方约定。</w:t>
      </w:r>
    </w:p>
    <w:p w14:paraId="0862AB2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12、合同生效及其它</w:t>
      </w:r>
    </w:p>
    <w:p w14:paraId="29EE00CF">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12.1合同生效及其效力应符合《中华人民共和国民法典》有关规定。</w:t>
      </w:r>
    </w:p>
    <w:p w14:paraId="3F9F560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12.2合同应经当事人法定代表人或委托代理人签字，加盖双方合同专用章或公章。</w:t>
      </w:r>
    </w:p>
    <w:p w14:paraId="129F3161">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12.3合同所包括附件，是合同不可分割的一部分，具有同等法法律效力。</w:t>
      </w:r>
    </w:p>
    <w:p w14:paraId="6C1D950B">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12.4合同需提供担保的，按《中华人民共和国担保法》规定执行。</w:t>
      </w:r>
    </w:p>
    <w:p w14:paraId="516C1277">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12.5本合同条件未尽事宜依照《中华人民共和国民法典》，由供需双方共同协商确定。</w:t>
      </w:r>
    </w:p>
    <w:p w14:paraId="0DB983D5">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12.6附页：合同格式</w:t>
      </w:r>
      <w:r>
        <w:rPr>
          <w:rFonts w:hint="eastAsia" w:ascii="宋体" w:hAnsi="宋体" w:eastAsia="宋体" w:cs="宋体"/>
          <w:sz w:val="24"/>
          <w:szCs w:val="24"/>
          <w:lang w:val="en-US" w:eastAsia="zh-CN"/>
        </w:rPr>
        <w:t>如下</w:t>
      </w:r>
    </w:p>
    <w:p w14:paraId="3DCABAD5">
      <w:pPr>
        <w:widowControl/>
        <w:jc w:val="center"/>
        <w:outlineLvl w:val="0"/>
        <w:rPr>
          <w:rFonts w:ascii="宋体" w:hAnsi="宋体" w:eastAsia="宋体" w:cs="宋体"/>
          <w:sz w:val="24"/>
          <w:szCs w:val="24"/>
        </w:rPr>
      </w:pPr>
    </w:p>
    <w:p w14:paraId="527D6884">
      <w:pPr>
        <w:autoSpaceDE w:val="0"/>
        <w:autoSpaceDN w:val="0"/>
        <w:adjustRightInd w:val="0"/>
        <w:spacing w:line="360" w:lineRule="auto"/>
        <w:ind w:firstLine="480" w:firstLineChars="200"/>
        <w:rPr>
          <w:rFonts w:ascii="宋体" w:hAnsi="宋体" w:eastAsia="宋体" w:cs="宋体"/>
          <w:sz w:val="24"/>
          <w:szCs w:val="24"/>
        </w:rPr>
      </w:pPr>
    </w:p>
    <w:p w14:paraId="1B52EFB4">
      <w:pPr>
        <w:autoSpaceDE w:val="0"/>
        <w:autoSpaceDN w:val="0"/>
        <w:adjustRightInd w:val="0"/>
        <w:spacing w:line="360" w:lineRule="auto"/>
        <w:ind w:firstLine="480" w:firstLineChars="200"/>
        <w:rPr>
          <w:rFonts w:ascii="宋体" w:hAnsi="宋体" w:eastAsia="宋体" w:cs="宋体"/>
          <w:sz w:val="24"/>
          <w:szCs w:val="24"/>
        </w:rPr>
      </w:pPr>
    </w:p>
    <w:p w14:paraId="632857CA">
      <w:pPr>
        <w:autoSpaceDE w:val="0"/>
        <w:autoSpaceDN w:val="0"/>
        <w:adjustRightInd w:val="0"/>
        <w:spacing w:line="360" w:lineRule="auto"/>
        <w:ind w:firstLine="480" w:firstLineChars="200"/>
        <w:rPr>
          <w:rFonts w:ascii="宋体" w:hAnsi="宋体" w:eastAsia="宋体" w:cs="宋体"/>
          <w:sz w:val="24"/>
          <w:szCs w:val="24"/>
        </w:rPr>
      </w:pPr>
    </w:p>
    <w:p w14:paraId="75DD44FE">
      <w:pPr>
        <w:autoSpaceDE w:val="0"/>
        <w:autoSpaceDN w:val="0"/>
        <w:adjustRightInd w:val="0"/>
        <w:spacing w:line="360" w:lineRule="auto"/>
        <w:ind w:firstLine="560" w:firstLineChars="200"/>
        <w:rPr>
          <w:rFonts w:ascii="宋体" w:hAnsi="宋体" w:eastAsia="宋体" w:cs="宋体"/>
          <w:szCs w:val="28"/>
        </w:rPr>
      </w:pPr>
    </w:p>
    <w:p w14:paraId="52A5DA8A">
      <w:pPr>
        <w:autoSpaceDE w:val="0"/>
        <w:autoSpaceDN w:val="0"/>
        <w:adjustRightInd w:val="0"/>
        <w:spacing w:line="360" w:lineRule="auto"/>
        <w:ind w:firstLine="560" w:firstLineChars="200"/>
        <w:rPr>
          <w:rFonts w:ascii="宋体" w:hAnsi="宋体" w:eastAsia="宋体" w:cs="宋体"/>
          <w:szCs w:val="28"/>
        </w:rPr>
      </w:pPr>
    </w:p>
    <w:p w14:paraId="4DF6B6D7">
      <w:pPr>
        <w:autoSpaceDE w:val="0"/>
        <w:autoSpaceDN w:val="0"/>
        <w:adjustRightInd w:val="0"/>
        <w:spacing w:line="360" w:lineRule="auto"/>
        <w:ind w:firstLine="560" w:firstLineChars="200"/>
        <w:rPr>
          <w:rFonts w:ascii="宋体" w:hAnsi="宋体" w:eastAsia="宋体" w:cs="宋体"/>
          <w:szCs w:val="28"/>
        </w:rPr>
      </w:pPr>
    </w:p>
    <w:p w14:paraId="5E9892DC">
      <w:pPr>
        <w:autoSpaceDE w:val="0"/>
        <w:autoSpaceDN w:val="0"/>
        <w:adjustRightInd w:val="0"/>
        <w:spacing w:line="360" w:lineRule="auto"/>
        <w:ind w:firstLine="560" w:firstLineChars="200"/>
        <w:rPr>
          <w:rFonts w:ascii="宋体" w:hAnsi="宋体" w:eastAsia="宋体" w:cs="宋体"/>
          <w:szCs w:val="28"/>
        </w:rPr>
      </w:pPr>
    </w:p>
    <w:p w14:paraId="65BEEDD7">
      <w:pPr>
        <w:spacing w:line="500" w:lineRule="exact"/>
        <w:ind w:firstLine="2891" w:firstLineChars="1200"/>
        <w:rPr>
          <w:rFonts w:ascii="宋体" w:hAnsi="宋体" w:cs="宋体"/>
          <w:sz w:val="36"/>
        </w:rPr>
      </w:pPr>
      <w:bookmarkStart w:id="297" w:name="_Toc18000993"/>
      <w:bookmarkStart w:id="298" w:name="_Toc21118208"/>
      <w:bookmarkStart w:id="299" w:name="_Toc18001051"/>
      <w:bookmarkStart w:id="300" w:name="_Toc14337143"/>
      <w:r>
        <w:rPr>
          <w:rFonts w:hint="eastAsia" w:hAnsi="宋体" w:eastAsia="宋体" w:cs="宋体"/>
          <w:b/>
          <w:sz w:val="24"/>
          <w:szCs w:val="24"/>
        </w:rPr>
        <w:br w:type="page"/>
      </w:r>
      <w:bookmarkEnd w:id="297"/>
      <w:bookmarkEnd w:id="298"/>
      <w:bookmarkEnd w:id="299"/>
      <w:bookmarkEnd w:id="300"/>
      <w:bookmarkStart w:id="301" w:name="_Toc9538"/>
      <w:bookmarkStart w:id="302" w:name="_Toc106034658"/>
      <w:bookmarkStart w:id="303" w:name="_Toc12789072"/>
      <w:bookmarkStart w:id="304" w:name="_Toc65660378"/>
      <w:bookmarkStart w:id="305" w:name="_Toc6968"/>
      <w:bookmarkStart w:id="306" w:name="_Toc18429"/>
      <w:r>
        <w:rPr>
          <w:rFonts w:hint="eastAsia" w:ascii="宋体" w:hAnsi="宋体" w:cs="宋体"/>
          <w:sz w:val="36"/>
        </w:rPr>
        <w:t>重庆市政府采购购销合同</w:t>
      </w:r>
    </w:p>
    <w:p w14:paraId="7B2DA3CA">
      <w:pPr>
        <w:pStyle w:val="2"/>
        <w:rPr>
          <w:rFonts w:ascii="宋体" w:hAnsi="宋体" w:eastAsia="宋体" w:cs="宋体"/>
          <w:b w:val="0"/>
          <w:sz w:val="24"/>
          <w:szCs w:val="24"/>
        </w:rPr>
      </w:pPr>
      <w:r>
        <w:rPr>
          <w:rFonts w:hint="eastAsia"/>
        </w:rPr>
        <w:t xml:space="preserve"> </w:t>
      </w:r>
      <w:r>
        <w:t xml:space="preserve">                        </w:t>
      </w:r>
      <w:r>
        <w:rPr>
          <w:rFonts w:hint="eastAsia" w:ascii="宋体" w:hAnsi="宋体" w:eastAsia="宋体" w:cs="宋体"/>
          <w:b w:val="0"/>
          <w:sz w:val="24"/>
          <w:szCs w:val="24"/>
        </w:rPr>
        <w:t>（竞争性谈判采购）</w:t>
      </w:r>
    </w:p>
    <w:p w14:paraId="018F49AA">
      <w:pPr>
        <w:spacing w:line="500" w:lineRule="exact"/>
        <w:jc w:val="left"/>
        <w:rPr>
          <w:rFonts w:ascii="宋体" w:hAnsi="宋体" w:eastAsia="宋体" w:cs="宋体"/>
          <w:sz w:val="24"/>
          <w:szCs w:val="24"/>
        </w:rPr>
      </w:pPr>
      <w:r>
        <w:rPr>
          <w:rFonts w:hint="eastAsia" w:ascii="宋体" w:hAnsi="宋体" w:eastAsia="宋体" w:cs="宋体"/>
          <w:sz w:val="24"/>
          <w:szCs w:val="24"/>
        </w:rPr>
        <w:t xml:space="preserve">采购项目名称：                             </w:t>
      </w:r>
    </w:p>
    <w:p w14:paraId="5B91F9E3">
      <w:pPr>
        <w:spacing w:line="500" w:lineRule="exact"/>
        <w:jc w:val="left"/>
        <w:rPr>
          <w:rFonts w:ascii="宋体" w:hAnsi="宋体" w:eastAsia="宋体" w:cs="宋体"/>
          <w:sz w:val="24"/>
          <w:szCs w:val="24"/>
        </w:rPr>
      </w:pPr>
      <w:r>
        <w:rPr>
          <w:rFonts w:hint="eastAsia" w:ascii="宋体" w:hAnsi="宋体" w:eastAsia="宋体" w:cs="宋体"/>
          <w:sz w:val="24"/>
          <w:szCs w:val="24"/>
        </w:rPr>
        <w:t xml:space="preserve">采购项目编号：                  </w:t>
      </w:r>
    </w:p>
    <w:p w14:paraId="123EF59B">
      <w:pPr>
        <w:spacing w:line="500" w:lineRule="exact"/>
        <w:rPr>
          <w:rFonts w:ascii="宋体" w:hAnsi="宋体" w:eastAsia="宋体" w:cs="宋体"/>
          <w:sz w:val="24"/>
          <w:szCs w:val="24"/>
        </w:rPr>
      </w:pPr>
      <w:r>
        <w:rPr>
          <w:rFonts w:hint="eastAsia" w:ascii="宋体" w:hAnsi="宋体" w:eastAsia="宋体" w:cs="宋体"/>
          <w:sz w:val="24"/>
          <w:szCs w:val="24"/>
        </w:rPr>
        <w:t>甲方（需方）：___________________________      计价单位：____________</w:t>
      </w:r>
    </w:p>
    <w:p w14:paraId="76D79337">
      <w:pPr>
        <w:spacing w:line="500" w:lineRule="exact"/>
        <w:rPr>
          <w:rFonts w:ascii="宋体" w:hAnsi="宋体" w:eastAsia="宋体" w:cs="宋体"/>
          <w:sz w:val="24"/>
          <w:szCs w:val="24"/>
        </w:rPr>
      </w:pPr>
      <w:r>
        <w:rPr>
          <w:rFonts w:hint="eastAsia" w:ascii="宋体" w:hAnsi="宋体" w:eastAsia="宋体" w:cs="宋体"/>
          <w:sz w:val="24"/>
          <w:szCs w:val="24"/>
        </w:rPr>
        <w:t>乙方（供方）：___________________________      计量单位：_____________</w:t>
      </w:r>
    </w:p>
    <w:p w14:paraId="1EAF9517">
      <w:pPr>
        <w:spacing w:line="500" w:lineRule="exact"/>
        <w:rPr>
          <w:rFonts w:ascii="宋体" w:hAnsi="宋体" w:eastAsia="宋体" w:cs="宋体"/>
          <w:sz w:val="24"/>
          <w:szCs w:val="24"/>
        </w:rPr>
      </w:pPr>
      <w:r>
        <w:rPr>
          <w:rFonts w:hint="eastAsia" w:ascii="宋体" w:hAnsi="宋体" w:eastAsia="宋体" w:cs="宋体"/>
          <w:sz w:val="24"/>
          <w:szCs w:val="24"/>
        </w:rPr>
        <w:t>经双方协商一致，达成以下购销合同：</w:t>
      </w:r>
    </w:p>
    <w:tbl>
      <w:tblPr>
        <w:tblStyle w:val="61"/>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642"/>
        <w:gridCol w:w="992"/>
        <w:gridCol w:w="964"/>
        <w:gridCol w:w="29"/>
        <w:gridCol w:w="1134"/>
        <w:gridCol w:w="1559"/>
        <w:gridCol w:w="1963"/>
        <w:gridCol w:w="15"/>
      </w:tblGrid>
      <w:tr w14:paraId="13A44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452" w:hRule="atLeast"/>
          <w:jc w:val="center"/>
        </w:trPr>
        <w:tc>
          <w:tcPr>
            <w:tcW w:w="1330" w:type="dxa"/>
            <w:vAlign w:val="center"/>
          </w:tcPr>
          <w:p w14:paraId="481A84C9">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lang w:val="en-US" w:eastAsia="zh-CN"/>
              </w:rPr>
              <w:t>服务</w:t>
            </w:r>
            <w:r>
              <w:rPr>
                <w:rFonts w:hint="eastAsia" w:ascii="宋体" w:hAnsi="宋体" w:eastAsia="宋体" w:cs="宋体"/>
                <w:sz w:val="24"/>
                <w:szCs w:val="24"/>
              </w:rPr>
              <w:t>名称</w:t>
            </w:r>
          </w:p>
        </w:tc>
        <w:tc>
          <w:tcPr>
            <w:tcW w:w="1642" w:type="dxa"/>
            <w:vAlign w:val="center"/>
          </w:tcPr>
          <w:p w14:paraId="7858CB15">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服务内容</w:t>
            </w:r>
          </w:p>
        </w:tc>
        <w:tc>
          <w:tcPr>
            <w:tcW w:w="992" w:type="dxa"/>
            <w:vAlign w:val="center"/>
          </w:tcPr>
          <w:p w14:paraId="28F134CD">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数量</w:t>
            </w:r>
          </w:p>
        </w:tc>
        <w:tc>
          <w:tcPr>
            <w:tcW w:w="993" w:type="dxa"/>
            <w:gridSpan w:val="2"/>
            <w:vAlign w:val="center"/>
          </w:tcPr>
          <w:p w14:paraId="3E20315C">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单价</w:t>
            </w:r>
          </w:p>
        </w:tc>
        <w:tc>
          <w:tcPr>
            <w:tcW w:w="1134" w:type="dxa"/>
            <w:vAlign w:val="center"/>
          </w:tcPr>
          <w:p w14:paraId="6613DB4E">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总价</w:t>
            </w:r>
          </w:p>
        </w:tc>
        <w:tc>
          <w:tcPr>
            <w:tcW w:w="1559" w:type="dxa"/>
            <w:vAlign w:val="center"/>
          </w:tcPr>
          <w:p w14:paraId="0E9C3E74">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服务时间</w:t>
            </w:r>
          </w:p>
        </w:tc>
        <w:tc>
          <w:tcPr>
            <w:tcW w:w="1963" w:type="dxa"/>
            <w:vAlign w:val="center"/>
          </w:tcPr>
          <w:p w14:paraId="765E2D52">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服务地点</w:t>
            </w:r>
          </w:p>
        </w:tc>
      </w:tr>
      <w:tr w14:paraId="24352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jc w:val="center"/>
        </w:trPr>
        <w:tc>
          <w:tcPr>
            <w:tcW w:w="1330" w:type="dxa"/>
            <w:vAlign w:val="center"/>
          </w:tcPr>
          <w:p w14:paraId="65B5E68D">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1642" w:type="dxa"/>
            <w:vAlign w:val="center"/>
          </w:tcPr>
          <w:p w14:paraId="3503B6AB">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992" w:type="dxa"/>
            <w:vAlign w:val="center"/>
          </w:tcPr>
          <w:p w14:paraId="28AD88FE">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993" w:type="dxa"/>
            <w:gridSpan w:val="2"/>
            <w:vAlign w:val="center"/>
          </w:tcPr>
          <w:p w14:paraId="7A2A900C">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1134" w:type="dxa"/>
            <w:vAlign w:val="center"/>
          </w:tcPr>
          <w:p w14:paraId="6A49E5CD">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1559" w:type="dxa"/>
            <w:vAlign w:val="center"/>
          </w:tcPr>
          <w:p w14:paraId="409700E4">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c>
          <w:tcPr>
            <w:tcW w:w="1963" w:type="dxa"/>
            <w:vAlign w:val="center"/>
          </w:tcPr>
          <w:p w14:paraId="760A3640">
            <w:pPr>
              <w:keepNext w:val="0"/>
              <w:keepLines w:val="0"/>
              <w:suppressLineNumbers w:val="0"/>
              <w:spacing w:before="0" w:beforeAutospacing="0" w:after="0" w:afterAutospacing="0" w:line="500" w:lineRule="exact"/>
              <w:ind w:left="0" w:right="0"/>
              <w:jc w:val="center"/>
              <w:rPr>
                <w:rFonts w:hint="default" w:ascii="宋体" w:hAnsi="宋体" w:eastAsia="宋体" w:cs="宋体"/>
                <w:sz w:val="24"/>
                <w:szCs w:val="24"/>
              </w:rPr>
            </w:pPr>
          </w:p>
        </w:tc>
      </w:tr>
      <w:tr w14:paraId="6DD10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jc w:val="center"/>
        </w:trPr>
        <w:tc>
          <w:tcPr>
            <w:tcW w:w="1330" w:type="dxa"/>
            <w:vAlign w:val="center"/>
          </w:tcPr>
          <w:p w14:paraId="70973042">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642" w:type="dxa"/>
            <w:vAlign w:val="center"/>
          </w:tcPr>
          <w:p w14:paraId="3ED10062">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2" w:type="dxa"/>
            <w:vAlign w:val="center"/>
          </w:tcPr>
          <w:p w14:paraId="756E326F">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3" w:type="dxa"/>
            <w:gridSpan w:val="2"/>
            <w:vAlign w:val="center"/>
          </w:tcPr>
          <w:p w14:paraId="21AB17A0">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134" w:type="dxa"/>
            <w:vAlign w:val="center"/>
          </w:tcPr>
          <w:p w14:paraId="65A7AF36">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559" w:type="dxa"/>
            <w:vAlign w:val="center"/>
          </w:tcPr>
          <w:p w14:paraId="27DB75ED">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963" w:type="dxa"/>
            <w:vAlign w:val="center"/>
          </w:tcPr>
          <w:p w14:paraId="5C470B18">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r>
      <w:tr w14:paraId="46821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jc w:val="center"/>
        </w:trPr>
        <w:tc>
          <w:tcPr>
            <w:tcW w:w="1330" w:type="dxa"/>
            <w:vAlign w:val="center"/>
          </w:tcPr>
          <w:p w14:paraId="6D4B09DD">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642" w:type="dxa"/>
            <w:vAlign w:val="center"/>
          </w:tcPr>
          <w:p w14:paraId="1D698A05">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2" w:type="dxa"/>
            <w:vAlign w:val="center"/>
          </w:tcPr>
          <w:p w14:paraId="506B536E">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3" w:type="dxa"/>
            <w:gridSpan w:val="2"/>
            <w:vAlign w:val="center"/>
          </w:tcPr>
          <w:p w14:paraId="63A933F5">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134" w:type="dxa"/>
            <w:vAlign w:val="center"/>
          </w:tcPr>
          <w:p w14:paraId="401EE59F">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559" w:type="dxa"/>
            <w:vAlign w:val="center"/>
          </w:tcPr>
          <w:p w14:paraId="62B109FB">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963" w:type="dxa"/>
            <w:vAlign w:val="center"/>
          </w:tcPr>
          <w:p w14:paraId="676109AB">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r>
      <w:tr w14:paraId="65020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jc w:val="center"/>
        </w:trPr>
        <w:tc>
          <w:tcPr>
            <w:tcW w:w="1330" w:type="dxa"/>
            <w:vAlign w:val="center"/>
          </w:tcPr>
          <w:p w14:paraId="682597C4">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642" w:type="dxa"/>
            <w:vAlign w:val="center"/>
          </w:tcPr>
          <w:p w14:paraId="37E6243E">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2" w:type="dxa"/>
            <w:vAlign w:val="center"/>
          </w:tcPr>
          <w:p w14:paraId="026FCAB5">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993" w:type="dxa"/>
            <w:gridSpan w:val="2"/>
            <w:vAlign w:val="center"/>
          </w:tcPr>
          <w:p w14:paraId="23527ED1">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134" w:type="dxa"/>
            <w:vAlign w:val="center"/>
          </w:tcPr>
          <w:p w14:paraId="24CDA8E8">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559" w:type="dxa"/>
            <w:vAlign w:val="center"/>
          </w:tcPr>
          <w:p w14:paraId="58AD568F">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c>
          <w:tcPr>
            <w:tcW w:w="1963" w:type="dxa"/>
            <w:vAlign w:val="center"/>
          </w:tcPr>
          <w:p w14:paraId="09DA823A">
            <w:pPr>
              <w:keepNext w:val="0"/>
              <w:keepLines w:val="0"/>
              <w:suppressLineNumbers w:val="0"/>
              <w:spacing w:before="0" w:beforeAutospacing="0" w:after="0" w:afterAutospacing="0" w:line="500" w:lineRule="exact"/>
              <w:ind w:left="0" w:right="0"/>
              <w:jc w:val="center"/>
              <w:rPr>
                <w:rFonts w:hint="default" w:ascii="宋体" w:hAnsi="宋体" w:cs="宋体"/>
                <w:sz w:val="24"/>
                <w:szCs w:val="20"/>
              </w:rPr>
            </w:pPr>
          </w:p>
        </w:tc>
      </w:tr>
      <w:tr w14:paraId="1B1DD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jc w:val="center"/>
        </w:trPr>
        <w:tc>
          <w:tcPr>
            <w:tcW w:w="9613" w:type="dxa"/>
            <w:gridSpan w:val="8"/>
            <w:vAlign w:val="center"/>
          </w:tcPr>
          <w:p w14:paraId="0478A316">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合计人民币（小写）：</w:t>
            </w:r>
          </w:p>
        </w:tc>
      </w:tr>
      <w:tr w14:paraId="0A93B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jc w:val="center"/>
        </w:trPr>
        <w:tc>
          <w:tcPr>
            <w:tcW w:w="9613" w:type="dxa"/>
            <w:gridSpan w:val="8"/>
            <w:vAlign w:val="center"/>
          </w:tcPr>
          <w:p w14:paraId="60482B46">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合计人民币（大写）：</w:t>
            </w:r>
          </w:p>
        </w:tc>
      </w:tr>
      <w:tr w14:paraId="234AC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2052" w:hRule="atLeast"/>
          <w:jc w:val="center"/>
        </w:trPr>
        <w:tc>
          <w:tcPr>
            <w:tcW w:w="9613" w:type="dxa"/>
            <w:gridSpan w:val="8"/>
          </w:tcPr>
          <w:p w14:paraId="5EEE5063">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一、质量要求和技术标准。供方提供的商品必须是全新的，完全符合国家有关技术标准，供方的质量保证及售后服务承诺如下：</w:t>
            </w:r>
          </w:p>
          <w:p w14:paraId="48C76041">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1、质保期限：</w:t>
            </w:r>
          </w:p>
          <w:p w14:paraId="4AE72A19">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2、保修范围：</w:t>
            </w:r>
          </w:p>
          <w:p w14:paraId="623F15E1">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3、服务措施：</w:t>
            </w:r>
          </w:p>
          <w:p w14:paraId="02710A0C">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4、质保期后服务：</w:t>
            </w:r>
          </w:p>
        </w:tc>
      </w:tr>
      <w:tr w14:paraId="5233F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913" w:hRule="atLeast"/>
          <w:jc w:val="center"/>
        </w:trPr>
        <w:tc>
          <w:tcPr>
            <w:tcW w:w="9613" w:type="dxa"/>
            <w:gridSpan w:val="8"/>
          </w:tcPr>
          <w:p w14:paraId="6488854B">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二、随机备品、附件、工具数量及供应方法：</w:t>
            </w:r>
          </w:p>
        </w:tc>
      </w:tr>
      <w:tr w14:paraId="4A0FF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cantSplit/>
          <w:trHeight w:val="751" w:hRule="atLeast"/>
          <w:jc w:val="center"/>
        </w:trPr>
        <w:tc>
          <w:tcPr>
            <w:tcW w:w="9613" w:type="dxa"/>
            <w:gridSpan w:val="8"/>
          </w:tcPr>
          <w:p w14:paraId="3022FA71">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三、交提货方式：</w:t>
            </w:r>
          </w:p>
        </w:tc>
      </w:tr>
      <w:tr w14:paraId="027F1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2" w:hRule="atLeast"/>
          <w:jc w:val="center"/>
        </w:trPr>
        <w:tc>
          <w:tcPr>
            <w:tcW w:w="9628" w:type="dxa"/>
            <w:gridSpan w:val="9"/>
          </w:tcPr>
          <w:p w14:paraId="4432C3AD">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四、验收标准、方法：</w:t>
            </w:r>
          </w:p>
          <w:p w14:paraId="0EA0FB0B">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如有异议，请于      日内提出。</w:t>
            </w:r>
          </w:p>
        </w:tc>
      </w:tr>
      <w:tr w14:paraId="39F72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9628" w:type="dxa"/>
            <w:gridSpan w:val="9"/>
          </w:tcPr>
          <w:p w14:paraId="766DD4AC">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付款方式：</w:t>
            </w:r>
          </w:p>
        </w:tc>
      </w:tr>
      <w:tr w14:paraId="0E365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9628" w:type="dxa"/>
            <w:gridSpan w:val="9"/>
          </w:tcPr>
          <w:p w14:paraId="5BD1CFCB">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违约责任：</w:t>
            </w:r>
          </w:p>
          <w:p w14:paraId="6DED1804">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按《民法典》、《政府采购法》执行（或按双方约定）。</w:t>
            </w:r>
          </w:p>
        </w:tc>
      </w:tr>
      <w:tr w14:paraId="6D4DE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jc w:val="center"/>
        </w:trPr>
        <w:tc>
          <w:tcPr>
            <w:tcW w:w="9628" w:type="dxa"/>
            <w:gridSpan w:val="9"/>
          </w:tcPr>
          <w:p w14:paraId="3B0AA198">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七、其他约定事项：</w:t>
            </w:r>
          </w:p>
          <w:p w14:paraId="4A835D7F">
            <w:pPr>
              <w:keepNext w:val="0"/>
              <w:keepLines w:val="0"/>
              <w:numPr>
                <w:ilvl w:val="0"/>
                <w:numId w:val="14"/>
              </w:numPr>
              <w:suppressLineNumbers w:val="0"/>
              <w:tabs>
                <w:tab w:val="left" w:pos="360"/>
              </w:tabs>
              <w:spacing w:before="0" w:beforeAutospacing="0" w:after="0" w:afterAutospacing="0" w:line="500" w:lineRule="exact"/>
              <w:ind w:left="360" w:right="0"/>
              <w:rPr>
                <w:rFonts w:hint="default" w:ascii="宋体" w:hAnsi="宋体" w:eastAsia="宋体" w:cs="宋体"/>
                <w:sz w:val="24"/>
                <w:szCs w:val="24"/>
              </w:rPr>
            </w:pPr>
            <w:r>
              <w:rPr>
                <w:rFonts w:hint="eastAsia" w:ascii="宋体" w:hAnsi="宋体" w:eastAsia="宋体" w:cs="宋体"/>
                <w:sz w:val="24"/>
                <w:szCs w:val="24"/>
              </w:rPr>
              <w:t>文件及其补遗书、响应文件和承诺是本合同不可分割的部分。</w:t>
            </w:r>
          </w:p>
          <w:p w14:paraId="7E141DCD">
            <w:pPr>
              <w:keepNext w:val="0"/>
              <w:keepLines w:val="0"/>
              <w:numPr>
                <w:ilvl w:val="0"/>
                <w:numId w:val="14"/>
              </w:numPr>
              <w:suppressLineNumbers w:val="0"/>
              <w:tabs>
                <w:tab w:val="left" w:pos="360"/>
              </w:tabs>
              <w:spacing w:before="0" w:beforeAutospacing="0" w:after="0" w:afterAutospacing="0" w:line="500" w:lineRule="exact"/>
              <w:ind w:left="360" w:right="0"/>
              <w:rPr>
                <w:rFonts w:hint="default" w:ascii="宋体" w:hAnsi="宋体" w:eastAsia="宋体" w:cs="宋体"/>
                <w:sz w:val="24"/>
                <w:szCs w:val="24"/>
              </w:rPr>
            </w:pPr>
            <w:r>
              <w:rPr>
                <w:rFonts w:hint="eastAsia" w:ascii="宋体" w:hAnsi="宋体" w:eastAsia="宋体" w:cs="宋体"/>
                <w:sz w:val="24"/>
                <w:szCs w:val="24"/>
              </w:rPr>
              <w:t>本合同如发生争议由双方协商解决，协商不成向需方所在人民法院提请诉讼。</w:t>
            </w:r>
          </w:p>
          <w:p w14:paraId="43BD3CBB">
            <w:pPr>
              <w:keepNext w:val="0"/>
              <w:keepLines w:val="0"/>
              <w:numPr>
                <w:ilvl w:val="0"/>
                <w:numId w:val="14"/>
              </w:numPr>
              <w:suppressLineNumbers w:val="0"/>
              <w:tabs>
                <w:tab w:val="left" w:pos="360"/>
              </w:tabs>
              <w:spacing w:before="0" w:beforeAutospacing="0" w:after="0" w:afterAutospacing="0" w:line="500" w:lineRule="exact"/>
              <w:ind w:left="360" w:right="0"/>
              <w:rPr>
                <w:rFonts w:hint="default" w:ascii="宋体" w:hAnsi="宋体" w:eastAsia="宋体" w:cs="宋体"/>
                <w:sz w:val="24"/>
                <w:szCs w:val="24"/>
              </w:rPr>
            </w:pPr>
            <w:r>
              <w:rPr>
                <w:rFonts w:hint="eastAsia" w:ascii="宋体" w:hAnsi="宋体" w:eastAsia="宋体" w:cs="宋体"/>
                <w:sz w:val="24"/>
                <w:szCs w:val="24"/>
              </w:rPr>
              <w:t>本合同一式__份， 需方__份，供方__份，具同等法律效力。</w:t>
            </w:r>
          </w:p>
          <w:p w14:paraId="4BFAEB4A">
            <w:pPr>
              <w:keepNext w:val="0"/>
              <w:keepLines w:val="0"/>
              <w:numPr>
                <w:ilvl w:val="0"/>
                <w:numId w:val="14"/>
              </w:numPr>
              <w:suppressLineNumbers w:val="0"/>
              <w:tabs>
                <w:tab w:val="left" w:pos="360"/>
              </w:tabs>
              <w:spacing w:before="0" w:beforeAutospacing="0" w:after="0" w:afterAutospacing="0" w:line="500" w:lineRule="exact"/>
              <w:ind w:left="360" w:right="0"/>
              <w:rPr>
                <w:rFonts w:hint="default" w:ascii="宋体" w:hAnsi="宋体" w:eastAsia="宋体" w:cs="宋体"/>
                <w:sz w:val="24"/>
                <w:szCs w:val="24"/>
              </w:rPr>
            </w:pPr>
            <w:r>
              <w:rPr>
                <w:rFonts w:hint="eastAsia" w:ascii="宋体" w:hAnsi="宋体" w:eastAsia="宋体" w:cs="宋体"/>
                <w:sz w:val="24"/>
                <w:szCs w:val="24"/>
              </w:rPr>
              <w:t>其他：</w:t>
            </w:r>
          </w:p>
        </w:tc>
      </w:tr>
      <w:tr w14:paraId="588E9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jc w:val="center"/>
        </w:trPr>
        <w:tc>
          <w:tcPr>
            <w:tcW w:w="4928" w:type="dxa"/>
            <w:gridSpan w:val="4"/>
          </w:tcPr>
          <w:p w14:paraId="3F6F5082">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需方：</w:t>
            </w:r>
          </w:p>
          <w:p w14:paraId="6C35C7DA">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地址：</w:t>
            </w:r>
          </w:p>
          <w:p w14:paraId="056965F6">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联系电话：</w:t>
            </w:r>
          </w:p>
          <w:p w14:paraId="3428B6DA">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授权代表：</w:t>
            </w:r>
          </w:p>
        </w:tc>
        <w:tc>
          <w:tcPr>
            <w:tcW w:w="4700" w:type="dxa"/>
            <w:gridSpan w:val="5"/>
          </w:tcPr>
          <w:p w14:paraId="6DDC9230">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供方：</w:t>
            </w:r>
          </w:p>
          <w:p w14:paraId="593ABADA">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地址：</w:t>
            </w:r>
          </w:p>
          <w:p w14:paraId="20BADAEC">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电话：</w:t>
            </w:r>
          </w:p>
          <w:p w14:paraId="5DF97B36">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传真：</w:t>
            </w:r>
          </w:p>
          <w:p w14:paraId="71A4EBED">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开户银行：</w:t>
            </w:r>
          </w:p>
          <w:p w14:paraId="7747EDE4">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账号：</w:t>
            </w:r>
          </w:p>
          <w:p w14:paraId="159F22F4">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授权代表：</w:t>
            </w:r>
          </w:p>
          <w:p w14:paraId="66FF1307">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（本栏请用计算机打印以便于准确付款）</w:t>
            </w:r>
          </w:p>
        </w:tc>
      </w:tr>
      <w:tr w14:paraId="74BBD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jc w:val="center"/>
        </w:trPr>
        <w:tc>
          <w:tcPr>
            <w:tcW w:w="9628" w:type="dxa"/>
            <w:gridSpan w:val="9"/>
          </w:tcPr>
          <w:p w14:paraId="2843A6E8">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r>
              <w:rPr>
                <w:rFonts w:hint="eastAsia" w:ascii="宋体" w:hAnsi="宋体" w:eastAsia="宋体" w:cs="宋体"/>
                <w:sz w:val="24"/>
                <w:szCs w:val="24"/>
              </w:rPr>
              <w:t>备注：</w:t>
            </w:r>
          </w:p>
          <w:p w14:paraId="27D054B5">
            <w:pPr>
              <w:keepNext w:val="0"/>
              <w:keepLines w:val="0"/>
              <w:suppressLineNumbers w:val="0"/>
              <w:spacing w:before="0" w:beforeAutospacing="0" w:after="0" w:afterAutospacing="0" w:line="500" w:lineRule="exact"/>
              <w:ind w:left="0" w:right="0"/>
              <w:rPr>
                <w:rFonts w:hint="default" w:ascii="宋体" w:hAnsi="宋体" w:eastAsia="宋体" w:cs="宋体"/>
                <w:sz w:val="24"/>
                <w:szCs w:val="24"/>
              </w:rPr>
            </w:pPr>
          </w:p>
        </w:tc>
      </w:tr>
    </w:tbl>
    <w:p w14:paraId="181AA850">
      <w:pPr>
        <w:tabs>
          <w:tab w:val="left" w:pos="9000"/>
        </w:tabs>
        <w:spacing w:line="276" w:lineRule="auto"/>
        <w:rPr>
          <w:rFonts w:ascii="宋体" w:hAnsi="宋体" w:eastAsia="宋体" w:cs="宋体"/>
          <w:sz w:val="24"/>
          <w:szCs w:val="24"/>
        </w:rPr>
        <w:sectPr>
          <w:footerReference r:id="rId6" w:type="default"/>
          <w:footerReference r:id="rId7" w:type="even"/>
          <w:pgSz w:w="11907" w:h="16840"/>
          <w:pgMar w:top="1134" w:right="1134" w:bottom="1134" w:left="1134" w:header="850" w:footer="992" w:gutter="0"/>
          <w:cols w:space="720" w:num="1"/>
          <w:docGrid w:linePitch="312" w:charSpace="0"/>
        </w:sectPr>
      </w:pPr>
      <w:bookmarkStart w:id="307" w:name="_Toc18531"/>
      <w:bookmarkStart w:id="308" w:name="_Toc2924"/>
      <w:r>
        <w:rPr>
          <w:rFonts w:hint="eastAsia" w:ascii="宋体" w:hAnsi="宋体" w:eastAsia="宋体" w:cs="宋体"/>
          <w:sz w:val="24"/>
          <w:szCs w:val="24"/>
        </w:rPr>
        <w:t xml:space="preserve">签约时间：     年   月   日   </w:t>
      </w:r>
      <w:r>
        <w:rPr>
          <w:rFonts w:ascii="宋体" w:hAnsi="宋体" w:eastAsia="宋体" w:cs="宋体"/>
          <w:sz w:val="24"/>
          <w:szCs w:val="24"/>
        </w:rPr>
        <w:t xml:space="preserve">     </w:t>
      </w:r>
      <w:r>
        <w:rPr>
          <w:rFonts w:hint="eastAsia" w:ascii="宋体" w:hAnsi="宋体" w:eastAsia="宋体" w:cs="宋体"/>
          <w:sz w:val="24"/>
          <w:szCs w:val="24"/>
        </w:rPr>
        <w:t xml:space="preserve">   签约地点： </w:t>
      </w:r>
      <w:bookmarkEnd w:id="307"/>
      <w:bookmarkEnd w:id="308"/>
    </w:p>
    <w:p w14:paraId="41A3017D">
      <w:pPr>
        <w:pStyle w:val="3"/>
        <w:keepLines/>
        <w:snapToGrid/>
        <w:spacing w:line="360" w:lineRule="auto"/>
        <w:jc w:val="center"/>
        <w:rPr>
          <w:rFonts w:hAnsi="宋体" w:eastAsia="宋体" w:cs="宋体"/>
          <w:b/>
          <w:sz w:val="36"/>
          <w:szCs w:val="30"/>
        </w:rPr>
      </w:pPr>
      <w:bookmarkStart w:id="309" w:name="_Toc24022"/>
      <w:bookmarkStart w:id="310" w:name="_Toc132634069"/>
      <w:r>
        <w:rPr>
          <w:rFonts w:hint="eastAsia" w:hAnsi="宋体" w:eastAsia="宋体" w:cs="宋体"/>
          <w:b/>
          <w:bCs/>
          <w:sz w:val="36"/>
          <w:szCs w:val="30"/>
        </w:rPr>
        <w:t>第七篇  响应文件格式要求</w:t>
      </w:r>
      <w:bookmarkEnd w:id="301"/>
      <w:bookmarkEnd w:id="302"/>
      <w:bookmarkEnd w:id="303"/>
      <w:bookmarkEnd w:id="304"/>
      <w:bookmarkEnd w:id="305"/>
      <w:bookmarkEnd w:id="306"/>
      <w:bookmarkEnd w:id="309"/>
      <w:bookmarkEnd w:id="310"/>
    </w:p>
    <w:p w14:paraId="53869DBE">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一、经济部分</w:t>
      </w:r>
    </w:p>
    <w:p w14:paraId="23723D8D">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（一）竞争性报价函</w:t>
      </w:r>
    </w:p>
    <w:p w14:paraId="3192408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（二）明细报价表</w:t>
      </w:r>
    </w:p>
    <w:p w14:paraId="38C4909E">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二、技术部分</w:t>
      </w:r>
    </w:p>
    <w:p w14:paraId="19F9AFBE">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（一）技术响应情况</w:t>
      </w:r>
    </w:p>
    <w:p w14:paraId="09F95624">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w:t>
      </w:r>
      <w:r>
        <w:rPr>
          <w:rFonts w:hint="eastAsia" w:ascii="宋体" w:hAnsi="宋体" w:eastAsia="宋体" w:cs="宋体"/>
          <w:sz w:val="24"/>
          <w:szCs w:val="24"/>
          <w:lang w:val="en-US" w:eastAsia="zh-CN"/>
        </w:rPr>
        <w:t>技术</w:t>
      </w:r>
      <w:r>
        <w:rPr>
          <w:rFonts w:hint="eastAsia" w:ascii="宋体" w:hAnsi="宋体" w:eastAsia="宋体" w:cs="宋体"/>
          <w:sz w:val="24"/>
          <w:szCs w:val="24"/>
        </w:rPr>
        <w:t>资料（格式自定）</w:t>
      </w:r>
    </w:p>
    <w:p w14:paraId="36855178">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三、服务部分</w:t>
      </w:r>
    </w:p>
    <w:p w14:paraId="378C02CE">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（一）服务响应偏离表</w:t>
      </w:r>
    </w:p>
    <w:p w14:paraId="1F908B26">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（二）服务</w:t>
      </w:r>
      <w:r>
        <w:rPr>
          <w:rFonts w:hint="eastAsia" w:ascii="宋体" w:hAnsi="宋体" w:eastAsia="宋体" w:cs="宋体"/>
          <w:sz w:val="24"/>
          <w:szCs w:val="24"/>
          <w:lang w:val="en-US" w:eastAsia="zh-CN"/>
        </w:rPr>
        <w:t>要求资料</w:t>
      </w:r>
      <w:r>
        <w:rPr>
          <w:rFonts w:hint="eastAsia" w:ascii="宋体" w:hAnsi="宋体" w:eastAsia="宋体" w:cs="宋体"/>
          <w:sz w:val="24"/>
          <w:szCs w:val="24"/>
        </w:rPr>
        <w:t>（格式自定）</w:t>
      </w:r>
    </w:p>
    <w:p w14:paraId="26E8318F">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四、资格条件及其他</w:t>
      </w:r>
    </w:p>
    <w:p w14:paraId="675897F5">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（一）法人营业执照（副本）或事业单位法人证书（副本）或个体工商户营业执照或有效的自然人身份证明或社会团体法人登记证书</w:t>
      </w:r>
    </w:p>
    <w:p w14:paraId="68DB38B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（二）法定代表人身份证明书（格式）</w:t>
      </w:r>
    </w:p>
    <w:p w14:paraId="474E90CE">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（三）法定代表人授权委托书（格式）</w:t>
      </w:r>
    </w:p>
    <w:p w14:paraId="4FF6077B">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（四）基本资格条件承诺函（格式）</w:t>
      </w:r>
    </w:p>
    <w:p w14:paraId="3B70523D">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（五）特定资格条件证书或证明文件</w:t>
      </w:r>
    </w:p>
    <w:p w14:paraId="767C7FF4">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五、其他资料</w:t>
      </w:r>
    </w:p>
    <w:p w14:paraId="6DAED3A0">
      <w:pPr>
        <w:spacing w:line="400" w:lineRule="exact"/>
        <w:ind w:firstLine="480" w:firstLineChars="200"/>
        <w:rPr>
          <w:rFonts w:ascii="宋体" w:hAnsi="宋体" w:eastAsia="宋体" w:cs="宋体"/>
          <w:b/>
          <w:sz w:val="24"/>
          <w:szCs w:val="24"/>
        </w:rPr>
      </w:pPr>
      <w:r>
        <w:rPr>
          <w:rFonts w:hint="eastAsia" w:ascii="宋体" w:hAnsi="宋体" w:eastAsia="宋体" w:cs="宋体"/>
          <w:sz w:val="24"/>
          <w:szCs w:val="24"/>
        </w:rPr>
        <w:t>（一）中小企业声明函、监狱企业证明文件、残疾人福利性单位声明函</w:t>
      </w:r>
    </w:p>
    <w:p w14:paraId="21B6D73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（二）其他与项目有关的资料（自附）</w:t>
      </w:r>
    </w:p>
    <w:p w14:paraId="4D705E9D">
      <w:pPr>
        <w:pStyle w:val="22"/>
        <w:ind w:left="1600" w:hanging="480"/>
        <w:rPr>
          <w:rFonts w:ascii="宋体" w:hAnsi="宋体" w:eastAsia="宋体" w:cs="宋体"/>
        </w:rPr>
      </w:pPr>
    </w:p>
    <w:p w14:paraId="45C8E6D1">
      <w:pPr>
        <w:pStyle w:val="22"/>
        <w:ind w:left="1600" w:hanging="480"/>
        <w:rPr>
          <w:rFonts w:ascii="宋体" w:hAnsi="宋体" w:eastAsia="宋体" w:cs="宋体"/>
        </w:rPr>
      </w:pPr>
    </w:p>
    <w:p w14:paraId="4C48BAF8">
      <w:pPr>
        <w:pStyle w:val="22"/>
        <w:ind w:left="1600" w:hanging="480"/>
        <w:rPr>
          <w:rFonts w:ascii="宋体" w:hAnsi="宋体" w:eastAsia="宋体" w:cs="宋体"/>
        </w:rPr>
      </w:pPr>
    </w:p>
    <w:p w14:paraId="13EEEBD9">
      <w:pPr>
        <w:pStyle w:val="4"/>
        <w:adjustRightInd w:val="0"/>
        <w:snapToGrid w:val="0"/>
        <w:spacing w:before="0" w:after="0" w:line="400" w:lineRule="exact"/>
        <w:ind w:firstLine="643" w:firstLineChars="200"/>
        <w:rPr>
          <w:rFonts w:ascii="宋体" w:hAnsi="宋体" w:eastAsia="宋体" w:cs="宋体"/>
          <w:sz w:val="24"/>
        </w:rPr>
      </w:pPr>
      <w:r>
        <w:rPr>
          <w:rFonts w:hint="eastAsia" w:ascii="宋体" w:hAnsi="宋体" w:eastAsia="宋体" w:cs="宋体"/>
        </w:rPr>
        <w:br w:type="page"/>
      </w:r>
      <w:bookmarkStart w:id="311" w:name="_Toc132634070"/>
      <w:bookmarkStart w:id="312" w:name="_Toc29644"/>
      <w:bookmarkStart w:id="313" w:name="_Toc26343"/>
      <w:bookmarkStart w:id="314" w:name="_Toc313008356"/>
      <w:bookmarkStart w:id="315" w:name="_Toc65660379"/>
      <w:bookmarkStart w:id="316" w:name="_Toc19844"/>
      <w:bookmarkStart w:id="317" w:name="_Toc106034659"/>
      <w:bookmarkStart w:id="318" w:name="_Toc342913419"/>
      <w:bookmarkStart w:id="319" w:name="_Toc313888360"/>
      <w:bookmarkStart w:id="320" w:name="_Toc14244"/>
      <w:bookmarkStart w:id="321" w:name="_Toc12789073"/>
      <w:bookmarkStart w:id="322" w:name="_Toc283382454"/>
      <w:r>
        <w:rPr>
          <w:rFonts w:hint="eastAsia" w:ascii="宋体" w:hAnsi="宋体" w:eastAsia="宋体" w:cs="宋体"/>
          <w:sz w:val="24"/>
        </w:rPr>
        <w:t>一、经济部分</w:t>
      </w:r>
      <w:bookmarkEnd w:id="311"/>
      <w:bookmarkEnd w:id="312"/>
      <w:bookmarkEnd w:id="313"/>
      <w:bookmarkEnd w:id="314"/>
      <w:bookmarkEnd w:id="315"/>
      <w:bookmarkEnd w:id="316"/>
      <w:bookmarkEnd w:id="317"/>
      <w:bookmarkEnd w:id="318"/>
      <w:bookmarkEnd w:id="319"/>
      <w:bookmarkEnd w:id="320"/>
    </w:p>
    <w:bookmarkEnd w:id="321"/>
    <w:bookmarkEnd w:id="322"/>
    <w:p w14:paraId="47CEA622">
      <w:pPr>
        <w:spacing w:line="400" w:lineRule="exact"/>
        <w:ind w:firstLine="480" w:firstLineChars="200"/>
        <w:outlineLvl w:val="2"/>
        <w:rPr>
          <w:rFonts w:ascii="宋体" w:hAnsi="宋体" w:eastAsia="宋体" w:cs="宋体"/>
          <w:sz w:val="24"/>
          <w:szCs w:val="24"/>
        </w:rPr>
      </w:pPr>
      <w:bookmarkStart w:id="323" w:name="_Toc11780"/>
      <w:bookmarkStart w:id="324" w:name="_Toc132634071"/>
      <w:bookmarkStart w:id="325" w:name="_Toc6598"/>
      <w:bookmarkStart w:id="326" w:name="_Toc21905"/>
      <w:r>
        <w:rPr>
          <w:rFonts w:hint="eastAsia" w:ascii="宋体" w:hAnsi="宋体" w:eastAsia="宋体" w:cs="宋体"/>
          <w:sz w:val="24"/>
          <w:szCs w:val="24"/>
        </w:rPr>
        <w:t>（一）竞争性报价函</w:t>
      </w:r>
      <w:bookmarkEnd w:id="323"/>
      <w:bookmarkEnd w:id="324"/>
      <w:bookmarkEnd w:id="325"/>
      <w:bookmarkEnd w:id="326"/>
    </w:p>
    <w:p w14:paraId="4473F08B">
      <w:pPr>
        <w:tabs>
          <w:tab w:val="left" w:pos="6300"/>
        </w:tabs>
        <w:snapToGrid w:val="0"/>
        <w:spacing w:line="312" w:lineRule="auto"/>
        <w:rPr>
          <w:rFonts w:ascii="宋体" w:hAnsi="宋体" w:eastAsia="宋体" w:cs="宋体"/>
          <w:sz w:val="24"/>
          <w:szCs w:val="24"/>
        </w:rPr>
      </w:pPr>
    </w:p>
    <w:p w14:paraId="0B10E1C4">
      <w:pPr>
        <w:tabs>
          <w:tab w:val="left" w:pos="6300"/>
        </w:tabs>
        <w:snapToGrid w:val="0"/>
        <w:spacing w:line="312" w:lineRule="auto"/>
        <w:ind w:firstLine="4320" w:firstLineChars="1800"/>
        <w:rPr>
          <w:rFonts w:ascii="宋体" w:hAnsi="宋体" w:eastAsia="宋体" w:cs="宋体"/>
          <w:sz w:val="24"/>
          <w:szCs w:val="24"/>
        </w:rPr>
      </w:pPr>
      <w:r>
        <w:rPr>
          <w:rFonts w:hint="eastAsia" w:ascii="宋体" w:hAnsi="宋体" w:eastAsia="宋体" w:cs="宋体"/>
          <w:sz w:val="24"/>
          <w:szCs w:val="24"/>
        </w:rPr>
        <w:t>竞争性报价函</w:t>
      </w:r>
    </w:p>
    <w:p w14:paraId="294FFA50">
      <w:pPr>
        <w:tabs>
          <w:tab w:val="left" w:pos="6300"/>
        </w:tabs>
        <w:snapToGrid w:val="0"/>
        <w:spacing w:line="312" w:lineRule="auto"/>
        <w:rPr>
          <w:rFonts w:ascii="宋体" w:hAnsi="宋体" w:eastAsia="宋体" w:cs="宋体"/>
          <w:sz w:val="24"/>
          <w:szCs w:val="24"/>
        </w:rPr>
      </w:pPr>
      <w:r>
        <w:rPr>
          <w:rFonts w:hint="eastAsia" w:ascii="宋体" w:hAnsi="宋体" w:eastAsia="宋体" w:cs="宋体"/>
          <w:sz w:val="24"/>
          <w:szCs w:val="24"/>
          <w:u w:val="single"/>
        </w:rPr>
        <w:t>（采购代理机构名称）</w:t>
      </w:r>
      <w:r>
        <w:rPr>
          <w:rFonts w:hint="eastAsia" w:ascii="宋体" w:hAnsi="宋体" w:eastAsia="宋体" w:cs="宋体"/>
          <w:sz w:val="24"/>
          <w:szCs w:val="24"/>
        </w:rPr>
        <w:t>：</w:t>
      </w:r>
    </w:p>
    <w:p w14:paraId="08CC5713">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我方收到___________________（谈判项目名称）的竞争性谈判文件，经详细研究，决定参加该谈判项目的竞争谈判。</w:t>
      </w:r>
    </w:p>
    <w:p w14:paraId="6D28B505">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1.愿意按照竞争性谈判文件中的一切要求，提供本项目的交货及技术服务，项目初始报价（总价）为人民币大写：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元整；人民币小写：</w:t>
      </w:r>
      <w:r>
        <w:rPr>
          <w:rFonts w:hint="eastAsia" w:ascii="宋体" w:hAnsi="宋体" w:eastAsia="宋体" w:cs="宋体"/>
          <w:sz w:val="24"/>
          <w:szCs w:val="24"/>
          <w:u w:val="single"/>
        </w:rPr>
        <w:t xml:space="preserve">    </w:t>
      </w:r>
      <w:r>
        <w:rPr>
          <w:rFonts w:hint="eastAsia" w:ascii="宋体" w:hAnsi="宋体" w:eastAsia="宋体" w:cs="宋体"/>
          <w:sz w:val="24"/>
          <w:szCs w:val="24"/>
        </w:rPr>
        <w:t>元。以我公司最后报价为准。</w:t>
      </w:r>
    </w:p>
    <w:p w14:paraId="1F97F08B">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2.我方现提交的响应文件为：响应文件正本</w:t>
      </w:r>
      <w:r>
        <w:rPr>
          <w:rFonts w:hint="eastAsia" w:ascii="宋体" w:hAnsi="宋体" w:eastAsia="宋体" w:cs="宋体"/>
          <w:sz w:val="24"/>
          <w:szCs w:val="24"/>
          <w:u w:val="single"/>
        </w:rPr>
        <w:t xml:space="preserve">   </w:t>
      </w:r>
      <w:r>
        <w:rPr>
          <w:rFonts w:hint="eastAsia" w:ascii="宋体" w:hAnsi="宋体" w:eastAsia="宋体" w:cs="宋体"/>
          <w:sz w:val="24"/>
          <w:szCs w:val="24"/>
        </w:rPr>
        <w:t>份，副本</w:t>
      </w:r>
      <w:r>
        <w:rPr>
          <w:rFonts w:hint="eastAsia" w:ascii="宋体" w:hAnsi="宋体" w:eastAsia="宋体" w:cs="宋体"/>
          <w:sz w:val="24"/>
          <w:szCs w:val="24"/>
          <w:u w:val="single"/>
        </w:rPr>
        <w:t xml:space="preserve">   </w:t>
      </w:r>
      <w:r>
        <w:rPr>
          <w:rFonts w:hint="eastAsia" w:ascii="宋体" w:hAnsi="宋体" w:eastAsia="宋体" w:cs="宋体"/>
          <w:sz w:val="24"/>
          <w:szCs w:val="24"/>
        </w:rPr>
        <w:t>份。</w:t>
      </w:r>
    </w:p>
    <w:p w14:paraId="4715E655">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3.我方承诺：本次谈判的有效期为提交响应文件截止时间起90天。</w:t>
      </w:r>
    </w:p>
    <w:p w14:paraId="7F441396">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4.我方完全理解和接受贵方竞争性谈判文件的一切规定和要求及谈判评审办法。</w:t>
      </w:r>
    </w:p>
    <w:p w14:paraId="266B9BC6">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5.在整个竞争性谈判过程中，我方若有违规行为，接受按照《中华人民共和国政府采购法》和《竞争性谈判文件》之规定给予惩罚。</w:t>
      </w:r>
    </w:p>
    <w:p w14:paraId="0D9DEB62">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6.我方若成为成交供应商，将按照最终谈判结果签订合同，并且严格履行合同义务。本承诺函将成为合同不可分割的一部分，与合同具有同等的法律效力。</w:t>
      </w:r>
    </w:p>
    <w:p w14:paraId="494021EB">
      <w:pPr>
        <w:tabs>
          <w:tab w:val="left" w:pos="6300"/>
        </w:tabs>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w:t>
      </w:r>
      <w:r>
        <w:rPr>
          <w:rFonts w:hint="eastAsia" w:ascii="宋体" w:hAnsi="宋体" w:eastAsia="宋体" w:cs="宋体"/>
          <w:sz w:val="24"/>
          <w:szCs w:val="28"/>
        </w:rPr>
        <w:t>我方未</w:t>
      </w:r>
      <w:r>
        <w:rPr>
          <w:rFonts w:hint="eastAsia" w:ascii="宋体" w:hAnsi="宋体" w:eastAsia="宋体" w:cs="宋体"/>
          <w:sz w:val="24"/>
          <w:szCs w:val="24"/>
        </w:rPr>
        <w:t>为采购项目提供整体设计、规范编制或者项目管理、监理、检测等服务。</w:t>
      </w:r>
    </w:p>
    <w:p w14:paraId="5F66D58E">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供应商（公章）或自然人签署：</w:t>
      </w:r>
    </w:p>
    <w:p w14:paraId="1335DDFF">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 xml:space="preserve">地址：  </w:t>
      </w:r>
    </w:p>
    <w:p w14:paraId="1E656F2D">
      <w:pPr>
        <w:tabs>
          <w:tab w:val="left" w:pos="6300"/>
        </w:tabs>
        <w:snapToGrid w:val="0"/>
        <w:spacing w:line="312" w:lineRule="auto"/>
        <w:ind w:firstLine="570"/>
        <w:rPr>
          <w:rFonts w:ascii="宋体" w:hAnsi="宋体" w:eastAsia="宋体" w:cs="宋体"/>
          <w:sz w:val="24"/>
          <w:szCs w:val="24"/>
        </w:rPr>
      </w:pPr>
      <w:r>
        <w:rPr>
          <w:rFonts w:hint="eastAsia" w:ascii="宋体" w:hAnsi="宋体" w:eastAsia="宋体" w:cs="宋体"/>
          <w:sz w:val="24"/>
          <w:szCs w:val="24"/>
        </w:rPr>
        <w:t xml:space="preserve">联系人及电话：                           </w:t>
      </w:r>
    </w:p>
    <w:p w14:paraId="33EE2F20">
      <w:pPr>
        <w:snapToGrid w:val="0"/>
        <w:spacing w:line="312"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年   月   日</w:t>
      </w:r>
    </w:p>
    <w:p w14:paraId="4BC79481">
      <w:pPr>
        <w:pStyle w:val="22"/>
        <w:ind w:left="1600" w:hanging="480"/>
        <w:rPr>
          <w:rFonts w:ascii="宋体" w:hAnsi="宋体" w:eastAsia="宋体" w:cs="宋体"/>
        </w:rPr>
      </w:pPr>
    </w:p>
    <w:p w14:paraId="65B2EE09">
      <w:pPr>
        <w:pStyle w:val="22"/>
        <w:ind w:left="1600" w:hanging="480"/>
        <w:rPr>
          <w:rFonts w:ascii="宋体" w:hAnsi="宋体" w:eastAsia="宋体" w:cs="宋体"/>
        </w:rPr>
      </w:pPr>
    </w:p>
    <w:p w14:paraId="1795785C">
      <w:pPr>
        <w:pStyle w:val="22"/>
        <w:ind w:left="1600" w:hanging="480"/>
        <w:rPr>
          <w:rFonts w:ascii="宋体" w:hAnsi="宋体" w:eastAsia="宋体" w:cs="宋体"/>
        </w:rPr>
      </w:pPr>
    </w:p>
    <w:p w14:paraId="24CE524F">
      <w:pPr>
        <w:spacing w:line="400" w:lineRule="exact"/>
        <w:ind w:firstLine="560" w:firstLineChars="200"/>
        <w:outlineLvl w:val="2"/>
        <w:rPr>
          <w:rFonts w:ascii="宋体" w:hAnsi="宋体" w:eastAsia="宋体" w:cs="宋体"/>
          <w:sz w:val="24"/>
          <w:szCs w:val="24"/>
        </w:rPr>
      </w:pPr>
      <w:r>
        <w:rPr>
          <w:rFonts w:hint="eastAsia" w:ascii="宋体" w:hAnsi="宋体" w:eastAsia="宋体" w:cs="宋体"/>
        </w:rPr>
        <w:br w:type="page"/>
      </w:r>
      <w:bookmarkStart w:id="327" w:name="_Toc28695"/>
      <w:bookmarkStart w:id="328" w:name="_Toc22998"/>
      <w:bookmarkStart w:id="329" w:name="_Toc132634072"/>
      <w:bookmarkStart w:id="330" w:name="_Toc13718"/>
      <w:r>
        <w:rPr>
          <w:rFonts w:hint="eastAsia" w:ascii="宋体" w:hAnsi="宋体" w:eastAsia="宋体" w:cs="宋体"/>
          <w:sz w:val="24"/>
          <w:szCs w:val="24"/>
        </w:rPr>
        <w:t>（二）明细报价表</w:t>
      </w:r>
      <w:bookmarkEnd w:id="327"/>
      <w:bookmarkEnd w:id="328"/>
      <w:r>
        <w:rPr>
          <w:rFonts w:hint="eastAsia" w:ascii="宋体" w:hAnsi="宋体" w:eastAsia="宋体" w:cs="宋体"/>
          <w:sz w:val="24"/>
          <w:szCs w:val="24"/>
        </w:rPr>
        <w:t>（格式可自拟）</w:t>
      </w:r>
      <w:bookmarkEnd w:id="329"/>
      <w:bookmarkEnd w:id="330"/>
    </w:p>
    <w:tbl>
      <w:tblPr>
        <w:tblStyle w:val="61"/>
        <w:tblW w:w="8650" w:type="dxa"/>
        <w:tblInd w:w="328" w:type="dxa"/>
        <w:shd w:val="clear" w:color="auto" w:fill="auto"/>
        <w:tblLayout w:type="fixed"/>
        <w:tblCellMar>
          <w:top w:w="0" w:type="dxa"/>
          <w:left w:w="0" w:type="dxa"/>
          <w:bottom w:w="0" w:type="dxa"/>
          <w:right w:w="0" w:type="dxa"/>
        </w:tblCellMar>
      </w:tblPr>
      <w:tblGrid>
        <w:gridCol w:w="717"/>
        <w:gridCol w:w="1117"/>
        <w:gridCol w:w="1966"/>
        <w:gridCol w:w="1684"/>
        <w:gridCol w:w="1700"/>
        <w:gridCol w:w="1466"/>
      </w:tblGrid>
      <w:tr w14:paraId="70207D2B">
        <w:tblPrEx>
          <w:shd w:val="clear" w:color="auto" w:fill="auto"/>
          <w:tblCellMar>
            <w:top w:w="0" w:type="dxa"/>
            <w:left w:w="0" w:type="dxa"/>
            <w:bottom w:w="0" w:type="dxa"/>
            <w:right w:w="0" w:type="dxa"/>
          </w:tblCellMar>
        </w:tblPrEx>
        <w:trPr>
          <w:trHeight w:val="1080" w:hRule="atLeast"/>
        </w:trPr>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E6BDB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序号</w:t>
            </w:r>
          </w:p>
        </w:tc>
        <w:tc>
          <w:tcPr>
            <w:tcW w:w="1117"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101498E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树种名称</w:t>
            </w:r>
          </w:p>
        </w:tc>
        <w:tc>
          <w:tcPr>
            <w:tcW w:w="1966"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514FAAE9">
            <w:pPr>
              <w:keepNext w:val="0"/>
              <w:keepLines w:val="0"/>
              <w:suppressLineNumbers w:val="0"/>
              <w:snapToGrid w:val="0"/>
              <w:spacing w:before="0" w:beforeAutospacing="0" w:after="0" w:afterAutospacing="0" w:line="400" w:lineRule="exact"/>
              <w:ind w:left="0" w:right="0"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地理位置</w:t>
            </w:r>
          </w:p>
        </w:tc>
        <w:tc>
          <w:tcPr>
            <w:tcW w:w="1684"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055BD70A">
            <w:pPr>
              <w:keepNext w:val="0"/>
              <w:keepLines w:val="0"/>
              <w:suppressLineNumbers w:val="0"/>
              <w:snapToGrid w:val="0"/>
              <w:spacing w:before="0" w:beforeAutospacing="0" w:after="0" w:afterAutospacing="0" w:line="400" w:lineRule="exact"/>
              <w:ind w:left="0" w:right="0" w:firstLine="360" w:firstLineChars="15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数量/单位</w:t>
            </w:r>
          </w:p>
        </w:tc>
        <w:tc>
          <w:tcPr>
            <w:tcW w:w="1700"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6A21331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r>
              <w:rPr>
                <w:rFonts w:hint="eastAsia" w:ascii="宋体" w:hAnsi="宋体" w:eastAsia="宋体" w:cs="宋体"/>
                <w:sz w:val="24"/>
                <w:szCs w:val="24"/>
                <w:lang w:val="en-US" w:eastAsia="zh-CN"/>
              </w:rPr>
              <w:t>单价报价（元）</w:t>
            </w:r>
          </w:p>
        </w:tc>
        <w:tc>
          <w:tcPr>
            <w:tcW w:w="1466"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468C2F43">
            <w:pPr>
              <w:keepNext w:val="0"/>
              <w:keepLines w:val="0"/>
              <w:suppressLineNumbers w:val="0"/>
              <w:snapToGrid w:val="0"/>
              <w:spacing w:before="0" w:beforeAutospacing="0" w:after="0" w:afterAutospacing="0" w:line="400" w:lineRule="exact"/>
              <w:ind w:left="0" w:right="0" w:firstLine="240" w:firstLineChars="1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总价（元）</w:t>
            </w:r>
          </w:p>
        </w:tc>
      </w:tr>
      <w:tr w14:paraId="0586AB48">
        <w:tblPrEx>
          <w:tblCellMar>
            <w:top w:w="0" w:type="dxa"/>
            <w:left w:w="0" w:type="dxa"/>
            <w:bottom w:w="0" w:type="dxa"/>
            <w:right w:w="0" w:type="dxa"/>
          </w:tblCellMar>
        </w:tblPrEx>
        <w:trPr>
          <w:trHeight w:val="630" w:hRule="atLeast"/>
        </w:trPr>
        <w:tc>
          <w:tcPr>
            <w:tcW w:w="717"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64DF4C">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r>
              <w:rPr>
                <w:rFonts w:hint="eastAsia" w:ascii="宋体" w:hAnsi="宋体" w:eastAsia="宋体" w:cs="宋体"/>
                <w:sz w:val="24"/>
                <w:szCs w:val="24"/>
                <w:lang w:val="en-US" w:eastAsia="zh-CN"/>
              </w:rPr>
              <w:t>1</w:t>
            </w:r>
          </w:p>
        </w:tc>
        <w:tc>
          <w:tcPr>
            <w:tcW w:w="1117"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6C8F3EA5">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p>
        </w:tc>
        <w:tc>
          <w:tcPr>
            <w:tcW w:w="1966"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7344867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684"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3C8DD1D5">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700"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69EEF4A7">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4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3A0A166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r>
      <w:tr w14:paraId="3809D4C1">
        <w:tblPrEx>
          <w:tblCellMar>
            <w:top w:w="0" w:type="dxa"/>
            <w:left w:w="0" w:type="dxa"/>
            <w:bottom w:w="0" w:type="dxa"/>
            <w:right w:w="0" w:type="dxa"/>
          </w:tblCellMar>
        </w:tblPrEx>
        <w:trPr>
          <w:trHeight w:val="630" w:hRule="atLeast"/>
        </w:trPr>
        <w:tc>
          <w:tcPr>
            <w:tcW w:w="717"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CC4CAE">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r>
              <w:rPr>
                <w:rFonts w:hint="eastAsia" w:ascii="宋体" w:hAnsi="宋体" w:eastAsia="宋体" w:cs="宋体"/>
                <w:sz w:val="24"/>
                <w:szCs w:val="24"/>
                <w:lang w:val="en-US" w:eastAsia="zh-CN"/>
              </w:rPr>
              <w:t>2</w:t>
            </w:r>
          </w:p>
        </w:tc>
        <w:tc>
          <w:tcPr>
            <w:tcW w:w="1117"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0B31E263">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p>
        </w:tc>
        <w:tc>
          <w:tcPr>
            <w:tcW w:w="1966"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5E9BB17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684"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76C501BE">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700"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3417544D">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4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24D6FDA6">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r>
      <w:tr w14:paraId="7FAFA187">
        <w:tblPrEx>
          <w:tblCellMar>
            <w:top w:w="0" w:type="dxa"/>
            <w:left w:w="0" w:type="dxa"/>
            <w:bottom w:w="0" w:type="dxa"/>
            <w:right w:w="0" w:type="dxa"/>
          </w:tblCellMar>
        </w:tblPrEx>
        <w:trPr>
          <w:trHeight w:val="630" w:hRule="atLeast"/>
        </w:trPr>
        <w:tc>
          <w:tcPr>
            <w:tcW w:w="717"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5969C5">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r>
              <w:rPr>
                <w:rFonts w:hint="eastAsia" w:ascii="宋体" w:hAnsi="宋体" w:eastAsia="宋体" w:cs="宋体"/>
                <w:sz w:val="24"/>
                <w:szCs w:val="24"/>
                <w:lang w:val="en-US" w:eastAsia="zh-CN"/>
              </w:rPr>
              <w:t>3</w:t>
            </w:r>
          </w:p>
        </w:tc>
        <w:tc>
          <w:tcPr>
            <w:tcW w:w="1117"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04E25915">
            <w:pPr>
              <w:keepNext w:val="0"/>
              <w:keepLines w:val="0"/>
              <w:suppressLineNumbers w:val="0"/>
              <w:snapToGrid w:val="0"/>
              <w:spacing w:before="0" w:beforeAutospacing="0" w:after="0" w:afterAutospacing="0" w:line="400" w:lineRule="exact"/>
              <w:ind w:left="0" w:right="0"/>
              <w:jc w:val="center"/>
              <w:rPr>
                <w:rFonts w:hint="eastAsia" w:ascii="宋体" w:hAnsi="宋体" w:eastAsia="宋体" w:cs="宋体"/>
                <w:sz w:val="24"/>
                <w:szCs w:val="24"/>
              </w:rPr>
            </w:pPr>
          </w:p>
        </w:tc>
        <w:tc>
          <w:tcPr>
            <w:tcW w:w="1966"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43229D78">
            <w:pPr>
              <w:keepNext w:val="0"/>
              <w:keepLines w:val="0"/>
              <w:suppressLineNumbers w:val="0"/>
              <w:snapToGrid w:val="0"/>
              <w:spacing w:before="0" w:beforeAutospacing="0" w:after="0" w:afterAutospacing="0" w:line="400" w:lineRule="exact"/>
              <w:ind w:left="0" w:right="0" w:firstLine="240" w:firstLineChars="100"/>
              <w:rPr>
                <w:rFonts w:hint="eastAsia" w:ascii="宋体" w:hAnsi="宋体" w:eastAsia="宋体" w:cs="宋体"/>
                <w:sz w:val="24"/>
                <w:szCs w:val="24"/>
              </w:rPr>
            </w:pPr>
          </w:p>
        </w:tc>
        <w:tc>
          <w:tcPr>
            <w:tcW w:w="1684"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2B652900">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700"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01B12524">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4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3A961ACB">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r>
      <w:tr w14:paraId="38D3D630">
        <w:tblPrEx>
          <w:tblCellMar>
            <w:top w:w="0" w:type="dxa"/>
            <w:left w:w="0" w:type="dxa"/>
            <w:bottom w:w="0" w:type="dxa"/>
            <w:right w:w="0" w:type="dxa"/>
          </w:tblCellMar>
        </w:tblPrEx>
        <w:trPr>
          <w:trHeight w:val="1170" w:hRule="atLeast"/>
        </w:trPr>
        <w:tc>
          <w:tcPr>
            <w:tcW w:w="717" w:type="dxa"/>
            <w:tcBorders>
              <w:top w:val="nil"/>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607BD20">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117"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3DF90260">
            <w:pPr>
              <w:keepNext w:val="0"/>
              <w:keepLines w:val="0"/>
              <w:suppressLineNumbers w:val="0"/>
              <w:snapToGrid w:val="0"/>
              <w:spacing w:before="0" w:beforeAutospacing="0" w:after="0" w:afterAutospacing="0" w:line="400" w:lineRule="exact"/>
              <w:ind w:left="0" w:right="0" w:firstLine="240" w:firstLineChars="100"/>
              <w:jc w:val="both"/>
              <w:rPr>
                <w:rFonts w:hint="eastAsia" w:ascii="宋体" w:hAnsi="宋体" w:eastAsia="宋体" w:cs="宋体"/>
                <w:sz w:val="24"/>
                <w:szCs w:val="24"/>
              </w:rPr>
            </w:pPr>
          </w:p>
        </w:tc>
        <w:tc>
          <w:tcPr>
            <w:tcW w:w="1966" w:type="dxa"/>
            <w:tcBorders>
              <w:top w:val="nil"/>
              <w:left w:val="nil"/>
              <w:bottom w:val="single" w:color="auto" w:sz="4" w:space="0"/>
              <w:right w:val="single" w:color="auto" w:sz="4" w:space="0"/>
            </w:tcBorders>
            <w:shd w:val="clear" w:color="000000" w:fill="FFFFFF"/>
            <w:tcMar>
              <w:top w:w="15" w:type="dxa"/>
              <w:left w:w="15" w:type="dxa"/>
              <w:right w:w="15" w:type="dxa"/>
            </w:tcMar>
            <w:vAlign w:val="center"/>
          </w:tcPr>
          <w:p w14:paraId="6E8C581A">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684"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53A60E28">
            <w:pPr>
              <w:keepNext w:val="0"/>
              <w:keepLines w:val="0"/>
              <w:suppressLineNumbers w:val="0"/>
              <w:snapToGrid w:val="0"/>
              <w:spacing w:before="0" w:beforeAutospacing="0" w:after="0" w:afterAutospacing="0" w:line="400" w:lineRule="exact"/>
              <w:ind w:left="0" w:right="0"/>
              <w:rPr>
                <w:rFonts w:hint="eastAsia" w:ascii="宋体" w:hAnsi="宋体" w:eastAsia="宋体" w:cs="宋体"/>
                <w:sz w:val="24"/>
                <w:szCs w:val="24"/>
              </w:rPr>
            </w:pPr>
          </w:p>
        </w:tc>
        <w:tc>
          <w:tcPr>
            <w:tcW w:w="1700"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6D7A6CFC">
            <w:pPr>
              <w:keepNext w:val="0"/>
              <w:keepLines w:val="0"/>
              <w:suppressLineNumbers w:val="0"/>
              <w:snapToGrid w:val="0"/>
              <w:spacing w:before="0" w:beforeAutospacing="0" w:after="0" w:afterAutospacing="0" w:line="400" w:lineRule="exact"/>
              <w:ind w:left="0" w:right="0" w:firstLine="240" w:firstLineChars="100"/>
              <w:rPr>
                <w:rFonts w:hint="eastAsia" w:ascii="宋体" w:hAnsi="宋体" w:eastAsia="宋体" w:cs="宋体"/>
                <w:sz w:val="24"/>
                <w:szCs w:val="24"/>
              </w:rPr>
            </w:pPr>
          </w:p>
        </w:tc>
        <w:tc>
          <w:tcPr>
            <w:tcW w:w="1466" w:type="dxa"/>
            <w:tcBorders>
              <w:top w:val="nil"/>
              <w:left w:val="nil"/>
              <w:bottom w:val="single" w:color="auto" w:sz="4" w:space="0"/>
              <w:right w:val="single" w:color="auto" w:sz="4" w:space="0"/>
            </w:tcBorders>
            <w:shd w:val="clear" w:color="auto" w:fill="auto"/>
            <w:tcMar>
              <w:top w:w="15" w:type="dxa"/>
              <w:left w:w="15" w:type="dxa"/>
              <w:right w:w="15" w:type="dxa"/>
            </w:tcMar>
            <w:vAlign w:val="center"/>
          </w:tcPr>
          <w:p w14:paraId="1951B452">
            <w:pPr>
              <w:keepNext w:val="0"/>
              <w:keepLines w:val="0"/>
              <w:suppressLineNumbers w:val="0"/>
              <w:snapToGrid w:val="0"/>
              <w:spacing w:before="0" w:beforeAutospacing="0" w:after="0" w:afterAutospacing="0" w:line="400" w:lineRule="exact"/>
              <w:ind w:left="0" w:right="0" w:firstLine="240" w:firstLineChars="100"/>
              <w:rPr>
                <w:rFonts w:hint="eastAsia" w:ascii="宋体" w:hAnsi="宋体" w:eastAsia="宋体" w:cs="宋体"/>
                <w:sz w:val="24"/>
                <w:szCs w:val="24"/>
              </w:rPr>
            </w:pPr>
          </w:p>
        </w:tc>
      </w:tr>
      <w:tr w14:paraId="1EA02F78">
        <w:tblPrEx>
          <w:tblCellMar>
            <w:top w:w="0" w:type="dxa"/>
            <w:left w:w="0" w:type="dxa"/>
            <w:bottom w:w="0" w:type="dxa"/>
            <w:right w:w="0" w:type="dxa"/>
          </w:tblCellMar>
        </w:tblPrEx>
        <w:trPr>
          <w:trHeight w:val="1170" w:hRule="atLeast"/>
        </w:trPr>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8F28F8">
            <w:pPr>
              <w:keepNext w:val="0"/>
              <w:keepLines w:val="0"/>
              <w:suppressLineNumbers w:val="0"/>
              <w:snapToGrid w:val="0"/>
              <w:spacing w:before="0" w:beforeAutospacing="0" w:after="0" w:afterAutospacing="0" w:line="400" w:lineRule="exact"/>
              <w:ind w:left="0" w:right="0" w:firstLine="240" w:firstLineChars="100"/>
              <w:jc w:val="both"/>
              <w:rPr>
                <w:rFonts w:hint="default" w:ascii="宋体" w:hAnsi="宋体" w:eastAsia="宋体" w:cs="宋体"/>
                <w:sz w:val="24"/>
                <w:szCs w:val="24"/>
                <w:lang w:val="en-US" w:eastAsia="zh-CN"/>
              </w:rPr>
            </w:pPr>
          </w:p>
        </w:tc>
        <w:tc>
          <w:tcPr>
            <w:tcW w:w="1117" w:type="dxa"/>
            <w:tcBorders>
              <w:top w:val="single" w:color="auto" w:sz="4" w:space="0"/>
              <w:left w:val="nil"/>
              <w:bottom w:val="single" w:color="auto" w:sz="4" w:space="0"/>
              <w:right w:val="single" w:color="auto" w:sz="4" w:space="0"/>
            </w:tcBorders>
            <w:shd w:val="clear" w:color="000000" w:fill="FFFFFF"/>
            <w:tcMar>
              <w:top w:w="15" w:type="dxa"/>
              <w:left w:w="15" w:type="dxa"/>
              <w:right w:w="15" w:type="dxa"/>
            </w:tcMar>
            <w:vAlign w:val="center"/>
          </w:tcPr>
          <w:p w14:paraId="4C2741C5">
            <w:pPr>
              <w:keepNext w:val="0"/>
              <w:keepLines w:val="0"/>
              <w:suppressLineNumbers w:val="0"/>
              <w:snapToGrid w:val="0"/>
              <w:spacing w:before="0" w:beforeAutospacing="0" w:after="0" w:afterAutospacing="0" w:line="400" w:lineRule="exact"/>
              <w:ind w:left="0" w:right="0" w:firstLine="240" w:firstLineChars="1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c>
          <w:tcPr>
            <w:tcW w:w="1966" w:type="dxa"/>
            <w:tcBorders>
              <w:top w:val="single" w:color="auto" w:sz="4" w:space="0"/>
              <w:left w:val="nil"/>
              <w:bottom w:val="single" w:color="auto" w:sz="4" w:space="0"/>
              <w:right w:val="single" w:color="auto" w:sz="4" w:space="0"/>
            </w:tcBorders>
            <w:shd w:val="clear" w:color="000000" w:fill="FFFFFF"/>
            <w:tcMar>
              <w:top w:w="15" w:type="dxa"/>
              <w:left w:w="15" w:type="dxa"/>
              <w:right w:w="15" w:type="dxa"/>
            </w:tcMar>
            <w:vAlign w:val="center"/>
          </w:tcPr>
          <w:p w14:paraId="59AA0A59">
            <w:pPr>
              <w:keepNext w:val="0"/>
              <w:keepLines w:val="0"/>
              <w:suppressLineNumbers w:val="0"/>
              <w:snapToGrid w:val="0"/>
              <w:spacing w:before="0" w:beforeAutospacing="0" w:after="0" w:afterAutospacing="0" w:line="400" w:lineRule="exact"/>
              <w:ind w:left="0" w:right="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c>
          <w:tcPr>
            <w:tcW w:w="1684"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03F89F4F">
            <w:pPr>
              <w:keepNext w:val="0"/>
              <w:keepLines w:val="0"/>
              <w:suppressLineNumbers w:val="0"/>
              <w:snapToGrid w:val="0"/>
              <w:spacing w:before="0" w:beforeAutospacing="0" w:after="0" w:afterAutospacing="0" w:line="400" w:lineRule="exact"/>
              <w:ind w:left="0" w:right="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c>
          <w:tcPr>
            <w:tcW w:w="1700"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51E58CFC">
            <w:pPr>
              <w:keepNext w:val="0"/>
              <w:keepLines w:val="0"/>
              <w:suppressLineNumbers w:val="0"/>
              <w:snapToGrid w:val="0"/>
              <w:spacing w:before="0" w:beforeAutospacing="0" w:after="0" w:afterAutospacing="0" w:line="400" w:lineRule="exact"/>
              <w:ind w:left="0" w:right="0" w:firstLine="240" w:firstLineChars="1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c>
          <w:tcPr>
            <w:tcW w:w="1466" w:type="dxa"/>
            <w:tcBorders>
              <w:top w:val="single" w:color="auto" w:sz="4" w:space="0"/>
              <w:left w:val="nil"/>
              <w:bottom w:val="single" w:color="auto" w:sz="4" w:space="0"/>
              <w:right w:val="single" w:color="auto" w:sz="4" w:space="0"/>
            </w:tcBorders>
            <w:shd w:val="clear" w:color="auto" w:fill="auto"/>
            <w:tcMar>
              <w:top w:w="15" w:type="dxa"/>
              <w:left w:w="15" w:type="dxa"/>
              <w:right w:w="15" w:type="dxa"/>
            </w:tcMar>
            <w:vAlign w:val="center"/>
          </w:tcPr>
          <w:p w14:paraId="26AD9415">
            <w:pPr>
              <w:keepNext w:val="0"/>
              <w:keepLines w:val="0"/>
              <w:suppressLineNumbers w:val="0"/>
              <w:snapToGrid w:val="0"/>
              <w:spacing w:before="0" w:beforeAutospacing="0" w:after="0" w:afterAutospacing="0" w:line="400" w:lineRule="exact"/>
              <w:ind w:left="0" w:right="0" w:firstLine="240" w:firstLineChars="100"/>
              <w:rPr>
                <w:rFonts w:hint="eastAsia" w:ascii="宋体" w:hAnsi="宋体" w:eastAsia="宋体" w:cs="宋体"/>
                <w:sz w:val="24"/>
                <w:szCs w:val="24"/>
                <w:lang w:val="en-US" w:eastAsia="zh-CN"/>
              </w:rPr>
            </w:pPr>
          </w:p>
        </w:tc>
      </w:tr>
    </w:tbl>
    <w:p w14:paraId="7CB6FC2D">
      <w:pPr>
        <w:tabs>
          <w:tab w:val="left" w:pos="6300"/>
        </w:tabs>
        <w:snapToGrid w:val="0"/>
        <w:spacing w:line="400" w:lineRule="exact"/>
        <w:ind w:firstLine="480" w:firstLineChars="200"/>
        <w:rPr>
          <w:rFonts w:hint="eastAsia" w:ascii="宋体" w:hAnsi="宋体" w:eastAsia="宋体" w:cs="宋体"/>
          <w:sz w:val="24"/>
        </w:rPr>
      </w:pPr>
    </w:p>
    <w:p w14:paraId="3FB9B8F9">
      <w:pPr>
        <w:tabs>
          <w:tab w:val="left" w:pos="6300"/>
        </w:tabs>
        <w:snapToGrid w:val="0"/>
        <w:spacing w:line="400" w:lineRule="exact"/>
        <w:ind w:firstLine="480" w:firstLineChars="200"/>
        <w:rPr>
          <w:rFonts w:hint="eastAsia" w:ascii="宋体" w:hAnsi="宋体" w:eastAsia="宋体" w:cs="宋体"/>
          <w:sz w:val="24"/>
        </w:rPr>
      </w:pPr>
    </w:p>
    <w:p w14:paraId="2BEE5239">
      <w:pPr>
        <w:tabs>
          <w:tab w:val="left" w:pos="6300"/>
        </w:tabs>
        <w:snapToGrid w:val="0"/>
        <w:spacing w:line="400" w:lineRule="exact"/>
        <w:ind w:firstLine="480" w:firstLineChars="200"/>
        <w:rPr>
          <w:rFonts w:hint="eastAsia" w:ascii="宋体" w:hAnsi="宋体" w:eastAsia="宋体" w:cs="宋体"/>
          <w:sz w:val="24"/>
        </w:rPr>
      </w:pPr>
    </w:p>
    <w:p w14:paraId="668F0394">
      <w:pPr>
        <w:tabs>
          <w:tab w:val="left" w:pos="6300"/>
        </w:tabs>
        <w:snapToGrid w:val="0"/>
        <w:spacing w:line="400" w:lineRule="exact"/>
        <w:ind w:firstLine="480" w:firstLineChars="200"/>
        <w:rPr>
          <w:rFonts w:ascii="宋体" w:hAnsi="宋体" w:eastAsia="宋体" w:cs="宋体"/>
          <w:sz w:val="24"/>
        </w:rPr>
      </w:pPr>
      <w:r>
        <w:rPr>
          <w:rFonts w:hint="eastAsia" w:ascii="宋体" w:hAnsi="宋体" w:eastAsia="宋体" w:cs="宋体"/>
          <w:sz w:val="24"/>
        </w:rPr>
        <w:t>注：本表可扩展。</w:t>
      </w:r>
    </w:p>
    <w:p w14:paraId="5EB75D43">
      <w:pPr>
        <w:pStyle w:val="4"/>
        <w:adjustRightInd w:val="0"/>
        <w:snapToGrid w:val="0"/>
        <w:spacing w:before="0" w:after="0" w:line="400" w:lineRule="exact"/>
        <w:ind w:firstLine="643" w:firstLineChars="200"/>
        <w:rPr>
          <w:rFonts w:ascii="宋体" w:hAnsi="宋体" w:eastAsia="宋体" w:cs="宋体"/>
          <w:sz w:val="24"/>
        </w:rPr>
      </w:pPr>
      <w:r>
        <w:rPr>
          <w:rFonts w:hint="eastAsia" w:ascii="宋体" w:hAnsi="宋体" w:eastAsia="宋体" w:cs="宋体"/>
        </w:rPr>
        <w:br w:type="page"/>
      </w:r>
      <w:bookmarkStart w:id="331" w:name="_Toc14073"/>
      <w:bookmarkStart w:id="332" w:name="_Toc15515"/>
      <w:bookmarkStart w:id="333" w:name="_Toc106034660"/>
      <w:bookmarkStart w:id="334" w:name="_Toc313888361"/>
      <w:bookmarkStart w:id="335" w:name="_Toc132634073"/>
      <w:bookmarkStart w:id="336" w:name="_Toc1820"/>
      <w:bookmarkStart w:id="337" w:name="_Toc65660380"/>
      <w:bookmarkStart w:id="338" w:name="_Toc313008357"/>
      <w:bookmarkStart w:id="339" w:name="_Toc22655"/>
      <w:bookmarkStart w:id="340" w:name="_Toc342913420"/>
      <w:r>
        <w:rPr>
          <w:rFonts w:hint="eastAsia" w:ascii="宋体" w:hAnsi="宋体" w:eastAsia="宋体" w:cs="宋体"/>
          <w:sz w:val="24"/>
        </w:rPr>
        <w:t>二、技术部分</w:t>
      </w:r>
      <w:bookmarkEnd w:id="331"/>
      <w:bookmarkEnd w:id="332"/>
      <w:bookmarkEnd w:id="333"/>
      <w:bookmarkEnd w:id="334"/>
      <w:bookmarkEnd w:id="335"/>
      <w:bookmarkEnd w:id="336"/>
      <w:bookmarkEnd w:id="337"/>
      <w:bookmarkEnd w:id="338"/>
      <w:bookmarkEnd w:id="339"/>
      <w:bookmarkEnd w:id="340"/>
    </w:p>
    <w:p w14:paraId="76B615BD">
      <w:pPr>
        <w:spacing w:line="400" w:lineRule="exact"/>
        <w:ind w:firstLine="480" w:firstLineChars="200"/>
        <w:outlineLvl w:val="2"/>
        <w:rPr>
          <w:rFonts w:ascii="宋体" w:hAnsi="宋体" w:eastAsia="宋体" w:cs="宋体"/>
          <w:sz w:val="24"/>
          <w:szCs w:val="24"/>
        </w:rPr>
      </w:pPr>
      <w:bookmarkStart w:id="341" w:name="_Toc17290"/>
      <w:bookmarkStart w:id="342" w:name="_Toc132634074"/>
      <w:bookmarkStart w:id="343" w:name="_Toc23569"/>
      <w:bookmarkStart w:id="344" w:name="_Toc22095"/>
      <w:r>
        <w:rPr>
          <w:rFonts w:hint="eastAsia" w:ascii="宋体" w:hAnsi="宋体" w:eastAsia="宋体" w:cs="宋体"/>
          <w:sz w:val="24"/>
          <w:szCs w:val="24"/>
        </w:rPr>
        <w:t>（一）技术响应偏离表</w:t>
      </w:r>
      <w:bookmarkEnd w:id="341"/>
      <w:bookmarkEnd w:id="342"/>
      <w:bookmarkEnd w:id="343"/>
      <w:bookmarkEnd w:id="344"/>
      <w:r>
        <w:rPr>
          <w:rFonts w:hint="eastAsia" w:ascii="宋体" w:hAnsi="宋体" w:eastAsia="宋体" w:cs="宋体"/>
          <w:sz w:val="24"/>
          <w:szCs w:val="24"/>
        </w:rPr>
        <w:t xml:space="preserve">                       </w:t>
      </w:r>
    </w:p>
    <w:tbl>
      <w:tblPr>
        <w:tblStyle w:val="61"/>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2844"/>
        <w:gridCol w:w="2952"/>
        <w:gridCol w:w="2212"/>
      </w:tblGrid>
      <w:tr w14:paraId="5E10D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218" w:type="dxa"/>
            <w:vAlign w:val="center"/>
          </w:tcPr>
          <w:p w14:paraId="5C965317">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1"/>
              </w:rPr>
            </w:pPr>
            <w:bookmarkStart w:id="345" w:name="_Toc15157"/>
            <w:bookmarkStart w:id="346" w:name="_Toc5974"/>
            <w:bookmarkStart w:id="347" w:name="_Toc132634075"/>
            <w:bookmarkStart w:id="348" w:name="_Toc127527501"/>
            <w:bookmarkStart w:id="349" w:name="_Toc29631"/>
            <w:r>
              <w:rPr>
                <w:rFonts w:hint="eastAsia" w:ascii="宋体" w:hAnsi="宋体" w:eastAsia="宋体" w:cs="宋体"/>
                <w:b/>
                <w:sz w:val="21"/>
                <w:szCs w:val="21"/>
              </w:rPr>
              <w:t>序号</w:t>
            </w:r>
            <w:bookmarkEnd w:id="345"/>
            <w:bookmarkEnd w:id="346"/>
            <w:bookmarkEnd w:id="347"/>
            <w:bookmarkEnd w:id="348"/>
            <w:bookmarkEnd w:id="349"/>
          </w:p>
        </w:tc>
        <w:tc>
          <w:tcPr>
            <w:tcW w:w="2844" w:type="dxa"/>
            <w:vAlign w:val="center"/>
          </w:tcPr>
          <w:p w14:paraId="20ED97D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1"/>
              </w:rPr>
            </w:pPr>
            <w:bookmarkStart w:id="350" w:name="_Toc2585"/>
            <w:bookmarkStart w:id="351" w:name="_Toc132634076"/>
            <w:bookmarkStart w:id="352" w:name="_Toc127527502"/>
            <w:bookmarkStart w:id="353" w:name="_Toc24205"/>
            <w:bookmarkStart w:id="354" w:name="_Toc19837"/>
            <w:r>
              <w:rPr>
                <w:rFonts w:hint="eastAsia" w:ascii="宋体" w:hAnsi="宋体" w:eastAsia="宋体" w:cs="宋体"/>
                <w:b/>
                <w:sz w:val="21"/>
                <w:szCs w:val="21"/>
              </w:rPr>
              <w:t>采购需求</w:t>
            </w:r>
            <w:bookmarkEnd w:id="350"/>
            <w:bookmarkEnd w:id="351"/>
            <w:bookmarkEnd w:id="352"/>
            <w:bookmarkEnd w:id="353"/>
            <w:bookmarkEnd w:id="354"/>
          </w:p>
        </w:tc>
        <w:tc>
          <w:tcPr>
            <w:tcW w:w="2952" w:type="dxa"/>
            <w:vAlign w:val="center"/>
          </w:tcPr>
          <w:p w14:paraId="3BF4C3C4">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1"/>
              </w:rPr>
            </w:pPr>
            <w:bookmarkStart w:id="355" w:name="_Toc31736"/>
            <w:bookmarkStart w:id="356" w:name="_Toc132634077"/>
            <w:bookmarkStart w:id="357" w:name="_Toc3773"/>
            <w:bookmarkStart w:id="358" w:name="_Toc127527503"/>
            <w:bookmarkStart w:id="359" w:name="_Toc26501"/>
            <w:r>
              <w:rPr>
                <w:rFonts w:hint="eastAsia" w:ascii="宋体" w:hAnsi="宋体" w:eastAsia="宋体" w:cs="宋体"/>
                <w:b/>
                <w:sz w:val="21"/>
                <w:szCs w:val="21"/>
              </w:rPr>
              <w:t>响应情况</w:t>
            </w:r>
            <w:bookmarkEnd w:id="355"/>
            <w:bookmarkEnd w:id="356"/>
            <w:bookmarkEnd w:id="357"/>
            <w:bookmarkEnd w:id="358"/>
            <w:bookmarkEnd w:id="359"/>
          </w:p>
        </w:tc>
        <w:tc>
          <w:tcPr>
            <w:tcW w:w="2212" w:type="dxa"/>
            <w:vAlign w:val="center"/>
          </w:tcPr>
          <w:p w14:paraId="17891F32">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1"/>
              </w:rPr>
            </w:pPr>
            <w:bookmarkStart w:id="360" w:name="_Toc127527504"/>
            <w:bookmarkStart w:id="361" w:name="_Toc5048"/>
            <w:bookmarkStart w:id="362" w:name="_Toc132634078"/>
            <w:bookmarkStart w:id="363" w:name="_Toc30438"/>
            <w:bookmarkStart w:id="364" w:name="_Toc17604"/>
            <w:r>
              <w:rPr>
                <w:rFonts w:hint="eastAsia" w:ascii="宋体" w:hAnsi="宋体" w:eastAsia="宋体" w:cs="宋体"/>
                <w:b/>
                <w:sz w:val="21"/>
                <w:szCs w:val="21"/>
              </w:rPr>
              <w:t>差异说明</w:t>
            </w:r>
            <w:bookmarkEnd w:id="360"/>
            <w:bookmarkEnd w:id="361"/>
            <w:bookmarkEnd w:id="362"/>
            <w:bookmarkEnd w:id="363"/>
            <w:bookmarkEnd w:id="364"/>
          </w:p>
        </w:tc>
      </w:tr>
      <w:tr w14:paraId="0DBFE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43102291">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61730B9A">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0D71D5F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3C9BE025">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48C4E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58600BDA">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3AD19D0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5745A65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5126F6A8">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4EA5F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5F929CEA">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277C4212">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46004838">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16EBF553">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1AEEE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259EF897">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1F29B934">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3EE1AE60">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7E64B221">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1D281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36EF9D2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1A6FE491">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7E7BF322">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5EACCCD4">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13B3F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683CAB3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652C5E6B">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4F1D430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21ED74D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47C85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7F99844B">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3397112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71611570">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092E485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32719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10995309">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5D3D944B">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02490034">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4DC0C0AA">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573EA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449DF640">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04DF1F83">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1C16B05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68E570B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r w14:paraId="4A86E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218" w:type="dxa"/>
            <w:vAlign w:val="center"/>
          </w:tcPr>
          <w:p w14:paraId="1F20891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844" w:type="dxa"/>
            <w:vAlign w:val="center"/>
          </w:tcPr>
          <w:p w14:paraId="4DC428B0">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952" w:type="dxa"/>
            <w:vAlign w:val="center"/>
          </w:tcPr>
          <w:p w14:paraId="3CF550D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c>
          <w:tcPr>
            <w:tcW w:w="2212" w:type="dxa"/>
            <w:vAlign w:val="center"/>
          </w:tcPr>
          <w:p w14:paraId="1AD2B36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1"/>
              </w:rPr>
            </w:pPr>
          </w:p>
        </w:tc>
      </w:tr>
    </w:tbl>
    <w:p w14:paraId="49728E29">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 xml:space="preserve">供应商：                         </w:t>
      </w:r>
      <w:r>
        <w:rPr>
          <w:rFonts w:hint="eastAsia" w:ascii="宋体" w:hAnsi="宋体" w:eastAsia="宋体" w:cs="宋体"/>
          <w:sz w:val="24"/>
          <w:szCs w:val="24"/>
        </w:rPr>
        <w:t>法定代表人（或其授权代表）或自然人</w:t>
      </w:r>
      <w:r>
        <w:rPr>
          <w:rFonts w:hint="eastAsia" w:ascii="宋体" w:hAnsi="宋体" w:eastAsia="宋体" w:cs="宋体"/>
          <w:sz w:val="24"/>
          <w:szCs w:val="28"/>
        </w:rPr>
        <w:t>：</w:t>
      </w:r>
    </w:p>
    <w:p w14:paraId="0A2A581F">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127D8633">
      <w:pPr>
        <w:spacing w:line="500" w:lineRule="exact"/>
        <w:ind w:firstLine="720" w:firstLineChars="300"/>
        <w:rPr>
          <w:rFonts w:ascii="宋体" w:hAnsi="宋体" w:eastAsia="宋体" w:cs="宋体"/>
          <w:sz w:val="24"/>
          <w:szCs w:val="28"/>
        </w:rPr>
      </w:pPr>
      <w:r>
        <w:rPr>
          <w:rFonts w:hint="eastAsia" w:ascii="宋体" w:hAnsi="宋体" w:eastAsia="宋体" w:cs="宋体"/>
          <w:sz w:val="24"/>
          <w:szCs w:val="28"/>
        </w:rPr>
        <w:t>（供应商公章）                               （</w:t>
      </w:r>
      <w:r>
        <w:rPr>
          <w:rFonts w:hint="eastAsia" w:ascii="宋体" w:hAnsi="宋体" w:eastAsia="宋体" w:cs="宋体"/>
          <w:sz w:val="24"/>
          <w:szCs w:val="24"/>
        </w:rPr>
        <w:t>签署</w:t>
      </w:r>
      <w:r>
        <w:rPr>
          <w:rFonts w:hint="eastAsia" w:ascii="宋体" w:hAnsi="宋体" w:eastAsia="宋体" w:cs="宋体"/>
          <w:sz w:val="24"/>
          <w:szCs w:val="28"/>
        </w:rPr>
        <w:t>或盖章）</w:t>
      </w:r>
    </w:p>
    <w:p w14:paraId="345C2AAC">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3B6ACEAE">
      <w:pPr>
        <w:tabs>
          <w:tab w:val="left" w:pos="6300"/>
        </w:tabs>
        <w:snapToGrid w:val="0"/>
        <w:spacing w:line="400" w:lineRule="exact"/>
        <w:ind w:firstLine="480" w:firstLineChars="200"/>
        <w:rPr>
          <w:rFonts w:ascii="宋体" w:hAnsi="宋体" w:eastAsia="宋体" w:cs="宋体"/>
          <w:sz w:val="24"/>
        </w:rPr>
      </w:pPr>
      <w:r>
        <w:rPr>
          <w:rFonts w:hint="eastAsia" w:ascii="宋体" w:hAnsi="宋体" w:eastAsia="宋体" w:cs="宋体"/>
          <w:sz w:val="24"/>
        </w:rPr>
        <w:t>注：</w:t>
      </w:r>
    </w:p>
    <w:p w14:paraId="5CEE850E">
      <w:pPr>
        <w:tabs>
          <w:tab w:val="left" w:pos="6300"/>
        </w:tabs>
        <w:snapToGrid w:val="0"/>
        <w:spacing w:line="4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w:t>
      </w:r>
      <w:r>
        <w:rPr>
          <w:rFonts w:hint="eastAsia" w:ascii="宋体" w:hAnsi="宋体" w:eastAsia="宋体" w:cs="宋体"/>
          <w:sz w:val="24"/>
          <w:szCs w:val="24"/>
        </w:rPr>
        <w:t>本表即为对本项目“第二篇  谈判项目技术（质量）需求”中所列条款进行比较和响应；</w:t>
      </w:r>
    </w:p>
    <w:p w14:paraId="434AAFD3">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2.本表可扩展。</w:t>
      </w:r>
    </w:p>
    <w:p w14:paraId="23ACA3AB">
      <w:pPr>
        <w:tabs>
          <w:tab w:val="left" w:pos="6300"/>
        </w:tabs>
        <w:snapToGrid w:val="0"/>
        <w:spacing w:line="500" w:lineRule="exact"/>
        <w:ind w:firstLine="480" w:firstLineChars="200"/>
        <w:outlineLvl w:val="2"/>
        <w:rPr>
          <w:rFonts w:ascii="宋体" w:hAnsi="宋体" w:eastAsia="宋体" w:cs="宋体"/>
          <w:sz w:val="24"/>
        </w:rPr>
      </w:pPr>
      <w:r>
        <w:rPr>
          <w:rFonts w:hint="eastAsia" w:ascii="宋体" w:hAnsi="宋体" w:eastAsia="宋体" w:cs="宋体"/>
          <w:sz w:val="24"/>
        </w:rPr>
        <w:br w:type="page"/>
      </w:r>
      <w:bookmarkStart w:id="365" w:name="_Toc19987"/>
      <w:bookmarkStart w:id="366" w:name="_Toc132634079"/>
      <w:bookmarkStart w:id="367" w:name="_Toc15901"/>
      <w:bookmarkStart w:id="368" w:name="_Toc15900"/>
      <w:r>
        <w:rPr>
          <w:rFonts w:hint="eastAsia" w:ascii="宋体" w:hAnsi="宋体" w:eastAsia="宋体" w:cs="宋体"/>
          <w:sz w:val="24"/>
          <w:szCs w:val="24"/>
        </w:rPr>
        <w:t>（二）</w:t>
      </w:r>
      <w:r>
        <w:rPr>
          <w:rFonts w:hint="eastAsia" w:ascii="宋体" w:hAnsi="宋体" w:eastAsia="宋体" w:cs="宋体"/>
          <w:sz w:val="24"/>
          <w:szCs w:val="24"/>
          <w:lang w:val="en-US" w:eastAsia="zh-CN"/>
        </w:rPr>
        <w:t>技术</w:t>
      </w:r>
      <w:r>
        <w:rPr>
          <w:rFonts w:hint="eastAsia" w:ascii="宋体" w:hAnsi="宋体" w:eastAsia="宋体" w:cs="宋体"/>
          <w:sz w:val="24"/>
          <w:szCs w:val="24"/>
        </w:rPr>
        <w:t>资料（格式自定）</w:t>
      </w:r>
      <w:bookmarkEnd w:id="365"/>
      <w:bookmarkEnd w:id="366"/>
      <w:bookmarkEnd w:id="367"/>
      <w:bookmarkEnd w:id="368"/>
    </w:p>
    <w:p w14:paraId="7BA93AFC">
      <w:pPr>
        <w:tabs>
          <w:tab w:val="left" w:pos="6300"/>
        </w:tabs>
        <w:snapToGrid w:val="0"/>
        <w:spacing w:line="500" w:lineRule="exact"/>
        <w:ind w:firstLine="480" w:firstLineChars="200"/>
        <w:rPr>
          <w:rFonts w:ascii="宋体" w:hAnsi="宋体" w:eastAsia="宋体" w:cs="宋体"/>
          <w:sz w:val="24"/>
          <w:szCs w:val="24"/>
        </w:rPr>
      </w:pPr>
    </w:p>
    <w:p w14:paraId="30BA7DC4">
      <w:pPr>
        <w:pStyle w:val="4"/>
        <w:adjustRightInd w:val="0"/>
        <w:snapToGrid w:val="0"/>
        <w:spacing w:before="0" w:after="0" w:line="400" w:lineRule="exact"/>
        <w:ind w:firstLine="640" w:firstLineChars="200"/>
        <w:rPr>
          <w:rFonts w:ascii="宋体" w:hAnsi="宋体" w:eastAsia="宋体" w:cs="宋体"/>
          <w:sz w:val="24"/>
        </w:rPr>
      </w:pPr>
      <w:r>
        <w:rPr>
          <w:rFonts w:hint="eastAsia" w:ascii="宋体" w:hAnsi="宋体" w:eastAsia="宋体" w:cs="宋体"/>
          <w:b w:val="0"/>
        </w:rPr>
        <w:br w:type="page"/>
      </w:r>
      <w:bookmarkStart w:id="369" w:name="_Toc65660381"/>
      <w:bookmarkStart w:id="370" w:name="_Toc32339"/>
      <w:bookmarkStart w:id="371" w:name="_Toc106034661"/>
      <w:bookmarkStart w:id="372" w:name="_Toc132634080"/>
      <w:bookmarkStart w:id="373" w:name="_Toc7956"/>
      <w:bookmarkStart w:id="374" w:name="_Toc2272"/>
      <w:bookmarkStart w:id="375" w:name="_Toc32158"/>
      <w:bookmarkStart w:id="376" w:name="_Toc313888362"/>
      <w:bookmarkStart w:id="377" w:name="_Toc313008358"/>
      <w:bookmarkStart w:id="378" w:name="_Toc342913421"/>
      <w:r>
        <w:rPr>
          <w:rFonts w:hint="eastAsia" w:ascii="宋体" w:hAnsi="宋体" w:eastAsia="宋体" w:cs="宋体"/>
          <w:sz w:val="24"/>
        </w:rPr>
        <w:t>三、服务部分</w:t>
      </w:r>
      <w:bookmarkEnd w:id="369"/>
      <w:bookmarkEnd w:id="370"/>
      <w:bookmarkEnd w:id="371"/>
      <w:bookmarkEnd w:id="372"/>
      <w:bookmarkEnd w:id="373"/>
      <w:bookmarkEnd w:id="374"/>
      <w:bookmarkEnd w:id="375"/>
    </w:p>
    <w:p w14:paraId="0CEA3E59">
      <w:pPr>
        <w:spacing w:line="400" w:lineRule="exact"/>
        <w:ind w:firstLine="480" w:firstLineChars="200"/>
        <w:outlineLvl w:val="2"/>
        <w:rPr>
          <w:rFonts w:ascii="宋体" w:hAnsi="宋体" w:eastAsia="宋体" w:cs="宋体"/>
          <w:sz w:val="24"/>
          <w:szCs w:val="24"/>
        </w:rPr>
      </w:pPr>
      <w:bookmarkStart w:id="379" w:name="_Toc22225"/>
      <w:bookmarkStart w:id="380" w:name="_Toc30541"/>
      <w:bookmarkStart w:id="381" w:name="_Toc4121"/>
      <w:bookmarkStart w:id="382" w:name="_Toc132634081"/>
      <w:r>
        <w:rPr>
          <w:rFonts w:hint="eastAsia" w:ascii="宋体" w:hAnsi="宋体" w:eastAsia="宋体" w:cs="宋体"/>
          <w:sz w:val="24"/>
          <w:szCs w:val="24"/>
        </w:rPr>
        <w:t>（一）服务响应偏离表</w:t>
      </w:r>
      <w:bookmarkEnd w:id="379"/>
      <w:bookmarkEnd w:id="380"/>
      <w:bookmarkEnd w:id="381"/>
      <w:bookmarkEnd w:id="382"/>
      <w:r>
        <w:rPr>
          <w:rFonts w:hint="eastAsia" w:ascii="宋体" w:hAnsi="宋体" w:eastAsia="宋体" w:cs="宋体"/>
          <w:sz w:val="24"/>
          <w:szCs w:val="24"/>
        </w:rPr>
        <w:t xml:space="preserve">                       </w:t>
      </w:r>
    </w:p>
    <w:tbl>
      <w:tblPr>
        <w:tblStyle w:val="61"/>
        <w:tblW w:w="949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2"/>
        <w:gridCol w:w="3184"/>
        <w:gridCol w:w="2438"/>
        <w:gridCol w:w="2359"/>
      </w:tblGrid>
      <w:tr w14:paraId="27F05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0" w:hRule="atLeast"/>
        </w:trPr>
        <w:tc>
          <w:tcPr>
            <w:tcW w:w="1512" w:type="dxa"/>
            <w:vAlign w:val="center"/>
          </w:tcPr>
          <w:p w14:paraId="4229C848">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4"/>
              </w:rPr>
            </w:pPr>
            <w:bookmarkStart w:id="383" w:name="_Toc31718"/>
            <w:bookmarkStart w:id="384" w:name="_Toc10687"/>
            <w:bookmarkStart w:id="385" w:name="_Toc24692"/>
            <w:bookmarkStart w:id="386" w:name="_Toc127527508"/>
            <w:bookmarkStart w:id="387" w:name="_Toc132634082"/>
            <w:r>
              <w:rPr>
                <w:rFonts w:hint="eastAsia" w:ascii="宋体" w:hAnsi="宋体" w:eastAsia="宋体" w:cs="宋体"/>
                <w:b/>
                <w:sz w:val="21"/>
                <w:szCs w:val="24"/>
              </w:rPr>
              <w:t>序号</w:t>
            </w:r>
            <w:bookmarkEnd w:id="383"/>
            <w:bookmarkEnd w:id="384"/>
            <w:bookmarkEnd w:id="385"/>
            <w:bookmarkEnd w:id="386"/>
            <w:bookmarkEnd w:id="387"/>
          </w:p>
        </w:tc>
        <w:tc>
          <w:tcPr>
            <w:tcW w:w="3184" w:type="dxa"/>
            <w:vAlign w:val="center"/>
          </w:tcPr>
          <w:p w14:paraId="08EF7DD7">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4"/>
              </w:rPr>
            </w:pPr>
            <w:bookmarkStart w:id="388" w:name="_Toc26102"/>
            <w:bookmarkStart w:id="389" w:name="_Toc21276"/>
            <w:bookmarkStart w:id="390" w:name="_Toc132634083"/>
            <w:bookmarkStart w:id="391" w:name="_Toc127527509"/>
            <w:bookmarkStart w:id="392" w:name="_Toc3148"/>
            <w:r>
              <w:rPr>
                <w:rFonts w:hint="eastAsia" w:ascii="宋体" w:hAnsi="宋体" w:eastAsia="宋体" w:cs="宋体"/>
                <w:b/>
                <w:sz w:val="21"/>
                <w:szCs w:val="24"/>
              </w:rPr>
              <w:t>采购需求</w:t>
            </w:r>
            <w:bookmarkEnd w:id="388"/>
            <w:bookmarkEnd w:id="389"/>
            <w:bookmarkEnd w:id="390"/>
            <w:bookmarkEnd w:id="391"/>
            <w:bookmarkEnd w:id="392"/>
          </w:p>
        </w:tc>
        <w:tc>
          <w:tcPr>
            <w:tcW w:w="2438" w:type="dxa"/>
            <w:vAlign w:val="center"/>
          </w:tcPr>
          <w:p w14:paraId="356A4D70">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4"/>
              </w:rPr>
            </w:pPr>
            <w:bookmarkStart w:id="393" w:name="_Toc127527510"/>
            <w:bookmarkStart w:id="394" w:name="_Toc132634084"/>
            <w:bookmarkStart w:id="395" w:name="_Toc265"/>
            <w:bookmarkStart w:id="396" w:name="_Toc24025"/>
            <w:bookmarkStart w:id="397" w:name="_Toc3898"/>
            <w:r>
              <w:rPr>
                <w:rFonts w:hint="eastAsia" w:ascii="宋体" w:hAnsi="宋体" w:eastAsia="宋体" w:cs="宋体"/>
                <w:b/>
                <w:sz w:val="21"/>
                <w:szCs w:val="24"/>
              </w:rPr>
              <w:t>响应情况</w:t>
            </w:r>
            <w:bookmarkEnd w:id="393"/>
            <w:bookmarkEnd w:id="394"/>
            <w:bookmarkEnd w:id="395"/>
            <w:bookmarkEnd w:id="396"/>
            <w:bookmarkEnd w:id="397"/>
          </w:p>
        </w:tc>
        <w:tc>
          <w:tcPr>
            <w:tcW w:w="2359" w:type="dxa"/>
            <w:vAlign w:val="center"/>
          </w:tcPr>
          <w:p w14:paraId="164068A3">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b/>
                <w:sz w:val="21"/>
                <w:szCs w:val="24"/>
              </w:rPr>
            </w:pPr>
            <w:bookmarkStart w:id="398" w:name="_Toc9858"/>
            <w:bookmarkStart w:id="399" w:name="_Toc132634085"/>
            <w:bookmarkStart w:id="400" w:name="_Toc12290"/>
            <w:bookmarkStart w:id="401" w:name="_Toc1984"/>
            <w:bookmarkStart w:id="402" w:name="_Toc127527511"/>
            <w:r>
              <w:rPr>
                <w:rFonts w:hint="eastAsia" w:ascii="宋体" w:hAnsi="宋体" w:eastAsia="宋体" w:cs="宋体"/>
                <w:b/>
                <w:sz w:val="21"/>
                <w:szCs w:val="21"/>
              </w:rPr>
              <w:t>差异说明</w:t>
            </w:r>
            <w:bookmarkEnd w:id="398"/>
            <w:bookmarkEnd w:id="399"/>
            <w:bookmarkEnd w:id="400"/>
            <w:bookmarkEnd w:id="401"/>
            <w:bookmarkEnd w:id="402"/>
          </w:p>
        </w:tc>
      </w:tr>
      <w:tr w14:paraId="30EDA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3717827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66B5879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4E3E9A63">
            <w:pPr>
              <w:keepNext w:val="0"/>
              <w:keepLines w:val="0"/>
              <w:suppressLineNumbers w:val="0"/>
              <w:tabs>
                <w:tab w:val="left" w:pos="6300"/>
              </w:tabs>
              <w:snapToGrid w:val="0"/>
              <w:spacing w:before="0" w:beforeAutospacing="0" w:after="0" w:afterAutospacing="0"/>
              <w:ind w:left="0" w:right="0"/>
              <w:outlineLvl w:val="0"/>
              <w:rPr>
                <w:rFonts w:hint="default" w:ascii="宋体" w:hAnsi="宋体" w:eastAsia="宋体" w:cs="宋体"/>
                <w:sz w:val="21"/>
                <w:szCs w:val="24"/>
              </w:rPr>
            </w:pPr>
          </w:p>
        </w:tc>
        <w:tc>
          <w:tcPr>
            <w:tcW w:w="2359" w:type="dxa"/>
            <w:vAlign w:val="center"/>
          </w:tcPr>
          <w:p w14:paraId="677120F6">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r w14:paraId="3E386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00D03EB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1FF20029">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79A33713">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359" w:type="dxa"/>
            <w:vAlign w:val="center"/>
          </w:tcPr>
          <w:p w14:paraId="00E4ACF7">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r w14:paraId="5D05D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45B4FAA4">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1D450A6B">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7E5A80EE">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359" w:type="dxa"/>
            <w:vAlign w:val="center"/>
          </w:tcPr>
          <w:p w14:paraId="09467646">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r w14:paraId="3D5B7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7C753242">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3267BD8A">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6786E92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359" w:type="dxa"/>
            <w:vAlign w:val="center"/>
          </w:tcPr>
          <w:p w14:paraId="207F037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r w14:paraId="4A5C3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56EBE60F">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1CEC167C">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14381506">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359" w:type="dxa"/>
            <w:vAlign w:val="center"/>
          </w:tcPr>
          <w:p w14:paraId="6AFFD737">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r w14:paraId="61988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512" w:type="dxa"/>
            <w:vAlign w:val="center"/>
          </w:tcPr>
          <w:p w14:paraId="5412973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3184" w:type="dxa"/>
            <w:vAlign w:val="center"/>
          </w:tcPr>
          <w:p w14:paraId="570D7311">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438" w:type="dxa"/>
            <w:vAlign w:val="center"/>
          </w:tcPr>
          <w:p w14:paraId="539B94FB">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c>
          <w:tcPr>
            <w:tcW w:w="2359" w:type="dxa"/>
            <w:vAlign w:val="center"/>
          </w:tcPr>
          <w:p w14:paraId="00708B2D">
            <w:pPr>
              <w:keepNext w:val="0"/>
              <w:keepLines w:val="0"/>
              <w:suppressLineNumbers w:val="0"/>
              <w:tabs>
                <w:tab w:val="left" w:pos="6300"/>
              </w:tabs>
              <w:snapToGrid w:val="0"/>
              <w:spacing w:before="0" w:beforeAutospacing="0" w:after="0" w:afterAutospacing="0"/>
              <w:ind w:left="0" w:right="0"/>
              <w:jc w:val="center"/>
              <w:outlineLvl w:val="0"/>
              <w:rPr>
                <w:rFonts w:hint="default" w:ascii="宋体" w:hAnsi="宋体" w:eastAsia="宋体" w:cs="宋体"/>
                <w:sz w:val="21"/>
                <w:szCs w:val="24"/>
              </w:rPr>
            </w:pPr>
          </w:p>
        </w:tc>
      </w:tr>
    </w:tbl>
    <w:p w14:paraId="70DAA4CD">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 xml:space="preserve">供应商：                          </w:t>
      </w:r>
      <w:r>
        <w:rPr>
          <w:rFonts w:hint="eastAsia" w:ascii="宋体" w:hAnsi="宋体" w:eastAsia="宋体" w:cs="宋体"/>
          <w:sz w:val="24"/>
          <w:szCs w:val="24"/>
        </w:rPr>
        <w:t>法定代表人（或其授权代表）或自然人</w:t>
      </w:r>
      <w:r>
        <w:rPr>
          <w:rFonts w:hint="eastAsia" w:ascii="宋体" w:hAnsi="宋体" w:eastAsia="宋体" w:cs="宋体"/>
          <w:sz w:val="24"/>
          <w:szCs w:val="28"/>
        </w:rPr>
        <w:t>：</w:t>
      </w:r>
    </w:p>
    <w:p w14:paraId="2FDDD50E">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776F02D5">
      <w:pPr>
        <w:spacing w:line="500" w:lineRule="exact"/>
        <w:ind w:firstLine="360" w:firstLineChars="150"/>
        <w:rPr>
          <w:rFonts w:ascii="宋体" w:hAnsi="宋体" w:eastAsia="宋体" w:cs="宋体"/>
          <w:sz w:val="24"/>
          <w:szCs w:val="28"/>
        </w:rPr>
      </w:pPr>
      <w:r>
        <w:rPr>
          <w:rFonts w:hint="eastAsia" w:ascii="宋体" w:hAnsi="宋体" w:eastAsia="宋体" w:cs="宋体"/>
          <w:sz w:val="24"/>
          <w:szCs w:val="28"/>
        </w:rPr>
        <w:t>（供应商公章）                                     （签署或盖章）</w:t>
      </w:r>
    </w:p>
    <w:p w14:paraId="50E6DBDF">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3655D1DB">
      <w:pPr>
        <w:tabs>
          <w:tab w:val="left" w:pos="6300"/>
        </w:tabs>
        <w:snapToGrid w:val="0"/>
        <w:spacing w:line="400" w:lineRule="exact"/>
        <w:ind w:firstLine="480" w:firstLineChars="200"/>
        <w:rPr>
          <w:rFonts w:ascii="宋体" w:hAnsi="宋体" w:eastAsia="宋体" w:cs="宋体"/>
          <w:sz w:val="24"/>
        </w:rPr>
      </w:pPr>
      <w:r>
        <w:rPr>
          <w:rFonts w:hint="eastAsia" w:ascii="宋体" w:hAnsi="宋体" w:eastAsia="宋体" w:cs="宋体"/>
          <w:sz w:val="24"/>
        </w:rPr>
        <w:t>注：</w:t>
      </w:r>
    </w:p>
    <w:p w14:paraId="069267C9">
      <w:pPr>
        <w:tabs>
          <w:tab w:val="left" w:pos="6300"/>
        </w:tabs>
        <w:snapToGrid w:val="0"/>
        <w:spacing w:line="4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w:t>
      </w:r>
      <w:r>
        <w:rPr>
          <w:rFonts w:hint="eastAsia" w:ascii="宋体" w:hAnsi="宋体" w:eastAsia="宋体" w:cs="宋体"/>
          <w:sz w:val="24"/>
          <w:szCs w:val="24"/>
        </w:rPr>
        <w:t>本表即为对本项目“第三篇  谈判项目服务需求”中所列条款进行比较和响应；</w:t>
      </w:r>
    </w:p>
    <w:p w14:paraId="4D152FE5">
      <w:pPr>
        <w:tabs>
          <w:tab w:val="left" w:pos="6300"/>
        </w:tabs>
        <w:snapToGrid w:val="0"/>
        <w:spacing w:line="480" w:lineRule="exact"/>
        <w:ind w:firstLine="480" w:firstLineChars="200"/>
        <w:rPr>
          <w:rFonts w:ascii="宋体" w:hAnsi="宋体" w:eastAsia="宋体" w:cs="宋体"/>
          <w:sz w:val="24"/>
          <w:szCs w:val="24"/>
        </w:rPr>
      </w:pPr>
      <w:r>
        <w:rPr>
          <w:rFonts w:hint="eastAsia" w:ascii="宋体" w:hAnsi="宋体" w:eastAsia="宋体" w:cs="宋体"/>
          <w:sz w:val="24"/>
        </w:rPr>
        <w:t>2.本表可扩展</w:t>
      </w:r>
      <w:r>
        <w:rPr>
          <w:rFonts w:hint="eastAsia" w:ascii="宋体" w:hAnsi="宋体" w:eastAsia="宋体" w:cs="宋体"/>
          <w:sz w:val="24"/>
          <w:szCs w:val="24"/>
        </w:rPr>
        <w:t>。</w:t>
      </w:r>
    </w:p>
    <w:p w14:paraId="7F0E57C8">
      <w:pPr>
        <w:tabs>
          <w:tab w:val="left" w:pos="6300"/>
        </w:tabs>
        <w:snapToGrid w:val="0"/>
        <w:spacing w:line="480" w:lineRule="exact"/>
        <w:ind w:firstLine="480" w:firstLineChars="200"/>
        <w:rPr>
          <w:rFonts w:ascii="宋体" w:hAnsi="宋体" w:eastAsia="宋体" w:cs="宋体"/>
          <w:sz w:val="24"/>
          <w:szCs w:val="24"/>
        </w:rPr>
      </w:pPr>
    </w:p>
    <w:p w14:paraId="6A17207B">
      <w:pPr>
        <w:tabs>
          <w:tab w:val="left" w:pos="6300"/>
        </w:tabs>
        <w:snapToGrid w:val="0"/>
        <w:spacing w:line="480" w:lineRule="exact"/>
        <w:ind w:firstLine="480" w:firstLineChars="200"/>
        <w:outlineLvl w:val="2"/>
        <w:rPr>
          <w:rFonts w:ascii="宋体" w:hAnsi="宋体" w:eastAsia="宋体" w:cs="宋体"/>
          <w:sz w:val="24"/>
          <w:szCs w:val="24"/>
        </w:rPr>
      </w:pPr>
      <w:r>
        <w:rPr>
          <w:rFonts w:hint="eastAsia" w:ascii="宋体" w:hAnsi="宋体" w:eastAsia="宋体" w:cs="宋体"/>
          <w:sz w:val="24"/>
          <w:szCs w:val="24"/>
        </w:rPr>
        <w:br w:type="page"/>
      </w:r>
      <w:bookmarkStart w:id="403" w:name="_Toc29654"/>
      <w:bookmarkStart w:id="404" w:name="_Toc132634086"/>
      <w:bookmarkStart w:id="405" w:name="_Toc23073"/>
      <w:bookmarkStart w:id="406" w:name="_Toc2204"/>
      <w:r>
        <w:rPr>
          <w:rFonts w:hint="eastAsia" w:ascii="宋体" w:hAnsi="宋体" w:eastAsia="宋体" w:cs="宋体"/>
          <w:sz w:val="24"/>
          <w:szCs w:val="24"/>
        </w:rPr>
        <w:t>（二）服务</w:t>
      </w:r>
      <w:r>
        <w:rPr>
          <w:rFonts w:hint="eastAsia" w:ascii="宋体" w:hAnsi="宋体" w:eastAsia="宋体" w:cs="宋体"/>
          <w:sz w:val="24"/>
          <w:szCs w:val="24"/>
          <w:lang w:val="en-US" w:eastAsia="zh-CN"/>
        </w:rPr>
        <w:t>要求资料</w:t>
      </w:r>
      <w:r>
        <w:rPr>
          <w:rFonts w:hint="eastAsia" w:ascii="宋体" w:hAnsi="宋体" w:eastAsia="宋体" w:cs="宋体"/>
          <w:sz w:val="24"/>
          <w:szCs w:val="24"/>
        </w:rPr>
        <w:t>（格式自定）</w:t>
      </w:r>
      <w:bookmarkEnd w:id="403"/>
      <w:bookmarkEnd w:id="404"/>
      <w:bookmarkEnd w:id="405"/>
      <w:bookmarkEnd w:id="406"/>
    </w:p>
    <w:p w14:paraId="0A0D4ACA">
      <w:pPr>
        <w:tabs>
          <w:tab w:val="left" w:pos="6300"/>
        </w:tabs>
        <w:snapToGrid w:val="0"/>
        <w:spacing w:line="480" w:lineRule="exact"/>
        <w:ind w:firstLine="480" w:firstLineChars="200"/>
        <w:rPr>
          <w:rFonts w:ascii="宋体" w:hAnsi="宋体" w:eastAsia="宋体" w:cs="宋体"/>
          <w:sz w:val="24"/>
          <w:szCs w:val="24"/>
        </w:rPr>
      </w:pPr>
    </w:p>
    <w:p w14:paraId="3F8790AB">
      <w:pPr>
        <w:pStyle w:val="4"/>
        <w:adjustRightInd w:val="0"/>
        <w:snapToGrid w:val="0"/>
        <w:spacing w:before="0" w:after="0" w:line="400" w:lineRule="exact"/>
        <w:ind w:firstLine="482" w:firstLineChars="200"/>
        <w:rPr>
          <w:rFonts w:ascii="宋体" w:hAnsi="宋体" w:eastAsia="宋体" w:cs="宋体"/>
          <w:sz w:val="24"/>
        </w:rPr>
      </w:pPr>
      <w:r>
        <w:rPr>
          <w:rFonts w:hint="eastAsia" w:ascii="宋体" w:hAnsi="宋体" w:eastAsia="宋体" w:cs="宋体"/>
          <w:sz w:val="24"/>
          <w:szCs w:val="24"/>
        </w:rPr>
        <w:br w:type="page"/>
      </w:r>
      <w:bookmarkStart w:id="407" w:name="_Toc20162"/>
      <w:bookmarkStart w:id="408" w:name="_Toc106034662"/>
      <w:bookmarkStart w:id="409" w:name="_Toc20429"/>
      <w:bookmarkStart w:id="410" w:name="_Toc4306"/>
      <w:bookmarkStart w:id="411" w:name="_Toc65660382"/>
      <w:bookmarkStart w:id="412" w:name="_Toc2082"/>
      <w:bookmarkStart w:id="413" w:name="_Toc132634087"/>
      <w:r>
        <w:rPr>
          <w:rFonts w:hint="eastAsia" w:ascii="宋体" w:hAnsi="宋体" w:eastAsia="宋体" w:cs="宋体"/>
          <w:sz w:val="24"/>
        </w:rPr>
        <w:t>四、</w:t>
      </w:r>
      <w:bookmarkEnd w:id="376"/>
      <w:bookmarkEnd w:id="377"/>
      <w:bookmarkEnd w:id="378"/>
      <w:r>
        <w:rPr>
          <w:rFonts w:hint="eastAsia" w:ascii="宋体" w:hAnsi="宋体" w:eastAsia="宋体" w:cs="宋体"/>
          <w:sz w:val="24"/>
        </w:rPr>
        <w:t>资格条件及其他</w:t>
      </w:r>
      <w:bookmarkEnd w:id="407"/>
      <w:bookmarkEnd w:id="408"/>
      <w:bookmarkEnd w:id="409"/>
      <w:bookmarkEnd w:id="410"/>
      <w:bookmarkEnd w:id="411"/>
      <w:bookmarkEnd w:id="412"/>
      <w:bookmarkEnd w:id="413"/>
      <w:bookmarkStart w:id="414" w:name="_Toc313008359"/>
      <w:bookmarkStart w:id="415" w:name="_Toc313888363"/>
      <w:bookmarkStart w:id="416" w:name="_Toc342913422"/>
    </w:p>
    <w:p w14:paraId="5F1BA18E">
      <w:pPr>
        <w:spacing w:line="400" w:lineRule="exact"/>
        <w:ind w:firstLine="480" w:firstLineChars="200"/>
        <w:outlineLvl w:val="2"/>
        <w:rPr>
          <w:rFonts w:ascii="宋体" w:hAnsi="宋体" w:eastAsia="宋体" w:cs="宋体"/>
          <w:sz w:val="24"/>
          <w:szCs w:val="24"/>
        </w:rPr>
      </w:pPr>
      <w:bookmarkStart w:id="417" w:name="_Toc22090"/>
      <w:bookmarkStart w:id="418" w:name="_Toc11806"/>
      <w:bookmarkStart w:id="419" w:name="_Toc132634088"/>
      <w:bookmarkStart w:id="420" w:name="_Toc1631"/>
      <w:r>
        <w:rPr>
          <w:rFonts w:hint="eastAsia" w:ascii="宋体" w:hAnsi="宋体" w:eastAsia="宋体" w:cs="宋体"/>
          <w:sz w:val="24"/>
          <w:szCs w:val="24"/>
        </w:rPr>
        <w:t>（一）法人营业执照（副本）或事业单位法人证书（副本）或个体工商户营业执照或有效的自然人身份证明或社会团体法人登记证书复印件</w:t>
      </w:r>
      <w:bookmarkEnd w:id="417"/>
      <w:bookmarkEnd w:id="418"/>
      <w:bookmarkEnd w:id="419"/>
      <w:bookmarkEnd w:id="420"/>
    </w:p>
    <w:p w14:paraId="79DBC2F8">
      <w:pPr>
        <w:tabs>
          <w:tab w:val="left" w:pos="6300"/>
        </w:tabs>
        <w:snapToGrid w:val="0"/>
        <w:spacing w:line="500" w:lineRule="exact"/>
        <w:ind w:firstLine="570"/>
        <w:rPr>
          <w:rFonts w:ascii="宋体" w:hAnsi="宋体" w:eastAsia="宋体" w:cs="宋体"/>
          <w:sz w:val="24"/>
          <w:szCs w:val="24"/>
        </w:rPr>
      </w:pPr>
    </w:p>
    <w:p w14:paraId="76AE7CCB">
      <w:pPr>
        <w:tabs>
          <w:tab w:val="left" w:pos="6300"/>
        </w:tabs>
        <w:snapToGrid w:val="0"/>
        <w:spacing w:line="500" w:lineRule="exact"/>
        <w:ind w:firstLine="570"/>
        <w:rPr>
          <w:rFonts w:ascii="宋体" w:hAnsi="宋体" w:eastAsia="宋体" w:cs="宋体"/>
        </w:rPr>
      </w:pPr>
    </w:p>
    <w:p w14:paraId="26B00E36">
      <w:pPr>
        <w:tabs>
          <w:tab w:val="left" w:pos="6300"/>
        </w:tabs>
        <w:snapToGrid w:val="0"/>
        <w:spacing w:line="500" w:lineRule="exact"/>
        <w:ind w:firstLine="570"/>
        <w:rPr>
          <w:rFonts w:ascii="宋体" w:hAnsi="宋体" w:eastAsia="宋体" w:cs="宋体"/>
        </w:rPr>
      </w:pPr>
    </w:p>
    <w:p w14:paraId="2D655A26">
      <w:pPr>
        <w:tabs>
          <w:tab w:val="left" w:pos="6300"/>
        </w:tabs>
        <w:snapToGrid w:val="0"/>
        <w:spacing w:line="500" w:lineRule="exact"/>
        <w:ind w:firstLine="570"/>
        <w:rPr>
          <w:rFonts w:ascii="宋体" w:hAnsi="宋体" w:eastAsia="宋体" w:cs="宋体"/>
        </w:rPr>
      </w:pPr>
    </w:p>
    <w:p w14:paraId="64ADD92B">
      <w:pPr>
        <w:tabs>
          <w:tab w:val="left" w:pos="6300"/>
        </w:tabs>
        <w:snapToGrid w:val="0"/>
        <w:spacing w:line="500" w:lineRule="exact"/>
        <w:ind w:firstLine="570"/>
        <w:rPr>
          <w:rFonts w:ascii="宋体" w:hAnsi="宋体" w:eastAsia="宋体" w:cs="宋体"/>
        </w:rPr>
      </w:pPr>
    </w:p>
    <w:p w14:paraId="78BB29C6">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21" w:name="_Toc132634089"/>
      <w:bookmarkStart w:id="422" w:name="_Toc3147"/>
      <w:bookmarkStart w:id="423" w:name="_Toc219"/>
      <w:bookmarkStart w:id="424" w:name="_Toc6311"/>
      <w:r>
        <w:rPr>
          <w:rFonts w:hint="eastAsia" w:ascii="宋体" w:hAnsi="宋体" w:eastAsia="宋体" w:cs="宋体"/>
          <w:sz w:val="24"/>
          <w:szCs w:val="24"/>
        </w:rPr>
        <w:t>（二）法定代表人身份证明书（格式）</w:t>
      </w:r>
      <w:bookmarkEnd w:id="421"/>
      <w:bookmarkEnd w:id="422"/>
      <w:bookmarkEnd w:id="423"/>
      <w:bookmarkEnd w:id="424"/>
    </w:p>
    <w:p w14:paraId="0CC1E153">
      <w:pPr>
        <w:tabs>
          <w:tab w:val="left" w:pos="6300"/>
        </w:tabs>
        <w:snapToGrid w:val="0"/>
        <w:spacing w:line="500" w:lineRule="exact"/>
        <w:ind w:firstLine="570"/>
        <w:rPr>
          <w:rFonts w:ascii="宋体" w:hAnsi="宋体" w:eastAsia="宋体" w:cs="宋体"/>
          <w:sz w:val="24"/>
        </w:rPr>
      </w:pPr>
    </w:p>
    <w:p w14:paraId="1C679031">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谈判项目名称：</w:t>
      </w:r>
      <w:r>
        <w:rPr>
          <w:rFonts w:hint="eastAsia" w:ascii="宋体" w:hAnsi="宋体" w:eastAsia="宋体" w:cs="宋体"/>
          <w:sz w:val="24"/>
          <w:u w:val="single"/>
        </w:rPr>
        <w:t xml:space="preserve">                                                </w:t>
      </w:r>
    </w:p>
    <w:p w14:paraId="742611B2">
      <w:pPr>
        <w:tabs>
          <w:tab w:val="left" w:pos="6300"/>
        </w:tabs>
        <w:snapToGrid w:val="0"/>
        <w:spacing w:line="500" w:lineRule="exact"/>
        <w:ind w:firstLine="570"/>
        <w:rPr>
          <w:rFonts w:ascii="宋体" w:hAnsi="宋体" w:eastAsia="宋体" w:cs="宋体"/>
          <w:sz w:val="24"/>
        </w:rPr>
      </w:pPr>
    </w:p>
    <w:p w14:paraId="6AEF0864">
      <w:pPr>
        <w:tabs>
          <w:tab w:val="left" w:pos="6300"/>
        </w:tabs>
        <w:snapToGrid w:val="0"/>
        <w:spacing w:line="500" w:lineRule="exact"/>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（采购代理机构名称）：</w:t>
      </w:r>
    </w:p>
    <w:p w14:paraId="043230B7">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（法定代表人姓名）在</w:t>
      </w:r>
      <w:r>
        <w:rPr>
          <w:rFonts w:hint="eastAsia" w:ascii="宋体" w:hAnsi="宋体" w:eastAsia="宋体" w:cs="宋体"/>
          <w:sz w:val="24"/>
          <w:u w:val="single"/>
        </w:rPr>
        <w:t xml:space="preserve">                       </w:t>
      </w:r>
      <w:r>
        <w:rPr>
          <w:rFonts w:hint="eastAsia" w:ascii="宋体" w:hAnsi="宋体" w:eastAsia="宋体" w:cs="宋体"/>
          <w:sz w:val="24"/>
        </w:rPr>
        <w:t>（供应商名称）任</w:t>
      </w:r>
      <w:r>
        <w:rPr>
          <w:rFonts w:hint="eastAsia" w:ascii="宋体" w:hAnsi="宋体" w:eastAsia="宋体" w:cs="宋体"/>
          <w:sz w:val="24"/>
          <w:u w:val="single"/>
        </w:rPr>
        <w:t xml:space="preserve">    </w:t>
      </w:r>
      <w:r>
        <w:rPr>
          <w:rFonts w:hint="eastAsia" w:ascii="宋体" w:hAnsi="宋体" w:eastAsia="宋体" w:cs="宋体"/>
          <w:sz w:val="24"/>
        </w:rPr>
        <w:t>（职务名称）职务，是（供应商名称）</w:t>
      </w:r>
      <w:r>
        <w:rPr>
          <w:rFonts w:hint="eastAsia" w:ascii="宋体" w:hAnsi="宋体" w:eastAsia="宋体" w:cs="宋体"/>
          <w:sz w:val="24"/>
          <w:u w:val="single"/>
        </w:rPr>
        <w:t xml:space="preserve">              </w:t>
      </w:r>
      <w:r>
        <w:rPr>
          <w:rFonts w:hint="eastAsia" w:ascii="宋体" w:hAnsi="宋体" w:eastAsia="宋体" w:cs="宋体"/>
          <w:sz w:val="24"/>
        </w:rPr>
        <w:t>的法定代表人。</w:t>
      </w:r>
    </w:p>
    <w:p w14:paraId="15236354">
      <w:pPr>
        <w:tabs>
          <w:tab w:val="left" w:pos="6300"/>
        </w:tabs>
        <w:snapToGrid w:val="0"/>
        <w:spacing w:line="500" w:lineRule="exact"/>
        <w:ind w:firstLine="570"/>
        <w:rPr>
          <w:rFonts w:ascii="宋体" w:hAnsi="宋体" w:eastAsia="宋体" w:cs="宋体"/>
          <w:sz w:val="24"/>
        </w:rPr>
      </w:pPr>
    </w:p>
    <w:p w14:paraId="5C9AB40E">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特此证明。</w:t>
      </w:r>
    </w:p>
    <w:p w14:paraId="139D05BB">
      <w:pPr>
        <w:tabs>
          <w:tab w:val="left" w:pos="6300"/>
        </w:tabs>
        <w:snapToGrid w:val="0"/>
        <w:spacing w:line="500" w:lineRule="exact"/>
        <w:ind w:firstLine="570"/>
        <w:rPr>
          <w:rFonts w:ascii="宋体" w:hAnsi="宋体" w:eastAsia="宋体" w:cs="宋体"/>
          <w:sz w:val="24"/>
        </w:rPr>
      </w:pPr>
    </w:p>
    <w:p w14:paraId="725F3355">
      <w:pPr>
        <w:tabs>
          <w:tab w:val="left" w:pos="6300"/>
        </w:tabs>
        <w:snapToGrid w:val="0"/>
        <w:spacing w:line="500" w:lineRule="exact"/>
        <w:ind w:firstLine="570"/>
        <w:rPr>
          <w:rFonts w:ascii="宋体" w:hAnsi="宋体" w:eastAsia="宋体" w:cs="宋体"/>
          <w:sz w:val="24"/>
        </w:rPr>
      </w:pPr>
    </w:p>
    <w:p w14:paraId="1824A6A3">
      <w:pPr>
        <w:tabs>
          <w:tab w:val="left" w:pos="6300"/>
        </w:tabs>
        <w:snapToGrid w:val="0"/>
        <w:spacing w:line="500" w:lineRule="exact"/>
        <w:ind w:firstLine="570"/>
        <w:rPr>
          <w:rFonts w:ascii="宋体" w:hAnsi="宋体" w:eastAsia="宋体" w:cs="宋体"/>
          <w:sz w:val="24"/>
        </w:rPr>
      </w:pPr>
    </w:p>
    <w:p w14:paraId="19F6F8CF">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（供应商公章）</w:t>
      </w:r>
    </w:p>
    <w:p w14:paraId="14662EFD">
      <w:pPr>
        <w:tabs>
          <w:tab w:val="left" w:pos="6300"/>
        </w:tabs>
        <w:snapToGrid w:val="0"/>
        <w:spacing w:line="500" w:lineRule="exact"/>
        <w:ind w:firstLine="570"/>
        <w:rPr>
          <w:rFonts w:ascii="宋体" w:hAnsi="宋体" w:eastAsia="宋体" w:cs="宋体"/>
          <w:sz w:val="24"/>
        </w:rPr>
      </w:pPr>
    </w:p>
    <w:p w14:paraId="1D2F1BAF">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年   月   日</w:t>
      </w:r>
    </w:p>
    <w:p w14:paraId="041A2825">
      <w:pPr>
        <w:tabs>
          <w:tab w:val="left" w:pos="6300"/>
        </w:tabs>
        <w:snapToGrid w:val="0"/>
        <w:spacing w:line="500" w:lineRule="exact"/>
        <w:ind w:firstLine="570"/>
        <w:rPr>
          <w:rFonts w:ascii="宋体" w:hAnsi="宋体" w:eastAsia="宋体" w:cs="宋体"/>
          <w:sz w:val="24"/>
        </w:rPr>
      </w:pPr>
    </w:p>
    <w:p w14:paraId="57DD8E5B">
      <w:pPr>
        <w:tabs>
          <w:tab w:val="left" w:pos="6300"/>
        </w:tabs>
        <w:snapToGrid w:val="0"/>
        <w:spacing w:line="500" w:lineRule="exact"/>
        <w:ind w:firstLine="570"/>
        <w:rPr>
          <w:rFonts w:ascii="宋体" w:hAnsi="宋体" w:eastAsia="宋体" w:cs="宋体"/>
          <w:sz w:val="24"/>
        </w:rPr>
      </w:pPr>
    </w:p>
    <w:p w14:paraId="35C0554F">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法定代表人电话：XXXXXXX      电子邮箱：XXXXXX@XXXXX（若授权他人办理并签署响应文件的可不填写）</w:t>
      </w:r>
    </w:p>
    <w:p w14:paraId="1AF902D8">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（附：法定代表人身份证正反面复印件）</w:t>
      </w:r>
    </w:p>
    <w:p w14:paraId="724405F4">
      <w:pPr>
        <w:tabs>
          <w:tab w:val="left" w:pos="6300"/>
        </w:tabs>
        <w:snapToGrid w:val="0"/>
        <w:spacing w:line="500" w:lineRule="exact"/>
        <w:ind w:firstLine="570"/>
        <w:rPr>
          <w:rFonts w:ascii="宋体" w:hAnsi="宋体" w:eastAsia="宋体" w:cs="宋体"/>
          <w:sz w:val="24"/>
        </w:rPr>
      </w:pPr>
    </w:p>
    <w:p w14:paraId="15F0669D">
      <w:pPr>
        <w:tabs>
          <w:tab w:val="left" w:pos="6300"/>
        </w:tabs>
        <w:snapToGrid w:val="0"/>
        <w:spacing w:line="500" w:lineRule="exact"/>
        <w:ind w:firstLine="570"/>
        <w:rPr>
          <w:rFonts w:ascii="宋体" w:hAnsi="宋体" w:eastAsia="宋体" w:cs="宋体"/>
          <w:sz w:val="24"/>
        </w:rPr>
      </w:pPr>
    </w:p>
    <w:p w14:paraId="23B34B71">
      <w:pPr>
        <w:tabs>
          <w:tab w:val="left" w:pos="6300"/>
        </w:tabs>
        <w:snapToGrid w:val="0"/>
        <w:spacing w:line="500" w:lineRule="exact"/>
        <w:ind w:firstLine="570"/>
        <w:rPr>
          <w:rFonts w:ascii="宋体" w:hAnsi="宋体" w:eastAsia="宋体" w:cs="宋体"/>
          <w:sz w:val="24"/>
        </w:rPr>
      </w:pPr>
    </w:p>
    <w:p w14:paraId="3A9CF321">
      <w:pPr>
        <w:tabs>
          <w:tab w:val="left" w:pos="6300"/>
        </w:tabs>
        <w:snapToGrid w:val="0"/>
        <w:spacing w:line="500" w:lineRule="exact"/>
        <w:ind w:firstLine="570"/>
        <w:rPr>
          <w:rFonts w:ascii="宋体" w:hAnsi="宋体" w:eastAsia="宋体" w:cs="宋体"/>
          <w:sz w:val="24"/>
        </w:rPr>
      </w:pPr>
    </w:p>
    <w:p w14:paraId="7A0BD36B">
      <w:pPr>
        <w:widowControl/>
        <w:spacing w:line="400" w:lineRule="exact"/>
        <w:ind w:firstLine="480" w:firstLineChars="200"/>
        <w:jc w:val="left"/>
        <w:outlineLvl w:val="2"/>
        <w:rPr>
          <w:rFonts w:ascii="宋体" w:hAnsi="宋体" w:eastAsia="宋体" w:cs="宋体"/>
          <w:sz w:val="24"/>
          <w:szCs w:val="24"/>
        </w:rPr>
      </w:pPr>
      <w:r>
        <w:rPr>
          <w:rFonts w:hint="eastAsia" w:ascii="宋体" w:hAnsi="宋体" w:eastAsia="宋体" w:cs="宋体"/>
          <w:sz w:val="24"/>
        </w:rPr>
        <w:br w:type="page"/>
      </w:r>
      <w:bookmarkStart w:id="425" w:name="_Toc9520"/>
      <w:bookmarkStart w:id="426" w:name="_Toc1014"/>
      <w:bookmarkStart w:id="427" w:name="_Toc132634090"/>
      <w:bookmarkStart w:id="428" w:name="_Toc18430"/>
      <w:r>
        <w:rPr>
          <w:rFonts w:hint="eastAsia" w:ascii="宋体" w:hAnsi="宋体" w:eastAsia="宋体" w:cs="宋体"/>
          <w:sz w:val="24"/>
          <w:szCs w:val="24"/>
        </w:rPr>
        <w:t>（三）法定代表人授权委托书（格式）</w:t>
      </w:r>
      <w:bookmarkEnd w:id="425"/>
      <w:bookmarkEnd w:id="426"/>
      <w:bookmarkEnd w:id="427"/>
      <w:bookmarkEnd w:id="428"/>
    </w:p>
    <w:p w14:paraId="3C215C03">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w:t>
      </w:r>
    </w:p>
    <w:p w14:paraId="0443738C">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8"/>
        </w:rPr>
        <w:t>谈判项目名称</w:t>
      </w:r>
      <w:r>
        <w:rPr>
          <w:rFonts w:hint="eastAsia" w:ascii="宋体" w:hAnsi="宋体" w:eastAsia="宋体" w:cs="宋体"/>
          <w:sz w:val="24"/>
        </w:rPr>
        <w:t>：</w:t>
      </w:r>
      <w:r>
        <w:rPr>
          <w:rFonts w:hint="eastAsia" w:ascii="宋体" w:hAnsi="宋体" w:eastAsia="宋体" w:cs="宋体"/>
          <w:sz w:val="24"/>
          <w:u w:val="single"/>
        </w:rPr>
        <w:t xml:space="preserve">                                                </w:t>
      </w:r>
    </w:p>
    <w:p w14:paraId="6552E377">
      <w:pPr>
        <w:tabs>
          <w:tab w:val="left" w:pos="6300"/>
        </w:tabs>
        <w:snapToGrid w:val="0"/>
        <w:spacing w:line="500" w:lineRule="exact"/>
        <w:ind w:firstLine="570"/>
        <w:rPr>
          <w:rFonts w:ascii="宋体" w:hAnsi="宋体" w:eastAsia="宋体" w:cs="宋体"/>
          <w:sz w:val="24"/>
        </w:rPr>
      </w:pPr>
    </w:p>
    <w:p w14:paraId="0F78A5B0">
      <w:pPr>
        <w:tabs>
          <w:tab w:val="left" w:pos="6300"/>
        </w:tabs>
        <w:snapToGrid w:val="0"/>
        <w:spacing w:line="500" w:lineRule="exact"/>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（采购代理机构名称）：</w:t>
      </w:r>
    </w:p>
    <w:p w14:paraId="010A2D89">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（供应商法定代表人名称）是</w:t>
      </w:r>
      <w:r>
        <w:rPr>
          <w:rFonts w:hint="eastAsia" w:ascii="宋体" w:hAnsi="宋体" w:eastAsia="宋体" w:cs="宋体"/>
          <w:sz w:val="24"/>
          <w:u w:val="single"/>
        </w:rPr>
        <w:t xml:space="preserve">                    </w:t>
      </w:r>
      <w:r>
        <w:rPr>
          <w:rFonts w:hint="eastAsia" w:ascii="宋体" w:hAnsi="宋体" w:eastAsia="宋体" w:cs="宋体"/>
          <w:sz w:val="24"/>
        </w:rPr>
        <w:t>（供应商名称）的法定代表人，特授权</w:t>
      </w:r>
      <w:r>
        <w:rPr>
          <w:rFonts w:hint="eastAsia" w:ascii="宋体" w:hAnsi="宋体" w:eastAsia="宋体" w:cs="宋体"/>
          <w:sz w:val="24"/>
          <w:u w:val="single"/>
        </w:rPr>
        <w:t xml:space="preserve">          </w:t>
      </w:r>
      <w:r>
        <w:rPr>
          <w:rFonts w:hint="eastAsia" w:ascii="宋体" w:hAnsi="宋体" w:eastAsia="宋体" w:cs="宋体"/>
          <w:sz w:val="24"/>
        </w:rPr>
        <w:t>（被授权人姓名及身份证代码）代表我单位全权办理上述项目的谈判、签约等具体工作，并签署全部有关文件、协议及合同。</w:t>
      </w:r>
    </w:p>
    <w:p w14:paraId="7420D230">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我单位对被授权人的</w:t>
      </w:r>
      <w:r>
        <w:rPr>
          <w:rFonts w:hint="eastAsia" w:ascii="宋体" w:hAnsi="宋体" w:eastAsia="宋体" w:cs="宋体"/>
          <w:sz w:val="24"/>
          <w:szCs w:val="28"/>
        </w:rPr>
        <w:t>签署</w:t>
      </w:r>
      <w:r>
        <w:rPr>
          <w:rFonts w:hint="eastAsia" w:ascii="宋体" w:hAnsi="宋体" w:eastAsia="宋体" w:cs="宋体"/>
          <w:sz w:val="24"/>
        </w:rPr>
        <w:t>负全部责任。</w:t>
      </w:r>
    </w:p>
    <w:p w14:paraId="38E1E48A">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在撤销授权的书面通知以前，本授权书一直有效。被授权人在授权书有效期内签署的所有文件不因授权的撤销而失效。</w:t>
      </w:r>
    </w:p>
    <w:p w14:paraId="0A65A507">
      <w:pPr>
        <w:tabs>
          <w:tab w:val="left" w:pos="6300"/>
        </w:tabs>
        <w:snapToGrid w:val="0"/>
        <w:spacing w:line="500" w:lineRule="exact"/>
        <w:ind w:firstLine="570"/>
        <w:rPr>
          <w:rFonts w:ascii="宋体" w:hAnsi="宋体" w:eastAsia="宋体" w:cs="宋体"/>
          <w:sz w:val="24"/>
        </w:rPr>
      </w:pPr>
    </w:p>
    <w:p w14:paraId="387E5141">
      <w:pPr>
        <w:tabs>
          <w:tab w:val="left" w:pos="6300"/>
        </w:tabs>
        <w:snapToGrid w:val="0"/>
        <w:spacing w:line="500" w:lineRule="exact"/>
        <w:ind w:firstLine="570"/>
        <w:rPr>
          <w:rFonts w:ascii="宋体" w:hAnsi="宋体" w:eastAsia="宋体" w:cs="宋体"/>
          <w:sz w:val="24"/>
        </w:rPr>
      </w:pPr>
    </w:p>
    <w:p w14:paraId="23D25EE7">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被授权人：                                 供应商法定代表人：</w:t>
      </w:r>
    </w:p>
    <w:p w14:paraId="606EF733">
      <w:pPr>
        <w:tabs>
          <w:tab w:val="left" w:pos="6300"/>
        </w:tabs>
        <w:snapToGrid w:val="0"/>
        <w:spacing w:line="500" w:lineRule="exact"/>
        <w:ind w:firstLine="570"/>
        <w:rPr>
          <w:rFonts w:ascii="宋体" w:hAnsi="宋体" w:eastAsia="宋体" w:cs="宋体"/>
          <w:sz w:val="24"/>
          <w:szCs w:val="28"/>
        </w:rPr>
      </w:pPr>
      <w:r>
        <w:rPr>
          <w:rFonts w:hint="eastAsia" w:ascii="宋体" w:hAnsi="宋体" w:eastAsia="宋体" w:cs="宋体"/>
          <w:sz w:val="24"/>
          <w:szCs w:val="28"/>
        </w:rPr>
        <w:t>（签署或盖章）                                （签署或盖章）</w:t>
      </w:r>
    </w:p>
    <w:p w14:paraId="399089F7">
      <w:pPr>
        <w:tabs>
          <w:tab w:val="left" w:pos="6300"/>
        </w:tabs>
        <w:snapToGrid w:val="0"/>
        <w:spacing w:line="500" w:lineRule="exact"/>
        <w:ind w:firstLine="570"/>
        <w:rPr>
          <w:rFonts w:ascii="宋体" w:hAnsi="宋体" w:eastAsia="宋体" w:cs="宋体"/>
          <w:sz w:val="24"/>
          <w:szCs w:val="28"/>
        </w:rPr>
      </w:pPr>
    </w:p>
    <w:p w14:paraId="4815DAA6">
      <w:pPr>
        <w:tabs>
          <w:tab w:val="left" w:pos="6300"/>
        </w:tabs>
        <w:snapToGrid w:val="0"/>
        <w:spacing w:line="500" w:lineRule="exact"/>
        <w:ind w:firstLine="570"/>
        <w:rPr>
          <w:rFonts w:ascii="宋体" w:hAnsi="宋体" w:eastAsia="宋体" w:cs="宋体"/>
          <w:sz w:val="24"/>
        </w:rPr>
      </w:pPr>
    </w:p>
    <w:p w14:paraId="32AF78E8">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（附：被授权人身份证正反面复印件）</w:t>
      </w:r>
    </w:p>
    <w:p w14:paraId="04E94119">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w:t>
      </w:r>
    </w:p>
    <w:p w14:paraId="512BC843">
      <w:pPr>
        <w:tabs>
          <w:tab w:val="left" w:pos="6300"/>
        </w:tabs>
        <w:snapToGrid w:val="0"/>
        <w:spacing w:line="500" w:lineRule="exact"/>
        <w:ind w:firstLine="570"/>
        <w:rPr>
          <w:rFonts w:ascii="宋体" w:hAnsi="宋体" w:eastAsia="宋体" w:cs="宋体"/>
          <w:sz w:val="24"/>
        </w:rPr>
      </w:pPr>
    </w:p>
    <w:p w14:paraId="5586099D">
      <w:pPr>
        <w:tabs>
          <w:tab w:val="left" w:pos="6300"/>
        </w:tabs>
        <w:snapToGrid w:val="0"/>
        <w:spacing w:line="500" w:lineRule="exact"/>
        <w:ind w:firstLine="570"/>
        <w:rPr>
          <w:rFonts w:ascii="宋体" w:hAnsi="宋体" w:eastAsia="宋体" w:cs="宋体"/>
          <w:sz w:val="24"/>
        </w:rPr>
      </w:pPr>
    </w:p>
    <w:p w14:paraId="2211EB9B">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（供应商公章）</w:t>
      </w:r>
    </w:p>
    <w:p w14:paraId="118686B7">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年   月   日</w:t>
      </w:r>
    </w:p>
    <w:p w14:paraId="3CAE37F6">
      <w:pPr>
        <w:tabs>
          <w:tab w:val="left" w:pos="6300"/>
        </w:tabs>
        <w:snapToGrid w:val="0"/>
        <w:spacing w:line="500" w:lineRule="exact"/>
        <w:ind w:right="480" w:firstLine="570"/>
        <w:jc w:val="left"/>
        <w:rPr>
          <w:rFonts w:ascii="宋体" w:hAnsi="宋体" w:eastAsia="宋体" w:cs="宋体"/>
          <w:sz w:val="24"/>
        </w:rPr>
      </w:pPr>
      <w:r>
        <w:rPr>
          <w:rFonts w:hint="eastAsia" w:ascii="宋体" w:hAnsi="宋体" w:eastAsia="宋体" w:cs="宋体"/>
          <w:sz w:val="24"/>
        </w:rPr>
        <w:t>被授权人电话：XXXXXXX     电子邮箱：XXXXXX@XXXXX（若法定代表人办理并签署响应文件的可不填写）</w:t>
      </w:r>
    </w:p>
    <w:p w14:paraId="6AE39B19">
      <w:pPr>
        <w:tabs>
          <w:tab w:val="left" w:pos="6300"/>
        </w:tabs>
        <w:snapToGrid w:val="0"/>
        <w:spacing w:line="500" w:lineRule="exact"/>
        <w:ind w:right="480" w:firstLine="570"/>
        <w:jc w:val="left"/>
        <w:rPr>
          <w:rFonts w:ascii="宋体" w:hAnsi="宋体" w:eastAsia="宋体" w:cs="宋体"/>
          <w:sz w:val="24"/>
        </w:rPr>
      </w:pPr>
      <w:r>
        <w:rPr>
          <w:rFonts w:hint="eastAsia" w:ascii="宋体" w:hAnsi="宋体" w:eastAsia="宋体" w:cs="宋体"/>
          <w:sz w:val="24"/>
        </w:rPr>
        <w:t>注：1.若为法定代表人办理并签署响应文件的，不提供此文件。</w:t>
      </w:r>
    </w:p>
    <w:p w14:paraId="4D316500">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29" w:name="_Toc132634091"/>
      <w:bookmarkStart w:id="430" w:name="_Toc8404"/>
      <w:bookmarkStart w:id="431" w:name="_Toc7387"/>
      <w:bookmarkStart w:id="432" w:name="_Toc23358"/>
      <w:r>
        <w:rPr>
          <w:rFonts w:hint="eastAsia" w:ascii="宋体" w:hAnsi="宋体" w:eastAsia="宋体" w:cs="宋体"/>
          <w:sz w:val="24"/>
          <w:szCs w:val="24"/>
        </w:rPr>
        <w:t>（四）基本资格条件承诺函（格式）</w:t>
      </w:r>
      <w:bookmarkEnd w:id="429"/>
      <w:bookmarkEnd w:id="430"/>
      <w:bookmarkEnd w:id="431"/>
      <w:bookmarkEnd w:id="432"/>
    </w:p>
    <w:p w14:paraId="2B1D4016">
      <w:pPr>
        <w:tabs>
          <w:tab w:val="left" w:pos="6300"/>
        </w:tabs>
        <w:snapToGrid w:val="0"/>
        <w:spacing w:line="530" w:lineRule="exact"/>
        <w:rPr>
          <w:rFonts w:ascii="宋体" w:hAnsi="宋体" w:eastAsia="宋体" w:cs="宋体"/>
          <w:sz w:val="24"/>
        </w:rPr>
      </w:pPr>
    </w:p>
    <w:p w14:paraId="674E9ADA">
      <w:pPr>
        <w:pStyle w:val="2"/>
        <w:ind w:firstLine="4080" w:firstLineChars="1700"/>
        <w:rPr>
          <w:b w:val="0"/>
        </w:rPr>
      </w:pPr>
      <w:r>
        <w:rPr>
          <w:rFonts w:hint="eastAsia" w:ascii="宋体" w:hAnsi="宋体" w:eastAsia="宋体" w:cs="宋体"/>
          <w:b w:val="0"/>
          <w:sz w:val="24"/>
          <w:szCs w:val="24"/>
        </w:rPr>
        <w:t>基本资格条件承诺函</w:t>
      </w:r>
    </w:p>
    <w:p w14:paraId="22AC8509">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（采购代理机构名称）：</w:t>
      </w:r>
    </w:p>
    <w:p w14:paraId="3AE70966">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 xml:space="preserve">    </w:t>
      </w:r>
      <w:r>
        <w:rPr>
          <w:rFonts w:hint="eastAsia" w:ascii="宋体" w:hAnsi="宋体" w:eastAsia="宋体" w:cs="宋体"/>
          <w:sz w:val="24"/>
          <w:u w:val="single"/>
        </w:rPr>
        <w:t xml:space="preserve">              </w:t>
      </w:r>
      <w:r>
        <w:rPr>
          <w:rFonts w:hint="eastAsia" w:ascii="宋体" w:hAnsi="宋体" w:eastAsia="宋体" w:cs="宋体"/>
          <w:sz w:val="24"/>
        </w:rPr>
        <w:t>（供应商名称）郑重承诺：</w:t>
      </w:r>
    </w:p>
    <w:p w14:paraId="5D43EEB3">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1.我方具有良好的商业信誉和健全的财务会计制度，具有履行合同所必需的设备和专业技术能力，具</w:t>
      </w:r>
      <w:r>
        <w:rPr>
          <w:rFonts w:hint="eastAsia" w:ascii="宋体" w:hAnsi="宋体" w:eastAsia="宋体" w:cs="宋体"/>
          <w:sz w:val="24"/>
          <w:lang w:val="zh-CN"/>
        </w:rPr>
        <w:t>有依法缴纳税收和社会保障金的良好记录</w:t>
      </w:r>
      <w:r>
        <w:rPr>
          <w:rFonts w:hint="eastAsia" w:ascii="宋体" w:hAnsi="宋体" w:eastAsia="宋体" w:cs="宋体"/>
          <w:sz w:val="24"/>
        </w:rPr>
        <w:t>，参加本项目采购活动前三年内无重大违法活动记录。</w:t>
      </w:r>
    </w:p>
    <w:p w14:paraId="3870BA11">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2.我方未列入在信用中国网站（www.creditchina.gov.cn）“失信被执行人”、“重大税收违法案件当事人名单”中，也未列入中国政府采购网（www.ccgp.gov.cn）“政府采购严重违法失信行为记录名单”中。</w:t>
      </w:r>
    </w:p>
    <w:p w14:paraId="0D59CBC0">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3.我方在采购项目评审（评标）环节结束后，随时接受采购人、采购代理机构的检查验证，配合提供相关证明材料，证明符合《中华人民共和国政府采购法》规定的供应商基本资格条件。</w:t>
      </w:r>
    </w:p>
    <w:p w14:paraId="79E8527D">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我方对以上承诺负全部法律责任。</w:t>
      </w:r>
    </w:p>
    <w:p w14:paraId="35605C3F">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特此承诺。</w:t>
      </w:r>
    </w:p>
    <w:p w14:paraId="06BD2C8B">
      <w:pPr>
        <w:tabs>
          <w:tab w:val="left" w:pos="6300"/>
        </w:tabs>
        <w:snapToGrid w:val="0"/>
        <w:spacing w:line="500" w:lineRule="exact"/>
        <w:ind w:firstLine="480" w:firstLineChars="200"/>
        <w:rPr>
          <w:rFonts w:ascii="宋体" w:hAnsi="宋体" w:eastAsia="宋体" w:cs="宋体"/>
          <w:sz w:val="24"/>
        </w:rPr>
      </w:pPr>
    </w:p>
    <w:p w14:paraId="561E7E35">
      <w:pPr>
        <w:tabs>
          <w:tab w:val="left" w:pos="6300"/>
        </w:tabs>
        <w:snapToGrid w:val="0"/>
        <w:spacing w:line="500" w:lineRule="exact"/>
        <w:ind w:firstLine="480" w:firstLineChars="200"/>
        <w:jc w:val="right"/>
        <w:rPr>
          <w:rFonts w:ascii="宋体" w:hAnsi="宋体" w:eastAsia="宋体" w:cs="宋体"/>
          <w:sz w:val="24"/>
        </w:rPr>
      </w:pPr>
      <w:r>
        <w:rPr>
          <w:rFonts w:hint="eastAsia" w:ascii="宋体" w:hAnsi="宋体" w:eastAsia="宋体" w:cs="宋体"/>
          <w:sz w:val="24"/>
        </w:rPr>
        <w:t>（供应商公章）</w:t>
      </w:r>
    </w:p>
    <w:p w14:paraId="2CC8DEAD">
      <w:pPr>
        <w:widowControl/>
        <w:spacing w:line="400" w:lineRule="exact"/>
        <w:ind w:firstLine="7920" w:firstLineChars="3300"/>
        <w:jc w:val="left"/>
        <w:rPr>
          <w:rFonts w:ascii="宋体" w:hAnsi="宋体" w:eastAsia="宋体" w:cs="宋体"/>
          <w:sz w:val="24"/>
          <w:szCs w:val="24"/>
        </w:rPr>
      </w:pPr>
      <w:r>
        <w:rPr>
          <w:rFonts w:hint="eastAsia" w:ascii="宋体" w:hAnsi="宋体" w:eastAsia="宋体" w:cs="宋体"/>
          <w:sz w:val="24"/>
        </w:rPr>
        <w:t>年   月   日</w:t>
      </w:r>
    </w:p>
    <w:p w14:paraId="3BEBB550">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33" w:name="_Toc132634092"/>
      <w:bookmarkStart w:id="434" w:name="_Toc11184"/>
      <w:bookmarkStart w:id="435" w:name="_Toc31003"/>
      <w:bookmarkStart w:id="436" w:name="_Toc569"/>
      <w:r>
        <w:rPr>
          <w:rFonts w:hint="eastAsia" w:ascii="宋体" w:hAnsi="宋体" w:eastAsia="宋体" w:cs="宋体"/>
          <w:sz w:val="24"/>
          <w:szCs w:val="24"/>
        </w:rPr>
        <w:t>（五）特定资格条件证书或证明文件</w:t>
      </w:r>
      <w:bookmarkEnd w:id="433"/>
      <w:bookmarkEnd w:id="434"/>
      <w:bookmarkEnd w:id="435"/>
      <w:bookmarkEnd w:id="436"/>
    </w:p>
    <w:p w14:paraId="213121F4">
      <w:pPr>
        <w:pStyle w:val="22"/>
        <w:ind w:left="1600" w:hanging="480"/>
        <w:rPr>
          <w:rFonts w:ascii="宋体" w:hAnsi="宋体" w:eastAsia="宋体" w:cs="宋体"/>
        </w:rPr>
      </w:pPr>
    </w:p>
    <w:p w14:paraId="138A2FC9">
      <w:pPr>
        <w:pStyle w:val="22"/>
        <w:ind w:left="1600" w:hanging="480"/>
        <w:rPr>
          <w:rFonts w:ascii="宋体" w:hAnsi="宋体" w:eastAsia="宋体" w:cs="宋体"/>
        </w:rPr>
      </w:pPr>
    </w:p>
    <w:p w14:paraId="15A11EDD">
      <w:pPr>
        <w:pStyle w:val="22"/>
        <w:ind w:left="1600" w:hanging="480"/>
        <w:rPr>
          <w:rFonts w:ascii="宋体" w:hAnsi="宋体" w:eastAsia="宋体" w:cs="宋体"/>
        </w:rPr>
      </w:pPr>
    </w:p>
    <w:p w14:paraId="5FA9CC84">
      <w:pPr>
        <w:pStyle w:val="22"/>
        <w:ind w:left="1600" w:hanging="480"/>
        <w:rPr>
          <w:rFonts w:ascii="宋体" w:hAnsi="宋体" w:eastAsia="宋体" w:cs="宋体"/>
        </w:rPr>
      </w:pPr>
    </w:p>
    <w:p w14:paraId="47F2904C">
      <w:pPr>
        <w:pStyle w:val="4"/>
        <w:adjustRightInd w:val="0"/>
        <w:snapToGrid w:val="0"/>
        <w:spacing w:before="0" w:after="0" w:line="400" w:lineRule="exact"/>
        <w:ind w:firstLine="482" w:firstLineChars="200"/>
        <w:rPr>
          <w:rFonts w:ascii="宋体" w:hAnsi="宋体" w:eastAsia="宋体" w:cs="宋体"/>
          <w:sz w:val="24"/>
        </w:rPr>
      </w:pPr>
      <w:r>
        <w:rPr>
          <w:rFonts w:hint="eastAsia" w:ascii="宋体" w:hAnsi="宋体" w:eastAsia="宋体" w:cs="宋体"/>
          <w:sz w:val="24"/>
          <w:szCs w:val="24"/>
        </w:rPr>
        <w:br w:type="page"/>
      </w:r>
      <w:bookmarkStart w:id="437" w:name="_Toc16863"/>
      <w:bookmarkStart w:id="438" w:name="_Toc132634093"/>
      <w:bookmarkStart w:id="439" w:name="_Toc106034663"/>
      <w:bookmarkStart w:id="440" w:name="_Toc2080"/>
      <w:bookmarkStart w:id="441" w:name="_Toc23302"/>
      <w:bookmarkStart w:id="442" w:name="_Toc65660383"/>
      <w:bookmarkStart w:id="443" w:name="_Toc17010"/>
      <w:r>
        <w:rPr>
          <w:rFonts w:hint="eastAsia" w:ascii="宋体" w:hAnsi="宋体" w:eastAsia="宋体" w:cs="宋体"/>
          <w:sz w:val="24"/>
        </w:rPr>
        <w:t>五、</w:t>
      </w:r>
      <w:bookmarkEnd w:id="414"/>
      <w:bookmarkEnd w:id="415"/>
      <w:bookmarkEnd w:id="416"/>
      <w:r>
        <w:rPr>
          <w:rFonts w:hint="eastAsia" w:ascii="宋体" w:hAnsi="宋体" w:eastAsia="宋体" w:cs="宋体"/>
          <w:sz w:val="24"/>
        </w:rPr>
        <w:t>其他资料</w:t>
      </w:r>
      <w:bookmarkEnd w:id="437"/>
      <w:bookmarkEnd w:id="438"/>
      <w:bookmarkEnd w:id="439"/>
      <w:bookmarkEnd w:id="440"/>
      <w:bookmarkEnd w:id="441"/>
      <w:bookmarkEnd w:id="442"/>
      <w:bookmarkEnd w:id="443"/>
    </w:p>
    <w:p w14:paraId="5B88F5FD">
      <w:pPr>
        <w:widowControl/>
        <w:spacing w:line="400" w:lineRule="exact"/>
        <w:ind w:firstLine="480" w:firstLineChars="200"/>
        <w:jc w:val="left"/>
        <w:outlineLvl w:val="2"/>
        <w:rPr>
          <w:rFonts w:ascii="宋体" w:hAnsi="宋体" w:eastAsia="宋体" w:cs="宋体"/>
          <w:sz w:val="24"/>
          <w:szCs w:val="24"/>
        </w:rPr>
      </w:pPr>
      <w:bookmarkStart w:id="444" w:name="_Toc132634094"/>
      <w:bookmarkStart w:id="445" w:name="_Toc22419"/>
      <w:bookmarkStart w:id="446" w:name="_Toc24530"/>
      <w:bookmarkStart w:id="447" w:name="_Toc6463"/>
      <w:r>
        <w:rPr>
          <w:rFonts w:hint="eastAsia" w:ascii="宋体" w:hAnsi="宋体" w:eastAsia="宋体" w:cs="宋体"/>
          <w:sz w:val="24"/>
          <w:szCs w:val="24"/>
        </w:rPr>
        <w:t>（一）中小企业声明函、监狱企业证明文件、残疾人福利性单位声明函</w:t>
      </w:r>
      <w:bookmarkEnd w:id="444"/>
      <w:bookmarkEnd w:id="445"/>
      <w:bookmarkEnd w:id="446"/>
      <w:bookmarkEnd w:id="447"/>
    </w:p>
    <w:p w14:paraId="6E55A573">
      <w:pPr>
        <w:tabs>
          <w:tab w:val="left" w:pos="6300"/>
        </w:tabs>
        <w:snapToGrid w:val="0"/>
        <w:spacing w:line="500" w:lineRule="exact"/>
        <w:jc w:val="center"/>
        <w:rPr>
          <w:rFonts w:ascii="宋体" w:hAnsi="宋体" w:eastAsia="宋体" w:cs="宋体"/>
          <w:sz w:val="24"/>
          <w:szCs w:val="28"/>
        </w:rPr>
      </w:pPr>
      <w:r>
        <w:rPr>
          <w:rFonts w:hint="eastAsia" w:ascii="宋体" w:hAnsi="宋体" w:eastAsia="宋体" w:cs="宋体"/>
          <w:sz w:val="24"/>
          <w:szCs w:val="28"/>
        </w:rPr>
        <w:t>中小企业声明函</w:t>
      </w:r>
    </w:p>
    <w:p w14:paraId="275EA31B">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本公司郑重声明，根据《政府采购促进中小企业发展管理办法》（财库〔2020〕46号）的规定，本公司参加（</w:t>
      </w:r>
      <w:r>
        <w:rPr>
          <w:rFonts w:hint="eastAsia" w:ascii="宋体" w:hAnsi="宋体" w:eastAsia="宋体" w:cs="宋体"/>
          <w:kern w:val="2"/>
          <w:sz w:val="24"/>
          <w:szCs w:val="24"/>
          <w:u w:val="single"/>
          <w:lang w:val="en-US" w:eastAsia="zh-CN" w:bidi="ar"/>
        </w:rPr>
        <w:t>单位名称</w:t>
      </w:r>
      <w:r>
        <w:rPr>
          <w:rFonts w:hint="eastAsia" w:ascii="宋体" w:hAnsi="宋体" w:eastAsia="宋体" w:cs="宋体"/>
          <w:kern w:val="2"/>
          <w:sz w:val="24"/>
          <w:szCs w:val="24"/>
          <w:lang w:val="en-US" w:eastAsia="zh-CN" w:bidi="ar"/>
        </w:rPr>
        <w:t>）的（</w:t>
      </w:r>
      <w:r>
        <w:rPr>
          <w:rFonts w:hint="eastAsia" w:ascii="宋体" w:hAnsi="宋体" w:eastAsia="宋体" w:cs="宋体"/>
          <w:kern w:val="2"/>
          <w:sz w:val="24"/>
          <w:szCs w:val="24"/>
          <w:u w:val="single"/>
          <w:lang w:val="en-US" w:eastAsia="zh-CN" w:bidi="ar"/>
        </w:rPr>
        <w:t>项目名称</w:t>
      </w:r>
      <w:r>
        <w:rPr>
          <w:rFonts w:hint="eastAsia" w:ascii="宋体" w:hAnsi="宋体" w:eastAsia="宋体" w:cs="宋体"/>
          <w:kern w:val="2"/>
          <w:sz w:val="24"/>
          <w:szCs w:val="24"/>
          <w:lang w:val="en-US" w:eastAsia="zh-CN" w:bidi="ar"/>
        </w:rPr>
        <w:t>）采购活动，服务全部由符合政策要求的中小企业承接。相关企业的具体情况如下：</w:t>
      </w:r>
    </w:p>
    <w:p w14:paraId="584C074F">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1.（</w:t>
      </w:r>
      <w:r>
        <w:rPr>
          <w:rFonts w:hint="eastAsia" w:ascii="宋体" w:hAnsi="宋体" w:eastAsia="宋体" w:cs="宋体"/>
          <w:kern w:val="2"/>
          <w:sz w:val="24"/>
          <w:szCs w:val="24"/>
          <w:u w:val="single"/>
          <w:lang w:val="en-US" w:eastAsia="zh-CN" w:bidi="ar"/>
        </w:rPr>
        <w:t>标的名称</w:t>
      </w:r>
      <w:r>
        <w:rPr>
          <w:rFonts w:hint="eastAsia" w:ascii="宋体" w:hAnsi="宋体" w:eastAsia="宋体" w:cs="宋体"/>
          <w:kern w:val="2"/>
          <w:sz w:val="24"/>
          <w:szCs w:val="24"/>
          <w:lang w:val="en-US" w:eastAsia="zh-CN" w:bidi="ar"/>
        </w:rPr>
        <w:t>），属于（采购文件中明确的所属行业）；承接企业为（</w:t>
      </w:r>
      <w:r>
        <w:rPr>
          <w:rFonts w:hint="eastAsia" w:ascii="宋体" w:hAnsi="宋体" w:eastAsia="宋体" w:cs="宋体"/>
          <w:kern w:val="2"/>
          <w:sz w:val="24"/>
          <w:szCs w:val="24"/>
          <w:u w:val="single"/>
          <w:lang w:val="en-US" w:eastAsia="zh-CN" w:bidi="ar"/>
        </w:rPr>
        <w:t>企业名称</w:t>
      </w:r>
      <w:r>
        <w:rPr>
          <w:rFonts w:hint="eastAsia" w:ascii="宋体" w:hAnsi="宋体" w:eastAsia="宋体" w:cs="宋体"/>
          <w:kern w:val="2"/>
          <w:sz w:val="24"/>
          <w:szCs w:val="24"/>
          <w:lang w:val="en-US" w:eastAsia="zh-CN" w:bidi="ar"/>
        </w:rPr>
        <w:t>），从业人员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人，营业收入为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万元，资产总额为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万元，属于（中型企业、小型企业、微型企业）；</w:t>
      </w:r>
    </w:p>
    <w:p w14:paraId="3716E010">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为本标的提供的服务人员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人，其中与本企业签订劳动合同</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人，其他人员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人。有其他人员的不符合中小企业扶持政策；</w:t>
      </w:r>
    </w:p>
    <w:p w14:paraId="7DFFF599">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w:t>
      </w:r>
    </w:p>
    <w:p w14:paraId="33F1FE78">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以上企业，不属于大企业的分支机构，不存在控股股东为大企业的情形，也不存在与大企业的负责人为同一人的情形。</w:t>
      </w:r>
    </w:p>
    <w:p w14:paraId="01636256">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本企业对上述声明内容的真实性负责。如有虚假，将依法承担相应责任。</w:t>
      </w:r>
    </w:p>
    <w:p w14:paraId="24BF8133">
      <w:pPr>
        <w:keepNext w:val="0"/>
        <w:keepLines w:val="0"/>
        <w:widowControl w:val="0"/>
        <w:suppressLineNumbers w:val="0"/>
        <w:snapToGrid w:val="0"/>
        <w:spacing w:before="0" w:beforeAutospacing="0" w:after="0" w:afterAutospacing="0" w:line="500" w:lineRule="exact"/>
        <w:ind w:left="0" w:right="0"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 xml:space="preserve">企业名称（盖章）： </w:t>
      </w:r>
    </w:p>
    <w:p w14:paraId="6116D804">
      <w:pPr>
        <w:keepNext w:val="0"/>
        <w:keepLines w:val="0"/>
        <w:widowControl w:val="0"/>
        <w:suppressLineNumbers w:val="0"/>
        <w:snapToGrid w:val="0"/>
        <w:spacing w:before="0" w:beforeAutospacing="0" w:after="0" w:afterAutospacing="0" w:line="500" w:lineRule="exact"/>
        <w:ind w:left="0" w:right="784"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日期：</w:t>
      </w:r>
    </w:p>
    <w:p w14:paraId="4919C410">
      <w:pPr>
        <w:keepNext w:val="0"/>
        <w:keepLines w:val="0"/>
        <w:widowControl w:val="0"/>
        <w:suppressLineNumbers w:val="0"/>
        <w:tabs>
          <w:tab w:val="left" w:pos="6300"/>
        </w:tabs>
        <w:snapToGrid w:val="0"/>
        <w:spacing w:before="0" w:beforeAutospacing="0" w:after="0" w:afterAutospacing="0" w:line="500" w:lineRule="exact"/>
        <w:ind w:left="0" w:right="784" w:firstLine="6120" w:firstLineChars="2550"/>
        <w:jc w:val="both"/>
        <w:rPr>
          <w:rFonts w:hint="eastAsia" w:ascii="宋体" w:hAnsi="宋体" w:eastAsia="宋体" w:cs="宋体"/>
          <w:sz w:val="24"/>
          <w:szCs w:val="20"/>
          <w:lang w:val="en-US"/>
        </w:rPr>
      </w:pPr>
    </w:p>
    <w:p w14:paraId="62502F43">
      <w:pPr>
        <w:tabs>
          <w:tab w:val="left" w:pos="6300"/>
        </w:tabs>
        <w:snapToGrid w:val="0"/>
        <w:spacing w:line="500" w:lineRule="exact"/>
        <w:ind w:right="784" w:firstLine="6120" w:firstLineChars="2550"/>
        <w:rPr>
          <w:rFonts w:ascii="宋体" w:hAnsi="宋体" w:eastAsia="宋体" w:cs="宋体"/>
          <w:sz w:val="24"/>
        </w:rPr>
      </w:pPr>
    </w:p>
    <w:p w14:paraId="4EAF3E46">
      <w:pPr>
        <w:tabs>
          <w:tab w:val="left" w:pos="6300"/>
        </w:tabs>
        <w:snapToGrid w:val="0"/>
        <w:rPr>
          <w:rFonts w:ascii="宋体" w:hAnsi="宋体" w:eastAsia="宋体" w:cs="宋体"/>
          <w:sz w:val="24"/>
          <w:szCs w:val="28"/>
        </w:rPr>
      </w:pPr>
      <w:r>
        <w:rPr>
          <w:rFonts w:hint="eastAsia" w:ascii="宋体" w:hAnsi="宋体" w:eastAsia="宋体" w:cs="宋体"/>
          <w:sz w:val="24"/>
          <w:szCs w:val="28"/>
        </w:rPr>
        <w:t>填写时应注意以下事项：</w:t>
      </w:r>
    </w:p>
    <w:p w14:paraId="323D7B83">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1.从业人员、营业收入、资产总额填报上一年度数据，无上一年度数据的新成立企业可不填报。</w:t>
      </w:r>
    </w:p>
    <w:p w14:paraId="0FA710C8">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2.中小企业应当按照《中小企业划型标准规定》（工信部联企业〔2011〕300号），如实填写并提交《中小企业声明函》。</w:t>
      </w:r>
    </w:p>
    <w:p w14:paraId="3E9735BD">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3.供应商填写《中小企业声明函》中所属行业时，应与采购文件第一篇“采购标的对应的中小企业划分标准所属行业”中填写的所属行业一致。</w:t>
      </w:r>
    </w:p>
    <w:p w14:paraId="797A463B">
      <w:pPr>
        <w:tabs>
          <w:tab w:val="left" w:pos="6300"/>
        </w:tabs>
        <w:snapToGrid w:val="0"/>
        <w:ind w:firstLine="422" w:firstLineChars="200"/>
        <w:rPr>
          <w:rFonts w:ascii="宋体" w:hAnsi="宋体" w:eastAsia="宋体" w:cs="宋体"/>
          <w:b/>
          <w:kern w:val="0"/>
          <w:sz w:val="21"/>
          <w:szCs w:val="21"/>
        </w:rPr>
      </w:pPr>
      <w:r>
        <w:rPr>
          <w:rFonts w:hint="eastAsia" w:ascii="宋体" w:hAnsi="宋体" w:eastAsia="宋体" w:cs="宋体"/>
          <w:b/>
          <w:kern w:val="0"/>
          <w:sz w:val="21"/>
          <w:szCs w:val="21"/>
        </w:rPr>
        <w:t>4.本声明函“企业名称（盖章）”处为供应商盖章。</w:t>
      </w:r>
    </w:p>
    <w:p w14:paraId="0062844B">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注：各行业划型标准：</w:t>
      </w:r>
    </w:p>
    <w:p w14:paraId="0C14514A">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（一）农、林、牧、渔业。营业收入20000万元以下的为中小微型企业。其中，营业收入500万元及以上的为中型企业，营业收入50万元及以上的为小型企业，营业收入50万元以下的为微型企业。</w:t>
      </w:r>
    </w:p>
    <w:p w14:paraId="0988EED0">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3768808C">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3CCB134D">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18F7A8E7">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64FFAD4D">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47B3AB89">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63DEBFFF">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0188EA9D">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4629EB09">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1FBC1F42">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5DE791DC">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79B2ECD6">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5041E66D">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2C04C482">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1BC7C5B6">
      <w:pPr>
        <w:tabs>
          <w:tab w:val="left" w:pos="6300"/>
        </w:tabs>
        <w:snapToGrid w:val="0"/>
        <w:ind w:firstLine="420" w:firstLineChars="200"/>
        <w:rPr>
          <w:rFonts w:ascii="宋体" w:hAnsi="宋体" w:eastAsia="宋体" w:cs="宋体"/>
          <w:kern w:val="0"/>
          <w:sz w:val="21"/>
          <w:szCs w:val="21"/>
        </w:rPr>
      </w:pPr>
      <w:r>
        <w:rPr>
          <w:rFonts w:hint="eastAsia" w:ascii="宋体" w:hAnsi="宋体" w:eastAsia="宋体" w:cs="宋体"/>
          <w:kern w:val="0"/>
          <w:sz w:val="21"/>
          <w:szCs w:val="21"/>
        </w:rPr>
        <w:t>（十六）其他未列明行业。从业人员300人以下的为中小微型企业。其中，从业人员100人及以上的为中型企业；从业人员10人及以上的为小型企业；从业人员10人以下的为微型企业。</w:t>
      </w:r>
    </w:p>
    <w:p w14:paraId="619F0F96">
      <w:pPr>
        <w:tabs>
          <w:tab w:val="left" w:pos="6300"/>
        </w:tabs>
        <w:snapToGrid w:val="0"/>
        <w:spacing w:line="500" w:lineRule="exact"/>
        <w:ind w:firstLine="560" w:firstLineChars="200"/>
        <w:jc w:val="center"/>
        <w:rPr>
          <w:rFonts w:ascii="宋体" w:hAnsi="宋体" w:eastAsia="宋体" w:cs="宋体"/>
          <w:sz w:val="24"/>
          <w:szCs w:val="24"/>
        </w:rPr>
      </w:pPr>
      <w:r>
        <w:rPr>
          <w:rFonts w:hint="eastAsia" w:ascii="宋体" w:hAnsi="宋体" w:eastAsia="宋体" w:cs="宋体"/>
        </w:rPr>
        <w:br w:type="page"/>
      </w:r>
      <w:r>
        <w:rPr>
          <w:rFonts w:hint="eastAsia" w:ascii="宋体" w:hAnsi="宋体" w:eastAsia="宋体" w:cs="宋体"/>
          <w:sz w:val="24"/>
          <w:szCs w:val="24"/>
        </w:rPr>
        <w:t>监狱企业证明文件</w:t>
      </w:r>
    </w:p>
    <w:p w14:paraId="5ABCBFF0">
      <w:pPr>
        <w:tabs>
          <w:tab w:val="left" w:pos="6300"/>
        </w:tabs>
        <w:snapToGrid w:val="0"/>
        <w:spacing w:line="40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以省级以上监狱管理局、戒毒管理局（含新疆生产建设兵团）出具的属于监狱企业的证明文件为准。</w:t>
      </w:r>
    </w:p>
    <w:p w14:paraId="5CDCCDB4">
      <w:pPr>
        <w:tabs>
          <w:tab w:val="left" w:pos="6300"/>
        </w:tabs>
        <w:snapToGrid w:val="0"/>
        <w:spacing w:line="400" w:lineRule="exact"/>
        <w:ind w:firstLine="560" w:firstLineChars="200"/>
        <w:jc w:val="center"/>
        <w:rPr>
          <w:rFonts w:ascii="宋体" w:hAnsi="宋体" w:eastAsia="宋体" w:cs="宋体"/>
          <w:sz w:val="24"/>
        </w:rPr>
      </w:pPr>
      <w:r>
        <w:rPr>
          <w:rFonts w:hint="eastAsia" w:ascii="宋体" w:hAnsi="宋体" w:eastAsia="宋体" w:cs="宋体"/>
        </w:rPr>
        <w:br w:type="page"/>
      </w:r>
      <w:r>
        <w:rPr>
          <w:rFonts w:hint="eastAsia" w:ascii="宋体" w:hAnsi="宋体" w:eastAsia="宋体" w:cs="宋体"/>
          <w:sz w:val="24"/>
        </w:rPr>
        <w:t>残疾人福利性单位声明函</w:t>
      </w:r>
    </w:p>
    <w:p w14:paraId="34EA5FFB">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1992CAA6">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本单位对上述声明的真实性负责。如有虚假，将依法承担相应责任。</w:t>
      </w:r>
    </w:p>
    <w:p w14:paraId="7E77C145">
      <w:pPr>
        <w:tabs>
          <w:tab w:val="left" w:pos="6300"/>
        </w:tabs>
        <w:snapToGrid w:val="0"/>
        <w:spacing w:line="500" w:lineRule="exact"/>
        <w:ind w:firstLine="480" w:firstLineChars="200"/>
        <w:rPr>
          <w:rFonts w:ascii="宋体" w:hAnsi="宋体" w:eastAsia="宋体" w:cs="宋体"/>
          <w:sz w:val="24"/>
        </w:rPr>
      </w:pPr>
    </w:p>
    <w:p w14:paraId="148DA6D6">
      <w:pPr>
        <w:tabs>
          <w:tab w:val="left" w:pos="6300"/>
        </w:tabs>
        <w:snapToGrid w:val="0"/>
        <w:spacing w:line="500" w:lineRule="exact"/>
        <w:ind w:firstLine="480" w:firstLineChars="200"/>
        <w:rPr>
          <w:rFonts w:ascii="宋体" w:hAnsi="宋体" w:eastAsia="宋体" w:cs="宋体"/>
          <w:sz w:val="24"/>
        </w:rPr>
      </w:pPr>
    </w:p>
    <w:p w14:paraId="0A502AFE">
      <w:pPr>
        <w:tabs>
          <w:tab w:val="left" w:pos="6300"/>
        </w:tabs>
        <w:snapToGrid w:val="0"/>
        <w:spacing w:line="500" w:lineRule="exact"/>
        <w:ind w:firstLine="480" w:firstLineChars="200"/>
        <w:rPr>
          <w:rFonts w:ascii="宋体" w:hAnsi="宋体" w:eastAsia="宋体" w:cs="宋体"/>
          <w:sz w:val="24"/>
        </w:rPr>
      </w:pPr>
    </w:p>
    <w:p w14:paraId="2473F10F">
      <w:pPr>
        <w:tabs>
          <w:tab w:val="left" w:pos="6300"/>
        </w:tabs>
        <w:snapToGrid w:val="0"/>
        <w:spacing w:line="500" w:lineRule="exact"/>
        <w:ind w:firstLine="480" w:firstLineChars="200"/>
        <w:rPr>
          <w:rFonts w:ascii="宋体" w:hAnsi="宋体" w:eastAsia="宋体" w:cs="宋体"/>
          <w:sz w:val="24"/>
        </w:rPr>
      </w:pPr>
    </w:p>
    <w:p w14:paraId="5661AF6E">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 xml:space="preserve">                                                 供应商名称（盖章）：</w:t>
      </w:r>
    </w:p>
    <w:p w14:paraId="181605C1">
      <w:pPr>
        <w:tabs>
          <w:tab w:val="left" w:pos="6300"/>
        </w:tabs>
        <w:snapToGrid w:val="0"/>
        <w:spacing w:line="500" w:lineRule="exact"/>
        <w:ind w:firstLine="570"/>
        <w:jc w:val="left"/>
        <w:rPr>
          <w:rFonts w:ascii="宋体" w:hAnsi="宋体" w:eastAsia="宋体" w:cs="宋体"/>
          <w:sz w:val="24"/>
        </w:rPr>
      </w:pPr>
      <w:r>
        <w:rPr>
          <w:rFonts w:hint="eastAsia" w:ascii="宋体" w:hAnsi="宋体" w:eastAsia="宋体" w:cs="宋体"/>
          <w:sz w:val="24"/>
        </w:rPr>
        <w:t xml:space="preserve">                                                  日  期：</w:t>
      </w:r>
    </w:p>
    <w:p w14:paraId="2D0CABFE">
      <w:pPr>
        <w:tabs>
          <w:tab w:val="left" w:pos="6300"/>
        </w:tabs>
        <w:snapToGrid w:val="0"/>
        <w:spacing w:line="500" w:lineRule="exact"/>
        <w:ind w:firstLine="570"/>
        <w:jc w:val="left"/>
        <w:rPr>
          <w:rFonts w:ascii="宋体" w:hAnsi="宋体" w:eastAsia="宋体" w:cs="宋体"/>
          <w:sz w:val="24"/>
        </w:rPr>
      </w:pPr>
    </w:p>
    <w:p w14:paraId="19B0CCBF">
      <w:pPr>
        <w:tabs>
          <w:tab w:val="left" w:pos="6300"/>
        </w:tabs>
        <w:snapToGrid w:val="0"/>
        <w:spacing w:line="500" w:lineRule="exact"/>
        <w:ind w:firstLine="570"/>
        <w:jc w:val="left"/>
        <w:rPr>
          <w:rFonts w:ascii="宋体" w:hAnsi="宋体" w:eastAsia="宋体" w:cs="宋体"/>
          <w:sz w:val="24"/>
        </w:rPr>
      </w:pPr>
    </w:p>
    <w:p w14:paraId="5380ED27">
      <w:pPr>
        <w:tabs>
          <w:tab w:val="left" w:pos="6300"/>
        </w:tabs>
        <w:snapToGrid w:val="0"/>
        <w:spacing w:line="500" w:lineRule="exact"/>
        <w:ind w:firstLine="570"/>
        <w:jc w:val="left"/>
        <w:rPr>
          <w:rFonts w:ascii="宋体" w:hAnsi="宋体" w:eastAsia="宋体" w:cs="宋体"/>
          <w:sz w:val="24"/>
        </w:rPr>
      </w:pPr>
    </w:p>
    <w:p w14:paraId="0ECA9BDA">
      <w:pPr>
        <w:tabs>
          <w:tab w:val="left" w:pos="6300"/>
        </w:tabs>
        <w:snapToGrid w:val="0"/>
        <w:spacing w:line="500" w:lineRule="exact"/>
        <w:ind w:firstLine="570"/>
        <w:jc w:val="left"/>
        <w:rPr>
          <w:rFonts w:ascii="宋体" w:hAnsi="宋体" w:eastAsia="宋体" w:cs="宋体"/>
          <w:sz w:val="24"/>
        </w:rPr>
      </w:pPr>
    </w:p>
    <w:p w14:paraId="0ED1CCE5">
      <w:pPr>
        <w:tabs>
          <w:tab w:val="left" w:pos="6300"/>
        </w:tabs>
        <w:snapToGrid w:val="0"/>
        <w:spacing w:line="500" w:lineRule="exact"/>
        <w:ind w:firstLine="570"/>
        <w:jc w:val="left"/>
        <w:rPr>
          <w:rFonts w:ascii="宋体" w:hAnsi="宋体" w:eastAsia="宋体" w:cs="宋体"/>
          <w:sz w:val="24"/>
        </w:rPr>
      </w:pPr>
    </w:p>
    <w:p w14:paraId="0934E4C9">
      <w:pPr>
        <w:tabs>
          <w:tab w:val="left" w:pos="6300"/>
        </w:tabs>
        <w:snapToGrid w:val="0"/>
        <w:spacing w:line="500" w:lineRule="exact"/>
        <w:ind w:firstLine="570"/>
        <w:jc w:val="left"/>
        <w:rPr>
          <w:rFonts w:ascii="宋体" w:hAnsi="宋体" w:eastAsia="宋体" w:cs="宋体"/>
          <w:sz w:val="24"/>
        </w:rPr>
      </w:pPr>
    </w:p>
    <w:p w14:paraId="6468B072">
      <w:pPr>
        <w:tabs>
          <w:tab w:val="left" w:pos="6300"/>
        </w:tabs>
        <w:snapToGrid w:val="0"/>
        <w:spacing w:line="500" w:lineRule="exact"/>
        <w:ind w:firstLine="570"/>
        <w:jc w:val="left"/>
        <w:rPr>
          <w:rFonts w:ascii="宋体" w:hAnsi="宋体" w:eastAsia="宋体" w:cs="宋体"/>
          <w:sz w:val="24"/>
        </w:rPr>
      </w:pPr>
    </w:p>
    <w:p w14:paraId="3B9FEE08">
      <w:pPr>
        <w:tabs>
          <w:tab w:val="left" w:pos="6300"/>
        </w:tabs>
        <w:snapToGrid w:val="0"/>
        <w:spacing w:line="500" w:lineRule="exact"/>
        <w:ind w:firstLine="570"/>
        <w:jc w:val="left"/>
        <w:rPr>
          <w:rFonts w:ascii="宋体" w:hAnsi="宋体" w:eastAsia="宋体" w:cs="宋体"/>
          <w:sz w:val="24"/>
        </w:rPr>
      </w:pPr>
    </w:p>
    <w:p w14:paraId="48D8FC67">
      <w:pPr>
        <w:tabs>
          <w:tab w:val="left" w:pos="6300"/>
        </w:tabs>
        <w:snapToGrid w:val="0"/>
        <w:spacing w:line="500" w:lineRule="exact"/>
        <w:ind w:firstLine="570"/>
        <w:jc w:val="left"/>
        <w:rPr>
          <w:rFonts w:ascii="宋体" w:hAnsi="宋体" w:eastAsia="宋体" w:cs="宋体"/>
          <w:sz w:val="24"/>
        </w:rPr>
      </w:pPr>
    </w:p>
    <w:p w14:paraId="565E820E">
      <w:pPr>
        <w:tabs>
          <w:tab w:val="left" w:pos="6300"/>
        </w:tabs>
        <w:snapToGrid w:val="0"/>
        <w:spacing w:line="500" w:lineRule="exact"/>
        <w:ind w:firstLine="570"/>
        <w:jc w:val="left"/>
        <w:rPr>
          <w:rFonts w:ascii="宋体" w:hAnsi="宋体" w:eastAsia="宋体" w:cs="宋体"/>
          <w:sz w:val="24"/>
        </w:rPr>
      </w:pPr>
    </w:p>
    <w:p w14:paraId="54DD899D">
      <w:pPr>
        <w:tabs>
          <w:tab w:val="left" w:pos="6300"/>
        </w:tabs>
        <w:snapToGrid w:val="0"/>
        <w:spacing w:line="500" w:lineRule="exact"/>
        <w:ind w:firstLine="570"/>
        <w:jc w:val="left"/>
        <w:rPr>
          <w:rFonts w:ascii="宋体" w:hAnsi="宋体" w:eastAsia="宋体" w:cs="宋体"/>
          <w:sz w:val="24"/>
        </w:rPr>
      </w:pPr>
    </w:p>
    <w:p w14:paraId="04C4C6CE">
      <w:pPr>
        <w:tabs>
          <w:tab w:val="left" w:pos="6300"/>
        </w:tabs>
        <w:snapToGrid w:val="0"/>
        <w:spacing w:line="500" w:lineRule="exact"/>
        <w:ind w:firstLine="570"/>
        <w:jc w:val="left"/>
        <w:rPr>
          <w:rFonts w:ascii="宋体" w:hAnsi="宋体" w:eastAsia="宋体" w:cs="宋体"/>
        </w:rPr>
      </w:pPr>
      <w:r>
        <w:rPr>
          <w:rFonts w:hint="eastAsia" w:ascii="宋体" w:hAnsi="宋体" w:eastAsia="宋体" w:cs="宋体"/>
          <w:kern w:val="0"/>
          <w:sz w:val="24"/>
        </w:rPr>
        <w:t>若成交供应商为残疾人福利性单位的，将在结果公告时公告其《残疾人福利性单位声明函》。</w:t>
      </w:r>
    </w:p>
    <w:p w14:paraId="30FCB5E1">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48" w:name="_Toc14599"/>
      <w:bookmarkStart w:id="449" w:name="_Toc15487"/>
      <w:bookmarkStart w:id="450" w:name="_Toc26891"/>
      <w:bookmarkStart w:id="451" w:name="_Toc132634095"/>
      <w:r>
        <w:rPr>
          <w:rFonts w:hint="eastAsia" w:ascii="宋体" w:hAnsi="宋体" w:eastAsia="宋体" w:cs="宋体"/>
          <w:sz w:val="24"/>
          <w:szCs w:val="24"/>
        </w:rPr>
        <w:t>（二）其他与项目有关的资料（自附）</w:t>
      </w:r>
      <w:bookmarkEnd w:id="448"/>
      <w:bookmarkEnd w:id="449"/>
      <w:bookmarkEnd w:id="450"/>
      <w:bookmarkEnd w:id="451"/>
    </w:p>
    <w:p w14:paraId="31729154">
      <w:pPr>
        <w:spacing w:line="360" w:lineRule="auto"/>
        <w:ind w:firstLine="480" w:firstLineChars="200"/>
        <w:rPr>
          <w:rFonts w:ascii="宋体" w:hAnsi="宋体" w:eastAsia="宋体" w:cs="宋体"/>
          <w:sz w:val="24"/>
          <w:szCs w:val="24"/>
        </w:rPr>
      </w:pPr>
    </w:p>
    <w:p w14:paraId="6715DECC">
      <w:pPr>
        <w:spacing w:line="360" w:lineRule="auto"/>
        <w:ind w:firstLine="480" w:firstLineChars="200"/>
        <w:jc w:val="center"/>
        <w:rPr>
          <w:rFonts w:ascii="宋体" w:hAnsi="宋体" w:eastAsia="宋体" w:cs="宋体"/>
          <w:sz w:val="24"/>
          <w:szCs w:val="24"/>
        </w:rPr>
      </w:pPr>
    </w:p>
    <w:p w14:paraId="2F6D7C6D">
      <w:pPr>
        <w:spacing w:line="360" w:lineRule="auto"/>
        <w:rPr>
          <w:rFonts w:ascii="宋体" w:hAnsi="宋体" w:eastAsia="宋体" w:cs="宋体"/>
          <w:sz w:val="24"/>
          <w:szCs w:val="24"/>
        </w:rPr>
      </w:pPr>
    </w:p>
    <w:p w14:paraId="1105264D">
      <w:pPr>
        <w:spacing w:line="360" w:lineRule="auto"/>
        <w:ind w:firstLine="480" w:firstLineChars="200"/>
        <w:jc w:val="center"/>
        <w:rPr>
          <w:rFonts w:ascii="宋体" w:hAnsi="宋体" w:eastAsia="宋体" w:cs="宋体"/>
          <w:sz w:val="24"/>
          <w:szCs w:val="24"/>
        </w:rPr>
      </w:pPr>
    </w:p>
    <w:p w14:paraId="2B03BF0A">
      <w:pPr>
        <w:spacing w:line="360"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（结束）</w:t>
      </w:r>
    </w:p>
    <w:p w14:paraId="3D1FBA30">
      <w:pPr>
        <w:pStyle w:val="22"/>
        <w:ind w:left="1600" w:hanging="480"/>
        <w:rPr>
          <w:rFonts w:ascii="宋体" w:hAnsi="宋体" w:eastAsia="宋体" w:cs="宋体"/>
        </w:rPr>
      </w:pPr>
    </w:p>
    <w:p w14:paraId="4B26B795">
      <w:pPr>
        <w:spacing w:line="400" w:lineRule="exact"/>
        <w:ind w:right="11"/>
        <w:jc w:val="center"/>
        <w:outlineLvl w:val="0"/>
        <w:rPr>
          <w:rFonts w:ascii="宋体" w:hAnsi="宋体" w:eastAsia="宋体" w:cs="宋体"/>
        </w:rPr>
      </w:pPr>
      <w:r>
        <w:rPr>
          <w:rFonts w:hint="eastAsia" w:ascii="宋体" w:hAnsi="宋体" w:eastAsia="宋体" w:cs="宋体"/>
        </w:rPr>
        <w:br w:type="page"/>
      </w:r>
      <w:bookmarkStart w:id="452" w:name="_Toc12173"/>
      <w:bookmarkStart w:id="453" w:name="_Toc23735"/>
      <w:bookmarkStart w:id="454" w:name="_Toc10184"/>
      <w:bookmarkStart w:id="455" w:name="_Toc4413"/>
      <w:bookmarkStart w:id="456" w:name="_Toc12117"/>
      <w:bookmarkStart w:id="457" w:name="_Toc4484"/>
      <w:bookmarkStart w:id="458" w:name="_Toc10017"/>
      <w:bookmarkStart w:id="459" w:name="_Toc31555"/>
      <w:bookmarkStart w:id="460" w:name="_Toc26036"/>
    </w:p>
    <w:bookmarkEnd w:id="452"/>
    <w:bookmarkEnd w:id="453"/>
    <w:bookmarkEnd w:id="454"/>
    <w:bookmarkEnd w:id="455"/>
    <w:bookmarkEnd w:id="456"/>
    <w:bookmarkEnd w:id="457"/>
    <w:bookmarkEnd w:id="458"/>
    <w:bookmarkEnd w:id="459"/>
    <w:bookmarkEnd w:id="460"/>
    <w:p w14:paraId="0FA7BA10">
      <w:pPr>
        <w:pStyle w:val="259"/>
        <w:ind w:left="0" w:leftChars="0" w:firstLine="281" w:firstLineChars="100"/>
        <w:outlineLvl w:val="0"/>
        <w:rPr>
          <w:rFonts w:ascii="宋体" w:hAnsi="宋体" w:eastAsia="宋体" w:cs="宋体"/>
          <w:bCs/>
          <w:sz w:val="28"/>
          <w:szCs w:val="28"/>
        </w:rPr>
      </w:pPr>
      <w:bookmarkStart w:id="461" w:name="_Toc14447"/>
      <w:bookmarkStart w:id="462" w:name="_Toc20782"/>
      <w:bookmarkStart w:id="463" w:name="_Toc132634097"/>
      <w:bookmarkStart w:id="464" w:name="_Toc19714"/>
      <w:bookmarkStart w:id="465" w:name="_Toc22648"/>
      <w:bookmarkStart w:id="466" w:name="_Toc28600"/>
      <w:bookmarkStart w:id="467" w:name="_Toc30333"/>
      <w:bookmarkStart w:id="468" w:name="_Toc16153"/>
      <w:bookmarkStart w:id="469" w:name="_Toc9732"/>
      <w:bookmarkStart w:id="470" w:name="_Toc13180"/>
      <w:bookmarkStart w:id="471" w:name="_Toc12660"/>
      <w:bookmarkStart w:id="472" w:name="_Toc18575"/>
      <w:r>
        <w:rPr>
          <w:rFonts w:hint="eastAsia" w:ascii="宋体" w:hAnsi="宋体" w:eastAsia="宋体" w:cs="宋体"/>
          <w:bCs/>
          <w:sz w:val="28"/>
          <w:szCs w:val="22"/>
        </w:rPr>
        <w:t>附件</w:t>
      </w:r>
      <w:r>
        <w:rPr>
          <w:rFonts w:hint="eastAsia" w:ascii="宋体" w:hAnsi="宋体" w:eastAsia="宋体" w:cs="宋体"/>
          <w:bCs/>
          <w:sz w:val="28"/>
          <w:szCs w:val="22"/>
          <w:lang w:val="en-US" w:eastAsia="zh-CN"/>
        </w:rPr>
        <w:t xml:space="preserve">  </w:t>
      </w:r>
      <w:r>
        <w:rPr>
          <w:rFonts w:hint="eastAsia" w:ascii="宋体" w:hAnsi="宋体" w:eastAsia="宋体" w:cs="宋体"/>
          <w:bCs/>
          <w:sz w:val="28"/>
          <w:szCs w:val="28"/>
          <w:lang w:eastAsia="zh-CN"/>
        </w:rPr>
        <w:t>重庆联点项目管理有限公司</w:t>
      </w:r>
      <w:r>
        <w:rPr>
          <w:rFonts w:hint="eastAsia" w:ascii="宋体" w:hAnsi="宋体" w:eastAsia="宋体" w:cs="宋体"/>
          <w:bCs/>
          <w:sz w:val="28"/>
          <w:szCs w:val="28"/>
        </w:rPr>
        <w:t>采购文件发售登记表</w:t>
      </w:r>
      <w:bookmarkEnd w:id="461"/>
      <w:bookmarkEnd w:id="462"/>
      <w:bookmarkEnd w:id="463"/>
      <w:bookmarkEnd w:id="464"/>
      <w:bookmarkEnd w:id="465"/>
      <w:bookmarkEnd w:id="466"/>
      <w:bookmarkEnd w:id="467"/>
      <w:bookmarkEnd w:id="468"/>
      <w:bookmarkEnd w:id="469"/>
      <w:bookmarkEnd w:id="470"/>
      <w:bookmarkEnd w:id="471"/>
      <w:bookmarkEnd w:id="472"/>
    </w:p>
    <w:p w14:paraId="27DEE226"/>
    <w:tbl>
      <w:tblPr>
        <w:tblStyle w:val="61"/>
        <w:tblW w:w="923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2"/>
        <w:gridCol w:w="2391"/>
        <w:gridCol w:w="1051"/>
        <w:gridCol w:w="3965"/>
      </w:tblGrid>
      <w:tr w14:paraId="7117E9D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32" w:type="dxa"/>
            <w:vAlign w:val="center"/>
          </w:tcPr>
          <w:p w14:paraId="7D2EBC0B">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项目名称</w:t>
            </w:r>
          </w:p>
        </w:tc>
        <w:tc>
          <w:tcPr>
            <w:tcW w:w="7407" w:type="dxa"/>
            <w:gridSpan w:val="3"/>
            <w:vAlign w:val="center"/>
          </w:tcPr>
          <w:p w14:paraId="7D941FF6">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1408E41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832" w:type="dxa"/>
            <w:vAlign w:val="center"/>
          </w:tcPr>
          <w:p w14:paraId="37D289C2">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项目编号</w:t>
            </w:r>
          </w:p>
        </w:tc>
        <w:tc>
          <w:tcPr>
            <w:tcW w:w="7407" w:type="dxa"/>
            <w:gridSpan w:val="3"/>
            <w:vAlign w:val="center"/>
          </w:tcPr>
          <w:p w14:paraId="72C11B3B">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7DA5CB4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832" w:type="dxa"/>
            <w:vAlign w:val="center"/>
          </w:tcPr>
          <w:p w14:paraId="568328A9">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供应商名称</w:t>
            </w:r>
          </w:p>
        </w:tc>
        <w:tc>
          <w:tcPr>
            <w:tcW w:w="7407" w:type="dxa"/>
            <w:gridSpan w:val="3"/>
            <w:vAlign w:val="center"/>
          </w:tcPr>
          <w:p w14:paraId="2F424C40">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r>
              <w:rPr>
                <w:rFonts w:hint="eastAsia" w:ascii="宋体" w:hAnsi="宋体" w:eastAsia="宋体" w:cs="宋体"/>
                <w:sz w:val="24"/>
                <w:szCs w:val="24"/>
              </w:rPr>
              <w:t>（供应商公章）</w:t>
            </w:r>
          </w:p>
        </w:tc>
      </w:tr>
      <w:tr w14:paraId="68CBF61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832" w:type="dxa"/>
            <w:vAlign w:val="center"/>
          </w:tcPr>
          <w:p w14:paraId="1F610D4B">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联系人</w:t>
            </w:r>
          </w:p>
        </w:tc>
        <w:tc>
          <w:tcPr>
            <w:tcW w:w="2391" w:type="dxa"/>
            <w:vAlign w:val="center"/>
          </w:tcPr>
          <w:p w14:paraId="4968E84A">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c>
          <w:tcPr>
            <w:tcW w:w="1051" w:type="dxa"/>
            <w:vAlign w:val="center"/>
          </w:tcPr>
          <w:p w14:paraId="7D7B83AF">
            <w:pPr>
              <w:keepNext w:val="0"/>
              <w:keepLines w:val="0"/>
              <w:suppressLineNumbers w:val="0"/>
              <w:spacing w:before="0" w:beforeAutospacing="0" w:after="0" w:afterAutospacing="0" w:line="440" w:lineRule="exact"/>
              <w:ind w:left="0" w:right="0"/>
              <w:rPr>
                <w:rFonts w:hint="default" w:ascii="宋体" w:hAnsi="宋体" w:eastAsia="宋体" w:cs="宋体"/>
                <w:sz w:val="24"/>
                <w:szCs w:val="24"/>
              </w:rPr>
            </w:pPr>
            <w:r>
              <w:rPr>
                <w:rFonts w:hint="eastAsia" w:ascii="宋体" w:hAnsi="宋体" w:eastAsia="宋体" w:cs="宋体"/>
                <w:sz w:val="24"/>
                <w:szCs w:val="24"/>
              </w:rPr>
              <w:t>手机</w:t>
            </w:r>
          </w:p>
        </w:tc>
        <w:tc>
          <w:tcPr>
            <w:tcW w:w="3965" w:type="dxa"/>
            <w:vAlign w:val="center"/>
          </w:tcPr>
          <w:p w14:paraId="5E614889">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56C5025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832" w:type="dxa"/>
            <w:vAlign w:val="center"/>
          </w:tcPr>
          <w:p w14:paraId="57F896B4">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办公电话</w:t>
            </w:r>
          </w:p>
        </w:tc>
        <w:tc>
          <w:tcPr>
            <w:tcW w:w="2391" w:type="dxa"/>
            <w:vAlign w:val="center"/>
          </w:tcPr>
          <w:p w14:paraId="00C7EC9B">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c>
          <w:tcPr>
            <w:tcW w:w="1051" w:type="dxa"/>
            <w:vAlign w:val="center"/>
          </w:tcPr>
          <w:p w14:paraId="0CC55900">
            <w:pPr>
              <w:keepNext w:val="0"/>
              <w:keepLines w:val="0"/>
              <w:suppressLineNumbers w:val="0"/>
              <w:spacing w:before="0" w:beforeAutospacing="0" w:after="0" w:afterAutospacing="0" w:line="440" w:lineRule="exact"/>
              <w:ind w:left="0" w:right="0"/>
              <w:rPr>
                <w:rFonts w:hint="default" w:ascii="宋体" w:hAnsi="宋体" w:eastAsia="宋体" w:cs="宋体"/>
                <w:sz w:val="24"/>
                <w:szCs w:val="24"/>
              </w:rPr>
            </w:pPr>
            <w:r>
              <w:rPr>
                <w:rFonts w:hint="eastAsia" w:ascii="宋体" w:hAnsi="宋体" w:eastAsia="宋体" w:cs="宋体"/>
                <w:sz w:val="24"/>
                <w:szCs w:val="24"/>
              </w:rPr>
              <w:t>传真</w:t>
            </w:r>
          </w:p>
        </w:tc>
        <w:tc>
          <w:tcPr>
            <w:tcW w:w="3965" w:type="dxa"/>
            <w:vAlign w:val="center"/>
          </w:tcPr>
          <w:p w14:paraId="61E4EE46">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0181441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832" w:type="dxa"/>
            <w:vAlign w:val="center"/>
          </w:tcPr>
          <w:p w14:paraId="636E203E">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E-mail</w:t>
            </w:r>
          </w:p>
        </w:tc>
        <w:tc>
          <w:tcPr>
            <w:tcW w:w="7407" w:type="dxa"/>
            <w:gridSpan w:val="3"/>
            <w:vAlign w:val="center"/>
          </w:tcPr>
          <w:p w14:paraId="023024E3">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r w14:paraId="549F632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832" w:type="dxa"/>
            <w:vAlign w:val="center"/>
          </w:tcPr>
          <w:p w14:paraId="78A9149E">
            <w:pPr>
              <w:keepNext w:val="0"/>
              <w:keepLines w:val="0"/>
              <w:suppressLineNumbers w:val="0"/>
              <w:spacing w:before="0" w:beforeAutospacing="0" w:after="0" w:afterAutospacing="0" w:line="440" w:lineRule="exact"/>
              <w:ind w:left="0" w:right="0"/>
              <w:jc w:val="center"/>
              <w:rPr>
                <w:rFonts w:hint="default" w:ascii="宋体" w:hAnsi="宋体" w:eastAsia="宋体" w:cs="宋体"/>
                <w:sz w:val="24"/>
                <w:szCs w:val="24"/>
              </w:rPr>
            </w:pPr>
            <w:r>
              <w:rPr>
                <w:rFonts w:hint="eastAsia" w:ascii="宋体" w:hAnsi="宋体" w:eastAsia="宋体" w:cs="宋体"/>
                <w:sz w:val="24"/>
                <w:szCs w:val="24"/>
              </w:rPr>
              <w:t>单位地址</w:t>
            </w:r>
          </w:p>
        </w:tc>
        <w:tc>
          <w:tcPr>
            <w:tcW w:w="7407" w:type="dxa"/>
            <w:gridSpan w:val="3"/>
            <w:vAlign w:val="center"/>
          </w:tcPr>
          <w:p w14:paraId="4D2C7538">
            <w:pPr>
              <w:keepNext w:val="0"/>
              <w:keepLines w:val="0"/>
              <w:suppressLineNumbers w:val="0"/>
              <w:spacing w:before="0" w:beforeAutospacing="0" w:after="0" w:afterAutospacing="0" w:line="440" w:lineRule="exact"/>
              <w:ind w:left="0" w:right="0" w:firstLine="480" w:firstLineChars="200"/>
              <w:rPr>
                <w:rFonts w:hint="default" w:ascii="宋体" w:hAnsi="宋体" w:eastAsia="宋体" w:cs="宋体"/>
                <w:sz w:val="24"/>
                <w:szCs w:val="24"/>
              </w:rPr>
            </w:pPr>
          </w:p>
        </w:tc>
      </w:tr>
    </w:tbl>
    <w:p w14:paraId="3C572BEE">
      <w:pPr>
        <w:spacing w:line="440" w:lineRule="exact"/>
        <w:ind w:firstLine="480" w:firstLineChars="200"/>
        <w:rPr>
          <w:rFonts w:ascii="宋体" w:hAnsi="宋体" w:eastAsia="宋体" w:cs="宋体"/>
        </w:rPr>
      </w:pPr>
      <w:r>
        <w:rPr>
          <w:rFonts w:hint="eastAsia" w:ascii="宋体" w:hAnsi="宋体" w:eastAsia="宋体" w:cs="宋体"/>
          <w:sz w:val="24"/>
        </w:rPr>
        <w:t>相关说明：</w:t>
      </w:r>
    </w:p>
    <w:p w14:paraId="081B16A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在报名和采购文件发售期内供应商扫描二维码缴纳报名费，填写《</w:t>
      </w:r>
      <w:r>
        <w:rPr>
          <w:rFonts w:hint="eastAsia" w:ascii="宋体" w:hAnsi="宋体" w:eastAsia="宋体" w:cs="宋体"/>
          <w:sz w:val="24"/>
          <w:szCs w:val="24"/>
          <w:lang w:eastAsia="zh-CN"/>
        </w:rPr>
        <w:t>重庆联点项目管理有限公司</w:t>
      </w:r>
      <w:r>
        <w:rPr>
          <w:rFonts w:hint="eastAsia" w:ascii="宋体" w:hAnsi="宋体" w:eastAsia="宋体" w:cs="宋体"/>
          <w:sz w:val="24"/>
          <w:szCs w:val="24"/>
        </w:rPr>
        <w:t>采购文件发售登记表》，将发售登记表扫描件发送至邮箱</w:t>
      </w:r>
      <w:r>
        <w:rPr>
          <w:rFonts w:hint="eastAsia" w:ascii="宋体" w:hAnsi="宋体" w:eastAsia="宋体" w:cs="宋体"/>
          <w:sz w:val="24"/>
          <w:szCs w:val="24"/>
          <w:lang w:val="en-US" w:eastAsia="zh-CN"/>
        </w:rPr>
        <w:t>404088077</w:t>
      </w:r>
      <w:r>
        <w:rPr>
          <w:rFonts w:hint="eastAsia" w:ascii="宋体" w:hAnsi="宋体" w:eastAsia="宋体" w:cs="宋体"/>
          <w:sz w:val="24"/>
          <w:szCs w:val="24"/>
        </w:rPr>
        <w:t>@qq.com，邮件主题为：项目名称 +供应商单位名称报名资料。</w:t>
      </w:r>
    </w:p>
    <w:p w14:paraId="649A4E9F">
      <w:pPr>
        <w:jc w:val="center"/>
        <w:rPr>
          <w:rFonts w:ascii="宋体" w:hAnsi="宋体" w:eastAsia="宋体" w:cs="宋体"/>
        </w:rPr>
      </w:pPr>
    </w:p>
    <w:p w14:paraId="1ADC954C">
      <w:pPr>
        <w:rPr>
          <w:rFonts w:ascii="宋体" w:hAnsi="宋体" w:eastAsia="宋体" w:cs="宋体"/>
        </w:rPr>
      </w:pPr>
    </w:p>
    <w:p w14:paraId="1591BB37">
      <w:pPr>
        <w:rPr>
          <w:rFonts w:ascii="宋体" w:hAnsi="宋体" w:eastAsia="宋体" w:cs="宋体"/>
        </w:rPr>
      </w:pPr>
      <w:r>
        <w:rPr>
          <w:rFonts w:hint="eastAsia" w:ascii="宋体" w:hAnsi="宋体" w:eastAsia="宋体" w:cs="宋体"/>
          <w:b/>
          <w:sz w:val="24"/>
          <w:szCs w:val="24"/>
          <w:lang w:eastAsia="zh-CN"/>
        </w:rPr>
        <w:drawing>
          <wp:anchor distT="0" distB="0" distL="114300" distR="114300" simplePos="0" relativeHeight="251662336" behindDoc="1" locked="0" layoutInCell="1" allowOverlap="1">
            <wp:simplePos x="0" y="0"/>
            <wp:positionH relativeFrom="column">
              <wp:posOffset>2134235</wp:posOffset>
            </wp:positionH>
            <wp:positionV relativeFrom="paragraph">
              <wp:posOffset>164465</wp:posOffset>
            </wp:positionV>
            <wp:extent cx="1125220" cy="1532255"/>
            <wp:effectExtent l="0" t="0" r="17780" b="10795"/>
            <wp:wrapNone/>
            <wp:docPr id="6" name="图片 6" descr="c22722cd119371d00f9342ff747ce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22722cd119371d00f9342ff747ce4c"/>
                    <pic:cNvPicPr>
                      <a:picLocks noChangeAspect="1"/>
                    </pic:cNvPicPr>
                  </pic:nvPicPr>
                  <pic:blipFill>
                    <a:blip r:embed="rId12"/>
                    <a:stretch>
                      <a:fillRect/>
                    </a:stretch>
                  </pic:blipFill>
                  <pic:spPr>
                    <a:xfrm>
                      <a:off x="0" y="0"/>
                      <a:ext cx="1125220" cy="1532255"/>
                    </a:xfrm>
                    <a:prstGeom prst="rect">
                      <a:avLst/>
                    </a:prstGeom>
                  </pic:spPr>
                </pic:pic>
              </a:graphicData>
            </a:graphic>
          </wp:anchor>
        </w:drawing>
      </w:r>
    </w:p>
    <w:p w14:paraId="648A5823">
      <w:pPr>
        <w:rPr>
          <w:rFonts w:ascii="宋体" w:hAnsi="宋体" w:eastAsia="宋体" w:cs="宋体"/>
        </w:rPr>
      </w:pPr>
    </w:p>
    <w:p w14:paraId="199E93EF">
      <w:pPr>
        <w:snapToGrid w:val="0"/>
        <w:spacing w:line="400" w:lineRule="exact"/>
        <w:jc w:val="center"/>
        <w:outlineLvl w:val="1"/>
        <w:rPr>
          <w:rFonts w:hint="eastAsia" w:ascii="宋体" w:hAnsi="宋体" w:eastAsia="宋体" w:cs="宋体"/>
          <w:b/>
          <w:sz w:val="24"/>
          <w:szCs w:val="24"/>
          <w:lang w:eastAsia="zh-CN"/>
        </w:rPr>
      </w:pPr>
    </w:p>
    <w:sectPr>
      <w:headerReference r:id="rId8" w:type="default"/>
      <w:footerReference r:id="rId9" w:type="default"/>
      <w:pgSz w:w="11907" w:h="16840"/>
      <w:pgMar w:top="1134" w:right="1191" w:bottom="1134" w:left="1304" w:header="851" w:footer="850" w:gutter="0"/>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3"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EFEE6BF-D6E1-4925-AD1E-0BAB634EF7B2}"/>
  </w:font>
  <w:font w:name="Arial">
    <w:panose1 w:val="020B0604020202020204"/>
    <w:charset w:val="01"/>
    <w:family w:val="swiss"/>
    <w:pitch w:val="default"/>
    <w:sig w:usb0="E0002AFF" w:usb1="C0007843" w:usb2="00000009" w:usb3="00000000" w:csb0="400001FF" w:csb1="FFFF0000"/>
    <w:embedRegular r:id="rId2" w:fontKey="{95B0179F-E44A-4DDC-B589-EEEC97639FDC}"/>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AED1FA35-29CC-4A26-AA77-996E2CA55A2B}"/>
  </w:font>
  <w:font w:name="Symbol">
    <w:panose1 w:val="05050102010706020507"/>
    <w:charset w:val="02"/>
    <w:family w:val="roman"/>
    <w:pitch w:val="default"/>
    <w:sig w:usb0="00000000" w:usb1="00000000" w:usb2="00000000" w:usb3="00000000" w:csb0="80000000" w:csb1="00000000"/>
    <w:embedRegular r:id="rId4" w:fontKey="{38239958-9676-445D-B826-723DEC58307F}"/>
  </w:font>
  <w:font w:name="Calibri">
    <w:panose1 w:val="020F0502020204030204"/>
    <w:charset w:val="00"/>
    <w:family w:val="swiss"/>
    <w:pitch w:val="default"/>
    <w:sig w:usb0="E00002FF" w:usb1="4000ACFF" w:usb2="00000001" w:usb3="00000000" w:csb0="2000019F" w:csb1="00000000"/>
    <w:embedRegular r:id="rId5" w:fontKey="{083E7D9A-3138-4F5A-8100-954B5BE96794}"/>
  </w:font>
  <w:font w:name="微软雅黑">
    <w:panose1 w:val="020B0503020204020204"/>
    <w:charset w:val="86"/>
    <w:family w:val="swiss"/>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6" w:fontKey="{851161D0-625D-49CC-A7F0-3859B01B3A12}"/>
  </w:font>
  <w:font w:name="昆仑楷体">
    <w:altName w:val="宋体"/>
    <w:panose1 w:val="00000000000000000000"/>
    <w:charset w:val="86"/>
    <w:family w:val="moder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embedRegular r:id="rId7" w:fontKey="{370785F3-2F24-452F-B46D-92C0D6C3484C}"/>
  </w:font>
  <w:font w:name="Tahoma">
    <w:panose1 w:val="020B0604030504040204"/>
    <w:charset w:val="00"/>
    <w:family w:val="swiss"/>
    <w:pitch w:val="default"/>
    <w:sig w:usb0="E1002EFF" w:usb1="C000605B" w:usb2="00000029" w:usb3="00000000" w:csb0="200101FF" w:csb1="20280000"/>
    <w:embedRegular r:id="rId8" w:fontKey="{B036A0CF-9C50-42D3-9FAC-EDFEC53EF6D2}"/>
  </w:font>
  <w:font w:name="文鼎粗黑">
    <w:altName w:val="新宋体"/>
    <w:panose1 w:val="00000000000000000000"/>
    <w:charset w:val="86"/>
    <w:family w:val="modern"/>
    <w:pitch w:val="default"/>
    <w:sig w:usb0="00000000" w:usb1="00000000" w:usb2="00000010" w:usb3="00000000" w:csb0="00040000" w:csb1="00000000"/>
  </w:font>
  <w:font w:name="新宋体">
    <w:panose1 w:val="02010609030101010101"/>
    <w:charset w:val="86"/>
    <w:family w:val="auto"/>
    <w:pitch w:val="default"/>
    <w:sig w:usb0="00000003" w:usb1="288F0000" w:usb2="00000006" w:usb3="00000000" w:csb0="00040001" w:csb1="00000000"/>
  </w:font>
  <w:font w:name="Helvetica Neue">
    <w:altName w:val="Times New Roman"/>
    <w:panose1 w:val="00000000000000000000"/>
    <w:charset w:val="00"/>
    <w:family w:val="auto"/>
    <w:pitch w:val="default"/>
    <w:sig w:usb0="00000000" w:usb1="00000000" w:usb2="00000010" w:usb3="00000000" w:csb0="00000000" w:csb1="00000000"/>
    <w:embedRegular r:id="rId9" w:fontKey="{9F815369-7192-420E-A23D-EB42AB621E03}"/>
  </w:font>
  <w:font w:name="方正黑体_GBK">
    <w:altName w:val="微软雅黑"/>
    <w:panose1 w:val="03000509000000000000"/>
    <w:charset w:val="86"/>
    <w:family w:val="script"/>
    <w:pitch w:val="default"/>
    <w:sig w:usb0="00000000" w:usb1="0000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WPSEMBED1">
    <w:panose1 w:val="020B0606020202030204"/>
    <w:charset w:val="00"/>
    <w:family w:val="auto"/>
    <w:pitch w:val="default"/>
    <w:sig w:usb0="00000287" w:usb1="00000800" w:usb2="00000000" w:usb3="00000000" w:csb0="2000009F" w:csb1="DFD70000"/>
    <w:embedRegular r:id="rId10" w:fontKey="{D54ABD00-A4D6-4C4A-B93E-330BCFE0ED5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EB8767">
    <w:pPr>
      <w:pStyle w:val="37"/>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715B1">
    <w:pPr>
      <w:pStyle w:val="37"/>
      <w:tabs>
        <w:tab w:val="clear" w:pos="4153"/>
      </w:tabs>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948F200">
                          <w:pPr>
                            <w:pStyle w:val="37"/>
                          </w:pPr>
                          <w:r>
                            <w:fldChar w:fldCharType="begin"/>
                          </w:r>
                          <w:r>
                            <w:instrText xml:space="preserve"> PAGE  \* MERGEFORMAT </w:instrText>
                          </w:r>
                          <w:r>
                            <w:fldChar w:fldCharType="separate"/>
                          </w:r>
                          <w:r>
                            <w:t>2</w:t>
                          </w:r>
                          <w:r>
                            <w:fldChar w:fldCharType="end"/>
                          </w:r>
                        </w:p>
                      </w:txbxContent>
                    </wps:txbx>
                    <wps:bodyPr wrap="none" lIns="0" tIns="0" rIns="0" bIns="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zj9OcIBAACO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uqLEcYsDv3z/dvnx6/LzK1m+&#10;yfr0AWpMewiYmIY7P+DWzH5AZ6Y9qGjzFwkRjKO656u6ckhE5Efr1XpdYUhgbL4gPnt8HiKkt9Jb&#10;ko2GRhxfUZWf3kMaU+eUXM35e21MGaFxfzkQM3tY7n3sMVtp2A8Tob1vz8inx8k31OGiU2LeORQ2&#10;L8lsxNnYT0auAeH2mLBw6SejjlBTMRxTYTStVN6DP+8l6/E32v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M4/TnCAQAAjgMAAA4AAAAAAAAAAQAgAAAAHgEAAGRycy9lMm9Eb2MueG1sUEsF&#10;BgAAAAAGAAYAWQEAAFIFAAAAAA==&#10;">
              <v:fill on="f" focussize="0,0"/>
              <v:stroke on="f"/>
              <v:imagedata o:title=""/>
              <o:lock v:ext="edit" aspectratio="f"/>
              <v:textbox inset="0mm,0mm,0mm,0mm" style="mso-fit-shape-to-text:t;">
                <w:txbxContent>
                  <w:p w14:paraId="0948F200">
                    <w:pPr>
                      <w:pStyle w:val="37"/>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261E48">
    <w:pPr>
      <w:pStyle w:val="37"/>
      <w:rPr>
        <w:sz w:val="24"/>
        <w:szCs w:val="24"/>
      </w:rPr>
    </w:pPr>
    <w:r>
      <w:rPr>
        <w:sz w:val="24"/>
      </w:rPr>
      <w:pict>
        <v:shape id="文本框 2063" o:spid="_x0000_s2049"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1.25pt" joinstyle="miter"/>
          <v:imagedata o:title=""/>
          <o:lock v:ext="edit"/>
          <v:textbox inset="0mm,0mm,0mm,0mm" style="mso-fit-shape-to-text:t;">
            <w:txbxContent>
              <w:p w14:paraId="48E26404">
                <w:pPr>
                  <w:pStyle w:val="37"/>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44</w:t>
                </w:r>
                <w:r>
                  <w:fldChar w:fldCharType="end"/>
                </w:r>
                <w:r>
                  <w:t xml:space="preserve"> 页</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58FEEA">
    <w:pPr>
      <w:pStyle w:val="37"/>
      <w:framePr w:wrap="around" w:vAnchor="text" w:hAnchor="margin" w:xAlign="center" w:y="1"/>
      <w:rPr>
        <w:rStyle w:val="65"/>
      </w:rPr>
    </w:pPr>
    <w:r>
      <w:fldChar w:fldCharType="begin"/>
    </w:r>
    <w:r>
      <w:rPr>
        <w:rStyle w:val="65"/>
      </w:rPr>
      <w:instrText xml:space="preserve">PAGE  </w:instrText>
    </w:r>
    <w:r>
      <w:fldChar w:fldCharType="end"/>
    </w:r>
  </w:p>
  <w:p w14:paraId="06B1C836">
    <w:pPr>
      <w:pStyle w:val="37"/>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E62C44">
    <w:pPr>
      <w:pStyle w:val="37"/>
      <w:jc w:val="right"/>
      <w:rPr>
        <w:sz w:val="24"/>
        <w:szCs w:val="24"/>
      </w:rP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8EB7F15">
                          <w:pPr>
                            <w:pStyle w:val="37"/>
                          </w:pPr>
                          <w:r>
                            <w:fldChar w:fldCharType="begin"/>
                          </w:r>
                          <w:r>
                            <w:instrText xml:space="preserve"> PAGE  \* MERGEFORMAT </w:instrText>
                          </w:r>
                          <w:r>
                            <w:fldChar w:fldCharType="separate"/>
                          </w:r>
                          <w:r>
                            <w:t>43</w:t>
                          </w:r>
                          <w:r>
                            <w:fldChar w:fldCharType="end"/>
                          </w:r>
                        </w:p>
                      </w:txbxContent>
                    </wps:txbx>
                    <wps:bodyPr wrap="none" lIns="0" tIns="0" rIns="0" bIns="0">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6MnbCAQAAjgMAAA4AAAAAAAAAAQAgAAAAHgEAAGRycy9lMm9Eb2MueG1sUEsF&#10;BgAAAAAGAAYAWQEAAFIFAAAAAA==&#10;">
              <v:fill on="f" focussize="0,0"/>
              <v:stroke on="f"/>
              <v:imagedata o:title=""/>
              <o:lock v:ext="edit" aspectratio="f"/>
              <v:textbox inset="0mm,0mm,0mm,0mm" style="mso-fit-shape-to-text:t;">
                <w:txbxContent>
                  <w:p w14:paraId="08EB7F15">
                    <w:pPr>
                      <w:pStyle w:val="3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F28930">
    <w:pPr>
      <w:pStyle w:val="38"/>
      <w:pBdr>
        <w:bottom w:val="single" w:color="auto" w:sz="4" w:space="0"/>
      </w:pBdr>
      <w:ind w:firstLine="843" w:firstLineChars="400"/>
      <w:jc w:val="both"/>
      <w:rPr>
        <w:rFonts w:ascii="宋体" w:hAnsi="宋体" w:eastAsia="宋体" w:cs="宋体"/>
      </w:rPr>
    </w:pPr>
    <w:r>
      <w:rPr>
        <w:rFonts w:hint="eastAsia" w:ascii="宋体" w:hAnsi="宋体" w:eastAsia="宋体" w:cs="宋体"/>
        <w:b/>
        <w:sz w:val="21"/>
        <w:szCs w:val="21"/>
      </w:rPr>
      <w:t>重庆</w:t>
    </w:r>
    <w:r>
      <w:rPr>
        <w:rFonts w:hint="eastAsia" w:ascii="宋体" w:hAnsi="宋体" w:eastAsia="宋体" w:cs="宋体"/>
        <w:b/>
        <w:sz w:val="21"/>
        <w:szCs w:val="21"/>
        <w:lang w:val="en-US" w:eastAsia="zh-CN"/>
      </w:rPr>
      <w:t>联点项目管理</w:t>
    </w:r>
    <w:r>
      <w:rPr>
        <w:rFonts w:hint="eastAsia" w:ascii="宋体" w:hAnsi="宋体" w:eastAsia="宋体" w:cs="宋体"/>
        <w:b/>
        <w:sz w:val="21"/>
        <w:szCs w:val="21"/>
      </w:rPr>
      <w:t xml:space="preserve">有限公司                                      </w:t>
    </w:r>
    <w:r>
      <w:rPr>
        <w:rFonts w:ascii="宋体" w:hAnsi="宋体" w:eastAsia="宋体" w:cs="宋体"/>
        <w:b/>
        <w:sz w:val="21"/>
        <w:szCs w:val="21"/>
      </w:rPr>
      <w:t xml:space="preserve">   </w:t>
    </w:r>
    <w:r>
      <w:rPr>
        <w:rFonts w:hint="eastAsia" w:ascii="宋体" w:hAnsi="宋体" w:eastAsia="宋体" w:cs="宋体"/>
        <w:b/>
        <w:sz w:val="21"/>
        <w:szCs w:val="21"/>
      </w:rPr>
      <w:t>竞争性谈判文件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25173">
    <w:pPr>
      <w:pStyle w:val="38"/>
    </w:pPr>
    <w:r>
      <w:rPr>
        <w:rFonts w:hint="eastAsia" w:ascii="宋体" w:hAnsi="宋体" w:eastAsia="宋体" w:cs="宋体"/>
        <w:sz w:val="24"/>
      </w:rPr>
      <w:t xml:space="preserve">  </w:t>
    </w:r>
    <w:r>
      <w:rPr>
        <w:rFonts w:hint="eastAsia" w:ascii="宋体" w:hAnsi="宋体" w:eastAsia="宋体" w:cs="宋体"/>
        <w:sz w:val="24"/>
        <w:lang w:eastAsia="zh-CN"/>
      </w:rPr>
      <w:t>重庆联点项目管理有限公司</w:t>
    </w:r>
    <w:r>
      <w:rPr>
        <w:rFonts w:hint="eastAsia" w:ascii="宋体" w:hAnsi="宋体" w:eastAsia="宋体" w:cs="宋体"/>
        <w:sz w:val="24"/>
      </w:rPr>
      <w:t xml:space="preserve">                             </w:t>
    </w:r>
    <w:r>
      <w:rPr>
        <w:rFonts w:hint="eastAsia" w:ascii="宋体" w:hAnsi="宋体" w:eastAsia="宋体" w:cs="宋体"/>
        <w:sz w:val="24"/>
        <w:szCs w:val="24"/>
      </w:rPr>
      <w:t xml:space="preserve">   竞争性谈判文件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9"/>
    <w:multiLevelType w:val="multilevel"/>
    <w:tmpl w:val="00000009"/>
    <w:lvl w:ilvl="0" w:tentative="0">
      <w:start w:val="1"/>
      <w:numFmt w:val="bullet"/>
      <w:lvlText w:val=""/>
      <w:lvlJc w:val="left"/>
      <w:pPr>
        <w:tabs>
          <w:tab w:val="left" w:pos="780"/>
        </w:tabs>
        <w:ind w:left="780" w:hanging="360"/>
      </w:pPr>
      <w:rPr>
        <w:rFonts w:hint="default" w:ascii="Wingdings" w:hAnsi="Wingdings"/>
      </w:rPr>
    </w:lvl>
    <w:lvl w:ilvl="1" w:tentative="0">
      <w:start w:val="1"/>
      <w:numFmt w:val="decimal"/>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
    <w:nsid w:val="0000000A"/>
    <w:multiLevelType w:val="singleLevel"/>
    <w:tmpl w:val="0000000A"/>
    <w:lvl w:ilvl="0" w:tentative="0">
      <w:start w:val="1"/>
      <w:numFmt w:val="decimal"/>
      <w:pStyle w:val="13"/>
      <w:lvlText w:val="%1."/>
      <w:lvlJc w:val="left"/>
      <w:pPr>
        <w:tabs>
          <w:tab w:val="left" w:pos="425"/>
        </w:tabs>
        <w:ind w:left="425" w:hanging="425"/>
      </w:pPr>
      <w:rPr>
        <w:rFonts w:hint="default"/>
      </w:rPr>
    </w:lvl>
  </w:abstractNum>
  <w:abstractNum w:abstractNumId="2">
    <w:nsid w:val="0000000C"/>
    <w:multiLevelType w:val="multilevel"/>
    <w:tmpl w:val="0000000C"/>
    <w:lvl w:ilvl="0" w:tentative="0">
      <w:start w:val="1"/>
      <w:numFmt w:val="bullet"/>
      <w:pStyle w:val="255"/>
      <w:lvlText w:val=""/>
      <w:lvlJc w:val="left"/>
      <w:pPr>
        <w:tabs>
          <w:tab w:val="left" w:pos="987"/>
        </w:tabs>
        <w:ind w:left="987"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00000011"/>
    <w:multiLevelType w:val="singleLevel"/>
    <w:tmpl w:val="00000011"/>
    <w:lvl w:ilvl="0" w:tentative="0">
      <w:start w:val="1"/>
      <w:numFmt w:val="bullet"/>
      <w:lvlText w:val=""/>
      <w:lvlJc w:val="left"/>
      <w:pPr>
        <w:tabs>
          <w:tab w:val="left" w:pos="1620"/>
        </w:tabs>
        <w:ind w:left="1620" w:hanging="360"/>
      </w:pPr>
      <w:rPr>
        <w:rFonts w:hint="default" w:ascii="Wingdings" w:hAnsi="Wingdings"/>
      </w:rPr>
    </w:lvl>
  </w:abstractNum>
  <w:abstractNum w:abstractNumId="4">
    <w:nsid w:val="00000012"/>
    <w:multiLevelType w:val="singleLevel"/>
    <w:tmpl w:val="00000012"/>
    <w:lvl w:ilvl="0" w:tentative="0">
      <w:start w:val="1"/>
      <w:numFmt w:val="bullet"/>
      <w:pStyle w:val="27"/>
      <w:lvlText w:val=""/>
      <w:lvlJc w:val="left"/>
      <w:pPr>
        <w:tabs>
          <w:tab w:val="left" w:pos="780"/>
        </w:tabs>
        <w:ind w:left="780" w:hanging="360"/>
      </w:pPr>
      <w:rPr>
        <w:rFonts w:hint="default" w:ascii="Wingdings" w:hAnsi="Wingdings"/>
      </w:rPr>
    </w:lvl>
  </w:abstractNum>
  <w:abstractNum w:abstractNumId="5">
    <w:nsid w:val="00000014"/>
    <w:multiLevelType w:val="singleLevel"/>
    <w:tmpl w:val="00000014"/>
    <w:lvl w:ilvl="0" w:tentative="0">
      <w:start w:val="1"/>
      <w:numFmt w:val="bullet"/>
      <w:pStyle w:val="252"/>
      <w:lvlText w:val=""/>
      <w:lvlJc w:val="left"/>
      <w:pPr>
        <w:tabs>
          <w:tab w:val="left" w:pos="360"/>
        </w:tabs>
        <w:ind w:left="360" w:hanging="360"/>
      </w:pPr>
      <w:rPr>
        <w:rFonts w:hint="default" w:ascii="Wingdings" w:hAnsi="Wingdings"/>
      </w:rPr>
    </w:lvl>
  </w:abstractNum>
  <w:abstractNum w:abstractNumId="6">
    <w:nsid w:val="0000001A"/>
    <w:multiLevelType w:val="singleLevel"/>
    <w:tmpl w:val="0000001A"/>
    <w:lvl w:ilvl="0" w:tentative="0">
      <w:start w:val="1"/>
      <w:numFmt w:val="decimal"/>
      <w:pStyle w:val="121"/>
      <w:lvlText w:val="%1)"/>
      <w:lvlJc w:val="left"/>
      <w:pPr>
        <w:tabs>
          <w:tab w:val="left" w:pos="425"/>
        </w:tabs>
        <w:ind w:left="425" w:hanging="425"/>
      </w:pPr>
      <w:rPr>
        <w:rFonts w:hint="eastAsia"/>
      </w:rPr>
    </w:lvl>
  </w:abstractNum>
  <w:abstractNum w:abstractNumId="7">
    <w:nsid w:val="0000001C"/>
    <w:multiLevelType w:val="singleLevel"/>
    <w:tmpl w:val="0000001C"/>
    <w:lvl w:ilvl="0" w:tentative="0">
      <w:start w:val="1"/>
      <w:numFmt w:val="bullet"/>
      <w:pStyle w:val="21"/>
      <w:lvlText w:val=""/>
      <w:lvlJc w:val="left"/>
      <w:pPr>
        <w:tabs>
          <w:tab w:val="left" w:pos="1200"/>
        </w:tabs>
        <w:ind w:left="1200" w:hanging="360"/>
      </w:pPr>
      <w:rPr>
        <w:rFonts w:hint="default" w:ascii="Wingdings" w:hAnsi="Wingdings"/>
      </w:rPr>
    </w:lvl>
  </w:abstractNum>
  <w:abstractNum w:abstractNumId="8">
    <w:nsid w:val="0000001D"/>
    <w:multiLevelType w:val="multilevel"/>
    <w:tmpl w:val="0000001D"/>
    <w:lvl w:ilvl="0" w:tentative="0">
      <w:start w:val="1"/>
      <w:numFmt w:val="decimal"/>
      <w:pStyle w:val="227"/>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0000021"/>
    <w:multiLevelType w:val="multilevel"/>
    <w:tmpl w:val="00000021"/>
    <w:lvl w:ilvl="0" w:tentative="0">
      <w:start w:val="1"/>
      <w:numFmt w:val="bullet"/>
      <w:pStyle w:val="187"/>
      <w:lvlText w:val=""/>
      <w:lvlJc w:val="left"/>
      <w:pPr>
        <w:tabs>
          <w:tab w:val="left" w:pos="1644"/>
        </w:tabs>
        <w:ind w:left="1644" w:hanging="510"/>
      </w:pPr>
      <w:rPr>
        <w:rFonts w:hint="default" w:ascii="Wingdings" w:hAnsi="Wingdings"/>
        <w:color w:val="auto"/>
        <w:sz w:val="13"/>
        <w:u w:val="none"/>
      </w:rPr>
    </w:lvl>
    <w:lvl w:ilvl="1" w:tentative="0">
      <w:start w:val="1"/>
      <w:numFmt w:val="bullet"/>
      <w:lvlText w:val=""/>
      <w:lvlJc w:val="left"/>
      <w:pPr>
        <w:tabs>
          <w:tab w:val="left" w:pos="840"/>
        </w:tabs>
        <w:ind w:left="840" w:hanging="420"/>
      </w:pPr>
      <w:rPr>
        <w:rFonts w:hint="default" w:ascii="Wingdings" w:hAnsi="Wingdings"/>
        <w:color w:val="auto"/>
        <w:sz w:val="13"/>
        <w:u w:val="none"/>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00000022"/>
    <w:multiLevelType w:val="multilevel"/>
    <w:tmpl w:val="00000022"/>
    <w:lvl w:ilvl="0" w:tentative="0">
      <w:start w:val="1"/>
      <w:numFmt w:val="bullet"/>
      <w:pStyle w:val="163"/>
      <w:lvlText w:val=""/>
      <w:lvlJc w:val="left"/>
      <w:pPr>
        <w:tabs>
          <w:tab w:val="left" w:pos="540"/>
        </w:tabs>
        <w:ind w:left="540" w:firstLine="0"/>
      </w:pPr>
      <w:rPr>
        <w:rFonts w:hint="default" w:ascii="Wingdings" w:hAnsi="Wingdings"/>
        <w:sz w:val="16"/>
      </w:rPr>
    </w:lvl>
    <w:lvl w:ilvl="1" w:tentative="0">
      <w:start w:val="1"/>
      <w:numFmt w:val="bullet"/>
      <w:lvlText w:val=""/>
      <w:lvlJc w:val="left"/>
      <w:pPr>
        <w:tabs>
          <w:tab w:val="left" w:pos="1940"/>
        </w:tabs>
        <w:ind w:left="1940" w:hanging="420"/>
      </w:pPr>
      <w:rPr>
        <w:rFonts w:hint="default" w:ascii="Wingdings" w:hAnsi="Wingdings"/>
      </w:rPr>
    </w:lvl>
    <w:lvl w:ilvl="2" w:tentative="0">
      <w:start w:val="1"/>
      <w:numFmt w:val="bullet"/>
      <w:lvlText w:val=""/>
      <w:lvlJc w:val="left"/>
      <w:pPr>
        <w:tabs>
          <w:tab w:val="left" w:pos="2360"/>
        </w:tabs>
        <w:ind w:left="2360" w:hanging="420"/>
      </w:pPr>
      <w:rPr>
        <w:rFonts w:hint="default" w:ascii="Wingdings" w:hAnsi="Wingdings"/>
      </w:rPr>
    </w:lvl>
    <w:lvl w:ilvl="3" w:tentative="0">
      <w:start w:val="1"/>
      <w:numFmt w:val="bullet"/>
      <w:lvlText w:val=""/>
      <w:lvlJc w:val="left"/>
      <w:pPr>
        <w:tabs>
          <w:tab w:val="left" w:pos="2780"/>
        </w:tabs>
        <w:ind w:left="2780" w:hanging="420"/>
      </w:pPr>
      <w:rPr>
        <w:rFonts w:hint="default" w:ascii="Wingdings" w:hAnsi="Wingdings"/>
      </w:rPr>
    </w:lvl>
    <w:lvl w:ilvl="4" w:tentative="0">
      <w:start w:val="1"/>
      <w:numFmt w:val="bullet"/>
      <w:lvlText w:val=""/>
      <w:lvlJc w:val="left"/>
      <w:pPr>
        <w:tabs>
          <w:tab w:val="left" w:pos="3200"/>
        </w:tabs>
        <w:ind w:left="3200" w:hanging="420"/>
      </w:pPr>
      <w:rPr>
        <w:rFonts w:hint="default" w:ascii="Wingdings" w:hAnsi="Wingdings"/>
      </w:rPr>
    </w:lvl>
    <w:lvl w:ilvl="5" w:tentative="0">
      <w:start w:val="1"/>
      <w:numFmt w:val="bullet"/>
      <w:lvlText w:val=""/>
      <w:lvlJc w:val="left"/>
      <w:pPr>
        <w:tabs>
          <w:tab w:val="left" w:pos="3620"/>
        </w:tabs>
        <w:ind w:left="3620" w:hanging="420"/>
      </w:pPr>
      <w:rPr>
        <w:rFonts w:hint="default" w:ascii="Wingdings" w:hAnsi="Wingdings"/>
      </w:rPr>
    </w:lvl>
    <w:lvl w:ilvl="6" w:tentative="0">
      <w:start w:val="1"/>
      <w:numFmt w:val="bullet"/>
      <w:lvlText w:val=""/>
      <w:lvlJc w:val="left"/>
      <w:pPr>
        <w:tabs>
          <w:tab w:val="left" w:pos="4040"/>
        </w:tabs>
        <w:ind w:left="4040" w:hanging="420"/>
      </w:pPr>
      <w:rPr>
        <w:rFonts w:hint="default" w:ascii="Wingdings" w:hAnsi="Wingdings"/>
      </w:rPr>
    </w:lvl>
    <w:lvl w:ilvl="7" w:tentative="0">
      <w:start w:val="1"/>
      <w:numFmt w:val="bullet"/>
      <w:lvlText w:val=""/>
      <w:lvlJc w:val="left"/>
      <w:pPr>
        <w:tabs>
          <w:tab w:val="left" w:pos="4460"/>
        </w:tabs>
        <w:ind w:left="4460" w:hanging="420"/>
      </w:pPr>
      <w:rPr>
        <w:rFonts w:hint="default" w:ascii="Wingdings" w:hAnsi="Wingdings"/>
      </w:rPr>
    </w:lvl>
    <w:lvl w:ilvl="8" w:tentative="0">
      <w:start w:val="1"/>
      <w:numFmt w:val="bullet"/>
      <w:lvlText w:val=""/>
      <w:lvlJc w:val="left"/>
      <w:pPr>
        <w:tabs>
          <w:tab w:val="left" w:pos="4880"/>
        </w:tabs>
        <w:ind w:left="4880" w:hanging="420"/>
      </w:pPr>
      <w:rPr>
        <w:rFonts w:hint="default" w:ascii="Wingdings" w:hAnsi="Wingdings"/>
      </w:rPr>
    </w:lvl>
  </w:abstractNum>
  <w:abstractNum w:abstractNumId="11">
    <w:nsid w:val="00000023"/>
    <w:multiLevelType w:val="multilevel"/>
    <w:tmpl w:val="00000023"/>
    <w:lvl w:ilvl="0" w:tentative="0">
      <w:start w:val="1"/>
      <w:numFmt w:val="upperLetter"/>
      <w:pStyle w:val="228"/>
      <w:suff w:val="nothing"/>
      <w:lvlText w:val="附　录　%1"/>
      <w:lvlJc w:val="left"/>
      <w:pPr>
        <w:ind w:left="0" w:firstLine="0"/>
      </w:pPr>
      <w:rPr>
        <w:rFonts w:hint="eastAsia" w:ascii="黑体" w:hAnsi="Times New Roman" w:eastAsia="黑体"/>
        <w:b w:val="0"/>
        <w:i w:val="0"/>
        <w:sz w:val="21"/>
      </w:rPr>
    </w:lvl>
    <w:lvl w:ilvl="1" w:tentative="0">
      <w:start w:val="1"/>
      <w:numFmt w:val="decimal"/>
      <w:pStyle w:val="134"/>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0000024"/>
    <w:multiLevelType w:val="multilevel"/>
    <w:tmpl w:val="00000024"/>
    <w:lvl w:ilvl="0" w:tentative="0">
      <w:start w:val="1"/>
      <w:numFmt w:val="chineseCountingThousand"/>
      <w:pStyle w:val="185"/>
      <w:lvlText w:val="%1、"/>
      <w:lvlJc w:val="left"/>
      <w:pPr>
        <w:tabs>
          <w:tab w:val="left" w:pos="7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25"/>
    <w:multiLevelType w:val="multilevel"/>
    <w:tmpl w:val="00000025"/>
    <w:lvl w:ilvl="0" w:tentative="0">
      <w:start w:val="1"/>
      <w:numFmt w:val="chineseCountingThousand"/>
      <w:suff w:val="space"/>
      <w:lvlText w:val="第%1章"/>
      <w:lvlJc w:val="left"/>
      <w:pPr>
        <w:ind w:left="850" w:firstLine="0"/>
      </w:pPr>
      <w:rPr>
        <w:rFonts w:hint="default" w:ascii="Times New Roman" w:hAnsi="Times New Roman" w:eastAsia="宋体"/>
        <w:b/>
        <w:i w:val="0"/>
        <w:sz w:val="32"/>
      </w:rPr>
    </w:lvl>
    <w:lvl w:ilvl="1" w:tentative="0">
      <w:start w:val="1"/>
      <w:numFmt w:val="decimal"/>
      <w:pStyle w:val="203"/>
      <w:isLgl/>
      <w:suff w:val="space"/>
      <w:lvlText w:val="%1.%2"/>
      <w:lvlJc w:val="left"/>
      <w:pPr>
        <w:ind w:left="0" w:firstLine="0"/>
      </w:pPr>
      <w:rPr>
        <w:rFonts w:hint="default" w:ascii="Times New Roman" w:hAnsi="Times New Roman" w:eastAsia="宋体"/>
        <w:b/>
        <w:i w:val="0"/>
      </w:rPr>
    </w:lvl>
    <w:lvl w:ilvl="2" w:tentative="0">
      <w:start w:val="1"/>
      <w:numFmt w:val="decimal"/>
      <w:pStyle w:val="159"/>
      <w:isLgl/>
      <w:suff w:val="space"/>
      <w:lvlText w:val="%1.%2.%3"/>
      <w:lvlJc w:val="left"/>
      <w:pPr>
        <w:ind w:left="0" w:firstLine="0"/>
      </w:pPr>
      <w:rPr>
        <w:rFonts w:hint="default" w:ascii="Times New Roman" w:hAnsi="Times New Roman" w:eastAsia="宋体"/>
        <w:b/>
        <w:i w:val="0"/>
      </w:rPr>
    </w:lvl>
    <w:lvl w:ilvl="3" w:tentative="0">
      <w:start w:val="1"/>
      <w:numFmt w:val="decimal"/>
      <w:pStyle w:val="223"/>
      <w:isLgl/>
      <w:suff w:val="space"/>
      <w:lvlText w:val="%1.%2.%3.%4"/>
      <w:lvlJc w:val="left"/>
      <w:pPr>
        <w:ind w:left="0" w:firstLine="0"/>
      </w:pPr>
      <w:rPr>
        <w:rFonts w:hint="default" w:ascii="Times New Roman" w:hAnsi="Times New Roman" w:eastAsia="宋体"/>
        <w:b/>
        <w:i w:val="0"/>
      </w:rPr>
    </w:lvl>
    <w:lvl w:ilvl="4" w:tentative="0">
      <w:start w:val="1"/>
      <w:numFmt w:val="decimal"/>
      <w:isLgl/>
      <w:suff w:val="space"/>
      <w:lvlText w:val="%1.%2.%3.%4.%5"/>
      <w:lvlJc w:val="left"/>
      <w:pPr>
        <w:ind w:left="0" w:firstLine="0"/>
      </w:pPr>
      <w:rPr>
        <w:rFonts w:hint="default" w:ascii="Times New Roman" w:hAnsi="Times New Roman" w:eastAsia="宋体"/>
        <w:b/>
        <w:i w:val="0"/>
      </w:rPr>
    </w:lvl>
    <w:lvl w:ilvl="5" w:tentative="0">
      <w:start w:val="1"/>
      <w:numFmt w:val="decimal"/>
      <w:isLgl/>
      <w:suff w:val="space"/>
      <w:lvlText w:val="%1.%2.%3.%4.%5.%6"/>
      <w:lvlJc w:val="left"/>
      <w:pPr>
        <w:ind w:left="0" w:firstLine="0"/>
      </w:pPr>
      <w:rPr>
        <w:rFonts w:hint="default" w:ascii="Times New Roman" w:hAnsi="Times New Roman" w:eastAsia="宋体" w:cs="Times New Roman"/>
        <w:b/>
        <w:i w:val="0"/>
        <w:iCs w:val="0"/>
        <w:caps w:val="0"/>
        <w:smallCaps w:val="0"/>
        <w:strike w:val="0"/>
        <w:dstrike w:val="0"/>
        <w:vanish w:val="0"/>
        <w:color w:val="000000"/>
        <w:spacing w:val="0"/>
        <w:kern w:val="0"/>
        <w:position w:val="0"/>
        <w:u w:val="none"/>
        <w:vertAlign w:val="baseline"/>
      </w:rPr>
    </w:lvl>
    <w:lvl w:ilvl="6" w:tentative="0">
      <w:start w:val="1"/>
      <w:numFmt w:val="decimal"/>
      <w:lvlRestart w:val="1"/>
      <w:isLgl/>
      <w:suff w:val="space"/>
      <w:lvlText w:val="表%1-%7"/>
      <w:lvlJc w:val="left"/>
      <w:pPr>
        <w:ind w:left="0" w:firstLine="0"/>
      </w:pPr>
      <w:rPr>
        <w:rFonts w:hint="default" w:ascii="Times New Roman" w:hAnsi="Times New Roman" w:eastAsia="宋体"/>
        <w:b/>
        <w:i w:val="0"/>
      </w:rPr>
    </w:lvl>
    <w:lvl w:ilvl="7" w:tentative="0">
      <w:start w:val="1"/>
      <w:numFmt w:val="decimal"/>
      <w:lvlRestart w:val="1"/>
      <w:isLgl/>
      <w:suff w:val="space"/>
      <w:lvlText w:val="图%1-%8"/>
      <w:lvlJc w:val="left"/>
      <w:pPr>
        <w:ind w:left="0" w:firstLine="0"/>
      </w:pPr>
      <w:rPr>
        <w:rFonts w:hint="default" w:ascii="Times New Roman" w:hAnsi="Times New Roman" w:eastAsia="宋体"/>
        <w:b/>
        <w:i w:val="0"/>
      </w:rPr>
    </w:lvl>
    <w:lvl w:ilvl="8" w:tentative="0">
      <w:start w:val="1"/>
      <w:numFmt w:val="decimal"/>
      <w:lvlText w:val="%1.%2.%3.%4.%5.%6.%7.%8.%9."/>
      <w:lvlJc w:val="left"/>
      <w:pPr>
        <w:tabs>
          <w:tab w:val="left" w:pos="1959"/>
        </w:tabs>
        <w:ind w:left="1959" w:hanging="1559"/>
      </w:pPr>
      <w:rPr>
        <w:rFonts w:hint="eastAsia"/>
      </w:rPr>
    </w:lvl>
  </w:abstractNum>
  <w:num w:numId="1">
    <w:abstractNumId w:val="1"/>
  </w:num>
  <w:num w:numId="2">
    <w:abstractNumId w:val="7"/>
  </w:num>
  <w:num w:numId="3">
    <w:abstractNumId w:val="4"/>
  </w:num>
  <w:num w:numId="4">
    <w:abstractNumId w:val="6"/>
  </w:num>
  <w:num w:numId="5">
    <w:abstractNumId w:val="11"/>
  </w:num>
  <w:num w:numId="6">
    <w:abstractNumId w:val="3"/>
  </w:num>
  <w:num w:numId="7">
    <w:abstractNumId w:val="13"/>
  </w:num>
  <w:num w:numId="8">
    <w:abstractNumId w:val="10"/>
  </w:num>
  <w:num w:numId="9">
    <w:abstractNumId w:val="12"/>
  </w:num>
  <w:num w:numId="10">
    <w:abstractNumId w:val="9"/>
  </w:num>
  <w:num w:numId="11">
    <w:abstractNumId w:val="8"/>
  </w:num>
  <w:num w:numId="12">
    <w:abstractNumId w:val="5"/>
  </w:num>
  <w:num w:numId="13">
    <w:abstractNumId w:val="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92"/>
  <w:embedTrueTypeFonts/>
  <w:bordersDoNotSurroundHeader w:val="0"/>
  <w:bordersDoNotSurroundFooter w:val="0"/>
  <w:gutterAtTop/>
  <w:documentProtection w:enforcement="0"/>
  <w:defaultTabStop w:val="420"/>
  <w:drawingGridHorizontalSpacing w:val="126"/>
  <w:drawingGridVerticalSpacing w:val="19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FiYWQ4OWEwZDg1ZTA0YTVmOGE2ZjFkMDNiOTdhNGEifQ=="/>
  </w:docVars>
  <w:rsids>
    <w:rsidRoot w:val="00172A27"/>
    <w:rsid w:val="0000737E"/>
    <w:rsid w:val="000558BD"/>
    <w:rsid w:val="000D04F0"/>
    <w:rsid w:val="000E2839"/>
    <w:rsid w:val="000E6712"/>
    <w:rsid w:val="0011255E"/>
    <w:rsid w:val="00112AF6"/>
    <w:rsid w:val="00117DDF"/>
    <w:rsid w:val="00122D9F"/>
    <w:rsid w:val="00126EA6"/>
    <w:rsid w:val="00155DD9"/>
    <w:rsid w:val="00162C33"/>
    <w:rsid w:val="00172A27"/>
    <w:rsid w:val="0019402E"/>
    <w:rsid w:val="00195674"/>
    <w:rsid w:val="001A2957"/>
    <w:rsid w:val="001A7146"/>
    <w:rsid w:val="001D14A9"/>
    <w:rsid w:val="001D5056"/>
    <w:rsid w:val="001F55EF"/>
    <w:rsid w:val="0020700B"/>
    <w:rsid w:val="0022261A"/>
    <w:rsid w:val="00262CC4"/>
    <w:rsid w:val="002673FB"/>
    <w:rsid w:val="002706BE"/>
    <w:rsid w:val="00271893"/>
    <w:rsid w:val="00274FB6"/>
    <w:rsid w:val="00277021"/>
    <w:rsid w:val="00287A8D"/>
    <w:rsid w:val="002A726A"/>
    <w:rsid w:val="002B2D18"/>
    <w:rsid w:val="002B37F9"/>
    <w:rsid w:val="002D18CA"/>
    <w:rsid w:val="002F302B"/>
    <w:rsid w:val="002F739D"/>
    <w:rsid w:val="00323BD0"/>
    <w:rsid w:val="00330D3D"/>
    <w:rsid w:val="00350D80"/>
    <w:rsid w:val="00357DAC"/>
    <w:rsid w:val="00383F51"/>
    <w:rsid w:val="00395EE2"/>
    <w:rsid w:val="003A5ECC"/>
    <w:rsid w:val="003C7C8C"/>
    <w:rsid w:val="003E1A6E"/>
    <w:rsid w:val="003E491D"/>
    <w:rsid w:val="003E786C"/>
    <w:rsid w:val="003F3854"/>
    <w:rsid w:val="00404A41"/>
    <w:rsid w:val="00442D33"/>
    <w:rsid w:val="00444BD9"/>
    <w:rsid w:val="00465ECA"/>
    <w:rsid w:val="00471212"/>
    <w:rsid w:val="00471D45"/>
    <w:rsid w:val="00472CD3"/>
    <w:rsid w:val="00477477"/>
    <w:rsid w:val="00477EC4"/>
    <w:rsid w:val="004847D3"/>
    <w:rsid w:val="004A4878"/>
    <w:rsid w:val="004A605B"/>
    <w:rsid w:val="004C1E09"/>
    <w:rsid w:val="004D7283"/>
    <w:rsid w:val="004F283F"/>
    <w:rsid w:val="00500E3C"/>
    <w:rsid w:val="0050694A"/>
    <w:rsid w:val="005106DD"/>
    <w:rsid w:val="005132D4"/>
    <w:rsid w:val="005553DA"/>
    <w:rsid w:val="00586B77"/>
    <w:rsid w:val="005A5A19"/>
    <w:rsid w:val="005A6212"/>
    <w:rsid w:val="005B7BC5"/>
    <w:rsid w:val="005B7BDD"/>
    <w:rsid w:val="005D15EF"/>
    <w:rsid w:val="005E1EEC"/>
    <w:rsid w:val="005E3804"/>
    <w:rsid w:val="005E474F"/>
    <w:rsid w:val="005F6CEB"/>
    <w:rsid w:val="0060121A"/>
    <w:rsid w:val="00617D8C"/>
    <w:rsid w:val="006452EC"/>
    <w:rsid w:val="006639D6"/>
    <w:rsid w:val="00680FF5"/>
    <w:rsid w:val="006879A3"/>
    <w:rsid w:val="006B3E7C"/>
    <w:rsid w:val="006C4BBC"/>
    <w:rsid w:val="006E49CA"/>
    <w:rsid w:val="006E7136"/>
    <w:rsid w:val="007013F1"/>
    <w:rsid w:val="00706742"/>
    <w:rsid w:val="00763FAC"/>
    <w:rsid w:val="00773FF3"/>
    <w:rsid w:val="0078127C"/>
    <w:rsid w:val="007868C5"/>
    <w:rsid w:val="007C07F0"/>
    <w:rsid w:val="007C21E6"/>
    <w:rsid w:val="007C41C2"/>
    <w:rsid w:val="007D22F8"/>
    <w:rsid w:val="007E5EAC"/>
    <w:rsid w:val="007F7B85"/>
    <w:rsid w:val="00800341"/>
    <w:rsid w:val="00862F8D"/>
    <w:rsid w:val="0086392F"/>
    <w:rsid w:val="0086747A"/>
    <w:rsid w:val="00870955"/>
    <w:rsid w:val="00877AFF"/>
    <w:rsid w:val="008C690E"/>
    <w:rsid w:val="008D3EA2"/>
    <w:rsid w:val="008E2172"/>
    <w:rsid w:val="008E4BBE"/>
    <w:rsid w:val="00910546"/>
    <w:rsid w:val="009144D2"/>
    <w:rsid w:val="00937B97"/>
    <w:rsid w:val="0096657E"/>
    <w:rsid w:val="00996C13"/>
    <w:rsid w:val="009B0191"/>
    <w:rsid w:val="009B452A"/>
    <w:rsid w:val="009C4CE5"/>
    <w:rsid w:val="009E435B"/>
    <w:rsid w:val="009F10D6"/>
    <w:rsid w:val="00A00E73"/>
    <w:rsid w:val="00A3267E"/>
    <w:rsid w:val="00A63A22"/>
    <w:rsid w:val="00A8291E"/>
    <w:rsid w:val="00A83510"/>
    <w:rsid w:val="00AA09F8"/>
    <w:rsid w:val="00AC2AB1"/>
    <w:rsid w:val="00AF143F"/>
    <w:rsid w:val="00AF3304"/>
    <w:rsid w:val="00B102A8"/>
    <w:rsid w:val="00B3360A"/>
    <w:rsid w:val="00B36112"/>
    <w:rsid w:val="00B3775F"/>
    <w:rsid w:val="00B83958"/>
    <w:rsid w:val="00B95F1A"/>
    <w:rsid w:val="00BA0F69"/>
    <w:rsid w:val="00BE225F"/>
    <w:rsid w:val="00BF5F20"/>
    <w:rsid w:val="00C042DE"/>
    <w:rsid w:val="00C24BD4"/>
    <w:rsid w:val="00C24F33"/>
    <w:rsid w:val="00C42FE5"/>
    <w:rsid w:val="00C45D7A"/>
    <w:rsid w:val="00C62F68"/>
    <w:rsid w:val="00C72B56"/>
    <w:rsid w:val="00C73E9F"/>
    <w:rsid w:val="00CA2725"/>
    <w:rsid w:val="00CB3501"/>
    <w:rsid w:val="00CC314E"/>
    <w:rsid w:val="00CC34D6"/>
    <w:rsid w:val="00CD34B3"/>
    <w:rsid w:val="00CE561C"/>
    <w:rsid w:val="00D22106"/>
    <w:rsid w:val="00D22580"/>
    <w:rsid w:val="00D4168C"/>
    <w:rsid w:val="00D4353E"/>
    <w:rsid w:val="00D74B3C"/>
    <w:rsid w:val="00D84416"/>
    <w:rsid w:val="00D92066"/>
    <w:rsid w:val="00D953A8"/>
    <w:rsid w:val="00DA2A38"/>
    <w:rsid w:val="00DB6477"/>
    <w:rsid w:val="00DC1F0A"/>
    <w:rsid w:val="00DC34ED"/>
    <w:rsid w:val="00DC5D8D"/>
    <w:rsid w:val="00DC6423"/>
    <w:rsid w:val="00DE5D57"/>
    <w:rsid w:val="00DF3926"/>
    <w:rsid w:val="00E01B7F"/>
    <w:rsid w:val="00E02D2B"/>
    <w:rsid w:val="00E0776E"/>
    <w:rsid w:val="00E26B78"/>
    <w:rsid w:val="00E41BA6"/>
    <w:rsid w:val="00E50DF8"/>
    <w:rsid w:val="00E62A66"/>
    <w:rsid w:val="00E92EDC"/>
    <w:rsid w:val="00E943D9"/>
    <w:rsid w:val="00EC1033"/>
    <w:rsid w:val="00EC543E"/>
    <w:rsid w:val="00ED3D79"/>
    <w:rsid w:val="00EE33D6"/>
    <w:rsid w:val="00EE5DF0"/>
    <w:rsid w:val="00EF26FF"/>
    <w:rsid w:val="00F62A56"/>
    <w:rsid w:val="00F75C59"/>
    <w:rsid w:val="00F90CB9"/>
    <w:rsid w:val="00F92F16"/>
    <w:rsid w:val="00FB1890"/>
    <w:rsid w:val="00FE6BDF"/>
    <w:rsid w:val="010511AD"/>
    <w:rsid w:val="019B422F"/>
    <w:rsid w:val="03A21010"/>
    <w:rsid w:val="03A81DA8"/>
    <w:rsid w:val="03E43144"/>
    <w:rsid w:val="04205073"/>
    <w:rsid w:val="04340045"/>
    <w:rsid w:val="04D029C0"/>
    <w:rsid w:val="06500EB0"/>
    <w:rsid w:val="073F688C"/>
    <w:rsid w:val="09166B07"/>
    <w:rsid w:val="09B77FD6"/>
    <w:rsid w:val="0A8A565F"/>
    <w:rsid w:val="0B46365F"/>
    <w:rsid w:val="0BA1676A"/>
    <w:rsid w:val="0D520668"/>
    <w:rsid w:val="0E082841"/>
    <w:rsid w:val="0FC86D10"/>
    <w:rsid w:val="0FCC6F32"/>
    <w:rsid w:val="101715A8"/>
    <w:rsid w:val="10A73B74"/>
    <w:rsid w:val="11095698"/>
    <w:rsid w:val="11BE2265"/>
    <w:rsid w:val="12E46B50"/>
    <w:rsid w:val="130B18AD"/>
    <w:rsid w:val="150C2DE8"/>
    <w:rsid w:val="15615E07"/>
    <w:rsid w:val="160D64B1"/>
    <w:rsid w:val="166C1514"/>
    <w:rsid w:val="175A173D"/>
    <w:rsid w:val="18650526"/>
    <w:rsid w:val="191956F2"/>
    <w:rsid w:val="19202001"/>
    <w:rsid w:val="19DF5160"/>
    <w:rsid w:val="1AFE06A2"/>
    <w:rsid w:val="1B2F3DE8"/>
    <w:rsid w:val="1B5B324C"/>
    <w:rsid w:val="1C165FD7"/>
    <w:rsid w:val="1D35171F"/>
    <w:rsid w:val="1DA4436E"/>
    <w:rsid w:val="1F030D3D"/>
    <w:rsid w:val="202A4778"/>
    <w:rsid w:val="21F33093"/>
    <w:rsid w:val="21FD2EDB"/>
    <w:rsid w:val="223A2EF9"/>
    <w:rsid w:val="2265638C"/>
    <w:rsid w:val="22F21189"/>
    <w:rsid w:val="233951C8"/>
    <w:rsid w:val="24075D14"/>
    <w:rsid w:val="24E4208E"/>
    <w:rsid w:val="251013E6"/>
    <w:rsid w:val="26C600D6"/>
    <w:rsid w:val="26E61B95"/>
    <w:rsid w:val="27973C35"/>
    <w:rsid w:val="27F72D3D"/>
    <w:rsid w:val="29DD1075"/>
    <w:rsid w:val="2BC96CE5"/>
    <w:rsid w:val="2D1D72BA"/>
    <w:rsid w:val="313263DD"/>
    <w:rsid w:val="31E67B7A"/>
    <w:rsid w:val="337E172D"/>
    <w:rsid w:val="3384280B"/>
    <w:rsid w:val="33E24BE2"/>
    <w:rsid w:val="34104741"/>
    <w:rsid w:val="34153452"/>
    <w:rsid w:val="3428021F"/>
    <w:rsid w:val="3519651B"/>
    <w:rsid w:val="356F1CC4"/>
    <w:rsid w:val="366C3548"/>
    <w:rsid w:val="36AE5AD7"/>
    <w:rsid w:val="371C474A"/>
    <w:rsid w:val="374C398A"/>
    <w:rsid w:val="37D74F83"/>
    <w:rsid w:val="39106737"/>
    <w:rsid w:val="391B3783"/>
    <w:rsid w:val="391E5271"/>
    <w:rsid w:val="39782A58"/>
    <w:rsid w:val="39D715F1"/>
    <w:rsid w:val="3AB43469"/>
    <w:rsid w:val="3C822ED1"/>
    <w:rsid w:val="3CEA0006"/>
    <w:rsid w:val="3DB45BD7"/>
    <w:rsid w:val="3DC72A97"/>
    <w:rsid w:val="3F206AAF"/>
    <w:rsid w:val="3F352A08"/>
    <w:rsid w:val="409210BF"/>
    <w:rsid w:val="411F44B6"/>
    <w:rsid w:val="426830D1"/>
    <w:rsid w:val="43676CE6"/>
    <w:rsid w:val="44114731"/>
    <w:rsid w:val="44752417"/>
    <w:rsid w:val="448E44AB"/>
    <w:rsid w:val="44E26D5D"/>
    <w:rsid w:val="45CB1832"/>
    <w:rsid w:val="46F41BE7"/>
    <w:rsid w:val="47052850"/>
    <w:rsid w:val="475A7342"/>
    <w:rsid w:val="48F67923"/>
    <w:rsid w:val="49143DDC"/>
    <w:rsid w:val="492966C5"/>
    <w:rsid w:val="497C0C68"/>
    <w:rsid w:val="4DBD461A"/>
    <w:rsid w:val="4EA672A4"/>
    <w:rsid w:val="4EB54FC2"/>
    <w:rsid w:val="4EEF2BE4"/>
    <w:rsid w:val="4FE76EBC"/>
    <w:rsid w:val="513336BF"/>
    <w:rsid w:val="525B4282"/>
    <w:rsid w:val="52C20643"/>
    <w:rsid w:val="53FD6E60"/>
    <w:rsid w:val="546A4AF9"/>
    <w:rsid w:val="55BC78AC"/>
    <w:rsid w:val="55F23E87"/>
    <w:rsid w:val="571466BC"/>
    <w:rsid w:val="57E051E9"/>
    <w:rsid w:val="585956B1"/>
    <w:rsid w:val="5A67558D"/>
    <w:rsid w:val="5B6A0B50"/>
    <w:rsid w:val="5CC53214"/>
    <w:rsid w:val="5CCE30DB"/>
    <w:rsid w:val="5D6E703C"/>
    <w:rsid w:val="5D7F74E7"/>
    <w:rsid w:val="5E8F01ED"/>
    <w:rsid w:val="5E956445"/>
    <w:rsid w:val="5F373FB3"/>
    <w:rsid w:val="5F3B2BDA"/>
    <w:rsid w:val="5FAF5E0A"/>
    <w:rsid w:val="60776A58"/>
    <w:rsid w:val="622A0980"/>
    <w:rsid w:val="63202519"/>
    <w:rsid w:val="639B51B4"/>
    <w:rsid w:val="661048BD"/>
    <w:rsid w:val="68991EEC"/>
    <w:rsid w:val="693E180D"/>
    <w:rsid w:val="6AA51067"/>
    <w:rsid w:val="6B261F1F"/>
    <w:rsid w:val="6BFA077B"/>
    <w:rsid w:val="6CCE320C"/>
    <w:rsid w:val="6D5C5811"/>
    <w:rsid w:val="6DC14CB8"/>
    <w:rsid w:val="6E1124E5"/>
    <w:rsid w:val="6E3255DA"/>
    <w:rsid w:val="6FF466C3"/>
    <w:rsid w:val="70AC6371"/>
    <w:rsid w:val="721B66BA"/>
    <w:rsid w:val="73195CC8"/>
    <w:rsid w:val="7357743A"/>
    <w:rsid w:val="73E0402A"/>
    <w:rsid w:val="74860C93"/>
    <w:rsid w:val="757979A6"/>
    <w:rsid w:val="75E06325"/>
    <w:rsid w:val="798A00E7"/>
    <w:rsid w:val="7A997E40"/>
    <w:rsid w:val="7B7548FD"/>
    <w:rsid w:val="7BD127D4"/>
    <w:rsid w:val="7CAC2C4C"/>
    <w:rsid w:val="7D662008"/>
    <w:rsid w:val="7FE76A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微软雅黑" w:cs="Times New Roman"/>
      <w:kern w:val="2"/>
      <w:sz w:val="28"/>
      <w:lang w:val="en-US" w:eastAsia="zh-CN" w:bidi="ar-SA"/>
    </w:rPr>
  </w:style>
  <w:style w:type="paragraph" w:styleId="3">
    <w:name w:val="heading 1"/>
    <w:basedOn w:val="1"/>
    <w:next w:val="1"/>
    <w:link w:val="264"/>
    <w:qFormat/>
    <w:uiPriority w:val="0"/>
    <w:pPr>
      <w:keepNext/>
      <w:snapToGrid w:val="0"/>
      <w:spacing w:line="360" w:lineRule="atLeast"/>
      <w:outlineLvl w:val="0"/>
    </w:pPr>
    <w:rPr>
      <w:rFonts w:ascii="宋体"/>
    </w:rPr>
  </w:style>
  <w:style w:type="paragraph" w:styleId="4">
    <w:name w:val="heading 2"/>
    <w:basedOn w:val="1"/>
    <w:next w:val="1"/>
    <w:link w:val="71"/>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link w:val="72"/>
    <w:qFormat/>
    <w:uiPriority w:val="0"/>
    <w:pPr>
      <w:keepNext/>
      <w:keepLines/>
      <w:spacing w:before="260" w:after="260" w:line="413" w:lineRule="auto"/>
      <w:outlineLvl w:val="2"/>
    </w:pPr>
    <w:rPr>
      <w:rFonts w:eastAsia="宋体"/>
      <w:b/>
      <w:sz w:val="32"/>
    </w:rPr>
  </w:style>
  <w:style w:type="paragraph" w:styleId="2">
    <w:name w:val="heading 4"/>
    <w:basedOn w:val="1"/>
    <w:next w:val="1"/>
    <w:link w:val="263"/>
    <w:qFormat/>
    <w:uiPriority w:val="0"/>
    <w:pPr>
      <w:keepNext/>
      <w:keepLines/>
      <w:spacing w:before="280" w:after="290" w:line="372" w:lineRule="auto"/>
      <w:outlineLvl w:val="3"/>
    </w:pPr>
    <w:rPr>
      <w:rFonts w:ascii="Arial" w:hAnsi="Arial" w:eastAsia="黑体"/>
      <w:b/>
    </w:rPr>
  </w:style>
  <w:style w:type="paragraph" w:styleId="6">
    <w:name w:val="heading 5"/>
    <w:basedOn w:val="1"/>
    <w:next w:val="1"/>
    <w:qFormat/>
    <w:uiPriority w:val="0"/>
    <w:pPr>
      <w:keepNext/>
      <w:keepLines/>
      <w:tabs>
        <w:tab w:val="left" w:pos="2551"/>
      </w:tabs>
      <w:spacing w:before="280" w:after="290" w:line="372" w:lineRule="auto"/>
      <w:ind w:left="2551" w:hanging="850"/>
      <w:outlineLvl w:val="4"/>
    </w:pPr>
    <w:rPr>
      <w:b/>
    </w:rPr>
  </w:style>
  <w:style w:type="paragraph" w:styleId="7">
    <w:name w:val="heading 6"/>
    <w:basedOn w:val="1"/>
    <w:next w:val="1"/>
    <w:qFormat/>
    <w:uiPriority w:val="0"/>
    <w:pPr>
      <w:keepNext/>
      <w:keepLines/>
      <w:tabs>
        <w:tab w:val="left" w:pos="1152"/>
      </w:tabs>
      <w:adjustRightInd w:val="0"/>
      <w:snapToGrid w:val="0"/>
      <w:spacing w:before="240" w:after="64" w:line="317" w:lineRule="auto"/>
      <w:ind w:left="1152" w:hanging="1152"/>
      <w:outlineLvl w:val="5"/>
    </w:pPr>
    <w:rPr>
      <w:rFonts w:ascii="Arial" w:hAnsi="Arial" w:eastAsia="黑体"/>
      <w:b/>
      <w:sz w:val="24"/>
    </w:rPr>
  </w:style>
  <w:style w:type="paragraph" w:styleId="8">
    <w:name w:val="heading 7"/>
    <w:basedOn w:val="1"/>
    <w:next w:val="1"/>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sz w:val="24"/>
    </w:rPr>
  </w:style>
  <w:style w:type="paragraph" w:styleId="9">
    <w:name w:val="heading 8"/>
    <w:basedOn w:val="1"/>
    <w:next w:val="1"/>
    <w:qFormat/>
    <w:uiPriority w:val="0"/>
    <w:pPr>
      <w:keepNext/>
      <w:keepLines/>
      <w:tabs>
        <w:tab w:val="left" w:pos="1440"/>
      </w:tabs>
      <w:adjustRightInd w:val="0"/>
      <w:snapToGrid w:val="0"/>
      <w:spacing w:before="240" w:after="64" w:line="317" w:lineRule="auto"/>
      <w:ind w:left="1440" w:hanging="1440"/>
      <w:outlineLvl w:val="7"/>
    </w:pPr>
    <w:rPr>
      <w:rFonts w:ascii="Arial" w:hAnsi="Arial" w:eastAsia="黑体"/>
      <w:b/>
      <w:sz w:val="24"/>
    </w:rPr>
  </w:style>
  <w:style w:type="paragraph" w:styleId="10">
    <w:name w:val="heading 9"/>
    <w:basedOn w:val="1"/>
    <w:next w:val="1"/>
    <w:qFormat/>
    <w:uiPriority w:val="0"/>
    <w:pPr>
      <w:keepNext/>
      <w:keepLines/>
      <w:tabs>
        <w:tab w:val="left" w:pos="1584"/>
      </w:tabs>
      <w:adjustRightInd w:val="0"/>
      <w:snapToGrid w:val="0"/>
      <w:spacing w:before="240" w:after="64" w:line="317" w:lineRule="auto"/>
      <w:ind w:left="1584" w:hanging="1584"/>
      <w:outlineLvl w:val="8"/>
    </w:pPr>
    <w:rPr>
      <w:rFonts w:ascii="Arial" w:hAnsi="Arial" w:eastAsia="黑体"/>
      <w:b/>
      <w:sz w:val="24"/>
    </w:rPr>
  </w:style>
  <w:style w:type="character" w:default="1" w:styleId="63">
    <w:name w:val="Default Paragraph Font"/>
    <w:unhideWhenUsed/>
    <w:qFormat/>
    <w:uiPriority w:val="1"/>
  </w:style>
  <w:style w:type="table" w:default="1" w:styleId="61">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List 3"/>
    <w:basedOn w:val="1"/>
    <w:qFormat/>
    <w:uiPriority w:val="0"/>
    <w:pPr>
      <w:adjustRightInd w:val="0"/>
      <w:snapToGrid w:val="0"/>
      <w:spacing w:line="360" w:lineRule="auto"/>
      <w:ind w:left="100" w:leftChars="400" w:hanging="200" w:hangingChars="200"/>
    </w:pPr>
    <w:rPr>
      <w:sz w:val="24"/>
    </w:rPr>
  </w:style>
  <w:style w:type="paragraph" w:styleId="12">
    <w:name w:val="toc 7"/>
    <w:basedOn w:val="1"/>
    <w:next w:val="1"/>
    <w:qFormat/>
    <w:uiPriority w:val="0"/>
    <w:pPr>
      <w:ind w:left="2520" w:leftChars="1200"/>
    </w:pPr>
  </w:style>
  <w:style w:type="paragraph" w:styleId="13">
    <w:name w:val="List Number 2"/>
    <w:basedOn w:val="1"/>
    <w:qFormat/>
    <w:uiPriority w:val="0"/>
    <w:pPr>
      <w:numPr>
        <w:ilvl w:val="0"/>
        <w:numId w:val="1"/>
      </w:numPr>
      <w:tabs>
        <w:tab w:val="left" w:pos="780"/>
        <w:tab w:val="clear" w:pos="425"/>
      </w:tabs>
      <w:spacing w:line="360" w:lineRule="auto"/>
    </w:pPr>
    <w:rPr>
      <w:sz w:val="24"/>
    </w:rPr>
  </w:style>
  <w:style w:type="paragraph" w:styleId="14">
    <w:name w:val="List Bullet 4"/>
    <w:basedOn w:val="1"/>
    <w:qFormat/>
    <w:uiPriority w:val="0"/>
    <w:pPr>
      <w:widowControl/>
      <w:tabs>
        <w:tab w:val="left" w:pos="1134"/>
      </w:tabs>
      <w:adjustRightInd w:val="0"/>
      <w:snapToGrid w:val="0"/>
      <w:spacing w:before="120" w:line="280" w:lineRule="atLeast"/>
      <w:ind w:left="1418" w:hanging="284"/>
      <w:jc w:val="left"/>
    </w:pPr>
    <w:rPr>
      <w:rFonts w:ascii="宋体"/>
      <w:kern w:val="0"/>
      <w:sz w:val="22"/>
    </w:rPr>
  </w:style>
  <w:style w:type="paragraph" w:styleId="15">
    <w:name w:val="Normal Indent"/>
    <w:basedOn w:val="1"/>
    <w:qFormat/>
    <w:uiPriority w:val="0"/>
    <w:pPr>
      <w:adjustRightInd w:val="0"/>
      <w:snapToGrid w:val="0"/>
      <w:spacing w:line="360" w:lineRule="auto"/>
      <w:ind w:firstLine="420"/>
    </w:pPr>
    <w:rPr>
      <w:sz w:val="24"/>
    </w:rPr>
  </w:style>
  <w:style w:type="paragraph" w:styleId="16">
    <w:name w:val="caption"/>
    <w:basedOn w:val="1"/>
    <w:next w:val="1"/>
    <w:qFormat/>
    <w:uiPriority w:val="0"/>
    <w:pPr>
      <w:widowControl/>
      <w:tabs>
        <w:tab w:val="left" w:pos="1134"/>
      </w:tabs>
      <w:adjustRightInd w:val="0"/>
      <w:snapToGrid w:val="0"/>
      <w:spacing w:line="280" w:lineRule="atLeast"/>
      <w:jc w:val="left"/>
    </w:pPr>
    <w:rPr>
      <w:rFonts w:eastAsia="PMingLiU"/>
      <w:b/>
      <w:kern w:val="0"/>
      <w:sz w:val="24"/>
      <w:lang w:eastAsia="zh-TW"/>
    </w:rPr>
  </w:style>
  <w:style w:type="paragraph" w:styleId="17">
    <w:name w:val="Document Map"/>
    <w:basedOn w:val="1"/>
    <w:qFormat/>
    <w:uiPriority w:val="0"/>
    <w:pPr>
      <w:shd w:val="clear" w:color="auto" w:fill="000080"/>
    </w:pPr>
  </w:style>
  <w:style w:type="paragraph" w:styleId="18">
    <w:name w:val="toa heading"/>
    <w:basedOn w:val="1"/>
    <w:next w:val="1"/>
    <w:qFormat/>
    <w:uiPriority w:val="0"/>
    <w:pPr>
      <w:spacing w:before="120"/>
    </w:pPr>
    <w:rPr>
      <w:rFonts w:ascii="Arial" w:hAnsi="Arial"/>
      <w:sz w:val="24"/>
    </w:rPr>
  </w:style>
  <w:style w:type="paragraph" w:styleId="19">
    <w:name w:val="annotation text"/>
    <w:basedOn w:val="1"/>
    <w:link w:val="73"/>
    <w:qFormat/>
    <w:uiPriority w:val="0"/>
    <w:pPr>
      <w:adjustRightInd w:val="0"/>
      <w:spacing w:line="360" w:lineRule="atLeast"/>
      <w:jc w:val="left"/>
      <w:textAlignment w:val="baseline"/>
    </w:pPr>
    <w:rPr>
      <w:sz w:val="24"/>
    </w:rPr>
  </w:style>
  <w:style w:type="paragraph" w:styleId="20">
    <w:name w:val="Body Text 3"/>
    <w:basedOn w:val="1"/>
    <w:qFormat/>
    <w:uiPriority w:val="0"/>
    <w:pPr>
      <w:adjustRightInd w:val="0"/>
      <w:snapToGrid w:val="0"/>
      <w:spacing w:after="120" w:line="360" w:lineRule="auto"/>
    </w:pPr>
    <w:rPr>
      <w:sz w:val="16"/>
    </w:rPr>
  </w:style>
  <w:style w:type="paragraph" w:styleId="21">
    <w:name w:val="List Bullet 3"/>
    <w:basedOn w:val="1"/>
    <w:qFormat/>
    <w:uiPriority w:val="0"/>
    <w:pPr>
      <w:numPr>
        <w:ilvl w:val="0"/>
        <w:numId w:val="2"/>
      </w:numPr>
      <w:adjustRightInd w:val="0"/>
      <w:snapToGrid w:val="0"/>
      <w:spacing w:line="360" w:lineRule="auto"/>
    </w:pPr>
    <w:rPr>
      <w:sz w:val="24"/>
    </w:rPr>
  </w:style>
  <w:style w:type="paragraph" w:styleId="22">
    <w:name w:val="Body Text"/>
    <w:basedOn w:val="1"/>
    <w:qFormat/>
    <w:uiPriority w:val="0"/>
    <w:rPr>
      <w:rFonts w:ascii="仿宋_GB2312" w:eastAsia="仿宋_GB2312"/>
      <w:sz w:val="32"/>
    </w:rPr>
  </w:style>
  <w:style w:type="paragraph" w:styleId="23">
    <w:name w:val="Body Text Indent"/>
    <w:basedOn w:val="1"/>
    <w:link w:val="74"/>
    <w:qFormat/>
    <w:uiPriority w:val="0"/>
    <w:pPr>
      <w:spacing w:line="700" w:lineRule="exact"/>
      <w:ind w:left="960"/>
    </w:pPr>
    <w:rPr>
      <w:sz w:val="44"/>
    </w:rPr>
  </w:style>
  <w:style w:type="paragraph" w:styleId="24">
    <w:name w:val="List Number 3"/>
    <w:basedOn w:val="1"/>
    <w:qFormat/>
    <w:uiPriority w:val="0"/>
    <w:pPr>
      <w:tabs>
        <w:tab w:val="left" w:pos="2120"/>
      </w:tabs>
      <w:adjustRightInd w:val="0"/>
      <w:snapToGrid w:val="0"/>
      <w:spacing w:line="360" w:lineRule="auto"/>
      <w:ind w:left="2120" w:hanging="720"/>
    </w:pPr>
    <w:rPr>
      <w:sz w:val="24"/>
    </w:rPr>
  </w:style>
  <w:style w:type="paragraph" w:styleId="25">
    <w:name w:val="List 2"/>
    <w:basedOn w:val="1"/>
    <w:qFormat/>
    <w:uiPriority w:val="0"/>
    <w:pPr>
      <w:adjustRightInd w:val="0"/>
      <w:snapToGrid w:val="0"/>
      <w:spacing w:line="360" w:lineRule="auto"/>
      <w:ind w:left="100" w:leftChars="200" w:hanging="200" w:hangingChars="200"/>
    </w:pPr>
    <w:rPr>
      <w:sz w:val="24"/>
    </w:rPr>
  </w:style>
  <w:style w:type="paragraph" w:styleId="26">
    <w:name w:val="List Continue"/>
    <w:basedOn w:val="1"/>
    <w:qFormat/>
    <w:uiPriority w:val="0"/>
    <w:pPr>
      <w:adjustRightInd w:val="0"/>
      <w:snapToGrid w:val="0"/>
      <w:spacing w:after="120" w:line="360" w:lineRule="auto"/>
      <w:ind w:left="420" w:leftChars="200"/>
    </w:pPr>
    <w:rPr>
      <w:sz w:val="24"/>
    </w:rPr>
  </w:style>
  <w:style w:type="paragraph" w:styleId="27">
    <w:name w:val="List Bullet 2"/>
    <w:basedOn w:val="1"/>
    <w:qFormat/>
    <w:uiPriority w:val="0"/>
    <w:pPr>
      <w:numPr>
        <w:ilvl w:val="0"/>
        <w:numId w:val="3"/>
      </w:numPr>
      <w:adjustRightInd w:val="0"/>
      <w:snapToGrid w:val="0"/>
      <w:spacing w:line="360" w:lineRule="auto"/>
    </w:pPr>
    <w:rPr>
      <w:sz w:val="24"/>
    </w:rPr>
  </w:style>
  <w:style w:type="paragraph" w:styleId="28">
    <w:name w:val="toc 5"/>
    <w:basedOn w:val="1"/>
    <w:next w:val="1"/>
    <w:qFormat/>
    <w:uiPriority w:val="0"/>
    <w:pPr>
      <w:ind w:left="1680" w:leftChars="800"/>
    </w:pPr>
  </w:style>
  <w:style w:type="paragraph" w:styleId="29">
    <w:name w:val="toc 3"/>
    <w:basedOn w:val="1"/>
    <w:next w:val="1"/>
    <w:qFormat/>
    <w:uiPriority w:val="39"/>
    <w:pPr>
      <w:ind w:left="840" w:leftChars="400"/>
    </w:pPr>
  </w:style>
  <w:style w:type="paragraph" w:styleId="30">
    <w:name w:val="Plain Text"/>
    <w:basedOn w:val="1"/>
    <w:next w:val="31"/>
    <w:link w:val="75"/>
    <w:qFormat/>
    <w:uiPriority w:val="0"/>
    <w:rPr>
      <w:rFonts w:ascii="宋体" w:hAnsi="Courier New"/>
      <w:sz w:val="21"/>
    </w:rPr>
  </w:style>
  <w:style w:type="paragraph" w:customStyle="1" w:styleId="31">
    <w:name w:val="Default"/>
    <w:next w:val="32"/>
    <w:qFormat/>
    <w:uiPriority w:val="0"/>
    <w:pPr>
      <w:widowControl w:val="0"/>
      <w:autoSpaceDE w:val="0"/>
      <w:autoSpaceDN w:val="0"/>
      <w:adjustRightInd w:val="0"/>
    </w:pPr>
    <w:rPr>
      <w:rFonts w:ascii="宋体" w:hAnsi="Calibri" w:eastAsia="微软雅黑" w:cs="Times New Roman"/>
      <w:color w:val="000000"/>
      <w:sz w:val="24"/>
      <w:lang w:val="en-US" w:eastAsia="zh-CN" w:bidi="ar-SA"/>
    </w:rPr>
  </w:style>
  <w:style w:type="paragraph" w:customStyle="1" w:styleId="32">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styleId="33">
    <w:name w:val="toc 8"/>
    <w:basedOn w:val="1"/>
    <w:next w:val="1"/>
    <w:qFormat/>
    <w:uiPriority w:val="0"/>
    <w:pPr>
      <w:ind w:left="2940" w:leftChars="1400"/>
    </w:pPr>
  </w:style>
  <w:style w:type="paragraph" w:styleId="34">
    <w:name w:val="Date"/>
    <w:basedOn w:val="1"/>
    <w:next w:val="1"/>
    <w:link w:val="76"/>
    <w:qFormat/>
    <w:uiPriority w:val="0"/>
  </w:style>
  <w:style w:type="paragraph" w:styleId="35">
    <w:name w:val="Body Text Indent 2"/>
    <w:basedOn w:val="1"/>
    <w:link w:val="77"/>
    <w:qFormat/>
    <w:uiPriority w:val="0"/>
    <w:pPr>
      <w:spacing w:after="120" w:line="480" w:lineRule="auto"/>
      <w:ind w:left="420" w:leftChars="200"/>
    </w:pPr>
  </w:style>
  <w:style w:type="paragraph" w:styleId="36">
    <w:name w:val="Balloon Text"/>
    <w:basedOn w:val="1"/>
    <w:qFormat/>
    <w:uiPriority w:val="0"/>
    <w:rPr>
      <w:sz w:val="18"/>
    </w:rPr>
  </w:style>
  <w:style w:type="paragraph" w:styleId="37">
    <w:name w:val="footer"/>
    <w:basedOn w:val="1"/>
    <w:link w:val="78"/>
    <w:qFormat/>
    <w:uiPriority w:val="99"/>
    <w:pPr>
      <w:tabs>
        <w:tab w:val="center" w:pos="4153"/>
        <w:tab w:val="right" w:pos="8306"/>
      </w:tabs>
      <w:snapToGrid w:val="0"/>
      <w:jc w:val="left"/>
    </w:pPr>
    <w:rPr>
      <w:sz w:val="18"/>
    </w:rPr>
  </w:style>
  <w:style w:type="paragraph" w:styleId="38">
    <w:name w:val="header"/>
    <w:basedOn w:val="1"/>
    <w:qFormat/>
    <w:uiPriority w:val="0"/>
    <w:pPr>
      <w:pBdr>
        <w:bottom w:val="single" w:color="auto" w:sz="6" w:space="1"/>
      </w:pBdr>
      <w:tabs>
        <w:tab w:val="center" w:pos="4153"/>
        <w:tab w:val="right" w:pos="8306"/>
      </w:tabs>
      <w:snapToGrid w:val="0"/>
      <w:jc w:val="center"/>
    </w:pPr>
    <w:rPr>
      <w:sz w:val="18"/>
    </w:rPr>
  </w:style>
  <w:style w:type="paragraph" w:styleId="39">
    <w:name w:val="toc 1"/>
    <w:basedOn w:val="1"/>
    <w:next w:val="1"/>
    <w:qFormat/>
    <w:uiPriority w:val="39"/>
    <w:pPr>
      <w:spacing w:line="180" w:lineRule="auto"/>
      <w:jc w:val="center"/>
    </w:pPr>
    <w:rPr>
      <w:sz w:val="30"/>
    </w:rPr>
  </w:style>
  <w:style w:type="paragraph" w:styleId="40">
    <w:name w:val="List Continue 4"/>
    <w:basedOn w:val="1"/>
    <w:qFormat/>
    <w:uiPriority w:val="0"/>
    <w:pPr>
      <w:adjustRightInd w:val="0"/>
      <w:snapToGrid w:val="0"/>
      <w:spacing w:after="120" w:line="360" w:lineRule="auto"/>
      <w:ind w:left="1680" w:leftChars="800"/>
    </w:pPr>
    <w:rPr>
      <w:sz w:val="24"/>
    </w:rPr>
  </w:style>
  <w:style w:type="paragraph" w:styleId="41">
    <w:name w:val="toc 4"/>
    <w:basedOn w:val="1"/>
    <w:next w:val="1"/>
    <w:qFormat/>
    <w:uiPriority w:val="0"/>
    <w:pPr>
      <w:ind w:left="1260" w:leftChars="600"/>
    </w:pPr>
  </w:style>
  <w:style w:type="paragraph" w:styleId="42">
    <w:name w:val="footnote text"/>
    <w:basedOn w:val="1"/>
    <w:link w:val="79"/>
    <w:qFormat/>
    <w:uiPriority w:val="0"/>
    <w:pPr>
      <w:spacing w:line="360" w:lineRule="auto"/>
    </w:pPr>
    <w:rPr>
      <w:sz w:val="18"/>
    </w:rPr>
  </w:style>
  <w:style w:type="paragraph" w:styleId="43">
    <w:name w:val="toc 6"/>
    <w:basedOn w:val="1"/>
    <w:next w:val="1"/>
    <w:qFormat/>
    <w:uiPriority w:val="0"/>
    <w:pPr>
      <w:ind w:left="2100" w:leftChars="1000"/>
    </w:pPr>
  </w:style>
  <w:style w:type="paragraph" w:styleId="44">
    <w:name w:val="List 5"/>
    <w:basedOn w:val="1"/>
    <w:qFormat/>
    <w:uiPriority w:val="0"/>
    <w:pPr>
      <w:adjustRightInd w:val="0"/>
      <w:snapToGrid w:val="0"/>
      <w:spacing w:line="360" w:lineRule="auto"/>
      <w:ind w:left="100" w:leftChars="800" w:hanging="200" w:hangingChars="200"/>
    </w:pPr>
    <w:rPr>
      <w:sz w:val="24"/>
    </w:rPr>
  </w:style>
  <w:style w:type="paragraph" w:styleId="45">
    <w:name w:val="Body Text Indent 3"/>
    <w:basedOn w:val="1"/>
    <w:qFormat/>
    <w:uiPriority w:val="0"/>
    <w:pPr>
      <w:spacing w:line="360" w:lineRule="auto"/>
      <w:ind w:firstLine="632"/>
    </w:pPr>
    <w:rPr>
      <w:rFonts w:ascii="黑体" w:eastAsia="黑体"/>
    </w:rPr>
  </w:style>
  <w:style w:type="paragraph" w:styleId="46">
    <w:name w:val="index 9"/>
    <w:basedOn w:val="1"/>
    <w:next w:val="1"/>
    <w:qFormat/>
    <w:uiPriority w:val="0"/>
    <w:pPr>
      <w:ind w:left="1600" w:leftChars="1600"/>
    </w:pPr>
  </w:style>
  <w:style w:type="paragraph" w:styleId="47">
    <w:name w:val="table of figures"/>
    <w:basedOn w:val="1"/>
    <w:next w:val="1"/>
    <w:qFormat/>
    <w:uiPriority w:val="0"/>
    <w:pPr>
      <w:tabs>
        <w:tab w:val="right" w:leader="dot" w:pos="8640"/>
      </w:tabs>
      <w:spacing w:line="360" w:lineRule="auto"/>
      <w:ind w:left="400" w:hanging="400"/>
    </w:pPr>
    <w:rPr>
      <w:sz w:val="24"/>
    </w:rPr>
  </w:style>
  <w:style w:type="paragraph" w:styleId="48">
    <w:name w:val="toc 2"/>
    <w:basedOn w:val="1"/>
    <w:next w:val="1"/>
    <w:qFormat/>
    <w:uiPriority w:val="39"/>
    <w:pPr>
      <w:ind w:left="420" w:leftChars="200"/>
      <w:jc w:val="left"/>
    </w:pPr>
    <w:rPr>
      <w:rFonts w:ascii="Times New Roman" w:hAnsi="Times New Roman" w:eastAsia="宋体"/>
    </w:rPr>
  </w:style>
  <w:style w:type="paragraph" w:styleId="49">
    <w:name w:val="toc 9"/>
    <w:basedOn w:val="1"/>
    <w:next w:val="1"/>
    <w:qFormat/>
    <w:uiPriority w:val="0"/>
    <w:pPr>
      <w:ind w:left="3360" w:leftChars="1600"/>
    </w:pPr>
  </w:style>
  <w:style w:type="paragraph" w:styleId="50">
    <w:name w:val="Body Text 2"/>
    <w:basedOn w:val="1"/>
    <w:qFormat/>
    <w:uiPriority w:val="0"/>
    <w:pPr>
      <w:adjustRightInd w:val="0"/>
      <w:snapToGrid w:val="0"/>
      <w:spacing w:after="120" w:line="480" w:lineRule="auto"/>
    </w:pPr>
    <w:rPr>
      <w:sz w:val="24"/>
    </w:rPr>
  </w:style>
  <w:style w:type="paragraph" w:styleId="51">
    <w:name w:val="List 4"/>
    <w:basedOn w:val="1"/>
    <w:qFormat/>
    <w:uiPriority w:val="0"/>
    <w:pPr>
      <w:adjustRightInd w:val="0"/>
      <w:snapToGrid w:val="0"/>
      <w:spacing w:line="360" w:lineRule="auto"/>
      <w:ind w:left="100" w:leftChars="600" w:hanging="200" w:hangingChars="200"/>
    </w:pPr>
    <w:rPr>
      <w:sz w:val="24"/>
    </w:rPr>
  </w:style>
  <w:style w:type="paragraph" w:styleId="52">
    <w:name w:val="List Continue 2"/>
    <w:basedOn w:val="1"/>
    <w:qFormat/>
    <w:uiPriority w:val="0"/>
    <w:pPr>
      <w:adjustRightInd w:val="0"/>
      <w:snapToGrid w:val="0"/>
      <w:spacing w:after="120" w:line="360" w:lineRule="auto"/>
      <w:ind w:left="840" w:leftChars="400"/>
    </w:pPr>
    <w:rPr>
      <w:sz w:val="24"/>
    </w:rPr>
  </w:style>
  <w:style w:type="paragraph" w:styleId="53">
    <w:name w:val="HTML Preformatted"/>
    <w:basedOn w:val="1"/>
    <w:link w:val="8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paragraph" w:styleId="54">
    <w:name w:val="Normal (Web)"/>
    <w:basedOn w:val="1"/>
    <w:qFormat/>
    <w:uiPriority w:val="0"/>
    <w:pPr>
      <w:widowControl/>
      <w:spacing w:before="100" w:beforeAutospacing="1" w:after="100" w:afterAutospacing="1"/>
      <w:jc w:val="left"/>
    </w:pPr>
    <w:rPr>
      <w:rFonts w:ascii="宋体" w:hAnsi="宋体"/>
      <w:kern w:val="0"/>
      <w:sz w:val="24"/>
    </w:rPr>
  </w:style>
  <w:style w:type="paragraph" w:styleId="55">
    <w:name w:val="List Continue 3"/>
    <w:basedOn w:val="1"/>
    <w:qFormat/>
    <w:uiPriority w:val="0"/>
    <w:pPr>
      <w:adjustRightInd w:val="0"/>
      <w:snapToGrid w:val="0"/>
      <w:spacing w:after="120" w:line="360" w:lineRule="auto"/>
      <w:ind w:left="1260" w:leftChars="600"/>
    </w:pPr>
    <w:rPr>
      <w:sz w:val="24"/>
    </w:rPr>
  </w:style>
  <w:style w:type="paragraph" w:styleId="56">
    <w:name w:val="index 1"/>
    <w:basedOn w:val="1"/>
    <w:next w:val="1"/>
    <w:qFormat/>
    <w:uiPriority w:val="0"/>
    <w:pPr>
      <w:adjustRightInd w:val="0"/>
      <w:spacing w:line="240" w:lineRule="atLeast"/>
      <w:textAlignment w:val="baseline"/>
    </w:pPr>
    <w:rPr>
      <w:rFonts w:ascii="宋体"/>
      <w:kern w:val="0"/>
      <w:sz w:val="21"/>
    </w:rPr>
  </w:style>
  <w:style w:type="paragraph" w:styleId="57">
    <w:name w:val="Title"/>
    <w:basedOn w:val="1"/>
    <w:qFormat/>
    <w:uiPriority w:val="0"/>
    <w:pPr>
      <w:widowControl/>
      <w:spacing w:after="240" w:line="360" w:lineRule="auto"/>
      <w:jc w:val="center"/>
    </w:pPr>
    <w:rPr>
      <w:rFonts w:ascii="Arial" w:hAnsi="Arial"/>
      <w:b/>
      <w:smallCaps/>
      <w:kern w:val="28"/>
      <w:sz w:val="36"/>
      <w:lang w:eastAsia="en-US"/>
    </w:rPr>
  </w:style>
  <w:style w:type="paragraph" w:styleId="58">
    <w:name w:val="annotation subject"/>
    <w:basedOn w:val="19"/>
    <w:next w:val="19"/>
    <w:link w:val="81"/>
    <w:qFormat/>
    <w:uiPriority w:val="0"/>
    <w:pPr>
      <w:adjustRightInd/>
      <w:spacing w:line="240" w:lineRule="auto"/>
      <w:textAlignment w:val="auto"/>
    </w:pPr>
  </w:style>
  <w:style w:type="paragraph" w:styleId="59">
    <w:name w:val="Body Text First Indent"/>
    <w:basedOn w:val="1"/>
    <w:qFormat/>
    <w:uiPriority w:val="0"/>
    <w:pPr>
      <w:spacing w:line="360" w:lineRule="auto"/>
      <w:ind w:firstLine="420"/>
    </w:pPr>
    <w:rPr>
      <w:rFonts w:ascii="宋体" w:hAnsi="宋体"/>
      <w:sz w:val="24"/>
    </w:rPr>
  </w:style>
  <w:style w:type="paragraph" w:styleId="60">
    <w:name w:val="Body Text First Indent 2"/>
    <w:basedOn w:val="23"/>
    <w:next w:val="1"/>
    <w:link w:val="82"/>
    <w:qFormat/>
    <w:uiPriority w:val="0"/>
    <w:pPr>
      <w:spacing w:after="120" w:line="240" w:lineRule="auto"/>
      <w:ind w:left="420" w:leftChars="200" w:firstLine="420" w:firstLineChars="200"/>
    </w:pPr>
  </w:style>
  <w:style w:type="table" w:styleId="62">
    <w:name w:val="Table Grid"/>
    <w:basedOn w:val="6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4">
    <w:name w:val="Strong"/>
    <w:qFormat/>
    <w:uiPriority w:val="0"/>
    <w:rPr>
      <w:b/>
    </w:rPr>
  </w:style>
  <w:style w:type="character" w:styleId="65">
    <w:name w:val="page number"/>
    <w:qFormat/>
    <w:uiPriority w:val="0"/>
  </w:style>
  <w:style w:type="character" w:styleId="66">
    <w:name w:val="FollowedHyperlink"/>
    <w:qFormat/>
    <w:uiPriority w:val="0"/>
    <w:rPr>
      <w:color w:val="800080"/>
      <w:u w:val="single"/>
    </w:rPr>
  </w:style>
  <w:style w:type="character" w:styleId="67">
    <w:name w:val="Emphasis"/>
    <w:qFormat/>
    <w:uiPriority w:val="0"/>
    <w:rPr>
      <w:i/>
    </w:rPr>
  </w:style>
  <w:style w:type="character" w:styleId="68">
    <w:name w:val="Hyperlink"/>
    <w:qFormat/>
    <w:uiPriority w:val="99"/>
    <w:rPr>
      <w:color w:val="0000FF"/>
      <w:u w:val="single"/>
    </w:rPr>
  </w:style>
  <w:style w:type="character" w:styleId="69">
    <w:name w:val="annotation reference"/>
    <w:qFormat/>
    <w:uiPriority w:val="0"/>
    <w:rPr>
      <w:sz w:val="21"/>
      <w:szCs w:val="21"/>
    </w:rPr>
  </w:style>
  <w:style w:type="character" w:styleId="70">
    <w:name w:val="footnote reference"/>
    <w:qFormat/>
    <w:uiPriority w:val="0"/>
    <w:rPr>
      <w:position w:val="6"/>
      <w:sz w:val="14"/>
      <w:vertAlign w:val="superscript"/>
    </w:rPr>
  </w:style>
  <w:style w:type="character" w:customStyle="1" w:styleId="71">
    <w:name w:val="标题 2 字符"/>
    <w:link w:val="4"/>
    <w:qFormat/>
    <w:uiPriority w:val="0"/>
    <w:rPr>
      <w:rFonts w:ascii="Arial" w:hAnsi="Arial" w:eastAsia="黑体"/>
      <w:b/>
      <w:kern w:val="2"/>
      <w:sz w:val="32"/>
    </w:rPr>
  </w:style>
  <w:style w:type="character" w:customStyle="1" w:styleId="72">
    <w:name w:val="标题 3 字符"/>
    <w:link w:val="5"/>
    <w:qFormat/>
    <w:uiPriority w:val="0"/>
    <w:rPr>
      <w:rFonts w:eastAsia="宋体"/>
      <w:b/>
      <w:kern w:val="2"/>
      <w:sz w:val="32"/>
      <w:lang w:val="en-US" w:eastAsia="zh-CN"/>
    </w:rPr>
  </w:style>
  <w:style w:type="character" w:customStyle="1" w:styleId="73">
    <w:name w:val="批注文字 字符"/>
    <w:link w:val="19"/>
    <w:qFormat/>
    <w:uiPriority w:val="0"/>
    <w:rPr>
      <w:sz w:val="24"/>
    </w:rPr>
  </w:style>
  <w:style w:type="character" w:customStyle="1" w:styleId="74">
    <w:name w:val="正文文本缩进 字符"/>
    <w:link w:val="23"/>
    <w:qFormat/>
    <w:uiPriority w:val="0"/>
    <w:rPr>
      <w:kern w:val="2"/>
      <w:sz w:val="44"/>
    </w:rPr>
  </w:style>
  <w:style w:type="character" w:customStyle="1" w:styleId="75">
    <w:name w:val="纯文本 字符"/>
    <w:link w:val="30"/>
    <w:qFormat/>
    <w:uiPriority w:val="0"/>
    <w:rPr>
      <w:rFonts w:ascii="宋体" w:hAnsi="Courier New"/>
      <w:kern w:val="2"/>
      <w:sz w:val="21"/>
    </w:rPr>
  </w:style>
  <w:style w:type="character" w:customStyle="1" w:styleId="76">
    <w:name w:val="日期 字符"/>
    <w:link w:val="34"/>
    <w:qFormat/>
    <w:uiPriority w:val="0"/>
    <w:rPr>
      <w:kern w:val="2"/>
      <w:sz w:val="28"/>
    </w:rPr>
  </w:style>
  <w:style w:type="character" w:customStyle="1" w:styleId="77">
    <w:name w:val="正文文本缩进 2 字符"/>
    <w:link w:val="35"/>
    <w:qFormat/>
    <w:uiPriority w:val="0"/>
    <w:rPr>
      <w:kern w:val="2"/>
      <w:sz w:val="28"/>
    </w:rPr>
  </w:style>
  <w:style w:type="character" w:customStyle="1" w:styleId="78">
    <w:name w:val="页脚 字符"/>
    <w:link w:val="37"/>
    <w:qFormat/>
    <w:uiPriority w:val="99"/>
    <w:rPr>
      <w:kern w:val="2"/>
      <w:sz w:val="18"/>
    </w:rPr>
  </w:style>
  <w:style w:type="character" w:customStyle="1" w:styleId="79">
    <w:name w:val="脚注文本 字符"/>
    <w:link w:val="42"/>
    <w:qFormat/>
    <w:uiPriority w:val="0"/>
    <w:rPr>
      <w:kern w:val="2"/>
      <w:sz w:val="18"/>
    </w:rPr>
  </w:style>
  <w:style w:type="character" w:customStyle="1" w:styleId="80">
    <w:name w:val="HTML 预设格式 字符"/>
    <w:link w:val="53"/>
    <w:qFormat/>
    <w:uiPriority w:val="0"/>
    <w:rPr>
      <w:rFonts w:ascii="宋体" w:hAnsi="宋体" w:cs="宋体"/>
      <w:sz w:val="24"/>
      <w:szCs w:val="24"/>
    </w:rPr>
  </w:style>
  <w:style w:type="character" w:customStyle="1" w:styleId="81">
    <w:name w:val="批注主题 字符"/>
    <w:link w:val="58"/>
    <w:qFormat/>
    <w:uiPriority w:val="0"/>
  </w:style>
  <w:style w:type="character" w:customStyle="1" w:styleId="82">
    <w:name w:val="正文首行缩进 2 字符"/>
    <w:link w:val="60"/>
    <w:qFormat/>
    <w:uiPriority w:val="0"/>
  </w:style>
  <w:style w:type="character" w:customStyle="1" w:styleId="83">
    <w:name w:val="Char Char11"/>
    <w:qFormat/>
    <w:uiPriority w:val="0"/>
    <w:rPr>
      <w:rFonts w:ascii="宋体"/>
      <w:kern w:val="2"/>
      <w:sz w:val="28"/>
    </w:rPr>
  </w:style>
  <w:style w:type="character" w:customStyle="1" w:styleId="84">
    <w:name w:val="content-white1"/>
    <w:qFormat/>
    <w:uiPriority w:val="0"/>
    <w:rPr>
      <w:color w:val="auto"/>
      <w:sz w:val="18"/>
      <w:u w:val="none"/>
    </w:rPr>
  </w:style>
  <w:style w:type="character" w:customStyle="1" w:styleId="85">
    <w:name w:val="Char Char4"/>
    <w:qFormat/>
    <w:uiPriority w:val="0"/>
    <w:rPr>
      <w:rFonts w:eastAsia="宋体"/>
      <w:b/>
      <w:kern w:val="2"/>
      <w:sz w:val="21"/>
      <w:lang w:val="en-US" w:eastAsia="zh-CN"/>
    </w:rPr>
  </w:style>
  <w:style w:type="character" w:customStyle="1" w:styleId="86">
    <w:name w:val="正文（GB2312加粗） Char Char"/>
    <w:link w:val="87"/>
    <w:qFormat/>
    <w:uiPriority w:val="0"/>
    <w:rPr>
      <w:rFonts w:eastAsia="仿宋_GB2312"/>
      <w:b/>
      <w:kern w:val="2"/>
      <w:sz w:val="24"/>
      <w:szCs w:val="24"/>
      <w:lang w:val="en-US" w:eastAsia="zh-CN" w:bidi="ar-SA"/>
    </w:rPr>
  </w:style>
  <w:style w:type="paragraph" w:customStyle="1" w:styleId="87">
    <w:name w:val="正文（GB2312加粗）"/>
    <w:link w:val="86"/>
    <w:qFormat/>
    <w:uiPriority w:val="0"/>
    <w:pPr>
      <w:ind w:firstLine="200" w:firstLineChars="200"/>
    </w:pPr>
    <w:rPr>
      <w:rFonts w:ascii="Times New Roman" w:hAnsi="Times New Roman" w:eastAsia="仿宋_GB2312" w:cs="Times New Roman"/>
      <w:b/>
      <w:kern w:val="2"/>
      <w:sz w:val="24"/>
      <w:szCs w:val="24"/>
      <w:lang w:val="en-US" w:eastAsia="zh-CN" w:bidi="ar-SA"/>
    </w:rPr>
  </w:style>
  <w:style w:type="character" w:customStyle="1" w:styleId="88">
    <w:name w:val="Char Char3"/>
    <w:qFormat/>
    <w:uiPriority w:val="0"/>
    <w:rPr>
      <w:rFonts w:eastAsia="宋体"/>
      <w:kern w:val="2"/>
      <w:sz w:val="18"/>
      <w:lang w:val="en-US" w:eastAsia="zh-CN"/>
    </w:rPr>
  </w:style>
  <w:style w:type="character" w:customStyle="1" w:styleId="89">
    <w:name w:val="crowed11"/>
    <w:qFormat/>
    <w:uiPriority w:val="0"/>
    <w:rPr>
      <w:rFonts w:hint="default"/>
      <w:sz w:val="24"/>
    </w:rPr>
  </w:style>
  <w:style w:type="character" w:customStyle="1" w:styleId="90">
    <w:name w:val="样式 宋体"/>
    <w:qFormat/>
    <w:uiPriority w:val="0"/>
    <w:rPr>
      <w:rFonts w:ascii="宋体" w:hAnsi="宋体" w:eastAsia="宋体"/>
      <w:sz w:val="28"/>
    </w:rPr>
  </w:style>
  <w:style w:type="character" w:customStyle="1" w:styleId="91">
    <w:name w:val="正文 + 三号 Char Char"/>
    <w:qFormat/>
    <w:uiPriority w:val="0"/>
    <w:rPr>
      <w:rFonts w:eastAsia="宋体"/>
      <w:kern w:val="2"/>
      <w:sz w:val="21"/>
      <w:lang w:val="en-US" w:eastAsia="zh-CN"/>
    </w:rPr>
  </w:style>
  <w:style w:type="character" w:customStyle="1" w:styleId="92">
    <w:name w:val="标书正文:  0.74 厘米 Char1"/>
    <w:qFormat/>
    <w:uiPriority w:val="0"/>
    <w:rPr>
      <w:rFonts w:eastAsia="宋体"/>
      <w:kern w:val="2"/>
      <w:sz w:val="24"/>
      <w:lang w:val="en-US" w:eastAsia="zh-CN"/>
    </w:rPr>
  </w:style>
  <w:style w:type="character" w:customStyle="1" w:styleId="93">
    <w:name w:val="font1"/>
    <w:qFormat/>
    <w:uiPriority w:val="0"/>
    <w:rPr>
      <w:color w:val="000000"/>
      <w:sz w:val="18"/>
    </w:rPr>
  </w:style>
  <w:style w:type="character" w:customStyle="1" w:styleId="94">
    <w:name w:val="Table Heading Char Char"/>
    <w:qFormat/>
    <w:uiPriority w:val="0"/>
    <w:rPr>
      <w:rFonts w:ascii="Arial" w:hAnsi="Arial" w:eastAsia="黑体"/>
      <w:kern w:val="2"/>
      <w:sz w:val="18"/>
      <w:lang w:val="en-US" w:eastAsia="zh-CN"/>
    </w:rPr>
  </w:style>
  <w:style w:type="character" w:customStyle="1" w:styleId="95">
    <w:name w:val="Char Char2"/>
    <w:qFormat/>
    <w:uiPriority w:val="0"/>
    <w:rPr>
      <w:rFonts w:eastAsia="宋体"/>
      <w:kern w:val="2"/>
      <w:sz w:val="18"/>
      <w:lang w:val="en-US" w:eastAsia="zh-CN"/>
    </w:rPr>
  </w:style>
  <w:style w:type="character" w:customStyle="1" w:styleId="96">
    <w:name w:val="正文1 Char Char Char"/>
    <w:qFormat/>
    <w:uiPriority w:val="0"/>
    <w:rPr>
      <w:rFonts w:ascii="宋体" w:hAnsi="宋体"/>
      <w:kern w:val="2"/>
      <w:sz w:val="21"/>
      <w:szCs w:val="24"/>
      <w:u w:val="single"/>
    </w:rPr>
  </w:style>
  <w:style w:type="character" w:customStyle="1" w:styleId="97">
    <w:name w:val="font21"/>
    <w:qFormat/>
    <w:uiPriority w:val="0"/>
    <w:rPr>
      <w:rFonts w:hint="eastAsia" w:ascii="方正仿宋_GBK" w:hAnsi="方正仿宋_GBK" w:eastAsia="方正仿宋_GBK" w:cs="方正仿宋_GBK"/>
      <w:color w:val="000000"/>
      <w:sz w:val="28"/>
      <w:szCs w:val="28"/>
      <w:u w:val="none"/>
    </w:rPr>
  </w:style>
  <w:style w:type="character" w:customStyle="1" w:styleId="98">
    <w:name w:val="Char Char5"/>
    <w:qFormat/>
    <w:uiPriority w:val="0"/>
    <w:rPr>
      <w:rFonts w:ascii="Arial" w:hAnsi="Arial" w:eastAsia="宋体"/>
      <w:b/>
      <w:smallCaps/>
      <w:kern w:val="28"/>
      <w:sz w:val="36"/>
      <w:lang w:val="en-US" w:eastAsia="en-US"/>
    </w:rPr>
  </w:style>
  <w:style w:type="character" w:customStyle="1" w:styleId="99">
    <w:name w:val="小 Char"/>
    <w:qFormat/>
    <w:uiPriority w:val="0"/>
    <w:rPr>
      <w:rFonts w:ascii="宋体" w:hAnsi="Courier New" w:eastAsia="宋体"/>
      <w:kern w:val="2"/>
      <w:sz w:val="21"/>
      <w:lang w:val="en-US" w:eastAsia="zh-CN" w:bidi="ar-SA"/>
    </w:rPr>
  </w:style>
  <w:style w:type="character" w:customStyle="1" w:styleId="100">
    <w:name w:val="Table Text Char1 Char Char"/>
    <w:qFormat/>
    <w:uiPriority w:val="0"/>
    <w:rPr>
      <w:rFonts w:ascii="Arial" w:hAnsi="Arial"/>
      <w:kern w:val="2"/>
      <w:sz w:val="18"/>
      <w:lang w:val="en-US" w:eastAsia="zh-CN" w:bidi="ar-SA"/>
    </w:rPr>
  </w:style>
  <w:style w:type="character" w:customStyle="1" w:styleId="101">
    <w:name w:val="title_emph1"/>
    <w:qFormat/>
    <w:uiPriority w:val="0"/>
    <w:rPr>
      <w:rFonts w:hint="default" w:ascii="Arial" w:hAnsi="Arial"/>
      <w:b/>
      <w:sz w:val="20"/>
    </w:rPr>
  </w:style>
  <w:style w:type="character" w:customStyle="1" w:styleId="102">
    <w:name w:val="Table Text Char Char Char Char Char"/>
    <w:link w:val="103"/>
    <w:qFormat/>
    <w:uiPriority w:val="0"/>
    <w:rPr>
      <w:rFonts w:ascii="Arial" w:hAnsi="Arial"/>
      <w:kern w:val="2"/>
      <w:sz w:val="18"/>
      <w:lang w:val="en-US" w:eastAsia="zh-CN" w:bidi="ar-SA"/>
    </w:rPr>
  </w:style>
  <w:style w:type="paragraph" w:customStyle="1" w:styleId="103">
    <w:name w:val="Table Text"/>
    <w:link w:val="102"/>
    <w:qFormat/>
    <w:uiPriority w:val="0"/>
    <w:pPr>
      <w:snapToGrid w:val="0"/>
      <w:spacing w:before="80" w:after="80"/>
    </w:pPr>
    <w:rPr>
      <w:rFonts w:ascii="Arial" w:hAnsi="Arial" w:eastAsia="宋体" w:cs="Times New Roman"/>
      <w:kern w:val="2"/>
      <w:sz w:val="18"/>
      <w:lang w:val="en-US" w:eastAsia="zh-CN" w:bidi="ar-SA"/>
    </w:rPr>
  </w:style>
  <w:style w:type="character" w:customStyle="1" w:styleId="104">
    <w:name w:val="Char Char Char Char Char Char Char Char Char"/>
    <w:qFormat/>
    <w:uiPriority w:val="0"/>
    <w:rPr>
      <w:rFonts w:ascii="宋体" w:hAnsi="宋体" w:eastAsia="宋体"/>
      <w:kern w:val="2"/>
      <w:sz w:val="24"/>
      <w:lang w:val="en-US" w:eastAsia="zh-CN" w:bidi="ar-SA"/>
    </w:rPr>
  </w:style>
  <w:style w:type="character" w:customStyle="1" w:styleId="105">
    <w:name w:val="H2 Char"/>
    <w:qFormat/>
    <w:uiPriority w:val="0"/>
    <w:rPr>
      <w:rFonts w:ascii="Arial" w:hAnsi="Arial" w:eastAsia="宋体"/>
      <w:kern w:val="2"/>
      <w:sz w:val="28"/>
      <w:lang w:val="en-US" w:eastAsia="zh-CN"/>
    </w:rPr>
  </w:style>
  <w:style w:type="character" w:customStyle="1" w:styleId="106">
    <w:name w:val="font01"/>
    <w:qFormat/>
    <w:uiPriority w:val="0"/>
    <w:rPr>
      <w:rFonts w:hint="eastAsia" w:ascii="宋体" w:hAnsi="宋体" w:eastAsia="宋体" w:cs="宋体"/>
      <w:color w:val="000000"/>
      <w:sz w:val="20"/>
      <w:szCs w:val="20"/>
      <w:u w:val="none"/>
    </w:rPr>
  </w:style>
  <w:style w:type="character" w:customStyle="1" w:styleId="107">
    <w:name w:val="未命名11"/>
    <w:qFormat/>
    <w:uiPriority w:val="0"/>
    <w:rPr>
      <w:color w:val="77FFFF"/>
      <w:sz w:val="24"/>
    </w:rPr>
  </w:style>
  <w:style w:type="character" w:customStyle="1" w:styleId="108">
    <w:name w:val="Char Char7"/>
    <w:qFormat/>
    <w:uiPriority w:val="0"/>
    <w:rPr>
      <w:rFonts w:ascii="宋体" w:hAnsi="宋体" w:eastAsia="宋体"/>
      <w:kern w:val="2"/>
      <w:sz w:val="28"/>
    </w:rPr>
  </w:style>
  <w:style w:type="character" w:customStyle="1" w:styleId="109">
    <w:name w:val="font11"/>
    <w:qFormat/>
    <w:uiPriority w:val="0"/>
    <w:rPr>
      <w:rFonts w:hint="eastAsia" w:ascii="宋体" w:hAnsi="宋体" w:eastAsia="宋体" w:cs="宋体"/>
      <w:b/>
      <w:color w:val="000000"/>
      <w:sz w:val="20"/>
      <w:szCs w:val="20"/>
      <w:u w:val="none"/>
    </w:rPr>
  </w:style>
  <w:style w:type="character" w:customStyle="1" w:styleId="110">
    <w:name w:val="Char Char6"/>
    <w:qFormat/>
    <w:uiPriority w:val="0"/>
    <w:rPr>
      <w:rFonts w:ascii="仿宋_GB2312" w:eastAsia="仿宋_GB2312"/>
      <w:kern w:val="2"/>
      <w:sz w:val="32"/>
    </w:rPr>
  </w:style>
  <w:style w:type="character" w:customStyle="1" w:styleId="111">
    <w:name w:val="文字 Char Char"/>
    <w:link w:val="112"/>
    <w:qFormat/>
    <w:uiPriority w:val="0"/>
    <w:rPr>
      <w:rFonts w:ascii="宋体"/>
      <w:kern w:val="2"/>
      <w:sz w:val="28"/>
    </w:rPr>
  </w:style>
  <w:style w:type="paragraph" w:customStyle="1" w:styleId="112">
    <w:name w:val="文字"/>
    <w:basedOn w:val="1"/>
    <w:link w:val="111"/>
    <w:qFormat/>
    <w:uiPriority w:val="0"/>
    <w:pPr>
      <w:tabs>
        <w:tab w:val="left" w:pos="8520"/>
      </w:tabs>
      <w:spacing w:line="312" w:lineRule="auto"/>
      <w:ind w:right="-210" w:firstLine="556"/>
    </w:pPr>
    <w:rPr>
      <w:rFonts w:ascii="宋体"/>
    </w:rPr>
  </w:style>
  <w:style w:type="character" w:customStyle="1" w:styleId="113">
    <w:name w:val="Table Text Char Char Char Char"/>
    <w:qFormat/>
    <w:uiPriority w:val="0"/>
    <w:rPr>
      <w:rFonts w:ascii="Arial" w:hAnsi="Arial"/>
      <w:kern w:val="2"/>
      <w:sz w:val="18"/>
      <w:lang w:val="en-US" w:eastAsia="zh-CN" w:bidi="ar-SA"/>
    </w:rPr>
  </w:style>
  <w:style w:type="character" w:customStyle="1" w:styleId="114">
    <w:name w:val="top-det1"/>
    <w:qFormat/>
    <w:uiPriority w:val="0"/>
    <w:rPr>
      <w:b/>
      <w:color w:val="000000"/>
    </w:rPr>
  </w:style>
  <w:style w:type="character" w:customStyle="1" w:styleId="115">
    <w:name w:val="v151"/>
    <w:qFormat/>
    <w:uiPriority w:val="0"/>
    <w:rPr>
      <w:sz w:val="18"/>
    </w:rPr>
  </w:style>
  <w:style w:type="paragraph" w:customStyle="1" w:styleId="116">
    <w:name w:val="样式 标题 1章标题Heading 0Section HeadPIM 1H1h11st levell11H1..."/>
    <w:basedOn w:val="3"/>
    <w:qFormat/>
    <w:uiPriority w:val="0"/>
    <w:pPr>
      <w:keepLines/>
      <w:pageBreakBefore/>
      <w:tabs>
        <w:tab w:val="left" w:pos="432"/>
      </w:tabs>
      <w:autoSpaceDE w:val="0"/>
      <w:autoSpaceDN w:val="0"/>
      <w:adjustRightInd w:val="0"/>
      <w:spacing w:before="340" w:after="330" w:line="578" w:lineRule="atLeast"/>
      <w:textAlignment w:val="bottom"/>
    </w:pPr>
    <w:rPr>
      <w:rFonts w:hAnsi="宋体" w:eastAsia="黑体"/>
      <w:b/>
      <w:kern w:val="44"/>
      <w:sz w:val="36"/>
    </w:rPr>
  </w:style>
  <w:style w:type="paragraph" w:customStyle="1" w:styleId="117">
    <w:name w:val="缺省文本"/>
    <w:basedOn w:val="1"/>
    <w:qFormat/>
    <w:uiPriority w:val="0"/>
    <w:pPr>
      <w:tabs>
        <w:tab w:val="left" w:pos="1260"/>
      </w:tabs>
      <w:autoSpaceDE w:val="0"/>
      <w:autoSpaceDN w:val="0"/>
      <w:adjustRightInd w:val="0"/>
      <w:spacing w:line="360" w:lineRule="auto"/>
      <w:jc w:val="left"/>
    </w:pPr>
    <w:rPr>
      <w:kern w:val="0"/>
      <w:sz w:val="24"/>
    </w:rPr>
  </w:style>
  <w:style w:type="paragraph" w:customStyle="1" w:styleId="118">
    <w:name w:val="修订1"/>
    <w:qFormat/>
    <w:uiPriority w:val="0"/>
    <w:rPr>
      <w:rFonts w:ascii="Calibri" w:hAnsi="Calibri" w:eastAsia="微软雅黑" w:cs="Times New Roman"/>
      <w:kern w:val="2"/>
      <w:sz w:val="21"/>
      <w:lang w:val="en-US" w:eastAsia="zh-CN" w:bidi="ar-SA"/>
    </w:rPr>
  </w:style>
  <w:style w:type="paragraph" w:customStyle="1" w:styleId="119">
    <w:name w:val="文档正文 Char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120">
    <w:name w:val="_"/>
    <w:basedOn w:val="1"/>
    <w:qFormat/>
    <w:uiPriority w:val="0"/>
    <w:pPr>
      <w:adjustRightInd w:val="0"/>
      <w:spacing w:line="360" w:lineRule="auto"/>
      <w:ind w:left="480" w:firstLine="200" w:firstLineChars="200"/>
      <w:textAlignment w:val="baseline"/>
    </w:pPr>
    <w:rPr>
      <w:kern w:val="0"/>
      <w:sz w:val="24"/>
    </w:rPr>
  </w:style>
  <w:style w:type="paragraph" w:customStyle="1" w:styleId="121">
    <w:name w:val="操作步骤"/>
    <w:basedOn w:val="1"/>
    <w:qFormat/>
    <w:uiPriority w:val="0"/>
    <w:pPr>
      <w:numPr>
        <w:ilvl w:val="0"/>
        <w:numId w:val="4"/>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122">
    <w:name w:val="Char1"/>
    <w:basedOn w:val="1"/>
    <w:qFormat/>
    <w:uiPriority w:val="0"/>
    <w:rPr>
      <w:sz w:val="21"/>
    </w:rPr>
  </w:style>
  <w:style w:type="paragraph" w:customStyle="1" w:styleId="123">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 w:val="21"/>
    </w:rPr>
  </w:style>
  <w:style w:type="paragraph" w:customStyle="1" w:styleId="124">
    <w:name w:val="Note"/>
    <w:basedOn w:val="1"/>
    <w:qFormat/>
    <w:uiPriority w:val="0"/>
    <w:pPr>
      <w:pBdr>
        <w:top w:val="single" w:color="auto" w:sz="12" w:space="3"/>
        <w:bottom w:val="single" w:color="auto" w:sz="12" w:space="3"/>
      </w:pBdr>
      <w:spacing w:line="360" w:lineRule="auto"/>
    </w:pPr>
    <w:rPr>
      <w:sz w:val="24"/>
    </w:rPr>
  </w:style>
  <w:style w:type="paragraph" w:customStyle="1" w:styleId="125">
    <w:name w:val="Table Text Char Char"/>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126">
    <w:name w:val="二级列表"/>
    <w:basedOn w:val="127"/>
    <w:next w:val="127"/>
    <w:qFormat/>
    <w:uiPriority w:val="0"/>
    <w:pPr>
      <w:tabs>
        <w:tab w:val="left" w:pos="2120"/>
      </w:tabs>
      <w:ind w:firstLine="0" w:firstLineChars="0"/>
    </w:pPr>
    <w:rPr>
      <w:b/>
    </w:rPr>
  </w:style>
  <w:style w:type="paragraph" w:customStyle="1" w:styleId="127">
    <w:name w:val="段落正文"/>
    <w:basedOn w:val="1"/>
    <w:qFormat/>
    <w:uiPriority w:val="0"/>
    <w:pPr>
      <w:spacing w:before="156" w:beforeLines="50" w:line="360" w:lineRule="auto"/>
      <w:ind w:firstLine="200" w:firstLineChars="200"/>
    </w:pPr>
    <w:rPr>
      <w:spacing w:val="2"/>
      <w:sz w:val="24"/>
    </w:rPr>
  </w:style>
  <w:style w:type="paragraph" w:customStyle="1" w:styleId="128">
    <w:name w:val="tabletex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9">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30">
    <w:name w:val="样式 样式 正文首行缩进 2 + 左  0 字符 + 首行缩进:  2.57 字符"/>
    <w:basedOn w:val="1"/>
    <w:next w:val="1"/>
    <w:qFormat/>
    <w:uiPriority w:val="0"/>
    <w:pPr>
      <w:adjustRightInd w:val="0"/>
      <w:snapToGrid w:val="0"/>
      <w:spacing w:after="120"/>
      <w:ind w:firstLine="540" w:firstLineChars="257"/>
    </w:pPr>
    <w:rPr>
      <w:sz w:val="21"/>
    </w:rPr>
  </w:style>
  <w:style w:type="paragraph" w:customStyle="1" w:styleId="131">
    <w:name w:val="表头文本"/>
    <w:qFormat/>
    <w:uiPriority w:val="0"/>
    <w:pPr>
      <w:jc w:val="center"/>
    </w:pPr>
    <w:rPr>
      <w:rFonts w:ascii="Arial" w:hAnsi="Arial" w:eastAsia="微软雅黑" w:cs="Times New Roman"/>
      <w:b/>
      <w:sz w:val="21"/>
      <w:lang w:val="en-US" w:eastAsia="zh-CN" w:bidi="ar-SA"/>
    </w:rPr>
  </w:style>
  <w:style w:type="paragraph" w:customStyle="1" w:styleId="132">
    <w:name w:val="文章正文"/>
    <w:basedOn w:val="1"/>
    <w:qFormat/>
    <w:uiPriority w:val="0"/>
    <w:pPr>
      <w:ind w:firstLine="560" w:firstLineChars="200"/>
    </w:pPr>
    <w:rPr>
      <w:rFonts w:ascii="仿宋_GB2312" w:hAnsi="宋体" w:eastAsia="仿宋_GB2312"/>
      <w:color w:val="000000"/>
    </w:rPr>
  </w:style>
  <w:style w:type="paragraph" w:customStyle="1" w:styleId="133">
    <w:name w:val="一级条标题"/>
    <w:basedOn w:val="134"/>
    <w:next w:val="135"/>
    <w:qFormat/>
    <w:uiPriority w:val="0"/>
    <w:pPr>
      <w:numPr>
        <w:numId w:val="0"/>
      </w:numPr>
      <w:ind w:left="525"/>
      <w:outlineLvl w:val="2"/>
    </w:pPr>
    <w:rPr>
      <w:sz w:val="21"/>
    </w:rPr>
  </w:style>
  <w:style w:type="paragraph" w:customStyle="1" w:styleId="134">
    <w:name w:val="章标题"/>
    <w:next w:val="1"/>
    <w:qFormat/>
    <w:uiPriority w:val="0"/>
    <w:pPr>
      <w:numPr>
        <w:ilvl w:val="1"/>
        <w:numId w:val="5"/>
      </w:numPr>
      <w:spacing w:before="156" w:beforeLines="50" w:after="156" w:afterLines="50"/>
      <w:ind w:left="0"/>
      <w:jc w:val="both"/>
      <w:outlineLvl w:val="1"/>
    </w:pPr>
    <w:rPr>
      <w:rFonts w:ascii="黑体" w:hAnsi="Calibri" w:eastAsia="黑体" w:cs="Times New Roman"/>
      <w:sz w:val="24"/>
      <w:lang w:val="en-US" w:eastAsia="zh-CN" w:bidi="ar-SA"/>
    </w:rPr>
  </w:style>
  <w:style w:type="paragraph" w:customStyle="1" w:styleId="135">
    <w:name w:val="段"/>
    <w:qFormat/>
    <w:uiPriority w:val="0"/>
    <w:pPr>
      <w:autoSpaceDE w:val="0"/>
      <w:autoSpaceDN w:val="0"/>
      <w:ind w:firstLine="200" w:firstLineChars="200"/>
      <w:jc w:val="both"/>
    </w:pPr>
    <w:rPr>
      <w:rFonts w:ascii="宋体" w:hAnsi="Calibri" w:eastAsia="微软雅黑" w:cs="Times New Roman"/>
      <w:sz w:val="21"/>
      <w:lang w:val="en-US" w:eastAsia="zh-CN" w:bidi="ar-SA"/>
    </w:rPr>
  </w:style>
  <w:style w:type="paragraph" w:customStyle="1" w:styleId="136">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b/>
      <w:i/>
      <w:sz w:val="24"/>
    </w:rPr>
  </w:style>
  <w:style w:type="paragraph" w:customStyle="1" w:styleId="137">
    <w:name w:val="样式 首行缩进:  0.74 厘米"/>
    <w:basedOn w:val="1"/>
    <w:qFormat/>
    <w:uiPriority w:val="0"/>
    <w:pPr>
      <w:spacing w:line="360" w:lineRule="auto"/>
      <w:ind w:firstLine="420"/>
    </w:pPr>
    <w:rPr>
      <w:sz w:val="24"/>
    </w:rPr>
  </w:style>
  <w:style w:type="paragraph" w:customStyle="1" w:styleId="138">
    <w:name w:val="表中字小于正文（居中）"/>
    <w:qFormat/>
    <w:uiPriority w:val="0"/>
    <w:pPr>
      <w:spacing w:line="280" w:lineRule="exact"/>
      <w:jc w:val="center"/>
    </w:pPr>
    <w:rPr>
      <w:rFonts w:ascii="黑体" w:hAnsi="宋体" w:eastAsia="仿宋_GB2312" w:cs="Times New Roman"/>
      <w:kern w:val="2"/>
      <w:sz w:val="21"/>
      <w:szCs w:val="90"/>
      <w:lang w:val="en-US" w:eastAsia="zh-CN" w:bidi="ar-SA"/>
    </w:rPr>
  </w:style>
  <w:style w:type="paragraph" w:customStyle="1" w:styleId="139">
    <w:name w:val="标书正文:  0.74 厘米"/>
    <w:basedOn w:val="1"/>
    <w:qFormat/>
    <w:uiPriority w:val="0"/>
    <w:pPr>
      <w:snapToGrid w:val="0"/>
      <w:spacing w:line="360" w:lineRule="auto"/>
      <w:ind w:firstLine="420"/>
    </w:pPr>
    <w:rPr>
      <w:sz w:val="24"/>
    </w:rPr>
  </w:style>
  <w:style w:type="paragraph" w:customStyle="1" w:styleId="140">
    <w:name w:val="Char Char Char Char Char"/>
    <w:basedOn w:val="1"/>
    <w:qFormat/>
    <w:uiPriority w:val="0"/>
    <w:pPr>
      <w:tabs>
        <w:tab w:val="left" w:pos="425"/>
      </w:tabs>
      <w:ind w:left="1620" w:hanging="360"/>
    </w:pPr>
    <w:rPr>
      <w:rFonts w:ascii="Tahoma" w:hAnsi="Tahoma"/>
      <w:sz w:val="24"/>
    </w:rPr>
  </w:style>
  <w:style w:type="paragraph" w:customStyle="1" w:styleId="141">
    <w:name w:val="附录3"/>
    <w:basedOn w:val="1"/>
    <w:next w:val="1"/>
    <w:qFormat/>
    <w:uiPriority w:val="0"/>
    <w:pPr>
      <w:tabs>
        <w:tab w:val="left" w:pos="851"/>
      </w:tabs>
      <w:ind w:left="425" w:hanging="425"/>
      <w:outlineLvl w:val="2"/>
    </w:pPr>
    <w:rPr>
      <w:rFonts w:eastAsia="黑体"/>
      <w:b/>
      <w:sz w:val="32"/>
    </w:rPr>
  </w:style>
  <w:style w:type="paragraph" w:customStyle="1" w:styleId="142">
    <w:name w:val="Title - Revision"/>
    <w:basedOn w:val="57"/>
    <w:qFormat/>
    <w:uiPriority w:val="0"/>
    <w:pPr>
      <w:spacing w:before="720"/>
    </w:pPr>
  </w:style>
  <w:style w:type="paragraph" w:customStyle="1" w:styleId="143">
    <w:name w:val="正文表格"/>
    <w:basedOn w:val="1"/>
    <w:qFormat/>
    <w:uiPriority w:val="0"/>
    <w:pPr>
      <w:adjustRightInd w:val="0"/>
      <w:spacing w:before="40" w:after="40"/>
    </w:pPr>
    <w:rPr>
      <w:sz w:val="24"/>
    </w:rPr>
  </w:style>
  <w:style w:type="paragraph" w:customStyle="1" w:styleId="144">
    <w:name w:val="表头样式"/>
    <w:basedOn w:val="1"/>
    <w:qFormat/>
    <w:uiPriority w:val="0"/>
    <w:pPr>
      <w:autoSpaceDE w:val="0"/>
      <w:autoSpaceDN w:val="0"/>
      <w:adjustRightInd w:val="0"/>
      <w:spacing w:line="360" w:lineRule="auto"/>
      <w:jc w:val="left"/>
    </w:pPr>
    <w:rPr>
      <w:b/>
      <w:kern w:val="0"/>
      <w:sz w:val="21"/>
    </w:rPr>
  </w:style>
  <w:style w:type="paragraph" w:customStyle="1" w:styleId="145">
    <w:name w:val="列表项目"/>
    <w:basedOn w:val="1"/>
    <w:qFormat/>
    <w:uiPriority w:val="0"/>
    <w:pPr>
      <w:tabs>
        <w:tab w:val="left" w:pos="420"/>
      </w:tabs>
      <w:spacing w:line="288" w:lineRule="auto"/>
      <w:ind w:left="840" w:leftChars="200" w:hanging="420" w:hangingChars="200"/>
    </w:pPr>
    <w:rPr>
      <w:sz w:val="21"/>
    </w:rPr>
  </w:style>
  <w:style w:type="paragraph" w:customStyle="1" w:styleId="146">
    <w:name w:val="1"/>
    <w:basedOn w:val="1"/>
    <w:next w:val="30"/>
    <w:qFormat/>
    <w:uiPriority w:val="0"/>
    <w:rPr>
      <w:rFonts w:ascii="宋体" w:hAnsi="Courier New"/>
      <w:sz w:val="21"/>
    </w:rPr>
  </w:style>
  <w:style w:type="paragraph" w:customStyle="1" w:styleId="147">
    <w:name w:val="表文字"/>
    <w:qFormat/>
    <w:uiPriority w:val="0"/>
    <w:rPr>
      <w:rFonts w:ascii="宋体" w:hAnsi="Calibri" w:eastAsia="微软雅黑" w:cs="Times New Roman"/>
      <w:kern w:val="2"/>
      <w:lang w:val="en-US" w:eastAsia="zh-CN" w:bidi="ar-SA"/>
    </w:rPr>
  </w:style>
  <w:style w:type="paragraph" w:customStyle="1" w:styleId="148">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149">
    <w:name w:val="Body Text Indent 21"/>
    <w:basedOn w:val="1"/>
    <w:qFormat/>
    <w:uiPriority w:val="0"/>
    <w:pPr>
      <w:adjustRightInd w:val="0"/>
      <w:spacing w:before="120"/>
      <w:ind w:firstLine="420"/>
      <w:textAlignment w:val="baseline"/>
    </w:pPr>
    <w:rPr>
      <w:sz w:val="24"/>
    </w:rPr>
  </w:style>
  <w:style w:type="paragraph" w:customStyle="1" w:styleId="150">
    <w:name w:val="标准正文"/>
    <w:basedOn w:val="23"/>
    <w:qFormat/>
    <w:uiPriority w:val="0"/>
    <w:pPr>
      <w:spacing w:before="60" w:after="60" w:line="360" w:lineRule="auto"/>
      <w:ind w:left="0" w:firstLine="482"/>
    </w:pPr>
    <w:rPr>
      <w:rFonts w:ascii="Arial" w:hAnsi="Arial"/>
      <w:sz w:val="24"/>
    </w:rPr>
  </w:style>
  <w:style w:type="paragraph" w:customStyle="1" w:styleId="151">
    <w:name w:val="保证金信息卡行距及首行不空格"/>
    <w:qFormat/>
    <w:uiPriority w:val="0"/>
    <w:pPr>
      <w:spacing w:line="560" w:lineRule="exact"/>
    </w:pPr>
    <w:rPr>
      <w:rFonts w:ascii="黑体" w:hAnsi="宋体" w:eastAsia="仿宋_GB2312" w:cs="Times New Roman"/>
      <w:kern w:val="2"/>
      <w:sz w:val="24"/>
      <w:szCs w:val="90"/>
      <w:lang w:val="en-US" w:eastAsia="zh-CN" w:bidi="ar-SA"/>
    </w:rPr>
  </w:style>
  <w:style w:type="paragraph" w:customStyle="1" w:styleId="152">
    <w:name w:val="Char1 Char Char Char"/>
    <w:basedOn w:val="1"/>
    <w:qFormat/>
    <w:uiPriority w:val="0"/>
    <w:rPr>
      <w:rFonts w:ascii="Tahoma" w:hAnsi="Tahoma"/>
      <w:sz w:val="24"/>
    </w:rPr>
  </w:style>
  <w:style w:type="paragraph" w:customStyle="1" w:styleId="153">
    <w:name w:val="Style Heading 3h3Heading 3 - oldLevel 3 HeadH3level_3PIM 3se..."/>
    <w:basedOn w:val="5"/>
    <w:qFormat/>
    <w:uiPriority w:val="0"/>
    <w:pPr>
      <w:numPr>
        <w:ilvl w:val="2"/>
        <w:numId w:val="6"/>
      </w:numPr>
      <w:tabs>
        <w:tab w:val="left" w:pos="709"/>
        <w:tab w:val="left" w:pos="1620"/>
      </w:tabs>
    </w:pPr>
  </w:style>
  <w:style w:type="paragraph" w:customStyle="1" w:styleId="154">
    <w:name w:val="正文 + 三号"/>
    <w:basedOn w:val="1"/>
    <w:qFormat/>
    <w:uiPriority w:val="0"/>
    <w:rPr>
      <w:sz w:val="21"/>
    </w:rPr>
  </w:style>
  <w:style w:type="paragraph" w:customStyle="1" w:styleId="155">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156">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157">
    <w:name w:val="xl23"/>
    <w:basedOn w:val="1"/>
    <w:qFormat/>
    <w:uiPriority w:val="0"/>
    <w:pPr>
      <w:widowControl/>
      <w:spacing w:before="100" w:beforeAutospacing="1" w:after="100" w:afterAutospacing="1" w:line="360" w:lineRule="auto"/>
      <w:textAlignment w:val="top"/>
    </w:pPr>
    <w:rPr>
      <w:kern w:val="0"/>
      <w:sz w:val="24"/>
    </w:rPr>
  </w:style>
  <w:style w:type="paragraph" w:customStyle="1" w:styleId="158">
    <w:name w:val="正文1"/>
    <w:basedOn w:val="1"/>
    <w:qFormat/>
    <w:uiPriority w:val="0"/>
    <w:pPr>
      <w:spacing w:line="300" w:lineRule="auto"/>
      <w:ind w:firstLine="200" w:firstLineChars="200"/>
    </w:pPr>
    <w:rPr>
      <w:sz w:val="24"/>
    </w:rPr>
  </w:style>
  <w:style w:type="paragraph" w:customStyle="1" w:styleId="159">
    <w:name w:val="模板标题3"/>
    <w:basedOn w:val="5"/>
    <w:next w:val="160"/>
    <w:qFormat/>
    <w:uiPriority w:val="0"/>
    <w:pPr>
      <w:widowControl/>
      <w:numPr>
        <w:ilvl w:val="2"/>
        <w:numId w:val="7"/>
      </w:numPr>
      <w:spacing w:line="360" w:lineRule="auto"/>
      <w:jc w:val="left"/>
    </w:pPr>
    <w:rPr>
      <w:kern w:val="0"/>
      <w:sz w:val="28"/>
      <w:szCs w:val="32"/>
      <w:lang w:val="en-GB"/>
    </w:rPr>
  </w:style>
  <w:style w:type="paragraph" w:customStyle="1" w:styleId="160">
    <w:name w:val="模板正文"/>
    <w:basedOn w:val="1"/>
    <w:qFormat/>
    <w:uiPriority w:val="0"/>
    <w:pPr>
      <w:widowControl/>
      <w:spacing w:line="360" w:lineRule="auto"/>
      <w:ind w:firstLine="480" w:firstLineChars="200"/>
    </w:pPr>
    <w:rPr>
      <w:snapToGrid w:val="0"/>
      <w:kern w:val="0"/>
      <w:sz w:val="24"/>
      <w:lang w:val="en-GB"/>
    </w:rPr>
  </w:style>
  <w:style w:type="paragraph" w:customStyle="1" w:styleId="161">
    <w:name w:val="p1"/>
    <w:basedOn w:val="1"/>
    <w:qFormat/>
    <w:uiPriority w:val="0"/>
    <w:pPr>
      <w:spacing w:line="380" w:lineRule="atLeast"/>
      <w:jc w:val="left"/>
    </w:pPr>
    <w:rPr>
      <w:rFonts w:ascii="Helvetica Neue" w:hAnsi="Helvetica Neue" w:eastAsia="Helvetica Neue"/>
      <w:color w:val="000000"/>
      <w:kern w:val="0"/>
      <w:sz w:val="26"/>
      <w:szCs w:val="26"/>
    </w:rPr>
  </w:style>
  <w:style w:type="paragraph" w:customStyle="1" w:styleId="162">
    <w:name w:val="Char Char Char Char Char Char1 Char"/>
    <w:basedOn w:val="1"/>
    <w:qFormat/>
    <w:uiPriority w:val="0"/>
    <w:pPr>
      <w:widowControl/>
      <w:spacing w:after="160" w:line="240" w:lineRule="exact"/>
      <w:jc w:val="left"/>
    </w:pPr>
    <w:rPr>
      <w:rFonts w:ascii="Verdana" w:hAnsi="Verdana"/>
      <w:kern w:val="0"/>
      <w:sz w:val="21"/>
      <w:lang w:eastAsia="en-US"/>
    </w:rPr>
  </w:style>
  <w:style w:type="paragraph" w:customStyle="1" w:styleId="163">
    <w:name w:val="首行缩进"/>
    <w:basedOn w:val="1"/>
    <w:qFormat/>
    <w:uiPriority w:val="0"/>
    <w:pPr>
      <w:numPr>
        <w:ilvl w:val="0"/>
        <w:numId w:val="8"/>
      </w:numPr>
      <w:spacing w:line="360" w:lineRule="auto"/>
    </w:pPr>
    <w:rPr>
      <w:rFonts w:eastAsia="仿宋_GB2312"/>
    </w:rPr>
  </w:style>
  <w:style w:type="paragraph" w:customStyle="1" w:styleId="164">
    <w:name w:val="Char Char Char Char Char Char Char"/>
    <w:basedOn w:val="17"/>
    <w:qFormat/>
    <w:uiPriority w:val="0"/>
    <w:rPr>
      <w:rFonts w:ascii="宋体" w:hAnsi="Tahoma"/>
    </w:rPr>
  </w:style>
  <w:style w:type="paragraph" w:customStyle="1" w:styleId="165">
    <w:name w:val="标题2"/>
    <w:basedOn w:val="4"/>
    <w:qFormat/>
    <w:uiPriority w:val="0"/>
    <w:pPr>
      <w:keepNext w:val="0"/>
      <w:keepLines w:val="0"/>
      <w:adjustRightInd w:val="0"/>
      <w:snapToGrid w:val="0"/>
      <w:spacing w:before="0" w:after="0" w:line="360" w:lineRule="auto"/>
      <w:ind w:firstLine="574" w:firstLineChars="196"/>
      <w:outlineLvl w:val="9"/>
    </w:pPr>
    <w:rPr>
      <w:rFonts w:ascii="宋体" w:hAnsi="宋体" w:eastAsia="宋体"/>
      <w:spacing w:val="6"/>
      <w:sz w:val="28"/>
      <w:u w:val="single"/>
    </w:rPr>
  </w:style>
  <w:style w:type="paragraph" w:customStyle="1" w:styleId="166">
    <w:name w:val="简单回函地址"/>
    <w:basedOn w:val="1"/>
    <w:qFormat/>
    <w:uiPriority w:val="0"/>
    <w:pPr>
      <w:adjustRightInd w:val="0"/>
      <w:snapToGrid w:val="0"/>
      <w:spacing w:line="360" w:lineRule="auto"/>
    </w:pPr>
    <w:rPr>
      <w:sz w:val="24"/>
    </w:rPr>
  </w:style>
  <w:style w:type="paragraph" w:customStyle="1" w:styleId="167">
    <w:name w:val="样式 标题 6第五层条 + 三号 段前: 0.5 行"/>
    <w:basedOn w:val="7"/>
    <w:qFormat/>
    <w:uiPriority w:val="0"/>
    <w:pPr>
      <w:widowControl/>
      <w:adjustRightInd/>
      <w:snapToGrid/>
      <w:spacing w:before="156" w:beforeLines="50"/>
      <w:jc w:val="left"/>
    </w:pPr>
    <w:rPr>
      <w:snapToGrid w:val="0"/>
      <w:kern w:val="24"/>
      <w:sz w:val="28"/>
    </w:rPr>
  </w:style>
  <w:style w:type="paragraph" w:customStyle="1" w:styleId="168">
    <w:name w:val="Char2 Char Char Char Char Char Char"/>
    <w:basedOn w:val="1"/>
    <w:qFormat/>
    <w:uiPriority w:val="0"/>
    <w:rPr>
      <w:rFonts w:ascii="仿宋_GB2312"/>
      <w:b/>
      <w:sz w:val="30"/>
    </w:rPr>
  </w:style>
  <w:style w:type="paragraph" w:customStyle="1" w:styleId="169">
    <w:name w:val="附录4"/>
    <w:basedOn w:val="1"/>
    <w:next w:val="1"/>
    <w:qFormat/>
    <w:uiPriority w:val="0"/>
    <w:pPr>
      <w:widowControl/>
      <w:tabs>
        <w:tab w:val="left" w:pos="1134"/>
      </w:tabs>
      <w:spacing w:line="300" w:lineRule="auto"/>
      <w:ind w:left="1361" w:hanging="1361"/>
      <w:outlineLvl w:val="3"/>
    </w:pPr>
    <w:rPr>
      <w:rFonts w:ascii="Arial" w:hAnsi="Arial" w:eastAsia="黑体"/>
      <w:kern w:val="0"/>
    </w:rPr>
  </w:style>
  <w:style w:type="paragraph" w:customStyle="1" w:styleId="170">
    <w:name w:val="项目"/>
    <w:basedOn w:val="1"/>
    <w:qFormat/>
    <w:uiPriority w:val="0"/>
    <w:pPr>
      <w:tabs>
        <w:tab w:val="left" w:pos="1280"/>
      </w:tabs>
      <w:spacing w:before="120" w:after="120" w:line="360" w:lineRule="auto"/>
      <w:ind w:left="-7" w:firstLine="567"/>
      <w:jc w:val="left"/>
      <w:textAlignment w:val="baseline"/>
    </w:pPr>
    <w:rPr>
      <w:rFonts w:ascii="宋体"/>
      <w:kern w:val="0"/>
      <w:sz w:val="24"/>
    </w:rPr>
  </w:style>
  <w:style w:type="paragraph" w:customStyle="1" w:styleId="171">
    <w:name w:val="Item Step"/>
    <w:qFormat/>
    <w:uiPriority w:val="0"/>
    <w:pPr>
      <w:tabs>
        <w:tab w:val="left" w:pos="1644"/>
      </w:tabs>
      <w:ind w:left="1644" w:hanging="510"/>
      <w:outlineLvl w:val="4"/>
    </w:pPr>
    <w:rPr>
      <w:rFonts w:ascii="Arial" w:hAnsi="Arial" w:eastAsia="微软雅黑" w:cs="Times New Roman"/>
      <w:sz w:val="21"/>
      <w:lang w:val="en-US" w:eastAsia="zh-CN" w:bidi="ar-SA"/>
    </w:rPr>
  </w:style>
  <w:style w:type="paragraph" w:customStyle="1" w:styleId="17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73">
    <w:name w:val="1.正文"/>
    <w:basedOn w:val="1"/>
    <w:qFormat/>
    <w:uiPriority w:val="0"/>
    <w:pPr>
      <w:spacing w:line="360" w:lineRule="auto"/>
      <w:ind w:left="540" w:leftChars="225" w:firstLine="540" w:firstLineChars="225"/>
    </w:pPr>
    <w:rPr>
      <w:sz w:val="24"/>
    </w:rPr>
  </w:style>
  <w:style w:type="paragraph" w:customStyle="1" w:styleId="174">
    <w:name w:val="文本框样式1"/>
    <w:basedOn w:val="1"/>
    <w:qFormat/>
    <w:uiPriority w:val="0"/>
    <w:pPr>
      <w:adjustRightInd w:val="0"/>
      <w:snapToGrid w:val="0"/>
      <w:spacing w:before="60" w:line="180" w:lineRule="exact"/>
      <w:jc w:val="center"/>
    </w:pPr>
    <w:rPr>
      <w:sz w:val="21"/>
    </w:rPr>
  </w:style>
  <w:style w:type="paragraph" w:customStyle="1" w:styleId="175">
    <w:name w:val="Char Char Char1 Char Char Char Char Char Char Char Char Char Char Char Char Char"/>
    <w:basedOn w:val="1"/>
    <w:qFormat/>
    <w:uiPriority w:val="0"/>
    <w:pPr>
      <w:widowControl/>
      <w:spacing w:after="160" w:line="240" w:lineRule="exact"/>
      <w:jc w:val="left"/>
    </w:pPr>
    <w:rPr>
      <w:rFonts w:ascii="Verdana" w:hAnsi="Verdana"/>
      <w:kern w:val="0"/>
      <w:sz w:val="18"/>
      <w:lang w:eastAsia="en-US"/>
    </w:rPr>
  </w:style>
  <w:style w:type="paragraph" w:customStyle="1" w:styleId="176">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177">
    <w:name w:val="默认段落字体 Para Char Char Char Char Char Char Char Char Char1 Char Char Char Char"/>
    <w:basedOn w:val="1"/>
    <w:qFormat/>
    <w:uiPriority w:val="0"/>
    <w:rPr>
      <w:rFonts w:ascii="Tahoma" w:hAnsi="Tahoma"/>
      <w:sz w:val="24"/>
    </w:rPr>
  </w:style>
  <w:style w:type="paragraph" w:customStyle="1" w:styleId="178">
    <w:name w:val="文本1"/>
    <w:basedOn w:val="1"/>
    <w:qFormat/>
    <w:uiPriority w:val="0"/>
    <w:pPr>
      <w:adjustRightInd w:val="0"/>
      <w:spacing w:line="312" w:lineRule="atLeast"/>
      <w:jc w:val="center"/>
      <w:textAlignment w:val="baseline"/>
    </w:pPr>
    <w:rPr>
      <w:kern w:val="0"/>
      <w:sz w:val="18"/>
    </w:rPr>
  </w:style>
  <w:style w:type="paragraph" w:customStyle="1" w:styleId="179">
    <w:name w:val="List Paragraph"/>
    <w:basedOn w:val="1"/>
    <w:qFormat/>
    <w:uiPriority w:val="34"/>
    <w:pPr>
      <w:ind w:firstLine="420" w:firstLineChars="200"/>
    </w:pPr>
    <w:rPr>
      <w:sz w:val="21"/>
    </w:rPr>
  </w:style>
  <w:style w:type="paragraph" w:customStyle="1" w:styleId="180">
    <w:name w:val="List Paragraph1"/>
    <w:basedOn w:val="1"/>
    <w:qFormat/>
    <w:uiPriority w:val="0"/>
    <w:pPr>
      <w:spacing w:before="60" w:after="60"/>
      <w:ind w:left="482" w:firstLine="420"/>
    </w:pPr>
    <w:rPr>
      <w:rFonts w:eastAsia="宋体"/>
      <w:szCs w:val="22"/>
    </w:rPr>
  </w:style>
  <w:style w:type="paragraph" w:customStyle="1" w:styleId="181">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82">
    <w:name w:val="Char Char1 Char Char Char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83">
    <w:name w:val="标题5"/>
    <w:basedOn w:val="1"/>
    <w:qFormat/>
    <w:uiPriority w:val="0"/>
    <w:pPr>
      <w:tabs>
        <w:tab w:val="left" w:pos="0"/>
      </w:tabs>
      <w:autoSpaceDE w:val="0"/>
      <w:autoSpaceDN w:val="0"/>
      <w:adjustRightInd w:val="0"/>
      <w:snapToGrid w:val="0"/>
      <w:spacing w:line="320" w:lineRule="atLeast"/>
    </w:pPr>
    <w:rPr>
      <w:rFonts w:ascii="宋体"/>
      <w:kern w:val="0"/>
      <w:sz w:val="21"/>
    </w:rPr>
  </w:style>
  <w:style w:type="paragraph" w:customStyle="1" w:styleId="184">
    <w:name w:val="正文格式"/>
    <w:basedOn w:val="1"/>
    <w:qFormat/>
    <w:uiPriority w:val="0"/>
    <w:pPr>
      <w:widowControl/>
      <w:adjustRightInd w:val="0"/>
      <w:snapToGrid w:val="0"/>
      <w:spacing w:before="60" w:line="360" w:lineRule="auto"/>
      <w:ind w:firstLine="480" w:firstLineChars="200"/>
      <w:jc w:val="left"/>
      <w:textAlignment w:val="baseline"/>
    </w:pPr>
    <w:rPr>
      <w:rFonts w:ascii="宋体" w:hAnsi="宋体"/>
      <w:color w:val="000000"/>
      <w:kern w:val="0"/>
      <w:sz w:val="24"/>
    </w:rPr>
  </w:style>
  <w:style w:type="paragraph" w:customStyle="1" w:styleId="185">
    <w:name w:val="样式2"/>
    <w:basedOn w:val="2"/>
    <w:qFormat/>
    <w:uiPriority w:val="0"/>
    <w:pPr>
      <w:numPr>
        <w:ilvl w:val="0"/>
        <w:numId w:val="9"/>
      </w:numPr>
      <w:spacing w:before="560" w:line="400" w:lineRule="exact"/>
      <w:jc w:val="center"/>
      <w:outlineLvl w:val="0"/>
    </w:pPr>
    <w:rPr>
      <w:b w:val="0"/>
      <w:sz w:val="44"/>
    </w:rPr>
  </w:style>
  <w:style w:type="paragraph" w:customStyle="1" w:styleId="186">
    <w:name w:val="Char"/>
    <w:basedOn w:val="1"/>
    <w:qFormat/>
    <w:uiPriority w:val="0"/>
    <w:pPr>
      <w:spacing w:line="240" w:lineRule="atLeast"/>
      <w:ind w:left="420" w:firstLine="420"/>
    </w:pPr>
    <w:rPr>
      <w:kern w:val="0"/>
      <w:sz w:val="21"/>
    </w:rPr>
  </w:style>
  <w:style w:type="paragraph" w:customStyle="1" w:styleId="187">
    <w:name w:val="Item List"/>
    <w:qFormat/>
    <w:uiPriority w:val="0"/>
    <w:pPr>
      <w:numPr>
        <w:ilvl w:val="0"/>
        <w:numId w:val="10"/>
      </w:numPr>
      <w:spacing w:line="300" w:lineRule="auto"/>
      <w:jc w:val="both"/>
    </w:pPr>
    <w:rPr>
      <w:rFonts w:ascii="Arial" w:hAnsi="Arial" w:eastAsia="微软雅黑" w:cs="Times New Roman"/>
      <w:sz w:val="21"/>
      <w:lang w:val="en-US" w:eastAsia="zh-CN" w:bidi="ar-SA"/>
    </w:rPr>
  </w:style>
  <w:style w:type="paragraph" w:customStyle="1" w:styleId="188">
    <w:name w:val="正文内容"/>
    <w:basedOn w:val="1"/>
    <w:qFormat/>
    <w:uiPriority w:val="0"/>
    <w:pPr>
      <w:spacing w:line="360" w:lineRule="auto"/>
      <w:ind w:firstLine="420"/>
    </w:pPr>
    <w:rPr>
      <w:rFonts w:ascii="Times New Roman" w:hAnsi="Times New Roman" w:eastAsia="宋体"/>
      <w:sz w:val="24"/>
      <w:szCs w:val="24"/>
    </w:rPr>
  </w:style>
  <w:style w:type="paragraph" w:customStyle="1" w:styleId="189">
    <w:name w:val="AA Numbering"/>
    <w:basedOn w:val="1"/>
    <w:qFormat/>
    <w:uiPriority w:val="0"/>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90">
    <w:name w:val="司法正文"/>
    <w:qFormat/>
    <w:uiPriority w:val="0"/>
    <w:pPr>
      <w:widowControl w:val="0"/>
      <w:ind w:firstLine="200" w:firstLineChars="200"/>
      <w:jc w:val="both"/>
    </w:pPr>
    <w:rPr>
      <w:rFonts w:ascii="Calibri" w:hAnsi="Calibri" w:eastAsia="仿宋_GB2312" w:cs="Times New Roman"/>
      <w:sz w:val="32"/>
      <w:lang w:val="en-US" w:eastAsia="zh-CN" w:bidi="ar-SA"/>
    </w:rPr>
  </w:style>
  <w:style w:type="paragraph" w:customStyle="1" w:styleId="191">
    <w:name w:val="投标正文"/>
    <w:basedOn w:val="1"/>
    <w:qFormat/>
    <w:uiPriority w:val="0"/>
    <w:pPr>
      <w:widowControl/>
      <w:spacing w:line="360" w:lineRule="auto"/>
      <w:ind w:firstLine="480" w:firstLineChars="200"/>
    </w:pPr>
    <w:rPr>
      <w:rFonts w:eastAsia="宋体"/>
      <w:snapToGrid w:val="0"/>
      <w:kern w:val="0"/>
      <w:sz w:val="24"/>
      <w:lang w:val="en-GB"/>
    </w:rPr>
  </w:style>
  <w:style w:type="paragraph" w:customStyle="1" w:styleId="192">
    <w:name w:val="Table Contents"/>
    <w:basedOn w:val="22"/>
    <w:qFormat/>
    <w:uiPriority w:val="0"/>
    <w:pPr>
      <w:suppressAutoHyphens/>
      <w:jc w:val="left"/>
    </w:pPr>
    <w:rPr>
      <w:rFonts w:ascii="Times New Roman" w:eastAsia="Times New Roman"/>
      <w:kern w:val="0"/>
      <w:sz w:val="24"/>
    </w:rPr>
  </w:style>
  <w:style w:type="paragraph" w:customStyle="1" w:styleId="193">
    <w:name w:val="Char2"/>
    <w:basedOn w:val="1"/>
    <w:qFormat/>
    <w:uiPriority w:val="0"/>
    <w:pPr>
      <w:spacing w:line="240" w:lineRule="atLeast"/>
      <w:ind w:left="420" w:firstLine="420"/>
    </w:pPr>
    <w:rPr>
      <w:kern w:val="0"/>
      <w:sz w:val="21"/>
    </w:rPr>
  </w:style>
  <w:style w:type="paragraph" w:customStyle="1" w:styleId="194">
    <w:name w:val="默认段落字体 Para Char Char Char Char Char Char Char"/>
    <w:basedOn w:val="1"/>
    <w:qFormat/>
    <w:uiPriority w:val="0"/>
    <w:rPr>
      <w:rFonts w:ascii="Tahoma" w:hAnsi="Tahoma"/>
      <w:sz w:val="24"/>
    </w:rPr>
  </w:style>
  <w:style w:type="paragraph" w:customStyle="1" w:styleId="195">
    <w:name w:val="样式 正文缩进正文（首行缩进两字）表正文正文非缩进特点标题4段1 + 首行缩进:  2 字符"/>
    <w:basedOn w:val="15"/>
    <w:qFormat/>
    <w:uiPriority w:val="0"/>
    <w:pPr>
      <w:ind w:firstLine="480" w:firstLineChars="200"/>
    </w:pPr>
  </w:style>
  <w:style w:type="paragraph" w:customStyle="1" w:styleId="196">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197">
    <w:name w:val="bt"/>
    <w:basedOn w:val="1"/>
    <w:next w:val="22"/>
    <w:qFormat/>
    <w:uiPriority w:val="0"/>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customStyle="1" w:styleId="198">
    <w:name w:val="首行缩进 1"/>
    <w:basedOn w:val="1"/>
    <w:qFormat/>
    <w:uiPriority w:val="0"/>
    <w:pPr>
      <w:spacing w:after="120" w:line="360" w:lineRule="auto"/>
      <w:ind w:firstLine="200" w:firstLineChars="200"/>
    </w:pPr>
    <w:rPr>
      <w:sz w:val="24"/>
    </w:rPr>
  </w:style>
  <w:style w:type="paragraph" w:customStyle="1" w:styleId="199">
    <w:name w:val="Char Char Char Char"/>
    <w:basedOn w:val="1"/>
    <w:qFormat/>
    <w:uiPriority w:val="0"/>
    <w:pPr>
      <w:pageBreakBefore/>
      <w:widowControl/>
      <w:spacing w:after="160" w:line="240" w:lineRule="exact"/>
      <w:jc w:val="left"/>
    </w:pPr>
    <w:rPr>
      <w:rFonts w:ascii="Verdana" w:hAnsi="Verdana"/>
      <w:kern w:val="0"/>
      <w:sz w:val="20"/>
      <w:lang w:eastAsia="en-US"/>
    </w:rPr>
  </w:style>
  <w:style w:type="paragraph" w:customStyle="1" w:styleId="200">
    <w:name w:val="文档正文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01">
    <w:name w:val="xl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202">
    <w:name w:val="样式 宋体 五号 两端对齐 行距: 单倍行距"/>
    <w:basedOn w:val="1"/>
    <w:qFormat/>
    <w:uiPriority w:val="0"/>
    <w:pPr>
      <w:adjustRightInd w:val="0"/>
      <w:textAlignment w:val="baseline"/>
    </w:pPr>
    <w:rPr>
      <w:rFonts w:ascii="宋体" w:hAnsi="宋体"/>
      <w:kern w:val="0"/>
      <w:sz w:val="21"/>
    </w:rPr>
  </w:style>
  <w:style w:type="paragraph" w:customStyle="1" w:styleId="203">
    <w:name w:val="模板标题2"/>
    <w:basedOn w:val="4"/>
    <w:next w:val="1"/>
    <w:qFormat/>
    <w:uiPriority w:val="0"/>
    <w:pPr>
      <w:widowControl/>
      <w:numPr>
        <w:ilvl w:val="1"/>
        <w:numId w:val="7"/>
      </w:numPr>
      <w:spacing w:before="0" w:after="0" w:line="360" w:lineRule="auto"/>
      <w:jc w:val="left"/>
    </w:pPr>
    <w:rPr>
      <w:rFonts w:ascii="Times New Roman" w:hAnsi="Times New Roman" w:eastAsia="宋体"/>
      <w:kern w:val="0"/>
      <w:sz w:val="28"/>
      <w:lang w:val="en-GB"/>
    </w:rPr>
  </w:style>
  <w:style w:type="paragraph" w:customStyle="1" w:styleId="204">
    <w:name w:val="样式1"/>
    <w:basedOn w:val="2"/>
    <w:qFormat/>
    <w:uiPriority w:val="0"/>
    <w:pPr>
      <w:tabs>
        <w:tab w:val="left" w:pos="720"/>
      </w:tabs>
      <w:spacing w:before="500" w:after="260" w:line="560" w:lineRule="atLeast"/>
      <w:ind w:left="420" w:hanging="420"/>
    </w:pPr>
  </w:style>
  <w:style w:type="paragraph" w:customStyle="1" w:styleId="205">
    <w:name w:val="样式 仿宋_GB2312 首行缩进:  2 字符"/>
    <w:basedOn w:val="1"/>
    <w:qFormat/>
    <w:uiPriority w:val="0"/>
    <w:pPr>
      <w:spacing w:line="600" w:lineRule="exact"/>
      <w:ind w:firstLine="420" w:firstLineChars="150"/>
      <w:jc w:val="left"/>
    </w:pPr>
    <w:rPr>
      <w:rFonts w:ascii="仿宋_GB2312" w:hAnsi="Arial" w:eastAsia="仿宋_GB2312"/>
      <w:color w:val="000000"/>
      <w:kern w:val="0"/>
      <w:lang w:val="zh-CN"/>
    </w:rPr>
  </w:style>
  <w:style w:type="paragraph" w:customStyle="1" w:styleId="206">
    <w:name w:val="关键词"/>
    <w:basedOn w:val="1"/>
    <w:next w:val="1"/>
    <w:qFormat/>
    <w:uiPriority w:val="0"/>
    <w:pPr>
      <w:spacing w:line="360" w:lineRule="auto"/>
    </w:pPr>
    <w:rPr>
      <w:rFonts w:eastAsia="黑体"/>
      <w:sz w:val="20"/>
    </w:rPr>
  </w:style>
  <w:style w:type="paragraph" w:customStyle="1" w:styleId="207">
    <w:name w:val="CSS1级正文 Char"/>
    <w:basedOn w:val="22"/>
    <w:qFormat/>
    <w:uiPriority w:val="0"/>
    <w:pPr>
      <w:adjustRightInd w:val="0"/>
      <w:snapToGrid w:val="0"/>
      <w:spacing w:line="360" w:lineRule="auto"/>
      <w:ind w:firstLine="480"/>
    </w:pPr>
    <w:rPr>
      <w:rFonts w:ascii="Times New Roman" w:eastAsia="宋体"/>
      <w:sz w:val="24"/>
    </w:rPr>
  </w:style>
  <w:style w:type="paragraph" w:customStyle="1" w:styleId="208">
    <w:name w:val="样式3"/>
    <w:basedOn w:val="3"/>
    <w:next w:val="3"/>
    <w:qFormat/>
    <w:uiPriority w:val="0"/>
    <w:pPr>
      <w:keepLines/>
      <w:adjustRightInd w:val="0"/>
      <w:spacing w:before="340" w:after="330" w:line="576" w:lineRule="auto"/>
    </w:pPr>
    <w:rPr>
      <w:rFonts w:ascii="Times New Roman" w:eastAsia="黑体"/>
      <w:b/>
      <w:kern w:val="44"/>
      <w:sz w:val="44"/>
    </w:rPr>
  </w:style>
  <w:style w:type="paragraph" w:customStyle="1" w:styleId="209">
    <w:name w:val="Char Char1"/>
    <w:basedOn w:val="1"/>
    <w:qFormat/>
    <w:uiPriority w:val="0"/>
    <w:pPr>
      <w:widowControl/>
      <w:spacing w:after="160" w:line="240" w:lineRule="exact"/>
      <w:jc w:val="left"/>
    </w:pPr>
    <w:rPr>
      <w:rFonts w:ascii="Verdana" w:hAnsi="Verdana"/>
      <w:kern w:val="0"/>
      <w:sz w:val="20"/>
      <w:lang w:eastAsia="en-US"/>
    </w:rPr>
  </w:style>
  <w:style w:type="paragraph" w:customStyle="1" w:styleId="210">
    <w:name w:val="正文4"/>
    <w:basedOn w:val="1"/>
    <w:qFormat/>
    <w:uiPriority w:val="0"/>
    <w:pPr>
      <w:tabs>
        <w:tab w:val="left" w:pos="1275"/>
      </w:tabs>
      <w:spacing w:before="60" w:after="60" w:line="360" w:lineRule="auto"/>
      <w:ind w:left="820" w:leftChars="400" w:hanging="705"/>
    </w:pPr>
    <w:rPr>
      <w:sz w:val="24"/>
    </w:rPr>
  </w:style>
  <w:style w:type="paragraph" w:customStyle="1" w:styleId="211">
    <w:name w:val="00"/>
    <w:basedOn w:val="1"/>
    <w:qFormat/>
    <w:uiPriority w:val="0"/>
    <w:pPr>
      <w:autoSpaceDE w:val="0"/>
      <w:autoSpaceDN w:val="0"/>
      <w:adjustRightInd w:val="0"/>
      <w:jc w:val="left"/>
    </w:pPr>
    <w:rPr>
      <w:rFonts w:ascii="黑体" w:eastAsia="黑体"/>
      <w:b/>
      <w:kern w:val="0"/>
      <w:sz w:val="20"/>
    </w:rPr>
  </w:style>
  <w:style w:type="paragraph" w:customStyle="1" w:styleId="212">
    <w:name w:val="图例"/>
    <w:basedOn w:val="1"/>
    <w:qFormat/>
    <w:uiPriority w:val="0"/>
    <w:pPr>
      <w:spacing w:before="120" w:after="120" w:line="360" w:lineRule="auto"/>
      <w:jc w:val="center"/>
    </w:pPr>
    <w:rPr>
      <w:rFonts w:eastAsia="仿宋_GB2312"/>
      <w:b/>
      <w:sz w:val="24"/>
    </w:rPr>
  </w:style>
  <w:style w:type="paragraph" w:customStyle="1" w:styleId="213">
    <w:name w:val="Char Char 字元 字元 字元 Char Char Char Char"/>
    <w:basedOn w:val="1"/>
    <w:qFormat/>
    <w:uiPriority w:val="0"/>
    <w:pPr>
      <w:adjustRightInd w:val="0"/>
      <w:spacing w:line="360" w:lineRule="auto"/>
    </w:pPr>
    <w:rPr>
      <w:kern w:val="0"/>
      <w:sz w:val="24"/>
    </w:rPr>
  </w:style>
  <w:style w:type="paragraph" w:customStyle="1" w:styleId="214">
    <w:name w:val="没有缩进（为图形使用）"/>
    <w:basedOn w:val="1"/>
    <w:qFormat/>
    <w:uiPriority w:val="0"/>
    <w:pPr>
      <w:spacing w:before="120" w:after="120" w:line="360" w:lineRule="auto"/>
    </w:pPr>
    <w:rPr>
      <w:sz w:val="24"/>
    </w:rPr>
  </w:style>
  <w:style w:type="paragraph" w:customStyle="1" w:styleId="215">
    <w:name w:val="IN Step"/>
    <w:basedOn w:val="1"/>
    <w:qFormat/>
    <w:uiPriority w:val="0"/>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216">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217">
    <w:name w:val="正文（首行不缩进）"/>
    <w:basedOn w:val="1"/>
    <w:qFormat/>
    <w:uiPriority w:val="0"/>
    <w:pPr>
      <w:autoSpaceDE w:val="0"/>
      <w:autoSpaceDN w:val="0"/>
      <w:adjustRightInd w:val="0"/>
      <w:spacing w:line="360" w:lineRule="auto"/>
      <w:jc w:val="left"/>
    </w:pPr>
    <w:rPr>
      <w:kern w:val="0"/>
      <w:sz w:val="21"/>
    </w:rPr>
  </w:style>
  <w:style w:type="paragraph" w:customStyle="1" w:styleId="218">
    <w:name w:val="样式 样式 宋体 小四 段前: 7.8 磅 段后: 7.8 磅 行距: 1.5 倍行距 + 小二 首行缩进:  2 字符"/>
    <w:basedOn w:val="1"/>
    <w:qFormat/>
    <w:uiPriority w:val="0"/>
    <w:pPr>
      <w:spacing w:line="360" w:lineRule="auto"/>
      <w:ind w:firstLine="480" w:firstLineChars="200"/>
    </w:pPr>
    <w:rPr>
      <w:rFonts w:ascii="宋体" w:hAnsi="宋体" w:cs="宋体"/>
      <w:sz w:val="24"/>
      <w:szCs w:val="24"/>
    </w:rPr>
  </w:style>
  <w:style w:type="paragraph" w:customStyle="1" w:styleId="219">
    <w:name w:val="表格文本"/>
    <w:qFormat/>
    <w:uiPriority w:val="0"/>
    <w:pPr>
      <w:tabs>
        <w:tab w:val="decimal" w:pos="0"/>
      </w:tabs>
    </w:pPr>
    <w:rPr>
      <w:rFonts w:ascii="Arial" w:hAnsi="Arial" w:eastAsia="微软雅黑" w:cs="Times New Roman"/>
      <w:sz w:val="21"/>
      <w:lang w:val="en-US" w:eastAsia="zh-CN" w:bidi="ar-SA"/>
    </w:rPr>
  </w:style>
  <w:style w:type="paragraph" w:customStyle="1" w:styleId="220">
    <w:name w:val="Char Char14 Char Char"/>
    <w:basedOn w:val="1"/>
    <w:qFormat/>
    <w:uiPriority w:val="0"/>
    <w:rPr>
      <w:sz w:val="21"/>
      <w:szCs w:val="24"/>
    </w:rPr>
  </w:style>
  <w:style w:type="paragraph" w:customStyle="1" w:styleId="221">
    <w:name w:val="WPSOffice手动目录 1"/>
    <w:qFormat/>
    <w:uiPriority w:val="0"/>
    <w:rPr>
      <w:rFonts w:ascii="Times New Roman" w:hAnsi="Times New Roman" w:eastAsia="宋体" w:cs="Times New Roman"/>
      <w:lang w:val="en-US" w:eastAsia="zh-CN" w:bidi="ar-SA"/>
    </w:rPr>
  </w:style>
  <w:style w:type="paragraph" w:customStyle="1" w:styleId="222">
    <w:name w:val="正文字缩2字"/>
    <w:basedOn w:val="1"/>
    <w:qFormat/>
    <w:uiPriority w:val="0"/>
    <w:pPr>
      <w:spacing w:before="60" w:after="60" w:line="360" w:lineRule="auto"/>
      <w:ind w:left="200" w:leftChars="200" w:firstLine="200" w:firstLineChars="200"/>
    </w:pPr>
    <w:rPr>
      <w:sz w:val="24"/>
    </w:rPr>
  </w:style>
  <w:style w:type="paragraph" w:customStyle="1" w:styleId="223">
    <w:name w:val="模板标题4"/>
    <w:basedOn w:val="2"/>
    <w:next w:val="160"/>
    <w:qFormat/>
    <w:uiPriority w:val="0"/>
    <w:pPr>
      <w:widowControl/>
      <w:numPr>
        <w:ilvl w:val="3"/>
        <w:numId w:val="7"/>
      </w:numPr>
      <w:tabs>
        <w:tab w:val="left" w:pos="600"/>
      </w:tabs>
      <w:jc w:val="left"/>
    </w:pPr>
    <w:rPr>
      <w:rFonts w:ascii="Times New Roman" w:hAnsi="Times New Roman"/>
      <w:bCs/>
      <w:szCs w:val="28"/>
      <w:lang w:val="en-GB"/>
    </w:rPr>
  </w:style>
  <w:style w:type="paragraph" w:customStyle="1" w:styleId="224">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225">
    <w:name w:val="Title - Date"/>
    <w:basedOn w:val="57"/>
    <w:next w:val="1"/>
    <w:qFormat/>
    <w:uiPriority w:val="0"/>
    <w:pPr>
      <w:spacing w:before="240" w:after="720"/>
    </w:pPr>
    <w:rPr>
      <w:sz w:val="28"/>
    </w:rPr>
  </w:style>
  <w:style w:type="paragraph" w:customStyle="1" w:styleId="226">
    <w:name w:val="af"/>
    <w:basedOn w:val="1"/>
    <w:qFormat/>
    <w:uiPriority w:val="0"/>
    <w:pPr>
      <w:widowControl/>
      <w:spacing w:line="300" w:lineRule="atLeast"/>
      <w:jc w:val="left"/>
    </w:pPr>
    <w:rPr>
      <w:rFonts w:ascii="宋体" w:hAnsi="宋体"/>
      <w:kern w:val="0"/>
      <w:sz w:val="18"/>
    </w:rPr>
  </w:style>
  <w:style w:type="paragraph" w:customStyle="1" w:styleId="227">
    <w:name w:val="样式 样式 首行缩进:  2 字符 + 首行缩进:  2 字符"/>
    <w:basedOn w:val="1"/>
    <w:qFormat/>
    <w:uiPriority w:val="0"/>
    <w:pPr>
      <w:numPr>
        <w:ilvl w:val="0"/>
        <w:numId w:val="11"/>
      </w:numPr>
      <w:tabs>
        <w:tab w:val="clear" w:pos="1230"/>
      </w:tabs>
      <w:spacing w:line="360" w:lineRule="auto"/>
      <w:ind w:firstLine="480" w:firstLineChars="200"/>
    </w:pPr>
    <w:rPr>
      <w:sz w:val="24"/>
    </w:rPr>
  </w:style>
  <w:style w:type="paragraph" w:customStyle="1" w:styleId="228">
    <w:name w:val="Item Step in Table"/>
    <w:qFormat/>
    <w:uiPriority w:val="0"/>
    <w:pPr>
      <w:numPr>
        <w:ilvl w:val="0"/>
        <w:numId w:val="5"/>
      </w:numPr>
      <w:tabs>
        <w:tab w:val="left" w:pos="397"/>
      </w:tabs>
      <w:spacing w:before="40" w:after="40"/>
      <w:jc w:val="both"/>
    </w:pPr>
    <w:rPr>
      <w:rFonts w:ascii="Arial" w:hAnsi="Arial" w:eastAsia="微软雅黑" w:cs="Times New Roman"/>
      <w:sz w:val="18"/>
      <w:lang w:val="en-US" w:eastAsia="zh-CN" w:bidi="ar-SA"/>
    </w:rPr>
  </w:style>
  <w:style w:type="paragraph" w:customStyle="1" w:styleId="229">
    <w:name w:val="Table Text Char1"/>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230">
    <w:name w:val="IN Feature"/>
    <w:next w:val="215"/>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231">
    <w:name w:val="样式4"/>
    <w:basedOn w:val="2"/>
    <w:qFormat/>
    <w:uiPriority w:val="0"/>
    <w:pPr>
      <w:adjustRightInd w:val="0"/>
      <w:snapToGrid w:val="0"/>
    </w:pPr>
  </w:style>
  <w:style w:type="paragraph" w:customStyle="1" w:styleId="232">
    <w:name w:val="正文文本 21"/>
    <w:basedOn w:val="1"/>
    <w:qFormat/>
    <w:uiPriority w:val="0"/>
    <w:pPr>
      <w:adjustRightInd w:val="0"/>
      <w:spacing w:before="120" w:line="360" w:lineRule="auto"/>
      <w:ind w:firstLine="480"/>
      <w:textAlignment w:val="baseline"/>
    </w:pPr>
    <w:rPr>
      <w:sz w:val="24"/>
    </w:rPr>
  </w:style>
  <w:style w:type="paragraph" w:customStyle="1" w:styleId="233">
    <w:name w:val="样式1xz"/>
    <w:basedOn w:val="1"/>
    <w:qFormat/>
    <w:uiPriority w:val="0"/>
    <w:pPr>
      <w:tabs>
        <w:tab w:val="left" w:pos="1050"/>
        <w:tab w:val="right" w:leader="dot" w:pos="8296"/>
      </w:tabs>
    </w:pPr>
    <w:rPr>
      <w:caps/>
      <w:spacing w:val="20"/>
      <w:sz w:val="24"/>
    </w:rPr>
  </w:style>
  <w:style w:type="paragraph" w:customStyle="1" w:styleId="234">
    <w:name w:val="È±Ê¡ÎÄ±¾"/>
    <w:basedOn w:val="1"/>
    <w:qFormat/>
    <w:uiPriority w:val="0"/>
    <w:pPr>
      <w:widowControl/>
      <w:overflowPunct w:val="0"/>
      <w:autoSpaceDE w:val="0"/>
      <w:autoSpaceDN w:val="0"/>
      <w:adjustRightInd w:val="0"/>
      <w:jc w:val="left"/>
      <w:textAlignment w:val="baseline"/>
    </w:pPr>
    <w:rPr>
      <w:kern w:val="0"/>
      <w:sz w:val="24"/>
    </w:rPr>
  </w:style>
  <w:style w:type="paragraph" w:customStyle="1" w:styleId="235">
    <w:name w:val="文档正文"/>
    <w:basedOn w:val="1"/>
    <w:qFormat/>
    <w:uiPriority w:val="0"/>
    <w:pPr>
      <w:adjustRightInd w:val="0"/>
      <w:snapToGrid w:val="0"/>
      <w:spacing w:line="440" w:lineRule="exact"/>
      <w:ind w:firstLine="567"/>
      <w:textAlignment w:val="baseline"/>
    </w:pPr>
    <w:rPr>
      <w:rFonts w:ascii="Arial Narrow" w:hAnsi="Arial Narrow"/>
      <w:kern w:val="0"/>
      <w:sz w:val="24"/>
    </w:rPr>
  </w:style>
  <w:style w:type="paragraph" w:customStyle="1" w:styleId="236">
    <w:name w:val="my正文"/>
    <w:basedOn w:val="1"/>
    <w:qFormat/>
    <w:uiPriority w:val="0"/>
    <w:rPr>
      <w:sz w:val="21"/>
    </w:rPr>
  </w:style>
  <w:style w:type="paragraph" w:customStyle="1" w:styleId="237">
    <w:name w:val="样式 标题 1 + 居中 段前: 6 磅 段后: 6 磅 行距: 1.5 倍行距"/>
    <w:basedOn w:val="3"/>
    <w:qFormat/>
    <w:uiPriority w:val="0"/>
    <w:pPr>
      <w:keepLines/>
      <w:adjustRightInd w:val="0"/>
      <w:spacing w:before="120" w:after="120" w:line="360" w:lineRule="auto"/>
      <w:jc w:val="center"/>
    </w:pPr>
    <w:rPr>
      <w:rFonts w:ascii="Times New Roman"/>
      <w:b/>
      <w:kern w:val="44"/>
      <w:sz w:val="32"/>
    </w:rPr>
  </w:style>
  <w:style w:type="paragraph" w:customStyle="1" w:styleId="238">
    <w:name w:val="授权书和信息卡行距"/>
    <w:qFormat/>
    <w:uiPriority w:val="0"/>
    <w:pPr>
      <w:spacing w:line="560" w:lineRule="exact"/>
      <w:ind w:left="200" w:hanging="200" w:hangingChars="200"/>
    </w:pPr>
    <w:rPr>
      <w:rFonts w:ascii="Calibri" w:hAnsi="Calibri" w:eastAsia="仿宋_GB2312" w:cs="Times New Roman"/>
      <w:kern w:val="2"/>
      <w:sz w:val="24"/>
      <w:szCs w:val="24"/>
      <w:lang w:val="en-US" w:eastAsia="zh-CN" w:bidi="ar-SA"/>
    </w:rPr>
  </w:style>
  <w:style w:type="paragraph" w:customStyle="1" w:styleId="239">
    <w:name w:val="Char1 Char Char Char1"/>
    <w:basedOn w:val="1"/>
    <w:qFormat/>
    <w:uiPriority w:val="0"/>
    <w:rPr>
      <w:rFonts w:ascii="Tahoma" w:hAnsi="Tahoma"/>
      <w:sz w:val="30"/>
    </w:rPr>
  </w:style>
  <w:style w:type="paragraph" w:customStyle="1" w:styleId="240">
    <w:name w:val="标题3——2"/>
    <w:basedOn w:val="5"/>
    <w:next w:val="59"/>
    <w:qFormat/>
    <w:uiPriority w:val="0"/>
    <w:pPr>
      <w:tabs>
        <w:tab w:val="left" w:pos="1280"/>
        <w:tab w:val="right" w:leader="dot" w:pos="8777"/>
      </w:tabs>
      <w:spacing w:before="312" w:beforeLines="100" w:after="0" w:line="240" w:lineRule="auto"/>
      <w:ind w:left="851" w:hanging="851"/>
      <w:outlineLvl w:val="9"/>
    </w:pPr>
    <w:rPr>
      <w:rFonts w:ascii="黑体" w:hAnsi="宋体" w:eastAsia="黑体"/>
      <w:sz w:val="30"/>
    </w:rPr>
  </w:style>
  <w:style w:type="paragraph" w:customStyle="1" w:styleId="241">
    <w:name w:val="附件"/>
    <w:next w:val="1"/>
    <w:qFormat/>
    <w:uiPriority w:val="0"/>
    <w:pPr>
      <w:tabs>
        <w:tab w:val="right" w:leader="dot" w:pos="9402"/>
      </w:tabs>
      <w:spacing w:line="400" w:lineRule="exact"/>
      <w:jc w:val="center"/>
      <w:outlineLvl w:val="0"/>
    </w:pPr>
    <w:rPr>
      <w:rFonts w:ascii="Calibri" w:hAnsi="Calibri" w:eastAsia="方正黑体_GBK" w:cs="Times New Roman"/>
      <w:b/>
      <w:bCs/>
      <w:smallCaps/>
      <w:kern w:val="2"/>
      <w:sz w:val="28"/>
      <w:lang w:val="en-US" w:eastAsia="zh-CN" w:bidi="ar-SA"/>
    </w:rPr>
  </w:style>
  <w:style w:type="paragraph" w:customStyle="1" w:styleId="242">
    <w:name w:val="可研正文"/>
    <w:basedOn w:val="22"/>
    <w:qFormat/>
    <w:uiPriority w:val="0"/>
    <w:pPr>
      <w:adjustRightInd w:val="0"/>
      <w:snapToGrid w:val="0"/>
      <w:spacing w:line="440" w:lineRule="exact"/>
      <w:ind w:firstLine="567"/>
    </w:pPr>
    <w:rPr>
      <w:sz w:val="28"/>
    </w:rPr>
  </w:style>
  <w:style w:type="paragraph" w:customStyle="1" w:styleId="243">
    <w:name w:val="编号正文"/>
    <w:basedOn w:val="235"/>
    <w:qFormat/>
    <w:uiPriority w:val="0"/>
    <w:pPr>
      <w:snapToGrid/>
      <w:spacing w:line="360" w:lineRule="auto"/>
      <w:ind w:left="1407" w:hanging="1047"/>
      <w:jc w:val="left"/>
    </w:pPr>
    <w:rPr>
      <w:rFonts w:eastAsia="仿宋_GB2312"/>
    </w:rPr>
  </w:style>
  <w:style w:type="paragraph" w:customStyle="1" w:styleId="244">
    <w:name w:val="样式 行距: 1.5 倍行距1"/>
    <w:basedOn w:val="1"/>
    <w:qFormat/>
    <w:uiPriority w:val="0"/>
    <w:pPr>
      <w:snapToGrid w:val="0"/>
    </w:pPr>
    <w:rPr>
      <w:sz w:val="21"/>
    </w:rPr>
  </w:style>
  <w:style w:type="paragraph" w:customStyle="1" w:styleId="245">
    <w:name w:val="样式 宋体 五号 行距: 单倍行距"/>
    <w:basedOn w:val="1"/>
    <w:qFormat/>
    <w:uiPriority w:val="0"/>
    <w:pPr>
      <w:adjustRightInd w:val="0"/>
      <w:jc w:val="left"/>
    </w:pPr>
    <w:rPr>
      <w:rFonts w:ascii="宋体" w:hAnsi="宋体"/>
      <w:kern w:val="0"/>
      <w:sz w:val="21"/>
    </w:rPr>
  </w:style>
  <w:style w:type="paragraph" w:customStyle="1" w:styleId="246">
    <w:name w:val="二级条标题"/>
    <w:basedOn w:val="133"/>
    <w:next w:val="135"/>
    <w:qFormat/>
    <w:uiPriority w:val="0"/>
    <w:pPr>
      <w:ind w:left="840"/>
      <w:outlineLvl w:val="3"/>
    </w:pPr>
  </w:style>
  <w:style w:type="paragraph" w:customStyle="1" w:styleId="247">
    <w:name w:val="style1"/>
    <w:basedOn w:val="1"/>
    <w:qFormat/>
    <w:uiPriority w:val="0"/>
    <w:pPr>
      <w:widowControl/>
      <w:spacing w:before="100" w:beforeAutospacing="1" w:after="100" w:afterAutospacing="1"/>
      <w:jc w:val="left"/>
    </w:pPr>
    <w:rPr>
      <w:rFonts w:ascii="宋体" w:hAnsi="宋体"/>
      <w:kern w:val="0"/>
      <w:sz w:val="21"/>
    </w:rPr>
  </w:style>
  <w:style w:type="paragraph" w:customStyle="1" w:styleId="248">
    <w:name w:val="表格内文字"/>
    <w:basedOn w:val="30"/>
    <w:qFormat/>
    <w:uiPriority w:val="0"/>
    <w:pPr>
      <w:adjustRightInd w:val="0"/>
    </w:pPr>
    <w:rPr>
      <w:color w:val="000000"/>
      <w:lang w:val="en-GB"/>
    </w:rPr>
  </w:style>
  <w:style w:type="paragraph" w:customStyle="1" w:styleId="249">
    <w:name w:val="Char Char Char Char Char Char Char1"/>
    <w:basedOn w:val="1"/>
    <w:qFormat/>
    <w:uiPriority w:val="0"/>
    <w:rPr>
      <w:rFonts w:ascii="Tahoma" w:hAnsi="Tahoma"/>
      <w:sz w:val="24"/>
    </w:rPr>
  </w:style>
  <w:style w:type="paragraph" w:customStyle="1" w:styleId="250">
    <w:name w:val="摘要"/>
    <w:basedOn w:val="1"/>
    <w:next w:val="4"/>
    <w:qFormat/>
    <w:uiPriority w:val="0"/>
    <w:pPr>
      <w:spacing w:line="360" w:lineRule="auto"/>
    </w:pPr>
    <w:rPr>
      <w:rFonts w:eastAsia="黑体"/>
      <w:sz w:val="20"/>
    </w:rPr>
  </w:style>
  <w:style w:type="paragraph" w:customStyle="1" w:styleId="251">
    <w:name w:val="content"/>
    <w:basedOn w:val="1"/>
    <w:qFormat/>
    <w:uiPriority w:val="0"/>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252">
    <w:name w:val="表号"/>
    <w:basedOn w:val="1"/>
    <w:qFormat/>
    <w:uiPriority w:val="0"/>
    <w:pPr>
      <w:numPr>
        <w:ilvl w:val="0"/>
        <w:numId w:val="12"/>
      </w:numPr>
      <w:tabs>
        <w:tab w:val="left" w:pos="648"/>
        <w:tab w:val="clear" w:pos="360"/>
      </w:tabs>
      <w:autoSpaceDE w:val="0"/>
      <w:autoSpaceDN w:val="0"/>
      <w:adjustRightInd w:val="0"/>
      <w:spacing w:before="210" w:after="210"/>
      <w:ind w:left="425" w:hanging="137"/>
      <w:jc w:val="center"/>
    </w:pPr>
    <w:rPr>
      <w:kern w:val="0"/>
      <w:sz w:val="21"/>
      <w:lang w:eastAsia="en-US"/>
    </w:rPr>
  </w:style>
  <w:style w:type="paragraph" w:customStyle="1" w:styleId="253">
    <w:name w:val="Char Char Char"/>
    <w:basedOn w:val="1"/>
    <w:qFormat/>
    <w:uiPriority w:val="0"/>
    <w:rPr>
      <w:rFonts w:ascii="Tahoma" w:hAnsi="Tahoma"/>
      <w:sz w:val="24"/>
    </w:rPr>
  </w:style>
  <w:style w:type="paragraph" w:customStyle="1" w:styleId="254">
    <w:name w:val="Char Char Char Char Char Char Char Char Char Char Char Char Char Char Char Char"/>
    <w:basedOn w:val="1"/>
    <w:qFormat/>
    <w:uiPriority w:val="0"/>
    <w:pPr>
      <w:tabs>
        <w:tab w:val="left" w:pos="360"/>
      </w:tabs>
    </w:pPr>
    <w:rPr>
      <w:sz w:val="24"/>
    </w:rPr>
  </w:style>
  <w:style w:type="paragraph" w:customStyle="1" w:styleId="255">
    <w:name w:val="样式 正文首行缩进 2 + 首行缩进:  2 字符"/>
    <w:basedOn w:val="1"/>
    <w:qFormat/>
    <w:uiPriority w:val="0"/>
    <w:pPr>
      <w:numPr>
        <w:ilvl w:val="0"/>
        <w:numId w:val="13"/>
      </w:numPr>
      <w:adjustRightInd w:val="0"/>
      <w:snapToGrid w:val="0"/>
      <w:spacing w:line="360" w:lineRule="auto"/>
    </w:pPr>
    <w:rPr>
      <w:rFonts w:ascii="Arial" w:hAnsi="Arial"/>
      <w:b/>
      <w:sz w:val="24"/>
    </w:rPr>
  </w:style>
  <w:style w:type="paragraph" w:customStyle="1" w:styleId="256">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257">
    <w:name w:val="图片文字"/>
    <w:basedOn w:val="1"/>
    <w:qFormat/>
    <w:uiPriority w:val="0"/>
    <w:pPr>
      <w:spacing w:line="240" w:lineRule="atLeast"/>
      <w:jc w:val="center"/>
    </w:pPr>
    <w:rPr>
      <w:sz w:val="21"/>
    </w:rPr>
  </w:style>
  <w:style w:type="paragraph" w:customStyle="1" w:styleId="258">
    <w:name w:val="标题无"/>
    <w:basedOn w:val="1"/>
    <w:qFormat/>
    <w:uiPriority w:val="0"/>
    <w:pPr>
      <w:spacing w:line="360" w:lineRule="auto"/>
    </w:pPr>
    <w:rPr>
      <w:sz w:val="24"/>
    </w:rPr>
  </w:style>
  <w:style w:type="paragraph" w:customStyle="1" w:styleId="259">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260">
    <w:name w:val="内容标题"/>
    <w:basedOn w:val="17"/>
    <w:qFormat/>
    <w:uiPriority w:val="0"/>
    <w:rPr>
      <w:rFonts w:ascii="Tahoma" w:hAnsi="Tahoma"/>
      <w:sz w:val="24"/>
    </w:rPr>
  </w:style>
  <w:style w:type="character" w:customStyle="1" w:styleId="261">
    <w:name w:val="正文1 Char Char"/>
    <w:qFormat/>
    <w:uiPriority w:val="0"/>
    <w:rPr>
      <w:rFonts w:ascii="宋体" w:hAnsi="宋体" w:eastAsia="宋体"/>
      <w:u w:val="single"/>
    </w:rPr>
  </w:style>
  <w:style w:type="paragraph" w:customStyle="1" w:styleId="262">
    <w:name w:val="标书正文1"/>
    <w:basedOn w:val="1"/>
    <w:qFormat/>
    <w:uiPriority w:val="0"/>
    <w:pPr>
      <w:spacing w:line="520" w:lineRule="exact"/>
      <w:ind w:firstLine="640" w:firstLineChars="200"/>
    </w:pPr>
  </w:style>
  <w:style w:type="character" w:customStyle="1" w:styleId="263">
    <w:name w:val="标题 4 字符"/>
    <w:basedOn w:val="63"/>
    <w:link w:val="2"/>
    <w:qFormat/>
    <w:uiPriority w:val="0"/>
    <w:rPr>
      <w:rFonts w:ascii="等线 Light" w:hAnsi="等线 Light" w:eastAsia="等线 Light" w:cs="Times New Roman"/>
      <w:b/>
      <w:kern w:val="2"/>
      <w:sz w:val="28"/>
      <w:szCs w:val="28"/>
    </w:rPr>
  </w:style>
  <w:style w:type="character" w:customStyle="1" w:styleId="264">
    <w:name w:val="标题 1 字符"/>
    <w:basedOn w:val="63"/>
    <w:link w:val="3"/>
    <w:qFormat/>
    <w:uiPriority w:val="0"/>
    <w:rPr>
      <w:rFonts w:hint="eastAsia" w:ascii="宋体" w:hAnsi="宋体" w:eastAsia="宋体" w:cs="宋体"/>
      <w:kern w:val="2"/>
      <w:sz w:val="28"/>
    </w:rPr>
  </w:style>
  <w:style w:type="character" w:customStyle="1" w:styleId="265">
    <w:name w:val="font71"/>
    <w:basedOn w:val="63"/>
    <w:qFormat/>
    <w:uiPriority w:val="0"/>
    <w:rPr>
      <w:rFonts w:hint="eastAsia" w:ascii="方正仿宋_GBK" w:hAnsi="方正仿宋_GBK" w:eastAsia="方正仿宋_GBK" w:cs="方正仿宋_GBK"/>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Info spid="_x0000_s204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312E5D-1434-4DDF-97C1-BBD29BFCECA0}">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39</Pages>
  <Words>15820</Words>
  <Characters>16759</Characters>
  <Lines>187</Lines>
  <Paragraphs>52</Paragraphs>
  <TotalTime>11</TotalTime>
  <ScaleCrop>false</ScaleCrop>
  <LinksUpToDate>false</LinksUpToDate>
  <CharactersWithSpaces>17951</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2022-05-16T08:48:00Z</dcterms:created>
  <dc:creator>罗成</dc:creator>
  <cp:lastModifiedBy>吕银彬</cp:lastModifiedBy>
  <cp:lastPrinted>2024-04-28T07:58:00Z</cp:lastPrinted>
  <dcterms:modified xsi:type="dcterms:W3CDTF">2025-10-25T01:41:13Z</dcterms:modified>
  <dc:title>竞争性谈判文件</dc:title>
  <cp:revision>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C1C29AC27767472BAE56E778E6E04DC1</vt:lpwstr>
  </property>
  <property fmtid="{D5CDD505-2E9C-101B-9397-08002B2CF9AE}" pid="4" name="KSOSaveFontToCloudKey">
    <vt:lpwstr>992573165_embed</vt:lpwstr>
  </property>
  <property fmtid="{D5CDD505-2E9C-101B-9397-08002B2CF9AE}" pid="5" name="KSOTemplateDocerSaveRecord">
    <vt:lpwstr>eyJoZGlkIjoiNjg1ZmNiYmI4YTFiY2I3MTk0MmU4MzZmZjY5ZGM3MjciLCJ1c2VySWQiOiIzODU5NTk0MzYifQ==</vt:lpwstr>
  </property>
</Properties>
</file>