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841638">
      <w:pPr>
        <w:spacing w:line="360" w:lineRule="auto"/>
        <w:ind w:left="1606" w:hanging="1606" w:hangingChars="500"/>
        <w:rPr>
          <w:rFonts w:ascii="宋体" w:hAnsi="宋体"/>
          <w:b/>
          <w:color w:val="auto"/>
          <w:sz w:val="32"/>
          <w:szCs w:val="32"/>
          <w:highlight w:val="none"/>
        </w:rPr>
      </w:pPr>
      <w:r>
        <w:rPr>
          <w:rFonts w:hint="eastAsia" w:ascii="宋体" w:hAnsi="宋体"/>
          <w:b/>
          <w:color w:val="auto"/>
          <w:sz w:val="32"/>
          <w:szCs w:val="32"/>
          <w:highlight w:val="none"/>
        </w:rPr>
        <w:t xml:space="preserve">项目名称：中国人寿保险股份有限公司重庆市分公司个险渠道客户活动采购 </w:t>
      </w:r>
    </w:p>
    <w:p w14:paraId="4C7F31DA">
      <w:pPr>
        <w:spacing w:line="360" w:lineRule="auto"/>
        <w:ind w:left="1606" w:hanging="1606" w:hangingChars="500"/>
        <w:rPr>
          <w:rFonts w:ascii="宋体" w:hAnsi="宋体"/>
          <w:b/>
          <w:color w:val="auto"/>
          <w:sz w:val="32"/>
          <w:szCs w:val="32"/>
          <w:highlight w:val="none"/>
        </w:rPr>
      </w:pPr>
      <w:r>
        <w:rPr>
          <w:rFonts w:hint="eastAsia" w:ascii="宋体" w:hAnsi="宋体"/>
          <w:b/>
          <w:color w:val="auto"/>
          <w:sz w:val="32"/>
          <w:szCs w:val="32"/>
          <w:highlight w:val="none"/>
        </w:rPr>
        <w:t>招标编号：CQYX-25-87</w:t>
      </w:r>
    </w:p>
    <w:p w14:paraId="7AB59F96">
      <w:pPr>
        <w:autoSpaceDE w:val="0"/>
        <w:autoSpaceDN w:val="0"/>
        <w:adjustRightInd w:val="0"/>
        <w:snapToGrid w:val="0"/>
        <w:spacing w:line="360" w:lineRule="auto"/>
        <w:jc w:val="left"/>
        <w:rPr>
          <w:rFonts w:ascii="宋体" w:hAnsi="宋体"/>
          <w:b/>
          <w:color w:val="auto"/>
          <w:sz w:val="32"/>
          <w:szCs w:val="32"/>
          <w:highlight w:val="none"/>
        </w:rPr>
      </w:pPr>
      <w:r>
        <w:rPr>
          <w:rFonts w:ascii="宋体" w:hAnsi="宋体"/>
          <w:b/>
          <w:color w:val="auto"/>
          <w:sz w:val="32"/>
          <w:szCs w:val="32"/>
          <w:highlight w:val="none"/>
        </w:rPr>
        <w:t xml:space="preserve"> </w:t>
      </w:r>
    </w:p>
    <w:p w14:paraId="31ABE0B4">
      <w:pPr>
        <w:rPr>
          <w:rFonts w:ascii="宋体" w:hAnsi="宋体"/>
          <w:b/>
          <w:color w:val="auto"/>
          <w:sz w:val="32"/>
          <w:szCs w:val="32"/>
          <w:highlight w:val="none"/>
        </w:rPr>
      </w:pPr>
    </w:p>
    <w:p w14:paraId="5A3F7F08">
      <w:pPr>
        <w:tabs>
          <w:tab w:val="left" w:pos="3523"/>
          <w:tab w:val="left" w:pos="6252"/>
          <w:tab w:val="left" w:pos="6341"/>
        </w:tabs>
        <w:autoSpaceDE w:val="0"/>
        <w:autoSpaceDN w:val="0"/>
        <w:adjustRightInd w:val="0"/>
        <w:snapToGrid w:val="0"/>
        <w:spacing w:line="480" w:lineRule="auto"/>
        <w:jc w:val="left"/>
        <w:rPr>
          <w:rFonts w:ascii="宋体" w:hAnsi="宋体"/>
          <w:b/>
          <w:color w:val="auto"/>
          <w:sz w:val="32"/>
          <w:szCs w:val="32"/>
          <w:highlight w:val="none"/>
        </w:rPr>
      </w:pPr>
    </w:p>
    <w:p w14:paraId="4C77303B">
      <w:pPr>
        <w:autoSpaceDE w:val="0"/>
        <w:autoSpaceDN w:val="0"/>
        <w:adjustRightInd w:val="0"/>
        <w:snapToGrid w:val="0"/>
        <w:spacing w:line="360" w:lineRule="auto"/>
        <w:jc w:val="left"/>
        <w:rPr>
          <w:rFonts w:ascii="宋体" w:hAnsi="宋体" w:cs="MingLiU"/>
          <w:color w:val="auto"/>
          <w:kern w:val="0"/>
          <w:sz w:val="20"/>
          <w:szCs w:val="20"/>
          <w:highlight w:val="none"/>
        </w:rPr>
      </w:pPr>
    </w:p>
    <w:p w14:paraId="3E174EED">
      <w:pPr>
        <w:autoSpaceDE w:val="0"/>
        <w:autoSpaceDN w:val="0"/>
        <w:adjustRightInd w:val="0"/>
        <w:snapToGrid w:val="0"/>
        <w:spacing w:line="360" w:lineRule="auto"/>
        <w:jc w:val="left"/>
        <w:rPr>
          <w:rFonts w:ascii="宋体" w:hAnsi="宋体" w:cs="MingLiU"/>
          <w:color w:val="auto"/>
          <w:kern w:val="0"/>
          <w:sz w:val="20"/>
          <w:szCs w:val="20"/>
          <w:highlight w:val="none"/>
        </w:rPr>
      </w:pPr>
    </w:p>
    <w:p w14:paraId="4A4429F5">
      <w:pPr>
        <w:autoSpaceDE w:val="0"/>
        <w:autoSpaceDN w:val="0"/>
        <w:adjustRightInd w:val="0"/>
        <w:snapToGrid w:val="0"/>
        <w:spacing w:line="360" w:lineRule="auto"/>
        <w:jc w:val="left"/>
        <w:rPr>
          <w:rFonts w:ascii="宋体" w:hAnsi="宋体" w:cs="MingLiU"/>
          <w:color w:val="auto"/>
          <w:kern w:val="0"/>
          <w:sz w:val="20"/>
          <w:szCs w:val="20"/>
          <w:highlight w:val="none"/>
        </w:rPr>
      </w:pPr>
    </w:p>
    <w:p w14:paraId="63D15DD6">
      <w:pPr>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招　标　文　件</w:t>
      </w:r>
    </w:p>
    <w:p w14:paraId="5BD16475">
      <w:pPr>
        <w:autoSpaceDE w:val="0"/>
        <w:autoSpaceDN w:val="0"/>
        <w:adjustRightInd w:val="0"/>
        <w:snapToGrid w:val="0"/>
        <w:spacing w:line="360" w:lineRule="auto"/>
        <w:rPr>
          <w:rFonts w:ascii="宋体" w:hAnsi="宋体"/>
          <w:bCs/>
          <w:color w:val="auto"/>
          <w:sz w:val="28"/>
          <w:szCs w:val="28"/>
          <w:highlight w:val="none"/>
        </w:rPr>
      </w:pPr>
      <w:r>
        <w:rPr>
          <w:rFonts w:ascii="宋体" w:hAnsi="宋体"/>
          <w:bCs/>
          <w:color w:val="auto"/>
          <w:sz w:val="28"/>
          <w:szCs w:val="28"/>
          <w:highlight w:val="none"/>
        </w:rPr>
        <w:t xml:space="preserve">  </w:t>
      </w:r>
    </w:p>
    <w:p w14:paraId="3E3F0C0D">
      <w:pPr>
        <w:autoSpaceDE w:val="0"/>
        <w:autoSpaceDN w:val="0"/>
        <w:adjustRightInd w:val="0"/>
        <w:snapToGrid w:val="0"/>
        <w:spacing w:line="360" w:lineRule="auto"/>
        <w:rPr>
          <w:rFonts w:ascii="宋体" w:hAnsi="宋体"/>
          <w:bCs/>
          <w:color w:val="auto"/>
          <w:sz w:val="28"/>
          <w:szCs w:val="28"/>
          <w:highlight w:val="none"/>
        </w:rPr>
      </w:pPr>
    </w:p>
    <w:p w14:paraId="4DD668CB">
      <w:pPr>
        <w:autoSpaceDE w:val="0"/>
        <w:autoSpaceDN w:val="0"/>
        <w:adjustRightInd w:val="0"/>
        <w:snapToGrid w:val="0"/>
        <w:spacing w:line="360" w:lineRule="auto"/>
        <w:rPr>
          <w:rFonts w:ascii="宋体" w:hAnsi="宋体"/>
          <w:bCs/>
          <w:color w:val="auto"/>
          <w:sz w:val="28"/>
          <w:szCs w:val="28"/>
          <w:highlight w:val="none"/>
        </w:rPr>
      </w:pPr>
    </w:p>
    <w:p w14:paraId="1059344F">
      <w:pPr>
        <w:autoSpaceDE w:val="0"/>
        <w:autoSpaceDN w:val="0"/>
        <w:adjustRightInd w:val="0"/>
        <w:snapToGrid w:val="0"/>
        <w:spacing w:line="360" w:lineRule="auto"/>
        <w:rPr>
          <w:rFonts w:ascii="宋体" w:hAnsi="宋体"/>
          <w:bCs/>
          <w:color w:val="auto"/>
          <w:sz w:val="28"/>
          <w:szCs w:val="28"/>
          <w:highlight w:val="none"/>
        </w:rPr>
      </w:pPr>
    </w:p>
    <w:p w14:paraId="1E24DE07">
      <w:pPr>
        <w:autoSpaceDE w:val="0"/>
        <w:autoSpaceDN w:val="0"/>
        <w:adjustRightInd w:val="0"/>
        <w:snapToGrid w:val="0"/>
        <w:spacing w:line="360" w:lineRule="auto"/>
        <w:jc w:val="left"/>
        <w:rPr>
          <w:rFonts w:ascii="宋体" w:hAnsi="宋体" w:cs="MingLiU"/>
          <w:color w:val="auto"/>
          <w:kern w:val="0"/>
          <w:sz w:val="20"/>
          <w:szCs w:val="20"/>
          <w:highlight w:val="none"/>
        </w:rPr>
      </w:pPr>
      <w:r>
        <w:rPr>
          <w:rFonts w:ascii="宋体" w:hAnsi="宋体" w:cs="MingLiU"/>
          <w:color w:val="auto"/>
          <w:kern w:val="0"/>
          <w:sz w:val="20"/>
          <w:szCs w:val="20"/>
          <w:highlight w:val="none"/>
        </w:rPr>
        <w:t xml:space="preserve"> </w:t>
      </w:r>
    </w:p>
    <w:p w14:paraId="651B5E70">
      <w:pPr>
        <w:autoSpaceDE w:val="0"/>
        <w:autoSpaceDN w:val="0"/>
        <w:adjustRightInd w:val="0"/>
        <w:snapToGrid w:val="0"/>
        <w:spacing w:line="360" w:lineRule="auto"/>
        <w:jc w:val="left"/>
        <w:rPr>
          <w:rFonts w:ascii="宋体" w:hAnsi="宋体" w:cs="MingLiU"/>
          <w:color w:val="auto"/>
          <w:kern w:val="0"/>
          <w:sz w:val="20"/>
          <w:szCs w:val="20"/>
          <w:highlight w:val="none"/>
        </w:rPr>
      </w:pPr>
    </w:p>
    <w:p w14:paraId="0CD636FE">
      <w:pPr>
        <w:autoSpaceDE w:val="0"/>
        <w:autoSpaceDN w:val="0"/>
        <w:adjustRightInd w:val="0"/>
        <w:snapToGrid w:val="0"/>
        <w:spacing w:line="360" w:lineRule="auto"/>
        <w:jc w:val="left"/>
        <w:rPr>
          <w:rFonts w:ascii="宋体" w:hAnsi="宋体" w:cs="MingLiU"/>
          <w:color w:val="auto"/>
          <w:kern w:val="0"/>
          <w:sz w:val="20"/>
          <w:szCs w:val="20"/>
          <w:highlight w:val="none"/>
        </w:rPr>
      </w:pPr>
    </w:p>
    <w:p w14:paraId="193FCB78">
      <w:pPr>
        <w:autoSpaceDE w:val="0"/>
        <w:autoSpaceDN w:val="0"/>
        <w:adjustRightInd w:val="0"/>
        <w:snapToGrid w:val="0"/>
        <w:spacing w:line="360" w:lineRule="auto"/>
        <w:jc w:val="center"/>
        <w:rPr>
          <w:rFonts w:ascii="宋体" w:hAnsi="宋体" w:cs="MingLiU"/>
          <w:color w:val="auto"/>
          <w:kern w:val="0"/>
          <w:sz w:val="20"/>
          <w:szCs w:val="20"/>
          <w:highlight w:val="none"/>
        </w:rPr>
      </w:pPr>
    </w:p>
    <w:p w14:paraId="15CA895B">
      <w:pPr>
        <w:ind w:firstLine="472" w:firstLineChars="147"/>
        <w:rPr>
          <w:rFonts w:ascii="宋体" w:hAnsi="宋体"/>
          <w:b/>
          <w:color w:val="auto"/>
          <w:sz w:val="32"/>
          <w:szCs w:val="32"/>
          <w:highlight w:val="none"/>
        </w:rPr>
      </w:pPr>
      <w:r>
        <w:rPr>
          <w:rFonts w:hint="eastAsia" w:ascii="宋体" w:hAnsi="宋体"/>
          <w:b/>
          <w:color w:val="auto"/>
          <w:sz w:val="32"/>
          <w:szCs w:val="32"/>
          <w:highlight w:val="none"/>
        </w:rPr>
        <w:t>招   标   人：</w:t>
      </w:r>
      <w:r>
        <w:rPr>
          <w:rFonts w:hint="eastAsia" w:ascii="宋体" w:hAnsi="宋体"/>
          <w:b/>
          <w:color w:val="auto"/>
          <w:sz w:val="32"/>
          <w:szCs w:val="32"/>
          <w:highlight w:val="none"/>
          <w:u w:val="single"/>
        </w:rPr>
        <w:t xml:space="preserve">中国人寿保险股份有限公司重庆市分公司 </w:t>
      </w:r>
      <w:r>
        <w:rPr>
          <w:rFonts w:hint="eastAsia" w:ascii="宋体" w:hAnsi="宋体"/>
          <w:b/>
          <w:color w:val="auto"/>
          <w:sz w:val="32"/>
          <w:szCs w:val="32"/>
          <w:highlight w:val="none"/>
        </w:rPr>
        <w:t xml:space="preserve"> </w:t>
      </w:r>
    </w:p>
    <w:p w14:paraId="557064F4">
      <w:pPr>
        <w:ind w:left="1079" w:leftChars="514"/>
        <w:rPr>
          <w:rFonts w:ascii="宋体" w:hAnsi="宋体"/>
          <w:color w:val="auto"/>
          <w:sz w:val="30"/>
          <w:szCs w:val="30"/>
          <w:highlight w:val="none"/>
        </w:rPr>
      </w:pPr>
    </w:p>
    <w:p w14:paraId="0E36D8FB">
      <w:pPr>
        <w:ind w:firstLine="472" w:firstLineChars="147"/>
        <w:rPr>
          <w:rFonts w:ascii="宋体" w:hAnsi="宋体"/>
          <w:b/>
          <w:color w:val="auto"/>
          <w:sz w:val="32"/>
          <w:szCs w:val="32"/>
          <w:highlight w:val="none"/>
        </w:rPr>
      </w:pPr>
      <w:r>
        <w:rPr>
          <w:rFonts w:hint="eastAsia" w:ascii="宋体" w:hAnsi="宋体"/>
          <w:b/>
          <w:color w:val="auto"/>
          <w:sz w:val="32"/>
          <w:szCs w:val="32"/>
          <w:highlight w:val="none"/>
        </w:rPr>
        <w:t>招标代理机构：</w:t>
      </w:r>
      <w:r>
        <w:rPr>
          <w:rFonts w:hint="eastAsia" w:ascii="宋体" w:hAnsi="宋体"/>
          <w:b/>
          <w:color w:val="auto"/>
          <w:sz w:val="32"/>
          <w:szCs w:val="32"/>
          <w:highlight w:val="none"/>
          <w:u w:val="single"/>
        </w:rPr>
        <w:t xml:space="preserve">重庆市永新咨询有限公司       </w:t>
      </w:r>
      <w:r>
        <w:rPr>
          <w:rFonts w:hint="eastAsia" w:ascii="宋体" w:hAnsi="宋体"/>
          <w:b/>
          <w:color w:val="auto"/>
          <w:sz w:val="32"/>
          <w:szCs w:val="32"/>
          <w:highlight w:val="none"/>
        </w:rPr>
        <w:t xml:space="preserve">   </w:t>
      </w:r>
    </w:p>
    <w:p w14:paraId="7D7BCD91">
      <w:pPr>
        <w:pStyle w:val="16"/>
        <w:tabs>
          <w:tab w:val="left" w:pos="6341"/>
        </w:tabs>
        <w:spacing w:line="360" w:lineRule="auto"/>
        <w:ind w:left="63" w:right="63"/>
        <w:rPr>
          <w:b/>
          <w:color w:val="auto"/>
          <w:sz w:val="32"/>
          <w:szCs w:val="32"/>
          <w:highlight w:val="none"/>
        </w:rPr>
      </w:pPr>
      <w:r>
        <w:rPr>
          <w:rFonts w:hint="eastAsia"/>
          <w:b/>
          <w:color w:val="auto"/>
          <w:sz w:val="32"/>
          <w:szCs w:val="32"/>
          <w:highlight w:val="none"/>
        </w:rPr>
        <w:t xml:space="preserve">  </w:t>
      </w:r>
    </w:p>
    <w:p w14:paraId="7EBB0318">
      <w:pPr>
        <w:autoSpaceDE w:val="0"/>
        <w:autoSpaceDN w:val="0"/>
        <w:adjustRightInd w:val="0"/>
        <w:snapToGrid w:val="0"/>
        <w:spacing w:line="360" w:lineRule="auto"/>
        <w:jc w:val="center"/>
        <w:rPr>
          <w:rFonts w:ascii="仿宋_GB2312" w:eastAsia="仿宋_GB2312" w:cs="MingLiU"/>
          <w:b/>
          <w:color w:val="auto"/>
          <w:kern w:val="0"/>
          <w:sz w:val="20"/>
          <w:szCs w:val="20"/>
          <w:highlight w:val="none"/>
        </w:rPr>
      </w:pPr>
      <w:r>
        <w:rPr>
          <w:rFonts w:hint="eastAsia" w:ascii="宋体" w:hAnsi="宋体"/>
          <w:b/>
          <w:color w:val="auto"/>
          <w:kern w:val="0"/>
          <w:sz w:val="28"/>
          <w:szCs w:val="28"/>
          <w:highlight w:val="none"/>
        </w:rPr>
        <w:t>二〇二五年</w:t>
      </w:r>
      <w:r>
        <w:rPr>
          <w:rFonts w:hint="eastAsia" w:ascii="宋体" w:hAnsi="宋体"/>
          <w:b/>
          <w:color w:val="auto"/>
          <w:kern w:val="0"/>
          <w:sz w:val="28"/>
          <w:szCs w:val="28"/>
          <w:highlight w:val="none"/>
          <w:lang w:val="en-US" w:eastAsia="zh-CN"/>
        </w:rPr>
        <w:t>九</w:t>
      </w:r>
      <w:r>
        <w:rPr>
          <w:rFonts w:hint="eastAsia" w:ascii="宋体" w:hAnsi="宋体"/>
          <w:b/>
          <w:color w:val="auto"/>
          <w:kern w:val="0"/>
          <w:sz w:val="28"/>
          <w:szCs w:val="28"/>
          <w:highlight w:val="none"/>
        </w:rPr>
        <w:t>月</w:t>
      </w:r>
    </w:p>
    <w:p w14:paraId="002E1637">
      <w:pPr>
        <w:tabs>
          <w:tab w:val="left" w:pos="3200"/>
          <w:tab w:val="left" w:pos="4320"/>
          <w:tab w:val="left" w:pos="5420"/>
        </w:tabs>
        <w:autoSpaceDE w:val="0"/>
        <w:autoSpaceDN w:val="0"/>
        <w:adjustRightInd w:val="0"/>
        <w:snapToGrid w:val="0"/>
        <w:spacing w:line="360" w:lineRule="auto"/>
        <w:ind w:firstLine="2570" w:firstLineChars="800"/>
        <w:jc w:val="left"/>
        <w:rPr>
          <w:rFonts w:ascii="宋体" w:hAnsi="宋体" w:cs="MingLiU"/>
          <w:b/>
          <w:color w:val="auto"/>
          <w:kern w:val="0"/>
          <w:position w:val="-2"/>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1480" w:right="1680" w:bottom="993" w:left="1680" w:header="720" w:footer="720" w:gutter="0"/>
          <w:pgNumType w:fmt="numberInDash" w:start="0"/>
          <w:cols w:space="720" w:num="1"/>
          <w:titlePg/>
          <w:docGrid w:linePitch="286" w:charSpace="0"/>
        </w:sectPr>
      </w:pPr>
    </w:p>
    <w:p w14:paraId="16563E85">
      <w:pPr>
        <w:autoSpaceDE w:val="0"/>
        <w:autoSpaceDN w:val="0"/>
        <w:adjustRightInd w:val="0"/>
        <w:snapToGrid w:val="0"/>
        <w:spacing w:line="360" w:lineRule="auto"/>
        <w:jc w:val="center"/>
        <w:rPr>
          <w:rFonts w:ascii="宋体" w:hAnsi="宋体" w:cs="MingLiU"/>
          <w:b/>
          <w:color w:val="auto"/>
          <w:kern w:val="0"/>
          <w:sz w:val="44"/>
          <w:szCs w:val="44"/>
          <w:highlight w:val="none"/>
        </w:rPr>
      </w:pPr>
      <w:r>
        <w:rPr>
          <w:rFonts w:hint="eastAsia" w:ascii="宋体" w:hAnsi="宋体" w:cs="MingLiU"/>
          <w:b/>
          <w:color w:val="auto"/>
          <w:kern w:val="0"/>
          <w:sz w:val="44"/>
          <w:szCs w:val="44"/>
          <w:highlight w:val="none"/>
        </w:rPr>
        <w:t>目　 录</w:t>
      </w:r>
    </w:p>
    <w:p w14:paraId="5107FEE9">
      <w:pPr>
        <w:pStyle w:val="29"/>
        <w:tabs>
          <w:tab w:val="right" w:leader="dot" w:pos="9468"/>
        </w:tabs>
        <w:spacing w:line="360" w:lineRule="auto"/>
        <w:rPr>
          <w:rFonts w:ascii="宋体" w:hAnsi="宋体" w:cs="宋体"/>
          <w:color w:val="auto"/>
          <w:sz w:val="28"/>
          <w:szCs w:val="28"/>
          <w:highlight w:val="none"/>
        </w:rPr>
      </w:pPr>
      <w:bookmarkStart w:id="0" w:name="_Toc200359426"/>
      <w:bookmarkStart w:id="1" w:name="_Toc200359237"/>
      <w:r>
        <w:rPr>
          <w:rFonts w:hint="eastAsia" w:ascii="宋体" w:hAnsi="宋体" w:cs="宋体"/>
          <w:color w:val="auto"/>
          <w:kern w:val="0"/>
          <w:sz w:val="28"/>
          <w:szCs w:val="28"/>
          <w:highlight w:val="none"/>
        </w:rPr>
        <w:fldChar w:fldCharType="begin"/>
      </w:r>
      <w:r>
        <w:rPr>
          <w:rFonts w:hint="eastAsia" w:ascii="宋体" w:hAnsi="宋体" w:cs="宋体"/>
          <w:color w:val="auto"/>
          <w:kern w:val="0"/>
          <w:sz w:val="28"/>
          <w:szCs w:val="28"/>
          <w:highlight w:val="none"/>
        </w:rPr>
        <w:instrText xml:space="preserve"> TOC \o "1-3" \h \z \u </w:instrText>
      </w:r>
      <w:r>
        <w:rPr>
          <w:rFonts w:hint="eastAsia" w:ascii="宋体" w:hAnsi="宋体" w:cs="宋体"/>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"_Toc17541" </w:instrText>
      </w:r>
      <w:r>
        <w:rPr>
          <w:color w:val="auto"/>
          <w:highlight w:val="none"/>
        </w:rPr>
        <w:fldChar w:fldCharType="separate"/>
      </w:r>
      <w:r>
        <w:rPr>
          <w:rFonts w:hint="eastAsia" w:ascii="宋体" w:hAnsi="宋体" w:cs="宋体"/>
          <w:snapToGrid w:val="0"/>
          <w:color w:val="auto"/>
          <w:kern w:val="0"/>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FB05C66">
      <w:pPr>
        <w:pStyle w:val="29"/>
        <w:tabs>
          <w:tab w:val="right" w:leader="dot" w:pos="9468"/>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"_Toc29558" </w:instrText>
      </w:r>
      <w:r>
        <w:rPr>
          <w:color w:val="auto"/>
          <w:highlight w:val="none"/>
        </w:rPr>
        <w:fldChar w:fldCharType="separate"/>
      </w:r>
      <w:r>
        <w:rPr>
          <w:rFonts w:hint="eastAsia" w:ascii="宋体" w:hAnsi="宋体" w:cs="宋体"/>
          <w:snapToGrid w:val="0"/>
          <w:color w:val="auto"/>
          <w:kern w:val="0"/>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_Toc29558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87B941">
      <w:pPr>
        <w:pStyle w:val="29"/>
        <w:tabs>
          <w:tab w:val="right" w:leader="dot" w:pos="9468"/>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"_Toc5945" </w:instrText>
      </w:r>
      <w:r>
        <w:rPr>
          <w:color w:val="auto"/>
          <w:highlight w:val="none"/>
        </w:rPr>
        <w:fldChar w:fldCharType="separate"/>
      </w:r>
      <w:r>
        <w:rPr>
          <w:rFonts w:hint="eastAsia" w:ascii="宋体" w:hAnsi="宋体" w:cs="宋体"/>
          <w:snapToGrid w:val="0"/>
          <w:color w:val="auto"/>
          <w:kern w:val="0"/>
          <w:sz w:val="28"/>
          <w:szCs w:val="28"/>
          <w:highlight w:val="none"/>
        </w:rPr>
        <w:t>第三章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_Toc5945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DCE2970">
      <w:pPr>
        <w:pStyle w:val="29"/>
        <w:tabs>
          <w:tab w:val="right" w:leader="dot" w:pos="9468"/>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"_Toc22285" </w:instrText>
      </w:r>
      <w:r>
        <w:rPr>
          <w:color w:val="auto"/>
          <w:highlight w:val="none"/>
        </w:rPr>
        <w:fldChar w:fldCharType="separate"/>
      </w:r>
      <w:r>
        <w:rPr>
          <w:rFonts w:hint="eastAsia" w:ascii="宋体" w:hAnsi="宋体" w:cs="宋体"/>
          <w:snapToGrid w:val="0"/>
          <w:color w:val="auto"/>
          <w:kern w:val="0"/>
          <w:sz w:val="28"/>
          <w:szCs w:val="28"/>
          <w:highlight w:val="none"/>
        </w:rPr>
        <w:t>第四章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_Toc22285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E327EF9">
      <w:pPr>
        <w:pStyle w:val="29"/>
        <w:tabs>
          <w:tab w:val="right" w:leader="dot" w:pos="9468"/>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"_Toc28378" </w:instrText>
      </w:r>
      <w:r>
        <w:rPr>
          <w:color w:val="auto"/>
          <w:highlight w:val="none"/>
        </w:rPr>
        <w:fldChar w:fldCharType="separate"/>
      </w:r>
      <w:r>
        <w:rPr>
          <w:rFonts w:hint="eastAsia" w:ascii="宋体" w:hAnsi="宋体" w:cs="宋体"/>
          <w:color w:val="auto"/>
          <w:kern w:val="0"/>
          <w:sz w:val="28"/>
          <w:szCs w:val="28"/>
          <w:highlight w:val="none"/>
        </w:rPr>
        <w:t>第五章 商务、服务要求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_Toc28378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C3A09EC">
      <w:pPr>
        <w:pStyle w:val="29"/>
        <w:tabs>
          <w:tab w:val="right" w:leader="dot" w:pos="9468"/>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"_Toc6769" </w:instrText>
      </w:r>
      <w:r>
        <w:rPr>
          <w:color w:val="auto"/>
          <w:highlight w:val="none"/>
        </w:rPr>
        <w:fldChar w:fldCharType="separate"/>
      </w:r>
      <w:r>
        <w:rPr>
          <w:rFonts w:hint="eastAsia" w:ascii="宋体" w:hAnsi="宋体" w:cs="宋体"/>
          <w:color w:val="auto"/>
          <w:kern w:val="0"/>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_Toc6769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9FC1CE2">
      <w:pPr>
        <w:autoSpaceDE w:val="0"/>
        <w:autoSpaceDN w:val="0"/>
        <w:adjustRightInd w:val="0"/>
        <w:snapToGrid w:val="0"/>
        <w:spacing w:line="360" w:lineRule="auto"/>
        <w:jc w:val="center"/>
        <w:outlineLvl w:val="0"/>
        <w:rPr>
          <w:rFonts w:ascii="宋体" w:hAnsi="宋体"/>
          <w:b/>
          <w:color w:val="auto"/>
          <w:sz w:val="32"/>
          <w:szCs w:val="32"/>
          <w:highlight w:val="none"/>
        </w:rPr>
      </w:pPr>
      <w:r>
        <w:rPr>
          <w:rFonts w:hint="eastAsia" w:ascii="宋体" w:hAnsi="宋体" w:cs="宋体"/>
          <w:color w:val="auto"/>
          <w:kern w:val="0"/>
          <w:sz w:val="28"/>
          <w:szCs w:val="28"/>
          <w:highlight w:val="none"/>
        </w:rPr>
        <w:fldChar w:fldCharType="end"/>
      </w:r>
      <w:bookmarkStart w:id="2" w:name="_Toc17541"/>
      <w:r>
        <w:rPr>
          <w:b/>
          <w:snapToGrid w:val="0"/>
          <w:color w:val="auto"/>
          <w:kern w:val="0"/>
          <w:highlight w:val="none"/>
        </w:rPr>
        <w:br w:type="page"/>
      </w:r>
      <w:r>
        <w:rPr>
          <w:rFonts w:hint="eastAsia" w:ascii="宋体" w:hAnsi="宋体"/>
          <w:b/>
          <w:bCs/>
          <w:snapToGrid w:val="0"/>
          <w:color w:val="auto"/>
          <w:kern w:val="0"/>
          <w:sz w:val="44"/>
          <w:szCs w:val="44"/>
          <w:highlight w:val="none"/>
        </w:rPr>
        <w:t xml:space="preserve">第一章  </w:t>
      </w:r>
      <w:bookmarkEnd w:id="0"/>
      <w:bookmarkEnd w:id="1"/>
      <w:r>
        <w:rPr>
          <w:rFonts w:hint="eastAsia" w:ascii="宋体" w:hAnsi="宋体"/>
          <w:b/>
          <w:bCs/>
          <w:snapToGrid w:val="0"/>
          <w:color w:val="auto"/>
          <w:kern w:val="0"/>
          <w:sz w:val="44"/>
          <w:szCs w:val="44"/>
          <w:highlight w:val="none"/>
        </w:rPr>
        <w:t>招标公告</w:t>
      </w:r>
      <w:bookmarkEnd w:id="2"/>
    </w:p>
    <w:p w14:paraId="1209A1DE">
      <w:pPr>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中国人寿保险股份有限公司重庆市分公司个险渠道客户活动采购 </w:t>
      </w:r>
    </w:p>
    <w:p w14:paraId="50A017F6">
      <w:pPr>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招标公告</w:t>
      </w:r>
    </w:p>
    <w:p w14:paraId="5E760268">
      <w:pPr>
        <w:pStyle w:val="3"/>
        <w:spacing w:line="360" w:lineRule="auto"/>
        <w:rPr>
          <w:rFonts w:ascii="宋体" w:hAnsi="宋体"/>
          <w:snapToGrid w:val="0"/>
          <w:color w:val="auto"/>
          <w:sz w:val="21"/>
          <w:szCs w:val="21"/>
          <w:highlight w:val="none"/>
        </w:rPr>
      </w:pPr>
      <w:bookmarkStart w:id="3" w:name="_Toc46857477"/>
      <w:bookmarkStart w:id="4" w:name="_Toc4775"/>
      <w:r>
        <w:rPr>
          <w:rFonts w:hint="eastAsia" w:ascii="宋体" w:hAnsi="宋体"/>
          <w:snapToGrid w:val="0"/>
          <w:color w:val="auto"/>
          <w:sz w:val="21"/>
          <w:szCs w:val="21"/>
          <w:highlight w:val="none"/>
        </w:rPr>
        <w:t>1. 招标条件</w:t>
      </w:r>
      <w:bookmarkEnd w:id="3"/>
      <w:bookmarkEnd w:id="4"/>
    </w:p>
    <w:p w14:paraId="265E1222">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本项目</w:t>
      </w:r>
      <w:r>
        <w:rPr>
          <w:rFonts w:hint="eastAsia" w:ascii="宋体" w:hAnsi="宋体"/>
          <w:snapToGrid w:val="0"/>
          <w:color w:val="auto"/>
          <w:szCs w:val="21"/>
          <w:highlight w:val="none"/>
          <w:u w:val="single"/>
        </w:rPr>
        <w:t xml:space="preserve">中国人寿保险股份有限公司重庆市分公司个险渠道客户活动采购 </w:t>
      </w:r>
      <w:r>
        <w:rPr>
          <w:rFonts w:hint="eastAsia" w:ascii="宋体" w:hAnsi="宋体"/>
          <w:color w:val="auto"/>
          <w:kern w:val="0"/>
          <w:szCs w:val="21"/>
          <w:highlight w:val="none"/>
        </w:rPr>
        <w:t>已由</w:t>
      </w:r>
      <w:r>
        <w:rPr>
          <w:rFonts w:hint="eastAsia" w:ascii="宋体" w:hAnsi="宋体"/>
          <w:color w:val="auto"/>
          <w:kern w:val="0"/>
          <w:szCs w:val="21"/>
          <w:highlight w:val="none"/>
          <w:u w:val="single"/>
        </w:rPr>
        <w:t>中国人寿保险股份有限公司重庆市分公司以国寿人险渝项函〔2025〕8号文</w:t>
      </w:r>
      <w:r>
        <w:rPr>
          <w:rFonts w:hint="eastAsia" w:ascii="宋体" w:hAnsi="宋体"/>
          <w:color w:val="auto"/>
          <w:kern w:val="0"/>
          <w:szCs w:val="21"/>
          <w:highlight w:val="none"/>
        </w:rPr>
        <w:t>批准，招标人为</w:t>
      </w:r>
      <w:r>
        <w:rPr>
          <w:rFonts w:hint="eastAsia" w:ascii="宋体" w:hAnsi="宋体"/>
          <w:color w:val="auto"/>
          <w:kern w:val="0"/>
          <w:szCs w:val="21"/>
          <w:highlight w:val="none"/>
          <w:u w:val="single"/>
        </w:rPr>
        <w:t>中国人寿保险股份有限公司重庆市分公司</w:t>
      </w:r>
      <w:r>
        <w:rPr>
          <w:rFonts w:ascii="宋体" w:hAnsi="宋体"/>
          <w:color w:val="auto"/>
          <w:kern w:val="0"/>
          <w:szCs w:val="21"/>
          <w:highlight w:val="none"/>
        </w:rPr>
        <w:t>，</w:t>
      </w:r>
      <w:r>
        <w:rPr>
          <w:rFonts w:hint="eastAsia" w:ascii="宋体" w:hAnsi="宋体"/>
          <w:color w:val="auto"/>
          <w:kern w:val="0"/>
          <w:szCs w:val="21"/>
          <w:highlight w:val="none"/>
        </w:rPr>
        <w:t>资金来源为自有资金，出资比例为100%。项目已具备招标条件，现对该项目进行公开招标。</w:t>
      </w:r>
    </w:p>
    <w:p w14:paraId="0A2114B3">
      <w:pPr>
        <w:pStyle w:val="3"/>
        <w:spacing w:line="360" w:lineRule="auto"/>
        <w:rPr>
          <w:rFonts w:ascii="宋体" w:hAnsi="宋体"/>
          <w:snapToGrid w:val="0"/>
          <w:color w:val="auto"/>
          <w:sz w:val="21"/>
          <w:szCs w:val="21"/>
          <w:highlight w:val="none"/>
        </w:rPr>
      </w:pPr>
      <w:bookmarkStart w:id="5" w:name="_Toc31776"/>
      <w:bookmarkStart w:id="6" w:name="_Toc41402244"/>
      <w:bookmarkStart w:id="7" w:name="_Toc46857478"/>
      <w:r>
        <w:rPr>
          <w:rFonts w:hint="eastAsia" w:ascii="宋体" w:hAnsi="宋体"/>
          <w:snapToGrid w:val="0"/>
          <w:color w:val="auto"/>
          <w:sz w:val="21"/>
          <w:szCs w:val="21"/>
          <w:highlight w:val="none"/>
        </w:rPr>
        <w:t>2. 项目概况与招标范围</w:t>
      </w:r>
      <w:bookmarkEnd w:id="5"/>
      <w:bookmarkEnd w:id="6"/>
      <w:bookmarkEnd w:id="7"/>
    </w:p>
    <w:tbl>
      <w:tblPr>
        <w:tblStyle w:val="44"/>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85"/>
        <w:gridCol w:w="622"/>
        <w:gridCol w:w="983"/>
        <w:gridCol w:w="952"/>
        <w:gridCol w:w="1043"/>
        <w:gridCol w:w="3086"/>
        <w:gridCol w:w="1009"/>
      </w:tblGrid>
      <w:tr w14:paraId="7C9A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68" w:type="dxa"/>
            <w:vAlign w:val="center"/>
          </w:tcPr>
          <w:p w14:paraId="1E0D6219">
            <w:pPr>
              <w:pStyle w:val="17"/>
              <w:ind w:firstLine="0" w:firstLineChars="0"/>
              <w:jc w:val="center"/>
              <w:outlineLvl w:val="0"/>
              <w:rPr>
                <w:b/>
                <w:color w:val="auto"/>
                <w:highlight w:val="none"/>
              </w:rPr>
            </w:pPr>
            <w:bookmarkStart w:id="8" w:name="_Toc6027"/>
            <w:bookmarkStart w:id="9" w:name="_Toc6513"/>
            <w:r>
              <w:rPr>
                <w:rFonts w:hint="eastAsia"/>
                <w:b/>
                <w:color w:val="auto"/>
                <w:highlight w:val="none"/>
              </w:rPr>
              <w:t>项目名称</w:t>
            </w:r>
            <w:bookmarkEnd w:id="8"/>
            <w:bookmarkEnd w:id="9"/>
          </w:p>
        </w:tc>
        <w:tc>
          <w:tcPr>
            <w:tcW w:w="8580" w:type="dxa"/>
            <w:gridSpan w:val="7"/>
            <w:vAlign w:val="center"/>
          </w:tcPr>
          <w:p w14:paraId="2D23DC72">
            <w:pPr>
              <w:pStyle w:val="17"/>
              <w:ind w:firstLine="361"/>
              <w:jc w:val="center"/>
              <w:outlineLvl w:val="0"/>
              <w:rPr>
                <w:b/>
                <w:bCs/>
                <w:color w:val="auto"/>
                <w:kern w:val="0"/>
                <w:highlight w:val="none"/>
              </w:rPr>
            </w:pPr>
            <w:r>
              <w:rPr>
                <w:rFonts w:hint="eastAsia"/>
                <w:b/>
                <w:color w:val="auto"/>
                <w:highlight w:val="none"/>
              </w:rPr>
              <w:t xml:space="preserve">中国人寿保险股份有限公司重庆市分公司个险渠道客户活动采购 </w:t>
            </w:r>
          </w:p>
        </w:tc>
      </w:tr>
      <w:tr w14:paraId="5B6F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68" w:type="dxa"/>
            <w:vAlign w:val="center"/>
          </w:tcPr>
          <w:p w14:paraId="2199149E">
            <w:pPr>
              <w:pStyle w:val="17"/>
              <w:ind w:firstLine="0" w:firstLineChars="0"/>
              <w:jc w:val="center"/>
              <w:outlineLvl w:val="0"/>
              <w:rPr>
                <w:bCs/>
                <w:color w:val="auto"/>
                <w:highlight w:val="none"/>
              </w:rPr>
            </w:pPr>
            <w:bookmarkStart w:id="10" w:name="_Toc29717"/>
            <w:bookmarkStart w:id="11" w:name="_Toc16870"/>
            <w:r>
              <w:rPr>
                <w:rFonts w:hint="eastAsia"/>
                <w:bCs/>
                <w:color w:val="auto"/>
                <w:highlight w:val="none"/>
              </w:rPr>
              <w:t>标包号及名称</w:t>
            </w:r>
            <w:bookmarkEnd w:id="10"/>
            <w:bookmarkEnd w:id="11"/>
          </w:p>
        </w:tc>
        <w:tc>
          <w:tcPr>
            <w:tcW w:w="885" w:type="dxa"/>
            <w:vAlign w:val="center"/>
          </w:tcPr>
          <w:p w14:paraId="5DE8348D">
            <w:pPr>
              <w:pStyle w:val="17"/>
              <w:ind w:firstLine="0" w:firstLineChars="0"/>
              <w:jc w:val="center"/>
              <w:outlineLvl w:val="0"/>
              <w:rPr>
                <w:bCs/>
                <w:color w:val="auto"/>
                <w:highlight w:val="none"/>
              </w:rPr>
            </w:pPr>
            <w:bookmarkStart w:id="12" w:name="_Toc30789"/>
            <w:bookmarkStart w:id="13" w:name="_Toc14889"/>
            <w:r>
              <w:rPr>
                <w:rFonts w:hint="eastAsia"/>
                <w:bCs/>
                <w:color w:val="auto"/>
                <w:highlight w:val="none"/>
              </w:rPr>
              <w:t>单场最高限价（万元）</w:t>
            </w:r>
            <w:bookmarkEnd w:id="12"/>
            <w:bookmarkEnd w:id="13"/>
          </w:p>
        </w:tc>
        <w:tc>
          <w:tcPr>
            <w:tcW w:w="622" w:type="dxa"/>
            <w:vAlign w:val="center"/>
          </w:tcPr>
          <w:p w14:paraId="51EFD555">
            <w:pPr>
              <w:pStyle w:val="17"/>
              <w:ind w:firstLine="0" w:firstLineChars="0"/>
              <w:jc w:val="center"/>
              <w:outlineLvl w:val="0"/>
              <w:rPr>
                <w:bCs/>
                <w:color w:val="auto"/>
                <w:highlight w:val="none"/>
              </w:rPr>
            </w:pPr>
            <w:bookmarkStart w:id="14" w:name="_Toc6328"/>
            <w:bookmarkStart w:id="15" w:name="_Toc20495"/>
            <w:r>
              <w:rPr>
                <w:rFonts w:hint="eastAsia"/>
                <w:bCs/>
                <w:color w:val="auto"/>
                <w:highlight w:val="none"/>
              </w:rPr>
              <w:t>场次</w:t>
            </w:r>
            <w:bookmarkEnd w:id="14"/>
            <w:bookmarkEnd w:id="15"/>
          </w:p>
        </w:tc>
        <w:tc>
          <w:tcPr>
            <w:tcW w:w="983" w:type="dxa"/>
            <w:vAlign w:val="center"/>
          </w:tcPr>
          <w:p w14:paraId="0BD0F0C8">
            <w:pPr>
              <w:pStyle w:val="17"/>
              <w:ind w:firstLine="0" w:firstLineChars="0"/>
              <w:jc w:val="center"/>
              <w:outlineLvl w:val="0"/>
              <w:rPr>
                <w:bCs/>
                <w:color w:val="auto"/>
                <w:highlight w:val="none"/>
              </w:rPr>
            </w:pPr>
            <w:bookmarkStart w:id="16" w:name="_Toc22168"/>
            <w:bookmarkStart w:id="17" w:name="_Toc10320"/>
            <w:r>
              <w:rPr>
                <w:rFonts w:hint="eastAsia"/>
                <w:bCs/>
                <w:color w:val="auto"/>
                <w:highlight w:val="none"/>
              </w:rPr>
              <w:t>总价最高限价</w:t>
            </w:r>
          </w:p>
          <w:p w14:paraId="4F4C6E73">
            <w:pPr>
              <w:pStyle w:val="17"/>
              <w:ind w:firstLine="0" w:firstLineChars="0"/>
              <w:jc w:val="center"/>
              <w:outlineLvl w:val="0"/>
              <w:rPr>
                <w:bCs/>
                <w:color w:val="auto"/>
                <w:highlight w:val="none"/>
              </w:rPr>
            </w:pPr>
            <w:r>
              <w:rPr>
                <w:rFonts w:hint="eastAsia"/>
                <w:bCs/>
                <w:color w:val="auto"/>
                <w:highlight w:val="none"/>
              </w:rPr>
              <w:t>（万元）</w:t>
            </w:r>
          </w:p>
        </w:tc>
        <w:tc>
          <w:tcPr>
            <w:tcW w:w="952" w:type="dxa"/>
            <w:vAlign w:val="center"/>
          </w:tcPr>
          <w:p w14:paraId="4B3BF3C6">
            <w:pPr>
              <w:pStyle w:val="17"/>
              <w:ind w:firstLine="0" w:firstLineChars="0"/>
              <w:jc w:val="center"/>
              <w:outlineLvl w:val="0"/>
              <w:rPr>
                <w:bCs/>
                <w:color w:val="auto"/>
                <w:highlight w:val="none"/>
              </w:rPr>
            </w:pPr>
            <w:r>
              <w:rPr>
                <w:rFonts w:hint="eastAsia"/>
                <w:bCs/>
                <w:color w:val="auto"/>
                <w:highlight w:val="none"/>
              </w:rPr>
              <w:t>入围供应商数量（名）</w:t>
            </w:r>
            <w:bookmarkEnd w:id="16"/>
            <w:bookmarkEnd w:id="17"/>
          </w:p>
        </w:tc>
        <w:tc>
          <w:tcPr>
            <w:tcW w:w="1043" w:type="dxa"/>
            <w:vAlign w:val="center"/>
          </w:tcPr>
          <w:p w14:paraId="7BDB0964">
            <w:pPr>
              <w:pStyle w:val="17"/>
              <w:ind w:firstLine="0" w:firstLineChars="0"/>
              <w:jc w:val="center"/>
              <w:outlineLvl w:val="0"/>
              <w:rPr>
                <w:bCs/>
                <w:color w:val="auto"/>
                <w:highlight w:val="none"/>
              </w:rPr>
            </w:pPr>
            <w:bookmarkStart w:id="18" w:name="_Toc23870"/>
            <w:bookmarkStart w:id="19" w:name="_Toc6819"/>
            <w:r>
              <w:rPr>
                <w:rFonts w:hint="eastAsia"/>
                <w:bCs/>
                <w:color w:val="auto"/>
                <w:kern w:val="0"/>
                <w:highlight w:val="none"/>
              </w:rPr>
              <w:t>服务期</w:t>
            </w:r>
            <w:bookmarkEnd w:id="18"/>
            <w:bookmarkEnd w:id="19"/>
          </w:p>
        </w:tc>
        <w:tc>
          <w:tcPr>
            <w:tcW w:w="3086" w:type="dxa"/>
            <w:vAlign w:val="center"/>
          </w:tcPr>
          <w:p w14:paraId="22EF4C81">
            <w:pPr>
              <w:pStyle w:val="17"/>
              <w:ind w:firstLine="360"/>
              <w:jc w:val="center"/>
              <w:outlineLvl w:val="0"/>
              <w:rPr>
                <w:bCs/>
                <w:color w:val="auto"/>
                <w:kern w:val="0"/>
                <w:highlight w:val="none"/>
              </w:rPr>
            </w:pPr>
            <w:bookmarkStart w:id="20" w:name="_Toc17558"/>
            <w:bookmarkStart w:id="21" w:name="_Toc25005"/>
            <w:r>
              <w:rPr>
                <w:rFonts w:hint="eastAsia"/>
                <w:bCs/>
                <w:color w:val="auto"/>
                <w:kern w:val="0"/>
                <w:highlight w:val="none"/>
              </w:rPr>
              <w:t>招标范围</w:t>
            </w:r>
            <w:bookmarkEnd w:id="20"/>
            <w:bookmarkEnd w:id="21"/>
          </w:p>
        </w:tc>
        <w:tc>
          <w:tcPr>
            <w:tcW w:w="1009" w:type="dxa"/>
            <w:vAlign w:val="center"/>
          </w:tcPr>
          <w:p w14:paraId="4F511A8A">
            <w:pPr>
              <w:pStyle w:val="17"/>
              <w:ind w:firstLine="0" w:firstLineChars="0"/>
              <w:jc w:val="center"/>
              <w:outlineLvl w:val="0"/>
              <w:rPr>
                <w:bCs/>
                <w:color w:val="auto"/>
                <w:kern w:val="0"/>
                <w:highlight w:val="none"/>
              </w:rPr>
            </w:pPr>
            <w:bookmarkStart w:id="22" w:name="_Toc16298"/>
            <w:bookmarkStart w:id="23" w:name="_Toc11625"/>
            <w:r>
              <w:rPr>
                <w:rFonts w:hint="eastAsia"/>
                <w:bCs/>
                <w:color w:val="auto"/>
                <w:kern w:val="0"/>
                <w:highlight w:val="none"/>
              </w:rPr>
              <w:t>服务地点</w:t>
            </w:r>
            <w:bookmarkEnd w:id="22"/>
            <w:bookmarkEnd w:id="23"/>
          </w:p>
        </w:tc>
      </w:tr>
      <w:tr w14:paraId="2EB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68" w:type="dxa"/>
            <w:vAlign w:val="center"/>
          </w:tcPr>
          <w:p w14:paraId="5C96F602">
            <w:pPr>
              <w:pStyle w:val="8"/>
              <w:spacing w:line="240" w:lineRule="auto"/>
              <w:ind w:firstLine="0"/>
              <w:jc w:val="left"/>
              <w:outlineLvl w:val="0"/>
              <w:rPr>
                <w:rFonts w:ascii="宋体" w:hAnsi="宋体" w:cs="宋体"/>
                <w:bCs/>
                <w:color w:val="auto"/>
                <w:sz w:val="18"/>
                <w:szCs w:val="18"/>
                <w:highlight w:val="none"/>
              </w:rPr>
            </w:pPr>
            <w:bookmarkStart w:id="24" w:name="_Toc1671"/>
            <w:bookmarkStart w:id="25" w:name="_Toc17050"/>
            <w:r>
              <w:rPr>
                <w:rFonts w:hint="eastAsia" w:ascii="宋体" w:hAnsi="宋体" w:eastAsia="宋体" w:cs="宋体"/>
                <w:bCs/>
                <w:color w:val="auto"/>
                <w:kern w:val="2"/>
                <w:sz w:val="18"/>
                <w:szCs w:val="18"/>
                <w:highlight w:val="none"/>
              </w:rPr>
              <w:t>标包一：酒店服务供应商</w:t>
            </w:r>
            <w:bookmarkEnd w:id="24"/>
            <w:bookmarkEnd w:id="25"/>
          </w:p>
        </w:tc>
        <w:tc>
          <w:tcPr>
            <w:tcW w:w="885" w:type="dxa"/>
            <w:vAlign w:val="center"/>
          </w:tcPr>
          <w:p w14:paraId="72309E53">
            <w:pPr>
              <w:pStyle w:val="17"/>
              <w:ind w:firstLine="0" w:firstLineChars="0"/>
              <w:jc w:val="center"/>
              <w:outlineLvl w:val="0"/>
              <w:rPr>
                <w:bCs/>
                <w:color w:val="auto"/>
                <w:highlight w:val="none"/>
              </w:rPr>
            </w:pPr>
            <w:r>
              <w:rPr>
                <w:rFonts w:hint="eastAsia"/>
                <w:bCs/>
                <w:color w:val="auto"/>
                <w:highlight w:val="none"/>
              </w:rPr>
              <w:t>8.45</w:t>
            </w:r>
          </w:p>
        </w:tc>
        <w:tc>
          <w:tcPr>
            <w:tcW w:w="622" w:type="dxa"/>
            <w:vAlign w:val="center"/>
          </w:tcPr>
          <w:p w14:paraId="1921209A">
            <w:pPr>
              <w:pStyle w:val="8"/>
              <w:spacing w:line="240" w:lineRule="auto"/>
              <w:ind w:firstLine="0"/>
              <w:jc w:val="center"/>
              <w:outlineLvl w:val="0"/>
              <w:rPr>
                <w:rFonts w:ascii="宋体" w:hAnsi="宋体" w:cs="宋体"/>
                <w:bCs/>
                <w:color w:val="auto"/>
                <w:sz w:val="18"/>
                <w:szCs w:val="18"/>
                <w:highlight w:val="none"/>
              </w:rPr>
            </w:pPr>
            <w:r>
              <w:rPr>
                <w:rFonts w:hint="eastAsia" w:ascii="宋体" w:hAnsi="宋体" w:cs="宋体"/>
                <w:bCs/>
                <w:color w:val="auto"/>
                <w:sz w:val="18"/>
                <w:szCs w:val="18"/>
                <w:highlight w:val="none"/>
              </w:rPr>
              <w:t>40</w:t>
            </w:r>
          </w:p>
        </w:tc>
        <w:tc>
          <w:tcPr>
            <w:tcW w:w="983" w:type="dxa"/>
            <w:vAlign w:val="center"/>
          </w:tcPr>
          <w:p w14:paraId="03F3E380">
            <w:pPr>
              <w:pStyle w:val="17"/>
              <w:ind w:firstLine="0" w:firstLineChars="0"/>
              <w:jc w:val="center"/>
              <w:outlineLvl w:val="0"/>
              <w:rPr>
                <w:bCs/>
                <w:color w:val="auto"/>
                <w:highlight w:val="none"/>
              </w:rPr>
            </w:pPr>
            <w:bookmarkStart w:id="26" w:name="_Toc28648"/>
            <w:bookmarkStart w:id="27" w:name="_Toc19594"/>
            <w:r>
              <w:rPr>
                <w:rFonts w:hint="eastAsia"/>
                <w:bCs/>
                <w:color w:val="auto"/>
                <w:highlight w:val="none"/>
              </w:rPr>
              <w:t>338</w:t>
            </w:r>
          </w:p>
          <w:bookmarkEnd w:id="26"/>
          <w:bookmarkEnd w:id="27"/>
        </w:tc>
        <w:tc>
          <w:tcPr>
            <w:tcW w:w="952" w:type="dxa"/>
            <w:vAlign w:val="center"/>
          </w:tcPr>
          <w:p w14:paraId="421B8C67">
            <w:pPr>
              <w:pStyle w:val="8"/>
              <w:spacing w:line="240" w:lineRule="auto"/>
              <w:ind w:firstLine="0"/>
              <w:jc w:val="center"/>
              <w:outlineLvl w:val="0"/>
              <w:rPr>
                <w:rFonts w:ascii="宋体" w:hAnsi="宋体" w:cs="宋体"/>
                <w:bCs/>
                <w:color w:val="auto"/>
                <w:sz w:val="18"/>
                <w:szCs w:val="18"/>
                <w:highlight w:val="none"/>
              </w:rPr>
            </w:pPr>
            <w:r>
              <w:rPr>
                <w:rFonts w:hint="eastAsia" w:ascii="宋体" w:hAnsi="宋体" w:eastAsia="宋体" w:cs="宋体"/>
                <w:bCs/>
                <w:color w:val="auto"/>
                <w:sz w:val="18"/>
                <w:szCs w:val="18"/>
                <w:highlight w:val="none"/>
              </w:rPr>
              <w:t>3名</w:t>
            </w:r>
          </w:p>
        </w:tc>
        <w:tc>
          <w:tcPr>
            <w:tcW w:w="1043" w:type="dxa"/>
            <w:vMerge w:val="restart"/>
            <w:vAlign w:val="center"/>
          </w:tcPr>
          <w:p w14:paraId="279531DE">
            <w:pPr>
              <w:pStyle w:val="8"/>
              <w:spacing w:line="240" w:lineRule="auto"/>
              <w:ind w:firstLine="0"/>
              <w:jc w:val="left"/>
              <w:outlineLvl w:val="0"/>
              <w:rPr>
                <w:rFonts w:ascii="宋体" w:hAnsi="宋体" w:eastAsia="宋体" w:cs="宋体"/>
                <w:bCs/>
                <w:color w:val="auto"/>
                <w:sz w:val="18"/>
                <w:szCs w:val="18"/>
                <w:highlight w:val="none"/>
              </w:rPr>
            </w:pPr>
            <w:bookmarkStart w:id="28" w:name="_Toc26150"/>
            <w:bookmarkStart w:id="29" w:name="_Toc1859"/>
            <w:r>
              <w:rPr>
                <w:rFonts w:hint="eastAsia" w:ascii="宋体" w:hAnsi="宋体" w:eastAsia="宋体" w:cs="宋体"/>
                <w:bCs/>
                <w:color w:val="auto"/>
                <w:sz w:val="18"/>
                <w:szCs w:val="18"/>
                <w:highlight w:val="none"/>
              </w:rPr>
              <w:t>合同签订后2年，</w:t>
            </w:r>
            <w:r>
              <w:rPr>
                <w:rFonts w:hint="eastAsia" w:ascii="宋体" w:hAnsi="宋体" w:eastAsia="宋体" w:cs="宋体"/>
                <w:bCs/>
                <w:snapToGrid w:val="0"/>
                <w:color w:val="auto"/>
                <w:sz w:val="18"/>
                <w:szCs w:val="18"/>
                <w:highlight w:val="none"/>
              </w:rPr>
              <w:t>合同期满或预算金额使用完毕</w:t>
            </w:r>
            <w:bookmarkEnd w:id="28"/>
            <w:bookmarkEnd w:id="29"/>
            <w:r>
              <w:rPr>
                <w:rFonts w:hint="eastAsia" w:ascii="宋体" w:hAnsi="宋体" w:eastAsia="宋体" w:cs="宋体"/>
                <w:bCs/>
                <w:snapToGrid w:val="0"/>
                <w:color w:val="auto"/>
                <w:sz w:val="18"/>
                <w:szCs w:val="18"/>
                <w:highlight w:val="none"/>
              </w:rPr>
              <w:t>后合同终止。</w:t>
            </w:r>
          </w:p>
          <w:p w14:paraId="2ED41394">
            <w:pPr>
              <w:pStyle w:val="8"/>
              <w:spacing w:line="240" w:lineRule="auto"/>
              <w:ind w:firstLine="0"/>
              <w:jc w:val="center"/>
              <w:rPr>
                <w:rFonts w:ascii="宋体" w:hAnsi="宋体" w:cs="宋体"/>
                <w:bCs/>
                <w:color w:val="auto"/>
                <w:sz w:val="18"/>
                <w:szCs w:val="18"/>
                <w:highlight w:val="none"/>
              </w:rPr>
            </w:pPr>
          </w:p>
        </w:tc>
        <w:tc>
          <w:tcPr>
            <w:tcW w:w="3086" w:type="dxa"/>
            <w:vAlign w:val="center"/>
          </w:tcPr>
          <w:p w14:paraId="0DE9DE36">
            <w:pPr>
              <w:pStyle w:val="8"/>
              <w:spacing w:line="240" w:lineRule="auto"/>
              <w:ind w:firstLine="0"/>
              <w:jc w:val="left"/>
              <w:outlineLvl w:val="0"/>
              <w:rPr>
                <w:rFonts w:ascii="宋体" w:hAnsi="宋体" w:cs="宋体"/>
                <w:bCs/>
                <w:color w:val="auto"/>
                <w:sz w:val="18"/>
                <w:szCs w:val="18"/>
                <w:highlight w:val="none"/>
              </w:rPr>
            </w:pPr>
            <w:bookmarkStart w:id="30" w:name="_Toc2911"/>
            <w:bookmarkStart w:id="31" w:name="_Toc11679"/>
            <w:r>
              <w:rPr>
                <w:rFonts w:hint="eastAsia" w:ascii="宋体" w:hAnsi="宋体" w:eastAsia="宋体" w:cs="宋体"/>
                <w:bCs/>
                <w:snapToGrid w:val="0"/>
                <w:color w:val="auto"/>
                <w:sz w:val="18"/>
                <w:szCs w:val="18"/>
                <w:highlight w:val="none"/>
              </w:rPr>
              <w:t>酒店供应商根据要求提供住宿、餐饮、会场等相关服务。</w:t>
            </w:r>
            <w:bookmarkEnd w:id="30"/>
            <w:bookmarkEnd w:id="31"/>
          </w:p>
        </w:tc>
        <w:tc>
          <w:tcPr>
            <w:tcW w:w="1009" w:type="dxa"/>
            <w:vAlign w:val="center"/>
          </w:tcPr>
          <w:p w14:paraId="2CF8D1B8">
            <w:pPr>
              <w:pStyle w:val="8"/>
              <w:spacing w:line="240" w:lineRule="auto"/>
              <w:ind w:firstLine="0"/>
              <w:jc w:val="center"/>
              <w:outlineLvl w:val="0"/>
              <w:rPr>
                <w:rFonts w:ascii="宋体" w:hAnsi="宋体" w:cs="宋体"/>
                <w:bCs/>
                <w:color w:val="auto"/>
                <w:sz w:val="18"/>
                <w:szCs w:val="18"/>
                <w:highlight w:val="none"/>
              </w:rPr>
            </w:pPr>
            <w:bookmarkStart w:id="32" w:name="_Toc29126"/>
            <w:bookmarkStart w:id="33" w:name="_Toc10596"/>
            <w:r>
              <w:rPr>
                <w:rFonts w:hint="eastAsia" w:ascii="宋体" w:hAnsi="宋体" w:eastAsia="宋体" w:cs="宋体"/>
                <w:bCs/>
                <w:color w:val="auto"/>
                <w:sz w:val="18"/>
                <w:szCs w:val="18"/>
                <w:highlight w:val="none"/>
              </w:rPr>
              <w:t>招标人指定地点</w:t>
            </w:r>
            <w:bookmarkEnd w:id="32"/>
            <w:bookmarkEnd w:id="33"/>
          </w:p>
        </w:tc>
      </w:tr>
      <w:tr w14:paraId="0233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368" w:type="dxa"/>
            <w:vAlign w:val="center"/>
          </w:tcPr>
          <w:p w14:paraId="038F30D7">
            <w:pPr>
              <w:pStyle w:val="17"/>
              <w:ind w:firstLine="0" w:firstLineChars="0"/>
              <w:jc w:val="left"/>
              <w:outlineLvl w:val="0"/>
              <w:rPr>
                <w:bCs/>
                <w:color w:val="auto"/>
                <w:highlight w:val="none"/>
              </w:rPr>
            </w:pPr>
            <w:bookmarkStart w:id="34" w:name="_Toc15037"/>
            <w:bookmarkStart w:id="35" w:name="_Toc4236"/>
            <w:r>
              <w:rPr>
                <w:rFonts w:hint="eastAsia"/>
                <w:bCs/>
                <w:color w:val="auto"/>
                <w:highlight w:val="none"/>
              </w:rPr>
              <w:t>标包二：会展服务供应商</w:t>
            </w:r>
            <w:bookmarkEnd w:id="34"/>
            <w:bookmarkEnd w:id="35"/>
          </w:p>
        </w:tc>
        <w:tc>
          <w:tcPr>
            <w:tcW w:w="885" w:type="dxa"/>
            <w:vAlign w:val="center"/>
          </w:tcPr>
          <w:p w14:paraId="24B39C5A">
            <w:pPr>
              <w:pStyle w:val="17"/>
              <w:ind w:firstLine="0" w:firstLineChars="0"/>
              <w:jc w:val="center"/>
              <w:outlineLvl w:val="0"/>
              <w:rPr>
                <w:bCs/>
                <w:color w:val="auto"/>
                <w:highlight w:val="none"/>
              </w:rPr>
            </w:pPr>
            <w:r>
              <w:rPr>
                <w:rFonts w:hint="eastAsia"/>
                <w:bCs/>
                <w:color w:val="auto"/>
                <w:highlight w:val="none"/>
              </w:rPr>
              <w:t>2</w:t>
            </w:r>
          </w:p>
        </w:tc>
        <w:tc>
          <w:tcPr>
            <w:tcW w:w="622" w:type="dxa"/>
            <w:vAlign w:val="center"/>
          </w:tcPr>
          <w:p w14:paraId="5EDCE9C7">
            <w:pPr>
              <w:pStyle w:val="17"/>
              <w:ind w:firstLine="0" w:firstLineChars="0"/>
              <w:jc w:val="center"/>
              <w:outlineLvl w:val="0"/>
              <w:rPr>
                <w:bCs/>
                <w:color w:val="auto"/>
                <w:highlight w:val="none"/>
              </w:rPr>
            </w:pPr>
            <w:r>
              <w:rPr>
                <w:rFonts w:hint="eastAsia"/>
                <w:bCs/>
                <w:color w:val="auto"/>
                <w:highlight w:val="none"/>
              </w:rPr>
              <w:t>40</w:t>
            </w:r>
          </w:p>
        </w:tc>
        <w:tc>
          <w:tcPr>
            <w:tcW w:w="983" w:type="dxa"/>
            <w:vAlign w:val="center"/>
          </w:tcPr>
          <w:p w14:paraId="32ED5673">
            <w:pPr>
              <w:pStyle w:val="17"/>
              <w:ind w:firstLine="0" w:firstLineChars="0"/>
              <w:jc w:val="center"/>
              <w:outlineLvl w:val="0"/>
              <w:rPr>
                <w:bCs/>
                <w:color w:val="auto"/>
                <w:highlight w:val="none"/>
              </w:rPr>
            </w:pPr>
            <w:bookmarkStart w:id="36" w:name="_Toc24559"/>
            <w:bookmarkStart w:id="37" w:name="_Toc32029"/>
            <w:r>
              <w:rPr>
                <w:rFonts w:hint="eastAsia"/>
                <w:bCs/>
                <w:color w:val="auto"/>
                <w:highlight w:val="none"/>
              </w:rPr>
              <w:t>80</w:t>
            </w:r>
          </w:p>
          <w:bookmarkEnd w:id="36"/>
          <w:bookmarkEnd w:id="37"/>
        </w:tc>
        <w:tc>
          <w:tcPr>
            <w:tcW w:w="952" w:type="dxa"/>
            <w:vAlign w:val="center"/>
          </w:tcPr>
          <w:p w14:paraId="2872620C">
            <w:pPr>
              <w:pStyle w:val="17"/>
              <w:ind w:firstLine="0" w:firstLineChars="0"/>
              <w:jc w:val="center"/>
              <w:outlineLvl w:val="0"/>
              <w:rPr>
                <w:bCs/>
                <w:color w:val="auto"/>
                <w:highlight w:val="none"/>
              </w:rPr>
            </w:pPr>
            <w:r>
              <w:rPr>
                <w:rFonts w:hint="eastAsia"/>
                <w:bCs/>
                <w:color w:val="auto"/>
                <w:highlight w:val="none"/>
              </w:rPr>
              <w:t>3名</w:t>
            </w:r>
          </w:p>
        </w:tc>
        <w:tc>
          <w:tcPr>
            <w:tcW w:w="1043" w:type="dxa"/>
            <w:vMerge w:val="continue"/>
            <w:vAlign w:val="center"/>
          </w:tcPr>
          <w:p w14:paraId="028C82D2">
            <w:pPr>
              <w:pStyle w:val="8"/>
              <w:spacing w:line="240" w:lineRule="auto"/>
              <w:ind w:firstLine="0"/>
              <w:jc w:val="center"/>
              <w:rPr>
                <w:rFonts w:ascii="宋体" w:hAnsi="宋体" w:cs="宋体"/>
                <w:bCs/>
                <w:color w:val="auto"/>
                <w:sz w:val="18"/>
                <w:szCs w:val="18"/>
                <w:highlight w:val="none"/>
              </w:rPr>
            </w:pPr>
          </w:p>
        </w:tc>
        <w:tc>
          <w:tcPr>
            <w:tcW w:w="3086" w:type="dxa"/>
            <w:vAlign w:val="center"/>
          </w:tcPr>
          <w:p w14:paraId="6265CA50">
            <w:pPr>
              <w:pStyle w:val="8"/>
              <w:spacing w:line="240" w:lineRule="auto"/>
              <w:ind w:firstLine="0"/>
              <w:jc w:val="left"/>
              <w:outlineLvl w:val="0"/>
              <w:rPr>
                <w:rFonts w:ascii="宋体" w:hAnsi="宋体" w:eastAsia="宋体" w:cs="宋体"/>
                <w:bCs/>
                <w:snapToGrid w:val="0"/>
                <w:color w:val="auto"/>
                <w:sz w:val="18"/>
                <w:szCs w:val="18"/>
                <w:highlight w:val="none"/>
              </w:rPr>
            </w:pPr>
            <w:bookmarkStart w:id="38" w:name="_Toc12522"/>
            <w:r>
              <w:rPr>
                <w:rFonts w:hint="eastAsia" w:ascii="宋体" w:hAnsi="宋体" w:eastAsia="宋体" w:cs="宋体"/>
                <w:bCs/>
                <w:snapToGrid w:val="0"/>
                <w:color w:val="auto"/>
                <w:sz w:val="18"/>
                <w:szCs w:val="18"/>
                <w:highlight w:val="none"/>
              </w:rPr>
              <w:t>会展供应商根据要求提供氛围布置物料、舞台物料、灯光系统、印刷制作、特效艺人类、摄影摄像、互动道具、人工运输等相关服务</w:t>
            </w:r>
            <w:bookmarkEnd w:id="38"/>
            <w:r>
              <w:rPr>
                <w:rFonts w:hint="eastAsia" w:ascii="宋体" w:hAnsi="宋体" w:eastAsia="宋体" w:cs="宋体"/>
                <w:bCs/>
                <w:snapToGrid w:val="0"/>
                <w:color w:val="auto"/>
                <w:sz w:val="18"/>
                <w:szCs w:val="18"/>
                <w:highlight w:val="none"/>
              </w:rPr>
              <w:t>。</w:t>
            </w:r>
          </w:p>
        </w:tc>
        <w:tc>
          <w:tcPr>
            <w:tcW w:w="1009" w:type="dxa"/>
            <w:vAlign w:val="center"/>
          </w:tcPr>
          <w:p w14:paraId="4CC699C9">
            <w:pPr>
              <w:pStyle w:val="8"/>
              <w:spacing w:line="240" w:lineRule="auto"/>
              <w:ind w:firstLine="0"/>
              <w:jc w:val="center"/>
              <w:outlineLvl w:val="0"/>
              <w:rPr>
                <w:rFonts w:ascii="宋体" w:hAnsi="宋体" w:cs="宋体"/>
                <w:bCs/>
                <w:color w:val="auto"/>
                <w:sz w:val="18"/>
                <w:szCs w:val="18"/>
                <w:highlight w:val="none"/>
              </w:rPr>
            </w:pPr>
            <w:bookmarkStart w:id="39" w:name="_Toc17296"/>
            <w:bookmarkStart w:id="40" w:name="_Toc14292"/>
            <w:r>
              <w:rPr>
                <w:rFonts w:hint="eastAsia" w:ascii="宋体" w:hAnsi="宋体" w:eastAsia="宋体" w:cs="宋体"/>
                <w:bCs/>
                <w:color w:val="auto"/>
                <w:sz w:val="18"/>
                <w:szCs w:val="18"/>
                <w:highlight w:val="none"/>
              </w:rPr>
              <w:t>招标人指定地点</w:t>
            </w:r>
            <w:bookmarkEnd w:id="39"/>
            <w:bookmarkEnd w:id="40"/>
          </w:p>
        </w:tc>
      </w:tr>
      <w:tr w14:paraId="5F90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368" w:type="dxa"/>
            <w:vAlign w:val="center"/>
          </w:tcPr>
          <w:p w14:paraId="17B59C06">
            <w:pPr>
              <w:pStyle w:val="17"/>
              <w:ind w:firstLine="0" w:firstLineChars="0"/>
              <w:jc w:val="left"/>
              <w:outlineLvl w:val="0"/>
              <w:rPr>
                <w:bCs/>
                <w:color w:val="auto"/>
                <w:highlight w:val="none"/>
              </w:rPr>
            </w:pPr>
            <w:bookmarkStart w:id="41" w:name="_Toc21777"/>
            <w:bookmarkStart w:id="42" w:name="_Toc31340"/>
            <w:r>
              <w:rPr>
                <w:rFonts w:hint="eastAsia"/>
                <w:bCs/>
                <w:color w:val="auto"/>
                <w:highlight w:val="none"/>
              </w:rPr>
              <w:t>标包三：宣传品服务供应商</w:t>
            </w:r>
            <w:bookmarkEnd w:id="41"/>
            <w:bookmarkEnd w:id="42"/>
          </w:p>
        </w:tc>
        <w:tc>
          <w:tcPr>
            <w:tcW w:w="885" w:type="dxa"/>
            <w:vAlign w:val="center"/>
          </w:tcPr>
          <w:p w14:paraId="429E3297">
            <w:pPr>
              <w:pStyle w:val="17"/>
              <w:ind w:firstLine="0" w:firstLineChars="0"/>
              <w:jc w:val="center"/>
              <w:outlineLvl w:val="0"/>
              <w:rPr>
                <w:rFonts w:hint="default" w:eastAsia="宋体"/>
                <w:bCs/>
                <w:color w:val="auto"/>
                <w:highlight w:val="none"/>
                <w:lang w:val="en-US" w:eastAsia="zh-CN"/>
              </w:rPr>
            </w:pPr>
            <w:r>
              <w:rPr>
                <w:rFonts w:hint="eastAsia"/>
                <w:bCs/>
                <w:color w:val="auto"/>
                <w:highlight w:val="none"/>
              </w:rPr>
              <w:t>0.</w:t>
            </w:r>
            <w:r>
              <w:rPr>
                <w:rFonts w:hint="eastAsia"/>
                <w:bCs/>
                <w:color w:val="auto"/>
                <w:highlight w:val="none"/>
                <w:lang w:val="en-US" w:eastAsia="zh-CN"/>
              </w:rPr>
              <w:t>6</w:t>
            </w:r>
          </w:p>
        </w:tc>
        <w:tc>
          <w:tcPr>
            <w:tcW w:w="622" w:type="dxa"/>
            <w:vAlign w:val="center"/>
          </w:tcPr>
          <w:p w14:paraId="0CA5A7F1">
            <w:pPr>
              <w:pStyle w:val="17"/>
              <w:ind w:firstLine="0" w:firstLineChars="0"/>
              <w:jc w:val="center"/>
              <w:outlineLvl w:val="0"/>
              <w:rPr>
                <w:bCs/>
                <w:color w:val="auto"/>
                <w:highlight w:val="none"/>
              </w:rPr>
            </w:pPr>
            <w:r>
              <w:rPr>
                <w:rFonts w:hint="eastAsia"/>
                <w:bCs/>
                <w:color w:val="auto"/>
                <w:highlight w:val="none"/>
              </w:rPr>
              <w:t>40</w:t>
            </w:r>
          </w:p>
        </w:tc>
        <w:tc>
          <w:tcPr>
            <w:tcW w:w="983" w:type="dxa"/>
            <w:vAlign w:val="center"/>
          </w:tcPr>
          <w:p w14:paraId="404CAB39">
            <w:pPr>
              <w:pStyle w:val="17"/>
              <w:ind w:firstLine="0" w:firstLineChars="0"/>
              <w:jc w:val="center"/>
              <w:outlineLvl w:val="0"/>
              <w:rPr>
                <w:rFonts w:hint="default" w:eastAsia="宋体"/>
                <w:bCs/>
                <w:color w:val="auto"/>
                <w:highlight w:val="none"/>
                <w:lang w:val="en-US" w:eastAsia="zh-CN"/>
              </w:rPr>
            </w:pPr>
            <w:bookmarkStart w:id="43" w:name="_Toc23263"/>
            <w:bookmarkStart w:id="44" w:name="_Toc16138"/>
            <w:r>
              <w:rPr>
                <w:rFonts w:hint="eastAsia"/>
                <w:bCs/>
                <w:color w:val="auto"/>
                <w:highlight w:val="none"/>
                <w:lang w:val="en-US" w:eastAsia="zh-CN"/>
              </w:rPr>
              <w:t>24</w:t>
            </w:r>
          </w:p>
          <w:bookmarkEnd w:id="43"/>
          <w:bookmarkEnd w:id="44"/>
        </w:tc>
        <w:tc>
          <w:tcPr>
            <w:tcW w:w="952" w:type="dxa"/>
            <w:vAlign w:val="center"/>
          </w:tcPr>
          <w:p w14:paraId="2C6EECE0">
            <w:pPr>
              <w:pStyle w:val="17"/>
              <w:ind w:firstLine="0" w:firstLineChars="0"/>
              <w:jc w:val="center"/>
              <w:outlineLvl w:val="0"/>
              <w:rPr>
                <w:bCs/>
                <w:color w:val="auto"/>
                <w:highlight w:val="none"/>
              </w:rPr>
            </w:pPr>
            <w:r>
              <w:rPr>
                <w:rFonts w:hint="eastAsia"/>
                <w:bCs/>
                <w:color w:val="auto"/>
                <w:highlight w:val="none"/>
              </w:rPr>
              <w:t>3名</w:t>
            </w:r>
          </w:p>
        </w:tc>
        <w:tc>
          <w:tcPr>
            <w:tcW w:w="1043" w:type="dxa"/>
            <w:vMerge w:val="continue"/>
            <w:vAlign w:val="center"/>
          </w:tcPr>
          <w:p w14:paraId="7EA6E1FC">
            <w:pPr>
              <w:pStyle w:val="8"/>
              <w:spacing w:line="240" w:lineRule="auto"/>
              <w:ind w:firstLine="0"/>
              <w:jc w:val="center"/>
              <w:rPr>
                <w:rFonts w:ascii="宋体" w:hAnsi="宋体" w:cs="宋体"/>
                <w:bCs/>
                <w:color w:val="auto"/>
                <w:sz w:val="18"/>
                <w:szCs w:val="18"/>
                <w:highlight w:val="none"/>
              </w:rPr>
            </w:pPr>
          </w:p>
        </w:tc>
        <w:tc>
          <w:tcPr>
            <w:tcW w:w="3086" w:type="dxa"/>
            <w:vAlign w:val="center"/>
          </w:tcPr>
          <w:p w14:paraId="5D17CBCF">
            <w:pPr>
              <w:pStyle w:val="8"/>
              <w:spacing w:line="240" w:lineRule="auto"/>
              <w:ind w:firstLine="0"/>
              <w:jc w:val="left"/>
              <w:outlineLvl w:val="0"/>
              <w:rPr>
                <w:rFonts w:ascii="宋体" w:hAnsi="宋体" w:cs="宋体"/>
                <w:bCs/>
                <w:color w:val="auto"/>
                <w:sz w:val="18"/>
                <w:szCs w:val="18"/>
                <w:highlight w:val="none"/>
              </w:rPr>
            </w:pPr>
            <w:bookmarkStart w:id="45" w:name="_Toc31288"/>
            <w:bookmarkStart w:id="46" w:name="_Toc17608"/>
            <w:r>
              <w:rPr>
                <w:rFonts w:hint="eastAsia" w:ascii="宋体" w:hAnsi="宋体" w:eastAsia="宋体" w:cs="宋体"/>
                <w:bCs/>
                <w:snapToGrid w:val="0"/>
                <w:color w:val="auto"/>
                <w:sz w:val="18"/>
                <w:szCs w:val="18"/>
                <w:highlight w:val="none"/>
              </w:rPr>
              <w:t>包含不限于厨房小家电、炊具、锅具及家用床品、摆件等。</w:t>
            </w:r>
            <w:bookmarkEnd w:id="45"/>
            <w:bookmarkEnd w:id="46"/>
          </w:p>
        </w:tc>
        <w:tc>
          <w:tcPr>
            <w:tcW w:w="1009" w:type="dxa"/>
            <w:vAlign w:val="center"/>
          </w:tcPr>
          <w:p w14:paraId="65E29786">
            <w:pPr>
              <w:pStyle w:val="8"/>
              <w:spacing w:line="240" w:lineRule="auto"/>
              <w:ind w:firstLine="0"/>
              <w:jc w:val="center"/>
              <w:outlineLvl w:val="0"/>
              <w:rPr>
                <w:rFonts w:ascii="宋体" w:hAnsi="宋体" w:cs="宋体"/>
                <w:bCs/>
                <w:color w:val="auto"/>
                <w:sz w:val="18"/>
                <w:szCs w:val="18"/>
                <w:highlight w:val="none"/>
              </w:rPr>
            </w:pPr>
            <w:bookmarkStart w:id="47" w:name="_Toc31286"/>
            <w:bookmarkStart w:id="48" w:name="_Toc25071"/>
            <w:r>
              <w:rPr>
                <w:rFonts w:hint="eastAsia" w:ascii="宋体" w:hAnsi="宋体" w:eastAsia="宋体" w:cs="宋体"/>
                <w:bCs/>
                <w:color w:val="auto"/>
                <w:sz w:val="18"/>
                <w:szCs w:val="18"/>
                <w:highlight w:val="none"/>
              </w:rPr>
              <w:t>招标人指定地点</w:t>
            </w:r>
            <w:bookmarkEnd w:id="47"/>
            <w:bookmarkEnd w:id="48"/>
          </w:p>
        </w:tc>
      </w:tr>
      <w:tr w14:paraId="3934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48" w:type="dxa"/>
            <w:gridSpan w:val="8"/>
            <w:vAlign w:val="center"/>
          </w:tcPr>
          <w:p w14:paraId="313A0164">
            <w:pPr>
              <w:pStyle w:val="8"/>
              <w:spacing w:line="240" w:lineRule="auto"/>
              <w:ind w:firstLine="0"/>
              <w:jc w:val="left"/>
              <w:outlineLvl w:val="0"/>
              <w:rPr>
                <w:rFonts w:ascii="宋体" w:hAnsi="宋体" w:cs="宋体"/>
                <w:color w:val="auto"/>
                <w:sz w:val="18"/>
                <w:szCs w:val="18"/>
                <w:highlight w:val="none"/>
              </w:rPr>
            </w:pPr>
            <w:bookmarkStart w:id="49" w:name="_Toc988"/>
            <w:bookmarkStart w:id="50" w:name="_Toc10997"/>
            <w:r>
              <w:rPr>
                <w:rFonts w:hint="eastAsia" w:ascii="宋体" w:hAnsi="宋体" w:eastAsia="宋体" w:cs="宋体"/>
                <w:b/>
                <w:bCs/>
                <w:color w:val="auto"/>
                <w:sz w:val="18"/>
                <w:szCs w:val="18"/>
                <w:highlight w:val="none"/>
              </w:rPr>
              <w:t>备注：各供应商可以同时参与所有标包的投标，但仅能就其中一个标包中标，且中标顺序依照标包序号由小到大原则排序，若取得标包一中标资格的供应商，标包二和标包三不再排序，以此类推。</w:t>
            </w:r>
            <w:bookmarkEnd w:id="49"/>
            <w:bookmarkEnd w:id="50"/>
          </w:p>
        </w:tc>
      </w:tr>
    </w:tbl>
    <w:p w14:paraId="09DA5461">
      <w:pPr>
        <w:pStyle w:val="3"/>
        <w:spacing w:after="140" w:line="360" w:lineRule="auto"/>
        <w:rPr>
          <w:rFonts w:ascii="宋体" w:hAnsi="宋体"/>
          <w:snapToGrid w:val="0"/>
          <w:color w:val="auto"/>
          <w:sz w:val="21"/>
          <w:szCs w:val="21"/>
          <w:highlight w:val="none"/>
        </w:rPr>
      </w:pPr>
      <w:r>
        <w:rPr>
          <w:rFonts w:hint="eastAsia" w:ascii="宋体" w:hAnsi="宋体"/>
          <w:snapToGrid w:val="0"/>
          <w:color w:val="auto"/>
          <w:sz w:val="21"/>
          <w:szCs w:val="21"/>
          <w:highlight w:val="none"/>
        </w:rPr>
        <w:t>3. 投标人资格要求</w:t>
      </w:r>
    </w:p>
    <w:p w14:paraId="5DB2FDCB">
      <w:pPr>
        <w:tabs>
          <w:tab w:val="left" w:pos="2360"/>
          <w:tab w:val="left" w:pos="4000"/>
        </w:tabs>
        <w:autoSpaceDE w:val="0"/>
        <w:autoSpaceDN w:val="0"/>
        <w:adjustRightInd w:val="0"/>
        <w:spacing w:before="9" w:line="360" w:lineRule="auto"/>
        <w:ind w:right="-38" w:firstLine="420" w:firstLineChars="200"/>
        <w:jc w:val="left"/>
        <w:rPr>
          <w:rFonts w:ascii="宋体" w:hAnsi="宋体"/>
          <w:color w:val="auto"/>
          <w:szCs w:val="21"/>
          <w:highlight w:val="none"/>
        </w:rPr>
      </w:pPr>
      <w:r>
        <w:rPr>
          <w:rFonts w:hint="eastAsia" w:ascii="宋体" w:hAnsi="宋体"/>
          <w:color w:val="auto"/>
          <w:szCs w:val="21"/>
          <w:highlight w:val="none"/>
        </w:rPr>
        <w:t>本次招标实行资格后审，投标人应满足下列资格条件：</w:t>
      </w:r>
    </w:p>
    <w:p w14:paraId="0C23A92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b/>
          <w:bCs/>
          <w:color w:val="auto"/>
          <w:szCs w:val="21"/>
          <w:highlight w:val="none"/>
        </w:rPr>
      </w:pPr>
      <w:r>
        <w:rPr>
          <w:rFonts w:hint="eastAsia" w:ascii="宋体" w:hAnsi="宋体"/>
          <w:color w:val="auto"/>
          <w:szCs w:val="21"/>
          <w:highlight w:val="none"/>
        </w:rPr>
        <w:t>3.1营业执照：具有独立法人或其他组织，具备有效的营业执照，有能力提供本次招标服务的企业。</w:t>
      </w:r>
      <w:r>
        <w:rPr>
          <w:rFonts w:hint="eastAsia" w:ascii="宋体" w:hAnsi="宋体"/>
          <w:b/>
          <w:bCs/>
          <w:color w:val="auto"/>
          <w:szCs w:val="21"/>
          <w:highlight w:val="none"/>
        </w:rPr>
        <w:t>（提供营业执照复印件加盖投标人单位公章（鲜章））</w:t>
      </w:r>
    </w:p>
    <w:p w14:paraId="3E660099">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r>
        <w:rPr>
          <w:rFonts w:hint="eastAsia" w:ascii="宋体" w:hAnsi="宋体"/>
          <w:color w:val="auto"/>
          <w:szCs w:val="21"/>
          <w:highlight w:val="none"/>
        </w:rPr>
        <w:t>3.2投标人承诺中标后向招标人开具符合法律要求的增值税专用发票或增值税普通发票。（须提供承诺书原件加盖投标人单位公章）</w:t>
      </w:r>
    </w:p>
    <w:p w14:paraId="69F27E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3.3信誉要求：（1）投标人具有良好的商业信誉和健全的财务会计制度。 20</w:t>
      </w:r>
      <w:r>
        <w:rPr>
          <w:rFonts w:ascii="宋体" w:hAnsi="宋体"/>
          <w:color w:val="auto"/>
          <w:szCs w:val="21"/>
          <w:highlight w:val="none"/>
        </w:rPr>
        <w:t>2</w:t>
      </w:r>
      <w:r>
        <w:rPr>
          <w:rFonts w:hint="eastAsia" w:ascii="宋体" w:hAnsi="宋体"/>
          <w:color w:val="auto"/>
          <w:szCs w:val="21"/>
          <w:highlight w:val="none"/>
        </w:rPr>
        <w:t>2年1月1日至投标截止日止在经营活动中没有重大违约、违法记录，没有行政处罚。投标人不得为“信用中国”网站（http://www.creditchina.gov.cn）中列入失信被执行人和重大税收违法失信主体的供应商，不得为“中国政府采购网”（http://www.ccgp.gov.cn）政府采购严重违法失信行为记录名单在被财政部门禁止参加采购活动的供应商。</w:t>
      </w:r>
    </w:p>
    <w:p w14:paraId="5252EF62">
      <w:pPr>
        <w:numPr>
          <w:ilvl w:val="0"/>
          <w:numId w:val="3"/>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截止投标截止日，投标人没有对招标项目产生不利影响的正在进行的诉讼（仲裁）案件。</w:t>
      </w:r>
    </w:p>
    <w:p w14:paraId="5F776E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注：投标申请人须提供自行出具的书面承诺，承诺函需加盖投标人单位公章，并对其真实性负责，如提供虚假材料，一经查实，则取消投标资格或中标资格，投标保证金不予退还。</w:t>
      </w:r>
    </w:p>
    <w:p w14:paraId="4A376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 本次招标不接受联合体投标。</w:t>
      </w:r>
    </w:p>
    <w:p w14:paraId="4EFE44C3">
      <w:pPr>
        <w:snapToGrid w:val="0"/>
        <w:spacing w:line="360" w:lineRule="auto"/>
        <w:rPr>
          <w:rFonts w:ascii="宋体" w:hAnsi="宋体"/>
          <w:b/>
          <w:color w:val="auto"/>
          <w:szCs w:val="21"/>
          <w:highlight w:val="none"/>
        </w:rPr>
      </w:pPr>
      <w:r>
        <w:rPr>
          <w:rFonts w:hint="eastAsia" w:ascii="宋体" w:hAnsi="宋体"/>
          <w:b/>
          <w:color w:val="auto"/>
          <w:szCs w:val="21"/>
          <w:highlight w:val="none"/>
        </w:rPr>
        <w:t>特别提醒：</w:t>
      </w:r>
    </w:p>
    <w:p w14:paraId="5B877E37">
      <w:pPr>
        <w:snapToGrid w:val="0"/>
        <w:spacing w:line="360" w:lineRule="auto"/>
        <w:ind w:left="428" w:leftChars="204" w:firstLine="61" w:firstLineChars="29"/>
        <w:rPr>
          <w:rFonts w:ascii="宋体" w:hAnsi="宋体"/>
          <w:b/>
          <w:color w:val="auto"/>
          <w:szCs w:val="21"/>
          <w:highlight w:val="none"/>
        </w:rPr>
      </w:pPr>
      <w:r>
        <w:rPr>
          <w:rFonts w:ascii="宋体" w:hAnsi="宋体"/>
          <w:b/>
          <w:color w:val="auto"/>
          <w:szCs w:val="21"/>
          <w:highlight w:val="none"/>
        </w:rPr>
        <w:t>①</w:t>
      </w:r>
      <w:r>
        <w:rPr>
          <w:rFonts w:hint="eastAsia" w:ascii="宋体" w:hAnsi="宋体"/>
          <w:b/>
          <w:color w:val="auto"/>
          <w:szCs w:val="21"/>
          <w:highlight w:val="none"/>
        </w:rPr>
        <w:t>要求提供的以上各项证件及资料必须全部有效；</w:t>
      </w:r>
    </w:p>
    <w:p w14:paraId="58278EE1">
      <w:pPr>
        <w:snapToGrid w:val="0"/>
        <w:spacing w:line="360" w:lineRule="auto"/>
        <w:ind w:left="428" w:leftChars="204" w:firstLine="61" w:firstLineChars="29"/>
        <w:rPr>
          <w:rFonts w:ascii="宋体" w:hAnsi="宋体"/>
          <w:b/>
          <w:color w:val="auto"/>
          <w:szCs w:val="21"/>
          <w:highlight w:val="none"/>
        </w:rPr>
      </w:pPr>
      <w:r>
        <w:rPr>
          <w:rFonts w:ascii="宋体" w:hAnsi="宋体"/>
          <w:b/>
          <w:color w:val="auto"/>
          <w:szCs w:val="21"/>
          <w:highlight w:val="none"/>
        </w:rPr>
        <w:t>②</w:t>
      </w:r>
      <w:r>
        <w:rPr>
          <w:rFonts w:hint="eastAsia" w:ascii="宋体" w:hAnsi="宋体"/>
          <w:b/>
          <w:color w:val="auto"/>
          <w:szCs w:val="21"/>
          <w:highlight w:val="none"/>
        </w:rPr>
        <w:t>提供所要求的各项证件及资料的原件备查（承诺书除外）；</w:t>
      </w:r>
    </w:p>
    <w:p w14:paraId="514DE2DD">
      <w:pPr>
        <w:snapToGrid w:val="0"/>
        <w:spacing w:line="360" w:lineRule="auto"/>
        <w:ind w:left="428" w:leftChars="204" w:firstLine="61" w:firstLineChars="29"/>
        <w:rPr>
          <w:rFonts w:ascii="宋体" w:hAnsi="宋体"/>
          <w:b/>
          <w:color w:val="auto"/>
          <w:szCs w:val="21"/>
          <w:highlight w:val="none"/>
        </w:rPr>
      </w:pPr>
      <w:r>
        <w:rPr>
          <w:rFonts w:ascii="宋体" w:hAnsi="宋体"/>
          <w:b/>
          <w:color w:val="auto"/>
          <w:szCs w:val="21"/>
          <w:highlight w:val="none"/>
        </w:rPr>
        <w:t>③</w:t>
      </w:r>
      <w:r>
        <w:rPr>
          <w:rFonts w:hint="eastAsia" w:ascii="宋体" w:hAnsi="宋体"/>
          <w:b/>
          <w:color w:val="auto"/>
          <w:szCs w:val="21"/>
          <w:highlight w:val="none"/>
        </w:rPr>
        <w:t>上述所要求的各项条款必须全部满足，方可通过资格审查。</w:t>
      </w:r>
    </w:p>
    <w:p w14:paraId="408FBA94">
      <w:pPr>
        <w:pStyle w:val="3"/>
        <w:spacing w:before="140" w:after="140" w:line="360" w:lineRule="auto"/>
        <w:rPr>
          <w:rFonts w:ascii="宋体" w:hAnsi="宋体"/>
          <w:snapToGrid w:val="0"/>
          <w:color w:val="auto"/>
          <w:sz w:val="21"/>
          <w:szCs w:val="21"/>
          <w:highlight w:val="none"/>
        </w:rPr>
      </w:pPr>
      <w:r>
        <w:rPr>
          <w:rFonts w:hint="eastAsia" w:ascii="宋体" w:hAnsi="宋体"/>
          <w:snapToGrid w:val="0"/>
          <w:color w:val="auto"/>
          <w:sz w:val="21"/>
          <w:szCs w:val="21"/>
          <w:highlight w:val="none"/>
        </w:rPr>
        <w:t>4. 招标文件的获取</w:t>
      </w:r>
    </w:p>
    <w:p w14:paraId="6EAA4A26">
      <w:pPr>
        <w:adjustRightInd w:val="0"/>
        <w:snapToGrid w:val="0"/>
        <w:spacing w:line="360" w:lineRule="auto"/>
        <w:ind w:firstLine="420" w:firstLineChars="200"/>
        <w:rPr>
          <w:rFonts w:ascii="宋体" w:hAnsi="宋体" w:cs="宋体"/>
          <w:color w:val="auto"/>
          <w:szCs w:val="21"/>
          <w:highlight w:val="none"/>
        </w:rPr>
      </w:pPr>
      <w:bookmarkStart w:id="51" w:name="_Toc318447032"/>
      <w:bookmarkStart w:id="52" w:name="_Toc318898272"/>
      <w:bookmarkStart w:id="53" w:name="_Toc326223050"/>
      <w:bookmarkStart w:id="54" w:name="_Toc323162179"/>
      <w:r>
        <w:rPr>
          <w:rFonts w:hint="eastAsia" w:ascii="宋体" w:hAnsi="宋体"/>
          <w:snapToGrid w:val="0"/>
          <w:color w:val="auto"/>
          <w:kern w:val="0"/>
          <w:szCs w:val="21"/>
          <w:highlight w:val="none"/>
        </w:rPr>
        <w:t xml:space="preserve">4.1 </w:t>
      </w:r>
      <w:r>
        <w:rPr>
          <w:rFonts w:hint="eastAsia" w:ascii="宋体" w:hAnsi="宋体" w:cs="宋体"/>
          <w:color w:val="auto"/>
          <w:szCs w:val="21"/>
          <w:highlight w:val="none"/>
        </w:rPr>
        <w:t>根据招标人内部管理规定，首次报名参与招标人采购项目的投标人：</w:t>
      </w:r>
    </w:p>
    <w:p w14:paraId="694E187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进入中国人寿招标采购网（https://cpmsx.e-chinalife.com/xycms/），向招标人递交有效的投标人报名申请材料（相关程序及说明详见中国人寿招标采购网首页《报名投标人申请须知》）进行注册登记。</w:t>
      </w:r>
    </w:p>
    <w:p w14:paraId="71C504C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未在中国人寿集中采购管理系统中进行注册登记的，将无法进行后续投标或投标无效。</w:t>
      </w:r>
    </w:p>
    <w:p w14:paraId="732B88D3">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snapToGrid w:val="0"/>
          <w:color w:val="auto"/>
          <w:kern w:val="0"/>
          <w:szCs w:val="21"/>
          <w:highlight w:val="none"/>
        </w:rPr>
        <w:t xml:space="preserve">4.2 </w:t>
      </w:r>
      <w:r>
        <w:rPr>
          <w:rFonts w:hint="eastAsia" w:ascii="宋体" w:hAnsi="宋体" w:cs="宋体"/>
          <w:color w:val="auto"/>
          <w:szCs w:val="21"/>
          <w:highlight w:val="none"/>
        </w:rPr>
        <w:t>获取标书方式：凡有意参加投标的投标人，于2025年</w:t>
      </w:r>
      <w:bookmarkStart w:id="786" w:name="_GoBack"/>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bookmarkEnd w:id="786"/>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17时30分止（工作时间），持法人身份证明、营业执照复印件或扫描件、授权委托书（仅授权的代理人报名时提供）、无诉讼案件承诺（截至投标截止日，投标人无可能对采购项目产生不利影响的正在进行的诉讼（仲裁）案件。注：投标人须提供自行出具的书面承诺，承诺函需加盖投标单位公章，并对其真实性负责，如提供虚假材料，一经查实，则取消投标资格或中标资格，投标保证金不予退还）（以上资料加盖投标单位公章并扫描原件）发送至邮箱cqyxzxgs@163.com(联系人：田老师 17378301338)，领取本项目的招标文件、报名表等相关资料，未按以上要求报名的单位，其投标资料将不被接收。</w:t>
      </w:r>
    </w:p>
    <w:p w14:paraId="408C435A">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ascii="宋体" w:hAnsi="宋体" w:cs="宋体"/>
          <w:color w:val="auto"/>
          <w:szCs w:val="21"/>
          <w:highlight w:val="none"/>
        </w:rPr>
      </w:pPr>
      <w:bookmarkStart w:id="55" w:name="_Toc165369981"/>
      <w:bookmarkStart w:id="56" w:name="_Toc200359242"/>
      <w:bookmarkStart w:id="57" w:name="_Toc224103303"/>
      <w:bookmarkStart w:id="58" w:name="_Toc277082540"/>
      <w:bookmarkStart w:id="59" w:name="_Toc11159"/>
      <w:bookmarkStart w:id="60" w:name="_Toc200359431"/>
      <w:bookmarkStart w:id="61" w:name="_Toc287620671"/>
      <w:bookmarkStart w:id="62" w:name="_Toc430530420"/>
      <w:bookmarkStart w:id="63" w:name="_Toc287607732"/>
      <w:bookmarkStart w:id="64" w:name="_Toc28449"/>
      <w:bookmarkStart w:id="65" w:name="_Toc509218696"/>
      <w:r>
        <w:rPr>
          <w:rFonts w:hint="eastAsia" w:ascii="宋体" w:hAnsi="宋体" w:cs="宋体"/>
          <w:color w:val="auto"/>
          <w:szCs w:val="21"/>
          <w:highlight w:val="none"/>
        </w:rPr>
        <w:t>4.3 招标文件发售：人民币500元/标包 (售后不退)；</w:t>
      </w:r>
    </w:p>
    <w:p w14:paraId="7DF23493">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投标人在收到招标文件后，应仔细检查招标文件的所有内容，如有残缺或文字表述不清，图纸尺寸标注不明以及存在错、碰、漏、缺、概念模糊和有可能出现歧义或理解上的偏差的内容等应在2025年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color w:val="auto"/>
          <w:highlight w:val="none"/>
        </w:rPr>
        <w:fldChar w:fldCharType="begin"/>
      </w:r>
      <w:r>
        <w:rPr>
          <w:color w:val="auto"/>
          <w:highlight w:val="none"/>
        </w:rPr>
        <w:instrText xml:space="preserve"> HYPERLINK "mailto:日17时30分（北京时间）前以书面形式或邮件形式（采用邮件形式应为鲜章扫描件，发送至2449808660@qq.com）加盖单位公章鲜章递交至招标代理机构处，并附相关证明材料。" </w:instrText>
      </w:r>
      <w:r>
        <w:rPr>
          <w:color w:val="auto"/>
          <w:highlight w:val="none"/>
        </w:rPr>
        <w:fldChar w:fldCharType="separate"/>
      </w:r>
      <w:r>
        <w:rPr>
          <w:rFonts w:hint="eastAsia" w:ascii="宋体" w:hAnsi="宋体" w:cs="宋体"/>
          <w:color w:val="auto"/>
          <w:szCs w:val="21"/>
          <w:highlight w:val="none"/>
        </w:rPr>
        <w:t>日17时30分（北京时间）前以书面形式或邮件形式（采用邮件形式应为鲜章扫描件，发送至cqyxzxgs@163.com）加盖单位公章鲜章递交至招标代理机构处，并附相关证明材料。</w:t>
      </w:r>
      <w:r>
        <w:rPr>
          <w:rFonts w:hint="eastAsia" w:ascii="宋体" w:hAnsi="宋体" w:cs="宋体"/>
          <w:color w:val="auto"/>
          <w:szCs w:val="21"/>
          <w:highlight w:val="none"/>
        </w:rPr>
        <w:fldChar w:fldCharType="end"/>
      </w:r>
    </w:p>
    <w:p w14:paraId="151A082A">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招标人对招标文件答疑的截止时间：2025年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日17时30分（北京时间），补遗内容可能影响投标文件编制的，须在投标截止时间15日前发布，发布时间至投标截止时间不足15日的，须相应延后投标截止时间。</w:t>
      </w:r>
    </w:p>
    <w:p w14:paraId="4082496C">
      <w:pPr>
        <w:pStyle w:val="3"/>
        <w:spacing w:before="140" w:after="100" w:line="360" w:lineRule="auto"/>
        <w:rPr>
          <w:rFonts w:ascii="宋体" w:hAnsi="宋体"/>
          <w:snapToGrid w:val="0"/>
          <w:color w:val="auto"/>
          <w:sz w:val="21"/>
          <w:szCs w:val="21"/>
          <w:highlight w:val="none"/>
        </w:rPr>
      </w:pPr>
      <w:r>
        <w:rPr>
          <w:rFonts w:hint="eastAsia" w:ascii="宋体" w:hAnsi="宋体"/>
          <w:snapToGrid w:val="0"/>
          <w:color w:val="auto"/>
          <w:sz w:val="21"/>
          <w:szCs w:val="21"/>
          <w:highlight w:val="none"/>
        </w:rPr>
        <w:t>5.  投标文件的递交</w:t>
      </w:r>
      <w:bookmarkEnd w:id="55"/>
      <w:bookmarkEnd w:id="56"/>
      <w:bookmarkEnd w:id="57"/>
      <w:bookmarkEnd w:id="58"/>
      <w:bookmarkEnd w:id="59"/>
      <w:bookmarkEnd w:id="60"/>
      <w:bookmarkEnd w:id="61"/>
      <w:bookmarkEnd w:id="62"/>
      <w:bookmarkEnd w:id="63"/>
      <w:bookmarkEnd w:id="64"/>
      <w:bookmarkEnd w:id="65"/>
    </w:p>
    <w:p w14:paraId="3DB9307E">
      <w:pPr>
        <w:widowControl/>
        <w:spacing w:line="480" w:lineRule="exact"/>
        <w:ind w:firstLine="420" w:firstLineChars="200"/>
        <w:jc w:val="left"/>
        <w:rPr>
          <w:color w:val="auto"/>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9</w:t>
      </w:r>
      <w:r>
        <w:rPr>
          <w:rFonts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24</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rPr>
        <w:t>00</w:t>
      </w:r>
      <w:r>
        <w:rPr>
          <w:rFonts w:ascii="宋体" w:hAnsi="宋体"/>
          <w:snapToGrid w:val="0"/>
          <w:color w:val="auto"/>
          <w:kern w:val="0"/>
          <w:szCs w:val="21"/>
          <w:highlight w:val="none"/>
        </w:rPr>
        <w:t>分，地点为</w:t>
      </w:r>
      <w:r>
        <w:rPr>
          <w:rFonts w:hint="eastAsia"/>
          <w:color w:val="auto"/>
          <w:highlight w:val="none"/>
        </w:rPr>
        <w:t>重庆财</w:t>
      </w:r>
      <w:r>
        <w:rPr>
          <w:rFonts w:hint="eastAsia" w:ascii="宋体" w:hAnsi="宋体" w:cs="宋体"/>
          <w:color w:val="auto"/>
          <w:highlight w:val="none"/>
        </w:rPr>
        <w:t>富中心冠廷酒店2楼会议室【地址：重庆市渝北区财富大道5号</w:t>
      </w:r>
      <w:r>
        <w:rPr>
          <w:rFonts w:hint="eastAsia"/>
          <w:color w:val="auto"/>
          <w:highlight w:val="none"/>
        </w:rPr>
        <w:t>】。</w:t>
      </w:r>
    </w:p>
    <w:p w14:paraId="6CDF97A2">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逾期送达的或者未送达指定地点的投标文件，招标人不予受理。</w:t>
      </w:r>
      <w:r>
        <w:rPr>
          <w:rFonts w:hint="eastAsia" w:ascii="宋体" w:hAnsi="宋体"/>
          <w:snapToGrid w:val="0"/>
          <w:color w:val="auto"/>
          <w:kern w:val="0"/>
          <w:szCs w:val="21"/>
          <w:highlight w:val="none"/>
        </w:rPr>
        <w:t xml:space="preserve"> </w:t>
      </w:r>
    </w:p>
    <w:p w14:paraId="301D0DDC">
      <w:pPr>
        <w:pStyle w:val="3"/>
        <w:spacing w:before="140" w:after="140" w:line="360" w:lineRule="auto"/>
        <w:rPr>
          <w:rFonts w:ascii="宋体" w:hAnsi="宋体"/>
          <w:snapToGrid w:val="0"/>
          <w:color w:val="auto"/>
          <w:sz w:val="21"/>
          <w:szCs w:val="21"/>
          <w:highlight w:val="none"/>
        </w:rPr>
      </w:pPr>
      <w:bookmarkStart w:id="66" w:name="_Toc224103304"/>
      <w:bookmarkStart w:id="67" w:name="_Toc287607733"/>
      <w:bookmarkStart w:id="68" w:name="_Toc277082541"/>
      <w:bookmarkStart w:id="69" w:name="_Toc200359432"/>
      <w:bookmarkStart w:id="70" w:name="_Toc8166"/>
      <w:bookmarkStart w:id="71" w:name="_Toc509218697"/>
      <w:bookmarkStart w:id="72" w:name="_Toc287620672"/>
      <w:bookmarkStart w:id="73" w:name="_Toc430530421"/>
      <w:bookmarkStart w:id="74" w:name="_Toc16899"/>
      <w:bookmarkStart w:id="75" w:name="_Toc165369982"/>
      <w:bookmarkStart w:id="76" w:name="_Toc200359243"/>
      <w:r>
        <w:rPr>
          <w:rFonts w:hint="eastAsia" w:ascii="宋体" w:hAnsi="宋体"/>
          <w:snapToGrid w:val="0"/>
          <w:color w:val="auto"/>
          <w:sz w:val="21"/>
          <w:szCs w:val="21"/>
          <w:highlight w:val="none"/>
        </w:rPr>
        <w:t>6.  发布公告的媒介</w:t>
      </w:r>
      <w:bookmarkEnd w:id="66"/>
      <w:bookmarkEnd w:id="67"/>
      <w:bookmarkEnd w:id="68"/>
      <w:bookmarkEnd w:id="69"/>
      <w:bookmarkEnd w:id="70"/>
      <w:bookmarkEnd w:id="71"/>
      <w:bookmarkEnd w:id="72"/>
      <w:bookmarkEnd w:id="73"/>
      <w:bookmarkEnd w:id="74"/>
      <w:bookmarkEnd w:id="75"/>
      <w:bookmarkEnd w:id="76"/>
    </w:p>
    <w:p w14:paraId="3D3F900A">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cs="宋体"/>
          <w:snapToGrid w:val="0"/>
          <w:color w:val="auto"/>
          <w:szCs w:val="21"/>
          <w:highlight w:val="none"/>
          <w:u w:val="single"/>
        </w:rPr>
        <w:t>行采家（https://www.gec123.com）、中国招标投标公共服务平台（http://www.cebpubservice.com）和中国人寿招标采购网（https://cpmsx.e-chinalife.com/xycms/）</w:t>
      </w:r>
      <w:r>
        <w:rPr>
          <w:rFonts w:ascii="宋体" w:hAnsi="宋体"/>
          <w:snapToGrid w:val="0"/>
          <w:color w:val="auto"/>
          <w:kern w:val="0"/>
          <w:szCs w:val="21"/>
          <w:highlight w:val="none"/>
        </w:rPr>
        <w:t>上发布。</w:t>
      </w:r>
    </w:p>
    <w:p w14:paraId="6164BAEA">
      <w:pPr>
        <w:pStyle w:val="3"/>
        <w:spacing w:line="360" w:lineRule="auto"/>
        <w:rPr>
          <w:rFonts w:ascii="宋体" w:hAnsi="宋体"/>
          <w:snapToGrid w:val="0"/>
          <w:color w:val="auto"/>
          <w:sz w:val="21"/>
          <w:szCs w:val="21"/>
          <w:highlight w:val="none"/>
        </w:rPr>
      </w:pPr>
      <w:r>
        <w:rPr>
          <w:rFonts w:hint="eastAsia" w:ascii="宋体" w:hAnsi="宋体"/>
          <w:snapToGrid w:val="0"/>
          <w:color w:val="auto"/>
          <w:sz w:val="21"/>
          <w:szCs w:val="21"/>
          <w:highlight w:val="none"/>
        </w:rPr>
        <w:t>7．</w:t>
      </w:r>
      <w:bookmarkEnd w:id="51"/>
      <w:bookmarkEnd w:id="52"/>
      <w:bookmarkEnd w:id="53"/>
      <w:bookmarkEnd w:id="54"/>
      <w:bookmarkStart w:id="77" w:name="_Toc298224636"/>
      <w:bookmarkStart w:id="78" w:name="_Toc326223051"/>
      <w:bookmarkStart w:id="79" w:name="_Toc318898273"/>
      <w:bookmarkStart w:id="80" w:name="_Toc318447033"/>
      <w:bookmarkStart w:id="81" w:name="_Toc323162180"/>
      <w:r>
        <w:rPr>
          <w:rFonts w:hint="eastAsia" w:ascii="宋体" w:hAnsi="宋体"/>
          <w:snapToGrid w:val="0"/>
          <w:color w:val="auto"/>
          <w:sz w:val="21"/>
          <w:szCs w:val="21"/>
          <w:highlight w:val="none"/>
        </w:rPr>
        <w:t>联系方式</w:t>
      </w:r>
      <w:bookmarkEnd w:id="77"/>
      <w:bookmarkEnd w:id="78"/>
      <w:bookmarkEnd w:id="79"/>
      <w:bookmarkEnd w:id="80"/>
      <w:bookmarkEnd w:id="81"/>
      <w:r>
        <w:rPr>
          <w:rFonts w:hint="eastAsia" w:ascii="宋体" w:hAnsi="宋体"/>
          <w:snapToGrid w:val="0"/>
          <w:color w:val="auto"/>
          <w:sz w:val="21"/>
          <w:szCs w:val="21"/>
          <w:highlight w:val="none"/>
        </w:rPr>
        <w:t xml:space="preserve"> </w:t>
      </w:r>
    </w:p>
    <w:p w14:paraId="7B5449F0">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招标人：中国人寿保险股份有限公司重庆市分公司  </w:t>
      </w:r>
    </w:p>
    <w:p w14:paraId="7331B93B">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联系人：袁老师                                </w:t>
      </w:r>
    </w:p>
    <w:p w14:paraId="71E9F544">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电  话：023-68727392 </w:t>
      </w:r>
    </w:p>
    <w:p w14:paraId="362766E5">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监督部门：中国人寿保险股份有限公司重庆市分公司监督办公室</w:t>
      </w:r>
    </w:p>
    <w:p w14:paraId="5F56C5C7">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联系人：邱老师</w:t>
      </w:r>
    </w:p>
    <w:p w14:paraId="5345F854">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电话：023-63825529                           </w:t>
      </w:r>
    </w:p>
    <w:p w14:paraId="42E1D824">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地  址：重庆市渝中区筷子街2号中国人寿大厦     </w:t>
      </w:r>
    </w:p>
    <w:p w14:paraId="7E8E500C">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招标代理机构：重庆市永新咨询有限公司</w:t>
      </w:r>
    </w:p>
    <w:p w14:paraId="5EB7FCD8">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联系人：彭老师</w:t>
      </w:r>
    </w:p>
    <w:p w14:paraId="763A6035">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  话：13527552635</w:t>
      </w:r>
    </w:p>
    <w:p w14:paraId="13BE0947">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地  址：重庆市渝北区财富中心财富汇7楼 </w:t>
      </w:r>
    </w:p>
    <w:p w14:paraId="6B829923">
      <w:pPr>
        <w:jc w:val="right"/>
        <w:rPr>
          <w:snapToGrid w:val="0"/>
          <w:color w:val="auto"/>
          <w:kern w:val="0"/>
          <w:highlight w:val="none"/>
        </w:rPr>
      </w:pPr>
    </w:p>
    <w:p w14:paraId="1AFBFDED">
      <w:pPr>
        <w:jc w:val="right"/>
        <w:rPr>
          <w:snapToGrid w:val="0"/>
          <w:color w:val="auto"/>
          <w:kern w:val="0"/>
          <w:highlight w:val="none"/>
        </w:rPr>
      </w:pPr>
    </w:p>
    <w:p w14:paraId="73D64291">
      <w:pPr>
        <w:ind w:right="840"/>
        <w:rPr>
          <w:snapToGrid w:val="0"/>
          <w:color w:val="auto"/>
          <w:kern w:val="0"/>
          <w:highlight w:val="none"/>
        </w:rPr>
      </w:pPr>
    </w:p>
    <w:p w14:paraId="5C9FBA46">
      <w:pPr>
        <w:pStyle w:val="154"/>
        <w:adjustRightInd w:val="0"/>
        <w:spacing w:before="0" w:after="0"/>
        <w:ind w:left="0" w:leftChars="0" w:right="480" w:firstLine="0" w:firstLineChars="0"/>
        <w:rPr>
          <w:rFonts w:ascii="宋体"/>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4064000</wp:posOffset>
                </wp:positionH>
                <wp:positionV relativeFrom="paragraph">
                  <wp:posOffset>4461510</wp:posOffset>
                </wp:positionV>
                <wp:extent cx="1704975" cy="1028700"/>
                <wp:effectExtent l="4445" t="4445" r="5080" b="5080"/>
                <wp:wrapNone/>
                <wp:docPr id="20"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04975" cy="1028700"/>
                        </a:xfrm>
                        <a:prstGeom prst="rect">
                          <a:avLst/>
                        </a:prstGeom>
                        <a:solidFill>
                          <a:srgbClr val="FFFFFF"/>
                        </a:solidFill>
                        <a:ln w="9525">
                          <a:solidFill>
                            <a:srgbClr val="000000"/>
                          </a:solidFill>
                          <a:miter lim="800000"/>
                        </a:ln>
                        <a:effectLst/>
                      </wps:spPr>
                      <wps:txbx>
                        <w:txbxContent>
                          <w:p w14:paraId="3686A65F">
                            <w:r>
                              <w:rPr>
                                <w:rFonts w:hint="eastAsia"/>
                              </w:rPr>
                              <w:t>归口单位及该项目所属单位切记要择为“中国人寿重庆分公司”。然后按照页面要求，充相关信息及上传材料。</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20pt;margin-top:351.3pt;height:81pt;width:134.25pt;z-index:251659264;mso-width-relative:page;mso-height-relative:page;" fillcolor="#FFFFFF" filled="t" stroked="t" coordsize="21600,21600" o:gfxdata="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YuZqDaAAAACwEAAA8AAAAAAAAA&#10;AQAgAAAAIgAAAGRycy9kb3ducmV2LnhtbFBLAQIUABQAAAAIAIdO4kBFqdRBSAIAAJcEAAAOAAAA&#10;AAAAAAEAIAAAACkBAABkcnMvZTJvRG9jLnhtbFBLBQYAAAAABgAGAFkBAADjBQAAAAA=&#10;">
                <v:fill on="t" focussize="0,0"/>
                <v:stroke color="#000000" miterlimit="8" joinstyle="miter"/>
                <v:imagedata o:title=""/>
                <o:lock v:ext="edit" aspectratio="f"/>
                <v:textbox>
                  <w:txbxContent>
                    <w:p w14:paraId="3686A65F">
                      <w:r>
                        <w:rPr>
                          <w:rFonts w:hint="eastAsia"/>
                        </w:rPr>
                        <w:t>归口单位及该项目所属单位切记要择为“中国人寿重庆分公司”。然后按照页面要求，充相关信息及上传材料。</w:t>
                      </w:r>
                    </w:p>
                  </w:txbxContent>
                </v:textbox>
              </v:shape>
            </w:pict>
          </mc:Fallback>
        </mc:AlternateContent>
      </w:r>
      <w:r>
        <w:rPr>
          <w:rFonts w:ascii="宋体" w:cs="宋体"/>
          <w:b/>
          <w:color w:val="auto"/>
          <w:sz w:val="36"/>
          <w:szCs w:val="36"/>
          <w:highlight w:val="none"/>
        </w:rPr>
        <w:br w:type="page"/>
      </w:r>
      <w:r>
        <w:rPr>
          <w:rFonts w:hint="eastAsia" w:ascii="宋体"/>
          <w:color w:val="auto"/>
          <w:highlight w:val="none"/>
        </w:rPr>
        <w:t>中国人寿招标采购网注册说明：</w:t>
      </w:r>
    </w:p>
    <w:p w14:paraId="35FE1AA1">
      <w:pPr>
        <w:pStyle w:val="154"/>
        <w:adjustRightInd w:val="0"/>
        <w:spacing w:before="0" w:after="0"/>
        <w:ind w:left="0" w:leftChars="0" w:right="480" w:firstLine="0" w:firstLineChars="0"/>
        <w:rPr>
          <w:rFonts w:ascii="宋体"/>
          <w:color w:val="auto"/>
          <w:highlight w:val="none"/>
        </w:rPr>
      </w:pPr>
      <w:r>
        <w:rPr>
          <w:rFonts w:ascii="宋体"/>
          <w:color w:val="auto"/>
          <w:highlight w:val="none"/>
        </w:rPr>
        <w:drawing>
          <wp:inline distT="0" distB="0" distL="114300" distR="114300">
            <wp:extent cx="5483860" cy="3945890"/>
            <wp:effectExtent l="0" t="0" r="2540" b="6985"/>
            <wp:docPr id="2" name="图片 5" descr="说明: 注册截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注册截屏-2"/>
                    <pic:cNvPicPr>
                      <a:picLocks noChangeAspect="1"/>
                    </pic:cNvPicPr>
                  </pic:nvPicPr>
                  <pic:blipFill>
                    <a:blip r:embed="rId12"/>
                    <a:stretch>
                      <a:fillRect/>
                    </a:stretch>
                  </pic:blipFill>
                  <pic:spPr>
                    <a:xfrm>
                      <a:off x="0" y="0"/>
                      <a:ext cx="5483860" cy="3945890"/>
                    </a:xfrm>
                    <a:prstGeom prst="rect">
                      <a:avLst/>
                    </a:prstGeom>
                    <a:noFill/>
                    <a:ln>
                      <a:noFill/>
                    </a:ln>
                  </pic:spPr>
                </pic:pic>
              </a:graphicData>
            </a:graphic>
          </wp:inline>
        </w:drawing>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5088255</wp:posOffset>
                </wp:positionH>
                <wp:positionV relativeFrom="paragraph">
                  <wp:posOffset>1842135</wp:posOffset>
                </wp:positionV>
                <wp:extent cx="1464310" cy="1797685"/>
                <wp:effectExtent l="4445" t="4445" r="7620" b="7620"/>
                <wp:wrapNone/>
                <wp:docPr id="2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464310" cy="273685"/>
                        </a:xfrm>
                        <a:prstGeom prst="rect">
                          <a:avLst/>
                        </a:prstGeom>
                        <a:solidFill>
                          <a:srgbClr val="FFFFFF"/>
                        </a:solidFill>
                        <a:ln w="9525">
                          <a:solidFill>
                            <a:srgbClr val="000000"/>
                          </a:solidFill>
                          <a:miter lim="800000"/>
                        </a:ln>
                        <a:effectLst/>
                      </wps:spPr>
                      <wps:txbx>
                        <w:txbxContent>
                          <w:p w14:paraId="5281F13C">
                            <w:r>
                              <w:rPr>
                                <w:rFonts w:hint="eastAsia"/>
                              </w:rPr>
                              <w:t>从供应商注册处登录</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400.65pt;margin-top:145.05pt;height:141.55pt;width:115.3pt;z-index:251660288;mso-width-relative:page;mso-height-relative:margin;mso-height-percent:200;" fillcolor="#FFFFFF" filled="t" stroked="t" coordsize="21600,21600" o:gfxdata="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eEk02QAAAAwBAAAPAAAAAAAAAAEA&#10;IAAAACIAAABkcnMvZG93bnJldi54bWxQSwECFAAUAAAACACHTuJAcbQ+S0cCAACWBAAADgAAAAAA&#10;AAABACAAAAAoAQAAZHJzL2Uyb0RvYy54bWxQSwUGAAAAAAYABgBZAQAA4QUAAAAA&#10;">
                <v:fill on="t" focussize="0,0"/>
                <v:stroke color="#000000" miterlimit="8" joinstyle="miter"/>
                <v:imagedata o:title=""/>
                <o:lock v:ext="edit" aspectratio="f"/>
                <v:textbox style="mso-fit-shape-to-text:t;">
                  <w:txbxContent>
                    <w:p w14:paraId="5281F13C">
                      <w:r>
                        <w:rPr>
                          <w:rFonts w:hint="eastAsia"/>
                        </w:rPr>
                        <w:t>从供应商注册处登录</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4064000</wp:posOffset>
                </wp:positionH>
                <wp:positionV relativeFrom="paragraph">
                  <wp:posOffset>4461510</wp:posOffset>
                </wp:positionV>
                <wp:extent cx="1704975" cy="1028700"/>
                <wp:effectExtent l="4445" t="4445" r="5080" b="508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04975" cy="1028700"/>
                        </a:xfrm>
                        <a:prstGeom prst="rect">
                          <a:avLst/>
                        </a:prstGeom>
                        <a:solidFill>
                          <a:srgbClr val="FFFFFF"/>
                        </a:solidFill>
                        <a:ln w="9525">
                          <a:solidFill>
                            <a:srgbClr val="000000"/>
                          </a:solidFill>
                          <a:miter lim="800000"/>
                        </a:ln>
                        <a:effectLst/>
                      </wps:spPr>
                      <wps:txbx>
                        <w:txbxContent>
                          <w:p w14:paraId="5A2EDB80">
                            <w:r>
                              <w:rPr>
                                <w:rFonts w:hint="eastAsia"/>
                              </w:rPr>
                              <w:t>归口单位及该项目所属单位切记要选择为“中国人寿重庆分公司”。然后按照页面要求，填充相关信息及上传材料。</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20pt;margin-top:351.3pt;height:81pt;width:134.25pt;z-index:251661312;mso-width-relative:page;mso-height-relative:page;" fillcolor="#FFFFFF" filled="t" stroked="t" coordsize="21600,21600" o:gfxdata="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Lmag2gAAAAsBAAAPAAAAAAAA&#10;AAEAIAAAACIAAABkcnMvZG93bnJldi54bWxQSwECFAAUAAAACACHTuJAVnxzyEkCAACWBAAADgAA&#10;AAAAAAABACAAAAApAQAAZHJzL2Uyb0RvYy54bWxQSwUGAAAAAAYABgBZAQAA5AUAAAAA&#10;">
                <v:fill on="t" focussize="0,0"/>
                <v:stroke color="#000000" miterlimit="8" joinstyle="miter"/>
                <v:imagedata o:title=""/>
                <o:lock v:ext="edit" aspectratio="f"/>
                <v:textbox>
                  <w:txbxContent>
                    <w:p w14:paraId="5A2EDB80">
                      <w:r>
                        <w:rPr>
                          <w:rFonts w:hint="eastAsia"/>
                        </w:rPr>
                        <w:t>归口单位及该项目所属单位切记要选择为“中国人寿重庆分公司”。然后按照页面要求，填充相关信息及上传材料。</w:t>
                      </w:r>
                    </w:p>
                  </w:txbxContent>
                </v:textbox>
              </v:shape>
            </w:pict>
          </mc:Fallback>
        </mc:AlternateContent>
      </w:r>
      <w:r>
        <w:rPr>
          <w:color w:val="auto"/>
          <w:highlight w:val="none"/>
        </w:rPr>
        <w:drawing>
          <wp:inline distT="0" distB="0" distL="114300" distR="114300">
            <wp:extent cx="4661535" cy="3133725"/>
            <wp:effectExtent l="0" t="0" r="5715"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3"/>
                    <a:stretch>
                      <a:fillRect/>
                    </a:stretch>
                  </pic:blipFill>
                  <pic:spPr>
                    <a:xfrm>
                      <a:off x="0" y="0"/>
                      <a:ext cx="4661535" cy="3133725"/>
                    </a:xfrm>
                    <a:prstGeom prst="rect">
                      <a:avLst/>
                    </a:prstGeom>
                    <a:noFill/>
                    <a:ln>
                      <a:noFill/>
                    </a:ln>
                  </pic:spPr>
                </pic:pic>
              </a:graphicData>
            </a:graphic>
          </wp:inline>
        </w:drawing>
      </w:r>
    </w:p>
    <w:p w14:paraId="37C1ED3B">
      <w:pPr>
        <w:jc w:val="center"/>
        <w:rPr>
          <w:rFonts w:ascii="宋体" w:hAnsi="宋体"/>
          <w:snapToGrid w:val="0"/>
          <w:color w:val="auto"/>
          <w:kern w:val="0"/>
          <w:highlight w:val="none"/>
        </w:rPr>
      </w:pPr>
      <w:r>
        <w:rPr>
          <w:rFonts w:ascii="宋体" w:cs="宋体"/>
          <w:b/>
          <w:color w:val="auto"/>
          <w:sz w:val="36"/>
          <w:szCs w:val="36"/>
          <w:highlight w:val="none"/>
        </w:rPr>
        <w:br w:type="page"/>
      </w:r>
      <w:bookmarkStart w:id="82" w:name="_Toc29558"/>
      <w:r>
        <w:rPr>
          <w:rFonts w:hint="eastAsia" w:ascii="宋体" w:hAnsi="宋体"/>
          <w:b/>
          <w:bCs/>
          <w:snapToGrid w:val="0"/>
          <w:color w:val="auto"/>
          <w:kern w:val="0"/>
          <w:sz w:val="44"/>
          <w:szCs w:val="44"/>
          <w:highlight w:val="none"/>
        </w:rPr>
        <w:t>第二章  投标人须知</w:t>
      </w:r>
      <w:bookmarkEnd w:id="82"/>
    </w:p>
    <w:p w14:paraId="7872ED81">
      <w:pPr>
        <w:pStyle w:val="3"/>
        <w:spacing w:line="360" w:lineRule="auto"/>
        <w:rPr>
          <w:rFonts w:ascii="宋体" w:hAnsi="宋体"/>
          <w:color w:val="auto"/>
          <w:sz w:val="30"/>
          <w:szCs w:val="30"/>
          <w:highlight w:val="none"/>
        </w:rPr>
      </w:pPr>
      <w:bookmarkStart w:id="83" w:name="_Toc2030"/>
      <w:bookmarkStart w:id="84" w:name="_Toc41402246"/>
      <w:r>
        <w:rPr>
          <w:rFonts w:hint="eastAsia" w:ascii="宋体" w:hAnsi="宋体"/>
          <w:color w:val="auto"/>
          <w:sz w:val="30"/>
          <w:szCs w:val="30"/>
          <w:highlight w:val="none"/>
        </w:rPr>
        <w:t>投标人须知前附表</w:t>
      </w:r>
      <w:bookmarkEnd w:id="83"/>
      <w:bookmarkEnd w:id="84"/>
    </w:p>
    <w:tbl>
      <w:tblPr>
        <w:tblStyle w:val="4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59"/>
      </w:tblGrid>
      <w:tr w14:paraId="32C0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Header/>
        </w:trPr>
        <w:tc>
          <w:tcPr>
            <w:tcW w:w="1008" w:type="dxa"/>
            <w:vAlign w:val="center"/>
          </w:tcPr>
          <w:p w14:paraId="4A9428A9">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980" w:type="dxa"/>
            <w:vAlign w:val="center"/>
          </w:tcPr>
          <w:p w14:paraId="2D81ECBC">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759" w:type="dxa"/>
            <w:vAlign w:val="center"/>
          </w:tcPr>
          <w:p w14:paraId="48E4267B">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3FA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008" w:type="dxa"/>
            <w:vAlign w:val="center"/>
          </w:tcPr>
          <w:p w14:paraId="6437F31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80" w:type="dxa"/>
            <w:vAlign w:val="center"/>
          </w:tcPr>
          <w:p w14:paraId="704ED88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6759" w:type="dxa"/>
            <w:vAlign w:val="center"/>
          </w:tcPr>
          <w:p w14:paraId="3EC57BC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招标人：中国人寿保险股份有限公司重庆市分公司  </w:t>
            </w:r>
          </w:p>
          <w:p w14:paraId="172ABEA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联系人：袁老师                                </w:t>
            </w:r>
          </w:p>
          <w:p w14:paraId="1A9FD98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电  话：023-68727392 </w:t>
            </w:r>
          </w:p>
          <w:p w14:paraId="34F8164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监督部门：中国人寿保险股份有限公司重庆市分公司监督办公室</w:t>
            </w:r>
          </w:p>
          <w:p w14:paraId="5E00464C">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联系人：邱老师</w:t>
            </w:r>
          </w:p>
          <w:p w14:paraId="43159CE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电话：023-63825529                           </w:t>
            </w:r>
          </w:p>
          <w:p w14:paraId="3F2AE8A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地  址：重庆市渝中区筷子街2号中国人寿大厦     </w:t>
            </w:r>
          </w:p>
        </w:tc>
      </w:tr>
      <w:tr w14:paraId="4117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008" w:type="dxa"/>
            <w:vAlign w:val="center"/>
          </w:tcPr>
          <w:p w14:paraId="3F902D6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80" w:type="dxa"/>
            <w:vAlign w:val="center"/>
          </w:tcPr>
          <w:p w14:paraId="07482D4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招标代理机构</w:t>
            </w:r>
          </w:p>
        </w:tc>
        <w:tc>
          <w:tcPr>
            <w:tcW w:w="6759" w:type="dxa"/>
            <w:vAlign w:val="center"/>
          </w:tcPr>
          <w:p w14:paraId="3FF450AB">
            <w:pPr>
              <w:pStyle w:val="40"/>
              <w:adjustRightInd w:val="0"/>
              <w:snapToGrid w:val="0"/>
              <w:spacing w:before="0" w:beforeAutospacing="0" w:after="0" w:afterAutospacing="0" w:line="40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招标代理机构：重庆市永新咨询有限公司 </w:t>
            </w:r>
          </w:p>
          <w:p w14:paraId="4AE6CC33">
            <w:pPr>
              <w:pStyle w:val="40"/>
              <w:adjustRightInd w:val="0"/>
              <w:snapToGrid w:val="0"/>
              <w:spacing w:before="0" w:beforeAutospacing="0" w:after="0" w:afterAutospacing="0" w:line="40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联系人：彭老师 </w:t>
            </w:r>
          </w:p>
          <w:p w14:paraId="00B42150">
            <w:pPr>
              <w:pStyle w:val="40"/>
              <w:adjustRightInd w:val="0"/>
              <w:snapToGrid w:val="0"/>
              <w:spacing w:before="0" w:beforeAutospacing="0" w:after="0" w:afterAutospacing="0" w:line="40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电  话：13527552635</w:t>
            </w:r>
          </w:p>
          <w:p w14:paraId="5AC4B33C">
            <w:pPr>
              <w:pStyle w:val="40"/>
              <w:adjustRightInd w:val="0"/>
              <w:snapToGrid w:val="0"/>
              <w:spacing w:before="0" w:beforeAutospacing="0" w:after="0" w:afterAutospacing="0" w:line="40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地  址：重庆市渝北区财富中心财富汇7楼</w:t>
            </w:r>
          </w:p>
        </w:tc>
      </w:tr>
      <w:tr w14:paraId="23EA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008" w:type="dxa"/>
            <w:vAlign w:val="center"/>
          </w:tcPr>
          <w:p w14:paraId="46DB321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80" w:type="dxa"/>
            <w:vAlign w:val="center"/>
          </w:tcPr>
          <w:p w14:paraId="38F06EF8">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759" w:type="dxa"/>
            <w:vAlign w:val="center"/>
          </w:tcPr>
          <w:p w14:paraId="45D562D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中国人寿保险股份有限公司重庆市分公司个险渠道客户活动采购 </w:t>
            </w:r>
          </w:p>
        </w:tc>
      </w:tr>
      <w:tr w14:paraId="6E7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08" w:type="dxa"/>
            <w:vAlign w:val="center"/>
          </w:tcPr>
          <w:p w14:paraId="39FB170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80" w:type="dxa"/>
            <w:vAlign w:val="center"/>
          </w:tcPr>
          <w:p w14:paraId="477996A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服务地点</w:t>
            </w:r>
          </w:p>
        </w:tc>
        <w:tc>
          <w:tcPr>
            <w:tcW w:w="6759" w:type="dxa"/>
            <w:vAlign w:val="center"/>
          </w:tcPr>
          <w:p w14:paraId="339E03A1">
            <w:pPr>
              <w:spacing w:line="480" w:lineRule="auto"/>
              <w:rPr>
                <w:rFonts w:ascii="宋体" w:hAnsi="宋体" w:cs="宋体"/>
                <w:color w:val="auto"/>
                <w:szCs w:val="21"/>
                <w:highlight w:val="none"/>
              </w:rPr>
            </w:pPr>
            <w:r>
              <w:rPr>
                <w:rFonts w:hint="eastAsia" w:ascii="宋体" w:hAnsi="宋体" w:cs="宋体"/>
                <w:color w:val="auto"/>
                <w:szCs w:val="21"/>
                <w:highlight w:val="none"/>
              </w:rPr>
              <w:t>招标人指定地点。</w:t>
            </w:r>
          </w:p>
        </w:tc>
      </w:tr>
      <w:tr w14:paraId="23C4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8" w:type="dxa"/>
            <w:vAlign w:val="center"/>
          </w:tcPr>
          <w:p w14:paraId="6DCA727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80" w:type="dxa"/>
            <w:vAlign w:val="center"/>
          </w:tcPr>
          <w:p w14:paraId="4F13D27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759" w:type="dxa"/>
            <w:vAlign w:val="center"/>
          </w:tcPr>
          <w:p w14:paraId="2C4F657E">
            <w:pPr>
              <w:pStyle w:val="153"/>
              <w:spacing w:line="360" w:lineRule="auto"/>
              <w:rPr>
                <w:rFonts w:ascii="宋体" w:hAnsi="宋体" w:cs="宋体"/>
                <w:color w:val="auto"/>
                <w:szCs w:val="21"/>
                <w:highlight w:val="none"/>
              </w:rPr>
            </w:pPr>
            <w:r>
              <w:rPr>
                <w:rFonts w:hint="eastAsia" w:ascii="宋体" w:hAnsi="宋体" w:cs="宋体"/>
                <w:color w:val="auto"/>
                <w:szCs w:val="21"/>
                <w:highlight w:val="none"/>
              </w:rPr>
              <w:t>资金来源为：自筹资金，出资比例：100%。</w:t>
            </w:r>
          </w:p>
        </w:tc>
      </w:tr>
      <w:tr w14:paraId="5E78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08" w:type="dxa"/>
            <w:vAlign w:val="center"/>
          </w:tcPr>
          <w:p w14:paraId="6701C0D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80" w:type="dxa"/>
            <w:vAlign w:val="center"/>
          </w:tcPr>
          <w:p w14:paraId="49CF62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招标范围</w:t>
            </w:r>
          </w:p>
        </w:tc>
        <w:tc>
          <w:tcPr>
            <w:tcW w:w="6759" w:type="dxa"/>
            <w:vAlign w:val="center"/>
          </w:tcPr>
          <w:p w14:paraId="520D6537">
            <w:pPr>
              <w:pStyle w:val="3"/>
              <w:spacing w:line="360" w:lineRule="auto"/>
              <w:rPr>
                <w:rFonts w:ascii="宋体" w:hAnsi="宋体" w:cs="宋体"/>
                <w:b w:val="0"/>
                <w:bCs w:val="0"/>
                <w:color w:val="auto"/>
                <w:sz w:val="21"/>
                <w:szCs w:val="21"/>
                <w:highlight w:val="none"/>
              </w:rPr>
            </w:pPr>
            <w:bookmarkStart w:id="85" w:name="_Toc31555"/>
            <w:r>
              <w:rPr>
                <w:rFonts w:hint="eastAsia" w:ascii="宋体" w:hAnsi="宋体" w:cs="宋体"/>
                <w:b w:val="0"/>
                <w:bCs w:val="0"/>
                <w:color w:val="auto"/>
                <w:sz w:val="21"/>
                <w:szCs w:val="21"/>
                <w:highlight w:val="none"/>
              </w:rPr>
              <w:t>同第一章招标公告第2条项目概况与招标范围。</w:t>
            </w:r>
            <w:bookmarkEnd w:id="85"/>
          </w:p>
        </w:tc>
      </w:tr>
      <w:tr w14:paraId="7194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08" w:type="dxa"/>
            <w:vAlign w:val="center"/>
          </w:tcPr>
          <w:p w14:paraId="1F045D4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80" w:type="dxa"/>
            <w:vAlign w:val="center"/>
          </w:tcPr>
          <w:p w14:paraId="1A265295">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服务期限</w:t>
            </w:r>
          </w:p>
        </w:tc>
        <w:tc>
          <w:tcPr>
            <w:tcW w:w="6759" w:type="dxa"/>
            <w:vAlign w:val="center"/>
          </w:tcPr>
          <w:p w14:paraId="7479DAF7">
            <w:pPr>
              <w:widowControl/>
              <w:spacing w:line="360" w:lineRule="auto"/>
              <w:jc w:val="left"/>
              <w:rPr>
                <w:rFonts w:ascii="宋体" w:hAnsi="宋体" w:cs="宋体"/>
                <w:b/>
                <w:color w:val="auto"/>
                <w:kern w:val="0"/>
                <w:szCs w:val="21"/>
                <w:highlight w:val="none"/>
                <w:u w:val="single"/>
              </w:rPr>
            </w:pPr>
            <w:r>
              <w:rPr>
                <w:rFonts w:hint="eastAsia" w:ascii="宋体" w:hAnsi="宋体" w:cs="宋体"/>
                <w:color w:val="auto"/>
                <w:szCs w:val="21"/>
                <w:highlight w:val="none"/>
              </w:rPr>
              <w:t>同第一章招标公告第2条项目概况与招标范围。</w:t>
            </w:r>
          </w:p>
        </w:tc>
      </w:tr>
      <w:tr w14:paraId="393E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08" w:type="dxa"/>
            <w:vAlign w:val="center"/>
          </w:tcPr>
          <w:p w14:paraId="5CB859E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980" w:type="dxa"/>
            <w:vAlign w:val="center"/>
          </w:tcPr>
          <w:p w14:paraId="36613CC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投标人的资格条件</w:t>
            </w:r>
          </w:p>
        </w:tc>
        <w:tc>
          <w:tcPr>
            <w:tcW w:w="6759" w:type="dxa"/>
            <w:vAlign w:val="center"/>
          </w:tcPr>
          <w:p w14:paraId="2CAD4DCD">
            <w:pPr>
              <w:autoSpaceDE w:val="0"/>
              <w:autoSpaceDN w:val="0"/>
              <w:spacing w:line="440" w:lineRule="exact"/>
              <w:rPr>
                <w:rFonts w:ascii="宋体" w:hAnsi="宋体" w:cs="宋体"/>
                <w:b/>
                <w:color w:val="auto"/>
                <w:szCs w:val="21"/>
                <w:highlight w:val="none"/>
              </w:rPr>
            </w:pPr>
            <w:r>
              <w:rPr>
                <w:rFonts w:hint="eastAsia" w:ascii="宋体" w:hAnsi="宋体" w:cs="宋体"/>
                <w:color w:val="auto"/>
                <w:szCs w:val="21"/>
                <w:highlight w:val="none"/>
              </w:rPr>
              <w:t>同第一章招标公告第3条投标人资格要求。</w:t>
            </w:r>
          </w:p>
        </w:tc>
      </w:tr>
      <w:tr w14:paraId="3975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vAlign w:val="center"/>
          </w:tcPr>
          <w:p w14:paraId="1B17160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80" w:type="dxa"/>
            <w:vAlign w:val="center"/>
          </w:tcPr>
          <w:p w14:paraId="1D138D4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6759" w:type="dxa"/>
            <w:vAlign w:val="center"/>
          </w:tcPr>
          <w:p w14:paraId="1ED04E9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3483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14:paraId="5A35AEA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80" w:type="dxa"/>
            <w:vAlign w:val="center"/>
          </w:tcPr>
          <w:p w14:paraId="179BD39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投标预备会</w:t>
            </w:r>
          </w:p>
        </w:tc>
        <w:tc>
          <w:tcPr>
            <w:tcW w:w="6759" w:type="dxa"/>
            <w:vAlign w:val="center"/>
          </w:tcPr>
          <w:p w14:paraId="5899A12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不召开。</w:t>
            </w:r>
          </w:p>
        </w:tc>
      </w:tr>
      <w:tr w14:paraId="7C12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08" w:type="dxa"/>
            <w:vAlign w:val="center"/>
          </w:tcPr>
          <w:p w14:paraId="6D15D3C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80" w:type="dxa"/>
            <w:vAlign w:val="center"/>
          </w:tcPr>
          <w:p w14:paraId="3BD9FD4F">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759" w:type="dxa"/>
            <w:vAlign w:val="center"/>
          </w:tcPr>
          <w:p w14:paraId="42EAE14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07B4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8" w:type="dxa"/>
            <w:vAlign w:val="center"/>
          </w:tcPr>
          <w:p w14:paraId="0A79EF3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80" w:type="dxa"/>
            <w:vAlign w:val="center"/>
          </w:tcPr>
          <w:p w14:paraId="41AF37A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构成招标文件的其他材料</w:t>
            </w:r>
          </w:p>
        </w:tc>
        <w:tc>
          <w:tcPr>
            <w:tcW w:w="6759" w:type="dxa"/>
            <w:vAlign w:val="center"/>
          </w:tcPr>
          <w:p w14:paraId="4E0E305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对招标文件所作的澄清、修改及招标人发出的答疑及补遗书等资料。</w:t>
            </w:r>
          </w:p>
        </w:tc>
      </w:tr>
      <w:tr w14:paraId="00BF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08" w:type="dxa"/>
            <w:vAlign w:val="center"/>
          </w:tcPr>
          <w:p w14:paraId="03DB16B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80" w:type="dxa"/>
            <w:vAlign w:val="center"/>
          </w:tcPr>
          <w:p w14:paraId="14EE9F1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投标人要求澄清招标文件的截止时间</w:t>
            </w:r>
          </w:p>
        </w:tc>
        <w:tc>
          <w:tcPr>
            <w:tcW w:w="6759" w:type="dxa"/>
            <w:vAlign w:val="center"/>
          </w:tcPr>
          <w:p w14:paraId="12DE671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投标人应仔细阅读招标文件及附件的所有内容，如有文字表述不清，图纸尺寸标注不明以及存在错、漏、缺、概念模糊和有可能出现歧义或理解上的偏差的内容等应在招标公告规定的时间前提出。</w:t>
            </w:r>
          </w:p>
        </w:tc>
      </w:tr>
      <w:tr w14:paraId="3E7F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8" w:type="dxa"/>
            <w:vAlign w:val="center"/>
          </w:tcPr>
          <w:p w14:paraId="0C93DD0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80" w:type="dxa"/>
            <w:vAlign w:val="center"/>
          </w:tcPr>
          <w:p w14:paraId="2985AE2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6759" w:type="dxa"/>
            <w:vAlign w:val="center"/>
          </w:tcPr>
          <w:p w14:paraId="2646D4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详见招标公告规定的投标截止时间。</w:t>
            </w:r>
          </w:p>
        </w:tc>
      </w:tr>
      <w:tr w14:paraId="661A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8" w:type="dxa"/>
            <w:vAlign w:val="center"/>
          </w:tcPr>
          <w:p w14:paraId="265A42F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1980" w:type="dxa"/>
            <w:vAlign w:val="center"/>
          </w:tcPr>
          <w:p w14:paraId="5660642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招标文件的澄清</w:t>
            </w:r>
          </w:p>
        </w:tc>
        <w:tc>
          <w:tcPr>
            <w:tcW w:w="6759" w:type="dxa"/>
            <w:vAlign w:val="center"/>
          </w:tcPr>
          <w:p w14:paraId="2CF48DCC">
            <w:pPr>
              <w:snapToGrid w:val="0"/>
              <w:spacing w:line="360" w:lineRule="auto"/>
              <w:rPr>
                <w:rFonts w:ascii="宋体" w:hAnsi="宋体" w:cs="宋体"/>
                <w:snapToGrid w:val="0"/>
                <w:color w:val="auto"/>
                <w:kern w:val="0"/>
                <w:szCs w:val="21"/>
                <w:highlight w:val="none"/>
              </w:rPr>
            </w:pPr>
            <w:r>
              <w:rPr>
                <w:rFonts w:hint="eastAsia" w:ascii="宋体" w:hAnsi="宋体" w:cs="宋体"/>
                <w:color w:val="auto"/>
                <w:kern w:val="0"/>
                <w:szCs w:val="21"/>
                <w:highlight w:val="none"/>
              </w:rPr>
              <w:t>招标文件的澄清可能影响投标文件编制的，须在投标截止时间15日前发布，发布时间至投标截止时间不足15日的，须相应延后投标截止时间。</w:t>
            </w:r>
          </w:p>
        </w:tc>
      </w:tr>
      <w:tr w14:paraId="35B5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15DC679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80" w:type="dxa"/>
            <w:vAlign w:val="center"/>
          </w:tcPr>
          <w:p w14:paraId="7BA2DB8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构成投标文件的其他材料</w:t>
            </w:r>
          </w:p>
        </w:tc>
        <w:tc>
          <w:tcPr>
            <w:tcW w:w="6759" w:type="dxa"/>
            <w:vAlign w:val="center"/>
          </w:tcPr>
          <w:p w14:paraId="4379D3F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投标人的书面澄清、说明和补正。（但不得改变投标文件的实质性内容）</w:t>
            </w:r>
          </w:p>
        </w:tc>
      </w:tr>
      <w:tr w14:paraId="0644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08" w:type="dxa"/>
            <w:vAlign w:val="center"/>
          </w:tcPr>
          <w:p w14:paraId="0C4CAEE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80" w:type="dxa"/>
            <w:vAlign w:val="center"/>
          </w:tcPr>
          <w:p w14:paraId="45B1684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759" w:type="dxa"/>
            <w:vAlign w:val="center"/>
          </w:tcPr>
          <w:p w14:paraId="3AE963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日历天。（从提交投标文件截止日起计算）</w:t>
            </w:r>
          </w:p>
        </w:tc>
      </w:tr>
      <w:tr w14:paraId="220A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08" w:type="dxa"/>
            <w:vAlign w:val="center"/>
          </w:tcPr>
          <w:p w14:paraId="39ED3E8C">
            <w:pPr>
              <w:spacing w:before="100" w:beforeAutospacing="1" w:after="100" w:afterAutospacing="1"/>
              <w:jc w:val="center"/>
              <w:rPr>
                <w:rFonts w:ascii="宋体" w:hAnsi="宋体" w:cs="宋体"/>
                <w:color w:val="auto"/>
                <w:sz w:val="24"/>
                <w:highlight w:val="none"/>
              </w:rPr>
            </w:pPr>
            <w:r>
              <w:rPr>
                <w:rFonts w:hint="eastAsia" w:ascii="宋体" w:hAnsi="宋体" w:cs="宋体"/>
                <w:color w:val="auto"/>
                <w:highlight w:val="none"/>
              </w:rPr>
              <w:t>3.4.1</w:t>
            </w:r>
          </w:p>
        </w:tc>
        <w:tc>
          <w:tcPr>
            <w:tcW w:w="1980" w:type="dxa"/>
            <w:vAlign w:val="center"/>
          </w:tcPr>
          <w:p w14:paraId="68C14F04">
            <w:pPr>
              <w:spacing w:before="100" w:beforeAutospacing="1" w:after="100" w:afterAutospacing="1"/>
              <w:jc w:val="center"/>
              <w:rPr>
                <w:rFonts w:ascii="宋体" w:hAnsi="宋体" w:cs="宋体"/>
                <w:color w:val="auto"/>
                <w:sz w:val="24"/>
                <w:highlight w:val="none"/>
              </w:rPr>
            </w:pPr>
            <w:r>
              <w:rPr>
                <w:rFonts w:hint="eastAsia" w:ascii="宋体" w:hAnsi="宋体" w:cs="宋体"/>
                <w:color w:val="auto"/>
                <w:highlight w:val="none"/>
              </w:rPr>
              <w:t>投标保证金</w:t>
            </w:r>
          </w:p>
        </w:tc>
        <w:tc>
          <w:tcPr>
            <w:tcW w:w="6759" w:type="dxa"/>
            <w:vAlign w:val="center"/>
          </w:tcPr>
          <w:p w14:paraId="20D6E916">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投标保证金为：壹仟元整(RMB:1000.00元/标包)。（银行转账）</w:t>
            </w:r>
          </w:p>
          <w:p w14:paraId="6297267A">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1.投标保证金递交</w:t>
            </w:r>
          </w:p>
          <w:p w14:paraId="552084A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2.投标人应足额交纳投标保证金，并汇至所投项目对应的账户。</w:t>
            </w:r>
          </w:p>
          <w:p w14:paraId="50828F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投标保证金的交纳方式：以转账形式交纳投标保证金。</w:t>
            </w:r>
          </w:p>
          <w:p w14:paraId="018960A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投标人须按本项目规定的投标保证金金额进行缴纳，由投标人从其公司基本账户将投标保证金汇至以下指定账户：</w:t>
            </w:r>
          </w:p>
          <w:p w14:paraId="76AAD74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szCs w:val="21"/>
                <w:highlight w:val="none"/>
              </w:rPr>
              <w:t>114413653256</w:t>
            </w:r>
          </w:p>
          <w:p w14:paraId="2FFAA70A">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户  名：重庆市永新咨询有限公司</w:t>
            </w:r>
          </w:p>
          <w:p w14:paraId="2741A83B">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开户行：</w:t>
            </w:r>
            <w:r>
              <w:rPr>
                <w:rFonts w:hint="eastAsia" w:ascii="宋体" w:hAnsi="宋体" w:cs="宋体"/>
                <w:color w:val="auto"/>
                <w:szCs w:val="21"/>
                <w:highlight w:val="none"/>
              </w:rPr>
              <w:t>中国银行重庆两江分行</w:t>
            </w:r>
          </w:p>
          <w:p w14:paraId="28B5A59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3.保证金到账截止时间：2025年</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日17时00分前；</w:t>
            </w:r>
          </w:p>
          <w:p w14:paraId="6C30E1C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4.转款备注：</w:t>
            </w:r>
            <w:r>
              <w:rPr>
                <w:rFonts w:hint="eastAsia" w:ascii="宋体" w:hAnsi="宋体" w:cs="宋体"/>
                <w:color w:val="auto"/>
                <w:kern w:val="0"/>
                <w:szCs w:val="21"/>
                <w:highlight w:val="none"/>
                <w:u w:val="single"/>
              </w:rPr>
              <w:t xml:space="preserve">CQYX-25-87 </w:t>
            </w:r>
            <w:r>
              <w:rPr>
                <w:rFonts w:hint="eastAsia" w:ascii="宋体" w:hAnsi="宋体" w:cs="宋体"/>
                <w:color w:val="auto"/>
                <w:kern w:val="0"/>
                <w:szCs w:val="21"/>
                <w:highlight w:val="none"/>
              </w:rPr>
              <w:t xml:space="preserve">和 </w:t>
            </w:r>
            <w:r>
              <w:rPr>
                <w:rFonts w:hint="eastAsia" w:ascii="宋体" w:hAnsi="宋体" w:cs="宋体"/>
                <w:color w:val="auto"/>
                <w:kern w:val="0"/>
                <w:szCs w:val="21"/>
                <w:highlight w:val="none"/>
                <w:u w:val="single"/>
              </w:rPr>
              <w:t>所投标包号</w:t>
            </w:r>
            <w:r>
              <w:rPr>
                <w:rFonts w:hint="eastAsia" w:ascii="宋体" w:hAnsi="宋体" w:cs="宋体"/>
                <w:color w:val="auto"/>
                <w:kern w:val="0"/>
                <w:szCs w:val="21"/>
                <w:highlight w:val="none"/>
              </w:rPr>
              <w:t>。</w:t>
            </w:r>
          </w:p>
          <w:p w14:paraId="3FD4C7DC">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各投标人在银行转账（电汇）时，须充分考虑银行转账（电汇）的时间差风险，如同城转账、异地转账或汇款、跨行转账或汇款的时间要求；采用转账方式提交投标保证金的投标人应在转账凭证复印件上加盖投标单位公章并注明退款时拟退回的账户信息、支行信息，在投标当日登记时提交。</w:t>
            </w:r>
          </w:p>
          <w:p w14:paraId="3EE3DCE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投标保证金金额应严格按照招标文件中有关要求提供，投标保证金的有效期应当符合招标文件规定。</w:t>
            </w:r>
          </w:p>
          <w:p w14:paraId="5820A27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未按上述要求提交投标保证金的投标文件将可能被视为无效并可能导致投标被拒绝。</w:t>
            </w:r>
          </w:p>
          <w:p w14:paraId="1629D61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6保证金退还方式</w:t>
            </w:r>
          </w:p>
          <w:p w14:paraId="65B9CDCF">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6.1中标人和中标候选人以外的投标人的投标保证金，在中标通知书发放后5个工作日内以转账形式直接退还。</w:t>
            </w:r>
          </w:p>
          <w:p w14:paraId="7B14A27C">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6.2中标人和中标候选人的投标保证金，在中标人与采购人签订合同后5个工作日内以转账形式直接退还。</w:t>
            </w:r>
          </w:p>
          <w:p w14:paraId="506B5DBA">
            <w:pPr>
              <w:widowControl/>
              <w:spacing w:line="360" w:lineRule="auto"/>
              <w:ind w:firstLine="420" w:firstLineChars="200"/>
              <w:jc w:val="left"/>
              <w:rPr>
                <w:rFonts w:ascii="宋体" w:hAnsi="宋体" w:cs="宋体"/>
                <w:b/>
                <w:bCs/>
                <w:color w:val="auto"/>
                <w:highlight w:val="none"/>
              </w:rPr>
            </w:pPr>
            <w:r>
              <w:rPr>
                <w:rFonts w:hint="eastAsia" w:ascii="宋体" w:hAnsi="宋体" w:cs="宋体"/>
                <w:color w:val="auto"/>
                <w:kern w:val="0"/>
                <w:szCs w:val="21"/>
                <w:highlight w:val="none"/>
              </w:rPr>
              <w:t>咨询电话：17378301338</w:t>
            </w:r>
          </w:p>
        </w:tc>
      </w:tr>
      <w:tr w14:paraId="5A5B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301347C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980" w:type="dxa"/>
            <w:vAlign w:val="center"/>
          </w:tcPr>
          <w:p w14:paraId="1B791E7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759" w:type="dxa"/>
            <w:vAlign w:val="center"/>
          </w:tcPr>
          <w:p w14:paraId="71BDFD9F">
            <w:pPr>
              <w:snapToGrid w:val="0"/>
              <w:spacing w:before="156" w:beforeLines="50"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本须知第1.4.1项和第3.5项规定提供的资料应提供原件备查</w:t>
            </w:r>
            <w:r>
              <w:rPr>
                <w:rFonts w:hint="eastAsia" w:ascii="宋体" w:hAnsi="宋体" w:cs="宋体"/>
                <w:b/>
                <w:color w:val="auto"/>
                <w:szCs w:val="21"/>
                <w:highlight w:val="none"/>
              </w:rPr>
              <w:t>（</w:t>
            </w:r>
            <w:r>
              <w:rPr>
                <w:rFonts w:hint="eastAsia" w:ascii="宋体" w:hAnsi="宋体" w:cs="宋体"/>
                <w:b/>
                <w:color w:val="auto"/>
                <w:highlight w:val="none"/>
              </w:rPr>
              <w:t>承诺书除外</w:t>
            </w:r>
            <w:r>
              <w:rPr>
                <w:rFonts w:hint="eastAsia" w:ascii="宋体" w:hAnsi="宋体" w:cs="宋体"/>
                <w:b/>
                <w:color w:val="auto"/>
                <w:kern w:val="0"/>
                <w:szCs w:val="21"/>
                <w:highlight w:val="none"/>
              </w:rPr>
              <w:t>）。</w:t>
            </w:r>
          </w:p>
        </w:tc>
      </w:tr>
      <w:tr w14:paraId="7B7A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442A056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80" w:type="dxa"/>
            <w:vAlign w:val="center"/>
          </w:tcPr>
          <w:p w14:paraId="41B2EEB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是否允许递交备选投标方案</w:t>
            </w:r>
          </w:p>
        </w:tc>
        <w:tc>
          <w:tcPr>
            <w:tcW w:w="6759" w:type="dxa"/>
            <w:vAlign w:val="center"/>
          </w:tcPr>
          <w:p w14:paraId="771ED7E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5D6D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06C956C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80" w:type="dxa"/>
            <w:vAlign w:val="center"/>
          </w:tcPr>
          <w:p w14:paraId="4190176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759" w:type="dxa"/>
            <w:vAlign w:val="center"/>
          </w:tcPr>
          <w:p w14:paraId="2EC91F2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文件应用不褪色的材料写或打印，并由投标人的法定代表人或其委托代理人在招标文件规定的位置按照招标文件要求签名或盖章、盖单位法人章。委托代理人签名的，投标文件应附法定代表人签署的授权委托书。投标文件应尽量避免涂改、行间插字或删除。如果出现上述情况，改动之处盖章之处应加盖单位法人章或由投标人的法定代表人或其授权的代理人签名确认。</w:t>
            </w:r>
          </w:p>
        </w:tc>
      </w:tr>
      <w:tr w14:paraId="51EA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14:paraId="40D9867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80" w:type="dxa"/>
            <w:vAlign w:val="center"/>
          </w:tcPr>
          <w:p w14:paraId="2ED14C84">
            <w:pPr>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投标文件份数</w:t>
            </w:r>
          </w:p>
        </w:tc>
        <w:tc>
          <w:tcPr>
            <w:tcW w:w="6759" w:type="dxa"/>
            <w:vAlign w:val="center"/>
          </w:tcPr>
          <w:p w14:paraId="67598A14">
            <w:pPr>
              <w:spacing w:line="420" w:lineRule="exact"/>
              <w:rPr>
                <w:rFonts w:ascii="宋体" w:hAnsi="宋体" w:cs="宋体"/>
                <w:b/>
                <w:color w:val="auto"/>
                <w:highlight w:val="none"/>
              </w:rPr>
            </w:pPr>
            <w:r>
              <w:rPr>
                <w:rFonts w:hint="eastAsia" w:ascii="宋体" w:hAnsi="宋体" w:cs="宋体"/>
                <w:b/>
                <w:color w:val="auto"/>
                <w:highlight w:val="none"/>
              </w:rPr>
              <w:t>投标文件正本一份、副本一份、电子文档（U盘）一份（含所有投标文件正本的扫描件（PDF格式））。</w:t>
            </w:r>
          </w:p>
          <w:p w14:paraId="5E481F18">
            <w:pPr>
              <w:spacing w:line="420" w:lineRule="exact"/>
              <w:ind w:left="407" w:hanging="407" w:hangingChars="193"/>
              <w:rPr>
                <w:rFonts w:ascii="宋体" w:hAnsi="宋体" w:cs="宋体"/>
                <w:b/>
                <w:color w:val="auto"/>
                <w:highlight w:val="none"/>
              </w:rPr>
            </w:pPr>
            <w:r>
              <w:rPr>
                <w:rFonts w:hint="eastAsia" w:ascii="宋体" w:hAnsi="宋体" w:cs="宋体"/>
                <w:b/>
                <w:color w:val="auto"/>
                <w:highlight w:val="none"/>
              </w:rPr>
              <w:t>注：1）副本可为正本复印件，正本和副本均应逐页加盖投标人公章（鲜章）。</w:t>
            </w:r>
          </w:p>
          <w:p w14:paraId="76A383E6">
            <w:pPr>
              <w:snapToGrid w:val="0"/>
              <w:spacing w:line="360" w:lineRule="auto"/>
              <w:ind w:firstLine="413" w:firstLineChars="196"/>
              <w:rPr>
                <w:rFonts w:ascii="宋体" w:hAnsi="宋体" w:cs="宋体"/>
                <w:color w:val="auto"/>
                <w:kern w:val="0"/>
                <w:szCs w:val="21"/>
                <w:highlight w:val="none"/>
              </w:rPr>
            </w:pPr>
            <w:r>
              <w:rPr>
                <w:rFonts w:hint="eastAsia" w:ascii="宋体" w:hAnsi="宋体" w:cs="宋体"/>
                <w:b/>
                <w:color w:val="auto"/>
                <w:highlight w:val="none"/>
              </w:rPr>
              <w:t>2)正本和副本的封面上应清楚地标记“正本”或“副本”的字样。</w:t>
            </w:r>
          </w:p>
        </w:tc>
      </w:tr>
      <w:tr w14:paraId="3315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08" w:type="dxa"/>
            <w:vAlign w:val="center"/>
          </w:tcPr>
          <w:p w14:paraId="1CD98C5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80" w:type="dxa"/>
            <w:vAlign w:val="center"/>
          </w:tcPr>
          <w:p w14:paraId="23DC2B18">
            <w:pPr>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装订要求</w:t>
            </w:r>
          </w:p>
        </w:tc>
        <w:tc>
          <w:tcPr>
            <w:tcW w:w="6759" w:type="dxa"/>
            <w:vAlign w:val="center"/>
          </w:tcPr>
          <w:p w14:paraId="6FCF440D">
            <w:pPr>
              <w:adjustRightInd w:val="0"/>
              <w:snapToGrid w:val="0"/>
              <w:spacing w:line="440" w:lineRule="atLeast"/>
              <w:rPr>
                <w:rFonts w:ascii="宋体" w:hAnsi="宋体" w:cs="宋体"/>
                <w:b/>
                <w:color w:val="auto"/>
                <w:highlight w:val="none"/>
              </w:rPr>
            </w:pPr>
            <w:r>
              <w:rPr>
                <w:rFonts w:hint="eastAsia" w:ascii="宋体" w:hAnsi="宋体" w:cs="宋体"/>
                <w:b/>
                <w:color w:val="auto"/>
                <w:highlight w:val="none"/>
              </w:rPr>
              <w:t>1.投标文件内容按第六章规定的格式装订成册，并应编制目录。</w:t>
            </w:r>
          </w:p>
          <w:p w14:paraId="0F9C2CDB">
            <w:pPr>
              <w:adjustRightInd w:val="0"/>
              <w:snapToGrid w:val="0"/>
              <w:spacing w:line="440" w:lineRule="atLeast"/>
              <w:rPr>
                <w:rFonts w:ascii="宋体" w:hAnsi="宋体" w:cs="宋体"/>
                <w:b/>
                <w:color w:val="auto"/>
                <w:highlight w:val="none"/>
              </w:rPr>
            </w:pPr>
            <w:r>
              <w:rPr>
                <w:rFonts w:hint="eastAsia" w:ascii="宋体" w:hAnsi="宋体" w:cs="宋体"/>
                <w:b/>
                <w:color w:val="auto"/>
                <w:highlight w:val="none"/>
              </w:rPr>
              <w:t>2.投标文件分为正本和副本，副本可为正本的复印件，正本和副本均应逐页加盖投标人公章（鲜章），同时须在投标文件封面上注明“正本”、“副本”。</w:t>
            </w:r>
          </w:p>
          <w:p w14:paraId="27B98D0B">
            <w:pPr>
              <w:spacing w:line="440" w:lineRule="atLeast"/>
              <w:rPr>
                <w:rFonts w:ascii="宋体" w:hAnsi="宋体" w:cs="宋体"/>
                <w:b/>
                <w:color w:val="auto"/>
                <w:highlight w:val="none"/>
              </w:rPr>
            </w:pPr>
            <w:r>
              <w:rPr>
                <w:rFonts w:hint="eastAsia" w:ascii="宋体" w:hAnsi="宋体" w:cs="宋体"/>
                <w:b/>
                <w:color w:val="auto"/>
                <w:highlight w:val="none"/>
              </w:rPr>
              <w:t>3.投标文件电子文档（U盘）用信封封装，注明项目名称并加盖投标人公章（鲜章），装入投标文件大袋。</w:t>
            </w:r>
          </w:p>
        </w:tc>
      </w:tr>
      <w:tr w14:paraId="1EFE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8" w:type="dxa"/>
            <w:vAlign w:val="center"/>
          </w:tcPr>
          <w:p w14:paraId="58A3F3B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80" w:type="dxa"/>
            <w:vAlign w:val="center"/>
          </w:tcPr>
          <w:p w14:paraId="218BCB6C">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投标文件的密封</w:t>
            </w:r>
          </w:p>
        </w:tc>
        <w:tc>
          <w:tcPr>
            <w:tcW w:w="6759" w:type="dxa"/>
            <w:tcBorders>
              <w:bottom w:val="single" w:color="auto" w:sz="4" w:space="0"/>
            </w:tcBorders>
            <w:vAlign w:val="center"/>
          </w:tcPr>
          <w:p w14:paraId="1AAF9C02">
            <w:pPr>
              <w:widowControl/>
              <w:spacing w:line="360" w:lineRule="auto"/>
              <w:rPr>
                <w:rFonts w:ascii="宋体" w:hAnsi="宋体" w:cs="宋体"/>
                <w:color w:val="auto"/>
                <w:highlight w:val="none"/>
              </w:rPr>
            </w:pPr>
            <w:r>
              <w:rPr>
                <w:rFonts w:hint="eastAsia" w:ascii="宋体" w:hAnsi="宋体" w:cs="宋体"/>
                <w:color w:val="auto"/>
                <w:highlight w:val="none"/>
              </w:rPr>
              <w:t>1. 投标文件正本、副本和U盘装入“投标文件”大袋中，密封并在大袋上加盖投标人单位公章。同时“投标文件”大袋应按本表第4.1.2项的规定写明相应内容。</w:t>
            </w:r>
          </w:p>
          <w:p w14:paraId="327BEDBD">
            <w:pPr>
              <w:spacing w:line="360" w:lineRule="auto"/>
              <w:rPr>
                <w:rFonts w:ascii="宋体" w:hAnsi="宋体" w:cs="宋体"/>
                <w:color w:val="auto"/>
                <w:highlight w:val="none"/>
              </w:rPr>
            </w:pPr>
            <w:r>
              <w:rPr>
                <w:rFonts w:hint="eastAsia" w:ascii="宋体" w:hAnsi="宋体" w:cs="宋体"/>
                <w:color w:val="auto"/>
                <w:highlight w:val="none"/>
              </w:rPr>
              <w:t>2. 若“投标文件”大袋未按上述规定封装，招标人或招标代理机构应当拒绝接收。</w:t>
            </w:r>
          </w:p>
          <w:p w14:paraId="7407E259">
            <w:pPr>
              <w:widowControl/>
              <w:rPr>
                <w:rFonts w:ascii="宋体" w:hAnsi="宋体" w:cs="宋体"/>
                <w:color w:val="auto"/>
                <w:highlight w:val="none"/>
              </w:rPr>
            </w:pPr>
            <w:r>
              <w:rPr>
                <w:rFonts w:hint="eastAsia" w:ascii="宋体" w:hAnsi="宋体" w:cs="宋体"/>
                <w:color w:val="auto"/>
                <w:highlight w:val="none"/>
              </w:rPr>
              <w:t>3. 如若资料较厚，可以增加相应的袋子，但装订、密封必须仍按照招标文件规定执行。</w:t>
            </w:r>
          </w:p>
        </w:tc>
      </w:tr>
      <w:tr w14:paraId="0DA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8" w:type="dxa"/>
            <w:vAlign w:val="center"/>
          </w:tcPr>
          <w:p w14:paraId="3B15C1F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80" w:type="dxa"/>
            <w:vAlign w:val="center"/>
          </w:tcPr>
          <w:p w14:paraId="29AE24B4">
            <w:pPr>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封套上写明</w:t>
            </w:r>
          </w:p>
        </w:tc>
        <w:tc>
          <w:tcPr>
            <w:tcW w:w="6759" w:type="dxa"/>
            <w:vAlign w:val="center"/>
          </w:tcPr>
          <w:p w14:paraId="4CC3429E">
            <w:pPr>
              <w:snapToGrid w:val="0"/>
              <w:rPr>
                <w:rFonts w:ascii="宋体" w:hAnsi="宋体" w:cs="宋体"/>
                <w:b/>
                <w:bCs/>
                <w:color w:val="auto"/>
                <w:kern w:val="0"/>
                <w:highlight w:val="none"/>
              </w:rPr>
            </w:pPr>
            <w:r>
              <w:rPr>
                <w:rFonts w:hint="eastAsia" w:ascii="宋体" w:hAnsi="宋体" w:cs="宋体"/>
                <w:b/>
                <w:bCs/>
                <w:color w:val="auto"/>
                <w:kern w:val="0"/>
                <w:highlight w:val="none"/>
              </w:rPr>
              <w:t>应在“投标文件”大袋的封套上写明如下内容：</w:t>
            </w:r>
          </w:p>
          <w:p w14:paraId="3A0B56EA">
            <w:pPr>
              <w:snapToGrid w:val="0"/>
              <w:rPr>
                <w:rFonts w:ascii="宋体" w:hAnsi="宋体" w:cs="宋体"/>
                <w:b/>
                <w:bCs/>
                <w:color w:val="auto"/>
                <w:kern w:val="0"/>
                <w:highlight w:val="none"/>
              </w:rPr>
            </w:pPr>
            <w:r>
              <w:rPr>
                <w:rFonts w:hint="eastAsia" w:ascii="宋体" w:hAnsi="宋体" w:cs="宋体"/>
                <w:b/>
                <w:bCs/>
                <w:color w:val="auto"/>
                <w:kern w:val="0"/>
                <w:highlight w:val="none"/>
              </w:rPr>
              <w:t xml:space="preserve">招标人名称：  </w:t>
            </w:r>
          </w:p>
          <w:p w14:paraId="38E7B233">
            <w:pPr>
              <w:snapToGrid w:val="0"/>
              <w:ind w:firstLine="310" w:firstLineChars="147"/>
              <w:rPr>
                <w:rFonts w:ascii="宋体" w:hAnsi="宋体" w:cs="宋体"/>
                <w:b/>
                <w:bCs/>
                <w:color w:val="auto"/>
                <w:kern w:val="0"/>
                <w:highlight w:val="none"/>
              </w:rPr>
            </w:pP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 xml:space="preserve"> (项目名称）投标文件</w:t>
            </w:r>
          </w:p>
          <w:p w14:paraId="5B53E415">
            <w:pPr>
              <w:snapToGrid w:val="0"/>
              <w:rPr>
                <w:rFonts w:ascii="宋体" w:hAnsi="宋体" w:cs="宋体"/>
                <w:b/>
                <w:bCs/>
                <w:color w:val="auto"/>
                <w:kern w:val="0"/>
                <w:highlight w:val="none"/>
              </w:rPr>
            </w:pPr>
            <w:r>
              <w:rPr>
                <w:rFonts w:hint="eastAsia" w:ascii="宋体" w:hAnsi="宋体" w:cs="宋体"/>
                <w:b/>
                <w:bCs/>
                <w:color w:val="auto"/>
                <w:kern w:val="0"/>
                <w:highlight w:val="none"/>
              </w:rPr>
              <w:t>在</w:t>
            </w: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年</w:t>
            </w: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月</w:t>
            </w: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日</w:t>
            </w: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时</w:t>
            </w:r>
            <w:r>
              <w:rPr>
                <w:rFonts w:hint="eastAsia" w:ascii="宋体" w:hAnsi="宋体" w:cs="宋体"/>
                <w:b/>
                <w:bCs/>
                <w:color w:val="auto"/>
                <w:kern w:val="0"/>
                <w:highlight w:val="none"/>
                <w:u w:val="single"/>
              </w:rPr>
              <w:t xml:space="preserve">     </w:t>
            </w:r>
            <w:r>
              <w:rPr>
                <w:rFonts w:hint="eastAsia" w:ascii="宋体" w:hAnsi="宋体" w:cs="宋体"/>
                <w:b/>
                <w:bCs/>
                <w:color w:val="auto"/>
                <w:kern w:val="0"/>
                <w:highlight w:val="none"/>
              </w:rPr>
              <w:t>分前不得开启</w:t>
            </w:r>
          </w:p>
          <w:p w14:paraId="0332F747">
            <w:pPr>
              <w:snapToGrid w:val="0"/>
              <w:rPr>
                <w:rFonts w:ascii="宋体" w:hAnsi="宋体" w:cs="宋体"/>
                <w:b/>
                <w:bCs/>
                <w:color w:val="auto"/>
                <w:kern w:val="0"/>
                <w:highlight w:val="none"/>
                <w:u w:val="single"/>
              </w:rPr>
            </w:pPr>
            <w:r>
              <w:rPr>
                <w:rFonts w:hint="eastAsia" w:ascii="宋体" w:hAnsi="宋体" w:cs="宋体"/>
                <w:b/>
                <w:bCs/>
                <w:color w:val="auto"/>
                <w:kern w:val="0"/>
                <w:highlight w:val="none"/>
              </w:rPr>
              <w:t>投标人名称：</w:t>
            </w:r>
            <w:r>
              <w:rPr>
                <w:rFonts w:hint="eastAsia" w:ascii="宋体" w:hAnsi="宋体" w:cs="宋体"/>
                <w:b/>
                <w:bCs/>
                <w:color w:val="auto"/>
                <w:kern w:val="0"/>
                <w:highlight w:val="none"/>
                <w:u w:val="single"/>
              </w:rPr>
              <w:t xml:space="preserve">    （单位全称） （加盖单位公章）</w:t>
            </w:r>
          </w:p>
          <w:p w14:paraId="39DA67AD">
            <w:pPr>
              <w:spacing w:line="360" w:lineRule="auto"/>
              <w:rPr>
                <w:rFonts w:ascii="宋体" w:hAnsi="宋体" w:cs="宋体"/>
                <w:b/>
                <w:bCs/>
                <w:color w:val="auto"/>
                <w:szCs w:val="21"/>
                <w:highlight w:val="none"/>
              </w:rPr>
            </w:pPr>
            <w:r>
              <w:rPr>
                <w:rFonts w:hint="eastAsia" w:ascii="宋体" w:hAnsi="宋体" w:cs="宋体"/>
                <w:b/>
                <w:bCs/>
                <w:color w:val="auto"/>
                <w:highlight w:val="none"/>
              </w:rPr>
              <w:t>（</w:t>
            </w:r>
            <w:r>
              <w:rPr>
                <w:rFonts w:hint="eastAsia" w:ascii="宋体" w:hAnsi="宋体" w:cs="宋体"/>
                <w:b/>
                <w:bCs/>
                <w:color w:val="auto"/>
                <w:highlight w:val="none"/>
                <w:u w:val="single"/>
              </w:rPr>
              <w:t>注：以上内容用白纸打印后，粘贴在投标文件大袋的封面上）</w:t>
            </w:r>
            <w:r>
              <w:rPr>
                <w:rFonts w:hint="eastAsia" w:ascii="宋体" w:hAnsi="宋体" w:cs="宋体"/>
                <w:b/>
                <w:bCs/>
                <w:color w:val="auto"/>
                <w:highlight w:val="none"/>
              </w:rPr>
              <w:t>。</w:t>
            </w:r>
          </w:p>
        </w:tc>
      </w:tr>
      <w:tr w14:paraId="7DE6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4A193E9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980" w:type="dxa"/>
            <w:vAlign w:val="center"/>
          </w:tcPr>
          <w:p w14:paraId="47B68BC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递交投标文件</w:t>
            </w:r>
          </w:p>
        </w:tc>
        <w:tc>
          <w:tcPr>
            <w:tcW w:w="6759" w:type="dxa"/>
            <w:vAlign w:val="center"/>
          </w:tcPr>
          <w:p w14:paraId="2CD9FE3E">
            <w:pPr>
              <w:spacing w:line="360" w:lineRule="auto"/>
              <w:rPr>
                <w:rFonts w:ascii="宋体" w:hAnsi="宋体" w:cs="宋体"/>
                <w:color w:val="auto"/>
                <w:szCs w:val="21"/>
                <w:highlight w:val="none"/>
              </w:rPr>
            </w:pPr>
            <w:r>
              <w:rPr>
                <w:rFonts w:hint="eastAsia" w:ascii="宋体" w:hAnsi="宋体" w:cs="宋体"/>
                <w:color w:val="auto"/>
                <w:szCs w:val="21"/>
                <w:highlight w:val="none"/>
              </w:rPr>
              <w:t>在本须知前附表2.2.2 项规定的投标截止时间前，投标人将投标文件密封送达</w:t>
            </w:r>
            <w:r>
              <w:rPr>
                <w:rFonts w:hint="eastAsia" w:ascii="宋体" w:hAnsi="宋体" w:cs="宋体"/>
                <w:color w:val="auto"/>
                <w:highlight w:val="none"/>
              </w:rPr>
              <w:t>重庆财富中心冠廷酒店2楼会议室【地址：重庆市渝北区财富大道5号】。</w:t>
            </w:r>
          </w:p>
        </w:tc>
      </w:tr>
      <w:tr w14:paraId="7C3B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8" w:type="dxa"/>
            <w:vAlign w:val="center"/>
          </w:tcPr>
          <w:p w14:paraId="6D3785A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80" w:type="dxa"/>
            <w:vAlign w:val="center"/>
          </w:tcPr>
          <w:p w14:paraId="5516325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6759" w:type="dxa"/>
            <w:vAlign w:val="center"/>
          </w:tcPr>
          <w:p w14:paraId="6987AE18">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否。</w:t>
            </w:r>
          </w:p>
        </w:tc>
      </w:tr>
      <w:tr w14:paraId="4EBE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08" w:type="dxa"/>
            <w:vAlign w:val="center"/>
          </w:tcPr>
          <w:p w14:paraId="2548957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980" w:type="dxa"/>
            <w:vAlign w:val="center"/>
          </w:tcPr>
          <w:p w14:paraId="4ADC3D0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开标时间和地点</w:t>
            </w:r>
          </w:p>
        </w:tc>
        <w:tc>
          <w:tcPr>
            <w:tcW w:w="6759" w:type="dxa"/>
            <w:vAlign w:val="center"/>
          </w:tcPr>
          <w:p w14:paraId="46EC4C37">
            <w:pPr>
              <w:spacing w:line="360" w:lineRule="auto"/>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3D308272">
            <w:pPr>
              <w:spacing w:line="360" w:lineRule="auto"/>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highlight w:val="none"/>
              </w:rPr>
              <w:t>重庆财富中心冠廷酒店2楼会议室【地址：重庆市渝北区财富大道5号】。</w:t>
            </w:r>
          </w:p>
        </w:tc>
      </w:tr>
      <w:tr w14:paraId="2B09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8" w:type="dxa"/>
            <w:vAlign w:val="center"/>
          </w:tcPr>
          <w:p w14:paraId="7D7EF930">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5.2</w:t>
            </w:r>
          </w:p>
        </w:tc>
        <w:tc>
          <w:tcPr>
            <w:tcW w:w="1980" w:type="dxa"/>
            <w:vAlign w:val="center"/>
          </w:tcPr>
          <w:p w14:paraId="71EBC85E">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开标程序</w:t>
            </w:r>
          </w:p>
        </w:tc>
        <w:tc>
          <w:tcPr>
            <w:tcW w:w="6759" w:type="dxa"/>
            <w:vAlign w:val="center"/>
          </w:tcPr>
          <w:p w14:paraId="40D57489">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 宣布开标会纪律；</w:t>
            </w:r>
          </w:p>
          <w:p w14:paraId="5BE9F41B">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 宣布开标人、唱标人、记录人、监标人等有关人员姓名；</w:t>
            </w:r>
          </w:p>
          <w:p w14:paraId="2DA865FF">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公布在投标截止时间前递交投标文件的投标人名称，并点名确认投标人是否派人到场；</w:t>
            </w:r>
          </w:p>
          <w:p w14:paraId="17F4AD07">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4. 核验参加开标会议的投标人的法定代表人或委托代理人本人身份证（原件），核验委托代理人的授权委托书（原件）、保证金转账凭证，以确认其身份合法有效，</w:t>
            </w:r>
            <w:r>
              <w:rPr>
                <w:rFonts w:hint="eastAsia" w:ascii="宋体" w:hAnsi="宋体" w:cs="宋体"/>
                <w:b/>
                <w:bCs/>
                <w:color w:val="auto"/>
                <w:szCs w:val="21"/>
                <w:highlight w:val="none"/>
              </w:rPr>
              <w:t>未在规定时间将投标保证金打入指定账户的，当场退还其投标文件。</w:t>
            </w:r>
          </w:p>
          <w:p w14:paraId="1C0475D2">
            <w:pPr>
              <w:snapToGrid w:val="0"/>
              <w:spacing w:line="360" w:lineRule="auto"/>
              <w:ind w:left="44" w:leftChars="21"/>
              <w:rPr>
                <w:rFonts w:ascii="宋体" w:hAnsi="宋体" w:cs="宋体"/>
                <w:color w:val="auto"/>
                <w:szCs w:val="21"/>
                <w:highlight w:val="none"/>
              </w:rPr>
            </w:pPr>
            <w:r>
              <w:rPr>
                <w:rFonts w:hint="eastAsia" w:ascii="宋体" w:hAnsi="宋体" w:cs="宋体"/>
                <w:color w:val="auto"/>
                <w:szCs w:val="21"/>
                <w:highlight w:val="none"/>
              </w:rPr>
              <w:t>5. 密封情况检查：投标人或者其推选的代表检查投标文件的密封情况并签字确认。</w:t>
            </w:r>
          </w:p>
          <w:p w14:paraId="1746407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 开启投标文件顺序：随机开启；</w:t>
            </w:r>
          </w:p>
          <w:p w14:paraId="3779F482">
            <w:pPr>
              <w:snapToGrid w:val="0"/>
              <w:spacing w:line="360" w:lineRule="auto"/>
              <w:ind w:left="44" w:leftChars="21"/>
              <w:rPr>
                <w:rFonts w:ascii="宋体" w:hAnsi="宋体" w:cs="宋体"/>
                <w:color w:val="auto"/>
                <w:szCs w:val="21"/>
                <w:highlight w:val="none"/>
              </w:rPr>
            </w:pPr>
            <w:r>
              <w:rPr>
                <w:rFonts w:hint="eastAsia" w:ascii="宋体" w:hAnsi="宋体" w:cs="宋体"/>
                <w:color w:val="auto"/>
                <w:szCs w:val="21"/>
                <w:highlight w:val="none"/>
              </w:rPr>
              <w:t>7. 按照宣布的开标顺序当众开标，公布投标人名称、投标报价及其他内容，并记录在案；</w:t>
            </w:r>
          </w:p>
          <w:p w14:paraId="531B48A5">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 投标人代表、招标人代表、监标人、记录人等有关人员在开标记录上签字确认；</w:t>
            </w:r>
          </w:p>
          <w:p w14:paraId="55F7CD40">
            <w:pPr>
              <w:spacing w:line="360" w:lineRule="auto"/>
              <w:rPr>
                <w:rFonts w:ascii="宋体" w:hAnsi="宋体" w:cs="宋体"/>
                <w:color w:val="auto"/>
                <w:szCs w:val="21"/>
                <w:highlight w:val="none"/>
              </w:rPr>
            </w:pPr>
            <w:r>
              <w:rPr>
                <w:rFonts w:hint="eastAsia" w:ascii="宋体" w:hAnsi="宋体" w:cs="宋体"/>
                <w:color w:val="auto"/>
                <w:szCs w:val="21"/>
                <w:highlight w:val="none"/>
              </w:rPr>
              <w:t>9. 开标结束。</w:t>
            </w:r>
          </w:p>
        </w:tc>
      </w:tr>
      <w:tr w14:paraId="1ABA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08" w:type="dxa"/>
            <w:vAlign w:val="center"/>
          </w:tcPr>
          <w:p w14:paraId="2AD6632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80" w:type="dxa"/>
            <w:vAlign w:val="center"/>
          </w:tcPr>
          <w:p w14:paraId="4426D09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6759" w:type="dxa"/>
            <w:vAlign w:val="center"/>
          </w:tcPr>
          <w:p w14:paraId="47CA78D4">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由招标人按法律法规及相关规定依法组建。</w:t>
            </w:r>
          </w:p>
        </w:tc>
      </w:tr>
      <w:tr w14:paraId="65B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08" w:type="dxa"/>
            <w:tcBorders>
              <w:bottom w:val="single" w:color="auto" w:sz="4" w:space="0"/>
            </w:tcBorders>
            <w:vAlign w:val="center"/>
          </w:tcPr>
          <w:p w14:paraId="7C3721D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980" w:type="dxa"/>
            <w:tcBorders>
              <w:bottom w:val="single" w:color="auto" w:sz="4" w:space="0"/>
            </w:tcBorders>
            <w:vAlign w:val="center"/>
          </w:tcPr>
          <w:p w14:paraId="3DBA831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6759" w:type="dxa"/>
            <w:tcBorders>
              <w:bottom w:val="single" w:color="auto" w:sz="4" w:space="0"/>
            </w:tcBorders>
            <w:vAlign w:val="center"/>
          </w:tcPr>
          <w:p w14:paraId="771FDA3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否，推荐经评审得分由高到低排名前三的投标单位为中标候选人。</w:t>
            </w:r>
          </w:p>
        </w:tc>
      </w:tr>
      <w:tr w14:paraId="2DB0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08" w:type="dxa"/>
            <w:vAlign w:val="center"/>
          </w:tcPr>
          <w:p w14:paraId="3F0F07C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980" w:type="dxa"/>
            <w:vAlign w:val="center"/>
          </w:tcPr>
          <w:p w14:paraId="231FAD0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759" w:type="dxa"/>
            <w:vAlign w:val="center"/>
          </w:tcPr>
          <w:p w14:paraId="118A4C8E">
            <w:pPr>
              <w:pStyle w:val="14"/>
              <w:rPr>
                <w:rFonts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1.担保形式：以银行转账或电汇形式一次性支付。</w:t>
            </w:r>
          </w:p>
          <w:p w14:paraId="785548F2">
            <w:pPr>
              <w:spacing w:before="120" w:after="12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2.履约担保金的金额：</w:t>
            </w:r>
            <w:r>
              <w:rPr>
                <w:rFonts w:hint="eastAsia" w:ascii="宋体" w:hAnsi="宋体" w:cs="宋体"/>
                <w:b/>
                <w:color w:val="auto"/>
                <w:kern w:val="0"/>
                <w:szCs w:val="21"/>
                <w:highlight w:val="none"/>
                <w:u w:val="single"/>
              </w:rPr>
              <w:t>3000元</w:t>
            </w:r>
            <w:r>
              <w:rPr>
                <w:rFonts w:hint="eastAsia" w:ascii="宋体" w:hAnsi="宋体" w:cs="宋体"/>
                <w:b/>
                <w:color w:val="auto"/>
                <w:kern w:val="0"/>
                <w:szCs w:val="21"/>
                <w:highlight w:val="none"/>
              </w:rPr>
              <w:t>。</w:t>
            </w:r>
          </w:p>
          <w:p w14:paraId="12335E52">
            <w:pPr>
              <w:spacing w:before="120" w:after="120" w:line="360" w:lineRule="auto"/>
              <w:rPr>
                <w:rFonts w:ascii="宋体" w:hAnsi="宋体" w:cs="宋体"/>
                <w:color w:val="auto"/>
                <w:kern w:val="0"/>
                <w:szCs w:val="21"/>
                <w:highlight w:val="none"/>
              </w:rPr>
            </w:pPr>
            <w:r>
              <w:rPr>
                <w:rFonts w:hint="eastAsia" w:ascii="宋体" w:hAnsi="宋体" w:cs="宋体"/>
                <w:color w:val="auto"/>
                <w:kern w:val="0"/>
                <w:szCs w:val="21"/>
                <w:highlight w:val="none"/>
              </w:rPr>
              <w:t>3. 履约担保金账户及账号：</w:t>
            </w:r>
          </w:p>
          <w:p w14:paraId="08E939BB">
            <w:pPr>
              <w:spacing w:before="120" w:after="120" w:line="360" w:lineRule="auto"/>
              <w:ind w:firstLine="420" w:firstLineChars="200"/>
              <w:rPr>
                <w:rFonts w:ascii="宋体" w:hAnsi="宋体" w:cs="宋体"/>
                <w:snapToGrid w:val="0"/>
                <w:color w:val="auto"/>
                <w:kern w:val="0"/>
                <w:highlight w:val="none"/>
                <w:u w:val="single"/>
              </w:rPr>
            </w:pPr>
            <w:r>
              <w:rPr>
                <w:rFonts w:hint="eastAsia" w:ascii="宋体" w:hAnsi="宋体" w:cs="宋体"/>
                <w:color w:val="auto"/>
                <w:kern w:val="0"/>
                <w:szCs w:val="21"/>
                <w:highlight w:val="none"/>
              </w:rPr>
              <w:t>户  名：</w:t>
            </w:r>
            <w:r>
              <w:rPr>
                <w:rFonts w:hint="eastAsia" w:ascii="宋体" w:hAnsi="宋体" w:cs="宋体"/>
                <w:snapToGrid w:val="0"/>
                <w:color w:val="auto"/>
                <w:kern w:val="0"/>
                <w:highlight w:val="none"/>
                <w:u w:val="single"/>
              </w:rPr>
              <w:t>中国人寿保险股份有限公司重庆市分公司</w:t>
            </w:r>
          </w:p>
          <w:p w14:paraId="61CB546A">
            <w:pPr>
              <w:spacing w:before="120" w:after="120"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开户行：工商银行重庆朝天门支行</w:t>
            </w:r>
          </w:p>
          <w:p w14:paraId="355F614A">
            <w:pPr>
              <w:spacing w:before="120" w:after="120" w:line="360" w:lineRule="auto"/>
              <w:ind w:firstLine="420" w:firstLineChars="200"/>
              <w:rPr>
                <w:rFonts w:ascii="宋体" w:hAnsi="宋体" w:cs="宋体"/>
                <w:color w:val="auto"/>
                <w:kern w:val="0"/>
                <w:szCs w:val="21"/>
                <w:highlight w:val="none"/>
              </w:rPr>
            </w:pPr>
            <w:r>
              <w:rPr>
                <w:rFonts w:hint="eastAsia" w:ascii="宋体" w:hAnsi="宋体" w:cs="宋体"/>
                <w:snapToGrid w:val="0"/>
                <w:color w:val="auto"/>
                <w:kern w:val="0"/>
                <w:highlight w:val="none"/>
              </w:rPr>
              <w:t>账  号：3100020129200016614</w:t>
            </w:r>
          </w:p>
          <w:p w14:paraId="242F7270">
            <w:pPr>
              <w:spacing w:before="120" w:after="120" w:line="360" w:lineRule="auto"/>
              <w:rPr>
                <w:rFonts w:ascii="宋体" w:hAnsi="宋体" w:cs="宋体"/>
                <w:color w:val="auto"/>
                <w:kern w:val="0"/>
                <w:szCs w:val="21"/>
                <w:highlight w:val="none"/>
              </w:rPr>
            </w:pPr>
            <w:r>
              <w:rPr>
                <w:rFonts w:hint="eastAsia" w:ascii="宋体" w:hAnsi="宋体" w:cs="宋体"/>
                <w:color w:val="auto"/>
                <w:szCs w:val="21"/>
                <w:highlight w:val="none"/>
              </w:rPr>
              <w:t>4.提交时间：</w:t>
            </w:r>
            <w:r>
              <w:rPr>
                <w:rFonts w:hint="eastAsia" w:ascii="宋体" w:hAnsi="宋体" w:cs="宋体"/>
                <w:color w:val="auto"/>
                <w:kern w:val="0"/>
                <w:szCs w:val="21"/>
                <w:highlight w:val="none"/>
              </w:rPr>
              <w:t>中标人收到中标通知书后10日内，在签订合同前向招标人提交履约担保。</w:t>
            </w:r>
          </w:p>
          <w:p w14:paraId="3DFD1627">
            <w:pPr>
              <w:spacing w:before="120" w:after="120" w:line="360" w:lineRule="auto"/>
              <w:rPr>
                <w:rFonts w:ascii="宋体" w:hAnsi="宋体" w:cs="宋体"/>
                <w:color w:val="auto"/>
                <w:kern w:val="0"/>
                <w:szCs w:val="21"/>
                <w:highlight w:val="none"/>
              </w:rPr>
            </w:pPr>
            <w:r>
              <w:rPr>
                <w:rFonts w:hint="eastAsia" w:ascii="宋体" w:hAnsi="宋体" w:cs="宋体"/>
                <w:color w:val="auto"/>
                <w:kern w:val="0"/>
                <w:szCs w:val="21"/>
                <w:highlight w:val="none"/>
              </w:rPr>
              <w:t>5.违约责任：如中标单位未按以上规定时间缴纳履约保证金，招标人将视其为不诚信行为，并作为无故弃标处理，取消其中标人资格，投标保证金不予退还。</w:t>
            </w:r>
          </w:p>
          <w:p w14:paraId="30325AC6">
            <w:pPr>
              <w:spacing w:before="120" w:after="120" w:line="360" w:lineRule="auto"/>
              <w:rPr>
                <w:rFonts w:ascii="宋体" w:hAnsi="宋体" w:cs="宋体"/>
                <w:color w:val="auto"/>
                <w:kern w:val="0"/>
                <w:szCs w:val="21"/>
                <w:highlight w:val="none"/>
              </w:rPr>
            </w:pPr>
            <w:r>
              <w:rPr>
                <w:rFonts w:hint="eastAsia" w:ascii="宋体" w:hAnsi="宋体" w:cs="宋体"/>
                <w:color w:val="auto"/>
                <w:kern w:val="0"/>
                <w:szCs w:val="21"/>
                <w:highlight w:val="none"/>
              </w:rPr>
              <w:t>6.退还方式：服务期完后15日内无息退还。</w:t>
            </w:r>
          </w:p>
        </w:tc>
      </w:tr>
      <w:tr w14:paraId="7341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008" w:type="dxa"/>
            <w:vAlign w:val="center"/>
          </w:tcPr>
          <w:p w14:paraId="7AB963E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80" w:type="dxa"/>
            <w:vAlign w:val="center"/>
          </w:tcPr>
          <w:p w14:paraId="5BB78CE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重新招标</w:t>
            </w:r>
          </w:p>
        </w:tc>
        <w:tc>
          <w:tcPr>
            <w:tcW w:w="6759" w:type="dxa"/>
            <w:vAlign w:val="center"/>
          </w:tcPr>
          <w:p w14:paraId="0EDCA236">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0"/>
                <w:szCs w:val="21"/>
                <w:highlight w:val="none"/>
              </w:rPr>
              <w:t>投标截止时间止，</w:t>
            </w:r>
            <w:r>
              <w:rPr>
                <w:rFonts w:hint="eastAsia" w:ascii="宋体" w:hAnsi="宋体" w:cs="宋体"/>
                <w:color w:val="auto"/>
                <w:kern w:val="0"/>
                <w:szCs w:val="21"/>
                <w:highlight w:val="none"/>
              </w:rPr>
              <w:t>投标人少</w:t>
            </w:r>
            <w:r>
              <w:rPr>
                <w:rFonts w:hint="eastAsia" w:ascii="宋体" w:hAnsi="宋体" w:cs="宋体"/>
                <w:color w:val="auto"/>
                <w:kern w:val="0"/>
                <w:sz w:val="22"/>
                <w:szCs w:val="22"/>
                <w:highlight w:val="none"/>
              </w:rPr>
              <w:t>于5家/标包的；</w:t>
            </w:r>
          </w:p>
          <w:p w14:paraId="40E079B3">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2.经评标委员会评审</w:t>
            </w:r>
            <w:r>
              <w:rPr>
                <w:rFonts w:hint="eastAsia" w:ascii="宋体" w:hAnsi="宋体" w:cs="宋体"/>
                <w:color w:val="auto"/>
                <w:szCs w:val="21"/>
                <w:highlight w:val="none"/>
              </w:rPr>
              <w:t>所有投标被否决</w:t>
            </w:r>
            <w:r>
              <w:rPr>
                <w:rFonts w:hint="eastAsia" w:ascii="宋体" w:hAnsi="宋体" w:cs="宋体"/>
                <w:snapToGrid w:val="0"/>
                <w:color w:val="auto"/>
                <w:kern w:val="0"/>
                <w:szCs w:val="21"/>
                <w:highlight w:val="none"/>
              </w:rPr>
              <w:t>的。</w:t>
            </w:r>
          </w:p>
        </w:tc>
      </w:tr>
      <w:tr w14:paraId="5C8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747" w:type="dxa"/>
            <w:gridSpan w:val="3"/>
            <w:vAlign w:val="center"/>
          </w:tcPr>
          <w:p w14:paraId="3DB3C7EC">
            <w:pPr>
              <w:snapToGrid w:val="0"/>
              <w:spacing w:before="156" w:beforeLines="50" w:line="360" w:lineRule="auto"/>
              <w:jc w:val="center"/>
              <w:rPr>
                <w:rFonts w:ascii="宋体" w:hAnsi="宋体" w:cs="宋体"/>
                <w:color w:val="auto"/>
                <w:kern w:val="0"/>
                <w:szCs w:val="21"/>
                <w:highlight w:val="none"/>
              </w:rPr>
            </w:pPr>
            <w:r>
              <w:rPr>
                <w:rFonts w:hint="eastAsia" w:ascii="宋体" w:hAnsi="宋体" w:cs="宋体"/>
                <w:b/>
                <w:color w:val="auto"/>
                <w:kern w:val="0"/>
                <w:szCs w:val="21"/>
                <w:highlight w:val="none"/>
              </w:rPr>
              <w:t>10．需要补充的其他内容</w:t>
            </w:r>
          </w:p>
        </w:tc>
      </w:tr>
      <w:tr w14:paraId="4B6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08" w:type="dxa"/>
            <w:vAlign w:val="center"/>
          </w:tcPr>
          <w:p w14:paraId="18E9ADAF">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980" w:type="dxa"/>
            <w:vAlign w:val="center"/>
          </w:tcPr>
          <w:p w14:paraId="6C2675B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招标代理费</w:t>
            </w:r>
          </w:p>
        </w:tc>
        <w:tc>
          <w:tcPr>
            <w:tcW w:w="6759" w:type="dxa"/>
            <w:vAlign w:val="center"/>
          </w:tcPr>
          <w:p w14:paraId="101F0AA7">
            <w:pPr>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1、标包1招标代理费</w:t>
            </w:r>
            <w:r>
              <w:rPr>
                <w:rFonts w:hint="eastAsia" w:ascii="宋体" w:hAnsi="宋体" w:cs="宋体"/>
                <w:color w:val="auto"/>
                <w:kern w:val="0"/>
                <w:szCs w:val="21"/>
                <w:highlight w:val="none"/>
              </w:rPr>
              <w:t>为19500.00元</w:t>
            </w:r>
            <w:r>
              <w:rPr>
                <w:rFonts w:hint="eastAsia" w:ascii="宋体" w:hAnsi="宋体" w:cs="宋体"/>
                <w:snapToGrid w:val="0"/>
                <w:color w:val="auto"/>
                <w:kern w:val="0"/>
                <w:szCs w:val="21"/>
                <w:highlight w:val="none"/>
              </w:rPr>
              <w:t>由招标人支付。</w:t>
            </w:r>
          </w:p>
          <w:p w14:paraId="225E763C">
            <w:pPr>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2、标包2招标代理费</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80万元</w:t>
            </w:r>
            <w:r>
              <w:rPr>
                <w:rFonts w:hint="eastAsia" w:ascii="宋体" w:hAnsi="宋体" w:cs="宋体"/>
                <w:color w:val="auto"/>
                <w:szCs w:val="21"/>
                <w:highlight w:val="none"/>
              </w:rPr>
              <w:t>为基数，根据国家发改委发改办价格[2003]857号文、国家发改委计价格[2002]1980号文、发改价格〔2011〕534号文规定收费标准的81%计取，</w:t>
            </w:r>
            <w:r>
              <w:rPr>
                <w:rFonts w:hint="eastAsia" w:ascii="宋体" w:hAnsi="宋体" w:cs="宋体"/>
                <w:snapToGrid w:val="0"/>
                <w:color w:val="auto"/>
                <w:kern w:val="0"/>
                <w:szCs w:val="21"/>
                <w:highlight w:val="none"/>
              </w:rPr>
              <w:t>由所有中标单位平均分摊缴纳，中标单位领取中标通知书时一次性支付给代理机构</w:t>
            </w:r>
            <w:r>
              <w:rPr>
                <w:rFonts w:hint="eastAsia" w:ascii="宋体" w:hAnsi="宋体" w:cs="宋体"/>
                <w:color w:val="auto"/>
                <w:szCs w:val="21"/>
                <w:highlight w:val="none"/>
              </w:rPr>
              <w:t>。</w:t>
            </w:r>
          </w:p>
          <w:p w14:paraId="1667F3F2">
            <w:pPr>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3、标包3招标代理费</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24万元</w:t>
            </w:r>
            <w:r>
              <w:rPr>
                <w:rFonts w:hint="eastAsia" w:ascii="宋体" w:hAnsi="宋体" w:cs="宋体"/>
                <w:color w:val="auto"/>
                <w:szCs w:val="21"/>
                <w:highlight w:val="none"/>
              </w:rPr>
              <w:t>为基数，根据国家发改委发改办价格[2003]857号文、国家发改委计价格[2002]1980号文、发改价格〔2011〕534号文规定收费标准的81%计取，</w:t>
            </w:r>
            <w:r>
              <w:rPr>
                <w:rFonts w:hint="eastAsia" w:ascii="宋体" w:hAnsi="宋体" w:cs="宋体"/>
                <w:snapToGrid w:val="0"/>
                <w:color w:val="auto"/>
                <w:kern w:val="0"/>
                <w:szCs w:val="21"/>
                <w:highlight w:val="none"/>
              </w:rPr>
              <w:t>由所有中标单位平均分摊缴纳，中标单位领取中标通知书时一次性支付给代理机构</w:t>
            </w:r>
            <w:r>
              <w:rPr>
                <w:rFonts w:hint="eastAsia" w:ascii="宋体" w:hAnsi="宋体" w:cs="宋体"/>
                <w:color w:val="auto"/>
                <w:szCs w:val="21"/>
                <w:highlight w:val="none"/>
              </w:rPr>
              <w:t>。</w:t>
            </w:r>
          </w:p>
        </w:tc>
      </w:tr>
      <w:tr w14:paraId="2962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08" w:type="dxa"/>
            <w:vAlign w:val="center"/>
          </w:tcPr>
          <w:p w14:paraId="64AF5046">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10.2</w:t>
            </w:r>
          </w:p>
        </w:tc>
        <w:tc>
          <w:tcPr>
            <w:tcW w:w="1980" w:type="dxa"/>
            <w:vAlign w:val="center"/>
          </w:tcPr>
          <w:p w14:paraId="7775BEDB">
            <w:pPr>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支付方式</w:t>
            </w:r>
          </w:p>
        </w:tc>
        <w:tc>
          <w:tcPr>
            <w:tcW w:w="6759" w:type="dxa"/>
          </w:tcPr>
          <w:p w14:paraId="1ABD321F">
            <w:pPr>
              <w:spacing w:line="360" w:lineRule="auto"/>
              <w:ind w:firstLine="420" w:firstLineChars="200"/>
              <w:rPr>
                <w:rFonts w:ascii="宋体" w:hAnsi="宋体" w:cs="宋体"/>
                <w:color w:val="auto"/>
                <w:sz w:val="28"/>
                <w:szCs w:val="28"/>
                <w:highlight w:val="none"/>
              </w:rPr>
            </w:pPr>
            <w:r>
              <w:rPr>
                <w:rFonts w:hint="eastAsia" w:ascii="宋体" w:hAnsi="宋体" w:cs="宋体"/>
                <w:snapToGrid w:val="0"/>
                <w:color w:val="auto"/>
                <w:kern w:val="0"/>
                <w:szCs w:val="21"/>
                <w:highlight w:val="none"/>
              </w:rPr>
              <w:t>项目费用结算一次一结，以实际发生的费用进行结算。</w:t>
            </w:r>
            <w:r>
              <w:rPr>
                <w:rFonts w:hint="eastAsia" w:ascii="宋体" w:hAnsi="宋体" w:cs="宋体"/>
                <w:bCs/>
                <w:color w:val="auto"/>
                <w:szCs w:val="21"/>
                <w:highlight w:val="none"/>
              </w:rPr>
              <w:t>原则上发票开具后30个工作日内报账完成付款。</w:t>
            </w:r>
          </w:p>
        </w:tc>
      </w:tr>
      <w:tr w14:paraId="609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08" w:type="dxa"/>
            <w:vAlign w:val="center"/>
          </w:tcPr>
          <w:p w14:paraId="773B74A0">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1980" w:type="dxa"/>
            <w:vAlign w:val="center"/>
          </w:tcPr>
          <w:p w14:paraId="433DA0F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6759" w:type="dxa"/>
            <w:vAlign w:val="center"/>
          </w:tcPr>
          <w:p w14:paraId="4AC00D2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本次中标单位在后续服务过程中须无条件接受招标人的任务安排，不得以地点过远、人手不足等理由拒绝，否则招标人有权取消其资格。</w:t>
            </w:r>
          </w:p>
        </w:tc>
      </w:tr>
      <w:tr w14:paraId="605E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08" w:type="dxa"/>
            <w:vAlign w:val="center"/>
          </w:tcPr>
          <w:p w14:paraId="52276E46">
            <w:pPr>
              <w:spacing w:line="360" w:lineRule="auto"/>
              <w:jc w:val="center"/>
              <w:rPr>
                <w:rFonts w:ascii="宋体" w:hAnsi="宋体" w:cs="宋体"/>
                <w:bCs/>
                <w:color w:val="auto"/>
                <w:highlight w:val="none"/>
              </w:rPr>
            </w:pPr>
            <w:r>
              <w:rPr>
                <w:rFonts w:hint="eastAsia" w:ascii="宋体" w:hAnsi="宋体" w:cs="宋体"/>
                <w:bCs/>
                <w:color w:val="auto"/>
                <w:highlight w:val="none"/>
              </w:rPr>
              <w:t>10.4</w:t>
            </w:r>
          </w:p>
        </w:tc>
        <w:tc>
          <w:tcPr>
            <w:tcW w:w="1980" w:type="dxa"/>
            <w:vAlign w:val="center"/>
          </w:tcPr>
          <w:p w14:paraId="1C2245E7">
            <w:pPr>
              <w:spacing w:line="360" w:lineRule="auto"/>
              <w:rPr>
                <w:rFonts w:ascii="宋体" w:hAnsi="宋体" w:cs="宋体"/>
                <w:b/>
                <w:color w:val="auto"/>
                <w:highlight w:val="none"/>
              </w:rPr>
            </w:pPr>
            <w:r>
              <w:rPr>
                <w:rFonts w:hint="eastAsia" w:ascii="宋体" w:hAnsi="宋体" w:cs="宋体"/>
                <w:b/>
                <w:color w:val="auto"/>
                <w:highlight w:val="none"/>
              </w:rPr>
              <w:t>中标单位的确定</w:t>
            </w:r>
          </w:p>
        </w:tc>
        <w:tc>
          <w:tcPr>
            <w:tcW w:w="6759" w:type="dxa"/>
            <w:vAlign w:val="center"/>
          </w:tcPr>
          <w:p w14:paraId="265A38E1">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经初步评审合格投标单位5家及以上时，取排名前3名投标单位为中标单位。</w:t>
            </w:r>
          </w:p>
        </w:tc>
      </w:tr>
    </w:tbl>
    <w:p w14:paraId="2F1AD866">
      <w:pPr>
        <w:spacing w:line="360" w:lineRule="auto"/>
        <w:rPr>
          <w:rFonts w:ascii="宋体" w:hAnsi="宋体" w:cs="仿宋_GB2312"/>
          <w:color w:val="auto"/>
          <w:kern w:val="0"/>
          <w:sz w:val="20"/>
          <w:szCs w:val="20"/>
          <w:highlight w:val="none"/>
        </w:rPr>
      </w:pPr>
    </w:p>
    <w:p w14:paraId="2F336BBE">
      <w:pPr>
        <w:pStyle w:val="3"/>
        <w:spacing w:after="140" w:line="360" w:lineRule="auto"/>
        <w:rPr>
          <w:rFonts w:ascii="宋体" w:hAnsi="宋体"/>
          <w:snapToGrid w:val="0"/>
          <w:color w:val="auto"/>
          <w:sz w:val="24"/>
          <w:szCs w:val="24"/>
          <w:highlight w:val="none"/>
        </w:rPr>
      </w:pPr>
      <w:r>
        <w:rPr>
          <w:rFonts w:ascii="宋体" w:hAnsi="宋体"/>
          <w:snapToGrid w:val="0"/>
          <w:color w:val="auto"/>
          <w:sz w:val="21"/>
          <w:szCs w:val="21"/>
          <w:highlight w:val="none"/>
        </w:rPr>
        <w:br w:type="page"/>
      </w:r>
      <w:bookmarkStart w:id="86" w:name="_Toc19837"/>
      <w:bookmarkStart w:id="87" w:name="_Toc46495109"/>
      <w:r>
        <w:rPr>
          <w:rFonts w:ascii="宋体" w:hAnsi="宋体"/>
          <w:snapToGrid w:val="0"/>
          <w:color w:val="auto"/>
          <w:sz w:val="24"/>
          <w:szCs w:val="24"/>
          <w:highlight w:val="none"/>
        </w:rPr>
        <w:t>1.</w:t>
      </w:r>
      <w:r>
        <w:rPr>
          <w:rFonts w:hint="eastAsia" w:ascii="宋体" w:hAnsi="宋体"/>
          <w:snapToGrid w:val="0"/>
          <w:color w:val="auto"/>
          <w:sz w:val="24"/>
          <w:szCs w:val="24"/>
          <w:highlight w:val="none"/>
        </w:rPr>
        <w:t>总则</w:t>
      </w:r>
      <w:bookmarkEnd w:id="86"/>
      <w:bookmarkEnd w:id="87"/>
    </w:p>
    <w:p w14:paraId="186EB533">
      <w:pPr>
        <w:pStyle w:val="4"/>
        <w:snapToGrid w:val="0"/>
        <w:spacing w:before="140" w:after="140" w:line="360" w:lineRule="auto"/>
        <w:ind w:firstLine="422" w:firstLineChars="200"/>
        <w:rPr>
          <w:b/>
          <w:snapToGrid w:val="0"/>
          <w:color w:val="auto"/>
          <w:sz w:val="21"/>
          <w:szCs w:val="21"/>
          <w:highlight w:val="none"/>
        </w:rPr>
      </w:pPr>
      <w:bookmarkStart w:id="88" w:name="_Toc46490995"/>
      <w:bookmarkStart w:id="89" w:name="_Toc46857482"/>
      <w:bookmarkStart w:id="90" w:name="_Toc46495110"/>
      <w:bookmarkStart w:id="91" w:name="_Toc22226"/>
      <w:r>
        <w:rPr>
          <w:b/>
          <w:snapToGrid w:val="0"/>
          <w:color w:val="auto"/>
          <w:sz w:val="21"/>
          <w:szCs w:val="21"/>
          <w:highlight w:val="none"/>
        </w:rPr>
        <w:t>1.1</w:t>
      </w:r>
      <w:r>
        <w:rPr>
          <w:rFonts w:hint="eastAsia"/>
          <w:b/>
          <w:snapToGrid w:val="0"/>
          <w:color w:val="auto"/>
          <w:sz w:val="21"/>
          <w:szCs w:val="21"/>
          <w:highlight w:val="none"/>
        </w:rPr>
        <w:t>项目概况</w:t>
      </w:r>
      <w:bookmarkEnd w:id="88"/>
      <w:bookmarkEnd w:id="89"/>
      <w:bookmarkEnd w:id="90"/>
      <w:bookmarkEnd w:id="91"/>
    </w:p>
    <w:p w14:paraId="2A274B7B">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1.1.1</w:t>
      </w:r>
      <w:r>
        <w:rPr>
          <w:rFonts w:hint="eastAsia" w:ascii="宋体" w:hAnsi="宋体" w:cs="MingLiU"/>
          <w:snapToGrid w:val="0"/>
          <w:color w:val="auto"/>
          <w:kern w:val="0"/>
          <w:szCs w:val="21"/>
          <w:highlight w:val="none"/>
        </w:rPr>
        <w:t>根据《中华人民共和国招标投标法》等有关法律、法规和规章的规定，本招标项目已具备招标条件，现对本项目进行招标。</w:t>
      </w:r>
    </w:p>
    <w:p w14:paraId="23FE9462">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1.1.2</w:t>
      </w:r>
      <w:r>
        <w:rPr>
          <w:rFonts w:hint="eastAsia" w:ascii="宋体" w:hAnsi="宋体" w:cs="MingLiU"/>
          <w:snapToGrid w:val="0"/>
          <w:color w:val="auto"/>
          <w:kern w:val="0"/>
          <w:szCs w:val="21"/>
          <w:highlight w:val="none"/>
        </w:rPr>
        <w:t>本招标项目招标人：见投标人须知前附表。</w:t>
      </w:r>
    </w:p>
    <w:p w14:paraId="77AE14B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1.1.3</w:t>
      </w:r>
      <w:r>
        <w:rPr>
          <w:rFonts w:hint="eastAsia" w:ascii="宋体" w:hAnsi="宋体" w:cs="MingLiU"/>
          <w:snapToGrid w:val="0"/>
          <w:color w:val="auto"/>
          <w:kern w:val="0"/>
          <w:szCs w:val="21"/>
          <w:highlight w:val="none"/>
        </w:rPr>
        <w:t>本项目招标代理机构：见投标人须知前附表。</w:t>
      </w:r>
    </w:p>
    <w:p w14:paraId="1CD4E889">
      <w:pPr>
        <w:autoSpaceDE w:val="0"/>
        <w:autoSpaceDN w:val="0"/>
        <w:adjustRightInd w:val="0"/>
        <w:snapToGrid w:val="0"/>
        <w:spacing w:line="360" w:lineRule="auto"/>
        <w:ind w:left="359" w:leftChars="171" w:firstLine="105" w:firstLineChars="5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hint="eastAsia" w:ascii="宋体" w:hAnsi="宋体" w:cs="MingLiU"/>
          <w:snapToGrid w:val="0"/>
          <w:color w:val="auto"/>
          <w:kern w:val="0"/>
          <w:szCs w:val="21"/>
          <w:highlight w:val="none"/>
        </w:rPr>
        <w:t>本招标项目名称：见投标人须知前附表。</w:t>
      </w:r>
    </w:p>
    <w:p w14:paraId="522F7790">
      <w:pPr>
        <w:pStyle w:val="4"/>
        <w:snapToGrid w:val="0"/>
        <w:spacing w:before="140" w:after="140" w:line="360" w:lineRule="auto"/>
        <w:ind w:firstLine="422" w:firstLineChars="200"/>
        <w:rPr>
          <w:b/>
          <w:snapToGrid w:val="0"/>
          <w:color w:val="auto"/>
          <w:sz w:val="21"/>
          <w:szCs w:val="21"/>
          <w:highlight w:val="none"/>
        </w:rPr>
      </w:pPr>
      <w:bookmarkStart w:id="92" w:name="_Toc46490996"/>
      <w:bookmarkStart w:id="93" w:name="_Toc27832"/>
      <w:bookmarkStart w:id="94" w:name="_Toc46495111"/>
      <w:bookmarkStart w:id="95" w:name="_Toc46857483"/>
      <w:r>
        <w:rPr>
          <w:rFonts w:hint="eastAsia"/>
          <w:b/>
          <w:snapToGrid w:val="0"/>
          <w:color w:val="auto"/>
          <w:sz w:val="21"/>
          <w:szCs w:val="21"/>
          <w:highlight w:val="none"/>
        </w:rPr>
        <w:t>1.2资金来源</w:t>
      </w:r>
      <w:bookmarkEnd w:id="92"/>
      <w:bookmarkEnd w:id="93"/>
      <w:bookmarkEnd w:id="94"/>
      <w:bookmarkEnd w:id="95"/>
    </w:p>
    <w:p w14:paraId="48647B4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1.2.1本招标项目的资金来源：见投标人须知前附表。</w:t>
      </w:r>
    </w:p>
    <w:p w14:paraId="5765CF75">
      <w:pPr>
        <w:pStyle w:val="4"/>
        <w:snapToGrid w:val="0"/>
        <w:spacing w:before="140" w:after="140" w:line="360" w:lineRule="auto"/>
        <w:ind w:firstLine="422" w:firstLineChars="200"/>
        <w:rPr>
          <w:b/>
          <w:snapToGrid w:val="0"/>
          <w:color w:val="auto"/>
          <w:sz w:val="21"/>
          <w:szCs w:val="21"/>
          <w:highlight w:val="none"/>
        </w:rPr>
      </w:pPr>
      <w:bookmarkStart w:id="96" w:name="_Toc46495112"/>
      <w:bookmarkStart w:id="97" w:name="_Toc46490997"/>
      <w:bookmarkStart w:id="98" w:name="_Toc46857484"/>
      <w:bookmarkStart w:id="99" w:name="_Toc16262"/>
      <w:r>
        <w:rPr>
          <w:rFonts w:hint="eastAsia"/>
          <w:b/>
          <w:snapToGrid w:val="0"/>
          <w:color w:val="auto"/>
          <w:sz w:val="21"/>
          <w:szCs w:val="21"/>
          <w:highlight w:val="none"/>
        </w:rPr>
        <w:t>1.3招标范围、服务期限</w:t>
      </w:r>
      <w:bookmarkEnd w:id="96"/>
      <w:bookmarkEnd w:id="97"/>
      <w:bookmarkEnd w:id="98"/>
      <w:bookmarkEnd w:id="99"/>
    </w:p>
    <w:p w14:paraId="15ECE76D">
      <w:pPr>
        <w:autoSpaceDE w:val="0"/>
        <w:autoSpaceDN w:val="0"/>
        <w:adjustRightInd w:val="0"/>
        <w:snapToGrid w:val="0"/>
        <w:spacing w:line="360" w:lineRule="auto"/>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本次招标范围和服务期限：见投标人须知前附表。</w:t>
      </w:r>
    </w:p>
    <w:p w14:paraId="1CF1807A">
      <w:pPr>
        <w:pStyle w:val="4"/>
        <w:snapToGrid w:val="0"/>
        <w:spacing w:before="140" w:after="140" w:line="360" w:lineRule="auto"/>
        <w:ind w:firstLine="422" w:firstLineChars="200"/>
        <w:rPr>
          <w:b/>
          <w:snapToGrid w:val="0"/>
          <w:color w:val="auto"/>
          <w:sz w:val="21"/>
          <w:szCs w:val="21"/>
          <w:highlight w:val="none"/>
        </w:rPr>
      </w:pPr>
      <w:bookmarkStart w:id="100" w:name="_Toc46857485"/>
      <w:bookmarkStart w:id="101" w:name="_Toc46495113"/>
      <w:bookmarkStart w:id="102" w:name="_Toc19208"/>
      <w:bookmarkStart w:id="103" w:name="_Toc46490998"/>
      <w:r>
        <w:rPr>
          <w:rFonts w:hint="eastAsia"/>
          <w:b/>
          <w:snapToGrid w:val="0"/>
          <w:color w:val="auto"/>
          <w:sz w:val="21"/>
          <w:szCs w:val="21"/>
          <w:highlight w:val="none"/>
        </w:rPr>
        <w:t>1.4投标人资格要求</w:t>
      </w:r>
      <w:bookmarkEnd w:id="100"/>
      <w:bookmarkEnd w:id="101"/>
      <w:bookmarkEnd w:id="102"/>
      <w:bookmarkEnd w:id="103"/>
    </w:p>
    <w:p w14:paraId="582E0178">
      <w:pPr>
        <w:autoSpaceDE w:val="0"/>
        <w:autoSpaceDN w:val="0"/>
        <w:adjustRightInd w:val="0"/>
        <w:snapToGrid w:val="0"/>
        <w:spacing w:line="360" w:lineRule="auto"/>
        <w:ind w:firstLine="359" w:firstLine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cs="MingLiU"/>
          <w:snapToGrid w:val="0"/>
          <w:color w:val="auto"/>
          <w:kern w:val="0"/>
          <w:szCs w:val="21"/>
          <w:highlight w:val="none"/>
        </w:rPr>
        <w:t>投标人应具备承担本项目的资质条件、能力和信誉：见投标人须知前附表。</w:t>
      </w:r>
    </w:p>
    <w:p w14:paraId="3DF11C2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1.4.</w:t>
      </w:r>
      <w:r>
        <w:rPr>
          <w:rFonts w:hint="eastAsia" w:ascii="宋体" w:hAnsi="宋体" w:cs="MingLiU"/>
          <w:snapToGrid w:val="0"/>
          <w:color w:val="auto"/>
          <w:kern w:val="0"/>
          <w:szCs w:val="21"/>
          <w:highlight w:val="none"/>
        </w:rPr>
        <w:t>2本项目</w:t>
      </w:r>
      <w:r>
        <w:rPr>
          <w:rFonts w:hint="eastAsia" w:ascii="宋体" w:hAnsi="宋体" w:cs="MingLiU"/>
          <w:snapToGrid w:val="0"/>
          <w:color w:val="auto"/>
          <w:kern w:val="0"/>
          <w:szCs w:val="21"/>
          <w:highlight w:val="none"/>
          <w:u w:val="single"/>
        </w:rPr>
        <w:t>不接受</w:t>
      </w:r>
      <w:r>
        <w:rPr>
          <w:rFonts w:hint="eastAsia" w:ascii="宋体" w:hAnsi="宋体" w:cs="MingLiU"/>
          <w:snapToGrid w:val="0"/>
          <w:color w:val="auto"/>
          <w:kern w:val="0"/>
          <w:szCs w:val="21"/>
          <w:highlight w:val="none"/>
        </w:rPr>
        <w:t>联合体投标。</w:t>
      </w:r>
    </w:p>
    <w:p w14:paraId="28796DA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1.4.</w:t>
      </w:r>
      <w:r>
        <w:rPr>
          <w:rFonts w:hint="eastAsia" w:ascii="宋体" w:hAnsi="宋体" w:cs="MingLiU"/>
          <w:snapToGrid w:val="0"/>
          <w:color w:val="auto"/>
          <w:kern w:val="0"/>
          <w:szCs w:val="21"/>
          <w:highlight w:val="none"/>
        </w:rPr>
        <w:t>3投标人不得存在下列情形之一：</w:t>
      </w:r>
    </w:p>
    <w:p w14:paraId="3EF1E0A5">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position w:val="-2"/>
          <w:szCs w:val="21"/>
          <w:highlight w:val="none"/>
        </w:rPr>
        <w:t>（</w:t>
      </w:r>
      <w:r>
        <w:rPr>
          <w:rFonts w:hint="eastAsia" w:ascii="宋体" w:hAnsi="宋体"/>
          <w:snapToGrid w:val="0"/>
          <w:color w:val="auto"/>
          <w:kern w:val="0"/>
          <w:position w:val="-2"/>
          <w:szCs w:val="21"/>
          <w:highlight w:val="none"/>
        </w:rPr>
        <w:t>1</w:t>
      </w:r>
      <w:r>
        <w:rPr>
          <w:rFonts w:hint="eastAsia" w:ascii="宋体" w:hAnsi="宋体" w:cs="MingLiU"/>
          <w:snapToGrid w:val="0"/>
          <w:color w:val="auto"/>
          <w:kern w:val="0"/>
          <w:position w:val="-2"/>
          <w:szCs w:val="21"/>
          <w:highlight w:val="none"/>
        </w:rPr>
        <w:t>）为招标人不具有独立法人资格的附属机构（单位）；</w:t>
      </w:r>
    </w:p>
    <w:p w14:paraId="2ED9FDAF">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2</w:t>
      </w:r>
      <w:r>
        <w:rPr>
          <w:rFonts w:hint="eastAsia" w:ascii="宋体" w:hAnsi="宋体" w:cs="MingLiU"/>
          <w:snapToGrid w:val="0"/>
          <w:color w:val="auto"/>
          <w:kern w:val="0"/>
          <w:szCs w:val="21"/>
          <w:highlight w:val="none"/>
        </w:rPr>
        <w:t>）被责令停业的；</w:t>
      </w:r>
    </w:p>
    <w:p w14:paraId="5E6107E8">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3</w:t>
      </w:r>
      <w:r>
        <w:rPr>
          <w:rFonts w:hint="eastAsia" w:ascii="宋体" w:hAnsi="宋体" w:cs="MingLiU"/>
          <w:snapToGrid w:val="0"/>
          <w:color w:val="auto"/>
          <w:kern w:val="0"/>
          <w:szCs w:val="21"/>
          <w:highlight w:val="none"/>
        </w:rPr>
        <w:t>）被暂停或取消投标资格的；</w:t>
      </w:r>
    </w:p>
    <w:p w14:paraId="53E44CA8">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4</w:t>
      </w:r>
      <w:r>
        <w:rPr>
          <w:rFonts w:hint="eastAsia" w:ascii="宋体" w:hAnsi="宋体" w:cs="MingLiU"/>
          <w:snapToGrid w:val="0"/>
          <w:color w:val="auto"/>
          <w:kern w:val="0"/>
          <w:szCs w:val="21"/>
          <w:highlight w:val="none"/>
        </w:rPr>
        <w:t>）财产被接管或冻结的；</w:t>
      </w:r>
    </w:p>
    <w:p w14:paraId="711AEBFC">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5</w:t>
      </w:r>
      <w:r>
        <w:rPr>
          <w:rFonts w:hint="eastAsia" w:ascii="宋体" w:hAnsi="宋体" w:cs="MingLiU"/>
          <w:snapToGrid w:val="0"/>
          <w:color w:val="auto"/>
          <w:kern w:val="0"/>
          <w:szCs w:val="21"/>
          <w:highlight w:val="none"/>
        </w:rPr>
        <w:t xml:space="preserve">）在最近三年内有骗取中标或严重违约或重大质量问题的； </w:t>
      </w:r>
    </w:p>
    <w:p w14:paraId="06841197">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（6）两个以上投标人的法定代表人为同一人，母公司、全资子公司及其控股公司，不得在同一项目中同时投标；</w:t>
      </w:r>
    </w:p>
    <w:p w14:paraId="24269543">
      <w:pPr>
        <w:autoSpaceDE w:val="0"/>
        <w:autoSpaceDN w:val="0"/>
        <w:adjustRightInd w:val="0"/>
        <w:snapToGrid w:val="0"/>
        <w:spacing w:line="360" w:lineRule="auto"/>
        <w:ind w:firstLine="359" w:firstLineChars="171"/>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7</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shd w:val="clear" w:color="auto" w:fill="FFFFFF"/>
        </w:rPr>
        <w:t>与招标人或招标代理机构有控股关系的。</w:t>
      </w:r>
    </w:p>
    <w:p w14:paraId="7D4A4958">
      <w:pPr>
        <w:pStyle w:val="4"/>
        <w:snapToGrid w:val="0"/>
        <w:spacing w:before="140" w:after="140" w:line="360" w:lineRule="auto"/>
        <w:ind w:firstLine="422" w:firstLineChars="200"/>
        <w:rPr>
          <w:b/>
          <w:snapToGrid w:val="0"/>
          <w:color w:val="auto"/>
          <w:sz w:val="21"/>
          <w:szCs w:val="21"/>
          <w:highlight w:val="none"/>
        </w:rPr>
      </w:pPr>
      <w:bookmarkStart w:id="104" w:name="_Toc6257"/>
      <w:bookmarkStart w:id="105" w:name="_Toc46490999"/>
      <w:bookmarkStart w:id="106" w:name="_Toc46495114"/>
      <w:bookmarkStart w:id="107" w:name="_Toc46857486"/>
      <w:r>
        <w:rPr>
          <w:rFonts w:hint="eastAsia"/>
          <w:b/>
          <w:snapToGrid w:val="0"/>
          <w:color w:val="auto"/>
          <w:sz w:val="21"/>
          <w:szCs w:val="21"/>
          <w:highlight w:val="none"/>
        </w:rPr>
        <w:t>1.5费用承担</w:t>
      </w:r>
      <w:bookmarkEnd w:id="104"/>
      <w:bookmarkEnd w:id="105"/>
      <w:bookmarkEnd w:id="106"/>
      <w:bookmarkEnd w:id="107"/>
    </w:p>
    <w:p w14:paraId="5DE088CB">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1.5.1</w:t>
      </w:r>
      <w:r>
        <w:rPr>
          <w:rFonts w:hint="eastAsia" w:ascii="宋体" w:hAnsi="宋体" w:cs="MingLiU"/>
          <w:snapToGrid w:val="0"/>
          <w:color w:val="auto"/>
          <w:kern w:val="0"/>
          <w:szCs w:val="21"/>
          <w:highlight w:val="none"/>
        </w:rPr>
        <w:t>投标人应承担其编制投标文件与递交投标文件所涉及的一切费用。不论投标结果如何，招标人在任何情况下既无义务也无责任承担这些费用。</w:t>
      </w:r>
    </w:p>
    <w:p w14:paraId="42D61AA9">
      <w:pPr>
        <w:pStyle w:val="4"/>
        <w:snapToGrid w:val="0"/>
        <w:spacing w:before="140" w:after="140" w:line="360" w:lineRule="auto"/>
        <w:ind w:firstLine="422" w:firstLineChars="200"/>
        <w:rPr>
          <w:b/>
          <w:snapToGrid w:val="0"/>
          <w:color w:val="auto"/>
          <w:sz w:val="21"/>
          <w:szCs w:val="21"/>
          <w:highlight w:val="none"/>
        </w:rPr>
      </w:pPr>
      <w:bookmarkStart w:id="108" w:name="_Toc46495115"/>
      <w:bookmarkStart w:id="109" w:name="_Toc46857487"/>
      <w:bookmarkStart w:id="110" w:name="_Toc11610"/>
      <w:bookmarkStart w:id="111" w:name="_Toc46491000"/>
      <w:r>
        <w:rPr>
          <w:rFonts w:hint="eastAsia"/>
          <w:b/>
          <w:snapToGrid w:val="0"/>
          <w:color w:val="auto"/>
          <w:sz w:val="21"/>
          <w:szCs w:val="21"/>
          <w:highlight w:val="none"/>
        </w:rPr>
        <w:t>1.6保密</w:t>
      </w:r>
      <w:bookmarkEnd w:id="108"/>
      <w:bookmarkEnd w:id="109"/>
      <w:bookmarkEnd w:id="110"/>
      <w:bookmarkEnd w:id="111"/>
      <w:r>
        <w:rPr>
          <w:rFonts w:hint="eastAsia"/>
          <w:b/>
          <w:snapToGrid w:val="0"/>
          <w:color w:val="auto"/>
          <w:sz w:val="21"/>
          <w:szCs w:val="21"/>
          <w:highlight w:val="none"/>
        </w:rPr>
        <w:t xml:space="preserve"> </w:t>
      </w:r>
    </w:p>
    <w:p w14:paraId="22ED73AB">
      <w:pPr>
        <w:autoSpaceDE w:val="0"/>
        <w:autoSpaceDN w:val="0"/>
        <w:adjustRightInd w:val="0"/>
        <w:snapToGrid w:val="0"/>
        <w:spacing w:line="360" w:lineRule="auto"/>
        <w:ind w:firstLine="420" w:firstLineChars="200"/>
        <w:jc w:val="left"/>
        <w:rPr>
          <w:rFonts w:ascii="宋体" w:hAnsi="宋体" w:cs="宋体"/>
          <w:color w:val="auto"/>
          <w:spacing w:val="23"/>
          <w:w w:val="99"/>
          <w:szCs w:val="21"/>
          <w:highlight w:val="none"/>
        </w:rPr>
      </w:pPr>
      <w:r>
        <w:rPr>
          <w:rFonts w:hint="eastAsia" w:ascii="宋体" w:hAnsi="宋体" w:cs="MingLiU"/>
          <w:snapToGrid w:val="0"/>
          <w:color w:val="auto"/>
          <w:kern w:val="0"/>
          <w:szCs w:val="21"/>
          <w:highlight w:val="none"/>
        </w:rPr>
        <w:t>参与招标投标活动的各方应对招标文件和投标文件中的商业和技术等秘密保密，违者应对由此造成的后果承担法律责任。</w:t>
      </w:r>
      <w:r>
        <w:rPr>
          <w:rFonts w:ascii="宋体" w:hAnsi="宋体" w:cs="宋体"/>
          <w:color w:val="auto"/>
          <w:spacing w:val="23"/>
          <w:w w:val="99"/>
          <w:szCs w:val="21"/>
          <w:highlight w:val="none"/>
        </w:rPr>
        <w:t xml:space="preserve"> </w:t>
      </w:r>
    </w:p>
    <w:p w14:paraId="09FE47CB">
      <w:pPr>
        <w:pStyle w:val="4"/>
        <w:snapToGrid w:val="0"/>
        <w:spacing w:before="140" w:after="140" w:line="360" w:lineRule="auto"/>
        <w:ind w:firstLine="422" w:firstLineChars="200"/>
        <w:rPr>
          <w:b/>
          <w:snapToGrid w:val="0"/>
          <w:color w:val="auto"/>
          <w:sz w:val="21"/>
          <w:szCs w:val="21"/>
          <w:highlight w:val="none"/>
        </w:rPr>
      </w:pPr>
      <w:bookmarkStart w:id="112" w:name="_Toc46491001"/>
      <w:bookmarkStart w:id="113" w:name="_Toc46857488"/>
      <w:bookmarkStart w:id="114" w:name="_Toc46495116"/>
      <w:bookmarkStart w:id="115" w:name="_Toc20576"/>
      <w:r>
        <w:rPr>
          <w:rFonts w:hint="eastAsia"/>
          <w:b/>
          <w:snapToGrid w:val="0"/>
          <w:color w:val="auto"/>
          <w:sz w:val="21"/>
          <w:szCs w:val="21"/>
          <w:highlight w:val="none"/>
        </w:rPr>
        <w:t>1.7语言文字</w:t>
      </w:r>
      <w:bookmarkEnd w:id="112"/>
      <w:bookmarkEnd w:id="113"/>
      <w:bookmarkEnd w:id="114"/>
      <w:bookmarkEnd w:id="115"/>
    </w:p>
    <w:p w14:paraId="49318B74">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除专用术语外，与招标投标有关的语言均使用中文。必要时专用术语应附有中文注释。</w:t>
      </w:r>
      <w:r>
        <w:rPr>
          <w:rFonts w:ascii="宋体" w:hAnsi="宋体" w:cs="MingLiU"/>
          <w:snapToGrid w:val="0"/>
          <w:color w:val="auto"/>
          <w:kern w:val="0"/>
          <w:szCs w:val="21"/>
          <w:highlight w:val="none"/>
        </w:rPr>
        <w:t xml:space="preserve"> </w:t>
      </w:r>
    </w:p>
    <w:p w14:paraId="2A66C8BA">
      <w:pPr>
        <w:pStyle w:val="4"/>
        <w:snapToGrid w:val="0"/>
        <w:spacing w:before="140" w:after="140" w:line="360" w:lineRule="auto"/>
        <w:ind w:firstLine="422" w:firstLineChars="200"/>
        <w:rPr>
          <w:b/>
          <w:snapToGrid w:val="0"/>
          <w:color w:val="auto"/>
          <w:sz w:val="21"/>
          <w:szCs w:val="21"/>
          <w:highlight w:val="none"/>
        </w:rPr>
      </w:pPr>
      <w:bookmarkStart w:id="116" w:name="_Toc46857489"/>
      <w:bookmarkStart w:id="117" w:name="_Toc46495117"/>
      <w:bookmarkStart w:id="118" w:name="_Toc30327"/>
      <w:bookmarkStart w:id="119" w:name="_Toc46491002"/>
      <w:r>
        <w:rPr>
          <w:rFonts w:hint="eastAsia"/>
          <w:b/>
          <w:snapToGrid w:val="0"/>
          <w:color w:val="auto"/>
          <w:sz w:val="21"/>
          <w:szCs w:val="21"/>
          <w:highlight w:val="none"/>
        </w:rPr>
        <w:t>1.8计量单位</w:t>
      </w:r>
      <w:bookmarkEnd w:id="116"/>
      <w:bookmarkEnd w:id="117"/>
      <w:bookmarkEnd w:id="118"/>
      <w:bookmarkEnd w:id="119"/>
    </w:p>
    <w:p w14:paraId="1FF53FD6">
      <w:pPr>
        <w:autoSpaceDE w:val="0"/>
        <w:autoSpaceDN w:val="0"/>
        <w:adjustRightInd w:val="0"/>
        <w:snapToGrid w:val="0"/>
        <w:spacing w:line="360" w:lineRule="auto"/>
        <w:ind w:firstLine="420" w:firstLineChars="200"/>
        <w:jc w:val="left"/>
        <w:rPr>
          <w:rFonts w:ascii="宋体" w:hAnsi="宋体"/>
          <w:color w:val="auto"/>
          <w:spacing w:val="40"/>
          <w:w w:val="99"/>
          <w:szCs w:val="21"/>
          <w:highlight w:val="none"/>
        </w:rPr>
      </w:pPr>
      <w:r>
        <w:rPr>
          <w:rFonts w:hint="eastAsia" w:ascii="宋体" w:hAnsi="宋体" w:cs="MingLiU"/>
          <w:snapToGrid w:val="0"/>
          <w:color w:val="auto"/>
          <w:kern w:val="0"/>
          <w:szCs w:val="21"/>
          <w:highlight w:val="none"/>
        </w:rPr>
        <w:t>除技术规范另有规定外，投标文件使用的度量衡单位，均采用中华人民共和国法定计量单位。</w:t>
      </w:r>
      <w:r>
        <w:rPr>
          <w:rFonts w:ascii="宋体" w:hAnsi="宋体"/>
          <w:color w:val="auto"/>
          <w:spacing w:val="40"/>
          <w:w w:val="99"/>
          <w:szCs w:val="21"/>
          <w:highlight w:val="none"/>
        </w:rPr>
        <w:t xml:space="preserve"> </w:t>
      </w:r>
    </w:p>
    <w:p w14:paraId="38C567F5">
      <w:pPr>
        <w:pStyle w:val="4"/>
        <w:snapToGrid w:val="0"/>
        <w:spacing w:before="140" w:after="140" w:line="360" w:lineRule="auto"/>
        <w:ind w:firstLine="422" w:firstLineChars="200"/>
        <w:rPr>
          <w:b/>
          <w:snapToGrid w:val="0"/>
          <w:color w:val="auto"/>
          <w:sz w:val="21"/>
          <w:szCs w:val="21"/>
          <w:highlight w:val="none"/>
        </w:rPr>
      </w:pPr>
      <w:bookmarkStart w:id="120" w:name="_Toc46491003"/>
      <w:bookmarkStart w:id="121" w:name="_Toc46495118"/>
      <w:bookmarkStart w:id="122" w:name="_Toc31080"/>
      <w:bookmarkStart w:id="123" w:name="_Toc46857490"/>
      <w:r>
        <w:rPr>
          <w:rFonts w:hint="eastAsia"/>
          <w:b/>
          <w:snapToGrid w:val="0"/>
          <w:color w:val="auto"/>
          <w:sz w:val="21"/>
          <w:szCs w:val="21"/>
          <w:highlight w:val="none"/>
        </w:rPr>
        <w:t>1.9踏勘现场</w:t>
      </w:r>
      <w:bookmarkEnd w:id="120"/>
      <w:bookmarkEnd w:id="121"/>
      <w:bookmarkEnd w:id="122"/>
      <w:bookmarkEnd w:id="123"/>
    </w:p>
    <w:p w14:paraId="47661C39">
      <w:pPr>
        <w:autoSpaceDE w:val="0"/>
        <w:autoSpaceDN w:val="0"/>
        <w:adjustRightInd w:val="0"/>
        <w:snapToGrid w:val="0"/>
        <w:spacing w:line="360" w:lineRule="auto"/>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1.9.1  </w:t>
      </w:r>
      <w:r>
        <w:rPr>
          <w:rFonts w:hint="eastAsia" w:ascii="宋体" w:hAnsi="宋体" w:cs="MingLiU"/>
          <w:snapToGrid w:val="0"/>
          <w:color w:val="auto"/>
          <w:kern w:val="0"/>
          <w:szCs w:val="21"/>
          <w:highlight w:val="none"/>
        </w:rPr>
        <w:t>投标人须知前附表规定组织踏勘现场的，招标人按投标人须知前附表规定的时间、</w:t>
      </w:r>
      <w:r>
        <w:rPr>
          <w:rFonts w:ascii="宋体" w:hAnsi="宋体" w:cs="MingLiU"/>
          <w:snapToGrid w:val="0"/>
          <w:color w:val="auto"/>
          <w:kern w:val="0"/>
          <w:szCs w:val="21"/>
          <w:highlight w:val="none"/>
        </w:rPr>
        <w:t xml:space="preserve"> </w:t>
      </w:r>
      <w:r>
        <w:rPr>
          <w:rFonts w:hint="eastAsia" w:ascii="宋体" w:hAnsi="宋体" w:cs="MingLiU"/>
          <w:snapToGrid w:val="0"/>
          <w:color w:val="auto"/>
          <w:kern w:val="0"/>
          <w:szCs w:val="21"/>
          <w:highlight w:val="none"/>
        </w:rPr>
        <w:t>地点组织投标人踏勘项目现场。</w:t>
      </w:r>
    </w:p>
    <w:p w14:paraId="4ECF097E">
      <w:pPr>
        <w:autoSpaceDE w:val="0"/>
        <w:autoSpaceDN w:val="0"/>
        <w:adjustRightInd w:val="0"/>
        <w:snapToGrid w:val="0"/>
        <w:spacing w:line="360" w:lineRule="auto"/>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1.9.2  </w:t>
      </w:r>
      <w:r>
        <w:rPr>
          <w:rFonts w:hint="eastAsia" w:ascii="宋体" w:hAnsi="宋体" w:cs="MingLiU"/>
          <w:snapToGrid w:val="0"/>
          <w:color w:val="auto"/>
          <w:kern w:val="0"/>
          <w:szCs w:val="21"/>
          <w:highlight w:val="none"/>
        </w:rPr>
        <w:t>投标人踏勘现场发生的费用自理。</w:t>
      </w:r>
    </w:p>
    <w:p w14:paraId="0D491D6B">
      <w:pPr>
        <w:autoSpaceDE w:val="0"/>
        <w:autoSpaceDN w:val="0"/>
        <w:adjustRightInd w:val="0"/>
        <w:snapToGrid w:val="0"/>
        <w:spacing w:line="360" w:lineRule="auto"/>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1.9.3  </w:t>
      </w:r>
      <w:r>
        <w:rPr>
          <w:rFonts w:hint="eastAsia" w:ascii="宋体" w:hAnsi="宋体" w:cs="MingLiU"/>
          <w:snapToGrid w:val="0"/>
          <w:color w:val="auto"/>
          <w:kern w:val="0"/>
          <w:szCs w:val="21"/>
          <w:highlight w:val="none"/>
        </w:rPr>
        <w:t>除招标人的原因外，投标人自行负责在踏勘现场中所发生的人员伤亡和财产损失。</w:t>
      </w:r>
    </w:p>
    <w:p w14:paraId="0C1A5FB1">
      <w:pPr>
        <w:autoSpaceDE w:val="0"/>
        <w:autoSpaceDN w:val="0"/>
        <w:adjustRightInd w:val="0"/>
        <w:snapToGrid w:val="0"/>
        <w:spacing w:line="360" w:lineRule="auto"/>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cs="MingLiU"/>
          <w:snapToGrid w:val="0"/>
          <w:color w:val="auto"/>
          <w:kern w:val="0"/>
          <w:szCs w:val="21"/>
          <w:highlight w:val="none"/>
        </w:rPr>
        <w:t>招标人在踏勘现场中介绍的场地和相关的周边环境情况，供投标人在编制投标文件时参考，招标人不对投标人据此做出的判断和决策负责。</w:t>
      </w:r>
    </w:p>
    <w:p w14:paraId="541245F3">
      <w:pPr>
        <w:pStyle w:val="4"/>
        <w:snapToGrid w:val="0"/>
        <w:spacing w:before="140" w:after="140" w:line="360" w:lineRule="auto"/>
        <w:ind w:firstLine="422" w:firstLineChars="200"/>
        <w:rPr>
          <w:b/>
          <w:snapToGrid w:val="0"/>
          <w:color w:val="auto"/>
          <w:sz w:val="21"/>
          <w:szCs w:val="21"/>
          <w:highlight w:val="none"/>
        </w:rPr>
      </w:pPr>
      <w:bookmarkStart w:id="124" w:name="_Toc46495119"/>
      <w:bookmarkStart w:id="125" w:name="_Toc46491004"/>
      <w:bookmarkStart w:id="126" w:name="_Toc46857491"/>
      <w:bookmarkStart w:id="127" w:name="_Toc26855"/>
      <w:r>
        <w:rPr>
          <w:rFonts w:hint="eastAsia"/>
          <w:b/>
          <w:snapToGrid w:val="0"/>
          <w:color w:val="auto"/>
          <w:sz w:val="21"/>
          <w:szCs w:val="21"/>
          <w:highlight w:val="none"/>
        </w:rPr>
        <w:t>1.10投标预备会</w:t>
      </w:r>
      <w:bookmarkEnd w:id="124"/>
      <w:bookmarkEnd w:id="125"/>
      <w:bookmarkEnd w:id="126"/>
      <w:bookmarkEnd w:id="127"/>
      <w:r>
        <w:rPr>
          <w:rFonts w:hint="eastAsia"/>
          <w:b/>
          <w:snapToGrid w:val="0"/>
          <w:color w:val="auto"/>
          <w:sz w:val="21"/>
          <w:szCs w:val="21"/>
          <w:highlight w:val="none"/>
        </w:rPr>
        <w:t xml:space="preserve"> </w:t>
      </w:r>
    </w:p>
    <w:p w14:paraId="776F70C3">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1.10.1</w:t>
      </w:r>
      <w:r>
        <w:rPr>
          <w:rFonts w:hint="eastAsia" w:ascii="宋体" w:hAnsi="宋体" w:cs="MingLiU"/>
          <w:snapToGrid w:val="0"/>
          <w:color w:val="auto"/>
          <w:kern w:val="0"/>
          <w:szCs w:val="21"/>
          <w:highlight w:val="none"/>
        </w:rPr>
        <w:t>本项目不召开投标预备会。</w:t>
      </w:r>
    </w:p>
    <w:p w14:paraId="7CC6C77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1.10.2</w:t>
      </w:r>
      <w:r>
        <w:rPr>
          <w:rFonts w:hint="eastAsia" w:ascii="宋体" w:hAnsi="宋体" w:cs="MingLiU"/>
          <w:snapToGrid w:val="0"/>
          <w:color w:val="auto"/>
          <w:kern w:val="0"/>
          <w:szCs w:val="21"/>
          <w:highlight w:val="none"/>
        </w:rPr>
        <w:t>投标人提出异议及质疑的截止时间及方式：详见投标人须知前附表。</w:t>
      </w:r>
      <w:bookmarkStart w:id="128" w:name="bookmark8"/>
      <w:bookmarkEnd w:id="128"/>
    </w:p>
    <w:p w14:paraId="64B969E5">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1.10.3</w:t>
      </w:r>
      <w:r>
        <w:rPr>
          <w:rFonts w:hint="eastAsia" w:ascii="宋体" w:hAnsi="宋体" w:cs="MingLiU"/>
          <w:snapToGrid w:val="0"/>
          <w:color w:val="auto"/>
          <w:kern w:val="0"/>
          <w:szCs w:val="21"/>
          <w:highlight w:val="none"/>
        </w:rPr>
        <w:t>招标人答复及答疑的时间及方式：详见投标人须知前附表。</w:t>
      </w:r>
    </w:p>
    <w:p w14:paraId="2BA9796D">
      <w:pPr>
        <w:pStyle w:val="4"/>
        <w:snapToGrid w:val="0"/>
        <w:spacing w:before="140" w:after="140" w:line="360" w:lineRule="auto"/>
        <w:ind w:firstLine="422" w:firstLineChars="200"/>
        <w:rPr>
          <w:b/>
          <w:snapToGrid w:val="0"/>
          <w:color w:val="auto"/>
          <w:sz w:val="21"/>
          <w:szCs w:val="21"/>
          <w:highlight w:val="none"/>
        </w:rPr>
      </w:pPr>
      <w:bookmarkStart w:id="129" w:name="_Toc46495120"/>
      <w:bookmarkStart w:id="130" w:name="_Toc27048"/>
      <w:bookmarkStart w:id="131" w:name="_Toc46491005"/>
      <w:bookmarkStart w:id="132" w:name="_Toc46857492"/>
      <w:r>
        <w:rPr>
          <w:rFonts w:hint="eastAsia"/>
          <w:b/>
          <w:snapToGrid w:val="0"/>
          <w:color w:val="auto"/>
          <w:sz w:val="21"/>
          <w:szCs w:val="21"/>
          <w:highlight w:val="none"/>
        </w:rPr>
        <w:t>1.11分包</w:t>
      </w:r>
      <w:bookmarkEnd w:id="129"/>
      <w:bookmarkEnd w:id="130"/>
      <w:bookmarkEnd w:id="131"/>
      <w:bookmarkEnd w:id="132"/>
    </w:p>
    <w:p w14:paraId="07CD310E">
      <w:pPr>
        <w:ind w:firstLine="420" w:firstLineChars="200"/>
        <w:rPr>
          <w:rFonts w:ascii="宋体" w:hAnsi="宋体"/>
          <w:snapToGrid w:val="0"/>
          <w:color w:val="auto"/>
          <w:highlight w:val="none"/>
          <w:u w:val="single"/>
        </w:rPr>
      </w:pPr>
      <w:bookmarkStart w:id="133" w:name="_Toc327703394"/>
      <w:bookmarkStart w:id="134" w:name="_Toc322351098"/>
      <w:bookmarkStart w:id="135" w:name="_Toc321834607"/>
      <w:bookmarkStart w:id="136" w:name="_Toc175969690"/>
      <w:bookmarkStart w:id="137" w:name="_Toc175825472"/>
      <w:r>
        <w:rPr>
          <w:rFonts w:hint="eastAsia" w:ascii="宋体" w:hAnsi="宋体"/>
          <w:snapToGrid w:val="0"/>
          <w:color w:val="auto"/>
          <w:highlight w:val="none"/>
        </w:rPr>
        <w:t>详见投标人须知前附表。</w:t>
      </w:r>
      <w:bookmarkEnd w:id="133"/>
      <w:bookmarkEnd w:id="134"/>
      <w:bookmarkEnd w:id="135"/>
      <w:bookmarkEnd w:id="136"/>
      <w:bookmarkEnd w:id="137"/>
    </w:p>
    <w:p w14:paraId="571E5A91">
      <w:pPr>
        <w:pStyle w:val="3"/>
        <w:spacing w:after="140" w:line="360" w:lineRule="auto"/>
        <w:rPr>
          <w:rFonts w:ascii="宋体" w:hAnsi="宋体"/>
          <w:snapToGrid w:val="0"/>
          <w:color w:val="auto"/>
          <w:sz w:val="24"/>
          <w:szCs w:val="24"/>
          <w:highlight w:val="none"/>
        </w:rPr>
      </w:pPr>
      <w:bookmarkStart w:id="138" w:name="_Toc46495121"/>
      <w:bookmarkStart w:id="139" w:name="_Toc4374"/>
      <w:r>
        <w:rPr>
          <w:rFonts w:ascii="宋体" w:hAnsi="宋体"/>
          <w:snapToGrid w:val="0"/>
          <w:color w:val="auto"/>
          <w:sz w:val="24"/>
          <w:szCs w:val="24"/>
          <w:highlight w:val="none"/>
        </w:rPr>
        <w:t>2.</w:t>
      </w:r>
      <w:r>
        <w:rPr>
          <w:rFonts w:hint="eastAsia" w:ascii="宋体" w:hAnsi="宋体"/>
          <w:snapToGrid w:val="0"/>
          <w:color w:val="auto"/>
          <w:sz w:val="24"/>
          <w:szCs w:val="24"/>
          <w:highlight w:val="none"/>
        </w:rPr>
        <w:t>招标文件</w:t>
      </w:r>
      <w:bookmarkEnd w:id="138"/>
      <w:bookmarkEnd w:id="139"/>
    </w:p>
    <w:p w14:paraId="7364558F">
      <w:pPr>
        <w:pStyle w:val="4"/>
        <w:snapToGrid w:val="0"/>
        <w:spacing w:before="140" w:after="140" w:line="360" w:lineRule="auto"/>
        <w:ind w:firstLine="422" w:firstLineChars="200"/>
        <w:rPr>
          <w:b/>
          <w:snapToGrid w:val="0"/>
          <w:color w:val="auto"/>
          <w:sz w:val="21"/>
          <w:szCs w:val="21"/>
          <w:highlight w:val="none"/>
        </w:rPr>
      </w:pPr>
      <w:bookmarkStart w:id="140" w:name="_Toc46491007"/>
      <w:bookmarkStart w:id="141" w:name="_Toc5989"/>
      <w:bookmarkStart w:id="142" w:name="_Toc46857494"/>
      <w:bookmarkStart w:id="143" w:name="_Toc46495122"/>
      <w:r>
        <w:rPr>
          <w:rFonts w:hint="eastAsia"/>
          <w:b/>
          <w:snapToGrid w:val="0"/>
          <w:color w:val="auto"/>
          <w:sz w:val="21"/>
          <w:szCs w:val="21"/>
          <w:highlight w:val="none"/>
        </w:rPr>
        <w:t>2.1招标文件的组成</w:t>
      </w:r>
      <w:bookmarkEnd w:id="140"/>
      <w:bookmarkEnd w:id="141"/>
      <w:bookmarkEnd w:id="142"/>
      <w:bookmarkEnd w:id="143"/>
    </w:p>
    <w:p w14:paraId="206E8DE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2.1.1</w:t>
      </w:r>
      <w:r>
        <w:rPr>
          <w:rFonts w:hint="eastAsia" w:ascii="宋体" w:hAnsi="宋体" w:cs="MingLiU"/>
          <w:snapToGrid w:val="0"/>
          <w:color w:val="auto"/>
          <w:kern w:val="0"/>
          <w:szCs w:val="21"/>
          <w:highlight w:val="none"/>
        </w:rPr>
        <w:t>本招标文件包括：</w:t>
      </w:r>
    </w:p>
    <w:p w14:paraId="53A3A860">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（1）招标公告；</w:t>
      </w:r>
    </w:p>
    <w:p w14:paraId="4BF0962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（2）投标人须知；</w:t>
      </w:r>
    </w:p>
    <w:p w14:paraId="56C4304F">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（3）评标办法；</w:t>
      </w:r>
    </w:p>
    <w:p w14:paraId="2B6EA87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（4）合同条款及格式；</w:t>
      </w:r>
    </w:p>
    <w:p w14:paraId="6CA2E066">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（5）商务、服务要求；</w:t>
      </w:r>
    </w:p>
    <w:p w14:paraId="3A3323B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（6）投标文件格式；</w:t>
      </w:r>
    </w:p>
    <w:p w14:paraId="602B2FE6">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（7）投标人须知前附表规定的其他材料。</w:t>
      </w:r>
    </w:p>
    <w:p w14:paraId="3BA052C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2.1.2</w:t>
      </w:r>
      <w:r>
        <w:rPr>
          <w:rFonts w:hint="eastAsia" w:ascii="宋体" w:hAnsi="宋体" w:cs="MingLiU"/>
          <w:snapToGrid w:val="0"/>
          <w:color w:val="auto"/>
          <w:kern w:val="0"/>
          <w:szCs w:val="21"/>
          <w:highlight w:val="none"/>
        </w:rPr>
        <w:t>根据本章第</w:t>
      </w:r>
      <w:r>
        <w:rPr>
          <w:rFonts w:ascii="宋体" w:hAnsi="宋体" w:cs="MingLiU"/>
          <w:snapToGrid w:val="0"/>
          <w:color w:val="auto"/>
          <w:kern w:val="0"/>
          <w:szCs w:val="21"/>
          <w:highlight w:val="none"/>
        </w:rPr>
        <w:t>2.2</w:t>
      </w:r>
      <w:r>
        <w:rPr>
          <w:rFonts w:hint="eastAsia" w:ascii="宋体" w:hAnsi="宋体" w:cs="MingLiU"/>
          <w:snapToGrid w:val="0"/>
          <w:color w:val="auto"/>
          <w:kern w:val="0"/>
          <w:szCs w:val="21"/>
          <w:highlight w:val="none"/>
        </w:rPr>
        <w:t>款对招标文件所作的澄清、修改，构成招标文件的组成部分。</w:t>
      </w:r>
    </w:p>
    <w:p w14:paraId="7B816409">
      <w:pPr>
        <w:pStyle w:val="4"/>
        <w:snapToGrid w:val="0"/>
        <w:spacing w:after="140" w:line="360" w:lineRule="auto"/>
        <w:ind w:firstLine="422" w:firstLineChars="200"/>
        <w:rPr>
          <w:b/>
          <w:snapToGrid w:val="0"/>
          <w:color w:val="auto"/>
          <w:szCs w:val="21"/>
          <w:highlight w:val="none"/>
        </w:rPr>
      </w:pPr>
      <w:bookmarkStart w:id="144" w:name="_Toc46491008"/>
      <w:bookmarkStart w:id="145" w:name="_Toc46857495"/>
      <w:bookmarkStart w:id="146" w:name="_Toc46495123"/>
      <w:bookmarkStart w:id="147" w:name="_Toc24994"/>
      <w:r>
        <w:rPr>
          <w:rFonts w:hint="eastAsia"/>
          <w:b/>
          <w:snapToGrid w:val="0"/>
          <w:color w:val="auto"/>
          <w:sz w:val="21"/>
          <w:szCs w:val="21"/>
          <w:highlight w:val="none"/>
        </w:rPr>
        <w:t>2.2招标文件的澄清</w:t>
      </w:r>
      <w:bookmarkEnd w:id="144"/>
      <w:bookmarkEnd w:id="145"/>
      <w:bookmarkEnd w:id="146"/>
      <w:bookmarkEnd w:id="147"/>
    </w:p>
    <w:p w14:paraId="0A322730">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2.2.1</w:t>
      </w:r>
      <w:r>
        <w:rPr>
          <w:rFonts w:hint="eastAsia" w:ascii="宋体" w:hAnsi="宋体" w:cs="MingLiU"/>
          <w:snapToGrid w:val="0"/>
          <w:color w:val="auto"/>
          <w:kern w:val="0"/>
          <w:szCs w:val="21"/>
          <w:highlight w:val="none"/>
        </w:rPr>
        <w:t>投标人要求澄清招标文件的截止时间：详见投标人须知前附表。</w:t>
      </w:r>
    </w:p>
    <w:p w14:paraId="54A5AA1D">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2.2.2</w:t>
      </w:r>
      <w:r>
        <w:rPr>
          <w:rFonts w:hint="eastAsia" w:ascii="宋体" w:hAnsi="宋体" w:cs="MingLiU"/>
          <w:snapToGrid w:val="0"/>
          <w:color w:val="auto"/>
          <w:kern w:val="0"/>
          <w:szCs w:val="21"/>
          <w:highlight w:val="none"/>
        </w:rPr>
        <w:t>投标截止时间：详见投标人须知前附表。</w:t>
      </w:r>
    </w:p>
    <w:p w14:paraId="21DBC1E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2.2.3</w:t>
      </w:r>
      <w:r>
        <w:rPr>
          <w:rFonts w:hint="eastAsia" w:ascii="宋体" w:hAnsi="宋体" w:cs="MingLiU"/>
          <w:snapToGrid w:val="0"/>
          <w:color w:val="auto"/>
          <w:kern w:val="0"/>
          <w:szCs w:val="21"/>
          <w:highlight w:val="none"/>
        </w:rPr>
        <w:t>招标文件的澄清：详见投标人须知前附表。</w:t>
      </w:r>
    </w:p>
    <w:p w14:paraId="1F75C247">
      <w:pPr>
        <w:pStyle w:val="3"/>
        <w:spacing w:before="140" w:after="140" w:line="360" w:lineRule="auto"/>
        <w:rPr>
          <w:rFonts w:ascii="宋体" w:hAnsi="宋体"/>
          <w:snapToGrid w:val="0"/>
          <w:color w:val="auto"/>
          <w:sz w:val="24"/>
          <w:szCs w:val="24"/>
          <w:highlight w:val="none"/>
        </w:rPr>
      </w:pPr>
      <w:bookmarkStart w:id="148" w:name="_Toc46495125"/>
      <w:bookmarkStart w:id="149" w:name="_Toc12962"/>
      <w:r>
        <w:rPr>
          <w:rFonts w:ascii="宋体" w:hAnsi="宋体"/>
          <w:snapToGrid w:val="0"/>
          <w:color w:val="auto"/>
          <w:sz w:val="24"/>
          <w:szCs w:val="24"/>
          <w:highlight w:val="none"/>
        </w:rPr>
        <w:t>3.</w:t>
      </w:r>
      <w:r>
        <w:rPr>
          <w:rFonts w:hint="eastAsia" w:ascii="宋体" w:hAnsi="宋体"/>
          <w:snapToGrid w:val="0"/>
          <w:color w:val="auto"/>
          <w:sz w:val="24"/>
          <w:szCs w:val="24"/>
          <w:highlight w:val="none"/>
        </w:rPr>
        <w:t>投标文件</w:t>
      </w:r>
      <w:bookmarkEnd w:id="148"/>
      <w:bookmarkEnd w:id="149"/>
    </w:p>
    <w:p w14:paraId="77075B64">
      <w:pPr>
        <w:pStyle w:val="4"/>
        <w:snapToGrid w:val="0"/>
        <w:spacing w:after="140" w:line="360" w:lineRule="auto"/>
        <w:ind w:firstLine="422" w:firstLineChars="200"/>
        <w:rPr>
          <w:b/>
          <w:snapToGrid w:val="0"/>
          <w:color w:val="auto"/>
          <w:sz w:val="21"/>
          <w:szCs w:val="21"/>
          <w:highlight w:val="none"/>
        </w:rPr>
      </w:pPr>
      <w:bookmarkStart w:id="150" w:name="_Toc46491011"/>
      <w:bookmarkStart w:id="151" w:name="_Toc6891"/>
      <w:bookmarkStart w:id="152" w:name="_Toc46857498"/>
      <w:bookmarkStart w:id="153" w:name="_Toc46495126"/>
      <w:r>
        <w:rPr>
          <w:rFonts w:hint="eastAsia"/>
          <w:b/>
          <w:snapToGrid w:val="0"/>
          <w:color w:val="auto"/>
          <w:sz w:val="21"/>
          <w:szCs w:val="21"/>
          <w:highlight w:val="none"/>
        </w:rPr>
        <w:t>3.1 投标文件的组成</w:t>
      </w:r>
      <w:bookmarkEnd w:id="150"/>
      <w:bookmarkEnd w:id="151"/>
      <w:bookmarkEnd w:id="152"/>
      <w:bookmarkEnd w:id="153"/>
    </w:p>
    <w:p w14:paraId="2E4768A5">
      <w:pPr>
        <w:ind w:firstLine="420" w:firstLineChars="200"/>
        <w:rPr>
          <w:color w:val="auto"/>
          <w:highlight w:val="none"/>
        </w:rPr>
      </w:pPr>
      <w:r>
        <w:rPr>
          <w:rFonts w:hint="eastAsia"/>
          <w:color w:val="auto"/>
          <w:highlight w:val="none"/>
        </w:rPr>
        <w:t>详见投标文件格式。</w:t>
      </w:r>
    </w:p>
    <w:p w14:paraId="2362FF6D">
      <w:pPr>
        <w:pStyle w:val="4"/>
        <w:snapToGrid w:val="0"/>
        <w:spacing w:after="140" w:line="360" w:lineRule="auto"/>
        <w:ind w:firstLine="422" w:firstLineChars="200"/>
        <w:rPr>
          <w:b/>
          <w:snapToGrid w:val="0"/>
          <w:color w:val="auto"/>
          <w:sz w:val="21"/>
          <w:szCs w:val="21"/>
          <w:highlight w:val="none"/>
        </w:rPr>
      </w:pPr>
      <w:bookmarkStart w:id="154" w:name="_Toc20708"/>
      <w:r>
        <w:rPr>
          <w:rFonts w:hint="eastAsia"/>
          <w:b/>
          <w:snapToGrid w:val="0"/>
          <w:color w:val="auto"/>
          <w:sz w:val="21"/>
          <w:szCs w:val="21"/>
          <w:highlight w:val="none"/>
        </w:rPr>
        <w:t>3.2  投标报价</w:t>
      </w:r>
      <w:bookmarkEnd w:id="154"/>
    </w:p>
    <w:p w14:paraId="3565C2FF">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3.2.1  投标人应按第六章“开标一览表”的要求填写相应表格。</w:t>
      </w:r>
    </w:p>
    <w:p w14:paraId="29C1F5D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3.2.2  投标人在投标截止时间前修改开标一览表中的投标报价，此修改须符合本章第 4.3 款的有关要求。</w:t>
      </w:r>
    </w:p>
    <w:p w14:paraId="7A2D1A06">
      <w:pPr>
        <w:pStyle w:val="4"/>
        <w:snapToGrid w:val="0"/>
        <w:spacing w:after="140" w:line="360" w:lineRule="auto"/>
        <w:ind w:firstLine="422" w:firstLineChars="200"/>
        <w:rPr>
          <w:b/>
          <w:snapToGrid w:val="0"/>
          <w:color w:val="auto"/>
          <w:sz w:val="21"/>
          <w:szCs w:val="21"/>
          <w:highlight w:val="none"/>
        </w:rPr>
      </w:pPr>
      <w:bookmarkStart w:id="155" w:name="_Toc46495127"/>
      <w:bookmarkStart w:id="156" w:name="_Toc46857499"/>
      <w:bookmarkStart w:id="157" w:name="_Toc46491012"/>
      <w:bookmarkStart w:id="158" w:name="_Toc8293"/>
      <w:r>
        <w:rPr>
          <w:rFonts w:hint="eastAsia"/>
          <w:b/>
          <w:snapToGrid w:val="0"/>
          <w:color w:val="auto"/>
          <w:sz w:val="21"/>
          <w:szCs w:val="21"/>
          <w:highlight w:val="none"/>
        </w:rPr>
        <w:t>3.3投标有效期</w:t>
      </w:r>
      <w:bookmarkEnd w:id="155"/>
      <w:bookmarkEnd w:id="156"/>
      <w:bookmarkEnd w:id="157"/>
      <w:bookmarkEnd w:id="158"/>
    </w:p>
    <w:p w14:paraId="3F81B48F">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3.3.1</w:t>
      </w:r>
      <w:r>
        <w:rPr>
          <w:rFonts w:hint="eastAsia" w:ascii="宋体" w:hAnsi="宋体" w:cs="MingLiU"/>
          <w:snapToGrid w:val="0"/>
          <w:color w:val="auto"/>
          <w:kern w:val="0"/>
          <w:szCs w:val="21"/>
          <w:highlight w:val="none"/>
        </w:rPr>
        <w:t>在投标人须知前附表规定的投标有效期内，在此期限内，所有投标文件均保持有效。投标人不得要求撤销或修改其投标文件。</w:t>
      </w:r>
    </w:p>
    <w:p w14:paraId="4DB9A02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2E5F2A1">
      <w:pPr>
        <w:pStyle w:val="4"/>
        <w:snapToGrid w:val="0"/>
        <w:spacing w:after="140" w:line="360" w:lineRule="auto"/>
        <w:ind w:firstLine="422" w:firstLineChars="200"/>
        <w:rPr>
          <w:b/>
          <w:snapToGrid w:val="0"/>
          <w:color w:val="auto"/>
          <w:sz w:val="21"/>
          <w:szCs w:val="21"/>
          <w:highlight w:val="none"/>
        </w:rPr>
      </w:pPr>
      <w:bookmarkStart w:id="159" w:name="_Toc46491013"/>
      <w:bookmarkStart w:id="160" w:name="_Toc46495128"/>
      <w:bookmarkStart w:id="161" w:name="_Toc25551"/>
      <w:bookmarkStart w:id="162" w:name="_Toc46857500"/>
      <w:r>
        <w:rPr>
          <w:rFonts w:hint="eastAsia"/>
          <w:b/>
          <w:snapToGrid w:val="0"/>
          <w:color w:val="auto"/>
          <w:sz w:val="21"/>
          <w:szCs w:val="21"/>
          <w:highlight w:val="none"/>
        </w:rPr>
        <w:t>3.4投标保证金</w:t>
      </w:r>
      <w:bookmarkEnd w:id="159"/>
      <w:bookmarkEnd w:id="160"/>
      <w:bookmarkEnd w:id="161"/>
      <w:bookmarkEnd w:id="162"/>
    </w:p>
    <w:p w14:paraId="141191ED">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3.4.1</w:t>
      </w:r>
      <w:r>
        <w:rPr>
          <w:rFonts w:hint="eastAsia" w:ascii="宋体" w:hAnsi="宋体" w:cs="MingLiU"/>
          <w:snapToGrid w:val="0"/>
          <w:color w:val="auto"/>
          <w:kern w:val="0"/>
          <w:szCs w:val="21"/>
          <w:highlight w:val="none"/>
        </w:rPr>
        <w:t>投标人在递交投标文件的同时，应按投标人须知前附表</w:t>
      </w:r>
      <w:r>
        <w:rPr>
          <w:rFonts w:ascii="宋体" w:hAnsi="宋体" w:cs="MingLiU"/>
          <w:snapToGrid w:val="0"/>
          <w:color w:val="auto"/>
          <w:kern w:val="0"/>
          <w:szCs w:val="21"/>
          <w:highlight w:val="none"/>
        </w:rPr>
        <w:t>3.4.1</w:t>
      </w:r>
      <w:r>
        <w:rPr>
          <w:rFonts w:hint="eastAsia" w:ascii="宋体" w:hAnsi="宋体" w:cs="MingLiU"/>
          <w:snapToGrid w:val="0"/>
          <w:color w:val="auto"/>
          <w:kern w:val="0"/>
          <w:szCs w:val="21"/>
          <w:highlight w:val="none"/>
        </w:rPr>
        <w:t>款规定的投标保证金缴纳金额、缴纳形式、缴纳截止时间、缴纳方法递交投标保证金，联合体投标的，其投标保证金由联合体牵头单位递交。并作为其投标文件的组成部分。</w:t>
      </w:r>
    </w:p>
    <w:p w14:paraId="778D176C">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3.4.2</w:t>
      </w:r>
      <w:r>
        <w:rPr>
          <w:rFonts w:hint="eastAsia" w:ascii="宋体" w:hAnsi="宋体" w:cs="MingLiU"/>
          <w:snapToGrid w:val="0"/>
          <w:color w:val="auto"/>
          <w:kern w:val="0"/>
          <w:szCs w:val="21"/>
          <w:highlight w:val="none"/>
        </w:rPr>
        <w:t>投标人不按本章第</w:t>
      </w:r>
      <w:r>
        <w:rPr>
          <w:rFonts w:ascii="宋体" w:hAnsi="宋体" w:cs="MingLiU"/>
          <w:snapToGrid w:val="0"/>
          <w:color w:val="auto"/>
          <w:kern w:val="0"/>
          <w:szCs w:val="21"/>
          <w:highlight w:val="none"/>
        </w:rPr>
        <w:t xml:space="preserve"> 3.4.1 </w:t>
      </w:r>
      <w:r>
        <w:rPr>
          <w:rFonts w:hint="eastAsia" w:ascii="宋体" w:hAnsi="宋体" w:cs="MingLiU"/>
          <w:snapToGrid w:val="0"/>
          <w:color w:val="auto"/>
          <w:kern w:val="0"/>
          <w:szCs w:val="21"/>
          <w:highlight w:val="none"/>
        </w:rPr>
        <w:t>项要求提交投标保证金的，其投标文件将被拒收</w:t>
      </w:r>
      <w:r>
        <w:rPr>
          <w:rFonts w:hint="eastAsia" w:ascii="宋体" w:hAnsi="宋体" w:cs="宋体"/>
          <w:color w:val="auto"/>
          <w:kern w:val="0"/>
          <w:szCs w:val="21"/>
          <w:highlight w:val="none"/>
        </w:rPr>
        <w:t>或按废标处理</w:t>
      </w:r>
      <w:r>
        <w:rPr>
          <w:rFonts w:hint="eastAsia" w:ascii="宋体" w:hAnsi="宋体" w:cs="MingLiU"/>
          <w:snapToGrid w:val="0"/>
          <w:color w:val="auto"/>
          <w:kern w:val="0"/>
          <w:szCs w:val="21"/>
          <w:highlight w:val="none"/>
        </w:rPr>
        <w:t>。</w:t>
      </w:r>
    </w:p>
    <w:p w14:paraId="6070383E">
      <w:pPr>
        <w:autoSpaceDE w:val="0"/>
        <w:autoSpaceDN w:val="0"/>
        <w:adjustRightInd w:val="0"/>
        <w:snapToGrid w:val="0"/>
        <w:spacing w:line="360" w:lineRule="auto"/>
        <w:ind w:firstLine="525" w:firstLineChars="25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3.4.</w:t>
      </w:r>
      <w:r>
        <w:rPr>
          <w:rFonts w:hint="eastAsia" w:ascii="宋体" w:hAnsi="宋体" w:cs="MingLiU"/>
          <w:snapToGrid w:val="0"/>
          <w:color w:val="auto"/>
          <w:kern w:val="0"/>
          <w:szCs w:val="21"/>
          <w:highlight w:val="none"/>
        </w:rPr>
        <w:t>3有下列情形之一的，投标保证金将不予退还：</w:t>
      </w:r>
    </w:p>
    <w:p w14:paraId="7E47A92D">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 </w:t>
      </w:r>
      <w:r>
        <w:rPr>
          <w:rFonts w:hint="eastAsia" w:ascii="宋体" w:hAnsi="宋体" w:cs="MingLiU"/>
          <w:snapToGrid w:val="0"/>
          <w:color w:val="auto"/>
          <w:kern w:val="0"/>
          <w:szCs w:val="21"/>
          <w:highlight w:val="none"/>
        </w:rPr>
        <w:t>投标人在规定的投标有效期内撤消或修改其投标文件的；</w:t>
      </w:r>
    </w:p>
    <w:p w14:paraId="0FA9A8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(2)中标人在收到中标通知书后，无正当理由拒签合同协议书或未按招标文件规定提交履约担保。</w:t>
      </w:r>
    </w:p>
    <w:p w14:paraId="576090F8">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 </w:t>
      </w:r>
      <w:r>
        <w:rPr>
          <w:rFonts w:hint="eastAsia" w:ascii="宋体" w:hAnsi="宋体" w:cs="MingLiU"/>
          <w:snapToGrid w:val="0"/>
          <w:color w:val="auto"/>
          <w:kern w:val="0"/>
          <w:szCs w:val="21"/>
          <w:highlight w:val="none"/>
        </w:rPr>
        <w:t>提供的投标文件虚假或者不实的；</w:t>
      </w:r>
    </w:p>
    <w:p w14:paraId="5B40CE8F">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(4) </w:t>
      </w:r>
      <w:r>
        <w:rPr>
          <w:rFonts w:hint="eastAsia" w:ascii="宋体" w:hAnsi="宋体" w:cs="MingLiU"/>
          <w:snapToGrid w:val="0"/>
          <w:color w:val="auto"/>
          <w:kern w:val="0"/>
          <w:szCs w:val="21"/>
          <w:highlight w:val="none"/>
        </w:rPr>
        <w:t>中标人放弃中标的。</w:t>
      </w:r>
    </w:p>
    <w:p w14:paraId="28A5B399">
      <w:pPr>
        <w:pStyle w:val="4"/>
        <w:snapToGrid w:val="0"/>
        <w:spacing w:after="140" w:line="360" w:lineRule="auto"/>
        <w:ind w:firstLine="422" w:firstLineChars="200"/>
        <w:rPr>
          <w:b/>
          <w:snapToGrid w:val="0"/>
          <w:color w:val="auto"/>
          <w:sz w:val="21"/>
          <w:szCs w:val="21"/>
          <w:highlight w:val="none"/>
        </w:rPr>
      </w:pPr>
      <w:bookmarkStart w:id="163" w:name="_Toc46491014"/>
      <w:bookmarkStart w:id="164" w:name="_Toc12604"/>
      <w:bookmarkStart w:id="165" w:name="_Toc46857501"/>
      <w:bookmarkStart w:id="166" w:name="_Toc46495129"/>
      <w:r>
        <w:rPr>
          <w:rFonts w:hint="eastAsia"/>
          <w:b/>
          <w:snapToGrid w:val="0"/>
          <w:color w:val="auto"/>
          <w:sz w:val="21"/>
          <w:szCs w:val="21"/>
          <w:highlight w:val="none"/>
        </w:rPr>
        <w:t>3.5资格审查资料</w:t>
      </w:r>
      <w:bookmarkEnd w:id="163"/>
      <w:bookmarkEnd w:id="164"/>
      <w:bookmarkEnd w:id="165"/>
      <w:bookmarkEnd w:id="166"/>
    </w:p>
    <w:p w14:paraId="2049942D">
      <w:pPr>
        <w:ind w:firstLine="420" w:firstLineChars="200"/>
        <w:rPr>
          <w:rFonts w:ascii="宋体" w:hAnsi="宋体"/>
          <w:color w:val="auto"/>
          <w:highlight w:val="none"/>
        </w:rPr>
      </w:pPr>
      <w:bookmarkStart w:id="167" w:name="_Toc46495130"/>
      <w:bookmarkStart w:id="168" w:name="_Toc46491015"/>
      <w:bookmarkStart w:id="169" w:name="_Toc46857502"/>
      <w:r>
        <w:rPr>
          <w:rFonts w:hint="eastAsia" w:ascii="宋体" w:hAnsi="宋体" w:cs="MingLiU"/>
          <w:snapToGrid w:val="0"/>
          <w:color w:val="auto"/>
          <w:kern w:val="0"/>
          <w:szCs w:val="21"/>
          <w:highlight w:val="none"/>
        </w:rPr>
        <w:t>投标人须知前附表规定的资料。</w:t>
      </w:r>
    </w:p>
    <w:p w14:paraId="79601478">
      <w:pPr>
        <w:pStyle w:val="4"/>
        <w:snapToGrid w:val="0"/>
        <w:spacing w:after="140" w:line="360" w:lineRule="auto"/>
        <w:ind w:firstLine="422" w:firstLineChars="200"/>
        <w:rPr>
          <w:b/>
          <w:snapToGrid w:val="0"/>
          <w:color w:val="auto"/>
          <w:sz w:val="21"/>
          <w:szCs w:val="21"/>
          <w:highlight w:val="none"/>
        </w:rPr>
      </w:pPr>
      <w:bookmarkStart w:id="170" w:name="_Toc14758"/>
      <w:r>
        <w:rPr>
          <w:rFonts w:hint="eastAsia"/>
          <w:b/>
          <w:snapToGrid w:val="0"/>
          <w:color w:val="auto"/>
          <w:sz w:val="21"/>
          <w:szCs w:val="21"/>
          <w:highlight w:val="none"/>
        </w:rPr>
        <w:t>3.6备选投标方案</w:t>
      </w:r>
      <w:bookmarkEnd w:id="167"/>
      <w:bookmarkEnd w:id="168"/>
      <w:bookmarkEnd w:id="169"/>
      <w:bookmarkEnd w:id="170"/>
      <w:r>
        <w:rPr>
          <w:rFonts w:hint="eastAsia"/>
          <w:b/>
          <w:snapToGrid w:val="0"/>
          <w:color w:val="auto"/>
          <w:sz w:val="21"/>
          <w:szCs w:val="21"/>
          <w:highlight w:val="none"/>
        </w:rPr>
        <w:t xml:space="preserve"> </w:t>
      </w:r>
    </w:p>
    <w:p w14:paraId="2A6BB3E1">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本项目投标人不得递交备选投标方案。</w:t>
      </w:r>
    </w:p>
    <w:p w14:paraId="11C7B9ED">
      <w:pPr>
        <w:pStyle w:val="4"/>
        <w:snapToGrid w:val="0"/>
        <w:spacing w:after="140" w:line="360" w:lineRule="auto"/>
        <w:ind w:firstLine="422" w:firstLineChars="200"/>
        <w:rPr>
          <w:b/>
          <w:snapToGrid w:val="0"/>
          <w:color w:val="auto"/>
          <w:sz w:val="21"/>
          <w:szCs w:val="21"/>
          <w:highlight w:val="none"/>
        </w:rPr>
      </w:pPr>
      <w:bookmarkStart w:id="171" w:name="_Toc46491016"/>
      <w:bookmarkStart w:id="172" w:name="_Toc46495131"/>
      <w:bookmarkStart w:id="173" w:name="_Toc26436"/>
      <w:bookmarkStart w:id="174" w:name="_Toc46857503"/>
      <w:r>
        <w:rPr>
          <w:rFonts w:hint="eastAsia"/>
          <w:b/>
          <w:snapToGrid w:val="0"/>
          <w:color w:val="auto"/>
          <w:sz w:val="21"/>
          <w:szCs w:val="21"/>
          <w:highlight w:val="none"/>
        </w:rPr>
        <w:t>3.7投标文件的编制</w:t>
      </w:r>
      <w:bookmarkEnd w:id="171"/>
      <w:bookmarkEnd w:id="172"/>
      <w:bookmarkEnd w:id="173"/>
      <w:bookmarkEnd w:id="174"/>
    </w:p>
    <w:p w14:paraId="5BC7D7C3">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3.7.1 </w:t>
      </w:r>
      <w:r>
        <w:rPr>
          <w:rFonts w:hint="eastAsia" w:ascii="宋体" w:hAnsi="宋体" w:cs="MingLiU"/>
          <w:snapToGrid w:val="0"/>
          <w:color w:val="auto"/>
          <w:kern w:val="0"/>
          <w:szCs w:val="21"/>
          <w:highlight w:val="none"/>
        </w:rPr>
        <w:t>投标文件应按 “投标文件格式”进行编写，如有必要，可以增加附页</w:t>
      </w:r>
      <w:r>
        <w:rPr>
          <w:rFonts w:ascii="宋体" w:hAnsi="宋体" w:cs="MingLiU"/>
          <w:snapToGrid w:val="0"/>
          <w:color w:val="auto"/>
          <w:kern w:val="0"/>
          <w:szCs w:val="21"/>
          <w:highlight w:val="none"/>
        </w:rPr>
        <w:t>(</w:t>
      </w:r>
      <w:r>
        <w:rPr>
          <w:rFonts w:hint="eastAsia" w:ascii="宋体" w:hAnsi="宋体" w:cs="MingLiU"/>
          <w:snapToGrid w:val="0"/>
          <w:color w:val="auto"/>
          <w:kern w:val="0"/>
          <w:szCs w:val="21"/>
          <w:highlight w:val="none"/>
        </w:rPr>
        <w:t>表格可按同样格式扩展</w:t>
      </w:r>
      <w:r>
        <w:rPr>
          <w:rFonts w:ascii="宋体" w:hAnsi="宋体" w:cs="MingLiU"/>
          <w:snapToGrid w:val="0"/>
          <w:color w:val="auto"/>
          <w:kern w:val="0"/>
          <w:szCs w:val="21"/>
          <w:highlight w:val="none"/>
        </w:rPr>
        <w:t>)</w:t>
      </w:r>
      <w:r>
        <w:rPr>
          <w:rFonts w:hint="eastAsia" w:ascii="宋体" w:hAnsi="宋体" w:cs="MingLiU"/>
          <w:snapToGrid w:val="0"/>
          <w:color w:val="auto"/>
          <w:kern w:val="0"/>
          <w:szCs w:val="21"/>
          <w:highlight w:val="none"/>
        </w:rPr>
        <w:t>，作为投标文件的组成部分。</w:t>
      </w:r>
    </w:p>
    <w:p w14:paraId="04A0A5B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3.7.2 </w:t>
      </w:r>
      <w:r>
        <w:rPr>
          <w:rFonts w:hint="eastAsia" w:ascii="宋体" w:hAnsi="宋体" w:cs="MingLiU"/>
          <w:snapToGrid w:val="0"/>
          <w:color w:val="auto"/>
          <w:kern w:val="0"/>
          <w:szCs w:val="21"/>
          <w:highlight w:val="none"/>
        </w:rPr>
        <w:t>投标文件应当对招标文件有关服务期限、投标有效期、质量要求、技术标准和要求、招标范围等实质性内容做出响应。</w:t>
      </w:r>
    </w:p>
    <w:p w14:paraId="21BEEAD1">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3.7.3 </w:t>
      </w:r>
      <w:r>
        <w:rPr>
          <w:rFonts w:hint="eastAsia" w:ascii="宋体" w:hAnsi="宋体" w:cs="MingLiU"/>
          <w:snapToGrid w:val="0"/>
          <w:color w:val="auto"/>
          <w:kern w:val="0"/>
          <w:szCs w:val="21"/>
          <w:highlight w:val="none"/>
        </w:rPr>
        <w:t>投标文件应用不褪色的材料书写或打印，并由投标人的法定代表人或其委托代理人按招标文件要求的格式签字。委托代理人签字的，投标文件应附法定代表人签署的授权委托书和法定代表人身份证明。投标文件应尽量避免涂改、行间插字或删除。如果出现上述情况，改动之处应加盖投标人单位公章或由投标人的法定代表人或其授权的代理人签字确认。</w:t>
      </w:r>
    </w:p>
    <w:p w14:paraId="25B2EF3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3.7.4 </w:t>
      </w:r>
      <w:r>
        <w:rPr>
          <w:rFonts w:hint="eastAsia" w:ascii="宋体" w:hAnsi="宋体" w:cs="MingLiU"/>
          <w:snapToGrid w:val="0"/>
          <w:color w:val="auto"/>
          <w:kern w:val="0"/>
          <w:szCs w:val="21"/>
          <w:highlight w:val="none"/>
        </w:rPr>
        <w:t>投标文件正本、副本份数见投标人须知前附表。正本和副本的封面上应清楚地标记“正本”</w:t>
      </w:r>
      <w:r>
        <w:rPr>
          <w:rFonts w:ascii="宋体" w:hAnsi="宋体" w:cs="MingLiU"/>
          <w:snapToGrid w:val="0"/>
          <w:color w:val="auto"/>
          <w:kern w:val="0"/>
          <w:szCs w:val="21"/>
          <w:highlight w:val="none"/>
        </w:rPr>
        <w:t xml:space="preserve"> </w:t>
      </w:r>
      <w:r>
        <w:rPr>
          <w:rFonts w:hint="eastAsia" w:ascii="宋体" w:hAnsi="宋体" w:cs="MingLiU"/>
          <w:snapToGrid w:val="0"/>
          <w:color w:val="auto"/>
          <w:kern w:val="0"/>
          <w:szCs w:val="21"/>
          <w:highlight w:val="none"/>
        </w:rPr>
        <w:t>或“副本”的字样。当副本和正本不一致时，以正本为准，但投标文件作废标处理的除外。</w:t>
      </w:r>
    </w:p>
    <w:p w14:paraId="51AE2A9D">
      <w:pPr>
        <w:autoSpaceDE w:val="0"/>
        <w:autoSpaceDN w:val="0"/>
        <w:adjustRightInd w:val="0"/>
        <w:snapToGrid w:val="0"/>
        <w:spacing w:line="360" w:lineRule="auto"/>
        <w:ind w:firstLine="420" w:firstLineChars="200"/>
        <w:jc w:val="left"/>
        <w:rPr>
          <w:rFonts w:ascii="宋体" w:hAnsi="宋体"/>
          <w:color w:val="auto"/>
          <w:szCs w:val="21"/>
          <w:highlight w:val="none"/>
        </w:rPr>
      </w:pPr>
      <w:r>
        <w:rPr>
          <w:rFonts w:ascii="宋体" w:hAnsi="宋体" w:cs="MingLiU"/>
          <w:snapToGrid w:val="0"/>
          <w:color w:val="auto"/>
          <w:kern w:val="0"/>
          <w:szCs w:val="21"/>
          <w:highlight w:val="none"/>
        </w:rPr>
        <w:t>3.7.5</w:t>
      </w:r>
      <w:r>
        <w:rPr>
          <w:rFonts w:hint="eastAsia" w:ascii="宋体" w:hAnsi="宋体" w:cs="MingLiU"/>
          <w:snapToGrid w:val="0"/>
          <w:color w:val="auto"/>
          <w:kern w:val="0"/>
          <w:szCs w:val="21"/>
          <w:highlight w:val="none"/>
        </w:rPr>
        <w:t xml:space="preserve"> 投标文件的正本与副本应分别装订成册，并编制目录，具体装订要求见投标人须知前附表规定。</w:t>
      </w:r>
    </w:p>
    <w:p w14:paraId="3C567459">
      <w:pPr>
        <w:pStyle w:val="3"/>
        <w:spacing w:before="140" w:after="140" w:line="360" w:lineRule="auto"/>
        <w:rPr>
          <w:rFonts w:ascii="宋体" w:hAnsi="宋体"/>
          <w:snapToGrid w:val="0"/>
          <w:color w:val="auto"/>
          <w:sz w:val="24"/>
          <w:szCs w:val="24"/>
          <w:highlight w:val="none"/>
        </w:rPr>
      </w:pPr>
      <w:bookmarkStart w:id="175" w:name="_Toc32521"/>
      <w:bookmarkStart w:id="176" w:name="_Toc46495132"/>
      <w:r>
        <w:rPr>
          <w:rFonts w:ascii="宋体" w:hAnsi="宋体"/>
          <w:snapToGrid w:val="0"/>
          <w:color w:val="auto"/>
          <w:sz w:val="24"/>
          <w:szCs w:val="24"/>
          <w:highlight w:val="none"/>
        </w:rPr>
        <w:t>4.</w:t>
      </w:r>
      <w:r>
        <w:rPr>
          <w:rFonts w:hint="eastAsia" w:ascii="宋体" w:hAnsi="宋体"/>
          <w:snapToGrid w:val="0"/>
          <w:color w:val="auto"/>
          <w:sz w:val="24"/>
          <w:szCs w:val="24"/>
          <w:highlight w:val="none"/>
        </w:rPr>
        <w:t>投标</w:t>
      </w:r>
      <w:bookmarkEnd w:id="175"/>
      <w:bookmarkEnd w:id="176"/>
    </w:p>
    <w:p w14:paraId="1F1E3B9D">
      <w:pPr>
        <w:pStyle w:val="4"/>
        <w:snapToGrid w:val="0"/>
        <w:spacing w:after="140" w:line="360" w:lineRule="auto"/>
        <w:ind w:firstLine="422" w:firstLineChars="200"/>
        <w:rPr>
          <w:b/>
          <w:snapToGrid w:val="0"/>
          <w:color w:val="auto"/>
          <w:sz w:val="21"/>
          <w:szCs w:val="21"/>
          <w:highlight w:val="none"/>
        </w:rPr>
      </w:pPr>
      <w:bookmarkStart w:id="177" w:name="_Toc46495133"/>
      <w:bookmarkStart w:id="178" w:name="_Toc13906"/>
      <w:bookmarkStart w:id="179" w:name="_Toc46857505"/>
      <w:bookmarkStart w:id="180" w:name="_Toc46491018"/>
      <w:r>
        <w:rPr>
          <w:rFonts w:hint="eastAsia"/>
          <w:b/>
          <w:snapToGrid w:val="0"/>
          <w:color w:val="auto"/>
          <w:sz w:val="21"/>
          <w:szCs w:val="21"/>
          <w:highlight w:val="none"/>
        </w:rPr>
        <w:t>4.1投标文件的密封和标记</w:t>
      </w:r>
      <w:bookmarkEnd w:id="177"/>
      <w:bookmarkEnd w:id="178"/>
      <w:bookmarkEnd w:id="179"/>
      <w:bookmarkEnd w:id="180"/>
    </w:p>
    <w:p w14:paraId="49C16E13">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4.1.1</w:t>
      </w:r>
      <w:r>
        <w:rPr>
          <w:rFonts w:hint="eastAsia" w:ascii="宋体" w:hAnsi="宋体" w:cs="MingLiU"/>
          <w:snapToGrid w:val="0"/>
          <w:color w:val="auto"/>
          <w:kern w:val="0"/>
          <w:szCs w:val="21"/>
          <w:highlight w:val="none"/>
        </w:rPr>
        <w:t>投标文件的密封见投标人须知前附表。</w:t>
      </w:r>
    </w:p>
    <w:p w14:paraId="1536141D">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4.1.2</w:t>
      </w:r>
      <w:r>
        <w:rPr>
          <w:rFonts w:hint="eastAsia" w:ascii="宋体" w:hAnsi="宋体" w:cs="MingLiU"/>
          <w:snapToGrid w:val="0"/>
          <w:color w:val="auto"/>
          <w:kern w:val="0"/>
          <w:szCs w:val="21"/>
          <w:highlight w:val="none"/>
        </w:rPr>
        <w:t>投标文件的封套上应写明的内容见投标人须知前附表。</w:t>
      </w:r>
    </w:p>
    <w:p w14:paraId="5DCC5121">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cs="MingLiU"/>
          <w:snapToGrid w:val="0"/>
          <w:color w:val="auto"/>
          <w:kern w:val="0"/>
          <w:szCs w:val="21"/>
          <w:highlight w:val="none"/>
        </w:rPr>
        <w:t>4.1.3</w:t>
      </w:r>
      <w:r>
        <w:rPr>
          <w:rFonts w:hint="eastAsia" w:ascii="宋体" w:hAnsi="宋体" w:cs="MingLiU"/>
          <w:snapToGrid w:val="0"/>
          <w:color w:val="auto"/>
          <w:kern w:val="0"/>
          <w:szCs w:val="21"/>
          <w:highlight w:val="none"/>
        </w:rPr>
        <w:t>未按本章第</w:t>
      </w:r>
      <w:r>
        <w:rPr>
          <w:rFonts w:ascii="宋体" w:hAnsi="宋体" w:cs="MingLiU"/>
          <w:snapToGrid w:val="0"/>
          <w:color w:val="auto"/>
          <w:kern w:val="0"/>
          <w:szCs w:val="21"/>
          <w:highlight w:val="none"/>
        </w:rPr>
        <w:t>4.1.1</w:t>
      </w:r>
      <w:r>
        <w:rPr>
          <w:rFonts w:hint="eastAsia" w:ascii="宋体" w:hAnsi="宋体" w:cs="MingLiU"/>
          <w:snapToGrid w:val="0"/>
          <w:color w:val="auto"/>
          <w:kern w:val="0"/>
          <w:szCs w:val="21"/>
          <w:highlight w:val="none"/>
        </w:rPr>
        <w:t>项或第</w:t>
      </w:r>
      <w:r>
        <w:rPr>
          <w:rFonts w:ascii="宋体" w:hAnsi="宋体" w:cs="MingLiU"/>
          <w:snapToGrid w:val="0"/>
          <w:color w:val="auto"/>
          <w:kern w:val="0"/>
          <w:szCs w:val="21"/>
          <w:highlight w:val="none"/>
        </w:rPr>
        <w:t>4.1.2</w:t>
      </w:r>
      <w:r>
        <w:rPr>
          <w:rFonts w:hint="eastAsia" w:ascii="宋体" w:hAnsi="宋体" w:cs="MingLiU"/>
          <w:snapToGrid w:val="0"/>
          <w:color w:val="auto"/>
          <w:kern w:val="0"/>
          <w:szCs w:val="21"/>
          <w:highlight w:val="none"/>
        </w:rPr>
        <w:t>项要求密封和加写标记的投标文件，招标人不予受理。</w:t>
      </w:r>
      <w:bookmarkStart w:id="181" w:name="bookmark10"/>
      <w:bookmarkEnd w:id="181"/>
    </w:p>
    <w:p w14:paraId="23208C6C">
      <w:pPr>
        <w:pStyle w:val="4"/>
        <w:snapToGrid w:val="0"/>
        <w:spacing w:after="140" w:line="360" w:lineRule="auto"/>
        <w:ind w:firstLine="422" w:firstLineChars="200"/>
        <w:rPr>
          <w:b/>
          <w:snapToGrid w:val="0"/>
          <w:color w:val="auto"/>
          <w:sz w:val="21"/>
          <w:szCs w:val="21"/>
          <w:highlight w:val="none"/>
        </w:rPr>
      </w:pPr>
      <w:bookmarkStart w:id="182" w:name="_Toc46857506"/>
      <w:bookmarkStart w:id="183" w:name="_Toc46495134"/>
      <w:bookmarkStart w:id="184" w:name="_Toc13151"/>
      <w:bookmarkStart w:id="185" w:name="_Toc46491019"/>
      <w:r>
        <w:rPr>
          <w:rFonts w:hint="eastAsia"/>
          <w:b/>
          <w:snapToGrid w:val="0"/>
          <w:color w:val="auto"/>
          <w:sz w:val="21"/>
          <w:szCs w:val="21"/>
          <w:highlight w:val="none"/>
        </w:rPr>
        <w:t>4.2投标文件的递交</w:t>
      </w:r>
      <w:bookmarkEnd w:id="182"/>
      <w:bookmarkEnd w:id="183"/>
      <w:bookmarkEnd w:id="184"/>
      <w:bookmarkEnd w:id="185"/>
    </w:p>
    <w:p w14:paraId="3F69060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4.2.1</w:t>
      </w:r>
      <w:r>
        <w:rPr>
          <w:rFonts w:hint="eastAsia" w:ascii="宋体" w:hAnsi="宋体" w:cs="MingLiU"/>
          <w:snapToGrid w:val="0"/>
          <w:color w:val="auto"/>
          <w:kern w:val="0"/>
          <w:szCs w:val="21"/>
          <w:highlight w:val="none"/>
        </w:rPr>
        <w:t>投标人应在投标人须知前附表第</w:t>
      </w:r>
      <w:r>
        <w:rPr>
          <w:rFonts w:ascii="宋体" w:hAnsi="宋体" w:cs="MingLiU"/>
          <w:snapToGrid w:val="0"/>
          <w:color w:val="auto"/>
          <w:kern w:val="0"/>
          <w:szCs w:val="21"/>
          <w:highlight w:val="none"/>
        </w:rPr>
        <w:t>2.2.2</w:t>
      </w:r>
      <w:r>
        <w:rPr>
          <w:rFonts w:hint="eastAsia" w:ascii="宋体" w:hAnsi="宋体" w:cs="MingLiU"/>
          <w:snapToGrid w:val="0"/>
          <w:color w:val="auto"/>
          <w:kern w:val="0"/>
          <w:szCs w:val="21"/>
          <w:highlight w:val="none"/>
        </w:rPr>
        <w:t>项规定的投标截止时间前递交投标文件。</w:t>
      </w:r>
    </w:p>
    <w:p w14:paraId="0AE16A4B">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4.2.2</w:t>
      </w:r>
      <w:r>
        <w:rPr>
          <w:rFonts w:hint="eastAsia" w:ascii="宋体" w:hAnsi="宋体" w:cs="MingLiU"/>
          <w:snapToGrid w:val="0"/>
          <w:color w:val="auto"/>
          <w:kern w:val="0"/>
          <w:szCs w:val="21"/>
          <w:highlight w:val="none"/>
        </w:rPr>
        <w:t>投标人递交投标文件：见投标人须知前附表。</w:t>
      </w:r>
    </w:p>
    <w:p w14:paraId="5B422AB1">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4.2.3</w:t>
      </w:r>
      <w:r>
        <w:rPr>
          <w:rFonts w:hint="eastAsia" w:ascii="宋体" w:hAnsi="宋体" w:cs="MingLiU"/>
          <w:snapToGrid w:val="0"/>
          <w:color w:val="auto"/>
          <w:kern w:val="0"/>
          <w:szCs w:val="21"/>
          <w:highlight w:val="none"/>
        </w:rPr>
        <w:t>除投标人须知前附表另有规定外，投标人所递交的投标文件不予退还。</w:t>
      </w:r>
    </w:p>
    <w:p w14:paraId="1C8F35A0">
      <w:pPr>
        <w:autoSpaceDE w:val="0"/>
        <w:autoSpaceDN w:val="0"/>
        <w:adjustRightInd w:val="0"/>
        <w:snapToGrid w:val="0"/>
        <w:spacing w:line="360" w:lineRule="auto"/>
        <w:ind w:firstLine="420" w:firstLineChars="200"/>
        <w:jc w:val="left"/>
        <w:rPr>
          <w:rFonts w:ascii="宋体" w:hAnsi="宋体"/>
          <w:color w:val="auto"/>
          <w:szCs w:val="21"/>
          <w:highlight w:val="none"/>
        </w:rPr>
      </w:pPr>
      <w:r>
        <w:rPr>
          <w:rFonts w:ascii="宋体" w:hAnsi="宋体" w:cs="MingLiU"/>
          <w:snapToGrid w:val="0"/>
          <w:color w:val="auto"/>
          <w:kern w:val="0"/>
          <w:szCs w:val="21"/>
          <w:highlight w:val="none"/>
        </w:rPr>
        <w:t>4.2.4</w:t>
      </w:r>
      <w:r>
        <w:rPr>
          <w:rFonts w:hint="eastAsia" w:ascii="宋体" w:hAnsi="宋体" w:cs="MingLiU"/>
          <w:snapToGrid w:val="0"/>
          <w:color w:val="auto"/>
          <w:kern w:val="0"/>
          <w:szCs w:val="21"/>
          <w:highlight w:val="none"/>
        </w:rPr>
        <w:t>逾期送达的或者未送达指定地点的投标文件，招标人不予受理。</w:t>
      </w:r>
    </w:p>
    <w:p w14:paraId="10D99F83">
      <w:pPr>
        <w:pStyle w:val="4"/>
        <w:snapToGrid w:val="0"/>
        <w:spacing w:after="140" w:line="360" w:lineRule="auto"/>
        <w:ind w:firstLine="422" w:firstLineChars="200"/>
        <w:rPr>
          <w:b/>
          <w:snapToGrid w:val="0"/>
          <w:color w:val="auto"/>
          <w:sz w:val="21"/>
          <w:szCs w:val="21"/>
          <w:highlight w:val="none"/>
        </w:rPr>
      </w:pPr>
      <w:bookmarkStart w:id="186" w:name="_Toc46857507"/>
      <w:bookmarkStart w:id="187" w:name="_Toc46495135"/>
      <w:bookmarkStart w:id="188" w:name="_Toc46491020"/>
      <w:bookmarkStart w:id="189" w:name="_Toc14189"/>
      <w:r>
        <w:rPr>
          <w:rFonts w:hint="eastAsia"/>
          <w:b/>
          <w:snapToGrid w:val="0"/>
          <w:color w:val="auto"/>
          <w:sz w:val="21"/>
          <w:szCs w:val="21"/>
          <w:highlight w:val="none"/>
        </w:rPr>
        <w:t>4.3投标文件的修改与撤回</w:t>
      </w:r>
      <w:bookmarkEnd w:id="186"/>
      <w:bookmarkEnd w:id="187"/>
      <w:bookmarkEnd w:id="188"/>
      <w:bookmarkEnd w:id="189"/>
    </w:p>
    <w:p w14:paraId="0D5F3102">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4.3.1</w:t>
      </w:r>
      <w:r>
        <w:rPr>
          <w:rFonts w:hint="eastAsia" w:ascii="宋体" w:hAnsi="宋体" w:cs="MingLiU"/>
          <w:snapToGrid w:val="0"/>
          <w:color w:val="auto"/>
          <w:kern w:val="0"/>
          <w:szCs w:val="21"/>
          <w:highlight w:val="none"/>
        </w:rPr>
        <w:t xml:space="preserve">  在投标人须知前附表第</w:t>
      </w:r>
      <w:r>
        <w:rPr>
          <w:rFonts w:ascii="宋体" w:hAnsi="宋体" w:cs="MingLiU"/>
          <w:snapToGrid w:val="0"/>
          <w:color w:val="auto"/>
          <w:kern w:val="0"/>
          <w:szCs w:val="21"/>
          <w:highlight w:val="none"/>
        </w:rPr>
        <w:t>2.2.2</w:t>
      </w:r>
      <w:r>
        <w:rPr>
          <w:rFonts w:hint="eastAsia" w:ascii="宋体" w:hAnsi="宋体" w:cs="MingLiU"/>
          <w:snapToGrid w:val="0"/>
          <w:color w:val="auto"/>
          <w:kern w:val="0"/>
          <w:szCs w:val="21"/>
          <w:highlight w:val="none"/>
        </w:rPr>
        <w:t>项规定的投标截止时间前，投标人可以修改或撤回已递交的投标文件，但应以书面形式通知招标人。</w:t>
      </w:r>
    </w:p>
    <w:p w14:paraId="309FE8F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4.3.2</w:t>
      </w:r>
      <w:r>
        <w:rPr>
          <w:rFonts w:hint="eastAsia" w:ascii="宋体" w:hAnsi="宋体" w:cs="MingLiU"/>
          <w:snapToGrid w:val="0"/>
          <w:color w:val="auto"/>
          <w:kern w:val="0"/>
          <w:szCs w:val="21"/>
          <w:highlight w:val="none"/>
        </w:rPr>
        <w:t>投标人修改或撤回已递交投标文件的书面通知应按照本章第</w:t>
      </w:r>
      <w:r>
        <w:rPr>
          <w:rFonts w:ascii="宋体" w:hAnsi="宋体" w:cs="MingLiU"/>
          <w:snapToGrid w:val="0"/>
          <w:color w:val="auto"/>
          <w:kern w:val="0"/>
          <w:szCs w:val="21"/>
          <w:highlight w:val="none"/>
        </w:rPr>
        <w:t>3.7.3</w:t>
      </w:r>
      <w:r>
        <w:rPr>
          <w:rFonts w:hint="eastAsia" w:ascii="宋体" w:hAnsi="宋体" w:cs="MingLiU"/>
          <w:snapToGrid w:val="0"/>
          <w:color w:val="auto"/>
          <w:kern w:val="0"/>
          <w:szCs w:val="21"/>
          <w:highlight w:val="none"/>
        </w:rPr>
        <w:t>项的要求签字或盖章。</w:t>
      </w:r>
    </w:p>
    <w:p w14:paraId="5A810FA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4.3.3</w:t>
      </w:r>
      <w:r>
        <w:rPr>
          <w:rFonts w:hint="eastAsia" w:ascii="宋体" w:hAnsi="宋体" w:cs="MingLiU"/>
          <w:snapToGrid w:val="0"/>
          <w:color w:val="auto"/>
          <w:kern w:val="0"/>
          <w:szCs w:val="21"/>
          <w:highlight w:val="none"/>
        </w:rPr>
        <w:t>修改的内容为投标文件的组成部分。修改的投标文件应按照本章第</w:t>
      </w:r>
      <w:r>
        <w:rPr>
          <w:rFonts w:ascii="宋体" w:hAnsi="宋体" w:cs="MingLiU"/>
          <w:snapToGrid w:val="0"/>
          <w:color w:val="auto"/>
          <w:kern w:val="0"/>
          <w:szCs w:val="21"/>
          <w:highlight w:val="none"/>
        </w:rPr>
        <w:t>3</w:t>
      </w:r>
      <w:r>
        <w:rPr>
          <w:rFonts w:hint="eastAsia" w:ascii="宋体" w:hAnsi="宋体" w:cs="MingLiU"/>
          <w:snapToGrid w:val="0"/>
          <w:color w:val="auto"/>
          <w:kern w:val="0"/>
          <w:szCs w:val="21"/>
          <w:highlight w:val="none"/>
        </w:rPr>
        <w:t>条、第</w:t>
      </w:r>
      <w:r>
        <w:rPr>
          <w:rFonts w:ascii="宋体" w:hAnsi="宋体" w:cs="MingLiU"/>
          <w:snapToGrid w:val="0"/>
          <w:color w:val="auto"/>
          <w:kern w:val="0"/>
          <w:szCs w:val="21"/>
          <w:highlight w:val="none"/>
        </w:rPr>
        <w:t>4</w:t>
      </w:r>
      <w:r>
        <w:rPr>
          <w:rFonts w:hint="eastAsia" w:ascii="宋体" w:hAnsi="宋体" w:cs="MingLiU"/>
          <w:snapToGrid w:val="0"/>
          <w:color w:val="auto"/>
          <w:kern w:val="0"/>
          <w:szCs w:val="21"/>
          <w:highlight w:val="none"/>
        </w:rPr>
        <w:t>条规定进行编制、</w:t>
      </w:r>
      <w:r>
        <w:rPr>
          <w:rFonts w:ascii="宋体" w:hAnsi="宋体" w:cs="MingLiU"/>
          <w:snapToGrid w:val="0"/>
          <w:color w:val="auto"/>
          <w:kern w:val="0"/>
          <w:szCs w:val="21"/>
          <w:highlight w:val="none"/>
        </w:rPr>
        <w:t xml:space="preserve"> </w:t>
      </w:r>
      <w:r>
        <w:rPr>
          <w:rFonts w:hint="eastAsia" w:ascii="宋体" w:hAnsi="宋体" w:cs="MingLiU"/>
          <w:snapToGrid w:val="0"/>
          <w:color w:val="auto"/>
          <w:kern w:val="0"/>
          <w:szCs w:val="21"/>
          <w:highlight w:val="none"/>
        </w:rPr>
        <w:t>密封、标记和递交，并标明“修改”字样。</w:t>
      </w:r>
    </w:p>
    <w:p w14:paraId="639A701D">
      <w:pPr>
        <w:pStyle w:val="3"/>
        <w:spacing w:before="140" w:after="140" w:line="360" w:lineRule="auto"/>
        <w:rPr>
          <w:rFonts w:ascii="宋体" w:hAnsi="宋体"/>
          <w:snapToGrid w:val="0"/>
          <w:color w:val="auto"/>
          <w:sz w:val="24"/>
          <w:szCs w:val="24"/>
          <w:highlight w:val="none"/>
        </w:rPr>
      </w:pPr>
      <w:bookmarkStart w:id="190" w:name="_Toc19919"/>
      <w:bookmarkStart w:id="191" w:name="_Toc46495136"/>
      <w:r>
        <w:rPr>
          <w:rFonts w:ascii="宋体" w:hAnsi="宋体"/>
          <w:snapToGrid w:val="0"/>
          <w:color w:val="auto"/>
          <w:sz w:val="24"/>
          <w:szCs w:val="24"/>
          <w:highlight w:val="none"/>
        </w:rPr>
        <w:t>5.</w:t>
      </w:r>
      <w:r>
        <w:rPr>
          <w:rFonts w:hint="eastAsia" w:ascii="宋体" w:hAnsi="宋体"/>
          <w:snapToGrid w:val="0"/>
          <w:color w:val="auto"/>
          <w:sz w:val="24"/>
          <w:szCs w:val="24"/>
          <w:highlight w:val="none"/>
        </w:rPr>
        <w:t>开标</w:t>
      </w:r>
      <w:bookmarkEnd w:id="190"/>
      <w:bookmarkEnd w:id="191"/>
    </w:p>
    <w:p w14:paraId="0D67EC0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见投标人须知前附表。</w:t>
      </w:r>
    </w:p>
    <w:p w14:paraId="49C16540">
      <w:pPr>
        <w:pStyle w:val="3"/>
        <w:spacing w:before="140" w:after="140" w:line="360" w:lineRule="auto"/>
        <w:rPr>
          <w:rFonts w:ascii="宋体" w:hAnsi="宋体"/>
          <w:snapToGrid w:val="0"/>
          <w:color w:val="auto"/>
          <w:sz w:val="24"/>
          <w:szCs w:val="24"/>
          <w:highlight w:val="none"/>
        </w:rPr>
      </w:pPr>
      <w:bookmarkStart w:id="192" w:name="_Toc46495137"/>
      <w:bookmarkStart w:id="193" w:name="_Toc9852"/>
      <w:r>
        <w:rPr>
          <w:rFonts w:ascii="宋体" w:hAnsi="宋体"/>
          <w:snapToGrid w:val="0"/>
          <w:color w:val="auto"/>
          <w:sz w:val="24"/>
          <w:szCs w:val="24"/>
          <w:highlight w:val="none"/>
        </w:rPr>
        <w:t>6.</w:t>
      </w:r>
      <w:r>
        <w:rPr>
          <w:rFonts w:hint="eastAsia" w:ascii="宋体" w:hAnsi="宋体"/>
          <w:snapToGrid w:val="0"/>
          <w:color w:val="auto"/>
          <w:sz w:val="24"/>
          <w:szCs w:val="24"/>
          <w:highlight w:val="none"/>
        </w:rPr>
        <w:t>评标</w:t>
      </w:r>
      <w:bookmarkEnd w:id="192"/>
      <w:bookmarkEnd w:id="193"/>
    </w:p>
    <w:p w14:paraId="795FD2BB">
      <w:pPr>
        <w:pStyle w:val="4"/>
        <w:snapToGrid w:val="0"/>
        <w:spacing w:after="140" w:line="360" w:lineRule="auto"/>
        <w:ind w:firstLine="422" w:firstLineChars="200"/>
        <w:rPr>
          <w:b/>
          <w:snapToGrid w:val="0"/>
          <w:color w:val="auto"/>
          <w:sz w:val="21"/>
          <w:szCs w:val="21"/>
          <w:highlight w:val="none"/>
        </w:rPr>
      </w:pPr>
      <w:bookmarkStart w:id="194" w:name="_Toc46491023"/>
      <w:bookmarkStart w:id="195" w:name="_Toc32432"/>
      <w:bookmarkStart w:id="196" w:name="_Toc46857510"/>
      <w:bookmarkStart w:id="197" w:name="_Toc46495138"/>
      <w:r>
        <w:rPr>
          <w:rFonts w:hint="eastAsia"/>
          <w:b/>
          <w:snapToGrid w:val="0"/>
          <w:color w:val="auto"/>
          <w:sz w:val="21"/>
          <w:szCs w:val="21"/>
          <w:highlight w:val="none"/>
        </w:rPr>
        <w:t>6.1 评标委员会</w:t>
      </w:r>
      <w:bookmarkEnd w:id="194"/>
      <w:bookmarkEnd w:id="195"/>
      <w:bookmarkEnd w:id="196"/>
      <w:bookmarkEnd w:id="197"/>
    </w:p>
    <w:p w14:paraId="02702AAB">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6.1.1</w:t>
      </w:r>
      <w:r>
        <w:rPr>
          <w:rFonts w:hint="eastAsia" w:ascii="宋体" w:hAnsi="宋体" w:cs="MingLiU"/>
          <w:snapToGrid w:val="0"/>
          <w:color w:val="auto"/>
          <w:kern w:val="0"/>
          <w:szCs w:val="21"/>
          <w:highlight w:val="none"/>
        </w:rPr>
        <w:t>评标由招标人依法组建的评标委员会负责。</w:t>
      </w:r>
    </w:p>
    <w:p w14:paraId="79B1229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6.1.2</w:t>
      </w:r>
      <w:r>
        <w:rPr>
          <w:rFonts w:hint="eastAsia" w:ascii="宋体" w:hAnsi="宋体" w:cs="MingLiU"/>
          <w:snapToGrid w:val="0"/>
          <w:color w:val="auto"/>
          <w:kern w:val="0"/>
          <w:szCs w:val="21"/>
          <w:highlight w:val="none"/>
        </w:rPr>
        <w:t>评标委员会成员有下列情形之一的，应当回避：</w:t>
      </w:r>
    </w:p>
    <w:p w14:paraId="6A03B48D">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1</w:t>
      </w:r>
      <w:r>
        <w:rPr>
          <w:rFonts w:hint="eastAsia" w:ascii="宋体" w:hAnsi="宋体" w:cs="MingLiU"/>
          <w:snapToGrid w:val="0"/>
          <w:color w:val="auto"/>
          <w:kern w:val="0"/>
          <w:szCs w:val="21"/>
          <w:highlight w:val="none"/>
        </w:rPr>
        <w:t>）招标人或投标人的主要负责人的近亲属；</w:t>
      </w:r>
    </w:p>
    <w:p w14:paraId="7EE55CD6">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（2）与投标人有经济利益关系，可能影响对投标公正评审的；</w:t>
      </w:r>
    </w:p>
    <w:p w14:paraId="1C1AF164">
      <w:pPr>
        <w:autoSpaceDE w:val="0"/>
        <w:autoSpaceDN w:val="0"/>
        <w:adjustRightInd w:val="0"/>
        <w:snapToGrid w:val="0"/>
        <w:spacing w:line="360" w:lineRule="auto"/>
        <w:ind w:firstLine="420" w:firstLineChars="200"/>
        <w:jc w:val="left"/>
        <w:rPr>
          <w:rFonts w:ascii="宋体" w:hAnsi="宋体"/>
          <w:color w:val="auto"/>
          <w:w w:val="99"/>
          <w:szCs w:val="21"/>
          <w:highlight w:val="none"/>
        </w:rPr>
      </w:pPr>
      <w:r>
        <w:rPr>
          <w:rFonts w:hint="eastAsia" w:ascii="宋体" w:hAnsi="宋体" w:cs="MingLiU"/>
          <w:snapToGrid w:val="0"/>
          <w:color w:val="auto"/>
          <w:kern w:val="0"/>
          <w:szCs w:val="21"/>
          <w:highlight w:val="none"/>
        </w:rPr>
        <w:t>（3）曾因在招标、评标以及其他与招标投标有关活动中从事违法行为而受过行政处罚或刑事处罚的。</w:t>
      </w:r>
      <w:r>
        <w:rPr>
          <w:rFonts w:ascii="宋体" w:hAnsi="宋体"/>
          <w:color w:val="auto"/>
          <w:w w:val="99"/>
          <w:szCs w:val="21"/>
          <w:highlight w:val="none"/>
        </w:rPr>
        <w:t xml:space="preserve"> </w:t>
      </w:r>
    </w:p>
    <w:p w14:paraId="04E65F32">
      <w:pPr>
        <w:pStyle w:val="4"/>
        <w:snapToGrid w:val="0"/>
        <w:spacing w:after="140" w:line="360" w:lineRule="auto"/>
        <w:ind w:firstLine="422" w:firstLineChars="200"/>
        <w:rPr>
          <w:b/>
          <w:snapToGrid w:val="0"/>
          <w:color w:val="auto"/>
          <w:sz w:val="21"/>
          <w:szCs w:val="21"/>
          <w:highlight w:val="none"/>
        </w:rPr>
      </w:pPr>
      <w:bookmarkStart w:id="198" w:name="_Toc46857511"/>
      <w:bookmarkStart w:id="199" w:name="_Toc46491024"/>
      <w:bookmarkStart w:id="200" w:name="_Toc46495139"/>
      <w:bookmarkStart w:id="201" w:name="_Toc28242"/>
      <w:r>
        <w:rPr>
          <w:rFonts w:hint="eastAsia"/>
          <w:b/>
          <w:snapToGrid w:val="0"/>
          <w:color w:val="auto"/>
          <w:sz w:val="21"/>
          <w:szCs w:val="21"/>
          <w:highlight w:val="none"/>
        </w:rPr>
        <w:t>6.2 评标原则</w:t>
      </w:r>
      <w:bookmarkEnd w:id="198"/>
      <w:bookmarkEnd w:id="199"/>
      <w:bookmarkEnd w:id="200"/>
      <w:bookmarkEnd w:id="201"/>
    </w:p>
    <w:p w14:paraId="4193276D">
      <w:pPr>
        <w:autoSpaceDE w:val="0"/>
        <w:autoSpaceDN w:val="0"/>
        <w:adjustRightInd w:val="0"/>
        <w:snapToGrid w:val="0"/>
        <w:spacing w:line="360" w:lineRule="auto"/>
        <w:ind w:firstLine="420" w:firstLineChars="200"/>
        <w:jc w:val="left"/>
        <w:rPr>
          <w:rFonts w:ascii="宋体" w:hAnsi="宋体" w:cs="宋体"/>
          <w:color w:val="auto"/>
          <w:spacing w:val="30"/>
          <w:w w:val="99"/>
          <w:szCs w:val="21"/>
          <w:highlight w:val="none"/>
        </w:rPr>
      </w:pPr>
      <w:r>
        <w:rPr>
          <w:rFonts w:hint="eastAsia" w:ascii="宋体" w:hAnsi="宋体" w:cs="MingLiU"/>
          <w:snapToGrid w:val="0"/>
          <w:color w:val="auto"/>
          <w:kern w:val="0"/>
          <w:szCs w:val="21"/>
          <w:highlight w:val="none"/>
        </w:rPr>
        <w:t>评标活动遵循公平、公正、科学和择优的原则。</w:t>
      </w:r>
    </w:p>
    <w:p w14:paraId="27E30A13">
      <w:pPr>
        <w:pStyle w:val="4"/>
        <w:snapToGrid w:val="0"/>
        <w:spacing w:after="140" w:line="360" w:lineRule="auto"/>
        <w:ind w:firstLine="422" w:firstLineChars="200"/>
        <w:rPr>
          <w:b/>
          <w:snapToGrid w:val="0"/>
          <w:color w:val="auto"/>
          <w:sz w:val="21"/>
          <w:szCs w:val="21"/>
          <w:highlight w:val="none"/>
        </w:rPr>
      </w:pPr>
      <w:bookmarkStart w:id="202" w:name="_Toc46495140"/>
      <w:bookmarkStart w:id="203" w:name="_Toc6621"/>
      <w:bookmarkStart w:id="204" w:name="_Toc46857512"/>
      <w:bookmarkStart w:id="205" w:name="_Toc46491025"/>
      <w:r>
        <w:rPr>
          <w:rFonts w:hint="eastAsia"/>
          <w:b/>
          <w:snapToGrid w:val="0"/>
          <w:color w:val="auto"/>
          <w:sz w:val="21"/>
          <w:szCs w:val="21"/>
          <w:highlight w:val="none"/>
        </w:rPr>
        <w:t>6.3 评标</w:t>
      </w:r>
      <w:bookmarkEnd w:id="202"/>
      <w:bookmarkEnd w:id="203"/>
      <w:bookmarkEnd w:id="204"/>
      <w:bookmarkEnd w:id="205"/>
    </w:p>
    <w:p w14:paraId="3978A19C">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评标委员会按照第三章“评标办法”规定的方法、评审因素、标准和程序对投标文件进行评审。第三章“评标办法”没有规定的方法、评审因素和标准，不作为评标依据。</w:t>
      </w:r>
    </w:p>
    <w:p w14:paraId="776677CE">
      <w:pPr>
        <w:pStyle w:val="3"/>
        <w:spacing w:before="140" w:after="140" w:line="360" w:lineRule="auto"/>
        <w:rPr>
          <w:rFonts w:ascii="宋体" w:hAnsi="宋体"/>
          <w:snapToGrid w:val="0"/>
          <w:color w:val="auto"/>
          <w:sz w:val="24"/>
          <w:szCs w:val="24"/>
          <w:highlight w:val="none"/>
        </w:rPr>
      </w:pPr>
      <w:bookmarkStart w:id="206" w:name="_Toc46495141"/>
      <w:bookmarkStart w:id="207" w:name="_Toc15958"/>
      <w:r>
        <w:rPr>
          <w:rFonts w:ascii="宋体" w:hAnsi="宋体"/>
          <w:snapToGrid w:val="0"/>
          <w:color w:val="auto"/>
          <w:sz w:val="24"/>
          <w:szCs w:val="24"/>
          <w:highlight w:val="none"/>
        </w:rPr>
        <w:t>7.</w:t>
      </w:r>
      <w:r>
        <w:rPr>
          <w:rFonts w:hint="eastAsia" w:ascii="宋体" w:hAnsi="宋体"/>
          <w:snapToGrid w:val="0"/>
          <w:color w:val="auto"/>
          <w:sz w:val="24"/>
          <w:szCs w:val="24"/>
          <w:highlight w:val="none"/>
        </w:rPr>
        <w:t>合同授予</w:t>
      </w:r>
      <w:bookmarkEnd w:id="206"/>
      <w:bookmarkEnd w:id="207"/>
    </w:p>
    <w:p w14:paraId="65607AAA">
      <w:pPr>
        <w:pStyle w:val="4"/>
        <w:snapToGrid w:val="0"/>
        <w:spacing w:after="140" w:line="360" w:lineRule="auto"/>
        <w:ind w:firstLine="422" w:firstLineChars="200"/>
        <w:rPr>
          <w:b/>
          <w:snapToGrid w:val="0"/>
          <w:color w:val="auto"/>
          <w:sz w:val="21"/>
          <w:szCs w:val="21"/>
          <w:highlight w:val="none"/>
        </w:rPr>
      </w:pPr>
      <w:bookmarkStart w:id="208" w:name="_Toc46857514"/>
      <w:bookmarkStart w:id="209" w:name="_Toc46491027"/>
      <w:bookmarkStart w:id="210" w:name="_Toc22612"/>
      <w:bookmarkStart w:id="211" w:name="_Toc46495142"/>
      <w:r>
        <w:rPr>
          <w:rFonts w:hint="eastAsia"/>
          <w:b/>
          <w:snapToGrid w:val="0"/>
          <w:color w:val="auto"/>
          <w:sz w:val="21"/>
          <w:szCs w:val="21"/>
          <w:highlight w:val="none"/>
        </w:rPr>
        <w:t>7.1 定标方式</w:t>
      </w:r>
      <w:bookmarkEnd w:id="208"/>
      <w:bookmarkEnd w:id="209"/>
      <w:bookmarkEnd w:id="210"/>
      <w:bookmarkEnd w:id="211"/>
    </w:p>
    <w:p w14:paraId="6E745AD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除投标人须知前附表规定评标委员会直接确定中标人外，招标人依据评标委员会推荐的中标候选人确定中标人，评标委员会推荐中标候选人的人数见投标人须知前附表。</w:t>
      </w:r>
    </w:p>
    <w:p w14:paraId="3A036971">
      <w:pPr>
        <w:pStyle w:val="4"/>
        <w:snapToGrid w:val="0"/>
        <w:spacing w:after="140" w:line="360" w:lineRule="auto"/>
        <w:ind w:firstLine="422" w:firstLineChars="200"/>
        <w:rPr>
          <w:b/>
          <w:snapToGrid w:val="0"/>
          <w:color w:val="auto"/>
          <w:sz w:val="21"/>
          <w:szCs w:val="21"/>
          <w:highlight w:val="none"/>
        </w:rPr>
      </w:pPr>
      <w:bookmarkStart w:id="212" w:name="_Toc46495143"/>
      <w:bookmarkStart w:id="213" w:name="_Toc15883"/>
      <w:bookmarkStart w:id="214" w:name="_Toc46857515"/>
      <w:bookmarkStart w:id="215" w:name="_Toc46491028"/>
      <w:r>
        <w:rPr>
          <w:rFonts w:hint="eastAsia"/>
          <w:b/>
          <w:snapToGrid w:val="0"/>
          <w:color w:val="auto"/>
          <w:sz w:val="21"/>
          <w:szCs w:val="21"/>
          <w:highlight w:val="none"/>
        </w:rPr>
        <w:t>7.2 中标通知</w:t>
      </w:r>
      <w:bookmarkEnd w:id="212"/>
      <w:bookmarkEnd w:id="213"/>
      <w:bookmarkEnd w:id="214"/>
      <w:bookmarkEnd w:id="215"/>
    </w:p>
    <w:p w14:paraId="01774EBC">
      <w:pPr>
        <w:autoSpaceDE w:val="0"/>
        <w:autoSpaceDN w:val="0"/>
        <w:adjustRightInd w:val="0"/>
        <w:snapToGrid w:val="0"/>
        <w:spacing w:line="360" w:lineRule="auto"/>
        <w:ind w:firstLine="420" w:firstLineChars="200"/>
        <w:jc w:val="left"/>
        <w:rPr>
          <w:rFonts w:ascii="宋体" w:hAnsi="宋体" w:cs="宋体"/>
          <w:color w:val="auto"/>
          <w:spacing w:val="34"/>
          <w:w w:val="99"/>
          <w:szCs w:val="21"/>
          <w:highlight w:val="none"/>
        </w:rPr>
      </w:pPr>
      <w:r>
        <w:rPr>
          <w:rFonts w:hint="eastAsia" w:ascii="宋体" w:hAnsi="宋体" w:cs="MingLiU"/>
          <w:snapToGrid w:val="0"/>
          <w:color w:val="auto"/>
          <w:kern w:val="0"/>
          <w:szCs w:val="21"/>
          <w:highlight w:val="none"/>
        </w:rPr>
        <w:t>在本章第</w:t>
      </w:r>
      <w:r>
        <w:rPr>
          <w:rFonts w:ascii="宋体" w:hAnsi="宋体" w:cs="MingLiU"/>
          <w:snapToGrid w:val="0"/>
          <w:color w:val="auto"/>
          <w:kern w:val="0"/>
          <w:szCs w:val="21"/>
          <w:highlight w:val="none"/>
        </w:rPr>
        <w:t>3.3</w:t>
      </w:r>
      <w:r>
        <w:rPr>
          <w:rFonts w:hint="eastAsia" w:ascii="宋体" w:hAnsi="宋体" w:cs="MingLiU"/>
          <w:snapToGrid w:val="0"/>
          <w:color w:val="auto"/>
          <w:kern w:val="0"/>
          <w:szCs w:val="21"/>
          <w:highlight w:val="none"/>
        </w:rPr>
        <w:t>款规定的投标有效期内，招标人以书面形式向中标人发出中标通知书。</w:t>
      </w:r>
      <w:r>
        <w:rPr>
          <w:rFonts w:ascii="宋体" w:hAnsi="宋体" w:cs="宋体"/>
          <w:color w:val="auto"/>
          <w:spacing w:val="34"/>
          <w:w w:val="99"/>
          <w:szCs w:val="21"/>
          <w:highlight w:val="none"/>
        </w:rPr>
        <w:t xml:space="preserve"> </w:t>
      </w:r>
    </w:p>
    <w:p w14:paraId="03CEEFB9">
      <w:pPr>
        <w:pStyle w:val="4"/>
        <w:snapToGrid w:val="0"/>
        <w:spacing w:after="140" w:line="360" w:lineRule="auto"/>
        <w:ind w:firstLine="422" w:firstLineChars="200"/>
        <w:rPr>
          <w:b/>
          <w:snapToGrid w:val="0"/>
          <w:color w:val="auto"/>
          <w:sz w:val="21"/>
          <w:szCs w:val="21"/>
          <w:highlight w:val="none"/>
        </w:rPr>
      </w:pPr>
      <w:bookmarkStart w:id="216" w:name="_Toc21503"/>
      <w:bookmarkStart w:id="217" w:name="_Toc46491029"/>
      <w:bookmarkStart w:id="218" w:name="_Toc46495144"/>
      <w:bookmarkStart w:id="219" w:name="_Toc46857516"/>
      <w:r>
        <w:rPr>
          <w:rFonts w:hint="eastAsia"/>
          <w:b/>
          <w:snapToGrid w:val="0"/>
          <w:color w:val="auto"/>
          <w:sz w:val="21"/>
          <w:szCs w:val="21"/>
          <w:highlight w:val="none"/>
        </w:rPr>
        <w:t>7.3 履约保证金</w:t>
      </w:r>
      <w:bookmarkEnd w:id="216"/>
      <w:bookmarkEnd w:id="217"/>
      <w:bookmarkEnd w:id="218"/>
      <w:bookmarkEnd w:id="219"/>
    </w:p>
    <w:p w14:paraId="21A7FCE2">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7.3.1  在签订合同前，中标人应按</w:t>
      </w:r>
      <w:r>
        <w:rPr>
          <w:rFonts w:hint="eastAsia" w:ascii="宋体" w:hAnsi="宋体" w:cs="MingLiU"/>
          <w:b/>
          <w:snapToGrid w:val="0"/>
          <w:color w:val="auto"/>
          <w:kern w:val="0"/>
          <w:szCs w:val="21"/>
          <w:highlight w:val="none"/>
          <w:u w:val="single"/>
        </w:rPr>
        <w:t>投标人须知前附表</w:t>
      </w:r>
      <w:r>
        <w:rPr>
          <w:rFonts w:hint="eastAsia" w:ascii="宋体" w:hAnsi="宋体" w:cs="MingLiU"/>
          <w:snapToGrid w:val="0"/>
          <w:color w:val="auto"/>
          <w:kern w:val="0"/>
          <w:szCs w:val="21"/>
          <w:highlight w:val="none"/>
        </w:rPr>
        <w:t>规定的金额、担保形式规定的履约担保格式向招标人提交履约担保。</w:t>
      </w:r>
    </w:p>
    <w:p w14:paraId="0587A269">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5875B4E9">
      <w:pPr>
        <w:pStyle w:val="4"/>
        <w:snapToGrid w:val="0"/>
        <w:spacing w:after="140" w:line="360" w:lineRule="auto"/>
        <w:ind w:firstLine="422" w:firstLineChars="200"/>
        <w:rPr>
          <w:b/>
          <w:snapToGrid w:val="0"/>
          <w:color w:val="auto"/>
          <w:sz w:val="21"/>
          <w:szCs w:val="21"/>
          <w:highlight w:val="none"/>
        </w:rPr>
      </w:pPr>
      <w:bookmarkStart w:id="220" w:name="_Toc22090"/>
      <w:bookmarkStart w:id="221" w:name="_Toc46857517"/>
      <w:bookmarkStart w:id="222" w:name="_Toc46495145"/>
      <w:bookmarkStart w:id="223" w:name="_Toc46491030"/>
      <w:r>
        <w:rPr>
          <w:rFonts w:hint="eastAsia"/>
          <w:b/>
          <w:snapToGrid w:val="0"/>
          <w:color w:val="auto"/>
          <w:sz w:val="21"/>
          <w:szCs w:val="21"/>
          <w:highlight w:val="none"/>
        </w:rPr>
        <w:t>7.4 签订合同</w:t>
      </w:r>
      <w:bookmarkEnd w:id="220"/>
      <w:bookmarkEnd w:id="221"/>
      <w:bookmarkEnd w:id="222"/>
      <w:bookmarkEnd w:id="223"/>
    </w:p>
    <w:p w14:paraId="5EBE2CFA">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7.</w:t>
      </w:r>
      <w:r>
        <w:rPr>
          <w:rFonts w:hint="eastAsia" w:ascii="宋体" w:hAnsi="宋体" w:cs="MingLiU"/>
          <w:snapToGrid w:val="0"/>
          <w:color w:val="auto"/>
          <w:kern w:val="0"/>
          <w:szCs w:val="21"/>
          <w:highlight w:val="none"/>
        </w:rPr>
        <w:t>4</w:t>
      </w:r>
      <w:r>
        <w:rPr>
          <w:rFonts w:ascii="宋体" w:hAnsi="宋体" w:cs="MingLiU"/>
          <w:snapToGrid w:val="0"/>
          <w:color w:val="auto"/>
          <w:kern w:val="0"/>
          <w:szCs w:val="21"/>
          <w:highlight w:val="none"/>
        </w:rPr>
        <w:t xml:space="preserve">.1 </w:t>
      </w:r>
      <w:r>
        <w:rPr>
          <w:rFonts w:hint="eastAsia" w:ascii="宋体" w:hAnsi="宋体" w:cs="MingLiU"/>
          <w:snapToGrid w:val="0"/>
          <w:color w:val="auto"/>
          <w:kern w:val="0"/>
          <w:szCs w:val="21"/>
          <w:highlight w:val="none"/>
        </w:rPr>
        <w:t>中标人在接到中标通知书后</w:t>
      </w:r>
      <w:r>
        <w:rPr>
          <w:rFonts w:hint="eastAsia" w:ascii="宋体" w:hAnsi="宋体" w:cs="MingLiU"/>
          <w:snapToGrid w:val="0"/>
          <w:color w:val="auto"/>
          <w:kern w:val="0"/>
          <w:szCs w:val="21"/>
          <w:highlight w:val="none"/>
          <w:u w:val="single"/>
        </w:rPr>
        <w:t xml:space="preserve"> </w:t>
      </w:r>
      <w:r>
        <w:rPr>
          <w:rFonts w:hint="eastAsia" w:ascii="宋体" w:hAnsi="宋体" w:cs="MingLiU"/>
          <w:b/>
          <w:snapToGrid w:val="0"/>
          <w:color w:val="auto"/>
          <w:kern w:val="0"/>
          <w:szCs w:val="21"/>
          <w:highlight w:val="none"/>
          <w:u w:val="single"/>
        </w:rPr>
        <w:t xml:space="preserve">20 </w:t>
      </w:r>
      <w:r>
        <w:rPr>
          <w:rFonts w:hint="eastAsia" w:ascii="宋体" w:hAnsi="宋体" w:cs="MingLiU"/>
          <w:snapToGrid w:val="0"/>
          <w:color w:val="auto"/>
          <w:kern w:val="0"/>
          <w:szCs w:val="21"/>
          <w:highlight w:val="none"/>
        </w:rPr>
        <w:t>日内，按照招标文件和中标人的投标文件签订合同。</w:t>
      </w:r>
    </w:p>
    <w:p w14:paraId="0E2907C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7.</w:t>
      </w:r>
      <w:r>
        <w:rPr>
          <w:rFonts w:hint="eastAsia" w:ascii="宋体" w:hAnsi="宋体" w:cs="MingLiU"/>
          <w:snapToGrid w:val="0"/>
          <w:color w:val="auto"/>
          <w:kern w:val="0"/>
          <w:szCs w:val="21"/>
          <w:highlight w:val="none"/>
        </w:rPr>
        <w:t>4</w:t>
      </w:r>
      <w:r>
        <w:rPr>
          <w:rFonts w:ascii="宋体" w:hAnsi="宋体" w:cs="MingLiU"/>
          <w:snapToGrid w:val="0"/>
          <w:color w:val="auto"/>
          <w:kern w:val="0"/>
          <w:szCs w:val="21"/>
          <w:highlight w:val="none"/>
        </w:rPr>
        <w:t xml:space="preserve">.2 </w:t>
      </w:r>
      <w:r>
        <w:rPr>
          <w:rFonts w:hint="eastAsia" w:ascii="宋体" w:hAnsi="宋体" w:cs="MingLiU"/>
          <w:snapToGrid w:val="0"/>
          <w:color w:val="auto"/>
          <w:kern w:val="0"/>
          <w:szCs w:val="21"/>
          <w:highlight w:val="none"/>
        </w:rPr>
        <w:t>中标人无正当理由拒绝与招标人签订合同，则招标人将取消其中标资格，并不退还其投标保证金，给招标人造成的损失超过投标保证金的，还应当对超过部分予以赔偿，同时依法承担相应的法律责任。</w:t>
      </w:r>
    </w:p>
    <w:p w14:paraId="40533772">
      <w:pPr>
        <w:pStyle w:val="3"/>
        <w:spacing w:before="140" w:after="140" w:line="360" w:lineRule="auto"/>
        <w:rPr>
          <w:rFonts w:ascii="宋体" w:hAnsi="宋体"/>
          <w:snapToGrid w:val="0"/>
          <w:color w:val="auto"/>
          <w:sz w:val="24"/>
          <w:szCs w:val="24"/>
          <w:highlight w:val="none"/>
        </w:rPr>
      </w:pPr>
      <w:bookmarkStart w:id="224" w:name="_Toc30366"/>
      <w:bookmarkStart w:id="225" w:name="_Toc46495146"/>
      <w:r>
        <w:rPr>
          <w:rFonts w:ascii="宋体" w:hAnsi="宋体"/>
          <w:snapToGrid w:val="0"/>
          <w:color w:val="auto"/>
          <w:sz w:val="24"/>
          <w:szCs w:val="24"/>
          <w:highlight w:val="none"/>
        </w:rPr>
        <w:t>8.</w:t>
      </w:r>
      <w:r>
        <w:rPr>
          <w:rFonts w:hint="eastAsia" w:ascii="宋体" w:hAnsi="宋体"/>
          <w:snapToGrid w:val="0"/>
          <w:color w:val="auto"/>
          <w:sz w:val="24"/>
          <w:szCs w:val="24"/>
          <w:highlight w:val="none"/>
        </w:rPr>
        <w:t>重新招标和不再招标</w:t>
      </w:r>
      <w:bookmarkEnd w:id="224"/>
      <w:bookmarkEnd w:id="225"/>
    </w:p>
    <w:p w14:paraId="3CA194EE">
      <w:pPr>
        <w:pStyle w:val="4"/>
        <w:snapToGrid w:val="0"/>
        <w:spacing w:after="140" w:line="360" w:lineRule="auto"/>
        <w:ind w:firstLine="422" w:firstLineChars="200"/>
        <w:rPr>
          <w:b/>
          <w:snapToGrid w:val="0"/>
          <w:color w:val="auto"/>
          <w:sz w:val="21"/>
          <w:szCs w:val="21"/>
          <w:highlight w:val="none"/>
        </w:rPr>
      </w:pPr>
      <w:bookmarkStart w:id="226" w:name="_Toc1269"/>
      <w:bookmarkStart w:id="227" w:name="_Toc46843813"/>
      <w:bookmarkStart w:id="228" w:name="_Toc515291147"/>
      <w:bookmarkStart w:id="229" w:name="_Toc46495151"/>
      <w:r>
        <w:rPr>
          <w:rFonts w:hint="eastAsia"/>
          <w:b/>
          <w:snapToGrid w:val="0"/>
          <w:color w:val="auto"/>
          <w:sz w:val="21"/>
          <w:szCs w:val="21"/>
          <w:highlight w:val="none"/>
        </w:rPr>
        <w:t>8.1 重新招标</w:t>
      </w:r>
      <w:bookmarkEnd w:id="226"/>
      <w:bookmarkEnd w:id="227"/>
      <w:bookmarkEnd w:id="228"/>
    </w:p>
    <w:p w14:paraId="2E469B2E">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有下列情形之一的，招标人将重新招标：</w:t>
      </w:r>
    </w:p>
    <w:p w14:paraId="4EF73CCB">
      <w:pPr>
        <w:tabs>
          <w:tab w:val="left" w:pos="3990"/>
        </w:tabs>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bookmarkStart w:id="230" w:name="_Toc515291148"/>
      <w:r>
        <w:rPr>
          <w:rFonts w:hint="eastAsia" w:ascii="宋体" w:hAnsi="宋体" w:cs="MingLiU"/>
          <w:snapToGrid w:val="0"/>
          <w:color w:val="auto"/>
          <w:kern w:val="0"/>
          <w:szCs w:val="21"/>
          <w:highlight w:val="none"/>
        </w:rPr>
        <w:t>（1）投标截止时间止，投标人少于5家/标包的。</w:t>
      </w:r>
    </w:p>
    <w:p w14:paraId="4FFC882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bookmarkStart w:id="231" w:name="_Toc7464"/>
      <w:bookmarkStart w:id="232" w:name="_Toc46843814"/>
      <w:r>
        <w:rPr>
          <w:rFonts w:hint="eastAsia" w:ascii="宋体" w:hAnsi="宋体" w:cs="MingLiU"/>
          <w:snapToGrid w:val="0"/>
          <w:color w:val="auto"/>
          <w:kern w:val="0"/>
          <w:szCs w:val="21"/>
          <w:highlight w:val="none"/>
        </w:rPr>
        <w:t>（2）经评标委员会评审后否决所有投标的。</w:t>
      </w:r>
      <w:bookmarkEnd w:id="231"/>
      <w:bookmarkEnd w:id="232"/>
    </w:p>
    <w:bookmarkEnd w:id="230"/>
    <w:p w14:paraId="1F83C23C">
      <w:pPr>
        <w:pStyle w:val="3"/>
        <w:spacing w:before="140" w:after="140" w:line="360" w:lineRule="auto"/>
        <w:rPr>
          <w:rFonts w:ascii="宋体" w:hAnsi="宋体"/>
          <w:snapToGrid w:val="0"/>
          <w:color w:val="auto"/>
          <w:sz w:val="24"/>
          <w:szCs w:val="24"/>
          <w:highlight w:val="none"/>
        </w:rPr>
      </w:pPr>
      <w:bookmarkStart w:id="233" w:name="_Toc5976"/>
      <w:r>
        <w:rPr>
          <w:rFonts w:hint="eastAsia" w:ascii="宋体" w:hAnsi="宋体"/>
          <w:snapToGrid w:val="0"/>
          <w:color w:val="auto"/>
          <w:sz w:val="24"/>
          <w:szCs w:val="24"/>
          <w:highlight w:val="none"/>
        </w:rPr>
        <w:t>9.纪律和监督</w:t>
      </w:r>
      <w:bookmarkEnd w:id="229"/>
      <w:bookmarkEnd w:id="233"/>
    </w:p>
    <w:p w14:paraId="50C96820">
      <w:pPr>
        <w:pStyle w:val="4"/>
        <w:snapToGrid w:val="0"/>
        <w:spacing w:after="140" w:line="360" w:lineRule="auto"/>
        <w:ind w:firstLine="422" w:firstLineChars="200"/>
        <w:rPr>
          <w:b/>
          <w:snapToGrid w:val="0"/>
          <w:color w:val="auto"/>
          <w:sz w:val="21"/>
          <w:szCs w:val="21"/>
          <w:highlight w:val="none"/>
        </w:rPr>
      </w:pPr>
      <w:bookmarkStart w:id="234" w:name="_Toc46495152"/>
      <w:bookmarkStart w:id="235" w:name="_Toc46491037"/>
      <w:bookmarkStart w:id="236" w:name="_Toc46857523"/>
      <w:bookmarkStart w:id="237" w:name="_Toc31523"/>
      <w:r>
        <w:rPr>
          <w:rFonts w:hint="eastAsia"/>
          <w:b/>
          <w:snapToGrid w:val="0"/>
          <w:color w:val="auto"/>
          <w:sz w:val="21"/>
          <w:szCs w:val="21"/>
          <w:highlight w:val="none"/>
        </w:rPr>
        <w:t>9.1 对招标人的纪律要求</w:t>
      </w:r>
      <w:bookmarkEnd w:id="234"/>
      <w:bookmarkEnd w:id="235"/>
      <w:bookmarkEnd w:id="236"/>
      <w:bookmarkEnd w:id="237"/>
      <w:r>
        <w:rPr>
          <w:rFonts w:hint="eastAsia"/>
          <w:b/>
          <w:snapToGrid w:val="0"/>
          <w:color w:val="auto"/>
          <w:sz w:val="21"/>
          <w:szCs w:val="21"/>
          <w:highlight w:val="none"/>
        </w:rPr>
        <w:t xml:space="preserve"> </w:t>
      </w:r>
    </w:p>
    <w:p w14:paraId="33397082">
      <w:pPr>
        <w:autoSpaceDE w:val="0"/>
        <w:autoSpaceDN w:val="0"/>
        <w:adjustRightInd w:val="0"/>
        <w:snapToGrid w:val="0"/>
        <w:spacing w:line="360" w:lineRule="auto"/>
        <w:ind w:firstLine="420" w:firstLineChars="200"/>
        <w:jc w:val="left"/>
        <w:rPr>
          <w:rFonts w:ascii="宋体" w:hAnsi="宋体" w:cs="宋体"/>
          <w:color w:val="auto"/>
          <w:spacing w:val="24"/>
          <w:w w:val="99"/>
          <w:szCs w:val="21"/>
          <w:highlight w:val="none"/>
        </w:rPr>
      </w:pPr>
      <w:r>
        <w:rPr>
          <w:rFonts w:hint="eastAsia" w:ascii="宋体" w:hAnsi="宋体" w:cs="MingLiU"/>
          <w:snapToGrid w:val="0"/>
          <w:color w:val="auto"/>
          <w:kern w:val="0"/>
          <w:szCs w:val="21"/>
          <w:highlight w:val="none"/>
        </w:rPr>
        <w:t>招标人不得泄漏招标投标活动中应当保密的情况和资料，不得与投标人串通损害国家利益、社会公共利益或者他人合法权益。</w:t>
      </w:r>
      <w:r>
        <w:rPr>
          <w:rFonts w:ascii="宋体" w:hAnsi="宋体" w:cs="宋体"/>
          <w:color w:val="auto"/>
          <w:spacing w:val="24"/>
          <w:w w:val="99"/>
          <w:szCs w:val="21"/>
          <w:highlight w:val="none"/>
        </w:rPr>
        <w:t xml:space="preserve"> </w:t>
      </w:r>
    </w:p>
    <w:p w14:paraId="7C71E005">
      <w:pPr>
        <w:pStyle w:val="4"/>
        <w:snapToGrid w:val="0"/>
        <w:spacing w:after="140" w:line="360" w:lineRule="auto"/>
        <w:ind w:firstLine="422" w:firstLineChars="200"/>
        <w:rPr>
          <w:b/>
          <w:snapToGrid w:val="0"/>
          <w:color w:val="auto"/>
          <w:sz w:val="21"/>
          <w:szCs w:val="21"/>
          <w:highlight w:val="none"/>
        </w:rPr>
      </w:pPr>
      <w:bookmarkStart w:id="238" w:name="_Toc18592"/>
      <w:bookmarkStart w:id="239" w:name="_Toc46491038"/>
      <w:bookmarkStart w:id="240" w:name="_Toc46495153"/>
      <w:bookmarkStart w:id="241" w:name="_Toc46857524"/>
      <w:r>
        <w:rPr>
          <w:rFonts w:hint="eastAsia"/>
          <w:b/>
          <w:snapToGrid w:val="0"/>
          <w:color w:val="auto"/>
          <w:sz w:val="21"/>
          <w:szCs w:val="21"/>
          <w:highlight w:val="none"/>
        </w:rPr>
        <w:t>9.2 对投标人的纪律要求</w:t>
      </w:r>
      <w:bookmarkEnd w:id="238"/>
      <w:bookmarkEnd w:id="239"/>
      <w:bookmarkEnd w:id="240"/>
      <w:bookmarkEnd w:id="241"/>
    </w:p>
    <w:p w14:paraId="3C5F4D26">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242" w:name="bookmark13"/>
      <w:bookmarkEnd w:id="242"/>
    </w:p>
    <w:p w14:paraId="1B2EE89F">
      <w:pPr>
        <w:pStyle w:val="4"/>
        <w:snapToGrid w:val="0"/>
        <w:spacing w:after="140" w:line="360" w:lineRule="auto"/>
        <w:ind w:firstLine="422" w:firstLineChars="200"/>
        <w:rPr>
          <w:b/>
          <w:snapToGrid w:val="0"/>
          <w:color w:val="auto"/>
          <w:sz w:val="21"/>
          <w:szCs w:val="21"/>
          <w:highlight w:val="none"/>
        </w:rPr>
      </w:pPr>
      <w:bookmarkStart w:id="243" w:name="_Toc46495154"/>
      <w:bookmarkStart w:id="244" w:name="_Toc26046"/>
      <w:bookmarkStart w:id="245" w:name="_Toc46857525"/>
      <w:bookmarkStart w:id="246" w:name="_Toc46491039"/>
      <w:r>
        <w:rPr>
          <w:rFonts w:hint="eastAsia"/>
          <w:b/>
          <w:snapToGrid w:val="0"/>
          <w:color w:val="auto"/>
          <w:sz w:val="21"/>
          <w:szCs w:val="21"/>
          <w:highlight w:val="none"/>
        </w:rPr>
        <w:t>9.3 对评标委员会成员的纪律要求</w:t>
      </w:r>
      <w:bookmarkEnd w:id="243"/>
      <w:bookmarkEnd w:id="244"/>
      <w:bookmarkEnd w:id="245"/>
      <w:bookmarkEnd w:id="246"/>
      <w:r>
        <w:rPr>
          <w:rFonts w:hint="eastAsia"/>
          <w:b/>
          <w:snapToGrid w:val="0"/>
          <w:color w:val="auto"/>
          <w:sz w:val="21"/>
          <w:szCs w:val="21"/>
          <w:highlight w:val="none"/>
        </w:rPr>
        <w:t xml:space="preserve"> </w:t>
      </w:r>
    </w:p>
    <w:p w14:paraId="7156DB68">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472D79C">
      <w:pPr>
        <w:pStyle w:val="4"/>
        <w:snapToGrid w:val="0"/>
        <w:spacing w:before="140" w:after="140" w:line="360" w:lineRule="auto"/>
        <w:ind w:firstLine="422" w:firstLineChars="200"/>
        <w:rPr>
          <w:b/>
          <w:snapToGrid w:val="0"/>
          <w:color w:val="auto"/>
          <w:sz w:val="21"/>
          <w:szCs w:val="21"/>
          <w:highlight w:val="none"/>
        </w:rPr>
      </w:pPr>
      <w:bookmarkStart w:id="247" w:name="_Toc27923"/>
      <w:bookmarkStart w:id="248" w:name="_Toc46491040"/>
      <w:bookmarkStart w:id="249" w:name="_Toc46857526"/>
      <w:bookmarkStart w:id="250" w:name="_Toc46495155"/>
      <w:r>
        <w:rPr>
          <w:rFonts w:hint="eastAsia"/>
          <w:b/>
          <w:snapToGrid w:val="0"/>
          <w:color w:val="auto"/>
          <w:sz w:val="21"/>
          <w:szCs w:val="21"/>
          <w:highlight w:val="none"/>
        </w:rPr>
        <w:t>9.4 对与评标活动有关的工作人员的纪律要求</w:t>
      </w:r>
      <w:bookmarkEnd w:id="247"/>
      <w:bookmarkEnd w:id="248"/>
      <w:bookmarkEnd w:id="249"/>
      <w:bookmarkEnd w:id="250"/>
      <w:r>
        <w:rPr>
          <w:rFonts w:hint="eastAsia"/>
          <w:b/>
          <w:snapToGrid w:val="0"/>
          <w:color w:val="auto"/>
          <w:sz w:val="21"/>
          <w:szCs w:val="21"/>
          <w:highlight w:val="none"/>
        </w:rPr>
        <w:t xml:space="preserve"> </w:t>
      </w:r>
    </w:p>
    <w:p w14:paraId="29B07A09">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5D0F8FF">
      <w:pPr>
        <w:pStyle w:val="4"/>
        <w:snapToGrid w:val="0"/>
        <w:spacing w:before="140" w:after="140" w:line="360" w:lineRule="auto"/>
        <w:ind w:firstLine="422" w:firstLineChars="200"/>
        <w:rPr>
          <w:b/>
          <w:snapToGrid w:val="0"/>
          <w:color w:val="auto"/>
          <w:sz w:val="21"/>
          <w:szCs w:val="21"/>
          <w:highlight w:val="none"/>
        </w:rPr>
      </w:pPr>
      <w:bookmarkStart w:id="251" w:name="_Toc11444"/>
      <w:bookmarkStart w:id="252" w:name="_Toc46857527"/>
      <w:bookmarkStart w:id="253" w:name="_Toc46491041"/>
      <w:bookmarkStart w:id="254" w:name="_Toc46495156"/>
      <w:r>
        <w:rPr>
          <w:rFonts w:hint="eastAsia"/>
          <w:b/>
          <w:snapToGrid w:val="0"/>
          <w:color w:val="auto"/>
          <w:sz w:val="21"/>
          <w:szCs w:val="21"/>
          <w:highlight w:val="none"/>
        </w:rPr>
        <w:t>9.5 投诉</w:t>
      </w:r>
      <w:bookmarkEnd w:id="251"/>
      <w:bookmarkEnd w:id="252"/>
      <w:bookmarkEnd w:id="253"/>
      <w:bookmarkEnd w:id="254"/>
      <w:r>
        <w:rPr>
          <w:rFonts w:hint="eastAsia"/>
          <w:b/>
          <w:snapToGrid w:val="0"/>
          <w:color w:val="auto"/>
          <w:sz w:val="21"/>
          <w:szCs w:val="21"/>
          <w:highlight w:val="none"/>
        </w:rPr>
        <w:t xml:space="preserve"> </w:t>
      </w:r>
    </w:p>
    <w:p w14:paraId="071CD79F">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投标人和其他利害关系人认为本次招标活动违反法律、法规和规章规定的，有权向有关行政监督部门投诉。</w:t>
      </w:r>
    </w:p>
    <w:p w14:paraId="50AFBC2A">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1、投标人对中标结果有异议的，应当在中标结果公示期内以书面形式向招标人、招标代理机构提出质疑，并附相关证明材料。</w:t>
      </w:r>
    </w:p>
    <w:p w14:paraId="274CE465">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2、投标人对采购文件中投标人特定资格条件、技术质量和商务要求、评审标准及评审细则有异议的，应主要向招标人提出质疑，其他问题可向招标代理机构提出质疑。</w:t>
      </w:r>
    </w:p>
    <w:p w14:paraId="61488901">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3、招标人、招标代理机构在收到投标人书面质疑后七个工作日内，对质疑内容作出答复。</w:t>
      </w:r>
    </w:p>
    <w:p w14:paraId="06A0813D">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4、不予受理或暂缓受理：</w:t>
      </w:r>
    </w:p>
    <w:p w14:paraId="6DADBEFE">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4.1质疑投标人参与了招标活动后，再对招标文件内容提出质疑的；</w:t>
      </w:r>
    </w:p>
    <w:p w14:paraId="4CCFCB78">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4.2质疑超过有效期的；</w:t>
      </w:r>
    </w:p>
    <w:p w14:paraId="3FF2DA80">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4.3对同一事项重复质疑的。</w:t>
      </w:r>
    </w:p>
    <w:p w14:paraId="0147C2D5">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5、质疑有下列情形之一的，应暂不受理并告知投标人补充材料。投标人及时补充材料的，应予受理；逾期未补充的，不予受理：</w:t>
      </w:r>
    </w:p>
    <w:p w14:paraId="2C07B31C">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5.1质疑书格式和内容不符合国家或重庆市相关规定的；</w:t>
      </w:r>
    </w:p>
    <w:p w14:paraId="4FEBF7FC">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5.2质疑书提供的依据或证明材料不全的；</w:t>
      </w:r>
    </w:p>
    <w:p w14:paraId="256AF51A">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6、投标人对招标人、招标代理机构的答复不满意，或者招标人、招标代理机构未在规定时间内答复的，可在答复期满后十五个工作日内按有关规定，向监督部门投诉。</w:t>
      </w:r>
    </w:p>
    <w:p w14:paraId="3DB5F630">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7、在提出投诉时，应附送相关证明材料。投诉书及证明材料为外文的，应同时提供其中文译本；中文与外文意思不一致的，以中文为准。</w:t>
      </w:r>
    </w:p>
    <w:p w14:paraId="53DD5EFC">
      <w:pPr>
        <w:autoSpaceDE w:val="0"/>
        <w:autoSpaceDN w:val="0"/>
        <w:adjustRightInd w:val="0"/>
        <w:snapToGrid w:val="0"/>
        <w:spacing w:line="360" w:lineRule="auto"/>
        <w:ind w:firstLine="420" w:firstLineChars="200"/>
        <w:rPr>
          <w:rFonts w:ascii="宋体" w:hAnsi="宋体"/>
          <w:snapToGrid w:val="0"/>
          <w:color w:val="auto"/>
          <w:kern w:val="0"/>
          <w:szCs w:val="22"/>
          <w:highlight w:val="none"/>
        </w:rPr>
      </w:pPr>
      <w:r>
        <w:rPr>
          <w:rFonts w:hint="eastAsia" w:ascii="宋体" w:hAnsi="宋体"/>
          <w:snapToGrid w:val="0"/>
          <w:color w:val="auto"/>
          <w:kern w:val="0"/>
          <w:szCs w:val="22"/>
          <w:highlight w:val="none"/>
        </w:rPr>
        <w:t>8、在确定受理投诉后，监督部门自受理投诉之日起三十个工作日内（进行调查取证或者组织质证时间除外）对投诉事项做出处理决定，并将投诉处理决定书送达投诉人、被投诉人和其他与投诉处理决定有利害关系的相关当事人。</w:t>
      </w:r>
    </w:p>
    <w:p w14:paraId="76ADCAE4">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2"/>
          <w:highlight w:val="none"/>
        </w:rPr>
        <w:t>9、投诉人捏造事实、伪造材料或者以非法手段取得证明材料进行投诉的，行政监督部门应当予以驳回；给他人造成损失的，依法承担赔偿责任。</w:t>
      </w:r>
    </w:p>
    <w:p w14:paraId="6F53DE1F">
      <w:pPr>
        <w:pStyle w:val="3"/>
        <w:spacing w:before="140" w:after="140" w:line="360" w:lineRule="auto"/>
        <w:rPr>
          <w:rFonts w:ascii="宋体" w:hAnsi="宋体"/>
          <w:snapToGrid w:val="0"/>
          <w:color w:val="auto"/>
          <w:sz w:val="24"/>
          <w:szCs w:val="24"/>
          <w:highlight w:val="none"/>
        </w:rPr>
      </w:pPr>
      <w:bookmarkStart w:id="255" w:name="_Toc22504"/>
      <w:bookmarkStart w:id="256" w:name="_Toc46495157"/>
      <w:r>
        <w:rPr>
          <w:rFonts w:ascii="宋体" w:hAnsi="宋体"/>
          <w:snapToGrid w:val="0"/>
          <w:color w:val="auto"/>
          <w:sz w:val="24"/>
          <w:szCs w:val="24"/>
          <w:highlight w:val="none"/>
        </w:rPr>
        <w:t>10.</w:t>
      </w:r>
      <w:r>
        <w:rPr>
          <w:rFonts w:hint="eastAsia" w:ascii="宋体" w:hAnsi="宋体"/>
          <w:snapToGrid w:val="0"/>
          <w:color w:val="auto"/>
          <w:sz w:val="24"/>
          <w:szCs w:val="24"/>
          <w:highlight w:val="none"/>
        </w:rPr>
        <w:t>需要补充的其他内容</w:t>
      </w:r>
      <w:bookmarkEnd w:id="255"/>
      <w:bookmarkEnd w:id="256"/>
    </w:p>
    <w:p w14:paraId="55C6C9C7">
      <w:pPr>
        <w:autoSpaceDE w:val="0"/>
        <w:autoSpaceDN w:val="0"/>
        <w:adjustRightInd w:val="0"/>
        <w:snapToGrid w:val="0"/>
        <w:spacing w:line="360" w:lineRule="auto"/>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需要补充的其他内容：见投标人须知前附表。</w:t>
      </w:r>
    </w:p>
    <w:p w14:paraId="4012B6F3">
      <w:pPr>
        <w:pStyle w:val="3"/>
        <w:rPr>
          <w:rFonts w:ascii="宋体" w:hAnsi="宋体" w:cs="MingLiU"/>
          <w:color w:val="auto"/>
          <w:kern w:val="0"/>
          <w:sz w:val="24"/>
          <w:highlight w:val="none"/>
        </w:rPr>
      </w:pPr>
    </w:p>
    <w:p w14:paraId="4B9D01E1">
      <w:pPr>
        <w:rPr>
          <w:color w:val="auto"/>
          <w:highlight w:val="none"/>
        </w:rPr>
      </w:pPr>
    </w:p>
    <w:p w14:paraId="5E18906D">
      <w:pPr>
        <w:rPr>
          <w:color w:val="auto"/>
          <w:highlight w:val="none"/>
        </w:rPr>
      </w:pPr>
    </w:p>
    <w:p w14:paraId="0680CE0F">
      <w:pPr>
        <w:rPr>
          <w:color w:val="auto"/>
          <w:highlight w:val="none"/>
        </w:rPr>
      </w:pPr>
    </w:p>
    <w:p w14:paraId="7D4A3D6B">
      <w:pPr>
        <w:rPr>
          <w:color w:val="auto"/>
          <w:highlight w:val="none"/>
        </w:rPr>
      </w:pPr>
    </w:p>
    <w:p w14:paraId="636E9B48">
      <w:pPr>
        <w:rPr>
          <w:color w:val="auto"/>
          <w:highlight w:val="none"/>
        </w:rPr>
      </w:pPr>
    </w:p>
    <w:p w14:paraId="52E11CC6">
      <w:pPr>
        <w:rPr>
          <w:color w:val="auto"/>
          <w:highlight w:val="none"/>
        </w:rPr>
      </w:pPr>
    </w:p>
    <w:p w14:paraId="11634873">
      <w:pPr>
        <w:rPr>
          <w:color w:val="auto"/>
          <w:highlight w:val="none"/>
        </w:rPr>
      </w:pPr>
    </w:p>
    <w:p w14:paraId="71744860">
      <w:pPr>
        <w:rPr>
          <w:color w:val="auto"/>
          <w:highlight w:val="none"/>
        </w:rPr>
      </w:pPr>
    </w:p>
    <w:p w14:paraId="2B560F72">
      <w:pPr>
        <w:rPr>
          <w:color w:val="auto"/>
          <w:highlight w:val="none"/>
        </w:rPr>
      </w:pPr>
    </w:p>
    <w:p w14:paraId="5EF7C613">
      <w:pPr>
        <w:pStyle w:val="2"/>
        <w:spacing w:line="360" w:lineRule="auto"/>
        <w:ind w:left="3105" w:hanging="3105"/>
        <w:jc w:val="center"/>
        <w:rPr>
          <w:rFonts w:ascii="宋体" w:hAnsi="宋体"/>
          <w:snapToGrid w:val="0"/>
          <w:color w:val="auto"/>
          <w:kern w:val="0"/>
          <w:highlight w:val="none"/>
        </w:rPr>
      </w:pPr>
      <w:bookmarkStart w:id="257" w:name="_Toc5945"/>
      <w:r>
        <w:rPr>
          <w:rFonts w:hint="eastAsia" w:ascii="宋体" w:hAnsi="宋体"/>
          <w:snapToGrid w:val="0"/>
          <w:color w:val="auto"/>
          <w:kern w:val="0"/>
          <w:highlight w:val="none"/>
        </w:rPr>
        <w:t>第三章  评标办法</w:t>
      </w:r>
      <w:bookmarkEnd w:id="257"/>
    </w:p>
    <w:p w14:paraId="2409C83F">
      <w:pPr>
        <w:pStyle w:val="3"/>
        <w:spacing w:line="360" w:lineRule="auto"/>
        <w:rPr>
          <w:rFonts w:ascii="宋体" w:hAnsi="宋体"/>
          <w:color w:val="auto"/>
          <w:szCs w:val="28"/>
          <w:highlight w:val="none"/>
        </w:rPr>
      </w:pPr>
      <w:bookmarkStart w:id="258" w:name="_Toc22764"/>
      <w:bookmarkStart w:id="259" w:name="_Toc350860012"/>
      <w:bookmarkStart w:id="260" w:name="_Toc384822392"/>
      <w:bookmarkStart w:id="261" w:name="_Toc302553982"/>
      <w:r>
        <w:rPr>
          <w:rFonts w:hint="eastAsia" w:ascii="宋体" w:hAnsi="宋体"/>
          <w:color w:val="auto"/>
          <w:szCs w:val="28"/>
          <w:highlight w:val="none"/>
        </w:rPr>
        <w:t>评标办法前附表</w:t>
      </w:r>
      <w:bookmarkEnd w:id="258"/>
      <w:bookmarkEnd w:id="259"/>
      <w:bookmarkEnd w:id="260"/>
      <w:bookmarkEnd w:id="261"/>
    </w:p>
    <w:tbl>
      <w:tblPr>
        <w:tblStyle w:val="4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61"/>
        <w:gridCol w:w="1995"/>
        <w:gridCol w:w="6143"/>
      </w:tblGrid>
      <w:tr w14:paraId="111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93" w:type="dxa"/>
            <w:gridSpan w:val="2"/>
            <w:vAlign w:val="center"/>
          </w:tcPr>
          <w:p w14:paraId="3FF02017">
            <w:pPr>
              <w:spacing w:line="360" w:lineRule="auto"/>
              <w:jc w:val="center"/>
              <w:rPr>
                <w:rFonts w:ascii="宋体" w:hAnsi="宋体" w:cs="宋体"/>
                <w:b/>
                <w:color w:val="auto"/>
                <w:kern w:val="0"/>
                <w:highlight w:val="none"/>
              </w:rPr>
            </w:pPr>
            <w:bookmarkStart w:id="262" w:name="_Toc350860013"/>
            <w:bookmarkStart w:id="263" w:name="_Toc302553983"/>
            <w:r>
              <w:rPr>
                <w:rFonts w:hint="eastAsia" w:ascii="宋体" w:hAnsi="宋体" w:cs="宋体"/>
                <w:b/>
                <w:color w:val="auto"/>
                <w:kern w:val="0"/>
                <w:highlight w:val="none"/>
              </w:rPr>
              <w:t>条款号</w:t>
            </w:r>
          </w:p>
        </w:tc>
        <w:tc>
          <w:tcPr>
            <w:tcW w:w="1995" w:type="dxa"/>
            <w:vAlign w:val="center"/>
          </w:tcPr>
          <w:p w14:paraId="27B6917A">
            <w:pPr>
              <w:spacing w:line="360" w:lineRule="auto"/>
              <w:jc w:val="center"/>
              <w:rPr>
                <w:rFonts w:ascii="宋体" w:hAnsi="宋体" w:cs="宋体"/>
                <w:b/>
                <w:color w:val="auto"/>
                <w:kern w:val="0"/>
                <w:highlight w:val="none"/>
              </w:rPr>
            </w:pPr>
            <w:r>
              <w:rPr>
                <w:rFonts w:hint="eastAsia" w:ascii="宋体" w:hAnsi="宋体" w:cs="宋体"/>
                <w:b/>
                <w:color w:val="auto"/>
                <w:kern w:val="0"/>
                <w:highlight w:val="none"/>
              </w:rPr>
              <w:t>评审因素</w:t>
            </w:r>
          </w:p>
        </w:tc>
        <w:tc>
          <w:tcPr>
            <w:tcW w:w="6143" w:type="dxa"/>
            <w:vAlign w:val="center"/>
          </w:tcPr>
          <w:p w14:paraId="7FA83D5F">
            <w:pPr>
              <w:spacing w:line="360" w:lineRule="auto"/>
              <w:jc w:val="center"/>
              <w:rPr>
                <w:rFonts w:ascii="宋体" w:hAnsi="宋体" w:cs="宋体"/>
                <w:b/>
                <w:color w:val="auto"/>
                <w:kern w:val="0"/>
                <w:highlight w:val="none"/>
              </w:rPr>
            </w:pPr>
            <w:r>
              <w:rPr>
                <w:rFonts w:hint="eastAsia" w:ascii="宋体" w:hAnsi="宋体" w:cs="宋体"/>
                <w:b/>
                <w:color w:val="auto"/>
                <w:kern w:val="0"/>
                <w:highlight w:val="none"/>
              </w:rPr>
              <w:t>评审标准</w:t>
            </w:r>
          </w:p>
        </w:tc>
      </w:tr>
      <w:tr w14:paraId="4D1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restart"/>
            <w:vAlign w:val="center"/>
          </w:tcPr>
          <w:p w14:paraId="277CF495">
            <w:pPr>
              <w:spacing w:line="360" w:lineRule="auto"/>
              <w:jc w:val="center"/>
              <w:rPr>
                <w:rFonts w:ascii="宋体" w:hAnsi="宋体"/>
                <w:color w:val="auto"/>
                <w:kern w:val="0"/>
                <w:highlight w:val="none"/>
              </w:rPr>
            </w:pPr>
            <w:r>
              <w:rPr>
                <w:rFonts w:hint="eastAsia" w:ascii="宋体" w:hAnsi="宋体" w:cs="宋体"/>
                <w:color w:val="auto"/>
                <w:kern w:val="0"/>
                <w:highlight w:val="none"/>
              </w:rPr>
              <w:t>2.1.1</w:t>
            </w:r>
          </w:p>
        </w:tc>
        <w:tc>
          <w:tcPr>
            <w:tcW w:w="1061" w:type="dxa"/>
            <w:vMerge w:val="restart"/>
            <w:vAlign w:val="center"/>
          </w:tcPr>
          <w:p w14:paraId="22DD7D61">
            <w:pPr>
              <w:spacing w:line="360" w:lineRule="auto"/>
              <w:jc w:val="center"/>
              <w:rPr>
                <w:rFonts w:ascii="宋体" w:hAnsi="宋体"/>
                <w:color w:val="auto"/>
                <w:kern w:val="0"/>
                <w:highlight w:val="none"/>
              </w:rPr>
            </w:pPr>
            <w:r>
              <w:rPr>
                <w:rFonts w:hint="eastAsia" w:ascii="宋体" w:hAnsi="宋体" w:cs="宋体"/>
                <w:color w:val="auto"/>
                <w:kern w:val="0"/>
                <w:highlight w:val="none"/>
              </w:rPr>
              <w:t>形式评审标准</w:t>
            </w:r>
          </w:p>
        </w:tc>
        <w:tc>
          <w:tcPr>
            <w:tcW w:w="1995" w:type="dxa"/>
            <w:vAlign w:val="center"/>
          </w:tcPr>
          <w:p w14:paraId="5807FA99">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投标人名称</w:t>
            </w:r>
          </w:p>
        </w:tc>
        <w:tc>
          <w:tcPr>
            <w:tcW w:w="6143" w:type="dxa"/>
            <w:vAlign w:val="center"/>
          </w:tcPr>
          <w:p w14:paraId="2B4F193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与营业执照一致。</w:t>
            </w:r>
          </w:p>
        </w:tc>
      </w:tr>
      <w:tr w14:paraId="6A49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334B730B">
            <w:pPr>
              <w:spacing w:line="360" w:lineRule="auto"/>
              <w:rPr>
                <w:rFonts w:ascii="宋体" w:hAnsi="宋体"/>
                <w:color w:val="auto"/>
                <w:highlight w:val="none"/>
              </w:rPr>
            </w:pPr>
          </w:p>
        </w:tc>
        <w:tc>
          <w:tcPr>
            <w:tcW w:w="1061" w:type="dxa"/>
            <w:vMerge w:val="continue"/>
          </w:tcPr>
          <w:p w14:paraId="76045CBD">
            <w:pPr>
              <w:spacing w:line="360" w:lineRule="auto"/>
              <w:rPr>
                <w:rFonts w:ascii="宋体" w:hAnsi="宋体"/>
                <w:color w:val="auto"/>
                <w:highlight w:val="none"/>
              </w:rPr>
            </w:pPr>
          </w:p>
        </w:tc>
        <w:tc>
          <w:tcPr>
            <w:tcW w:w="1995" w:type="dxa"/>
            <w:vAlign w:val="center"/>
          </w:tcPr>
          <w:p w14:paraId="1A4D6881">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投标函签字盖章</w:t>
            </w:r>
          </w:p>
        </w:tc>
        <w:tc>
          <w:tcPr>
            <w:tcW w:w="6143" w:type="dxa"/>
            <w:vAlign w:val="center"/>
          </w:tcPr>
          <w:p w14:paraId="7ABA36F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有法定代表人（或委托代理人）签字、加盖投标人单位公章。</w:t>
            </w:r>
          </w:p>
        </w:tc>
      </w:tr>
      <w:tr w14:paraId="661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7D06C155">
            <w:pPr>
              <w:spacing w:line="360" w:lineRule="auto"/>
              <w:rPr>
                <w:rFonts w:ascii="宋体" w:hAnsi="宋体"/>
                <w:color w:val="auto"/>
                <w:highlight w:val="none"/>
              </w:rPr>
            </w:pPr>
          </w:p>
        </w:tc>
        <w:tc>
          <w:tcPr>
            <w:tcW w:w="1061" w:type="dxa"/>
            <w:vMerge w:val="continue"/>
          </w:tcPr>
          <w:p w14:paraId="386166BE">
            <w:pPr>
              <w:spacing w:line="360" w:lineRule="auto"/>
              <w:rPr>
                <w:rFonts w:ascii="宋体" w:hAnsi="宋体"/>
                <w:color w:val="auto"/>
                <w:highlight w:val="none"/>
              </w:rPr>
            </w:pPr>
          </w:p>
        </w:tc>
        <w:tc>
          <w:tcPr>
            <w:tcW w:w="1995" w:type="dxa"/>
            <w:vAlign w:val="center"/>
          </w:tcPr>
          <w:p w14:paraId="628B8518">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投标文件格式</w:t>
            </w:r>
          </w:p>
        </w:tc>
        <w:tc>
          <w:tcPr>
            <w:tcW w:w="6143" w:type="dxa"/>
            <w:vAlign w:val="center"/>
          </w:tcPr>
          <w:p w14:paraId="6F89255A">
            <w:pPr>
              <w:spacing w:before="156" w:beforeLines="50"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符合 “投标文件格式”的要求，字迹清晰可辨。</w:t>
            </w:r>
          </w:p>
          <w:p w14:paraId="2DF6B4FF">
            <w:pPr>
              <w:spacing w:before="156" w:beforeLines="50" w:line="360" w:lineRule="auto"/>
              <w:ind w:firstLine="380" w:firstLineChars="181"/>
              <w:rPr>
                <w:rFonts w:ascii="宋体" w:hAnsi="宋体" w:cs="宋体"/>
                <w:color w:val="auto"/>
                <w:kern w:val="0"/>
                <w:highlight w:val="none"/>
              </w:rPr>
            </w:pPr>
            <w:r>
              <w:rPr>
                <w:rFonts w:hint="eastAsia" w:ascii="宋体" w:hAnsi="宋体" w:cs="宋体"/>
                <w:color w:val="auto"/>
                <w:kern w:val="0"/>
                <w:highlight w:val="none"/>
              </w:rPr>
              <w:t>1.投标文件附表齐全完整，内容均按规定格式、顺序及内容要求进行填写；</w:t>
            </w:r>
          </w:p>
          <w:p w14:paraId="3F2BA776">
            <w:pPr>
              <w:spacing w:before="156" w:beforeLines="50" w:line="360" w:lineRule="auto"/>
              <w:ind w:firstLine="380" w:firstLineChars="181"/>
              <w:rPr>
                <w:rFonts w:ascii="宋体" w:hAnsi="宋体" w:cs="宋体"/>
                <w:color w:val="auto"/>
                <w:kern w:val="0"/>
                <w:highlight w:val="none"/>
              </w:rPr>
            </w:pPr>
            <w:r>
              <w:rPr>
                <w:rFonts w:hint="eastAsia" w:ascii="宋体" w:hAnsi="宋体" w:cs="宋体"/>
                <w:color w:val="auto"/>
                <w:kern w:val="0"/>
                <w:highlight w:val="none"/>
              </w:rPr>
              <w:t>2.投标文件正本和副本数量符合招标文件要求；</w:t>
            </w:r>
          </w:p>
          <w:p w14:paraId="1AF500D0">
            <w:pPr>
              <w:spacing w:before="156" w:beforeLines="50" w:line="360" w:lineRule="auto"/>
              <w:ind w:firstLine="380" w:firstLineChars="181"/>
              <w:rPr>
                <w:rFonts w:ascii="宋体" w:hAnsi="宋体" w:cs="宋体"/>
                <w:color w:val="auto"/>
                <w:kern w:val="0"/>
                <w:highlight w:val="none"/>
              </w:rPr>
            </w:pPr>
            <w:r>
              <w:rPr>
                <w:rFonts w:hint="eastAsia" w:ascii="宋体" w:hAnsi="宋体" w:cs="宋体"/>
                <w:color w:val="auto"/>
                <w:kern w:val="0"/>
                <w:highlight w:val="none"/>
              </w:rPr>
              <w:t>3.投标文件的编制符合第二章 3.7 款的规定。</w:t>
            </w:r>
          </w:p>
        </w:tc>
      </w:tr>
      <w:tr w14:paraId="34D7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32" w:type="dxa"/>
            <w:vMerge w:val="continue"/>
          </w:tcPr>
          <w:p w14:paraId="1EA182FF">
            <w:pPr>
              <w:spacing w:line="360" w:lineRule="auto"/>
              <w:rPr>
                <w:rFonts w:ascii="宋体" w:hAnsi="宋体"/>
                <w:color w:val="auto"/>
                <w:highlight w:val="none"/>
              </w:rPr>
            </w:pPr>
          </w:p>
        </w:tc>
        <w:tc>
          <w:tcPr>
            <w:tcW w:w="1061" w:type="dxa"/>
            <w:vMerge w:val="continue"/>
          </w:tcPr>
          <w:p w14:paraId="21CE9D85">
            <w:pPr>
              <w:spacing w:line="360" w:lineRule="auto"/>
              <w:rPr>
                <w:rFonts w:ascii="宋体" w:hAnsi="宋体"/>
                <w:color w:val="auto"/>
                <w:highlight w:val="none"/>
              </w:rPr>
            </w:pPr>
          </w:p>
        </w:tc>
        <w:tc>
          <w:tcPr>
            <w:tcW w:w="1995" w:type="dxa"/>
            <w:vAlign w:val="center"/>
          </w:tcPr>
          <w:p w14:paraId="62CD6400">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6143" w:type="dxa"/>
            <w:vAlign w:val="center"/>
          </w:tcPr>
          <w:p w14:paraId="06398170">
            <w:pPr>
              <w:spacing w:before="156" w:beforeLines="50"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投标文件上法定代表人（或委托代理人）的签字齐全。</w:t>
            </w:r>
          </w:p>
        </w:tc>
      </w:tr>
      <w:tr w14:paraId="73E4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1483C710">
            <w:pPr>
              <w:spacing w:line="360" w:lineRule="auto"/>
              <w:rPr>
                <w:rFonts w:ascii="宋体" w:hAnsi="宋体"/>
                <w:color w:val="auto"/>
                <w:highlight w:val="none"/>
              </w:rPr>
            </w:pPr>
          </w:p>
        </w:tc>
        <w:tc>
          <w:tcPr>
            <w:tcW w:w="1061" w:type="dxa"/>
            <w:vMerge w:val="continue"/>
          </w:tcPr>
          <w:p w14:paraId="6CBD2404">
            <w:pPr>
              <w:spacing w:line="360" w:lineRule="auto"/>
              <w:rPr>
                <w:rFonts w:ascii="宋体" w:hAnsi="宋体"/>
                <w:color w:val="auto"/>
                <w:highlight w:val="none"/>
              </w:rPr>
            </w:pPr>
          </w:p>
        </w:tc>
        <w:tc>
          <w:tcPr>
            <w:tcW w:w="1995" w:type="dxa"/>
            <w:vAlign w:val="center"/>
          </w:tcPr>
          <w:p w14:paraId="1B9B7BB8">
            <w:pPr>
              <w:spacing w:line="360" w:lineRule="auto"/>
              <w:jc w:val="center"/>
              <w:rPr>
                <w:rFonts w:ascii="宋体" w:hAnsi="宋体" w:cs="宋体"/>
                <w:color w:val="auto"/>
                <w:kern w:val="0"/>
                <w:highlight w:val="none"/>
              </w:rPr>
            </w:pPr>
            <w:r>
              <w:rPr>
                <w:rFonts w:hint="eastAsia" w:ascii="宋体" w:hAnsi="宋体"/>
                <w:color w:val="auto"/>
                <w:kern w:val="0"/>
                <w:highlight w:val="none"/>
              </w:rPr>
              <w:t>委托代理人</w:t>
            </w:r>
          </w:p>
        </w:tc>
        <w:tc>
          <w:tcPr>
            <w:tcW w:w="6143" w:type="dxa"/>
            <w:vAlign w:val="center"/>
          </w:tcPr>
          <w:p w14:paraId="53CC4341">
            <w:pPr>
              <w:spacing w:before="156" w:beforeLines="50"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投标人法定代表人的委托代理人有法定代表人签署的授权委托书，且其授权委托书符合招标文件规定的格式。</w:t>
            </w:r>
          </w:p>
        </w:tc>
      </w:tr>
      <w:tr w14:paraId="0A6A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restart"/>
            <w:vAlign w:val="center"/>
          </w:tcPr>
          <w:p w14:paraId="5A87A2CD">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2.1.2</w:t>
            </w:r>
          </w:p>
        </w:tc>
        <w:tc>
          <w:tcPr>
            <w:tcW w:w="1061" w:type="dxa"/>
            <w:vMerge w:val="restart"/>
            <w:vAlign w:val="center"/>
          </w:tcPr>
          <w:p w14:paraId="5D8FE2BE">
            <w:pPr>
              <w:spacing w:line="360" w:lineRule="auto"/>
              <w:jc w:val="center"/>
              <w:rPr>
                <w:rFonts w:ascii="宋体" w:hAnsi="宋体"/>
                <w:color w:val="auto"/>
                <w:kern w:val="0"/>
                <w:highlight w:val="none"/>
              </w:rPr>
            </w:pPr>
            <w:r>
              <w:rPr>
                <w:rFonts w:hint="eastAsia" w:ascii="宋体" w:hAnsi="宋体" w:cs="宋体"/>
                <w:color w:val="auto"/>
                <w:kern w:val="0"/>
                <w:highlight w:val="none"/>
              </w:rPr>
              <w:t>资格评审标准</w:t>
            </w:r>
          </w:p>
        </w:tc>
        <w:tc>
          <w:tcPr>
            <w:tcW w:w="1995" w:type="dxa"/>
            <w:vAlign w:val="center"/>
          </w:tcPr>
          <w:p w14:paraId="041B7182">
            <w:pPr>
              <w:jc w:val="center"/>
              <w:rPr>
                <w:rFonts w:ascii="宋体" w:hAnsi="宋体" w:cs="宋体"/>
                <w:color w:val="auto"/>
                <w:kern w:val="0"/>
                <w:highlight w:val="none"/>
              </w:rPr>
            </w:pPr>
            <w:r>
              <w:rPr>
                <w:rFonts w:hint="eastAsia" w:ascii="宋体" w:hAnsi="宋体" w:cs="宋体"/>
                <w:color w:val="auto"/>
                <w:kern w:val="0"/>
                <w:highlight w:val="none"/>
              </w:rPr>
              <w:t>营业执照</w:t>
            </w:r>
          </w:p>
        </w:tc>
        <w:tc>
          <w:tcPr>
            <w:tcW w:w="6143" w:type="dxa"/>
            <w:vAlign w:val="center"/>
          </w:tcPr>
          <w:p w14:paraId="392EC64E">
            <w:pPr>
              <w:spacing w:line="360" w:lineRule="auto"/>
              <w:rPr>
                <w:rFonts w:ascii="宋体" w:hAnsi="宋体"/>
                <w:color w:val="auto"/>
                <w:kern w:val="0"/>
                <w:highlight w:val="none"/>
              </w:rPr>
            </w:pPr>
            <w:r>
              <w:rPr>
                <w:rFonts w:hint="eastAsia" w:ascii="宋体" w:hAnsi="宋体"/>
                <w:color w:val="auto"/>
                <w:kern w:val="0"/>
                <w:highlight w:val="none"/>
              </w:rPr>
              <w:t>符合第二章“投标人须知前附表”第</w:t>
            </w:r>
            <w:r>
              <w:rPr>
                <w:rFonts w:ascii="宋体" w:hAnsi="宋体"/>
                <w:color w:val="auto"/>
                <w:kern w:val="0"/>
                <w:highlight w:val="none"/>
              </w:rPr>
              <w:t>1</w:t>
            </w:r>
            <w:r>
              <w:rPr>
                <w:rFonts w:hint="eastAsia" w:ascii="宋体" w:hAnsi="宋体"/>
                <w:color w:val="auto"/>
                <w:kern w:val="0"/>
                <w:highlight w:val="none"/>
              </w:rPr>
              <w:t>.4.1项规定</w:t>
            </w:r>
          </w:p>
        </w:tc>
      </w:tr>
      <w:tr w14:paraId="5F62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vAlign w:val="center"/>
          </w:tcPr>
          <w:p w14:paraId="70C608C5">
            <w:pPr>
              <w:spacing w:line="360" w:lineRule="auto"/>
              <w:jc w:val="center"/>
              <w:rPr>
                <w:rFonts w:ascii="宋体" w:hAnsi="宋体" w:cs="宋体"/>
                <w:color w:val="auto"/>
                <w:kern w:val="0"/>
                <w:highlight w:val="none"/>
              </w:rPr>
            </w:pPr>
          </w:p>
        </w:tc>
        <w:tc>
          <w:tcPr>
            <w:tcW w:w="1061" w:type="dxa"/>
            <w:vMerge w:val="continue"/>
            <w:textDirection w:val="tbRlV"/>
            <w:vAlign w:val="center"/>
          </w:tcPr>
          <w:p w14:paraId="714D2F7E">
            <w:pPr>
              <w:spacing w:line="360" w:lineRule="auto"/>
              <w:ind w:left="113" w:right="113"/>
              <w:jc w:val="center"/>
              <w:rPr>
                <w:rFonts w:ascii="宋体" w:hAnsi="宋体" w:cs="宋体"/>
                <w:color w:val="auto"/>
                <w:kern w:val="0"/>
                <w:highlight w:val="none"/>
              </w:rPr>
            </w:pPr>
          </w:p>
        </w:tc>
        <w:tc>
          <w:tcPr>
            <w:tcW w:w="1995" w:type="dxa"/>
            <w:vAlign w:val="center"/>
          </w:tcPr>
          <w:p w14:paraId="366C3F81">
            <w:pPr>
              <w:jc w:val="center"/>
              <w:rPr>
                <w:rFonts w:ascii="宋体" w:hAnsi="宋体" w:cs="宋体"/>
                <w:color w:val="auto"/>
                <w:kern w:val="0"/>
                <w:highlight w:val="none"/>
              </w:rPr>
            </w:pPr>
            <w:r>
              <w:rPr>
                <w:rFonts w:hint="eastAsia" w:ascii="宋体" w:hAnsi="宋体" w:cs="宋体"/>
                <w:color w:val="auto"/>
                <w:kern w:val="0"/>
                <w:highlight w:val="none"/>
              </w:rPr>
              <w:t>增值税发票</w:t>
            </w:r>
          </w:p>
        </w:tc>
        <w:tc>
          <w:tcPr>
            <w:tcW w:w="6143" w:type="dxa"/>
            <w:vAlign w:val="center"/>
          </w:tcPr>
          <w:p w14:paraId="7C7C61C1">
            <w:pPr>
              <w:spacing w:line="360" w:lineRule="auto"/>
              <w:rPr>
                <w:rFonts w:ascii="宋体" w:hAnsi="宋体"/>
                <w:color w:val="auto"/>
                <w:kern w:val="0"/>
                <w:highlight w:val="none"/>
              </w:rPr>
            </w:pPr>
            <w:r>
              <w:rPr>
                <w:rFonts w:hint="eastAsia" w:ascii="宋体" w:hAnsi="宋体"/>
                <w:color w:val="auto"/>
                <w:kern w:val="0"/>
                <w:highlight w:val="none"/>
              </w:rPr>
              <w:t>符合第二章“投标人须知前附表”第</w:t>
            </w:r>
            <w:r>
              <w:rPr>
                <w:rFonts w:ascii="宋体" w:hAnsi="宋体"/>
                <w:color w:val="auto"/>
                <w:kern w:val="0"/>
                <w:highlight w:val="none"/>
              </w:rPr>
              <w:t>1</w:t>
            </w:r>
            <w:r>
              <w:rPr>
                <w:rFonts w:hint="eastAsia" w:ascii="宋体" w:hAnsi="宋体"/>
                <w:color w:val="auto"/>
                <w:kern w:val="0"/>
                <w:highlight w:val="none"/>
              </w:rPr>
              <w:t>.4.1项规定</w:t>
            </w:r>
          </w:p>
        </w:tc>
      </w:tr>
      <w:tr w14:paraId="6403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32" w:type="dxa"/>
            <w:vMerge w:val="continue"/>
          </w:tcPr>
          <w:p w14:paraId="522AABAF">
            <w:pPr>
              <w:spacing w:line="360" w:lineRule="auto"/>
              <w:rPr>
                <w:rFonts w:ascii="宋体" w:hAnsi="宋体"/>
                <w:color w:val="auto"/>
                <w:highlight w:val="none"/>
              </w:rPr>
            </w:pPr>
          </w:p>
        </w:tc>
        <w:tc>
          <w:tcPr>
            <w:tcW w:w="1061" w:type="dxa"/>
            <w:vMerge w:val="continue"/>
          </w:tcPr>
          <w:p w14:paraId="668E7401">
            <w:pPr>
              <w:spacing w:line="360" w:lineRule="auto"/>
              <w:rPr>
                <w:rFonts w:ascii="宋体" w:hAnsi="宋体"/>
                <w:color w:val="auto"/>
                <w:highlight w:val="none"/>
              </w:rPr>
            </w:pPr>
          </w:p>
        </w:tc>
        <w:tc>
          <w:tcPr>
            <w:tcW w:w="1995" w:type="dxa"/>
          </w:tcPr>
          <w:p w14:paraId="512079C5">
            <w:pPr>
              <w:spacing w:line="360" w:lineRule="auto"/>
              <w:jc w:val="center"/>
              <w:rPr>
                <w:rFonts w:ascii="宋体" w:hAnsi="宋体"/>
                <w:color w:val="auto"/>
                <w:szCs w:val="21"/>
                <w:highlight w:val="none"/>
              </w:rPr>
            </w:pPr>
            <w:r>
              <w:rPr>
                <w:rFonts w:hint="eastAsia" w:ascii="宋体" w:hAnsi="宋体"/>
                <w:color w:val="auto"/>
                <w:szCs w:val="21"/>
                <w:highlight w:val="none"/>
              </w:rPr>
              <w:t>信誉要求</w:t>
            </w:r>
          </w:p>
        </w:tc>
        <w:tc>
          <w:tcPr>
            <w:tcW w:w="6143" w:type="dxa"/>
            <w:vAlign w:val="center"/>
          </w:tcPr>
          <w:p w14:paraId="1420DB9F">
            <w:pPr>
              <w:spacing w:line="360" w:lineRule="auto"/>
              <w:rPr>
                <w:rFonts w:ascii="宋体" w:hAnsi="宋体"/>
                <w:color w:val="auto"/>
                <w:kern w:val="0"/>
                <w:highlight w:val="none"/>
              </w:rPr>
            </w:pPr>
            <w:r>
              <w:rPr>
                <w:rFonts w:hint="eastAsia" w:ascii="宋体" w:hAnsi="宋体"/>
                <w:color w:val="auto"/>
                <w:kern w:val="0"/>
                <w:highlight w:val="none"/>
              </w:rPr>
              <w:t>符合第二章“投标人须知前附表”第</w:t>
            </w:r>
            <w:r>
              <w:rPr>
                <w:rFonts w:ascii="宋体" w:hAnsi="宋体"/>
                <w:color w:val="auto"/>
                <w:kern w:val="0"/>
                <w:highlight w:val="none"/>
              </w:rPr>
              <w:t>1</w:t>
            </w:r>
            <w:r>
              <w:rPr>
                <w:rFonts w:hint="eastAsia" w:ascii="宋体" w:hAnsi="宋体"/>
                <w:color w:val="auto"/>
                <w:kern w:val="0"/>
                <w:highlight w:val="none"/>
              </w:rPr>
              <w:t>.4.1项规定</w:t>
            </w:r>
          </w:p>
        </w:tc>
      </w:tr>
      <w:tr w14:paraId="749D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32" w:type="dxa"/>
            <w:vMerge w:val="continue"/>
          </w:tcPr>
          <w:p w14:paraId="4BEDDB05">
            <w:pPr>
              <w:spacing w:line="360" w:lineRule="auto"/>
              <w:rPr>
                <w:rFonts w:ascii="宋体" w:hAnsi="宋体"/>
                <w:color w:val="auto"/>
                <w:highlight w:val="none"/>
              </w:rPr>
            </w:pPr>
          </w:p>
        </w:tc>
        <w:tc>
          <w:tcPr>
            <w:tcW w:w="1061" w:type="dxa"/>
            <w:vMerge w:val="continue"/>
          </w:tcPr>
          <w:p w14:paraId="706454AC">
            <w:pPr>
              <w:spacing w:line="360" w:lineRule="auto"/>
              <w:rPr>
                <w:rFonts w:ascii="宋体" w:hAnsi="宋体"/>
                <w:color w:val="auto"/>
                <w:highlight w:val="none"/>
              </w:rPr>
            </w:pPr>
          </w:p>
        </w:tc>
        <w:tc>
          <w:tcPr>
            <w:tcW w:w="1995" w:type="dxa"/>
            <w:vAlign w:val="center"/>
          </w:tcPr>
          <w:p w14:paraId="3ACCA873">
            <w:pPr>
              <w:spacing w:line="360" w:lineRule="auto"/>
              <w:jc w:val="center"/>
              <w:rPr>
                <w:rFonts w:ascii="宋体" w:hAnsi="宋体"/>
                <w:color w:val="auto"/>
                <w:kern w:val="0"/>
                <w:highlight w:val="none"/>
              </w:rPr>
            </w:pPr>
            <w:r>
              <w:rPr>
                <w:rFonts w:hint="eastAsia" w:ascii="宋体" w:hAnsi="宋体"/>
                <w:color w:val="auto"/>
                <w:kern w:val="0"/>
                <w:highlight w:val="none"/>
              </w:rPr>
              <w:t>其他要求</w:t>
            </w:r>
          </w:p>
        </w:tc>
        <w:tc>
          <w:tcPr>
            <w:tcW w:w="6143" w:type="dxa"/>
            <w:vAlign w:val="center"/>
          </w:tcPr>
          <w:p w14:paraId="3DCA852C">
            <w:pPr>
              <w:spacing w:line="360" w:lineRule="auto"/>
              <w:rPr>
                <w:rFonts w:ascii="宋体" w:hAnsi="宋体"/>
                <w:color w:val="auto"/>
                <w:kern w:val="0"/>
                <w:highlight w:val="none"/>
              </w:rPr>
            </w:pPr>
            <w:r>
              <w:rPr>
                <w:rFonts w:hint="eastAsia" w:ascii="宋体" w:hAnsi="宋体"/>
                <w:color w:val="auto"/>
                <w:kern w:val="0"/>
                <w:highlight w:val="none"/>
              </w:rPr>
              <w:t>符合第二章“投标人须知前附表”第</w:t>
            </w:r>
            <w:r>
              <w:rPr>
                <w:rFonts w:ascii="宋体" w:hAnsi="宋体"/>
                <w:color w:val="auto"/>
                <w:kern w:val="0"/>
                <w:highlight w:val="none"/>
              </w:rPr>
              <w:t>1</w:t>
            </w:r>
            <w:r>
              <w:rPr>
                <w:rFonts w:hint="eastAsia" w:ascii="宋体" w:hAnsi="宋体"/>
                <w:color w:val="auto"/>
                <w:kern w:val="0"/>
                <w:highlight w:val="none"/>
              </w:rPr>
              <w:t>.4.1项规定</w:t>
            </w:r>
          </w:p>
        </w:tc>
      </w:tr>
      <w:tr w14:paraId="106D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restart"/>
            <w:vAlign w:val="center"/>
          </w:tcPr>
          <w:p w14:paraId="288EF466">
            <w:pPr>
              <w:spacing w:line="360" w:lineRule="auto"/>
              <w:jc w:val="center"/>
              <w:rPr>
                <w:rFonts w:ascii="宋体" w:hAnsi="宋体" w:cs="宋体"/>
                <w:color w:val="auto"/>
                <w:kern w:val="0"/>
                <w:highlight w:val="none"/>
              </w:rPr>
            </w:pPr>
          </w:p>
          <w:p w14:paraId="73EAD98A">
            <w:pPr>
              <w:spacing w:line="360" w:lineRule="auto"/>
              <w:jc w:val="center"/>
              <w:rPr>
                <w:rFonts w:ascii="宋体" w:hAnsi="宋体" w:cs="宋体"/>
                <w:color w:val="auto"/>
                <w:highlight w:val="none"/>
              </w:rPr>
            </w:pPr>
            <w:r>
              <w:rPr>
                <w:rFonts w:hint="eastAsia" w:ascii="宋体" w:hAnsi="宋体" w:cs="宋体"/>
                <w:color w:val="auto"/>
                <w:kern w:val="0"/>
                <w:highlight w:val="none"/>
              </w:rPr>
              <w:t>2.1.3</w:t>
            </w:r>
          </w:p>
        </w:tc>
        <w:tc>
          <w:tcPr>
            <w:tcW w:w="1061" w:type="dxa"/>
            <w:vMerge w:val="restart"/>
            <w:vAlign w:val="center"/>
          </w:tcPr>
          <w:p w14:paraId="4AB9A2A3">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响应性评审标准</w:t>
            </w:r>
          </w:p>
        </w:tc>
        <w:tc>
          <w:tcPr>
            <w:tcW w:w="1995" w:type="dxa"/>
            <w:vAlign w:val="center"/>
          </w:tcPr>
          <w:p w14:paraId="45C996DB">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投标内容</w:t>
            </w:r>
          </w:p>
        </w:tc>
        <w:tc>
          <w:tcPr>
            <w:tcW w:w="6143" w:type="dxa"/>
            <w:vAlign w:val="center"/>
          </w:tcPr>
          <w:p w14:paraId="3EED4CDD">
            <w:pPr>
              <w:autoSpaceDE w:val="0"/>
              <w:autoSpaceDN w:val="0"/>
              <w:adjustRightInd w:val="0"/>
              <w:spacing w:line="360" w:lineRule="auto"/>
              <w:ind w:right="-2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投标人须知前附表</w:t>
            </w:r>
            <w:r>
              <w:rPr>
                <w:rFonts w:hint="eastAsia" w:ascii="宋体" w:hAnsi="宋体" w:cs="宋体"/>
                <w:color w:val="auto"/>
                <w:kern w:val="0"/>
                <w:highlight w:val="none"/>
              </w:rPr>
              <w:t>”第1.3.1项规定</w:t>
            </w:r>
          </w:p>
        </w:tc>
      </w:tr>
      <w:tr w14:paraId="4A7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21BD6AFA">
            <w:pPr>
              <w:spacing w:line="360" w:lineRule="auto"/>
              <w:jc w:val="center"/>
              <w:rPr>
                <w:rFonts w:ascii="宋体" w:hAnsi="宋体"/>
                <w:color w:val="auto"/>
                <w:highlight w:val="none"/>
              </w:rPr>
            </w:pPr>
          </w:p>
        </w:tc>
        <w:tc>
          <w:tcPr>
            <w:tcW w:w="1061" w:type="dxa"/>
            <w:vMerge w:val="continue"/>
          </w:tcPr>
          <w:p w14:paraId="4C488837">
            <w:pPr>
              <w:spacing w:line="360" w:lineRule="auto"/>
              <w:ind w:left="113" w:right="113"/>
              <w:jc w:val="center"/>
              <w:rPr>
                <w:rFonts w:ascii="宋体" w:hAnsi="宋体"/>
                <w:color w:val="auto"/>
                <w:highlight w:val="none"/>
              </w:rPr>
            </w:pPr>
          </w:p>
        </w:tc>
        <w:tc>
          <w:tcPr>
            <w:tcW w:w="1995" w:type="dxa"/>
            <w:vAlign w:val="center"/>
          </w:tcPr>
          <w:p w14:paraId="15846B0E">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服务期限</w:t>
            </w:r>
          </w:p>
        </w:tc>
        <w:tc>
          <w:tcPr>
            <w:tcW w:w="6143" w:type="dxa"/>
            <w:vAlign w:val="center"/>
          </w:tcPr>
          <w:p w14:paraId="727F53C5">
            <w:pPr>
              <w:autoSpaceDE w:val="0"/>
              <w:autoSpaceDN w:val="0"/>
              <w:adjustRightInd w:val="0"/>
              <w:spacing w:line="360" w:lineRule="auto"/>
              <w:ind w:right="-2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投标人须知前附表</w:t>
            </w:r>
            <w:r>
              <w:rPr>
                <w:rFonts w:hint="eastAsia" w:ascii="宋体" w:hAnsi="宋体" w:cs="宋体"/>
                <w:color w:val="auto"/>
                <w:kern w:val="0"/>
                <w:highlight w:val="none"/>
              </w:rPr>
              <w:t>”第1.3.2项规定</w:t>
            </w:r>
          </w:p>
        </w:tc>
      </w:tr>
      <w:tr w14:paraId="0ADD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42EDA068">
            <w:pPr>
              <w:spacing w:line="360" w:lineRule="auto"/>
              <w:jc w:val="center"/>
              <w:rPr>
                <w:rFonts w:ascii="宋体" w:hAnsi="宋体"/>
                <w:color w:val="auto"/>
                <w:highlight w:val="none"/>
              </w:rPr>
            </w:pPr>
          </w:p>
        </w:tc>
        <w:tc>
          <w:tcPr>
            <w:tcW w:w="1061" w:type="dxa"/>
            <w:vMerge w:val="continue"/>
          </w:tcPr>
          <w:p w14:paraId="1E109FB8">
            <w:pPr>
              <w:spacing w:line="360" w:lineRule="auto"/>
              <w:ind w:left="113" w:right="113"/>
              <w:jc w:val="center"/>
              <w:rPr>
                <w:rFonts w:ascii="宋体" w:hAnsi="宋体"/>
                <w:color w:val="auto"/>
                <w:highlight w:val="none"/>
              </w:rPr>
            </w:pPr>
          </w:p>
        </w:tc>
        <w:tc>
          <w:tcPr>
            <w:tcW w:w="1995" w:type="dxa"/>
            <w:vAlign w:val="center"/>
          </w:tcPr>
          <w:p w14:paraId="1D22F4AE">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投标有效期</w:t>
            </w:r>
          </w:p>
        </w:tc>
        <w:tc>
          <w:tcPr>
            <w:tcW w:w="6143" w:type="dxa"/>
            <w:vAlign w:val="center"/>
          </w:tcPr>
          <w:p w14:paraId="12FEFA3F">
            <w:pPr>
              <w:autoSpaceDE w:val="0"/>
              <w:autoSpaceDN w:val="0"/>
              <w:adjustRightInd w:val="0"/>
              <w:spacing w:line="360" w:lineRule="auto"/>
              <w:ind w:right="-2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投标人须知前附表</w:t>
            </w:r>
            <w:r>
              <w:rPr>
                <w:rFonts w:hint="eastAsia" w:ascii="宋体" w:hAnsi="宋体" w:cs="宋体"/>
                <w:color w:val="auto"/>
                <w:kern w:val="0"/>
                <w:highlight w:val="none"/>
              </w:rPr>
              <w:t>”第3.3.1项规定</w:t>
            </w:r>
          </w:p>
        </w:tc>
      </w:tr>
      <w:tr w14:paraId="777A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trPr>
        <w:tc>
          <w:tcPr>
            <w:tcW w:w="832" w:type="dxa"/>
            <w:vMerge w:val="continue"/>
          </w:tcPr>
          <w:p w14:paraId="64D93275">
            <w:pPr>
              <w:spacing w:line="360" w:lineRule="auto"/>
              <w:jc w:val="center"/>
              <w:rPr>
                <w:rFonts w:ascii="宋体" w:hAnsi="宋体"/>
                <w:color w:val="auto"/>
                <w:highlight w:val="none"/>
              </w:rPr>
            </w:pPr>
          </w:p>
        </w:tc>
        <w:tc>
          <w:tcPr>
            <w:tcW w:w="1061" w:type="dxa"/>
            <w:vMerge w:val="continue"/>
          </w:tcPr>
          <w:p w14:paraId="1C631D06">
            <w:pPr>
              <w:spacing w:line="360" w:lineRule="auto"/>
              <w:ind w:left="113" w:right="113"/>
              <w:jc w:val="center"/>
              <w:rPr>
                <w:rFonts w:ascii="宋体" w:hAnsi="宋体"/>
                <w:color w:val="auto"/>
                <w:highlight w:val="none"/>
              </w:rPr>
            </w:pPr>
          </w:p>
        </w:tc>
        <w:tc>
          <w:tcPr>
            <w:tcW w:w="1995" w:type="dxa"/>
            <w:vAlign w:val="center"/>
          </w:tcPr>
          <w:p w14:paraId="31446111">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投标保证金</w:t>
            </w:r>
          </w:p>
        </w:tc>
        <w:tc>
          <w:tcPr>
            <w:tcW w:w="6143" w:type="dxa"/>
            <w:vAlign w:val="center"/>
          </w:tcPr>
          <w:p w14:paraId="42628415">
            <w:pPr>
              <w:snapToGrid w:val="0"/>
              <w:spacing w:before="156" w:beforeLines="50" w:line="360" w:lineRule="auto"/>
              <w:rPr>
                <w:rFonts w:ascii="宋体" w:hAnsi="宋体" w:cs="宋体"/>
                <w:color w:val="auto"/>
                <w:kern w:val="0"/>
                <w:highlight w:val="none"/>
              </w:rPr>
            </w:pPr>
            <w:r>
              <w:rPr>
                <w:rFonts w:hint="eastAsia" w:ascii="宋体" w:hAnsi="宋体" w:cs="宋体"/>
                <w:color w:val="auto"/>
                <w:kern w:val="0"/>
                <w:szCs w:val="21"/>
                <w:highlight w:val="none"/>
              </w:rPr>
              <w:t>符合第二章投标人须知前附表第3.4.1项</w:t>
            </w:r>
            <w:r>
              <w:rPr>
                <w:rFonts w:hint="eastAsia" w:ascii="宋体" w:hAnsi="宋体" w:cs="宋体"/>
                <w:color w:val="auto"/>
                <w:kern w:val="0"/>
                <w:highlight w:val="none"/>
              </w:rPr>
              <w:t>规定，并符合下列要求：</w:t>
            </w:r>
          </w:p>
          <w:p w14:paraId="3352B2E1">
            <w:pPr>
              <w:numPr>
                <w:ilvl w:val="0"/>
                <w:numId w:val="4"/>
              </w:numPr>
              <w:tabs>
                <w:tab w:val="left" w:pos="601"/>
                <w:tab w:val="left" w:pos="732"/>
              </w:tabs>
              <w:snapToGrid w:val="0"/>
              <w:spacing w:before="156" w:beforeLines="50" w:line="360" w:lineRule="auto"/>
              <w:ind w:left="0" w:firstLine="452"/>
              <w:rPr>
                <w:rFonts w:ascii="宋体" w:hAnsi="宋体" w:cs="宋体"/>
                <w:color w:val="auto"/>
                <w:kern w:val="0"/>
                <w:highlight w:val="none"/>
              </w:rPr>
            </w:pPr>
            <w:r>
              <w:rPr>
                <w:rFonts w:hint="eastAsia" w:ascii="宋体" w:hAnsi="宋体" w:cs="宋体"/>
                <w:color w:val="auto"/>
                <w:kern w:val="0"/>
                <w:highlight w:val="none"/>
              </w:rPr>
              <w:t>投标保证金为无条件担保；</w:t>
            </w:r>
          </w:p>
          <w:p w14:paraId="103A2FEB">
            <w:pPr>
              <w:numPr>
                <w:ilvl w:val="0"/>
                <w:numId w:val="4"/>
              </w:numPr>
              <w:tabs>
                <w:tab w:val="left" w:pos="601"/>
              </w:tabs>
              <w:snapToGrid w:val="0"/>
              <w:spacing w:before="156" w:beforeLines="50" w:line="360" w:lineRule="auto"/>
              <w:ind w:left="0" w:firstLine="452"/>
              <w:rPr>
                <w:rFonts w:ascii="宋体" w:hAnsi="宋体" w:cs="宋体"/>
                <w:color w:val="auto"/>
                <w:kern w:val="0"/>
                <w:highlight w:val="none"/>
              </w:rPr>
            </w:pPr>
            <w:r>
              <w:rPr>
                <w:rFonts w:hint="eastAsia" w:ascii="宋体" w:hAnsi="宋体" w:cs="宋体"/>
                <w:color w:val="auto"/>
                <w:kern w:val="0"/>
                <w:highlight w:val="none"/>
              </w:rPr>
              <w:t>投标保证金的受益人名称与招标人规定的受益人一致；</w:t>
            </w:r>
          </w:p>
          <w:p w14:paraId="07C093AF">
            <w:pPr>
              <w:numPr>
                <w:ilvl w:val="0"/>
                <w:numId w:val="4"/>
              </w:numPr>
              <w:tabs>
                <w:tab w:val="left" w:pos="601"/>
              </w:tabs>
              <w:snapToGrid w:val="0"/>
              <w:spacing w:before="156" w:beforeLines="50" w:line="360" w:lineRule="auto"/>
              <w:ind w:left="0" w:firstLine="452"/>
              <w:rPr>
                <w:rFonts w:ascii="宋体" w:hAnsi="宋体" w:cs="宋体"/>
                <w:color w:val="auto"/>
                <w:kern w:val="0"/>
                <w:highlight w:val="none"/>
              </w:rPr>
            </w:pPr>
            <w:r>
              <w:rPr>
                <w:rFonts w:hint="eastAsia" w:ascii="宋体" w:hAnsi="宋体" w:cs="宋体"/>
                <w:color w:val="auto"/>
                <w:kern w:val="0"/>
                <w:highlight w:val="none"/>
              </w:rPr>
              <w:t>投标保证金的金额符合招标文件规定的金额；</w:t>
            </w:r>
          </w:p>
          <w:p w14:paraId="13688B46">
            <w:pPr>
              <w:numPr>
                <w:ilvl w:val="0"/>
                <w:numId w:val="4"/>
              </w:numPr>
              <w:tabs>
                <w:tab w:val="left" w:pos="601"/>
              </w:tabs>
              <w:snapToGrid w:val="0"/>
              <w:spacing w:before="156" w:beforeLines="50" w:line="360" w:lineRule="auto"/>
              <w:ind w:left="0" w:firstLine="452"/>
              <w:rPr>
                <w:rFonts w:ascii="宋体" w:hAnsi="宋体" w:cs="宋体"/>
                <w:color w:val="auto"/>
                <w:kern w:val="0"/>
                <w:highlight w:val="none"/>
              </w:rPr>
            </w:pPr>
            <w:r>
              <w:rPr>
                <w:rFonts w:hint="eastAsia" w:ascii="宋体" w:hAnsi="宋体" w:cs="宋体"/>
                <w:color w:val="auto"/>
                <w:kern w:val="0"/>
                <w:highlight w:val="none"/>
              </w:rPr>
              <w:t xml:space="preserve">投标保证金有效期与投标有效期一致。 </w:t>
            </w:r>
          </w:p>
        </w:tc>
      </w:tr>
      <w:tr w14:paraId="184D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2" w:type="dxa"/>
            <w:vMerge w:val="continue"/>
          </w:tcPr>
          <w:p w14:paraId="0D1E1826">
            <w:pPr>
              <w:spacing w:line="360" w:lineRule="auto"/>
              <w:jc w:val="center"/>
              <w:rPr>
                <w:rFonts w:ascii="宋体" w:hAnsi="宋体"/>
                <w:color w:val="auto"/>
                <w:highlight w:val="none"/>
              </w:rPr>
            </w:pPr>
          </w:p>
        </w:tc>
        <w:tc>
          <w:tcPr>
            <w:tcW w:w="1061" w:type="dxa"/>
            <w:vMerge w:val="continue"/>
          </w:tcPr>
          <w:p w14:paraId="5D1170EC">
            <w:pPr>
              <w:spacing w:line="360" w:lineRule="auto"/>
              <w:ind w:left="113" w:right="113"/>
              <w:jc w:val="center"/>
              <w:rPr>
                <w:rFonts w:ascii="宋体" w:hAnsi="宋体"/>
                <w:color w:val="auto"/>
                <w:highlight w:val="none"/>
              </w:rPr>
            </w:pPr>
          </w:p>
        </w:tc>
        <w:tc>
          <w:tcPr>
            <w:tcW w:w="1995" w:type="dxa"/>
            <w:vAlign w:val="center"/>
          </w:tcPr>
          <w:p w14:paraId="73B9533A">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权利义务</w:t>
            </w:r>
          </w:p>
        </w:tc>
        <w:tc>
          <w:tcPr>
            <w:tcW w:w="6143" w:type="dxa"/>
            <w:vAlign w:val="center"/>
          </w:tcPr>
          <w:p w14:paraId="22AE0249">
            <w:pPr>
              <w:spacing w:before="156" w:beforeLines="50" w:line="360" w:lineRule="auto"/>
              <w:rPr>
                <w:rFonts w:ascii="宋体" w:hAnsi="宋体" w:cs="宋体"/>
                <w:color w:val="auto"/>
                <w:kern w:val="0"/>
                <w:highlight w:val="none"/>
              </w:rPr>
            </w:pPr>
            <w:r>
              <w:rPr>
                <w:rFonts w:hint="eastAsia" w:ascii="宋体" w:hAnsi="宋体" w:cs="宋体"/>
                <w:color w:val="auto"/>
                <w:kern w:val="0"/>
                <w:highlight w:val="none"/>
              </w:rPr>
              <w:t>符合招标文件中的条款规定。</w:t>
            </w:r>
          </w:p>
        </w:tc>
      </w:tr>
      <w:tr w14:paraId="6E75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32" w:type="dxa"/>
            <w:vMerge w:val="continue"/>
            <w:vAlign w:val="center"/>
          </w:tcPr>
          <w:p w14:paraId="7C6CAEDA">
            <w:pPr>
              <w:spacing w:line="360" w:lineRule="auto"/>
              <w:jc w:val="center"/>
              <w:rPr>
                <w:rFonts w:ascii="宋体" w:hAnsi="宋体"/>
                <w:color w:val="auto"/>
                <w:highlight w:val="none"/>
              </w:rPr>
            </w:pPr>
          </w:p>
        </w:tc>
        <w:tc>
          <w:tcPr>
            <w:tcW w:w="1061" w:type="dxa"/>
            <w:vMerge w:val="continue"/>
            <w:vAlign w:val="center"/>
          </w:tcPr>
          <w:p w14:paraId="514CD243">
            <w:pPr>
              <w:spacing w:line="360" w:lineRule="auto"/>
              <w:ind w:left="113" w:right="113"/>
              <w:jc w:val="center"/>
              <w:rPr>
                <w:rFonts w:ascii="宋体" w:hAnsi="宋体"/>
                <w:color w:val="auto"/>
                <w:highlight w:val="none"/>
              </w:rPr>
            </w:pPr>
          </w:p>
        </w:tc>
        <w:tc>
          <w:tcPr>
            <w:tcW w:w="1995" w:type="dxa"/>
            <w:vAlign w:val="center"/>
          </w:tcPr>
          <w:p w14:paraId="0739F198">
            <w:pPr>
              <w:spacing w:line="436" w:lineRule="exact"/>
              <w:jc w:val="center"/>
              <w:rPr>
                <w:rFonts w:ascii="宋体" w:hAnsi="宋体" w:cs="宋体"/>
                <w:color w:val="auto"/>
                <w:kern w:val="0"/>
                <w:highlight w:val="none"/>
              </w:rPr>
            </w:pPr>
            <w:r>
              <w:rPr>
                <w:rFonts w:hint="eastAsia" w:ascii="宋体" w:hAnsi="宋体" w:cs="宋体"/>
                <w:color w:val="auto"/>
                <w:kern w:val="0"/>
                <w:highlight w:val="none"/>
              </w:rPr>
              <w:t>商务、服务要求</w:t>
            </w:r>
          </w:p>
        </w:tc>
        <w:tc>
          <w:tcPr>
            <w:tcW w:w="6143" w:type="dxa"/>
            <w:vAlign w:val="center"/>
          </w:tcPr>
          <w:p w14:paraId="55AF3F32">
            <w:pPr>
              <w:spacing w:before="156" w:beforeLines="50" w:line="360" w:lineRule="auto"/>
              <w:rPr>
                <w:rFonts w:ascii="宋体" w:hAnsi="宋体" w:cs="宋体"/>
                <w:color w:val="auto"/>
                <w:kern w:val="0"/>
                <w:highlight w:val="none"/>
              </w:rPr>
            </w:pPr>
            <w:r>
              <w:rPr>
                <w:rFonts w:hint="eastAsia" w:ascii="宋体" w:hAnsi="宋体" w:cs="宋体"/>
                <w:color w:val="auto"/>
                <w:kern w:val="0"/>
                <w:highlight w:val="none"/>
              </w:rPr>
              <w:t>符合招标文件第五章要求。</w:t>
            </w:r>
          </w:p>
        </w:tc>
      </w:tr>
      <w:tr w14:paraId="2B7E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32" w:type="dxa"/>
            <w:vMerge w:val="continue"/>
          </w:tcPr>
          <w:p w14:paraId="4948F21C">
            <w:pPr>
              <w:spacing w:line="360" w:lineRule="auto"/>
              <w:rPr>
                <w:rFonts w:ascii="宋体" w:hAnsi="宋体"/>
                <w:color w:val="auto"/>
                <w:highlight w:val="none"/>
              </w:rPr>
            </w:pPr>
          </w:p>
        </w:tc>
        <w:tc>
          <w:tcPr>
            <w:tcW w:w="1061" w:type="dxa"/>
            <w:vMerge w:val="continue"/>
          </w:tcPr>
          <w:p w14:paraId="43885F7A">
            <w:pPr>
              <w:spacing w:line="360" w:lineRule="auto"/>
              <w:rPr>
                <w:rFonts w:ascii="宋体" w:hAnsi="宋体"/>
                <w:color w:val="auto"/>
                <w:highlight w:val="none"/>
              </w:rPr>
            </w:pPr>
          </w:p>
        </w:tc>
        <w:tc>
          <w:tcPr>
            <w:tcW w:w="1995" w:type="dxa"/>
            <w:vAlign w:val="center"/>
          </w:tcPr>
          <w:p w14:paraId="263291F3">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实质性要求</w:t>
            </w:r>
          </w:p>
        </w:tc>
        <w:tc>
          <w:tcPr>
            <w:tcW w:w="6143" w:type="dxa"/>
            <w:vAlign w:val="center"/>
          </w:tcPr>
          <w:p w14:paraId="50031DDB">
            <w:pPr>
              <w:spacing w:before="156" w:beforeLines="50" w:line="360" w:lineRule="auto"/>
              <w:rPr>
                <w:rFonts w:ascii="宋体" w:hAnsi="宋体" w:cs="宋体"/>
                <w:color w:val="auto"/>
                <w:kern w:val="0"/>
                <w:highlight w:val="none"/>
              </w:rPr>
            </w:pPr>
            <w:r>
              <w:rPr>
                <w:rFonts w:hint="eastAsia" w:ascii="宋体" w:hAnsi="宋体" w:cs="宋体"/>
                <w:color w:val="auto"/>
                <w:kern w:val="0"/>
                <w:highlight w:val="none"/>
              </w:rPr>
              <w:t>符合招标文件中规定的其他实质性要求。</w:t>
            </w:r>
          </w:p>
        </w:tc>
      </w:tr>
      <w:bookmarkEnd w:id="262"/>
      <w:bookmarkEnd w:id="263"/>
      <w:tr w14:paraId="3829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3" w:type="dxa"/>
            <w:gridSpan w:val="2"/>
            <w:vAlign w:val="center"/>
          </w:tcPr>
          <w:p w14:paraId="716DD1AC">
            <w:pPr>
              <w:spacing w:line="360" w:lineRule="auto"/>
              <w:ind w:firstLine="210" w:firstLineChars="100"/>
              <w:jc w:val="center"/>
              <w:rPr>
                <w:rFonts w:ascii="宋体" w:hAnsi="宋体" w:cs="宋体"/>
                <w:color w:val="auto"/>
                <w:kern w:val="0"/>
                <w:highlight w:val="none"/>
              </w:rPr>
            </w:pPr>
            <w:r>
              <w:rPr>
                <w:rFonts w:hint="eastAsia" w:ascii="宋体" w:hAnsi="宋体" w:cs="宋体"/>
                <w:color w:val="auto"/>
                <w:kern w:val="0"/>
                <w:highlight w:val="none"/>
              </w:rPr>
              <w:t>2.2.1</w:t>
            </w:r>
          </w:p>
        </w:tc>
        <w:tc>
          <w:tcPr>
            <w:tcW w:w="1995" w:type="dxa"/>
            <w:vAlign w:val="center"/>
          </w:tcPr>
          <w:p w14:paraId="02007BC4">
            <w:pPr>
              <w:tabs>
                <w:tab w:val="left" w:pos="1875"/>
              </w:tabs>
              <w:spacing w:line="360" w:lineRule="auto"/>
              <w:jc w:val="center"/>
              <w:rPr>
                <w:rFonts w:ascii="宋体" w:hAnsi="宋体" w:cs="宋体"/>
                <w:color w:val="auto"/>
                <w:kern w:val="0"/>
                <w:highlight w:val="none"/>
              </w:rPr>
            </w:pPr>
            <w:r>
              <w:rPr>
                <w:rFonts w:hint="eastAsia" w:ascii="宋体" w:hAnsi="宋体" w:cs="宋体"/>
                <w:color w:val="auto"/>
                <w:kern w:val="0"/>
                <w:highlight w:val="none"/>
              </w:rPr>
              <w:t>分值构成</w:t>
            </w:r>
          </w:p>
          <w:p w14:paraId="7B708D52">
            <w:pPr>
              <w:tabs>
                <w:tab w:val="left" w:pos="1875"/>
              </w:tabs>
              <w:spacing w:line="360" w:lineRule="auto"/>
              <w:jc w:val="center"/>
              <w:rPr>
                <w:rFonts w:ascii="宋体" w:hAnsi="宋体" w:cs="宋体"/>
                <w:color w:val="auto"/>
                <w:kern w:val="0"/>
                <w:highlight w:val="none"/>
              </w:rPr>
            </w:pPr>
            <w:r>
              <w:rPr>
                <w:rFonts w:hint="eastAsia" w:ascii="宋体" w:hAnsi="宋体" w:cs="宋体"/>
                <w:color w:val="auto"/>
                <w:kern w:val="0"/>
                <w:highlight w:val="none"/>
              </w:rPr>
              <w:t xml:space="preserve"> </w:t>
            </w:r>
            <w:r>
              <w:rPr>
                <w:rFonts w:ascii="宋体" w:hAnsi="宋体" w:cs="宋体"/>
                <w:color w:val="auto"/>
                <w:kern w:val="0"/>
                <w:highlight w:val="none"/>
              </w:rPr>
              <w:t>(</w:t>
            </w:r>
            <w:r>
              <w:rPr>
                <w:rFonts w:hint="eastAsia" w:ascii="宋体" w:hAnsi="宋体" w:cs="宋体"/>
                <w:color w:val="auto"/>
                <w:kern w:val="0"/>
                <w:highlight w:val="none"/>
              </w:rPr>
              <w:t>总分</w:t>
            </w:r>
            <w:r>
              <w:rPr>
                <w:rFonts w:ascii="宋体" w:hAnsi="宋体" w:cs="宋体"/>
                <w:color w:val="auto"/>
                <w:kern w:val="0"/>
                <w:highlight w:val="none"/>
              </w:rPr>
              <w:t>1OO</w:t>
            </w:r>
            <w:r>
              <w:rPr>
                <w:rFonts w:hint="eastAsia" w:ascii="宋体" w:hAnsi="宋体" w:cs="宋体"/>
                <w:color w:val="auto"/>
                <w:kern w:val="0"/>
                <w:highlight w:val="none"/>
              </w:rPr>
              <w:t>分</w:t>
            </w:r>
            <w:r>
              <w:rPr>
                <w:rFonts w:ascii="宋体" w:hAnsi="宋体" w:cs="宋体"/>
                <w:color w:val="auto"/>
                <w:kern w:val="0"/>
                <w:highlight w:val="none"/>
              </w:rPr>
              <w:t>)</w:t>
            </w:r>
          </w:p>
        </w:tc>
        <w:tc>
          <w:tcPr>
            <w:tcW w:w="6143" w:type="dxa"/>
            <w:vAlign w:val="center"/>
          </w:tcPr>
          <w:p w14:paraId="72DA72FD">
            <w:pPr>
              <w:spacing w:line="360" w:lineRule="auto"/>
              <w:jc w:val="left"/>
              <w:rPr>
                <w:rFonts w:ascii="宋体" w:hAnsi="宋体"/>
                <w:color w:val="auto"/>
                <w:szCs w:val="21"/>
                <w:highlight w:val="none"/>
              </w:rPr>
            </w:pPr>
            <w:r>
              <w:rPr>
                <w:rFonts w:hint="eastAsia" w:ascii="宋体" w:hAnsi="宋体" w:cs="MingLiU"/>
                <w:b/>
                <w:color w:val="auto"/>
                <w:kern w:val="0"/>
                <w:szCs w:val="21"/>
                <w:highlight w:val="none"/>
                <w:u w:val="single"/>
              </w:rPr>
              <w:t>详见标包一、标包二、标包三评标办法表。</w:t>
            </w:r>
          </w:p>
        </w:tc>
      </w:tr>
      <w:tr w14:paraId="7CD1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3" w:type="dxa"/>
            <w:gridSpan w:val="2"/>
            <w:vAlign w:val="center"/>
          </w:tcPr>
          <w:p w14:paraId="6A13407F">
            <w:pPr>
              <w:spacing w:line="360" w:lineRule="auto"/>
              <w:ind w:firstLine="210" w:firstLineChars="100"/>
              <w:jc w:val="center"/>
              <w:rPr>
                <w:rFonts w:ascii="宋体" w:hAnsi="宋体" w:cs="宋体"/>
                <w:color w:val="auto"/>
                <w:kern w:val="0"/>
                <w:highlight w:val="none"/>
              </w:rPr>
            </w:pPr>
            <w:r>
              <w:rPr>
                <w:rFonts w:ascii="宋体" w:hAnsi="宋体"/>
                <w:color w:val="auto"/>
                <w:kern w:val="0"/>
                <w:szCs w:val="21"/>
                <w:highlight w:val="none"/>
              </w:rPr>
              <w:t>2.2.</w:t>
            </w:r>
            <w:r>
              <w:rPr>
                <w:rFonts w:hint="eastAsia" w:ascii="宋体" w:hAnsi="宋体"/>
                <w:color w:val="auto"/>
                <w:kern w:val="0"/>
                <w:szCs w:val="21"/>
                <w:highlight w:val="none"/>
              </w:rPr>
              <w:t>2</w:t>
            </w:r>
            <w:r>
              <w:rPr>
                <w:rFonts w:ascii="宋体" w:hAnsi="宋体"/>
                <w:color w:val="auto"/>
                <w:kern w:val="0"/>
                <w:szCs w:val="21"/>
                <w:highlight w:val="none"/>
              </w:rPr>
              <w:t xml:space="preserve"> </w:t>
            </w:r>
          </w:p>
        </w:tc>
        <w:tc>
          <w:tcPr>
            <w:tcW w:w="1995" w:type="dxa"/>
            <w:vAlign w:val="center"/>
          </w:tcPr>
          <w:p w14:paraId="6609DEDD">
            <w:pPr>
              <w:tabs>
                <w:tab w:val="left" w:pos="1875"/>
              </w:tabs>
              <w:spacing w:line="360" w:lineRule="auto"/>
              <w:jc w:val="center"/>
              <w:rPr>
                <w:rFonts w:ascii="宋体" w:hAnsi="宋体" w:cs="宋体"/>
                <w:color w:val="auto"/>
                <w:kern w:val="0"/>
                <w:highlight w:val="none"/>
              </w:rPr>
            </w:pPr>
            <w:r>
              <w:rPr>
                <w:rFonts w:hint="eastAsia" w:ascii="宋体" w:hAnsi="宋体"/>
                <w:color w:val="auto"/>
                <w:kern w:val="0"/>
                <w:szCs w:val="21"/>
                <w:highlight w:val="none"/>
              </w:rPr>
              <w:t>评分标准</w:t>
            </w:r>
          </w:p>
        </w:tc>
        <w:tc>
          <w:tcPr>
            <w:tcW w:w="6143" w:type="dxa"/>
            <w:vAlign w:val="center"/>
          </w:tcPr>
          <w:p w14:paraId="32E041DF">
            <w:pPr>
              <w:spacing w:before="156" w:beforeLines="50" w:line="360" w:lineRule="auto"/>
              <w:jc w:val="left"/>
              <w:rPr>
                <w:rFonts w:ascii="宋体" w:hAnsi="宋体" w:cs="宋体"/>
                <w:color w:val="auto"/>
                <w:kern w:val="0"/>
                <w:highlight w:val="none"/>
              </w:rPr>
            </w:pPr>
            <w:r>
              <w:rPr>
                <w:rFonts w:hint="eastAsia" w:ascii="宋体" w:hAnsi="宋体" w:cs="MingLiU"/>
                <w:b/>
                <w:color w:val="auto"/>
                <w:kern w:val="0"/>
                <w:szCs w:val="21"/>
                <w:highlight w:val="none"/>
                <w:u w:val="single"/>
              </w:rPr>
              <w:t>详见标包一、标包二、标包三评标办法表。</w:t>
            </w:r>
          </w:p>
        </w:tc>
      </w:tr>
      <w:tr w14:paraId="08EB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6" w:hRule="atLeast"/>
        </w:trPr>
        <w:tc>
          <w:tcPr>
            <w:tcW w:w="832" w:type="dxa"/>
            <w:vAlign w:val="center"/>
          </w:tcPr>
          <w:p w14:paraId="6B149BF3">
            <w:pPr>
              <w:spacing w:line="360" w:lineRule="auto"/>
              <w:jc w:val="center"/>
              <w:rPr>
                <w:rFonts w:ascii="宋体" w:hAnsi="宋体" w:cs="宋体"/>
                <w:color w:val="auto"/>
                <w:kern w:val="0"/>
                <w:highlight w:val="none"/>
              </w:rPr>
            </w:pPr>
            <w:r>
              <w:rPr>
                <w:rFonts w:hint="eastAsia" w:ascii="宋体" w:hAnsi="宋体"/>
                <w:color w:val="auto"/>
                <w:highlight w:val="none"/>
              </w:rPr>
              <w:t>3</w:t>
            </w:r>
          </w:p>
        </w:tc>
        <w:tc>
          <w:tcPr>
            <w:tcW w:w="1061" w:type="dxa"/>
            <w:vAlign w:val="center"/>
          </w:tcPr>
          <w:p w14:paraId="63468219">
            <w:pPr>
              <w:spacing w:line="360" w:lineRule="auto"/>
              <w:jc w:val="center"/>
              <w:rPr>
                <w:rFonts w:ascii="宋体" w:hAnsi="宋体" w:cs="宋体"/>
                <w:color w:val="auto"/>
                <w:kern w:val="0"/>
                <w:highlight w:val="none"/>
              </w:rPr>
            </w:pPr>
            <w:r>
              <w:rPr>
                <w:rFonts w:hint="eastAsia" w:ascii="宋体" w:hAnsi="宋体"/>
                <w:color w:val="auto"/>
                <w:highlight w:val="none"/>
              </w:rPr>
              <w:t>评标程序</w:t>
            </w:r>
          </w:p>
        </w:tc>
        <w:tc>
          <w:tcPr>
            <w:tcW w:w="8138" w:type="dxa"/>
            <w:gridSpan w:val="2"/>
          </w:tcPr>
          <w:p w14:paraId="0E1AC580">
            <w:pPr>
              <w:spacing w:before="156" w:beforeLines="50"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1．评标委员会首先按照招标文件的规定对投标文件进行初步评审（即形式评审、资格评审和响应性评审）。</w:t>
            </w:r>
          </w:p>
          <w:p w14:paraId="53EE2F34">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评标委员会按照招标文件的规定对投标人的投标文件进行初步评审。投标文件未实质性响应招标文件的要求和条件属于重大偏差，凡经评标委员会认定有重大偏差的投标文件，该投标文件为无效投标文件，评标委员会认定为无效的投标文件的不再进行后续评审。只有通过初步评审的投标文件才能进入详细评审。</w:t>
            </w:r>
          </w:p>
          <w:p w14:paraId="3881AAAA">
            <w:pPr>
              <w:autoSpaceDE w:val="0"/>
              <w:autoSpaceDN w:val="0"/>
              <w:adjustRightInd w:val="0"/>
              <w:snapToGrid w:val="0"/>
              <w:spacing w:line="360" w:lineRule="auto"/>
              <w:ind w:firstLine="420" w:firstLineChars="200"/>
              <w:jc w:val="left"/>
              <w:rPr>
                <w:rFonts w:ascii="宋体" w:hAnsi="宋体" w:cs="MingLiU"/>
                <w:b/>
                <w:snapToGrid w:val="0"/>
                <w:color w:val="auto"/>
                <w:kern w:val="0"/>
                <w:szCs w:val="21"/>
                <w:highlight w:val="none"/>
              </w:rPr>
            </w:pPr>
            <w:r>
              <w:rPr>
                <w:rFonts w:hint="eastAsia" w:ascii="宋体" w:hAnsi="宋体" w:cs="宋体"/>
                <w:color w:val="auto"/>
                <w:kern w:val="0"/>
                <w:highlight w:val="none"/>
              </w:rPr>
              <w:t>3．如经过对所有投标人的投标文件进行评审，</w:t>
            </w:r>
            <w:r>
              <w:rPr>
                <w:rFonts w:hint="eastAsia" w:ascii="宋体" w:hAnsi="宋体" w:cs="宋体"/>
                <w:b/>
                <w:color w:val="auto"/>
                <w:kern w:val="0"/>
                <w:highlight w:val="none"/>
              </w:rPr>
              <w:t>有效投标不足</w:t>
            </w:r>
            <w:r>
              <w:rPr>
                <w:rFonts w:hint="eastAsia" w:ascii="宋体" w:hAnsi="宋体"/>
                <w:b/>
                <w:snapToGrid w:val="0"/>
                <w:color w:val="auto"/>
                <w:kern w:val="0"/>
                <w:szCs w:val="21"/>
                <w:highlight w:val="none"/>
              </w:rPr>
              <w:t>5</w:t>
            </w:r>
            <w:r>
              <w:rPr>
                <w:rFonts w:hint="eastAsia" w:ascii="宋体" w:hAnsi="宋体" w:cs="MingLiU"/>
                <w:b/>
                <w:snapToGrid w:val="0"/>
                <w:color w:val="auto"/>
                <w:kern w:val="0"/>
                <w:szCs w:val="21"/>
                <w:highlight w:val="none"/>
              </w:rPr>
              <w:t>家/标包的，</w:t>
            </w:r>
            <w:r>
              <w:rPr>
                <w:rFonts w:hint="eastAsia" w:ascii="宋体" w:hAnsi="宋体" w:cs="宋体"/>
                <w:b/>
                <w:color w:val="auto"/>
                <w:kern w:val="0"/>
                <w:highlight w:val="none"/>
              </w:rPr>
              <w:t>使得投标明显缺乏竞争的，评标委员会可以否决全部投标。</w:t>
            </w:r>
          </w:p>
          <w:p w14:paraId="377AD580">
            <w:pPr>
              <w:spacing w:line="360" w:lineRule="auto"/>
              <w:ind w:firstLine="420" w:firstLineChars="200"/>
              <w:rPr>
                <w:rFonts w:ascii="宋体" w:hAnsi="宋体"/>
                <w:b/>
                <w:color w:val="auto"/>
                <w:szCs w:val="21"/>
                <w:highlight w:val="none"/>
              </w:rPr>
            </w:pPr>
            <w:r>
              <w:rPr>
                <w:rFonts w:hint="eastAsia" w:ascii="宋体" w:hAnsi="宋体" w:cs="宋体"/>
                <w:bCs/>
                <w:color w:val="auto"/>
                <w:kern w:val="0"/>
                <w:highlight w:val="none"/>
              </w:rPr>
              <w:t>4．评标委</w:t>
            </w:r>
            <w:r>
              <w:rPr>
                <w:rFonts w:hint="eastAsia" w:ascii="宋体" w:hAnsi="宋体" w:cs="宋体"/>
                <w:color w:val="auto"/>
                <w:kern w:val="0"/>
                <w:highlight w:val="none"/>
              </w:rPr>
              <w:t>员会按照招标文件规定的标准，确定综合得分最高的（按得分高低排序）前三名投标单位为中标候选人</w:t>
            </w:r>
            <w:r>
              <w:rPr>
                <w:rFonts w:hint="eastAsia" w:ascii="宋体" w:hAnsi="宋体"/>
                <w:b/>
                <w:color w:val="auto"/>
                <w:kern w:val="0"/>
                <w:szCs w:val="21"/>
                <w:highlight w:val="none"/>
              </w:rPr>
              <w:t>。</w:t>
            </w:r>
          </w:p>
        </w:tc>
      </w:tr>
      <w:tr w14:paraId="2BF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32" w:type="dxa"/>
            <w:vAlign w:val="center"/>
          </w:tcPr>
          <w:p w14:paraId="4DB056E6">
            <w:pPr>
              <w:spacing w:line="360" w:lineRule="auto"/>
              <w:jc w:val="center"/>
              <w:rPr>
                <w:rFonts w:ascii="宋体" w:hAnsi="宋体"/>
                <w:b/>
                <w:color w:val="auto"/>
                <w:highlight w:val="none"/>
              </w:rPr>
            </w:pPr>
            <w:r>
              <w:rPr>
                <w:rFonts w:ascii="宋体" w:hAnsi="宋体"/>
                <w:bCs/>
                <w:color w:val="auto"/>
                <w:highlight w:val="none"/>
              </w:rPr>
              <w:t>3.2.1（</w:t>
            </w:r>
            <w:r>
              <w:rPr>
                <w:rFonts w:hint="eastAsia" w:ascii="宋体" w:hAnsi="宋体"/>
                <w:bCs/>
                <w:color w:val="auto"/>
                <w:highlight w:val="none"/>
              </w:rPr>
              <w:t>1</w:t>
            </w:r>
            <w:r>
              <w:rPr>
                <w:rFonts w:ascii="宋体" w:hAnsi="宋体"/>
                <w:bCs/>
                <w:color w:val="auto"/>
                <w:highlight w:val="none"/>
              </w:rPr>
              <w:t>）</w:t>
            </w:r>
          </w:p>
        </w:tc>
        <w:tc>
          <w:tcPr>
            <w:tcW w:w="1061" w:type="dxa"/>
            <w:vAlign w:val="center"/>
          </w:tcPr>
          <w:p w14:paraId="0648B131">
            <w:pPr>
              <w:spacing w:line="360" w:lineRule="auto"/>
              <w:jc w:val="center"/>
              <w:rPr>
                <w:rFonts w:ascii="宋体" w:hAnsi="宋体"/>
                <w:b/>
                <w:color w:val="auto"/>
                <w:highlight w:val="none"/>
              </w:rPr>
            </w:pPr>
            <w:r>
              <w:rPr>
                <w:rFonts w:hint="eastAsia" w:ascii="宋体" w:hAnsi="宋体"/>
                <w:bCs/>
                <w:color w:val="auto"/>
                <w:highlight w:val="none"/>
              </w:rPr>
              <w:t>投标报价得分（A</w:t>
            </w:r>
            <w:r>
              <w:rPr>
                <w:rFonts w:ascii="宋体" w:hAnsi="宋体"/>
                <w:bCs/>
                <w:color w:val="auto"/>
                <w:highlight w:val="none"/>
              </w:rPr>
              <w:t>）</w:t>
            </w:r>
          </w:p>
        </w:tc>
        <w:tc>
          <w:tcPr>
            <w:tcW w:w="1995" w:type="dxa"/>
            <w:vAlign w:val="center"/>
          </w:tcPr>
          <w:p w14:paraId="0612DF92">
            <w:pPr>
              <w:spacing w:line="360" w:lineRule="auto"/>
              <w:ind w:firstLine="18" w:firstLineChars="9"/>
              <w:jc w:val="center"/>
              <w:rPr>
                <w:rFonts w:ascii="宋体" w:hAnsi="宋体" w:cs="宋体"/>
                <w:b/>
                <w:color w:val="auto"/>
                <w:kern w:val="0"/>
                <w:highlight w:val="none"/>
              </w:rPr>
            </w:pPr>
            <w:r>
              <w:rPr>
                <w:rFonts w:hint="eastAsia" w:ascii="宋体" w:hAnsi="宋体"/>
                <w:bCs/>
                <w:color w:val="auto"/>
                <w:highlight w:val="none"/>
              </w:rPr>
              <w:t>投标报价</w:t>
            </w:r>
          </w:p>
        </w:tc>
        <w:tc>
          <w:tcPr>
            <w:tcW w:w="6143" w:type="dxa"/>
            <w:vAlign w:val="center"/>
          </w:tcPr>
          <w:p w14:paraId="74CE0441">
            <w:pPr>
              <w:spacing w:line="400" w:lineRule="exact"/>
              <w:rPr>
                <w:rFonts w:ascii="宋体" w:hAnsi="宋体" w:cs="宋体"/>
                <w:color w:val="auto"/>
                <w:kern w:val="0"/>
                <w:highlight w:val="none"/>
              </w:rPr>
            </w:pPr>
            <w:r>
              <w:rPr>
                <w:rFonts w:hint="eastAsia" w:ascii="宋体" w:hAnsi="宋体" w:cs="宋体"/>
                <w:bCs/>
                <w:color w:val="auto"/>
                <w:kern w:val="0"/>
                <w:szCs w:val="21"/>
                <w:highlight w:val="none"/>
              </w:rPr>
              <w:t>根据</w:t>
            </w:r>
            <w:r>
              <w:rPr>
                <w:rFonts w:hint="eastAsia" w:ascii="宋体" w:hAnsi="宋体" w:cs="MingLiU"/>
                <w:b/>
                <w:color w:val="auto"/>
                <w:kern w:val="0"/>
                <w:szCs w:val="21"/>
                <w:highlight w:val="none"/>
                <w:u w:val="single"/>
              </w:rPr>
              <w:t>标包一、标包二、标包三评标办法表</w:t>
            </w:r>
            <w:r>
              <w:rPr>
                <w:rFonts w:ascii="宋体" w:hAnsi="宋体"/>
                <w:bCs/>
                <w:color w:val="auto"/>
                <w:kern w:val="0"/>
                <w:szCs w:val="21"/>
                <w:highlight w:val="none"/>
              </w:rPr>
              <w:t>各评审因素设定的分值评分。</w:t>
            </w:r>
          </w:p>
        </w:tc>
      </w:tr>
      <w:tr w14:paraId="6865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2" w:type="dxa"/>
            <w:vAlign w:val="center"/>
          </w:tcPr>
          <w:p w14:paraId="1749A77C">
            <w:pPr>
              <w:spacing w:line="360" w:lineRule="auto"/>
              <w:rPr>
                <w:rFonts w:ascii="宋体" w:hAnsi="宋体"/>
                <w:b/>
                <w:color w:val="auto"/>
                <w:highlight w:val="none"/>
              </w:rPr>
            </w:pPr>
            <w:r>
              <w:rPr>
                <w:rFonts w:ascii="宋体" w:hAnsi="宋体"/>
                <w:bCs/>
                <w:color w:val="auto"/>
                <w:highlight w:val="none"/>
              </w:rPr>
              <w:t>3.2.1（</w:t>
            </w:r>
            <w:r>
              <w:rPr>
                <w:rFonts w:hint="eastAsia" w:ascii="宋体" w:hAnsi="宋体"/>
                <w:bCs/>
                <w:color w:val="auto"/>
                <w:highlight w:val="none"/>
              </w:rPr>
              <w:t>2</w:t>
            </w:r>
            <w:r>
              <w:rPr>
                <w:rFonts w:ascii="宋体" w:hAnsi="宋体"/>
                <w:bCs/>
                <w:color w:val="auto"/>
                <w:highlight w:val="none"/>
              </w:rPr>
              <w:t>）</w:t>
            </w:r>
          </w:p>
        </w:tc>
        <w:tc>
          <w:tcPr>
            <w:tcW w:w="1061" w:type="dxa"/>
            <w:vAlign w:val="center"/>
          </w:tcPr>
          <w:p w14:paraId="12A043F0">
            <w:pPr>
              <w:snapToGrid w:val="0"/>
              <w:spacing w:line="360" w:lineRule="auto"/>
              <w:rPr>
                <w:rFonts w:eastAsia="新宋体"/>
                <w:b/>
                <w:color w:val="auto"/>
                <w:highlight w:val="none"/>
              </w:rPr>
            </w:pPr>
            <w:r>
              <w:rPr>
                <w:rFonts w:hint="eastAsia" w:ascii="宋体" w:hAnsi="宋体"/>
                <w:bCs/>
                <w:color w:val="auto"/>
                <w:highlight w:val="none"/>
              </w:rPr>
              <w:t>商务部分得分（B</w:t>
            </w:r>
            <w:r>
              <w:rPr>
                <w:rFonts w:ascii="宋体" w:hAnsi="宋体"/>
                <w:bCs/>
                <w:color w:val="auto"/>
                <w:highlight w:val="none"/>
              </w:rPr>
              <w:t>）</w:t>
            </w:r>
          </w:p>
        </w:tc>
        <w:tc>
          <w:tcPr>
            <w:tcW w:w="1995" w:type="dxa"/>
            <w:vAlign w:val="center"/>
          </w:tcPr>
          <w:p w14:paraId="15C26DB3">
            <w:pPr>
              <w:autoSpaceDE w:val="0"/>
              <w:spacing w:line="480" w:lineRule="exact"/>
              <w:ind w:firstLine="420" w:firstLineChars="200"/>
              <w:rPr>
                <w:rFonts w:ascii="宋体" w:hAnsi="宋体"/>
                <w:b/>
                <w:color w:val="auto"/>
                <w:highlight w:val="none"/>
              </w:rPr>
            </w:pPr>
            <w:r>
              <w:rPr>
                <w:rFonts w:hint="eastAsia" w:ascii="宋体" w:hAnsi="宋体"/>
                <w:bCs/>
                <w:color w:val="auto"/>
                <w:highlight w:val="none"/>
              </w:rPr>
              <w:t>商务部分</w:t>
            </w:r>
          </w:p>
        </w:tc>
        <w:tc>
          <w:tcPr>
            <w:tcW w:w="6143" w:type="dxa"/>
            <w:vAlign w:val="center"/>
          </w:tcPr>
          <w:p w14:paraId="1B9C0704">
            <w:pPr>
              <w:autoSpaceDE w:val="0"/>
              <w:spacing w:line="480" w:lineRule="exact"/>
              <w:rPr>
                <w:rFonts w:ascii="宋体" w:hAnsi="宋体"/>
                <w:color w:val="auto"/>
                <w:highlight w:val="none"/>
              </w:rPr>
            </w:pPr>
            <w:r>
              <w:rPr>
                <w:rFonts w:hint="eastAsia" w:ascii="宋体" w:hAnsi="宋体" w:cs="宋体"/>
                <w:bCs/>
                <w:color w:val="auto"/>
                <w:kern w:val="0"/>
                <w:szCs w:val="21"/>
                <w:highlight w:val="none"/>
              </w:rPr>
              <w:t>根据</w:t>
            </w:r>
            <w:r>
              <w:rPr>
                <w:rFonts w:hint="eastAsia" w:ascii="宋体" w:hAnsi="宋体" w:cs="MingLiU"/>
                <w:b/>
                <w:color w:val="auto"/>
                <w:kern w:val="0"/>
                <w:szCs w:val="21"/>
                <w:highlight w:val="none"/>
                <w:u w:val="single"/>
              </w:rPr>
              <w:t>标包一、标包二、标包三评标办法表</w:t>
            </w:r>
            <w:r>
              <w:rPr>
                <w:rFonts w:ascii="宋体" w:hAnsi="宋体"/>
                <w:bCs/>
                <w:color w:val="auto"/>
                <w:kern w:val="0"/>
                <w:szCs w:val="21"/>
                <w:highlight w:val="none"/>
              </w:rPr>
              <w:t>各评审因素设定的分值评分。</w:t>
            </w:r>
          </w:p>
        </w:tc>
      </w:tr>
      <w:tr w14:paraId="407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32" w:type="dxa"/>
            <w:vAlign w:val="center"/>
          </w:tcPr>
          <w:p w14:paraId="534BC97E">
            <w:pPr>
              <w:spacing w:line="360" w:lineRule="auto"/>
              <w:jc w:val="center"/>
              <w:rPr>
                <w:rFonts w:ascii="宋体" w:hAnsi="宋体"/>
                <w:color w:val="auto"/>
                <w:highlight w:val="none"/>
              </w:rPr>
            </w:pPr>
            <w:r>
              <w:rPr>
                <w:rFonts w:ascii="宋体" w:hAnsi="宋体"/>
                <w:bCs/>
                <w:color w:val="auto"/>
                <w:highlight w:val="none"/>
              </w:rPr>
              <w:t>3.2.1(</w:t>
            </w:r>
            <w:r>
              <w:rPr>
                <w:rFonts w:hint="eastAsia" w:ascii="宋体" w:hAnsi="宋体"/>
                <w:bCs/>
                <w:color w:val="auto"/>
                <w:highlight w:val="none"/>
              </w:rPr>
              <w:t>3</w:t>
            </w:r>
            <w:r>
              <w:rPr>
                <w:rFonts w:ascii="宋体" w:hAnsi="宋体"/>
                <w:bCs/>
                <w:color w:val="auto"/>
                <w:highlight w:val="none"/>
              </w:rPr>
              <w:t>)</w:t>
            </w:r>
          </w:p>
        </w:tc>
        <w:tc>
          <w:tcPr>
            <w:tcW w:w="1061" w:type="dxa"/>
            <w:vAlign w:val="center"/>
          </w:tcPr>
          <w:p w14:paraId="2A747589">
            <w:pPr>
              <w:snapToGrid w:val="0"/>
              <w:spacing w:line="360" w:lineRule="auto"/>
              <w:jc w:val="center"/>
              <w:rPr>
                <w:rFonts w:ascii="宋体" w:hAnsi="宋体" w:cs="宋体"/>
                <w:color w:val="auto"/>
                <w:kern w:val="0"/>
                <w:highlight w:val="none"/>
              </w:rPr>
            </w:pPr>
            <w:r>
              <w:rPr>
                <w:rFonts w:hint="eastAsia" w:ascii="宋体" w:hAnsi="宋体"/>
                <w:bCs/>
                <w:color w:val="auto"/>
                <w:kern w:val="0"/>
                <w:szCs w:val="21"/>
                <w:highlight w:val="none"/>
              </w:rPr>
              <w:t>技术部分</w:t>
            </w:r>
            <w:r>
              <w:rPr>
                <w:rFonts w:hint="eastAsia" w:ascii="宋体" w:hAnsi="宋体" w:cs="宋体"/>
                <w:bCs/>
                <w:color w:val="auto"/>
                <w:kern w:val="0"/>
                <w:highlight w:val="none"/>
              </w:rPr>
              <w:t>得分</w:t>
            </w:r>
            <w:r>
              <w:rPr>
                <w:rFonts w:hint="eastAsia" w:ascii="宋体" w:hAnsi="宋体"/>
                <w:bCs/>
                <w:color w:val="auto"/>
                <w:highlight w:val="none"/>
              </w:rPr>
              <w:t>（C</w:t>
            </w:r>
            <w:r>
              <w:rPr>
                <w:rFonts w:ascii="宋体" w:hAnsi="宋体"/>
                <w:bCs/>
                <w:color w:val="auto"/>
                <w:highlight w:val="none"/>
              </w:rPr>
              <w:t>）</w:t>
            </w:r>
          </w:p>
        </w:tc>
        <w:tc>
          <w:tcPr>
            <w:tcW w:w="1995" w:type="dxa"/>
            <w:vAlign w:val="center"/>
          </w:tcPr>
          <w:p w14:paraId="055FBC9C">
            <w:pPr>
              <w:autoSpaceDE w:val="0"/>
              <w:spacing w:line="480" w:lineRule="exact"/>
              <w:ind w:firstLine="420" w:firstLineChars="200"/>
              <w:rPr>
                <w:rFonts w:ascii="宋体" w:hAnsi="宋体"/>
                <w:b/>
                <w:color w:val="auto"/>
                <w:highlight w:val="none"/>
              </w:rPr>
            </w:pPr>
            <w:r>
              <w:rPr>
                <w:rFonts w:hint="eastAsia" w:ascii="宋体" w:hAnsi="宋体" w:cs="宋体"/>
                <w:color w:val="auto"/>
                <w:szCs w:val="21"/>
                <w:highlight w:val="none"/>
              </w:rPr>
              <w:t>技术部分</w:t>
            </w:r>
          </w:p>
        </w:tc>
        <w:tc>
          <w:tcPr>
            <w:tcW w:w="6143" w:type="dxa"/>
            <w:vAlign w:val="center"/>
          </w:tcPr>
          <w:p w14:paraId="2FCE9714">
            <w:pPr>
              <w:autoSpaceDE w:val="0"/>
              <w:spacing w:line="480" w:lineRule="exact"/>
              <w:rPr>
                <w:rFonts w:ascii="宋体" w:hAnsi="宋体"/>
                <w:color w:val="auto"/>
                <w:highlight w:val="none"/>
              </w:rPr>
            </w:pPr>
            <w:r>
              <w:rPr>
                <w:rFonts w:hint="eastAsia" w:ascii="宋体" w:hAnsi="宋体"/>
                <w:bCs/>
                <w:color w:val="auto"/>
                <w:kern w:val="0"/>
                <w:szCs w:val="21"/>
                <w:highlight w:val="none"/>
              </w:rPr>
              <w:t>评标委员会按</w:t>
            </w:r>
            <w:r>
              <w:rPr>
                <w:rFonts w:hint="eastAsia" w:ascii="宋体" w:hAnsi="宋体" w:cs="MingLiU"/>
                <w:b/>
                <w:color w:val="auto"/>
                <w:kern w:val="0"/>
                <w:szCs w:val="21"/>
                <w:highlight w:val="none"/>
                <w:u w:val="single"/>
              </w:rPr>
              <w:t>标包一、标包二、标包三评标办法表</w:t>
            </w:r>
            <w:r>
              <w:rPr>
                <w:rFonts w:ascii="宋体" w:hAnsi="宋体"/>
                <w:bCs/>
                <w:color w:val="auto"/>
                <w:kern w:val="0"/>
                <w:szCs w:val="21"/>
                <w:highlight w:val="none"/>
              </w:rPr>
              <w:t>各评审因素设定的分值评分。以上计算取小数点后两位，第三位四舍五入。评标委员会全体成员对</w:t>
            </w:r>
            <w:r>
              <w:rPr>
                <w:rFonts w:hint="eastAsia" w:ascii="宋体" w:hAnsi="宋体"/>
                <w:bCs/>
                <w:color w:val="auto"/>
                <w:kern w:val="0"/>
                <w:szCs w:val="21"/>
                <w:highlight w:val="none"/>
              </w:rPr>
              <w:t>技术部分</w:t>
            </w:r>
            <w:r>
              <w:rPr>
                <w:rFonts w:ascii="宋体" w:hAnsi="宋体"/>
                <w:bCs/>
                <w:color w:val="auto"/>
                <w:kern w:val="0"/>
                <w:szCs w:val="21"/>
                <w:highlight w:val="none"/>
              </w:rPr>
              <w:t>进行评审，投标人</w:t>
            </w:r>
            <w:r>
              <w:rPr>
                <w:rFonts w:hint="eastAsia" w:ascii="宋体" w:hAnsi="宋体" w:cs="宋体"/>
                <w:color w:val="auto"/>
                <w:szCs w:val="21"/>
                <w:highlight w:val="none"/>
              </w:rPr>
              <w:t>技术部分</w:t>
            </w:r>
            <w:r>
              <w:rPr>
                <w:rFonts w:ascii="宋体" w:hAnsi="宋体"/>
                <w:bCs/>
                <w:color w:val="auto"/>
                <w:kern w:val="0"/>
                <w:szCs w:val="21"/>
                <w:highlight w:val="none"/>
              </w:rPr>
              <w:t>得分为所有评委打分后取算术平均值作为该投标人</w:t>
            </w:r>
            <w:r>
              <w:rPr>
                <w:rFonts w:hint="eastAsia" w:ascii="宋体" w:hAnsi="宋体"/>
                <w:bCs/>
                <w:color w:val="auto"/>
                <w:kern w:val="0"/>
                <w:szCs w:val="21"/>
                <w:highlight w:val="none"/>
              </w:rPr>
              <w:t>技术方案</w:t>
            </w:r>
            <w:r>
              <w:rPr>
                <w:rFonts w:ascii="宋体" w:hAnsi="宋体"/>
                <w:bCs/>
                <w:color w:val="auto"/>
                <w:kern w:val="0"/>
                <w:szCs w:val="21"/>
                <w:highlight w:val="none"/>
              </w:rPr>
              <w:t>得分。</w:t>
            </w:r>
          </w:p>
        </w:tc>
      </w:tr>
      <w:tr w14:paraId="4A84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3" w:type="dxa"/>
            <w:gridSpan w:val="2"/>
            <w:vAlign w:val="center"/>
          </w:tcPr>
          <w:p w14:paraId="19692433">
            <w:pPr>
              <w:spacing w:line="360" w:lineRule="auto"/>
              <w:ind w:firstLine="19" w:firstLineChars="9"/>
              <w:jc w:val="center"/>
              <w:rPr>
                <w:rFonts w:ascii="宋体" w:hAnsi="宋体"/>
                <w:b/>
                <w:color w:val="auto"/>
                <w:highlight w:val="none"/>
              </w:rPr>
            </w:pPr>
            <w:r>
              <w:rPr>
                <w:rFonts w:hint="eastAsia" w:ascii="宋体" w:hAnsi="宋体"/>
                <w:b/>
                <w:color w:val="auto"/>
                <w:highlight w:val="none"/>
              </w:rPr>
              <w:t>3.2.3</w:t>
            </w:r>
          </w:p>
        </w:tc>
        <w:tc>
          <w:tcPr>
            <w:tcW w:w="1995" w:type="dxa"/>
            <w:vAlign w:val="center"/>
          </w:tcPr>
          <w:p w14:paraId="2F1EE21B">
            <w:pPr>
              <w:spacing w:line="360" w:lineRule="auto"/>
              <w:ind w:firstLine="19" w:firstLineChars="9"/>
              <w:jc w:val="center"/>
              <w:rPr>
                <w:rFonts w:ascii="宋体" w:hAnsi="宋体"/>
                <w:b/>
                <w:color w:val="auto"/>
                <w:highlight w:val="none"/>
              </w:rPr>
            </w:pPr>
            <w:r>
              <w:rPr>
                <w:rFonts w:hint="eastAsia" w:ascii="宋体" w:hAnsi="宋体"/>
                <w:b/>
                <w:color w:val="auto"/>
                <w:highlight w:val="none"/>
              </w:rPr>
              <w:t>投标人得分</w:t>
            </w:r>
          </w:p>
        </w:tc>
        <w:tc>
          <w:tcPr>
            <w:tcW w:w="6143" w:type="dxa"/>
            <w:vAlign w:val="center"/>
          </w:tcPr>
          <w:p w14:paraId="77148618">
            <w:pPr>
              <w:spacing w:line="360" w:lineRule="auto"/>
              <w:ind w:firstLine="230" w:firstLineChars="109"/>
              <w:jc w:val="center"/>
              <w:rPr>
                <w:rFonts w:ascii="宋体" w:hAnsi="宋体"/>
                <w:b/>
                <w:color w:val="auto"/>
                <w:highlight w:val="none"/>
              </w:rPr>
            </w:pPr>
            <w:r>
              <w:rPr>
                <w:rFonts w:hint="eastAsia" w:ascii="宋体" w:hAnsi="宋体"/>
                <w:b/>
                <w:color w:val="auto"/>
                <w:highlight w:val="none"/>
              </w:rPr>
              <w:t>投标人得分</w:t>
            </w:r>
            <w:r>
              <w:rPr>
                <w:rFonts w:ascii="宋体" w:hAnsi="宋体"/>
                <w:b/>
                <w:color w:val="auto"/>
                <w:highlight w:val="none"/>
              </w:rPr>
              <w:t>=A+B</w:t>
            </w:r>
            <w:r>
              <w:rPr>
                <w:rFonts w:hint="eastAsia" w:ascii="宋体" w:hAnsi="宋体"/>
                <w:b/>
                <w:color w:val="auto"/>
                <w:highlight w:val="none"/>
              </w:rPr>
              <w:t>+C</w:t>
            </w:r>
          </w:p>
        </w:tc>
      </w:tr>
    </w:tbl>
    <w:p w14:paraId="72ECC91B">
      <w:pPr>
        <w:pStyle w:val="3"/>
        <w:spacing w:before="140" w:after="140" w:line="360" w:lineRule="auto"/>
        <w:rPr>
          <w:rFonts w:ascii="宋体" w:hAnsi="宋体" w:cs="宋体"/>
          <w:color w:val="auto"/>
          <w:sz w:val="28"/>
          <w:szCs w:val="28"/>
          <w:highlight w:val="none"/>
        </w:rPr>
      </w:pPr>
      <w:bookmarkStart w:id="264" w:name="_Toc3471"/>
      <w:bookmarkStart w:id="265" w:name="_Toc59002394"/>
      <w:bookmarkStart w:id="266" w:name="_Toc46495160"/>
      <w:r>
        <w:rPr>
          <w:rFonts w:hint="eastAsia" w:ascii="宋体" w:hAnsi="宋体" w:cs="宋体"/>
          <w:color w:val="auto"/>
          <w:sz w:val="28"/>
          <w:szCs w:val="28"/>
          <w:highlight w:val="none"/>
        </w:rPr>
        <w:t>标包一酒店服务供应商评标办法表</w:t>
      </w:r>
      <w:bookmarkEnd w:id="264"/>
      <w:r>
        <w:rPr>
          <w:rFonts w:hint="eastAsia" w:ascii="宋体" w:hAnsi="宋体" w:cs="宋体"/>
          <w:color w:val="auto"/>
          <w:sz w:val="28"/>
          <w:szCs w:val="28"/>
          <w:highlight w:val="none"/>
        </w:rPr>
        <w:t>：</w:t>
      </w:r>
    </w:p>
    <w:tbl>
      <w:tblPr>
        <w:tblStyle w:val="44"/>
        <w:tblW w:w="1010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210"/>
        <w:gridCol w:w="1261"/>
        <w:gridCol w:w="4654"/>
        <w:gridCol w:w="2307"/>
      </w:tblGrid>
      <w:tr w14:paraId="54E904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44" w:type="dxa"/>
            <w:gridSpan w:val="3"/>
            <w:vAlign w:val="center"/>
          </w:tcPr>
          <w:p w14:paraId="18803C61">
            <w:pPr>
              <w:tabs>
                <w:tab w:val="left" w:pos="1875"/>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分值构成 （总分100分）</w:t>
            </w:r>
          </w:p>
        </w:tc>
        <w:tc>
          <w:tcPr>
            <w:tcW w:w="6961" w:type="dxa"/>
            <w:gridSpan w:val="2"/>
            <w:vAlign w:val="center"/>
          </w:tcPr>
          <w:p w14:paraId="16F52FE6">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1.投标报价10分</w:t>
            </w:r>
          </w:p>
          <w:p w14:paraId="35B77B3A">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2.商务部分30分</w:t>
            </w:r>
          </w:p>
          <w:p w14:paraId="1DFC04C0">
            <w:pPr>
              <w:snapToGrid w:val="0"/>
              <w:spacing w:line="400" w:lineRule="exact"/>
              <w:ind w:firstLine="420" w:firstLineChars="200"/>
              <w:rPr>
                <w:rFonts w:ascii="宋体" w:hAnsi="宋体" w:cs="宋体"/>
                <w:i/>
                <w:color w:val="auto"/>
                <w:kern w:val="0"/>
                <w:szCs w:val="21"/>
                <w:highlight w:val="none"/>
              </w:rPr>
            </w:pPr>
            <w:r>
              <w:rPr>
                <w:rFonts w:hint="eastAsia" w:ascii="宋体" w:hAnsi="宋体" w:cs="宋体"/>
                <w:color w:val="auto"/>
                <w:kern w:val="0"/>
                <w:szCs w:val="21"/>
                <w:highlight w:val="none"/>
              </w:rPr>
              <w:t>3.服务部分60分</w:t>
            </w:r>
          </w:p>
        </w:tc>
      </w:tr>
      <w:tr w14:paraId="7699A2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673" w:type="dxa"/>
            <w:vAlign w:val="center"/>
          </w:tcPr>
          <w:p w14:paraId="10C0E6AB">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序号</w:t>
            </w:r>
          </w:p>
        </w:tc>
        <w:tc>
          <w:tcPr>
            <w:tcW w:w="1210" w:type="dxa"/>
            <w:vAlign w:val="center"/>
          </w:tcPr>
          <w:p w14:paraId="249942C6">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分值</w:t>
            </w:r>
          </w:p>
        </w:tc>
        <w:tc>
          <w:tcPr>
            <w:tcW w:w="5915" w:type="dxa"/>
            <w:gridSpan w:val="2"/>
          </w:tcPr>
          <w:p w14:paraId="4FDEE6B0">
            <w:pPr>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评审标准</w:t>
            </w:r>
          </w:p>
        </w:tc>
        <w:tc>
          <w:tcPr>
            <w:tcW w:w="2307" w:type="dxa"/>
          </w:tcPr>
          <w:p w14:paraId="0E2F296E">
            <w:pPr>
              <w:tabs>
                <w:tab w:val="left" w:pos="454"/>
              </w:tabs>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说明</w:t>
            </w:r>
          </w:p>
        </w:tc>
      </w:tr>
      <w:tr w14:paraId="2679B8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18" w:hRule="atLeast"/>
          <w:jc w:val="center"/>
        </w:trPr>
        <w:tc>
          <w:tcPr>
            <w:tcW w:w="673" w:type="dxa"/>
            <w:tcBorders>
              <w:bottom w:val="single" w:color="auto" w:sz="4" w:space="0"/>
            </w:tcBorders>
            <w:vAlign w:val="center"/>
          </w:tcPr>
          <w:p w14:paraId="01E2978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1 </w:t>
            </w:r>
          </w:p>
        </w:tc>
        <w:tc>
          <w:tcPr>
            <w:tcW w:w="1210" w:type="dxa"/>
            <w:tcBorders>
              <w:bottom w:val="single" w:color="auto" w:sz="4" w:space="0"/>
            </w:tcBorders>
            <w:vAlign w:val="center"/>
          </w:tcPr>
          <w:p w14:paraId="0BD376E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1261" w:type="dxa"/>
            <w:vAlign w:val="center"/>
          </w:tcPr>
          <w:p w14:paraId="10567D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4654" w:type="dxa"/>
            <w:vAlign w:val="center"/>
          </w:tcPr>
          <w:p w14:paraId="5397AE7F">
            <w:pPr>
              <w:adjustRightInd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所有通过初步评审合格的投标人（招标人设有最高限价的，则投标报价高于最高限价的除外）的投标报价评审采用低价优先法，价格分=(评标基准价／P)×A，A为价格权重分，即10；评标基准价为“所有有效投标报价的最低者”；P为投标人有效投标报价；价格分最高得满分10分。</w:t>
            </w:r>
          </w:p>
          <w:p w14:paraId="1EAE02B2">
            <w:pPr>
              <w:pStyle w:val="41"/>
              <w:ind w:firstLine="402" w:firstLineChars="200"/>
              <w:jc w:val="both"/>
              <w:rPr>
                <w:rFonts w:cs="宋体"/>
                <w:color w:val="auto"/>
                <w:sz w:val="21"/>
                <w:szCs w:val="21"/>
                <w:highlight w:val="none"/>
              </w:rPr>
            </w:pPr>
            <w:r>
              <w:rPr>
                <w:rFonts w:hint="eastAsia"/>
                <w:b/>
                <w:bCs/>
                <w:color w:val="auto"/>
                <w:highlight w:val="none"/>
              </w:rPr>
              <w:t>注：所有计算数据及评分结果保留至小数点后两位，第三位四舍五入。</w:t>
            </w:r>
          </w:p>
        </w:tc>
        <w:tc>
          <w:tcPr>
            <w:tcW w:w="2307" w:type="dxa"/>
            <w:vAlign w:val="center"/>
          </w:tcPr>
          <w:p w14:paraId="3EBAA285">
            <w:pPr>
              <w:spacing w:line="400" w:lineRule="exact"/>
              <w:jc w:val="left"/>
              <w:rPr>
                <w:rFonts w:ascii="宋体" w:hAnsi="宋体" w:cs="宋体"/>
                <w:bCs/>
                <w:color w:val="auto"/>
                <w:szCs w:val="21"/>
                <w:highlight w:val="none"/>
              </w:rPr>
            </w:pPr>
          </w:p>
        </w:tc>
      </w:tr>
      <w:tr w14:paraId="6EA15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Merge w:val="restart"/>
            <w:tcBorders>
              <w:top w:val="single" w:color="auto" w:sz="4" w:space="0"/>
            </w:tcBorders>
            <w:vAlign w:val="center"/>
          </w:tcPr>
          <w:p w14:paraId="7221A97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10" w:type="dxa"/>
            <w:vMerge w:val="restart"/>
            <w:tcBorders>
              <w:top w:val="single" w:color="auto" w:sz="4" w:space="0"/>
            </w:tcBorders>
            <w:vAlign w:val="center"/>
          </w:tcPr>
          <w:p w14:paraId="261F0A3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pacing w:val="-4"/>
                <w:szCs w:val="21"/>
                <w:highlight w:val="none"/>
              </w:rPr>
              <w:t>（30分）</w:t>
            </w:r>
          </w:p>
        </w:tc>
        <w:tc>
          <w:tcPr>
            <w:tcW w:w="1261" w:type="dxa"/>
            <w:vMerge w:val="restart"/>
            <w:vAlign w:val="center"/>
          </w:tcPr>
          <w:p w14:paraId="49264C0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综合实力（20分）</w:t>
            </w:r>
          </w:p>
        </w:tc>
        <w:tc>
          <w:tcPr>
            <w:tcW w:w="4654" w:type="dxa"/>
            <w:vAlign w:val="center"/>
          </w:tcPr>
          <w:p w14:paraId="169E89DA">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1）酒店建设或者装修：3年内新建或者新装修得4分；4年新建或者新装修得3分；5年新建或者新装修得2分，6年新建或者新装修得1分。</w:t>
            </w:r>
          </w:p>
        </w:tc>
        <w:tc>
          <w:tcPr>
            <w:tcW w:w="2307" w:type="dxa"/>
            <w:vMerge w:val="restart"/>
            <w:vAlign w:val="center"/>
          </w:tcPr>
          <w:p w14:paraId="08CBF961">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特别提醒：</w:t>
            </w:r>
          </w:p>
          <w:p w14:paraId="662FA54C">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1）投标人提供书面装修年限承诺书</w:t>
            </w:r>
            <w:r>
              <w:rPr>
                <w:rFonts w:hint="eastAsia" w:ascii="宋体" w:hAnsi="宋体" w:cs="宋体"/>
                <w:color w:val="auto"/>
                <w:kern w:val="0"/>
                <w:szCs w:val="21"/>
                <w:highlight w:val="none"/>
              </w:rPr>
              <w:t>加盖投标单位公章</w:t>
            </w:r>
            <w:r>
              <w:rPr>
                <w:rFonts w:hint="eastAsia" w:ascii="宋体" w:hAnsi="宋体" w:cs="宋体"/>
                <w:bCs/>
                <w:color w:val="auto"/>
                <w:szCs w:val="21"/>
                <w:highlight w:val="none"/>
              </w:rPr>
              <w:t>；</w:t>
            </w:r>
          </w:p>
          <w:p w14:paraId="6A4EBDAC">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2）投标人提供停车位承诺书、现场照片、平面图、产权证或租赁合同复印件</w:t>
            </w:r>
            <w:r>
              <w:rPr>
                <w:rFonts w:hint="eastAsia" w:ascii="宋体" w:hAnsi="宋体" w:cs="宋体"/>
                <w:color w:val="auto"/>
                <w:kern w:val="0"/>
                <w:szCs w:val="21"/>
                <w:highlight w:val="none"/>
              </w:rPr>
              <w:t>加盖投标单位公章</w:t>
            </w:r>
            <w:r>
              <w:rPr>
                <w:rFonts w:hint="eastAsia" w:ascii="宋体" w:hAnsi="宋体" w:cs="宋体"/>
                <w:bCs/>
                <w:color w:val="auto"/>
                <w:szCs w:val="21"/>
                <w:highlight w:val="none"/>
              </w:rPr>
              <w:t>；</w:t>
            </w:r>
          </w:p>
          <w:p w14:paraId="3EF3EA95">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3）投标人提供相应厨师资格证书复印件</w:t>
            </w:r>
            <w:r>
              <w:rPr>
                <w:rFonts w:hint="eastAsia" w:ascii="宋体" w:hAnsi="宋体" w:cs="宋体"/>
                <w:color w:val="auto"/>
                <w:kern w:val="0"/>
                <w:szCs w:val="21"/>
                <w:highlight w:val="none"/>
              </w:rPr>
              <w:t>加盖投标单位公章</w:t>
            </w:r>
            <w:r>
              <w:rPr>
                <w:rFonts w:hint="eastAsia" w:ascii="宋体" w:hAnsi="宋体" w:cs="宋体"/>
                <w:bCs/>
                <w:color w:val="auto"/>
                <w:szCs w:val="21"/>
                <w:highlight w:val="none"/>
              </w:rPr>
              <w:t>；</w:t>
            </w:r>
          </w:p>
          <w:p w14:paraId="580B82E5">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4）服务人员提供健康证复印件</w:t>
            </w:r>
            <w:r>
              <w:rPr>
                <w:rFonts w:hint="eastAsia" w:ascii="宋体" w:hAnsi="宋体" w:cs="宋体"/>
                <w:color w:val="auto"/>
                <w:kern w:val="0"/>
                <w:szCs w:val="21"/>
                <w:highlight w:val="none"/>
              </w:rPr>
              <w:t>加盖投标单位公章</w:t>
            </w:r>
            <w:r>
              <w:rPr>
                <w:rFonts w:hint="eastAsia" w:ascii="宋体" w:hAnsi="宋体" w:cs="宋体"/>
                <w:bCs/>
                <w:color w:val="auto"/>
                <w:szCs w:val="21"/>
                <w:highlight w:val="none"/>
              </w:rPr>
              <w:t>；</w:t>
            </w:r>
          </w:p>
          <w:p w14:paraId="290C6C62">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未提供相应证明资料的不得分。</w:t>
            </w:r>
          </w:p>
          <w:p w14:paraId="2994C999">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注：投标人旗下有多个酒店场地的，仅可提供一个酒店参与评分。</w:t>
            </w:r>
          </w:p>
          <w:p w14:paraId="402CCC18">
            <w:pPr>
              <w:spacing w:line="400" w:lineRule="exact"/>
              <w:jc w:val="left"/>
              <w:rPr>
                <w:rFonts w:ascii="宋体" w:hAnsi="宋体" w:cs="宋体"/>
                <w:b/>
                <w:color w:val="auto"/>
                <w:szCs w:val="21"/>
                <w:highlight w:val="none"/>
              </w:rPr>
            </w:pPr>
            <w:r>
              <w:rPr>
                <w:rFonts w:hint="eastAsia" w:ascii="宋体" w:hAnsi="宋体" w:cs="宋体"/>
                <w:bCs/>
                <w:color w:val="auto"/>
                <w:szCs w:val="21"/>
                <w:highlight w:val="none"/>
              </w:rPr>
              <w:t>公示期间招标人有权到中标候选投标单位现场考察，若发现投标单位提供了虚假承诺，招标人将取消其中标资格并记入招标人单位黑名单。</w:t>
            </w:r>
          </w:p>
        </w:tc>
      </w:tr>
      <w:tr w14:paraId="524DB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673" w:type="dxa"/>
            <w:vMerge w:val="continue"/>
            <w:vAlign w:val="center"/>
          </w:tcPr>
          <w:p w14:paraId="081BD237">
            <w:pPr>
              <w:spacing w:line="400" w:lineRule="exact"/>
              <w:jc w:val="center"/>
              <w:rPr>
                <w:rFonts w:ascii="宋体" w:hAnsi="宋体" w:cs="宋体"/>
                <w:color w:val="auto"/>
                <w:szCs w:val="21"/>
                <w:highlight w:val="none"/>
              </w:rPr>
            </w:pPr>
          </w:p>
        </w:tc>
        <w:tc>
          <w:tcPr>
            <w:tcW w:w="1210" w:type="dxa"/>
            <w:vMerge w:val="continue"/>
            <w:vAlign w:val="center"/>
          </w:tcPr>
          <w:p w14:paraId="2711BE7F">
            <w:pPr>
              <w:spacing w:line="400" w:lineRule="exact"/>
              <w:jc w:val="center"/>
              <w:rPr>
                <w:rFonts w:ascii="宋体" w:hAnsi="宋体" w:cs="宋体"/>
                <w:color w:val="auto"/>
                <w:szCs w:val="21"/>
                <w:highlight w:val="none"/>
              </w:rPr>
            </w:pPr>
          </w:p>
        </w:tc>
        <w:tc>
          <w:tcPr>
            <w:tcW w:w="1261" w:type="dxa"/>
            <w:vMerge w:val="continue"/>
            <w:vAlign w:val="center"/>
          </w:tcPr>
          <w:p w14:paraId="743A343B">
            <w:pPr>
              <w:spacing w:line="400" w:lineRule="exact"/>
              <w:jc w:val="center"/>
              <w:rPr>
                <w:rFonts w:ascii="宋体" w:hAnsi="宋体" w:cs="宋体"/>
                <w:color w:val="auto"/>
                <w:szCs w:val="21"/>
                <w:highlight w:val="none"/>
              </w:rPr>
            </w:pPr>
          </w:p>
        </w:tc>
        <w:tc>
          <w:tcPr>
            <w:tcW w:w="4654" w:type="dxa"/>
            <w:vAlign w:val="center"/>
          </w:tcPr>
          <w:p w14:paraId="5F561978">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2）停车场车位数：具备50个车位得1分，50-100个（不含）车位得2分，100-150个（不含）车位得3分，150个及以上车位得4分，不足50个得0分。</w:t>
            </w:r>
          </w:p>
        </w:tc>
        <w:tc>
          <w:tcPr>
            <w:tcW w:w="2307" w:type="dxa"/>
            <w:vMerge w:val="continue"/>
            <w:vAlign w:val="center"/>
          </w:tcPr>
          <w:p w14:paraId="1340379E">
            <w:pPr>
              <w:spacing w:line="400" w:lineRule="exact"/>
              <w:ind w:firstLine="420" w:firstLineChars="200"/>
              <w:rPr>
                <w:rFonts w:ascii="宋体" w:hAnsi="宋体" w:cs="宋体"/>
                <w:snapToGrid w:val="0"/>
                <w:color w:val="auto"/>
                <w:kern w:val="0"/>
                <w:szCs w:val="21"/>
                <w:highlight w:val="none"/>
              </w:rPr>
            </w:pPr>
          </w:p>
        </w:tc>
      </w:tr>
      <w:tr w14:paraId="2C5F8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673" w:type="dxa"/>
            <w:vMerge w:val="continue"/>
            <w:vAlign w:val="center"/>
          </w:tcPr>
          <w:p w14:paraId="4E0200AE">
            <w:pPr>
              <w:spacing w:line="400" w:lineRule="exact"/>
              <w:ind w:firstLine="420" w:firstLineChars="200"/>
              <w:jc w:val="left"/>
              <w:rPr>
                <w:rFonts w:ascii="宋体" w:hAnsi="宋体" w:cs="宋体"/>
                <w:color w:val="auto"/>
                <w:szCs w:val="21"/>
                <w:highlight w:val="none"/>
              </w:rPr>
            </w:pPr>
          </w:p>
        </w:tc>
        <w:tc>
          <w:tcPr>
            <w:tcW w:w="1210" w:type="dxa"/>
            <w:vMerge w:val="continue"/>
            <w:vAlign w:val="center"/>
          </w:tcPr>
          <w:p w14:paraId="3D001406">
            <w:pPr>
              <w:spacing w:line="400" w:lineRule="exact"/>
              <w:ind w:firstLine="420" w:firstLineChars="200"/>
              <w:jc w:val="left"/>
              <w:rPr>
                <w:rFonts w:ascii="宋体" w:hAnsi="宋体" w:cs="宋体"/>
                <w:color w:val="auto"/>
                <w:szCs w:val="21"/>
                <w:highlight w:val="none"/>
              </w:rPr>
            </w:pPr>
          </w:p>
        </w:tc>
        <w:tc>
          <w:tcPr>
            <w:tcW w:w="1261" w:type="dxa"/>
            <w:vMerge w:val="continue"/>
            <w:vAlign w:val="center"/>
          </w:tcPr>
          <w:p w14:paraId="32C7FA40">
            <w:pPr>
              <w:spacing w:line="400" w:lineRule="exact"/>
              <w:ind w:firstLine="420" w:firstLineChars="200"/>
              <w:jc w:val="left"/>
              <w:rPr>
                <w:rFonts w:ascii="宋体" w:hAnsi="宋体" w:cs="宋体"/>
                <w:color w:val="auto"/>
                <w:szCs w:val="21"/>
                <w:highlight w:val="none"/>
              </w:rPr>
            </w:pPr>
          </w:p>
        </w:tc>
        <w:tc>
          <w:tcPr>
            <w:tcW w:w="4654" w:type="dxa"/>
            <w:vAlign w:val="center"/>
          </w:tcPr>
          <w:p w14:paraId="4E1BAC15">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3）酒店可提供服务人员:酒店提供的具备相应厨师资格证书的厨师人数不少于5人，在5人基础上每增加一人得1分，最多得5分； </w:t>
            </w:r>
          </w:p>
        </w:tc>
        <w:tc>
          <w:tcPr>
            <w:tcW w:w="2307" w:type="dxa"/>
            <w:vMerge w:val="continue"/>
            <w:vAlign w:val="center"/>
          </w:tcPr>
          <w:p w14:paraId="6A324813">
            <w:pPr>
              <w:spacing w:line="400" w:lineRule="exact"/>
              <w:ind w:firstLine="420" w:firstLineChars="200"/>
              <w:jc w:val="left"/>
              <w:rPr>
                <w:rFonts w:ascii="宋体" w:hAnsi="宋体" w:cs="宋体"/>
                <w:bCs/>
                <w:color w:val="auto"/>
                <w:szCs w:val="21"/>
                <w:highlight w:val="none"/>
              </w:rPr>
            </w:pPr>
          </w:p>
        </w:tc>
      </w:tr>
      <w:tr w14:paraId="391816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673" w:type="dxa"/>
            <w:vMerge w:val="continue"/>
            <w:vAlign w:val="center"/>
          </w:tcPr>
          <w:p w14:paraId="7A0AA5F7">
            <w:pPr>
              <w:spacing w:line="400" w:lineRule="exact"/>
              <w:ind w:firstLine="420" w:firstLineChars="200"/>
              <w:jc w:val="left"/>
              <w:rPr>
                <w:rFonts w:ascii="宋体" w:hAnsi="宋体" w:cs="宋体"/>
                <w:color w:val="auto"/>
                <w:szCs w:val="21"/>
                <w:highlight w:val="none"/>
              </w:rPr>
            </w:pPr>
          </w:p>
        </w:tc>
        <w:tc>
          <w:tcPr>
            <w:tcW w:w="1210" w:type="dxa"/>
            <w:vMerge w:val="continue"/>
            <w:vAlign w:val="center"/>
          </w:tcPr>
          <w:p w14:paraId="66565408">
            <w:pPr>
              <w:spacing w:line="400" w:lineRule="exact"/>
              <w:ind w:firstLine="420" w:firstLineChars="200"/>
              <w:jc w:val="left"/>
              <w:rPr>
                <w:rFonts w:ascii="宋体" w:hAnsi="宋体" w:cs="宋体"/>
                <w:color w:val="auto"/>
                <w:szCs w:val="21"/>
                <w:highlight w:val="none"/>
              </w:rPr>
            </w:pPr>
          </w:p>
        </w:tc>
        <w:tc>
          <w:tcPr>
            <w:tcW w:w="1261" w:type="dxa"/>
            <w:vMerge w:val="continue"/>
            <w:vAlign w:val="center"/>
          </w:tcPr>
          <w:p w14:paraId="683052D7">
            <w:pPr>
              <w:spacing w:line="400" w:lineRule="exact"/>
              <w:ind w:firstLine="420" w:firstLineChars="200"/>
              <w:jc w:val="left"/>
              <w:rPr>
                <w:rFonts w:ascii="宋体" w:hAnsi="宋体" w:cs="宋体"/>
                <w:color w:val="auto"/>
                <w:szCs w:val="21"/>
                <w:highlight w:val="none"/>
              </w:rPr>
            </w:pPr>
          </w:p>
        </w:tc>
        <w:tc>
          <w:tcPr>
            <w:tcW w:w="4654" w:type="dxa"/>
            <w:vAlign w:val="center"/>
          </w:tcPr>
          <w:p w14:paraId="1DEA4334">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4、为本项目提供的具备健康证的餐饮服务人员不低于10人，在10人基础上每增加一人得0.5分，最多得3分。</w:t>
            </w:r>
          </w:p>
        </w:tc>
        <w:tc>
          <w:tcPr>
            <w:tcW w:w="2307" w:type="dxa"/>
            <w:vMerge w:val="continue"/>
            <w:vAlign w:val="center"/>
          </w:tcPr>
          <w:p w14:paraId="309C3C86">
            <w:pPr>
              <w:spacing w:line="400" w:lineRule="exact"/>
              <w:ind w:firstLine="420" w:firstLineChars="200"/>
              <w:jc w:val="left"/>
              <w:rPr>
                <w:rFonts w:ascii="宋体" w:hAnsi="宋体" w:cs="宋体"/>
                <w:bCs/>
                <w:color w:val="auto"/>
                <w:szCs w:val="21"/>
                <w:highlight w:val="none"/>
              </w:rPr>
            </w:pPr>
          </w:p>
        </w:tc>
      </w:tr>
      <w:tr w14:paraId="74A54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6" w:hRule="atLeast"/>
          <w:jc w:val="center"/>
        </w:trPr>
        <w:tc>
          <w:tcPr>
            <w:tcW w:w="673" w:type="dxa"/>
            <w:vMerge w:val="continue"/>
            <w:vAlign w:val="center"/>
          </w:tcPr>
          <w:p w14:paraId="71248957">
            <w:pPr>
              <w:spacing w:line="400" w:lineRule="exact"/>
              <w:jc w:val="center"/>
              <w:rPr>
                <w:rFonts w:ascii="宋体" w:hAnsi="宋体" w:cs="宋体"/>
                <w:color w:val="auto"/>
                <w:szCs w:val="21"/>
                <w:highlight w:val="none"/>
              </w:rPr>
            </w:pPr>
          </w:p>
        </w:tc>
        <w:tc>
          <w:tcPr>
            <w:tcW w:w="1210" w:type="dxa"/>
            <w:vMerge w:val="continue"/>
            <w:vAlign w:val="center"/>
          </w:tcPr>
          <w:p w14:paraId="4124F141">
            <w:pPr>
              <w:spacing w:line="400" w:lineRule="exact"/>
              <w:jc w:val="center"/>
              <w:rPr>
                <w:rFonts w:ascii="宋体" w:hAnsi="宋体" w:cs="宋体"/>
                <w:color w:val="auto"/>
                <w:szCs w:val="21"/>
                <w:highlight w:val="none"/>
              </w:rPr>
            </w:pPr>
          </w:p>
        </w:tc>
        <w:tc>
          <w:tcPr>
            <w:tcW w:w="1261" w:type="dxa"/>
            <w:vMerge w:val="continue"/>
            <w:vAlign w:val="center"/>
          </w:tcPr>
          <w:p w14:paraId="3AFA6B48">
            <w:pPr>
              <w:spacing w:line="400" w:lineRule="exact"/>
              <w:jc w:val="center"/>
              <w:rPr>
                <w:rFonts w:ascii="宋体" w:hAnsi="宋体" w:cs="宋体"/>
                <w:color w:val="auto"/>
                <w:szCs w:val="21"/>
                <w:highlight w:val="none"/>
              </w:rPr>
            </w:pPr>
          </w:p>
        </w:tc>
        <w:tc>
          <w:tcPr>
            <w:tcW w:w="4654" w:type="dxa"/>
            <w:vAlign w:val="center"/>
          </w:tcPr>
          <w:p w14:paraId="248386C1">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5、会议室：</w:t>
            </w:r>
          </w:p>
          <w:p w14:paraId="1BD2E2C6">
            <w:pPr>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具有1个100-199平米的会议室得1分；200-299平米的会议室得2分；具有1个能容纳300-399平米的会议室得3分；具有1个能容纳400平米及以上的会议室得4分；不满足得0分。</w:t>
            </w:r>
          </w:p>
        </w:tc>
        <w:tc>
          <w:tcPr>
            <w:tcW w:w="2307" w:type="dxa"/>
            <w:vMerge w:val="continue"/>
            <w:vAlign w:val="center"/>
          </w:tcPr>
          <w:p w14:paraId="23CDB9D6">
            <w:pPr>
              <w:spacing w:line="400" w:lineRule="exact"/>
              <w:ind w:firstLine="420" w:firstLineChars="200"/>
              <w:rPr>
                <w:rFonts w:ascii="宋体" w:hAnsi="宋体" w:cs="宋体"/>
                <w:color w:val="auto"/>
                <w:kern w:val="0"/>
                <w:szCs w:val="21"/>
                <w:highlight w:val="none"/>
              </w:rPr>
            </w:pPr>
          </w:p>
        </w:tc>
      </w:tr>
      <w:tr w14:paraId="3CA81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Merge w:val="continue"/>
            <w:vAlign w:val="center"/>
          </w:tcPr>
          <w:p w14:paraId="737C210C">
            <w:pPr>
              <w:spacing w:line="400" w:lineRule="exact"/>
              <w:jc w:val="center"/>
              <w:rPr>
                <w:rFonts w:ascii="宋体" w:hAnsi="宋体" w:cs="宋体"/>
                <w:color w:val="auto"/>
                <w:szCs w:val="21"/>
                <w:highlight w:val="none"/>
              </w:rPr>
            </w:pPr>
          </w:p>
        </w:tc>
        <w:tc>
          <w:tcPr>
            <w:tcW w:w="1210" w:type="dxa"/>
            <w:vMerge w:val="continue"/>
            <w:vAlign w:val="center"/>
          </w:tcPr>
          <w:p w14:paraId="178EF405">
            <w:pPr>
              <w:spacing w:line="400" w:lineRule="exact"/>
              <w:jc w:val="center"/>
              <w:rPr>
                <w:rFonts w:ascii="宋体" w:hAnsi="宋体" w:cs="宋体"/>
                <w:color w:val="auto"/>
                <w:szCs w:val="21"/>
                <w:highlight w:val="none"/>
              </w:rPr>
            </w:pPr>
          </w:p>
        </w:tc>
        <w:tc>
          <w:tcPr>
            <w:tcW w:w="1261" w:type="dxa"/>
            <w:vAlign w:val="center"/>
          </w:tcPr>
          <w:p w14:paraId="7E9AF4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类似业绩（10分）</w:t>
            </w:r>
          </w:p>
        </w:tc>
        <w:tc>
          <w:tcPr>
            <w:tcW w:w="4654" w:type="dxa"/>
            <w:vAlign w:val="center"/>
          </w:tcPr>
          <w:p w14:paraId="604091BB">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投标人在2020年1月1日至投标截止日止（以合同签订日期为准）具有酒店客户活动类似业绩，每有1个业绩得2分，最多得10分。</w:t>
            </w:r>
            <w:r>
              <w:rPr>
                <w:rFonts w:hint="eastAsia" w:ascii="宋体" w:hAnsi="宋体" w:cs="宋体"/>
                <w:b/>
                <w:bCs/>
                <w:color w:val="auto"/>
                <w:szCs w:val="21"/>
                <w:highlight w:val="none"/>
              </w:rPr>
              <w:t>（提供合同复印件盖投标人单位公章，原件备查；投标公司使用子母或控股公司、关联企业的业绩不予计分）</w:t>
            </w:r>
          </w:p>
        </w:tc>
        <w:tc>
          <w:tcPr>
            <w:tcW w:w="2307" w:type="dxa"/>
            <w:vAlign w:val="center"/>
          </w:tcPr>
          <w:p w14:paraId="77FD2D66">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提供业绩协议书或合同复印件加盖投标单位公章。</w:t>
            </w:r>
          </w:p>
        </w:tc>
      </w:tr>
      <w:tr w14:paraId="41A71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73" w:type="dxa"/>
            <w:vMerge w:val="restart"/>
            <w:vAlign w:val="center"/>
          </w:tcPr>
          <w:p w14:paraId="3BDA4C8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10" w:type="dxa"/>
            <w:vMerge w:val="restart"/>
            <w:vAlign w:val="center"/>
          </w:tcPr>
          <w:p w14:paraId="3538F42C">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服务部分</w:t>
            </w:r>
            <w:r>
              <w:rPr>
                <w:rFonts w:hint="eastAsia" w:ascii="宋体" w:hAnsi="宋体" w:cs="宋体"/>
                <w:color w:val="auto"/>
                <w:spacing w:val="-4"/>
                <w:szCs w:val="21"/>
                <w:highlight w:val="none"/>
              </w:rPr>
              <w:t>（60分）</w:t>
            </w:r>
          </w:p>
        </w:tc>
        <w:tc>
          <w:tcPr>
            <w:tcW w:w="1261" w:type="dxa"/>
            <w:vAlign w:val="center"/>
          </w:tcPr>
          <w:p w14:paraId="40E35090">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1、优惠服务（5分）</w:t>
            </w:r>
          </w:p>
        </w:tc>
        <w:tc>
          <w:tcPr>
            <w:tcW w:w="4654" w:type="dxa"/>
            <w:vAlign w:val="center"/>
          </w:tcPr>
          <w:p w14:paraId="3EA3F11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根据投标人提供的具有实质意义的优惠条款的，每一条可得1分，最高得5分。 </w:t>
            </w:r>
          </w:p>
        </w:tc>
        <w:tc>
          <w:tcPr>
            <w:tcW w:w="2307" w:type="dxa"/>
            <w:vMerge w:val="restart"/>
            <w:vAlign w:val="center"/>
          </w:tcPr>
          <w:p w14:paraId="20B5F0C5">
            <w:pPr>
              <w:spacing w:line="400" w:lineRule="exact"/>
              <w:rPr>
                <w:rFonts w:ascii="宋体" w:hAnsi="宋体" w:cs="宋体"/>
                <w:color w:val="auto"/>
                <w:kern w:val="0"/>
                <w:szCs w:val="21"/>
                <w:highlight w:val="none"/>
              </w:rPr>
            </w:pPr>
          </w:p>
          <w:p w14:paraId="5B90BCED">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所有评委打分后取算术平均值作为该投标人服务方案得分。 评分分值计算保留小数点后两位，小数点后第三位四舍五入。</w:t>
            </w:r>
          </w:p>
        </w:tc>
      </w:tr>
      <w:tr w14:paraId="78E121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673" w:type="dxa"/>
            <w:vMerge w:val="continue"/>
            <w:vAlign w:val="center"/>
          </w:tcPr>
          <w:p w14:paraId="7E3F56C3">
            <w:pPr>
              <w:spacing w:line="400" w:lineRule="exact"/>
              <w:jc w:val="center"/>
              <w:rPr>
                <w:rFonts w:ascii="宋体" w:hAnsi="宋体" w:cs="宋体"/>
                <w:color w:val="auto"/>
                <w:szCs w:val="21"/>
                <w:highlight w:val="none"/>
              </w:rPr>
            </w:pPr>
          </w:p>
        </w:tc>
        <w:tc>
          <w:tcPr>
            <w:tcW w:w="1210" w:type="dxa"/>
            <w:vMerge w:val="continue"/>
            <w:vAlign w:val="center"/>
          </w:tcPr>
          <w:p w14:paraId="68607229">
            <w:pPr>
              <w:spacing w:line="400" w:lineRule="exact"/>
              <w:jc w:val="center"/>
              <w:rPr>
                <w:rFonts w:ascii="宋体" w:hAnsi="宋体" w:cs="宋体"/>
                <w:color w:val="auto"/>
                <w:kern w:val="0"/>
                <w:szCs w:val="21"/>
                <w:highlight w:val="none"/>
              </w:rPr>
            </w:pPr>
          </w:p>
        </w:tc>
        <w:tc>
          <w:tcPr>
            <w:tcW w:w="1261" w:type="dxa"/>
            <w:vAlign w:val="center"/>
          </w:tcPr>
          <w:p w14:paraId="632A2809">
            <w:pPr>
              <w:spacing w:line="400" w:lineRule="exact"/>
              <w:rPr>
                <w:rFonts w:ascii="宋体" w:hAnsi="宋体" w:cs="宋体"/>
                <w:color w:val="auto"/>
                <w:szCs w:val="21"/>
                <w:highlight w:val="none"/>
              </w:rPr>
            </w:pPr>
            <w:r>
              <w:rPr>
                <w:rFonts w:hint="eastAsia" w:ascii="宋体" w:hAnsi="宋体" w:cs="宋体"/>
                <w:color w:val="auto"/>
                <w:szCs w:val="21"/>
                <w:highlight w:val="none"/>
              </w:rPr>
              <w:t>2、用餐服务（10分）</w:t>
            </w:r>
          </w:p>
        </w:tc>
        <w:tc>
          <w:tcPr>
            <w:tcW w:w="4654" w:type="dxa"/>
            <w:vAlign w:val="center"/>
          </w:tcPr>
          <w:p w14:paraId="729A80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根据提供的菜品清单搭配方案、服务人员安排方案、餐厅使用方案、用餐时段安排方案、卫生保障方案科学合理可行的得7（不含）-10分，基本满足的得3（不含）-7分，有部分不能满足的得0-3分，不提供不得分。</w:t>
            </w:r>
          </w:p>
        </w:tc>
        <w:tc>
          <w:tcPr>
            <w:tcW w:w="2307" w:type="dxa"/>
            <w:vMerge w:val="continue"/>
            <w:vAlign w:val="center"/>
          </w:tcPr>
          <w:p w14:paraId="71FA631A">
            <w:pPr>
              <w:spacing w:line="400" w:lineRule="exact"/>
              <w:ind w:firstLine="420" w:firstLineChars="200"/>
              <w:rPr>
                <w:rFonts w:ascii="宋体" w:hAnsi="宋体" w:cs="宋体"/>
                <w:color w:val="auto"/>
                <w:szCs w:val="21"/>
                <w:highlight w:val="none"/>
              </w:rPr>
            </w:pPr>
          </w:p>
        </w:tc>
      </w:tr>
      <w:tr w14:paraId="30BB97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673" w:type="dxa"/>
            <w:vMerge w:val="continue"/>
            <w:vAlign w:val="center"/>
          </w:tcPr>
          <w:p w14:paraId="52CE4768">
            <w:pPr>
              <w:spacing w:line="400" w:lineRule="exact"/>
              <w:jc w:val="center"/>
              <w:rPr>
                <w:rFonts w:ascii="宋体" w:hAnsi="宋体" w:cs="宋体"/>
                <w:color w:val="auto"/>
                <w:szCs w:val="21"/>
                <w:highlight w:val="none"/>
              </w:rPr>
            </w:pPr>
          </w:p>
        </w:tc>
        <w:tc>
          <w:tcPr>
            <w:tcW w:w="1210" w:type="dxa"/>
            <w:vMerge w:val="continue"/>
            <w:vAlign w:val="center"/>
          </w:tcPr>
          <w:p w14:paraId="1AE5F241">
            <w:pPr>
              <w:spacing w:line="400" w:lineRule="exact"/>
              <w:jc w:val="center"/>
              <w:rPr>
                <w:rFonts w:ascii="宋体" w:hAnsi="宋体" w:cs="宋体"/>
                <w:color w:val="auto"/>
                <w:kern w:val="0"/>
                <w:szCs w:val="21"/>
                <w:highlight w:val="none"/>
              </w:rPr>
            </w:pPr>
          </w:p>
        </w:tc>
        <w:tc>
          <w:tcPr>
            <w:tcW w:w="1261" w:type="dxa"/>
            <w:vAlign w:val="center"/>
          </w:tcPr>
          <w:p w14:paraId="1308F91D">
            <w:pPr>
              <w:spacing w:line="400" w:lineRule="exact"/>
              <w:rPr>
                <w:rFonts w:ascii="宋体" w:hAnsi="宋体" w:cs="宋体"/>
                <w:bCs/>
                <w:color w:val="auto"/>
                <w:kern w:val="0"/>
                <w:szCs w:val="21"/>
                <w:highlight w:val="none"/>
              </w:rPr>
            </w:pPr>
            <w:r>
              <w:rPr>
                <w:rFonts w:hint="eastAsia" w:ascii="宋体" w:hAnsi="宋体" w:cs="宋体"/>
                <w:bCs/>
                <w:color w:val="auto"/>
                <w:szCs w:val="21"/>
                <w:highlight w:val="none"/>
              </w:rPr>
              <w:t>3、餐饮服务（15分）</w:t>
            </w:r>
          </w:p>
        </w:tc>
        <w:tc>
          <w:tcPr>
            <w:tcW w:w="4654" w:type="dxa"/>
            <w:vAlign w:val="center"/>
          </w:tcPr>
          <w:p w14:paraId="7B01BAFD">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根据提供的餐饮服务的菜品规模、数量及其质量等进行横向对比评审，优得10（不含）-15分，一般得5（不含）-10分，差得1-5分，不提供不得分。</w:t>
            </w:r>
          </w:p>
        </w:tc>
        <w:tc>
          <w:tcPr>
            <w:tcW w:w="2307" w:type="dxa"/>
            <w:vMerge w:val="restart"/>
            <w:vAlign w:val="center"/>
          </w:tcPr>
          <w:p w14:paraId="740D120F">
            <w:pPr>
              <w:spacing w:line="400" w:lineRule="exact"/>
              <w:ind w:firstLine="420" w:firstLineChars="200"/>
              <w:rPr>
                <w:rFonts w:ascii="宋体" w:hAnsi="宋体" w:cs="宋体"/>
                <w:color w:val="auto"/>
                <w:szCs w:val="21"/>
                <w:highlight w:val="none"/>
              </w:rPr>
            </w:pPr>
          </w:p>
        </w:tc>
      </w:tr>
      <w:tr w14:paraId="5DAF2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673" w:type="dxa"/>
            <w:vMerge w:val="continue"/>
            <w:vAlign w:val="center"/>
          </w:tcPr>
          <w:p w14:paraId="0F4225E7">
            <w:pPr>
              <w:spacing w:line="400" w:lineRule="exact"/>
              <w:jc w:val="center"/>
              <w:rPr>
                <w:rFonts w:ascii="宋体" w:hAnsi="宋体" w:cs="宋体"/>
                <w:color w:val="auto"/>
                <w:szCs w:val="21"/>
                <w:highlight w:val="none"/>
              </w:rPr>
            </w:pPr>
          </w:p>
        </w:tc>
        <w:tc>
          <w:tcPr>
            <w:tcW w:w="1210" w:type="dxa"/>
            <w:vMerge w:val="continue"/>
            <w:vAlign w:val="center"/>
          </w:tcPr>
          <w:p w14:paraId="787C4E26">
            <w:pPr>
              <w:spacing w:line="400" w:lineRule="exact"/>
              <w:jc w:val="center"/>
              <w:rPr>
                <w:rFonts w:ascii="宋体" w:hAnsi="宋体" w:cs="宋体"/>
                <w:color w:val="auto"/>
                <w:kern w:val="0"/>
                <w:szCs w:val="21"/>
                <w:highlight w:val="none"/>
              </w:rPr>
            </w:pPr>
          </w:p>
        </w:tc>
        <w:tc>
          <w:tcPr>
            <w:tcW w:w="1261" w:type="dxa"/>
            <w:vAlign w:val="center"/>
          </w:tcPr>
          <w:p w14:paraId="600450DC">
            <w:pPr>
              <w:spacing w:line="400" w:lineRule="exact"/>
              <w:rPr>
                <w:rFonts w:ascii="宋体" w:hAnsi="宋体" w:cs="宋体"/>
                <w:bCs/>
                <w:color w:val="auto"/>
                <w:kern w:val="0"/>
                <w:szCs w:val="21"/>
                <w:highlight w:val="none"/>
              </w:rPr>
            </w:pPr>
            <w:r>
              <w:rPr>
                <w:rFonts w:hint="eastAsia" w:ascii="宋体" w:hAnsi="宋体" w:cs="宋体"/>
                <w:bCs/>
                <w:color w:val="auto"/>
                <w:szCs w:val="21"/>
                <w:highlight w:val="none"/>
              </w:rPr>
              <w:t>4、会场服务（10分）</w:t>
            </w:r>
          </w:p>
        </w:tc>
        <w:tc>
          <w:tcPr>
            <w:tcW w:w="4654" w:type="dxa"/>
            <w:vAlign w:val="center"/>
          </w:tcPr>
          <w:p w14:paraId="7D9CB36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根据提供的会场服务的规模、数量及其配套设施进行评审，配套设施齐全且免费提供LED屏的得7（不含）-10分，配套设施齐全的得3（不含）-7分，基本满足的得0-3，不提供不得分。</w:t>
            </w:r>
          </w:p>
        </w:tc>
        <w:tc>
          <w:tcPr>
            <w:tcW w:w="2307" w:type="dxa"/>
            <w:vMerge w:val="continue"/>
            <w:vAlign w:val="center"/>
          </w:tcPr>
          <w:p w14:paraId="611989F7">
            <w:pPr>
              <w:spacing w:line="400" w:lineRule="exact"/>
              <w:ind w:firstLine="420" w:firstLineChars="200"/>
              <w:rPr>
                <w:rFonts w:ascii="宋体" w:hAnsi="宋体" w:cs="宋体"/>
                <w:color w:val="auto"/>
                <w:szCs w:val="21"/>
                <w:highlight w:val="none"/>
              </w:rPr>
            </w:pPr>
          </w:p>
        </w:tc>
      </w:tr>
      <w:tr w14:paraId="4108C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80" w:hRule="atLeast"/>
          <w:jc w:val="center"/>
        </w:trPr>
        <w:tc>
          <w:tcPr>
            <w:tcW w:w="673" w:type="dxa"/>
            <w:vMerge w:val="continue"/>
            <w:vAlign w:val="center"/>
          </w:tcPr>
          <w:p w14:paraId="441B9B7B">
            <w:pPr>
              <w:spacing w:line="400" w:lineRule="exact"/>
              <w:jc w:val="center"/>
              <w:rPr>
                <w:rFonts w:ascii="宋体" w:hAnsi="宋体" w:cs="宋体"/>
                <w:color w:val="auto"/>
                <w:szCs w:val="21"/>
                <w:highlight w:val="none"/>
              </w:rPr>
            </w:pPr>
          </w:p>
        </w:tc>
        <w:tc>
          <w:tcPr>
            <w:tcW w:w="1210" w:type="dxa"/>
            <w:vMerge w:val="continue"/>
            <w:vAlign w:val="center"/>
          </w:tcPr>
          <w:p w14:paraId="47E2777C">
            <w:pPr>
              <w:spacing w:line="400" w:lineRule="exact"/>
              <w:jc w:val="center"/>
              <w:rPr>
                <w:rFonts w:ascii="宋体" w:hAnsi="宋体" w:cs="宋体"/>
                <w:color w:val="auto"/>
                <w:kern w:val="0"/>
                <w:szCs w:val="21"/>
                <w:highlight w:val="none"/>
              </w:rPr>
            </w:pPr>
          </w:p>
        </w:tc>
        <w:tc>
          <w:tcPr>
            <w:tcW w:w="1261" w:type="dxa"/>
            <w:vAlign w:val="center"/>
          </w:tcPr>
          <w:p w14:paraId="11AD37A3">
            <w:pPr>
              <w:spacing w:line="400" w:lineRule="exact"/>
              <w:rPr>
                <w:rFonts w:ascii="宋体" w:hAnsi="宋体" w:cs="宋体"/>
                <w:bCs/>
                <w:color w:val="auto"/>
                <w:kern w:val="0"/>
                <w:szCs w:val="21"/>
                <w:highlight w:val="none"/>
              </w:rPr>
            </w:pPr>
            <w:r>
              <w:rPr>
                <w:rFonts w:hint="eastAsia" w:ascii="宋体" w:hAnsi="宋体" w:cs="宋体"/>
                <w:bCs/>
                <w:color w:val="auto"/>
                <w:szCs w:val="21"/>
                <w:highlight w:val="none"/>
              </w:rPr>
              <w:t>5、服务方案（20分）</w:t>
            </w:r>
          </w:p>
        </w:tc>
        <w:tc>
          <w:tcPr>
            <w:tcW w:w="4654" w:type="dxa"/>
            <w:vAlign w:val="center"/>
          </w:tcPr>
          <w:p w14:paraId="1CFC85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各类岗位工作责任、管理维护运作制度及标准、管理人员考核培训制度及标准、紧急（突发）事件处理方案，以及对该项目各项管理服务质量指标的承诺方案。优得7（不含）-10分，一般得3（不含）-7分，差得0-3分，不提供不得分。</w:t>
            </w:r>
          </w:p>
          <w:p w14:paraId="60AB8E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各供应商根据自身特点结合本项目做出客户活动响应方案，展现供应商的优势。方案新颖、独特、科学合理，优得7（不含）-10分，一般得3（不含）-7分，差得0-3分，不提供不得分。</w:t>
            </w:r>
          </w:p>
        </w:tc>
        <w:tc>
          <w:tcPr>
            <w:tcW w:w="2307" w:type="dxa"/>
            <w:vMerge w:val="continue"/>
            <w:vAlign w:val="center"/>
          </w:tcPr>
          <w:p w14:paraId="1383D75D">
            <w:pPr>
              <w:spacing w:line="400" w:lineRule="exact"/>
              <w:ind w:firstLine="420" w:firstLineChars="200"/>
              <w:rPr>
                <w:rFonts w:ascii="宋体" w:hAnsi="宋体" w:cs="宋体"/>
                <w:color w:val="auto"/>
                <w:szCs w:val="21"/>
                <w:highlight w:val="none"/>
              </w:rPr>
            </w:pPr>
          </w:p>
        </w:tc>
      </w:tr>
    </w:tbl>
    <w:p w14:paraId="5CCA1544">
      <w:pPr>
        <w:pStyle w:val="3"/>
        <w:spacing w:before="140" w:after="140" w:line="360" w:lineRule="auto"/>
        <w:rPr>
          <w:rFonts w:ascii="微软简仿宋" w:eastAsia="微软简仿宋"/>
          <w:color w:val="auto"/>
          <w:sz w:val="28"/>
          <w:szCs w:val="28"/>
          <w:highlight w:val="none"/>
        </w:rPr>
      </w:pPr>
      <w:bookmarkStart w:id="267" w:name="_Toc22625"/>
      <w:r>
        <w:rPr>
          <w:rFonts w:hint="eastAsia" w:ascii="宋体" w:hAnsi="宋体" w:cs="宋体"/>
          <w:color w:val="auto"/>
          <w:sz w:val="28"/>
          <w:szCs w:val="28"/>
          <w:highlight w:val="none"/>
        </w:rPr>
        <w:t>标包二会展服务供应商评标办法表</w:t>
      </w:r>
      <w:bookmarkEnd w:id="267"/>
      <w:r>
        <w:rPr>
          <w:rFonts w:hint="eastAsia" w:ascii="宋体" w:hAnsi="宋体" w:cs="宋体"/>
          <w:color w:val="auto"/>
          <w:sz w:val="28"/>
          <w:szCs w:val="28"/>
          <w:highlight w:val="none"/>
        </w:rPr>
        <w:t>：</w:t>
      </w:r>
    </w:p>
    <w:tbl>
      <w:tblPr>
        <w:tblStyle w:val="44"/>
        <w:tblW w:w="998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009"/>
        <w:gridCol w:w="1284"/>
        <w:gridCol w:w="4682"/>
        <w:gridCol w:w="2156"/>
      </w:tblGrid>
      <w:tr w14:paraId="0A991E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44" w:type="dxa"/>
            <w:gridSpan w:val="3"/>
            <w:vAlign w:val="center"/>
          </w:tcPr>
          <w:p w14:paraId="14FB33D2">
            <w:pPr>
              <w:tabs>
                <w:tab w:val="left" w:pos="1875"/>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分值构成 （总分100分）</w:t>
            </w:r>
          </w:p>
        </w:tc>
        <w:tc>
          <w:tcPr>
            <w:tcW w:w="6838" w:type="dxa"/>
            <w:gridSpan w:val="2"/>
            <w:vAlign w:val="center"/>
          </w:tcPr>
          <w:p w14:paraId="1FF94936">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1.投标报价10分</w:t>
            </w:r>
          </w:p>
          <w:p w14:paraId="735162A2">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2.商务部分30分</w:t>
            </w:r>
          </w:p>
          <w:p w14:paraId="43C00418">
            <w:pPr>
              <w:snapToGrid w:val="0"/>
              <w:spacing w:line="400" w:lineRule="exact"/>
              <w:ind w:firstLine="420" w:firstLineChars="200"/>
              <w:rPr>
                <w:rFonts w:ascii="宋体" w:hAnsi="宋体" w:cs="宋体"/>
                <w:i/>
                <w:color w:val="auto"/>
                <w:kern w:val="0"/>
                <w:szCs w:val="21"/>
                <w:highlight w:val="none"/>
              </w:rPr>
            </w:pPr>
            <w:r>
              <w:rPr>
                <w:rFonts w:hint="eastAsia" w:ascii="宋体" w:hAnsi="宋体" w:cs="宋体"/>
                <w:color w:val="auto"/>
                <w:kern w:val="0"/>
                <w:szCs w:val="21"/>
                <w:highlight w:val="none"/>
              </w:rPr>
              <w:t>3.服务部分60分</w:t>
            </w:r>
          </w:p>
        </w:tc>
      </w:tr>
      <w:tr w14:paraId="30888F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A0DAF2F">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序号</w:t>
            </w:r>
          </w:p>
        </w:tc>
        <w:tc>
          <w:tcPr>
            <w:tcW w:w="1009" w:type="dxa"/>
            <w:vAlign w:val="center"/>
          </w:tcPr>
          <w:p w14:paraId="6BDA68BD">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分值</w:t>
            </w:r>
          </w:p>
        </w:tc>
        <w:tc>
          <w:tcPr>
            <w:tcW w:w="5966" w:type="dxa"/>
            <w:gridSpan w:val="2"/>
          </w:tcPr>
          <w:p w14:paraId="695E8DF7">
            <w:pPr>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评审标准</w:t>
            </w:r>
          </w:p>
        </w:tc>
        <w:tc>
          <w:tcPr>
            <w:tcW w:w="2156" w:type="dxa"/>
          </w:tcPr>
          <w:p w14:paraId="18398801">
            <w:pPr>
              <w:tabs>
                <w:tab w:val="left" w:pos="454"/>
              </w:tabs>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说明</w:t>
            </w:r>
          </w:p>
        </w:tc>
      </w:tr>
      <w:tr w14:paraId="19A060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14:paraId="7FC79C4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09" w:type="dxa"/>
            <w:vAlign w:val="center"/>
          </w:tcPr>
          <w:p w14:paraId="3B58EB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1284" w:type="dxa"/>
            <w:vAlign w:val="center"/>
          </w:tcPr>
          <w:p w14:paraId="2332051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4682" w:type="dxa"/>
            <w:vAlign w:val="center"/>
          </w:tcPr>
          <w:p w14:paraId="045B8CDD">
            <w:pPr>
              <w:adjustRightInd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所有通过初步评审合格的投标人（招标人设有最高限价的，则投标报价高于最高限价的除外）的投标报价评审采用低价优先法，价格分=(评标基准价／P)×A，A为价格权重分，即10；评标基准价为“所有有效投标报价的最低者”；P为投标人有效投标报价；价格分最高得满分10分。</w:t>
            </w:r>
          </w:p>
          <w:p w14:paraId="1ED7DD4F">
            <w:pPr>
              <w:pStyle w:val="41"/>
              <w:ind w:firstLine="402" w:firstLineChars="200"/>
              <w:jc w:val="both"/>
              <w:rPr>
                <w:rFonts w:cs="宋体"/>
                <w:color w:val="auto"/>
                <w:sz w:val="21"/>
                <w:szCs w:val="21"/>
                <w:highlight w:val="none"/>
              </w:rPr>
            </w:pPr>
            <w:r>
              <w:rPr>
                <w:rFonts w:hint="eastAsia"/>
                <w:b/>
                <w:bCs/>
                <w:color w:val="auto"/>
                <w:highlight w:val="none"/>
              </w:rPr>
              <w:t>注：所有计算数据及评分结果保留至小数点后两位，第三位四舍五入。</w:t>
            </w:r>
          </w:p>
        </w:tc>
        <w:tc>
          <w:tcPr>
            <w:tcW w:w="2156" w:type="dxa"/>
            <w:vAlign w:val="center"/>
          </w:tcPr>
          <w:p w14:paraId="0F411369">
            <w:pPr>
              <w:spacing w:line="360" w:lineRule="auto"/>
              <w:ind w:firstLine="420" w:firstLineChars="200"/>
              <w:jc w:val="left"/>
              <w:rPr>
                <w:rFonts w:ascii="宋体" w:hAnsi="宋体" w:cs="宋体"/>
                <w:bCs/>
                <w:color w:val="auto"/>
                <w:szCs w:val="21"/>
                <w:highlight w:val="none"/>
              </w:rPr>
            </w:pPr>
          </w:p>
        </w:tc>
      </w:tr>
      <w:tr w14:paraId="3A94D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4CF9CDA3">
            <w:pPr>
              <w:spacing w:line="400" w:lineRule="exact"/>
              <w:jc w:val="center"/>
              <w:rPr>
                <w:rFonts w:ascii="宋体" w:hAnsi="宋体" w:cs="宋体"/>
                <w:color w:val="auto"/>
                <w:szCs w:val="21"/>
                <w:highlight w:val="none"/>
              </w:rPr>
            </w:pPr>
          </w:p>
        </w:tc>
        <w:tc>
          <w:tcPr>
            <w:tcW w:w="1009" w:type="dxa"/>
            <w:vMerge w:val="restart"/>
            <w:vAlign w:val="center"/>
          </w:tcPr>
          <w:p w14:paraId="46BEDA34">
            <w:pPr>
              <w:ind w:firstLine="28"/>
              <w:jc w:val="center"/>
              <w:rPr>
                <w:rFonts w:ascii="宋体" w:hAnsi="宋体" w:cs="宋体"/>
                <w:color w:val="auto"/>
                <w:szCs w:val="21"/>
                <w:highlight w:val="none"/>
              </w:rPr>
            </w:pPr>
            <w:r>
              <w:rPr>
                <w:rFonts w:hint="eastAsia" w:ascii="宋体" w:hAnsi="宋体" w:cs="宋体"/>
                <w:color w:val="auto"/>
                <w:szCs w:val="21"/>
                <w:highlight w:val="none"/>
              </w:rPr>
              <w:t>商务部分</w:t>
            </w:r>
          </w:p>
          <w:p w14:paraId="644C1B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1284" w:type="dxa"/>
            <w:vMerge w:val="restart"/>
            <w:vAlign w:val="center"/>
          </w:tcPr>
          <w:p w14:paraId="615DA5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综合实力（20分）</w:t>
            </w:r>
          </w:p>
        </w:tc>
        <w:tc>
          <w:tcPr>
            <w:tcW w:w="4682" w:type="dxa"/>
            <w:vAlign w:val="center"/>
          </w:tcPr>
          <w:p w14:paraId="3E7A3389">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1.项目负责人（6分）</w:t>
            </w:r>
          </w:p>
          <w:p w14:paraId="67A32E29">
            <w:pPr>
              <w:widowControl/>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拟派本项目负责人统筹执行过会展活动的，得6分。</w:t>
            </w:r>
          </w:p>
        </w:tc>
        <w:tc>
          <w:tcPr>
            <w:tcW w:w="2156" w:type="dxa"/>
            <w:vAlign w:val="center"/>
          </w:tcPr>
          <w:p w14:paraId="4724381B">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投标人提供项目负责人的履历介绍。</w:t>
            </w:r>
          </w:p>
        </w:tc>
      </w:tr>
      <w:tr w14:paraId="2B017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11896B91">
            <w:pPr>
              <w:spacing w:line="400" w:lineRule="exact"/>
              <w:jc w:val="center"/>
              <w:rPr>
                <w:rFonts w:ascii="宋体" w:hAnsi="宋体" w:cs="宋体"/>
                <w:color w:val="auto"/>
                <w:szCs w:val="21"/>
                <w:highlight w:val="none"/>
              </w:rPr>
            </w:pPr>
          </w:p>
        </w:tc>
        <w:tc>
          <w:tcPr>
            <w:tcW w:w="1009" w:type="dxa"/>
            <w:vMerge w:val="continue"/>
            <w:vAlign w:val="center"/>
          </w:tcPr>
          <w:p w14:paraId="17414AD5">
            <w:pPr>
              <w:spacing w:line="400" w:lineRule="exact"/>
              <w:jc w:val="center"/>
              <w:rPr>
                <w:rFonts w:ascii="宋体" w:hAnsi="宋体" w:cs="宋体"/>
                <w:color w:val="auto"/>
                <w:szCs w:val="21"/>
                <w:highlight w:val="none"/>
              </w:rPr>
            </w:pPr>
          </w:p>
        </w:tc>
        <w:tc>
          <w:tcPr>
            <w:tcW w:w="1284" w:type="dxa"/>
            <w:vMerge w:val="continue"/>
            <w:vAlign w:val="center"/>
          </w:tcPr>
          <w:p w14:paraId="4C8C5652">
            <w:pPr>
              <w:spacing w:line="400" w:lineRule="exact"/>
              <w:jc w:val="center"/>
              <w:rPr>
                <w:rFonts w:ascii="宋体" w:hAnsi="宋体" w:cs="宋体"/>
                <w:color w:val="auto"/>
                <w:szCs w:val="21"/>
                <w:highlight w:val="none"/>
              </w:rPr>
            </w:pPr>
          </w:p>
        </w:tc>
        <w:tc>
          <w:tcPr>
            <w:tcW w:w="4682" w:type="dxa"/>
            <w:vAlign w:val="center"/>
          </w:tcPr>
          <w:p w14:paraId="6E892A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2.项目主要人员（14分）</w:t>
            </w:r>
          </w:p>
          <w:p w14:paraId="0128601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项目团队人员有会展活动工作经历，每有一个成员得2分，本项最多得14分。</w:t>
            </w:r>
          </w:p>
        </w:tc>
        <w:tc>
          <w:tcPr>
            <w:tcW w:w="2156" w:type="dxa"/>
            <w:vAlign w:val="center"/>
          </w:tcPr>
          <w:p w14:paraId="3D860E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投标人提供人员的工作经历介绍。</w:t>
            </w:r>
          </w:p>
        </w:tc>
      </w:tr>
      <w:tr w14:paraId="46803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851" w:type="dxa"/>
            <w:vMerge w:val="continue"/>
            <w:vAlign w:val="center"/>
          </w:tcPr>
          <w:p w14:paraId="40284316">
            <w:pPr>
              <w:spacing w:line="400" w:lineRule="exact"/>
              <w:jc w:val="center"/>
              <w:rPr>
                <w:rFonts w:ascii="宋体" w:hAnsi="宋体" w:cs="宋体"/>
                <w:color w:val="auto"/>
                <w:szCs w:val="21"/>
                <w:highlight w:val="none"/>
              </w:rPr>
            </w:pPr>
          </w:p>
        </w:tc>
        <w:tc>
          <w:tcPr>
            <w:tcW w:w="1009" w:type="dxa"/>
            <w:vMerge w:val="continue"/>
            <w:vAlign w:val="center"/>
          </w:tcPr>
          <w:p w14:paraId="0DB8089B">
            <w:pPr>
              <w:spacing w:line="400" w:lineRule="exact"/>
              <w:jc w:val="center"/>
              <w:rPr>
                <w:rFonts w:ascii="宋体" w:hAnsi="宋体" w:cs="宋体"/>
                <w:color w:val="auto"/>
                <w:szCs w:val="21"/>
                <w:highlight w:val="none"/>
              </w:rPr>
            </w:pPr>
          </w:p>
        </w:tc>
        <w:tc>
          <w:tcPr>
            <w:tcW w:w="1284" w:type="dxa"/>
            <w:vAlign w:val="center"/>
          </w:tcPr>
          <w:p w14:paraId="4318B08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类似业绩（10分）</w:t>
            </w:r>
          </w:p>
        </w:tc>
        <w:tc>
          <w:tcPr>
            <w:tcW w:w="4682" w:type="dxa"/>
            <w:vAlign w:val="center"/>
          </w:tcPr>
          <w:p w14:paraId="66374F07">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投标人在2020年1月1日至投标截止日止（以合同签订日期为准）组织实施或承担过</w:t>
            </w:r>
            <w:r>
              <w:rPr>
                <w:rFonts w:hint="eastAsia" w:ascii="宋体" w:hAnsi="宋体" w:cs="宋体"/>
                <w:color w:val="auto"/>
                <w:kern w:val="0"/>
                <w:szCs w:val="21"/>
                <w:highlight w:val="none"/>
              </w:rPr>
              <w:t>会展</w:t>
            </w:r>
            <w:r>
              <w:rPr>
                <w:rFonts w:hint="eastAsia" w:ascii="宋体" w:hAnsi="宋体" w:cs="宋体"/>
                <w:color w:val="auto"/>
                <w:szCs w:val="21"/>
                <w:highlight w:val="none"/>
              </w:rPr>
              <w:t>活动类似业绩,每提供1个得2分，本项最高得10分。</w:t>
            </w:r>
          </w:p>
        </w:tc>
        <w:tc>
          <w:tcPr>
            <w:tcW w:w="2156" w:type="dxa"/>
            <w:vAlign w:val="center"/>
          </w:tcPr>
          <w:p w14:paraId="0C5BDD52">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提供业绩协议书或合同复印件加盖投标单位公章。</w:t>
            </w:r>
          </w:p>
        </w:tc>
      </w:tr>
      <w:tr w14:paraId="303F31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14:paraId="34A6758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09" w:type="dxa"/>
            <w:vMerge w:val="restart"/>
            <w:vAlign w:val="center"/>
          </w:tcPr>
          <w:p w14:paraId="0D35156C">
            <w:pPr>
              <w:ind w:firstLine="28"/>
              <w:jc w:val="center"/>
              <w:rPr>
                <w:rFonts w:ascii="宋体" w:hAnsi="宋体" w:cs="宋体"/>
                <w:color w:val="auto"/>
                <w:szCs w:val="21"/>
                <w:highlight w:val="none"/>
              </w:rPr>
            </w:pPr>
            <w:r>
              <w:rPr>
                <w:rFonts w:hint="eastAsia" w:ascii="宋体" w:hAnsi="宋体" w:cs="宋体"/>
                <w:color w:val="auto"/>
                <w:szCs w:val="21"/>
                <w:highlight w:val="none"/>
              </w:rPr>
              <w:t>服务部分</w:t>
            </w:r>
          </w:p>
          <w:p w14:paraId="7F33E15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（60分）</w:t>
            </w:r>
          </w:p>
        </w:tc>
        <w:tc>
          <w:tcPr>
            <w:tcW w:w="1284" w:type="dxa"/>
            <w:vAlign w:val="center"/>
          </w:tcPr>
          <w:p w14:paraId="05C7151D">
            <w:pPr>
              <w:ind w:firstLine="28"/>
              <w:jc w:val="center"/>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项目总体需求理解</w:t>
            </w:r>
          </w:p>
          <w:p w14:paraId="329B3703">
            <w:pPr>
              <w:spacing w:line="400" w:lineRule="exact"/>
              <w:rPr>
                <w:rFonts w:ascii="宋体" w:hAnsi="宋体" w:cs="宋体"/>
                <w:bCs/>
                <w:color w:val="auto"/>
                <w:szCs w:val="21"/>
                <w:highlight w:val="none"/>
              </w:rPr>
            </w:pPr>
            <w:r>
              <w:rPr>
                <w:rFonts w:hint="eastAsia" w:ascii="宋体" w:hAnsi="宋体" w:cs="宋体"/>
                <w:color w:val="auto"/>
                <w:szCs w:val="21"/>
                <w:highlight w:val="none"/>
              </w:rPr>
              <w:t>（20分）</w:t>
            </w:r>
          </w:p>
        </w:tc>
        <w:tc>
          <w:tcPr>
            <w:tcW w:w="4682" w:type="dxa"/>
            <w:vAlign w:val="center"/>
          </w:tcPr>
          <w:p w14:paraId="032041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根据供应商所提供的服务方案，对项目需求响应的完整性、合理性进行论述，以专业技术角度对以下内容进行论述：</w:t>
            </w:r>
          </w:p>
          <w:p w14:paraId="703828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.供应商应结合项目实际需求情况，提出展会相关工作方案，对本项目实施方案的工作内容的准确性、工作措施的有效性、工作效果的针对性、以及组织模式合理性进行综合评分。</w:t>
            </w:r>
          </w:p>
          <w:p w14:paraId="630878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按论述优劣情况进行评分。</w:t>
            </w:r>
          </w:p>
          <w:p w14:paraId="1B9C93B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优得15（不含）-20分，良得10（不含）-15分，一般得5（不含）-10分，差得1-5分，未提供得0分。 </w:t>
            </w:r>
          </w:p>
        </w:tc>
        <w:tc>
          <w:tcPr>
            <w:tcW w:w="2156" w:type="dxa"/>
            <w:vMerge w:val="restart"/>
            <w:vAlign w:val="center"/>
          </w:tcPr>
          <w:p w14:paraId="59B1AA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所有评委打分后取算术平均值作为该投标人服务方案得分。 评分分值计算保留小数点后两位，小数点后第三位四舍五入。</w:t>
            </w:r>
          </w:p>
          <w:p w14:paraId="12782D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提供相关方案，整体方案。评标委员会比较各供应商服务方案进行独立评审打分。</w:t>
            </w:r>
          </w:p>
          <w:p w14:paraId="107D79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优的标准：方案详实，贴切实际、实用性强</w:t>
            </w:r>
          </w:p>
          <w:p w14:paraId="323B6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良的标准：方案较详实，比较贴切实际、实用性强</w:t>
            </w:r>
          </w:p>
          <w:p w14:paraId="5C85C0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一般的标准：方案不够详实，一般贴切实际、实用性一般</w:t>
            </w:r>
          </w:p>
          <w:p w14:paraId="1DE6787F">
            <w:pPr>
              <w:pStyle w:val="41"/>
              <w:ind w:firstLine="420" w:firstLineChars="200"/>
              <w:rPr>
                <w:rFonts w:cs="宋体"/>
                <w:color w:val="auto"/>
                <w:sz w:val="21"/>
                <w:szCs w:val="21"/>
                <w:highlight w:val="none"/>
              </w:rPr>
            </w:pPr>
            <w:r>
              <w:rPr>
                <w:rFonts w:hint="eastAsia" w:cs="宋体"/>
                <w:color w:val="auto"/>
                <w:kern w:val="2"/>
                <w:sz w:val="21"/>
                <w:szCs w:val="21"/>
                <w:highlight w:val="none"/>
              </w:rPr>
              <w:t>差的标准：方案与本项目无关，不贴切实际，无实用性</w:t>
            </w:r>
          </w:p>
        </w:tc>
      </w:tr>
      <w:tr w14:paraId="7B3A0A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4F14A5D4">
            <w:pPr>
              <w:spacing w:line="400" w:lineRule="exact"/>
              <w:jc w:val="center"/>
              <w:rPr>
                <w:rFonts w:ascii="宋体" w:hAnsi="宋体" w:cs="宋体"/>
                <w:color w:val="auto"/>
                <w:szCs w:val="21"/>
                <w:highlight w:val="none"/>
              </w:rPr>
            </w:pPr>
          </w:p>
        </w:tc>
        <w:tc>
          <w:tcPr>
            <w:tcW w:w="1009" w:type="dxa"/>
            <w:vMerge w:val="continue"/>
            <w:vAlign w:val="center"/>
          </w:tcPr>
          <w:p w14:paraId="7A8F123B">
            <w:pPr>
              <w:spacing w:line="400" w:lineRule="exact"/>
              <w:jc w:val="center"/>
              <w:rPr>
                <w:rFonts w:ascii="宋体" w:hAnsi="宋体" w:cs="宋体"/>
                <w:color w:val="auto"/>
                <w:kern w:val="0"/>
                <w:szCs w:val="21"/>
                <w:highlight w:val="none"/>
              </w:rPr>
            </w:pPr>
          </w:p>
        </w:tc>
        <w:tc>
          <w:tcPr>
            <w:tcW w:w="1284" w:type="dxa"/>
            <w:vAlign w:val="center"/>
          </w:tcPr>
          <w:p w14:paraId="5ACF02E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2、团队配合（20分）</w:t>
            </w:r>
          </w:p>
        </w:tc>
        <w:tc>
          <w:tcPr>
            <w:tcW w:w="4682" w:type="dxa"/>
            <w:vAlign w:val="center"/>
          </w:tcPr>
          <w:p w14:paraId="63D3C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针对服务团队进行介绍及人员配置组成。服务团队成员的合理性，对本项目服务团队成员合理人力资源搭配情况等综合评分。</w:t>
            </w:r>
          </w:p>
          <w:p w14:paraId="696563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优得15（不含）-20分，良得10（不含）-15分，一般得5（不含）-10分，差得1-5分，未提供得0分。</w:t>
            </w:r>
          </w:p>
        </w:tc>
        <w:tc>
          <w:tcPr>
            <w:tcW w:w="2156" w:type="dxa"/>
            <w:vMerge w:val="continue"/>
            <w:vAlign w:val="center"/>
          </w:tcPr>
          <w:p w14:paraId="6AABBEE3">
            <w:pPr>
              <w:spacing w:line="400" w:lineRule="exact"/>
              <w:ind w:firstLine="420" w:firstLineChars="200"/>
              <w:rPr>
                <w:rFonts w:ascii="宋体" w:hAnsi="宋体" w:cs="宋体"/>
                <w:color w:val="auto"/>
                <w:szCs w:val="21"/>
                <w:highlight w:val="none"/>
              </w:rPr>
            </w:pPr>
          </w:p>
        </w:tc>
      </w:tr>
      <w:tr w14:paraId="6124B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01D422AE">
            <w:pPr>
              <w:spacing w:line="400" w:lineRule="exact"/>
              <w:jc w:val="center"/>
              <w:rPr>
                <w:rFonts w:ascii="宋体" w:hAnsi="宋体" w:cs="宋体"/>
                <w:color w:val="auto"/>
                <w:szCs w:val="21"/>
                <w:highlight w:val="none"/>
              </w:rPr>
            </w:pPr>
          </w:p>
        </w:tc>
        <w:tc>
          <w:tcPr>
            <w:tcW w:w="1009" w:type="dxa"/>
            <w:vMerge w:val="continue"/>
            <w:vAlign w:val="center"/>
          </w:tcPr>
          <w:p w14:paraId="32E0D108">
            <w:pPr>
              <w:spacing w:line="400" w:lineRule="exact"/>
              <w:jc w:val="center"/>
              <w:rPr>
                <w:rFonts w:ascii="宋体" w:hAnsi="宋体" w:cs="宋体"/>
                <w:color w:val="auto"/>
                <w:kern w:val="0"/>
                <w:szCs w:val="21"/>
                <w:highlight w:val="none"/>
              </w:rPr>
            </w:pPr>
          </w:p>
        </w:tc>
        <w:tc>
          <w:tcPr>
            <w:tcW w:w="1284" w:type="dxa"/>
            <w:vAlign w:val="center"/>
          </w:tcPr>
          <w:p w14:paraId="39A6019E">
            <w:pPr>
              <w:spacing w:line="360" w:lineRule="auto"/>
              <w:rPr>
                <w:rFonts w:ascii="宋体" w:hAnsi="宋体" w:cs="宋体"/>
                <w:bCs/>
                <w:color w:val="auto"/>
                <w:kern w:val="0"/>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整体工作进度安排（10分）</w:t>
            </w:r>
          </w:p>
        </w:tc>
        <w:tc>
          <w:tcPr>
            <w:tcW w:w="4682" w:type="dxa"/>
            <w:vAlign w:val="center"/>
          </w:tcPr>
          <w:p w14:paraId="3E6406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根据采购人对实施时间的要求，结合本项目实施难易程度，对制作安装进度合理安排。方案包含但不限于布展时间、人员配置、工期保障、质量保证等。根据方案合理性、可行性进行评分。</w:t>
            </w:r>
          </w:p>
          <w:p w14:paraId="5FE7613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优得7（不含）-10分，良得5（不含）-7分，一般得3（不含）-5分，差得1-3分，未提供得0分。</w:t>
            </w:r>
          </w:p>
        </w:tc>
        <w:tc>
          <w:tcPr>
            <w:tcW w:w="2156" w:type="dxa"/>
            <w:vMerge w:val="continue"/>
            <w:vAlign w:val="center"/>
          </w:tcPr>
          <w:p w14:paraId="3A7E88DB">
            <w:pPr>
              <w:spacing w:line="400" w:lineRule="exact"/>
              <w:ind w:firstLine="420" w:firstLineChars="200"/>
              <w:rPr>
                <w:rFonts w:ascii="宋体" w:hAnsi="宋体" w:cs="宋体"/>
                <w:color w:val="auto"/>
                <w:szCs w:val="21"/>
                <w:highlight w:val="none"/>
              </w:rPr>
            </w:pPr>
          </w:p>
        </w:tc>
      </w:tr>
      <w:tr w14:paraId="24C7C5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14:paraId="7317A5D6">
            <w:pPr>
              <w:spacing w:line="400" w:lineRule="exact"/>
              <w:jc w:val="center"/>
              <w:rPr>
                <w:rFonts w:ascii="宋体" w:hAnsi="宋体" w:cs="宋体"/>
                <w:color w:val="auto"/>
                <w:szCs w:val="21"/>
                <w:highlight w:val="none"/>
              </w:rPr>
            </w:pPr>
          </w:p>
        </w:tc>
        <w:tc>
          <w:tcPr>
            <w:tcW w:w="1009" w:type="dxa"/>
            <w:vMerge w:val="continue"/>
            <w:vAlign w:val="center"/>
          </w:tcPr>
          <w:p w14:paraId="6F295833">
            <w:pPr>
              <w:spacing w:line="400" w:lineRule="exact"/>
              <w:jc w:val="center"/>
              <w:rPr>
                <w:rFonts w:ascii="宋体" w:hAnsi="宋体" w:cs="宋体"/>
                <w:color w:val="auto"/>
                <w:kern w:val="0"/>
                <w:szCs w:val="21"/>
                <w:highlight w:val="none"/>
              </w:rPr>
            </w:pPr>
          </w:p>
        </w:tc>
        <w:tc>
          <w:tcPr>
            <w:tcW w:w="1284" w:type="dxa"/>
            <w:vAlign w:val="center"/>
          </w:tcPr>
          <w:p w14:paraId="07A2E675">
            <w:pPr>
              <w:spacing w:line="360" w:lineRule="auto"/>
              <w:rPr>
                <w:rFonts w:ascii="宋体" w:hAnsi="宋体" w:cs="宋体"/>
                <w:bCs/>
                <w:color w:val="auto"/>
                <w:kern w:val="0"/>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安全管理及应急方案（10分）</w:t>
            </w:r>
          </w:p>
        </w:tc>
        <w:tc>
          <w:tcPr>
            <w:tcW w:w="4682" w:type="dxa"/>
            <w:vAlign w:val="center"/>
          </w:tcPr>
          <w:p w14:paraId="3EE98A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根据本项目服务的要求，制定现场安全管理及应急方案，包含现场发生的各类突发事件、特殊状况的处理，以及恶劣天气影响等内容，根据方案的完整度、合理性和可行性等方面评分。</w:t>
            </w:r>
          </w:p>
          <w:p w14:paraId="44BAA3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优得7（不含）-10分，良得5（不含）-7分，一般得3（不含）-5分，差得1-3分，未提供得0分。</w:t>
            </w:r>
          </w:p>
        </w:tc>
        <w:tc>
          <w:tcPr>
            <w:tcW w:w="2156" w:type="dxa"/>
            <w:vMerge w:val="continue"/>
            <w:vAlign w:val="center"/>
          </w:tcPr>
          <w:p w14:paraId="132F5C41">
            <w:pPr>
              <w:spacing w:line="400" w:lineRule="exact"/>
              <w:ind w:firstLine="420" w:firstLineChars="200"/>
              <w:rPr>
                <w:rFonts w:ascii="宋体" w:hAnsi="宋体" w:cs="宋体"/>
                <w:color w:val="auto"/>
                <w:szCs w:val="21"/>
                <w:highlight w:val="none"/>
              </w:rPr>
            </w:pPr>
          </w:p>
        </w:tc>
      </w:tr>
    </w:tbl>
    <w:p w14:paraId="34974773">
      <w:pPr>
        <w:pStyle w:val="3"/>
        <w:spacing w:before="140" w:after="140" w:line="360" w:lineRule="auto"/>
        <w:rPr>
          <w:rFonts w:ascii="宋体" w:hAnsi="宋体" w:cs="宋体"/>
          <w:color w:val="auto"/>
          <w:sz w:val="28"/>
          <w:szCs w:val="28"/>
          <w:highlight w:val="none"/>
        </w:rPr>
      </w:pPr>
      <w:bookmarkStart w:id="268" w:name="_Toc31724"/>
      <w:r>
        <w:rPr>
          <w:rFonts w:hint="eastAsia" w:ascii="宋体" w:hAnsi="宋体" w:cs="宋体"/>
          <w:color w:val="auto"/>
          <w:sz w:val="28"/>
          <w:szCs w:val="28"/>
          <w:highlight w:val="none"/>
        </w:rPr>
        <w:t>标包三宣传品供应商评标办法表</w:t>
      </w:r>
      <w:bookmarkEnd w:id="268"/>
      <w:r>
        <w:rPr>
          <w:rFonts w:hint="eastAsia" w:ascii="宋体" w:hAnsi="宋体" w:cs="宋体"/>
          <w:color w:val="auto"/>
          <w:sz w:val="28"/>
          <w:szCs w:val="28"/>
          <w:highlight w:val="none"/>
        </w:rPr>
        <w:t>：</w:t>
      </w:r>
    </w:p>
    <w:tbl>
      <w:tblPr>
        <w:tblStyle w:val="44"/>
        <w:tblW w:w="9798"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032"/>
        <w:gridCol w:w="1261"/>
        <w:gridCol w:w="4682"/>
        <w:gridCol w:w="1972"/>
      </w:tblGrid>
      <w:tr w14:paraId="0C2F5B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3144" w:type="dxa"/>
            <w:gridSpan w:val="3"/>
            <w:vAlign w:val="center"/>
          </w:tcPr>
          <w:p w14:paraId="63BE0B7C">
            <w:pPr>
              <w:tabs>
                <w:tab w:val="left" w:pos="1875"/>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分值构成 （总分100分）</w:t>
            </w:r>
          </w:p>
        </w:tc>
        <w:tc>
          <w:tcPr>
            <w:tcW w:w="6654" w:type="dxa"/>
            <w:gridSpan w:val="2"/>
            <w:vAlign w:val="center"/>
          </w:tcPr>
          <w:p w14:paraId="2F4F0D33">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1.投标报价10分</w:t>
            </w:r>
          </w:p>
          <w:p w14:paraId="4AE098AE">
            <w:pPr>
              <w:spacing w:after="62" w:afterLines="2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2.商务部分30分</w:t>
            </w:r>
          </w:p>
          <w:p w14:paraId="535A7F6E">
            <w:pPr>
              <w:snapToGrid w:val="0"/>
              <w:spacing w:line="400" w:lineRule="exact"/>
              <w:ind w:firstLine="420" w:firstLineChars="200"/>
              <w:rPr>
                <w:rFonts w:ascii="宋体" w:hAnsi="宋体" w:cs="宋体"/>
                <w:i/>
                <w:color w:val="auto"/>
                <w:kern w:val="0"/>
                <w:szCs w:val="21"/>
                <w:highlight w:val="none"/>
              </w:rPr>
            </w:pPr>
            <w:r>
              <w:rPr>
                <w:rFonts w:hint="eastAsia" w:ascii="宋体" w:hAnsi="宋体" w:cs="宋体"/>
                <w:color w:val="auto"/>
                <w:kern w:val="0"/>
                <w:szCs w:val="21"/>
                <w:highlight w:val="none"/>
              </w:rPr>
              <w:t>3.服务部分60分</w:t>
            </w:r>
          </w:p>
        </w:tc>
      </w:tr>
      <w:tr w14:paraId="2C61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51" w:type="dxa"/>
            <w:vAlign w:val="center"/>
          </w:tcPr>
          <w:p w14:paraId="3C5A16DA">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序号</w:t>
            </w:r>
          </w:p>
        </w:tc>
        <w:tc>
          <w:tcPr>
            <w:tcW w:w="1032" w:type="dxa"/>
            <w:vAlign w:val="center"/>
          </w:tcPr>
          <w:p w14:paraId="4479BACC">
            <w:pPr>
              <w:spacing w:line="400" w:lineRule="exact"/>
              <w:jc w:val="center"/>
              <w:rPr>
                <w:rFonts w:ascii="宋体" w:hAnsi="宋体" w:cs="宋体"/>
                <w:color w:val="auto"/>
                <w:szCs w:val="21"/>
                <w:highlight w:val="none"/>
              </w:rPr>
            </w:pPr>
            <w:r>
              <w:rPr>
                <w:rFonts w:hint="eastAsia" w:ascii="宋体" w:hAnsi="宋体" w:cs="宋体"/>
                <w:b/>
                <w:color w:val="auto"/>
                <w:kern w:val="0"/>
                <w:szCs w:val="21"/>
                <w:highlight w:val="none"/>
              </w:rPr>
              <w:t>分值</w:t>
            </w:r>
          </w:p>
        </w:tc>
        <w:tc>
          <w:tcPr>
            <w:tcW w:w="5943" w:type="dxa"/>
            <w:gridSpan w:val="2"/>
          </w:tcPr>
          <w:p w14:paraId="2E534324">
            <w:pPr>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评审标准</w:t>
            </w:r>
          </w:p>
        </w:tc>
        <w:tc>
          <w:tcPr>
            <w:tcW w:w="1972" w:type="dxa"/>
          </w:tcPr>
          <w:p w14:paraId="0A7E2575">
            <w:pPr>
              <w:tabs>
                <w:tab w:val="left" w:pos="454"/>
              </w:tabs>
              <w:spacing w:line="400" w:lineRule="exact"/>
              <w:jc w:val="center"/>
              <w:rPr>
                <w:rFonts w:ascii="宋体" w:hAnsi="宋体" w:cs="宋体"/>
                <w:color w:val="auto"/>
                <w:kern w:val="0"/>
                <w:szCs w:val="21"/>
                <w:highlight w:val="none"/>
              </w:rPr>
            </w:pPr>
            <w:r>
              <w:rPr>
                <w:rFonts w:hint="eastAsia" w:ascii="宋体" w:hAnsi="宋体" w:cs="宋体"/>
                <w:b/>
                <w:color w:val="auto"/>
                <w:kern w:val="0"/>
                <w:szCs w:val="21"/>
                <w:highlight w:val="none"/>
              </w:rPr>
              <w:t>说明</w:t>
            </w:r>
          </w:p>
        </w:tc>
      </w:tr>
      <w:tr w14:paraId="73991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68" w:hRule="atLeast"/>
        </w:trPr>
        <w:tc>
          <w:tcPr>
            <w:tcW w:w="851" w:type="dxa"/>
            <w:tcBorders>
              <w:bottom w:val="single" w:color="auto" w:sz="4" w:space="0"/>
            </w:tcBorders>
            <w:vAlign w:val="center"/>
          </w:tcPr>
          <w:p w14:paraId="69DD08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1 </w:t>
            </w:r>
          </w:p>
        </w:tc>
        <w:tc>
          <w:tcPr>
            <w:tcW w:w="1032" w:type="dxa"/>
            <w:tcBorders>
              <w:bottom w:val="single" w:color="auto" w:sz="4" w:space="0"/>
            </w:tcBorders>
            <w:vAlign w:val="center"/>
          </w:tcPr>
          <w:p w14:paraId="5CACE00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1261" w:type="dxa"/>
            <w:vAlign w:val="center"/>
          </w:tcPr>
          <w:p w14:paraId="672F3C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投标报价分（10分）</w:t>
            </w:r>
          </w:p>
        </w:tc>
        <w:tc>
          <w:tcPr>
            <w:tcW w:w="4682" w:type="dxa"/>
            <w:vAlign w:val="center"/>
          </w:tcPr>
          <w:p w14:paraId="35D5954B">
            <w:pPr>
              <w:adjustRightInd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所有通过初步评审合格的投标人（招标人设有最高限价的，则投标报价高于最高限价的除外）的投标报价评审采用低价优先法，价格分=(评标基准价／P)×A，A为价格权重分，即10；评标基准价为“所有有效投标报价的最低者”；P为投标人有效投标报价；价格分最高得满分10分。</w:t>
            </w:r>
          </w:p>
          <w:p w14:paraId="5D08C74A">
            <w:pPr>
              <w:pStyle w:val="41"/>
              <w:jc w:val="left"/>
              <w:rPr>
                <w:rFonts w:cs="宋体"/>
                <w:color w:val="auto"/>
                <w:sz w:val="21"/>
                <w:szCs w:val="21"/>
                <w:highlight w:val="none"/>
              </w:rPr>
            </w:pPr>
            <w:r>
              <w:rPr>
                <w:rFonts w:hint="eastAsia"/>
                <w:b/>
                <w:bCs/>
                <w:color w:val="auto"/>
                <w:highlight w:val="none"/>
              </w:rPr>
              <w:t>注：所有计算数据及评分结果保留至小数点后两位，第三位四舍五入。</w:t>
            </w:r>
          </w:p>
        </w:tc>
        <w:tc>
          <w:tcPr>
            <w:tcW w:w="1972" w:type="dxa"/>
            <w:vAlign w:val="center"/>
          </w:tcPr>
          <w:p w14:paraId="7C290745">
            <w:pPr>
              <w:spacing w:line="400" w:lineRule="exact"/>
              <w:jc w:val="left"/>
              <w:rPr>
                <w:rFonts w:ascii="宋体" w:hAnsi="宋体" w:cs="宋体"/>
                <w:bCs/>
                <w:color w:val="auto"/>
                <w:szCs w:val="21"/>
                <w:highlight w:val="none"/>
              </w:rPr>
            </w:pPr>
          </w:p>
        </w:tc>
      </w:tr>
      <w:tr w14:paraId="583B40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851" w:type="dxa"/>
            <w:vMerge w:val="restart"/>
            <w:tcBorders>
              <w:top w:val="single" w:color="auto" w:sz="4" w:space="0"/>
            </w:tcBorders>
            <w:vAlign w:val="center"/>
          </w:tcPr>
          <w:p w14:paraId="7BDAC2B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32" w:type="dxa"/>
            <w:vMerge w:val="restart"/>
            <w:tcBorders>
              <w:top w:val="single" w:color="auto" w:sz="4" w:space="0"/>
            </w:tcBorders>
            <w:vAlign w:val="center"/>
          </w:tcPr>
          <w:p w14:paraId="66836C57">
            <w:pPr>
              <w:ind w:firstLine="28"/>
              <w:jc w:val="center"/>
              <w:rPr>
                <w:rFonts w:ascii="宋体" w:hAnsi="宋体" w:cs="宋体"/>
                <w:color w:val="auto"/>
                <w:szCs w:val="21"/>
                <w:highlight w:val="none"/>
              </w:rPr>
            </w:pPr>
            <w:r>
              <w:rPr>
                <w:rFonts w:hint="eastAsia" w:ascii="宋体" w:hAnsi="宋体" w:cs="宋体"/>
                <w:color w:val="auto"/>
                <w:szCs w:val="21"/>
                <w:highlight w:val="none"/>
              </w:rPr>
              <w:t>商务部分</w:t>
            </w:r>
          </w:p>
          <w:p w14:paraId="3F22F54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1261" w:type="dxa"/>
            <w:vAlign w:val="center"/>
          </w:tcPr>
          <w:p w14:paraId="3303D08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综合实力（10分）</w:t>
            </w:r>
          </w:p>
        </w:tc>
        <w:tc>
          <w:tcPr>
            <w:tcW w:w="4682" w:type="dxa"/>
            <w:vAlign w:val="center"/>
          </w:tcPr>
          <w:p w14:paraId="33083822">
            <w:p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到货能力（10分）：</w:t>
            </w:r>
          </w:p>
          <w:p w14:paraId="0ACDEB40">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对于甲方急件需求在1天内到货的，得分10分，2天内到货的得5分，3天内到货的得1分，不提供不得分。</w:t>
            </w:r>
          </w:p>
        </w:tc>
        <w:tc>
          <w:tcPr>
            <w:tcW w:w="1972" w:type="dxa"/>
            <w:vAlign w:val="center"/>
          </w:tcPr>
          <w:p w14:paraId="1A61184F">
            <w:pPr>
              <w:spacing w:line="400" w:lineRule="exact"/>
              <w:ind w:firstLine="422" w:firstLineChars="200"/>
              <w:jc w:val="left"/>
              <w:rPr>
                <w:rFonts w:ascii="宋体" w:hAnsi="宋体" w:cs="宋体"/>
                <w:b/>
                <w:color w:val="auto"/>
                <w:szCs w:val="21"/>
                <w:highlight w:val="none"/>
              </w:rPr>
            </w:pPr>
          </w:p>
          <w:p w14:paraId="792DC53D">
            <w:pPr>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到货能力投标人自行承诺（格式自理）</w:t>
            </w:r>
          </w:p>
          <w:p w14:paraId="3CFDD35D">
            <w:pPr>
              <w:snapToGrid w:val="0"/>
              <w:spacing w:line="360" w:lineRule="auto"/>
              <w:rPr>
                <w:rFonts w:ascii="宋体" w:hAnsi="宋体" w:cs="宋体"/>
                <w:snapToGrid w:val="0"/>
                <w:color w:val="auto"/>
                <w:kern w:val="0"/>
                <w:szCs w:val="21"/>
                <w:highlight w:val="none"/>
              </w:rPr>
            </w:pPr>
          </w:p>
        </w:tc>
      </w:tr>
      <w:tr w14:paraId="53C0C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51" w:type="dxa"/>
            <w:vMerge w:val="continue"/>
            <w:vAlign w:val="center"/>
          </w:tcPr>
          <w:p w14:paraId="12C0607B">
            <w:pPr>
              <w:spacing w:line="400" w:lineRule="exact"/>
              <w:jc w:val="center"/>
              <w:rPr>
                <w:rFonts w:ascii="宋体" w:hAnsi="宋体" w:cs="宋体"/>
                <w:color w:val="auto"/>
                <w:szCs w:val="21"/>
                <w:highlight w:val="none"/>
              </w:rPr>
            </w:pPr>
          </w:p>
        </w:tc>
        <w:tc>
          <w:tcPr>
            <w:tcW w:w="1032" w:type="dxa"/>
            <w:vMerge w:val="continue"/>
            <w:vAlign w:val="center"/>
          </w:tcPr>
          <w:p w14:paraId="253BBF9E">
            <w:pPr>
              <w:spacing w:line="400" w:lineRule="exact"/>
              <w:jc w:val="center"/>
              <w:rPr>
                <w:rFonts w:ascii="宋体" w:hAnsi="宋体" w:cs="宋体"/>
                <w:color w:val="auto"/>
                <w:szCs w:val="21"/>
                <w:highlight w:val="none"/>
              </w:rPr>
            </w:pPr>
          </w:p>
        </w:tc>
        <w:tc>
          <w:tcPr>
            <w:tcW w:w="1261" w:type="dxa"/>
            <w:vAlign w:val="center"/>
          </w:tcPr>
          <w:p w14:paraId="1E8363DB">
            <w:pPr>
              <w:ind w:firstLine="28"/>
              <w:jc w:val="center"/>
              <w:rPr>
                <w:rFonts w:ascii="宋体" w:hAnsi="宋体" w:cs="宋体"/>
                <w:color w:val="auto"/>
                <w:szCs w:val="21"/>
                <w:highlight w:val="none"/>
              </w:rPr>
            </w:pPr>
            <w:r>
              <w:rPr>
                <w:rFonts w:hint="eastAsia" w:ascii="宋体" w:hAnsi="宋体" w:cs="宋体"/>
                <w:color w:val="auto"/>
                <w:szCs w:val="21"/>
                <w:highlight w:val="none"/>
              </w:rPr>
              <w:t>业绩</w:t>
            </w:r>
          </w:p>
          <w:p w14:paraId="6FF744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4682" w:type="dxa"/>
            <w:vAlign w:val="center"/>
          </w:tcPr>
          <w:p w14:paraId="00ECEC4B">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投标人应提供2020年1月1日至投标截止日止（以合同签订日期为准），在大型企业或省级及以上政府机关、国有企事业单位或金融机构提供过宣传用品类似业绩，每有1个业绩得4分，本项最多得20分。</w:t>
            </w:r>
          </w:p>
        </w:tc>
        <w:tc>
          <w:tcPr>
            <w:tcW w:w="1972" w:type="dxa"/>
            <w:vAlign w:val="center"/>
          </w:tcPr>
          <w:p w14:paraId="55A96EF1">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提供业绩协议书或合同复印件加盖投标单位公章。</w:t>
            </w:r>
          </w:p>
        </w:tc>
      </w:tr>
      <w:tr w14:paraId="7CF3E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6" w:hRule="atLeast"/>
        </w:trPr>
        <w:tc>
          <w:tcPr>
            <w:tcW w:w="851" w:type="dxa"/>
            <w:vMerge w:val="restart"/>
            <w:vAlign w:val="center"/>
          </w:tcPr>
          <w:p w14:paraId="1252CD5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32" w:type="dxa"/>
            <w:vMerge w:val="restart"/>
            <w:vAlign w:val="center"/>
          </w:tcPr>
          <w:p w14:paraId="1354B049">
            <w:pPr>
              <w:ind w:firstLine="28"/>
              <w:jc w:val="center"/>
              <w:rPr>
                <w:rFonts w:ascii="宋体" w:hAnsi="宋体" w:cs="宋体"/>
                <w:color w:val="auto"/>
                <w:szCs w:val="21"/>
                <w:highlight w:val="none"/>
              </w:rPr>
            </w:pPr>
            <w:r>
              <w:rPr>
                <w:rFonts w:hint="eastAsia" w:ascii="宋体" w:hAnsi="宋体" w:cs="宋体"/>
                <w:color w:val="auto"/>
                <w:szCs w:val="21"/>
                <w:highlight w:val="none"/>
              </w:rPr>
              <w:t>服务部分</w:t>
            </w:r>
          </w:p>
          <w:p w14:paraId="36AF7A0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（60分）</w:t>
            </w:r>
          </w:p>
        </w:tc>
        <w:tc>
          <w:tcPr>
            <w:tcW w:w="1261" w:type="dxa"/>
            <w:vAlign w:val="center"/>
          </w:tcPr>
          <w:p w14:paraId="6B667A0A">
            <w:pPr>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企业管理水平、整体实力、服务能力及针对项目团队安排（10分）</w:t>
            </w:r>
          </w:p>
        </w:tc>
        <w:tc>
          <w:tcPr>
            <w:tcW w:w="4682" w:type="dxa"/>
            <w:vAlign w:val="center"/>
          </w:tcPr>
          <w:p w14:paraId="1BAAC75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对所有投标人的经营状况、客服情况、进货销货存货管理手段、规范化管理及配送能力、服务团队包括但不限于项目经理、服务人员、客服人员等人员安排合理化方面进行综合评分，</w:t>
            </w:r>
            <w:r>
              <w:rPr>
                <w:rFonts w:hint="eastAsia" w:ascii="宋体" w:hAnsi="宋体" w:cs="宋体"/>
                <w:color w:val="auto"/>
                <w:szCs w:val="21"/>
                <w:highlight w:val="none"/>
              </w:rPr>
              <w:t>优得7（不含）-10分，良得5（不含）-7分，一般得3（不含）-5分，差得1-3分，未提供得0分。</w:t>
            </w:r>
          </w:p>
        </w:tc>
        <w:tc>
          <w:tcPr>
            <w:tcW w:w="1972" w:type="dxa"/>
            <w:vMerge w:val="restart"/>
            <w:vAlign w:val="center"/>
          </w:tcPr>
          <w:p w14:paraId="151EF8E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所有评委打分后取算术平均值作为该投标人服务方案得分。 评分分值计算保留小数点后两位，小数点后第三位四舍五入。</w:t>
            </w:r>
          </w:p>
          <w:p w14:paraId="42C0A4CF">
            <w:pPr>
              <w:spacing w:line="360" w:lineRule="auto"/>
              <w:rPr>
                <w:rFonts w:ascii="宋体" w:hAnsi="宋体" w:cs="宋体"/>
                <w:color w:val="auto"/>
                <w:szCs w:val="21"/>
                <w:highlight w:val="none"/>
              </w:rPr>
            </w:pPr>
            <w:r>
              <w:rPr>
                <w:rFonts w:hint="eastAsia" w:ascii="宋体" w:hAnsi="宋体" w:cs="宋体"/>
                <w:color w:val="auto"/>
                <w:szCs w:val="21"/>
                <w:highlight w:val="none"/>
              </w:rPr>
              <w:t>提供相关方案，整体方案。评标委员会比较各供应商服务方案进行独立评审打分。</w:t>
            </w:r>
          </w:p>
          <w:p w14:paraId="1FF2C64E">
            <w:pPr>
              <w:spacing w:line="360" w:lineRule="auto"/>
              <w:rPr>
                <w:rFonts w:ascii="宋体" w:hAnsi="宋体" w:cs="宋体"/>
                <w:color w:val="auto"/>
                <w:szCs w:val="21"/>
                <w:highlight w:val="none"/>
              </w:rPr>
            </w:pPr>
            <w:r>
              <w:rPr>
                <w:rFonts w:hint="eastAsia" w:ascii="宋体" w:hAnsi="宋体" w:cs="宋体"/>
                <w:color w:val="auto"/>
                <w:szCs w:val="21"/>
                <w:highlight w:val="none"/>
              </w:rPr>
              <w:t>优的标准：方案详实，贴切实际、实用性强</w:t>
            </w:r>
          </w:p>
          <w:p w14:paraId="5D30A9A2">
            <w:pPr>
              <w:spacing w:line="360" w:lineRule="auto"/>
              <w:rPr>
                <w:rFonts w:ascii="宋体" w:hAnsi="宋体" w:cs="宋体"/>
                <w:color w:val="auto"/>
                <w:szCs w:val="21"/>
                <w:highlight w:val="none"/>
              </w:rPr>
            </w:pPr>
            <w:r>
              <w:rPr>
                <w:rFonts w:hint="eastAsia" w:ascii="宋体" w:hAnsi="宋体" w:cs="宋体"/>
                <w:color w:val="auto"/>
                <w:szCs w:val="21"/>
                <w:highlight w:val="none"/>
              </w:rPr>
              <w:t>良的标准：方案较详实，比较贴切实际、实用性强</w:t>
            </w:r>
          </w:p>
          <w:p w14:paraId="54D6E389">
            <w:pPr>
              <w:spacing w:line="360" w:lineRule="auto"/>
              <w:rPr>
                <w:rFonts w:ascii="宋体" w:hAnsi="宋体" w:cs="宋体"/>
                <w:color w:val="auto"/>
                <w:szCs w:val="21"/>
                <w:highlight w:val="none"/>
              </w:rPr>
            </w:pPr>
            <w:r>
              <w:rPr>
                <w:rFonts w:hint="eastAsia" w:ascii="宋体" w:hAnsi="宋体" w:cs="宋体"/>
                <w:color w:val="auto"/>
                <w:szCs w:val="21"/>
                <w:highlight w:val="none"/>
              </w:rPr>
              <w:t>一般的标准：方案不够详实，一般贴切实际、实用性一般</w:t>
            </w:r>
          </w:p>
          <w:p w14:paraId="39969CE6">
            <w:pPr>
              <w:pStyle w:val="41"/>
              <w:jc w:val="both"/>
              <w:rPr>
                <w:rFonts w:cs="宋体"/>
                <w:color w:val="auto"/>
                <w:sz w:val="21"/>
                <w:szCs w:val="21"/>
                <w:highlight w:val="none"/>
              </w:rPr>
            </w:pPr>
            <w:r>
              <w:rPr>
                <w:rFonts w:hint="eastAsia" w:cs="宋体"/>
                <w:color w:val="auto"/>
                <w:kern w:val="2"/>
                <w:sz w:val="21"/>
                <w:szCs w:val="21"/>
                <w:highlight w:val="none"/>
              </w:rPr>
              <w:t>差的标准：方案与本项目无关，不贴切实际，无实用性</w:t>
            </w:r>
          </w:p>
        </w:tc>
      </w:tr>
      <w:tr w14:paraId="4C6B7B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851" w:type="dxa"/>
            <w:vMerge w:val="continue"/>
            <w:vAlign w:val="center"/>
          </w:tcPr>
          <w:p w14:paraId="35ABB02B">
            <w:pPr>
              <w:spacing w:line="400" w:lineRule="exact"/>
              <w:jc w:val="center"/>
              <w:rPr>
                <w:rFonts w:ascii="宋体" w:hAnsi="宋体" w:cs="宋体"/>
                <w:color w:val="auto"/>
                <w:szCs w:val="21"/>
                <w:highlight w:val="none"/>
              </w:rPr>
            </w:pPr>
          </w:p>
        </w:tc>
        <w:tc>
          <w:tcPr>
            <w:tcW w:w="1032" w:type="dxa"/>
            <w:vMerge w:val="continue"/>
            <w:vAlign w:val="center"/>
          </w:tcPr>
          <w:p w14:paraId="4C1660A4">
            <w:pPr>
              <w:spacing w:line="400" w:lineRule="exact"/>
              <w:jc w:val="center"/>
              <w:rPr>
                <w:rFonts w:ascii="宋体" w:hAnsi="宋体" w:cs="宋体"/>
                <w:color w:val="auto"/>
                <w:kern w:val="0"/>
                <w:szCs w:val="21"/>
                <w:highlight w:val="none"/>
              </w:rPr>
            </w:pPr>
          </w:p>
        </w:tc>
        <w:tc>
          <w:tcPr>
            <w:tcW w:w="1261" w:type="dxa"/>
            <w:vAlign w:val="center"/>
          </w:tcPr>
          <w:p w14:paraId="42A2FF3F">
            <w:pPr>
              <w:jc w:val="center"/>
              <w:rPr>
                <w:rFonts w:ascii="宋体" w:hAnsi="宋体" w:cs="宋体"/>
                <w:color w:val="auto"/>
                <w:szCs w:val="21"/>
                <w:highlight w:val="none"/>
              </w:rPr>
            </w:pPr>
            <w:r>
              <w:rPr>
                <w:rFonts w:hint="eastAsia" w:ascii="宋体" w:hAnsi="宋体" w:cs="宋体"/>
                <w:color w:val="auto"/>
                <w:szCs w:val="21"/>
                <w:highlight w:val="none"/>
              </w:rPr>
              <w:t>管理制度</w:t>
            </w:r>
          </w:p>
          <w:p w14:paraId="4F1794A5">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4682" w:type="dxa"/>
            <w:vAlign w:val="center"/>
          </w:tcPr>
          <w:p w14:paraId="0BE999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针对服务团队进行介绍及人员配置组成。服务团队成员的合理性，对本项目服务团队成员合理人力资源搭配情况等综合评分。</w:t>
            </w:r>
          </w:p>
          <w:p w14:paraId="42B9B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优得7（不含）-10分，良得5（不含）-7分，一般得3（不含）-5分，差得1-3分，未提供得0分。</w:t>
            </w:r>
          </w:p>
        </w:tc>
        <w:tc>
          <w:tcPr>
            <w:tcW w:w="1972" w:type="dxa"/>
            <w:vMerge w:val="continue"/>
            <w:vAlign w:val="center"/>
          </w:tcPr>
          <w:p w14:paraId="1A583D25">
            <w:pPr>
              <w:spacing w:line="360" w:lineRule="auto"/>
              <w:ind w:firstLine="420" w:firstLineChars="200"/>
              <w:rPr>
                <w:rFonts w:ascii="宋体" w:hAnsi="宋体" w:cs="宋体"/>
                <w:color w:val="auto"/>
                <w:szCs w:val="21"/>
                <w:highlight w:val="none"/>
              </w:rPr>
            </w:pPr>
          </w:p>
        </w:tc>
      </w:tr>
      <w:tr w14:paraId="5E4D65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851" w:type="dxa"/>
            <w:vMerge w:val="continue"/>
            <w:vAlign w:val="center"/>
          </w:tcPr>
          <w:p w14:paraId="44F6F103">
            <w:pPr>
              <w:spacing w:line="400" w:lineRule="exact"/>
              <w:jc w:val="center"/>
              <w:rPr>
                <w:rFonts w:ascii="宋体" w:hAnsi="宋体" w:cs="宋体"/>
                <w:color w:val="auto"/>
                <w:szCs w:val="21"/>
                <w:highlight w:val="none"/>
              </w:rPr>
            </w:pPr>
          </w:p>
        </w:tc>
        <w:tc>
          <w:tcPr>
            <w:tcW w:w="1032" w:type="dxa"/>
            <w:vMerge w:val="continue"/>
            <w:vAlign w:val="center"/>
          </w:tcPr>
          <w:p w14:paraId="04A7821B">
            <w:pPr>
              <w:spacing w:line="400" w:lineRule="exact"/>
              <w:jc w:val="center"/>
              <w:rPr>
                <w:rFonts w:ascii="宋体" w:hAnsi="宋体" w:cs="宋体"/>
                <w:color w:val="auto"/>
                <w:kern w:val="0"/>
                <w:szCs w:val="21"/>
                <w:highlight w:val="none"/>
              </w:rPr>
            </w:pPr>
          </w:p>
        </w:tc>
        <w:tc>
          <w:tcPr>
            <w:tcW w:w="1261" w:type="dxa"/>
            <w:vAlign w:val="center"/>
          </w:tcPr>
          <w:p w14:paraId="4763F72D">
            <w:pPr>
              <w:spacing w:line="400" w:lineRule="exact"/>
              <w:jc w:val="center"/>
              <w:rPr>
                <w:rFonts w:ascii="宋体" w:hAnsi="宋体" w:cs="宋体"/>
                <w:bCs/>
                <w:color w:val="auto"/>
                <w:szCs w:val="21"/>
                <w:highlight w:val="none"/>
              </w:rPr>
            </w:pPr>
          </w:p>
          <w:p w14:paraId="66E59B19">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服务方案</w:t>
            </w:r>
          </w:p>
          <w:p w14:paraId="0B87498F">
            <w:pPr>
              <w:spacing w:line="400" w:lineRule="exact"/>
              <w:jc w:val="center"/>
              <w:rPr>
                <w:rFonts w:ascii="宋体" w:hAnsi="宋体" w:cs="宋体"/>
                <w:bCs/>
                <w:color w:val="auto"/>
                <w:kern w:val="0"/>
                <w:szCs w:val="21"/>
                <w:highlight w:val="none"/>
              </w:rPr>
            </w:pPr>
            <w:r>
              <w:rPr>
                <w:rFonts w:hint="eastAsia" w:ascii="宋体" w:hAnsi="宋体" w:cs="宋体"/>
                <w:bCs/>
                <w:color w:val="auto"/>
                <w:szCs w:val="21"/>
                <w:highlight w:val="none"/>
              </w:rPr>
              <w:t>（20分）</w:t>
            </w:r>
          </w:p>
        </w:tc>
        <w:tc>
          <w:tcPr>
            <w:tcW w:w="4682" w:type="dxa"/>
            <w:vAlign w:val="center"/>
          </w:tcPr>
          <w:p w14:paraId="493445D2">
            <w:pPr>
              <w:spacing w:line="360" w:lineRule="auto"/>
              <w:ind w:firstLine="420" w:firstLineChars="200"/>
              <w:rPr>
                <w:rFonts w:ascii="宋体" w:hAnsi="宋体" w:cs="宋体"/>
                <w:color w:val="auto"/>
                <w:szCs w:val="21"/>
                <w:highlight w:val="none"/>
              </w:rPr>
            </w:pPr>
          </w:p>
          <w:p w14:paraId="217E12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根据本项目服务的要求，制定现场安全管理及应急方案，包含现场发生的各类突发事件、特殊状况的处理，以及恶劣天气影响等内容，根据方案的完整度、合理性和可行性等方面评分。</w:t>
            </w:r>
          </w:p>
          <w:p w14:paraId="3158402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优得15（不含）-20分，良得10（不含）-15分，一般得5（不含）-10分，差得1-5分，未提供得0分。</w:t>
            </w:r>
          </w:p>
        </w:tc>
        <w:tc>
          <w:tcPr>
            <w:tcW w:w="1972" w:type="dxa"/>
            <w:vMerge w:val="continue"/>
            <w:vAlign w:val="center"/>
          </w:tcPr>
          <w:p w14:paraId="0788C302">
            <w:pPr>
              <w:spacing w:line="360" w:lineRule="auto"/>
              <w:ind w:firstLine="420" w:firstLineChars="200"/>
              <w:rPr>
                <w:rFonts w:ascii="宋体" w:hAnsi="宋体" w:cs="宋体"/>
                <w:color w:val="auto"/>
                <w:szCs w:val="21"/>
                <w:highlight w:val="none"/>
              </w:rPr>
            </w:pPr>
          </w:p>
        </w:tc>
      </w:tr>
      <w:tr w14:paraId="6B6E43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851" w:type="dxa"/>
            <w:vMerge w:val="continue"/>
            <w:vAlign w:val="center"/>
          </w:tcPr>
          <w:p w14:paraId="023EFE5E">
            <w:pPr>
              <w:spacing w:line="400" w:lineRule="exact"/>
              <w:jc w:val="center"/>
              <w:rPr>
                <w:rFonts w:ascii="宋体" w:hAnsi="宋体" w:cs="宋体"/>
                <w:color w:val="auto"/>
                <w:szCs w:val="21"/>
                <w:highlight w:val="none"/>
              </w:rPr>
            </w:pPr>
          </w:p>
        </w:tc>
        <w:tc>
          <w:tcPr>
            <w:tcW w:w="1032" w:type="dxa"/>
            <w:vMerge w:val="continue"/>
            <w:vAlign w:val="center"/>
          </w:tcPr>
          <w:p w14:paraId="1098F5BD">
            <w:pPr>
              <w:spacing w:line="400" w:lineRule="exact"/>
              <w:jc w:val="center"/>
              <w:rPr>
                <w:rFonts w:ascii="宋体" w:hAnsi="宋体" w:cs="宋体"/>
                <w:color w:val="auto"/>
                <w:kern w:val="0"/>
                <w:szCs w:val="21"/>
                <w:highlight w:val="none"/>
              </w:rPr>
            </w:pPr>
          </w:p>
        </w:tc>
        <w:tc>
          <w:tcPr>
            <w:tcW w:w="1261" w:type="dxa"/>
            <w:vAlign w:val="center"/>
          </w:tcPr>
          <w:p w14:paraId="07B85257">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方案策划</w:t>
            </w:r>
          </w:p>
          <w:p w14:paraId="03DEBC3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（20分）</w:t>
            </w:r>
          </w:p>
        </w:tc>
        <w:tc>
          <w:tcPr>
            <w:tcW w:w="4682" w:type="dxa"/>
            <w:vAlign w:val="center"/>
          </w:tcPr>
          <w:p w14:paraId="70C2668C">
            <w:pPr>
              <w:spacing w:line="360" w:lineRule="auto"/>
              <w:ind w:firstLine="420" w:firstLineChars="200"/>
              <w:rPr>
                <w:rFonts w:ascii="宋体" w:hAnsi="宋体" w:cs="宋体"/>
                <w:color w:val="auto"/>
                <w:szCs w:val="21"/>
                <w:highlight w:val="none"/>
              </w:rPr>
            </w:pPr>
          </w:p>
          <w:p w14:paraId="61803E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根据本项目客户活动需求，供应商结合自身优势为本项目提供策划方案，根据方案的完整度、合理性和可行性等方面评分。</w:t>
            </w:r>
          </w:p>
          <w:p w14:paraId="3EE65E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优得15（不含）-20分，良得10（不含）-15分，一般得5（不含）-10分，差得1-5分，未提供得0分。</w:t>
            </w:r>
          </w:p>
        </w:tc>
        <w:tc>
          <w:tcPr>
            <w:tcW w:w="1972" w:type="dxa"/>
            <w:vMerge w:val="continue"/>
            <w:vAlign w:val="center"/>
          </w:tcPr>
          <w:p w14:paraId="0D12E91C">
            <w:pPr>
              <w:spacing w:line="360" w:lineRule="auto"/>
              <w:ind w:firstLine="420" w:firstLineChars="200"/>
              <w:rPr>
                <w:rFonts w:ascii="宋体" w:hAnsi="宋体" w:cs="宋体"/>
                <w:color w:val="auto"/>
                <w:szCs w:val="21"/>
                <w:highlight w:val="none"/>
              </w:rPr>
            </w:pPr>
          </w:p>
        </w:tc>
      </w:tr>
    </w:tbl>
    <w:p w14:paraId="47284AA2">
      <w:pPr>
        <w:rPr>
          <w:color w:val="auto"/>
          <w:highlight w:val="none"/>
        </w:rPr>
      </w:pPr>
    </w:p>
    <w:p w14:paraId="3CEB6433">
      <w:pPr>
        <w:rPr>
          <w:color w:val="auto"/>
          <w:highlight w:val="none"/>
        </w:rPr>
      </w:pPr>
    </w:p>
    <w:p w14:paraId="1F20316E">
      <w:pPr>
        <w:pStyle w:val="3"/>
        <w:spacing w:before="140" w:after="140" w:line="360" w:lineRule="auto"/>
        <w:rPr>
          <w:rFonts w:ascii="宋体" w:hAnsi="宋体"/>
          <w:color w:val="auto"/>
          <w:szCs w:val="21"/>
          <w:highlight w:val="none"/>
        </w:rPr>
      </w:pPr>
      <w:bookmarkStart w:id="269" w:name="_Toc2739"/>
      <w:r>
        <w:rPr>
          <w:rFonts w:ascii="宋体" w:hAnsi="宋体"/>
          <w:color w:val="auto"/>
          <w:highlight w:val="none"/>
        </w:rPr>
        <w:t xml:space="preserve">1.  </w:t>
      </w:r>
      <w:r>
        <w:rPr>
          <w:rFonts w:hint="eastAsia" w:ascii="宋体" w:hAnsi="宋体"/>
          <w:color w:val="auto"/>
          <w:highlight w:val="none"/>
        </w:rPr>
        <w:t>评标方法</w:t>
      </w:r>
      <w:bookmarkEnd w:id="265"/>
      <w:bookmarkEnd w:id="266"/>
      <w:bookmarkEnd w:id="269"/>
    </w:p>
    <w:p w14:paraId="2CB7F42F">
      <w:pPr>
        <w:autoSpaceDE w:val="0"/>
        <w:autoSpaceDN w:val="0"/>
        <w:adjustRightInd w:val="0"/>
        <w:snapToGrid w:val="0"/>
        <w:spacing w:line="360" w:lineRule="auto"/>
        <w:ind w:firstLine="420"/>
        <w:rPr>
          <w:rFonts w:ascii="宋体" w:hAnsi="宋体" w:cs="MingLiU"/>
          <w:b/>
          <w:color w:val="auto"/>
          <w:kern w:val="0"/>
          <w:szCs w:val="21"/>
          <w:highlight w:val="none"/>
        </w:rPr>
      </w:pPr>
      <w:r>
        <w:rPr>
          <w:rFonts w:hint="eastAsia" w:ascii="宋体" w:hAnsi="宋体" w:cs="MingLiU"/>
          <w:color w:val="auto"/>
          <w:kern w:val="0"/>
          <w:szCs w:val="21"/>
          <w:highlight w:val="none"/>
        </w:rPr>
        <w:t>本次评标采用综合评估法。评标委员会对满足招标文件实质性要求的投标文件，按照本章第</w:t>
      </w:r>
      <w:r>
        <w:rPr>
          <w:rFonts w:ascii="宋体" w:hAnsi="宋体" w:cs="MingLiU"/>
          <w:color w:val="auto"/>
          <w:kern w:val="0"/>
          <w:szCs w:val="21"/>
          <w:highlight w:val="none"/>
        </w:rPr>
        <w:t>2.2</w:t>
      </w:r>
      <w:r>
        <w:rPr>
          <w:rFonts w:hint="eastAsia" w:ascii="宋体" w:hAnsi="宋体" w:cs="MingLiU"/>
          <w:color w:val="auto"/>
          <w:kern w:val="0"/>
          <w:szCs w:val="21"/>
          <w:highlight w:val="none"/>
        </w:rPr>
        <w:t>款规定的评分标准进行打分，并按得分由高到低顺序推荐中标候选人，但投标报价低于其成本的除外。</w:t>
      </w:r>
      <w:r>
        <w:rPr>
          <w:rFonts w:hint="eastAsia" w:ascii="宋体" w:hAnsi="宋体" w:cs="MingLiU"/>
          <w:b/>
          <w:color w:val="auto"/>
          <w:kern w:val="0"/>
          <w:szCs w:val="21"/>
          <w:highlight w:val="none"/>
        </w:rPr>
        <w:t>综合评分相等时，以投标报价低的优先；投标报价也相等的，以商务评分高的优先；商务评分也相等时，以技术评分高的优先。</w:t>
      </w:r>
    </w:p>
    <w:p w14:paraId="469BD441">
      <w:pPr>
        <w:pStyle w:val="3"/>
        <w:spacing w:before="100" w:after="100" w:line="360" w:lineRule="auto"/>
        <w:rPr>
          <w:rFonts w:ascii="宋体" w:hAnsi="宋体"/>
          <w:color w:val="auto"/>
          <w:highlight w:val="none"/>
        </w:rPr>
      </w:pPr>
      <w:bookmarkStart w:id="270" w:name="_Toc46495161"/>
      <w:bookmarkStart w:id="271" w:name="_Toc8661"/>
      <w:bookmarkStart w:id="272" w:name="_Toc59002395"/>
      <w:r>
        <w:rPr>
          <w:rFonts w:ascii="宋体" w:hAnsi="宋体"/>
          <w:color w:val="auto"/>
          <w:highlight w:val="none"/>
        </w:rPr>
        <w:t xml:space="preserve">2.  </w:t>
      </w:r>
      <w:r>
        <w:rPr>
          <w:rFonts w:hint="eastAsia" w:ascii="宋体" w:hAnsi="宋体"/>
          <w:color w:val="auto"/>
          <w:highlight w:val="none"/>
        </w:rPr>
        <w:t>评审标准</w:t>
      </w:r>
      <w:bookmarkEnd w:id="270"/>
      <w:bookmarkEnd w:id="271"/>
      <w:bookmarkEnd w:id="272"/>
    </w:p>
    <w:p w14:paraId="18061BA0">
      <w:pPr>
        <w:pStyle w:val="4"/>
        <w:spacing w:before="100" w:after="100" w:line="360" w:lineRule="auto"/>
        <w:rPr>
          <w:color w:val="auto"/>
          <w:sz w:val="21"/>
          <w:szCs w:val="21"/>
          <w:highlight w:val="none"/>
        </w:rPr>
      </w:pPr>
      <w:bookmarkStart w:id="273" w:name="_Toc46495162"/>
      <w:bookmarkStart w:id="274" w:name="_Toc46491047"/>
      <w:bookmarkStart w:id="275" w:name="_Toc46857532"/>
      <w:bookmarkStart w:id="276" w:name="_Toc59002396"/>
      <w:bookmarkStart w:id="277" w:name="_Toc17145"/>
      <w:r>
        <w:rPr>
          <w:color w:val="auto"/>
          <w:sz w:val="21"/>
          <w:szCs w:val="21"/>
          <w:highlight w:val="none"/>
        </w:rPr>
        <w:t xml:space="preserve">2.1  </w:t>
      </w:r>
      <w:r>
        <w:rPr>
          <w:rFonts w:hint="eastAsia"/>
          <w:color w:val="auto"/>
          <w:sz w:val="21"/>
          <w:szCs w:val="21"/>
          <w:highlight w:val="none"/>
        </w:rPr>
        <w:t>初步评审标准</w:t>
      </w:r>
      <w:bookmarkEnd w:id="273"/>
      <w:bookmarkEnd w:id="274"/>
      <w:bookmarkEnd w:id="275"/>
      <w:bookmarkEnd w:id="276"/>
      <w:bookmarkEnd w:id="277"/>
    </w:p>
    <w:p w14:paraId="0834A2EB">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2.1.1 </w:t>
      </w:r>
      <w:r>
        <w:rPr>
          <w:rFonts w:hint="eastAsia" w:ascii="宋体" w:hAnsi="宋体"/>
          <w:color w:val="auto"/>
          <w:kern w:val="0"/>
          <w:szCs w:val="21"/>
          <w:highlight w:val="none"/>
        </w:rPr>
        <w:t>形式评审标准：见评标办法前附表。</w:t>
      </w:r>
    </w:p>
    <w:p w14:paraId="46C0E941">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2.1.2 </w:t>
      </w:r>
      <w:r>
        <w:rPr>
          <w:rFonts w:hint="eastAsia" w:ascii="宋体" w:hAnsi="宋体"/>
          <w:color w:val="auto"/>
          <w:kern w:val="0"/>
          <w:szCs w:val="21"/>
          <w:highlight w:val="none"/>
        </w:rPr>
        <w:t>资格评审标准：见评标办法前附表。</w:t>
      </w:r>
    </w:p>
    <w:p w14:paraId="1B411F1D">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2.1.3 </w:t>
      </w:r>
      <w:r>
        <w:rPr>
          <w:rFonts w:hint="eastAsia" w:ascii="宋体" w:hAnsi="宋体"/>
          <w:color w:val="auto"/>
          <w:kern w:val="0"/>
          <w:szCs w:val="21"/>
          <w:highlight w:val="none"/>
        </w:rPr>
        <w:t>响应性评审标准：见评标办法前附表。</w:t>
      </w:r>
    </w:p>
    <w:p w14:paraId="49D63C62">
      <w:pPr>
        <w:pStyle w:val="4"/>
        <w:spacing w:before="100" w:after="100" w:line="360" w:lineRule="auto"/>
        <w:rPr>
          <w:color w:val="auto"/>
          <w:sz w:val="21"/>
          <w:szCs w:val="21"/>
          <w:highlight w:val="none"/>
        </w:rPr>
      </w:pPr>
      <w:bookmarkStart w:id="278" w:name="_Toc46491048"/>
      <w:bookmarkStart w:id="279" w:name="_Toc46857533"/>
      <w:bookmarkStart w:id="280" w:name="_Toc46495163"/>
      <w:bookmarkStart w:id="281" w:name="_Toc22818"/>
      <w:bookmarkStart w:id="282" w:name="_Toc59002397"/>
      <w:r>
        <w:rPr>
          <w:color w:val="auto"/>
          <w:sz w:val="21"/>
          <w:szCs w:val="21"/>
          <w:highlight w:val="none"/>
        </w:rPr>
        <w:t xml:space="preserve">2.2  </w:t>
      </w:r>
      <w:r>
        <w:rPr>
          <w:rFonts w:hint="eastAsia"/>
          <w:color w:val="auto"/>
          <w:sz w:val="21"/>
          <w:szCs w:val="21"/>
          <w:highlight w:val="none"/>
        </w:rPr>
        <w:t>分值构成与评分标准</w:t>
      </w:r>
      <w:bookmarkEnd w:id="278"/>
      <w:bookmarkEnd w:id="279"/>
      <w:bookmarkEnd w:id="280"/>
      <w:bookmarkEnd w:id="281"/>
      <w:bookmarkEnd w:id="282"/>
    </w:p>
    <w:p w14:paraId="5B626952">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2.2.1 </w:t>
      </w:r>
      <w:r>
        <w:rPr>
          <w:rFonts w:hint="eastAsia" w:ascii="宋体" w:hAnsi="宋体" w:cs="MingLiU"/>
          <w:color w:val="auto"/>
          <w:kern w:val="0"/>
          <w:szCs w:val="21"/>
          <w:highlight w:val="none"/>
        </w:rPr>
        <w:t>分值构成</w:t>
      </w:r>
    </w:p>
    <w:p w14:paraId="48227B41">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1</w:t>
      </w:r>
      <w:r>
        <w:rPr>
          <w:rFonts w:hint="eastAsia" w:ascii="宋体" w:hAnsi="宋体" w:cs="MingLiU"/>
          <w:color w:val="auto"/>
          <w:kern w:val="0"/>
          <w:szCs w:val="21"/>
          <w:highlight w:val="none"/>
        </w:rPr>
        <w:t>）投标总报价：见评标办法前附表；</w:t>
      </w:r>
    </w:p>
    <w:p w14:paraId="3205B198">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2</w:t>
      </w:r>
      <w:r>
        <w:rPr>
          <w:rFonts w:hint="eastAsia" w:ascii="宋体" w:hAnsi="宋体" w:cs="MingLiU"/>
          <w:color w:val="auto"/>
          <w:kern w:val="0"/>
          <w:szCs w:val="21"/>
          <w:highlight w:val="none"/>
        </w:rPr>
        <w:t>）技术部分：见评标办法前附表；</w:t>
      </w:r>
    </w:p>
    <w:p w14:paraId="14083A95">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（3）商务部分：见评标办法前附表；</w:t>
      </w:r>
    </w:p>
    <w:p w14:paraId="6A173E54">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2.2.2 </w:t>
      </w:r>
      <w:r>
        <w:rPr>
          <w:rFonts w:hint="eastAsia" w:ascii="宋体" w:hAnsi="宋体" w:cs="MingLiU"/>
          <w:color w:val="auto"/>
          <w:kern w:val="0"/>
          <w:szCs w:val="21"/>
          <w:highlight w:val="none"/>
        </w:rPr>
        <w:t>评标基准价计算方法：见评标办法前附表3.2.1（1）。</w:t>
      </w:r>
    </w:p>
    <w:p w14:paraId="1969AFA2">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2.2.3 </w:t>
      </w:r>
      <w:r>
        <w:rPr>
          <w:rFonts w:hint="eastAsia" w:ascii="宋体" w:hAnsi="宋体" w:cs="MingLiU"/>
          <w:color w:val="auto"/>
          <w:kern w:val="0"/>
          <w:szCs w:val="21"/>
          <w:highlight w:val="none"/>
        </w:rPr>
        <w:t>评分标准</w:t>
      </w:r>
    </w:p>
    <w:p w14:paraId="519C350D">
      <w:pPr>
        <w:autoSpaceDE w:val="0"/>
        <w:autoSpaceDN w:val="0"/>
        <w:adjustRightInd w:val="0"/>
        <w:snapToGrid w:val="0"/>
        <w:spacing w:line="360" w:lineRule="auto"/>
        <w:ind w:firstLine="420"/>
        <w:rPr>
          <w:rFonts w:ascii="宋体" w:hAnsi="宋体" w:cs="MingLiU"/>
          <w:color w:val="auto"/>
          <w:kern w:val="0"/>
          <w:szCs w:val="21"/>
          <w:highlight w:val="none"/>
        </w:rPr>
      </w:pPr>
      <w:bookmarkStart w:id="283" w:name="_Toc46495164"/>
      <w:r>
        <w:rPr>
          <w:rFonts w:hint="eastAsia" w:ascii="宋体" w:hAnsi="宋体" w:cs="MingLiU"/>
          <w:color w:val="auto"/>
          <w:kern w:val="0"/>
          <w:szCs w:val="21"/>
          <w:highlight w:val="none"/>
        </w:rPr>
        <w:t>（</w:t>
      </w:r>
      <w:r>
        <w:rPr>
          <w:rFonts w:ascii="宋体" w:hAnsi="宋体" w:cs="MingLiU"/>
          <w:color w:val="auto"/>
          <w:kern w:val="0"/>
          <w:szCs w:val="21"/>
          <w:highlight w:val="none"/>
        </w:rPr>
        <w:t>1</w:t>
      </w:r>
      <w:r>
        <w:rPr>
          <w:rFonts w:hint="eastAsia" w:ascii="宋体" w:hAnsi="宋体" w:cs="MingLiU"/>
          <w:color w:val="auto"/>
          <w:kern w:val="0"/>
          <w:szCs w:val="21"/>
          <w:highlight w:val="none"/>
        </w:rPr>
        <w:t>）投标总报价评分标准：见评标办法前附表3.2.1（1）；</w:t>
      </w:r>
    </w:p>
    <w:p w14:paraId="460475CF">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2</w:t>
      </w:r>
      <w:r>
        <w:rPr>
          <w:rFonts w:hint="eastAsia" w:ascii="宋体" w:hAnsi="宋体" w:cs="MingLiU"/>
          <w:color w:val="auto"/>
          <w:kern w:val="0"/>
          <w:szCs w:val="21"/>
          <w:highlight w:val="none"/>
        </w:rPr>
        <w:t>）商务部分评分标准：见评标办法前附表3.2.1（2）；</w:t>
      </w:r>
    </w:p>
    <w:p w14:paraId="53516B03">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（3）技术部分评分标准：见评标办法前附表3.2.1（3）；</w:t>
      </w:r>
    </w:p>
    <w:p w14:paraId="66DA5416">
      <w:pPr>
        <w:pStyle w:val="3"/>
        <w:spacing w:before="100" w:after="100" w:line="360" w:lineRule="auto"/>
        <w:rPr>
          <w:rFonts w:ascii="宋体" w:hAnsi="宋体"/>
          <w:color w:val="auto"/>
          <w:highlight w:val="none"/>
        </w:rPr>
      </w:pPr>
      <w:bookmarkStart w:id="284" w:name="_Toc25179"/>
      <w:bookmarkStart w:id="285" w:name="_Toc59002398"/>
      <w:r>
        <w:rPr>
          <w:rFonts w:ascii="宋体" w:hAnsi="宋体"/>
          <w:color w:val="auto"/>
          <w:highlight w:val="none"/>
        </w:rPr>
        <w:t xml:space="preserve">3.  </w:t>
      </w:r>
      <w:r>
        <w:rPr>
          <w:rFonts w:hint="eastAsia" w:ascii="宋体" w:hAnsi="宋体"/>
          <w:color w:val="auto"/>
          <w:highlight w:val="none"/>
        </w:rPr>
        <w:t>评标程序</w:t>
      </w:r>
      <w:bookmarkEnd w:id="283"/>
      <w:bookmarkEnd w:id="284"/>
      <w:bookmarkEnd w:id="285"/>
    </w:p>
    <w:p w14:paraId="74E89485">
      <w:pPr>
        <w:pStyle w:val="4"/>
        <w:spacing w:before="100" w:after="100" w:line="360" w:lineRule="auto"/>
        <w:rPr>
          <w:color w:val="auto"/>
          <w:sz w:val="21"/>
          <w:szCs w:val="21"/>
          <w:highlight w:val="none"/>
        </w:rPr>
      </w:pPr>
      <w:bookmarkStart w:id="286" w:name="_Toc46491050"/>
      <w:bookmarkStart w:id="287" w:name="_Toc46495165"/>
      <w:bookmarkStart w:id="288" w:name="_Toc59002399"/>
      <w:bookmarkStart w:id="289" w:name="_Toc46857535"/>
      <w:bookmarkStart w:id="290" w:name="_Toc31295"/>
      <w:r>
        <w:rPr>
          <w:color w:val="auto"/>
          <w:sz w:val="21"/>
          <w:szCs w:val="21"/>
          <w:highlight w:val="none"/>
        </w:rPr>
        <w:t xml:space="preserve">3.1  </w:t>
      </w:r>
      <w:r>
        <w:rPr>
          <w:rFonts w:hint="eastAsia"/>
          <w:color w:val="auto"/>
          <w:sz w:val="21"/>
          <w:szCs w:val="21"/>
          <w:highlight w:val="none"/>
        </w:rPr>
        <w:t>初步评审</w:t>
      </w:r>
      <w:bookmarkEnd w:id="286"/>
      <w:bookmarkEnd w:id="287"/>
      <w:bookmarkEnd w:id="288"/>
      <w:bookmarkEnd w:id="289"/>
      <w:bookmarkEnd w:id="290"/>
    </w:p>
    <w:p w14:paraId="14E89D70">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3.1.1 </w:t>
      </w:r>
      <w:r>
        <w:rPr>
          <w:rFonts w:hint="eastAsia" w:ascii="宋体" w:hAnsi="宋体" w:cs="MingLiU"/>
          <w:color w:val="auto"/>
          <w:kern w:val="0"/>
          <w:szCs w:val="21"/>
          <w:highlight w:val="none"/>
        </w:rPr>
        <w:t>评标委员会依据本章第</w:t>
      </w:r>
      <w:r>
        <w:rPr>
          <w:rFonts w:ascii="宋体" w:hAnsi="宋体" w:cs="MingLiU"/>
          <w:color w:val="auto"/>
          <w:kern w:val="0"/>
          <w:szCs w:val="21"/>
          <w:highlight w:val="none"/>
        </w:rPr>
        <w:t xml:space="preserve">2.1 </w:t>
      </w:r>
      <w:r>
        <w:rPr>
          <w:rFonts w:hint="eastAsia" w:ascii="宋体" w:hAnsi="宋体" w:cs="MingLiU"/>
          <w:color w:val="auto"/>
          <w:kern w:val="0"/>
          <w:szCs w:val="21"/>
          <w:highlight w:val="none"/>
        </w:rPr>
        <w:t>款规定的标准对投标文件进行初步评审。有一项不符合评审标准的，作废标处理，但本招标文件另有规定的从其规定。</w:t>
      </w:r>
    </w:p>
    <w:p w14:paraId="4EA2A0C1">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3.1.2 </w:t>
      </w:r>
      <w:r>
        <w:rPr>
          <w:rFonts w:hint="eastAsia" w:ascii="宋体" w:hAnsi="宋体" w:cs="MingLiU"/>
          <w:color w:val="auto"/>
          <w:kern w:val="0"/>
          <w:szCs w:val="21"/>
          <w:highlight w:val="none"/>
        </w:rPr>
        <w:t>投标人有以下情形之一的，其投标作废标处理：</w:t>
      </w:r>
    </w:p>
    <w:p w14:paraId="5AC30392">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1</w:t>
      </w:r>
      <w:r>
        <w:rPr>
          <w:rFonts w:hint="eastAsia" w:ascii="宋体" w:hAnsi="宋体" w:cs="MingLiU"/>
          <w:color w:val="auto"/>
          <w:kern w:val="0"/>
          <w:szCs w:val="21"/>
          <w:highlight w:val="none"/>
        </w:rPr>
        <w:t>）第二章“投标人须知”第</w:t>
      </w:r>
      <w:r>
        <w:rPr>
          <w:rFonts w:ascii="宋体" w:hAnsi="宋体" w:cs="MingLiU"/>
          <w:color w:val="auto"/>
          <w:kern w:val="0"/>
          <w:szCs w:val="21"/>
          <w:highlight w:val="none"/>
        </w:rPr>
        <w:t>1.4.</w:t>
      </w:r>
      <w:r>
        <w:rPr>
          <w:rFonts w:hint="eastAsia" w:ascii="宋体" w:hAnsi="宋体" w:cs="MingLiU"/>
          <w:color w:val="auto"/>
          <w:kern w:val="0"/>
          <w:szCs w:val="21"/>
          <w:highlight w:val="none"/>
        </w:rPr>
        <w:t>3项规定的任何一种情形的；</w:t>
      </w:r>
    </w:p>
    <w:p w14:paraId="0C3DE094">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2</w:t>
      </w:r>
      <w:r>
        <w:rPr>
          <w:rFonts w:hint="eastAsia" w:ascii="宋体" w:hAnsi="宋体" w:cs="MingLiU"/>
          <w:color w:val="auto"/>
          <w:kern w:val="0"/>
          <w:szCs w:val="21"/>
          <w:highlight w:val="none"/>
        </w:rPr>
        <w:t>）不按评标委员会要求澄清、说明或补正的；</w:t>
      </w:r>
    </w:p>
    <w:p w14:paraId="365575CF">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（3）投标文件附有招标人不能接受的条件的；</w:t>
      </w:r>
    </w:p>
    <w:p w14:paraId="62D3B5A5">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（4）投标人有以他人名义投标、串通投标、弄虚作假或以行贿等手段骗取中标的；</w:t>
      </w:r>
    </w:p>
    <w:p w14:paraId="2B246CFA">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（5）投标报价低于成本价或高于招标人设定的相应招标最高限价的；</w:t>
      </w:r>
    </w:p>
    <w:p w14:paraId="08850184">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（6）同一投标人提供两个及两个以上不同的投标文件或投标报价的，但招标文件要求提交备选投标的除外；</w:t>
      </w:r>
    </w:p>
    <w:p w14:paraId="2D5F658F">
      <w:pPr>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（7）不符合招标文件及其他法律法规规定的其他情形的。</w:t>
      </w:r>
    </w:p>
    <w:p w14:paraId="1E1C74D9">
      <w:pPr>
        <w:autoSpaceDE w:val="0"/>
        <w:autoSpaceDN w:val="0"/>
        <w:adjustRightInd w:val="0"/>
        <w:snapToGrid w:val="0"/>
        <w:spacing w:line="360" w:lineRule="auto"/>
        <w:ind w:firstLine="420"/>
        <w:rPr>
          <w:rFonts w:ascii="宋体" w:hAnsi="宋体" w:cs="MingLiU"/>
          <w:color w:val="auto"/>
          <w:kern w:val="0"/>
          <w:szCs w:val="21"/>
          <w:highlight w:val="none"/>
        </w:rPr>
      </w:pPr>
      <w:r>
        <w:rPr>
          <w:rFonts w:ascii="宋体" w:hAnsi="宋体" w:cs="MingLiU"/>
          <w:color w:val="auto"/>
          <w:kern w:val="0"/>
          <w:szCs w:val="21"/>
          <w:highlight w:val="none"/>
        </w:rPr>
        <w:t xml:space="preserve">3.1.3 </w:t>
      </w:r>
      <w:r>
        <w:rPr>
          <w:rFonts w:hint="eastAsia" w:ascii="宋体" w:hAnsi="宋体" w:cs="MingLiU"/>
          <w:color w:val="auto"/>
          <w:kern w:val="0"/>
          <w:szCs w:val="21"/>
          <w:highlight w:val="none"/>
        </w:rPr>
        <w:t>投标报价有算术错误的，评标委员会按以下原则对投标报价进行修正，修正的价格经投标人书面确认后具有约束力。投标人不接受修正价格的，其投标作废标处理。</w:t>
      </w:r>
    </w:p>
    <w:p w14:paraId="13B51734">
      <w:pPr>
        <w:spacing w:line="360"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ascii="宋体" w:hAnsi="宋体" w:cs="MingLiU"/>
          <w:color w:val="auto"/>
          <w:kern w:val="0"/>
          <w:szCs w:val="21"/>
          <w:highlight w:val="none"/>
        </w:rPr>
        <w:t>1</w:t>
      </w:r>
      <w:r>
        <w:rPr>
          <w:rFonts w:hint="eastAsia" w:ascii="宋体" w:hAnsi="宋体" w:cs="MingLiU"/>
          <w:color w:val="auto"/>
          <w:kern w:val="0"/>
          <w:szCs w:val="21"/>
          <w:highlight w:val="none"/>
        </w:rPr>
        <w:t xml:space="preserve">）投标文件中的大写金额与小写金额不一致的，以大写金额为准； </w:t>
      </w:r>
    </w:p>
    <w:p w14:paraId="02D52141">
      <w:pPr>
        <w:spacing w:line="360"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（2）总价金额与依据单价计算出的结果不一致的，以单价金额为准修正总价，但单价金额小数点有明显错误的除外。</w:t>
      </w:r>
    </w:p>
    <w:p w14:paraId="1EB8F7E1">
      <w:pPr>
        <w:pStyle w:val="4"/>
        <w:spacing w:before="100" w:after="100" w:line="360" w:lineRule="auto"/>
        <w:rPr>
          <w:color w:val="auto"/>
          <w:sz w:val="21"/>
          <w:szCs w:val="21"/>
          <w:highlight w:val="none"/>
        </w:rPr>
      </w:pPr>
      <w:bookmarkStart w:id="291" w:name="_Toc46857536"/>
      <w:bookmarkStart w:id="292" w:name="_Toc46491051"/>
      <w:bookmarkStart w:id="293" w:name="_Toc46495166"/>
      <w:bookmarkStart w:id="294" w:name="_Toc59002400"/>
      <w:bookmarkStart w:id="295" w:name="_Toc5080"/>
      <w:r>
        <w:rPr>
          <w:color w:val="auto"/>
          <w:sz w:val="21"/>
          <w:szCs w:val="21"/>
          <w:highlight w:val="none"/>
        </w:rPr>
        <w:t xml:space="preserve">3.2  </w:t>
      </w:r>
      <w:r>
        <w:rPr>
          <w:rFonts w:hint="eastAsia"/>
          <w:color w:val="auto"/>
          <w:sz w:val="21"/>
          <w:szCs w:val="21"/>
          <w:highlight w:val="none"/>
        </w:rPr>
        <w:t>详细评审</w:t>
      </w:r>
      <w:bookmarkEnd w:id="291"/>
      <w:bookmarkEnd w:id="292"/>
      <w:bookmarkEnd w:id="293"/>
      <w:bookmarkEnd w:id="294"/>
      <w:bookmarkEnd w:id="295"/>
    </w:p>
    <w:p w14:paraId="3CCA7FA6">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3.2.1 </w:t>
      </w:r>
      <w:r>
        <w:rPr>
          <w:rFonts w:hint="eastAsia" w:ascii="宋体" w:hAnsi="宋体"/>
          <w:color w:val="auto"/>
          <w:kern w:val="0"/>
          <w:szCs w:val="21"/>
          <w:highlight w:val="none"/>
        </w:rPr>
        <w:t>评标委员会按本章第</w:t>
      </w:r>
      <w:r>
        <w:rPr>
          <w:rFonts w:ascii="宋体" w:hAnsi="宋体"/>
          <w:color w:val="auto"/>
          <w:kern w:val="0"/>
          <w:szCs w:val="21"/>
          <w:highlight w:val="none"/>
        </w:rPr>
        <w:t>2.2</w:t>
      </w:r>
      <w:r>
        <w:rPr>
          <w:rFonts w:hint="eastAsia" w:ascii="宋体" w:hAnsi="宋体"/>
          <w:color w:val="auto"/>
          <w:kern w:val="0"/>
          <w:szCs w:val="21"/>
          <w:highlight w:val="none"/>
        </w:rPr>
        <w:t>款规定的量化因素和分值进行打分，并计算出综合评估得分。</w:t>
      </w:r>
    </w:p>
    <w:p w14:paraId="12A0CA7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）按本章规定的评审因素和分值对投标总报价计算出得分</w:t>
      </w:r>
      <w:r>
        <w:rPr>
          <w:rFonts w:ascii="宋体" w:hAnsi="宋体"/>
          <w:color w:val="auto"/>
          <w:kern w:val="0"/>
          <w:szCs w:val="21"/>
          <w:highlight w:val="none"/>
        </w:rPr>
        <w:t>A</w:t>
      </w:r>
      <w:r>
        <w:rPr>
          <w:rFonts w:hint="eastAsia" w:ascii="宋体" w:hAnsi="宋体"/>
          <w:color w:val="auto"/>
          <w:kern w:val="0"/>
          <w:szCs w:val="21"/>
          <w:highlight w:val="none"/>
        </w:rPr>
        <w:t>；</w:t>
      </w:r>
    </w:p>
    <w:p w14:paraId="7609F7FA">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hint="eastAsia" w:ascii="宋体" w:hAnsi="宋体"/>
          <w:color w:val="auto"/>
          <w:kern w:val="0"/>
          <w:szCs w:val="21"/>
          <w:highlight w:val="none"/>
        </w:rPr>
        <w:t>（2）按本章规定的评审因素和分值对商务部分计算出得分B。</w:t>
      </w:r>
    </w:p>
    <w:p w14:paraId="6C8D4D9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hint="eastAsia" w:ascii="宋体" w:hAnsi="宋体"/>
          <w:color w:val="auto"/>
          <w:kern w:val="0"/>
          <w:szCs w:val="21"/>
          <w:highlight w:val="none"/>
        </w:rPr>
        <w:t>（3）按本章规定的评审因素和分值对技术部分计算出得分C。</w:t>
      </w:r>
    </w:p>
    <w:p w14:paraId="1561CE1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3.2.2 </w:t>
      </w:r>
      <w:r>
        <w:rPr>
          <w:rFonts w:hint="eastAsia" w:ascii="宋体" w:hAnsi="宋体"/>
          <w:color w:val="auto"/>
          <w:kern w:val="0"/>
          <w:szCs w:val="21"/>
          <w:highlight w:val="none"/>
        </w:rPr>
        <w:t>评分分值计算保留小数点后两位，小数点后第三位“四舍五入”。</w:t>
      </w:r>
    </w:p>
    <w:p w14:paraId="0532495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投标人得分</w:t>
      </w:r>
      <w:r>
        <w:rPr>
          <w:rFonts w:ascii="宋体" w:hAnsi="宋体"/>
          <w:color w:val="auto"/>
          <w:kern w:val="0"/>
          <w:szCs w:val="21"/>
          <w:highlight w:val="none"/>
        </w:rPr>
        <w:t>=A+B</w:t>
      </w:r>
      <w:r>
        <w:rPr>
          <w:rFonts w:hint="eastAsia" w:ascii="宋体" w:hAnsi="宋体"/>
          <w:color w:val="auto"/>
          <w:kern w:val="0"/>
          <w:szCs w:val="21"/>
          <w:highlight w:val="none"/>
        </w:rPr>
        <w:t>+C。</w:t>
      </w:r>
    </w:p>
    <w:p w14:paraId="3E28F0D5">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3.2.4</w:t>
      </w:r>
      <w:r>
        <w:rPr>
          <w:rFonts w:hint="eastAsia" w:ascii="宋体" w:hAnsi="宋体"/>
          <w:color w:val="auto"/>
          <w:kern w:val="0"/>
          <w:szCs w:val="21"/>
          <w:highlight w:val="none"/>
        </w:rPr>
        <w:t>在评审过程中，评标委员会发现投标人的报价明显低于其他投标报价，使得其投标报价可能低于其个别成本的，或者明细清单单价中存在重大不平衡报价、明显不合理单价，要求投标人在规定的时限内作出书面说明，并提供相关证明材料。投标人不能在规定的时限内作出书面说明并提供相关证明材料的，或者提交的书面说明和相关证明材料不能有效地说明不低于成本价（投标人以自有机械设备闲置、自有材料不计成本为由的说明无效）和不存在重大不平衡报价、明显不合理单价的，经评标委员会认定后，其投标文件作废标处理。</w:t>
      </w:r>
    </w:p>
    <w:p w14:paraId="13BF46A5">
      <w:pPr>
        <w:pStyle w:val="4"/>
        <w:spacing w:before="100" w:after="100" w:line="360" w:lineRule="auto"/>
        <w:rPr>
          <w:color w:val="auto"/>
          <w:sz w:val="21"/>
          <w:szCs w:val="21"/>
          <w:highlight w:val="none"/>
        </w:rPr>
      </w:pPr>
      <w:r>
        <w:rPr>
          <w:rFonts w:hint="eastAsia"/>
          <w:color w:val="auto"/>
          <w:sz w:val="21"/>
          <w:szCs w:val="21"/>
          <w:highlight w:val="none"/>
        </w:rPr>
        <w:t xml:space="preserve">    </w:t>
      </w:r>
      <w:bookmarkStart w:id="296" w:name="_Toc28525"/>
      <w:bookmarkStart w:id="297" w:name="_Toc46857537"/>
      <w:bookmarkStart w:id="298" w:name="_Toc59002401"/>
      <w:bookmarkStart w:id="299" w:name="_Toc46491052"/>
      <w:bookmarkStart w:id="300" w:name="_Toc46495167"/>
      <w:r>
        <w:rPr>
          <w:rFonts w:hint="eastAsia"/>
          <w:color w:val="auto"/>
          <w:sz w:val="21"/>
          <w:szCs w:val="21"/>
          <w:highlight w:val="none"/>
        </w:rPr>
        <w:t>3.3  投标文件的澄清和补正</w:t>
      </w:r>
      <w:bookmarkEnd w:id="296"/>
      <w:bookmarkEnd w:id="297"/>
      <w:bookmarkEnd w:id="298"/>
      <w:bookmarkEnd w:id="299"/>
      <w:bookmarkEnd w:id="300"/>
    </w:p>
    <w:p w14:paraId="7FF959D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3.3.1 </w:t>
      </w:r>
      <w:r>
        <w:rPr>
          <w:rFonts w:hint="eastAsia" w:ascii="宋体" w:hAnsi="宋体"/>
          <w:color w:val="auto"/>
          <w:kern w:val="0"/>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0EE6B157">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3.3.2 </w:t>
      </w:r>
      <w:r>
        <w:rPr>
          <w:rFonts w:hint="eastAsia" w:ascii="宋体" w:hAnsi="宋体"/>
          <w:color w:val="auto"/>
          <w:kern w:val="0"/>
          <w:szCs w:val="21"/>
          <w:highlight w:val="none"/>
        </w:rPr>
        <w:t>澄清、说明和补正不得改变投标文件的实质性内容。投标人的书面澄清、说明和补正属于投标文件的组成部分。</w:t>
      </w:r>
    </w:p>
    <w:p w14:paraId="36E9B075">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rPr>
        <w:t>评标委员会对投标人提交的澄清、说明或补正有疑问的，可以要求投标人进一步澄清、说明或补正，直至满足评标委员会的要求。</w:t>
      </w:r>
    </w:p>
    <w:p w14:paraId="0A912D6D">
      <w:pPr>
        <w:pStyle w:val="4"/>
        <w:spacing w:before="100" w:after="100" w:line="360" w:lineRule="auto"/>
        <w:rPr>
          <w:color w:val="auto"/>
          <w:sz w:val="21"/>
          <w:szCs w:val="21"/>
          <w:highlight w:val="none"/>
        </w:rPr>
      </w:pPr>
      <w:bookmarkStart w:id="301" w:name="_Toc46495168"/>
      <w:bookmarkStart w:id="302" w:name="_Toc46491053"/>
      <w:bookmarkStart w:id="303" w:name="_Toc16126"/>
      <w:bookmarkStart w:id="304" w:name="_Toc59002402"/>
      <w:bookmarkStart w:id="305" w:name="_Toc46857538"/>
      <w:r>
        <w:rPr>
          <w:rFonts w:hint="eastAsia"/>
          <w:color w:val="auto"/>
          <w:sz w:val="21"/>
          <w:szCs w:val="21"/>
          <w:highlight w:val="none"/>
        </w:rPr>
        <w:t>3.4  评标结果</w:t>
      </w:r>
      <w:bookmarkEnd w:id="301"/>
      <w:bookmarkEnd w:id="302"/>
      <w:bookmarkEnd w:id="303"/>
      <w:bookmarkEnd w:id="304"/>
      <w:bookmarkEnd w:id="305"/>
    </w:p>
    <w:p w14:paraId="6268D98C">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3.4.1 </w:t>
      </w:r>
      <w:r>
        <w:rPr>
          <w:rFonts w:hint="eastAsia" w:ascii="宋体" w:hAnsi="宋体"/>
          <w:color w:val="auto"/>
          <w:kern w:val="0"/>
          <w:szCs w:val="21"/>
          <w:highlight w:val="none"/>
        </w:rPr>
        <w:t>除第二章“投标人须知”前附表授权直接确定中标人外，评标委员会按照得分由高到低的顺序推荐中标候选人</w:t>
      </w:r>
      <w:r>
        <w:rPr>
          <w:rFonts w:hint="eastAsia" w:ascii="宋体" w:hAnsi="宋体" w:cs="宋体"/>
          <w:b/>
          <w:snapToGrid w:val="0"/>
          <w:color w:val="auto"/>
          <w:kern w:val="0"/>
          <w:highlight w:val="none"/>
        </w:rPr>
        <w:t>。</w:t>
      </w:r>
    </w:p>
    <w:p w14:paraId="3CB33D03">
      <w:pPr>
        <w:autoSpaceDE w:val="0"/>
        <w:autoSpaceDN w:val="0"/>
        <w:adjustRightInd w:val="0"/>
        <w:snapToGrid w:val="0"/>
        <w:spacing w:line="360" w:lineRule="auto"/>
        <w:ind w:left="1" w:firstLine="535" w:firstLineChars="255"/>
        <w:jc w:val="left"/>
        <w:rPr>
          <w:rFonts w:ascii="宋体" w:hAnsi="宋体"/>
          <w:color w:val="auto"/>
          <w:kern w:val="0"/>
          <w:szCs w:val="21"/>
          <w:highlight w:val="none"/>
        </w:rPr>
      </w:pPr>
      <w:r>
        <w:rPr>
          <w:rFonts w:ascii="宋体" w:hAnsi="宋体"/>
          <w:color w:val="auto"/>
          <w:kern w:val="0"/>
          <w:szCs w:val="21"/>
          <w:highlight w:val="none"/>
        </w:rPr>
        <w:t xml:space="preserve">3.4.2 </w:t>
      </w:r>
      <w:r>
        <w:rPr>
          <w:rFonts w:hint="eastAsia" w:ascii="宋体" w:hAnsi="宋体"/>
          <w:color w:val="auto"/>
          <w:kern w:val="0"/>
          <w:szCs w:val="21"/>
          <w:highlight w:val="none"/>
        </w:rPr>
        <w:t>评标委员会完成评标后，应当向招标人提交书面评标报告。</w:t>
      </w:r>
    </w:p>
    <w:p w14:paraId="14917BBA">
      <w:pPr>
        <w:pStyle w:val="2"/>
        <w:spacing w:line="360" w:lineRule="auto"/>
        <w:ind w:left="3105" w:hanging="3105"/>
        <w:jc w:val="center"/>
        <w:rPr>
          <w:rFonts w:ascii="宋体" w:hAnsi="宋体"/>
          <w:snapToGrid w:val="0"/>
          <w:color w:val="auto"/>
          <w:kern w:val="0"/>
          <w:highlight w:val="none"/>
        </w:rPr>
      </w:pPr>
      <w:bookmarkStart w:id="306" w:name="_Toc22285"/>
      <w:r>
        <w:rPr>
          <w:rFonts w:hint="eastAsia" w:ascii="宋体" w:hAnsi="宋体"/>
          <w:snapToGrid w:val="0"/>
          <w:color w:val="auto"/>
          <w:kern w:val="0"/>
          <w:highlight w:val="none"/>
        </w:rPr>
        <w:t>第四章  合同条款及格式</w:t>
      </w:r>
      <w:bookmarkEnd w:id="306"/>
    </w:p>
    <w:p w14:paraId="2DEA282F">
      <w:pPr>
        <w:spacing w:line="340" w:lineRule="exact"/>
        <w:jc w:val="center"/>
        <w:rPr>
          <w:rFonts w:ascii="黑体" w:eastAsia="黑体"/>
          <w:b/>
          <w:color w:val="auto"/>
          <w:sz w:val="28"/>
          <w:szCs w:val="28"/>
          <w:highlight w:val="none"/>
        </w:rPr>
      </w:pPr>
      <w:r>
        <w:rPr>
          <w:rFonts w:hint="eastAsia"/>
          <w:color w:val="auto"/>
          <w:sz w:val="28"/>
          <w:szCs w:val="28"/>
          <w:highlight w:val="none"/>
        </w:rPr>
        <w:t xml:space="preserve">  </w:t>
      </w:r>
    </w:p>
    <w:p w14:paraId="50994920">
      <w:pPr>
        <w:widowControl/>
        <w:spacing w:line="500" w:lineRule="exact"/>
        <w:outlineLvl w:val="1"/>
        <w:rPr>
          <w:rFonts w:ascii="宋体" w:hAnsi="宋体" w:cs="宋体"/>
          <w:color w:val="auto"/>
          <w:sz w:val="30"/>
          <w:szCs w:val="30"/>
          <w:highlight w:val="none"/>
        </w:rPr>
      </w:pPr>
      <w:bookmarkStart w:id="307" w:name="_Toc26805"/>
      <w:bookmarkStart w:id="308" w:name="_Toc12683"/>
      <w:bookmarkStart w:id="309" w:name="_Toc7840"/>
      <w:bookmarkStart w:id="310" w:name="_Toc285722713"/>
      <w:bookmarkStart w:id="311" w:name="_Toc95812577"/>
      <w:bookmarkStart w:id="312" w:name="_Toc277084871"/>
      <w:r>
        <w:rPr>
          <w:rFonts w:hint="eastAsia" w:ascii="宋体" w:hAnsi="宋体" w:cs="宋体"/>
          <w:color w:val="auto"/>
          <w:sz w:val="30"/>
          <w:szCs w:val="30"/>
          <w:highlight w:val="none"/>
        </w:rPr>
        <w:t>附件一：</w:t>
      </w:r>
      <w:bookmarkEnd w:id="307"/>
      <w:bookmarkEnd w:id="308"/>
      <w:bookmarkEnd w:id="309"/>
    </w:p>
    <w:p w14:paraId="5F6DAA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根据《中华人民共和国招标投标法》和《中华人民共和国民法典》，招标人和中标人之间的权利和义务，应当按照平等、自愿的原则，依据招标文件要求和投标文件响应，签订合同。</w:t>
      </w:r>
    </w:p>
    <w:p w14:paraId="68F24185">
      <w:pPr>
        <w:widowControl/>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酒店服务采购合作合同</w:t>
      </w:r>
    </w:p>
    <w:p w14:paraId="6A94CE6C">
      <w:pPr>
        <w:widowControl/>
        <w:spacing w:line="360" w:lineRule="auto"/>
        <w:ind w:firstLine="482" w:firstLineChars="200"/>
        <w:jc w:val="left"/>
        <w:rPr>
          <w:rFonts w:ascii="宋体" w:hAnsi="宋体" w:cs="宋体"/>
          <w:b/>
          <w:color w:val="auto"/>
          <w:kern w:val="0"/>
          <w:sz w:val="24"/>
          <w:highlight w:val="none"/>
        </w:rPr>
      </w:pPr>
    </w:p>
    <w:p w14:paraId="1BA4FF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TW"/>
        </w:rPr>
        <w:t>甲方：</w:t>
      </w:r>
      <w:r>
        <w:rPr>
          <w:rFonts w:hint="eastAsia" w:ascii="宋体" w:hAnsi="宋体" w:cs="宋体"/>
          <w:color w:val="auto"/>
          <w:kern w:val="0"/>
          <w:sz w:val="24"/>
          <w:highlight w:val="none"/>
        </w:rPr>
        <w:t xml:space="preserve">中国人寿保险股份有限公司重庆分公司   </w:t>
      </w:r>
    </w:p>
    <w:p w14:paraId="2ACB4B7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79693DE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电话： </w:t>
      </w:r>
    </w:p>
    <w:p w14:paraId="662A86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TW"/>
        </w:rPr>
        <w:t>乙方：</w:t>
      </w:r>
      <w:r>
        <w:rPr>
          <w:rFonts w:hint="eastAsia" w:ascii="宋体" w:hAnsi="宋体" w:cs="宋体"/>
          <w:color w:val="auto"/>
          <w:kern w:val="0"/>
          <w:sz w:val="24"/>
          <w:highlight w:val="none"/>
        </w:rPr>
        <w:t xml:space="preserve">         </w:t>
      </w:r>
    </w:p>
    <w:p w14:paraId="6A29ED4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784F256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w:t>
      </w:r>
    </w:p>
    <w:p w14:paraId="70F4EA2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经甲乙双方友好协商,就乙方为甲方提供酒店服务事宜,达成如下协议：</w:t>
      </w:r>
    </w:p>
    <w:p w14:paraId="4CA4ED7A">
      <w:pPr>
        <w:widowControl/>
        <w:spacing w:line="360" w:lineRule="auto"/>
        <w:ind w:firstLine="482" w:firstLineChars="200"/>
        <w:outlineLvl w:val="0"/>
        <w:rPr>
          <w:rFonts w:ascii="宋体" w:hAnsi="宋体" w:cs="宋体"/>
          <w:b/>
          <w:color w:val="auto"/>
          <w:kern w:val="0"/>
          <w:sz w:val="24"/>
          <w:highlight w:val="none"/>
        </w:rPr>
      </w:pPr>
      <w:bookmarkStart w:id="313" w:name="_Toc29898"/>
      <w:bookmarkStart w:id="314" w:name="_Toc21819"/>
      <w:bookmarkStart w:id="315" w:name="_Toc6855"/>
      <w:bookmarkStart w:id="316" w:name="_Toc17076"/>
      <w:r>
        <w:rPr>
          <w:rFonts w:hint="eastAsia" w:ascii="宋体" w:hAnsi="宋体" w:cs="宋体"/>
          <w:b/>
          <w:color w:val="auto"/>
          <w:kern w:val="0"/>
          <w:sz w:val="24"/>
          <w:highlight w:val="none"/>
        </w:rPr>
        <w:t>一、客房项目</w:t>
      </w:r>
      <w:bookmarkEnd w:id="313"/>
      <w:bookmarkEnd w:id="314"/>
      <w:bookmarkEnd w:id="315"/>
      <w:bookmarkEnd w:id="316"/>
    </w:p>
    <w:p w14:paraId="0B5805C0">
      <w:pPr>
        <w:widowControl/>
        <w:spacing w:line="360" w:lineRule="auto"/>
        <w:ind w:firstLine="482" w:firstLineChars="200"/>
        <w:outlineLvl w:val="1"/>
        <w:rPr>
          <w:rFonts w:ascii="宋体" w:hAnsi="宋体" w:cs="宋体"/>
          <w:b/>
          <w:color w:val="auto"/>
          <w:kern w:val="0"/>
          <w:sz w:val="24"/>
          <w:highlight w:val="none"/>
        </w:rPr>
      </w:pPr>
      <w:bookmarkStart w:id="317" w:name="_Toc16160"/>
      <w:bookmarkStart w:id="318" w:name="_Toc5150"/>
      <w:bookmarkStart w:id="319" w:name="_Toc19164"/>
      <w:r>
        <w:rPr>
          <w:rFonts w:hint="eastAsia" w:ascii="宋体" w:hAnsi="宋体" w:cs="宋体"/>
          <w:b/>
          <w:color w:val="auto"/>
          <w:kern w:val="0"/>
          <w:sz w:val="24"/>
          <w:highlight w:val="none"/>
        </w:rPr>
        <w:t>1、客房预订流程</w:t>
      </w:r>
      <w:bookmarkEnd w:id="317"/>
      <w:bookmarkEnd w:id="318"/>
      <w:bookmarkEnd w:id="319"/>
    </w:p>
    <w:p w14:paraId="125ED21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（1）甲方入住乙方酒店前，甲方应以电话或传真、电子邮件方式通知乙方入住人员的姓名、人数、需预订的房间数量和</w:t>
      </w:r>
      <w:r>
        <w:rPr>
          <w:rFonts w:hint="eastAsia" w:ascii="宋体" w:hAnsi="宋体" w:cs="宋体"/>
          <w:color w:val="auto"/>
          <w:kern w:val="0"/>
          <w:sz w:val="24"/>
          <w:highlight w:val="none"/>
          <w:lang w:eastAsia="zh-TW"/>
        </w:rPr>
        <w:t>类型、</w:t>
      </w:r>
      <w:r>
        <w:rPr>
          <w:rFonts w:hint="eastAsia" w:ascii="宋体" w:hAnsi="宋体" w:cs="宋体"/>
          <w:color w:val="auto"/>
          <w:kern w:val="0"/>
          <w:sz w:val="24"/>
          <w:highlight w:val="none"/>
        </w:rPr>
        <w:t>入住和离</w:t>
      </w:r>
      <w:r>
        <w:rPr>
          <w:rFonts w:hint="eastAsia" w:ascii="宋体" w:hAnsi="宋体" w:cs="宋体"/>
          <w:color w:val="auto"/>
          <w:kern w:val="0"/>
          <w:sz w:val="24"/>
          <w:highlight w:val="none"/>
          <w:lang w:eastAsia="zh-TW"/>
        </w:rPr>
        <w:t>店</w:t>
      </w:r>
      <w:r>
        <w:rPr>
          <w:rFonts w:hint="eastAsia" w:ascii="宋体" w:hAnsi="宋体" w:cs="宋体"/>
          <w:color w:val="auto"/>
          <w:kern w:val="0"/>
          <w:sz w:val="24"/>
          <w:highlight w:val="none"/>
        </w:rPr>
        <w:t>日期及</w:t>
      </w:r>
      <w:r>
        <w:rPr>
          <w:rFonts w:hint="eastAsia" w:ascii="宋体" w:hAnsi="宋体" w:cs="宋体"/>
          <w:color w:val="auto"/>
          <w:kern w:val="0"/>
          <w:sz w:val="24"/>
          <w:highlight w:val="none"/>
          <w:lang w:eastAsia="zh-TW"/>
        </w:rPr>
        <w:t>其他要求</w:t>
      </w:r>
      <w:r>
        <w:rPr>
          <w:rFonts w:hint="eastAsia" w:ascii="宋体" w:hAnsi="宋体" w:cs="宋体"/>
          <w:color w:val="auto"/>
          <w:kern w:val="0"/>
          <w:sz w:val="24"/>
          <w:highlight w:val="none"/>
        </w:rPr>
        <w:t>等事项，并经甲乙双方指定联系人微信或短信息、电子邮件等书面形式确认。</w:t>
      </w:r>
    </w:p>
    <w:p w14:paraId="344DE5A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（2）乙方收到甲方通知后，应优先满足甲方的订房要求，并于24小时内以电话或传真，微信等方式向甲方反馈订房结果，并由甲方确认。</w:t>
      </w:r>
    </w:p>
    <w:p w14:paraId="6CD8F70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（3）乙方凭经甲方确认的订房结果为甲方办理入住手续。</w:t>
      </w:r>
    </w:p>
    <w:p w14:paraId="02751F37">
      <w:pPr>
        <w:widowControl/>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2、甲方若需取消或变更预订，应尽量提前通知乙方。乙方收到甲方通知后，应免费为甲方办理取消或变更预订。</w:t>
      </w:r>
    </w:p>
    <w:p w14:paraId="6213A118">
      <w:pPr>
        <w:widowControl/>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3、对于甲乙双方确认后的订房结果，乙方必须提供相应客房，如遇特殊情况不能提供，则由乙方按以下方式解决，由此产生的差价由乙方承担：</w:t>
      </w:r>
    </w:p>
    <w:p w14:paraId="5020284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（1）升级至比甲方预订的高一级的房型；</w:t>
      </w:r>
    </w:p>
    <w:p w14:paraId="2A4EBA8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（2）协助安排其它同级别酒店的相应级别的房型。</w:t>
      </w:r>
    </w:p>
    <w:p w14:paraId="672E2BE8">
      <w:pPr>
        <w:widowControl/>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4、甲方退房时间最迟为入住次日中午13点，如遇特殊情况，经乙方同意后，甲方可适当延时退房，但最迟不得超过次日中午14点，超过14点需加收半天房费（加收房费以本合同约定的优惠价为基准计算）。</w:t>
      </w:r>
    </w:p>
    <w:p w14:paraId="058EDF75">
      <w:pPr>
        <w:widowControl/>
        <w:spacing w:line="360" w:lineRule="auto"/>
        <w:ind w:firstLine="482" w:firstLineChars="200"/>
        <w:outlineLvl w:val="0"/>
        <w:rPr>
          <w:rFonts w:ascii="宋体" w:hAnsi="宋体" w:cs="宋体"/>
          <w:b/>
          <w:color w:val="auto"/>
          <w:kern w:val="0"/>
          <w:sz w:val="24"/>
          <w:highlight w:val="none"/>
        </w:rPr>
      </w:pPr>
      <w:bookmarkStart w:id="320" w:name="_Toc947"/>
      <w:bookmarkStart w:id="321" w:name="_Toc21288"/>
      <w:bookmarkStart w:id="322" w:name="_Toc16553"/>
      <w:bookmarkStart w:id="323" w:name="_Toc30528"/>
      <w:r>
        <w:rPr>
          <w:rFonts w:hint="eastAsia" w:ascii="宋体" w:hAnsi="宋体" w:cs="宋体"/>
          <w:b/>
          <w:color w:val="auto"/>
          <w:kern w:val="0"/>
          <w:sz w:val="24"/>
          <w:highlight w:val="none"/>
        </w:rPr>
        <w:t>二、客房</w:t>
      </w:r>
      <w:r>
        <w:rPr>
          <w:rFonts w:hint="eastAsia" w:ascii="宋体" w:hAnsi="宋体" w:cs="宋体"/>
          <w:b/>
          <w:color w:val="auto"/>
          <w:kern w:val="0"/>
          <w:sz w:val="24"/>
          <w:highlight w:val="none"/>
          <w:lang w:eastAsia="zh-TW"/>
        </w:rPr>
        <w:t>价格</w:t>
      </w:r>
      <w:bookmarkEnd w:id="320"/>
      <w:bookmarkEnd w:id="321"/>
      <w:bookmarkEnd w:id="322"/>
      <w:bookmarkEnd w:id="323"/>
    </w:p>
    <w:p w14:paraId="32AA532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1、乙方为甲方提供以下优惠房价：</w:t>
      </w:r>
    </w:p>
    <w:tbl>
      <w:tblPr>
        <w:tblStyle w:val="44"/>
        <w:tblW w:w="8869" w:type="dxa"/>
        <w:jc w:val="center"/>
        <w:tblLayout w:type="fixed"/>
        <w:tblCellMar>
          <w:top w:w="0" w:type="dxa"/>
          <w:left w:w="108" w:type="dxa"/>
          <w:bottom w:w="0" w:type="dxa"/>
          <w:right w:w="108" w:type="dxa"/>
        </w:tblCellMar>
      </w:tblPr>
      <w:tblGrid>
        <w:gridCol w:w="3419"/>
        <w:gridCol w:w="5450"/>
      </w:tblGrid>
      <w:tr w14:paraId="4B575D13">
        <w:tblPrEx>
          <w:tblCellMar>
            <w:top w:w="0" w:type="dxa"/>
            <w:left w:w="108" w:type="dxa"/>
            <w:bottom w:w="0" w:type="dxa"/>
            <w:right w:w="108" w:type="dxa"/>
          </w:tblCellMar>
        </w:tblPrEx>
        <w:trPr>
          <w:trHeight w:val="397" w:hRule="atLeast"/>
          <w:jc w:val="center"/>
        </w:trPr>
        <w:tc>
          <w:tcPr>
            <w:tcW w:w="3419" w:type="dxa"/>
            <w:tcBorders>
              <w:top w:val="single" w:color="auto" w:sz="4" w:space="0"/>
              <w:left w:val="single" w:color="auto" w:sz="4" w:space="0"/>
              <w:bottom w:val="single" w:color="auto" w:sz="4" w:space="0"/>
              <w:right w:val="single" w:color="auto" w:sz="4" w:space="0"/>
            </w:tcBorders>
            <w:vAlign w:val="center"/>
          </w:tcPr>
          <w:p w14:paraId="0E9ADB58">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房间类型</w:t>
            </w:r>
          </w:p>
        </w:tc>
        <w:tc>
          <w:tcPr>
            <w:tcW w:w="5450" w:type="dxa"/>
            <w:tcBorders>
              <w:top w:val="single" w:color="auto" w:sz="4" w:space="0"/>
              <w:left w:val="nil"/>
              <w:bottom w:val="single" w:color="auto" w:sz="4" w:space="0"/>
              <w:right w:val="single" w:color="auto" w:sz="4" w:space="0"/>
            </w:tcBorders>
            <w:vAlign w:val="center"/>
          </w:tcPr>
          <w:p w14:paraId="5CE89AE4">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协议价（单位：人民币）</w:t>
            </w:r>
          </w:p>
        </w:tc>
      </w:tr>
      <w:tr w14:paraId="7EEF38D0">
        <w:tblPrEx>
          <w:tblCellMar>
            <w:top w:w="0" w:type="dxa"/>
            <w:left w:w="108" w:type="dxa"/>
            <w:bottom w:w="0" w:type="dxa"/>
            <w:right w:w="108" w:type="dxa"/>
          </w:tblCellMar>
        </w:tblPrEx>
        <w:trPr>
          <w:trHeight w:val="397" w:hRule="atLeast"/>
          <w:jc w:val="center"/>
        </w:trPr>
        <w:tc>
          <w:tcPr>
            <w:tcW w:w="3419" w:type="dxa"/>
            <w:tcBorders>
              <w:top w:val="nil"/>
              <w:left w:val="single" w:color="auto" w:sz="4" w:space="0"/>
              <w:bottom w:val="single" w:color="auto" w:sz="4" w:space="0"/>
              <w:right w:val="single" w:color="auto" w:sz="4" w:space="0"/>
            </w:tcBorders>
            <w:vAlign w:val="center"/>
          </w:tcPr>
          <w:p w14:paraId="25554FCA">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**间（客户入住房型）</w:t>
            </w:r>
          </w:p>
        </w:tc>
        <w:tc>
          <w:tcPr>
            <w:tcW w:w="5450" w:type="dxa"/>
            <w:tcBorders>
              <w:top w:val="nil"/>
              <w:left w:val="nil"/>
              <w:bottom w:val="single" w:color="auto" w:sz="4" w:space="0"/>
              <w:right w:val="single" w:color="auto" w:sz="4" w:space="0"/>
            </w:tcBorders>
            <w:vAlign w:val="center"/>
          </w:tcPr>
          <w:p w14:paraId="17D4CBBD">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w:t>
            </w:r>
          </w:p>
        </w:tc>
      </w:tr>
      <w:tr w14:paraId="0BFAA7B5">
        <w:tblPrEx>
          <w:tblCellMar>
            <w:top w:w="0" w:type="dxa"/>
            <w:left w:w="108" w:type="dxa"/>
            <w:bottom w:w="0" w:type="dxa"/>
            <w:right w:w="108" w:type="dxa"/>
          </w:tblCellMar>
        </w:tblPrEx>
        <w:trPr>
          <w:trHeight w:val="397" w:hRule="atLeast"/>
          <w:jc w:val="center"/>
        </w:trPr>
        <w:tc>
          <w:tcPr>
            <w:tcW w:w="3419" w:type="dxa"/>
            <w:tcBorders>
              <w:top w:val="nil"/>
              <w:left w:val="single" w:color="auto" w:sz="4" w:space="0"/>
              <w:bottom w:val="single" w:color="auto" w:sz="4" w:space="0"/>
              <w:right w:val="single" w:color="auto" w:sz="4" w:space="0"/>
            </w:tcBorders>
            <w:vAlign w:val="center"/>
          </w:tcPr>
          <w:p w14:paraId="744E0DC8">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**间（其他人员入住房型）</w:t>
            </w:r>
          </w:p>
        </w:tc>
        <w:tc>
          <w:tcPr>
            <w:tcW w:w="5450" w:type="dxa"/>
            <w:tcBorders>
              <w:top w:val="nil"/>
              <w:left w:val="nil"/>
              <w:bottom w:val="single" w:color="auto" w:sz="4" w:space="0"/>
              <w:right w:val="single" w:color="auto" w:sz="4" w:space="0"/>
            </w:tcBorders>
            <w:vAlign w:val="center"/>
          </w:tcPr>
          <w:p w14:paraId="77BB2A79">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w:t>
            </w:r>
          </w:p>
        </w:tc>
      </w:tr>
    </w:tbl>
    <w:p w14:paraId="74959B84">
      <w:pPr>
        <w:widowControl/>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2、以上房价已包含服务费、早餐费、洗漱用品、增值税。</w:t>
      </w:r>
    </w:p>
    <w:p w14:paraId="6B7984A3">
      <w:pPr>
        <w:widowControl/>
        <w:spacing w:line="360" w:lineRule="auto"/>
        <w:outlineLvl w:val="0"/>
        <w:rPr>
          <w:rFonts w:ascii="宋体" w:hAnsi="宋体" w:cs="宋体"/>
          <w:b/>
          <w:color w:val="auto"/>
          <w:kern w:val="0"/>
          <w:sz w:val="24"/>
          <w:highlight w:val="none"/>
          <w:lang w:eastAsia="zh-TW"/>
        </w:rPr>
      </w:pPr>
      <w:bookmarkStart w:id="324" w:name="_Toc12839"/>
      <w:bookmarkStart w:id="325" w:name="_Toc20322"/>
      <w:bookmarkStart w:id="326" w:name="_Toc22990"/>
      <w:bookmarkStart w:id="327" w:name="_Toc18377"/>
      <w:r>
        <w:rPr>
          <w:rFonts w:hint="eastAsia" w:ascii="宋体" w:hAnsi="宋体" w:cs="宋体"/>
          <w:b/>
          <w:color w:val="auto"/>
          <w:kern w:val="0"/>
          <w:sz w:val="24"/>
          <w:highlight w:val="none"/>
        </w:rPr>
        <w:t>二、会议室项目</w:t>
      </w:r>
      <w:bookmarkEnd w:id="324"/>
      <w:bookmarkEnd w:id="325"/>
      <w:bookmarkEnd w:id="326"/>
      <w:bookmarkEnd w:id="327"/>
    </w:p>
    <w:p w14:paraId="0FC86C05">
      <w:pPr>
        <w:widowControl/>
        <w:spacing w:line="360" w:lineRule="auto"/>
        <w:ind w:firstLine="480" w:firstLineChars="200"/>
        <w:outlineLvl w:val="1"/>
        <w:rPr>
          <w:rFonts w:ascii="宋体" w:hAnsi="宋体" w:cs="宋体"/>
          <w:color w:val="auto"/>
          <w:kern w:val="0"/>
          <w:sz w:val="24"/>
          <w:highlight w:val="none"/>
        </w:rPr>
      </w:pPr>
      <w:bookmarkStart w:id="328" w:name="_Toc11247"/>
      <w:bookmarkStart w:id="329" w:name="_Toc24490"/>
      <w:bookmarkStart w:id="330" w:name="_Toc31703"/>
      <w:r>
        <w:rPr>
          <w:rFonts w:hint="eastAsia" w:ascii="宋体" w:hAnsi="宋体" w:cs="宋体"/>
          <w:color w:val="auto"/>
          <w:kern w:val="0"/>
          <w:sz w:val="24"/>
          <w:highlight w:val="none"/>
        </w:rPr>
        <w:t>1、会议室预订流程：</w:t>
      </w:r>
      <w:bookmarkEnd w:id="328"/>
      <w:bookmarkEnd w:id="329"/>
      <w:bookmarkEnd w:id="330"/>
    </w:p>
    <w:p w14:paraId="5B127B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方应于会议前以电话或传真方式通知乙方会议人数、会议室规格要求。乙方应优先满足甲方的预订要求，并于24小时内以电话或传真微信等方式向甲方反馈预订结果，并按照经甲方确认的预订结果安排预订会议室。</w:t>
      </w:r>
    </w:p>
    <w:p w14:paraId="33C95361">
      <w:pPr>
        <w:widowControl/>
        <w:spacing w:line="360" w:lineRule="auto"/>
        <w:ind w:firstLine="480" w:firstLineChars="200"/>
        <w:outlineLvl w:val="1"/>
        <w:rPr>
          <w:rFonts w:ascii="宋体" w:hAnsi="宋体" w:cs="宋体"/>
          <w:color w:val="auto"/>
          <w:kern w:val="0"/>
          <w:sz w:val="24"/>
          <w:highlight w:val="none"/>
        </w:rPr>
      </w:pPr>
      <w:bookmarkStart w:id="331" w:name="_Toc16131"/>
      <w:bookmarkStart w:id="332" w:name="_Toc22072"/>
      <w:bookmarkStart w:id="333" w:name="_Toc29773"/>
      <w:r>
        <w:rPr>
          <w:rFonts w:hint="eastAsia" w:ascii="宋体" w:hAnsi="宋体" w:cs="宋体"/>
          <w:color w:val="auto"/>
          <w:kern w:val="0"/>
          <w:sz w:val="24"/>
          <w:highlight w:val="none"/>
        </w:rPr>
        <w:t>2、会议室价格：</w:t>
      </w:r>
      <w:bookmarkEnd w:id="331"/>
      <w:bookmarkEnd w:id="332"/>
      <w:bookmarkEnd w:id="333"/>
    </w:p>
    <w:p w14:paraId="1E1C4EB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2.1下述会议室价格含音响、话筒、茶水、增值税等。</w:t>
      </w:r>
    </w:p>
    <w:p w14:paraId="0E1800D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2.2下述会议室价格含投影仪、LED屏使用费用。</w:t>
      </w:r>
    </w:p>
    <w:tbl>
      <w:tblPr>
        <w:tblStyle w:val="44"/>
        <w:tblW w:w="8901" w:type="dxa"/>
        <w:jc w:val="center"/>
        <w:tblLayout w:type="fixed"/>
        <w:tblCellMar>
          <w:top w:w="0" w:type="dxa"/>
          <w:left w:w="108" w:type="dxa"/>
          <w:bottom w:w="0" w:type="dxa"/>
          <w:right w:w="108" w:type="dxa"/>
        </w:tblCellMar>
      </w:tblPr>
      <w:tblGrid>
        <w:gridCol w:w="1701"/>
        <w:gridCol w:w="3482"/>
        <w:gridCol w:w="3718"/>
      </w:tblGrid>
      <w:tr w14:paraId="160D78DF">
        <w:tblPrEx>
          <w:tblCellMar>
            <w:top w:w="0" w:type="dxa"/>
            <w:left w:w="108" w:type="dxa"/>
            <w:bottom w:w="0" w:type="dxa"/>
            <w:right w:w="108" w:type="dxa"/>
          </w:tblCellMar>
        </w:tblPrEx>
        <w:trPr>
          <w:trHeight w:val="39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8FC9FE5">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会场名称</w:t>
            </w:r>
          </w:p>
        </w:tc>
        <w:tc>
          <w:tcPr>
            <w:tcW w:w="3482" w:type="dxa"/>
            <w:tcBorders>
              <w:top w:val="single" w:color="auto" w:sz="4" w:space="0"/>
              <w:left w:val="nil"/>
              <w:bottom w:val="single" w:color="auto" w:sz="4" w:space="0"/>
              <w:right w:val="single" w:color="auto" w:sz="4" w:space="0"/>
            </w:tcBorders>
            <w:vAlign w:val="center"/>
          </w:tcPr>
          <w:p w14:paraId="42201045">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类型/面积</w:t>
            </w:r>
          </w:p>
        </w:tc>
        <w:tc>
          <w:tcPr>
            <w:tcW w:w="3718" w:type="dxa"/>
            <w:tcBorders>
              <w:top w:val="single" w:color="auto" w:sz="4" w:space="0"/>
              <w:left w:val="nil"/>
              <w:bottom w:val="single" w:color="auto" w:sz="4" w:space="0"/>
              <w:right w:val="single" w:color="auto" w:sz="4" w:space="0"/>
            </w:tcBorders>
            <w:vAlign w:val="center"/>
          </w:tcPr>
          <w:p w14:paraId="486A1CBF">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常规会议</w:t>
            </w:r>
          </w:p>
        </w:tc>
      </w:tr>
      <w:tr w14:paraId="297A81CC">
        <w:tblPrEx>
          <w:tblCellMar>
            <w:top w:w="0" w:type="dxa"/>
            <w:left w:w="108" w:type="dxa"/>
            <w:bottom w:w="0" w:type="dxa"/>
            <w:right w:w="108" w:type="dxa"/>
          </w:tblCellMar>
        </w:tblPrEx>
        <w:trPr>
          <w:trHeight w:val="397" w:hRule="atLeast"/>
          <w:jc w:val="center"/>
        </w:trPr>
        <w:tc>
          <w:tcPr>
            <w:tcW w:w="1701" w:type="dxa"/>
            <w:tcBorders>
              <w:top w:val="nil"/>
              <w:left w:val="single" w:color="auto" w:sz="4" w:space="0"/>
              <w:bottom w:val="single" w:color="auto" w:sz="4" w:space="0"/>
              <w:right w:val="single" w:color="auto" w:sz="4" w:space="0"/>
            </w:tcBorders>
            <w:vAlign w:val="center"/>
          </w:tcPr>
          <w:p w14:paraId="1DFF88E7">
            <w:pPr>
              <w:widowControl/>
              <w:spacing w:line="360" w:lineRule="auto"/>
              <w:rPr>
                <w:rFonts w:ascii="宋体" w:hAnsi="宋体" w:cs="宋体"/>
                <w:color w:val="auto"/>
                <w:kern w:val="0"/>
                <w:sz w:val="24"/>
                <w:highlight w:val="none"/>
              </w:rPr>
            </w:pPr>
          </w:p>
        </w:tc>
        <w:tc>
          <w:tcPr>
            <w:tcW w:w="3482" w:type="dxa"/>
            <w:tcBorders>
              <w:top w:val="nil"/>
              <w:left w:val="nil"/>
              <w:bottom w:val="single" w:color="auto" w:sz="4" w:space="0"/>
              <w:right w:val="single" w:color="auto" w:sz="4" w:space="0"/>
            </w:tcBorders>
            <w:vAlign w:val="center"/>
          </w:tcPr>
          <w:p w14:paraId="7F00331B">
            <w:pPr>
              <w:widowControl/>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**会议室（   平方米）</w:t>
            </w:r>
          </w:p>
        </w:tc>
        <w:tc>
          <w:tcPr>
            <w:tcW w:w="3718" w:type="dxa"/>
            <w:tcBorders>
              <w:top w:val="nil"/>
              <w:left w:val="nil"/>
              <w:bottom w:val="single" w:color="auto" w:sz="4" w:space="0"/>
              <w:right w:val="single" w:color="auto" w:sz="4" w:space="0"/>
            </w:tcBorders>
            <w:vAlign w:val="center"/>
          </w:tcPr>
          <w:p w14:paraId="5FA30CCF">
            <w:pPr>
              <w:widowControl/>
              <w:spacing w:line="360" w:lineRule="auto"/>
              <w:ind w:firstLine="1200" w:firstLineChars="500"/>
              <w:rPr>
                <w:rFonts w:ascii="宋体" w:hAnsi="宋体" w:cs="宋体"/>
                <w:color w:val="auto"/>
                <w:kern w:val="0"/>
                <w:sz w:val="24"/>
                <w:highlight w:val="none"/>
              </w:rPr>
            </w:pPr>
            <w:r>
              <w:rPr>
                <w:rFonts w:hint="eastAsia" w:ascii="宋体" w:hAnsi="宋体" w:cs="宋体"/>
                <w:color w:val="auto"/>
                <w:kern w:val="0"/>
                <w:sz w:val="24"/>
                <w:highlight w:val="none"/>
              </w:rPr>
              <w:t>元/场</w:t>
            </w:r>
          </w:p>
        </w:tc>
      </w:tr>
      <w:tr w14:paraId="41CCD962">
        <w:tblPrEx>
          <w:tblCellMar>
            <w:top w:w="0" w:type="dxa"/>
            <w:left w:w="108" w:type="dxa"/>
            <w:bottom w:w="0" w:type="dxa"/>
            <w:right w:w="108" w:type="dxa"/>
          </w:tblCellMar>
        </w:tblPrEx>
        <w:trPr>
          <w:trHeight w:val="397" w:hRule="atLeast"/>
          <w:jc w:val="center"/>
        </w:trPr>
        <w:tc>
          <w:tcPr>
            <w:tcW w:w="1701" w:type="dxa"/>
            <w:tcBorders>
              <w:top w:val="nil"/>
              <w:left w:val="single" w:color="auto" w:sz="4" w:space="0"/>
              <w:bottom w:val="single" w:color="auto" w:sz="4" w:space="0"/>
              <w:right w:val="single" w:color="auto" w:sz="4" w:space="0"/>
            </w:tcBorders>
            <w:vAlign w:val="center"/>
          </w:tcPr>
          <w:p w14:paraId="2BE2B0D1">
            <w:pPr>
              <w:widowControl/>
              <w:spacing w:line="360" w:lineRule="auto"/>
              <w:rPr>
                <w:rFonts w:ascii="宋体" w:hAnsi="宋体" w:cs="宋体"/>
                <w:color w:val="auto"/>
                <w:kern w:val="0"/>
                <w:sz w:val="24"/>
                <w:highlight w:val="none"/>
              </w:rPr>
            </w:pPr>
          </w:p>
        </w:tc>
        <w:tc>
          <w:tcPr>
            <w:tcW w:w="3482" w:type="dxa"/>
            <w:tcBorders>
              <w:top w:val="nil"/>
              <w:left w:val="nil"/>
              <w:bottom w:val="single" w:color="auto" w:sz="4" w:space="0"/>
              <w:right w:val="single" w:color="auto" w:sz="4" w:space="0"/>
            </w:tcBorders>
            <w:vAlign w:val="center"/>
          </w:tcPr>
          <w:p w14:paraId="5195D8B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**会议室（   平方米）</w:t>
            </w:r>
          </w:p>
        </w:tc>
        <w:tc>
          <w:tcPr>
            <w:tcW w:w="3718" w:type="dxa"/>
            <w:tcBorders>
              <w:top w:val="nil"/>
              <w:left w:val="nil"/>
              <w:bottom w:val="single" w:color="auto" w:sz="4" w:space="0"/>
              <w:right w:val="single" w:color="auto" w:sz="4" w:space="0"/>
            </w:tcBorders>
            <w:vAlign w:val="center"/>
          </w:tcPr>
          <w:p w14:paraId="2E711432">
            <w:pPr>
              <w:widowControl/>
              <w:spacing w:line="360" w:lineRule="auto"/>
              <w:ind w:firstLine="1200" w:firstLineChars="500"/>
              <w:rPr>
                <w:rFonts w:ascii="宋体" w:hAnsi="宋体" w:cs="宋体"/>
                <w:color w:val="auto"/>
                <w:kern w:val="0"/>
                <w:sz w:val="24"/>
                <w:highlight w:val="none"/>
              </w:rPr>
            </w:pPr>
            <w:r>
              <w:rPr>
                <w:rFonts w:hint="eastAsia" w:ascii="宋体" w:hAnsi="宋体" w:cs="宋体"/>
                <w:color w:val="auto"/>
                <w:kern w:val="0"/>
                <w:sz w:val="24"/>
                <w:highlight w:val="none"/>
              </w:rPr>
              <w:t>元/场</w:t>
            </w:r>
          </w:p>
        </w:tc>
      </w:tr>
      <w:tr w14:paraId="64ECDA05">
        <w:tblPrEx>
          <w:tblCellMar>
            <w:top w:w="0" w:type="dxa"/>
            <w:left w:w="108" w:type="dxa"/>
            <w:bottom w:w="0" w:type="dxa"/>
            <w:right w:w="108" w:type="dxa"/>
          </w:tblCellMar>
        </w:tblPrEx>
        <w:trPr>
          <w:trHeight w:val="397" w:hRule="atLeast"/>
          <w:jc w:val="center"/>
        </w:trPr>
        <w:tc>
          <w:tcPr>
            <w:tcW w:w="1701" w:type="dxa"/>
            <w:tcBorders>
              <w:top w:val="nil"/>
              <w:left w:val="single" w:color="auto" w:sz="4" w:space="0"/>
              <w:bottom w:val="single" w:color="auto" w:sz="4" w:space="0"/>
              <w:right w:val="single" w:color="auto" w:sz="4" w:space="0"/>
            </w:tcBorders>
            <w:vAlign w:val="center"/>
          </w:tcPr>
          <w:p w14:paraId="5C0F8EA2">
            <w:pPr>
              <w:widowControl/>
              <w:spacing w:line="360" w:lineRule="auto"/>
              <w:rPr>
                <w:rFonts w:ascii="宋体" w:hAnsi="宋体" w:cs="宋体"/>
                <w:color w:val="auto"/>
                <w:kern w:val="0"/>
                <w:sz w:val="24"/>
                <w:highlight w:val="none"/>
              </w:rPr>
            </w:pPr>
          </w:p>
        </w:tc>
        <w:tc>
          <w:tcPr>
            <w:tcW w:w="3482" w:type="dxa"/>
            <w:tcBorders>
              <w:top w:val="nil"/>
              <w:left w:val="nil"/>
              <w:bottom w:val="single" w:color="auto" w:sz="4" w:space="0"/>
              <w:right w:val="single" w:color="auto" w:sz="4" w:space="0"/>
            </w:tcBorders>
            <w:vAlign w:val="center"/>
          </w:tcPr>
          <w:p w14:paraId="08FF9B0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**会议室（   平方米）</w:t>
            </w:r>
          </w:p>
        </w:tc>
        <w:tc>
          <w:tcPr>
            <w:tcW w:w="3718" w:type="dxa"/>
            <w:tcBorders>
              <w:top w:val="nil"/>
              <w:left w:val="nil"/>
              <w:bottom w:val="single" w:color="auto" w:sz="4" w:space="0"/>
              <w:right w:val="single" w:color="auto" w:sz="4" w:space="0"/>
            </w:tcBorders>
            <w:vAlign w:val="center"/>
          </w:tcPr>
          <w:p w14:paraId="65AE7C4E">
            <w:pPr>
              <w:widowControl/>
              <w:spacing w:line="360" w:lineRule="auto"/>
              <w:ind w:firstLine="1200" w:firstLineChars="500"/>
              <w:rPr>
                <w:rFonts w:ascii="宋体" w:hAnsi="宋体" w:cs="宋体"/>
                <w:color w:val="auto"/>
                <w:kern w:val="0"/>
                <w:sz w:val="24"/>
                <w:highlight w:val="none"/>
              </w:rPr>
            </w:pPr>
            <w:r>
              <w:rPr>
                <w:rFonts w:hint="eastAsia" w:ascii="宋体" w:hAnsi="宋体" w:cs="宋体"/>
                <w:color w:val="auto"/>
                <w:kern w:val="0"/>
                <w:sz w:val="24"/>
                <w:highlight w:val="none"/>
              </w:rPr>
              <w:t>元/场</w:t>
            </w:r>
          </w:p>
        </w:tc>
      </w:tr>
    </w:tbl>
    <w:p w14:paraId="620DFCD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1、升级至比甲方预订的高一级的会议室；</w:t>
      </w:r>
    </w:p>
    <w:p w14:paraId="38CD3C2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2、结算方式：参照本合同第三条执行。</w:t>
      </w:r>
    </w:p>
    <w:p w14:paraId="016CA295">
      <w:pPr>
        <w:widowControl/>
        <w:spacing w:line="360" w:lineRule="auto"/>
        <w:ind w:firstLine="482" w:firstLineChars="200"/>
        <w:outlineLvl w:val="0"/>
        <w:rPr>
          <w:rFonts w:ascii="宋体" w:hAnsi="宋体" w:cs="宋体"/>
          <w:b/>
          <w:color w:val="auto"/>
          <w:kern w:val="0"/>
          <w:sz w:val="24"/>
          <w:highlight w:val="none"/>
        </w:rPr>
      </w:pPr>
      <w:bookmarkStart w:id="334" w:name="_Toc751"/>
      <w:bookmarkStart w:id="335" w:name="_Toc11705"/>
      <w:bookmarkStart w:id="336" w:name="_Toc18667"/>
      <w:bookmarkStart w:id="337" w:name="_Toc26633"/>
      <w:r>
        <w:rPr>
          <w:rFonts w:hint="eastAsia" w:ascii="宋体" w:hAnsi="宋体" w:cs="宋体"/>
          <w:b/>
          <w:color w:val="auto"/>
          <w:kern w:val="0"/>
          <w:sz w:val="24"/>
          <w:highlight w:val="none"/>
        </w:rPr>
        <w:t>三、餐饮项目</w:t>
      </w:r>
      <w:bookmarkEnd w:id="334"/>
      <w:bookmarkEnd w:id="335"/>
      <w:bookmarkEnd w:id="336"/>
      <w:bookmarkEnd w:id="337"/>
    </w:p>
    <w:p w14:paraId="4FBCF920">
      <w:pPr>
        <w:widowControl/>
        <w:spacing w:line="360" w:lineRule="auto"/>
        <w:ind w:firstLine="480" w:firstLineChars="200"/>
        <w:outlineLvl w:val="1"/>
        <w:rPr>
          <w:rFonts w:ascii="宋体" w:hAnsi="宋体" w:cs="宋体"/>
          <w:bCs/>
          <w:color w:val="auto"/>
          <w:kern w:val="0"/>
          <w:sz w:val="24"/>
          <w:highlight w:val="none"/>
        </w:rPr>
      </w:pPr>
      <w:bookmarkStart w:id="338" w:name="_Toc20246"/>
      <w:bookmarkStart w:id="339" w:name="_Toc1119"/>
      <w:bookmarkStart w:id="340" w:name="_Toc14075"/>
      <w:r>
        <w:rPr>
          <w:rFonts w:hint="eastAsia" w:ascii="宋体" w:hAnsi="宋体" w:cs="宋体"/>
          <w:bCs/>
          <w:color w:val="auto"/>
          <w:kern w:val="0"/>
          <w:sz w:val="24"/>
          <w:highlight w:val="none"/>
        </w:rPr>
        <w:t>1、甲方有权选择乙方提供的用餐标准和包间、宴会厅。</w:t>
      </w:r>
      <w:bookmarkEnd w:id="338"/>
    </w:p>
    <w:p w14:paraId="798370A7">
      <w:pPr>
        <w:widowControl/>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2、用餐由甲方与乙方共同制定用餐标准和用餐方式。</w:t>
      </w:r>
    </w:p>
    <w:tbl>
      <w:tblPr>
        <w:tblStyle w:val="44"/>
        <w:tblW w:w="8820" w:type="dxa"/>
        <w:jc w:val="center"/>
        <w:tblLayout w:type="fixed"/>
        <w:tblCellMar>
          <w:top w:w="0" w:type="dxa"/>
          <w:left w:w="108" w:type="dxa"/>
          <w:bottom w:w="0" w:type="dxa"/>
          <w:right w:w="108" w:type="dxa"/>
        </w:tblCellMar>
      </w:tblPr>
      <w:tblGrid>
        <w:gridCol w:w="4627"/>
        <w:gridCol w:w="4193"/>
      </w:tblGrid>
      <w:tr w14:paraId="46F83C37">
        <w:tblPrEx>
          <w:tblCellMar>
            <w:top w:w="0" w:type="dxa"/>
            <w:left w:w="108" w:type="dxa"/>
            <w:bottom w:w="0" w:type="dxa"/>
            <w:right w:w="108" w:type="dxa"/>
          </w:tblCellMar>
        </w:tblPrEx>
        <w:trPr>
          <w:trHeight w:val="397"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0F9F094C">
            <w:pPr>
              <w:widowControl/>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餐饮类型</w:t>
            </w:r>
          </w:p>
        </w:tc>
        <w:tc>
          <w:tcPr>
            <w:tcW w:w="4193" w:type="dxa"/>
            <w:tcBorders>
              <w:top w:val="single" w:color="auto" w:sz="4" w:space="0"/>
              <w:left w:val="nil"/>
              <w:bottom w:val="single" w:color="auto" w:sz="4" w:space="0"/>
              <w:right w:val="single" w:color="auto" w:sz="4" w:space="0"/>
            </w:tcBorders>
            <w:vAlign w:val="center"/>
          </w:tcPr>
          <w:p w14:paraId="42062C18">
            <w:pPr>
              <w:widowControl/>
              <w:spacing w:line="360" w:lineRule="auto"/>
              <w:ind w:firstLine="1680" w:firstLineChars="700"/>
              <w:jc w:val="left"/>
              <w:rPr>
                <w:rFonts w:ascii="宋体" w:hAnsi="宋体" w:cs="宋体"/>
                <w:bCs/>
                <w:color w:val="auto"/>
                <w:kern w:val="0"/>
                <w:sz w:val="24"/>
                <w:highlight w:val="none"/>
              </w:rPr>
            </w:pPr>
            <w:r>
              <w:rPr>
                <w:rFonts w:hint="eastAsia" w:ascii="宋体" w:hAnsi="宋体" w:cs="宋体"/>
                <w:bCs/>
                <w:color w:val="auto"/>
                <w:kern w:val="0"/>
                <w:sz w:val="24"/>
                <w:highlight w:val="none"/>
              </w:rPr>
              <w:t>标准</w:t>
            </w:r>
          </w:p>
        </w:tc>
      </w:tr>
      <w:tr w14:paraId="7448B7F7">
        <w:tblPrEx>
          <w:tblCellMar>
            <w:top w:w="0" w:type="dxa"/>
            <w:left w:w="108" w:type="dxa"/>
            <w:bottom w:w="0" w:type="dxa"/>
            <w:right w:w="108" w:type="dxa"/>
          </w:tblCellMar>
        </w:tblPrEx>
        <w:trPr>
          <w:trHeight w:val="397" w:hRule="atLeast"/>
          <w:jc w:val="center"/>
        </w:trPr>
        <w:tc>
          <w:tcPr>
            <w:tcW w:w="4627" w:type="dxa"/>
            <w:tcBorders>
              <w:top w:val="nil"/>
              <w:left w:val="single" w:color="auto" w:sz="4" w:space="0"/>
              <w:bottom w:val="single" w:color="auto" w:sz="4" w:space="0"/>
              <w:right w:val="single" w:color="auto" w:sz="4" w:space="0"/>
            </w:tcBorders>
            <w:vAlign w:val="center"/>
          </w:tcPr>
          <w:p w14:paraId="7D068CBD">
            <w:pPr>
              <w:widowControl/>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客户餐费</w:t>
            </w:r>
          </w:p>
        </w:tc>
        <w:tc>
          <w:tcPr>
            <w:tcW w:w="4193" w:type="dxa"/>
            <w:tcBorders>
              <w:top w:val="nil"/>
              <w:left w:val="nil"/>
              <w:bottom w:val="single" w:color="auto" w:sz="4" w:space="0"/>
              <w:right w:val="single" w:color="auto" w:sz="4" w:space="0"/>
            </w:tcBorders>
            <w:vAlign w:val="center"/>
          </w:tcPr>
          <w:p w14:paraId="287D1541">
            <w:pPr>
              <w:widowControl/>
              <w:spacing w:line="360" w:lineRule="auto"/>
              <w:ind w:firstLine="1200" w:firstLineChars="500"/>
              <w:jc w:val="left"/>
              <w:rPr>
                <w:rFonts w:ascii="宋体" w:hAnsi="宋体" w:cs="宋体"/>
                <w:bCs/>
                <w:color w:val="auto"/>
                <w:kern w:val="0"/>
                <w:sz w:val="24"/>
                <w:highlight w:val="none"/>
              </w:rPr>
            </w:pPr>
            <w:r>
              <w:rPr>
                <w:rFonts w:hint="eastAsia" w:ascii="宋体" w:hAnsi="宋体" w:cs="宋体"/>
                <w:bCs/>
                <w:color w:val="auto"/>
                <w:kern w:val="0"/>
                <w:sz w:val="24"/>
                <w:highlight w:val="none"/>
              </w:rPr>
              <w:t>元/人/天</w:t>
            </w:r>
          </w:p>
        </w:tc>
      </w:tr>
      <w:tr w14:paraId="7FD41CE0">
        <w:tblPrEx>
          <w:tblCellMar>
            <w:top w:w="0" w:type="dxa"/>
            <w:left w:w="108" w:type="dxa"/>
            <w:bottom w:w="0" w:type="dxa"/>
            <w:right w:w="108" w:type="dxa"/>
          </w:tblCellMar>
        </w:tblPrEx>
        <w:trPr>
          <w:trHeight w:val="397" w:hRule="atLeast"/>
          <w:jc w:val="center"/>
        </w:trPr>
        <w:tc>
          <w:tcPr>
            <w:tcW w:w="4627" w:type="dxa"/>
            <w:tcBorders>
              <w:top w:val="nil"/>
              <w:left w:val="single" w:color="auto" w:sz="4" w:space="0"/>
              <w:bottom w:val="single" w:color="auto" w:sz="4" w:space="0"/>
              <w:right w:val="single" w:color="auto" w:sz="4" w:space="0"/>
            </w:tcBorders>
            <w:vAlign w:val="center"/>
          </w:tcPr>
          <w:p w14:paraId="17C68E5A">
            <w:pPr>
              <w:widowControl/>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其他人员餐费</w:t>
            </w:r>
          </w:p>
        </w:tc>
        <w:tc>
          <w:tcPr>
            <w:tcW w:w="4193" w:type="dxa"/>
            <w:tcBorders>
              <w:top w:val="nil"/>
              <w:left w:val="nil"/>
              <w:bottom w:val="single" w:color="auto" w:sz="4" w:space="0"/>
              <w:right w:val="single" w:color="auto" w:sz="4" w:space="0"/>
            </w:tcBorders>
            <w:vAlign w:val="center"/>
          </w:tcPr>
          <w:p w14:paraId="5B958F45">
            <w:pPr>
              <w:widowControl/>
              <w:spacing w:line="360" w:lineRule="auto"/>
              <w:ind w:firstLine="1200" w:firstLineChars="500"/>
              <w:jc w:val="left"/>
              <w:rPr>
                <w:rFonts w:ascii="宋体" w:hAnsi="宋体" w:cs="宋体"/>
                <w:bCs/>
                <w:color w:val="auto"/>
                <w:kern w:val="0"/>
                <w:sz w:val="24"/>
                <w:highlight w:val="none"/>
              </w:rPr>
            </w:pPr>
            <w:r>
              <w:rPr>
                <w:rFonts w:hint="eastAsia" w:ascii="宋体" w:hAnsi="宋体" w:cs="宋体"/>
                <w:bCs/>
                <w:color w:val="auto"/>
                <w:kern w:val="0"/>
                <w:sz w:val="24"/>
                <w:highlight w:val="none"/>
              </w:rPr>
              <w:t>元/人/天</w:t>
            </w:r>
          </w:p>
        </w:tc>
      </w:tr>
      <w:bookmarkEnd w:id="339"/>
      <w:bookmarkEnd w:id="340"/>
    </w:tbl>
    <w:p w14:paraId="14178A6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3、用餐由甲方与乙方共同制定用餐标准和用餐方式，餐饮收费均在乙方餐厅菜谱价格基础上相应打</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折收取（茶位费、服务费、特价菜、烟、酒等除外）。</w:t>
      </w:r>
    </w:p>
    <w:p w14:paraId="1A48477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4、乙方根据甲方用餐标准和要求，保证甲方人员用餐质量。如出现用餐人员不满或投诉，由双方共同协调解决，并尽最大可能使用餐人员满意。</w:t>
      </w:r>
    </w:p>
    <w:p w14:paraId="71DA284B">
      <w:pPr>
        <w:widowControl/>
        <w:spacing w:line="360" w:lineRule="auto"/>
        <w:ind w:firstLine="480" w:firstLineChars="200"/>
        <w:outlineLvl w:val="1"/>
        <w:rPr>
          <w:rFonts w:ascii="宋体" w:hAnsi="宋体" w:cs="宋体"/>
          <w:color w:val="auto"/>
          <w:kern w:val="0"/>
          <w:sz w:val="24"/>
          <w:highlight w:val="none"/>
        </w:rPr>
      </w:pPr>
      <w:bookmarkStart w:id="341" w:name="_Toc3486"/>
      <w:bookmarkStart w:id="342" w:name="_Toc24792"/>
      <w:bookmarkStart w:id="343" w:name="_Toc2660"/>
      <w:r>
        <w:rPr>
          <w:rFonts w:hint="eastAsia" w:ascii="宋体" w:hAnsi="宋体" w:cs="宋体"/>
          <w:color w:val="auto"/>
          <w:kern w:val="0"/>
          <w:sz w:val="24"/>
          <w:highlight w:val="none"/>
        </w:rPr>
        <w:t>5、结算方式：参照本合同第三条执行。</w:t>
      </w:r>
      <w:bookmarkEnd w:id="341"/>
      <w:bookmarkEnd w:id="342"/>
      <w:bookmarkEnd w:id="343"/>
    </w:p>
    <w:p w14:paraId="0DDAD1A3">
      <w:pPr>
        <w:widowControl/>
        <w:spacing w:line="360" w:lineRule="auto"/>
        <w:ind w:firstLine="482" w:firstLineChars="200"/>
        <w:outlineLvl w:val="0"/>
        <w:rPr>
          <w:rFonts w:ascii="宋体" w:hAnsi="宋体" w:cs="宋体"/>
          <w:b/>
          <w:color w:val="auto"/>
          <w:kern w:val="0"/>
          <w:sz w:val="24"/>
          <w:highlight w:val="none"/>
        </w:rPr>
      </w:pPr>
      <w:bookmarkStart w:id="344" w:name="_Toc17288"/>
      <w:bookmarkStart w:id="345" w:name="_Toc8131"/>
      <w:bookmarkStart w:id="346" w:name="_Toc31094"/>
      <w:bookmarkStart w:id="347" w:name="_Toc23405"/>
      <w:r>
        <w:rPr>
          <w:rFonts w:hint="eastAsia" w:ascii="宋体" w:hAnsi="宋体" w:cs="宋体"/>
          <w:b/>
          <w:color w:val="auto"/>
          <w:kern w:val="0"/>
          <w:sz w:val="24"/>
          <w:highlight w:val="none"/>
        </w:rPr>
        <w:t>三、结算方式</w:t>
      </w:r>
      <w:bookmarkEnd w:id="344"/>
      <w:bookmarkEnd w:id="345"/>
      <w:bookmarkEnd w:id="346"/>
      <w:bookmarkEnd w:id="347"/>
    </w:p>
    <w:p w14:paraId="3112808C">
      <w:pPr>
        <w:widowControl/>
        <w:spacing w:line="360" w:lineRule="auto"/>
        <w:ind w:firstLine="480" w:firstLineChars="200"/>
        <w:outlineLvl w:val="1"/>
        <w:rPr>
          <w:rFonts w:ascii="宋体" w:hAnsi="宋体" w:cs="宋体"/>
          <w:color w:val="auto"/>
          <w:kern w:val="0"/>
          <w:sz w:val="24"/>
          <w:highlight w:val="none"/>
        </w:rPr>
      </w:pPr>
      <w:bookmarkStart w:id="348" w:name="_Toc14327"/>
      <w:bookmarkStart w:id="349" w:name="_Toc17707"/>
      <w:bookmarkStart w:id="350" w:name="_Toc26753"/>
      <w:r>
        <w:rPr>
          <w:rFonts w:hint="eastAsia" w:ascii="宋体" w:hAnsi="宋体" w:cs="宋体"/>
          <w:color w:val="auto"/>
          <w:kern w:val="0"/>
          <w:sz w:val="24"/>
          <w:highlight w:val="none"/>
        </w:rPr>
        <w:t>1、客房、会议室及餐饮费用由甲方统一支付，具体结算方式如下：</w:t>
      </w:r>
      <w:bookmarkEnd w:id="348"/>
      <w:bookmarkEnd w:id="349"/>
      <w:bookmarkEnd w:id="350"/>
    </w:p>
    <w:p w14:paraId="2453FB8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（1）甲、乙双方按场次结算。</w:t>
      </w:r>
    </w:p>
    <w:p w14:paraId="40ADC0E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（2）乙方应在甲方及其分支机构每次消费结束后五个工作日内，将所发生的费用结算单以书面形式（包括邮件、传真、微信等方式）发送到甲方相关负责部门。</w:t>
      </w:r>
    </w:p>
    <w:p w14:paraId="6DB69F5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（3）甲方及其分支机构应及时核对结算单，并尽快与乙方确认。经甲、乙双方确认费用后，乙方向甲方及其分支机构提供结算单据，会务及住宿提供增值税专用发票，税率   %，餐饮提供增值税普通发票，税率   %。甲方收到上述单据和发票并经核实无误后15个工作日内将款项汇到乙方帐户。</w:t>
      </w:r>
    </w:p>
    <w:p w14:paraId="66DA1C9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除经双方书面约定的情况外，乙方将不会在合同价款之外另行收取适用于该业务的增值税以及附加税费。</w:t>
      </w:r>
    </w:p>
    <w:p w14:paraId="12298F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合同执行期间，因政府财税部门对增值税政策调整的，增值税税额按调整后的税率执行，不含税价格不变，双方按不含税价格和调整后的增值税税额重新确定含增值税价格。</w:t>
      </w:r>
    </w:p>
    <w:p w14:paraId="24A032B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（4）甲方的开票信息如下：</w:t>
      </w:r>
    </w:p>
    <w:p w14:paraId="13406D9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公司名称：中国人寿保险股份有限公司XX分公司</w:t>
      </w:r>
    </w:p>
    <w:p w14:paraId="6538DE0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纳税人识别号：</w:t>
      </w:r>
    </w:p>
    <w:p w14:paraId="40A7B0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w:t>
      </w:r>
    </w:p>
    <w:p w14:paraId="771E707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电话：  </w:t>
      </w:r>
    </w:p>
    <w:p w14:paraId="21A6BB8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开户行及账号：  </w:t>
      </w:r>
    </w:p>
    <w:p w14:paraId="0498C53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甲方分支机构的开票信息需要在开票前与甲方分支机构联系人确认</w:t>
      </w:r>
    </w:p>
    <w:p w14:paraId="25C4009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（5）乙方授权甲方将所有款项支付至如下指定账户：</w:t>
      </w:r>
    </w:p>
    <w:p w14:paraId="4E1BDE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公司名称： </w:t>
      </w:r>
    </w:p>
    <w:p w14:paraId="1EBE6CF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开户行： </w:t>
      </w:r>
    </w:p>
    <w:p w14:paraId="5398423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账  号：</w:t>
      </w:r>
    </w:p>
    <w:p w14:paraId="6AAB54E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（6）如因乙方未提供或迟延提供相关单据或发票导致甲方付款顺延，甲方无须因此承担任何责任。</w:t>
      </w:r>
    </w:p>
    <w:p w14:paraId="1DB6D27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因乙方未提供经甲方认可的合法有效的增值税发票造成甲方少抵扣增值税的损失，乙方同意从结算价款中扣减。因乙方未提供经甲方认可的合法有效凭证造成甲方企业所得税损失的，乙方同意给予等额补偿（或者从结算价款中扣减）。</w:t>
      </w:r>
    </w:p>
    <w:p w14:paraId="49962E1D">
      <w:pPr>
        <w:widowControl/>
        <w:spacing w:line="360" w:lineRule="auto"/>
        <w:ind w:firstLine="482" w:firstLineChars="200"/>
        <w:rPr>
          <w:rFonts w:ascii="宋体" w:hAnsi="宋体" w:cs="宋体"/>
          <w:b/>
          <w:color w:val="auto"/>
          <w:kern w:val="0"/>
          <w:sz w:val="24"/>
          <w:highlight w:val="none"/>
        </w:rPr>
      </w:pPr>
    </w:p>
    <w:p w14:paraId="2E778118">
      <w:pPr>
        <w:widowControl/>
        <w:spacing w:line="360" w:lineRule="auto"/>
        <w:ind w:firstLine="482" w:firstLineChars="200"/>
        <w:outlineLvl w:val="0"/>
        <w:rPr>
          <w:rFonts w:ascii="宋体" w:hAnsi="宋体" w:cs="宋体"/>
          <w:b/>
          <w:color w:val="auto"/>
          <w:kern w:val="0"/>
          <w:sz w:val="24"/>
          <w:highlight w:val="none"/>
        </w:rPr>
      </w:pPr>
      <w:bookmarkStart w:id="351" w:name="_Toc14024"/>
      <w:bookmarkStart w:id="352" w:name="_Toc14235"/>
      <w:bookmarkStart w:id="353" w:name="_Toc10087"/>
      <w:bookmarkStart w:id="354" w:name="_Toc26031"/>
      <w:r>
        <w:rPr>
          <w:rFonts w:hint="eastAsia" w:ascii="宋体" w:hAnsi="宋体" w:cs="宋体"/>
          <w:b/>
          <w:color w:val="auto"/>
          <w:kern w:val="0"/>
          <w:sz w:val="24"/>
          <w:highlight w:val="none"/>
        </w:rPr>
        <w:t>四、合同的生效与解除</w:t>
      </w:r>
      <w:bookmarkEnd w:id="351"/>
      <w:bookmarkEnd w:id="352"/>
      <w:bookmarkEnd w:id="353"/>
      <w:bookmarkEnd w:id="354"/>
    </w:p>
    <w:p w14:paraId="092232E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1、本合同经甲乙双方盖章生效，自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日始至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 日止。</w:t>
      </w:r>
    </w:p>
    <w:p w14:paraId="00F4B77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本合同履行期间，乙方未按照甲方要求的标准提供会议室、餐饮服务每累计满二次，或未经甲方事先书面同意巧立名目加收费用的，甲方有权拒付当期费用，并督促乙方限期改正，乙方在合理期间内仍未改正或再犯的，甲方可通过书面通知的方式，单方面终止本合同。因乙方未提供合同约定的服务给甲方造成损失的，乙方应承担赔偿责任。</w:t>
      </w:r>
    </w:p>
    <w:p w14:paraId="273CA7B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3、本合同履行期间，在乙方完全履行本合同义务的情况下，</w:t>
      </w:r>
      <w:r>
        <w:rPr>
          <w:rFonts w:hint="eastAsia" w:ascii="宋体" w:hAnsi="宋体" w:cs="宋体"/>
          <w:bCs/>
          <w:color w:val="auto"/>
          <w:kern w:val="0"/>
          <w:sz w:val="24"/>
          <w:highlight w:val="none"/>
        </w:rPr>
        <w:t>甲方超过</w:t>
      </w:r>
      <w:r>
        <w:rPr>
          <w:rFonts w:hint="eastAsia" w:ascii="宋体" w:hAnsi="宋体" w:cs="宋体"/>
          <w:bCs/>
          <w:color w:val="auto"/>
          <w:kern w:val="0"/>
          <w:sz w:val="24"/>
          <w:highlight w:val="none"/>
          <w:u w:val="single"/>
        </w:rPr>
        <w:t xml:space="preserve"> 60</w:t>
      </w:r>
      <w:r>
        <w:rPr>
          <w:rFonts w:hint="eastAsia" w:ascii="宋体" w:hAnsi="宋体" w:cs="宋体"/>
          <w:bCs/>
          <w:color w:val="auto"/>
          <w:kern w:val="0"/>
          <w:sz w:val="24"/>
          <w:highlight w:val="none"/>
        </w:rPr>
        <w:t>个工作日仍未支付的，乙方可通过</w:t>
      </w:r>
      <w:r>
        <w:rPr>
          <w:rFonts w:hint="eastAsia" w:ascii="宋体" w:hAnsi="宋体" w:cs="宋体"/>
          <w:color w:val="auto"/>
          <w:kern w:val="0"/>
          <w:sz w:val="24"/>
          <w:highlight w:val="none"/>
        </w:rPr>
        <w:t>书面通知的方式，单方面终止本合同</w:t>
      </w:r>
      <w:r>
        <w:rPr>
          <w:rFonts w:hint="eastAsia" w:ascii="宋体" w:hAnsi="宋体" w:cs="宋体"/>
          <w:bCs/>
          <w:color w:val="auto"/>
          <w:kern w:val="0"/>
          <w:sz w:val="24"/>
          <w:highlight w:val="none"/>
        </w:rPr>
        <w:t>。</w:t>
      </w:r>
    </w:p>
    <w:p w14:paraId="0EC6991E">
      <w:pPr>
        <w:widowControl/>
        <w:spacing w:line="360" w:lineRule="auto"/>
        <w:ind w:firstLine="482" w:firstLineChars="200"/>
        <w:outlineLvl w:val="0"/>
        <w:rPr>
          <w:rFonts w:ascii="宋体" w:hAnsi="宋体" w:cs="宋体"/>
          <w:b/>
          <w:color w:val="auto"/>
          <w:kern w:val="0"/>
          <w:sz w:val="24"/>
          <w:highlight w:val="none"/>
        </w:rPr>
      </w:pPr>
      <w:bookmarkStart w:id="355" w:name="_Toc29070"/>
      <w:bookmarkStart w:id="356" w:name="_Toc10512"/>
      <w:bookmarkStart w:id="357" w:name="_Toc13033"/>
      <w:bookmarkStart w:id="358" w:name="_Toc24202"/>
      <w:r>
        <w:rPr>
          <w:rFonts w:hint="eastAsia" w:ascii="宋体" w:hAnsi="宋体" w:cs="宋体"/>
          <w:b/>
          <w:color w:val="auto"/>
          <w:kern w:val="0"/>
          <w:sz w:val="24"/>
          <w:highlight w:val="none"/>
        </w:rPr>
        <w:t>五、其它</w:t>
      </w:r>
      <w:bookmarkEnd w:id="355"/>
      <w:bookmarkEnd w:id="356"/>
      <w:bookmarkEnd w:id="357"/>
      <w:bookmarkEnd w:id="358"/>
    </w:p>
    <w:p w14:paraId="26C4EC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除需承担经乙方确认的会议室预订、餐饮费等明确由甲方支付的费用以外，无需承担任何额外的费用。甲方入住人员在住宿期间发生的房费以外的其它费用视会议情况由甲乙双方沟通确定承担方，若由甲方承担则计入会议费结算；若确定由入住人员自行承担，则乙方自行收取，甲方对此不承担任何责任。</w:t>
      </w:r>
    </w:p>
    <w:p w14:paraId="7AFF1DA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2、甲方在乙方支配或管理区域内所蒙受的人身伤害和财产损失，应按照消费者权益保护法等相关法律法规由甲乙双方议定赔偿方法，但不可抗力或可归责于入住人员自身的原因除外。</w:t>
      </w:r>
    </w:p>
    <w:p w14:paraId="6795CC2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3、甲方指定 （联系电话：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）、乙方指定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）作为对接人，负责本合同的履行事宜。</w:t>
      </w:r>
    </w:p>
    <w:p w14:paraId="2B0CFEF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4、本合同未尽事宜，由甲乙双方友好协商后订立补充协议，补充协议作为本合同不可分割的一部分，与本合同具有同等法律效力。</w:t>
      </w:r>
    </w:p>
    <w:p w14:paraId="150B77D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5、因本合同发生或与本合同事项有关的任何争议，双方应友好协商解决，协商不成的，任一方可向甲方所在地</w:t>
      </w:r>
      <w:r>
        <w:rPr>
          <w:rFonts w:hint="eastAsia" w:ascii="宋体" w:hAnsi="宋体" w:cs="宋体"/>
          <w:color w:val="auto"/>
          <w:kern w:val="0"/>
          <w:sz w:val="24"/>
          <w:highlight w:val="none"/>
          <w:u w:val="single"/>
        </w:rPr>
        <w:t>有管辖权的法院</w:t>
      </w:r>
      <w:r>
        <w:rPr>
          <w:rFonts w:hint="eastAsia" w:ascii="宋体" w:hAnsi="宋体" w:cs="宋体"/>
          <w:color w:val="auto"/>
          <w:kern w:val="0"/>
          <w:sz w:val="24"/>
          <w:highlight w:val="none"/>
        </w:rPr>
        <w:t>提起诉讼。</w:t>
      </w:r>
    </w:p>
    <w:p w14:paraId="7606FAF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6、本合同一式两份，甲、乙双方各执一份，经双方签字盖章后生效，自协议有效期日起开始执行。</w:t>
      </w:r>
    </w:p>
    <w:p w14:paraId="47AF9F7C">
      <w:pPr>
        <w:widowControl/>
        <w:spacing w:line="360" w:lineRule="auto"/>
        <w:rPr>
          <w:rFonts w:ascii="宋体" w:hAnsi="宋体" w:cs="宋体"/>
          <w:color w:val="auto"/>
          <w:kern w:val="0"/>
          <w:sz w:val="24"/>
          <w:highlight w:val="none"/>
        </w:rPr>
      </w:pPr>
    </w:p>
    <w:p w14:paraId="305DD38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甲方（盖章）：                           乙方（盖章）： </w:t>
      </w:r>
    </w:p>
    <w:p w14:paraId="689889F1">
      <w:pPr>
        <w:spacing w:line="360" w:lineRule="auto"/>
        <w:jc w:val="left"/>
        <w:rPr>
          <w:rFonts w:ascii="宋体" w:hAnsi="宋体" w:cs="宋体"/>
          <w:color w:val="auto"/>
          <w:kern w:val="0"/>
          <w:sz w:val="24"/>
          <w:highlight w:val="none"/>
        </w:rPr>
      </w:pPr>
      <w:bookmarkStart w:id="359" w:name="_Toc100579479"/>
    </w:p>
    <w:p w14:paraId="3725BDC8">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日期：                                   日期：</w:t>
      </w:r>
      <w:bookmarkEnd w:id="359"/>
    </w:p>
    <w:p w14:paraId="3C0AA7EC">
      <w:pPr>
        <w:rPr>
          <w:rFonts w:ascii="宋体" w:hAnsi="宋体" w:cs="宋体"/>
          <w:color w:val="auto"/>
          <w:sz w:val="24"/>
          <w:highlight w:val="none"/>
        </w:rPr>
      </w:pPr>
    </w:p>
    <w:p w14:paraId="22334773">
      <w:pPr>
        <w:rPr>
          <w:rFonts w:ascii="宋体" w:hAnsi="宋体" w:cs="宋体"/>
          <w:color w:val="auto"/>
          <w:sz w:val="24"/>
          <w:highlight w:val="none"/>
        </w:rPr>
      </w:pPr>
    </w:p>
    <w:p w14:paraId="0ABD6350">
      <w:pPr>
        <w:pStyle w:val="27"/>
        <w:rPr>
          <w:rFonts w:ascii="宋体" w:hAnsi="宋体" w:cs="宋体"/>
          <w:color w:val="auto"/>
          <w:highlight w:val="none"/>
        </w:rPr>
      </w:pPr>
    </w:p>
    <w:p w14:paraId="3896DE01">
      <w:pPr>
        <w:widowControl/>
        <w:spacing w:line="500" w:lineRule="exact"/>
        <w:outlineLvl w:val="1"/>
        <w:rPr>
          <w:rFonts w:ascii="宋体" w:hAnsi="宋体" w:cs="宋体"/>
          <w:color w:val="auto"/>
          <w:sz w:val="30"/>
          <w:szCs w:val="30"/>
          <w:highlight w:val="none"/>
        </w:rPr>
      </w:pPr>
      <w:r>
        <w:rPr>
          <w:rFonts w:hint="eastAsia" w:ascii="宋体" w:hAnsi="宋体" w:cs="宋体"/>
          <w:color w:val="auto"/>
          <w:sz w:val="30"/>
          <w:szCs w:val="30"/>
          <w:highlight w:val="none"/>
        </w:rPr>
        <w:br w:type="page"/>
      </w:r>
      <w:bookmarkStart w:id="360" w:name="_Toc28152"/>
      <w:bookmarkStart w:id="361" w:name="_Toc24592"/>
      <w:bookmarkStart w:id="362" w:name="_Toc30109"/>
      <w:r>
        <w:rPr>
          <w:rFonts w:hint="eastAsia" w:ascii="宋体" w:hAnsi="宋体" w:cs="宋体"/>
          <w:color w:val="auto"/>
          <w:sz w:val="30"/>
          <w:szCs w:val="30"/>
          <w:highlight w:val="none"/>
        </w:rPr>
        <w:t>附件二：</w:t>
      </w:r>
      <w:bookmarkEnd w:id="360"/>
      <w:bookmarkEnd w:id="361"/>
      <w:bookmarkEnd w:id="362"/>
    </w:p>
    <w:p w14:paraId="01EDEB6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根据《中华人民共和国招标投标法》和《中华人民共和国民法典》,招标人和中标人之间 的权力和义务，应当按照平等、自愿的原则，依据招标文件要求和投标文件响应，签订合 同。</w:t>
      </w:r>
    </w:p>
    <w:p w14:paraId="368517AB">
      <w:pPr>
        <w:widowControl/>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会展承办合约书</w:t>
      </w:r>
    </w:p>
    <w:p w14:paraId="170B6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甲方：中国人寿保险股份有限公司重庆市分公司            </w:t>
      </w:r>
    </w:p>
    <w:p w14:paraId="1E0A1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乙方：   </w:t>
      </w:r>
    </w:p>
    <w:p w14:paraId="05D9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乙方代表：</w:t>
      </w:r>
    </w:p>
    <w:p w14:paraId="2FEDAA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联系地址： </w:t>
      </w:r>
    </w:p>
    <w:p w14:paraId="2DA30A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电话：          </w:t>
      </w:r>
    </w:p>
    <w:p w14:paraId="0031952E">
      <w:pPr>
        <w:spacing w:line="360" w:lineRule="auto"/>
        <w:ind w:left="240" w:right="155" w:hanging="240" w:hangingChars="100"/>
        <w:jc w:val="left"/>
        <w:outlineLvl w:val="0"/>
        <w:rPr>
          <w:rFonts w:ascii="宋体" w:hAnsi="宋体" w:cs="宋体"/>
          <w:color w:val="auto"/>
          <w:sz w:val="24"/>
          <w:highlight w:val="none"/>
        </w:rPr>
      </w:pPr>
      <w:r>
        <w:rPr>
          <w:rFonts w:hint="eastAsia" w:ascii="宋体" w:hAnsi="宋体" w:cs="宋体"/>
          <w:color w:val="auto"/>
          <w:sz w:val="24"/>
          <w:highlight w:val="none"/>
        </w:rPr>
        <w:t xml:space="preserve">    </w:t>
      </w:r>
      <w:bookmarkStart w:id="363" w:name="_Toc18110"/>
      <w:bookmarkStart w:id="364" w:name="_Toc14188"/>
      <w:bookmarkStart w:id="365" w:name="_Toc13722"/>
      <w:bookmarkStart w:id="366" w:name="_Toc98160061"/>
      <w:bookmarkStart w:id="367" w:name="_Toc25950"/>
      <w:bookmarkStart w:id="368" w:name="_Toc8932"/>
      <w:r>
        <w:rPr>
          <w:rFonts w:hint="eastAsia" w:ascii="宋体" w:hAnsi="宋体" w:cs="宋体"/>
          <w:color w:val="auto"/>
          <w:sz w:val="24"/>
          <w:highlight w:val="none"/>
        </w:rPr>
        <w:t>甲、乙双方经友好协商，就甲方邀请乙方承办参加于   年  月    日在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举办的活动事宜（以下简称“活动”），同意签订下列合约条款以资履行：</w:t>
      </w:r>
      <w:bookmarkEnd w:id="363"/>
      <w:bookmarkEnd w:id="364"/>
      <w:bookmarkEnd w:id="365"/>
      <w:bookmarkEnd w:id="366"/>
      <w:bookmarkEnd w:id="367"/>
      <w:bookmarkEnd w:id="368"/>
    </w:p>
    <w:p w14:paraId="6039283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根据《中华人民共和国民法典》及相关法律、法规的规定，本着自愿、平等的原则，就甲方委托乙方承办活动事宜，经甲乙双方友好协商，达成如下一致协议：</w:t>
      </w:r>
    </w:p>
    <w:p w14:paraId="3360C6CD">
      <w:pPr>
        <w:numPr>
          <w:ilvl w:val="0"/>
          <w:numId w:val="5"/>
        </w:numPr>
        <w:spacing w:line="360" w:lineRule="auto"/>
        <w:outlineLvl w:val="0"/>
        <w:rPr>
          <w:rFonts w:ascii="宋体" w:hAnsi="宋体" w:cs="宋体"/>
          <w:color w:val="auto"/>
          <w:sz w:val="24"/>
          <w:highlight w:val="none"/>
        </w:rPr>
      </w:pPr>
      <w:bookmarkStart w:id="369" w:name="_Toc13009"/>
      <w:bookmarkStart w:id="370" w:name="_Toc13445"/>
      <w:bookmarkStart w:id="371" w:name="_Toc31684"/>
      <w:bookmarkStart w:id="372" w:name="_Toc1957"/>
      <w:r>
        <w:rPr>
          <w:rFonts w:hint="eastAsia" w:ascii="宋体" w:hAnsi="宋体" w:cs="宋体"/>
          <w:color w:val="auto"/>
          <w:sz w:val="24"/>
          <w:highlight w:val="none"/>
        </w:rPr>
        <w:t>委托事项</w:t>
      </w:r>
      <w:bookmarkEnd w:id="369"/>
      <w:bookmarkEnd w:id="370"/>
      <w:bookmarkEnd w:id="371"/>
      <w:bookmarkEnd w:id="372"/>
    </w:p>
    <w:p w14:paraId="6EFC7B3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委托乙方承办甲方的下述活动：</w:t>
      </w:r>
    </w:p>
    <w:p w14:paraId="3209656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活动名称：         </w:t>
      </w:r>
    </w:p>
    <w:p w14:paraId="618F9E1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活动时间：                </w:t>
      </w:r>
    </w:p>
    <w:p w14:paraId="5FB3C34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活动地点：              </w:t>
      </w:r>
    </w:p>
    <w:p w14:paraId="69A4B15B">
      <w:pPr>
        <w:spacing w:line="360" w:lineRule="auto"/>
        <w:outlineLvl w:val="0"/>
        <w:rPr>
          <w:rFonts w:ascii="宋体" w:hAnsi="宋体" w:cs="宋体"/>
          <w:color w:val="auto"/>
          <w:sz w:val="24"/>
          <w:highlight w:val="none"/>
        </w:rPr>
      </w:pPr>
      <w:bookmarkStart w:id="373" w:name="_Toc14804"/>
      <w:bookmarkStart w:id="374" w:name="_Toc1634"/>
      <w:bookmarkStart w:id="375" w:name="_Toc15847"/>
      <w:bookmarkStart w:id="376" w:name="_Toc4777"/>
      <w:r>
        <w:rPr>
          <w:rFonts w:hint="eastAsia" w:ascii="宋体" w:hAnsi="宋体" w:cs="宋体"/>
          <w:color w:val="auto"/>
          <w:sz w:val="24"/>
          <w:highlight w:val="none"/>
        </w:rPr>
        <w:t>二、甲方权利义务</w:t>
      </w:r>
      <w:bookmarkEnd w:id="373"/>
      <w:bookmarkEnd w:id="374"/>
      <w:bookmarkEnd w:id="375"/>
      <w:bookmarkEnd w:id="376"/>
    </w:p>
    <w:p w14:paraId="1E7B6A98">
      <w:pPr>
        <w:tabs>
          <w:tab w:val="left" w:pos="426"/>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377" w:name="_Toc29883"/>
      <w:bookmarkStart w:id="378" w:name="_Toc24396"/>
      <w:bookmarkStart w:id="379" w:name="_Toc2211"/>
      <w:r>
        <w:rPr>
          <w:rFonts w:hint="eastAsia" w:ascii="宋体" w:hAnsi="宋体" w:cs="宋体"/>
          <w:color w:val="auto"/>
          <w:sz w:val="24"/>
          <w:highlight w:val="none"/>
        </w:rPr>
        <w:t>1.甲方有权提出活动要求。</w:t>
      </w:r>
      <w:bookmarkEnd w:id="377"/>
      <w:bookmarkEnd w:id="378"/>
      <w:bookmarkEnd w:id="379"/>
    </w:p>
    <w:p w14:paraId="2F1E71BD">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2.甲方有权要求乙方按本合同约定提供相关服务，并对乙方工作进程进行监督。</w:t>
      </w:r>
    </w:p>
    <w:p w14:paraId="71442927">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3.乙方未按本合同约定执行，甲方有权要求乙方退回已支付全部费用和拒绝支付合同约定剩余款项并追究乙方违约责任。</w:t>
      </w:r>
    </w:p>
    <w:p w14:paraId="2239AC0F">
      <w:pPr>
        <w:tabs>
          <w:tab w:val="left" w:pos="426"/>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380" w:name="_Toc21842"/>
      <w:bookmarkStart w:id="381" w:name="_Toc21078"/>
      <w:bookmarkStart w:id="382" w:name="_Toc26008"/>
      <w:r>
        <w:rPr>
          <w:rFonts w:hint="eastAsia" w:ascii="宋体" w:hAnsi="宋体" w:cs="宋体"/>
          <w:color w:val="auto"/>
          <w:sz w:val="24"/>
          <w:highlight w:val="none"/>
        </w:rPr>
        <w:t>4.甲方可进行不以盈利为目的对活动进行录音录像。</w:t>
      </w:r>
      <w:bookmarkEnd w:id="380"/>
      <w:bookmarkEnd w:id="381"/>
      <w:bookmarkEnd w:id="382"/>
    </w:p>
    <w:p w14:paraId="3DEE3E0D">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5.甲方应维护活动的现场秩序，因活动现场治安原因导致其邀请嘉宾人身、财产、意外伤害所造成损失由甲方负责。</w:t>
      </w:r>
    </w:p>
    <w:p w14:paraId="0DB4AC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三、乙方权利义务                                                                               </w:t>
      </w:r>
    </w:p>
    <w:p w14:paraId="62B6BFB3">
      <w:pPr>
        <w:tabs>
          <w:tab w:val="left" w:pos="0"/>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1.乙方应严格按照甲已双方约定要求完成委托事项。</w:t>
      </w:r>
    </w:p>
    <w:p w14:paraId="7FAE7148">
      <w:pPr>
        <w:tabs>
          <w:tab w:val="left" w:pos="0"/>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2.乙方应严格按照甲方要求确保演出及服务质量。</w:t>
      </w:r>
    </w:p>
    <w:p w14:paraId="1C026F95">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3.乙方应当按照本合同及附件约定的时间和内容，策划、准备、组织、排练、实施本次活动，未经甲方同意，乙方不得更改本合同约定节目名称及内容，否则，视为乙方违约。</w:t>
      </w:r>
    </w:p>
    <w:p w14:paraId="6617F15C">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4.乙方应严格按照本合同附件组织工作人员及演艺人员，在活动期间进行现场实施工作，并应根据现场甲方提出的反馈意见，按双方的协商结果对活动流程及操作进行部分调整。</w:t>
      </w:r>
    </w:p>
    <w:p w14:paraId="3C6C9387">
      <w:pPr>
        <w:tabs>
          <w:tab w:val="left" w:pos="426"/>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5.乙方对甲方所提供的有关资料和信息以及乙方据此完成的工作事项负有保管和保密责任。乙方不得以任何方式将甲方提供或其为甲方设计的活动及创意提供给第三方。</w:t>
      </w:r>
    </w:p>
    <w:p w14:paraId="647B96AD">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w:t>
      </w:r>
      <w:bookmarkStart w:id="383" w:name="_Toc17600"/>
      <w:bookmarkStart w:id="384" w:name="_Toc27222"/>
      <w:bookmarkStart w:id="385" w:name="_Toc24646"/>
      <w:bookmarkStart w:id="386" w:name="_Toc28043"/>
      <w:r>
        <w:rPr>
          <w:rFonts w:hint="eastAsia" w:ascii="宋体" w:hAnsi="宋体" w:cs="宋体"/>
          <w:color w:val="auto"/>
          <w:sz w:val="24"/>
          <w:highlight w:val="none"/>
        </w:rPr>
        <w:t>四、费用及付款方式：</w:t>
      </w:r>
      <w:bookmarkEnd w:id="383"/>
      <w:bookmarkEnd w:id="384"/>
      <w:bookmarkEnd w:id="385"/>
      <w:bookmarkEnd w:id="386"/>
    </w:p>
    <w:p w14:paraId="1080084B">
      <w:pPr>
        <w:numPr>
          <w:ilvl w:val="0"/>
          <w:numId w:val="6"/>
        </w:numPr>
        <w:spacing w:line="360" w:lineRule="auto"/>
        <w:ind w:left="754" w:leftChars="205" w:hanging="324" w:hangingChars="135"/>
        <w:rPr>
          <w:rFonts w:ascii="宋体" w:hAnsi="宋体" w:cs="宋体"/>
          <w:color w:val="auto"/>
          <w:sz w:val="24"/>
          <w:highlight w:val="none"/>
        </w:rPr>
      </w:pPr>
      <w:r>
        <w:rPr>
          <w:rFonts w:hint="eastAsia" w:ascii="宋体" w:hAnsi="宋体" w:cs="宋体"/>
          <w:color w:val="auto"/>
          <w:sz w:val="24"/>
          <w:highlight w:val="none"/>
        </w:rPr>
        <w:t>项目费用结算一次一结，发票开具后30个工作日内报账完成付款。</w:t>
      </w:r>
    </w:p>
    <w:p w14:paraId="1FAFEEB9">
      <w:pPr>
        <w:numPr>
          <w:ilvl w:val="0"/>
          <w:numId w:val="6"/>
        </w:numPr>
        <w:spacing w:line="360" w:lineRule="auto"/>
        <w:ind w:left="754" w:leftChars="205" w:hanging="324" w:hangingChars="135"/>
        <w:rPr>
          <w:rFonts w:ascii="宋体" w:hAnsi="宋体" w:cs="宋体"/>
          <w:color w:val="auto"/>
          <w:sz w:val="24"/>
          <w:highlight w:val="none"/>
        </w:rPr>
      </w:pPr>
      <w:r>
        <w:rPr>
          <w:rFonts w:hint="eastAsia" w:ascii="宋体" w:hAnsi="宋体" w:cs="宋体"/>
          <w:color w:val="auto"/>
          <w:sz w:val="24"/>
          <w:highlight w:val="none"/>
        </w:rPr>
        <w:t>甲方支付乙方本合约劳务费，共计人民币_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圆整（RMB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圆整）。</w:t>
      </w:r>
    </w:p>
    <w:p w14:paraId="58886584">
      <w:pPr>
        <w:spacing w:line="360" w:lineRule="auto"/>
        <w:ind w:firstLine="435"/>
        <w:outlineLvl w:val="1"/>
        <w:rPr>
          <w:rFonts w:ascii="宋体" w:hAnsi="宋体" w:cs="宋体"/>
          <w:color w:val="auto"/>
          <w:sz w:val="24"/>
          <w:highlight w:val="none"/>
        </w:rPr>
      </w:pPr>
      <w:bookmarkStart w:id="387" w:name="_Toc6626"/>
      <w:bookmarkStart w:id="388" w:name="_Toc18524"/>
      <w:bookmarkStart w:id="389" w:name="_Toc27535"/>
      <w:r>
        <w:rPr>
          <w:rFonts w:hint="eastAsia" w:ascii="宋体" w:hAnsi="宋体" w:cs="宋体"/>
          <w:color w:val="auto"/>
          <w:sz w:val="24"/>
          <w:highlight w:val="none"/>
        </w:rPr>
        <w:t>3.甲方需将支付给乙方全部费用汇入下述银行账户：</w:t>
      </w:r>
      <w:bookmarkEnd w:id="387"/>
      <w:bookmarkEnd w:id="388"/>
      <w:bookmarkEnd w:id="389"/>
      <w:r>
        <w:rPr>
          <w:rFonts w:hint="eastAsia" w:ascii="宋体" w:hAnsi="宋体" w:cs="宋体"/>
          <w:color w:val="auto"/>
          <w:sz w:val="24"/>
          <w:highlight w:val="none"/>
        </w:rPr>
        <w:t xml:space="preserve">  </w:t>
      </w:r>
    </w:p>
    <w:p w14:paraId="56ACC112">
      <w:pPr>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 xml:space="preserve">开户行： </w:t>
      </w:r>
    </w:p>
    <w:p w14:paraId="26085685">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 户  名： </w:t>
      </w:r>
    </w:p>
    <w:p w14:paraId="7B52409F">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 账  号： </w:t>
      </w:r>
    </w:p>
    <w:p w14:paraId="16DC85D7">
      <w:pPr>
        <w:numPr>
          <w:ilvl w:val="0"/>
          <w:numId w:val="7"/>
        </w:numPr>
        <w:spacing w:line="360" w:lineRule="auto"/>
        <w:rPr>
          <w:rFonts w:ascii="宋体" w:hAnsi="宋体" w:cs="宋体"/>
          <w:color w:val="auto"/>
          <w:sz w:val="24"/>
          <w:highlight w:val="none"/>
        </w:rPr>
      </w:pPr>
      <w:r>
        <w:rPr>
          <w:rFonts w:hint="eastAsia" w:ascii="宋体" w:hAnsi="宋体" w:cs="宋体"/>
          <w:color w:val="auto"/>
          <w:sz w:val="24"/>
          <w:highlight w:val="none"/>
        </w:rPr>
        <w:t>不可抗力：甲乙双方因不可抗力的原因而不能履行或不能完全履行本协议的，应当在十个工作日内告知对方不能履行或不能完全履行的理由。双方可根据实际情况重新约定履约事项，部分或全部免除双方的违约责任。</w:t>
      </w:r>
    </w:p>
    <w:p w14:paraId="6C048D4F">
      <w:pPr>
        <w:numPr>
          <w:ilvl w:val="0"/>
          <w:numId w:val="8"/>
        </w:numPr>
        <w:spacing w:line="360" w:lineRule="auto"/>
        <w:outlineLvl w:val="0"/>
        <w:rPr>
          <w:rFonts w:ascii="宋体" w:hAnsi="宋体" w:cs="宋体"/>
          <w:color w:val="auto"/>
          <w:sz w:val="24"/>
          <w:highlight w:val="none"/>
        </w:rPr>
      </w:pPr>
      <w:bookmarkStart w:id="390" w:name="_Toc22107"/>
      <w:bookmarkStart w:id="391" w:name="_Toc6166"/>
      <w:bookmarkStart w:id="392" w:name="_Toc18084"/>
      <w:bookmarkStart w:id="393" w:name="_Toc2010"/>
      <w:r>
        <w:rPr>
          <w:rFonts w:hint="eastAsia" w:ascii="宋体" w:hAnsi="宋体" w:cs="宋体"/>
          <w:color w:val="auto"/>
          <w:sz w:val="24"/>
          <w:highlight w:val="none"/>
        </w:rPr>
        <w:t>违约责任：</w:t>
      </w:r>
      <w:bookmarkEnd w:id="390"/>
      <w:bookmarkEnd w:id="391"/>
      <w:bookmarkEnd w:id="392"/>
      <w:bookmarkEnd w:id="393"/>
    </w:p>
    <w:p w14:paraId="29ACBDCC">
      <w:pPr>
        <w:spacing w:line="360" w:lineRule="auto"/>
        <w:ind w:firstLine="480" w:firstLineChars="200"/>
        <w:outlineLvl w:val="1"/>
        <w:rPr>
          <w:rFonts w:ascii="宋体" w:hAnsi="宋体" w:cs="宋体"/>
          <w:color w:val="auto"/>
          <w:sz w:val="24"/>
          <w:highlight w:val="none"/>
        </w:rPr>
      </w:pPr>
      <w:bookmarkStart w:id="394" w:name="_Toc11711"/>
      <w:bookmarkStart w:id="395" w:name="_Toc14487"/>
      <w:bookmarkStart w:id="396" w:name="_Toc8247"/>
      <w:r>
        <w:rPr>
          <w:rFonts w:hint="eastAsia" w:ascii="宋体" w:hAnsi="宋体" w:cs="宋体"/>
          <w:color w:val="auto"/>
          <w:sz w:val="24"/>
          <w:highlight w:val="none"/>
        </w:rPr>
        <w:t>1.甲方违约责任</w:t>
      </w:r>
      <w:bookmarkEnd w:id="394"/>
      <w:bookmarkEnd w:id="395"/>
      <w:bookmarkEnd w:id="396"/>
    </w:p>
    <w:p w14:paraId="380E9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（1）甲方违反本合同支付条款中的预付款时间，乙方有权解除本合同，甲方应承担由于解除合同所造成的损失；</w:t>
      </w:r>
    </w:p>
    <w:p w14:paraId="449F7B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（2）甲方违反本合同支付条款中的余额支付时间，按每日合同总金额的1‰收取违约金；</w:t>
      </w:r>
    </w:p>
    <w:p w14:paraId="67D594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（3）甲方保证活动场地的合法合规。如果因为场地使用不合法合规，导致物料进场期间活动取消，由甲方支付乙方合同总金额的100%作为违约金。</w:t>
      </w:r>
    </w:p>
    <w:p w14:paraId="40233504">
      <w:pPr>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397" w:name="_Toc22615"/>
      <w:bookmarkStart w:id="398" w:name="_Toc15046"/>
      <w:bookmarkStart w:id="399" w:name="_Toc19804"/>
      <w:r>
        <w:rPr>
          <w:rFonts w:hint="eastAsia" w:ascii="宋体" w:hAnsi="宋体" w:cs="宋体"/>
          <w:color w:val="auto"/>
          <w:sz w:val="24"/>
          <w:highlight w:val="none"/>
        </w:rPr>
        <w:t>2.乙方违约责任</w:t>
      </w:r>
      <w:bookmarkEnd w:id="397"/>
      <w:bookmarkEnd w:id="398"/>
      <w:bookmarkEnd w:id="399"/>
    </w:p>
    <w:p w14:paraId="0BA33016">
      <w:pPr>
        <w:numPr>
          <w:ilvl w:val="0"/>
          <w:numId w:val="9"/>
        </w:numPr>
        <w:spacing w:line="360" w:lineRule="auto"/>
        <w:ind w:left="371" w:hanging="360"/>
        <w:rPr>
          <w:rFonts w:ascii="宋体" w:hAnsi="宋体" w:cs="宋体"/>
          <w:color w:val="auto"/>
          <w:sz w:val="24"/>
          <w:highlight w:val="none"/>
        </w:rPr>
      </w:pPr>
      <w:r>
        <w:rPr>
          <w:rFonts w:hint="eastAsia" w:ascii="宋体" w:hAnsi="宋体" w:cs="宋体"/>
          <w:color w:val="auto"/>
          <w:sz w:val="24"/>
          <w:highlight w:val="none"/>
        </w:rPr>
        <w:t>乙方在现场布置过程中及活动中因现场布置不当所导致的乙方工作人员或第三人事故，由乙方承担全部法律及经济责任。并对因乙方造成现场成果的损坏、灭失风险负全部责任。</w:t>
      </w:r>
    </w:p>
    <w:p w14:paraId="06DF481A">
      <w:pPr>
        <w:numPr>
          <w:ilvl w:val="0"/>
          <w:numId w:val="10"/>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由于乙方原因导致本次活动不能按时进行、本合同无法继续履行的，由乙方向甲方支付合同总费用的100%作为违约金，并将甲方前期支付给乙方的费用无条件全部退回给甲方。并承担相关的其他法律责任。</w:t>
      </w:r>
    </w:p>
    <w:p w14:paraId="2E6EA682">
      <w:pPr>
        <w:spacing w:line="360" w:lineRule="auto"/>
        <w:outlineLvl w:val="0"/>
        <w:rPr>
          <w:rFonts w:ascii="宋体" w:hAnsi="宋体" w:cs="宋体"/>
          <w:color w:val="auto"/>
          <w:sz w:val="24"/>
          <w:highlight w:val="none"/>
        </w:rPr>
      </w:pPr>
      <w:bookmarkStart w:id="400" w:name="_Toc16212"/>
      <w:bookmarkStart w:id="401" w:name="_Toc10772"/>
      <w:bookmarkStart w:id="402" w:name="_Toc4479"/>
      <w:bookmarkStart w:id="403" w:name="_Toc1504"/>
      <w:r>
        <w:rPr>
          <w:rFonts w:hint="eastAsia" w:ascii="宋体" w:hAnsi="宋体" w:cs="宋体"/>
          <w:color w:val="auto"/>
          <w:sz w:val="24"/>
          <w:highlight w:val="none"/>
        </w:rPr>
        <w:t>七、争议的解决方式</w:t>
      </w:r>
      <w:bookmarkEnd w:id="400"/>
      <w:bookmarkEnd w:id="401"/>
      <w:bookmarkEnd w:id="402"/>
      <w:bookmarkEnd w:id="403"/>
    </w:p>
    <w:p w14:paraId="00CE77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双方发生合同纠纷首先进行协商解决，若协商不成，双方均可向合同签订地法院起诉。 </w:t>
      </w:r>
    </w:p>
    <w:p w14:paraId="6E557EF6">
      <w:pPr>
        <w:spacing w:line="360" w:lineRule="auto"/>
        <w:outlineLvl w:val="0"/>
        <w:rPr>
          <w:rFonts w:ascii="宋体" w:hAnsi="宋体" w:cs="宋体"/>
          <w:color w:val="auto"/>
          <w:sz w:val="24"/>
          <w:highlight w:val="none"/>
        </w:rPr>
      </w:pPr>
      <w:bookmarkStart w:id="404" w:name="_Toc26317"/>
      <w:bookmarkStart w:id="405" w:name="_Toc16583"/>
      <w:bookmarkStart w:id="406" w:name="_Toc20957"/>
      <w:bookmarkStart w:id="407" w:name="_Toc28782"/>
      <w:r>
        <w:rPr>
          <w:rFonts w:hint="eastAsia" w:ascii="宋体" w:hAnsi="宋体" w:cs="宋体"/>
          <w:color w:val="auto"/>
          <w:sz w:val="24"/>
          <w:highlight w:val="none"/>
        </w:rPr>
        <w:t>八、合同税务条款：</w:t>
      </w:r>
      <w:bookmarkEnd w:id="404"/>
      <w:bookmarkEnd w:id="405"/>
      <w:bookmarkEnd w:id="406"/>
      <w:bookmarkEnd w:id="407"/>
    </w:p>
    <w:p w14:paraId="196BD2C6">
      <w:pPr>
        <w:spacing w:line="360" w:lineRule="auto"/>
        <w:outlineLvl w:val="1"/>
        <w:rPr>
          <w:rFonts w:ascii="宋体" w:hAnsi="宋体" w:cs="宋体"/>
          <w:color w:val="auto"/>
          <w:sz w:val="24"/>
          <w:highlight w:val="none"/>
        </w:rPr>
      </w:pPr>
      <w:bookmarkStart w:id="408" w:name="_Toc15432"/>
      <w:bookmarkStart w:id="409" w:name="_Toc23542"/>
      <w:bookmarkStart w:id="410" w:name="_Toc7116"/>
      <w:r>
        <w:rPr>
          <w:rFonts w:hint="eastAsia" w:ascii="宋体" w:hAnsi="宋体" w:cs="宋体"/>
          <w:color w:val="auto"/>
          <w:sz w:val="24"/>
          <w:highlight w:val="none"/>
        </w:rPr>
        <w:t>甲方：中国人寿保险股份有限公司重庆市分公司</w:t>
      </w:r>
      <w:bookmarkEnd w:id="408"/>
      <w:bookmarkEnd w:id="409"/>
      <w:bookmarkEnd w:id="410"/>
    </w:p>
    <w:p w14:paraId="75EC3208">
      <w:pPr>
        <w:spacing w:before="178" w:line="360" w:lineRule="auto"/>
        <w:ind w:left="119" w:right="221"/>
        <w:rPr>
          <w:rFonts w:ascii="宋体" w:hAnsi="宋体" w:cs="宋体"/>
          <w:color w:val="auto"/>
          <w:sz w:val="24"/>
          <w:highlight w:val="none"/>
        </w:rPr>
      </w:pPr>
      <w:r>
        <w:rPr>
          <w:rFonts w:hint="eastAsia" w:ascii="宋体" w:hAnsi="宋体" w:cs="宋体"/>
          <w:color w:val="auto"/>
          <w:sz w:val="24"/>
          <w:highlight w:val="none"/>
        </w:rPr>
        <w:t>1、甲乙双方约定合同的各项费用金额为含增值税价格，除经双方书面约定的情况外，乙方将不会在合同价款之外另行收取适用于该业务的增值税以及附加税费。</w:t>
      </w:r>
    </w:p>
    <w:p w14:paraId="5B7562DB">
      <w:pPr>
        <w:spacing w:before="178" w:line="360" w:lineRule="auto"/>
        <w:ind w:left="119" w:right="221"/>
        <w:rPr>
          <w:rFonts w:ascii="宋体" w:hAnsi="宋体" w:cs="宋体"/>
          <w:color w:val="auto"/>
          <w:sz w:val="24"/>
          <w:highlight w:val="none"/>
        </w:rPr>
      </w:pPr>
      <w:r>
        <w:rPr>
          <w:rFonts w:hint="eastAsia" w:ascii="宋体" w:hAnsi="宋体" w:cs="宋体"/>
          <w:color w:val="auto"/>
          <w:sz w:val="24"/>
          <w:highlight w:val="none"/>
        </w:rPr>
        <w:t>2、合同执行期间，因政府财税部门对增值税政策调整的，增值税税额按调整后的税率执行，不含税价格不变，双方按不含税价格和调整后的增值税税额重新确定含增值税价格。</w:t>
      </w:r>
    </w:p>
    <w:p w14:paraId="603E44E3">
      <w:pPr>
        <w:spacing w:before="169" w:line="360" w:lineRule="auto"/>
        <w:ind w:left="120" w:right="219"/>
        <w:rPr>
          <w:rFonts w:ascii="宋体" w:hAnsi="宋体" w:cs="宋体"/>
          <w:color w:val="auto"/>
          <w:sz w:val="24"/>
          <w:highlight w:val="none"/>
        </w:rPr>
      </w:pPr>
      <w:r>
        <w:rPr>
          <w:rFonts w:hint="eastAsia" w:ascii="宋体" w:hAnsi="宋体" w:cs="宋体"/>
          <w:color w:val="auto"/>
          <w:sz w:val="24"/>
          <w:highlight w:val="none"/>
        </w:rPr>
        <w:t>3、乙方应向甲方开具经甲方认可的合法有效的增值税专用（普通）发票。因乙方未提供经甲方认可的合法有效的增值税专用（普通）发票造成甲方少抵扣增值税的损失，乙方同意从结算价款中扣减。因乙方未提供经甲方认可的合法有效凭证造成甲方企业所得税损失的，乙方同意给予等额补偿（或者从结算价款中扣减）。</w:t>
      </w:r>
    </w:p>
    <w:p w14:paraId="6B3D8D02">
      <w:pPr>
        <w:spacing w:before="134" w:line="360" w:lineRule="auto"/>
        <w:ind w:left="120" w:right="219"/>
        <w:outlineLvl w:val="1"/>
        <w:rPr>
          <w:rFonts w:ascii="宋体" w:hAnsi="宋体" w:cs="宋体"/>
          <w:color w:val="auto"/>
          <w:sz w:val="24"/>
          <w:highlight w:val="none"/>
        </w:rPr>
      </w:pPr>
      <w:bookmarkStart w:id="411" w:name="_Toc28670"/>
      <w:bookmarkStart w:id="412" w:name="_Toc8863"/>
      <w:bookmarkStart w:id="413" w:name="_Toc678"/>
      <w:r>
        <w:rPr>
          <w:rFonts w:hint="eastAsia" w:ascii="宋体" w:hAnsi="宋体" w:cs="宋体"/>
          <w:color w:val="auto"/>
          <w:sz w:val="24"/>
          <w:highlight w:val="none"/>
        </w:rPr>
        <w:t>4、甲方向乙方提供如下开票信息：</w:t>
      </w:r>
      <w:bookmarkEnd w:id="411"/>
      <w:bookmarkEnd w:id="412"/>
      <w:bookmarkEnd w:id="413"/>
    </w:p>
    <w:p w14:paraId="611AE462">
      <w:pPr>
        <w:spacing w:before="134" w:line="360" w:lineRule="auto"/>
        <w:ind w:left="120" w:right="219"/>
        <w:rPr>
          <w:rFonts w:ascii="宋体" w:hAnsi="宋体" w:cs="宋体"/>
          <w:color w:val="auto"/>
          <w:sz w:val="24"/>
          <w:highlight w:val="none"/>
        </w:rPr>
      </w:pPr>
      <w:r>
        <w:rPr>
          <w:rFonts w:hint="eastAsia" w:ascii="宋体" w:hAnsi="宋体" w:cs="宋体"/>
          <w:color w:val="auto"/>
          <w:sz w:val="24"/>
          <w:highlight w:val="none"/>
        </w:rPr>
        <w:t>公司名称：中国人寿保险股份有限公司重庆市分公司</w:t>
      </w:r>
    </w:p>
    <w:p w14:paraId="3811D456">
      <w:pPr>
        <w:spacing w:before="134" w:line="360" w:lineRule="auto"/>
        <w:ind w:left="120" w:right="219"/>
        <w:rPr>
          <w:rFonts w:ascii="宋体" w:hAnsi="宋体" w:cs="宋体"/>
          <w:color w:val="auto"/>
          <w:sz w:val="24"/>
          <w:highlight w:val="none"/>
        </w:rPr>
      </w:pPr>
      <w:r>
        <w:rPr>
          <w:rFonts w:hint="eastAsia" w:ascii="宋体" w:hAnsi="宋体" w:cs="宋体"/>
          <w:color w:val="auto"/>
          <w:sz w:val="24"/>
          <w:highlight w:val="none"/>
        </w:rPr>
        <w:t>纳税人识别号：</w:t>
      </w:r>
    </w:p>
    <w:p w14:paraId="10DD7A92">
      <w:pPr>
        <w:spacing w:before="134" w:line="360" w:lineRule="auto"/>
        <w:ind w:left="120" w:right="219"/>
        <w:rPr>
          <w:rFonts w:ascii="宋体" w:hAnsi="宋体" w:cs="宋体"/>
          <w:color w:val="auto"/>
          <w:sz w:val="24"/>
          <w:highlight w:val="none"/>
        </w:rPr>
      </w:pPr>
      <w:r>
        <w:rPr>
          <w:rFonts w:hint="eastAsia" w:ascii="宋体" w:hAnsi="宋体" w:cs="宋体"/>
          <w:color w:val="auto"/>
          <w:sz w:val="24"/>
          <w:highlight w:val="none"/>
        </w:rPr>
        <w:t xml:space="preserve">开户银行： </w:t>
      </w:r>
    </w:p>
    <w:p w14:paraId="75368E8F">
      <w:pPr>
        <w:spacing w:before="134" w:line="360" w:lineRule="auto"/>
        <w:ind w:left="120" w:right="219"/>
        <w:rPr>
          <w:rFonts w:ascii="宋体" w:hAnsi="宋体" w:cs="宋体"/>
          <w:color w:val="auto"/>
          <w:sz w:val="24"/>
          <w:highlight w:val="none"/>
        </w:rPr>
      </w:pPr>
      <w:r>
        <w:rPr>
          <w:rFonts w:hint="eastAsia" w:ascii="宋体" w:hAnsi="宋体" w:cs="宋体"/>
          <w:color w:val="auto"/>
          <w:sz w:val="24"/>
          <w:highlight w:val="none"/>
        </w:rPr>
        <w:t>银行账户：</w:t>
      </w:r>
    </w:p>
    <w:p w14:paraId="59541695">
      <w:pPr>
        <w:spacing w:before="134" w:line="360" w:lineRule="auto"/>
        <w:ind w:left="120" w:right="219"/>
        <w:rPr>
          <w:rFonts w:ascii="宋体" w:hAnsi="宋体" w:cs="宋体"/>
          <w:color w:val="auto"/>
          <w:sz w:val="24"/>
          <w:highlight w:val="none"/>
        </w:rPr>
      </w:pPr>
      <w:r>
        <w:rPr>
          <w:rFonts w:hint="eastAsia" w:ascii="宋体" w:hAnsi="宋体" w:cs="宋体"/>
          <w:color w:val="auto"/>
          <w:sz w:val="24"/>
          <w:highlight w:val="none"/>
        </w:rPr>
        <w:t xml:space="preserve">地址： </w:t>
      </w:r>
    </w:p>
    <w:p w14:paraId="1BA66278">
      <w:pPr>
        <w:spacing w:before="134" w:line="360" w:lineRule="auto"/>
        <w:ind w:right="219" w:firstLine="120" w:firstLineChars="50"/>
        <w:rPr>
          <w:rFonts w:ascii="宋体" w:hAnsi="宋体" w:cs="宋体"/>
          <w:color w:val="auto"/>
          <w:sz w:val="24"/>
          <w:highlight w:val="none"/>
        </w:rPr>
      </w:pPr>
      <w:r>
        <w:rPr>
          <w:rFonts w:hint="eastAsia" w:ascii="宋体" w:hAnsi="宋体" w:cs="宋体"/>
          <w:color w:val="auto"/>
          <w:sz w:val="24"/>
          <w:highlight w:val="none"/>
        </w:rPr>
        <w:t>电话：</w:t>
      </w:r>
    </w:p>
    <w:p w14:paraId="533C8A19">
      <w:pPr>
        <w:spacing w:before="134" w:line="360" w:lineRule="auto"/>
        <w:ind w:right="219" w:firstLine="120" w:firstLineChars="50"/>
        <w:rPr>
          <w:rFonts w:ascii="宋体" w:hAnsi="宋体" w:cs="宋体"/>
          <w:color w:val="auto"/>
          <w:sz w:val="24"/>
          <w:highlight w:val="none"/>
        </w:rPr>
      </w:pPr>
      <w:r>
        <w:rPr>
          <w:rFonts w:hint="eastAsia" w:ascii="宋体" w:hAnsi="宋体" w:cs="宋体"/>
          <w:color w:val="auto"/>
          <w:sz w:val="24"/>
          <w:highlight w:val="none"/>
        </w:rPr>
        <w:t>是否为增值税一般纳税人：是</w:t>
      </w:r>
    </w:p>
    <w:p w14:paraId="29C28465">
      <w:pPr>
        <w:spacing w:line="360" w:lineRule="auto"/>
        <w:rPr>
          <w:rFonts w:ascii="宋体" w:hAnsi="宋体" w:cs="宋体"/>
          <w:color w:val="auto"/>
          <w:sz w:val="24"/>
          <w:highlight w:val="none"/>
        </w:rPr>
      </w:pPr>
      <w:r>
        <w:rPr>
          <w:rFonts w:hint="eastAsia" w:ascii="宋体" w:hAnsi="宋体" w:cs="宋体"/>
          <w:color w:val="auto"/>
          <w:sz w:val="24"/>
          <w:highlight w:val="none"/>
        </w:rPr>
        <w:t>九、协议一式三份，经双方盖章后生效，双方至少各执一份,附件1具有同等法律效力。</w:t>
      </w:r>
    </w:p>
    <w:p w14:paraId="47A5E743">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甲方：                               乙方： </w:t>
      </w:r>
    </w:p>
    <w:p w14:paraId="06A7CF0B">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甲方代表：                           乙方代表：</w:t>
      </w:r>
    </w:p>
    <w:p w14:paraId="34726C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14:paraId="16628595">
      <w:pPr>
        <w:spacing w:line="360" w:lineRule="auto"/>
        <w:rPr>
          <w:rFonts w:ascii="宋体" w:hAnsi="宋体" w:cs="宋体"/>
          <w:color w:val="auto"/>
          <w:sz w:val="24"/>
          <w:highlight w:val="none"/>
        </w:rPr>
      </w:pPr>
    </w:p>
    <w:p w14:paraId="2310DACF">
      <w:pPr>
        <w:widowControl/>
        <w:spacing w:line="500" w:lineRule="exact"/>
        <w:outlineLvl w:val="1"/>
        <w:rPr>
          <w:rFonts w:ascii="宋体" w:hAnsi="宋体" w:cs="宋体"/>
          <w:color w:val="auto"/>
          <w:sz w:val="30"/>
          <w:szCs w:val="30"/>
          <w:highlight w:val="none"/>
        </w:rPr>
      </w:pPr>
      <w:bookmarkStart w:id="414" w:name="_Toc8476"/>
      <w:bookmarkStart w:id="415" w:name="_Toc25751"/>
      <w:bookmarkStart w:id="416" w:name="_Toc24026"/>
      <w:r>
        <w:rPr>
          <w:rFonts w:hint="eastAsia" w:ascii="宋体" w:hAnsi="宋体" w:cs="宋体"/>
          <w:color w:val="auto"/>
          <w:sz w:val="30"/>
          <w:szCs w:val="30"/>
          <w:highlight w:val="none"/>
        </w:rPr>
        <w:t>附件三：</w:t>
      </w:r>
      <w:bookmarkEnd w:id="414"/>
      <w:bookmarkEnd w:id="415"/>
      <w:bookmarkEnd w:id="416"/>
    </w:p>
    <w:p w14:paraId="460C0973">
      <w:pPr>
        <w:widowControl/>
        <w:spacing w:line="500" w:lineRule="exact"/>
        <w:outlineLvl w:val="1"/>
        <w:rPr>
          <w:rFonts w:ascii="宋体" w:hAnsi="宋体" w:cs="宋体"/>
          <w:color w:val="auto"/>
          <w:sz w:val="24"/>
          <w:highlight w:val="none"/>
        </w:rPr>
      </w:pPr>
      <w:bookmarkStart w:id="417" w:name="_Toc1997"/>
      <w:bookmarkStart w:id="418" w:name="_Toc30347"/>
      <w:bookmarkStart w:id="419" w:name="_Toc31121"/>
      <w:r>
        <w:rPr>
          <w:rFonts w:hint="eastAsia" w:ascii="宋体" w:hAnsi="宋体" w:cs="宋体"/>
          <w:color w:val="auto"/>
          <w:sz w:val="24"/>
          <w:highlight w:val="none"/>
        </w:rPr>
        <w:t>根据《中华人民共和国招标投标法》和《中华人民共和国民法典》，招标人和中标人之间的权力和义务，应当按照平等、自愿的原则，依据招标文件要求和投标文件响应，签订合同。</w:t>
      </w:r>
      <w:bookmarkEnd w:id="417"/>
      <w:bookmarkEnd w:id="418"/>
      <w:bookmarkEnd w:id="419"/>
    </w:p>
    <w:p w14:paraId="01E7BEFF">
      <w:pPr>
        <w:widowControl/>
        <w:spacing w:line="500" w:lineRule="exact"/>
        <w:jc w:val="center"/>
        <w:outlineLvl w:val="1"/>
        <w:rPr>
          <w:rFonts w:ascii="宋体" w:hAnsi="宋体" w:cs="宋体"/>
          <w:b/>
          <w:bCs/>
          <w:color w:val="auto"/>
          <w:sz w:val="32"/>
          <w:szCs w:val="32"/>
          <w:highlight w:val="none"/>
        </w:rPr>
      </w:pPr>
      <w:bookmarkStart w:id="420" w:name="_Toc19968"/>
      <w:bookmarkStart w:id="421" w:name="_Toc21112"/>
      <w:bookmarkStart w:id="422" w:name="_Toc23932"/>
      <w:r>
        <w:rPr>
          <w:rFonts w:hint="eastAsia" w:ascii="宋体" w:hAnsi="宋体" w:cs="宋体"/>
          <w:b/>
          <w:bCs/>
          <w:color w:val="auto"/>
          <w:sz w:val="32"/>
          <w:szCs w:val="32"/>
          <w:highlight w:val="none"/>
        </w:rPr>
        <w:t>宣传品服务供应商合作合同</w:t>
      </w:r>
      <w:bookmarkEnd w:id="420"/>
      <w:bookmarkEnd w:id="421"/>
      <w:bookmarkEnd w:id="422"/>
    </w:p>
    <w:p w14:paraId="4FD0E6BA">
      <w:pPr>
        <w:widowControl/>
        <w:spacing w:line="500" w:lineRule="exact"/>
        <w:rPr>
          <w:rFonts w:ascii="宋体" w:hAnsi="宋体" w:cs="宋体"/>
          <w:color w:val="auto"/>
          <w:sz w:val="24"/>
          <w:highlight w:val="none"/>
        </w:rPr>
      </w:pPr>
    </w:p>
    <w:p w14:paraId="5817CE6F">
      <w:pPr>
        <w:widowControl/>
        <w:spacing w:line="500" w:lineRule="exact"/>
        <w:outlineLvl w:val="1"/>
        <w:rPr>
          <w:rFonts w:ascii="宋体" w:hAnsi="宋体" w:cs="宋体"/>
          <w:color w:val="auto"/>
          <w:sz w:val="24"/>
          <w:highlight w:val="none"/>
        </w:rPr>
      </w:pPr>
      <w:bookmarkStart w:id="423" w:name="_Toc16825"/>
      <w:bookmarkStart w:id="424" w:name="_Toc28640"/>
      <w:bookmarkStart w:id="425" w:name="_Toc28263"/>
      <w:r>
        <w:rPr>
          <w:rFonts w:hint="eastAsia" w:ascii="宋体" w:hAnsi="宋体" w:cs="宋体"/>
          <w:color w:val="auto"/>
          <w:sz w:val="24"/>
          <w:highlight w:val="none"/>
        </w:rPr>
        <w:t>项目名称：                    招标编号：</w:t>
      </w:r>
      <w:bookmarkEnd w:id="423"/>
      <w:bookmarkEnd w:id="424"/>
      <w:bookmarkEnd w:id="425"/>
    </w:p>
    <w:p w14:paraId="376B052D">
      <w:pPr>
        <w:widowControl/>
        <w:spacing w:line="500" w:lineRule="exact"/>
        <w:outlineLvl w:val="1"/>
        <w:rPr>
          <w:rFonts w:ascii="宋体" w:hAnsi="宋体" w:cs="宋体"/>
          <w:color w:val="auto"/>
          <w:sz w:val="24"/>
          <w:highlight w:val="none"/>
        </w:rPr>
      </w:pPr>
      <w:bookmarkStart w:id="426" w:name="_Toc22004"/>
      <w:bookmarkStart w:id="427" w:name="_Toc29318"/>
      <w:bookmarkStart w:id="428" w:name="_Toc7219"/>
      <w:r>
        <w:rPr>
          <w:rFonts w:hint="eastAsia" w:ascii="宋体" w:hAnsi="宋体" w:cs="宋体"/>
          <w:color w:val="auto"/>
          <w:sz w:val="24"/>
          <w:highlight w:val="none"/>
        </w:rPr>
        <w:t>招标人（全称）：</w:t>
      </w:r>
      <w:r>
        <w:rPr>
          <w:rFonts w:hint="eastAsia" w:ascii="宋体" w:hAnsi="宋体" w:cs="宋体"/>
          <w:color w:val="auto"/>
          <w:sz w:val="24"/>
          <w:highlight w:val="none"/>
          <w:u w:val="single"/>
        </w:rPr>
        <w:t>中国人寿保险股份有限公司重庆市分公司</w:t>
      </w:r>
      <w:r>
        <w:rPr>
          <w:rFonts w:hint="eastAsia" w:ascii="宋体" w:hAnsi="宋体" w:cs="宋体"/>
          <w:color w:val="auto"/>
          <w:sz w:val="24"/>
          <w:highlight w:val="none"/>
        </w:rPr>
        <w:t>（甲方）</w:t>
      </w:r>
      <w:bookmarkEnd w:id="426"/>
      <w:bookmarkEnd w:id="427"/>
      <w:bookmarkEnd w:id="428"/>
    </w:p>
    <w:p w14:paraId="0F4B4E2F">
      <w:pPr>
        <w:widowControl/>
        <w:spacing w:line="500" w:lineRule="exact"/>
        <w:outlineLvl w:val="1"/>
        <w:rPr>
          <w:rFonts w:ascii="宋体" w:hAnsi="宋体" w:cs="宋体"/>
          <w:color w:val="auto"/>
          <w:sz w:val="24"/>
          <w:highlight w:val="none"/>
        </w:rPr>
      </w:pPr>
      <w:bookmarkStart w:id="429" w:name="_Toc16384"/>
      <w:bookmarkStart w:id="430" w:name="_Toc8149"/>
      <w:bookmarkStart w:id="431" w:name="_Toc8294"/>
      <w:r>
        <w:rPr>
          <w:rFonts w:hint="eastAsia" w:ascii="宋体" w:hAnsi="宋体" w:cs="宋体"/>
          <w:color w:val="auto"/>
          <w:sz w:val="24"/>
          <w:highlight w:val="none"/>
        </w:rPr>
        <w:t>中标人（全称）：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（乙方）</w:t>
      </w:r>
      <w:bookmarkEnd w:id="429"/>
      <w:bookmarkEnd w:id="430"/>
      <w:bookmarkEnd w:id="431"/>
    </w:p>
    <w:p w14:paraId="05DDA10A">
      <w:pPr>
        <w:widowControl/>
        <w:spacing w:line="500" w:lineRule="exact"/>
        <w:outlineLvl w:val="1"/>
        <w:rPr>
          <w:rFonts w:ascii="宋体" w:hAnsi="宋体" w:cs="宋体"/>
          <w:color w:val="auto"/>
          <w:sz w:val="24"/>
          <w:highlight w:val="none"/>
        </w:rPr>
      </w:pPr>
      <w:bookmarkStart w:id="432" w:name="_Toc25085"/>
      <w:bookmarkStart w:id="433" w:name="_Toc32348"/>
      <w:bookmarkStart w:id="434" w:name="_Toc4680"/>
      <w:r>
        <w:rPr>
          <w:rFonts w:hint="eastAsia" w:ascii="宋体" w:hAnsi="宋体" w:cs="宋体"/>
          <w:color w:val="auto"/>
          <w:sz w:val="24"/>
          <w:highlight w:val="none"/>
        </w:rPr>
        <w:t>为了保护甲、乙双方合法权益，根据《中华人民共和国民法典》及其他有关法律、法规、规章，双方签订本合同协议书。</w:t>
      </w:r>
      <w:bookmarkEnd w:id="432"/>
      <w:bookmarkEnd w:id="433"/>
      <w:bookmarkEnd w:id="434"/>
    </w:p>
    <w:p w14:paraId="1F5FD422">
      <w:pPr>
        <w:widowControl/>
        <w:spacing w:line="500" w:lineRule="exact"/>
        <w:outlineLvl w:val="1"/>
        <w:rPr>
          <w:rFonts w:ascii="宋体" w:hAnsi="宋体" w:cs="宋体"/>
          <w:color w:val="auto"/>
          <w:sz w:val="24"/>
          <w:highlight w:val="none"/>
        </w:rPr>
      </w:pPr>
      <w:bookmarkStart w:id="435" w:name="_Toc15281"/>
      <w:bookmarkStart w:id="436" w:name="_Toc5531"/>
      <w:bookmarkStart w:id="437" w:name="_Toc13702"/>
      <w:r>
        <w:rPr>
          <w:rFonts w:hint="eastAsia" w:ascii="宋体" w:hAnsi="宋体" w:cs="宋体"/>
          <w:color w:val="auto"/>
          <w:sz w:val="24"/>
          <w:highlight w:val="none"/>
        </w:rPr>
        <w:t>第一条  项目管理信息</w:t>
      </w:r>
      <w:bookmarkEnd w:id="435"/>
      <w:bookmarkEnd w:id="436"/>
      <w:bookmarkEnd w:id="437"/>
    </w:p>
    <w:p w14:paraId="26AF0557">
      <w:pPr>
        <w:widowControl/>
        <w:spacing w:line="500" w:lineRule="exact"/>
        <w:outlineLvl w:val="1"/>
        <w:rPr>
          <w:rFonts w:ascii="宋体" w:hAnsi="宋体" w:cs="宋体"/>
          <w:color w:val="auto"/>
          <w:sz w:val="24"/>
          <w:highlight w:val="none"/>
        </w:rPr>
      </w:pPr>
      <w:bookmarkStart w:id="438" w:name="_Toc23241"/>
      <w:bookmarkStart w:id="439" w:name="_Toc17455"/>
      <w:bookmarkStart w:id="440" w:name="_Toc31074"/>
      <w:r>
        <w:rPr>
          <w:rFonts w:hint="eastAsia" w:ascii="宋体" w:hAnsi="宋体" w:cs="宋体"/>
          <w:color w:val="auto"/>
          <w:sz w:val="24"/>
          <w:highlight w:val="none"/>
        </w:rPr>
        <w:t>（一）采购方式：</w:t>
      </w:r>
      <w:bookmarkEnd w:id="438"/>
      <w:bookmarkEnd w:id="439"/>
      <w:bookmarkEnd w:id="440"/>
      <w:r>
        <w:rPr>
          <w:rFonts w:hint="eastAsia" w:ascii="宋体" w:hAnsi="宋体" w:cs="宋体"/>
          <w:color w:val="auto"/>
          <w:sz w:val="24"/>
          <w:highlight w:val="none"/>
        </w:rPr>
        <w:t xml:space="preserve"> </w:t>
      </w:r>
    </w:p>
    <w:p w14:paraId="354F0573">
      <w:pPr>
        <w:widowControl/>
        <w:spacing w:line="500" w:lineRule="exact"/>
        <w:outlineLvl w:val="1"/>
        <w:rPr>
          <w:rFonts w:ascii="宋体" w:hAnsi="宋体" w:cs="宋体"/>
          <w:color w:val="auto"/>
          <w:sz w:val="24"/>
          <w:highlight w:val="none"/>
        </w:rPr>
      </w:pPr>
      <w:bookmarkStart w:id="441" w:name="_Toc626"/>
      <w:bookmarkStart w:id="442" w:name="_Toc17881"/>
      <w:bookmarkStart w:id="443" w:name="_Toc16444"/>
      <w:r>
        <w:rPr>
          <w:rFonts w:hint="eastAsia" w:ascii="宋体" w:hAnsi="宋体" w:cs="宋体"/>
          <w:color w:val="auto"/>
          <w:sz w:val="24"/>
          <w:highlight w:val="none"/>
        </w:rPr>
        <w:t>（二）项目名称：</w:t>
      </w:r>
      <w:bookmarkEnd w:id="441"/>
      <w:bookmarkEnd w:id="442"/>
      <w:bookmarkEnd w:id="443"/>
      <w:r>
        <w:rPr>
          <w:rFonts w:hint="eastAsia" w:ascii="宋体" w:hAnsi="宋体" w:cs="宋体"/>
          <w:color w:val="auto"/>
          <w:sz w:val="24"/>
          <w:highlight w:val="none"/>
        </w:rPr>
        <w:t xml:space="preserve"> </w:t>
      </w:r>
    </w:p>
    <w:p w14:paraId="19A363E1">
      <w:pPr>
        <w:widowControl/>
        <w:spacing w:line="500" w:lineRule="exact"/>
        <w:outlineLvl w:val="1"/>
        <w:rPr>
          <w:rFonts w:ascii="宋体" w:hAnsi="宋体" w:cs="宋体"/>
          <w:color w:val="auto"/>
          <w:sz w:val="24"/>
          <w:highlight w:val="none"/>
        </w:rPr>
      </w:pPr>
      <w:bookmarkStart w:id="444" w:name="_Toc7067"/>
      <w:bookmarkStart w:id="445" w:name="_Toc18840"/>
      <w:bookmarkStart w:id="446" w:name="_Toc30538"/>
      <w:r>
        <w:rPr>
          <w:rFonts w:hint="eastAsia" w:ascii="宋体" w:hAnsi="宋体" w:cs="宋体"/>
          <w:color w:val="auto"/>
          <w:sz w:val="24"/>
          <w:highlight w:val="none"/>
        </w:rPr>
        <w:t>第二条 交货期、质保期及其他承诺</w:t>
      </w:r>
      <w:bookmarkEnd w:id="444"/>
      <w:bookmarkEnd w:id="445"/>
      <w:bookmarkEnd w:id="446"/>
    </w:p>
    <w:p w14:paraId="0B37569D">
      <w:pPr>
        <w:widowControl/>
        <w:spacing w:line="500" w:lineRule="exact"/>
        <w:outlineLvl w:val="1"/>
        <w:rPr>
          <w:rFonts w:ascii="宋体" w:hAnsi="宋体" w:cs="宋体"/>
          <w:color w:val="auto"/>
          <w:sz w:val="24"/>
          <w:highlight w:val="none"/>
        </w:rPr>
      </w:pPr>
      <w:bookmarkStart w:id="447" w:name="_Toc7941"/>
      <w:bookmarkStart w:id="448" w:name="_Toc13911"/>
      <w:bookmarkStart w:id="449" w:name="_Toc9562"/>
      <w:r>
        <w:rPr>
          <w:rFonts w:hint="eastAsia" w:ascii="宋体" w:hAnsi="宋体" w:cs="宋体"/>
          <w:color w:val="auto"/>
          <w:sz w:val="24"/>
          <w:highlight w:val="none"/>
        </w:rPr>
        <w:t>（一）交货期（配送响应时间）：</w:t>
      </w:r>
      <w:bookmarkEnd w:id="447"/>
      <w:bookmarkEnd w:id="448"/>
      <w:bookmarkEnd w:id="449"/>
    </w:p>
    <w:p w14:paraId="1ABCB31A">
      <w:pPr>
        <w:widowControl/>
        <w:spacing w:line="500" w:lineRule="exact"/>
        <w:outlineLvl w:val="1"/>
        <w:rPr>
          <w:rFonts w:ascii="宋体" w:hAnsi="宋体" w:cs="宋体"/>
          <w:color w:val="auto"/>
          <w:sz w:val="24"/>
          <w:highlight w:val="none"/>
        </w:rPr>
      </w:pPr>
      <w:bookmarkStart w:id="450" w:name="_Toc29652"/>
      <w:bookmarkStart w:id="451" w:name="_Toc32589"/>
      <w:bookmarkStart w:id="452" w:name="_Toc2026"/>
      <w:r>
        <w:rPr>
          <w:rFonts w:hint="eastAsia" w:ascii="宋体" w:hAnsi="宋体" w:cs="宋体"/>
          <w:color w:val="auto"/>
          <w:sz w:val="24"/>
          <w:highlight w:val="none"/>
        </w:rPr>
        <w:t>（二）应急处理措施：</w:t>
      </w:r>
      <w:bookmarkEnd w:id="450"/>
      <w:bookmarkEnd w:id="451"/>
      <w:bookmarkEnd w:id="452"/>
    </w:p>
    <w:p w14:paraId="4C95EEE2">
      <w:pPr>
        <w:widowControl/>
        <w:spacing w:line="500" w:lineRule="exact"/>
        <w:outlineLvl w:val="1"/>
        <w:rPr>
          <w:rFonts w:ascii="宋体" w:hAnsi="宋体" w:cs="宋体"/>
          <w:color w:val="auto"/>
          <w:sz w:val="24"/>
          <w:highlight w:val="none"/>
        </w:rPr>
      </w:pPr>
      <w:bookmarkStart w:id="453" w:name="_Toc26430"/>
      <w:bookmarkStart w:id="454" w:name="_Toc12350"/>
      <w:bookmarkStart w:id="455" w:name="_Toc5533"/>
      <w:r>
        <w:rPr>
          <w:rFonts w:hint="eastAsia" w:ascii="宋体" w:hAnsi="宋体" w:cs="宋体"/>
          <w:color w:val="auto"/>
          <w:sz w:val="24"/>
          <w:highlight w:val="none"/>
        </w:rPr>
        <w:t>（三）交货地点及方式: 以具体采购协议为准</w:t>
      </w:r>
      <w:bookmarkEnd w:id="453"/>
      <w:bookmarkEnd w:id="454"/>
      <w:bookmarkEnd w:id="455"/>
    </w:p>
    <w:p w14:paraId="5C6174B6">
      <w:pPr>
        <w:widowControl/>
        <w:spacing w:line="500" w:lineRule="exact"/>
        <w:outlineLvl w:val="1"/>
        <w:rPr>
          <w:rFonts w:ascii="宋体" w:hAnsi="宋体" w:cs="宋体"/>
          <w:color w:val="auto"/>
          <w:sz w:val="24"/>
          <w:highlight w:val="none"/>
        </w:rPr>
      </w:pPr>
      <w:bookmarkStart w:id="456" w:name="_Toc12596"/>
      <w:bookmarkStart w:id="457" w:name="_Toc6379"/>
      <w:bookmarkStart w:id="458" w:name="_Toc10116"/>
      <w:r>
        <w:rPr>
          <w:rFonts w:hint="eastAsia" w:ascii="宋体" w:hAnsi="宋体" w:cs="宋体"/>
          <w:color w:val="auto"/>
          <w:sz w:val="24"/>
          <w:highlight w:val="none"/>
        </w:rPr>
        <w:t>第三条 涉税条款：</w:t>
      </w:r>
      <w:bookmarkEnd w:id="456"/>
      <w:bookmarkEnd w:id="457"/>
      <w:bookmarkEnd w:id="458"/>
    </w:p>
    <w:p w14:paraId="68B79EEE">
      <w:pPr>
        <w:widowControl/>
        <w:spacing w:line="500" w:lineRule="exact"/>
        <w:outlineLvl w:val="1"/>
        <w:rPr>
          <w:rFonts w:ascii="宋体" w:hAnsi="宋体" w:cs="宋体"/>
          <w:color w:val="auto"/>
          <w:sz w:val="24"/>
          <w:highlight w:val="none"/>
        </w:rPr>
      </w:pPr>
      <w:bookmarkStart w:id="459" w:name="_Toc12822"/>
      <w:bookmarkStart w:id="460" w:name="_Toc27792"/>
      <w:bookmarkStart w:id="461" w:name="_Toc23006"/>
      <w:r>
        <w:rPr>
          <w:rFonts w:hint="eastAsia" w:ascii="宋体" w:hAnsi="宋体" w:cs="宋体"/>
          <w:color w:val="auto"/>
          <w:sz w:val="24"/>
          <w:highlight w:val="none"/>
        </w:rPr>
        <w:t>（一）具体采购协议的各项费用金额为含增值税价格。除经双方书面约定的情况外，乙方将不会在合同价款之外另行收取适用于该业务的增值税以及附加税费。</w:t>
      </w:r>
      <w:bookmarkEnd w:id="459"/>
      <w:bookmarkEnd w:id="460"/>
      <w:bookmarkEnd w:id="461"/>
    </w:p>
    <w:p w14:paraId="3FCB6CDF">
      <w:pPr>
        <w:widowControl/>
        <w:spacing w:line="500" w:lineRule="exact"/>
        <w:outlineLvl w:val="1"/>
        <w:rPr>
          <w:rFonts w:ascii="宋体" w:hAnsi="宋体" w:cs="宋体"/>
          <w:color w:val="auto"/>
          <w:sz w:val="24"/>
          <w:highlight w:val="none"/>
        </w:rPr>
      </w:pPr>
      <w:bookmarkStart w:id="462" w:name="_Toc21795"/>
      <w:bookmarkStart w:id="463" w:name="_Toc1605"/>
      <w:bookmarkStart w:id="464" w:name="_Toc7495"/>
      <w:r>
        <w:rPr>
          <w:rFonts w:hint="eastAsia" w:ascii="宋体" w:hAnsi="宋体" w:cs="宋体"/>
          <w:color w:val="auto"/>
          <w:sz w:val="24"/>
          <w:highlight w:val="none"/>
        </w:rPr>
        <w:t>（二）合同执行期间，因政府财税部门对增值税政策调整的，增值税税额按调整后的税率执行，不含税价格不变，双方按不含税价格和调整后的增值税税额重新确定含增值税价格。</w:t>
      </w:r>
      <w:bookmarkEnd w:id="462"/>
      <w:bookmarkEnd w:id="463"/>
      <w:bookmarkEnd w:id="464"/>
    </w:p>
    <w:p w14:paraId="091CF4DC">
      <w:pPr>
        <w:widowControl/>
        <w:spacing w:line="500" w:lineRule="exact"/>
        <w:outlineLvl w:val="1"/>
        <w:rPr>
          <w:rFonts w:ascii="宋体" w:hAnsi="宋体" w:cs="宋体"/>
          <w:color w:val="auto"/>
          <w:sz w:val="24"/>
          <w:highlight w:val="none"/>
        </w:rPr>
      </w:pPr>
      <w:bookmarkStart w:id="465" w:name="_Toc31536"/>
      <w:bookmarkStart w:id="466" w:name="_Toc29924"/>
      <w:bookmarkStart w:id="467" w:name="_Toc21180"/>
      <w:r>
        <w:rPr>
          <w:rFonts w:hint="eastAsia" w:ascii="宋体" w:hAnsi="宋体" w:cs="宋体"/>
          <w:color w:val="auto"/>
          <w:sz w:val="24"/>
          <w:highlight w:val="none"/>
        </w:rPr>
        <w:t>（三）如甲方需要乙方开具增值税专用发票，适用a条款；如甲方仅需乙方开具增值税普通发票，适用b条款。</w:t>
      </w:r>
      <w:bookmarkEnd w:id="465"/>
      <w:bookmarkEnd w:id="466"/>
      <w:bookmarkEnd w:id="467"/>
    </w:p>
    <w:p w14:paraId="5C69F96A">
      <w:pPr>
        <w:widowControl/>
        <w:spacing w:line="500" w:lineRule="exact"/>
        <w:outlineLvl w:val="1"/>
        <w:rPr>
          <w:rFonts w:ascii="宋体" w:hAnsi="宋体" w:cs="宋体"/>
          <w:color w:val="auto"/>
          <w:sz w:val="24"/>
          <w:highlight w:val="none"/>
        </w:rPr>
      </w:pPr>
      <w:bookmarkStart w:id="468" w:name="_Toc2043"/>
      <w:bookmarkStart w:id="469" w:name="_Toc18263"/>
      <w:bookmarkStart w:id="470" w:name="_Toc23042"/>
      <w:r>
        <w:rPr>
          <w:rFonts w:hint="eastAsia" w:ascii="宋体" w:hAnsi="宋体" w:cs="宋体"/>
          <w:color w:val="auto"/>
          <w:sz w:val="24"/>
          <w:highlight w:val="none"/>
        </w:rPr>
        <w:t>a 乙方应向甲方开具经甲方认可的合法有效的增值税专用发票。因乙方未提供经甲方认可的合法有效的增值税专用发票造成甲方少抵扣增值税的损失，乙方同意从结算价款中扣减。因乙方未提供经甲方认可的合法有效凭证造成甲方企业所得税损失的，乙方同意给予等额补偿（或者从结算价款中扣减）。</w:t>
      </w:r>
      <w:bookmarkEnd w:id="468"/>
      <w:bookmarkEnd w:id="469"/>
      <w:bookmarkEnd w:id="470"/>
    </w:p>
    <w:p w14:paraId="1AF56B26">
      <w:pPr>
        <w:widowControl/>
        <w:spacing w:line="500" w:lineRule="exact"/>
        <w:outlineLvl w:val="1"/>
        <w:rPr>
          <w:rFonts w:ascii="宋体" w:hAnsi="宋体" w:cs="宋体"/>
          <w:color w:val="auto"/>
          <w:sz w:val="24"/>
          <w:highlight w:val="none"/>
        </w:rPr>
      </w:pPr>
      <w:bookmarkStart w:id="471" w:name="_Toc6435"/>
      <w:bookmarkStart w:id="472" w:name="_Toc30490"/>
      <w:bookmarkStart w:id="473" w:name="_Toc5513"/>
      <w:r>
        <w:rPr>
          <w:rFonts w:hint="eastAsia" w:ascii="宋体" w:hAnsi="宋体" w:cs="宋体"/>
          <w:color w:val="auto"/>
          <w:sz w:val="24"/>
          <w:highlight w:val="none"/>
        </w:rPr>
        <w:t>b乙方应向甲方开具经甲方认可的合法有效的增值税普通发票。因乙方未提供经甲方认可的合法有效凭证造成甲方企业所得税损失的，乙方同意给予等额补偿（或者从结算价款中扣减）。</w:t>
      </w:r>
      <w:bookmarkEnd w:id="471"/>
      <w:bookmarkEnd w:id="472"/>
      <w:bookmarkEnd w:id="473"/>
    </w:p>
    <w:p w14:paraId="6B8B2E41">
      <w:pPr>
        <w:widowControl/>
        <w:spacing w:line="500" w:lineRule="exact"/>
        <w:outlineLvl w:val="1"/>
        <w:rPr>
          <w:rFonts w:ascii="宋体" w:hAnsi="宋体" w:cs="宋体"/>
          <w:color w:val="auto"/>
          <w:sz w:val="24"/>
          <w:highlight w:val="none"/>
        </w:rPr>
      </w:pPr>
      <w:bookmarkStart w:id="474" w:name="_Toc19481"/>
      <w:bookmarkStart w:id="475" w:name="_Toc20952"/>
      <w:bookmarkStart w:id="476" w:name="_Toc2625"/>
      <w:r>
        <w:rPr>
          <w:rFonts w:hint="eastAsia" w:ascii="宋体" w:hAnsi="宋体" w:cs="宋体"/>
          <w:color w:val="auto"/>
          <w:sz w:val="24"/>
          <w:highlight w:val="none"/>
        </w:rPr>
        <w:t>甲、乙双方依照税法规定各自履行基于本合同所产生的纳税义务和代扣代缴义务。</w:t>
      </w:r>
      <w:bookmarkEnd w:id="474"/>
      <w:bookmarkEnd w:id="475"/>
      <w:bookmarkEnd w:id="476"/>
    </w:p>
    <w:p w14:paraId="1C3A8462">
      <w:pPr>
        <w:widowControl/>
        <w:spacing w:line="500" w:lineRule="exact"/>
        <w:outlineLvl w:val="1"/>
        <w:rPr>
          <w:rFonts w:ascii="宋体" w:hAnsi="宋体" w:cs="宋体"/>
          <w:color w:val="auto"/>
          <w:sz w:val="24"/>
          <w:highlight w:val="none"/>
        </w:rPr>
      </w:pPr>
      <w:bookmarkStart w:id="477" w:name="_Toc21657"/>
      <w:bookmarkStart w:id="478" w:name="_Toc15966"/>
      <w:bookmarkStart w:id="479" w:name="_Toc10455"/>
      <w:r>
        <w:rPr>
          <w:rFonts w:hint="eastAsia" w:ascii="宋体" w:hAnsi="宋体" w:cs="宋体"/>
          <w:color w:val="auto"/>
          <w:sz w:val="24"/>
          <w:highlight w:val="none"/>
        </w:rPr>
        <w:t>第四条 包装运输</w:t>
      </w:r>
      <w:bookmarkEnd w:id="477"/>
      <w:bookmarkEnd w:id="478"/>
      <w:bookmarkEnd w:id="479"/>
    </w:p>
    <w:p w14:paraId="15E0E45B">
      <w:pPr>
        <w:widowControl/>
        <w:spacing w:line="500" w:lineRule="exact"/>
        <w:outlineLvl w:val="1"/>
        <w:rPr>
          <w:rFonts w:ascii="宋体" w:hAnsi="宋体" w:cs="宋体"/>
          <w:color w:val="auto"/>
          <w:sz w:val="24"/>
          <w:highlight w:val="none"/>
        </w:rPr>
      </w:pPr>
      <w:bookmarkStart w:id="480" w:name="_Toc16290"/>
      <w:bookmarkStart w:id="481" w:name="_Toc1312"/>
      <w:bookmarkStart w:id="482" w:name="_Toc6825"/>
      <w:r>
        <w:rPr>
          <w:rFonts w:hint="eastAsia" w:ascii="宋体" w:hAnsi="宋体" w:cs="宋体"/>
          <w:color w:val="auto"/>
          <w:sz w:val="24"/>
          <w:highlight w:val="none"/>
        </w:rPr>
        <w:t>（一）乙方应根据货物的特点和运输的条件进行包装，避免货物损坏或变质。包装上应标注运输、装卸标记。</w:t>
      </w:r>
      <w:bookmarkEnd w:id="480"/>
      <w:bookmarkEnd w:id="481"/>
      <w:bookmarkEnd w:id="482"/>
    </w:p>
    <w:p w14:paraId="29AC4C61">
      <w:pPr>
        <w:widowControl/>
        <w:spacing w:line="500" w:lineRule="exact"/>
        <w:outlineLvl w:val="1"/>
        <w:rPr>
          <w:rFonts w:ascii="宋体" w:hAnsi="宋体" w:cs="宋体"/>
          <w:color w:val="auto"/>
          <w:sz w:val="24"/>
          <w:highlight w:val="none"/>
        </w:rPr>
      </w:pPr>
      <w:bookmarkStart w:id="483" w:name="_Toc19861"/>
      <w:bookmarkStart w:id="484" w:name="_Toc30427"/>
      <w:bookmarkStart w:id="485" w:name="_Toc18341"/>
      <w:r>
        <w:rPr>
          <w:rFonts w:hint="eastAsia" w:ascii="宋体" w:hAnsi="宋体" w:cs="宋体"/>
          <w:color w:val="auto"/>
          <w:sz w:val="24"/>
          <w:highlight w:val="none"/>
        </w:rPr>
        <w:t>（二）乙方负责将货物运抵甲方指定的交货地点。</w:t>
      </w:r>
      <w:bookmarkEnd w:id="483"/>
      <w:bookmarkEnd w:id="484"/>
      <w:bookmarkEnd w:id="485"/>
    </w:p>
    <w:p w14:paraId="10EFED05">
      <w:pPr>
        <w:widowControl/>
        <w:spacing w:line="500" w:lineRule="exact"/>
        <w:outlineLvl w:val="1"/>
        <w:rPr>
          <w:rFonts w:ascii="宋体" w:hAnsi="宋体" w:cs="宋体"/>
          <w:color w:val="auto"/>
          <w:sz w:val="24"/>
          <w:highlight w:val="none"/>
        </w:rPr>
      </w:pPr>
      <w:bookmarkStart w:id="486" w:name="_Toc2135"/>
      <w:bookmarkStart w:id="487" w:name="_Toc18532"/>
      <w:bookmarkStart w:id="488" w:name="_Toc5727"/>
      <w:r>
        <w:rPr>
          <w:rFonts w:hint="eastAsia" w:ascii="宋体" w:hAnsi="宋体" w:cs="宋体"/>
          <w:color w:val="auto"/>
          <w:sz w:val="24"/>
          <w:highlight w:val="none"/>
        </w:rPr>
        <w:t>（三）乙方承担货物运抵指定交货地点的运输费、保险费、包装费等，上述费用包含在货物的最终成交总额中。</w:t>
      </w:r>
      <w:bookmarkEnd w:id="486"/>
      <w:bookmarkEnd w:id="487"/>
      <w:bookmarkEnd w:id="488"/>
    </w:p>
    <w:p w14:paraId="176E0D97">
      <w:pPr>
        <w:widowControl/>
        <w:spacing w:line="500" w:lineRule="exact"/>
        <w:outlineLvl w:val="1"/>
        <w:rPr>
          <w:rFonts w:ascii="宋体" w:hAnsi="宋体" w:cs="宋体"/>
          <w:color w:val="auto"/>
          <w:sz w:val="24"/>
          <w:highlight w:val="none"/>
        </w:rPr>
      </w:pPr>
      <w:bookmarkStart w:id="489" w:name="_Toc7344"/>
      <w:bookmarkStart w:id="490" w:name="_Toc16880"/>
      <w:bookmarkStart w:id="491" w:name="_Toc7607"/>
      <w:r>
        <w:rPr>
          <w:rFonts w:hint="eastAsia" w:ascii="宋体" w:hAnsi="宋体" w:cs="宋体"/>
          <w:color w:val="auto"/>
          <w:sz w:val="24"/>
          <w:highlight w:val="none"/>
        </w:rPr>
        <w:t>第五条 知识产权</w:t>
      </w:r>
      <w:bookmarkEnd w:id="489"/>
      <w:bookmarkEnd w:id="490"/>
      <w:bookmarkEnd w:id="491"/>
    </w:p>
    <w:p w14:paraId="455F1640">
      <w:pPr>
        <w:widowControl/>
        <w:spacing w:line="500" w:lineRule="exact"/>
        <w:outlineLvl w:val="1"/>
        <w:rPr>
          <w:rFonts w:ascii="宋体" w:hAnsi="宋体" w:cs="宋体"/>
          <w:color w:val="auto"/>
          <w:sz w:val="24"/>
          <w:highlight w:val="none"/>
        </w:rPr>
      </w:pPr>
      <w:bookmarkStart w:id="492" w:name="_Toc9188"/>
      <w:bookmarkStart w:id="493" w:name="_Toc30130"/>
      <w:bookmarkStart w:id="494" w:name="_Toc5178"/>
      <w:r>
        <w:rPr>
          <w:rFonts w:hint="eastAsia" w:ascii="宋体" w:hAnsi="宋体" w:cs="宋体"/>
          <w:color w:val="auto"/>
          <w:sz w:val="24"/>
          <w:highlight w:val="none"/>
        </w:rPr>
        <w:t>（一）乙方保证向甲方提供的货物免受第三方提出的侵犯其专利权、商标权、著作权或其他知识产权的主张。任何第三方如果提出此类权利主张，由乙方承担由此产生的费用和后果。</w:t>
      </w:r>
      <w:bookmarkEnd w:id="492"/>
      <w:bookmarkEnd w:id="493"/>
      <w:bookmarkEnd w:id="494"/>
    </w:p>
    <w:p w14:paraId="588B21C5">
      <w:pPr>
        <w:widowControl/>
        <w:spacing w:line="500" w:lineRule="exact"/>
        <w:outlineLvl w:val="1"/>
        <w:rPr>
          <w:rFonts w:ascii="宋体" w:hAnsi="宋体" w:cs="宋体"/>
          <w:color w:val="auto"/>
          <w:sz w:val="24"/>
          <w:highlight w:val="none"/>
        </w:rPr>
      </w:pPr>
      <w:bookmarkStart w:id="495" w:name="_Toc18569"/>
      <w:bookmarkStart w:id="496" w:name="_Toc1192"/>
      <w:bookmarkStart w:id="497" w:name="_Toc3182"/>
      <w:r>
        <w:rPr>
          <w:rFonts w:hint="eastAsia" w:ascii="宋体" w:hAnsi="宋体" w:cs="宋体"/>
          <w:color w:val="auto"/>
          <w:sz w:val="24"/>
          <w:highlight w:val="none"/>
        </w:rPr>
        <w:t>（二）甲方免费享有乙方按照本合同提供的货物、软件、文件资料及所包含知识产权的使用权。</w:t>
      </w:r>
      <w:bookmarkEnd w:id="495"/>
      <w:bookmarkEnd w:id="496"/>
      <w:bookmarkEnd w:id="497"/>
    </w:p>
    <w:p w14:paraId="2257E8F4">
      <w:pPr>
        <w:widowControl/>
        <w:spacing w:line="500" w:lineRule="exact"/>
        <w:outlineLvl w:val="1"/>
        <w:rPr>
          <w:rFonts w:ascii="宋体" w:hAnsi="宋体" w:cs="宋体"/>
          <w:color w:val="auto"/>
          <w:sz w:val="24"/>
          <w:highlight w:val="none"/>
        </w:rPr>
      </w:pPr>
      <w:bookmarkStart w:id="498" w:name="_Toc12357"/>
      <w:bookmarkStart w:id="499" w:name="_Toc30990"/>
      <w:bookmarkStart w:id="500" w:name="_Toc28870"/>
      <w:r>
        <w:rPr>
          <w:rFonts w:hint="eastAsia" w:ascii="宋体" w:hAnsi="宋体" w:cs="宋体"/>
          <w:color w:val="auto"/>
          <w:sz w:val="24"/>
          <w:highlight w:val="none"/>
        </w:rPr>
        <w:t>第六条 质量要求</w:t>
      </w:r>
      <w:bookmarkEnd w:id="498"/>
      <w:bookmarkEnd w:id="499"/>
      <w:bookmarkEnd w:id="500"/>
    </w:p>
    <w:p w14:paraId="71C99C34">
      <w:pPr>
        <w:widowControl/>
        <w:spacing w:line="500" w:lineRule="exact"/>
        <w:outlineLvl w:val="1"/>
        <w:rPr>
          <w:rFonts w:ascii="宋体" w:hAnsi="宋体" w:cs="宋体"/>
          <w:color w:val="auto"/>
          <w:sz w:val="24"/>
          <w:highlight w:val="none"/>
        </w:rPr>
      </w:pPr>
      <w:bookmarkStart w:id="501" w:name="_Toc9921"/>
      <w:bookmarkStart w:id="502" w:name="_Toc3167"/>
      <w:bookmarkStart w:id="503" w:name="_Toc3104"/>
      <w:r>
        <w:rPr>
          <w:rFonts w:hint="eastAsia" w:ascii="宋体" w:hAnsi="宋体" w:cs="宋体"/>
          <w:color w:val="auto"/>
          <w:sz w:val="24"/>
          <w:highlight w:val="none"/>
        </w:rPr>
        <w:t>（一）乙方所提供的货物必须符合中华人民共和国国家安全、环保、节能、卫生标准，国家及有关行业产品质量认证标准，招标文件的质量要求及双方签字确认的相关承诺及协议。</w:t>
      </w:r>
      <w:bookmarkEnd w:id="501"/>
      <w:bookmarkEnd w:id="502"/>
      <w:bookmarkEnd w:id="503"/>
    </w:p>
    <w:p w14:paraId="4F89287F">
      <w:pPr>
        <w:widowControl/>
        <w:spacing w:line="500" w:lineRule="exact"/>
        <w:outlineLvl w:val="1"/>
        <w:rPr>
          <w:rFonts w:ascii="宋体" w:hAnsi="宋体" w:cs="宋体"/>
          <w:color w:val="auto"/>
          <w:sz w:val="24"/>
          <w:highlight w:val="none"/>
        </w:rPr>
      </w:pPr>
      <w:bookmarkStart w:id="504" w:name="_Toc25068"/>
      <w:bookmarkStart w:id="505" w:name="_Toc9476"/>
      <w:bookmarkStart w:id="506" w:name="_Toc15914"/>
      <w:r>
        <w:rPr>
          <w:rFonts w:hint="eastAsia" w:ascii="宋体" w:hAnsi="宋体" w:cs="宋体"/>
          <w:color w:val="auto"/>
          <w:sz w:val="24"/>
          <w:highlight w:val="none"/>
        </w:rPr>
        <w:t>（二）乙方所提供的货物必须是全新、未使用的原装产品。货物上应钉有名牌(内容包括：制造商、货物名称、型号规格、出厂日期等)并附有产品质量检验合格标志。</w:t>
      </w:r>
      <w:bookmarkEnd w:id="504"/>
      <w:bookmarkEnd w:id="505"/>
      <w:bookmarkEnd w:id="506"/>
    </w:p>
    <w:p w14:paraId="41DCE1A6">
      <w:pPr>
        <w:widowControl/>
        <w:spacing w:line="500" w:lineRule="exact"/>
        <w:outlineLvl w:val="1"/>
        <w:rPr>
          <w:rFonts w:ascii="宋体" w:hAnsi="宋体" w:cs="宋体"/>
          <w:color w:val="auto"/>
          <w:sz w:val="24"/>
          <w:highlight w:val="none"/>
        </w:rPr>
      </w:pPr>
      <w:bookmarkStart w:id="507" w:name="_Toc20391"/>
      <w:bookmarkStart w:id="508" w:name="_Toc3392"/>
      <w:bookmarkStart w:id="509" w:name="_Toc15253"/>
      <w:r>
        <w:rPr>
          <w:rFonts w:hint="eastAsia" w:ascii="宋体" w:hAnsi="宋体" w:cs="宋体"/>
          <w:color w:val="auto"/>
          <w:sz w:val="24"/>
          <w:highlight w:val="none"/>
        </w:rPr>
        <w:t>（三）在货物质量保证期内，如货物出现质量瑕疵或缺陷，甲方有权选择免费更换、修复、减少价款、赔偿损失等方式要求乙方承担质量保证责任。</w:t>
      </w:r>
      <w:bookmarkEnd w:id="507"/>
      <w:bookmarkEnd w:id="508"/>
      <w:bookmarkEnd w:id="509"/>
    </w:p>
    <w:p w14:paraId="21B4F3A8">
      <w:pPr>
        <w:widowControl/>
        <w:spacing w:line="500" w:lineRule="exact"/>
        <w:outlineLvl w:val="1"/>
        <w:rPr>
          <w:rFonts w:ascii="宋体" w:hAnsi="宋体" w:cs="宋体"/>
          <w:color w:val="auto"/>
          <w:sz w:val="24"/>
          <w:highlight w:val="none"/>
        </w:rPr>
      </w:pPr>
      <w:bookmarkStart w:id="510" w:name="_Toc30594"/>
      <w:bookmarkStart w:id="511" w:name="_Toc26957"/>
      <w:bookmarkStart w:id="512" w:name="_Toc72"/>
      <w:r>
        <w:rPr>
          <w:rFonts w:hint="eastAsia" w:ascii="宋体" w:hAnsi="宋体" w:cs="宋体"/>
          <w:color w:val="auto"/>
          <w:sz w:val="24"/>
          <w:highlight w:val="none"/>
        </w:rPr>
        <w:t>（四）货物出现瑕疵或缺陷，乙方应在接到甲方通知后    日内完成更换、维修等工作。因货物缺陷造成的损失，由乙方负责赔偿。</w:t>
      </w:r>
      <w:bookmarkEnd w:id="510"/>
      <w:bookmarkEnd w:id="511"/>
      <w:bookmarkEnd w:id="512"/>
    </w:p>
    <w:p w14:paraId="5434DBC2">
      <w:pPr>
        <w:widowControl/>
        <w:spacing w:line="500" w:lineRule="exact"/>
        <w:outlineLvl w:val="1"/>
        <w:rPr>
          <w:rFonts w:ascii="宋体" w:hAnsi="宋体" w:cs="宋体"/>
          <w:color w:val="auto"/>
          <w:sz w:val="24"/>
          <w:highlight w:val="none"/>
        </w:rPr>
      </w:pPr>
      <w:bookmarkStart w:id="513" w:name="_Toc14398"/>
      <w:bookmarkStart w:id="514" w:name="_Toc23401"/>
      <w:bookmarkStart w:id="515" w:name="_Toc5800"/>
      <w:r>
        <w:rPr>
          <w:rFonts w:hint="eastAsia" w:ascii="宋体" w:hAnsi="宋体" w:cs="宋体"/>
          <w:color w:val="auto"/>
          <w:sz w:val="24"/>
          <w:highlight w:val="none"/>
        </w:rPr>
        <w:t>第七条 付款方式</w:t>
      </w:r>
      <w:bookmarkEnd w:id="513"/>
      <w:bookmarkEnd w:id="514"/>
      <w:bookmarkEnd w:id="515"/>
    </w:p>
    <w:p w14:paraId="1CD9F1BA">
      <w:pPr>
        <w:widowControl/>
        <w:spacing w:line="500" w:lineRule="exact"/>
        <w:outlineLvl w:val="1"/>
        <w:rPr>
          <w:rFonts w:ascii="宋体" w:hAnsi="宋体" w:cs="宋体"/>
          <w:color w:val="auto"/>
          <w:sz w:val="24"/>
          <w:highlight w:val="none"/>
        </w:rPr>
      </w:pPr>
      <w:bookmarkStart w:id="516" w:name="_Toc3004"/>
      <w:bookmarkStart w:id="517" w:name="_Toc27918"/>
      <w:bookmarkStart w:id="518" w:name="_Toc27350"/>
      <w:r>
        <w:rPr>
          <w:rFonts w:hint="eastAsia" w:ascii="宋体" w:hAnsi="宋体" w:cs="宋体"/>
          <w:color w:val="auto"/>
          <w:sz w:val="24"/>
          <w:highlight w:val="none"/>
        </w:rPr>
        <w:t>（一）甲方（招标人）按每次具体采购需求向本采购区内所有中标供应商发出邀请，通过询价或谈判等方式，确定每次采购合作的供应商，在受托供应商完成甲方委托的服务并验收无误后，开具符合财务规定的等额发票，甲方（招标人）在规定期限内完成付款。</w:t>
      </w:r>
      <w:bookmarkEnd w:id="516"/>
      <w:bookmarkEnd w:id="517"/>
      <w:bookmarkEnd w:id="518"/>
    </w:p>
    <w:p w14:paraId="30E045F7">
      <w:pPr>
        <w:widowControl/>
        <w:spacing w:line="500" w:lineRule="exact"/>
        <w:outlineLvl w:val="1"/>
        <w:rPr>
          <w:rFonts w:ascii="宋体" w:hAnsi="宋体" w:cs="宋体"/>
          <w:color w:val="auto"/>
          <w:sz w:val="24"/>
          <w:highlight w:val="none"/>
        </w:rPr>
      </w:pPr>
      <w:bookmarkStart w:id="519" w:name="_Toc23448"/>
      <w:bookmarkStart w:id="520" w:name="_Toc15746"/>
      <w:bookmarkStart w:id="521" w:name="_Toc9597"/>
      <w:r>
        <w:rPr>
          <w:rFonts w:hint="eastAsia" w:ascii="宋体" w:hAnsi="宋体" w:cs="宋体"/>
          <w:color w:val="auto"/>
          <w:sz w:val="24"/>
          <w:highlight w:val="none"/>
        </w:rPr>
        <w:t>（二）项目费用结算一次一结，发票开具后30个工作日内报账完成付款。</w:t>
      </w:r>
      <w:bookmarkEnd w:id="519"/>
      <w:bookmarkEnd w:id="520"/>
      <w:bookmarkEnd w:id="521"/>
    </w:p>
    <w:p w14:paraId="7B98EFE5">
      <w:pPr>
        <w:widowControl/>
        <w:spacing w:line="500" w:lineRule="exact"/>
        <w:outlineLvl w:val="1"/>
        <w:rPr>
          <w:rFonts w:ascii="宋体" w:hAnsi="宋体" w:cs="宋体"/>
          <w:color w:val="auto"/>
          <w:sz w:val="24"/>
          <w:highlight w:val="none"/>
        </w:rPr>
      </w:pPr>
      <w:bookmarkStart w:id="522" w:name="_Toc28857"/>
      <w:bookmarkStart w:id="523" w:name="_Toc31462"/>
      <w:bookmarkStart w:id="524" w:name="_Toc7141"/>
      <w:r>
        <w:rPr>
          <w:rFonts w:hint="eastAsia" w:ascii="宋体" w:hAnsi="宋体" w:cs="宋体"/>
          <w:color w:val="auto"/>
          <w:sz w:val="24"/>
          <w:highlight w:val="none"/>
        </w:rPr>
        <w:t>第八条验收</w:t>
      </w:r>
      <w:bookmarkEnd w:id="522"/>
      <w:bookmarkEnd w:id="523"/>
      <w:bookmarkEnd w:id="524"/>
    </w:p>
    <w:p w14:paraId="0E6D89D6">
      <w:pPr>
        <w:widowControl/>
        <w:spacing w:line="500" w:lineRule="exact"/>
        <w:outlineLvl w:val="1"/>
        <w:rPr>
          <w:rFonts w:ascii="宋体" w:hAnsi="宋体" w:cs="宋体"/>
          <w:color w:val="auto"/>
          <w:sz w:val="24"/>
          <w:highlight w:val="none"/>
        </w:rPr>
      </w:pPr>
      <w:bookmarkStart w:id="525" w:name="_Toc31521"/>
      <w:bookmarkStart w:id="526" w:name="_Toc12747"/>
      <w:bookmarkStart w:id="527" w:name="_Toc26285"/>
      <w:r>
        <w:rPr>
          <w:rFonts w:hint="eastAsia" w:ascii="宋体" w:hAnsi="宋体" w:cs="宋体"/>
          <w:color w:val="auto"/>
          <w:sz w:val="24"/>
          <w:highlight w:val="none"/>
        </w:rPr>
        <w:t>（一）甲方对货物的外观品质、数量、规格、型号、工具、备件、随机资料等进行初步验收。</w:t>
      </w:r>
      <w:bookmarkEnd w:id="525"/>
      <w:bookmarkEnd w:id="526"/>
      <w:bookmarkEnd w:id="527"/>
    </w:p>
    <w:p w14:paraId="168FAA3A">
      <w:pPr>
        <w:widowControl/>
        <w:spacing w:line="500" w:lineRule="exact"/>
        <w:outlineLvl w:val="1"/>
        <w:rPr>
          <w:rFonts w:ascii="宋体" w:hAnsi="宋体" w:cs="宋体"/>
          <w:color w:val="auto"/>
          <w:sz w:val="24"/>
          <w:highlight w:val="none"/>
        </w:rPr>
      </w:pPr>
      <w:bookmarkStart w:id="528" w:name="_Toc30809"/>
      <w:bookmarkStart w:id="529" w:name="_Toc10995"/>
      <w:bookmarkStart w:id="530" w:name="_Toc31365"/>
      <w:r>
        <w:rPr>
          <w:rFonts w:hint="eastAsia" w:ascii="宋体" w:hAnsi="宋体" w:cs="宋体"/>
          <w:color w:val="auto"/>
          <w:sz w:val="24"/>
          <w:highlight w:val="none"/>
        </w:rPr>
        <w:t>（二）验收中，发现货物不符合合同约定的质量标准，乙方应承担质量违约责任，甲方有权拒收货物或要求乙方予以修理、更换或者减少价款。</w:t>
      </w:r>
      <w:bookmarkEnd w:id="528"/>
      <w:bookmarkEnd w:id="529"/>
      <w:bookmarkEnd w:id="530"/>
    </w:p>
    <w:p w14:paraId="763FCCB8">
      <w:pPr>
        <w:widowControl/>
        <w:spacing w:line="500" w:lineRule="exact"/>
        <w:outlineLvl w:val="1"/>
        <w:rPr>
          <w:rFonts w:ascii="宋体" w:hAnsi="宋体" w:cs="宋体"/>
          <w:color w:val="auto"/>
          <w:sz w:val="24"/>
          <w:highlight w:val="none"/>
        </w:rPr>
      </w:pPr>
      <w:bookmarkStart w:id="531" w:name="_Toc14260"/>
      <w:bookmarkStart w:id="532" w:name="_Toc31135"/>
      <w:bookmarkStart w:id="533" w:name="_Toc22847"/>
      <w:r>
        <w:rPr>
          <w:rFonts w:hint="eastAsia" w:ascii="宋体" w:hAnsi="宋体" w:cs="宋体"/>
          <w:color w:val="auto"/>
          <w:sz w:val="24"/>
          <w:highlight w:val="none"/>
        </w:rPr>
        <w:t>第九条 售后服务</w:t>
      </w:r>
      <w:bookmarkEnd w:id="531"/>
      <w:bookmarkEnd w:id="532"/>
      <w:bookmarkEnd w:id="533"/>
    </w:p>
    <w:p w14:paraId="37229D75">
      <w:pPr>
        <w:widowControl/>
        <w:spacing w:line="500" w:lineRule="exact"/>
        <w:outlineLvl w:val="1"/>
        <w:rPr>
          <w:rFonts w:ascii="宋体" w:hAnsi="宋体" w:cs="宋体"/>
          <w:color w:val="auto"/>
          <w:sz w:val="24"/>
          <w:highlight w:val="none"/>
        </w:rPr>
      </w:pPr>
      <w:bookmarkStart w:id="534" w:name="_Toc18562"/>
      <w:bookmarkStart w:id="535" w:name="_Toc28137"/>
      <w:bookmarkStart w:id="536" w:name="_Toc26421"/>
      <w:r>
        <w:rPr>
          <w:rFonts w:hint="eastAsia" w:ascii="宋体" w:hAnsi="宋体" w:cs="宋体"/>
          <w:color w:val="auto"/>
          <w:sz w:val="24"/>
          <w:highlight w:val="none"/>
        </w:rPr>
        <w:t>（一）乙方应按照国家有关法律法规和“三包”规定以及招标文件约定的服务条款为甲方提供售后服务。</w:t>
      </w:r>
      <w:bookmarkEnd w:id="534"/>
      <w:bookmarkEnd w:id="535"/>
      <w:bookmarkEnd w:id="536"/>
    </w:p>
    <w:p w14:paraId="5B6CC9DF">
      <w:pPr>
        <w:widowControl/>
        <w:spacing w:line="500" w:lineRule="exact"/>
        <w:outlineLvl w:val="1"/>
        <w:rPr>
          <w:rFonts w:ascii="宋体" w:hAnsi="宋体" w:cs="宋体"/>
          <w:color w:val="auto"/>
          <w:sz w:val="24"/>
          <w:highlight w:val="none"/>
        </w:rPr>
      </w:pPr>
      <w:bookmarkStart w:id="537" w:name="_Toc5174"/>
      <w:bookmarkStart w:id="538" w:name="_Toc3509"/>
      <w:bookmarkStart w:id="539" w:name="_Toc997"/>
      <w:r>
        <w:rPr>
          <w:rFonts w:hint="eastAsia" w:ascii="宋体" w:hAnsi="宋体" w:cs="宋体"/>
          <w:color w:val="auto"/>
          <w:sz w:val="24"/>
          <w:highlight w:val="none"/>
        </w:rPr>
        <w:t>（二）乙方的产品质保期和售后服务期为年，自安装调试验收合格之日起计算。</w:t>
      </w:r>
      <w:bookmarkEnd w:id="537"/>
      <w:bookmarkEnd w:id="538"/>
      <w:bookmarkEnd w:id="539"/>
    </w:p>
    <w:p w14:paraId="4D1AE9F2">
      <w:pPr>
        <w:widowControl/>
        <w:spacing w:line="500" w:lineRule="exact"/>
        <w:outlineLvl w:val="1"/>
        <w:rPr>
          <w:rFonts w:ascii="宋体" w:hAnsi="宋体" w:cs="宋体"/>
          <w:color w:val="auto"/>
          <w:sz w:val="24"/>
          <w:highlight w:val="none"/>
        </w:rPr>
      </w:pPr>
      <w:bookmarkStart w:id="540" w:name="_Toc6104"/>
      <w:bookmarkStart w:id="541" w:name="_Toc25658"/>
      <w:bookmarkStart w:id="542" w:name="_Toc9532"/>
      <w:r>
        <w:rPr>
          <w:rFonts w:hint="eastAsia" w:ascii="宋体" w:hAnsi="宋体" w:cs="宋体"/>
          <w:color w:val="auto"/>
          <w:sz w:val="24"/>
          <w:highlight w:val="none"/>
        </w:rPr>
        <w:t>（三）在质保期内，乙方应对由于设计、制造工艺、材料和安装所造成的质量缺陷或质量问题负责，并免费进行修理、更换零部件或退换，并须对设备出现的有关技术性问题或安全问题负责处理、解决，同时乙方应相应延长被更换货物的质保期。</w:t>
      </w:r>
      <w:bookmarkEnd w:id="540"/>
      <w:bookmarkEnd w:id="541"/>
      <w:bookmarkEnd w:id="542"/>
    </w:p>
    <w:p w14:paraId="453C1C52">
      <w:pPr>
        <w:widowControl/>
        <w:spacing w:line="500" w:lineRule="exact"/>
        <w:outlineLvl w:val="1"/>
        <w:rPr>
          <w:rFonts w:ascii="宋体" w:hAnsi="宋体" w:cs="宋体"/>
          <w:color w:val="auto"/>
          <w:sz w:val="24"/>
          <w:highlight w:val="none"/>
        </w:rPr>
      </w:pPr>
      <w:bookmarkStart w:id="543" w:name="_Toc32630"/>
      <w:bookmarkStart w:id="544" w:name="_Toc3839"/>
      <w:bookmarkStart w:id="545" w:name="_Toc7177"/>
      <w:r>
        <w:rPr>
          <w:rFonts w:hint="eastAsia" w:ascii="宋体" w:hAnsi="宋体" w:cs="宋体"/>
          <w:color w:val="auto"/>
          <w:sz w:val="24"/>
          <w:highlight w:val="none"/>
        </w:rPr>
        <w:t>（四）如乙方拒绝承担未到期的售后服务责任，甲方有权要求索赔。</w:t>
      </w:r>
      <w:bookmarkEnd w:id="543"/>
      <w:bookmarkEnd w:id="544"/>
      <w:bookmarkEnd w:id="545"/>
    </w:p>
    <w:p w14:paraId="144DE5C4">
      <w:pPr>
        <w:widowControl/>
        <w:spacing w:line="500" w:lineRule="exact"/>
        <w:outlineLvl w:val="1"/>
        <w:rPr>
          <w:rFonts w:ascii="宋体" w:hAnsi="宋体" w:cs="宋体"/>
          <w:color w:val="auto"/>
          <w:sz w:val="24"/>
          <w:highlight w:val="none"/>
        </w:rPr>
      </w:pPr>
      <w:bookmarkStart w:id="546" w:name="_Toc13877"/>
      <w:bookmarkStart w:id="547" w:name="_Toc19397"/>
      <w:bookmarkStart w:id="548" w:name="_Toc12922"/>
      <w:r>
        <w:rPr>
          <w:rFonts w:hint="eastAsia" w:ascii="宋体" w:hAnsi="宋体" w:cs="宋体"/>
          <w:color w:val="auto"/>
          <w:sz w:val="24"/>
          <w:highlight w:val="none"/>
        </w:rPr>
        <w:t>第十条 违约责任</w:t>
      </w:r>
      <w:bookmarkEnd w:id="546"/>
      <w:bookmarkEnd w:id="547"/>
      <w:bookmarkEnd w:id="548"/>
    </w:p>
    <w:p w14:paraId="57482B56">
      <w:pPr>
        <w:widowControl/>
        <w:spacing w:line="500" w:lineRule="exact"/>
        <w:outlineLvl w:val="1"/>
        <w:rPr>
          <w:rFonts w:ascii="宋体" w:hAnsi="宋体" w:cs="宋体"/>
          <w:color w:val="auto"/>
          <w:sz w:val="24"/>
          <w:highlight w:val="none"/>
        </w:rPr>
      </w:pPr>
      <w:bookmarkStart w:id="549" w:name="_Toc14163"/>
      <w:bookmarkStart w:id="550" w:name="_Toc23950"/>
      <w:bookmarkStart w:id="551" w:name="_Toc1893"/>
      <w:r>
        <w:rPr>
          <w:rFonts w:hint="eastAsia" w:ascii="宋体" w:hAnsi="宋体" w:cs="宋体"/>
          <w:color w:val="auto"/>
          <w:sz w:val="24"/>
          <w:highlight w:val="none"/>
        </w:rPr>
        <w:t>（一）甲乙双方不履行合同义务或者履行合同义务不符合约定的，都应当承担继续履行、采取补救措施或者赔偿损失等违约责任。</w:t>
      </w:r>
      <w:bookmarkEnd w:id="549"/>
      <w:bookmarkEnd w:id="550"/>
      <w:bookmarkEnd w:id="551"/>
    </w:p>
    <w:p w14:paraId="70CE580C">
      <w:pPr>
        <w:widowControl/>
        <w:spacing w:line="500" w:lineRule="exact"/>
        <w:outlineLvl w:val="1"/>
        <w:rPr>
          <w:rFonts w:ascii="宋体" w:hAnsi="宋体" w:cs="宋体"/>
          <w:color w:val="auto"/>
          <w:sz w:val="24"/>
          <w:highlight w:val="none"/>
        </w:rPr>
      </w:pPr>
      <w:bookmarkStart w:id="552" w:name="_Toc27907"/>
      <w:bookmarkStart w:id="553" w:name="_Toc18375"/>
      <w:bookmarkStart w:id="554" w:name="_Toc31740"/>
      <w:r>
        <w:rPr>
          <w:rFonts w:hint="eastAsia" w:ascii="宋体" w:hAnsi="宋体" w:cs="宋体"/>
          <w:color w:val="auto"/>
          <w:sz w:val="24"/>
          <w:highlight w:val="none"/>
        </w:rPr>
        <w:t>（二）如乙方不能按期交货，除经甲方认可的不可抗拒原因外，交货日期每延长一天，甲方按合同总金额的‰按日收取乙方延迟交货违约金，违约金最高不超过合同总金额%。</w:t>
      </w:r>
      <w:bookmarkEnd w:id="552"/>
      <w:bookmarkEnd w:id="553"/>
      <w:bookmarkEnd w:id="554"/>
    </w:p>
    <w:p w14:paraId="7B722275">
      <w:pPr>
        <w:widowControl/>
        <w:spacing w:line="500" w:lineRule="exact"/>
        <w:outlineLvl w:val="1"/>
        <w:rPr>
          <w:rFonts w:ascii="宋体" w:hAnsi="宋体" w:cs="宋体"/>
          <w:color w:val="auto"/>
          <w:sz w:val="24"/>
          <w:highlight w:val="none"/>
        </w:rPr>
      </w:pPr>
      <w:bookmarkStart w:id="555" w:name="_Toc28641"/>
      <w:bookmarkStart w:id="556" w:name="_Toc13670"/>
      <w:bookmarkStart w:id="557" w:name="_Toc4851"/>
      <w:r>
        <w:rPr>
          <w:rFonts w:hint="eastAsia" w:ascii="宋体" w:hAnsi="宋体" w:cs="宋体"/>
          <w:color w:val="auto"/>
          <w:sz w:val="24"/>
          <w:highlight w:val="none"/>
        </w:rPr>
        <w:t>（三）由于乙方原因不能按照约定交货的，在甲方通知后日内乙方仍未履行或采取补救措施的，甲方有权终止合同，乙方必须无条件退回甲方已付给乙方的全部货款，并向甲方支付合同总金额的    %的违约金。</w:t>
      </w:r>
      <w:bookmarkEnd w:id="555"/>
      <w:bookmarkEnd w:id="556"/>
      <w:bookmarkEnd w:id="557"/>
    </w:p>
    <w:p w14:paraId="6606E353">
      <w:pPr>
        <w:widowControl/>
        <w:spacing w:line="500" w:lineRule="exact"/>
        <w:outlineLvl w:val="1"/>
        <w:rPr>
          <w:rFonts w:ascii="宋体" w:hAnsi="宋体" w:cs="宋体"/>
          <w:color w:val="auto"/>
          <w:sz w:val="24"/>
          <w:highlight w:val="none"/>
        </w:rPr>
      </w:pPr>
      <w:bookmarkStart w:id="558" w:name="_Toc26728"/>
      <w:bookmarkStart w:id="559" w:name="_Toc23586"/>
      <w:bookmarkStart w:id="560" w:name="_Toc21510"/>
      <w:r>
        <w:rPr>
          <w:rFonts w:hint="eastAsia" w:ascii="宋体" w:hAnsi="宋体" w:cs="宋体"/>
          <w:color w:val="auto"/>
          <w:sz w:val="24"/>
          <w:highlight w:val="none"/>
        </w:rPr>
        <w:t>（四）乙方所交付的货物品种、型号、规格、质量不符合合同约定、国家标准，所供设备达不到约定技术要求的，甲方有权拒收并终止合同，乙方必须无条件退回甲方已付给乙方的全部货款，并向甲方支付合同总金额的10%的违约金。</w:t>
      </w:r>
      <w:bookmarkEnd w:id="558"/>
      <w:bookmarkEnd w:id="559"/>
      <w:bookmarkEnd w:id="560"/>
    </w:p>
    <w:p w14:paraId="6611E748">
      <w:pPr>
        <w:widowControl/>
        <w:spacing w:line="500" w:lineRule="exact"/>
        <w:outlineLvl w:val="1"/>
        <w:rPr>
          <w:rFonts w:ascii="宋体" w:hAnsi="宋体" w:cs="宋体"/>
          <w:color w:val="auto"/>
          <w:sz w:val="24"/>
          <w:highlight w:val="none"/>
        </w:rPr>
      </w:pPr>
      <w:bookmarkStart w:id="561" w:name="_Toc8312"/>
      <w:bookmarkStart w:id="562" w:name="_Toc6543"/>
      <w:bookmarkStart w:id="563" w:name="_Toc18622"/>
      <w:r>
        <w:rPr>
          <w:rFonts w:hint="eastAsia" w:ascii="宋体" w:hAnsi="宋体" w:cs="宋体"/>
          <w:color w:val="auto"/>
          <w:sz w:val="24"/>
          <w:highlight w:val="none"/>
        </w:rPr>
        <w:t>（五）甲方无正当理由延期付款，每延长一天，甲方按未付金额的‰支付乙方违约金，违约金最多不超过合同总金额的%。</w:t>
      </w:r>
      <w:bookmarkEnd w:id="561"/>
      <w:bookmarkEnd w:id="562"/>
      <w:bookmarkEnd w:id="563"/>
    </w:p>
    <w:p w14:paraId="3FABE711">
      <w:pPr>
        <w:widowControl/>
        <w:spacing w:line="500" w:lineRule="exact"/>
        <w:outlineLvl w:val="1"/>
        <w:rPr>
          <w:rFonts w:ascii="宋体" w:hAnsi="宋体" w:cs="宋体"/>
          <w:color w:val="auto"/>
          <w:sz w:val="24"/>
          <w:highlight w:val="none"/>
        </w:rPr>
      </w:pPr>
      <w:bookmarkStart w:id="564" w:name="_Toc26065"/>
      <w:bookmarkStart w:id="565" w:name="_Toc4926"/>
      <w:bookmarkStart w:id="566" w:name="_Toc7045"/>
      <w:r>
        <w:rPr>
          <w:rFonts w:hint="eastAsia" w:ascii="宋体" w:hAnsi="宋体" w:cs="宋体"/>
          <w:color w:val="auto"/>
          <w:sz w:val="24"/>
          <w:highlight w:val="none"/>
        </w:rPr>
        <w:t>（六）其它违约责任按《中华人民共和国民法典》处理。</w:t>
      </w:r>
      <w:bookmarkEnd w:id="564"/>
      <w:bookmarkEnd w:id="565"/>
      <w:bookmarkEnd w:id="566"/>
    </w:p>
    <w:p w14:paraId="7E74D97A">
      <w:pPr>
        <w:widowControl/>
        <w:spacing w:line="500" w:lineRule="exact"/>
        <w:outlineLvl w:val="1"/>
        <w:rPr>
          <w:rFonts w:ascii="宋体" w:hAnsi="宋体" w:cs="宋体"/>
          <w:color w:val="auto"/>
          <w:sz w:val="24"/>
          <w:highlight w:val="none"/>
        </w:rPr>
      </w:pPr>
      <w:bookmarkStart w:id="567" w:name="_Toc14736"/>
      <w:bookmarkStart w:id="568" w:name="_Toc18600"/>
      <w:bookmarkStart w:id="569" w:name="_Toc21872"/>
      <w:r>
        <w:rPr>
          <w:rFonts w:hint="eastAsia" w:ascii="宋体" w:hAnsi="宋体" w:cs="宋体"/>
          <w:color w:val="auto"/>
          <w:sz w:val="24"/>
          <w:highlight w:val="none"/>
        </w:rPr>
        <w:t>第十一条 不可抗力</w:t>
      </w:r>
      <w:bookmarkEnd w:id="567"/>
      <w:bookmarkEnd w:id="568"/>
      <w:bookmarkEnd w:id="569"/>
    </w:p>
    <w:p w14:paraId="72CDA13C">
      <w:pPr>
        <w:widowControl/>
        <w:spacing w:line="500" w:lineRule="exact"/>
        <w:outlineLvl w:val="1"/>
        <w:rPr>
          <w:rFonts w:ascii="宋体" w:hAnsi="宋体" w:cs="宋体"/>
          <w:color w:val="auto"/>
          <w:sz w:val="24"/>
          <w:highlight w:val="none"/>
        </w:rPr>
      </w:pPr>
      <w:bookmarkStart w:id="570" w:name="_Toc29111"/>
      <w:bookmarkStart w:id="571" w:name="_Toc1814"/>
      <w:bookmarkStart w:id="572" w:name="_Toc11954"/>
      <w:r>
        <w:rPr>
          <w:rFonts w:hint="eastAsia" w:ascii="宋体" w:hAnsi="宋体" w:cs="宋体"/>
          <w:color w:val="auto"/>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bookmarkEnd w:id="570"/>
      <w:bookmarkEnd w:id="571"/>
      <w:bookmarkEnd w:id="572"/>
    </w:p>
    <w:p w14:paraId="75D0B73D">
      <w:pPr>
        <w:widowControl/>
        <w:spacing w:line="500" w:lineRule="exact"/>
        <w:outlineLvl w:val="1"/>
        <w:rPr>
          <w:rFonts w:ascii="宋体" w:hAnsi="宋体" w:cs="宋体"/>
          <w:color w:val="auto"/>
          <w:sz w:val="24"/>
          <w:highlight w:val="none"/>
        </w:rPr>
      </w:pPr>
      <w:bookmarkStart w:id="573" w:name="_Toc11586"/>
      <w:bookmarkStart w:id="574" w:name="_Toc6996"/>
      <w:bookmarkStart w:id="575" w:name="_Toc23676"/>
      <w:r>
        <w:rPr>
          <w:rFonts w:hint="eastAsia" w:ascii="宋体" w:hAnsi="宋体" w:cs="宋体"/>
          <w:color w:val="auto"/>
          <w:sz w:val="24"/>
          <w:highlight w:val="none"/>
        </w:rPr>
        <w:t>第十二条 争议解决</w:t>
      </w:r>
      <w:bookmarkEnd w:id="573"/>
      <w:bookmarkEnd w:id="574"/>
      <w:bookmarkEnd w:id="575"/>
    </w:p>
    <w:p w14:paraId="7C9612ED">
      <w:pPr>
        <w:widowControl/>
        <w:spacing w:line="500" w:lineRule="exact"/>
        <w:outlineLvl w:val="1"/>
        <w:rPr>
          <w:rFonts w:ascii="宋体" w:hAnsi="宋体" w:cs="宋体"/>
          <w:color w:val="auto"/>
          <w:sz w:val="24"/>
          <w:highlight w:val="none"/>
        </w:rPr>
      </w:pPr>
      <w:bookmarkStart w:id="576" w:name="_Toc25805"/>
      <w:bookmarkStart w:id="577" w:name="_Toc15729"/>
      <w:bookmarkStart w:id="578" w:name="_Toc23004"/>
      <w:r>
        <w:rPr>
          <w:rFonts w:hint="eastAsia" w:ascii="宋体" w:hAnsi="宋体" w:cs="宋体"/>
          <w:color w:val="auto"/>
          <w:sz w:val="24"/>
          <w:highlight w:val="none"/>
        </w:rPr>
        <w:t>（一）因货物的质量问题发生争议的，由甲方属地技术监督部门进行质量鉴定。货物符合质量标准的，鉴定费由甲方承担;货物不符合质量标准的，鉴定费由乙方承担。</w:t>
      </w:r>
      <w:bookmarkEnd w:id="576"/>
      <w:bookmarkEnd w:id="577"/>
      <w:bookmarkEnd w:id="578"/>
    </w:p>
    <w:p w14:paraId="0A12E436">
      <w:pPr>
        <w:widowControl/>
        <w:spacing w:line="500" w:lineRule="exact"/>
        <w:outlineLvl w:val="1"/>
        <w:rPr>
          <w:rFonts w:ascii="宋体" w:hAnsi="宋体" w:cs="宋体"/>
          <w:color w:val="auto"/>
          <w:sz w:val="24"/>
          <w:highlight w:val="none"/>
        </w:rPr>
      </w:pPr>
      <w:bookmarkStart w:id="579" w:name="_Toc12009"/>
      <w:bookmarkStart w:id="580" w:name="_Toc7085"/>
      <w:bookmarkStart w:id="581" w:name="_Toc14332"/>
      <w:r>
        <w:rPr>
          <w:rFonts w:hint="eastAsia" w:ascii="宋体" w:hAnsi="宋体" w:cs="宋体"/>
          <w:color w:val="auto"/>
          <w:sz w:val="24"/>
          <w:highlight w:val="none"/>
        </w:rPr>
        <w:t>（二）因履行本合同引起的争议，甲、乙双方首先应协商解决，协商无法解决的，双方同意提交甲方所在地法院以诉讼方式解决。</w:t>
      </w:r>
      <w:bookmarkEnd w:id="579"/>
      <w:bookmarkEnd w:id="580"/>
      <w:bookmarkEnd w:id="581"/>
    </w:p>
    <w:p w14:paraId="478E1358">
      <w:pPr>
        <w:widowControl/>
        <w:spacing w:line="500" w:lineRule="exact"/>
        <w:outlineLvl w:val="1"/>
        <w:rPr>
          <w:rFonts w:ascii="宋体" w:hAnsi="宋体" w:cs="宋体"/>
          <w:color w:val="auto"/>
          <w:sz w:val="24"/>
          <w:highlight w:val="none"/>
        </w:rPr>
      </w:pPr>
      <w:bookmarkStart w:id="582" w:name="_Toc25605"/>
      <w:bookmarkStart w:id="583" w:name="_Toc28039"/>
      <w:bookmarkStart w:id="584" w:name="_Toc19075"/>
      <w:r>
        <w:rPr>
          <w:rFonts w:hint="eastAsia" w:ascii="宋体" w:hAnsi="宋体" w:cs="宋体"/>
          <w:color w:val="auto"/>
          <w:sz w:val="24"/>
          <w:highlight w:val="none"/>
        </w:rPr>
        <w:t>第十三条 附则</w:t>
      </w:r>
      <w:bookmarkEnd w:id="582"/>
      <w:bookmarkEnd w:id="583"/>
      <w:bookmarkEnd w:id="584"/>
    </w:p>
    <w:p w14:paraId="3B6100D6">
      <w:pPr>
        <w:widowControl/>
        <w:spacing w:line="500" w:lineRule="exact"/>
        <w:outlineLvl w:val="1"/>
        <w:rPr>
          <w:rFonts w:ascii="宋体" w:hAnsi="宋体" w:cs="宋体"/>
          <w:color w:val="auto"/>
          <w:sz w:val="24"/>
          <w:highlight w:val="none"/>
        </w:rPr>
      </w:pPr>
      <w:bookmarkStart w:id="585" w:name="_Toc15060"/>
      <w:bookmarkStart w:id="586" w:name="_Toc13653"/>
      <w:bookmarkStart w:id="587" w:name="_Toc10770"/>
      <w:r>
        <w:rPr>
          <w:rFonts w:hint="eastAsia" w:ascii="宋体" w:hAnsi="宋体" w:cs="宋体"/>
          <w:color w:val="auto"/>
          <w:sz w:val="24"/>
          <w:highlight w:val="none"/>
        </w:rPr>
        <w:t>（一）本合同未尽事宜，可由双方协商一致后订立补充协议，补充协议与本合同具有同等的法律效力。</w:t>
      </w:r>
      <w:bookmarkEnd w:id="585"/>
      <w:bookmarkEnd w:id="586"/>
      <w:bookmarkEnd w:id="587"/>
    </w:p>
    <w:p w14:paraId="18CD08AB">
      <w:pPr>
        <w:widowControl/>
        <w:spacing w:line="500" w:lineRule="exact"/>
        <w:outlineLvl w:val="1"/>
        <w:rPr>
          <w:rFonts w:ascii="宋体" w:hAnsi="宋体" w:cs="宋体"/>
          <w:color w:val="auto"/>
          <w:sz w:val="24"/>
          <w:highlight w:val="none"/>
        </w:rPr>
      </w:pPr>
      <w:bookmarkStart w:id="588" w:name="_Toc1839"/>
      <w:bookmarkStart w:id="589" w:name="_Toc19924"/>
      <w:bookmarkStart w:id="590" w:name="_Toc14040"/>
      <w:r>
        <w:rPr>
          <w:rFonts w:hint="eastAsia" w:ascii="宋体" w:hAnsi="宋体" w:cs="宋体"/>
          <w:color w:val="auto"/>
          <w:sz w:val="24"/>
          <w:highlight w:val="none"/>
        </w:rPr>
        <w:t>（二）本合同经双方法定代表人或授权代表签字并加盖公章后生效。</w:t>
      </w:r>
      <w:bookmarkEnd w:id="588"/>
      <w:bookmarkEnd w:id="589"/>
      <w:bookmarkEnd w:id="590"/>
    </w:p>
    <w:p w14:paraId="0FE37FAB">
      <w:pPr>
        <w:widowControl/>
        <w:spacing w:line="500" w:lineRule="exact"/>
        <w:outlineLvl w:val="1"/>
        <w:rPr>
          <w:rFonts w:ascii="宋体" w:hAnsi="宋体" w:cs="宋体"/>
          <w:color w:val="auto"/>
          <w:sz w:val="24"/>
          <w:highlight w:val="none"/>
        </w:rPr>
      </w:pPr>
      <w:bookmarkStart w:id="591" w:name="_Toc6569"/>
      <w:bookmarkStart w:id="592" w:name="_Toc31618"/>
      <w:bookmarkStart w:id="593" w:name="_Toc14642"/>
      <w:r>
        <w:rPr>
          <w:rFonts w:hint="eastAsia" w:ascii="宋体" w:hAnsi="宋体" w:cs="宋体"/>
          <w:color w:val="auto"/>
          <w:sz w:val="24"/>
          <w:highlight w:val="none"/>
        </w:rPr>
        <w:t>（三）本合同壹式肆份，甲乙双方各持贰份，每份均具同等法律效力。</w:t>
      </w:r>
      <w:bookmarkEnd w:id="591"/>
      <w:bookmarkEnd w:id="592"/>
      <w:bookmarkEnd w:id="593"/>
    </w:p>
    <w:p w14:paraId="754F92A5">
      <w:pPr>
        <w:widowControl/>
        <w:spacing w:line="500" w:lineRule="exact"/>
        <w:outlineLvl w:val="1"/>
        <w:rPr>
          <w:rFonts w:ascii="宋体" w:hAnsi="宋体" w:cs="宋体"/>
          <w:color w:val="auto"/>
          <w:sz w:val="24"/>
          <w:highlight w:val="none"/>
        </w:rPr>
      </w:pPr>
      <w:bookmarkStart w:id="594" w:name="_Toc21921"/>
      <w:bookmarkStart w:id="595" w:name="_Toc415"/>
      <w:bookmarkStart w:id="596" w:name="_Toc5634"/>
      <w:r>
        <w:rPr>
          <w:rFonts w:hint="eastAsia" w:ascii="宋体" w:hAnsi="宋体" w:cs="宋体"/>
          <w:color w:val="auto"/>
          <w:sz w:val="24"/>
          <w:highlight w:val="none"/>
        </w:rPr>
        <w:t>第十四条 组成合同的文件</w:t>
      </w:r>
      <w:bookmarkEnd w:id="594"/>
      <w:bookmarkEnd w:id="595"/>
      <w:bookmarkEnd w:id="596"/>
    </w:p>
    <w:p w14:paraId="4A60CB48">
      <w:pPr>
        <w:widowControl/>
        <w:spacing w:line="500" w:lineRule="exact"/>
        <w:outlineLvl w:val="1"/>
        <w:rPr>
          <w:rFonts w:ascii="宋体" w:hAnsi="宋体" w:cs="宋体"/>
          <w:color w:val="auto"/>
          <w:sz w:val="24"/>
          <w:highlight w:val="none"/>
        </w:rPr>
      </w:pPr>
      <w:bookmarkStart w:id="597" w:name="_Toc31104"/>
      <w:bookmarkStart w:id="598" w:name="_Toc19818"/>
      <w:bookmarkStart w:id="599" w:name="_Toc20667"/>
      <w:r>
        <w:rPr>
          <w:rFonts w:hint="eastAsia" w:ascii="宋体" w:hAnsi="宋体" w:cs="宋体"/>
          <w:color w:val="auto"/>
          <w:sz w:val="24"/>
          <w:highlight w:val="none"/>
        </w:rPr>
        <w:t>合同由以下文件构成，如下述文件之间有任何抵触、矛盾或歧义，应按以下顺序解释：</w:t>
      </w:r>
      <w:bookmarkEnd w:id="597"/>
      <w:bookmarkEnd w:id="598"/>
      <w:bookmarkEnd w:id="599"/>
    </w:p>
    <w:p w14:paraId="476D0A4F">
      <w:pPr>
        <w:widowControl/>
        <w:spacing w:line="500" w:lineRule="exact"/>
        <w:outlineLvl w:val="1"/>
        <w:rPr>
          <w:rFonts w:ascii="宋体" w:hAnsi="宋体" w:cs="宋体"/>
          <w:color w:val="auto"/>
          <w:sz w:val="24"/>
          <w:highlight w:val="none"/>
        </w:rPr>
      </w:pPr>
      <w:bookmarkStart w:id="600" w:name="_Toc31113"/>
      <w:bookmarkStart w:id="601" w:name="_Toc9211"/>
      <w:bookmarkStart w:id="602" w:name="_Toc30423"/>
      <w:r>
        <w:rPr>
          <w:rFonts w:hint="eastAsia" w:ascii="宋体" w:hAnsi="宋体" w:cs="宋体"/>
          <w:color w:val="auto"/>
          <w:sz w:val="24"/>
          <w:highlight w:val="none"/>
        </w:rPr>
        <w:t>1、在采购或合同履行过程中乙方作出的承诺以及双方协商达成的变更或补充协议</w:t>
      </w:r>
      <w:bookmarkEnd w:id="600"/>
      <w:bookmarkEnd w:id="601"/>
      <w:bookmarkEnd w:id="602"/>
    </w:p>
    <w:p w14:paraId="5206A661">
      <w:pPr>
        <w:widowControl/>
        <w:spacing w:line="500" w:lineRule="exact"/>
        <w:outlineLvl w:val="1"/>
        <w:rPr>
          <w:rFonts w:ascii="宋体" w:hAnsi="宋体" w:cs="宋体"/>
          <w:color w:val="auto"/>
          <w:sz w:val="24"/>
          <w:highlight w:val="none"/>
        </w:rPr>
      </w:pPr>
      <w:bookmarkStart w:id="603" w:name="_Toc2715"/>
      <w:bookmarkStart w:id="604" w:name="_Toc25311"/>
      <w:bookmarkStart w:id="605" w:name="_Toc18935"/>
      <w:r>
        <w:rPr>
          <w:rFonts w:hint="eastAsia" w:ascii="宋体" w:hAnsi="宋体" w:cs="宋体"/>
          <w:color w:val="auto"/>
          <w:sz w:val="24"/>
          <w:highlight w:val="none"/>
        </w:rPr>
        <w:t>2、本合同书</w:t>
      </w:r>
      <w:bookmarkEnd w:id="603"/>
      <w:bookmarkEnd w:id="604"/>
      <w:bookmarkEnd w:id="605"/>
    </w:p>
    <w:p w14:paraId="30E2C0D7">
      <w:pPr>
        <w:widowControl/>
        <w:spacing w:line="500" w:lineRule="exact"/>
        <w:outlineLvl w:val="1"/>
        <w:rPr>
          <w:rFonts w:ascii="宋体" w:hAnsi="宋体" w:cs="宋体"/>
          <w:color w:val="auto"/>
          <w:sz w:val="24"/>
          <w:highlight w:val="none"/>
        </w:rPr>
      </w:pPr>
      <w:bookmarkStart w:id="606" w:name="_Toc28842"/>
      <w:bookmarkStart w:id="607" w:name="_Toc2887"/>
      <w:bookmarkStart w:id="608" w:name="_Toc8224"/>
      <w:r>
        <w:rPr>
          <w:rFonts w:hint="eastAsia" w:ascii="宋体" w:hAnsi="宋体" w:cs="宋体"/>
          <w:color w:val="auto"/>
          <w:sz w:val="24"/>
          <w:highlight w:val="none"/>
        </w:rPr>
        <w:t>3、中标通知书</w:t>
      </w:r>
      <w:bookmarkEnd w:id="606"/>
      <w:bookmarkEnd w:id="607"/>
      <w:bookmarkEnd w:id="608"/>
    </w:p>
    <w:p w14:paraId="77019EF5">
      <w:pPr>
        <w:widowControl/>
        <w:spacing w:line="500" w:lineRule="exact"/>
        <w:outlineLvl w:val="1"/>
        <w:rPr>
          <w:rFonts w:ascii="宋体" w:hAnsi="宋体" w:cs="宋体"/>
          <w:color w:val="auto"/>
          <w:sz w:val="24"/>
          <w:highlight w:val="none"/>
        </w:rPr>
      </w:pPr>
      <w:bookmarkStart w:id="609" w:name="_Toc20748"/>
      <w:bookmarkStart w:id="610" w:name="_Toc22474"/>
      <w:bookmarkStart w:id="611" w:name="_Toc20222"/>
      <w:r>
        <w:rPr>
          <w:rFonts w:hint="eastAsia" w:ascii="宋体" w:hAnsi="宋体" w:cs="宋体"/>
          <w:color w:val="auto"/>
          <w:sz w:val="24"/>
          <w:highlight w:val="none"/>
        </w:rPr>
        <w:t>4、投标文件及其附件</w:t>
      </w:r>
      <w:bookmarkEnd w:id="609"/>
      <w:bookmarkEnd w:id="610"/>
      <w:bookmarkEnd w:id="611"/>
    </w:p>
    <w:p w14:paraId="44C9DA9F">
      <w:pPr>
        <w:widowControl/>
        <w:spacing w:line="500" w:lineRule="exact"/>
        <w:outlineLvl w:val="1"/>
        <w:rPr>
          <w:rFonts w:ascii="宋体" w:hAnsi="宋体" w:cs="宋体"/>
          <w:color w:val="auto"/>
          <w:sz w:val="24"/>
          <w:highlight w:val="none"/>
        </w:rPr>
      </w:pPr>
      <w:bookmarkStart w:id="612" w:name="_Toc3701"/>
      <w:bookmarkStart w:id="613" w:name="_Toc24880"/>
      <w:bookmarkStart w:id="614" w:name="_Toc15888"/>
      <w:r>
        <w:rPr>
          <w:rFonts w:hint="eastAsia" w:ascii="宋体" w:hAnsi="宋体" w:cs="宋体"/>
          <w:color w:val="auto"/>
          <w:sz w:val="24"/>
          <w:highlight w:val="none"/>
        </w:rPr>
        <w:t>5、招标文件</w:t>
      </w:r>
      <w:bookmarkEnd w:id="612"/>
      <w:bookmarkEnd w:id="613"/>
      <w:bookmarkEnd w:id="614"/>
    </w:p>
    <w:p w14:paraId="31EDBAEE">
      <w:pPr>
        <w:widowControl/>
        <w:spacing w:line="500" w:lineRule="exact"/>
        <w:outlineLvl w:val="1"/>
        <w:rPr>
          <w:rFonts w:ascii="宋体" w:hAnsi="宋体" w:cs="宋体"/>
          <w:color w:val="auto"/>
          <w:sz w:val="24"/>
          <w:highlight w:val="none"/>
        </w:rPr>
      </w:pPr>
      <w:bookmarkStart w:id="615" w:name="_Toc15100"/>
      <w:bookmarkStart w:id="616" w:name="_Toc22369"/>
      <w:bookmarkStart w:id="617" w:name="_Toc11273"/>
      <w:r>
        <w:rPr>
          <w:rFonts w:hint="eastAsia" w:ascii="宋体" w:hAnsi="宋体" w:cs="宋体"/>
          <w:color w:val="auto"/>
          <w:sz w:val="24"/>
          <w:highlight w:val="none"/>
        </w:rPr>
        <w:t>6、标准、规范及有关技术文件</w:t>
      </w:r>
      <w:bookmarkEnd w:id="615"/>
      <w:bookmarkEnd w:id="616"/>
      <w:bookmarkEnd w:id="617"/>
    </w:p>
    <w:p w14:paraId="4F1DB01A">
      <w:pPr>
        <w:widowControl/>
        <w:spacing w:line="500" w:lineRule="exact"/>
        <w:rPr>
          <w:rFonts w:ascii="宋体" w:hAnsi="宋体" w:cs="宋体"/>
          <w:color w:val="auto"/>
          <w:sz w:val="24"/>
          <w:highlight w:val="none"/>
        </w:rPr>
      </w:pPr>
    </w:p>
    <w:p w14:paraId="10404A26">
      <w:pPr>
        <w:widowControl/>
        <w:spacing w:line="500" w:lineRule="exact"/>
        <w:outlineLvl w:val="0"/>
        <w:rPr>
          <w:rFonts w:ascii="宋体" w:hAnsi="宋体" w:cs="宋体"/>
          <w:color w:val="auto"/>
          <w:sz w:val="24"/>
          <w:highlight w:val="none"/>
        </w:rPr>
      </w:pPr>
      <w:bookmarkStart w:id="618" w:name="_Toc24600"/>
      <w:bookmarkStart w:id="619" w:name="_Toc16082"/>
      <w:bookmarkStart w:id="620" w:name="_Toc4498"/>
      <w:bookmarkStart w:id="621" w:name="_Toc15234"/>
      <w:r>
        <w:rPr>
          <w:rFonts w:hint="eastAsia" w:ascii="宋体" w:hAnsi="宋体" w:cs="宋体"/>
          <w:color w:val="auto"/>
          <w:sz w:val="24"/>
          <w:highlight w:val="none"/>
        </w:rPr>
        <w:t>合同订立时间：   年   月   日</w:t>
      </w:r>
      <w:bookmarkEnd w:id="618"/>
      <w:bookmarkEnd w:id="619"/>
      <w:bookmarkEnd w:id="620"/>
      <w:bookmarkEnd w:id="621"/>
    </w:p>
    <w:p w14:paraId="3A1397A7">
      <w:pPr>
        <w:widowControl/>
        <w:spacing w:line="500" w:lineRule="exact"/>
        <w:outlineLvl w:val="1"/>
        <w:rPr>
          <w:rFonts w:ascii="宋体" w:hAnsi="宋体" w:cs="宋体"/>
          <w:color w:val="auto"/>
          <w:sz w:val="24"/>
          <w:highlight w:val="none"/>
        </w:rPr>
      </w:pPr>
      <w:bookmarkStart w:id="622" w:name="_Toc19071"/>
      <w:bookmarkStart w:id="623" w:name="_Toc1433"/>
      <w:bookmarkStart w:id="624" w:name="_Toc20710"/>
      <w:r>
        <w:rPr>
          <w:rFonts w:hint="eastAsia" w:ascii="宋体" w:hAnsi="宋体" w:cs="宋体"/>
          <w:color w:val="auto"/>
          <w:sz w:val="24"/>
          <w:highlight w:val="none"/>
        </w:rPr>
        <w:t>合同订立地点：</w:t>
      </w:r>
      <w:bookmarkEnd w:id="622"/>
      <w:bookmarkEnd w:id="623"/>
      <w:bookmarkEnd w:id="624"/>
      <w:r>
        <w:rPr>
          <w:rFonts w:hint="eastAsia" w:ascii="宋体" w:hAnsi="宋体" w:cs="宋体"/>
          <w:color w:val="auto"/>
          <w:sz w:val="24"/>
          <w:highlight w:val="none"/>
        </w:rPr>
        <w:t xml:space="preserve">                                            </w:t>
      </w:r>
    </w:p>
    <w:p w14:paraId="559DA672">
      <w:pPr>
        <w:widowControl/>
        <w:spacing w:line="500" w:lineRule="exact"/>
        <w:outlineLvl w:val="1"/>
        <w:rPr>
          <w:rFonts w:ascii="宋体" w:hAnsi="宋体" w:cs="宋体"/>
          <w:color w:val="auto"/>
          <w:sz w:val="24"/>
          <w:highlight w:val="none"/>
        </w:rPr>
      </w:pPr>
      <w:bookmarkStart w:id="625" w:name="_Toc15527"/>
      <w:bookmarkStart w:id="626" w:name="_Toc11982"/>
      <w:bookmarkStart w:id="627" w:name="_Toc18570"/>
      <w:r>
        <w:rPr>
          <w:rFonts w:hint="eastAsia" w:ascii="宋体" w:hAnsi="宋体" w:cs="宋体"/>
          <w:color w:val="auto"/>
          <w:sz w:val="24"/>
          <w:highlight w:val="none"/>
        </w:rPr>
        <w:t>甲方（公章）                                   乙方（公章）</w:t>
      </w:r>
      <w:bookmarkEnd w:id="625"/>
      <w:bookmarkEnd w:id="626"/>
      <w:bookmarkEnd w:id="627"/>
    </w:p>
    <w:p w14:paraId="03263044">
      <w:pPr>
        <w:widowControl/>
        <w:spacing w:line="500" w:lineRule="exact"/>
        <w:outlineLvl w:val="1"/>
        <w:rPr>
          <w:rFonts w:ascii="宋体" w:hAnsi="宋体" w:cs="宋体"/>
          <w:color w:val="auto"/>
          <w:sz w:val="24"/>
          <w:highlight w:val="none"/>
        </w:rPr>
      </w:pPr>
      <w:bookmarkStart w:id="628" w:name="_Toc30548"/>
      <w:bookmarkStart w:id="629" w:name="_Toc2496"/>
      <w:bookmarkStart w:id="630" w:name="_Toc25050"/>
      <w:r>
        <w:rPr>
          <w:rFonts w:hint="eastAsia" w:ascii="宋体" w:hAnsi="宋体" w:cs="宋体"/>
          <w:color w:val="auto"/>
          <w:sz w:val="24"/>
          <w:highlight w:val="none"/>
        </w:rPr>
        <w:t>法定代理人：                                   法定代理人：</w:t>
      </w:r>
      <w:bookmarkEnd w:id="628"/>
      <w:bookmarkEnd w:id="629"/>
      <w:bookmarkEnd w:id="630"/>
    </w:p>
    <w:p w14:paraId="570FF0E0">
      <w:pPr>
        <w:widowControl/>
        <w:spacing w:line="500" w:lineRule="exact"/>
        <w:outlineLvl w:val="1"/>
        <w:rPr>
          <w:rFonts w:ascii="宋体" w:hAnsi="宋体" w:cs="宋体"/>
          <w:color w:val="auto"/>
          <w:sz w:val="24"/>
          <w:highlight w:val="none"/>
        </w:rPr>
      </w:pPr>
      <w:bookmarkStart w:id="631" w:name="_Toc12900"/>
      <w:bookmarkStart w:id="632" w:name="_Toc18380"/>
      <w:bookmarkStart w:id="633" w:name="_Toc27254"/>
      <w:r>
        <w:rPr>
          <w:rFonts w:hint="eastAsia" w:ascii="宋体" w:hAnsi="宋体" w:cs="宋体"/>
          <w:color w:val="auto"/>
          <w:sz w:val="24"/>
          <w:highlight w:val="none"/>
        </w:rPr>
        <w:t>委托代理人：                                   委托代理人：</w:t>
      </w:r>
      <w:bookmarkEnd w:id="631"/>
      <w:bookmarkEnd w:id="632"/>
      <w:bookmarkEnd w:id="633"/>
    </w:p>
    <w:p w14:paraId="7E8F8292">
      <w:pPr>
        <w:widowControl/>
        <w:spacing w:line="500" w:lineRule="exact"/>
        <w:outlineLvl w:val="1"/>
        <w:rPr>
          <w:rFonts w:ascii="宋体" w:hAnsi="宋体" w:cs="宋体"/>
          <w:color w:val="auto"/>
          <w:highlight w:val="none"/>
        </w:rPr>
      </w:pPr>
      <w:r>
        <w:rPr>
          <w:rFonts w:hint="eastAsia" w:ascii="宋体" w:hAnsi="宋体" w:cs="宋体"/>
          <w:color w:val="auto"/>
          <w:sz w:val="30"/>
          <w:szCs w:val="30"/>
          <w:highlight w:val="none"/>
        </w:rPr>
        <w:br w:type="page"/>
      </w:r>
      <w:bookmarkStart w:id="634" w:name="_Toc9301"/>
      <w:bookmarkStart w:id="635" w:name="_Toc10372"/>
      <w:bookmarkStart w:id="636" w:name="_Toc21106"/>
      <w:r>
        <w:rPr>
          <w:rFonts w:hint="eastAsia" w:ascii="宋体" w:hAnsi="宋体" w:cs="宋体"/>
          <w:color w:val="auto"/>
          <w:sz w:val="30"/>
          <w:szCs w:val="30"/>
          <w:highlight w:val="none"/>
        </w:rPr>
        <w:t>附件四：</w:t>
      </w:r>
      <w:bookmarkEnd w:id="634"/>
      <w:bookmarkEnd w:id="635"/>
      <w:bookmarkEnd w:id="636"/>
    </w:p>
    <w:p w14:paraId="1BF1FDEB">
      <w:pPr>
        <w:widowControl/>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廉政合同</w:t>
      </w:r>
    </w:p>
    <w:p w14:paraId="502C361F">
      <w:pPr>
        <w:spacing w:line="600" w:lineRule="exact"/>
        <w:jc w:val="center"/>
        <w:rPr>
          <w:rFonts w:ascii="宋体" w:hAnsi="宋体" w:cs="宋体"/>
          <w:b/>
          <w:color w:val="auto"/>
          <w:sz w:val="24"/>
          <w:highlight w:val="none"/>
        </w:rPr>
      </w:pPr>
    </w:p>
    <w:p w14:paraId="3F992B42">
      <w:pPr>
        <w:spacing w:line="600" w:lineRule="exact"/>
        <w:rPr>
          <w:rFonts w:ascii="宋体" w:hAnsi="宋体" w:cs="宋体"/>
          <w:b/>
          <w:bCs/>
          <w:color w:val="auto"/>
          <w:sz w:val="24"/>
          <w:highlight w:val="none"/>
        </w:rPr>
      </w:pPr>
      <w:r>
        <w:rPr>
          <w:rFonts w:hint="eastAsia" w:ascii="宋体" w:hAnsi="宋体" w:cs="宋体"/>
          <w:b/>
          <w:bCs/>
          <w:color w:val="auto"/>
          <w:sz w:val="24"/>
          <w:highlight w:val="none"/>
        </w:rPr>
        <w:t>甲方：中国人寿保险股份有限公司重庆分公司</w:t>
      </w:r>
    </w:p>
    <w:p w14:paraId="784E044D">
      <w:pPr>
        <w:spacing w:line="600" w:lineRule="exact"/>
        <w:rPr>
          <w:rFonts w:ascii="宋体" w:hAnsi="宋体" w:cs="宋体"/>
          <w:b/>
          <w:bCs/>
          <w:color w:val="auto"/>
          <w:sz w:val="24"/>
          <w:highlight w:val="none"/>
        </w:rPr>
      </w:pPr>
      <w:r>
        <w:rPr>
          <w:rFonts w:hint="eastAsia" w:ascii="宋体" w:hAnsi="宋体" w:cs="宋体"/>
          <w:b/>
          <w:bCs/>
          <w:color w:val="auto"/>
          <w:sz w:val="24"/>
          <w:highlight w:val="none"/>
        </w:rPr>
        <w:t xml:space="preserve">乙方： </w:t>
      </w:r>
    </w:p>
    <w:p w14:paraId="734829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为加强物资设备及服务采购供应中的廉政建设，规范、约束采供双方的行为，防止违法违纪和不廉洁问题的发生，维护合同双方合法利益，经双方同意在签订采购合同的同时，签订本廉政合同书。</w:t>
      </w:r>
    </w:p>
    <w:p w14:paraId="4AC02A3A">
      <w:pPr>
        <w:spacing w:line="560" w:lineRule="exact"/>
        <w:ind w:firstLine="480" w:firstLineChars="200"/>
        <w:outlineLvl w:val="0"/>
        <w:rPr>
          <w:rFonts w:ascii="宋体" w:hAnsi="宋体" w:cs="宋体"/>
          <w:color w:val="auto"/>
          <w:sz w:val="24"/>
          <w:highlight w:val="none"/>
        </w:rPr>
      </w:pPr>
      <w:bookmarkStart w:id="637" w:name="_Toc21791"/>
      <w:bookmarkStart w:id="638" w:name="_Toc14182"/>
      <w:bookmarkStart w:id="639" w:name="_Toc3888"/>
      <w:bookmarkStart w:id="640" w:name="_Toc14543"/>
      <w:r>
        <w:rPr>
          <w:rFonts w:hint="eastAsia" w:ascii="宋体" w:hAnsi="宋体" w:cs="宋体"/>
          <w:color w:val="auto"/>
          <w:sz w:val="24"/>
          <w:highlight w:val="none"/>
        </w:rPr>
        <w:t>一、甲方义务</w:t>
      </w:r>
      <w:bookmarkEnd w:id="637"/>
      <w:bookmarkEnd w:id="638"/>
      <w:bookmarkEnd w:id="639"/>
      <w:bookmarkEnd w:id="640"/>
    </w:p>
    <w:p w14:paraId="403B8E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（一）严格遵守国家政策法令和廉政规定，严格执行《招标投标法》及上级公司有关规定实施具体采购行为。</w:t>
      </w:r>
    </w:p>
    <w:p w14:paraId="681799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（二）不得向乙方索取或接受乙方任何形式的现金、有价证券、支付凭证和礼品等。</w:t>
      </w:r>
    </w:p>
    <w:p w14:paraId="2556D1E3">
      <w:pPr>
        <w:spacing w:line="560" w:lineRule="exact"/>
        <w:ind w:firstLine="570"/>
        <w:rPr>
          <w:rFonts w:ascii="宋体" w:hAnsi="宋体" w:cs="宋体"/>
          <w:color w:val="auto"/>
          <w:sz w:val="24"/>
          <w:highlight w:val="none"/>
        </w:rPr>
      </w:pPr>
      <w:r>
        <w:rPr>
          <w:rFonts w:hint="eastAsia" w:ascii="宋体" w:hAnsi="宋体" w:cs="宋体"/>
          <w:color w:val="auto"/>
          <w:sz w:val="24"/>
          <w:highlight w:val="none"/>
        </w:rPr>
        <w:t>（三）不得接受乙方提供的公款旅游和高消费健身、娱乐等活动，不得参加乙方组织的有可能影响公正履行合同的宴请等活动。</w:t>
      </w:r>
    </w:p>
    <w:p w14:paraId="37430256">
      <w:pPr>
        <w:spacing w:line="560" w:lineRule="exact"/>
        <w:ind w:firstLine="570"/>
        <w:outlineLvl w:val="1"/>
        <w:rPr>
          <w:rFonts w:ascii="宋体" w:hAnsi="宋体" w:cs="宋体"/>
          <w:color w:val="auto"/>
          <w:sz w:val="24"/>
          <w:highlight w:val="none"/>
        </w:rPr>
      </w:pPr>
      <w:bookmarkStart w:id="641" w:name="_Toc4020"/>
      <w:bookmarkStart w:id="642" w:name="_Toc18245"/>
      <w:bookmarkStart w:id="643" w:name="_Toc364"/>
      <w:r>
        <w:rPr>
          <w:rFonts w:hint="eastAsia" w:ascii="宋体" w:hAnsi="宋体" w:cs="宋体"/>
          <w:color w:val="auto"/>
          <w:sz w:val="24"/>
          <w:highlight w:val="none"/>
        </w:rPr>
        <w:t>（四）不得要求乙方为自己及其亲友的经营活动提供便利条例。</w:t>
      </w:r>
      <w:bookmarkEnd w:id="641"/>
      <w:bookmarkEnd w:id="642"/>
      <w:bookmarkEnd w:id="643"/>
    </w:p>
    <w:p w14:paraId="3AF9F19D">
      <w:pPr>
        <w:spacing w:line="560" w:lineRule="exact"/>
        <w:ind w:firstLine="570"/>
        <w:rPr>
          <w:rFonts w:ascii="宋体" w:hAnsi="宋体" w:cs="宋体"/>
          <w:color w:val="auto"/>
          <w:sz w:val="24"/>
          <w:highlight w:val="none"/>
        </w:rPr>
      </w:pPr>
      <w:r>
        <w:rPr>
          <w:rFonts w:hint="eastAsia" w:ascii="宋体" w:hAnsi="宋体" w:cs="宋体"/>
          <w:color w:val="auto"/>
          <w:sz w:val="24"/>
          <w:highlight w:val="none"/>
        </w:rPr>
        <w:t>（五）不得在乙方合同签订、验收、付款等正常按约履行时为索取合同约定以外的费用而推诿扯皮、借故刁难。</w:t>
      </w:r>
    </w:p>
    <w:p w14:paraId="3967F37F">
      <w:pPr>
        <w:spacing w:line="560" w:lineRule="exact"/>
        <w:outlineLvl w:val="0"/>
        <w:rPr>
          <w:rFonts w:ascii="宋体" w:hAnsi="宋体" w:cs="宋体"/>
          <w:color w:val="auto"/>
          <w:sz w:val="24"/>
          <w:highlight w:val="none"/>
        </w:rPr>
      </w:pPr>
      <w:r>
        <w:rPr>
          <w:rFonts w:hint="eastAsia" w:ascii="宋体" w:hAnsi="宋体" w:cs="宋体"/>
          <w:color w:val="auto"/>
          <w:sz w:val="24"/>
          <w:highlight w:val="none"/>
        </w:rPr>
        <w:t xml:space="preserve">    </w:t>
      </w:r>
      <w:bookmarkStart w:id="644" w:name="_Toc1703"/>
      <w:bookmarkStart w:id="645" w:name="_Toc22709"/>
      <w:bookmarkStart w:id="646" w:name="_Toc9067"/>
      <w:bookmarkStart w:id="647" w:name="_Toc23331"/>
      <w:r>
        <w:rPr>
          <w:rFonts w:hint="eastAsia" w:ascii="宋体" w:hAnsi="宋体" w:cs="宋体"/>
          <w:color w:val="auto"/>
          <w:sz w:val="24"/>
          <w:highlight w:val="none"/>
        </w:rPr>
        <w:t>二、乙方义务</w:t>
      </w:r>
      <w:bookmarkEnd w:id="644"/>
      <w:bookmarkEnd w:id="645"/>
      <w:bookmarkEnd w:id="646"/>
      <w:bookmarkEnd w:id="647"/>
    </w:p>
    <w:p w14:paraId="1FA450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（一）不得以任何形式向甲方及其领导干部送礼金、有价证券、支付凭证和礼品等。</w:t>
      </w:r>
    </w:p>
    <w:p w14:paraId="246243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（二）不得支付甲方及其领导干部私自以咨询费、劳务费等名义索要各种费用、报销应由甲方个人承担的费用。</w:t>
      </w:r>
    </w:p>
    <w:p w14:paraId="71C0D1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（三）不得为甲方及其领导干部提供公款旅游、消费健身娱乐活动，不得利用宴请等活动影响甲方人员公正履行合同。</w:t>
      </w:r>
    </w:p>
    <w:p w14:paraId="4B099E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不得为甲方领导干部及其配偶、子女、亲属或其他特定关系人的营利活动提供便利条件，包括但不限于：1.甲方领导干部及其配偶、子女、亲属或其他特定关系人与乙方不存在直接业务往来关系；2.甲方领导干部及其配偶、子女、亲属或其他特定关系人没有在乙方任职；3.甲方领导干部及其配偶、子女、亲属或其他特定关系人与乙方不存在投资、控股关系或其他关联关系。</w:t>
      </w:r>
    </w:p>
    <w:p w14:paraId="1B02A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（五）不得在合同签订、验收、付款等履行环节为获得便利向甲方任何人支付任何合同约定以外的费用。</w:t>
      </w:r>
    </w:p>
    <w:p w14:paraId="36BBF8C4">
      <w:pPr>
        <w:spacing w:line="560" w:lineRule="exact"/>
        <w:ind w:firstLine="480" w:firstLineChars="200"/>
        <w:outlineLvl w:val="1"/>
        <w:rPr>
          <w:rFonts w:ascii="宋体" w:hAnsi="宋体" w:cs="宋体"/>
          <w:color w:val="auto"/>
          <w:sz w:val="24"/>
          <w:highlight w:val="none"/>
        </w:rPr>
      </w:pPr>
      <w:bookmarkStart w:id="648" w:name="_Toc9638"/>
      <w:bookmarkStart w:id="649" w:name="_Toc5640"/>
      <w:bookmarkStart w:id="650" w:name="_Toc17973"/>
      <w:r>
        <w:rPr>
          <w:rFonts w:hint="eastAsia" w:ascii="宋体" w:hAnsi="宋体" w:cs="宋体"/>
          <w:color w:val="auto"/>
          <w:sz w:val="24"/>
          <w:highlight w:val="none"/>
        </w:rPr>
        <w:t>（六）不得实施其他可能影响商业交易廉洁的行为</w:t>
      </w:r>
      <w:bookmarkEnd w:id="648"/>
      <w:bookmarkEnd w:id="649"/>
      <w:bookmarkEnd w:id="650"/>
    </w:p>
    <w:p w14:paraId="02B4F3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（七）发现甲方领导干部在业务活动中有违规、违纪、违法行为的，应及时提醒对方，情节严重的，应及时向监督部门反映。</w:t>
      </w:r>
    </w:p>
    <w:p w14:paraId="3FE0D9E0">
      <w:pPr>
        <w:spacing w:line="560" w:lineRule="exact"/>
        <w:ind w:firstLine="480" w:firstLineChars="200"/>
        <w:outlineLvl w:val="0"/>
        <w:rPr>
          <w:rFonts w:ascii="宋体" w:hAnsi="宋体" w:cs="宋体"/>
          <w:bCs/>
          <w:color w:val="auto"/>
          <w:sz w:val="24"/>
          <w:highlight w:val="none"/>
        </w:rPr>
      </w:pPr>
      <w:bookmarkStart w:id="651" w:name="_Toc27363"/>
      <w:bookmarkStart w:id="652" w:name="_Toc32528"/>
      <w:bookmarkStart w:id="653" w:name="_Toc20584"/>
      <w:bookmarkStart w:id="654" w:name="_Toc5246"/>
      <w:r>
        <w:rPr>
          <w:rFonts w:hint="eastAsia" w:ascii="宋体" w:hAnsi="宋体" w:cs="宋体"/>
          <w:bCs/>
          <w:color w:val="auto"/>
          <w:sz w:val="24"/>
          <w:highlight w:val="none"/>
        </w:rPr>
        <w:t>三、违责处罚</w:t>
      </w:r>
      <w:bookmarkEnd w:id="651"/>
      <w:bookmarkEnd w:id="652"/>
      <w:bookmarkEnd w:id="653"/>
      <w:bookmarkEnd w:id="654"/>
    </w:p>
    <w:p w14:paraId="441D50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（一）甲方领导干部及其家属发生违责行为，一经查实，将依据有关法律法规和规定给与党纪、政纪处分或组织处理；涉嫌犯罪的，移交司法机关追究刑事责任</w:t>
      </w:r>
    </w:p>
    <w:p w14:paraId="675AD0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发生廉政违责行为，情节严重的，甲方有权立即停止合同执行，取消乙方继续服务资格，同时甲方有权立即解除合同，并剔除出甲方合作单位名录，取消乙方参与甲方采购项目的资格；涉嫌犯罪的，将移交司法机关追究刑事责任；如乙方行贿行为对甲方单位造成经济损失的，应无条件予以相应金额的损失赔偿。</w:t>
      </w:r>
    </w:p>
    <w:p w14:paraId="36E3BEF9">
      <w:pPr>
        <w:spacing w:line="560" w:lineRule="exact"/>
        <w:ind w:firstLine="480" w:firstLineChars="200"/>
        <w:outlineLvl w:val="0"/>
        <w:rPr>
          <w:rFonts w:ascii="宋体" w:hAnsi="宋体" w:cs="宋体"/>
          <w:bCs/>
          <w:color w:val="auto"/>
          <w:sz w:val="24"/>
          <w:highlight w:val="none"/>
        </w:rPr>
      </w:pPr>
      <w:bookmarkStart w:id="655" w:name="_Toc16147"/>
      <w:bookmarkStart w:id="656" w:name="_Toc3570"/>
      <w:bookmarkStart w:id="657" w:name="_Toc21175"/>
      <w:bookmarkStart w:id="658" w:name="_Toc16192"/>
      <w:r>
        <w:rPr>
          <w:rFonts w:hint="eastAsia" w:ascii="宋体" w:hAnsi="宋体" w:cs="宋体"/>
          <w:bCs/>
          <w:color w:val="auto"/>
          <w:sz w:val="24"/>
          <w:highlight w:val="none"/>
        </w:rPr>
        <w:t>四、其他</w:t>
      </w:r>
      <w:bookmarkEnd w:id="655"/>
      <w:bookmarkEnd w:id="656"/>
      <w:bookmarkEnd w:id="657"/>
      <w:bookmarkEnd w:id="658"/>
    </w:p>
    <w:p w14:paraId="74CE015A">
      <w:pPr>
        <w:spacing w:line="560" w:lineRule="exact"/>
        <w:ind w:firstLine="480" w:firstLineChars="200"/>
        <w:outlineLvl w:val="1"/>
        <w:rPr>
          <w:rFonts w:ascii="宋体" w:hAnsi="宋体" w:cs="宋体"/>
          <w:color w:val="auto"/>
          <w:sz w:val="24"/>
          <w:highlight w:val="none"/>
        </w:rPr>
      </w:pPr>
      <w:bookmarkStart w:id="659" w:name="_Toc27898"/>
      <w:bookmarkStart w:id="660" w:name="_Toc31535"/>
      <w:bookmarkStart w:id="661" w:name="_Toc29570"/>
      <w:r>
        <w:rPr>
          <w:rFonts w:hint="eastAsia" w:ascii="宋体" w:hAnsi="宋体" w:cs="宋体"/>
          <w:color w:val="auto"/>
          <w:sz w:val="24"/>
          <w:highlight w:val="none"/>
        </w:rPr>
        <w:t>（一）监督举报电话：023-63825529；</w:t>
      </w:r>
      <w:bookmarkEnd w:id="659"/>
      <w:bookmarkEnd w:id="660"/>
      <w:bookmarkEnd w:id="661"/>
    </w:p>
    <w:p w14:paraId="66A945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（二）本合同在甲乙双方签订采购合同时一并签订，并具有同等效力，作为采购合同的附件一并存档，适用于甲方双方合作项下的全部采购合同。</w:t>
      </w:r>
    </w:p>
    <w:p w14:paraId="533210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本合同一式两份，甲方执一份，乙方执一份。</w:t>
      </w:r>
    </w:p>
    <w:p w14:paraId="1BAB57AC">
      <w:pPr>
        <w:spacing w:line="560" w:lineRule="exact"/>
        <w:rPr>
          <w:rFonts w:ascii="宋体" w:hAnsi="宋体" w:cs="宋体"/>
          <w:color w:val="auto"/>
          <w:sz w:val="24"/>
          <w:highlight w:val="none"/>
        </w:rPr>
      </w:pPr>
      <w:r>
        <w:rPr>
          <w:rFonts w:hint="eastAsia" w:ascii="宋体" w:hAnsi="宋体" w:cs="宋体"/>
          <w:color w:val="auto"/>
          <w:sz w:val="24"/>
          <w:highlight w:val="none"/>
        </w:rPr>
        <w:t xml:space="preserve">甲        方（盖章）：                               甲        方（盖章）：              </w:t>
      </w:r>
    </w:p>
    <w:p w14:paraId="1617B78B">
      <w:pPr>
        <w:spacing w:line="560" w:lineRule="exact"/>
        <w:rPr>
          <w:rFonts w:ascii="宋体" w:hAnsi="宋体" w:cs="宋体"/>
          <w:color w:val="auto"/>
          <w:sz w:val="24"/>
          <w:highlight w:val="none"/>
        </w:rPr>
      </w:pPr>
      <w:r>
        <w:rPr>
          <w:rFonts w:hint="eastAsia" w:ascii="宋体" w:hAnsi="宋体" w:cs="宋体"/>
          <w:color w:val="auto"/>
          <w:sz w:val="24"/>
          <w:highlight w:val="none"/>
        </w:rPr>
        <w:t xml:space="preserve">负   责   人（签字）：                               负   责   人（签字）：    </w:t>
      </w:r>
    </w:p>
    <w:p w14:paraId="72B8CE65">
      <w:pPr>
        <w:spacing w:line="560" w:lineRule="exact"/>
        <w:rPr>
          <w:rFonts w:ascii="宋体" w:hAnsi="宋体" w:cs="宋体"/>
          <w:color w:val="auto"/>
          <w:sz w:val="24"/>
          <w:highlight w:val="none"/>
        </w:rPr>
      </w:pPr>
      <w:r>
        <w:rPr>
          <w:rFonts w:hint="eastAsia" w:ascii="宋体" w:hAnsi="宋体" w:cs="宋体"/>
          <w:color w:val="auto"/>
          <w:sz w:val="24"/>
          <w:highlight w:val="none"/>
        </w:rPr>
        <w:t xml:space="preserve">或委托代理人（签字）：                               或委托代理人（签字）：  </w:t>
      </w:r>
    </w:p>
    <w:p w14:paraId="2477E3C0">
      <w:pPr>
        <w:spacing w:line="560" w:lineRule="exact"/>
        <w:ind w:firstLine="7680" w:firstLineChars="3200"/>
        <w:rPr>
          <w:rFonts w:ascii="宋体" w:hAnsi="宋体" w:cs="宋体"/>
          <w:color w:val="auto"/>
          <w:sz w:val="24"/>
          <w:highlight w:val="none"/>
        </w:rPr>
      </w:pPr>
    </w:p>
    <w:p w14:paraId="444E29F9">
      <w:pPr>
        <w:keepNext/>
        <w:keepLines/>
        <w:spacing w:line="360" w:lineRule="auto"/>
        <w:ind w:firstLine="480" w:firstLineChars="200"/>
        <w:jc w:val="right"/>
        <w:rPr>
          <w:rFonts w:ascii="宋体" w:hAnsi="宋体" w:cs="宋体"/>
          <w:b/>
          <w:bCs/>
          <w:snapToGrid w:val="0"/>
          <w:color w:val="auto"/>
          <w:kern w:val="0"/>
          <w:sz w:val="32"/>
          <w:szCs w:val="32"/>
          <w:highlight w:val="none"/>
        </w:rPr>
        <w:sectPr>
          <w:pgSz w:w="11906" w:h="16838"/>
          <w:pgMar w:top="1304" w:right="1134" w:bottom="1304" w:left="1304" w:header="680" w:footer="680" w:gutter="0"/>
          <w:cols w:space="720" w:num="1"/>
          <w:docGrid w:type="lines" w:linePitch="312" w:charSpace="0"/>
        </w:sectPr>
      </w:pPr>
      <w:r>
        <w:rPr>
          <w:rFonts w:hint="eastAsia" w:ascii="宋体" w:hAnsi="宋体" w:cs="宋体"/>
          <w:color w:val="auto"/>
          <w:sz w:val="24"/>
          <w:highlight w:val="none"/>
        </w:rPr>
        <w:t>年   月   日</w:t>
      </w:r>
      <w:r>
        <w:rPr>
          <w:rFonts w:hint="eastAsia" w:ascii="宋体" w:hAnsi="宋体" w:cs="宋体"/>
          <w:color w:val="auto"/>
          <w:szCs w:val="21"/>
          <w:highlight w:val="none"/>
        </w:rPr>
        <w:t xml:space="preserve">  </w:t>
      </w:r>
    </w:p>
    <w:bookmarkEnd w:id="310"/>
    <w:bookmarkEnd w:id="311"/>
    <w:bookmarkEnd w:id="312"/>
    <w:p w14:paraId="3AB3C2DD">
      <w:pPr>
        <w:rPr>
          <w:rFonts w:ascii="宋体" w:hAnsi="宋体" w:cs="宋体"/>
          <w:snapToGrid w:val="0"/>
          <w:color w:val="auto"/>
          <w:kern w:val="0"/>
          <w:szCs w:val="21"/>
          <w:highlight w:val="none"/>
          <w:u w:val="single"/>
        </w:rPr>
      </w:pPr>
    </w:p>
    <w:p w14:paraId="5F83BF13">
      <w:pPr>
        <w:rPr>
          <w:rFonts w:ascii="宋体" w:hAnsi="宋体" w:cs="宋体"/>
          <w:snapToGrid w:val="0"/>
          <w:color w:val="auto"/>
          <w:kern w:val="0"/>
          <w:szCs w:val="21"/>
          <w:highlight w:val="none"/>
          <w:u w:val="single"/>
        </w:rPr>
      </w:pPr>
    </w:p>
    <w:p w14:paraId="7C1BF4C4">
      <w:pPr>
        <w:pStyle w:val="2"/>
        <w:numPr>
          <w:ilvl w:val="0"/>
          <w:numId w:val="11"/>
        </w:numPr>
        <w:spacing w:line="360" w:lineRule="auto"/>
        <w:jc w:val="center"/>
        <w:rPr>
          <w:rFonts w:ascii="宋体" w:hAnsi="宋体"/>
          <w:color w:val="auto"/>
          <w:kern w:val="0"/>
          <w:highlight w:val="none"/>
        </w:rPr>
      </w:pPr>
      <w:r>
        <w:rPr>
          <w:rFonts w:hint="eastAsia" w:ascii="宋体" w:hAnsi="宋体"/>
          <w:color w:val="auto"/>
          <w:kern w:val="0"/>
          <w:highlight w:val="none"/>
        </w:rPr>
        <w:t xml:space="preserve"> </w:t>
      </w:r>
      <w:bookmarkStart w:id="662" w:name="_Toc28378"/>
      <w:r>
        <w:rPr>
          <w:rFonts w:hint="eastAsia" w:ascii="宋体" w:hAnsi="宋体"/>
          <w:color w:val="auto"/>
          <w:kern w:val="0"/>
          <w:highlight w:val="none"/>
        </w:rPr>
        <w:t>商务、服务要求</w:t>
      </w:r>
      <w:bookmarkEnd w:id="662"/>
    </w:p>
    <w:p w14:paraId="70E08C98">
      <w:pPr>
        <w:spacing w:line="360" w:lineRule="auto"/>
        <w:ind w:left="281"/>
        <w:rPr>
          <w:rFonts w:ascii="宋体" w:hAnsi="宋体"/>
          <w:b/>
          <w:bCs/>
          <w:color w:val="auto"/>
          <w:szCs w:val="21"/>
          <w:highlight w:val="none"/>
        </w:rPr>
      </w:pPr>
      <w:bookmarkStart w:id="663" w:name="_Toc441065663"/>
      <w:bookmarkStart w:id="664" w:name="_Toc489515492"/>
      <w:r>
        <w:rPr>
          <w:rFonts w:hint="eastAsia" w:ascii="宋体" w:hAnsi="宋体"/>
          <w:b/>
          <w:bCs/>
          <w:color w:val="auto"/>
          <w:szCs w:val="21"/>
          <w:highlight w:val="none"/>
        </w:rPr>
        <w:t>标包一酒店服务供应商：</w:t>
      </w:r>
    </w:p>
    <w:p w14:paraId="06DF32FD">
      <w:pPr>
        <w:spacing w:line="360" w:lineRule="auto"/>
        <w:ind w:left="281"/>
        <w:rPr>
          <w:rFonts w:ascii="宋体" w:hAnsi="宋体"/>
          <w:b/>
          <w:bCs/>
          <w:color w:val="auto"/>
          <w:szCs w:val="21"/>
          <w:highlight w:val="none"/>
        </w:rPr>
      </w:pPr>
      <w:r>
        <w:rPr>
          <w:rFonts w:hint="eastAsia" w:ascii="宋体" w:hAnsi="宋体"/>
          <w:b/>
          <w:bCs/>
          <w:color w:val="auto"/>
          <w:szCs w:val="21"/>
          <w:highlight w:val="none"/>
        </w:rPr>
        <w:t>一、主要商务条款：</w:t>
      </w:r>
      <w:bookmarkStart w:id="665" w:name="_Toc18672"/>
    </w:p>
    <w:p w14:paraId="3376E5FC">
      <w:pPr>
        <w:spacing w:line="360" w:lineRule="auto"/>
        <w:ind w:left="281"/>
        <w:rPr>
          <w:rFonts w:ascii="宋体" w:hAnsi="宋体"/>
          <w:bCs/>
          <w:color w:val="auto"/>
          <w:szCs w:val="21"/>
          <w:highlight w:val="none"/>
        </w:rPr>
      </w:pPr>
      <w:r>
        <w:rPr>
          <w:rFonts w:hint="eastAsia" w:ascii="宋体" w:hAnsi="宋体"/>
          <w:bCs/>
          <w:color w:val="auto"/>
          <w:szCs w:val="21"/>
          <w:highlight w:val="none"/>
        </w:rPr>
        <w:t>1、服务期：</w:t>
      </w:r>
      <w:bookmarkEnd w:id="665"/>
      <w:r>
        <w:rPr>
          <w:rFonts w:hint="eastAsia" w:ascii="宋体" w:hAnsi="宋体"/>
          <w:bCs/>
          <w:color w:val="auto"/>
          <w:szCs w:val="21"/>
          <w:highlight w:val="none"/>
        </w:rPr>
        <w:t>合同签订后</w:t>
      </w:r>
      <w:r>
        <w:rPr>
          <w:rFonts w:hint="eastAsia" w:ascii="宋体" w:hAnsi="宋体"/>
          <w:bCs/>
          <w:color w:val="auto"/>
          <w:szCs w:val="21"/>
          <w:highlight w:val="none"/>
          <w:lang w:val="en-US" w:eastAsia="zh-CN"/>
        </w:rPr>
        <w:t>2</w:t>
      </w:r>
      <w:r>
        <w:rPr>
          <w:rFonts w:hint="eastAsia" w:ascii="宋体" w:hAnsi="宋体"/>
          <w:bCs/>
          <w:color w:val="auto"/>
          <w:szCs w:val="21"/>
          <w:highlight w:val="none"/>
        </w:rPr>
        <w:t>年，合同期满或预算金额使用完毕后合同终止。</w:t>
      </w:r>
    </w:p>
    <w:p w14:paraId="0703D10B">
      <w:pPr>
        <w:spacing w:line="360" w:lineRule="auto"/>
        <w:ind w:firstLine="210" w:firstLineChars="100"/>
        <w:rPr>
          <w:rFonts w:ascii="宋体" w:hAnsi="宋体"/>
          <w:bCs/>
          <w:color w:val="auto"/>
          <w:szCs w:val="21"/>
          <w:highlight w:val="none"/>
        </w:rPr>
      </w:pPr>
      <w:r>
        <w:rPr>
          <w:rFonts w:hint="eastAsia" w:ascii="宋体" w:hAnsi="宋体"/>
          <w:bCs/>
          <w:color w:val="auto"/>
          <w:szCs w:val="21"/>
          <w:highlight w:val="none"/>
        </w:rPr>
        <w:t xml:space="preserve"> 2、服务地点：</w:t>
      </w:r>
      <w:r>
        <w:rPr>
          <w:rFonts w:hint="eastAsia" w:ascii="宋体" w:hAnsi="宋体" w:cs="宋体"/>
          <w:color w:val="auto"/>
          <w:kern w:val="0"/>
          <w:szCs w:val="21"/>
          <w:highlight w:val="none"/>
        </w:rPr>
        <w:t>招标人指定地点。</w:t>
      </w:r>
    </w:p>
    <w:p w14:paraId="75E9B640">
      <w:pPr>
        <w:spacing w:line="360" w:lineRule="auto"/>
        <w:rPr>
          <w:rFonts w:ascii="宋体" w:hAnsi="宋体"/>
          <w:bCs/>
          <w:color w:val="auto"/>
          <w:szCs w:val="21"/>
          <w:highlight w:val="none"/>
        </w:rPr>
      </w:pPr>
      <w:r>
        <w:rPr>
          <w:rFonts w:hint="eastAsia" w:ascii="宋体" w:hAnsi="宋体"/>
          <w:bCs/>
          <w:color w:val="auto"/>
          <w:szCs w:val="21"/>
          <w:highlight w:val="none"/>
        </w:rPr>
        <w:t xml:space="preserve">   3、发票类型：增值税普通发票。</w:t>
      </w:r>
    </w:p>
    <w:p w14:paraId="4F0C74C5">
      <w:pPr>
        <w:spacing w:line="360" w:lineRule="auto"/>
        <w:ind w:left="120" w:leftChars="57" w:firstLine="210" w:firstLineChars="100"/>
        <w:rPr>
          <w:rFonts w:ascii="宋体" w:hAnsi="宋体"/>
          <w:bCs/>
          <w:color w:val="auto"/>
          <w:szCs w:val="21"/>
          <w:highlight w:val="none"/>
        </w:rPr>
      </w:pPr>
      <w:r>
        <w:rPr>
          <w:rFonts w:hint="eastAsia" w:ascii="宋体" w:hAnsi="宋体"/>
          <w:bCs/>
          <w:color w:val="auto"/>
          <w:szCs w:val="21"/>
          <w:highlight w:val="none"/>
        </w:rPr>
        <w:t>4、付款方式：</w:t>
      </w:r>
      <w:r>
        <w:rPr>
          <w:rFonts w:hint="eastAsia" w:ascii="宋体" w:hAnsi="宋体" w:cs="MingLiU"/>
          <w:snapToGrid w:val="0"/>
          <w:color w:val="auto"/>
          <w:kern w:val="0"/>
          <w:szCs w:val="21"/>
          <w:highlight w:val="none"/>
        </w:rPr>
        <w:t>项目费用结算一次一结，以实际发生的费用进行结算。</w:t>
      </w:r>
      <w:r>
        <w:rPr>
          <w:rFonts w:hint="eastAsia" w:ascii="宋体" w:hAnsi="宋体"/>
          <w:bCs/>
          <w:color w:val="auto"/>
          <w:szCs w:val="21"/>
          <w:highlight w:val="none"/>
        </w:rPr>
        <w:t>原则上发票开具后30个工作日内报账完成付款。</w:t>
      </w:r>
    </w:p>
    <w:p w14:paraId="589A004E">
      <w:pPr>
        <w:spacing w:line="360" w:lineRule="auto"/>
        <w:ind w:left="281"/>
        <w:rPr>
          <w:rFonts w:ascii="宋体" w:hAnsi="宋体"/>
          <w:bCs/>
          <w:color w:val="auto"/>
          <w:szCs w:val="21"/>
          <w:highlight w:val="none"/>
        </w:rPr>
      </w:pPr>
      <w:r>
        <w:rPr>
          <w:rFonts w:hint="eastAsia" w:ascii="宋体" w:hAnsi="宋体"/>
          <w:bCs/>
          <w:color w:val="auto"/>
          <w:szCs w:val="21"/>
          <w:highlight w:val="none"/>
        </w:rPr>
        <w:t>5、服务响应时间：2个工作日内。</w:t>
      </w:r>
    </w:p>
    <w:p w14:paraId="09EB1721">
      <w:pPr>
        <w:spacing w:line="360" w:lineRule="auto"/>
        <w:ind w:left="281"/>
        <w:rPr>
          <w:rFonts w:ascii="宋体" w:hAnsi="宋体"/>
          <w:bCs/>
          <w:color w:val="auto"/>
          <w:szCs w:val="21"/>
          <w:highlight w:val="none"/>
        </w:rPr>
      </w:pPr>
      <w:r>
        <w:rPr>
          <w:rFonts w:hint="eastAsia" w:ascii="宋体" w:hAnsi="宋体"/>
          <w:bCs/>
          <w:color w:val="auto"/>
          <w:szCs w:val="21"/>
          <w:highlight w:val="none"/>
        </w:rPr>
        <w:t>6、违约责任：合同签订后，未保质保量履行合同内容的，双方协商，如未达成一致，我方有权解除合同并赔偿我方相关的损失。</w:t>
      </w:r>
    </w:p>
    <w:bookmarkEnd w:id="663"/>
    <w:bookmarkEnd w:id="664"/>
    <w:p w14:paraId="4354ED14">
      <w:pPr>
        <w:numPr>
          <w:ilvl w:val="0"/>
          <w:numId w:val="12"/>
        </w:numPr>
        <w:spacing w:line="360" w:lineRule="auto"/>
        <w:outlineLvl w:val="1"/>
        <w:rPr>
          <w:rFonts w:ascii="宋体" w:hAnsi="宋体"/>
          <w:b/>
          <w:bCs/>
          <w:color w:val="auto"/>
          <w:szCs w:val="21"/>
          <w:highlight w:val="none"/>
        </w:rPr>
      </w:pPr>
      <w:bookmarkStart w:id="666" w:name="_Toc25307913"/>
      <w:bookmarkStart w:id="667" w:name="_Toc46857541"/>
      <w:bookmarkStart w:id="668" w:name="_Toc59002406"/>
      <w:bookmarkStart w:id="669" w:name="_Toc41402308"/>
      <w:bookmarkStart w:id="670" w:name="_Toc26237"/>
      <w:r>
        <w:rPr>
          <w:rFonts w:ascii="宋体" w:hAnsi="宋体"/>
          <w:b/>
          <w:bCs/>
          <w:color w:val="auto"/>
          <w:szCs w:val="21"/>
          <w:highlight w:val="none"/>
        </w:rPr>
        <w:t>服务要求</w:t>
      </w:r>
      <w:r>
        <w:rPr>
          <w:rFonts w:hint="eastAsia" w:ascii="宋体" w:hAnsi="宋体"/>
          <w:b/>
          <w:bCs/>
          <w:color w:val="auto"/>
          <w:szCs w:val="21"/>
          <w:highlight w:val="none"/>
        </w:rPr>
        <w:t>：</w:t>
      </w:r>
      <w:bookmarkEnd w:id="666"/>
      <w:bookmarkEnd w:id="667"/>
      <w:bookmarkEnd w:id="668"/>
      <w:bookmarkEnd w:id="669"/>
      <w:bookmarkEnd w:id="670"/>
    </w:p>
    <w:p w14:paraId="5ABC2811">
      <w:pPr>
        <w:adjustRightInd w:val="0"/>
        <w:snapToGrid w:val="0"/>
        <w:spacing w:line="360" w:lineRule="auto"/>
        <w:ind w:firstLine="420" w:firstLineChars="200"/>
        <w:outlineLvl w:val="0"/>
        <w:rPr>
          <w:rFonts w:ascii="宋体" w:hAnsi="宋体" w:cs="宋体"/>
          <w:bCs/>
          <w:color w:val="auto"/>
          <w:szCs w:val="21"/>
          <w:highlight w:val="none"/>
        </w:rPr>
      </w:pPr>
      <w:bookmarkStart w:id="671" w:name="_Toc59002407"/>
      <w:bookmarkStart w:id="672" w:name="_Toc27035"/>
      <w:r>
        <w:rPr>
          <w:rFonts w:hint="eastAsia" w:ascii="宋体" w:hAnsi="宋体" w:cs="宋体"/>
          <w:bCs/>
          <w:color w:val="auto"/>
          <w:szCs w:val="21"/>
          <w:highlight w:val="none"/>
        </w:rPr>
        <w:t>1、周边交通环境便利。</w:t>
      </w:r>
      <w:bookmarkEnd w:id="671"/>
      <w:bookmarkEnd w:id="672"/>
    </w:p>
    <w:p w14:paraId="636FCE68">
      <w:pPr>
        <w:adjustRightInd w:val="0"/>
        <w:snapToGrid w:val="0"/>
        <w:spacing w:line="360" w:lineRule="auto"/>
        <w:ind w:firstLine="420" w:firstLineChars="200"/>
        <w:outlineLvl w:val="0"/>
        <w:rPr>
          <w:rFonts w:ascii="宋体" w:hAnsi="宋体" w:cs="宋体"/>
          <w:bCs/>
          <w:color w:val="auto"/>
          <w:szCs w:val="21"/>
          <w:highlight w:val="none"/>
        </w:rPr>
      </w:pPr>
      <w:bookmarkStart w:id="673" w:name="_Toc28510"/>
      <w:bookmarkStart w:id="674" w:name="_Toc59002408"/>
      <w:r>
        <w:rPr>
          <w:rFonts w:hint="eastAsia" w:ascii="宋体" w:hAnsi="宋体" w:cs="宋体"/>
          <w:bCs/>
          <w:color w:val="auto"/>
          <w:szCs w:val="21"/>
          <w:highlight w:val="none"/>
        </w:rPr>
        <w:t>2、有空调设施，各区域通风良好。设施设备养护良好，达到整洁卫生和有效。</w:t>
      </w:r>
      <w:bookmarkEnd w:id="673"/>
      <w:bookmarkEnd w:id="674"/>
    </w:p>
    <w:p w14:paraId="19F981E0">
      <w:pPr>
        <w:adjustRightInd w:val="0"/>
        <w:snapToGrid w:val="0"/>
        <w:spacing w:line="360" w:lineRule="auto"/>
        <w:ind w:firstLine="420" w:firstLineChars="200"/>
        <w:outlineLvl w:val="0"/>
        <w:rPr>
          <w:rFonts w:ascii="宋体" w:hAnsi="宋体" w:cs="宋体"/>
          <w:bCs/>
          <w:color w:val="auto"/>
          <w:szCs w:val="21"/>
          <w:highlight w:val="none"/>
        </w:rPr>
      </w:pPr>
      <w:bookmarkStart w:id="675" w:name="_Toc2410"/>
      <w:bookmarkStart w:id="676" w:name="_Toc59002409"/>
      <w:r>
        <w:rPr>
          <w:rFonts w:hint="eastAsia" w:ascii="宋体" w:hAnsi="宋体" w:cs="宋体"/>
          <w:bCs/>
          <w:color w:val="auto"/>
          <w:szCs w:val="21"/>
          <w:highlight w:val="none"/>
        </w:rPr>
        <w:t>3、建筑、附属设施、服务项目和运行管理应符合安全、消防、卫生、环境保护、疫情防护等现行的国家有关法规和标准。</w:t>
      </w:r>
      <w:bookmarkEnd w:id="675"/>
      <w:bookmarkEnd w:id="676"/>
    </w:p>
    <w:p w14:paraId="59CC386E">
      <w:pPr>
        <w:adjustRightInd w:val="0"/>
        <w:snapToGrid w:val="0"/>
        <w:spacing w:line="360" w:lineRule="auto"/>
        <w:ind w:firstLine="420" w:firstLineChars="200"/>
        <w:outlineLvl w:val="0"/>
        <w:rPr>
          <w:rFonts w:ascii="宋体" w:hAnsi="宋体" w:cs="宋体"/>
          <w:bCs/>
          <w:color w:val="auto"/>
          <w:szCs w:val="21"/>
          <w:highlight w:val="none"/>
        </w:rPr>
      </w:pPr>
      <w:bookmarkStart w:id="677" w:name="_Toc59002410"/>
      <w:bookmarkStart w:id="678" w:name="_Toc28472"/>
      <w:r>
        <w:rPr>
          <w:rFonts w:hint="eastAsia" w:ascii="宋体" w:hAnsi="宋体" w:cs="宋体"/>
          <w:bCs/>
          <w:color w:val="auto"/>
          <w:szCs w:val="21"/>
          <w:highlight w:val="none"/>
        </w:rPr>
        <w:t>4、前厅</w:t>
      </w:r>
      <w:bookmarkEnd w:id="677"/>
      <w:bookmarkEnd w:id="678"/>
    </w:p>
    <w:p w14:paraId="45CEF61A">
      <w:pPr>
        <w:adjustRightInd w:val="0"/>
        <w:snapToGrid w:val="0"/>
        <w:spacing w:line="360" w:lineRule="auto"/>
        <w:ind w:firstLine="420" w:firstLineChars="200"/>
        <w:outlineLvl w:val="0"/>
        <w:rPr>
          <w:rFonts w:ascii="宋体" w:hAnsi="宋体" w:cs="宋体"/>
          <w:bCs/>
          <w:color w:val="auto"/>
          <w:szCs w:val="21"/>
          <w:highlight w:val="none"/>
        </w:rPr>
      </w:pPr>
      <w:bookmarkStart w:id="679" w:name="_Toc16424"/>
      <w:bookmarkStart w:id="680" w:name="_Toc59002419"/>
      <w:r>
        <w:rPr>
          <w:rFonts w:hint="eastAsia" w:ascii="宋体" w:hAnsi="宋体" w:cs="宋体"/>
          <w:bCs/>
          <w:color w:val="auto"/>
          <w:szCs w:val="21"/>
          <w:highlight w:val="none"/>
        </w:rPr>
        <w:t>（1）设客人休息场所。</w:t>
      </w:r>
      <w:bookmarkEnd w:id="679"/>
      <w:bookmarkEnd w:id="680"/>
    </w:p>
    <w:p w14:paraId="233A3596">
      <w:pPr>
        <w:adjustRightInd w:val="0"/>
        <w:snapToGrid w:val="0"/>
        <w:spacing w:line="360" w:lineRule="auto"/>
        <w:ind w:firstLine="420" w:firstLineChars="200"/>
        <w:outlineLvl w:val="0"/>
        <w:rPr>
          <w:rFonts w:ascii="宋体" w:hAnsi="宋体" w:cs="宋体"/>
          <w:bCs/>
          <w:color w:val="auto"/>
          <w:szCs w:val="21"/>
          <w:highlight w:val="none"/>
        </w:rPr>
      </w:pPr>
      <w:bookmarkStart w:id="681" w:name="_Toc11193"/>
      <w:bookmarkStart w:id="682" w:name="_Toc59002462"/>
      <w:r>
        <w:rPr>
          <w:rFonts w:hint="eastAsia" w:ascii="宋体" w:hAnsi="宋体" w:cs="宋体"/>
          <w:bCs/>
          <w:color w:val="auto"/>
          <w:szCs w:val="21"/>
          <w:highlight w:val="none"/>
        </w:rPr>
        <w:t>5、培训设施</w:t>
      </w:r>
      <w:bookmarkEnd w:id="681"/>
      <w:bookmarkEnd w:id="682"/>
    </w:p>
    <w:p w14:paraId="0E5C51DC">
      <w:pPr>
        <w:adjustRightInd w:val="0"/>
        <w:snapToGrid w:val="0"/>
        <w:spacing w:line="360" w:lineRule="auto"/>
        <w:ind w:firstLine="420" w:firstLineChars="200"/>
        <w:outlineLvl w:val="0"/>
        <w:rPr>
          <w:rFonts w:ascii="宋体" w:hAnsi="宋体" w:cs="宋体"/>
          <w:bCs/>
          <w:color w:val="auto"/>
          <w:szCs w:val="21"/>
          <w:highlight w:val="none"/>
        </w:rPr>
      </w:pPr>
      <w:bookmarkStart w:id="683" w:name="_Toc23959"/>
      <w:bookmarkStart w:id="684" w:name="_Toc59002463"/>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）能承接相应规模的专用会议厅或多功能厅，并有良好的隔音遮光效果、配设衣帽间；</w:t>
      </w:r>
      <w:bookmarkEnd w:id="683"/>
      <w:bookmarkEnd w:id="684"/>
    </w:p>
    <w:p w14:paraId="79F2DE91">
      <w:pPr>
        <w:adjustRightInd w:val="0"/>
        <w:snapToGrid w:val="0"/>
        <w:spacing w:line="360" w:lineRule="auto"/>
        <w:ind w:firstLine="420" w:firstLineChars="200"/>
        <w:outlineLvl w:val="0"/>
        <w:rPr>
          <w:rFonts w:ascii="宋体" w:hAnsi="宋体" w:cs="宋体"/>
          <w:bCs/>
          <w:color w:val="auto"/>
          <w:szCs w:val="21"/>
          <w:highlight w:val="none"/>
        </w:rPr>
      </w:pPr>
      <w:bookmarkStart w:id="685" w:name="_Toc59002464"/>
      <w:bookmarkStart w:id="686" w:name="_Toc31551"/>
      <w:r>
        <w:rPr>
          <w:rFonts w:hint="eastAsia" w:ascii="宋体" w:hAnsi="宋体" w:cs="宋体"/>
          <w:bCs/>
          <w:color w:val="auto"/>
          <w:szCs w:val="21"/>
          <w:highlight w:val="none"/>
        </w:rPr>
        <w:t>（2）</w:t>
      </w:r>
      <w:r>
        <w:rPr>
          <w:rFonts w:hint="eastAsia" w:ascii="宋体" w:hAnsi="宋体"/>
          <w:color w:val="auto"/>
          <w:szCs w:val="21"/>
          <w:highlight w:val="none"/>
        </w:rPr>
        <w:t>所有会议室均需提供免费投影仪、LED屏、主会议室横幅、免费麦克风、免费欢迎牌、会议人数相当的座位牌、会场的音响设施、矿泉水的配备等；</w:t>
      </w:r>
      <w:bookmarkEnd w:id="685"/>
      <w:bookmarkEnd w:id="686"/>
    </w:p>
    <w:p w14:paraId="2C155CED">
      <w:pPr>
        <w:adjustRightInd w:val="0"/>
        <w:snapToGrid w:val="0"/>
        <w:spacing w:line="360" w:lineRule="auto"/>
        <w:ind w:firstLine="420" w:firstLineChars="200"/>
        <w:outlineLvl w:val="0"/>
        <w:rPr>
          <w:rFonts w:ascii="宋体" w:hAnsi="宋体" w:cs="宋体"/>
          <w:bCs/>
          <w:color w:val="auto"/>
          <w:szCs w:val="21"/>
          <w:highlight w:val="none"/>
        </w:rPr>
      </w:pPr>
      <w:bookmarkStart w:id="687" w:name="_Toc59002465"/>
      <w:bookmarkStart w:id="688" w:name="_Toc5555"/>
      <w:r>
        <w:rPr>
          <w:rFonts w:hint="eastAsia" w:ascii="宋体" w:hAnsi="宋体" w:cs="宋体"/>
          <w:bCs/>
          <w:color w:val="auto"/>
          <w:szCs w:val="21"/>
          <w:highlight w:val="none"/>
        </w:rPr>
        <w:t>（3）有较宽敞的楼层厅堂和客人休息场所；</w:t>
      </w:r>
      <w:bookmarkEnd w:id="687"/>
      <w:bookmarkEnd w:id="688"/>
    </w:p>
    <w:p w14:paraId="691AA597">
      <w:pPr>
        <w:adjustRightInd w:val="0"/>
        <w:snapToGrid w:val="0"/>
        <w:spacing w:line="360" w:lineRule="auto"/>
        <w:ind w:firstLine="420" w:firstLineChars="200"/>
        <w:outlineLvl w:val="0"/>
        <w:rPr>
          <w:rFonts w:ascii="宋体" w:hAnsi="宋体" w:cs="宋体"/>
          <w:bCs/>
          <w:color w:val="auto"/>
          <w:szCs w:val="21"/>
          <w:highlight w:val="none"/>
        </w:rPr>
      </w:pPr>
      <w:bookmarkStart w:id="689" w:name="_Toc1157"/>
      <w:bookmarkStart w:id="690" w:name="_Toc59002466"/>
      <w:r>
        <w:rPr>
          <w:rFonts w:hint="eastAsia" w:ascii="宋体" w:hAnsi="宋体" w:cs="宋体"/>
          <w:bCs/>
          <w:color w:val="auto"/>
          <w:szCs w:val="21"/>
          <w:highlight w:val="none"/>
        </w:rPr>
        <w:t>（4）能够根据培训需要设计、布置会议室；</w:t>
      </w:r>
      <w:bookmarkEnd w:id="689"/>
      <w:bookmarkEnd w:id="690"/>
    </w:p>
    <w:p w14:paraId="37043B88">
      <w:pPr>
        <w:adjustRightInd w:val="0"/>
        <w:snapToGrid w:val="0"/>
        <w:spacing w:line="360" w:lineRule="auto"/>
        <w:ind w:firstLine="420" w:firstLineChars="200"/>
        <w:outlineLvl w:val="0"/>
        <w:rPr>
          <w:rFonts w:ascii="宋体" w:hAnsi="宋体" w:cs="宋体"/>
          <w:bCs/>
          <w:color w:val="auto"/>
          <w:szCs w:val="21"/>
          <w:highlight w:val="none"/>
        </w:rPr>
      </w:pPr>
      <w:bookmarkStart w:id="691" w:name="_Toc59002467"/>
      <w:bookmarkStart w:id="692" w:name="_Toc29749"/>
      <w:r>
        <w:rPr>
          <w:rFonts w:hint="eastAsia" w:ascii="宋体" w:hAnsi="宋体" w:cs="宋体"/>
          <w:bCs/>
          <w:color w:val="auto"/>
          <w:szCs w:val="21"/>
          <w:highlight w:val="none"/>
        </w:rPr>
        <w:t>（5）会议室设专职服务员，能提供做会标、席位签茶水等服务；</w:t>
      </w:r>
      <w:bookmarkEnd w:id="691"/>
      <w:bookmarkEnd w:id="692"/>
    </w:p>
    <w:p w14:paraId="2C7FA5D9">
      <w:pPr>
        <w:adjustRightInd w:val="0"/>
        <w:snapToGrid w:val="0"/>
        <w:spacing w:line="360" w:lineRule="auto"/>
        <w:ind w:firstLine="420" w:firstLineChars="200"/>
        <w:outlineLvl w:val="0"/>
        <w:rPr>
          <w:rFonts w:ascii="宋体" w:hAnsi="宋体" w:cs="宋体"/>
          <w:bCs/>
          <w:color w:val="auto"/>
          <w:szCs w:val="21"/>
          <w:highlight w:val="none"/>
        </w:rPr>
      </w:pPr>
      <w:bookmarkStart w:id="693" w:name="_Toc19617"/>
      <w:bookmarkStart w:id="694" w:name="_Toc59002468"/>
      <w:r>
        <w:rPr>
          <w:rFonts w:hint="eastAsia" w:ascii="宋体" w:hAnsi="宋体" w:cs="宋体"/>
          <w:bCs/>
          <w:color w:val="auto"/>
          <w:szCs w:val="21"/>
          <w:highlight w:val="none"/>
        </w:rPr>
        <w:t>（6）能够提供纸、笔等基本的培训用文具；</w:t>
      </w:r>
      <w:bookmarkEnd w:id="693"/>
      <w:bookmarkEnd w:id="694"/>
      <w:r>
        <w:rPr>
          <w:rFonts w:ascii="宋体" w:hAnsi="宋体" w:cs="宋体"/>
          <w:bCs/>
          <w:color w:val="auto"/>
          <w:szCs w:val="21"/>
          <w:highlight w:val="none"/>
        </w:rPr>
        <w:t xml:space="preserve"> </w:t>
      </w:r>
    </w:p>
    <w:p w14:paraId="711C26B7">
      <w:pPr>
        <w:adjustRightInd w:val="0"/>
        <w:snapToGrid w:val="0"/>
        <w:spacing w:line="360" w:lineRule="auto"/>
        <w:ind w:firstLine="420" w:firstLineChars="200"/>
        <w:outlineLvl w:val="0"/>
        <w:rPr>
          <w:rFonts w:ascii="宋体" w:hAnsi="宋体" w:cs="宋体"/>
          <w:bCs/>
          <w:color w:val="auto"/>
          <w:szCs w:val="21"/>
          <w:highlight w:val="none"/>
        </w:rPr>
      </w:pPr>
      <w:bookmarkStart w:id="695" w:name="_Toc59002469"/>
      <w:bookmarkStart w:id="696" w:name="_Toc30996"/>
      <w:r>
        <w:rPr>
          <w:rFonts w:hint="eastAsia" w:ascii="宋体" w:hAnsi="宋体" w:cs="宋体"/>
          <w:bCs/>
          <w:color w:val="auto"/>
          <w:szCs w:val="21"/>
          <w:highlight w:val="none"/>
        </w:rPr>
        <w:t>（7）能够提供培训明细账单。</w:t>
      </w:r>
      <w:bookmarkEnd w:id="695"/>
      <w:bookmarkEnd w:id="696"/>
    </w:p>
    <w:p w14:paraId="2FAED632">
      <w:pPr>
        <w:pStyle w:val="3"/>
        <w:spacing w:before="120" w:beforeLines="50" w:after="0" w:line="360" w:lineRule="auto"/>
        <w:rPr>
          <w:rFonts w:ascii="宋体" w:hAnsi="宋体"/>
          <w:color w:val="auto"/>
          <w:sz w:val="21"/>
          <w:szCs w:val="21"/>
          <w:highlight w:val="none"/>
        </w:rPr>
      </w:pPr>
      <w:bookmarkStart w:id="697" w:name="_Toc168995306"/>
      <w:bookmarkStart w:id="698" w:name="_Toc59002470"/>
      <w:bookmarkStart w:id="699" w:name="_Toc414605506"/>
      <w:bookmarkStart w:id="700" w:name="_Toc3588"/>
      <w:bookmarkStart w:id="701" w:name="_Toc493256673"/>
      <w:bookmarkStart w:id="702" w:name="_Toc229380794"/>
      <w:r>
        <w:rPr>
          <w:rFonts w:hint="eastAsia" w:ascii="宋体" w:hAnsi="宋体"/>
          <w:color w:val="auto"/>
          <w:sz w:val="21"/>
          <w:szCs w:val="21"/>
          <w:highlight w:val="none"/>
        </w:rPr>
        <w:t>三、其他要求</w:t>
      </w:r>
      <w:bookmarkEnd w:id="697"/>
      <w:bookmarkEnd w:id="698"/>
      <w:bookmarkEnd w:id="699"/>
      <w:bookmarkEnd w:id="700"/>
      <w:bookmarkEnd w:id="701"/>
      <w:bookmarkEnd w:id="702"/>
    </w:p>
    <w:p w14:paraId="5613C97C">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1、投标人应响应招标文件的要求，并符合国家有关质量标准及规范。</w:t>
      </w:r>
    </w:p>
    <w:p w14:paraId="517C7912">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2、投标人须提交安全管理情况承诺书。</w:t>
      </w:r>
    </w:p>
    <w:p w14:paraId="429A4398">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3、投标人须提交应急事故处理措施计划书。</w:t>
      </w:r>
    </w:p>
    <w:p w14:paraId="272F3D3D">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4、招标文件描述未尽内容，由双方在签订合同时补充完善。</w:t>
      </w:r>
    </w:p>
    <w:p w14:paraId="1BB26E04">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5、服务范围、服务标准、奖惩措施等均在委托服务合同中详列。</w:t>
      </w:r>
    </w:p>
    <w:p w14:paraId="1E6B48CE">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6、投标人必须对所承接的培训接待业务承担保密义务。</w:t>
      </w:r>
    </w:p>
    <w:p w14:paraId="0F9F8F5F">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7、对于承接的接待业务，投标人须应单独建立台账或账户核算。</w:t>
      </w:r>
    </w:p>
    <w:p w14:paraId="1188C3CA">
      <w:pPr>
        <w:spacing w:line="360" w:lineRule="auto"/>
        <w:ind w:firstLine="157" w:firstLineChars="75"/>
        <w:jc w:val="left"/>
        <w:textAlignment w:val="baseline"/>
        <w:rPr>
          <w:rFonts w:ascii="宋体" w:hAnsi="宋体"/>
          <w:color w:val="auto"/>
          <w:szCs w:val="21"/>
          <w:highlight w:val="none"/>
        </w:rPr>
      </w:pPr>
      <w:r>
        <w:rPr>
          <w:rFonts w:hint="eastAsia" w:ascii="宋体" w:hAnsi="宋体"/>
          <w:color w:val="auto"/>
          <w:szCs w:val="21"/>
          <w:highlight w:val="none"/>
        </w:rPr>
        <w:t>8、中标人应保证设备设施的完好率应在95%以上。</w:t>
      </w:r>
    </w:p>
    <w:p w14:paraId="5C3E0222">
      <w:pPr>
        <w:rPr>
          <w:color w:val="auto"/>
          <w:highlight w:val="none"/>
        </w:rPr>
      </w:pPr>
    </w:p>
    <w:p w14:paraId="24CE3870">
      <w:pPr>
        <w:spacing w:line="360" w:lineRule="auto"/>
        <w:rPr>
          <w:rFonts w:ascii="宋体" w:hAnsi="宋体"/>
          <w:b/>
          <w:bCs/>
          <w:color w:val="auto"/>
          <w:szCs w:val="21"/>
          <w:highlight w:val="none"/>
        </w:rPr>
      </w:pPr>
    </w:p>
    <w:p w14:paraId="7DF78B31">
      <w:pPr>
        <w:spacing w:line="360" w:lineRule="auto"/>
        <w:ind w:left="281"/>
        <w:rPr>
          <w:color w:val="auto"/>
          <w:highlight w:val="none"/>
        </w:rPr>
      </w:pPr>
      <w:r>
        <w:rPr>
          <w:rFonts w:hint="eastAsia" w:ascii="宋体" w:hAnsi="宋体"/>
          <w:b/>
          <w:bCs/>
          <w:color w:val="auto"/>
          <w:szCs w:val="21"/>
          <w:highlight w:val="none"/>
        </w:rPr>
        <w:t>标包二会展服务供应商：</w:t>
      </w:r>
    </w:p>
    <w:p w14:paraId="36D85035">
      <w:pPr>
        <w:spacing w:line="360" w:lineRule="auto"/>
        <w:ind w:left="281"/>
        <w:rPr>
          <w:rFonts w:ascii="宋体" w:hAnsi="宋体"/>
          <w:b/>
          <w:color w:val="auto"/>
          <w:szCs w:val="21"/>
          <w:highlight w:val="none"/>
        </w:rPr>
      </w:pPr>
      <w:r>
        <w:rPr>
          <w:rFonts w:hint="eastAsia" w:ascii="宋体" w:hAnsi="宋体"/>
          <w:b/>
          <w:color w:val="auto"/>
          <w:szCs w:val="21"/>
          <w:highlight w:val="none"/>
        </w:rPr>
        <w:t>一、主要商务条款：</w:t>
      </w:r>
    </w:p>
    <w:p w14:paraId="753E6950">
      <w:pPr>
        <w:spacing w:line="360" w:lineRule="auto"/>
        <w:rPr>
          <w:rFonts w:ascii="宋体" w:hAnsi="宋体"/>
          <w:bCs/>
          <w:color w:val="auto"/>
          <w:szCs w:val="21"/>
          <w:highlight w:val="none"/>
        </w:rPr>
      </w:pPr>
      <w:r>
        <w:rPr>
          <w:rFonts w:hint="eastAsia" w:ascii="宋体" w:hAnsi="宋体"/>
          <w:bCs/>
          <w:color w:val="auto"/>
          <w:szCs w:val="21"/>
          <w:highlight w:val="none"/>
        </w:rPr>
        <w:t xml:space="preserve">  1、服务期：合同签订后</w:t>
      </w:r>
      <w:r>
        <w:rPr>
          <w:rFonts w:hint="eastAsia" w:ascii="宋体" w:hAnsi="宋体"/>
          <w:bCs/>
          <w:color w:val="auto"/>
          <w:szCs w:val="21"/>
          <w:highlight w:val="none"/>
          <w:lang w:val="en-US" w:eastAsia="zh-CN"/>
        </w:rPr>
        <w:t>2</w:t>
      </w:r>
      <w:r>
        <w:rPr>
          <w:rFonts w:hint="eastAsia" w:ascii="宋体" w:hAnsi="宋体"/>
          <w:bCs/>
          <w:color w:val="auto"/>
          <w:szCs w:val="21"/>
          <w:highlight w:val="none"/>
        </w:rPr>
        <w:t>年，合同期满或预算金额使用完毕后合同终止。</w:t>
      </w:r>
    </w:p>
    <w:p w14:paraId="4CDA089D">
      <w:pPr>
        <w:spacing w:line="360" w:lineRule="auto"/>
        <w:rPr>
          <w:rFonts w:ascii="宋体" w:hAnsi="宋体"/>
          <w:bCs/>
          <w:color w:val="auto"/>
          <w:szCs w:val="21"/>
          <w:highlight w:val="none"/>
        </w:rPr>
      </w:pPr>
      <w:r>
        <w:rPr>
          <w:rFonts w:hint="eastAsia" w:ascii="宋体" w:hAnsi="宋体"/>
          <w:bCs/>
          <w:color w:val="auto"/>
          <w:szCs w:val="21"/>
          <w:highlight w:val="none"/>
        </w:rPr>
        <w:t xml:space="preserve">  2、服务地点：招标人指定地点。</w:t>
      </w:r>
    </w:p>
    <w:p w14:paraId="6800DF47">
      <w:pPr>
        <w:spacing w:line="360" w:lineRule="auto"/>
        <w:rPr>
          <w:rFonts w:ascii="宋体" w:hAnsi="宋体"/>
          <w:bCs/>
          <w:color w:val="auto"/>
          <w:szCs w:val="21"/>
          <w:highlight w:val="none"/>
        </w:rPr>
      </w:pPr>
      <w:r>
        <w:rPr>
          <w:rFonts w:hint="eastAsia" w:ascii="宋体" w:hAnsi="宋体"/>
          <w:bCs/>
          <w:color w:val="auto"/>
          <w:szCs w:val="21"/>
          <w:highlight w:val="none"/>
        </w:rPr>
        <w:t xml:space="preserve">  3、发票类型：增值税专用发票或增值税普通发票。</w:t>
      </w:r>
    </w:p>
    <w:p w14:paraId="6472E348">
      <w:pPr>
        <w:spacing w:line="360" w:lineRule="auto"/>
        <w:ind w:left="120" w:leftChars="57"/>
        <w:rPr>
          <w:rFonts w:ascii="宋体" w:hAnsi="宋体"/>
          <w:bCs/>
          <w:color w:val="auto"/>
          <w:szCs w:val="21"/>
          <w:highlight w:val="none"/>
        </w:rPr>
      </w:pPr>
      <w:r>
        <w:rPr>
          <w:rFonts w:hint="eastAsia" w:ascii="宋体" w:hAnsi="宋体"/>
          <w:bCs/>
          <w:color w:val="auto"/>
          <w:szCs w:val="21"/>
          <w:highlight w:val="none"/>
        </w:rPr>
        <w:t xml:space="preserve"> 4、付款方式：项目费用结算一次一结，以实际发生的费用进行结算。原则上发票开具后30个工作日内报账完成付款。</w:t>
      </w:r>
    </w:p>
    <w:p w14:paraId="6B1FA0AB">
      <w:pPr>
        <w:spacing w:line="360" w:lineRule="auto"/>
        <w:ind w:firstLine="210" w:firstLineChars="100"/>
        <w:rPr>
          <w:rFonts w:ascii="宋体" w:hAnsi="宋体"/>
          <w:bCs/>
          <w:color w:val="auto"/>
          <w:szCs w:val="21"/>
          <w:highlight w:val="none"/>
        </w:rPr>
      </w:pPr>
      <w:r>
        <w:rPr>
          <w:rFonts w:hint="eastAsia" w:ascii="宋体" w:hAnsi="宋体"/>
          <w:bCs/>
          <w:color w:val="auto"/>
          <w:szCs w:val="21"/>
          <w:highlight w:val="none"/>
        </w:rPr>
        <w:t>5、违约责任：合同签订后，未按我方要求和时间按时交货的，双方协商，如未达成一致，我方有权解除合同并赔偿我方相关的损失。</w:t>
      </w:r>
    </w:p>
    <w:p w14:paraId="2DE19F9D">
      <w:pPr>
        <w:spacing w:line="360" w:lineRule="auto"/>
        <w:ind w:left="281"/>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服务要求</w:t>
      </w:r>
      <w:r>
        <w:rPr>
          <w:rFonts w:hint="eastAsia" w:ascii="宋体" w:hAnsi="宋体"/>
          <w:b/>
          <w:color w:val="auto"/>
          <w:szCs w:val="21"/>
          <w:highlight w:val="none"/>
        </w:rPr>
        <w:t>：</w:t>
      </w:r>
    </w:p>
    <w:p w14:paraId="0527A521">
      <w:pPr>
        <w:numPr>
          <w:ilvl w:val="0"/>
          <w:numId w:val="13"/>
        </w:numPr>
        <w:spacing w:line="360" w:lineRule="auto"/>
        <w:rPr>
          <w:rFonts w:ascii="宋体" w:hAnsi="宋体"/>
          <w:bCs/>
          <w:color w:val="auto"/>
          <w:szCs w:val="21"/>
          <w:highlight w:val="none"/>
        </w:rPr>
      </w:pPr>
      <w:r>
        <w:rPr>
          <w:rFonts w:hint="eastAsia" w:ascii="宋体" w:hAnsi="宋体"/>
          <w:bCs/>
          <w:color w:val="auto"/>
          <w:szCs w:val="21"/>
          <w:highlight w:val="none"/>
        </w:rPr>
        <w:t>会展服务含会议活动策划、展区设计搭建、展区布置安排及与会展有关的设备租赁、场地租赁、展品运输及广告宣传等。</w:t>
      </w:r>
    </w:p>
    <w:p w14:paraId="0EF2B8BD">
      <w:pPr>
        <w:spacing w:line="360" w:lineRule="auto"/>
        <w:rPr>
          <w:rFonts w:ascii="宋体" w:hAnsi="宋体"/>
          <w:bCs/>
          <w:color w:val="auto"/>
          <w:szCs w:val="21"/>
          <w:highlight w:val="none"/>
        </w:rPr>
      </w:pPr>
      <w:r>
        <w:rPr>
          <w:rFonts w:hint="eastAsia" w:ascii="宋体" w:hAnsi="宋体"/>
          <w:bCs/>
          <w:color w:val="auto"/>
          <w:szCs w:val="21"/>
          <w:highlight w:val="none"/>
        </w:rPr>
        <w:t>2、广告宣传服务</w:t>
      </w:r>
    </w:p>
    <w:p w14:paraId="748FB6C7">
      <w:pPr>
        <w:spacing w:line="360" w:lineRule="auto"/>
        <w:rPr>
          <w:rFonts w:ascii="宋体" w:hAnsi="宋体"/>
          <w:bCs/>
          <w:color w:val="auto"/>
          <w:szCs w:val="21"/>
          <w:highlight w:val="none"/>
        </w:rPr>
      </w:pPr>
      <w:r>
        <w:rPr>
          <w:rFonts w:hint="eastAsia" w:ascii="宋体" w:hAnsi="宋体"/>
          <w:bCs/>
          <w:color w:val="auto"/>
          <w:szCs w:val="21"/>
          <w:highlight w:val="none"/>
        </w:rPr>
        <w:t>1）广告制作服务含门头制作、灯箱广告、广告牌、楼宇灯光广告等；</w:t>
      </w:r>
    </w:p>
    <w:p w14:paraId="7B0EC613">
      <w:pPr>
        <w:spacing w:line="360" w:lineRule="auto"/>
        <w:ind w:left="210" w:hanging="210" w:hangingChars="100"/>
        <w:rPr>
          <w:rFonts w:ascii="宋体" w:hAnsi="宋体"/>
          <w:bCs/>
          <w:color w:val="auto"/>
          <w:szCs w:val="21"/>
          <w:highlight w:val="none"/>
        </w:rPr>
      </w:pPr>
      <w:r>
        <w:rPr>
          <w:rFonts w:hint="eastAsia" w:ascii="宋体" w:hAnsi="宋体"/>
          <w:bCs/>
          <w:color w:val="auto"/>
          <w:szCs w:val="21"/>
          <w:highlight w:val="none"/>
        </w:rPr>
        <w:t>2）广告投放服务含电视、报纸、广播、论坛、微信、微博等广告发布及网络媒体投放服务、广播电视媒体投放服务、报纸书刊媒体投放服务等；</w:t>
      </w:r>
    </w:p>
    <w:p w14:paraId="643C6809">
      <w:pPr>
        <w:spacing w:line="360" w:lineRule="auto"/>
        <w:rPr>
          <w:rFonts w:ascii="宋体" w:hAnsi="宋体"/>
          <w:bCs/>
          <w:color w:val="auto"/>
          <w:szCs w:val="21"/>
          <w:highlight w:val="none"/>
        </w:rPr>
      </w:pPr>
      <w:r>
        <w:rPr>
          <w:rFonts w:hint="eastAsia" w:ascii="宋体" w:hAnsi="宋体"/>
          <w:bCs/>
          <w:color w:val="auto"/>
          <w:szCs w:val="21"/>
          <w:highlight w:val="none"/>
        </w:rPr>
        <w:t>3）广告代理服务含广告市场调查、广告信息咨询、企业形象策划、广告战略策划、广告媒介安排等；</w:t>
      </w:r>
    </w:p>
    <w:p w14:paraId="67C6CEFE">
      <w:pPr>
        <w:spacing w:line="360" w:lineRule="auto"/>
        <w:rPr>
          <w:rFonts w:ascii="宋体" w:hAnsi="宋体"/>
          <w:bCs/>
          <w:color w:val="auto"/>
          <w:szCs w:val="21"/>
          <w:highlight w:val="none"/>
        </w:rPr>
      </w:pPr>
      <w:r>
        <w:rPr>
          <w:rFonts w:hint="eastAsia" w:ascii="宋体" w:hAnsi="宋体"/>
          <w:bCs/>
          <w:color w:val="auto"/>
          <w:szCs w:val="21"/>
          <w:highlight w:val="none"/>
        </w:rPr>
        <w:t>4）舆情监测服务含日常监测、舆情环境报告、建立危机管理体系、危机预警、应急管理预案等；</w:t>
      </w:r>
    </w:p>
    <w:p w14:paraId="4C2CFDD2">
      <w:pPr>
        <w:spacing w:line="360" w:lineRule="auto"/>
        <w:rPr>
          <w:rFonts w:ascii="宋体" w:hAnsi="宋体"/>
          <w:bCs/>
          <w:color w:val="auto"/>
          <w:szCs w:val="21"/>
          <w:highlight w:val="none"/>
        </w:rPr>
      </w:pPr>
      <w:r>
        <w:rPr>
          <w:rFonts w:hint="eastAsia" w:ascii="宋体" w:hAnsi="宋体"/>
          <w:bCs/>
          <w:color w:val="auto"/>
          <w:szCs w:val="21"/>
          <w:highlight w:val="none"/>
        </w:rPr>
        <w:t>5）品牌推广服务含品牌定位服务、品牌价值塑造服务、品牌分析服务、品牌实施推广服务等；</w:t>
      </w:r>
    </w:p>
    <w:p w14:paraId="37AB20E3">
      <w:pPr>
        <w:spacing w:line="360" w:lineRule="auto"/>
        <w:rPr>
          <w:rFonts w:ascii="宋体" w:hAnsi="宋体"/>
          <w:bCs/>
          <w:color w:val="auto"/>
          <w:szCs w:val="21"/>
          <w:highlight w:val="none"/>
        </w:rPr>
      </w:pPr>
      <w:r>
        <w:rPr>
          <w:rFonts w:hint="eastAsia" w:ascii="宋体" w:hAnsi="宋体"/>
          <w:bCs/>
          <w:color w:val="auto"/>
          <w:szCs w:val="21"/>
          <w:highlight w:val="none"/>
        </w:rPr>
        <w:t>6）产品工具服务含保险产品销售训练工具研发、新人训练工具研发、产品分析服务等；</w:t>
      </w:r>
    </w:p>
    <w:p w14:paraId="2B2E5080">
      <w:pPr>
        <w:spacing w:line="360" w:lineRule="auto"/>
        <w:rPr>
          <w:rFonts w:ascii="宋体" w:hAnsi="宋体"/>
          <w:bCs/>
          <w:color w:val="auto"/>
          <w:szCs w:val="21"/>
          <w:highlight w:val="none"/>
        </w:rPr>
      </w:pPr>
      <w:r>
        <w:rPr>
          <w:rFonts w:hint="eastAsia" w:ascii="宋体" w:hAnsi="宋体"/>
          <w:bCs/>
          <w:color w:val="auto"/>
          <w:szCs w:val="21"/>
          <w:highlight w:val="none"/>
        </w:rPr>
        <w:t>7）媒体宣传服务含媒体宣传、内容生产、传播价值分析等；</w:t>
      </w:r>
    </w:p>
    <w:p w14:paraId="74FBE5C0">
      <w:pPr>
        <w:spacing w:line="360" w:lineRule="auto"/>
        <w:rPr>
          <w:rFonts w:ascii="宋体" w:hAnsi="宋体"/>
          <w:bCs/>
          <w:color w:val="auto"/>
          <w:szCs w:val="21"/>
          <w:highlight w:val="none"/>
        </w:rPr>
      </w:pPr>
      <w:r>
        <w:rPr>
          <w:rFonts w:hint="eastAsia" w:ascii="宋体" w:hAnsi="宋体"/>
          <w:bCs/>
          <w:color w:val="auto"/>
          <w:szCs w:val="21"/>
          <w:highlight w:val="none"/>
        </w:rPr>
        <w:t>8）传播策划服务含项目策划、方案制定、项目内容执行、数据统计分析等；</w:t>
      </w:r>
    </w:p>
    <w:p w14:paraId="256A460B">
      <w:pPr>
        <w:spacing w:line="360" w:lineRule="auto"/>
        <w:rPr>
          <w:rFonts w:ascii="宋体" w:hAnsi="宋体"/>
          <w:bCs/>
          <w:color w:val="auto"/>
          <w:szCs w:val="21"/>
          <w:highlight w:val="none"/>
        </w:rPr>
      </w:pPr>
      <w:r>
        <w:rPr>
          <w:rFonts w:hint="eastAsia" w:ascii="宋体" w:hAnsi="宋体"/>
          <w:bCs/>
          <w:color w:val="auto"/>
          <w:szCs w:val="21"/>
          <w:highlight w:val="none"/>
        </w:rPr>
        <w:t>9）媒体公关服务含媒体公关策略咨询、媒体公关活动组织实施、媒体公关用品购置、媒体公关应对方案制定与实施等；</w:t>
      </w:r>
    </w:p>
    <w:p w14:paraId="6F65824C">
      <w:pPr>
        <w:spacing w:line="360" w:lineRule="auto"/>
        <w:rPr>
          <w:rFonts w:ascii="宋体" w:hAnsi="宋体"/>
          <w:bCs/>
          <w:color w:val="auto"/>
          <w:szCs w:val="21"/>
          <w:highlight w:val="none"/>
        </w:rPr>
      </w:pPr>
      <w:r>
        <w:rPr>
          <w:rFonts w:hint="eastAsia" w:ascii="宋体" w:hAnsi="宋体"/>
          <w:bCs/>
          <w:color w:val="auto"/>
          <w:szCs w:val="21"/>
          <w:highlight w:val="none"/>
        </w:rPr>
        <w:t>10）声誉风险管理服务含声誉风险管理提升、声誉风险管理项目策划与实施、声誉风险事项预防及处置、声誉风险管理系统开发运用等</w:t>
      </w:r>
      <w:r>
        <w:rPr>
          <w:rFonts w:hint="eastAsia" w:ascii="宋体" w:hAnsi="宋体"/>
          <w:color w:val="auto"/>
          <w:szCs w:val="21"/>
          <w:highlight w:val="none"/>
        </w:rPr>
        <w:t>。</w:t>
      </w:r>
    </w:p>
    <w:p w14:paraId="34A5FC8A">
      <w:pPr>
        <w:spacing w:line="360" w:lineRule="auto"/>
        <w:rPr>
          <w:rFonts w:ascii="宋体" w:hAnsi="宋体"/>
          <w:bCs/>
          <w:color w:val="auto"/>
          <w:szCs w:val="21"/>
          <w:highlight w:val="none"/>
        </w:rPr>
      </w:pPr>
    </w:p>
    <w:p w14:paraId="71548602">
      <w:pPr>
        <w:spacing w:line="360" w:lineRule="auto"/>
        <w:rPr>
          <w:rFonts w:ascii="宋体" w:hAnsi="宋体"/>
          <w:bCs/>
          <w:color w:val="auto"/>
          <w:szCs w:val="21"/>
          <w:highlight w:val="none"/>
        </w:rPr>
      </w:pPr>
    </w:p>
    <w:p w14:paraId="3F7118A2">
      <w:pPr>
        <w:spacing w:line="360" w:lineRule="auto"/>
        <w:rPr>
          <w:rFonts w:ascii="宋体" w:hAnsi="宋体"/>
          <w:bCs/>
          <w:color w:val="auto"/>
          <w:szCs w:val="21"/>
          <w:highlight w:val="none"/>
        </w:rPr>
      </w:pPr>
    </w:p>
    <w:p w14:paraId="17495BBA">
      <w:pPr>
        <w:spacing w:line="360" w:lineRule="auto"/>
        <w:rPr>
          <w:rFonts w:ascii="宋体" w:hAnsi="宋体"/>
          <w:bCs/>
          <w:color w:val="auto"/>
          <w:szCs w:val="21"/>
          <w:highlight w:val="none"/>
        </w:rPr>
      </w:pPr>
    </w:p>
    <w:p w14:paraId="06F2641E">
      <w:pPr>
        <w:spacing w:line="360" w:lineRule="auto"/>
        <w:ind w:left="281"/>
        <w:rPr>
          <w:rFonts w:ascii="宋体" w:hAnsi="宋体"/>
          <w:bCs/>
          <w:color w:val="auto"/>
          <w:szCs w:val="21"/>
          <w:highlight w:val="none"/>
        </w:rPr>
      </w:pPr>
      <w:r>
        <w:rPr>
          <w:rFonts w:hint="eastAsia" w:ascii="宋体" w:hAnsi="宋体"/>
          <w:b/>
          <w:color w:val="auto"/>
          <w:szCs w:val="21"/>
          <w:highlight w:val="none"/>
        </w:rPr>
        <w:t>标包三宣传品服务供应商：</w:t>
      </w:r>
    </w:p>
    <w:p w14:paraId="490F1AC3">
      <w:pPr>
        <w:spacing w:line="360" w:lineRule="auto"/>
        <w:ind w:left="281"/>
        <w:rPr>
          <w:rFonts w:ascii="宋体" w:hAnsi="宋体"/>
          <w:b/>
          <w:color w:val="auto"/>
          <w:szCs w:val="21"/>
          <w:highlight w:val="none"/>
        </w:rPr>
      </w:pPr>
      <w:r>
        <w:rPr>
          <w:rFonts w:hint="eastAsia" w:ascii="宋体" w:hAnsi="宋体"/>
          <w:b/>
          <w:color w:val="auto"/>
          <w:szCs w:val="21"/>
          <w:highlight w:val="none"/>
        </w:rPr>
        <w:t>一、主要商务条款：</w:t>
      </w:r>
    </w:p>
    <w:p w14:paraId="5695CF7F">
      <w:pPr>
        <w:spacing w:line="360" w:lineRule="auto"/>
        <w:rPr>
          <w:rFonts w:ascii="宋体" w:hAnsi="宋体"/>
          <w:bCs/>
          <w:color w:val="auto"/>
          <w:szCs w:val="21"/>
          <w:highlight w:val="none"/>
        </w:rPr>
      </w:pPr>
      <w:r>
        <w:rPr>
          <w:rFonts w:hint="eastAsia" w:ascii="宋体" w:hAnsi="宋体"/>
          <w:bCs/>
          <w:color w:val="auto"/>
          <w:szCs w:val="21"/>
          <w:highlight w:val="none"/>
        </w:rPr>
        <w:t xml:space="preserve">  1、服务期：合同签订后</w:t>
      </w:r>
      <w:r>
        <w:rPr>
          <w:rFonts w:hint="eastAsia" w:ascii="宋体" w:hAnsi="宋体"/>
          <w:bCs/>
          <w:color w:val="auto"/>
          <w:szCs w:val="21"/>
          <w:highlight w:val="none"/>
          <w:lang w:val="en-US" w:eastAsia="zh-CN"/>
        </w:rPr>
        <w:t>2</w:t>
      </w:r>
      <w:r>
        <w:rPr>
          <w:rFonts w:hint="eastAsia" w:ascii="宋体" w:hAnsi="宋体"/>
          <w:bCs/>
          <w:color w:val="auto"/>
          <w:szCs w:val="21"/>
          <w:highlight w:val="none"/>
        </w:rPr>
        <w:t>年，合同期满或预算金额使用完毕后合同终止。</w:t>
      </w:r>
    </w:p>
    <w:p w14:paraId="4197CB04">
      <w:pPr>
        <w:spacing w:line="360" w:lineRule="auto"/>
        <w:rPr>
          <w:rFonts w:ascii="宋体" w:hAnsi="宋体"/>
          <w:bCs/>
          <w:color w:val="auto"/>
          <w:szCs w:val="21"/>
          <w:highlight w:val="none"/>
        </w:rPr>
      </w:pPr>
      <w:r>
        <w:rPr>
          <w:rFonts w:hint="eastAsia" w:ascii="宋体" w:hAnsi="宋体"/>
          <w:bCs/>
          <w:color w:val="auto"/>
          <w:szCs w:val="21"/>
          <w:highlight w:val="none"/>
        </w:rPr>
        <w:t xml:space="preserve">  2、交货地点：招标人指定地点。</w:t>
      </w:r>
    </w:p>
    <w:p w14:paraId="2949F8A7">
      <w:pPr>
        <w:spacing w:line="360" w:lineRule="auto"/>
        <w:ind w:firstLine="210" w:firstLineChars="100"/>
        <w:jc w:val="left"/>
        <w:rPr>
          <w:rFonts w:ascii="宋体" w:hAnsi="宋体"/>
          <w:bCs/>
          <w:color w:val="auto"/>
          <w:szCs w:val="21"/>
          <w:highlight w:val="none"/>
        </w:rPr>
      </w:pPr>
      <w:r>
        <w:rPr>
          <w:rFonts w:hint="eastAsia" w:ascii="宋体" w:hAnsi="宋体"/>
          <w:bCs/>
          <w:color w:val="auto"/>
          <w:szCs w:val="21"/>
          <w:highlight w:val="none"/>
        </w:rPr>
        <w:t>3、交货时间：与招标人签订框架协议，后期按照招标人的实际需求采购订单为准，要求在采购订单签订之日起最迟20天内送货到位。</w:t>
      </w:r>
    </w:p>
    <w:p w14:paraId="593BFE1A">
      <w:pPr>
        <w:spacing w:line="360" w:lineRule="auto"/>
        <w:rPr>
          <w:rFonts w:ascii="宋体" w:hAnsi="宋体"/>
          <w:bCs/>
          <w:color w:val="auto"/>
          <w:szCs w:val="21"/>
          <w:highlight w:val="none"/>
        </w:rPr>
      </w:pPr>
      <w:r>
        <w:rPr>
          <w:rFonts w:hint="eastAsia" w:ascii="宋体" w:hAnsi="宋体"/>
          <w:bCs/>
          <w:color w:val="auto"/>
          <w:szCs w:val="21"/>
          <w:highlight w:val="none"/>
        </w:rPr>
        <w:t xml:space="preserve">  4、发票类型：增值税专用发票或增值税普通发票。</w:t>
      </w:r>
    </w:p>
    <w:p w14:paraId="25A6E849">
      <w:pPr>
        <w:spacing w:line="360" w:lineRule="auto"/>
        <w:ind w:left="120" w:leftChars="57"/>
        <w:rPr>
          <w:rFonts w:ascii="宋体" w:hAnsi="宋体"/>
          <w:bCs/>
          <w:color w:val="auto"/>
          <w:szCs w:val="21"/>
          <w:highlight w:val="none"/>
        </w:rPr>
      </w:pPr>
      <w:r>
        <w:rPr>
          <w:rFonts w:hint="eastAsia" w:ascii="宋体" w:hAnsi="宋体"/>
          <w:bCs/>
          <w:color w:val="auto"/>
          <w:szCs w:val="21"/>
          <w:highlight w:val="none"/>
        </w:rPr>
        <w:t xml:space="preserve"> 5、付款方式：项目费用结算一次一结，以实际发生的费用进行结算。原则上发票开具后30个工作日内报账完成付款。</w:t>
      </w:r>
    </w:p>
    <w:p w14:paraId="1DB256FD">
      <w:pPr>
        <w:tabs>
          <w:tab w:val="left" w:pos="8520"/>
        </w:tabs>
        <w:autoSpaceDE w:val="0"/>
        <w:autoSpaceDN w:val="0"/>
        <w:adjustRightInd w:val="0"/>
        <w:snapToGrid w:val="0"/>
        <w:spacing w:line="360" w:lineRule="auto"/>
        <w:ind w:firstLine="210" w:firstLineChars="100"/>
        <w:jc w:val="left"/>
        <w:rPr>
          <w:rFonts w:ascii="宋体" w:hAnsi="宋体"/>
          <w:bCs/>
          <w:color w:val="auto"/>
          <w:szCs w:val="21"/>
          <w:highlight w:val="none"/>
        </w:rPr>
      </w:pPr>
      <w:r>
        <w:rPr>
          <w:rFonts w:hint="eastAsia" w:ascii="宋体" w:hAnsi="宋体"/>
          <w:bCs/>
          <w:color w:val="auto"/>
          <w:szCs w:val="21"/>
          <w:highlight w:val="none"/>
        </w:rPr>
        <w:t>6、违约责任：合同签订后，未按我方要求和时间按时交货的，双方协商，如未达成一致，我方有权解除合同并赔偿我方相关的损失。</w:t>
      </w:r>
    </w:p>
    <w:p w14:paraId="11B4DB81">
      <w:pPr>
        <w:spacing w:line="360" w:lineRule="auto"/>
        <w:outlineLvl w:val="1"/>
        <w:rPr>
          <w:rFonts w:ascii="宋体" w:hAnsi="宋体"/>
          <w:b/>
          <w:color w:val="auto"/>
          <w:szCs w:val="21"/>
          <w:highlight w:val="none"/>
        </w:rPr>
      </w:pPr>
      <w:bookmarkStart w:id="703" w:name="_Toc3598"/>
      <w:r>
        <w:rPr>
          <w:rFonts w:hint="eastAsia" w:ascii="宋体" w:hAnsi="宋体"/>
          <w:b/>
          <w:color w:val="auto"/>
          <w:szCs w:val="21"/>
          <w:highlight w:val="none"/>
        </w:rPr>
        <w:t>二、</w:t>
      </w:r>
      <w:r>
        <w:rPr>
          <w:rFonts w:ascii="宋体" w:hAnsi="宋体"/>
          <w:b/>
          <w:color w:val="auto"/>
          <w:szCs w:val="21"/>
          <w:highlight w:val="none"/>
        </w:rPr>
        <w:t>服务要求</w:t>
      </w:r>
      <w:r>
        <w:rPr>
          <w:rFonts w:hint="eastAsia" w:ascii="宋体" w:hAnsi="宋体"/>
          <w:b/>
          <w:color w:val="auto"/>
          <w:szCs w:val="21"/>
          <w:highlight w:val="none"/>
        </w:rPr>
        <w:t>：</w:t>
      </w:r>
      <w:bookmarkEnd w:id="703"/>
    </w:p>
    <w:p w14:paraId="7D56E9D6">
      <w:pPr>
        <w:adjustRightInd w:val="0"/>
        <w:snapToGrid w:val="0"/>
        <w:spacing w:line="360" w:lineRule="auto"/>
        <w:rPr>
          <w:rFonts w:ascii="宋体" w:hAnsi="宋体"/>
          <w:bCs/>
          <w:color w:val="auto"/>
          <w:szCs w:val="21"/>
          <w:highlight w:val="none"/>
        </w:rPr>
      </w:pPr>
      <w:bookmarkStart w:id="704" w:name="_Toc41402309"/>
      <w:bookmarkStart w:id="705" w:name="_Toc25307914"/>
      <w:r>
        <w:rPr>
          <w:rFonts w:hint="eastAsia" w:ascii="宋体" w:hAnsi="宋体"/>
          <w:bCs/>
          <w:color w:val="auto"/>
          <w:szCs w:val="21"/>
          <w:highlight w:val="none"/>
        </w:rPr>
        <w:t>1、本次公开招标旨在建立宣传用品供应商库，为全省各级公司的宣传用品采购需求提供支持，每次具体采购内容可包括食品、生活用品、小型电器、文创用品等系列常用物品等。</w:t>
      </w:r>
    </w:p>
    <w:p w14:paraId="6B272BF5">
      <w:pPr>
        <w:spacing w:line="360" w:lineRule="auto"/>
        <w:outlineLvl w:val="1"/>
        <w:rPr>
          <w:rFonts w:ascii="宋体" w:hAnsi="宋体"/>
          <w:bCs/>
          <w:color w:val="auto"/>
          <w:szCs w:val="21"/>
          <w:highlight w:val="none"/>
        </w:rPr>
      </w:pPr>
      <w:bookmarkStart w:id="706" w:name="_Toc26708"/>
      <w:r>
        <w:rPr>
          <w:rFonts w:hint="eastAsia" w:ascii="宋体" w:hAnsi="宋体"/>
          <w:bCs/>
          <w:color w:val="auto"/>
          <w:szCs w:val="21"/>
          <w:highlight w:val="none"/>
        </w:rPr>
        <w:t>2、</w:t>
      </w:r>
      <w:r>
        <w:rPr>
          <w:rFonts w:ascii="宋体" w:hAnsi="宋体"/>
          <w:bCs/>
          <w:color w:val="auto"/>
          <w:szCs w:val="21"/>
          <w:highlight w:val="none"/>
        </w:rPr>
        <w:t>产品服务要求</w:t>
      </w:r>
      <w:bookmarkEnd w:id="704"/>
      <w:bookmarkEnd w:id="705"/>
      <w:bookmarkEnd w:id="706"/>
    </w:p>
    <w:p w14:paraId="43E51861">
      <w:pPr>
        <w:spacing w:line="360" w:lineRule="auto"/>
        <w:ind w:firstLine="420" w:firstLineChars="200"/>
        <w:outlineLvl w:val="1"/>
        <w:rPr>
          <w:rFonts w:ascii="宋体" w:hAnsi="宋体"/>
          <w:bCs/>
          <w:color w:val="auto"/>
          <w:szCs w:val="21"/>
          <w:highlight w:val="none"/>
        </w:rPr>
      </w:pPr>
      <w:bookmarkStart w:id="707" w:name="_Toc17795"/>
      <w:bookmarkStart w:id="708" w:name="_Toc25307915"/>
      <w:bookmarkStart w:id="709" w:name="_Toc41402310"/>
      <w:r>
        <w:rPr>
          <w:rFonts w:hint="eastAsia" w:ascii="宋体" w:hAnsi="宋体"/>
          <w:bCs/>
          <w:color w:val="auto"/>
          <w:szCs w:val="21"/>
          <w:highlight w:val="none"/>
        </w:rPr>
        <w:t>2.1</w:t>
      </w:r>
      <w:r>
        <w:rPr>
          <w:rFonts w:ascii="宋体" w:hAnsi="宋体"/>
          <w:bCs/>
          <w:color w:val="auto"/>
          <w:szCs w:val="21"/>
          <w:highlight w:val="none"/>
        </w:rPr>
        <w:t>乙方应保证提供给甲方的产品应得到品牌原厂商的合法授权，能够提供给甲方有竞争力的价格。</w:t>
      </w:r>
      <w:bookmarkEnd w:id="707"/>
      <w:bookmarkEnd w:id="708"/>
      <w:bookmarkEnd w:id="709"/>
    </w:p>
    <w:p w14:paraId="4BEE173D">
      <w:pPr>
        <w:spacing w:line="360" w:lineRule="auto"/>
        <w:ind w:firstLine="420" w:firstLineChars="200"/>
        <w:outlineLvl w:val="1"/>
        <w:rPr>
          <w:rFonts w:ascii="宋体" w:hAnsi="宋体"/>
          <w:bCs/>
          <w:color w:val="auto"/>
          <w:szCs w:val="21"/>
          <w:highlight w:val="none"/>
        </w:rPr>
      </w:pPr>
      <w:bookmarkStart w:id="710" w:name="_Toc25307916"/>
      <w:bookmarkStart w:id="711" w:name="_Toc41402311"/>
      <w:bookmarkStart w:id="712" w:name="_Toc14435"/>
      <w:r>
        <w:rPr>
          <w:rFonts w:hint="eastAsia" w:ascii="宋体" w:hAnsi="宋体"/>
          <w:bCs/>
          <w:color w:val="auto"/>
          <w:szCs w:val="21"/>
          <w:highlight w:val="none"/>
        </w:rPr>
        <w:t>2.2 乙方承诺提供给甲方的所有产品均完全符合本规范书的要求以及相关的国家和行业标准且为原厂正品。</w:t>
      </w:r>
      <w:bookmarkEnd w:id="710"/>
      <w:bookmarkEnd w:id="711"/>
      <w:bookmarkEnd w:id="712"/>
    </w:p>
    <w:p w14:paraId="6ABBD1F7">
      <w:pPr>
        <w:spacing w:line="360" w:lineRule="auto"/>
        <w:ind w:firstLine="420" w:firstLineChars="200"/>
        <w:outlineLvl w:val="1"/>
        <w:rPr>
          <w:rFonts w:ascii="宋体" w:hAnsi="宋体"/>
          <w:bCs/>
          <w:color w:val="auto"/>
          <w:szCs w:val="21"/>
          <w:highlight w:val="none"/>
        </w:rPr>
      </w:pPr>
      <w:bookmarkStart w:id="713" w:name="_Toc5418"/>
      <w:r>
        <w:rPr>
          <w:rFonts w:hint="eastAsia" w:ascii="宋体" w:hAnsi="宋体"/>
          <w:bCs/>
          <w:color w:val="auto"/>
          <w:szCs w:val="21"/>
          <w:highlight w:val="none"/>
        </w:rPr>
        <w:t>2.3投标人须具备便捷的退换货流程，为有质量问题的商品提供及时的免费退换货服务。</w:t>
      </w:r>
      <w:bookmarkEnd w:id="713"/>
    </w:p>
    <w:p w14:paraId="74C2A357">
      <w:pPr>
        <w:spacing w:line="360" w:lineRule="auto"/>
        <w:outlineLvl w:val="1"/>
        <w:rPr>
          <w:rFonts w:ascii="宋体" w:hAnsi="宋体"/>
          <w:bCs/>
          <w:color w:val="auto"/>
          <w:szCs w:val="21"/>
          <w:highlight w:val="none"/>
        </w:rPr>
      </w:pPr>
      <w:bookmarkStart w:id="714" w:name="_Toc8335"/>
      <w:bookmarkStart w:id="715" w:name="_Toc41402316"/>
      <w:bookmarkStart w:id="716" w:name="_Toc25307921"/>
      <w:r>
        <w:rPr>
          <w:rFonts w:ascii="宋体" w:hAnsi="宋体"/>
          <w:bCs/>
          <w:color w:val="auto"/>
          <w:szCs w:val="21"/>
          <w:highlight w:val="none"/>
        </w:rPr>
        <w:t>3</w:t>
      </w:r>
      <w:r>
        <w:rPr>
          <w:rFonts w:hint="eastAsia" w:ascii="宋体" w:hAnsi="宋体"/>
          <w:bCs/>
          <w:color w:val="auto"/>
          <w:szCs w:val="21"/>
          <w:highlight w:val="none"/>
        </w:rPr>
        <w:t>、仓储及配送服务要求</w:t>
      </w:r>
      <w:bookmarkEnd w:id="714"/>
      <w:bookmarkEnd w:id="715"/>
      <w:bookmarkEnd w:id="716"/>
    </w:p>
    <w:p w14:paraId="062C602D">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3.1投标人须具有一定的仓储配货能力。</w:t>
      </w:r>
    </w:p>
    <w:p w14:paraId="3119F62A">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3.2投标人须为招标人通过快递寄送至招标人提供的地址。</w:t>
      </w:r>
    </w:p>
    <w:p w14:paraId="60604C18">
      <w:pPr>
        <w:widowControl/>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3.3投标人须有合作的快递单位，确保能在招标人客户在下单后的3日内完成发货。</w:t>
      </w:r>
    </w:p>
    <w:p w14:paraId="7559D3D2">
      <w:pPr>
        <w:spacing w:line="360" w:lineRule="auto"/>
        <w:ind w:firstLine="420" w:firstLineChars="200"/>
        <w:outlineLvl w:val="1"/>
        <w:rPr>
          <w:rFonts w:ascii="宋体" w:hAnsi="宋体"/>
          <w:bCs/>
          <w:color w:val="auto"/>
          <w:szCs w:val="21"/>
          <w:highlight w:val="none"/>
        </w:rPr>
      </w:pPr>
      <w:bookmarkStart w:id="717" w:name="_Toc25307922"/>
      <w:bookmarkStart w:id="718" w:name="_Toc41402317"/>
      <w:bookmarkStart w:id="719" w:name="_Toc4966"/>
      <w:r>
        <w:rPr>
          <w:rFonts w:hint="eastAsia" w:ascii="宋体" w:hAnsi="宋体"/>
          <w:bCs/>
          <w:color w:val="auto"/>
          <w:szCs w:val="21"/>
          <w:highlight w:val="none"/>
        </w:rPr>
        <w:t>3.4本次项目的配送范围为全国范围内甲方指定地点。</w:t>
      </w:r>
      <w:bookmarkEnd w:id="717"/>
      <w:bookmarkEnd w:id="718"/>
      <w:bookmarkEnd w:id="719"/>
    </w:p>
    <w:p w14:paraId="3CA1338A">
      <w:pPr>
        <w:spacing w:line="360" w:lineRule="auto"/>
        <w:ind w:firstLine="420" w:firstLineChars="200"/>
        <w:outlineLvl w:val="1"/>
        <w:rPr>
          <w:rFonts w:ascii="宋体" w:hAnsi="宋体"/>
          <w:bCs/>
          <w:color w:val="auto"/>
          <w:szCs w:val="21"/>
          <w:highlight w:val="none"/>
        </w:rPr>
      </w:pPr>
      <w:bookmarkStart w:id="720" w:name="_Toc25307923"/>
      <w:bookmarkStart w:id="721" w:name="_Toc41402318"/>
      <w:bookmarkStart w:id="722" w:name="_Toc19776"/>
      <w:r>
        <w:rPr>
          <w:rFonts w:hint="eastAsia" w:ascii="宋体" w:hAnsi="宋体"/>
          <w:bCs/>
          <w:color w:val="auto"/>
          <w:szCs w:val="21"/>
          <w:highlight w:val="none"/>
        </w:rPr>
        <w:t>3.5甲方将按照各产品最小包装量的整数倍进行单个产品的采购。</w:t>
      </w:r>
      <w:bookmarkEnd w:id="720"/>
      <w:bookmarkEnd w:id="721"/>
      <w:bookmarkEnd w:id="722"/>
    </w:p>
    <w:p w14:paraId="18AB4C6F">
      <w:pPr>
        <w:spacing w:line="360" w:lineRule="auto"/>
        <w:ind w:firstLine="420" w:firstLineChars="200"/>
        <w:outlineLvl w:val="1"/>
        <w:rPr>
          <w:rFonts w:ascii="宋体" w:hAnsi="宋体"/>
          <w:bCs/>
          <w:color w:val="auto"/>
          <w:szCs w:val="21"/>
          <w:highlight w:val="none"/>
        </w:rPr>
      </w:pPr>
      <w:bookmarkStart w:id="723" w:name="_Toc13379"/>
      <w:bookmarkStart w:id="724" w:name="_Toc25307924"/>
      <w:bookmarkStart w:id="725" w:name="_Toc41402319"/>
      <w:r>
        <w:rPr>
          <w:rFonts w:hint="eastAsia" w:ascii="宋体" w:hAnsi="宋体"/>
          <w:bCs/>
          <w:color w:val="auto"/>
          <w:szCs w:val="21"/>
          <w:highlight w:val="none"/>
        </w:rPr>
        <w:t>3.6乙方应有仓储物流能力，本次项目所有产品均应在乙方自有仓库进行管理和出库等相关作业，自有仓库是指由乙方直接进行管理的仓库。</w:t>
      </w:r>
      <w:bookmarkEnd w:id="723"/>
      <w:bookmarkEnd w:id="724"/>
      <w:bookmarkEnd w:id="725"/>
    </w:p>
    <w:p w14:paraId="5AFB54AF">
      <w:pPr>
        <w:spacing w:line="360" w:lineRule="auto"/>
        <w:ind w:firstLine="420" w:firstLineChars="200"/>
        <w:outlineLvl w:val="1"/>
        <w:rPr>
          <w:rFonts w:ascii="宋体" w:hAnsi="宋体"/>
          <w:bCs/>
          <w:color w:val="auto"/>
          <w:szCs w:val="21"/>
          <w:highlight w:val="none"/>
        </w:rPr>
      </w:pPr>
      <w:bookmarkStart w:id="726" w:name="_Toc41402320"/>
      <w:bookmarkStart w:id="727" w:name="_Toc7796"/>
      <w:bookmarkStart w:id="728" w:name="_Toc25307925"/>
      <w:r>
        <w:rPr>
          <w:rFonts w:hint="eastAsia" w:ascii="宋体" w:hAnsi="宋体"/>
          <w:bCs/>
          <w:color w:val="auto"/>
          <w:szCs w:val="21"/>
          <w:highlight w:val="none"/>
        </w:rPr>
        <w:t>3.7乙方在配送时，应保证产品外观和性能的完好，配送过程中造成产品缺陷或损坏的，全部由乙方自行承担。</w:t>
      </w:r>
      <w:bookmarkEnd w:id="726"/>
      <w:bookmarkEnd w:id="727"/>
      <w:bookmarkEnd w:id="728"/>
    </w:p>
    <w:p w14:paraId="0BF55DE3">
      <w:pPr>
        <w:spacing w:line="360" w:lineRule="auto"/>
        <w:ind w:firstLine="420" w:firstLineChars="200"/>
        <w:outlineLvl w:val="1"/>
        <w:rPr>
          <w:rFonts w:ascii="宋体" w:hAnsi="宋体"/>
          <w:bCs/>
          <w:color w:val="auto"/>
          <w:szCs w:val="21"/>
          <w:highlight w:val="none"/>
        </w:rPr>
      </w:pPr>
      <w:bookmarkStart w:id="729" w:name="_Toc25307926"/>
      <w:bookmarkStart w:id="730" w:name="_Toc41402321"/>
      <w:bookmarkStart w:id="731" w:name="_Toc11111"/>
      <w:r>
        <w:rPr>
          <w:rFonts w:hint="eastAsia" w:ascii="宋体" w:hAnsi="宋体"/>
          <w:bCs/>
          <w:color w:val="auto"/>
          <w:szCs w:val="21"/>
          <w:highlight w:val="none"/>
        </w:rPr>
        <w:t>3.8乙方应按照甲方的要求将产品免费送到甲方指定的楼层或者办公室。产品到货后，乙方应协助甲方指定的收货人完成产品的到货验收，并应告知收货人完成到货确认操作。</w:t>
      </w:r>
      <w:bookmarkEnd w:id="729"/>
      <w:bookmarkEnd w:id="730"/>
      <w:bookmarkEnd w:id="731"/>
      <w:r>
        <w:rPr>
          <w:rFonts w:ascii="宋体" w:hAnsi="宋体"/>
          <w:bCs/>
          <w:color w:val="auto"/>
          <w:szCs w:val="21"/>
          <w:highlight w:val="none"/>
        </w:rPr>
        <w:t xml:space="preserve"> </w:t>
      </w:r>
    </w:p>
    <w:p w14:paraId="09802A79">
      <w:pPr>
        <w:spacing w:line="360" w:lineRule="auto"/>
        <w:outlineLvl w:val="1"/>
        <w:rPr>
          <w:rFonts w:ascii="宋体" w:hAnsi="宋体"/>
          <w:bCs/>
          <w:color w:val="auto"/>
          <w:szCs w:val="21"/>
          <w:highlight w:val="none"/>
        </w:rPr>
      </w:pPr>
      <w:bookmarkStart w:id="732" w:name="_Toc26219"/>
      <w:bookmarkStart w:id="733" w:name="_Toc25307927"/>
      <w:bookmarkStart w:id="734" w:name="_Toc41402322"/>
      <w:r>
        <w:rPr>
          <w:rFonts w:hint="eastAsia" w:ascii="宋体" w:hAnsi="宋体"/>
          <w:bCs/>
          <w:color w:val="auto"/>
          <w:szCs w:val="21"/>
          <w:highlight w:val="none"/>
        </w:rPr>
        <w:t>4、</w:t>
      </w:r>
      <w:r>
        <w:rPr>
          <w:rFonts w:ascii="宋体" w:hAnsi="宋体"/>
          <w:bCs/>
          <w:color w:val="auto"/>
          <w:szCs w:val="21"/>
          <w:highlight w:val="none"/>
        </w:rPr>
        <w:t>保密要求</w:t>
      </w:r>
      <w:bookmarkEnd w:id="732"/>
      <w:bookmarkEnd w:id="733"/>
      <w:bookmarkEnd w:id="734"/>
    </w:p>
    <w:p w14:paraId="31193E33">
      <w:pPr>
        <w:spacing w:line="360" w:lineRule="auto"/>
        <w:ind w:firstLine="420" w:firstLineChars="200"/>
        <w:outlineLvl w:val="1"/>
        <w:rPr>
          <w:rFonts w:ascii="宋体" w:hAnsi="宋体"/>
          <w:bCs/>
          <w:color w:val="auto"/>
          <w:szCs w:val="21"/>
          <w:highlight w:val="none"/>
        </w:rPr>
      </w:pPr>
      <w:bookmarkStart w:id="735" w:name="_Toc633"/>
      <w:bookmarkStart w:id="736" w:name="_Toc25307928"/>
      <w:bookmarkStart w:id="737" w:name="_Toc41402323"/>
      <w:r>
        <w:rPr>
          <w:rFonts w:ascii="宋体" w:hAnsi="宋体"/>
          <w:bCs/>
          <w:color w:val="auto"/>
          <w:szCs w:val="21"/>
          <w:highlight w:val="none"/>
        </w:rPr>
        <w:t>乙方接触到的甲方机构、人员、订单等信息均为商业秘密，乙方须严格保守保密义务，并采取必要的人防、物防、技防确保信息安全不泄露。</w:t>
      </w:r>
      <w:bookmarkEnd w:id="735"/>
      <w:bookmarkEnd w:id="736"/>
      <w:bookmarkEnd w:id="737"/>
    </w:p>
    <w:p w14:paraId="0529DD05">
      <w:pPr>
        <w:spacing w:line="360" w:lineRule="auto"/>
        <w:outlineLvl w:val="1"/>
        <w:rPr>
          <w:rFonts w:ascii="宋体" w:hAnsi="宋体"/>
          <w:bCs/>
          <w:color w:val="auto"/>
          <w:szCs w:val="21"/>
          <w:highlight w:val="none"/>
        </w:rPr>
      </w:pPr>
      <w:bookmarkStart w:id="738" w:name="_Toc41402324"/>
      <w:bookmarkStart w:id="739" w:name="_Toc12018"/>
      <w:bookmarkStart w:id="740" w:name="_Toc25307929"/>
      <w:r>
        <w:rPr>
          <w:rFonts w:hint="eastAsia" w:ascii="宋体" w:hAnsi="宋体"/>
          <w:bCs/>
          <w:color w:val="auto"/>
          <w:szCs w:val="21"/>
          <w:highlight w:val="none"/>
        </w:rPr>
        <w:t>5、</w:t>
      </w:r>
      <w:r>
        <w:rPr>
          <w:rFonts w:ascii="宋体" w:hAnsi="宋体"/>
          <w:bCs/>
          <w:color w:val="auto"/>
          <w:szCs w:val="21"/>
          <w:highlight w:val="none"/>
        </w:rPr>
        <w:t>知识产权</w:t>
      </w:r>
      <w:bookmarkEnd w:id="738"/>
      <w:bookmarkEnd w:id="739"/>
      <w:bookmarkEnd w:id="740"/>
    </w:p>
    <w:p w14:paraId="4BFE6B08">
      <w:pPr>
        <w:spacing w:line="360" w:lineRule="auto"/>
        <w:ind w:firstLine="420" w:firstLineChars="200"/>
        <w:outlineLvl w:val="1"/>
        <w:rPr>
          <w:rFonts w:ascii="宋体" w:hAnsi="宋体"/>
          <w:bCs/>
          <w:color w:val="auto"/>
          <w:szCs w:val="21"/>
          <w:highlight w:val="none"/>
        </w:rPr>
      </w:pPr>
      <w:bookmarkStart w:id="741" w:name="_Toc41402325"/>
      <w:bookmarkStart w:id="742" w:name="_Toc12234"/>
      <w:bookmarkStart w:id="743" w:name="_Toc25307930"/>
      <w:r>
        <w:rPr>
          <w:rFonts w:hint="eastAsia" w:ascii="宋体" w:hAnsi="宋体"/>
          <w:bCs/>
          <w:color w:val="auto"/>
          <w:szCs w:val="21"/>
          <w:highlight w:val="none"/>
        </w:rPr>
        <w:t>5.1</w:t>
      </w:r>
      <w:r>
        <w:rPr>
          <w:rFonts w:ascii="宋体" w:hAnsi="宋体"/>
          <w:bCs/>
          <w:color w:val="auto"/>
          <w:szCs w:val="21"/>
          <w:highlight w:val="none"/>
        </w:rPr>
        <w:t>乙方根据甲方要求在履行项目过程中专门为甲方或根据甲方提供的有关信息、资料而产生的服务成果，其知识产权和其他权益全部归甲方所有。未经甲方事先书面许可，乙方不得以任何形式自行使用、擅自许可任何第三方使用或向任何第三方提出有关意见和建议。</w:t>
      </w:r>
      <w:bookmarkEnd w:id="741"/>
      <w:bookmarkEnd w:id="742"/>
      <w:bookmarkEnd w:id="743"/>
    </w:p>
    <w:p w14:paraId="0718C323">
      <w:pPr>
        <w:spacing w:line="360" w:lineRule="auto"/>
        <w:ind w:firstLine="420" w:firstLineChars="200"/>
        <w:outlineLvl w:val="1"/>
        <w:rPr>
          <w:rFonts w:ascii="宋体" w:hAnsi="宋体"/>
          <w:bCs/>
          <w:color w:val="auto"/>
          <w:szCs w:val="21"/>
          <w:highlight w:val="none"/>
        </w:rPr>
      </w:pPr>
      <w:bookmarkStart w:id="744" w:name="_Toc41402327"/>
      <w:bookmarkStart w:id="745" w:name="_Toc16873"/>
      <w:bookmarkStart w:id="746" w:name="_Toc25307932"/>
      <w:r>
        <w:rPr>
          <w:rFonts w:hint="eastAsia" w:ascii="宋体" w:hAnsi="宋体"/>
          <w:bCs/>
          <w:color w:val="auto"/>
          <w:szCs w:val="21"/>
          <w:highlight w:val="none"/>
        </w:rPr>
        <w:t>5.2</w:t>
      </w:r>
      <w:r>
        <w:rPr>
          <w:rFonts w:ascii="宋体" w:hAnsi="宋体"/>
          <w:bCs/>
          <w:color w:val="auto"/>
          <w:szCs w:val="21"/>
          <w:highlight w:val="none"/>
        </w:rPr>
        <w:t>乙方提供的产品及服务，如涉及第三方合法享有的知识产权或其他权益，须提供相关授权证明文件</w:t>
      </w:r>
      <w:r>
        <w:rPr>
          <w:rFonts w:hint="eastAsia" w:ascii="宋体" w:hAnsi="宋体"/>
          <w:bCs/>
          <w:color w:val="auto"/>
          <w:szCs w:val="21"/>
          <w:highlight w:val="none"/>
        </w:rPr>
        <w:t>。</w:t>
      </w:r>
      <w:bookmarkEnd w:id="744"/>
      <w:bookmarkEnd w:id="745"/>
      <w:bookmarkEnd w:id="746"/>
    </w:p>
    <w:p w14:paraId="4860CCFE">
      <w:pPr>
        <w:spacing w:line="360" w:lineRule="auto"/>
        <w:ind w:firstLine="420" w:firstLineChars="200"/>
        <w:outlineLvl w:val="1"/>
        <w:rPr>
          <w:rFonts w:ascii="宋体" w:hAnsi="宋体"/>
          <w:bCs/>
          <w:color w:val="auto"/>
          <w:szCs w:val="21"/>
          <w:highlight w:val="none"/>
        </w:rPr>
      </w:pPr>
      <w:bookmarkStart w:id="747" w:name="_Toc25307933"/>
      <w:bookmarkStart w:id="748" w:name="_Toc5959"/>
      <w:bookmarkStart w:id="749" w:name="_Toc41402328"/>
      <w:r>
        <w:rPr>
          <w:rFonts w:hint="eastAsia" w:ascii="宋体" w:hAnsi="宋体"/>
          <w:bCs/>
          <w:color w:val="auto"/>
          <w:szCs w:val="21"/>
          <w:highlight w:val="none"/>
        </w:rPr>
        <w:t>5</w:t>
      </w:r>
      <w:r>
        <w:rPr>
          <w:rFonts w:ascii="宋体" w:hAnsi="宋体"/>
          <w:bCs/>
          <w:color w:val="auto"/>
          <w:szCs w:val="21"/>
          <w:highlight w:val="none"/>
        </w:rPr>
        <w:t>.</w:t>
      </w:r>
      <w:r>
        <w:rPr>
          <w:rFonts w:hint="eastAsia" w:ascii="宋体" w:hAnsi="宋体"/>
          <w:bCs/>
          <w:color w:val="auto"/>
          <w:szCs w:val="21"/>
          <w:highlight w:val="none"/>
        </w:rPr>
        <w:t>3</w:t>
      </w:r>
      <w:r>
        <w:rPr>
          <w:rFonts w:ascii="宋体" w:hAnsi="宋体"/>
          <w:bCs/>
          <w:color w:val="auto"/>
          <w:szCs w:val="21"/>
          <w:highlight w:val="none"/>
        </w:rPr>
        <w:t>乙方保证其提供的产品及服务不侵犯任何第三方合法享有的知识产权或其他权益。若因上述原因引起的第三方追溯，甲方概不负责，乙方承担由此引起的全部责任，并赔偿因此给甲方带来的全部损失。</w:t>
      </w:r>
      <w:bookmarkEnd w:id="747"/>
      <w:bookmarkEnd w:id="748"/>
      <w:bookmarkEnd w:id="749"/>
    </w:p>
    <w:p w14:paraId="3CFCB1EF">
      <w:pPr>
        <w:spacing w:line="360" w:lineRule="auto"/>
        <w:ind w:firstLine="420" w:firstLineChars="200"/>
        <w:outlineLvl w:val="1"/>
        <w:rPr>
          <w:rFonts w:ascii="宋体" w:hAnsi="宋体"/>
          <w:bCs/>
          <w:color w:val="auto"/>
          <w:szCs w:val="21"/>
          <w:highlight w:val="none"/>
        </w:rPr>
      </w:pPr>
      <w:bookmarkStart w:id="750" w:name="_Toc25307934"/>
      <w:bookmarkStart w:id="751" w:name="_Toc41402329"/>
      <w:bookmarkStart w:id="752" w:name="_Toc22250"/>
      <w:r>
        <w:rPr>
          <w:rFonts w:hint="eastAsia" w:ascii="宋体" w:hAnsi="宋体"/>
          <w:bCs/>
          <w:color w:val="auto"/>
          <w:szCs w:val="21"/>
          <w:highlight w:val="none"/>
        </w:rPr>
        <w:t>5.4</w:t>
      </w:r>
      <w:r>
        <w:rPr>
          <w:rFonts w:ascii="宋体" w:hAnsi="宋体"/>
          <w:bCs/>
          <w:color w:val="auto"/>
          <w:szCs w:val="21"/>
          <w:highlight w:val="none"/>
        </w:rPr>
        <w:t>未经甲方事先书面许可，乙方不得将本项目涉及的相关权益转让给第三方。</w:t>
      </w:r>
      <w:bookmarkEnd w:id="750"/>
      <w:bookmarkEnd w:id="751"/>
      <w:bookmarkEnd w:id="752"/>
    </w:p>
    <w:p w14:paraId="658C143B">
      <w:pPr>
        <w:spacing w:line="360" w:lineRule="auto"/>
        <w:outlineLvl w:val="1"/>
        <w:rPr>
          <w:rFonts w:ascii="宋体" w:hAnsi="宋体"/>
          <w:bCs/>
          <w:color w:val="auto"/>
          <w:szCs w:val="21"/>
          <w:highlight w:val="none"/>
        </w:rPr>
      </w:pPr>
      <w:bookmarkStart w:id="753" w:name="_Toc41402330"/>
      <w:bookmarkStart w:id="754" w:name="_Toc28669"/>
      <w:bookmarkStart w:id="755" w:name="_Toc25307935"/>
      <w:r>
        <w:rPr>
          <w:rFonts w:hint="eastAsia" w:ascii="宋体" w:hAnsi="宋体"/>
          <w:bCs/>
          <w:color w:val="auto"/>
          <w:szCs w:val="21"/>
          <w:highlight w:val="none"/>
        </w:rPr>
        <w:t>6、</w:t>
      </w:r>
      <w:r>
        <w:rPr>
          <w:rFonts w:ascii="宋体" w:hAnsi="宋体"/>
          <w:bCs/>
          <w:color w:val="auto"/>
          <w:szCs w:val="21"/>
          <w:highlight w:val="none"/>
        </w:rPr>
        <w:t>其他要求</w:t>
      </w:r>
      <w:bookmarkEnd w:id="753"/>
      <w:bookmarkEnd w:id="754"/>
      <w:bookmarkEnd w:id="755"/>
    </w:p>
    <w:p w14:paraId="6D830B57">
      <w:pPr>
        <w:spacing w:line="360" w:lineRule="auto"/>
        <w:ind w:firstLine="420" w:firstLineChars="200"/>
        <w:outlineLvl w:val="1"/>
        <w:rPr>
          <w:rFonts w:ascii="宋体" w:hAnsi="宋体"/>
          <w:bCs/>
          <w:color w:val="auto"/>
          <w:szCs w:val="21"/>
          <w:highlight w:val="none"/>
        </w:rPr>
      </w:pPr>
      <w:bookmarkStart w:id="756" w:name="_Toc5951"/>
      <w:bookmarkStart w:id="757" w:name="_Toc41402331"/>
      <w:bookmarkStart w:id="758" w:name="_Toc25307936"/>
      <w:r>
        <w:rPr>
          <w:rFonts w:hint="eastAsia" w:ascii="宋体" w:hAnsi="宋体"/>
          <w:bCs/>
          <w:color w:val="auto"/>
          <w:szCs w:val="21"/>
          <w:highlight w:val="none"/>
        </w:rPr>
        <w:t>6.1</w:t>
      </w:r>
      <w:r>
        <w:rPr>
          <w:rFonts w:ascii="宋体" w:hAnsi="宋体"/>
          <w:bCs/>
          <w:color w:val="auto"/>
          <w:szCs w:val="21"/>
          <w:highlight w:val="none"/>
        </w:rPr>
        <w:t>乙方应保证本次项目执行期间与甲方对接的项目团队主要负责人员的稳定性，如遇人员更换，应做好培训、交接工作，保证工作能无缝衔接。</w:t>
      </w:r>
      <w:bookmarkEnd w:id="756"/>
      <w:bookmarkEnd w:id="757"/>
      <w:bookmarkEnd w:id="758"/>
    </w:p>
    <w:p w14:paraId="3742C785">
      <w:pPr>
        <w:spacing w:line="360" w:lineRule="auto"/>
        <w:ind w:firstLine="420" w:firstLineChars="200"/>
        <w:outlineLvl w:val="1"/>
        <w:rPr>
          <w:rFonts w:ascii="宋体" w:hAnsi="宋体"/>
          <w:bCs/>
          <w:color w:val="auto"/>
          <w:szCs w:val="21"/>
          <w:highlight w:val="none"/>
        </w:rPr>
      </w:pPr>
      <w:bookmarkStart w:id="759" w:name="_Toc25307937"/>
      <w:bookmarkStart w:id="760" w:name="_Toc6838"/>
      <w:bookmarkStart w:id="761" w:name="_Toc41402332"/>
      <w:r>
        <w:rPr>
          <w:rFonts w:hint="eastAsia" w:ascii="宋体" w:hAnsi="宋体"/>
          <w:bCs/>
          <w:color w:val="auto"/>
          <w:szCs w:val="21"/>
          <w:highlight w:val="none"/>
        </w:rPr>
        <w:t>6</w:t>
      </w:r>
      <w:r>
        <w:rPr>
          <w:rFonts w:ascii="宋体" w:hAnsi="宋体"/>
          <w:bCs/>
          <w:color w:val="auto"/>
          <w:szCs w:val="21"/>
          <w:highlight w:val="none"/>
        </w:rPr>
        <w:t>.2乙方根据对本项目的理解，可额外免费提供其他增值服务并提出合理化建议。</w:t>
      </w:r>
      <w:bookmarkEnd w:id="759"/>
      <w:bookmarkEnd w:id="760"/>
      <w:bookmarkEnd w:id="761"/>
    </w:p>
    <w:p w14:paraId="0034489A">
      <w:pPr>
        <w:spacing w:line="360" w:lineRule="auto"/>
        <w:ind w:firstLine="420" w:firstLineChars="200"/>
        <w:outlineLvl w:val="1"/>
        <w:rPr>
          <w:rFonts w:ascii="宋体" w:hAnsi="宋体"/>
          <w:bCs/>
          <w:color w:val="auto"/>
          <w:szCs w:val="21"/>
          <w:highlight w:val="none"/>
        </w:rPr>
      </w:pPr>
      <w:bookmarkStart w:id="762" w:name="_Toc41402333"/>
      <w:bookmarkStart w:id="763" w:name="_Toc25307938"/>
      <w:bookmarkStart w:id="764" w:name="_Toc29328"/>
      <w:r>
        <w:rPr>
          <w:rFonts w:hint="eastAsia" w:ascii="宋体" w:hAnsi="宋体"/>
          <w:bCs/>
          <w:color w:val="auto"/>
          <w:szCs w:val="21"/>
          <w:highlight w:val="none"/>
        </w:rPr>
        <w:t>6.3 甲方发现乙方在后期提供的商品与投标时的商品不符（在质量、生产厂商、型号等方面不符），甲方有权解除合同并扣除履约保证金，并进一步追究相关经济和法律责任。</w:t>
      </w:r>
      <w:bookmarkEnd w:id="762"/>
      <w:bookmarkEnd w:id="763"/>
      <w:bookmarkEnd w:id="764"/>
    </w:p>
    <w:p w14:paraId="04A1F1FA">
      <w:pPr>
        <w:pStyle w:val="14"/>
        <w:spacing w:line="360" w:lineRule="auto"/>
        <w:ind w:firstLine="420" w:firstLineChars="200"/>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6.4投标人提供的商品质量保证体系健全，有正规、可溯源的供货渠道，有完善的质检措施，保证商品质量。</w:t>
      </w:r>
    </w:p>
    <w:p w14:paraId="5159840D">
      <w:pPr>
        <w:spacing w:line="360" w:lineRule="auto"/>
        <w:rPr>
          <w:rFonts w:ascii="宋体" w:hAnsi="宋体"/>
          <w:b/>
          <w:color w:val="auto"/>
          <w:szCs w:val="21"/>
          <w:highlight w:val="none"/>
        </w:rPr>
      </w:pPr>
      <w:r>
        <w:rPr>
          <w:rFonts w:hint="eastAsia" w:ascii="宋体" w:hAnsi="宋体"/>
          <w:b/>
          <w:color w:val="auto"/>
          <w:szCs w:val="21"/>
          <w:highlight w:val="none"/>
        </w:rPr>
        <w:t>三、入库管理</w:t>
      </w:r>
    </w:p>
    <w:p w14:paraId="5E689C3C">
      <w:pPr>
        <w:adjustRightInd w:val="0"/>
        <w:snapToGrid w:val="0"/>
        <w:spacing w:line="360" w:lineRule="auto"/>
        <w:rPr>
          <w:rFonts w:ascii="宋体" w:hAnsi="宋体"/>
          <w:bCs/>
          <w:color w:val="auto"/>
          <w:szCs w:val="21"/>
          <w:highlight w:val="none"/>
        </w:rPr>
      </w:pPr>
      <w:r>
        <w:rPr>
          <w:rFonts w:hint="eastAsia" w:ascii="宋体" w:hAnsi="宋体"/>
          <w:bCs/>
          <w:color w:val="auto"/>
          <w:szCs w:val="21"/>
          <w:highlight w:val="none"/>
        </w:rPr>
        <w:t>1、合格的中标候选人获得入库资格，并按供应商库管理办法进行管理。招标人有权对每次采购项目的实施情况给予评价打分，对提供产品不合格或服务有严重过失的行为可给予警告、取消入围资格等管理措施。</w:t>
      </w:r>
    </w:p>
    <w:p w14:paraId="201AE3AB">
      <w:pPr>
        <w:adjustRightInd w:val="0"/>
        <w:snapToGrid w:val="0"/>
        <w:spacing w:line="360" w:lineRule="auto"/>
        <w:rPr>
          <w:rFonts w:ascii="宋体" w:hAnsi="宋体"/>
          <w:bCs/>
          <w:color w:val="auto"/>
          <w:szCs w:val="21"/>
          <w:highlight w:val="none"/>
        </w:rPr>
      </w:pPr>
      <w:r>
        <w:rPr>
          <w:rFonts w:hint="eastAsia" w:ascii="宋体" w:hAnsi="宋体"/>
          <w:bCs/>
          <w:color w:val="auto"/>
          <w:szCs w:val="21"/>
          <w:highlight w:val="none"/>
        </w:rPr>
        <w:t>2、按照招标文件中所附合同条款，签订入库服务框架协议。本次中标入围供应商不得无故不参与招标人发出的宣传用品采购需求项目，须无条件接受招标人的任务安排，不得以地点过远、人手不足等理由拒绝，否则招标人有权取消其入围资格。</w:t>
      </w:r>
    </w:p>
    <w:p w14:paraId="7A02885C">
      <w:pPr>
        <w:adjustRightInd w:val="0"/>
        <w:snapToGrid w:val="0"/>
        <w:spacing w:line="360" w:lineRule="auto"/>
        <w:rPr>
          <w:rFonts w:ascii="宋体" w:hAnsi="宋体"/>
          <w:bCs/>
          <w:color w:val="auto"/>
          <w:szCs w:val="21"/>
          <w:highlight w:val="none"/>
        </w:rPr>
      </w:pPr>
    </w:p>
    <w:p w14:paraId="30C2A13F">
      <w:pPr>
        <w:adjustRightInd w:val="0"/>
        <w:snapToGrid w:val="0"/>
        <w:spacing w:line="360" w:lineRule="auto"/>
        <w:rPr>
          <w:rFonts w:ascii="宋体" w:hAnsi="宋体"/>
          <w:bCs/>
          <w:color w:val="auto"/>
          <w:szCs w:val="21"/>
          <w:highlight w:val="none"/>
        </w:rPr>
      </w:pPr>
    </w:p>
    <w:p w14:paraId="5F66C4E1">
      <w:pPr>
        <w:adjustRightInd w:val="0"/>
        <w:snapToGrid w:val="0"/>
        <w:spacing w:line="360" w:lineRule="auto"/>
        <w:rPr>
          <w:rFonts w:ascii="宋体" w:hAnsi="宋体"/>
          <w:bCs/>
          <w:color w:val="auto"/>
          <w:szCs w:val="21"/>
          <w:highlight w:val="none"/>
        </w:rPr>
      </w:pPr>
    </w:p>
    <w:p w14:paraId="5F3467C4">
      <w:pPr>
        <w:adjustRightInd w:val="0"/>
        <w:snapToGrid w:val="0"/>
        <w:spacing w:line="360" w:lineRule="auto"/>
        <w:rPr>
          <w:rFonts w:ascii="宋体" w:hAnsi="宋体"/>
          <w:bCs/>
          <w:color w:val="auto"/>
          <w:szCs w:val="21"/>
          <w:highlight w:val="none"/>
        </w:rPr>
      </w:pPr>
    </w:p>
    <w:p w14:paraId="4FEAB251">
      <w:pPr>
        <w:adjustRightInd w:val="0"/>
        <w:snapToGrid w:val="0"/>
        <w:spacing w:line="360" w:lineRule="auto"/>
        <w:rPr>
          <w:rFonts w:ascii="宋体" w:hAnsi="宋体"/>
          <w:bCs/>
          <w:color w:val="auto"/>
          <w:szCs w:val="21"/>
          <w:highlight w:val="none"/>
        </w:rPr>
      </w:pPr>
    </w:p>
    <w:p w14:paraId="21B4969E">
      <w:pPr>
        <w:rPr>
          <w:color w:val="auto"/>
          <w:highlight w:val="none"/>
        </w:rPr>
      </w:pPr>
    </w:p>
    <w:p w14:paraId="1B607C33">
      <w:pPr>
        <w:pStyle w:val="2"/>
        <w:spacing w:line="360" w:lineRule="auto"/>
        <w:jc w:val="center"/>
        <w:rPr>
          <w:rFonts w:ascii="宋体" w:hAnsi="宋体"/>
          <w:color w:val="auto"/>
          <w:kern w:val="0"/>
          <w:highlight w:val="none"/>
        </w:rPr>
      </w:pPr>
    </w:p>
    <w:p w14:paraId="7A31A011">
      <w:pPr>
        <w:rPr>
          <w:color w:val="auto"/>
          <w:highlight w:val="none"/>
        </w:rPr>
      </w:pPr>
    </w:p>
    <w:p w14:paraId="4F47B4FF">
      <w:pPr>
        <w:pStyle w:val="2"/>
        <w:spacing w:line="360" w:lineRule="auto"/>
        <w:jc w:val="center"/>
        <w:rPr>
          <w:rFonts w:ascii="宋体" w:hAnsi="宋体"/>
          <w:color w:val="auto"/>
          <w:kern w:val="0"/>
          <w:highlight w:val="none"/>
        </w:rPr>
      </w:pPr>
      <w:bookmarkStart w:id="765" w:name="_Toc6769"/>
      <w:r>
        <w:rPr>
          <w:rFonts w:hint="eastAsia" w:ascii="宋体" w:hAnsi="宋体"/>
          <w:color w:val="auto"/>
          <w:kern w:val="0"/>
          <w:highlight w:val="none"/>
        </w:rPr>
        <w:t>第六章 投标文件格式</w:t>
      </w:r>
      <w:bookmarkEnd w:id="765"/>
    </w:p>
    <w:p w14:paraId="4ECEF0B5">
      <w:pPr>
        <w:adjustRightInd w:val="0"/>
        <w:snapToGrid w:val="0"/>
        <w:spacing w:line="440" w:lineRule="atLeast"/>
        <w:rPr>
          <w:rFonts w:ascii="宋体" w:hAnsi="宋体" w:cs="宋体"/>
          <w:b/>
          <w:color w:val="auto"/>
          <w:highlight w:val="none"/>
        </w:rPr>
      </w:pPr>
      <w:r>
        <w:rPr>
          <w:rFonts w:hint="eastAsia" w:ascii="宋体" w:hAnsi="宋体" w:cs="宋体"/>
          <w:b/>
          <w:color w:val="auto"/>
          <w:highlight w:val="none"/>
        </w:rPr>
        <w:t>1.投标文件内容按本章规定的格式装订成册，并应编制目录。</w:t>
      </w:r>
    </w:p>
    <w:p w14:paraId="21E53264">
      <w:pPr>
        <w:adjustRightInd w:val="0"/>
        <w:snapToGrid w:val="0"/>
        <w:spacing w:line="440" w:lineRule="atLeast"/>
        <w:rPr>
          <w:rFonts w:ascii="宋体" w:hAnsi="宋体" w:cs="宋体"/>
          <w:b/>
          <w:color w:val="auto"/>
          <w:highlight w:val="none"/>
        </w:rPr>
      </w:pPr>
      <w:r>
        <w:rPr>
          <w:rFonts w:hint="eastAsia" w:ascii="宋体" w:hAnsi="宋体" w:cs="宋体"/>
          <w:b/>
          <w:color w:val="auto"/>
          <w:highlight w:val="none"/>
        </w:rPr>
        <w:t>2.投标文件正本一份、副本一份、电子文档（U盘）一份（含所有投标文件正本的扫描件（PDF格式））。3.投标文件分为正本和副本，副本可为正本的复印件，正本和副本均应逐页加盖投标人公章（鲜章），同时须在投标文件封面上注明“正本”、“副本”。</w:t>
      </w:r>
    </w:p>
    <w:p w14:paraId="75F27B97">
      <w:pPr>
        <w:adjustRightInd w:val="0"/>
        <w:snapToGrid w:val="0"/>
        <w:spacing w:line="440" w:lineRule="atLeast"/>
        <w:rPr>
          <w:rFonts w:ascii="宋体" w:hAnsi="宋体" w:cs="宋体"/>
          <w:b/>
          <w:color w:val="auto"/>
          <w:highlight w:val="none"/>
        </w:rPr>
      </w:pPr>
      <w:r>
        <w:rPr>
          <w:rFonts w:hint="eastAsia" w:ascii="宋体" w:hAnsi="宋体" w:cs="宋体"/>
          <w:b/>
          <w:color w:val="auto"/>
          <w:highlight w:val="none"/>
        </w:rPr>
        <w:t>4.投标文件中需要签字的地方，授权委托人应该签字。</w:t>
      </w:r>
    </w:p>
    <w:p w14:paraId="1028B095">
      <w:pPr>
        <w:spacing w:line="500" w:lineRule="exact"/>
        <w:jc w:val="left"/>
        <w:rPr>
          <w:rFonts w:ascii="宋体" w:hAnsi="宋体"/>
          <w:bCs/>
          <w:color w:val="auto"/>
          <w:sz w:val="32"/>
          <w:szCs w:val="22"/>
          <w:highlight w:val="none"/>
        </w:rPr>
      </w:pPr>
      <w:r>
        <w:rPr>
          <w:rFonts w:hint="eastAsia" w:ascii="宋体" w:hAnsi="宋体" w:cs="宋体"/>
          <w:b/>
          <w:color w:val="auto"/>
          <w:highlight w:val="none"/>
        </w:rPr>
        <w:t>5.投标文件电子文档（U盘）用信封封装，注明项目名称并盖投标人公章（鲜章），装入投标文件大</w:t>
      </w:r>
      <w:r>
        <w:rPr>
          <w:rFonts w:hint="eastAsia"/>
          <w:b/>
          <w:color w:val="auto"/>
          <w:highlight w:val="none"/>
        </w:rPr>
        <w:t>袋。</w:t>
      </w:r>
    </w:p>
    <w:p w14:paraId="3FCD63CC">
      <w:pPr>
        <w:spacing w:line="500" w:lineRule="exact"/>
        <w:jc w:val="right"/>
        <w:rPr>
          <w:rFonts w:ascii="宋体" w:hAnsi="宋体"/>
          <w:bCs/>
          <w:color w:val="auto"/>
          <w:sz w:val="32"/>
          <w:szCs w:val="22"/>
          <w:highlight w:val="none"/>
        </w:rPr>
      </w:pPr>
    </w:p>
    <w:p w14:paraId="2D4B21BF">
      <w:pPr>
        <w:spacing w:line="500" w:lineRule="exact"/>
        <w:jc w:val="right"/>
        <w:rPr>
          <w:rFonts w:ascii="宋体" w:hAnsi="宋体"/>
          <w:bCs/>
          <w:color w:val="auto"/>
          <w:sz w:val="32"/>
          <w:szCs w:val="22"/>
          <w:highlight w:val="none"/>
        </w:rPr>
      </w:pPr>
    </w:p>
    <w:p w14:paraId="5848EF88">
      <w:pPr>
        <w:spacing w:line="500" w:lineRule="exact"/>
        <w:jc w:val="right"/>
        <w:rPr>
          <w:rFonts w:ascii="宋体" w:hAnsi="宋体"/>
          <w:bCs/>
          <w:color w:val="auto"/>
          <w:sz w:val="32"/>
          <w:szCs w:val="22"/>
          <w:highlight w:val="none"/>
        </w:rPr>
      </w:pPr>
    </w:p>
    <w:p w14:paraId="38DEF6ED">
      <w:pPr>
        <w:spacing w:line="500" w:lineRule="exact"/>
        <w:jc w:val="right"/>
        <w:rPr>
          <w:rFonts w:ascii="宋体" w:hAnsi="宋体"/>
          <w:bCs/>
          <w:color w:val="auto"/>
          <w:sz w:val="32"/>
          <w:szCs w:val="22"/>
          <w:highlight w:val="none"/>
        </w:rPr>
      </w:pPr>
    </w:p>
    <w:p w14:paraId="44E15E0E">
      <w:pPr>
        <w:spacing w:line="500" w:lineRule="exact"/>
        <w:jc w:val="right"/>
        <w:rPr>
          <w:rFonts w:ascii="宋体" w:hAnsi="宋体"/>
          <w:bCs/>
          <w:color w:val="auto"/>
          <w:sz w:val="32"/>
          <w:szCs w:val="22"/>
          <w:highlight w:val="none"/>
        </w:rPr>
      </w:pPr>
    </w:p>
    <w:p w14:paraId="1F9CE34D">
      <w:pPr>
        <w:spacing w:line="500" w:lineRule="exact"/>
        <w:jc w:val="right"/>
        <w:rPr>
          <w:rFonts w:ascii="宋体" w:hAnsi="宋体"/>
          <w:bCs/>
          <w:color w:val="auto"/>
          <w:sz w:val="32"/>
          <w:szCs w:val="22"/>
          <w:highlight w:val="none"/>
        </w:rPr>
      </w:pPr>
    </w:p>
    <w:p w14:paraId="4EADA29C">
      <w:pPr>
        <w:spacing w:line="500" w:lineRule="exact"/>
        <w:jc w:val="right"/>
        <w:rPr>
          <w:rFonts w:ascii="宋体" w:hAnsi="宋体"/>
          <w:bCs/>
          <w:color w:val="auto"/>
          <w:sz w:val="32"/>
          <w:szCs w:val="22"/>
          <w:highlight w:val="none"/>
        </w:rPr>
      </w:pPr>
    </w:p>
    <w:p w14:paraId="41B1CA42">
      <w:pPr>
        <w:spacing w:line="500" w:lineRule="exact"/>
        <w:jc w:val="right"/>
        <w:rPr>
          <w:rFonts w:ascii="宋体" w:hAnsi="宋体"/>
          <w:bCs/>
          <w:color w:val="auto"/>
          <w:sz w:val="32"/>
          <w:szCs w:val="22"/>
          <w:highlight w:val="none"/>
        </w:rPr>
      </w:pPr>
    </w:p>
    <w:p w14:paraId="113BD7E2">
      <w:pPr>
        <w:spacing w:line="500" w:lineRule="exact"/>
        <w:jc w:val="right"/>
        <w:rPr>
          <w:rFonts w:ascii="宋体" w:hAnsi="宋体"/>
          <w:bCs/>
          <w:color w:val="auto"/>
          <w:sz w:val="32"/>
          <w:szCs w:val="22"/>
          <w:highlight w:val="none"/>
        </w:rPr>
      </w:pPr>
    </w:p>
    <w:p w14:paraId="095E42DE">
      <w:pPr>
        <w:spacing w:line="500" w:lineRule="exact"/>
        <w:jc w:val="right"/>
        <w:rPr>
          <w:rFonts w:ascii="宋体" w:hAnsi="宋体"/>
          <w:bCs/>
          <w:color w:val="auto"/>
          <w:sz w:val="32"/>
          <w:szCs w:val="22"/>
          <w:highlight w:val="none"/>
        </w:rPr>
      </w:pPr>
    </w:p>
    <w:p w14:paraId="35A56F50">
      <w:pPr>
        <w:spacing w:line="500" w:lineRule="exact"/>
        <w:jc w:val="right"/>
        <w:rPr>
          <w:rFonts w:ascii="宋体" w:hAnsi="宋体"/>
          <w:bCs/>
          <w:color w:val="auto"/>
          <w:sz w:val="32"/>
          <w:szCs w:val="22"/>
          <w:highlight w:val="none"/>
        </w:rPr>
      </w:pPr>
    </w:p>
    <w:p w14:paraId="3437FBF9">
      <w:pPr>
        <w:spacing w:line="500" w:lineRule="exact"/>
        <w:jc w:val="right"/>
        <w:rPr>
          <w:rFonts w:ascii="宋体" w:hAnsi="宋体"/>
          <w:bCs/>
          <w:color w:val="auto"/>
          <w:sz w:val="32"/>
          <w:szCs w:val="22"/>
          <w:highlight w:val="none"/>
        </w:rPr>
      </w:pPr>
    </w:p>
    <w:p w14:paraId="4FE19B74">
      <w:pPr>
        <w:spacing w:line="500" w:lineRule="exact"/>
        <w:jc w:val="right"/>
        <w:rPr>
          <w:rFonts w:ascii="宋体" w:hAnsi="宋体"/>
          <w:bCs/>
          <w:color w:val="auto"/>
          <w:sz w:val="32"/>
          <w:szCs w:val="22"/>
          <w:highlight w:val="none"/>
        </w:rPr>
      </w:pPr>
    </w:p>
    <w:p w14:paraId="6C7E35C5">
      <w:pPr>
        <w:spacing w:line="500" w:lineRule="exact"/>
        <w:jc w:val="right"/>
        <w:rPr>
          <w:rFonts w:ascii="宋体" w:hAnsi="宋体"/>
          <w:bCs/>
          <w:color w:val="auto"/>
          <w:sz w:val="32"/>
          <w:szCs w:val="22"/>
          <w:highlight w:val="none"/>
        </w:rPr>
      </w:pPr>
    </w:p>
    <w:p w14:paraId="48FBD422">
      <w:pPr>
        <w:spacing w:line="500" w:lineRule="exact"/>
        <w:jc w:val="right"/>
        <w:rPr>
          <w:rFonts w:ascii="宋体" w:hAnsi="宋体"/>
          <w:bCs/>
          <w:color w:val="auto"/>
          <w:sz w:val="32"/>
          <w:szCs w:val="22"/>
          <w:highlight w:val="none"/>
        </w:rPr>
      </w:pPr>
    </w:p>
    <w:p w14:paraId="04362288">
      <w:pPr>
        <w:spacing w:line="500" w:lineRule="exact"/>
        <w:jc w:val="right"/>
        <w:rPr>
          <w:rFonts w:ascii="宋体" w:hAnsi="宋体"/>
          <w:bCs/>
          <w:color w:val="auto"/>
          <w:sz w:val="32"/>
          <w:szCs w:val="22"/>
          <w:highlight w:val="none"/>
        </w:rPr>
      </w:pPr>
    </w:p>
    <w:p w14:paraId="1FAC0251">
      <w:pPr>
        <w:spacing w:line="500" w:lineRule="exact"/>
        <w:jc w:val="right"/>
        <w:rPr>
          <w:rFonts w:ascii="宋体" w:hAnsi="宋体"/>
          <w:bCs/>
          <w:color w:val="auto"/>
          <w:sz w:val="32"/>
          <w:szCs w:val="22"/>
          <w:highlight w:val="none"/>
        </w:rPr>
      </w:pPr>
    </w:p>
    <w:p w14:paraId="1363DEDE">
      <w:pPr>
        <w:spacing w:line="500" w:lineRule="exact"/>
        <w:jc w:val="right"/>
        <w:rPr>
          <w:rFonts w:ascii="宋体" w:hAnsi="宋体"/>
          <w:bCs/>
          <w:color w:val="auto"/>
          <w:sz w:val="32"/>
          <w:szCs w:val="22"/>
          <w:highlight w:val="none"/>
        </w:rPr>
      </w:pPr>
    </w:p>
    <w:p w14:paraId="54EC6ECB">
      <w:pPr>
        <w:spacing w:line="500" w:lineRule="exact"/>
        <w:ind w:right="640"/>
        <w:rPr>
          <w:rFonts w:ascii="宋体" w:hAnsi="宋体"/>
          <w:bCs/>
          <w:color w:val="auto"/>
          <w:sz w:val="32"/>
          <w:szCs w:val="22"/>
          <w:highlight w:val="none"/>
        </w:rPr>
      </w:pPr>
    </w:p>
    <w:p w14:paraId="268321BC">
      <w:pPr>
        <w:spacing w:line="500" w:lineRule="exact"/>
        <w:jc w:val="right"/>
        <w:rPr>
          <w:rFonts w:ascii="宋体" w:hAnsi="宋体"/>
          <w:bCs/>
          <w:color w:val="auto"/>
          <w:sz w:val="32"/>
          <w:szCs w:val="22"/>
          <w:highlight w:val="none"/>
        </w:rPr>
      </w:pPr>
    </w:p>
    <w:p w14:paraId="5BAD7B67">
      <w:pPr>
        <w:spacing w:line="500" w:lineRule="exact"/>
        <w:jc w:val="right"/>
        <w:rPr>
          <w:rFonts w:ascii="宋体" w:hAnsi="宋体"/>
          <w:bCs/>
          <w:color w:val="auto"/>
          <w:sz w:val="32"/>
          <w:szCs w:val="22"/>
          <w:highlight w:val="none"/>
        </w:rPr>
      </w:pPr>
    </w:p>
    <w:p w14:paraId="7C540A28">
      <w:pPr>
        <w:spacing w:line="500" w:lineRule="exact"/>
        <w:jc w:val="right"/>
        <w:rPr>
          <w:rFonts w:ascii="宋体" w:hAnsi="宋体"/>
          <w:bCs/>
          <w:color w:val="auto"/>
          <w:sz w:val="32"/>
          <w:szCs w:val="22"/>
          <w:highlight w:val="none"/>
        </w:rPr>
      </w:pPr>
    </w:p>
    <w:p w14:paraId="75999544">
      <w:pPr>
        <w:spacing w:line="500" w:lineRule="exact"/>
        <w:jc w:val="right"/>
        <w:rPr>
          <w:rFonts w:ascii="宋体" w:hAnsi="宋体"/>
          <w:bCs/>
          <w:color w:val="auto"/>
          <w:sz w:val="32"/>
          <w:szCs w:val="22"/>
          <w:highlight w:val="none"/>
        </w:rPr>
      </w:pPr>
    </w:p>
    <w:p w14:paraId="38934BDF">
      <w:pPr>
        <w:spacing w:line="500" w:lineRule="exact"/>
        <w:jc w:val="right"/>
        <w:rPr>
          <w:rFonts w:ascii="宋体" w:hAnsi="宋体"/>
          <w:bCs/>
          <w:color w:val="auto"/>
          <w:sz w:val="32"/>
          <w:szCs w:val="22"/>
          <w:highlight w:val="none"/>
        </w:rPr>
      </w:pPr>
      <w:r>
        <w:rPr>
          <w:rFonts w:hint="eastAsia" w:ascii="宋体" w:hAnsi="宋体"/>
          <w:bCs/>
          <w:color w:val="auto"/>
          <w:sz w:val="32"/>
          <w:szCs w:val="22"/>
          <w:highlight w:val="none"/>
        </w:rPr>
        <w:t>正（副）本</w:t>
      </w:r>
    </w:p>
    <w:p w14:paraId="01B393B7">
      <w:pPr>
        <w:spacing w:line="500" w:lineRule="exact"/>
        <w:rPr>
          <w:rFonts w:ascii="宋体" w:hAnsi="宋体"/>
          <w:b/>
          <w:color w:val="auto"/>
          <w:sz w:val="32"/>
          <w:szCs w:val="22"/>
          <w:highlight w:val="none"/>
        </w:rPr>
      </w:pPr>
    </w:p>
    <w:p w14:paraId="627FF5CF">
      <w:pPr>
        <w:spacing w:line="360" w:lineRule="auto"/>
        <w:ind w:left="1606" w:hanging="1606" w:hangingChars="500"/>
        <w:rPr>
          <w:rFonts w:ascii="宋体" w:hAnsi="宋体"/>
          <w:b/>
          <w:color w:val="auto"/>
          <w:sz w:val="32"/>
          <w:szCs w:val="32"/>
          <w:highlight w:val="none"/>
        </w:rPr>
      </w:pPr>
      <w:r>
        <w:rPr>
          <w:rFonts w:hint="eastAsia" w:ascii="宋体" w:hAnsi="宋体"/>
          <w:b/>
          <w:color w:val="auto"/>
          <w:sz w:val="32"/>
          <w:szCs w:val="22"/>
          <w:highlight w:val="none"/>
        </w:rPr>
        <w:t>项目名称：</w:t>
      </w:r>
      <w:r>
        <w:rPr>
          <w:rFonts w:hint="eastAsia" w:ascii="宋体" w:hAnsi="宋体"/>
          <w:b/>
          <w:color w:val="auto"/>
          <w:sz w:val="32"/>
          <w:szCs w:val="32"/>
          <w:highlight w:val="none"/>
        </w:rPr>
        <w:t xml:space="preserve">中国人寿保险股份有限公司重庆市分公司个险渠道客户活动采购 </w:t>
      </w:r>
    </w:p>
    <w:p w14:paraId="727C3E4A">
      <w:pPr>
        <w:spacing w:line="360" w:lineRule="auto"/>
        <w:ind w:left="1054" w:hanging="1054" w:hangingChars="500"/>
        <w:jc w:val="left"/>
        <w:rPr>
          <w:rFonts w:ascii="宋体" w:hAnsi="宋体"/>
          <w:b/>
          <w:color w:val="auto"/>
          <w:kern w:val="0"/>
          <w:highlight w:val="none"/>
        </w:rPr>
      </w:pPr>
    </w:p>
    <w:p w14:paraId="40670C70">
      <w:pPr>
        <w:tabs>
          <w:tab w:val="left" w:pos="3600"/>
          <w:tab w:val="left" w:pos="4480"/>
          <w:tab w:val="left" w:pos="5360"/>
        </w:tabs>
        <w:autoSpaceDE w:val="0"/>
        <w:autoSpaceDN w:val="0"/>
        <w:adjustRightInd w:val="0"/>
        <w:snapToGrid w:val="0"/>
        <w:spacing w:line="360" w:lineRule="auto"/>
        <w:ind w:firstLine="422" w:firstLineChars="200"/>
        <w:rPr>
          <w:rFonts w:ascii="宋体" w:hAnsi="宋体"/>
          <w:b/>
          <w:color w:val="auto"/>
          <w:kern w:val="0"/>
          <w:highlight w:val="none"/>
        </w:rPr>
      </w:pPr>
    </w:p>
    <w:p w14:paraId="5952EE46">
      <w:pPr>
        <w:tabs>
          <w:tab w:val="left" w:pos="3600"/>
          <w:tab w:val="left" w:pos="4480"/>
          <w:tab w:val="left" w:pos="5360"/>
        </w:tabs>
        <w:autoSpaceDE w:val="0"/>
        <w:autoSpaceDN w:val="0"/>
        <w:adjustRightInd w:val="0"/>
        <w:snapToGrid w:val="0"/>
        <w:spacing w:line="360" w:lineRule="auto"/>
        <w:ind w:firstLine="422" w:firstLineChars="200"/>
        <w:rPr>
          <w:rFonts w:ascii="宋体" w:hAnsi="宋体"/>
          <w:b/>
          <w:color w:val="auto"/>
          <w:kern w:val="0"/>
          <w:highlight w:val="none"/>
        </w:rPr>
      </w:pPr>
    </w:p>
    <w:p w14:paraId="2636BF3F">
      <w:pPr>
        <w:tabs>
          <w:tab w:val="left" w:pos="3600"/>
          <w:tab w:val="left" w:pos="4480"/>
          <w:tab w:val="left" w:pos="5360"/>
        </w:tabs>
        <w:autoSpaceDE w:val="0"/>
        <w:autoSpaceDN w:val="0"/>
        <w:adjustRightInd w:val="0"/>
        <w:snapToGrid w:val="0"/>
        <w:spacing w:line="360" w:lineRule="auto"/>
        <w:ind w:firstLine="422" w:firstLineChars="200"/>
        <w:rPr>
          <w:rFonts w:ascii="宋体" w:hAnsi="宋体"/>
          <w:b/>
          <w:color w:val="auto"/>
          <w:kern w:val="0"/>
          <w:highlight w:val="none"/>
        </w:rPr>
      </w:pPr>
    </w:p>
    <w:p w14:paraId="0027565B">
      <w:pPr>
        <w:tabs>
          <w:tab w:val="left" w:pos="3600"/>
          <w:tab w:val="left" w:pos="4480"/>
          <w:tab w:val="left" w:pos="5360"/>
        </w:tabs>
        <w:autoSpaceDE w:val="0"/>
        <w:autoSpaceDN w:val="0"/>
        <w:adjustRightInd w:val="0"/>
        <w:snapToGrid w:val="0"/>
        <w:spacing w:line="360" w:lineRule="auto"/>
        <w:ind w:firstLine="422" w:firstLineChars="200"/>
        <w:rPr>
          <w:rFonts w:ascii="宋体" w:hAnsi="宋体"/>
          <w:b/>
          <w:color w:val="auto"/>
          <w:kern w:val="0"/>
          <w:highlight w:val="none"/>
        </w:rPr>
      </w:pPr>
    </w:p>
    <w:p w14:paraId="45D96616">
      <w:pPr>
        <w:tabs>
          <w:tab w:val="left" w:pos="3600"/>
          <w:tab w:val="left" w:pos="4480"/>
          <w:tab w:val="left" w:pos="5360"/>
        </w:tabs>
        <w:autoSpaceDE w:val="0"/>
        <w:autoSpaceDN w:val="0"/>
        <w:adjustRightInd w:val="0"/>
        <w:snapToGrid w:val="0"/>
        <w:spacing w:line="360" w:lineRule="auto"/>
        <w:rPr>
          <w:rFonts w:ascii="宋体" w:hAnsi="宋体"/>
          <w:b/>
          <w:color w:val="auto"/>
          <w:kern w:val="0"/>
          <w:highlight w:val="none"/>
        </w:rPr>
      </w:pPr>
    </w:p>
    <w:p w14:paraId="05205AAA">
      <w:pPr>
        <w:tabs>
          <w:tab w:val="left" w:pos="3600"/>
          <w:tab w:val="left" w:pos="4480"/>
          <w:tab w:val="left" w:pos="5360"/>
        </w:tabs>
        <w:autoSpaceDE w:val="0"/>
        <w:autoSpaceDN w:val="0"/>
        <w:adjustRightInd w:val="0"/>
        <w:snapToGrid w:val="0"/>
        <w:spacing w:line="360" w:lineRule="auto"/>
        <w:ind w:firstLine="422" w:firstLineChars="200"/>
        <w:rPr>
          <w:rFonts w:ascii="宋体" w:hAnsi="宋体"/>
          <w:b/>
          <w:color w:val="auto"/>
          <w:kern w:val="0"/>
          <w:highlight w:val="none"/>
        </w:rPr>
      </w:pPr>
    </w:p>
    <w:p w14:paraId="6D240871">
      <w:pPr>
        <w:tabs>
          <w:tab w:val="left" w:pos="3600"/>
          <w:tab w:val="left" w:pos="4480"/>
          <w:tab w:val="left" w:pos="5360"/>
        </w:tabs>
        <w:autoSpaceDE w:val="0"/>
        <w:autoSpaceDN w:val="0"/>
        <w:adjustRightInd w:val="0"/>
        <w:snapToGrid w:val="0"/>
        <w:spacing w:line="360" w:lineRule="auto"/>
        <w:ind w:firstLine="1687" w:firstLineChars="200"/>
        <w:rPr>
          <w:rFonts w:ascii="宋体" w:hAnsi="宋体"/>
          <w:b/>
          <w:color w:val="auto"/>
          <w:kern w:val="0"/>
          <w:sz w:val="84"/>
          <w:highlight w:val="none"/>
        </w:rPr>
      </w:pPr>
      <w:r>
        <w:rPr>
          <w:rFonts w:hint="eastAsia" w:ascii="宋体" w:hAnsi="宋体"/>
          <w:b/>
          <w:color w:val="auto"/>
          <w:kern w:val="0"/>
          <w:sz w:val="84"/>
          <w:highlight w:val="none"/>
        </w:rPr>
        <w:t>投  标  文  件</w:t>
      </w:r>
    </w:p>
    <w:p w14:paraId="74271F4D">
      <w:pPr>
        <w:autoSpaceDE w:val="0"/>
        <w:autoSpaceDN w:val="0"/>
        <w:adjustRightInd w:val="0"/>
        <w:snapToGrid w:val="0"/>
        <w:spacing w:line="440" w:lineRule="exact"/>
        <w:ind w:firstLine="422" w:firstLineChars="200"/>
        <w:rPr>
          <w:rFonts w:ascii="宋体" w:hAnsi="宋体"/>
          <w:b/>
          <w:color w:val="auto"/>
          <w:kern w:val="0"/>
          <w:highlight w:val="none"/>
        </w:rPr>
      </w:pPr>
    </w:p>
    <w:p w14:paraId="715C5AB1">
      <w:pPr>
        <w:autoSpaceDE w:val="0"/>
        <w:autoSpaceDN w:val="0"/>
        <w:adjustRightInd w:val="0"/>
        <w:snapToGrid w:val="0"/>
        <w:spacing w:line="440" w:lineRule="exact"/>
        <w:ind w:firstLine="422" w:firstLineChars="200"/>
        <w:rPr>
          <w:rFonts w:ascii="宋体" w:hAnsi="宋体"/>
          <w:b/>
          <w:color w:val="auto"/>
          <w:kern w:val="0"/>
          <w:highlight w:val="none"/>
        </w:rPr>
      </w:pPr>
    </w:p>
    <w:p w14:paraId="2852B6BE">
      <w:pPr>
        <w:autoSpaceDE w:val="0"/>
        <w:autoSpaceDN w:val="0"/>
        <w:adjustRightInd w:val="0"/>
        <w:snapToGrid w:val="0"/>
        <w:spacing w:line="440" w:lineRule="exact"/>
        <w:ind w:firstLine="422" w:firstLineChars="200"/>
        <w:rPr>
          <w:rFonts w:ascii="宋体" w:hAnsi="宋体"/>
          <w:b/>
          <w:color w:val="auto"/>
          <w:kern w:val="0"/>
          <w:highlight w:val="none"/>
        </w:rPr>
      </w:pPr>
    </w:p>
    <w:p w14:paraId="24835CBD">
      <w:pPr>
        <w:autoSpaceDE w:val="0"/>
        <w:autoSpaceDN w:val="0"/>
        <w:adjustRightInd w:val="0"/>
        <w:snapToGrid w:val="0"/>
        <w:spacing w:line="440" w:lineRule="exact"/>
        <w:ind w:firstLine="422" w:firstLineChars="200"/>
        <w:rPr>
          <w:rFonts w:ascii="宋体" w:hAnsi="宋体"/>
          <w:b/>
          <w:color w:val="auto"/>
          <w:kern w:val="0"/>
          <w:highlight w:val="none"/>
        </w:rPr>
      </w:pPr>
    </w:p>
    <w:p w14:paraId="16130FE0">
      <w:pPr>
        <w:autoSpaceDE w:val="0"/>
        <w:autoSpaceDN w:val="0"/>
        <w:adjustRightInd w:val="0"/>
        <w:snapToGrid w:val="0"/>
        <w:spacing w:line="440" w:lineRule="exact"/>
        <w:ind w:firstLine="422" w:firstLineChars="200"/>
        <w:rPr>
          <w:rFonts w:ascii="宋体" w:hAnsi="宋体"/>
          <w:b/>
          <w:color w:val="auto"/>
          <w:kern w:val="0"/>
          <w:highlight w:val="none"/>
        </w:rPr>
      </w:pPr>
    </w:p>
    <w:p w14:paraId="2C2AF339">
      <w:pPr>
        <w:autoSpaceDE w:val="0"/>
        <w:autoSpaceDN w:val="0"/>
        <w:adjustRightInd w:val="0"/>
        <w:snapToGrid w:val="0"/>
        <w:spacing w:line="440" w:lineRule="exact"/>
        <w:ind w:firstLine="422" w:firstLineChars="200"/>
        <w:rPr>
          <w:rFonts w:ascii="宋体" w:hAnsi="宋体"/>
          <w:b/>
          <w:color w:val="auto"/>
          <w:kern w:val="0"/>
          <w:highlight w:val="none"/>
        </w:rPr>
      </w:pPr>
    </w:p>
    <w:p w14:paraId="264EE1D1">
      <w:pPr>
        <w:autoSpaceDE w:val="0"/>
        <w:autoSpaceDN w:val="0"/>
        <w:adjustRightInd w:val="0"/>
        <w:snapToGrid w:val="0"/>
        <w:spacing w:line="440" w:lineRule="exact"/>
        <w:rPr>
          <w:rFonts w:ascii="宋体" w:hAnsi="宋体"/>
          <w:b/>
          <w:color w:val="auto"/>
          <w:kern w:val="0"/>
          <w:highlight w:val="none"/>
        </w:rPr>
      </w:pPr>
    </w:p>
    <w:p w14:paraId="3C20AA52">
      <w:pPr>
        <w:autoSpaceDE w:val="0"/>
        <w:autoSpaceDN w:val="0"/>
        <w:adjustRightInd w:val="0"/>
        <w:snapToGrid w:val="0"/>
        <w:spacing w:line="440" w:lineRule="exact"/>
        <w:ind w:firstLine="402" w:firstLineChars="200"/>
        <w:rPr>
          <w:rFonts w:ascii="宋体" w:hAnsi="宋体"/>
          <w:b/>
          <w:color w:val="auto"/>
          <w:kern w:val="0"/>
          <w:sz w:val="20"/>
          <w:highlight w:val="none"/>
        </w:rPr>
      </w:pPr>
    </w:p>
    <w:p w14:paraId="3B4D323E">
      <w:pPr>
        <w:tabs>
          <w:tab w:val="left" w:pos="6080"/>
          <w:tab w:val="left" w:pos="6640"/>
        </w:tabs>
        <w:autoSpaceDE w:val="0"/>
        <w:autoSpaceDN w:val="0"/>
        <w:adjustRightInd w:val="0"/>
        <w:snapToGrid w:val="0"/>
        <w:spacing w:before="240" w:beforeLines="100" w:after="240" w:afterLines="100" w:line="440" w:lineRule="exact"/>
        <w:jc w:val="center"/>
        <w:rPr>
          <w:rFonts w:ascii="宋体" w:hAnsi="宋体"/>
          <w:b/>
          <w:color w:val="auto"/>
          <w:w w:val="99"/>
          <w:kern w:val="0"/>
          <w:sz w:val="28"/>
          <w:highlight w:val="none"/>
        </w:rPr>
      </w:pPr>
      <w:r>
        <w:rPr>
          <w:rFonts w:hint="eastAsia" w:ascii="宋体" w:hAnsi="宋体"/>
          <w:b/>
          <w:color w:val="auto"/>
          <w:w w:val="99"/>
          <w:kern w:val="0"/>
          <w:sz w:val="28"/>
          <w:highlight w:val="none"/>
        </w:rPr>
        <w:t>投标人</w:t>
      </w:r>
      <w:r>
        <w:rPr>
          <w:rFonts w:hint="eastAsia" w:ascii="宋体" w:hAnsi="宋体"/>
          <w:b/>
          <w:color w:val="auto"/>
          <w:spacing w:val="1"/>
          <w:w w:val="99"/>
          <w:kern w:val="0"/>
          <w:sz w:val="28"/>
          <w:highlight w:val="none"/>
        </w:rPr>
        <w:t>：</w:t>
      </w:r>
      <w:r>
        <w:rPr>
          <w:rFonts w:hint="eastAsia" w:ascii="宋体" w:hAnsi="宋体"/>
          <w:b/>
          <w:color w:val="auto"/>
          <w:w w:val="198"/>
          <w:kern w:val="0"/>
          <w:sz w:val="28"/>
          <w:highlight w:val="none"/>
          <w:u w:val="single"/>
        </w:rPr>
        <w:t xml:space="preserve"> 　　　　 　　</w:t>
      </w:r>
      <w:r>
        <w:rPr>
          <w:rFonts w:hint="eastAsia" w:ascii="宋体" w:hAnsi="宋体"/>
          <w:b/>
          <w:color w:val="auto"/>
          <w:w w:val="99"/>
          <w:kern w:val="0"/>
          <w:sz w:val="28"/>
          <w:highlight w:val="none"/>
        </w:rPr>
        <w:t>（盖单位公章）</w:t>
      </w:r>
    </w:p>
    <w:p w14:paraId="009B0153">
      <w:pPr>
        <w:tabs>
          <w:tab w:val="left" w:pos="6080"/>
          <w:tab w:val="left" w:pos="6640"/>
        </w:tabs>
        <w:autoSpaceDE w:val="0"/>
        <w:autoSpaceDN w:val="0"/>
        <w:adjustRightInd w:val="0"/>
        <w:snapToGrid w:val="0"/>
        <w:spacing w:before="240" w:beforeLines="100" w:after="240" w:afterLines="100" w:line="440" w:lineRule="exact"/>
        <w:jc w:val="center"/>
        <w:rPr>
          <w:rFonts w:ascii="宋体" w:hAnsi="宋体"/>
          <w:b/>
          <w:color w:val="auto"/>
          <w:w w:val="99"/>
          <w:kern w:val="0"/>
          <w:sz w:val="28"/>
          <w:highlight w:val="none"/>
        </w:rPr>
      </w:pPr>
      <w:r>
        <w:rPr>
          <w:rFonts w:hint="eastAsia" w:ascii="宋体" w:hAnsi="宋体"/>
          <w:b/>
          <w:color w:val="auto"/>
          <w:w w:val="99"/>
          <w:kern w:val="0"/>
          <w:sz w:val="28"/>
          <w:highlight w:val="none"/>
        </w:rPr>
        <w:t>法定代表人或其委托代理人：</w:t>
      </w:r>
      <w:r>
        <w:rPr>
          <w:rFonts w:hint="eastAsia" w:ascii="宋体" w:hAnsi="宋体"/>
          <w:b/>
          <w:color w:val="auto"/>
          <w:w w:val="198"/>
          <w:kern w:val="0"/>
          <w:sz w:val="28"/>
          <w:highlight w:val="none"/>
          <w:u w:val="single"/>
        </w:rPr>
        <w:t xml:space="preserve"> 　  </w:t>
      </w:r>
      <w:r>
        <w:rPr>
          <w:rFonts w:hint="eastAsia" w:ascii="宋体" w:hAnsi="宋体"/>
          <w:b/>
          <w:color w:val="auto"/>
          <w:w w:val="99"/>
          <w:kern w:val="0"/>
          <w:sz w:val="28"/>
          <w:highlight w:val="none"/>
        </w:rPr>
        <w:t>（签字或盖章）</w:t>
      </w:r>
    </w:p>
    <w:p w14:paraId="05E4CB5B">
      <w:pPr>
        <w:tabs>
          <w:tab w:val="left" w:pos="3280"/>
          <w:tab w:val="left" w:pos="4680"/>
          <w:tab w:val="left" w:pos="6080"/>
        </w:tabs>
        <w:autoSpaceDE w:val="0"/>
        <w:autoSpaceDN w:val="0"/>
        <w:adjustRightInd w:val="0"/>
        <w:snapToGrid w:val="0"/>
        <w:spacing w:before="240" w:beforeLines="100" w:after="240" w:afterLines="100" w:line="440" w:lineRule="exact"/>
        <w:jc w:val="center"/>
        <w:rPr>
          <w:rFonts w:ascii="宋体" w:hAnsi="宋体"/>
          <w:b/>
          <w:color w:val="auto"/>
          <w:w w:val="99"/>
          <w:kern w:val="0"/>
          <w:sz w:val="28"/>
          <w:highlight w:val="none"/>
        </w:rPr>
      </w:pPr>
      <w:r>
        <w:rPr>
          <w:rFonts w:hint="eastAsia" w:ascii="宋体" w:hAnsi="宋体"/>
          <w:b/>
          <w:color w:val="auto"/>
          <w:w w:val="99"/>
          <w:kern w:val="0"/>
          <w:sz w:val="28"/>
          <w:highlight w:val="none"/>
          <w:u w:val="single"/>
        </w:rPr>
        <w:t xml:space="preserve">        </w:t>
      </w:r>
      <w:r>
        <w:rPr>
          <w:rFonts w:hint="eastAsia" w:ascii="宋体" w:hAnsi="宋体"/>
          <w:b/>
          <w:color w:val="auto"/>
          <w:w w:val="99"/>
          <w:kern w:val="0"/>
          <w:sz w:val="28"/>
          <w:highlight w:val="none"/>
        </w:rPr>
        <w:t>年</w:t>
      </w:r>
      <w:r>
        <w:rPr>
          <w:rFonts w:hint="eastAsia" w:ascii="宋体" w:hAnsi="宋体"/>
          <w:b/>
          <w:color w:val="auto"/>
          <w:w w:val="198"/>
          <w:kern w:val="0"/>
          <w:sz w:val="28"/>
          <w:highlight w:val="none"/>
          <w:u w:val="single"/>
        </w:rPr>
        <w:t xml:space="preserve">   </w:t>
      </w:r>
      <w:r>
        <w:rPr>
          <w:rFonts w:hint="eastAsia" w:ascii="宋体" w:hAnsi="宋体"/>
          <w:b/>
          <w:color w:val="auto"/>
          <w:w w:val="99"/>
          <w:kern w:val="0"/>
          <w:sz w:val="28"/>
          <w:highlight w:val="none"/>
        </w:rPr>
        <w:t>月</w:t>
      </w:r>
      <w:r>
        <w:rPr>
          <w:rFonts w:hint="eastAsia" w:ascii="宋体" w:hAnsi="宋体"/>
          <w:b/>
          <w:color w:val="auto"/>
          <w:w w:val="198"/>
          <w:kern w:val="0"/>
          <w:sz w:val="28"/>
          <w:highlight w:val="none"/>
          <w:u w:val="single"/>
        </w:rPr>
        <w:t xml:space="preserve">   </w:t>
      </w:r>
      <w:r>
        <w:rPr>
          <w:rFonts w:hint="eastAsia" w:ascii="宋体" w:hAnsi="宋体"/>
          <w:b/>
          <w:color w:val="auto"/>
          <w:w w:val="99"/>
          <w:kern w:val="0"/>
          <w:sz w:val="28"/>
          <w:highlight w:val="none"/>
        </w:rPr>
        <w:t>日</w:t>
      </w:r>
    </w:p>
    <w:p w14:paraId="7974FB40">
      <w:pPr>
        <w:tabs>
          <w:tab w:val="left" w:pos="3280"/>
          <w:tab w:val="left" w:pos="4680"/>
          <w:tab w:val="left" w:pos="6080"/>
        </w:tabs>
        <w:autoSpaceDE w:val="0"/>
        <w:autoSpaceDN w:val="0"/>
        <w:adjustRightInd w:val="0"/>
        <w:snapToGrid w:val="0"/>
        <w:spacing w:line="360" w:lineRule="auto"/>
        <w:rPr>
          <w:rFonts w:ascii="宋体" w:hAnsi="宋体" w:cs="MingLiU"/>
          <w:b/>
          <w:color w:val="auto"/>
          <w:w w:val="99"/>
          <w:kern w:val="0"/>
          <w:sz w:val="28"/>
          <w:szCs w:val="28"/>
          <w:highlight w:val="none"/>
        </w:rPr>
        <w:sectPr>
          <w:pgSz w:w="11906" w:h="16838"/>
          <w:pgMar w:top="828" w:right="1247" w:bottom="1247" w:left="1134" w:header="680" w:footer="680" w:gutter="0"/>
          <w:cols w:space="720" w:num="1"/>
          <w:docGrid w:linePitch="312" w:charSpace="0"/>
        </w:sectPr>
      </w:pPr>
    </w:p>
    <w:p w14:paraId="72A6C455">
      <w:pPr>
        <w:autoSpaceDE w:val="0"/>
        <w:autoSpaceDN w:val="0"/>
        <w:adjustRightInd w:val="0"/>
        <w:spacing w:before="64" w:line="312" w:lineRule="auto"/>
        <w:ind w:right="-110"/>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目        录</w:t>
      </w:r>
    </w:p>
    <w:p w14:paraId="03B7D53B">
      <w:pPr>
        <w:tabs>
          <w:tab w:val="left" w:pos="2580"/>
          <w:tab w:val="left" w:pos="5940"/>
        </w:tabs>
        <w:autoSpaceDE w:val="0"/>
        <w:autoSpaceDN w:val="0"/>
        <w:adjustRightInd w:val="0"/>
        <w:snapToGrid w:val="0"/>
        <w:spacing w:line="360" w:lineRule="auto"/>
        <w:rPr>
          <w:rFonts w:ascii="宋体" w:hAnsi="宋体" w:cs="MingLiU"/>
          <w:color w:val="auto"/>
          <w:kern w:val="0"/>
          <w:szCs w:val="21"/>
          <w:highlight w:val="none"/>
        </w:rPr>
      </w:pPr>
      <w:r>
        <w:rPr>
          <w:rFonts w:hint="eastAsia" w:ascii="宋体" w:hAnsi="宋体" w:cs="MingLiU"/>
          <w:color w:val="auto"/>
          <w:kern w:val="0"/>
          <w:szCs w:val="21"/>
          <w:highlight w:val="none"/>
        </w:rPr>
        <w:t>一、投标函部分</w:t>
      </w:r>
    </w:p>
    <w:p w14:paraId="33E4578F">
      <w:pPr>
        <w:autoSpaceDE w:val="0"/>
        <w:autoSpaceDN w:val="0"/>
        <w:adjustRightInd w:val="0"/>
        <w:spacing w:line="360" w:lineRule="auto"/>
        <w:ind w:right="-20"/>
        <w:jc w:val="left"/>
        <w:rPr>
          <w:rFonts w:ascii="宋体" w:hAnsi="宋体" w:cs="MingLiU"/>
          <w:color w:val="auto"/>
          <w:kern w:val="0"/>
          <w:szCs w:val="21"/>
          <w:highlight w:val="none"/>
        </w:rPr>
      </w:pPr>
      <w:r>
        <w:rPr>
          <w:rFonts w:hint="eastAsia" w:ascii="宋体" w:hAnsi="宋体" w:cs="MingLiU"/>
          <w:color w:val="auto"/>
          <w:kern w:val="0"/>
          <w:szCs w:val="21"/>
          <w:highlight w:val="none"/>
        </w:rPr>
        <w:t>（一）投标函</w:t>
      </w:r>
    </w:p>
    <w:p w14:paraId="79A6D2FF">
      <w:pPr>
        <w:autoSpaceDE w:val="0"/>
        <w:autoSpaceDN w:val="0"/>
        <w:adjustRightInd w:val="0"/>
        <w:spacing w:line="360" w:lineRule="auto"/>
        <w:ind w:right="-20"/>
        <w:jc w:val="left"/>
        <w:rPr>
          <w:rFonts w:ascii="宋体" w:hAnsi="宋体" w:cs="MingLiU"/>
          <w:color w:val="auto"/>
          <w:kern w:val="0"/>
          <w:szCs w:val="21"/>
          <w:highlight w:val="none"/>
        </w:rPr>
      </w:pPr>
      <w:r>
        <w:rPr>
          <w:rFonts w:hint="eastAsia" w:ascii="宋体" w:hAnsi="宋体" w:cs="MingLiU"/>
          <w:color w:val="auto"/>
          <w:kern w:val="0"/>
          <w:szCs w:val="21"/>
          <w:highlight w:val="none"/>
        </w:rPr>
        <w:t>（二）开标一览表</w:t>
      </w:r>
    </w:p>
    <w:p w14:paraId="0641EFD0">
      <w:pPr>
        <w:tabs>
          <w:tab w:val="left" w:pos="2580"/>
          <w:tab w:val="left" w:pos="5940"/>
        </w:tabs>
        <w:autoSpaceDE w:val="0"/>
        <w:autoSpaceDN w:val="0"/>
        <w:adjustRightInd w:val="0"/>
        <w:snapToGrid w:val="0"/>
        <w:spacing w:line="480" w:lineRule="auto"/>
        <w:rPr>
          <w:rFonts w:ascii="宋体" w:hAnsi="宋体" w:cs="MingLiU"/>
          <w:color w:val="auto"/>
          <w:kern w:val="0"/>
          <w:szCs w:val="21"/>
          <w:highlight w:val="none"/>
        </w:rPr>
      </w:pPr>
      <w:r>
        <w:rPr>
          <w:rFonts w:hint="eastAsia" w:ascii="宋体" w:hAnsi="宋体" w:cs="MingLiU"/>
          <w:color w:val="auto"/>
          <w:kern w:val="0"/>
          <w:szCs w:val="21"/>
          <w:highlight w:val="none"/>
        </w:rPr>
        <w:t>二、资格及商务资料</w:t>
      </w:r>
    </w:p>
    <w:p w14:paraId="54AF786C">
      <w:pPr>
        <w:tabs>
          <w:tab w:val="left" w:pos="2580"/>
          <w:tab w:val="left" w:pos="5940"/>
        </w:tabs>
        <w:autoSpaceDE w:val="0"/>
        <w:autoSpaceDN w:val="0"/>
        <w:adjustRightInd w:val="0"/>
        <w:snapToGrid w:val="0"/>
        <w:spacing w:line="360" w:lineRule="auto"/>
        <w:rPr>
          <w:rFonts w:ascii="宋体" w:hAnsi="宋体" w:cs="MingLiU"/>
          <w:color w:val="auto"/>
          <w:kern w:val="0"/>
          <w:szCs w:val="21"/>
          <w:highlight w:val="none"/>
        </w:rPr>
      </w:pPr>
      <w:r>
        <w:rPr>
          <w:rFonts w:hint="eastAsia" w:ascii="宋体" w:hAnsi="宋体" w:cs="MingLiU"/>
          <w:color w:val="auto"/>
          <w:kern w:val="0"/>
          <w:szCs w:val="21"/>
          <w:highlight w:val="none"/>
        </w:rPr>
        <w:t>（一）法定代表人身份证明及授权委托书</w:t>
      </w:r>
    </w:p>
    <w:p w14:paraId="7761D834">
      <w:pPr>
        <w:tabs>
          <w:tab w:val="left" w:pos="2580"/>
          <w:tab w:val="left" w:pos="5940"/>
        </w:tabs>
        <w:autoSpaceDE w:val="0"/>
        <w:autoSpaceDN w:val="0"/>
        <w:adjustRightInd w:val="0"/>
        <w:snapToGrid w:val="0"/>
        <w:spacing w:line="360" w:lineRule="auto"/>
        <w:rPr>
          <w:rFonts w:ascii="宋体" w:hAnsi="宋体" w:cs="MingLiU"/>
          <w:color w:val="auto"/>
          <w:kern w:val="0"/>
          <w:szCs w:val="21"/>
          <w:highlight w:val="none"/>
        </w:rPr>
      </w:pPr>
      <w:r>
        <w:rPr>
          <w:rFonts w:hint="eastAsia" w:ascii="宋体" w:hAnsi="宋体" w:cs="MingLiU"/>
          <w:color w:val="auto"/>
          <w:kern w:val="0"/>
          <w:szCs w:val="21"/>
          <w:highlight w:val="none"/>
        </w:rPr>
        <w:t>（二）投标人基本情况表</w:t>
      </w:r>
    </w:p>
    <w:p w14:paraId="4D186FBC">
      <w:pPr>
        <w:tabs>
          <w:tab w:val="right" w:leader="dot" w:pos="8623"/>
        </w:tabs>
        <w:spacing w:line="360" w:lineRule="auto"/>
        <w:rPr>
          <w:rFonts w:ascii="宋体" w:hAnsi="宋体"/>
          <w:color w:val="auto"/>
          <w:highlight w:val="none"/>
        </w:rPr>
      </w:pPr>
      <w:r>
        <w:rPr>
          <w:rFonts w:hint="eastAsia" w:ascii="宋体" w:hAnsi="宋体" w:cs="MingLiU"/>
          <w:color w:val="auto"/>
          <w:kern w:val="0"/>
          <w:szCs w:val="21"/>
          <w:highlight w:val="none"/>
        </w:rPr>
        <w:t>（三）投标人应提供的</w:t>
      </w:r>
      <w:r>
        <w:rPr>
          <w:rFonts w:hint="eastAsia" w:ascii="宋体" w:hAnsi="宋体"/>
          <w:color w:val="auto"/>
          <w:highlight w:val="none"/>
        </w:rPr>
        <w:t>资格证明资料</w:t>
      </w:r>
    </w:p>
    <w:p w14:paraId="3091F3C0">
      <w:pPr>
        <w:tabs>
          <w:tab w:val="left" w:pos="2580"/>
          <w:tab w:val="left" w:pos="5940"/>
        </w:tabs>
        <w:autoSpaceDE w:val="0"/>
        <w:autoSpaceDN w:val="0"/>
        <w:adjustRightInd w:val="0"/>
        <w:snapToGrid w:val="0"/>
        <w:spacing w:line="360" w:lineRule="auto"/>
        <w:rPr>
          <w:rFonts w:ascii="宋体" w:hAnsi="宋体" w:cs="MingLiU"/>
          <w:color w:val="auto"/>
          <w:kern w:val="0"/>
          <w:szCs w:val="21"/>
          <w:highlight w:val="none"/>
        </w:rPr>
      </w:pPr>
      <w:r>
        <w:rPr>
          <w:rFonts w:hint="eastAsia" w:ascii="宋体" w:hAnsi="宋体" w:cs="MingLiU"/>
          <w:color w:val="auto"/>
          <w:kern w:val="0"/>
          <w:szCs w:val="21"/>
          <w:highlight w:val="none"/>
        </w:rPr>
        <w:t>（四）投标人应提供的</w:t>
      </w:r>
      <w:r>
        <w:rPr>
          <w:rFonts w:hint="eastAsia" w:ascii="宋体" w:hAnsi="宋体"/>
          <w:color w:val="auto"/>
          <w:highlight w:val="none"/>
        </w:rPr>
        <w:t>商务评审证明资料</w:t>
      </w:r>
    </w:p>
    <w:p w14:paraId="574BFB90">
      <w:pPr>
        <w:tabs>
          <w:tab w:val="left" w:pos="2580"/>
          <w:tab w:val="left" w:pos="5940"/>
        </w:tabs>
        <w:autoSpaceDE w:val="0"/>
        <w:autoSpaceDN w:val="0"/>
        <w:adjustRightInd w:val="0"/>
        <w:snapToGrid w:val="0"/>
        <w:spacing w:line="480" w:lineRule="auto"/>
        <w:rPr>
          <w:rFonts w:ascii="宋体" w:hAnsi="宋体" w:cs="MingLiU"/>
          <w:color w:val="auto"/>
          <w:kern w:val="0"/>
          <w:szCs w:val="21"/>
          <w:highlight w:val="none"/>
        </w:rPr>
      </w:pPr>
      <w:r>
        <w:rPr>
          <w:rFonts w:hint="eastAsia" w:ascii="宋体" w:hAnsi="宋体" w:cs="MingLiU"/>
          <w:color w:val="auto"/>
          <w:kern w:val="0"/>
          <w:szCs w:val="21"/>
          <w:highlight w:val="none"/>
        </w:rPr>
        <w:t>三、技术部分</w:t>
      </w:r>
    </w:p>
    <w:p w14:paraId="5E253BCA">
      <w:pPr>
        <w:spacing w:line="360" w:lineRule="auto"/>
        <w:rPr>
          <w:rFonts w:ascii="宋体" w:hAnsi="宋体"/>
          <w:color w:val="auto"/>
          <w:highlight w:val="none"/>
        </w:rPr>
      </w:pPr>
      <w:r>
        <w:rPr>
          <w:rFonts w:hint="eastAsia" w:ascii="宋体" w:hAnsi="宋体" w:cs="MingLiU"/>
          <w:color w:val="auto"/>
          <w:kern w:val="0"/>
          <w:szCs w:val="21"/>
          <w:highlight w:val="none"/>
        </w:rPr>
        <w:t>（一）投标人应提供的</w:t>
      </w:r>
      <w:r>
        <w:rPr>
          <w:rFonts w:hint="eastAsia" w:ascii="宋体" w:hAnsi="宋体"/>
          <w:color w:val="auto"/>
          <w:highlight w:val="none"/>
        </w:rPr>
        <w:t>技术评审资料</w:t>
      </w:r>
    </w:p>
    <w:p w14:paraId="5DF2F0EB">
      <w:pPr>
        <w:spacing w:line="360" w:lineRule="auto"/>
        <w:rPr>
          <w:rFonts w:ascii="宋体" w:hAnsi="宋体" w:cs="MingLiU"/>
          <w:color w:val="auto"/>
          <w:kern w:val="0"/>
          <w:szCs w:val="21"/>
          <w:highlight w:val="none"/>
        </w:rPr>
      </w:pPr>
      <w:r>
        <w:rPr>
          <w:rFonts w:hint="eastAsia" w:ascii="宋体" w:hAnsi="宋体" w:cs="MingLiU"/>
          <w:color w:val="auto"/>
          <w:kern w:val="0"/>
          <w:szCs w:val="21"/>
          <w:highlight w:val="none"/>
        </w:rPr>
        <w:t>（二）其他资料</w:t>
      </w:r>
    </w:p>
    <w:p w14:paraId="6C38881A">
      <w:pPr>
        <w:spacing w:line="360" w:lineRule="auto"/>
        <w:ind w:firstLine="960" w:firstLineChars="400"/>
        <w:rPr>
          <w:rFonts w:ascii="宋体" w:hAnsi="宋体"/>
          <w:color w:val="auto"/>
          <w:sz w:val="24"/>
          <w:highlight w:val="none"/>
        </w:rPr>
      </w:pPr>
    </w:p>
    <w:p w14:paraId="45255FFB">
      <w:pPr>
        <w:autoSpaceDE w:val="0"/>
        <w:autoSpaceDN w:val="0"/>
        <w:adjustRightInd w:val="0"/>
        <w:spacing w:before="64" w:line="312" w:lineRule="auto"/>
        <w:ind w:right="-110"/>
        <w:rPr>
          <w:rFonts w:ascii="仿宋_GB2312" w:hAnsi="宋体" w:eastAsia="仿宋_GB2312"/>
          <w:color w:val="auto"/>
          <w:szCs w:val="21"/>
          <w:highlight w:val="none"/>
        </w:rPr>
      </w:pPr>
    </w:p>
    <w:p w14:paraId="0AC6B375">
      <w:pPr>
        <w:autoSpaceDE w:val="0"/>
        <w:autoSpaceDN w:val="0"/>
        <w:adjustRightInd w:val="0"/>
        <w:spacing w:before="64" w:line="312" w:lineRule="auto"/>
        <w:ind w:right="-110"/>
        <w:rPr>
          <w:rFonts w:ascii="仿宋_GB2312" w:hAnsi="宋体" w:eastAsia="仿宋_GB2312"/>
          <w:color w:val="auto"/>
          <w:szCs w:val="21"/>
          <w:highlight w:val="none"/>
        </w:rPr>
      </w:pPr>
    </w:p>
    <w:p w14:paraId="3BFDFE0C">
      <w:pPr>
        <w:autoSpaceDE w:val="0"/>
        <w:autoSpaceDN w:val="0"/>
        <w:adjustRightInd w:val="0"/>
        <w:spacing w:before="64" w:line="312" w:lineRule="auto"/>
        <w:ind w:right="-110"/>
        <w:rPr>
          <w:rFonts w:ascii="仿宋_GB2312" w:hAnsi="宋体" w:eastAsia="仿宋_GB2312"/>
          <w:color w:val="auto"/>
          <w:szCs w:val="21"/>
          <w:highlight w:val="none"/>
        </w:rPr>
      </w:pPr>
    </w:p>
    <w:p w14:paraId="38411921">
      <w:pPr>
        <w:autoSpaceDE w:val="0"/>
        <w:autoSpaceDN w:val="0"/>
        <w:adjustRightInd w:val="0"/>
        <w:spacing w:before="64" w:line="312" w:lineRule="auto"/>
        <w:ind w:right="-110"/>
        <w:rPr>
          <w:rFonts w:ascii="仿宋_GB2312" w:hAnsi="宋体" w:eastAsia="仿宋_GB2312"/>
          <w:color w:val="auto"/>
          <w:szCs w:val="21"/>
          <w:highlight w:val="none"/>
        </w:rPr>
      </w:pPr>
    </w:p>
    <w:p w14:paraId="15B34725">
      <w:pPr>
        <w:autoSpaceDE w:val="0"/>
        <w:autoSpaceDN w:val="0"/>
        <w:adjustRightInd w:val="0"/>
        <w:spacing w:before="64" w:line="312" w:lineRule="auto"/>
        <w:ind w:right="-110"/>
        <w:rPr>
          <w:rFonts w:ascii="仿宋_GB2312" w:hAnsi="宋体" w:eastAsia="仿宋_GB2312"/>
          <w:color w:val="auto"/>
          <w:szCs w:val="21"/>
          <w:highlight w:val="none"/>
        </w:rPr>
      </w:pPr>
    </w:p>
    <w:p w14:paraId="678C8799">
      <w:pPr>
        <w:autoSpaceDE w:val="0"/>
        <w:autoSpaceDN w:val="0"/>
        <w:adjustRightInd w:val="0"/>
        <w:spacing w:before="64" w:line="312" w:lineRule="auto"/>
        <w:ind w:right="-110"/>
        <w:rPr>
          <w:rFonts w:ascii="仿宋_GB2312" w:hAnsi="宋体" w:eastAsia="仿宋_GB2312"/>
          <w:color w:val="auto"/>
          <w:szCs w:val="21"/>
          <w:highlight w:val="none"/>
        </w:rPr>
      </w:pPr>
    </w:p>
    <w:p w14:paraId="3E43383B">
      <w:pPr>
        <w:autoSpaceDE w:val="0"/>
        <w:autoSpaceDN w:val="0"/>
        <w:adjustRightInd w:val="0"/>
        <w:spacing w:before="64" w:line="312" w:lineRule="auto"/>
        <w:ind w:right="-110"/>
        <w:rPr>
          <w:rFonts w:ascii="仿宋_GB2312" w:hAnsi="宋体" w:eastAsia="仿宋_GB2312"/>
          <w:color w:val="auto"/>
          <w:szCs w:val="21"/>
          <w:highlight w:val="none"/>
        </w:rPr>
      </w:pPr>
    </w:p>
    <w:p w14:paraId="7E6064D8">
      <w:pPr>
        <w:autoSpaceDE w:val="0"/>
        <w:autoSpaceDN w:val="0"/>
        <w:adjustRightInd w:val="0"/>
        <w:spacing w:before="64" w:line="312" w:lineRule="auto"/>
        <w:ind w:right="-110"/>
        <w:rPr>
          <w:rFonts w:ascii="仿宋_GB2312" w:hAnsi="宋体" w:eastAsia="仿宋_GB2312"/>
          <w:color w:val="auto"/>
          <w:szCs w:val="21"/>
          <w:highlight w:val="none"/>
        </w:rPr>
      </w:pPr>
    </w:p>
    <w:p w14:paraId="53472CC2">
      <w:pPr>
        <w:autoSpaceDE w:val="0"/>
        <w:autoSpaceDN w:val="0"/>
        <w:adjustRightInd w:val="0"/>
        <w:spacing w:before="64" w:line="312" w:lineRule="auto"/>
        <w:ind w:right="-110"/>
        <w:rPr>
          <w:rFonts w:ascii="仿宋_GB2312" w:hAnsi="宋体" w:eastAsia="仿宋_GB2312"/>
          <w:color w:val="auto"/>
          <w:szCs w:val="21"/>
          <w:highlight w:val="none"/>
        </w:rPr>
      </w:pPr>
    </w:p>
    <w:p w14:paraId="3A977AE9">
      <w:pPr>
        <w:autoSpaceDE w:val="0"/>
        <w:autoSpaceDN w:val="0"/>
        <w:adjustRightInd w:val="0"/>
        <w:spacing w:before="64" w:line="312" w:lineRule="auto"/>
        <w:ind w:right="-110"/>
        <w:rPr>
          <w:rFonts w:ascii="仿宋_GB2312" w:hAnsi="宋体" w:eastAsia="仿宋_GB2312"/>
          <w:color w:val="auto"/>
          <w:szCs w:val="21"/>
          <w:highlight w:val="none"/>
        </w:rPr>
      </w:pPr>
    </w:p>
    <w:p w14:paraId="39618C59">
      <w:pPr>
        <w:pStyle w:val="4"/>
        <w:rPr>
          <w:color w:val="auto"/>
          <w:sz w:val="36"/>
          <w:szCs w:val="36"/>
          <w:highlight w:val="none"/>
        </w:rPr>
      </w:pPr>
      <w:bookmarkStart w:id="766" w:name="_Toc327862964"/>
      <w:bookmarkStart w:id="767" w:name="_Toc208823052"/>
    </w:p>
    <w:p w14:paraId="0AF32CC6">
      <w:pPr>
        <w:rPr>
          <w:color w:val="auto"/>
          <w:sz w:val="36"/>
          <w:szCs w:val="36"/>
          <w:highlight w:val="none"/>
        </w:rPr>
      </w:pPr>
    </w:p>
    <w:p w14:paraId="601E56D5">
      <w:pPr>
        <w:rPr>
          <w:color w:val="auto"/>
          <w:sz w:val="36"/>
          <w:szCs w:val="36"/>
          <w:highlight w:val="none"/>
        </w:rPr>
      </w:pPr>
    </w:p>
    <w:p w14:paraId="3E7F648E">
      <w:pPr>
        <w:rPr>
          <w:color w:val="auto"/>
          <w:highlight w:val="none"/>
        </w:rPr>
      </w:pPr>
    </w:p>
    <w:p w14:paraId="20AC9EF4">
      <w:pPr>
        <w:rPr>
          <w:color w:val="auto"/>
          <w:highlight w:val="none"/>
        </w:rPr>
      </w:pPr>
    </w:p>
    <w:p w14:paraId="278FABB2">
      <w:pPr>
        <w:rPr>
          <w:color w:val="auto"/>
          <w:highlight w:val="none"/>
        </w:rPr>
      </w:pPr>
    </w:p>
    <w:p w14:paraId="2F1A358A">
      <w:pPr>
        <w:rPr>
          <w:color w:val="auto"/>
          <w:highlight w:val="none"/>
        </w:rPr>
      </w:pPr>
    </w:p>
    <w:p w14:paraId="1FADEDEA">
      <w:pPr>
        <w:rPr>
          <w:color w:val="auto"/>
          <w:highlight w:val="none"/>
        </w:rPr>
      </w:pPr>
    </w:p>
    <w:p w14:paraId="39286FC0">
      <w:pPr>
        <w:rPr>
          <w:color w:val="auto"/>
          <w:highlight w:val="none"/>
        </w:rPr>
      </w:pPr>
    </w:p>
    <w:p w14:paraId="11E74B83">
      <w:pPr>
        <w:rPr>
          <w:color w:val="auto"/>
          <w:highlight w:val="none"/>
        </w:rPr>
      </w:pPr>
    </w:p>
    <w:p w14:paraId="1E4436C5">
      <w:pPr>
        <w:pStyle w:val="3"/>
        <w:adjustRightInd w:val="0"/>
        <w:snapToGrid w:val="0"/>
        <w:spacing w:line="360" w:lineRule="auto"/>
        <w:jc w:val="center"/>
        <w:rPr>
          <w:rFonts w:ascii="宋体" w:hAnsi="宋体"/>
          <w:b w:val="0"/>
          <w:color w:val="auto"/>
          <w:sz w:val="28"/>
          <w:highlight w:val="none"/>
        </w:rPr>
      </w:pPr>
      <w:bookmarkStart w:id="768" w:name="_Toc20973"/>
      <w:r>
        <w:rPr>
          <w:rStyle w:val="54"/>
          <w:rFonts w:hint="eastAsia"/>
          <w:color w:val="auto"/>
          <w:highlight w:val="none"/>
        </w:rPr>
        <w:t>（一） 投标函</w:t>
      </w:r>
      <w:bookmarkEnd w:id="768"/>
    </w:p>
    <w:p w14:paraId="0E909526">
      <w:pPr>
        <w:pStyle w:val="156"/>
        <w:spacing w:line="360" w:lineRule="exact"/>
        <w:jc w:val="center"/>
        <w:rPr>
          <w:rFonts w:hAnsi="宋体" w:eastAsia="宋体"/>
          <w:b/>
          <w:color w:val="auto"/>
          <w:sz w:val="32"/>
          <w:highlight w:val="none"/>
        </w:rPr>
      </w:pPr>
    </w:p>
    <w:p w14:paraId="3FC45064">
      <w:pPr>
        <w:pStyle w:val="156"/>
        <w:spacing w:line="360" w:lineRule="exact"/>
        <w:rPr>
          <w:rFonts w:hAnsi="宋体" w:eastAsia="宋体"/>
          <w:color w:val="auto"/>
          <w:sz w:val="21"/>
          <w:szCs w:val="21"/>
          <w:highlight w:val="none"/>
        </w:rPr>
      </w:pPr>
      <w:r>
        <w:rPr>
          <w:rFonts w:hint="eastAsia" w:hAnsi="宋体" w:eastAsia="宋体"/>
          <w:color w:val="auto"/>
          <w:sz w:val="21"/>
          <w:szCs w:val="21"/>
          <w:highlight w:val="none"/>
        </w:rPr>
        <w:t xml:space="preserve"> </w:t>
      </w:r>
      <w:r>
        <w:rPr>
          <w:rFonts w:hint="eastAsia" w:hAnsi="宋体" w:eastAsia="宋体"/>
          <w:color w:val="auto"/>
          <w:sz w:val="21"/>
          <w:szCs w:val="21"/>
          <w:highlight w:val="none"/>
          <w:u w:val="single"/>
        </w:rPr>
        <w:t xml:space="preserve">                             （招标人名称）</w:t>
      </w:r>
      <w:r>
        <w:rPr>
          <w:rFonts w:hint="eastAsia" w:hAnsi="宋体" w:eastAsia="宋体"/>
          <w:color w:val="auto"/>
          <w:sz w:val="21"/>
          <w:szCs w:val="21"/>
          <w:highlight w:val="none"/>
        </w:rPr>
        <w:t>：</w:t>
      </w:r>
    </w:p>
    <w:p w14:paraId="178D871A">
      <w:pPr>
        <w:pStyle w:val="156"/>
        <w:spacing w:line="360" w:lineRule="exact"/>
        <w:rPr>
          <w:rFonts w:hAnsi="宋体" w:eastAsia="宋体"/>
          <w:color w:val="auto"/>
          <w:sz w:val="21"/>
          <w:szCs w:val="21"/>
          <w:highlight w:val="none"/>
        </w:rPr>
      </w:pPr>
      <w:r>
        <w:rPr>
          <w:rFonts w:hAnsi="宋体" w:eastAsia="宋体"/>
          <w:color w:val="auto"/>
          <w:sz w:val="21"/>
          <w:szCs w:val="21"/>
          <w:highlight w:val="none"/>
        </w:rPr>
        <w:t xml:space="preserve">    </w:t>
      </w:r>
    </w:p>
    <w:p w14:paraId="2BB62583">
      <w:pPr>
        <w:pStyle w:val="156"/>
        <w:spacing w:line="360" w:lineRule="auto"/>
        <w:rPr>
          <w:rFonts w:hAnsi="宋体" w:eastAsia="宋体"/>
          <w:color w:val="auto"/>
          <w:sz w:val="21"/>
          <w:szCs w:val="21"/>
          <w:highlight w:val="none"/>
        </w:rPr>
      </w:pP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我司收到贵公司 </w:t>
      </w:r>
      <w:r>
        <w:rPr>
          <w:rFonts w:hint="eastAsia" w:hAnsi="宋体" w:eastAsia="宋体"/>
          <w:color w:val="auto"/>
          <w:sz w:val="21"/>
          <w:szCs w:val="21"/>
          <w:highlight w:val="none"/>
          <w:u w:val="single"/>
        </w:rPr>
        <w:t xml:space="preserve">           （</w:t>
      </w:r>
      <w:r>
        <w:rPr>
          <w:rFonts w:hint="eastAsia" w:hAnsi="宋体" w:eastAsia="宋体"/>
          <w:color w:val="auto"/>
          <w:sz w:val="21"/>
          <w:szCs w:val="21"/>
          <w:highlight w:val="none"/>
        </w:rPr>
        <w:t>项目名称）招标文件，经仔细阅读和研究，我们决定参加投标。</w:t>
      </w:r>
    </w:p>
    <w:p w14:paraId="7507B540">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1、我司愿意按照招标文件的一切要求，提供完成该项目的全部内容，我们的投标报价包括招标范围所发生的全部费用以及投标人企业利润、税金和政策性文件规定及合同包含的所有风险、责任等各项应有费用。</w:t>
      </w:r>
    </w:p>
    <w:p w14:paraId="2D0351CA">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2、如果我司的投标书被接受，我们将严格履行招标文件中规定的每一项要求，按期、按质、按量履行合同的义务。</w:t>
      </w:r>
    </w:p>
    <w:p w14:paraId="080DD9F0">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3、我司已详细审查全部招标文件，包括补充文件(如果有的话)。我们完全理解并同意放弃对这方面有不明及误解的权力。</w:t>
      </w:r>
    </w:p>
    <w:p w14:paraId="49CA9E2B">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4、我司同意按招标文件中的规定，本投标书的有效期限为开标后</w:t>
      </w:r>
      <w:r>
        <w:rPr>
          <w:rFonts w:hint="eastAsia" w:hAnsi="宋体" w:eastAsia="宋体" w:cs="宋体"/>
          <w:color w:val="auto"/>
          <w:sz w:val="21"/>
          <w:szCs w:val="21"/>
          <w:highlight w:val="none"/>
          <w:u w:val="single"/>
        </w:rPr>
        <w:t xml:space="preserve"> 90 </w:t>
      </w:r>
      <w:r>
        <w:rPr>
          <w:rFonts w:hint="eastAsia" w:hAnsi="宋体" w:eastAsia="宋体" w:cs="宋体"/>
          <w:color w:val="auto"/>
          <w:sz w:val="21"/>
          <w:szCs w:val="21"/>
          <w:highlight w:val="none"/>
        </w:rPr>
        <w:t>天。</w:t>
      </w:r>
    </w:p>
    <w:p w14:paraId="107B8B58">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5、我司愿意提供招标采购单位在招标文件中要求的所有资料。</w:t>
      </w:r>
    </w:p>
    <w:p w14:paraId="3BC83C27">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6、我司认为你们有权决定中标者，还认为你们有权接受或拒绝所有的投标者。</w:t>
      </w:r>
    </w:p>
    <w:p w14:paraId="2593F3A5">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7、我司愿意遵守招标文件中所列的收费标准。</w:t>
      </w:r>
    </w:p>
    <w:p w14:paraId="39324651">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8、我司承诺该项投标在开标后的全过程中保持有效，不作任何更改和变动。</w:t>
      </w:r>
    </w:p>
    <w:p w14:paraId="75204ECC">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9、我司愿意按招标文件的规定交纳投标保证金，并同意投标人须知中关于没收投标保证金的规定。</w:t>
      </w:r>
    </w:p>
    <w:p w14:paraId="364CFAF5">
      <w:pPr>
        <w:pStyle w:val="156"/>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10、如果我司中标，我司愿意按招标文件的规定支付招标代理费；</w:t>
      </w:r>
    </w:p>
    <w:p w14:paraId="0FAF5A6A">
      <w:pPr>
        <w:pStyle w:val="156"/>
        <w:spacing w:line="360" w:lineRule="auto"/>
        <w:ind w:firstLine="420" w:firstLineChars="200"/>
        <w:rPr>
          <w:rFonts w:ascii="Times New Roman" w:hAnsi="Times New Roman" w:eastAsia="宋体"/>
          <w:color w:val="auto"/>
          <w:sz w:val="21"/>
          <w:szCs w:val="21"/>
          <w:highlight w:val="none"/>
        </w:rPr>
      </w:pPr>
      <w:r>
        <w:rPr>
          <w:rFonts w:hint="eastAsia" w:hAnsi="宋体" w:eastAsia="宋体" w:cs="宋体"/>
          <w:color w:val="auto"/>
          <w:sz w:val="21"/>
          <w:szCs w:val="21"/>
          <w:highlight w:val="none"/>
        </w:rPr>
        <w:t>11、我司承诺我公司提交</w:t>
      </w:r>
      <w:r>
        <w:rPr>
          <w:rFonts w:hint="eastAsia" w:ascii="Times New Roman" w:hAnsi="Times New Roman" w:eastAsia="宋体"/>
          <w:color w:val="auto"/>
          <w:sz w:val="21"/>
          <w:szCs w:val="21"/>
          <w:highlight w:val="none"/>
        </w:rPr>
        <w:t>的所有资料均真实有效，若与真实情况不符，本公司愿意承担由此而产生的一切后果。</w:t>
      </w:r>
    </w:p>
    <w:p w14:paraId="3339B489">
      <w:pPr>
        <w:pStyle w:val="156"/>
        <w:spacing w:line="360" w:lineRule="exact"/>
        <w:rPr>
          <w:rFonts w:hAnsi="宋体" w:eastAsia="宋体"/>
          <w:color w:val="auto"/>
          <w:sz w:val="21"/>
          <w:szCs w:val="21"/>
          <w:highlight w:val="none"/>
        </w:rPr>
      </w:pPr>
      <w:r>
        <w:rPr>
          <w:rFonts w:hAnsi="宋体" w:eastAsia="宋体"/>
          <w:color w:val="auto"/>
          <w:sz w:val="21"/>
          <w:szCs w:val="21"/>
          <w:highlight w:val="none"/>
        </w:rPr>
        <w:t xml:space="preserve">   </w:t>
      </w:r>
    </w:p>
    <w:p w14:paraId="27743061">
      <w:pPr>
        <w:pStyle w:val="156"/>
        <w:spacing w:line="360" w:lineRule="exact"/>
        <w:rPr>
          <w:rFonts w:hAnsi="宋体" w:eastAsia="宋体"/>
          <w:color w:val="auto"/>
          <w:sz w:val="21"/>
          <w:szCs w:val="21"/>
          <w:highlight w:val="none"/>
        </w:rPr>
      </w:pPr>
    </w:p>
    <w:p w14:paraId="21F74007">
      <w:pPr>
        <w:pStyle w:val="156"/>
        <w:spacing w:line="360" w:lineRule="exact"/>
        <w:rPr>
          <w:rFonts w:hAnsi="宋体" w:eastAsia="宋体"/>
          <w:color w:val="auto"/>
          <w:sz w:val="21"/>
          <w:szCs w:val="21"/>
          <w:highlight w:val="none"/>
        </w:rPr>
      </w:pPr>
    </w:p>
    <w:p w14:paraId="1A25AA67">
      <w:pPr>
        <w:pStyle w:val="156"/>
        <w:spacing w:line="360" w:lineRule="exact"/>
        <w:ind w:left="3400" w:firstLine="425"/>
        <w:rPr>
          <w:rFonts w:hAnsi="宋体" w:eastAsia="宋体"/>
          <w:color w:val="auto"/>
          <w:sz w:val="21"/>
          <w:szCs w:val="21"/>
          <w:highlight w:val="none"/>
        </w:rPr>
      </w:pPr>
      <w:r>
        <w:rPr>
          <w:rFonts w:hint="eastAsia" w:hAnsi="宋体" w:eastAsia="宋体"/>
          <w:color w:val="auto"/>
          <w:sz w:val="21"/>
          <w:szCs w:val="21"/>
          <w:highlight w:val="none"/>
        </w:rPr>
        <w:t>投标人：（盖单位公章）</w:t>
      </w:r>
    </w:p>
    <w:p w14:paraId="75DD344D">
      <w:pPr>
        <w:pStyle w:val="156"/>
        <w:spacing w:line="360" w:lineRule="exact"/>
        <w:ind w:left="3400" w:firstLine="425"/>
        <w:rPr>
          <w:rFonts w:hAnsi="宋体" w:eastAsia="宋体"/>
          <w:color w:val="auto"/>
          <w:sz w:val="21"/>
          <w:szCs w:val="21"/>
          <w:highlight w:val="none"/>
        </w:rPr>
      </w:pPr>
      <w:r>
        <w:rPr>
          <w:rFonts w:hint="eastAsia" w:hAnsi="宋体" w:eastAsia="宋体"/>
          <w:color w:val="auto"/>
          <w:sz w:val="21"/>
          <w:szCs w:val="21"/>
          <w:highlight w:val="none"/>
        </w:rPr>
        <w:t>日期：      年</w:t>
      </w:r>
      <w:r>
        <w:rPr>
          <w:rFonts w:hAnsi="宋体" w:eastAsia="宋体"/>
          <w:color w:val="auto"/>
          <w:sz w:val="21"/>
          <w:szCs w:val="21"/>
          <w:highlight w:val="none"/>
        </w:rPr>
        <w:t xml:space="preserve">     </w:t>
      </w:r>
      <w:r>
        <w:rPr>
          <w:rFonts w:hint="eastAsia" w:hAnsi="宋体" w:eastAsia="宋体"/>
          <w:color w:val="auto"/>
          <w:sz w:val="21"/>
          <w:szCs w:val="21"/>
          <w:highlight w:val="none"/>
        </w:rPr>
        <w:t>月</w:t>
      </w:r>
      <w:r>
        <w:rPr>
          <w:rFonts w:hAnsi="宋体" w:eastAsia="宋体"/>
          <w:color w:val="auto"/>
          <w:sz w:val="21"/>
          <w:szCs w:val="21"/>
          <w:highlight w:val="none"/>
        </w:rPr>
        <w:t xml:space="preserve">     </w:t>
      </w:r>
      <w:r>
        <w:rPr>
          <w:rFonts w:hint="eastAsia" w:hAnsi="宋体" w:eastAsia="宋体"/>
          <w:color w:val="auto"/>
          <w:sz w:val="21"/>
          <w:szCs w:val="21"/>
          <w:highlight w:val="none"/>
        </w:rPr>
        <w:t>日</w:t>
      </w:r>
    </w:p>
    <w:p w14:paraId="0E7503A2">
      <w:pPr>
        <w:spacing w:line="360" w:lineRule="auto"/>
        <w:ind w:firstLine="420" w:firstLineChars="200"/>
        <w:rPr>
          <w:rFonts w:ascii="宋体" w:hAnsi="宋体"/>
          <w:color w:val="auto"/>
          <w:highlight w:val="none"/>
        </w:rPr>
        <w:sectPr>
          <w:pgSz w:w="11906" w:h="16838"/>
          <w:pgMar w:top="828" w:right="1247" w:bottom="1247" w:left="1134" w:header="680" w:footer="680" w:gutter="0"/>
          <w:cols w:space="720" w:num="1"/>
          <w:docGrid w:linePitch="312" w:charSpace="0"/>
        </w:sectPr>
      </w:pPr>
    </w:p>
    <w:p w14:paraId="1B95C677">
      <w:pPr>
        <w:pStyle w:val="156"/>
        <w:jc w:val="center"/>
        <w:rPr>
          <w:rFonts w:hAnsi="宋体" w:eastAsia="宋体"/>
          <w:b/>
          <w:color w:val="auto"/>
          <w:sz w:val="32"/>
          <w:szCs w:val="32"/>
          <w:highlight w:val="none"/>
        </w:rPr>
      </w:pPr>
      <w:r>
        <w:rPr>
          <w:rFonts w:hint="eastAsia" w:hAnsi="宋体" w:eastAsia="宋体"/>
          <w:b/>
          <w:color w:val="auto"/>
          <w:sz w:val="32"/>
          <w:szCs w:val="32"/>
          <w:highlight w:val="none"/>
        </w:rPr>
        <w:t>（二）开标一览表</w:t>
      </w:r>
    </w:p>
    <w:p w14:paraId="5EFF173D">
      <w:pPr>
        <w:pStyle w:val="156"/>
        <w:jc w:val="left"/>
        <w:rPr>
          <w:rFonts w:hAnsi="宋体" w:eastAsia="宋体"/>
          <w:b/>
          <w:color w:val="auto"/>
          <w:sz w:val="24"/>
          <w:szCs w:val="24"/>
          <w:highlight w:val="none"/>
        </w:rPr>
      </w:pPr>
      <w:r>
        <w:rPr>
          <w:rFonts w:hint="eastAsia" w:hAnsi="宋体" w:eastAsia="宋体"/>
          <w:b/>
          <w:color w:val="auto"/>
          <w:sz w:val="24"/>
          <w:szCs w:val="24"/>
          <w:highlight w:val="none"/>
        </w:rPr>
        <w:t xml:space="preserve">标包一：酒店服务供应商： </w:t>
      </w:r>
    </w:p>
    <w:tbl>
      <w:tblPr>
        <w:tblStyle w:val="44"/>
        <w:tblW w:w="9803" w:type="dxa"/>
        <w:tblInd w:w="91" w:type="dxa"/>
        <w:tblLayout w:type="fixed"/>
        <w:tblCellMar>
          <w:top w:w="0" w:type="dxa"/>
          <w:left w:w="108" w:type="dxa"/>
          <w:bottom w:w="0" w:type="dxa"/>
          <w:right w:w="108" w:type="dxa"/>
        </w:tblCellMar>
      </w:tblPr>
      <w:tblGrid>
        <w:gridCol w:w="688"/>
        <w:gridCol w:w="976"/>
        <w:gridCol w:w="764"/>
        <w:gridCol w:w="1562"/>
        <w:gridCol w:w="1200"/>
        <w:gridCol w:w="1664"/>
        <w:gridCol w:w="1150"/>
        <w:gridCol w:w="1799"/>
      </w:tblGrid>
      <w:tr w14:paraId="542EC630">
        <w:tblPrEx>
          <w:tblCellMar>
            <w:top w:w="0" w:type="dxa"/>
            <w:left w:w="108" w:type="dxa"/>
            <w:bottom w:w="0" w:type="dxa"/>
            <w:right w:w="108" w:type="dxa"/>
          </w:tblCellMar>
        </w:tblPrEx>
        <w:trPr>
          <w:trHeight w:val="288" w:hRule="atLeast"/>
          <w:tblHeader/>
        </w:trPr>
        <w:tc>
          <w:tcPr>
            <w:tcW w:w="688" w:type="dxa"/>
            <w:vMerge w:val="restart"/>
            <w:tcBorders>
              <w:top w:val="single" w:color="000000" w:sz="4" w:space="0"/>
              <w:left w:val="single" w:color="000000" w:sz="4" w:space="0"/>
              <w:bottom w:val="single" w:color="000000" w:sz="4" w:space="0"/>
              <w:right w:val="single" w:color="000000" w:sz="4" w:space="0"/>
            </w:tcBorders>
            <w:noWrap/>
            <w:vAlign w:val="center"/>
          </w:tcPr>
          <w:p w14:paraId="0339C96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标包一</w:t>
            </w:r>
          </w:p>
        </w:tc>
        <w:tc>
          <w:tcPr>
            <w:tcW w:w="9115" w:type="dxa"/>
            <w:gridSpan w:val="7"/>
            <w:tcBorders>
              <w:top w:val="single" w:color="000000" w:sz="4" w:space="0"/>
              <w:left w:val="nil"/>
              <w:bottom w:val="single" w:color="000000" w:sz="4" w:space="0"/>
              <w:right w:val="single" w:color="000000" w:sz="4" w:space="0"/>
            </w:tcBorders>
            <w:noWrap/>
            <w:vAlign w:val="center"/>
          </w:tcPr>
          <w:p w14:paraId="5DFD116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拟招标限价（含税）</w:t>
            </w:r>
          </w:p>
        </w:tc>
      </w:tr>
      <w:tr w14:paraId="766DBF8D">
        <w:tblPrEx>
          <w:tblCellMar>
            <w:top w:w="0" w:type="dxa"/>
            <w:left w:w="108" w:type="dxa"/>
            <w:bottom w:w="0" w:type="dxa"/>
            <w:right w:w="108" w:type="dxa"/>
          </w:tblCellMar>
        </w:tblPrEx>
        <w:trPr>
          <w:trHeight w:val="191"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6B2A56EA">
            <w:pPr>
              <w:spacing w:line="360" w:lineRule="auto"/>
              <w:jc w:val="center"/>
              <w:rPr>
                <w:rFonts w:ascii="宋体" w:hAnsi="宋体" w:cs="宋体"/>
                <w:color w:val="auto"/>
                <w:szCs w:val="21"/>
                <w:highlight w:val="none"/>
              </w:rPr>
            </w:pPr>
          </w:p>
        </w:tc>
        <w:tc>
          <w:tcPr>
            <w:tcW w:w="976" w:type="dxa"/>
            <w:tcBorders>
              <w:top w:val="single" w:color="000000" w:sz="4" w:space="0"/>
              <w:left w:val="nil"/>
              <w:bottom w:val="single" w:color="000000" w:sz="4" w:space="0"/>
              <w:right w:val="single" w:color="000000" w:sz="4" w:space="0"/>
            </w:tcBorders>
            <w:noWrap/>
            <w:vAlign w:val="center"/>
          </w:tcPr>
          <w:p w14:paraId="0242C69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类别</w:t>
            </w:r>
          </w:p>
        </w:tc>
        <w:tc>
          <w:tcPr>
            <w:tcW w:w="2326" w:type="dxa"/>
            <w:gridSpan w:val="2"/>
            <w:tcBorders>
              <w:top w:val="single" w:color="000000" w:sz="4" w:space="0"/>
              <w:left w:val="nil"/>
              <w:bottom w:val="single" w:color="000000" w:sz="4" w:space="0"/>
              <w:right w:val="single" w:color="000000" w:sz="4" w:space="0"/>
            </w:tcBorders>
            <w:noWrap/>
            <w:vAlign w:val="center"/>
          </w:tcPr>
          <w:p w14:paraId="6238A83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类型</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6E49AD">
            <w:pPr>
              <w:widowControl/>
              <w:spacing w:line="360" w:lineRule="auto"/>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单价限价（元）</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82F4DBB">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响应单价报价（元）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EE28BB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暂定数量</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7E5E1162">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响应报价          （元/场）</w:t>
            </w:r>
          </w:p>
        </w:tc>
      </w:tr>
      <w:tr w14:paraId="5B54AEFC">
        <w:tblPrEx>
          <w:tblCellMar>
            <w:top w:w="0" w:type="dxa"/>
            <w:left w:w="108" w:type="dxa"/>
            <w:bottom w:w="0" w:type="dxa"/>
            <w:right w:w="108" w:type="dxa"/>
          </w:tblCellMar>
        </w:tblPrEx>
        <w:trPr>
          <w:trHeight w:val="313"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3400D6AE">
            <w:pPr>
              <w:widowControl/>
              <w:spacing w:line="360" w:lineRule="auto"/>
              <w:jc w:val="center"/>
              <w:textAlignment w:val="center"/>
              <w:rPr>
                <w:rFonts w:ascii="宋体" w:hAnsi="宋体" w:cs="宋体"/>
                <w:color w:val="auto"/>
                <w:szCs w:val="21"/>
                <w:highlight w:val="none"/>
              </w:rPr>
            </w:pPr>
          </w:p>
        </w:tc>
        <w:tc>
          <w:tcPr>
            <w:tcW w:w="976" w:type="dxa"/>
            <w:vMerge w:val="restart"/>
            <w:tcBorders>
              <w:top w:val="single" w:color="000000" w:sz="4" w:space="0"/>
              <w:left w:val="single" w:color="000000" w:sz="4" w:space="0"/>
              <w:bottom w:val="single" w:color="000000" w:sz="4" w:space="0"/>
              <w:right w:val="single" w:color="000000" w:sz="4" w:space="0"/>
            </w:tcBorders>
            <w:noWrap/>
            <w:vAlign w:val="center"/>
          </w:tcPr>
          <w:p w14:paraId="5ABEE6B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住宿</w:t>
            </w:r>
          </w:p>
        </w:tc>
        <w:tc>
          <w:tcPr>
            <w:tcW w:w="2326" w:type="dxa"/>
            <w:gridSpan w:val="2"/>
            <w:tcBorders>
              <w:top w:val="single" w:color="000000" w:sz="4" w:space="0"/>
              <w:left w:val="single" w:color="000000" w:sz="4" w:space="0"/>
              <w:bottom w:val="single" w:color="000000" w:sz="4" w:space="0"/>
              <w:right w:val="single" w:color="000000" w:sz="4" w:space="0"/>
            </w:tcBorders>
            <w:noWrap/>
            <w:vAlign w:val="center"/>
          </w:tcPr>
          <w:p w14:paraId="4FB13D8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客户住宿费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881014">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600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79B38CCC">
            <w:pPr>
              <w:widowControl/>
              <w:spacing w:line="360" w:lineRule="auto"/>
              <w:jc w:val="center"/>
              <w:textAlignment w:val="center"/>
              <w:rPr>
                <w:rFonts w:ascii="宋体" w:hAnsi="宋体" w:cs="宋体"/>
                <w:color w:val="auto"/>
                <w:kern w:val="0"/>
                <w:szCs w:val="21"/>
                <w:highlight w:val="none"/>
                <w:lang w:bidi="ar"/>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12AC6A1">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50</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44080001">
            <w:pPr>
              <w:widowControl/>
              <w:spacing w:line="360" w:lineRule="auto"/>
              <w:jc w:val="center"/>
              <w:textAlignment w:val="center"/>
              <w:rPr>
                <w:rFonts w:ascii="宋体" w:hAnsi="宋体" w:cs="宋体"/>
                <w:color w:val="auto"/>
                <w:kern w:val="0"/>
                <w:szCs w:val="21"/>
                <w:highlight w:val="none"/>
                <w:lang w:bidi="ar"/>
              </w:rPr>
            </w:pPr>
          </w:p>
        </w:tc>
      </w:tr>
      <w:tr w14:paraId="4A5C1390">
        <w:tblPrEx>
          <w:tblCellMar>
            <w:top w:w="0" w:type="dxa"/>
            <w:left w:w="108" w:type="dxa"/>
            <w:bottom w:w="0" w:type="dxa"/>
            <w:right w:w="108" w:type="dxa"/>
          </w:tblCellMar>
        </w:tblPrEx>
        <w:trPr>
          <w:trHeight w:val="465"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6FA7E260">
            <w:pPr>
              <w:spacing w:line="360" w:lineRule="auto"/>
              <w:jc w:val="center"/>
              <w:rPr>
                <w:rFonts w:ascii="宋体" w:hAnsi="宋体" w:cs="宋体"/>
                <w:color w:val="auto"/>
                <w:szCs w:val="21"/>
                <w:highlight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ign w:val="center"/>
          </w:tcPr>
          <w:p w14:paraId="28CFDBDF">
            <w:pPr>
              <w:spacing w:line="360" w:lineRule="auto"/>
              <w:jc w:val="center"/>
              <w:rPr>
                <w:rFonts w:ascii="宋体" w:hAnsi="宋体" w:cs="宋体"/>
                <w:color w:val="auto"/>
                <w:szCs w:val="21"/>
                <w:highlight w:val="none"/>
              </w:rPr>
            </w:pPr>
          </w:p>
        </w:tc>
        <w:tc>
          <w:tcPr>
            <w:tcW w:w="2326" w:type="dxa"/>
            <w:gridSpan w:val="2"/>
            <w:tcBorders>
              <w:top w:val="single" w:color="000000" w:sz="4" w:space="0"/>
              <w:left w:val="single" w:color="000000" w:sz="4" w:space="0"/>
              <w:bottom w:val="single" w:color="000000" w:sz="4" w:space="0"/>
              <w:right w:val="single" w:color="000000" w:sz="4" w:space="0"/>
            </w:tcBorders>
            <w:noWrap/>
            <w:vAlign w:val="center"/>
          </w:tcPr>
          <w:p w14:paraId="6991D66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其他住宿费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64B0E7">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350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4E6DF30D">
            <w:pPr>
              <w:widowControl/>
              <w:spacing w:line="360" w:lineRule="auto"/>
              <w:jc w:val="center"/>
              <w:textAlignment w:val="center"/>
              <w:rPr>
                <w:rFonts w:ascii="宋体" w:hAnsi="宋体" w:cs="宋体"/>
                <w:color w:val="auto"/>
                <w:kern w:val="0"/>
                <w:szCs w:val="21"/>
                <w:highlight w:val="none"/>
                <w:lang w:bidi="ar"/>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09CBC1C">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75720777">
            <w:pPr>
              <w:widowControl/>
              <w:spacing w:line="360" w:lineRule="auto"/>
              <w:jc w:val="center"/>
              <w:textAlignment w:val="center"/>
              <w:rPr>
                <w:rFonts w:ascii="宋体" w:hAnsi="宋体" w:cs="宋体"/>
                <w:color w:val="auto"/>
                <w:kern w:val="0"/>
                <w:szCs w:val="21"/>
                <w:highlight w:val="none"/>
                <w:lang w:bidi="ar"/>
              </w:rPr>
            </w:pPr>
          </w:p>
        </w:tc>
      </w:tr>
      <w:tr w14:paraId="25DD4299">
        <w:tblPrEx>
          <w:tblCellMar>
            <w:top w:w="0" w:type="dxa"/>
            <w:left w:w="108" w:type="dxa"/>
            <w:bottom w:w="0" w:type="dxa"/>
            <w:right w:w="108" w:type="dxa"/>
          </w:tblCellMar>
        </w:tblPrEx>
        <w:trPr>
          <w:trHeight w:val="662"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04AB2E83">
            <w:pPr>
              <w:spacing w:line="360" w:lineRule="auto"/>
              <w:jc w:val="center"/>
              <w:rPr>
                <w:rFonts w:ascii="宋体" w:hAnsi="宋体" w:cs="宋体"/>
                <w:color w:val="auto"/>
                <w:szCs w:val="21"/>
                <w:highlight w:val="none"/>
              </w:rPr>
            </w:pPr>
          </w:p>
        </w:tc>
        <w:tc>
          <w:tcPr>
            <w:tcW w:w="976" w:type="dxa"/>
            <w:vMerge w:val="restart"/>
            <w:tcBorders>
              <w:top w:val="single" w:color="000000" w:sz="4" w:space="0"/>
              <w:left w:val="single" w:color="000000" w:sz="4" w:space="0"/>
              <w:bottom w:val="single" w:color="000000" w:sz="4" w:space="0"/>
              <w:right w:val="single" w:color="000000" w:sz="4" w:space="0"/>
            </w:tcBorders>
            <w:noWrap/>
            <w:vAlign w:val="center"/>
          </w:tcPr>
          <w:p w14:paraId="645CEFA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餐饮</w:t>
            </w:r>
          </w:p>
        </w:tc>
        <w:tc>
          <w:tcPr>
            <w:tcW w:w="2326" w:type="dxa"/>
            <w:gridSpan w:val="2"/>
            <w:tcBorders>
              <w:top w:val="single" w:color="000000" w:sz="4" w:space="0"/>
              <w:left w:val="single" w:color="000000" w:sz="4" w:space="0"/>
              <w:bottom w:val="single" w:color="000000" w:sz="4" w:space="0"/>
              <w:right w:val="single" w:color="000000" w:sz="4" w:space="0"/>
            </w:tcBorders>
            <w:noWrap/>
            <w:vAlign w:val="center"/>
          </w:tcPr>
          <w:p w14:paraId="250D3FF0">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客户餐费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497F95">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300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008C2AB3">
            <w:pPr>
              <w:widowControl/>
              <w:spacing w:line="360" w:lineRule="auto"/>
              <w:jc w:val="center"/>
              <w:textAlignment w:val="center"/>
              <w:rPr>
                <w:rFonts w:ascii="宋体" w:hAnsi="宋体" w:cs="宋体"/>
                <w:color w:val="auto"/>
                <w:kern w:val="0"/>
                <w:szCs w:val="21"/>
                <w:highlight w:val="none"/>
                <w:lang w:bidi="ar"/>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AD9822">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50</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2EDB8C30">
            <w:pPr>
              <w:widowControl/>
              <w:spacing w:line="360" w:lineRule="auto"/>
              <w:jc w:val="center"/>
              <w:textAlignment w:val="center"/>
              <w:rPr>
                <w:rFonts w:ascii="宋体" w:hAnsi="宋体" w:cs="宋体"/>
                <w:color w:val="auto"/>
                <w:kern w:val="0"/>
                <w:szCs w:val="21"/>
                <w:highlight w:val="none"/>
                <w:lang w:bidi="ar"/>
              </w:rPr>
            </w:pPr>
          </w:p>
        </w:tc>
      </w:tr>
      <w:tr w14:paraId="4EF579E1">
        <w:tblPrEx>
          <w:tblCellMar>
            <w:top w:w="0" w:type="dxa"/>
            <w:left w:w="108" w:type="dxa"/>
            <w:bottom w:w="0" w:type="dxa"/>
            <w:right w:w="108" w:type="dxa"/>
          </w:tblCellMar>
        </w:tblPrEx>
        <w:trPr>
          <w:trHeight w:val="662"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09BF07D6">
            <w:pPr>
              <w:spacing w:line="360" w:lineRule="auto"/>
              <w:jc w:val="center"/>
              <w:rPr>
                <w:rFonts w:ascii="宋体" w:hAnsi="宋体" w:cs="宋体"/>
                <w:color w:val="auto"/>
                <w:szCs w:val="21"/>
                <w:highlight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ign w:val="center"/>
          </w:tcPr>
          <w:p w14:paraId="5839B065">
            <w:pPr>
              <w:spacing w:line="360" w:lineRule="auto"/>
              <w:jc w:val="center"/>
              <w:rPr>
                <w:rFonts w:ascii="宋体" w:hAnsi="宋体" w:cs="宋体"/>
                <w:color w:val="auto"/>
                <w:szCs w:val="21"/>
                <w:highlight w:val="none"/>
              </w:rPr>
            </w:pPr>
          </w:p>
        </w:tc>
        <w:tc>
          <w:tcPr>
            <w:tcW w:w="2326" w:type="dxa"/>
            <w:gridSpan w:val="2"/>
            <w:tcBorders>
              <w:top w:val="single" w:color="000000" w:sz="4" w:space="0"/>
              <w:left w:val="single" w:color="000000" w:sz="4" w:space="0"/>
              <w:bottom w:val="single" w:color="000000" w:sz="4" w:space="0"/>
              <w:right w:val="single" w:color="000000" w:sz="4" w:space="0"/>
            </w:tcBorders>
            <w:noWrap/>
            <w:vAlign w:val="center"/>
          </w:tcPr>
          <w:p w14:paraId="19FCDCEA">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其他餐费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A25C90">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150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7F82AB1">
            <w:pPr>
              <w:widowControl/>
              <w:spacing w:line="360" w:lineRule="auto"/>
              <w:jc w:val="center"/>
              <w:textAlignment w:val="center"/>
              <w:rPr>
                <w:rFonts w:ascii="宋体" w:hAnsi="宋体" w:cs="宋体"/>
                <w:color w:val="auto"/>
                <w:kern w:val="0"/>
                <w:szCs w:val="21"/>
                <w:highlight w:val="none"/>
                <w:lang w:bidi="ar"/>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CC2942">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20</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61810B0D">
            <w:pPr>
              <w:widowControl/>
              <w:spacing w:line="360" w:lineRule="auto"/>
              <w:jc w:val="center"/>
              <w:textAlignment w:val="center"/>
              <w:rPr>
                <w:rFonts w:ascii="宋体" w:hAnsi="宋体" w:cs="宋体"/>
                <w:color w:val="auto"/>
                <w:kern w:val="0"/>
                <w:szCs w:val="21"/>
                <w:highlight w:val="none"/>
                <w:lang w:bidi="ar"/>
              </w:rPr>
            </w:pPr>
          </w:p>
        </w:tc>
      </w:tr>
      <w:tr w14:paraId="10035B25">
        <w:tblPrEx>
          <w:tblCellMar>
            <w:top w:w="0" w:type="dxa"/>
            <w:left w:w="108" w:type="dxa"/>
            <w:bottom w:w="0" w:type="dxa"/>
            <w:right w:w="108" w:type="dxa"/>
          </w:tblCellMar>
        </w:tblPrEx>
        <w:trPr>
          <w:trHeight w:val="160" w:hRule="atLeast"/>
          <w:tblHeader/>
        </w:trPr>
        <w:tc>
          <w:tcPr>
            <w:tcW w:w="688" w:type="dxa"/>
            <w:vMerge w:val="continue"/>
            <w:tcBorders>
              <w:top w:val="single" w:color="000000" w:sz="4" w:space="0"/>
              <w:left w:val="single" w:color="000000" w:sz="4" w:space="0"/>
              <w:bottom w:val="single" w:color="000000" w:sz="4" w:space="0"/>
              <w:right w:val="single" w:color="000000" w:sz="4" w:space="0"/>
            </w:tcBorders>
            <w:noWrap/>
            <w:vAlign w:val="center"/>
          </w:tcPr>
          <w:p w14:paraId="52E97833">
            <w:pPr>
              <w:spacing w:line="360" w:lineRule="auto"/>
              <w:jc w:val="center"/>
              <w:rPr>
                <w:rFonts w:ascii="宋体" w:hAnsi="宋体" w:cs="宋体"/>
                <w:color w:val="auto"/>
                <w:szCs w:val="21"/>
                <w:highlight w:val="none"/>
              </w:rPr>
            </w:pP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328E3F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会场</w:t>
            </w:r>
          </w:p>
        </w:tc>
        <w:tc>
          <w:tcPr>
            <w:tcW w:w="2326" w:type="dxa"/>
            <w:gridSpan w:val="2"/>
            <w:tcBorders>
              <w:top w:val="single" w:color="000000" w:sz="4" w:space="0"/>
              <w:left w:val="single" w:color="000000" w:sz="4" w:space="0"/>
              <w:bottom w:val="single" w:color="000000" w:sz="4" w:space="0"/>
              <w:right w:val="single" w:color="000000" w:sz="4" w:space="0"/>
            </w:tcBorders>
            <w:noWrap/>
            <w:vAlign w:val="center"/>
          </w:tcPr>
          <w:p w14:paraId="793870A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会场费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52F06D">
            <w:pPr>
              <w:widowControl/>
              <w:jc w:val="center"/>
              <w:textAlignment w:val="center"/>
              <w:rPr>
                <w:rFonts w:ascii="宋体" w:hAnsi="宋体" w:cs="宋体"/>
                <w:color w:val="auto"/>
                <w:szCs w:val="21"/>
                <w:highlight w:val="none"/>
              </w:rPr>
            </w:pPr>
            <w:r>
              <w:rPr>
                <w:rFonts w:hint="eastAsia" w:ascii="宋体" w:hAnsi="宋体" w:cs="宋体"/>
                <w:color w:val="auto"/>
                <w:kern w:val="0"/>
                <w:sz w:val="22"/>
                <w:szCs w:val="22"/>
                <w:highlight w:val="none"/>
                <w:lang w:bidi="ar"/>
              </w:rPr>
              <w:t>25000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109FB09F">
            <w:pPr>
              <w:widowControl/>
              <w:spacing w:line="360" w:lineRule="auto"/>
              <w:jc w:val="center"/>
              <w:textAlignment w:val="center"/>
              <w:rPr>
                <w:rFonts w:ascii="宋体" w:hAnsi="宋体" w:cs="宋体"/>
                <w:color w:val="auto"/>
                <w:kern w:val="0"/>
                <w:szCs w:val="21"/>
                <w:highlight w:val="none"/>
                <w:lang w:bidi="ar"/>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13D478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537A2293">
            <w:pPr>
              <w:widowControl/>
              <w:spacing w:line="360" w:lineRule="auto"/>
              <w:jc w:val="center"/>
              <w:textAlignment w:val="center"/>
              <w:rPr>
                <w:rFonts w:ascii="宋体" w:hAnsi="宋体" w:cs="宋体"/>
                <w:color w:val="auto"/>
                <w:kern w:val="0"/>
                <w:szCs w:val="21"/>
                <w:highlight w:val="none"/>
                <w:lang w:bidi="ar"/>
              </w:rPr>
            </w:pPr>
          </w:p>
        </w:tc>
      </w:tr>
      <w:tr w14:paraId="5DD51DB2">
        <w:tblPrEx>
          <w:tblCellMar>
            <w:top w:w="0" w:type="dxa"/>
            <w:left w:w="108" w:type="dxa"/>
            <w:bottom w:w="0" w:type="dxa"/>
            <w:right w:w="108" w:type="dxa"/>
          </w:tblCellMar>
        </w:tblPrEx>
        <w:trPr>
          <w:trHeight w:val="328" w:hRule="atLeast"/>
          <w:tblHeader/>
        </w:trPr>
        <w:tc>
          <w:tcPr>
            <w:tcW w:w="688" w:type="dxa"/>
            <w:vMerge w:val="continue"/>
            <w:tcBorders>
              <w:left w:val="single" w:color="000000" w:sz="4" w:space="0"/>
              <w:right w:val="single" w:color="000000" w:sz="4" w:space="0"/>
            </w:tcBorders>
            <w:noWrap/>
            <w:vAlign w:val="center"/>
          </w:tcPr>
          <w:p w14:paraId="51E00381">
            <w:pPr>
              <w:spacing w:line="360" w:lineRule="auto"/>
              <w:jc w:val="center"/>
              <w:rPr>
                <w:rFonts w:ascii="宋体" w:hAnsi="宋体" w:cs="宋体"/>
                <w:color w:val="auto"/>
                <w:szCs w:val="21"/>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14:paraId="3FB8728E">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场次</w:t>
            </w:r>
          </w:p>
        </w:tc>
        <w:tc>
          <w:tcPr>
            <w:tcW w:w="7375" w:type="dxa"/>
            <w:gridSpan w:val="5"/>
            <w:tcBorders>
              <w:top w:val="single" w:color="000000" w:sz="4" w:space="0"/>
              <w:left w:val="single" w:color="000000" w:sz="4" w:space="0"/>
              <w:bottom w:val="single" w:color="000000" w:sz="4" w:space="0"/>
              <w:right w:val="single" w:color="000000" w:sz="4" w:space="0"/>
            </w:tcBorders>
            <w:noWrap/>
            <w:vAlign w:val="center"/>
          </w:tcPr>
          <w:p w14:paraId="5C5121A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40场</w:t>
            </w:r>
          </w:p>
        </w:tc>
      </w:tr>
      <w:tr w14:paraId="26CE70A7">
        <w:tblPrEx>
          <w:tblCellMar>
            <w:top w:w="0" w:type="dxa"/>
            <w:left w:w="108" w:type="dxa"/>
            <w:bottom w:w="0" w:type="dxa"/>
            <w:right w:w="108" w:type="dxa"/>
          </w:tblCellMar>
        </w:tblPrEx>
        <w:trPr>
          <w:trHeight w:val="477" w:hRule="atLeast"/>
          <w:tblHeader/>
        </w:trPr>
        <w:tc>
          <w:tcPr>
            <w:tcW w:w="688" w:type="dxa"/>
            <w:tcBorders>
              <w:left w:val="single" w:color="000000" w:sz="4" w:space="0"/>
              <w:bottom w:val="single" w:color="000000" w:sz="4" w:space="0"/>
              <w:right w:val="single" w:color="000000" w:sz="4" w:space="0"/>
            </w:tcBorders>
            <w:noWrap/>
            <w:vAlign w:val="center"/>
          </w:tcPr>
          <w:p w14:paraId="318CF022">
            <w:pPr>
              <w:spacing w:line="360" w:lineRule="auto"/>
              <w:jc w:val="center"/>
              <w:rPr>
                <w:rFonts w:ascii="宋体" w:hAnsi="宋体" w:cs="宋体"/>
                <w:color w:val="auto"/>
                <w:szCs w:val="21"/>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14:paraId="46C97C5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单场最高限价（元）</w:t>
            </w:r>
          </w:p>
        </w:tc>
        <w:tc>
          <w:tcPr>
            <w:tcW w:w="2762" w:type="dxa"/>
            <w:gridSpan w:val="2"/>
            <w:tcBorders>
              <w:top w:val="single" w:color="000000" w:sz="4" w:space="0"/>
              <w:left w:val="single" w:color="000000" w:sz="4" w:space="0"/>
              <w:bottom w:val="single" w:color="000000" w:sz="4" w:space="0"/>
              <w:right w:val="single" w:color="000000" w:sz="4" w:space="0"/>
            </w:tcBorders>
            <w:noWrap/>
            <w:vAlign w:val="center"/>
          </w:tcPr>
          <w:p w14:paraId="3B494B3E">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 w:val="22"/>
                <w:szCs w:val="22"/>
                <w:highlight w:val="none"/>
                <w:lang w:bidi="ar"/>
              </w:rPr>
              <w:t>84500</w:t>
            </w:r>
          </w:p>
        </w:tc>
        <w:tc>
          <w:tcPr>
            <w:tcW w:w="2814" w:type="dxa"/>
            <w:gridSpan w:val="2"/>
            <w:tcBorders>
              <w:top w:val="single" w:color="000000" w:sz="4" w:space="0"/>
              <w:left w:val="single" w:color="000000" w:sz="4" w:space="0"/>
              <w:bottom w:val="single" w:color="000000" w:sz="4" w:space="0"/>
              <w:right w:val="single" w:color="000000" w:sz="4" w:space="0"/>
            </w:tcBorders>
            <w:noWrap/>
            <w:vAlign w:val="center"/>
          </w:tcPr>
          <w:p w14:paraId="690A08EC">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单场投标报价（元）</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6D97EAF7">
            <w:pPr>
              <w:widowControl/>
              <w:spacing w:line="360" w:lineRule="auto"/>
              <w:jc w:val="center"/>
              <w:textAlignment w:val="center"/>
              <w:rPr>
                <w:rFonts w:ascii="宋体" w:hAnsi="宋体" w:cs="宋体"/>
                <w:color w:val="auto"/>
                <w:szCs w:val="21"/>
                <w:highlight w:val="none"/>
              </w:rPr>
            </w:pPr>
          </w:p>
        </w:tc>
      </w:tr>
      <w:tr w14:paraId="39A6C0A7">
        <w:tblPrEx>
          <w:tblCellMar>
            <w:top w:w="0" w:type="dxa"/>
            <w:left w:w="108" w:type="dxa"/>
            <w:bottom w:w="0" w:type="dxa"/>
            <w:right w:w="108" w:type="dxa"/>
          </w:tblCellMar>
        </w:tblPrEx>
        <w:trPr>
          <w:trHeight w:val="477" w:hRule="atLeast"/>
          <w:tblHeader/>
        </w:trPr>
        <w:tc>
          <w:tcPr>
            <w:tcW w:w="688" w:type="dxa"/>
            <w:tcBorders>
              <w:left w:val="single" w:color="000000" w:sz="4" w:space="0"/>
              <w:bottom w:val="single" w:color="000000" w:sz="4" w:space="0"/>
              <w:right w:val="single" w:color="000000" w:sz="4" w:space="0"/>
            </w:tcBorders>
            <w:noWrap/>
            <w:vAlign w:val="center"/>
          </w:tcPr>
          <w:p w14:paraId="212E11C8">
            <w:pPr>
              <w:spacing w:line="360" w:lineRule="auto"/>
              <w:jc w:val="center"/>
              <w:rPr>
                <w:rFonts w:ascii="宋体" w:hAnsi="宋体" w:cs="宋体"/>
                <w:color w:val="auto"/>
                <w:szCs w:val="21"/>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14:paraId="31CE365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总价最高限价（元）</w:t>
            </w:r>
          </w:p>
        </w:tc>
        <w:tc>
          <w:tcPr>
            <w:tcW w:w="2762" w:type="dxa"/>
            <w:gridSpan w:val="2"/>
            <w:tcBorders>
              <w:top w:val="single" w:color="000000" w:sz="4" w:space="0"/>
              <w:left w:val="single" w:color="000000" w:sz="4" w:space="0"/>
              <w:bottom w:val="single" w:color="000000" w:sz="4" w:space="0"/>
              <w:right w:val="single" w:color="000000" w:sz="4" w:space="0"/>
            </w:tcBorders>
            <w:noWrap/>
            <w:vAlign w:val="center"/>
          </w:tcPr>
          <w:p w14:paraId="302D6F85">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 w:val="22"/>
                <w:szCs w:val="22"/>
                <w:highlight w:val="none"/>
                <w:lang w:bidi="ar"/>
              </w:rPr>
              <w:t>3380000</w:t>
            </w:r>
          </w:p>
        </w:tc>
        <w:tc>
          <w:tcPr>
            <w:tcW w:w="2814" w:type="dxa"/>
            <w:gridSpan w:val="2"/>
            <w:tcBorders>
              <w:top w:val="single" w:color="000000" w:sz="4" w:space="0"/>
              <w:left w:val="single" w:color="000000" w:sz="4" w:space="0"/>
              <w:bottom w:val="single" w:color="000000" w:sz="4" w:space="0"/>
              <w:right w:val="single" w:color="000000" w:sz="4" w:space="0"/>
            </w:tcBorders>
            <w:noWrap/>
            <w:vAlign w:val="center"/>
          </w:tcPr>
          <w:p w14:paraId="6EC8547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投标总价报价（元）</w:t>
            </w:r>
          </w:p>
        </w:tc>
        <w:tc>
          <w:tcPr>
            <w:tcW w:w="1799" w:type="dxa"/>
            <w:tcBorders>
              <w:top w:val="single" w:color="000000" w:sz="4" w:space="0"/>
              <w:left w:val="single" w:color="000000" w:sz="4" w:space="0"/>
              <w:bottom w:val="single" w:color="000000" w:sz="4" w:space="0"/>
              <w:right w:val="single" w:color="000000" w:sz="4" w:space="0"/>
            </w:tcBorders>
            <w:noWrap/>
            <w:vAlign w:val="center"/>
          </w:tcPr>
          <w:p w14:paraId="1CB3FA8E">
            <w:pPr>
              <w:widowControl/>
              <w:spacing w:line="360" w:lineRule="auto"/>
              <w:jc w:val="center"/>
              <w:textAlignment w:val="center"/>
              <w:rPr>
                <w:rFonts w:ascii="宋体" w:hAnsi="宋体" w:cs="宋体"/>
                <w:color w:val="auto"/>
                <w:szCs w:val="21"/>
                <w:highlight w:val="none"/>
              </w:rPr>
            </w:pPr>
          </w:p>
        </w:tc>
      </w:tr>
    </w:tbl>
    <w:p w14:paraId="5EE7FDDA">
      <w:pPr>
        <w:pStyle w:val="163"/>
        <w:spacing w:line="360" w:lineRule="exact"/>
        <w:rPr>
          <w:rFonts w:hAnsi="宋体"/>
          <w:color w:val="auto"/>
          <w:sz w:val="24"/>
          <w:highlight w:val="none"/>
          <w:lang w:eastAsia="zh-CN"/>
        </w:rPr>
      </w:pPr>
    </w:p>
    <w:p w14:paraId="04CBDD34">
      <w:pPr>
        <w:pStyle w:val="163"/>
        <w:spacing w:line="360" w:lineRule="exact"/>
        <w:rPr>
          <w:rFonts w:hAnsi="宋体"/>
          <w:color w:val="auto"/>
          <w:sz w:val="24"/>
          <w:highlight w:val="none"/>
        </w:rPr>
      </w:pPr>
      <w:r>
        <w:rPr>
          <w:rFonts w:hint="eastAsia" w:hAnsi="宋体"/>
          <w:color w:val="auto"/>
          <w:sz w:val="24"/>
          <w:highlight w:val="none"/>
        </w:rPr>
        <w:t>注：</w:t>
      </w:r>
    </w:p>
    <w:p w14:paraId="0B391775">
      <w:pPr>
        <w:pStyle w:val="156"/>
        <w:numPr>
          <w:ilvl w:val="0"/>
          <w:numId w:val="14"/>
        </w:numPr>
        <w:spacing w:line="360" w:lineRule="auto"/>
        <w:jc w:val="left"/>
        <w:rPr>
          <w:rFonts w:hAnsi="宋体" w:eastAsia="宋体"/>
          <w:b/>
          <w:color w:val="auto"/>
          <w:sz w:val="24"/>
          <w:highlight w:val="none"/>
        </w:rPr>
      </w:pPr>
      <w:r>
        <w:rPr>
          <w:rFonts w:hint="eastAsia" w:hAnsi="宋体" w:eastAsia="宋体"/>
          <w:b/>
          <w:color w:val="auto"/>
          <w:sz w:val="24"/>
          <w:highlight w:val="none"/>
        </w:rPr>
        <w:t>报价</w:t>
      </w:r>
      <w:r>
        <w:rPr>
          <w:rFonts w:hAnsi="宋体" w:eastAsia="宋体"/>
          <w:b/>
          <w:color w:val="auto"/>
          <w:sz w:val="24"/>
          <w:highlight w:val="none"/>
        </w:rPr>
        <w:t>含</w:t>
      </w:r>
      <w:r>
        <w:rPr>
          <w:rFonts w:hint="eastAsia" w:hAnsi="宋体" w:eastAsia="宋体"/>
          <w:b/>
          <w:color w:val="auto"/>
          <w:sz w:val="24"/>
          <w:highlight w:val="none"/>
        </w:rPr>
        <w:t>招标范围的</w:t>
      </w:r>
      <w:r>
        <w:rPr>
          <w:rFonts w:hAnsi="宋体" w:eastAsia="宋体"/>
          <w:b/>
          <w:color w:val="auto"/>
          <w:sz w:val="24"/>
          <w:highlight w:val="none"/>
        </w:rPr>
        <w:t>所有费用</w:t>
      </w:r>
      <w:r>
        <w:rPr>
          <w:rFonts w:hint="eastAsia" w:hAnsi="宋体" w:eastAsia="宋体"/>
          <w:b/>
          <w:color w:val="auto"/>
          <w:sz w:val="24"/>
          <w:highlight w:val="none"/>
        </w:rPr>
        <w:t>；</w:t>
      </w:r>
    </w:p>
    <w:p w14:paraId="61187AB5">
      <w:pPr>
        <w:pStyle w:val="156"/>
        <w:numPr>
          <w:ilvl w:val="0"/>
          <w:numId w:val="14"/>
        </w:numPr>
        <w:spacing w:line="360" w:lineRule="auto"/>
        <w:rPr>
          <w:rFonts w:hAnsi="宋体" w:eastAsia="宋体"/>
          <w:b/>
          <w:color w:val="auto"/>
          <w:sz w:val="24"/>
          <w:highlight w:val="none"/>
        </w:rPr>
      </w:pPr>
      <w:r>
        <w:rPr>
          <w:rFonts w:hint="eastAsia" w:hAnsi="宋体" w:eastAsia="宋体"/>
          <w:b/>
          <w:color w:val="auto"/>
          <w:sz w:val="24"/>
          <w:highlight w:val="none"/>
        </w:rPr>
        <w:t>投标人的投标报价不得超过最高限价，否则按废标处理。</w:t>
      </w:r>
    </w:p>
    <w:p w14:paraId="3CA5E8CD">
      <w:pPr>
        <w:pStyle w:val="156"/>
        <w:spacing w:line="360" w:lineRule="auto"/>
        <w:rPr>
          <w:rFonts w:hAnsi="宋体" w:eastAsia="宋体"/>
          <w:b/>
          <w:color w:val="auto"/>
          <w:sz w:val="24"/>
          <w:highlight w:val="none"/>
        </w:rPr>
      </w:pPr>
      <w:r>
        <w:rPr>
          <w:rFonts w:hint="eastAsia" w:hAnsi="宋体" w:eastAsia="宋体"/>
          <w:b/>
          <w:color w:val="auto"/>
          <w:sz w:val="24"/>
          <w:highlight w:val="none"/>
        </w:rPr>
        <w:t>3、单场投标报价=响应报价之和, 投标总价报价=单场投标报价×场次。</w:t>
      </w:r>
    </w:p>
    <w:p w14:paraId="738D7C37">
      <w:pPr>
        <w:pStyle w:val="156"/>
        <w:spacing w:line="360" w:lineRule="auto"/>
        <w:rPr>
          <w:rFonts w:hAnsi="宋体" w:eastAsia="宋体"/>
          <w:b/>
          <w:color w:val="auto"/>
          <w:sz w:val="24"/>
          <w:highlight w:val="none"/>
        </w:rPr>
      </w:pPr>
    </w:p>
    <w:p w14:paraId="6D8F2928">
      <w:pPr>
        <w:pStyle w:val="156"/>
        <w:spacing w:line="360" w:lineRule="auto"/>
        <w:rPr>
          <w:rFonts w:hAnsi="宋体" w:eastAsia="宋体"/>
          <w:b/>
          <w:color w:val="auto"/>
          <w:sz w:val="24"/>
          <w:highlight w:val="none"/>
        </w:rPr>
      </w:pPr>
    </w:p>
    <w:p w14:paraId="366B707D">
      <w:pPr>
        <w:pStyle w:val="156"/>
        <w:spacing w:line="360" w:lineRule="auto"/>
        <w:rPr>
          <w:rFonts w:hAnsi="宋体" w:eastAsia="宋体"/>
          <w:color w:val="auto"/>
          <w:sz w:val="24"/>
          <w:highlight w:val="none"/>
        </w:rPr>
      </w:pPr>
      <w:r>
        <w:rPr>
          <w:rFonts w:hint="eastAsia" w:hAnsi="宋体" w:eastAsia="宋体"/>
          <w:color w:val="auto"/>
          <w:sz w:val="24"/>
          <w:highlight w:val="none"/>
        </w:rPr>
        <w:t>投标人：（盖单位公章）</w:t>
      </w:r>
    </w:p>
    <w:p w14:paraId="0621BF04">
      <w:pPr>
        <w:pStyle w:val="156"/>
        <w:spacing w:line="360" w:lineRule="auto"/>
        <w:rPr>
          <w:rFonts w:hAnsi="宋体" w:eastAsia="宋体"/>
          <w:color w:val="auto"/>
          <w:sz w:val="24"/>
          <w:highlight w:val="none"/>
        </w:rPr>
      </w:pPr>
      <w:r>
        <w:rPr>
          <w:rFonts w:hint="eastAsia" w:hAnsi="宋体" w:eastAsia="宋体"/>
          <w:color w:val="auto"/>
          <w:sz w:val="24"/>
          <w:highlight w:val="none"/>
        </w:rPr>
        <w:t>日期：      年</w:t>
      </w:r>
      <w:r>
        <w:rPr>
          <w:rFonts w:hAnsi="宋体" w:eastAsia="宋体"/>
          <w:color w:val="auto"/>
          <w:sz w:val="24"/>
          <w:highlight w:val="none"/>
        </w:rPr>
        <w:t xml:space="preserve">     </w:t>
      </w:r>
      <w:r>
        <w:rPr>
          <w:rFonts w:hint="eastAsia" w:hAnsi="宋体" w:eastAsia="宋体"/>
          <w:color w:val="auto"/>
          <w:sz w:val="24"/>
          <w:highlight w:val="none"/>
        </w:rPr>
        <w:t>月</w:t>
      </w:r>
      <w:r>
        <w:rPr>
          <w:rFonts w:hAnsi="宋体" w:eastAsia="宋体"/>
          <w:color w:val="auto"/>
          <w:sz w:val="24"/>
          <w:highlight w:val="none"/>
        </w:rPr>
        <w:t xml:space="preserve">     </w:t>
      </w:r>
      <w:r>
        <w:rPr>
          <w:rFonts w:hint="eastAsia" w:hAnsi="宋体" w:eastAsia="宋体"/>
          <w:color w:val="auto"/>
          <w:sz w:val="24"/>
          <w:highlight w:val="none"/>
        </w:rPr>
        <w:t>日</w:t>
      </w:r>
    </w:p>
    <w:p w14:paraId="6F11FDB5">
      <w:pPr>
        <w:pStyle w:val="156"/>
        <w:rPr>
          <w:rFonts w:hAnsi="宋体" w:eastAsia="宋体"/>
          <w:color w:val="auto"/>
          <w:sz w:val="24"/>
          <w:highlight w:val="none"/>
        </w:rPr>
      </w:pPr>
    </w:p>
    <w:p w14:paraId="27A70ECD">
      <w:pPr>
        <w:rPr>
          <w:color w:val="auto"/>
          <w:highlight w:val="none"/>
        </w:rPr>
      </w:pPr>
    </w:p>
    <w:p w14:paraId="6A04D4BB">
      <w:pPr>
        <w:rPr>
          <w:color w:val="auto"/>
          <w:highlight w:val="none"/>
        </w:rPr>
      </w:pPr>
    </w:p>
    <w:p w14:paraId="4FBDF4DF">
      <w:pPr>
        <w:rPr>
          <w:color w:val="auto"/>
          <w:highlight w:val="none"/>
        </w:rPr>
      </w:pPr>
    </w:p>
    <w:p w14:paraId="28CE2664">
      <w:pPr>
        <w:pStyle w:val="156"/>
        <w:jc w:val="center"/>
        <w:rPr>
          <w:rFonts w:hAnsi="宋体" w:eastAsia="宋体"/>
          <w:b/>
          <w:color w:val="auto"/>
          <w:sz w:val="32"/>
          <w:szCs w:val="32"/>
          <w:highlight w:val="none"/>
        </w:rPr>
      </w:pPr>
    </w:p>
    <w:p w14:paraId="2A366D35">
      <w:pPr>
        <w:pStyle w:val="156"/>
        <w:jc w:val="center"/>
        <w:rPr>
          <w:rFonts w:hAnsi="宋体" w:eastAsia="宋体"/>
          <w:b/>
          <w:color w:val="auto"/>
          <w:sz w:val="32"/>
          <w:szCs w:val="32"/>
          <w:highlight w:val="none"/>
        </w:rPr>
      </w:pPr>
    </w:p>
    <w:bookmarkEnd w:id="766"/>
    <w:bookmarkEnd w:id="767"/>
    <w:p w14:paraId="177AC19C">
      <w:pPr>
        <w:spacing w:line="500" w:lineRule="exact"/>
        <w:rPr>
          <w:color w:val="auto"/>
          <w:highlight w:val="none"/>
        </w:rPr>
      </w:pPr>
      <w:bookmarkStart w:id="769" w:name="_Toc46495171"/>
      <w:bookmarkStart w:id="770" w:name="_Toc45615474"/>
    </w:p>
    <w:p w14:paraId="2DA434E1">
      <w:pPr>
        <w:pStyle w:val="156"/>
        <w:jc w:val="left"/>
        <w:rPr>
          <w:rFonts w:hAnsi="宋体" w:eastAsia="宋体"/>
          <w:b/>
          <w:color w:val="auto"/>
          <w:sz w:val="24"/>
          <w:szCs w:val="24"/>
          <w:highlight w:val="none"/>
        </w:rPr>
      </w:pPr>
      <w:r>
        <w:rPr>
          <w:rFonts w:hint="eastAsia" w:hAnsi="宋体" w:eastAsia="宋体"/>
          <w:b/>
          <w:color w:val="auto"/>
          <w:sz w:val="24"/>
          <w:szCs w:val="24"/>
          <w:highlight w:val="none"/>
        </w:rPr>
        <w:t>标包二：会展服务供应商：</w:t>
      </w:r>
    </w:p>
    <w:tbl>
      <w:tblPr>
        <w:tblStyle w:val="44"/>
        <w:tblW w:w="9840" w:type="dxa"/>
        <w:tblInd w:w="113" w:type="dxa"/>
        <w:tblLayout w:type="fixed"/>
        <w:tblCellMar>
          <w:top w:w="0" w:type="dxa"/>
          <w:left w:w="108" w:type="dxa"/>
          <w:bottom w:w="0" w:type="dxa"/>
          <w:right w:w="108" w:type="dxa"/>
        </w:tblCellMar>
      </w:tblPr>
      <w:tblGrid>
        <w:gridCol w:w="760"/>
        <w:gridCol w:w="1250"/>
        <w:gridCol w:w="2932"/>
        <w:gridCol w:w="742"/>
        <w:gridCol w:w="435"/>
        <w:gridCol w:w="207"/>
        <w:gridCol w:w="1917"/>
        <w:gridCol w:w="1597"/>
      </w:tblGrid>
      <w:tr w14:paraId="057A3F25">
        <w:tblPrEx>
          <w:tblCellMar>
            <w:top w:w="0" w:type="dxa"/>
            <w:left w:w="108" w:type="dxa"/>
            <w:bottom w:w="0" w:type="dxa"/>
            <w:right w:w="108" w:type="dxa"/>
          </w:tblCellMar>
        </w:tblPrEx>
        <w:trPr>
          <w:trHeight w:val="690" w:hRule="atLeast"/>
        </w:trPr>
        <w:tc>
          <w:tcPr>
            <w:tcW w:w="760" w:type="dxa"/>
            <w:vMerge w:val="restart"/>
            <w:tcBorders>
              <w:top w:val="single" w:color="auto" w:sz="4" w:space="0"/>
              <w:left w:val="single" w:color="auto" w:sz="4" w:space="0"/>
              <w:bottom w:val="single" w:color="auto" w:sz="4" w:space="0"/>
              <w:right w:val="single" w:color="auto" w:sz="4" w:space="0"/>
            </w:tcBorders>
            <w:noWrap/>
            <w:vAlign w:val="center"/>
          </w:tcPr>
          <w:p w14:paraId="7C187A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tc>
        <w:tc>
          <w:tcPr>
            <w:tcW w:w="9080" w:type="dxa"/>
            <w:gridSpan w:val="7"/>
            <w:tcBorders>
              <w:top w:val="single" w:color="auto" w:sz="4" w:space="0"/>
              <w:left w:val="single" w:color="auto" w:sz="4" w:space="0"/>
              <w:bottom w:val="single" w:color="auto" w:sz="4" w:space="0"/>
              <w:right w:val="single" w:color="auto" w:sz="4" w:space="0"/>
            </w:tcBorders>
            <w:noWrap/>
            <w:vAlign w:val="center"/>
          </w:tcPr>
          <w:p w14:paraId="68EFE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拟招标限价（含税）</w:t>
            </w:r>
          </w:p>
        </w:tc>
      </w:tr>
      <w:tr w14:paraId="6AB62D61">
        <w:tblPrEx>
          <w:tblCellMar>
            <w:top w:w="0" w:type="dxa"/>
            <w:left w:w="108" w:type="dxa"/>
            <w:bottom w:w="0" w:type="dxa"/>
            <w:right w:w="108" w:type="dxa"/>
          </w:tblCellMar>
        </w:tblPrEx>
        <w:trPr>
          <w:trHeight w:val="75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6D32FC3A">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774054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类别</w:t>
            </w:r>
          </w:p>
        </w:tc>
        <w:tc>
          <w:tcPr>
            <w:tcW w:w="2932" w:type="dxa"/>
            <w:tcBorders>
              <w:top w:val="single" w:color="auto" w:sz="4" w:space="0"/>
              <w:left w:val="single" w:color="auto" w:sz="4" w:space="0"/>
              <w:bottom w:val="single" w:color="auto" w:sz="4" w:space="0"/>
              <w:right w:val="single" w:color="auto" w:sz="4" w:space="0"/>
            </w:tcBorders>
            <w:noWrap/>
            <w:vAlign w:val="center"/>
          </w:tcPr>
          <w:p w14:paraId="35E8C5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类型</w:t>
            </w:r>
          </w:p>
        </w:tc>
        <w:tc>
          <w:tcPr>
            <w:tcW w:w="742" w:type="dxa"/>
            <w:tcBorders>
              <w:top w:val="single" w:color="auto" w:sz="4" w:space="0"/>
              <w:left w:val="single" w:color="auto" w:sz="4" w:space="0"/>
              <w:bottom w:val="single" w:color="auto" w:sz="4" w:space="0"/>
              <w:right w:val="single" w:color="auto" w:sz="4" w:space="0"/>
            </w:tcBorders>
            <w:noWrap/>
            <w:vAlign w:val="center"/>
          </w:tcPr>
          <w:p w14:paraId="0AA253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单价</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04BE3B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917" w:type="dxa"/>
            <w:tcBorders>
              <w:top w:val="single" w:color="auto" w:sz="4" w:space="0"/>
              <w:left w:val="single" w:color="auto" w:sz="4" w:space="0"/>
              <w:bottom w:val="single" w:color="auto" w:sz="4" w:space="0"/>
              <w:right w:val="single" w:color="auto" w:sz="4" w:space="0"/>
            </w:tcBorders>
            <w:noWrap/>
            <w:vAlign w:val="center"/>
          </w:tcPr>
          <w:p w14:paraId="1E78A2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c>
          <w:tcPr>
            <w:tcW w:w="1597" w:type="dxa"/>
            <w:tcBorders>
              <w:top w:val="single" w:color="auto" w:sz="4" w:space="0"/>
              <w:left w:val="single" w:color="auto" w:sz="4" w:space="0"/>
              <w:bottom w:val="single" w:color="auto" w:sz="4" w:space="0"/>
              <w:right w:val="single" w:color="auto" w:sz="4" w:space="0"/>
            </w:tcBorders>
            <w:vAlign w:val="center"/>
          </w:tcPr>
          <w:p w14:paraId="43FD86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响应报价</w:t>
            </w:r>
          </w:p>
          <w:p w14:paraId="22DC41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（元/场）</w:t>
            </w:r>
          </w:p>
        </w:tc>
      </w:tr>
      <w:tr w14:paraId="4CEB97D4">
        <w:tblPrEx>
          <w:tblCellMar>
            <w:top w:w="0" w:type="dxa"/>
            <w:left w:w="108" w:type="dxa"/>
            <w:bottom w:w="0" w:type="dxa"/>
            <w:right w:w="108" w:type="dxa"/>
          </w:tblCellMar>
        </w:tblPrEx>
        <w:trPr>
          <w:trHeight w:val="2070" w:hRule="atLeast"/>
        </w:trPr>
        <w:tc>
          <w:tcPr>
            <w:tcW w:w="760" w:type="dxa"/>
            <w:vMerge w:val="restart"/>
            <w:tcBorders>
              <w:top w:val="single" w:color="auto" w:sz="4" w:space="0"/>
              <w:left w:val="single" w:color="auto" w:sz="4" w:space="0"/>
              <w:bottom w:val="single" w:color="auto" w:sz="4" w:space="0"/>
              <w:right w:val="single" w:color="auto" w:sz="4" w:space="0"/>
            </w:tcBorders>
            <w:noWrap/>
            <w:vAlign w:val="center"/>
          </w:tcPr>
          <w:p w14:paraId="2C3FAB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标包二</w:t>
            </w:r>
          </w:p>
        </w:tc>
        <w:tc>
          <w:tcPr>
            <w:tcW w:w="1250" w:type="dxa"/>
            <w:tcBorders>
              <w:top w:val="single" w:color="auto" w:sz="4" w:space="0"/>
              <w:left w:val="single" w:color="auto" w:sz="4" w:space="0"/>
              <w:bottom w:val="single" w:color="auto" w:sz="4" w:space="0"/>
              <w:right w:val="single" w:color="auto" w:sz="4" w:space="0"/>
            </w:tcBorders>
            <w:vAlign w:val="center"/>
          </w:tcPr>
          <w:p w14:paraId="7CB159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氛围布置物料</w:t>
            </w:r>
          </w:p>
        </w:tc>
        <w:tc>
          <w:tcPr>
            <w:tcW w:w="2932" w:type="dxa"/>
            <w:tcBorders>
              <w:top w:val="single" w:color="auto" w:sz="4" w:space="0"/>
              <w:left w:val="single" w:color="auto" w:sz="4" w:space="0"/>
              <w:bottom w:val="single" w:color="auto" w:sz="4" w:space="0"/>
              <w:right w:val="single" w:color="auto" w:sz="4" w:space="0"/>
            </w:tcBorders>
            <w:vAlign w:val="center"/>
          </w:tcPr>
          <w:p w14:paraId="47253F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包含但不限于大厅签到桁架、合影墙桁架、桁架长臂射灯、大厅堆头造型、合影墙堆头设计、接待台氛围包装、导视展架、宣传展板、舞台合影背景画面、序厅地毯、竖幅等。</w:t>
            </w:r>
          </w:p>
        </w:tc>
        <w:tc>
          <w:tcPr>
            <w:tcW w:w="742" w:type="dxa"/>
            <w:tcBorders>
              <w:top w:val="single" w:color="auto" w:sz="4" w:space="0"/>
              <w:left w:val="single" w:color="auto" w:sz="4" w:space="0"/>
              <w:bottom w:val="single" w:color="auto" w:sz="4" w:space="0"/>
              <w:right w:val="single" w:color="auto" w:sz="4" w:space="0"/>
            </w:tcBorders>
            <w:noWrap/>
            <w:vAlign w:val="center"/>
          </w:tcPr>
          <w:p w14:paraId="667AB3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1344C7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6E2A46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542348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84F619">
        <w:tblPrEx>
          <w:tblCellMar>
            <w:top w:w="0" w:type="dxa"/>
            <w:left w:w="108" w:type="dxa"/>
            <w:bottom w:w="0" w:type="dxa"/>
            <w:right w:w="108" w:type="dxa"/>
          </w:tblCellMar>
        </w:tblPrEx>
        <w:trPr>
          <w:trHeight w:val="768"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77F6FBDA">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5C632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舞台物料</w:t>
            </w:r>
          </w:p>
        </w:tc>
        <w:tc>
          <w:tcPr>
            <w:tcW w:w="2932" w:type="dxa"/>
            <w:tcBorders>
              <w:top w:val="single" w:color="auto" w:sz="4" w:space="0"/>
              <w:left w:val="single" w:color="auto" w:sz="4" w:space="0"/>
              <w:bottom w:val="single" w:color="auto" w:sz="4" w:space="0"/>
              <w:right w:val="single" w:color="auto" w:sz="4" w:space="0"/>
            </w:tcBorders>
            <w:vAlign w:val="center"/>
          </w:tcPr>
          <w:p w14:paraId="45DE15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包含但不限于舞台板、舞台地毯、礼宾柱、立体字等。</w:t>
            </w:r>
          </w:p>
        </w:tc>
        <w:tc>
          <w:tcPr>
            <w:tcW w:w="742" w:type="dxa"/>
            <w:tcBorders>
              <w:top w:val="single" w:color="auto" w:sz="4" w:space="0"/>
              <w:left w:val="single" w:color="auto" w:sz="4" w:space="0"/>
              <w:bottom w:val="single" w:color="auto" w:sz="4" w:space="0"/>
              <w:right w:val="single" w:color="auto" w:sz="4" w:space="0"/>
            </w:tcBorders>
            <w:noWrap/>
            <w:vAlign w:val="center"/>
          </w:tcPr>
          <w:p w14:paraId="7896D5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6E17A1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16F6D1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20ACAD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6D1C64E">
        <w:tblPrEx>
          <w:tblCellMar>
            <w:top w:w="0" w:type="dxa"/>
            <w:left w:w="108" w:type="dxa"/>
            <w:bottom w:w="0" w:type="dxa"/>
            <w:right w:w="108" w:type="dxa"/>
          </w:tblCellMar>
        </w:tblPrEx>
        <w:trPr>
          <w:trHeight w:val="1328"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2BADAE1F">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03152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印刷制作</w:t>
            </w:r>
          </w:p>
        </w:tc>
        <w:tc>
          <w:tcPr>
            <w:tcW w:w="2932" w:type="dxa"/>
            <w:tcBorders>
              <w:top w:val="single" w:color="auto" w:sz="4" w:space="0"/>
              <w:left w:val="single" w:color="auto" w:sz="4" w:space="0"/>
              <w:bottom w:val="single" w:color="auto" w:sz="4" w:space="0"/>
              <w:right w:val="single" w:color="auto" w:sz="4" w:space="0"/>
            </w:tcBorders>
            <w:vAlign w:val="center"/>
          </w:tcPr>
          <w:p w14:paraId="1DAD752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包括但不限于活动手册、桌面资料、台签、嘉宾座牌、嘉宾证、工作证、举牌及活动其他所需印刷物资。</w:t>
            </w:r>
          </w:p>
        </w:tc>
        <w:tc>
          <w:tcPr>
            <w:tcW w:w="742" w:type="dxa"/>
            <w:tcBorders>
              <w:top w:val="single" w:color="auto" w:sz="4" w:space="0"/>
              <w:left w:val="single" w:color="auto" w:sz="4" w:space="0"/>
              <w:bottom w:val="single" w:color="auto" w:sz="4" w:space="0"/>
              <w:right w:val="single" w:color="auto" w:sz="4" w:space="0"/>
            </w:tcBorders>
            <w:noWrap/>
            <w:vAlign w:val="center"/>
          </w:tcPr>
          <w:p w14:paraId="640626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067FE7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53F23B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5F1422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9B3448">
        <w:tblPrEx>
          <w:tblCellMar>
            <w:top w:w="0" w:type="dxa"/>
            <w:left w:w="108" w:type="dxa"/>
            <w:bottom w:w="0" w:type="dxa"/>
            <w:right w:w="108" w:type="dxa"/>
          </w:tblCellMar>
        </w:tblPrEx>
        <w:trPr>
          <w:trHeight w:val="1123"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6773D3AC">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281494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艺人及摄影摄像</w:t>
            </w:r>
          </w:p>
        </w:tc>
        <w:tc>
          <w:tcPr>
            <w:tcW w:w="2932" w:type="dxa"/>
            <w:tcBorders>
              <w:top w:val="single" w:color="auto" w:sz="4" w:space="0"/>
              <w:left w:val="single" w:color="auto" w:sz="4" w:space="0"/>
              <w:bottom w:val="single" w:color="auto" w:sz="4" w:space="0"/>
              <w:right w:val="single" w:color="auto" w:sz="4" w:space="0"/>
            </w:tcBorders>
            <w:vAlign w:val="center"/>
          </w:tcPr>
          <w:p w14:paraId="282928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包括但不限于礼模、礼模服装、摄影师、摄像师、补光灯、同屏、视频剪辑等</w:t>
            </w:r>
          </w:p>
        </w:tc>
        <w:tc>
          <w:tcPr>
            <w:tcW w:w="742" w:type="dxa"/>
            <w:tcBorders>
              <w:top w:val="single" w:color="auto" w:sz="4" w:space="0"/>
              <w:left w:val="single" w:color="auto" w:sz="4" w:space="0"/>
              <w:bottom w:val="single" w:color="auto" w:sz="4" w:space="0"/>
              <w:right w:val="single" w:color="auto" w:sz="4" w:space="0"/>
            </w:tcBorders>
            <w:noWrap/>
            <w:vAlign w:val="center"/>
          </w:tcPr>
          <w:p w14:paraId="06A3EE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78C820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23ADAD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7FB4AC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A5E1B2">
        <w:tblPrEx>
          <w:tblCellMar>
            <w:top w:w="0" w:type="dxa"/>
            <w:left w:w="108" w:type="dxa"/>
            <w:bottom w:w="0" w:type="dxa"/>
            <w:right w:w="108" w:type="dxa"/>
          </w:tblCellMar>
        </w:tblPrEx>
        <w:trPr>
          <w:trHeight w:val="652"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69EC9BBA">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24619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物品采购</w:t>
            </w:r>
          </w:p>
        </w:tc>
        <w:tc>
          <w:tcPr>
            <w:tcW w:w="2932" w:type="dxa"/>
            <w:tcBorders>
              <w:top w:val="single" w:color="auto" w:sz="4" w:space="0"/>
              <w:left w:val="single" w:color="auto" w:sz="4" w:space="0"/>
              <w:bottom w:val="single" w:color="auto" w:sz="4" w:space="0"/>
              <w:right w:val="single" w:color="auto" w:sz="4" w:space="0"/>
            </w:tcBorders>
            <w:vAlign w:val="center"/>
          </w:tcPr>
          <w:p w14:paraId="1A980D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包含但不限于活动流程所需道具及物品。</w:t>
            </w:r>
          </w:p>
        </w:tc>
        <w:tc>
          <w:tcPr>
            <w:tcW w:w="742" w:type="dxa"/>
            <w:tcBorders>
              <w:top w:val="single" w:color="auto" w:sz="4" w:space="0"/>
              <w:left w:val="single" w:color="auto" w:sz="4" w:space="0"/>
              <w:bottom w:val="single" w:color="auto" w:sz="4" w:space="0"/>
              <w:right w:val="single" w:color="auto" w:sz="4" w:space="0"/>
            </w:tcBorders>
            <w:noWrap/>
            <w:vAlign w:val="center"/>
          </w:tcPr>
          <w:p w14:paraId="5E9E34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3EA349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0E8E91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199F94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BFCD492">
        <w:tblPrEx>
          <w:tblCellMar>
            <w:top w:w="0" w:type="dxa"/>
            <w:left w:w="108" w:type="dxa"/>
            <w:bottom w:w="0" w:type="dxa"/>
            <w:right w:w="108" w:type="dxa"/>
          </w:tblCellMar>
        </w:tblPrEx>
        <w:trPr>
          <w:trHeight w:val="9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7A2B5624">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20F5A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人工运输</w:t>
            </w:r>
          </w:p>
        </w:tc>
        <w:tc>
          <w:tcPr>
            <w:tcW w:w="2932" w:type="dxa"/>
            <w:tcBorders>
              <w:top w:val="single" w:color="auto" w:sz="4" w:space="0"/>
              <w:left w:val="single" w:color="auto" w:sz="4" w:space="0"/>
              <w:bottom w:val="single" w:color="auto" w:sz="4" w:space="0"/>
              <w:right w:val="single" w:color="auto" w:sz="4" w:space="0"/>
            </w:tcBorders>
            <w:vAlign w:val="center"/>
          </w:tcPr>
          <w:p w14:paraId="2C3703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包含但不限于搭建人工、撤场人工、运输等</w:t>
            </w:r>
          </w:p>
        </w:tc>
        <w:tc>
          <w:tcPr>
            <w:tcW w:w="742" w:type="dxa"/>
            <w:tcBorders>
              <w:top w:val="single" w:color="auto" w:sz="4" w:space="0"/>
              <w:left w:val="single" w:color="auto" w:sz="4" w:space="0"/>
              <w:bottom w:val="single" w:color="auto" w:sz="4" w:space="0"/>
              <w:right w:val="single" w:color="auto" w:sz="4" w:space="0"/>
            </w:tcBorders>
            <w:noWrap/>
            <w:vAlign w:val="center"/>
          </w:tcPr>
          <w:p w14:paraId="2E9E67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14:paraId="1AF7C4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17" w:type="dxa"/>
            <w:tcBorders>
              <w:top w:val="single" w:color="auto" w:sz="4" w:space="0"/>
              <w:left w:val="single" w:color="auto" w:sz="4" w:space="0"/>
              <w:bottom w:val="single" w:color="auto" w:sz="4" w:space="0"/>
              <w:right w:val="single" w:color="auto" w:sz="4" w:space="0"/>
            </w:tcBorders>
            <w:noWrap/>
            <w:vAlign w:val="center"/>
          </w:tcPr>
          <w:p w14:paraId="1B89A2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1597" w:type="dxa"/>
            <w:tcBorders>
              <w:top w:val="single" w:color="auto" w:sz="4" w:space="0"/>
              <w:left w:val="single" w:color="auto" w:sz="4" w:space="0"/>
              <w:bottom w:val="single" w:color="auto" w:sz="4" w:space="0"/>
              <w:right w:val="single" w:color="auto" w:sz="4" w:space="0"/>
            </w:tcBorders>
            <w:noWrap/>
            <w:vAlign w:val="center"/>
          </w:tcPr>
          <w:p w14:paraId="2834B9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B2E792C">
        <w:tblPrEx>
          <w:tblCellMar>
            <w:top w:w="0" w:type="dxa"/>
            <w:left w:w="108" w:type="dxa"/>
            <w:bottom w:w="0" w:type="dxa"/>
            <w:right w:w="108" w:type="dxa"/>
          </w:tblCellMar>
        </w:tblPrEx>
        <w:trPr>
          <w:trHeight w:val="72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461714B">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13ACE0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场次</w:t>
            </w:r>
          </w:p>
        </w:tc>
        <w:tc>
          <w:tcPr>
            <w:tcW w:w="7830" w:type="dxa"/>
            <w:gridSpan w:val="6"/>
            <w:tcBorders>
              <w:top w:val="single" w:color="auto" w:sz="4" w:space="0"/>
              <w:left w:val="single" w:color="auto" w:sz="4" w:space="0"/>
              <w:bottom w:val="single" w:color="auto" w:sz="4" w:space="0"/>
              <w:right w:val="single" w:color="auto" w:sz="4" w:space="0"/>
            </w:tcBorders>
            <w:noWrap/>
            <w:vAlign w:val="center"/>
          </w:tcPr>
          <w:p w14:paraId="44586F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40场</w:t>
            </w:r>
          </w:p>
        </w:tc>
      </w:tr>
      <w:tr w14:paraId="6ABC647D">
        <w:tblPrEx>
          <w:tblCellMar>
            <w:top w:w="0" w:type="dxa"/>
            <w:left w:w="108" w:type="dxa"/>
            <w:bottom w:w="0" w:type="dxa"/>
            <w:right w:w="108" w:type="dxa"/>
          </w:tblCellMar>
        </w:tblPrEx>
        <w:trPr>
          <w:trHeight w:val="87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419A8AC">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61B6FD5">
            <w:pPr>
              <w:widowControl/>
              <w:rPr>
                <w:rFonts w:ascii="宋体" w:hAnsi="宋体" w:cs="宋体"/>
                <w:color w:val="auto"/>
                <w:kern w:val="0"/>
                <w:szCs w:val="21"/>
                <w:highlight w:val="none"/>
              </w:rPr>
            </w:pPr>
            <w:r>
              <w:rPr>
                <w:rFonts w:hint="eastAsia" w:ascii="宋体" w:hAnsi="宋体" w:cs="宋体"/>
                <w:color w:val="auto"/>
                <w:kern w:val="0"/>
                <w:szCs w:val="21"/>
                <w:highlight w:val="none"/>
              </w:rPr>
              <w:t>单场最高限价（元）</w:t>
            </w:r>
          </w:p>
        </w:tc>
        <w:tc>
          <w:tcPr>
            <w:tcW w:w="2932" w:type="dxa"/>
            <w:tcBorders>
              <w:top w:val="single" w:color="auto" w:sz="4" w:space="0"/>
              <w:left w:val="single" w:color="auto" w:sz="4" w:space="0"/>
              <w:bottom w:val="single" w:color="auto" w:sz="4" w:space="0"/>
              <w:right w:val="single" w:color="auto" w:sz="4" w:space="0"/>
            </w:tcBorders>
            <w:noWrap/>
            <w:vAlign w:val="center"/>
          </w:tcPr>
          <w:p w14:paraId="249B4AE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20000</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1BA0E2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单场投标报价（元）</w:t>
            </w:r>
          </w:p>
        </w:tc>
        <w:tc>
          <w:tcPr>
            <w:tcW w:w="3721" w:type="dxa"/>
            <w:gridSpan w:val="3"/>
            <w:tcBorders>
              <w:top w:val="single" w:color="auto" w:sz="4" w:space="0"/>
              <w:left w:val="single" w:color="auto" w:sz="4" w:space="0"/>
              <w:bottom w:val="single" w:color="auto" w:sz="4" w:space="0"/>
              <w:right w:val="single" w:color="auto" w:sz="4" w:space="0"/>
            </w:tcBorders>
            <w:noWrap/>
            <w:vAlign w:val="center"/>
          </w:tcPr>
          <w:p w14:paraId="73B2EF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6B2A759">
        <w:tblPrEx>
          <w:tblCellMar>
            <w:top w:w="0" w:type="dxa"/>
            <w:left w:w="108" w:type="dxa"/>
            <w:bottom w:w="0" w:type="dxa"/>
            <w:right w:w="108" w:type="dxa"/>
          </w:tblCellMar>
        </w:tblPrEx>
        <w:trPr>
          <w:trHeight w:val="925" w:hRule="atLeast"/>
        </w:trPr>
        <w:tc>
          <w:tcPr>
            <w:tcW w:w="760" w:type="dxa"/>
            <w:tcBorders>
              <w:top w:val="single" w:color="auto" w:sz="4" w:space="0"/>
              <w:left w:val="single" w:color="auto" w:sz="4" w:space="0"/>
              <w:bottom w:val="single" w:color="auto" w:sz="4" w:space="0"/>
              <w:right w:val="single" w:color="auto" w:sz="4" w:space="0"/>
            </w:tcBorders>
            <w:vAlign w:val="center"/>
          </w:tcPr>
          <w:p w14:paraId="6AF6B905">
            <w:pPr>
              <w:widowControl/>
              <w:jc w:val="left"/>
              <w:rPr>
                <w:rFonts w:ascii="宋体" w:hAnsi="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979A7EC">
            <w:pPr>
              <w:widowControl/>
              <w:rPr>
                <w:rFonts w:ascii="宋体" w:hAnsi="宋体" w:cs="宋体"/>
                <w:color w:val="auto"/>
                <w:kern w:val="0"/>
                <w:szCs w:val="21"/>
                <w:highlight w:val="none"/>
              </w:rPr>
            </w:pPr>
            <w:r>
              <w:rPr>
                <w:rFonts w:hint="eastAsia" w:ascii="宋体" w:hAnsi="宋体" w:cs="宋体"/>
                <w:color w:val="auto"/>
                <w:kern w:val="0"/>
                <w:szCs w:val="21"/>
                <w:highlight w:val="none"/>
                <w:lang w:bidi="ar"/>
              </w:rPr>
              <w:t>总价最高限价（元）</w:t>
            </w:r>
          </w:p>
        </w:tc>
        <w:tc>
          <w:tcPr>
            <w:tcW w:w="2932" w:type="dxa"/>
            <w:tcBorders>
              <w:top w:val="single" w:color="auto" w:sz="4" w:space="0"/>
              <w:left w:val="single" w:color="auto" w:sz="4" w:space="0"/>
              <w:bottom w:val="single" w:color="auto" w:sz="4" w:space="0"/>
              <w:right w:val="single" w:color="auto" w:sz="4" w:space="0"/>
            </w:tcBorders>
            <w:noWrap/>
            <w:vAlign w:val="center"/>
          </w:tcPr>
          <w:p w14:paraId="286B5E1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800000</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5B0E51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投标总价报价（元）</w:t>
            </w:r>
          </w:p>
        </w:tc>
        <w:tc>
          <w:tcPr>
            <w:tcW w:w="3721" w:type="dxa"/>
            <w:gridSpan w:val="3"/>
            <w:tcBorders>
              <w:top w:val="single" w:color="auto" w:sz="4" w:space="0"/>
              <w:left w:val="single" w:color="auto" w:sz="4" w:space="0"/>
              <w:bottom w:val="single" w:color="auto" w:sz="4" w:space="0"/>
              <w:right w:val="single" w:color="auto" w:sz="4" w:space="0"/>
            </w:tcBorders>
            <w:noWrap/>
            <w:vAlign w:val="center"/>
          </w:tcPr>
          <w:p w14:paraId="4E700EDD">
            <w:pPr>
              <w:widowControl/>
              <w:jc w:val="center"/>
              <w:rPr>
                <w:rFonts w:ascii="宋体" w:hAnsi="宋体" w:cs="宋体"/>
                <w:color w:val="auto"/>
                <w:kern w:val="0"/>
                <w:szCs w:val="21"/>
                <w:highlight w:val="none"/>
              </w:rPr>
            </w:pPr>
          </w:p>
        </w:tc>
      </w:tr>
    </w:tbl>
    <w:p w14:paraId="3EF6BCA8">
      <w:pPr>
        <w:pStyle w:val="156"/>
        <w:spacing w:line="360" w:lineRule="exact"/>
        <w:jc w:val="left"/>
        <w:rPr>
          <w:rFonts w:hAnsi="宋体" w:eastAsia="宋体"/>
          <w:color w:val="auto"/>
          <w:sz w:val="24"/>
          <w:highlight w:val="none"/>
        </w:rPr>
      </w:pPr>
      <w:r>
        <w:rPr>
          <w:rFonts w:hint="eastAsia" w:hAnsi="宋体" w:eastAsia="宋体"/>
          <w:color w:val="auto"/>
          <w:sz w:val="24"/>
          <w:highlight w:val="none"/>
        </w:rPr>
        <w:t>注：</w:t>
      </w:r>
    </w:p>
    <w:p w14:paraId="6935C95B">
      <w:pPr>
        <w:pStyle w:val="156"/>
        <w:numPr>
          <w:ilvl w:val="0"/>
          <w:numId w:val="15"/>
        </w:numPr>
        <w:spacing w:line="360" w:lineRule="auto"/>
        <w:jc w:val="left"/>
        <w:rPr>
          <w:rFonts w:hAnsi="宋体" w:eastAsia="宋体"/>
          <w:b/>
          <w:color w:val="auto"/>
          <w:sz w:val="24"/>
          <w:highlight w:val="none"/>
        </w:rPr>
      </w:pPr>
      <w:r>
        <w:rPr>
          <w:rFonts w:hint="eastAsia" w:hAnsi="宋体" w:eastAsia="宋体"/>
          <w:b/>
          <w:color w:val="auto"/>
          <w:sz w:val="24"/>
          <w:highlight w:val="none"/>
        </w:rPr>
        <w:t>报价</w:t>
      </w:r>
      <w:r>
        <w:rPr>
          <w:rFonts w:hAnsi="宋体" w:eastAsia="宋体"/>
          <w:b/>
          <w:color w:val="auto"/>
          <w:sz w:val="24"/>
          <w:highlight w:val="none"/>
        </w:rPr>
        <w:t>含</w:t>
      </w:r>
      <w:r>
        <w:rPr>
          <w:rFonts w:hint="eastAsia" w:hAnsi="宋体" w:eastAsia="宋体"/>
          <w:b/>
          <w:color w:val="auto"/>
          <w:sz w:val="24"/>
          <w:highlight w:val="none"/>
        </w:rPr>
        <w:t>招标范围的</w:t>
      </w:r>
      <w:r>
        <w:rPr>
          <w:rFonts w:hAnsi="宋体" w:eastAsia="宋体"/>
          <w:b/>
          <w:color w:val="auto"/>
          <w:sz w:val="24"/>
          <w:highlight w:val="none"/>
        </w:rPr>
        <w:t>所有费用</w:t>
      </w:r>
      <w:r>
        <w:rPr>
          <w:rFonts w:hint="eastAsia" w:hAnsi="宋体" w:eastAsia="宋体"/>
          <w:b/>
          <w:color w:val="auto"/>
          <w:sz w:val="24"/>
          <w:highlight w:val="none"/>
        </w:rPr>
        <w:t>；</w:t>
      </w:r>
    </w:p>
    <w:p w14:paraId="658A37F1">
      <w:pPr>
        <w:pStyle w:val="156"/>
        <w:spacing w:line="360" w:lineRule="auto"/>
        <w:rPr>
          <w:rFonts w:hAnsi="宋体" w:eastAsia="宋体"/>
          <w:b/>
          <w:color w:val="auto"/>
          <w:sz w:val="24"/>
          <w:highlight w:val="none"/>
        </w:rPr>
      </w:pPr>
      <w:r>
        <w:rPr>
          <w:rFonts w:hint="eastAsia" w:hAnsi="宋体" w:eastAsia="宋体"/>
          <w:b/>
          <w:color w:val="auto"/>
          <w:sz w:val="24"/>
          <w:highlight w:val="none"/>
        </w:rPr>
        <w:t>2、投标人的投标报价不得超过最高限价，否则按废标处理。</w:t>
      </w:r>
    </w:p>
    <w:p w14:paraId="33FFD4FC">
      <w:pPr>
        <w:pStyle w:val="156"/>
        <w:spacing w:line="360" w:lineRule="auto"/>
        <w:rPr>
          <w:rFonts w:hAnsi="宋体" w:eastAsia="宋体"/>
          <w:b/>
          <w:color w:val="auto"/>
          <w:sz w:val="24"/>
          <w:highlight w:val="none"/>
        </w:rPr>
      </w:pPr>
      <w:r>
        <w:rPr>
          <w:rFonts w:hint="eastAsia" w:hAnsi="宋体" w:eastAsia="宋体"/>
          <w:b/>
          <w:color w:val="auto"/>
          <w:sz w:val="24"/>
          <w:highlight w:val="none"/>
        </w:rPr>
        <w:t>3、单场投标报价=响应报价之和, 投标总价报价=单场投标报价×场次。</w:t>
      </w:r>
    </w:p>
    <w:p w14:paraId="19D0C146">
      <w:pPr>
        <w:pStyle w:val="156"/>
        <w:spacing w:line="360" w:lineRule="auto"/>
        <w:rPr>
          <w:rFonts w:hint="eastAsia" w:hAnsi="宋体" w:eastAsia="宋体"/>
          <w:b/>
          <w:color w:val="auto"/>
          <w:sz w:val="24"/>
          <w:highlight w:val="none"/>
        </w:rPr>
      </w:pPr>
    </w:p>
    <w:p w14:paraId="53D9F5F1">
      <w:pPr>
        <w:pStyle w:val="156"/>
        <w:spacing w:line="360" w:lineRule="auto"/>
        <w:rPr>
          <w:rFonts w:hAnsi="宋体" w:eastAsia="宋体"/>
          <w:b/>
          <w:color w:val="auto"/>
          <w:sz w:val="24"/>
          <w:highlight w:val="none"/>
        </w:rPr>
      </w:pPr>
    </w:p>
    <w:p w14:paraId="6C2E2A29">
      <w:pPr>
        <w:pStyle w:val="156"/>
        <w:spacing w:line="360" w:lineRule="auto"/>
        <w:rPr>
          <w:rFonts w:hAnsi="宋体" w:eastAsia="宋体"/>
          <w:color w:val="auto"/>
          <w:sz w:val="24"/>
          <w:highlight w:val="none"/>
        </w:rPr>
      </w:pPr>
      <w:r>
        <w:rPr>
          <w:rFonts w:hint="eastAsia" w:hAnsi="宋体" w:eastAsia="宋体"/>
          <w:color w:val="auto"/>
          <w:sz w:val="24"/>
          <w:highlight w:val="none"/>
        </w:rPr>
        <w:t>投标人：（盖单位公章）</w:t>
      </w:r>
    </w:p>
    <w:p w14:paraId="6892C84F">
      <w:pPr>
        <w:pStyle w:val="156"/>
        <w:spacing w:line="360" w:lineRule="auto"/>
        <w:rPr>
          <w:rFonts w:hint="eastAsia" w:hAnsi="宋体" w:eastAsia="宋体"/>
          <w:color w:val="auto"/>
          <w:sz w:val="24"/>
          <w:highlight w:val="none"/>
        </w:rPr>
      </w:pPr>
      <w:r>
        <w:rPr>
          <w:rFonts w:hint="eastAsia" w:hAnsi="宋体" w:eastAsia="宋体"/>
          <w:color w:val="auto"/>
          <w:sz w:val="24"/>
          <w:highlight w:val="none"/>
        </w:rPr>
        <w:t>日期：      年</w:t>
      </w:r>
      <w:r>
        <w:rPr>
          <w:rFonts w:hAnsi="宋体" w:eastAsia="宋体"/>
          <w:color w:val="auto"/>
          <w:sz w:val="24"/>
          <w:highlight w:val="none"/>
        </w:rPr>
        <w:t xml:space="preserve">     </w:t>
      </w:r>
      <w:r>
        <w:rPr>
          <w:rFonts w:hint="eastAsia" w:hAnsi="宋体" w:eastAsia="宋体"/>
          <w:color w:val="auto"/>
          <w:sz w:val="24"/>
          <w:highlight w:val="none"/>
        </w:rPr>
        <w:t>月</w:t>
      </w:r>
      <w:r>
        <w:rPr>
          <w:rFonts w:hAnsi="宋体" w:eastAsia="宋体"/>
          <w:color w:val="auto"/>
          <w:sz w:val="24"/>
          <w:highlight w:val="none"/>
        </w:rPr>
        <w:t xml:space="preserve">     </w:t>
      </w:r>
      <w:r>
        <w:rPr>
          <w:rFonts w:hint="eastAsia" w:hAnsi="宋体" w:eastAsia="宋体"/>
          <w:color w:val="auto"/>
          <w:sz w:val="24"/>
          <w:highlight w:val="none"/>
        </w:rPr>
        <w:t>日</w:t>
      </w:r>
    </w:p>
    <w:p w14:paraId="6F2C0C5F">
      <w:pPr>
        <w:pStyle w:val="156"/>
        <w:spacing w:line="360" w:lineRule="auto"/>
        <w:rPr>
          <w:rFonts w:hAnsi="宋体" w:eastAsia="宋体"/>
          <w:color w:val="auto"/>
          <w:sz w:val="24"/>
          <w:highlight w:val="none"/>
        </w:rPr>
      </w:pPr>
    </w:p>
    <w:p w14:paraId="32231536">
      <w:pPr>
        <w:pStyle w:val="156"/>
        <w:jc w:val="left"/>
        <w:rPr>
          <w:rFonts w:hAnsi="宋体" w:eastAsia="宋体"/>
          <w:b/>
          <w:color w:val="auto"/>
          <w:sz w:val="24"/>
          <w:szCs w:val="24"/>
          <w:highlight w:val="none"/>
        </w:rPr>
      </w:pPr>
      <w:r>
        <w:rPr>
          <w:rFonts w:hint="eastAsia" w:hAnsi="宋体" w:eastAsia="宋体"/>
          <w:b/>
          <w:color w:val="auto"/>
          <w:sz w:val="24"/>
          <w:szCs w:val="24"/>
          <w:highlight w:val="none"/>
        </w:rPr>
        <w:t xml:space="preserve">标包三：宣传品服务供应商： </w:t>
      </w:r>
    </w:p>
    <w:tbl>
      <w:tblPr>
        <w:tblStyle w:val="44"/>
        <w:tblW w:w="9497"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02"/>
        <w:gridCol w:w="2336"/>
        <w:gridCol w:w="927"/>
        <w:gridCol w:w="1194"/>
        <w:gridCol w:w="1134"/>
        <w:gridCol w:w="1134"/>
        <w:gridCol w:w="1134"/>
      </w:tblGrid>
      <w:tr w14:paraId="612F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97" w:type="dxa"/>
            <w:gridSpan w:val="8"/>
          </w:tcPr>
          <w:p w14:paraId="2588ED08">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拟招标限价（不含个人所</w:t>
            </w:r>
            <w:r>
              <w:rPr>
                <w:rFonts w:hint="eastAsia"/>
                <w:b/>
                <w:bCs/>
                <w:color w:val="auto"/>
                <w:highlight w:val="none"/>
              </w:rPr>
              <w:t>得税6万元，该费用由招标人支付</w:t>
            </w:r>
            <w:r>
              <w:rPr>
                <w:rFonts w:hint="eastAsia" w:ascii="宋体" w:hAnsi="宋体" w:cs="宋体"/>
                <w:color w:val="auto"/>
                <w:kern w:val="0"/>
                <w:szCs w:val="21"/>
                <w:highlight w:val="none"/>
                <w:lang w:bidi="ar"/>
              </w:rPr>
              <w:t>）</w:t>
            </w:r>
          </w:p>
        </w:tc>
      </w:tr>
      <w:tr w14:paraId="45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6" w:type="dxa"/>
            <w:vMerge w:val="restart"/>
            <w:noWrap/>
            <w:vAlign w:val="center"/>
          </w:tcPr>
          <w:p w14:paraId="70DE644D">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包三</w:t>
            </w:r>
          </w:p>
        </w:tc>
        <w:tc>
          <w:tcPr>
            <w:tcW w:w="1102" w:type="dxa"/>
            <w:noWrap/>
            <w:vAlign w:val="center"/>
          </w:tcPr>
          <w:p w14:paraId="1DDF80AC">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类别</w:t>
            </w:r>
          </w:p>
        </w:tc>
        <w:tc>
          <w:tcPr>
            <w:tcW w:w="2336" w:type="dxa"/>
            <w:noWrap/>
            <w:vAlign w:val="center"/>
          </w:tcPr>
          <w:p w14:paraId="6FCEF5D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类型</w:t>
            </w:r>
          </w:p>
        </w:tc>
        <w:tc>
          <w:tcPr>
            <w:tcW w:w="927" w:type="dxa"/>
            <w:noWrap/>
            <w:vAlign w:val="center"/>
          </w:tcPr>
          <w:p w14:paraId="04C4E4BA">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单价限价（元）</w:t>
            </w:r>
          </w:p>
        </w:tc>
        <w:tc>
          <w:tcPr>
            <w:tcW w:w="1194" w:type="dxa"/>
            <w:noWrap/>
            <w:vAlign w:val="center"/>
          </w:tcPr>
          <w:p w14:paraId="7B6C3641">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响应单价报价（元）</w:t>
            </w:r>
          </w:p>
        </w:tc>
        <w:tc>
          <w:tcPr>
            <w:tcW w:w="1134" w:type="dxa"/>
            <w:noWrap/>
            <w:vAlign w:val="center"/>
          </w:tcPr>
          <w:p w14:paraId="22210AF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暂定数量</w:t>
            </w:r>
          </w:p>
        </w:tc>
        <w:tc>
          <w:tcPr>
            <w:tcW w:w="1134" w:type="dxa"/>
          </w:tcPr>
          <w:p w14:paraId="58EFD72C">
            <w:pPr>
              <w:widowControl/>
              <w:spacing w:line="360" w:lineRule="auto"/>
              <w:jc w:val="center"/>
              <w:textAlignment w:val="center"/>
              <w:rPr>
                <w:rFonts w:ascii="宋体" w:hAnsi="宋体" w:cs="宋体"/>
                <w:color w:val="auto"/>
                <w:kern w:val="0"/>
                <w:szCs w:val="21"/>
                <w:highlight w:val="none"/>
                <w:lang w:bidi="ar"/>
              </w:rPr>
            </w:pPr>
          </w:p>
          <w:p w14:paraId="0CD57DD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单场最高限价（元）</w:t>
            </w:r>
          </w:p>
        </w:tc>
        <w:tc>
          <w:tcPr>
            <w:tcW w:w="1134" w:type="dxa"/>
            <w:noWrap/>
            <w:vAlign w:val="center"/>
          </w:tcPr>
          <w:p w14:paraId="605D7A7C">
            <w:pPr>
              <w:widowControl/>
              <w:spacing w:line="360" w:lineRule="auto"/>
              <w:jc w:val="center"/>
              <w:textAlignment w:val="center"/>
              <w:rPr>
                <w:rFonts w:ascii="宋体" w:hAnsi="宋体" w:cs="宋体"/>
                <w:color w:val="auto"/>
                <w:kern w:val="0"/>
                <w:szCs w:val="21"/>
                <w:highlight w:val="none"/>
                <w:lang w:bidi="ar"/>
              </w:rPr>
            </w:pPr>
          </w:p>
          <w:p w14:paraId="52D00C41">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单场投标报价（元）</w:t>
            </w:r>
          </w:p>
        </w:tc>
      </w:tr>
      <w:tr w14:paraId="4914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36" w:type="dxa"/>
            <w:vMerge w:val="continue"/>
            <w:noWrap/>
            <w:vAlign w:val="center"/>
          </w:tcPr>
          <w:p w14:paraId="5B75C88D">
            <w:pPr>
              <w:widowControl/>
              <w:spacing w:line="360" w:lineRule="auto"/>
              <w:jc w:val="center"/>
              <w:textAlignment w:val="center"/>
              <w:rPr>
                <w:rFonts w:ascii="宋体" w:hAnsi="宋体" w:cs="宋体"/>
                <w:color w:val="auto"/>
                <w:kern w:val="0"/>
                <w:szCs w:val="21"/>
                <w:highlight w:val="none"/>
                <w:lang w:bidi="ar"/>
              </w:rPr>
            </w:pPr>
          </w:p>
        </w:tc>
        <w:tc>
          <w:tcPr>
            <w:tcW w:w="1102" w:type="dxa"/>
            <w:noWrap/>
            <w:vAlign w:val="center"/>
          </w:tcPr>
          <w:p w14:paraId="4B77FF9D">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家用物品</w:t>
            </w:r>
          </w:p>
        </w:tc>
        <w:tc>
          <w:tcPr>
            <w:tcW w:w="2336" w:type="dxa"/>
            <w:noWrap/>
            <w:vAlign w:val="center"/>
          </w:tcPr>
          <w:p w14:paraId="0731F020">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包含不限于厨房小家电、炊具、锅具及家用床品、摆件，农副产品礼包等。</w:t>
            </w:r>
          </w:p>
        </w:tc>
        <w:tc>
          <w:tcPr>
            <w:tcW w:w="927" w:type="dxa"/>
            <w:noWrap/>
            <w:vAlign w:val="center"/>
          </w:tcPr>
          <w:p w14:paraId="5AC6AA8D">
            <w:pPr>
              <w:widowControl/>
              <w:spacing w:line="360" w:lineRule="auto"/>
              <w:jc w:val="center"/>
              <w:textAlignment w:val="center"/>
              <w:rPr>
                <w:rFonts w:hint="default" w:ascii="宋体" w:hAnsi="宋体" w:cs="宋体"/>
                <w:color w:val="auto"/>
                <w:kern w:val="0"/>
                <w:szCs w:val="21"/>
                <w:highlight w:val="none"/>
                <w:lang w:val="en-US"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20</w:t>
            </w:r>
          </w:p>
        </w:tc>
        <w:tc>
          <w:tcPr>
            <w:tcW w:w="1194" w:type="dxa"/>
            <w:noWrap/>
            <w:vAlign w:val="center"/>
          </w:tcPr>
          <w:p w14:paraId="134B2A21">
            <w:pPr>
              <w:widowControl/>
              <w:spacing w:line="360" w:lineRule="auto"/>
              <w:jc w:val="center"/>
              <w:textAlignment w:val="center"/>
              <w:rPr>
                <w:rFonts w:ascii="宋体" w:hAnsi="宋体" w:cs="宋体"/>
                <w:color w:val="auto"/>
                <w:kern w:val="0"/>
                <w:szCs w:val="21"/>
                <w:highlight w:val="none"/>
                <w:lang w:bidi="ar"/>
              </w:rPr>
            </w:pPr>
          </w:p>
        </w:tc>
        <w:tc>
          <w:tcPr>
            <w:tcW w:w="1134" w:type="dxa"/>
            <w:noWrap/>
            <w:vAlign w:val="center"/>
          </w:tcPr>
          <w:p w14:paraId="17C4858C">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50</w:t>
            </w:r>
          </w:p>
        </w:tc>
        <w:tc>
          <w:tcPr>
            <w:tcW w:w="1134" w:type="dxa"/>
            <w:vAlign w:val="center"/>
          </w:tcPr>
          <w:p w14:paraId="16E2FA0D">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 w:val="22"/>
                <w:szCs w:val="22"/>
                <w:highlight w:val="none"/>
                <w:lang w:val="en-US" w:eastAsia="zh-CN" w:bidi="ar"/>
              </w:rPr>
              <w:t>60</w:t>
            </w:r>
            <w:r>
              <w:rPr>
                <w:rFonts w:hint="eastAsia" w:ascii="宋体" w:hAnsi="宋体" w:cs="宋体"/>
                <w:color w:val="auto"/>
                <w:kern w:val="0"/>
                <w:sz w:val="22"/>
                <w:szCs w:val="22"/>
                <w:highlight w:val="none"/>
                <w:lang w:bidi="ar"/>
              </w:rPr>
              <w:t>00</w:t>
            </w:r>
          </w:p>
        </w:tc>
        <w:tc>
          <w:tcPr>
            <w:tcW w:w="1134" w:type="dxa"/>
            <w:noWrap/>
            <w:vAlign w:val="center"/>
          </w:tcPr>
          <w:p w14:paraId="38AE0A86">
            <w:pPr>
              <w:widowControl/>
              <w:spacing w:line="360" w:lineRule="auto"/>
              <w:jc w:val="center"/>
              <w:textAlignment w:val="center"/>
              <w:rPr>
                <w:rFonts w:ascii="宋体" w:hAnsi="宋体" w:cs="宋体"/>
                <w:color w:val="auto"/>
                <w:kern w:val="0"/>
                <w:szCs w:val="21"/>
                <w:highlight w:val="none"/>
                <w:lang w:bidi="ar"/>
              </w:rPr>
            </w:pPr>
          </w:p>
        </w:tc>
      </w:tr>
      <w:tr w14:paraId="3D75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6" w:type="dxa"/>
            <w:vMerge w:val="continue"/>
            <w:noWrap/>
            <w:vAlign w:val="center"/>
          </w:tcPr>
          <w:p w14:paraId="00F4AA8A">
            <w:pPr>
              <w:widowControl/>
              <w:spacing w:line="360" w:lineRule="auto"/>
              <w:jc w:val="center"/>
              <w:textAlignment w:val="center"/>
              <w:rPr>
                <w:rFonts w:ascii="宋体" w:hAnsi="宋体" w:cs="宋体"/>
                <w:color w:val="auto"/>
                <w:kern w:val="0"/>
                <w:szCs w:val="21"/>
                <w:highlight w:val="none"/>
                <w:lang w:bidi="ar"/>
              </w:rPr>
            </w:pPr>
          </w:p>
        </w:tc>
        <w:tc>
          <w:tcPr>
            <w:tcW w:w="3438" w:type="dxa"/>
            <w:gridSpan w:val="2"/>
            <w:noWrap/>
            <w:vAlign w:val="center"/>
          </w:tcPr>
          <w:p w14:paraId="7C097E9F">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总价最高限价（元）</w:t>
            </w:r>
          </w:p>
        </w:tc>
        <w:tc>
          <w:tcPr>
            <w:tcW w:w="2121" w:type="dxa"/>
            <w:gridSpan w:val="2"/>
            <w:noWrap/>
            <w:vAlign w:val="center"/>
          </w:tcPr>
          <w:p w14:paraId="1F0C402B">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场次（场）</w:t>
            </w:r>
          </w:p>
        </w:tc>
        <w:tc>
          <w:tcPr>
            <w:tcW w:w="3402" w:type="dxa"/>
            <w:gridSpan w:val="3"/>
            <w:noWrap/>
            <w:vAlign w:val="center"/>
          </w:tcPr>
          <w:p w14:paraId="2EFF70B8">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总价投标报价（元）</w:t>
            </w:r>
          </w:p>
        </w:tc>
      </w:tr>
      <w:tr w14:paraId="2339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6" w:type="dxa"/>
            <w:vMerge w:val="continue"/>
            <w:noWrap/>
            <w:vAlign w:val="center"/>
          </w:tcPr>
          <w:p w14:paraId="267AB8A1">
            <w:pPr>
              <w:widowControl/>
              <w:spacing w:line="360" w:lineRule="auto"/>
              <w:jc w:val="center"/>
              <w:textAlignment w:val="center"/>
              <w:rPr>
                <w:rFonts w:ascii="宋体" w:hAnsi="宋体" w:cs="宋体"/>
                <w:color w:val="auto"/>
                <w:kern w:val="0"/>
                <w:szCs w:val="21"/>
                <w:highlight w:val="none"/>
                <w:lang w:bidi="ar"/>
              </w:rPr>
            </w:pPr>
          </w:p>
        </w:tc>
        <w:tc>
          <w:tcPr>
            <w:tcW w:w="3438" w:type="dxa"/>
            <w:gridSpan w:val="2"/>
            <w:noWrap/>
            <w:vAlign w:val="center"/>
          </w:tcPr>
          <w:p w14:paraId="43A472A1">
            <w:pPr>
              <w:widowControl/>
              <w:spacing w:line="360" w:lineRule="auto"/>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240000</w:t>
            </w:r>
          </w:p>
        </w:tc>
        <w:tc>
          <w:tcPr>
            <w:tcW w:w="2121" w:type="dxa"/>
            <w:gridSpan w:val="2"/>
            <w:noWrap/>
            <w:vAlign w:val="center"/>
          </w:tcPr>
          <w:p w14:paraId="59B4F8DE">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40</w:t>
            </w:r>
          </w:p>
        </w:tc>
        <w:tc>
          <w:tcPr>
            <w:tcW w:w="3402" w:type="dxa"/>
            <w:gridSpan w:val="3"/>
            <w:noWrap/>
            <w:vAlign w:val="center"/>
          </w:tcPr>
          <w:p w14:paraId="5581FD0E">
            <w:pPr>
              <w:widowControl/>
              <w:spacing w:line="360" w:lineRule="auto"/>
              <w:jc w:val="center"/>
              <w:textAlignment w:val="center"/>
              <w:rPr>
                <w:rFonts w:ascii="宋体" w:hAnsi="宋体" w:cs="宋体"/>
                <w:color w:val="auto"/>
                <w:kern w:val="0"/>
                <w:szCs w:val="21"/>
                <w:highlight w:val="none"/>
                <w:lang w:bidi="ar"/>
              </w:rPr>
            </w:pPr>
          </w:p>
        </w:tc>
      </w:tr>
    </w:tbl>
    <w:p w14:paraId="6EFE00DD">
      <w:pPr>
        <w:pStyle w:val="156"/>
        <w:spacing w:line="360" w:lineRule="exact"/>
        <w:jc w:val="left"/>
        <w:rPr>
          <w:rFonts w:hAnsi="宋体" w:eastAsia="宋体"/>
          <w:color w:val="auto"/>
          <w:sz w:val="24"/>
          <w:highlight w:val="none"/>
        </w:rPr>
      </w:pPr>
    </w:p>
    <w:p w14:paraId="54EBB36D">
      <w:pPr>
        <w:pStyle w:val="156"/>
        <w:spacing w:line="360" w:lineRule="exact"/>
        <w:jc w:val="left"/>
        <w:rPr>
          <w:rFonts w:hAnsi="宋体" w:eastAsia="宋体"/>
          <w:color w:val="auto"/>
          <w:sz w:val="24"/>
          <w:highlight w:val="none"/>
        </w:rPr>
      </w:pPr>
      <w:r>
        <w:rPr>
          <w:rFonts w:hint="eastAsia" w:hAnsi="宋体" w:eastAsia="宋体"/>
          <w:color w:val="auto"/>
          <w:sz w:val="24"/>
          <w:highlight w:val="none"/>
        </w:rPr>
        <w:t>注：</w:t>
      </w:r>
    </w:p>
    <w:p w14:paraId="585905F2">
      <w:pPr>
        <w:pStyle w:val="156"/>
        <w:spacing w:line="360" w:lineRule="auto"/>
        <w:jc w:val="left"/>
        <w:rPr>
          <w:rFonts w:hAnsi="宋体" w:eastAsia="宋体"/>
          <w:b/>
          <w:color w:val="auto"/>
          <w:sz w:val="24"/>
          <w:highlight w:val="none"/>
        </w:rPr>
      </w:pPr>
      <w:r>
        <w:rPr>
          <w:rFonts w:hint="eastAsia" w:hAnsi="宋体" w:eastAsia="宋体"/>
          <w:b/>
          <w:color w:val="auto"/>
          <w:sz w:val="24"/>
          <w:highlight w:val="none"/>
        </w:rPr>
        <w:t>1、报价</w:t>
      </w:r>
      <w:r>
        <w:rPr>
          <w:rFonts w:hAnsi="宋体" w:eastAsia="宋体"/>
          <w:b/>
          <w:color w:val="auto"/>
          <w:sz w:val="24"/>
          <w:highlight w:val="none"/>
        </w:rPr>
        <w:t>含</w:t>
      </w:r>
      <w:r>
        <w:rPr>
          <w:rFonts w:hint="eastAsia" w:hAnsi="宋体" w:eastAsia="宋体"/>
          <w:b/>
          <w:color w:val="auto"/>
          <w:sz w:val="24"/>
          <w:highlight w:val="none"/>
        </w:rPr>
        <w:t>招标范围的</w:t>
      </w:r>
      <w:r>
        <w:rPr>
          <w:rFonts w:hAnsi="宋体" w:eastAsia="宋体"/>
          <w:b/>
          <w:color w:val="auto"/>
          <w:sz w:val="24"/>
          <w:highlight w:val="none"/>
        </w:rPr>
        <w:t>所有费用</w:t>
      </w:r>
      <w:r>
        <w:rPr>
          <w:rFonts w:hint="eastAsia" w:hAnsi="宋体" w:eastAsia="宋体"/>
          <w:b/>
          <w:color w:val="auto"/>
          <w:sz w:val="24"/>
          <w:highlight w:val="none"/>
        </w:rPr>
        <w:t>；</w:t>
      </w:r>
    </w:p>
    <w:p w14:paraId="74048804">
      <w:pPr>
        <w:pStyle w:val="156"/>
        <w:numPr>
          <w:ilvl w:val="0"/>
          <w:numId w:val="15"/>
        </w:numPr>
        <w:spacing w:line="360" w:lineRule="auto"/>
        <w:rPr>
          <w:rFonts w:hAnsi="宋体" w:eastAsia="宋体"/>
          <w:b/>
          <w:color w:val="auto"/>
          <w:sz w:val="24"/>
          <w:highlight w:val="none"/>
        </w:rPr>
      </w:pPr>
      <w:r>
        <w:rPr>
          <w:rFonts w:hint="eastAsia" w:hAnsi="宋体" w:eastAsia="宋体"/>
          <w:b/>
          <w:color w:val="auto"/>
          <w:sz w:val="24"/>
          <w:highlight w:val="none"/>
        </w:rPr>
        <w:t>投标人的投标报价不得超过最高限价，否则按废标处理。</w:t>
      </w:r>
    </w:p>
    <w:p w14:paraId="51DBDDEB">
      <w:pPr>
        <w:pStyle w:val="156"/>
        <w:spacing w:line="360" w:lineRule="auto"/>
        <w:rPr>
          <w:rFonts w:hAnsi="宋体" w:eastAsia="宋体"/>
          <w:b/>
          <w:color w:val="auto"/>
          <w:sz w:val="24"/>
          <w:highlight w:val="none"/>
        </w:rPr>
      </w:pPr>
      <w:r>
        <w:rPr>
          <w:rFonts w:hint="eastAsia" w:hAnsi="宋体" w:eastAsia="宋体"/>
          <w:b/>
          <w:color w:val="auto"/>
          <w:sz w:val="24"/>
          <w:highlight w:val="none"/>
        </w:rPr>
        <w:t>3、单场投标报价=响应单价报价×暂定数量, 总价投标报价=单场投标报价×场次。</w:t>
      </w:r>
    </w:p>
    <w:p w14:paraId="0F8B3883">
      <w:pPr>
        <w:pStyle w:val="156"/>
        <w:spacing w:line="360" w:lineRule="auto"/>
        <w:rPr>
          <w:rFonts w:hAnsi="宋体" w:eastAsia="宋体"/>
          <w:b/>
          <w:color w:val="auto"/>
          <w:sz w:val="24"/>
          <w:highlight w:val="none"/>
        </w:rPr>
      </w:pPr>
    </w:p>
    <w:p w14:paraId="1223D7FD">
      <w:pPr>
        <w:pStyle w:val="156"/>
        <w:spacing w:line="360" w:lineRule="auto"/>
        <w:rPr>
          <w:rFonts w:hAnsi="宋体" w:eastAsia="宋体"/>
          <w:color w:val="auto"/>
          <w:sz w:val="24"/>
          <w:highlight w:val="none"/>
        </w:rPr>
      </w:pPr>
      <w:r>
        <w:rPr>
          <w:rFonts w:hint="eastAsia" w:hAnsi="宋体" w:eastAsia="宋体"/>
          <w:color w:val="auto"/>
          <w:sz w:val="24"/>
          <w:highlight w:val="none"/>
        </w:rPr>
        <w:t>投标人：（盖单位公章）</w:t>
      </w:r>
    </w:p>
    <w:p w14:paraId="2F5890E1">
      <w:pPr>
        <w:pStyle w:val="156"/>
        <w:spacing w:line="360" w:lineRule="auto"/>
        <w:rPr>
          <w:rFonts w:hAnsi="宋体" w:eastAsia="宋体"/>
          <w:color w:val="auto"/>
          <w:sz w:val="24"/>
          <w:highlight w:val="none"/>
        </w:rPr>
      </w:pPr>
      <w:r>
        <w:rPr>
          <w:rFonts w:hint="eastAsia" w:hAnsi="宋体" w:eastAsia="宋体"/>
          <w:color w:val="auto"/>
          <w:sz w:val="24"/>
          <w:highlight w:val="none"/>
        </w:rPr>
        <w:t>日期：      年</w:t>
      </w:r>
      <w:r>
        <w:rPr>
          <w:rFonts w:hAnsi="宋体" w:eastAsia="宋体"/>
          <w:color w:val="auto"/>
          <w:sz w:val="24"/>
          <w:highlight w:val="none"/>
        </w:rPr>
        <w:t xml:space="preserve">     </w:t>
      </w:r>
      <w:r>
        <w:rPr>
          <w:rFonts w:hint="eastAsia" w:hAnsi="宋体" w:eastAsia="宋体"/>
          <w:color w:val="auto"/>
          <w:sz w:val="24"/>
          <w:highlight w:val="none"/>
        </w:rPr>
        <w:t>月</w:t>
      </w:r>
      <w:r>
        <w:rPr>
          <w:rFonts w:hAnsi="宋体" w:eastAsia="宋体"/>
          <w:color w:val="auto"/>
          <w:sz w:val="24"/>
          <w:highlight w:val="none"/>
        </w:rPr>
        <w:t xml:space="preserve">     </w:t>
      </w:r>
      <w:r>
        <w:rPr>
          <w:rFonts w:hint="eastAsia" w:hAnsi="宋体" w:eastAsia="宋体"/>
          <w:color w:val="auto"/>
          <w:sz w:val="24"/>
          <w:highlight w:val="none"/>
        </w:rPr>
        <w:t>日</w:t>
      </w:r>
    </w:p>
    <w:p w14:paraId="796A6346">
      <w:pPr>
        <w:spacing w:line="500" w:lineRule="exact"/>
        <w:rPr>
          <w:color w:val="auto"/>
          <w:highlight w:val="none"/>
        </w:rPr>
      </w:pPr>
    </w:p>
    <w:p w14:paraId="1969B9B1">
      <w:pPr>
        <w:spacing w:line="500" w:lineRule="exact"/>
        <w:rPr>
          <w:color w:val="auto"/>
          <w:highlight w:val="none"/>
        </w:rPr>
      </w:pPr>
    </w:p>
    <w:p w14:paraId="4689ACF2">
      <w:pPr>
        <w:spacing w:line="500" w:lineRule="exact"/>
        <w:rPr>
          <w:color w:val="auto"/>
          <w:highlight w:val="none"/>
        </w:rPr>
      </w:pPr>
    </w:p>
    <w:p w14:paraId="47F44B09">
      <w:pPr>
        <w:spacing w:line="500" w:lineRule="exact"/>
        <w:rPr>
          <w:color w:val="auto"/>
          <w:highlight w:val="none"/>
        </w:rPr>
      </w:pPr>
    </w:p>
    <w:p w14:paraId="72E9FC55">
      <w:pPr>
        <w:spacing w:line="500" w:lineRule="exact"/>
        <w:rPr>
          <w:color w:val="auto"/>
          <w:highlight w:val="none"/>
        </w:rPr>
      </w:pPr>
    </w:p>
    <w:p w14:paraId="0C2A7BE3">
      <w:pPr>
        <w:spacing w:line="500" w:lineRule="exact"/>
        <w:rPr>
          <w:color w:val="auto"/>
          <w:highlight w:val="none"/>
        </w:rPr>
      </w:pPr>
    </w:p>
    <w:p w14:paraId="358C1BF4">
      <w:pPr>
        <w:spacing w:line="500" w:lineRule="exact"/>
        <w:rPr>
          <w:color w:val="auto"/>
          <w:highlight w:val="none"/>
        </w:rPr>
      </w:pPr>
      <w:r>
        <w:rPr>
          <w:rFonts w:hint="eastAsia"/>
          <w:color w:val="auto"/>
          <w:highlight w:val="none"/>
        </w:rPr>
        <w:br w:type="page"/>
      </w:r>
    </w:p>
    <w:p w14:paraId="05EE6918">
      <w:pPr>
        <w:pStyle w:val="3"/>
        <w:spacing w:line="360" w:lineRule="auto"/>
        <w:jc w:val="center"/>
        <w:rPr>
          <w:rFonts w:ascii="宋体" w:hAnsi="宋体"/>
          <w:bCs w:val="0"/>
          <w:color w:val="auto"/>
          <w:highlight w:val="none"/>
        </w:rPr>
      </w:pPr>
      <w:bookmarkStart w:id="771" w:name="_Toc9680"/>
      <w:r>
        <w:rPr>
          <w:rFonts w:hint="eastAsia" w:ascii="宋体" w:hAnsi="宋体"/>
          <w:bCs w:val="0"/>
          <w:color w:val="auto"/>
          <w:highlight w:val="none"/>
        </w:rPr>
        <w:t>一、资格及商务资料</w:t>
      </w:r>
      <w:bookmarkEnd w:id="769"/>
      <w:bookmarkEnd w:id="770"/>
      <w:bookmarkEnd w:id="771"/>
    </w:p>
    <w:p w14:paraId="7C3B07EE">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3F00DBEB">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7AE6DC62">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1C92016D">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68942EB8">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7FFF6796">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23C1032B">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6D2C18CB">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64F28EBB">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2814E6FE">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5541C03A">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2B00D200">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6830209D">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451A4966">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1C5BE328">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2776F694">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659D9983">
      <w:pPr>
        <w:tabs>
          <w:tab w:val="left" w:pos="2580"/>
          <w:tab w:val="left" w:pos="5940"/>
        </w:tabs>
        <w:autoSpaceDE w:val="0"/>
        <w:autoSpaceDN w:val="0"/>
        <w:adjustRightInd w:val="0"/>
        <w:snapToGrid w:val="0"/>
        <w:spacing w:line="480" w:lineRule="auto"/>
        <w:rPr>
          <w:rFonts w:hint="eastAsia" w:ascii="宋体" w:hAnsi="宋体"/>
          <w:color w:val="auto"/>
          <w:kern w:val="0"/>
          <w:sz w:val="28"/>
          <w:szCs w:val="28"/>
          <w:highlight w:val="none"/>
        </w:rPr>
      </w:pPr>
    </w:p>
    <w:p w14:paraId="14EAF573">
      <w:pPr>
        <w:tabs>
          <w:tab w:val="left" w:pos="2580"/>
          <w:tab w:val="left" w:pos="5940"/>
        </w:tabs>
        <w:autoSpaceDE w:val="0"/>
        <w:autoSpaceDN w:val="0"/>
        <w:adjustRightInd w:val="0"/>
        <w:snapToGrid w:val="0"/>
        <w:spacing w:line="480" w:lineRule="auto"/>
        <w:rPr>
          <w:rFonts w:ascii="宋体" w:hAnsi="宋体"/>
          <w:color w:val="auto"/>
          <w:kern w:val="0"/>
          <w:sz w:val="28"/>
          <w:szCs w:val="28"/>
          <w:highlight w:val="none"/>
        </w:rPr>
      </w:pPr>
    </w:p>
    <w:p w14:paraId="4569C6D1">
      <w:pPr>
        <w:pStyle w:val="4"/>
        <w:spacing w:line="480" w:lineRule="auto"/>
        <w:jc w:val="center"/>
        <w:rPr>
          <w:b/>
          <w:color w:val="auto"/>
          <w:sz w:val="32"/>
          <w:szCs w:val="32"/>
          <w:highlight w:val="none"/>
        </w:rPr>
      </w:pPr>
      <w:bookmarkStart w:id="772" w:name="_Toc323162339"/>
      <w:bookmarkStart w:id="773" w:name="_Toc46857565"/>
      <w:bookmarkStart w:id="774" w:name="_Toc44602976"/>
      <w:bookmarkStart w:id="775" w:name="_Toc98160065"/>
      <w:bookmarkStart w:id="776" w:name="_Toc25621"/>
      <w:bookmarkStart w:id="777" w:name="_Toc326223227"/>
      <w:bookmarkStart w:id="778" w:name="_Toc46495172"/>
      <w:bookmarkStart w:id="779" w:name="_Toc45615475"/>
      <w:r>
        <w:rPr>
          <w:rFonts w:hint="eastAsia"/>
          <w:b/>
          <w:color w:val="auto"/>
          <w:sz w:val="32"/>
          <w:szCs w:val="32"/>
          <w:highlight w:val="none"/>
        </w:rPr>
        <w:t>（一） 法定代表人身份证明及授权委托书</w:t>
      </w:r>
      <w:bookmarkEnd w:id="772"/>
      <w:bookmarkEnd w:id="773"/>
      <w:bookmarkEnd w:id="774"/>
      <w:bookmarkEnd w:id="775"/>
      <w:bookmarkEnd w:id="776"/>
      <w:bookmarkEnd w:id="777"/>
      <w:bookmarkEnd w:id="778"/>
      <w:bookmarkEnd w:id="779"/>
    </w:p>
    <w:p w14:paraId="5DD4AC06">
      <w:pPr>
        <w:spacing w:line="480" w:lineRule="auto"/>
        <w:jc w:val="center"/>
        <w:rPr>
          <w:rFonts w:ascii="宋体" w:hAnsi="宋体"/>
          <w:b/>
          <w:color w:val="auto"/>
          <w:sz w:val="28"/>
          <w:highlight w:val="none"/>
        </w:rPr>
      </w:pPr>
    </w:p>
    <w:p w14:paraId="7516A40E">
      <w:pPr>
        <w:spacing w:line="48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14:paraId="1B943417">
      <w:pPr>
        <w:spacing w:line="480" w:lineRule="auto"/>
        <w:ind w:left="765"/>
        <w:rPr>
          <w:rFonts w:ascii="宋体" w:hAnsi="宋体"/>
          <w:color w:val="auto"/>
          <w:highlight w:val="none"/>
        </w:rPr>
      </w:pPr>
    </w:p>
    <w:p w14:paraId="07DCF499">
      <w:pPr>
        <w:tabs>
          <w:tab w:val="left" w:pos="5565"/>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投标人名称：</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p>
    <w:p w14:paraId="359C73AE">
      <w:pPr>
        <w:tabs>
          <w:tab w:val="left" w:pos="5475"/>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单位性质：</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p>
    <w:p w14:paraId="4899BC58">
      <w:pPr>
        <w:tabs>
          <w:tab w:val="left" w:pos="5475"/>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地址：</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p>
    <w:p w14:paraId="68339522">
      <w:pPr>
        <w:tabs>
          <w:tab w:val="left" w:pos="2520"/>
          <w:tab w:val="left" w:pos="3836"/>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成立时间：</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olor w:val="auto"/>
          <w:kern w:val="0"/>
          <w:sz w:val="24"/>
          <w:highlight w:val="none"/>
        </w:rPr>
        <w:t xml:space="preserve"> </w:t>
      </w:r>
      <w:r>
        <w:rPr>
          <w:rFonts w:hint="eastAsia" w:ascii="宋体" w:hAnsi="宋体" w:cs="MingLiU"/>
          <w:color w:val="auto"/>
          <w:spacing w:val="-1"/>
          <w:kern w:val="0"/>
          <w:sz w:val="24"/>
          <w:highlight w:val="none"/>
        </w:rPr>
        <w:t>年</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r>
        <w:rPr>
          <w:rFonts w:hint="eastAsia" w:ascii="宋体" w:hAnsi="宋体" w:cs="MingLiU"/>
          <w:color w:val="auto"/>
          <w:spacing w:val="-1"/>
          <w:kern w:val="0"/>
          <w:sz w:val="24"/>
          <w:highlight w:val="none"/>
        </w:rPr>
        <w:t>月</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s="MingLiU"/>
          <w:color w:val="auto"/>
          <w:kern w:val="0"/>
          <w:sz w:val="24"/>
          <w:highlight w:val="none"/>
        </w:rPr>
        <w:t>日</w:t>
      </w:r>
    </w:p>
    <w:p w14:paraId="36C590D4">
      <w:pPr>
        <w:tabs>
          <w:tab w:val="left" w:pos="5475"/>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经营期限：</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p>
    <w:p w14:paraId="04626060">
      <w:pPr>
        <w:tabs>
          <w:tab w:val="left" w:pos="1580"/>
          <w:tab w:val="left" w:pos="3260"/>
          <w:tab w:val="left" w:pos="4840"/>
          <w:tab w:val="left" w:pos="6300"/>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姓名：</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olor w:val="auto"/>
          <w:kern w:val="0"/>
          <w:sz w:val="24"/>
          <w:highlight w:val="none"/>
        </w:rPr>
        <w:t xml:space="preserve"> </w:t>
      </w:r>
      <w:r>
        <w:rPr>
          <w:rFonts w:hint="eastAsia" w:ascii="宋体" w:hAnsi="宋体" w:cs="MingLiU"/>
          <w:color w:val="auto"/>
          <w:kern w:val="0"/>
          <w:sz w:val="24"/>
          <w:highlight w:val="none"/>
        </w:rPr>
        <w:t>性别</w:t>
      </w:r>
      <w:r>
        <w:rPr>
          <w:rFonts w:hint="eastAsia" w:ascii="宋体" w:hAnsi="宋体" w:cs="MingLiU"/>
          <w:color w:val="auto"/>
          <w:spacing w:val="-1"/>
          <w:kern w:val="0"/>
          <w:sz w:val="24"/>
          <w:highlight w:val="none"/>
        </w:rPr>
        <w:t>：</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olor w:val="auto"/>
          <w:kern w:val="0"/>
          <w:sz w:val="24"/>
          <w:highlight w:val="none"/>
        </w:rPr>
        <w:t xml:space="preserve"> </w:t>
      </w:r>
      <w:r>
        <w:rPr>
          <w:rFonts w:hint="eastAsia" w:ascii="宋体" w:hAnsi="宋体" w:cs="MingLiU"/>
          <w:color w:val="auto"/>
          <w:spacing w:val="-1"/>
          <w:kern w:val="0"/>
          <w:sz w:val="24"/>
          <w:highlight w:val="none"/>
        </w:rPr>
        <w:t>年</w:t>
      </w:r>
      <w:r>
        <w:rPr>
          <w:rFonts w:hint="eastAsia" w:ascii="宋体" w:hAnsi="宋体" w:cs="MingLiU"/>
          <w:color w:val="auto"/>
          <w:kern w:val="0"/>
          <w:sz w:val="24"/>
          <w:highlight w:val="none"/>
        </w:rPr>
        <w:t>龄：</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s="MingLiU"/>
          <w:color w:val="auto"/>
          <w:kern w:val="0"/>
          <w:sz w:val="24"/>
          <w:highlight w:val="none"/>
        </w:rPr>
        <w:t>职务：</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p>
    <w:p w14:paraId="624FD69B">
      <w:pPr>
        <w:tabs>
          <w:tab w:val="left" w:pos="3360"/>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系</w:t>
      </w:r>
      <w:r>
        <w:rPr>
          <w:rFonts w:hint="eastAsia" w:ascii="宋体" w:hAnsi="宋体" w:cs="MingLiU"/>
          <w:color w:val="auto"/>
          <w:w w:val="200"/>
          <w:kern w:val="0"/>
          <w:sz w:val="24"/>
          <w:highlight w:val="none"/>
          <w:u w:val="single"/>
        </w:rPr>
        <w:t xml:space="preserve"> </w:t>
      </w:r>
      <w:r>
        <w:rPr>
          <w:rFonts w:hint="eastAsia" w:ascii="宋体" w:hAnsi="宋体"/>
          <w:color w:val="auto"/>
          <w:kern w:val="0"/>
          <w:sz w:val="24"/>
          <w:highlight w:val="none"/>
          <w:u w:val="single"/>
        </w:rPr>
        <w:tab/>
      </w:r>
      <w:r>
        <w:rPr>
          <w:rFonts w:hint="eastAsia" w:ascii="宋体" w:hAnsi="宋体"/>
          <w:color w:val="auto"/>
          <w:kern w:val="0"/>
          <w:sz w:val="24"/>
          <w:highlight w:val="none"/>
        </w:rPr>
        <w:t xml:space="preserve"> </w:t>
      </w:r>
      <w:r>
        <w:rPr>
          <w:rFonts w:hint="eastAsia" w:ascii="宋体" w:hAnsi="宋体" w:cs="MingLiU"/>
          <w:color w:val="auto"/>
          <w:kern w:val="0"/>
          <w:sz w:val="24"/>
          <w:highlight w:val="none"/>
        </w:rPr>
        <w:t>（投标人名称）的法定代表人。</w:t>
      </w:r>
    </w:p>
    <w:p w14:paraId="319E419B">
      <w:pPr>
        <w:tabs>
          <w:tab w:val="left" w:pos="3360"/>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p>
    <w:p w14:paraId="3D027359">
      <w:pPr>
        <w:tabs>
          <w:tab w:val="left" w:pos="3360"/>
        </w:tabs>
        <w:autoSpaceDE w:val="0"/>
        <w:autoSpaceDN w:val="0"/>
        <w:adjustRightInd w:val="0"/>
        <w:snapToGrid w:val="0"/>
        <w:spacing w:line="48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特此证明。</w:t>
      </w:r>
    </w:p>
    <w:p w14:paraId="0CAC137D">
      <w:pPr>
        <w:autoSpaceDE w:val="0"/>
        <w:autoSpaceDN w:val="0"/>
        <w:adjustRightInd w:val="0"/>
        <w:snapToGrid w:val="0"/>
        <w:spacing w:line="480" w:lineRule="auto"/>
        <w:jc w:val="center"/>
        <w:rPr>
          <w:rFonts w:ascii="宋体" w:hAnsi="宋体" w:cs="MingLiU"/>
          <w:color w:val="auto"/>
          <w:kern w:val="0"/>
          <w:sz w:val="24"/>
          <w:highlight w:val="none"/>
        </w:rPr>
      </w:pPr>
      <w:r>
        <w:rPr>
          <w:rFonts w:hint="eastAsia" w:ascii="宋体" w:hAnsi="宋体" w:cs="MingLiU"/>
          <w:color w:val="auto"/>
          <w:kern w:val="0"/>
          <w:sz w:val="24"/>
          <w:highlight w:val="none"/>
        </w:rPr>
        <w:t xml:space="preserve">投标人： </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 xml:space="preserve">                   </w:t>
      </w:r>
      <w:r>
        <w:rPr>
          <w:rFonts w:hint="eastAsia" w:ascii="宋体" w:hAnsi="宋体" w:cs="MingLiU"/>
          <w:b/>
          <w:color w:val="auto"/>
          <w:spacing w:val="-1"/>
          <w:kern w:val="0"/>
          <w:sz w:val="24"/>
          <w:highlight w:val="none"/>
        </w:rPr>
        <w:t>（</w:t>
      </w:r>
      <w:r>
        <w:rPr>
          <w:rFonts w:hint="eastAsia" w:ascii="宋体" w:hAnsi="宋体" w:cs="MingLiU"/>
          <w:b/>
          <w:color w:val="auto"/>
          <w:kern w:val="0"/>
          <w:sz w:val="24"/>
          <w:highlight w:val="none"/>
        </w:rPr>
        <w:t>盖单位公章）</w:t>
      </w:r>
    </w:p>
    <w:p w14:paraId="0002842D">
      <w:pPr>
        <w:autoSpaceDE w:val="0"/>
        <w:autoSpaceDN w:val="0"/>
        <w:adjustRightInd w:val="0"/>
        <w:snapToGrid w:val="0"/>
        <w:spacing w:line="480" w:lineRule="auto"/>
        <w:jc w:val="center"/>
        <w:rPr>
          <w:rFonts w:ascii="宋体" w:hAnsi="宋体"/>
          <w:color w:val="auto"/>
          <w:kern w:val="0"/>
          <w:sz w:val="24"/>
          <w:highlight w:val="none"/>
        </w:rPr>
      </w:pPr>
      <w:r>
        <w:rPr>
          <w:rFonts w:hint="eastAsia" w:ascii="宋体" w:hAnsi="宋体" w:cs="MingLiU"/>
          <w:color w:val="auto"/>
          <w:kern w:val="0"/>
          <w:sz w:val="24"/>
          <w:highlight w:val="none"/>
        </w:rPr>
        <w:t xml:space="preserve"> </w:t>
      </w:r>
      <w:r>
        <w:rPr>
          <w:rFonts w:hint="eastAsia" w:ascii="宋体" w:hAnsi="宋体" w:cs="MingLiU"/>
          <w:color w:val="auto"/>
          <w:kern w:val="0"/>
          <w:sz w:val="24"/>
          <w:highlight w:val="none"/>
          <w:u w:val="single"/>
        </w:rPr>
        <w:t xml:space="preserve">           </w:t>
      </w:r>
      <w:r>
        <w:rPr>
          <w:rFonts w:hint="eastAsia" w:ascii="宋体" w:hAnsi="宋体" w:cs="MingLiU"/>
          <w:color w:val="auto"/>
          <w:kern w:val="0"/>
          <w:sz w:val="24"/>
          <w:highlight w:val="none"/>
        </w:rPr>
        <w:t xml:space="preserve"> 年</w:t>
      </w:r>
      <w:r>
        <w:rPr>
          <w:rFonts w:hint="eastAsia" w:ascii="宋体" w:hAnsi="宋体" w:cs="MingLiU"/>
          <w:color w:val="auto"/>
          <w:kern w:val="0"/>
          <w:sz w:val="24"/>
          <w:highlight w:val="none"/>
          <w:u w:val="single"/>
        </w:rPr>
        <w:t xml:space="preserve">      </w:t>
      </w:r>
      <w:r>
        <w:rPr>
          <w:rFonts w:hint="eastAsia" w:ascii="宋体" w:hAnsi="宋体" w:cs="MingLiU"/>
          <w:color w:val="auto"/>
          <w:kern w:val="0"/>
          <w:sz w:val="24"/>
          <w:highlight w:val="none"/>
        </w:rPr>
        <w:t>月</w:t>
      </w:r>
      <w:r>
        <w:rPr>
          <w:rFonts w:hint="eastAsia" w:ascii="宋体" w:hAnsi="宋体" w:cs="MingLiU"/>
          <w:color w:val="auto"/>
          <w:kern w:val="0"/>
          <w:sz w:val="24"/>
          <w:highlight w:val="none"/>
          <w:u w:val="single"/>
        </w:rPr>
        <w:t xml:space="preserve">      </w:t>
      </w:r>
      <w:r>
        <w:rPr>
          <w:rFonts w:hint="eastAsia" w:ascii="宋体" w:hAnsi="宋体" w:cs="MingLiU"/>
          <w:color w:val="auto"/>
          <w:kern w:val="0"/>
          <w:sz w:val="24"/>
          <w:highlight w:val="none"/>
        </w:rPr>
        <w:t>日</w:t>
      </w:r>
    </w:p>
    <w:p w14:paraId="5DD7D4D7">
      <w:pPr>
        <w:autoSpaceDE w:val="0"/>
        <w:autoSpaceDN w:val="0"/>
        <w:adjustRightInd w:val="0"/>
        <w:snapToGrid w:val="0"/>
        <w:spacing w:line="360" w:lineRule="auto"/>
        <w:jc w:val="center"/>
        <w:rPr>
          <w:rFonts w:ascii="宋体" w:hAnsi="宋体"/>
          <w:color w:val="auto"/>
          <w:kern w:val="0"/>
          <w:sz w:val="24"/>
          <w:highlight w:val="none"/>
        </w:rPr>
      </w:pPr>
    </w:p>
    <w:p w14:paraId="61DDA3A4">
      <w:pPr>
        <w:autoSpaceDE w:val="0"/>
        <w:autoSpaceDN w:val="0"/>
        <w:adjustRightInd w:val="0"/>
        <w:snapToGrid w:val="0"/>
        <w:spacing w:line="360" w:lineRule="auto"/>
        <w:jc w:val="center"/>
        <w:rPr>
          <w:rFonts w:ascii="宋体" w:hAnsi="宋体" w:cs="MingLiU"/>
          <w:color w:val="auto"/>
          <w:kern w:val="0"/>
          <w:sz w:val="24"/>
          <w:highlight w:val="none"/>
        </w:rPr>
      </w:pPr>
      <w:r>
        <w:rPr>
          <w:rFonts w:hint="eastAsia" w:ascii="宋体" w:hAnsi="宋体"/>
          <w:color w:val="auto"/>
          <w:kern w:val="0"/>
          <w:sz w:val="24"/>
          <w:highlight w:val="none"/>
        </w:rPr>
        <w:t>此处粘贴法定代表人身份证复印件</w:t>
      </w:r>
    </w:p>
    <w:tbl>
      <w:tblPr>
        <w:tblStyle w:val="44"/>
        <w:tblpPr w:leftFromText="180" w:rightFromText="180" w:vertAnchor="text" w:horzAnchor="margin" w:tblpXSpec="right" w:tblpY="36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51C91845">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340" w:hRule="atLeast"/>
        </w:trPr>
        <w:tc>
          <w:tcPr>
            <w:tcW w:w="3960" w:type="dxa"/>
            <w:vAlign w:val="center"/>
          </w:tcPr>
          <w:p w14:paraId="2544A7F2">
            <w:pPr>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法定代表人身份证复印件</w:t>
            </w:r>
          </w:p>
          <w:p w14:paraId="75242C9E">
            <w:pPr>
              <w:spacing w:line="360" w:lineRule="auto"/>
              <w:jc w:val="center"/>
              <w:rPr>
                <w:rFonts w:ascii="宋体" w:hAnsi="宋体"/>
                <w:b/>
                <w:color w:val="auto"/>
                <w:szCs w:val="21"/>
                <w:highlight w:val="none"/>
              </w:rPr>
            </w:pPr>
            <w:r>
              <w:rPr>
                <w:rFonts w:hint="eastAsia" w:ascii="宋体" w:hAnsi="宋体"/>
                <w:b/>
                <w:color w:val="auto"/>
                <w:szCs w:val="21"/>
                <w:highlight w:val="none"/>
              </w:rPr>
              <w:t>（背面）</w:t>
            </w:r>
          </w:p>
        </w:tc>
      </w:tr>
    </w:tbl>
    <w:p w14:paraId="0FB34B7E">
      <w:pPr>
        <w:rPr>
          <w:vanish/>
          <w:color w:val="auto"/>
          <w:highlight w:val="none"/>
        </w:rPr>
      </w:pPr>
    </w:p>
    <w:tbl>
      <w:tblPr>
        <w:tblStyle w:val="44"/>
        <w:tblpPr w:leftFromText="180" w:rightFromText="180" w:vertAnchor="text" w:horzAnchor="page" w:tblpX="1972" w:tblpY="36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88"/>
      </w:tblGrid>
      <w:tr w14:paraId="4BB87E3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888" w:type="dxa"/>
            <w:vAlign w:val="center"/>
          </w:tcPr>
          <w:p w14:paraId="01EB8B83">
            <w:pPr>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法定代表人身份证复印件</w:t>
            </w:r>
          </w:p>
          <w:p w14:paraId="3F3DD653">
            <w:pPr>
              <w:spacing w:line="360" w:lineRule="auto"/>
              <w:jc w:val="center"/>
              <w:rPr>
                <w:rFonts w:ascii="宋体" w:hAnsi="宋体"/>
                <w:b/>
                <w:color w:val="auto"/>
                <w:szCs w:val="21"/>
                <w:highlight w:val="none"/>
              </w:rPr>
            </w:pPr>
            <w:r>
              <w:rPr>
                <w:rFonts w:hint="eastAsia" w:ascii="宋体" w:hAnsi="宋体"/>
                <w:b/>
                <w:color w:val="auto"/>
                <w:szCs w:val="21"/>
                <w:highlight w:val="none"/>
              </w:rPr>
              <w:t>（正面）</w:t>
            </w:r>
          </w:p>
        </w:tc>
      </w:tr>
    </w:tbl>
    <w:p w14:paraId="14B82A8F">
      <w:pPr>
        <w:tabs>
          <w:tab w:val="left" w:pos="3360"/>
        </w:tabs>
        <w:autoSpaceDE w:val="0"/>
        <w:autoSpaceDN w:val="0"/>
        <w:adjustRightInd w:val="0"/>
        <w:snapToGrid w:val="0"/>
        <w:spacing w:line="360" w:lineRule="auto"/>
        <w:ind w:firstLine="446" w:firstLineChars="186"/>
        <w:jc w:val="left"/>
        <w:rPr>
          <w:rFonts w:ascii="宋体" w:hAnsi="宋体" w:cs="MingLiU"/>
          <w:color w:val="auto"/>
          <w:kern w:val="0"/>
          <w:sz w:val="24"/>
          <w:highlight w:val="none"/>
        </w:rPr>
      </w:pPr>
      <w:r>
        <w:rPr>
          <w:rFonts w:hint="eastAsia" w:ascii="宋体" w:hAnsi="宋体" w:cs="MingLiU"/>
          <w:color w:val="auto"/>
          <w:kern w:val="0"/>
          <w:sz w:val="24"/>
          <w:highlight w:val="none"/>
        </w:rPr>
        <w:t xml:space="preserve">                     </w:t>
      </w:r>
    </w:p>
    <w:p w14:paraId="68C52FBF">
      <w:pPr>
        <w:tabs>
          <w:tab w:val="left" w:pos="3360"/>
        </w:tabs>
        <w:autoSpaceDE w:val="0"/>
        <w:autoSpaceDN w:val="0"/>
        <w:adjustRightInd w:val="0"/>
        <w:snapToGrid w:val="0"/>
        <w:spacing w:line="360" w:lineRule="auto"/>
        <w:jc w:val="left"/>
        <w:rPr>
          <w:rFonts w:ascii="宋体" w:hAnsi="宋体" w:cs="MingLiU"/>
          <w:color w:val="auto"/>
          <w:kern w:val="0"/>
          <w:sz w:val="24"/>
          <w:highlight w:val="none"/>
        </w:rPr>
      </w:pPr>
    </w:p>
    <w:p w14:paraId="1D029A92">
      <w:pPr>
        <w:autoSpaceDE w:val="0"/>
        <w:autoSpaceDN w:val="0"/>
        <w:adjustRightInd w:val="0"/>
        <w:snapToGrid w:val="0"/>
        <w:spacing w:line="360" w:lineRule="auto"/>
        <w:jc w:val="left"/>
        <w:rPr>
          <w:rFonts w:ascii="宋体" w:hAnsi="宋体"/>
          <w:color w:val="auto"/>
          <w:kern w:val="0"/>
          <w:highlight w:val="none"/>
        </w:rPr>
      </w:pPr>
    </w:p>
    <w:p w14:paraId="3A9AC75C">
      <w:pPr>
        <w:autoSpaceDE w:val="0"/>
        <w:autoSpaceDN w:val="0"/>
        <w:adjustRightInd w:val="0"/>
        <w:snapToGrid w:val="0"/>
        <w:spacing w:line="360" w:lineRule="auto"/>
        <w:jc w:val="left"/>
        <w:rPr>
          <w:rFonts w:ascii="宋体" w:hAnsi="宋体"/>
          <w:color w:val="auto"/>
          <w:kern w:val="0"/>
          <w:highlight w:val="none"/>
        </w:rPr>
      </w:pPr>
    </w:p>
    <w:p w14:paraId="163054DC">
      <w:pPr>
        <w:autoSpaceDE w:val="0"/>
        <w:autoSpaceDN w:val="0"/>
        <w:adjustRightInd w:val="0"/>
        <w:snapToGrid w:val="0"/>
        <w:spacing w:line="360" w:lineRule="auto"/>
        <w:jc w:val="left"/>
        <w:rPr>
          <w:rFonts w:ascii="宋体" w:hAnsi="宋体"/>
          <w:color w:val="auto"/>
          <w:kern w:val="0"/>
          <w:highlight w:val="none"/>
        </w:rPr>
      </w:pPr>
    </w:p>
    <w:p w14:paraId="1C35687D">
      <w:pPr>
        <w:tabs>
          <w:tab w:val="left" w:pos="1680"/>
          <w:tab w:val="left" w:pos="4215"/>
          <w:tab w:val="left" w:pos="4305"/>
          <w:tab w:val="left" w:pos="8000"/>
        </w:tabs>
        <w:autoSpaceDE w:val="0"/>
        <w:autoSpaceDN w:val="0"/>
        <w:adjustRightInd w:val="0"/>
        <w:snapToGrid w:val="0"/>
        <w:spacing w:line="480" w:lineRule="auto"/>
        <w:jc w:val="center"/>
        <w:rPr>
          <w:rFonts w:ascii="宋体" w:hAnsi="宋体" w:cs="MingLiU"/>
          <w:b/>
          <w:color w:val="auto"/>
          <w:kern w:val="0"/>
          <w:sz w:val="32"/>
          <w:szCs w:val="32"/>
          <w:highlight w:val="none"/>
        </w:rPr>
      </w:pPr>
    </w:p>
    <w:p w14:paraId="7ED098BB">
      <w:pPr>
        <w:tabs>
          <w:tab w:val="left" w:pos="1680"/>
          <w:tab w:val="left" w:pos="4215"/>
          <w:tab w:val="left" w:pos="4305"/>
          <w:tab w:val="left" w:pos="8000"/>
        </w:tabs>
        <w:autoSpaceDE w:val="0"/>
        <w:autoSpaceDN w:val="0"/>
        <w:adjustRightInd w:val="0"/>
        <w:snapToGrid w:val="0"/>
        <w:spacing w:line="480" w:lineRule="auto"/>
        <w:rPr>
          <w:rFonts w:ascii="宋体" w:hAnsi="宋体" w:cs="MingLiU"/>
          <w:b/>
          <w:color w:val="auto"/>
          <w:kern w:val="0"/>
          <w:sz w:val="32"/>
          <w:szCs w:val="32"/>
          <w:highlight w:val="none"/>
        </w:rPr>
      </w:pPr>
    </w:p>
    <w:p w14:paraId="58137E92">
      <w:pPr>
        <w:tabs>
          <w:tab w:val="left" w:pos="1680"/>
          <w:tab w:val="left" w:pos="4215"/>
          <w:tab w:val="left" w:pos="4305"/>
          <w:tab w:val="left" w:pos="8000"/>
        </w:tabs>
        <w:autoSpaceDE w:val="0"/>
        <w:autoSpaceDN w:val="0"/>
        <w:adjustRightInd w:val="0"/>
        <w:snapToGrid w:val="0"/>
        <w:spacing w:line="480" w:lineRule="auto"/>
        <w:jc w:val="center"/>
        <w:rPr>
          <w:rFonts w:ascii="宋体" w:hAnsi="宋体" w:cs="MingLiU"/>
          <w:b/>
          <w:color w:val="auto"/>
          <w:kern w:val="0"/>
          <w:sz w:val="32"/>
          <w:szCs w:val="32"/>
          <w:highlight w:val="none"/>
        </w:rPr>
      </w:pPr>
    </w:p>
    <w:p w14:paraId="67850FC3">
      <w:pPr>
        <w:tabs>
          <w:tab w:val="left" w:pos="1680"/>
          <w:tab w:val="left" w:pos="4215"/>
          <w:tab w:val="left" w:pos="4305"/>
          <w:tab w:val="left" w:pos="8000"/>
        </w:tabs>
        <w:autoSpaceDE w:val="0"/>
        <w:autoSpaceDN w:val="0"/>
        <w:adjustRightInd w:val="0"/>
        <w:snapToGrid w:val="0"/>
        <w:spacing w:line="480" w:lineRule="auto"/>
        <w:jc w:val="center"/>
        <w:rPr>
          <w:rFonts w:ascii="宋体" w:hAnsi="宋体" w:cs="MingLiU"/>
          <w:b/>
          <w:color w:val="auto"/>
          <w:kern w:val="0"/>
          <w:sz w:val="32"/>
          <w:szCs w:val="32"/>
          <w:highlight w:val="none"/>
        </w:rPr>
      </w:pPr>
    </w:p>
    <w:p w14:paraId="2E25B57C">
      <w:pPr>
        <w:tabs>
          <w:tab w:val="left" w:pos="1680"/>
          <w:tab w:val="left" w:pos="4215"/>
          <w:tab w:val="left" w:pos="4305"/>
          <w:tab w:val="left" w:pos="8000"/>
        </w:tabs>
        <w:autoSpaceDE w:val="0"/>
        <w:autoSpaceDN w:val="0"/>
        <w:adjustRightInd w:val="0"/>
        <w:snapToGrid w:val="0"/>
        <w:spacing w:line="480" w:lineRule="auto"/>
        <w:jc w:val="center"/>
        <w:rPr>
          <w:rFonts w:ascii="宋体" w:hAnsi="宋体" w:cs="MingLiU"/>
          <w:b/>
          <w:color w:val="auto"/>
          <w:kern w:val="0"/>
          <w:sz w:val="32"/>
          <w:szCs w:val="32"/>
          <w:highlight w:val="none"/>
        </w:rPr>
      </w:pPr>
    </w:p>
    <w:p w14:paraId="62D77B64">
      <w:pPr>
        <w:tabs>
          <w:tab w:val="left" w:pos="1680"/>
          <w:tab w:val="left" w:pos="4215"/>
          <w:tab w:val="left" w:pos="4305"/>
          <w:tab w:val="left" w:pos="8000"/>
        </w:tabs>
        <w:autoSpaceDE w:val="0"/>
        <w:autoSpaceDN w:val="0"/>
        <w:adjustRightInd w:val="0"/>
        <w:snapToGrid w:val="0"/>
        <w:spacing w:line="480"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 xml:space="preserve">授权委托书 </w:t>
      </w:r>
    </w:p>
    <w:p w14:paraId="2A7948E8">
      <w:pPr>
        <w:wordWrap w:val="0"/>
        <w:spacing w:line="480"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本人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（姓名）系</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投</w:t>
      </w:r>
      <w:r>
        <w:rPr>
          <w:rFonts w:hint="eastAsia" w:ascii="宋体" w:hAnsi="宋体" w:cs="MingLiU"/>
          <w:color w:val="auto"/>
          <w:kern w:val="0"/>
          <w:szCs w:val="21"/>
          <w:highlight w:val="none"/>
        </w:rPr>
        <w:t>标人名称</w:t>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的法定代</w:t>
      </w:r>
      <w:r>
        <w:rPr>
          <w:rFonts w:hint="eastAsia" w:ascii="宋体" w:hAnsi="宋体" w:cs="MingLiU"/>
          <w:color w:val="auto"/>
          <w:spacing w:val="1"/>
          <w:kern w:val="0"/>
          <w:szCs w:val="21"/>
          <w:highlight w:val="none"/>
        </w:rPr>
        <w:t>表</w:t>
      </w:r>
      <w:r>
        <w:rPr>
          <w:rFonts w:hint="eastAsia" w:ascii="宋体" w:hAnsi="宋体" w:cs="MingLiU"/>
          <w:color w:val="auto"/>
          <w:kern w:val="0"/>
          <w:szCs w:val="21"/>
          <w:highlight w:val="none"/>
        </w:rPr>
        <w:t>人，现委托</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名）为我方代理人。代理人根据授权，以我方名义签署、澄清、说明、补正、递交、撤回、</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（项目名称）投标文件、签订合同和处理有关事宜，其法律后果由我方承担。</w:t>
      </w:r>
    </w:p>
    <w:p w14:paraId="3EF26CC1">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s="MingLiU"/>
          <w:color w:val="auto"/>
          <w:kern w:val="0"/>
          <w:szCs w:val="21"/>
          <w:highlight w:val="none"/>
        </w:rPr>
        <w:t>委托</w:t>
      </w:r>
      <w:r>
        <w:rPr>
          <w:rFonts w:hint="eastAsia" w:ascii="宋体" w:hAnsi="宋体" w:cs="MingLiU"/>
          <w:color w:val="auto"/>
          <w:spacing w:val="-1"/>
          <w:kern w:val="0"/>
          <w:szCs w:val="21"/>
          <w:highlight w:val="none"/>
        </w:rPr>
        <w:t>期</w:t>
      </w:r>
      <w:r>
        <w:rPr>
          <w:rFonts w:hint="eastAsia" w:ascii="宋体" w:hAnsi="宋体" w:cs="MingLiU"/>
          <w:color w:val="auto"/>
          <w:kern w:val="0"/>
          <w:szCs w:val="21"/>
          <w:highlight w:val="none"/>
        </w:rPr>
        <w:t>限：</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olor w:val="auto"/>
          <w:kern w:val="0"/>
          <w:szCs w:val="21"/>
          <w:highlight w:val="none"/>
        </w:rPr>
        <w:t xml:space="preserve"> </w:t>
      </w:r>
    </w:p>
    <w:p w14:paraId="54EBC3C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代理人无转委托权。</w:t>
      </w:r>
    </w:p>
    <w:p w14:paraId="4372921A">
      <w:pPr>
        <w:autoSpaceDE w:val="0"/>
        <w:autoSpaceDN w:val="0"/>
        <w:adjustRightInd w:val="0"/>
        <w:snapToGrid w:val="0"/>
        <w:spacing w:line="480" w:lineRule="auto"/>
        <w:jc w:val="left"/>
        <w:rPr>
          <w:rFonts w:ascii="宋体" w:hAnsi="宋体" w:cs="MingLiU"/>
          <w:color w:val="auto"/>
          <w:kern w:val="0"/>
          <w:sz w:val="20"/>
          <w:szCs w:val="20"/>
          <w:highlight w:val="none"/>
        </w:rPr>
      </w:pPr>
    </w:p>
    <w:p w14:paraId="08B47FF3">
      <w:pPr>
        <w:tabs>
          <w:tab w:val="left" w:pos="4200"/>
          <w:tab w:val="left" w:pos="4620"/>
        </w:tabs>
        <w:autoSpaceDE w:val="0"/>
        <w:autoSpaceDN w:val="0"/>
        <w:adjustRightInd w:val="0"/>
        <w:snapToGrid w:val="0"/>
        <w:spacing w:line="480" w:lineRule="auto"/>
        <w:ind w:firstLine="1694"/>
        <w:jc w:val="left"/>
        <w:rPr>
          <w:rFonts w:ascii="宋体" w:hAnsi="宋体"/>
          <w:color w:val="auto"/>
          <w:kern w:val="0"/>
          <w:szCs w:val="21"/>
          <w:highlight w:val="none"/>
        </w:rPr>
      </w:pPr>
      <w:r>
        <w:rPr>
          <w:rFonts w:hint="eastAsia" w:ascii="宋体" w:hAnsi="宋体" w:cs="MingLiU"/>
          <w:color w:val="auto"/>
          <w:kern w:val="0"/>
          <w:szCs w:val="21"/>
          <w:highlight w:val="none"/>
        </w:rPr>
        <w:t>投  标  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b/>
          <w:color w:val="auto"/>
          <w:kern w:val="0"/>
          <w:szCs w:val="21"/>
          <w:highlight w:val="none"/>
        </w:rPr>
        <w:t>（</w:t>
      </w:r>
      <w:r>
        <w:rPr>
          <w:rFonts w:hint="eastAsia" w:ascii="宋体" w:hAnsi="宋体" w:cs="MingLiU"/>
          <w:b/>
          <w:color w:val="auto"/>
          <w:spacing w:val="-1"/>
          <w:kern w:val="0"/>
          <w:szCs w:val="21"/>
          <w:highlight w:val="none"/>
        </w:rPr>
        <w:t>盖</w:t>
      </w:r>
      <w:r>
        <w:rPr>
          <w:rFonts w:hint="eastAsia" w:ascii="宋体" w:hAnsi="宋体" w:cs="MingLiU"/>
          <w:b/>
          <w:color w:val="auto"/>
          <w:kern w:val="0"/>
          <w:szCs w:val="21"/>
          <w:highlight w:val="none"/>
        </w:rPr>
        <w:t>单位公章）</w:t>
      </w:r>
      <w:r>
        <w:rPr>
          <w:rFonts w:hint="eastAsia" w:ascii="宋体" w:hAnsi="宋体"/>
          <w:color w:val="auto"/>
          <w:kern w:val="0"/>
          <w:szCs w:val="21"/>
          <w:highlight w:val="none"/>
        </w:rPr>
        <w:t xml:space="preserve"> </w:t>
      </w:r>
    </w:p>
    <w:p w14:paraId="6BEE41A7">
      <w:pPr>
        <w:tabs>
          <w:tab w:val="left" w:pos="6300"/>
        </w:tabs>
        <w:autoSpaceDE w:val="0"/>
        <w:autoSpaceDN w:val="0"/>
        <w:adjustRightInd w:val="0"/>
        <w:snapToGrid w:val="0"/>
        <w:spacing w:line="48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法定代表人：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ab/>
      </w:r>
      <w:r>
        <w:rPr>
          <w:rFonts w:hint="eastAsia" w:ascii="宋体" w:hAnsi="宋体" w:cs="MingLiU"/>
          <w:b/>
          <w:color w:val="auto"/>
          <w:kern w:val="0"/>
          <w:szCs w:val="21"/>
          <w:highlight w:val="none"/>
        </w:rPr>
        <w:t>（签字或签章）</w:t>
      </w:r>
    </w:p>
    <w:p w14:paraId="46B82D97">
      <w:pPr>
        <w:tabs>
          <w:tab w:val="left" w:pos="5260"/>
        </w:tabs>
        <w:autoSpaceDE w:val="0"/>
        <w:autoSpaceDN w:val="0"/>
        <w:adjustRightInd w:val="0"/>
        <w:snapToGrid w:val="0"/>
        <w:spacing w:line="48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14:paraId="5318732A">
      <w:pPr>
        <w:tabs>
          <w:tab w:val="left" w:pos="6720"/>
        </w:tabs>
        <w:autoSpaceDE w:val="0"/>
        <w:autoSpaceDN w:val="0"/>
        <w:adjustRightInd w:val="0"/>
        <w:snapToGrid w:val="0"/>
        <w:spacing w:line="480" w:lineRule="auto"/>
        <w:ind w:firstLine="1680"/>
        <w:jc w:val="left"/>
        <w:rPr>
          <w:rFonts w:ascii="宋体" w:hAnsi="宋体" w:cs="MingLiU"/>
          <w:b/>
          <w:color w:val="auto"/>
          <w:kern w:val="0"/>
          <w:szCs w:val="21"/>
          <w:highlight w:val="none"/>
        </w:rPr>
      </w:pPr>
      <w:r>
        <w:rPr>
          <w:rFonts w:hint="eastAsia" w:ascii="宋体" w:hAnsi="宋体" w:cs="MingLiU"/>
          <w:color w:val="auto"/>
          <w:kern w:val="0"/>
          <w:szCs w:val="21"/>
          <w:highlight w:val="none"/>
        </w:rPr>
        <w:t>委托代理人：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b/>
          <w:color w:val="auto"/>
          <w:kern w:val="0"/>
          <w:szCs w:val="21"/>
          <w:highlight w:val="none"/>
        </w:rPr>
        <w:t>（签</w:t>
      </w:r>
      <w:r>
        <w:rPr>
          <w:rFonts w:hint="eastAsia" w:ascii="宋体" w:hAnsi="宋体" w:cs="MingLiU"/>
          <w:b/>
          <w:color w:val="auto"/>
          <w:spacing w:val="-1"/>
          <w:kern w:val="0"/>
          <w:szCs w:val="21"/>
          <w:highlight w:val="none"/>
        </w:rPr>
        <w:t>字</w:t>
      </w:r>
      <w:r>
        <w:rPr>
          <w:rFonts w:hint="eastAsia" w:ascii="宋体" w:hAnsi="宋体" w:cs="MingLiU"/>
          <w:b/>
          <w:color w:val="auto"/>
          <w:kern w:val="0"/>
          <w:szCs w:val="21"/>
          <w:highlight w:val="none"/>
        </w:rPr>
        <w:t>）</w:t>
      </w:r>
    </w:p>
    <w:p w14:paraId="759B0E7B">
      <w:pPr>
        <w:tabs>
          <w:tab w:val="left" w:pos="6825"/>
        </w:tabs>
        <w:autoSpaceDE w:val="0"/>
        <w:autoSpaceDN w:val="0"/>
        <w:adjustRightInd w:val="0"/>
        <w:snapToGrid w:val="0"/>
        <w:spacing w:line="48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tbl>
      <w:tblPr>
        <w:tblStyle w:val="44"/>
        <w:tblpPr w:leftFromText="180" w:rightFromText="180" w:vertAnchor="text" w:horzAnchor="page" w:tblpX="1972" w:tblpY="181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14:paraId="7B5AEE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48" w:type="dxa"/>
            <w:vAlign w:val="center"/>
          </w:tcPr>
          <w:p w14:paraId="0AAA4CAB">
            <w:pPr>
              <w:spacing w:line="480" w:lineRule="auto"/>
              <w:jc w:val="center"/>
              <w:rPr>
                <w:rFonts w:ascii="宋体" w:hAnsi="宋体"/>
                <w:b/>
                <w:color w:val="auto"/>
                <w:szCs w:val="21"/>
                <w:highlight w:val="none"/>
              </w:rPr>
            </w:pPr>
            <w:r>
              <w:rPr>
                <w:rFonts w:hint="eastAsia" w:ascii="宋体" w:hAnsi="宋体"/>
                <w:b/>
                <w:color w:val="auto"/>
                <w:szCs w:val="21"/>
                <w:highlight w:val="none"/>
              </w:rPr>
              <w:t>法定代表人身份证复印件</w:t>
            </w:r>
          </w:p>
          <w:p w14:paraId="206289E5">
            <w:pPr>
              <w:spacing w:line="480" w:lineRule="auto"/>
              <w:jc w:val="center"/>
              <w:rPr>
                <w:rFonts w:ascii="宋体" w:hAnsi="宋体"/>
                <w:b/>
                <w:color w:val="auto"/>
                <w:szCs w:val="21"/>
                <w:highlight w:val="none"/>
              </w:rPr>
            </w:pPr>
            <w:r>
              <w:rPr>
                <w:rFonts w:hint="eastAsia" w:ascii="宋体" w:hAnsi="宋体"/>
                <w:b/>
                <w:color w:val="auto"/>
                <w:szCs w:val="21"/>
                <w:highlight w:val="none"/>
              </w:rPr>
              <w:t>（双面）</w:t>
            </w:r>
          </w:p>
        </w:tc>
      </w:tr>
    </w:tbl>
    <w:p w14:paraId="335B9A16">
      <w:pPr>
        <w:tabs>
          <w:tab w:val="left" w:pos="4005"/>
          <w:tab w:val="left" w:pos="4100"/>
          <w:tab w:val="left" w:pos="5040"/>
        </w:tabs>
        <w:autoSpaceDE w:val="0"/>
        <w:autoSpaceDN w:val="0"/>
        <w:adjustRightInd w:val="0"/>
        <w:snapToGrid w:val="0"/>
        <w:spacing w:line="480" w:lineRule="auto"/>
        <w:ind w:firstLine="3780"/>
        <w:jc w:val="left"/>
        <w:rPr>
          <w:rFonts w:ascii="宋体" w:hAnsi="宋体" w:cs="MingLiU"/>
          <w:color w:val="auto"/>
          <w:kern w:val="0"/>
          <w:szCs w:val="21"/>
          <w:highlight w:val="none"/>
        </w:rPr>
      </w:pP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日</w:t>
      </w:r>
    </w:p>
    <w:p w14:paraId="5A1FF4C7">
      <w:pPr>
        <w:autoSpaceDE w:val="0"/>
        <w:autoSpaceDN w:val="0"/>
        <w:adjustRightInd w:val="0"/>
        <w:snapToGrid w:val="0"/>
        <w:spacing w:line="480" w:lineRule="auto"/>
        <w:jc w:val="left"/>
        <w:rPr>
          <w:rFonts w:ascii="宋体" w:hAnsi="宋体"/>
          <w:color w:val="auto"/>
          <w:kern w:val="0"/>
          <w:highlight w:val="none"/>
        </w:rPr>
      </w:pPr>
    </w:p>
    <w:p w14:paraId="3982DC8A">
      <w:pPr>
        <w:autoSpaceDE w:val="0"/>
        <w:autoSpaceDN w:val="0"/>
        <w:adjustRightInd w:val="0"/>
        <w:snapToGrid w:val="0"/>
        <w:spacing w:line="480" w:lineRule="auto"/>
        <w:jc w:val="center"/>
        <w:rPr>
          <w:rFonts w:ascii="宋体" w:hAnsi="宋体"/>
          <w:b/>
          <w:color w:val="auto"/>
          <w:kern w:val="0"/>
          <w:highlight w:val="none"/>
          <w:u w:val="single"/>
        </w:rPr>
      </w:pPr>
      <w:r>
        <w:rPr>
          <w:rFonts w:hint="eastAsia" w:ascii="宋体" w:hAnsi="宋体"/>
          <w:b/>
          <w:color w:val="auto"/>
          <w:kern w:val="0"/>
          <w:highlight w:val="none"/>
          <w:u w:val="single"/>
        </w:rPr>
        <w:t>此处粘贴法定代表人和授权代理人身份证复印件</w:t>
      </w:r>
    </w:p>
    <w:tbl>
      <w:tblPr>
        <w:tblStyle w:val="44"/>
        <w:tblpPr w:leftFromText="180" w:rightFromText="180" w:vertAnchor="text" w:horzAnchor="margin" w:tblpXSpec="right" w:tblpY="180"/>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72"/>
      </w:tblGrid>
      <w:tr w14:paraId="699223B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72" w:type="dxa"/>
            <w:vAlign w:val="center"/>
          </w:tcPr>
          <w:p w14:paraId="631BEE27">
            <w:pPr>
              <w:spacing w:line="480" w:lineRule="auto"/>
              <w:jc w:val="center"/>
              <w:rPr>
                <w:rFonts w:ascii="宋体" w:hAnsi="宋体"/>
                <w:b/>
                <w:color w:val="auto"/>
                <w:szCs w:val="21"/>
                <w:highlight w:val="none"/>
              </w:rPr>
            </w:pPr>
            <w:r>
              <w:rPr>
                <w:rFonts w:hint="eastAsia" w:ascii="宋体" w:hAnsi="宋体"/>
                <w:b/>
                <w:color w:val="auto"/>
                <w:szCs w:val="21"/>
                <w:highlight w:val="none"/>
              </w:rPr>
              <w:t>授权代理人身份证复印件</w:t>
            </w:r>
          </w:p>
          <w:p w14:paraId="16D6E174">
            <w:pPr>
              <w:spacing w:line="480" w:lineRule="auto"/>
              <w:jc w:val="center"/>
              <w:rPr>
                <w:rFonts w:ascii="宋体" w:hAnsi="宋体"/>
                <w:b/>
                <w:color w:val="auto"/>
                <w:szCs w:val="21"/>
                <w:highlight w:val="none"/>
              </w:rPr>
            </w:pPr>
            <w:r>
              <w:rPr>
                <w:rFonts w:hint="eastAsia" w:ascii="宋体" w:hAnsi="宋体"/>
                <w:b/>
                <w:color w:val="auto"/>
                <w:szCs w:val="21"/>
                <w:highlight w:val="none"/>
              </w:rPr>
              <w:t>（双面）</w:t>
            </w:r>
          </w:p>
        </w:tc>
      </w:tr>
    </w:tbl>
    <w:p w14:paraId="0C6CCE7B">
      <w:pPr>
        <w:autoSpaceDE w:val="0"/>
        <w:autoSpaceDN w:val="0"/>
        <w:adjustRightInd w:val="0"/>
        <w:snapToGrid w:val="0"/>
        <w:spacing w:line="480" w:lineRule="auto"/>
        <w:jc w:val="left"/>
        <w:rPr>
          <w:rFonts w:ascii="宋体" w:hAnsi="宋体"/>
          <w:color w:val="auto"/>
          <w:kern w:val="0"/>
          <w:highlight w:val="none"/>
        </w:rPr>
      </w:pPr>
    </w:p>
    <w:p w14:paraId="0D322544">
      <w:pPr>
        <w:tabs>
          <w:tab w:val="left" w:pos="5760"/>
        </w:tabs>
        <w:autoSpaceDE w:val="0"/>
        <w:autoSpaceDN w:val="0"/>
        <w:adjustRightInd w:val="0"/>
        <w:spacing w:line="480" w:lineRule="auto"/>
        <w:ind w:left="735" w:right="11" w:hanging="735" w:hangingChars="350"/>
        <w:rPr>
          <w:rFonts w:ascii="宋体" w:hAnsi="宋体" w:cs="Cambria"/>
          <w:color w:val="auto"/>
          <w:kern w:val="0"/>
          <w:szCs w:val="21"/>
          <w:highlight w:val="none"/>
        </w:rPr>
      </w:pPr>
    </w:p>
    <w:p w14:paraId="7C0867DF">
      <w:pPr>
        <w:tabs>
          <w:tab w:val="left" w:pos="5760"/>
        </w:tabs>
        <w:autoSpaceDE w:val="0"/>
        <w:autoSpaceDN w:val="0"/>
        <w:adjustRightInd w:val="0"/>
        <w:spacing w:line="480" w:lineRule="auto"/>
        <w:ind w:left="735" w:right="11" w:hanging="735" w:hangingChars="350"/>
        <w:rPr>
          <w:rFonts w:ascii="宋体" w:hAnsi="宋体" w:cs="Cambria"/>
          <w:color w:val="auto"/>
          <w:kern w:val="0"/>
          <w:szCs w:val="21"/>
          <w:highlight w:val="none"/>
        </w:rPr>
      </w:pPr>
    </w:p>
    <w:p w14:paraId="6345777E">
      <w:pPr>
        <w:tabs>
          <w:tab w:val="left" w:pos="5760"/>
        </w:tabs>
        <w:autoSpaceDE w:val="0"/>
        <w:autoSpaceDN w:val="0"/>
        <w:adjustRightInd w:val="0"/>
        <w:spacing w:line="480" w:lineRule="auto"/>
        <w:ind w:left="735" w:right="11" w:hanging="735" w:hangingChars="350"/>
        <w:rPr>
          <w:rFonts w:ascii="宋体" w:hAnsi="宋体" w:cs="Cambria"/>
          <w:color w:val="auto"/>
          <w:kern w:val="0"/>
          <w:szCs w:val="21"/>
          <w:highlight w:val="none"/>
        </w:rPr>
      </w:pPr>
    </w:p>
    <w:p w14:paraId="6C382062">
      <w:pPr>
        <w:tabs>
          <w:tab w:val="left" w:pos="5760"/>
        </w:tabs>
        <w:autoSpaceDE w:val="0"/>
        <w:autoSpaceDN w:val="0"/>
        <w:adjustRightInd w:val="0"/>
        <w:spacing w:line="360" w:lineRule="auto"/>
        <w:ind w:left="735" w:right="11" w:hanging="735" w:hangingChars="350"/>
        <w:rPr>
          <w:rFonts w:ascii="宋体" w:hAnsi="宋体" w:cs="Cambria"/>
          <w:color w:val="auto"/>
          <w:kern w:val="0"/>
          <w:szCs w:val="21"/>
          <w:highlight w:val="none"/>
        </w:rPr>
      </w:pPr>
    </w:p>
    <w:p w14:paraId="78ACCDCB">
      <w:pPr>
        <w:tabs>
          <w:tab w:val="left" w:pos="5760"/>
        </w:tabs>
        <w:autoSpaceDE w:val="0"/>
        <w:autoSpaceDN w:val="0"/>
        <w:adjustRightInd w:val="0"/>
        <w:spacing w:line="360" w:lineRule="auto"/>
        <w:ind w:left="735" w:right="11" w:hanging="735" w:hangingChars="350"/>
        <w:rPr>
          <w:rFonts w:ascii="宋体" w:hAnsi="宋体" w:cs="Cambria"/>
          <w:color w:val="auto"/>
          <w:kern w:val="0"/>
          <w:szCs w:val="21"/>
          <w:highlight w:val="none"/>
        </w:rPr>
      </w:pPr>
    </w:p>
    <w:p w14:paraId="77A37A02">
      <w:pPr>
        <w:tabs>
          <w:tab w:val="left" w:pos="5760"/>
        </w:tabs>
        <w:autoSpaceDE w:val="0"/>
        <w:autoSpaceDN w:val="0"/>
        <w:adjustRightInd w:val="0"/>
        <w:spacing w:line="360" w:lineRule="auto"/>
        <w:ind w:left="735" w:right="11" w:hanging="735" w:hangingChars="350"/>
        <w:rPr>
          <w:rFonts w:ascii="宋体" w:hAnsi="宋体" w:cs="Cambria"/>
          <w:color w:val="auto"/>
          <w:kern w:val="0"/>
          <w:szCs w:val="21"/>
          <w:highlight w:val="none"/>
        </w:rPr>
        <w:sectPr>
          <w:headerReference r:id="rId9" w:type="default"/>
          <w:pgSz w:w="11906" w:h="16838"/>
          <w:pgMar w:top="827" w:right="1247" w:bottom="891" w:left="1134" w:header="680" w:footer="680" w:gutter="0"/>
          <w:cols w:space="720" w:num="1"/>
          <w:docGrid w:type="lines" w:linePitch="312" w:charSpace="0"/>
        </w:sectPr>
      </w:pPr>
      <w:r>
        <w:rPr>
          <w:rFonts w:hint="eastAsia" w:ascii="宋体" w:hAnsi="宋体" w:cs="Cambria"/>
          <w:color w:val="auto"/>
          <w:kern w:val="0"/>
          <w:szCs w:val="21"/>
          <w:highlight w:val="none"/>
        </w:rPr>
        <w:t>注：法定代表人参加投标活动并签署文件的不需要授权委托书，只需提供法定代表人身份证明；非法定代表人参加投标活动及签署文件的除提供法定代表人身份证明外还须提供授权委托书。</w:t>
      </w:r>
    </w:p>
    <w:tbl>
      <w:tblPr>
        <w:tblStyle w:val="44"/>
        <w:tblpPr w:leftFromText="180" w:rightFromText="180" w:vertAnchor="page" w:tblpY="2221"/>
        <w:tblW w:w="9005"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429"/>
      </w:tblGrid>
      <w:tr w14:paraId="7305281F">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D4C6047">
            <w:pPr>
              <w:autoSpaceDE w:val="0"/>
              <w:autoSpaceDN w:val="0"/>
              <w:adjustRightInd w:val="0"/>
              <w:snapToGrid w:val="0"/>
              <w:spacing w:line="300" w:lineRule="exact"/>
              <w:jc w:val="center"/>
              <w:rPr>
                <w:rFonts w:ascii="宋体" w:hAnsi="宋体"/>
                <w:color w:val="auto"/>
                <w:kern w:val="0"/>
                <w:szCs w:val="21"/>
                <w:highlight w:val="none"/>
              </w:rPr>
            </w:pPr>
            <w:bookmarkStart w:id="780" w:name="_Toc433615564"/>
            <w:bookmarkStart w:id="781" w:name="_Toc439318549"/>
            <w:r>
              <w:rPr>
                <w:rFonts w:hint="eastAsia" w:ascii="宋体" w:hAnsi="宋体" w:cs="MingLiU"/>
                <w:color w:val="auto"/>
                <w:kern w:val="0"/>
                <w:szCs w:val="21"/>
                <w:highlight w:val="none"/>
              </w:rPr>
              <w:t>投标人名称</w:t>
            </w:r>
          </w:p>
        </w:tc>
        <w:tc>
          <w:tcPr>
            <w:tcW w:w="7277" w:type="dxa"/>
            <w:gridSpan w:val="9"/>
            <w:tcBorders>
              <w:top w:val="single" w:color="000000" w:sz="4" w:space="0"/>
              <w:left w:val="single" w:color="000000" w:sz="4" w:space="0"/>
              <w:bottom w:val="single" w:color="000000" w:sz="4" w:space="0"/>
              <w:right w:val="single" w:color="000000" w:sz="4" w:space="0"/>
            </w:tcBorders>
            <w:vAlign w:val="center"/>
          </w:tcPr>
          <w:p w14:paraId="37B0814B">
            <w:pPr>
              <w:autoSpaceDE w:val="0"/>
              <w:autoSpaceDN w:val="0"/>
              <w:adjustRightInd w:val="0"/>
              <w:snapToGrid w:val="0"/>
              <w:spacing w:line="300" w:lineRule="exact"/>
              <w:jc w:val="center"/>
              <w:rPr>
                <w:rFonts w:ascii="宋体" w:hAnsi="宋体"/>
                <w:color w:val="auto"/>
                <w:kern w:val="0"/>
                <w:szCs w:val="21"/>
                <w:highlight w:val="none"/>
              </w:rPr>
            </w:pPr>
          </w:p>
        </w:tc>
      </w:tr>
      <w:tr w14:paraId="7D811DD2">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9CD836D">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14:paraId="51759C99">
            <w:pPr>
              <w:autoSpaceDE w:val="0"/>
              <w:autoSpaceDN w:val="0"/>
              <w:adjustRightInd w:val="0"/>
              <w:snapToGrid w:val="0"/>
              <w:spacing w:line="300" w:lineRule="exact"/>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C4A0DF2">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79" w:type="dxa"/>
            <w:gridSpan w:val="3"/>
            <w:tcBorders>
              <w:top w:val="single" w:color="000000" w:sz="4" w:space="0"/>
              <w:left w:val="single" w:color="000000" w:sz="4" w:space="0"/>
              <w:bottom w:val="single" w:color="000000" w:sz="4" w:space="0"/>
              <w:right w:val="single" w:color="000000" w:sz="4" w:space="0"/>
            </w:tcBorders>
            <w:vAlign w:val="center"/>
          </w:tcPr>
          <w:p w14:paraId="5EB2D5AA">
            <w:pPr>
              <w:autoSpaceDE w:val="0"/>
              <w:autoSpaceDN w:val="0"/>
              <w:adjustRightInd w:val="0"/>
              <w:snapToGrid w:val="0"/>
              <w:spacing w:line="300" w:lineRule="exact"/>
              <w:jc w:val="center"/>
              <w:rPr>
                <w:rFonts w:ascii="宋体" w:hAnsi="宋体"/>
                <w:color w:val="auto"/>
                <w:kern w:val="0"/>
                <w:szCs w:val="21"/>
                <w:highlight w:val="none"/>
              </w:rPr>
            </w:pPr>
          </w:p>
        </w:tc>
      </w:tr>
      <w:tr w14:paraId="0A8E6B4D">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7676FDD">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704442CE">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040378DF">
            <w:pPr>
              <w:autoSpaceDE w:val="0"/>
              <w:autoSpaceDN w:val="0"/>
              <w:adjustRightInd w:val="0"/>
              <w:snapToGrid w:val="0"/>
              <w:spacing w:line="300" w:lineRule="exact"/>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5E7A9D0">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ascii="宋体" w:hAnsi="宋体"/>
                <w:color w:val="auto"/>
                <w:kern w:val="0"/>
                <w:szCs w:val="21"/>
                <w:highlight w:val="none"/>
              </w:rPr>
              <w:t xml:space="preserve"> </w:t>
            </w:r>
            <w:r>
              <w:rPr>
                <w:rFonts w:ascii="宋体" w:hAnsi="宋体"/>
                <w:color w:val="auto"/>
                <w:spacing w:val="1"/>
                <w:kern w:val="0"/>
                <w:szCs w:val="21"/>
                <w:highlight w:val="none"/>
              </w:rPr>
              <w:t xml:space="preserve"> </w:t>
            </w:r>
            <w:r>
              <w:rPr>
                <w:rFonts w:hint="eastAsia" w:ascii="宋体" w:hAnsi="宋体" w:cs="MingLiU"/>
                <w:color w:val="auto"/>
                <w:kern w:val="0"/>
                <w:szCs w:val="21"/>
                <w:highlight w:val="none"/>
              </w:rPr>
              <w:t>话</w:t>
            </w:r>
          </w:p>
        </w:tc>
        <w:tc>
          <w:tcPr>
            <w:tcW w:w="2779" w:type="dxa"/>
            <w:gridSpan w:val="3"/>
            <w:tcBorders>
              <w:top w:val="single" w:color="000000" w:sz="4" w:space="0"/>
              <w:left w:val="single" w:color="000000" w:sz="4" w:space="0"/>
              <w:bottom w:val="single" w:color="000000" w:sz="4" w:space="0"/>
              <w:right w:val="single" w:color="000000" w:sz="4" w:space="0"/>
            </w:tcBorders>
            <w:vAlign w:val="center"/>
          </w:tcPr>
          <w:p w14:paraId="69684769">
            <w:pPr>
              <w:autoSpaceDE w:val="0"/>
              <w:autoSpaceDN w:val="0"/>
              <w:adjustRightInd w:val="0"/>
              <w:snapToGrid w:val="0"/>
              <w:spacing w:line="300" w:lineRule="exact"/>
              <w:jc w:val="center"/>
              <w:rPr>
                <w:rFonts w:ascii="宋体" w:hAnsi="宋体"/>
                <w:color w:val="auto"/>
                <w:kern w:val="0"/>
                <w:szCs w:val="21"/>
                <w:highlight w:val="none"/>
              </w:rPr>
            </w:pPr>
          </w:p>
        </w:tc>
      </w:tr>
      <w:tr w14:paraId="01947878">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4183BD00">
            <w:pPr>
              <w:autoSpaceDE w:val="0"/>
              <w:autoSpaceDN w:val="0"/>
              <w:adjustRightInd w:val="0"/>
              <w:snapToGrid w:val="0"/>
              <w:spacing w:line="300" w:lineRule="exact"/>
              <w:jc w:val="center"/>
              <w:rPr>
                <w:rFonts w:ascii="宋体" w:hAnsi="宋体"/>
                <w:color w:val="auto"/>
                <w:kern w:val="0"/>
                <w:szCs w:val="21"/>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72DDBFB2">
            <w:pPr>
              <w:tabs>
                <w:tab w:val="left" w:pos="540"/>
              </w:tabs>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ascii="宋体" w:hAnsi="宋体"/>
                <w:color w:val="auto"/>
                <w:kern w:val="0"/>
                <w:szCs w:val="21"/>
                <w:highlight w:val="none"/>
              </w:rPr>
              <w:tab/>
            </w:r>
            <w:r>
              <w:rPr>
                <w:rFonts w:hint="eastAsia" w:ascii="宋体" w:hAnsi="宋体" w:cs="MingLiU"/>
                <w:color w:val="auto"/>
                <w:kern w:val="0"/>
                <w:szCs w:val="21"/>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14:paraId="016DD417">
            <w:pPr>
              <w:autoSpaceDE w:val="0"/>
              <w:autoSpaceDN w:val="0"/>
              <w:adjustRightInd w:val="0"/>
              <w:snapToGrid w:val="0"/>
              <w:spacing w:line="300" w:lineRule="exact"/>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2B07B86">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网</w:t>
            </w:r>
            <w:r>
              <w:rPr>
                <w:rFonts w:ascii="宋体" w:hAnsi="宋体"/>
                <w:color w:val="auto"/>
                <w:kern w:val="0"/>
                <w:szCs w:val="21"/>
                <w:highlight w:val="none"/>
              </w:rPr>
              <w:t xml:space="preserve"> </w:t>
            </w:r>
            <w:r>
              <w:rPr>
                <w:rFonts w:ascii="宋体" w:hAnsi="宋体"/>
                <w:color w:val="auto"/>
                <w:spacing w:val="1"/>
                <w:kern w:val="0"/>
                <w:szCs w:val="21"/>
                <w:highlight w:val="none"/>
              </w:rPr>
              <w:t xml:space="preserve"> </w:t>
            </w:r>
            <w:r>
              <w:rPr>
                <w:rFonts w:hint="eastAsia" w:ascii="宋体" w:hAnsi="宋体" w:cs="MingLiU"/>
                <w:color w:val="auto"/>
                <w:kern w:val="0"/>
                <w:szCs w:val="21"/>
                <w:highlight w:val="none"/>
              </w:rPr>
              <w:t>址</w:t>
            </w:r>
          </w:p>
        </w:tc>
        <w:tc>
          <w:tcPr>
            <w:tcW w:w="2779" w:type="dxa"/>
            <w:gridSpan w:val="3"/>
            <w:tcBorders>
              <w:top w:val="single" w:color="000000" w:sz="4" w:space="0"/>
              <w:left w:val="single" w:color="000000" w:sz="4" w:space="0"/>
              <w:bottom w:val="single" w:color="000000" w:sz="4" w:space="0"/>
              <w:right w:val="single" w:color="000000" w:sz="4" w:space="0"/>
            </w:tcBorders>
            <w:vAlign w:val="center"/>
          </w:tcPr>
          <w:p w14:paraId="723A3988">
            <w:pPr>
              <w:autoSpaceDE w:val="0"/>
              <w:autoSpaceDN w:val="0"/>
              <w:adjustRightInd w:val="0"/>
              <w:snapToGrid w:val="0"/>
              <w:spacing w:line="300" w:lineRule="exact"/>
              <w:jc w:val="center"/>
              <w:rPr>
                <w:rFonts w:ascii="宋体" w:hAnsi="宋体"/>
                <w:color w:val="auto"/>
                <w:kern w:val="0"/>
                <w:szCs w:val="21"/>
                <w:highlight w:val="none"/>
              </w:rPr>
            </w:pPr>
          </w:p>
        </w:tc>
      </w:tr>
      <w:tr w14:paraId="722ECC7B">
        <w:tblPrEx>
          <w:tblCellMar>
            <w:top w:w="0" w:type="dxa"/>
            <w:left w:w="0" w:type="dxa"/>
            <w:bottom w:w="0" w:type="dxa"/>
            <w:right w:w="0" w:type="dxa"/>
          </w:tblCellMar>
        </w:tblPrEx>
        <w:trPr>
          <w:trHeight w:val="62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8B2C3A3">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277" w:type="dxa"/>
            <w:gridSpan w:val="9"/>
            <w:tcBorders>
              <w:top w:val="single" w:color="000000" w:sz="4" w:space="0"/>
              <w:left w:val="single" w:color="000000" w:sz="4" w:space="0"/>
              <w:bottom w:val="single" w:color="000000" w:sz="4" w:space="0"/>
              <w:right w:val="single" w:color="000000" w:sz="4" w:space="0"/>
            </w:tcBorders>
            <w:vAlign w:val="center"/>
          </w:tcPr>
          <w:p w14:paraId="6BB944F0">
            <w:pPr>
              <w:autoSpaceDE w:val="0"/>
              <w:autoSpaceDN w:val="0"/>
              <w:adjustRightInd w:val="0"/>
              <w:snapToGrid w:val="0"/>
              <w:spacing w:line="300" w:lineRule="exact"/>
              <w:jc w:val="center"/>
              <w:rPr>
                <w:rFonts w:ascii="宋体" w:hAnsi="宋体"/>
                <w:color w:val="auto"/>
                <w:kern w:val="0"/>
                <w:szCs w:val="21"/>
                <w:highlight w:val="none"/>
              </w:rPr>
            </w:pPr>
          </w:p>
        </w:tc>
      </w:tr>
      <w:tr w14:paraId="1BA64112">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141D198">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BF90277">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54189F59">
            <w:pPr>
              <w:autoSpaceDE w:val="0"/>
              <w:autoSpaceDN w:val="0"/>
              <w:adjustRightInd w:val="0"/>
              <w:snapToGrid w:val="0"/>
              <w:spacing w:line="300" w:lineRule="exact"/>
              <w:jc w:val="center"/>
              <w:rPr>
                <w:rFonts w:ascii="宋体" w:hAnsi="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415FE6A">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4EA132F8">
            <w:pPr>
              <w:autoSpaceDE w:val="0"/>
              <w:autoSpaceDN w:val="0"/>
              <w:adjustRightInd w:val="0"/>
              <w:snapToGrid w:val="0"/>
              <w:spacing w:line="300" w:lineRule="exact"/>
              <w:jc w:val="center"/>
              <w:rPr>
                <w:rFonts w:ascii="宋体" w:hAnsi="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21FC4CF1">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429" w:type="dxa"/>
            <w:tcBorders>
              <w:top w:val="single" w:color="000000" w:sz="4" w:space="0"/>
              <w:left w:val="single" w:color="000000" w:sz="4" w:space="0"/>
              <w:bottom w:val="single" w:color="000000" w:sz="4" w:space="0"/>
              <w:right w:val="single" w:color="000000" w:sz="4" w:space="0"/>
            </w:tcBorders>
            <w:vAlign w:val="center"/>
          </w:tcPr>
          <w:p w14:paraId="471E606B">
            <w:pPr>
              <w:autoSpaceDE w:val="0"/>
              <w:autoSpaceDN w:val="0"/>
              <w:adjustRightInd w:val="0"/>
              <w:snapToGrid w:val="0"/>
              <w:spacing w:line="300" w:lineRule="exact"/>
              <w:jc w:val="center"/>
              <w:rPr>
                <w:rFonts w:ascii="宋体" w:hAnsi="宋体"/>
                <w:color w:val="auto"/>
                <w:kern w:val="0"/>
                <w:szCs w:val="21"/>
                <w:highlight w:val="none"/>
              </w:rPr>
            </w:pPr>
          </w:p>
        </w:tc>
      </w:tr>
      <w:tr w14:paraId="36EB2B57">
        <w:tblPrEx>
          <w:tblCellMar>
            <w:top w:w="0" w:type="dxa"/>
            <w:left w:w="0" w:type="dxa"/>
            <w:bottom w:w="0" w:type="dxa"/>
            <w:right w:w="0" w:type="dxa"/>
          </w:tblCellMar>
        </w:tblPrEx>
        <w:trPr>
          <w:trHeight w:val="617"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592CBEC">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2EC2B5F7">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14:paraId="24C0EF43">
            <w:pPr>
              <w:autoSpaceDE w:val="0"/>
              <w:autoSpaceDN w:val="0"/>
              <w:adjustRightInd w:val="0"/>
              <w:snapToGrid w:val="0"/>
              <w:spacing w:line="300" w:lineRule="exact"/>
              <w:jc w:val="center"/>
              <w:rPr>
                <w:rFonts w:ascii="宋体" w:hAnsi="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00E1C98">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14:paraId="13DBD4D7">
            <w:pPr>
              <w:autoSpaceDE w:val="0"/>
              <w:autoSpaceDN w:val="0"/>
              <w:adjustRightInd w:val="0"/>
              <w:snapToGrid w:val="0"/>
              <w:spacing w:line="300" w:lineRule="exact"/>
              <w:jc w:val="center"/>
              <w:rPr>
                <w:rFonts w:ascii="宋体" w:hAnsi="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14:paraId="65E98A35">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429" w:type="dxa"/>
            <w:tcBorders>
              <w:top w:val="single" w:color="000000" w:sz="4" w:space="0"/>
              <w:left w:val="single" w:color="000000" w:sz="4" w:space="0"/>
              <w:bottom w:val="single" w:color="000000" w:sz="4" w:space="0"/>
              <w:right w:val="single" w:color="000000" w:sz="4" w:space="0"/>
            </w:tcBorders>
            <w:vAlign w:val="center"/>
          </w:tcPr>
          <w:p w14:paraId="2101485F">
            <w:pPr>
              <w:autoSpaceDE w:val="0"/>
              <w:autoSpaceDN w:val="0"/>
              <w:adjustRightInd w:val="0"/>
              <w:snapToGrid w:val="0"/>
              <w:spacing w:line="300" w:lineRule="exact"/>
              <w:jc w:val="center"/>
              <w:rPr>
                <w:rFonts w:ascii="宋体" w:hAnsi="宋体"/>
                <w:color w:val="auto"/>
                <w:kern w:val="0"/>
                <w:szCs w:val="21"/>
                <w:highlight w:val="none"/>
              </w:rPr>
            </w:pPr>
          </w:p>
        </w:tc>
      </w:tr>
      <w:tr w14:paraId="69A78E4B">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29C3088">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669E79E">
            <w:pPr>
              <w:autoSpaceDE w:val="0"/>
              <w:autoSpaceDN w:val="0"/>
              <w:adjustRightInd w:val="0"/>
              <w:snapToGrid w:val="0"/>
              <w:spacing w:line="300" w:lineRule="exact"/>
              <w:jc w:val="center"/>
              <w:rPr>
                <w:rFonts w:ascii="宋体" w:hAnsi="宋体"/>
                <w:color w:val="auto"/>
                <w:kern w:val="0"/>
                <w:szCs w:val="21"/>
                <w:highlight w:val="none"/>
              </w:rPr>
            </w:pPr>
          </w:p>
        </w:tc>
        <w:tc>
          <w:tcPr>
            <w:tcW w:w="5428" w:type="dxa"/>
            <w:gridSpan w:val="7"/>
            <w:tcBorders>
              <w:top w:val="single" w:color="000000" w:sz="4" w:space="0"/>
              <w:left w:val="single" w:color="000000" w:sz="4" w:space="0"/>
              <w:bottom w:val="single" w:color="000000" w:sz="4" w:space="0"/>
              <w:right w:val="single" w:color="000000" w:sz="4" w:space="0"/>
            </w:tcBorders>
            <w:vAlign w:val="center"/>
          </w:tcPr>
          <w:p w14:paraId="53EC6B9A">
            <w:pPr>
              <w:autoSpaceDE w:val="0"/>
              <w:autoSpaceDN w:val="0"/>
              <w:adjustRightInd w:val="0"/>
              <w:snapToGrid w:val="0"/>
              <w:spacing w:line="300" w:lineRule="exact"/>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EF5A4A8">
        <w:tblPrEx>
          <w:tblCellMar>
            <w:top w:w="0" w:type="dxa"/>
            <w:left w:w="0" w:type="dxa"/>
            <w:bottom w:w="0" w:type="dxa"/>
            <w:right w:w="0" w:type="dxa"/>
          </w:tblCellMar>
        </w:tblPrEx>
        <w:trPr>
          <w:cantSplit/>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C67FCEF">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3944F05">
            <w:pPr>
              <w:autoSpaceDE w:val="0"/>
              <w:autoSpaceDN w:val="0"/>
              <w:adjustRightInd w:val="0"/>
              <w:snapToGrid w:val="0"/>
              <w:spacing w:line="300" w:lineRule="exact"/>
              <w:jc w:val="center"/>
              <w:rPr>
                <w:rFonts w:ascii="宋体" w:hAnsi="宋体"/>
                <w:color w:val="auto"/>
                <w:kern w:val="0"/>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14:paraId="6D7888EA">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5DEBEE1B">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88" w:type="dxa"/>
            <w:gridSpan w:val="2"/>
            <w:tcBorders>
              <w:top w:val="single" w:color="000000" w:sz="4" w:space="0"/>
              <w:left w:val="single" w:color="000000" w:sz="4" w:space="0"/>
              <w:bottom w:val="single" w:color="000000" w:sz="4" w:space="0"/>
              <w:right w:val="single" w:color="000000" w:sz="4" w:space="0"/>
            </w:tcBorders>
            <w:vAlign w:val="center"/>
          </w:tcPr>
          <w:p w14:paraId="02DEAE57">
            <w:pPr>
              <w:autoSpaceDE w:val="0"/>
              <w:autoSpaceDN w:val="0"/>
              <w:adjustRightInd w:val="0"/>
              <w:snapToGrid w:val="0"/>
              <w:spacing w:line="300" w:lineRule="exact"/>
              <w:jc w:val="center"/>
              <w:rPr>
                <w:rFonts w:ascii="宋体" w:hAnsi="宋体"/>
                <w:color w:val="auto"/>
                <w:kern w:val="0"/>
                <w:szCs w:val="21"/>
                <w:highlight w:val="none"/>
              </w:rPr>
            </w:pPr>
          </w:p>
        </w:tc>
      </w:tr>
      <w:tr w14:paraId="43D4EBF3">
        <w:tblPrEx>
          <w:tblCellMar>
            <w:top w:w="0" w:type="dxa"/>
            <w:left w:w="0" w:type="dxa"/>
            <w:bottom w:w="0" w:type="dxa"/>
            <w:right w:w="0" w:type="dxa"/>
          </w:tblCellMar>
        </w:tblPrEx>
        <w:trPr>
          <w:cantSplit/>
          <w:trHeight w:val="627"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0569F84">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5875626C">
            <w:pPr>
              <w:autoSpaceDE w:val="0"/>
              <w:autoSpaceDN w:val="0"/>
              <w:adjustRightInd w:val="0"/>
              <w:snapToGrid w:val="0"/>
              <w:spacing w:line="300" w:lineRule="exact"/>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340C5807">
            <w:pPr>
              <w:autoSpaceDE w:val="0"/>
              <w:autoSpaceDN w:val="0"/>
              <w:adjustRightInd w:val="0"/>
              <w:snapToGrid w:val="0"/>
              <w:spacing w:line="300" w:lineRule="exact"/>
              <w:jc w:val="center"/>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1F29550A">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88" w:type="dxa"/>
            <w:gridSpan w:val="2"/>
            <w:tcBorders>
              <w:top w:val="single" w:color="000000" w:sz="4" w:space="0"/>
              <w:left w:val="single" w:color="000000" w:sz="4" w:space="0"/>
              <w:bottom w:val="single" w:color="000000" w:sz="4" w:space="0"/>
              <w:right w:val="single" w:color="000000" w:sz="4" w:space="0"/>
            </w:tcBorders>
            <w:vAlign w:val="center"/>
          </w:tcPr>
          <w:p w14:paraId="283A20D0">
            <w:pPr>
              <w:autoSpaceDE w:val="0"/>
              <w:autoSpaceDN w:val="0"/>
              <w:adjustRightInd w:val="0"/>
              <w:snapToGrid w:val="0"/>
              <w:spacing w:line="300" w:lineRule="exact"/>
              <w:jc w:val="center"/>
              <w:rPr>
                <w:rFonts w:ascii="宋体" w:hAnsi="宋体"/>
                <w:color w:val="auto"/>
                <w:kern w:val="0"/>
                <w:szCs w:val="21"/>
                <w:highlight w:val="none"/>
              </w:rPr>
            </w:pPr>
          </w:p>
        </w:tc>
      </w:tr>
      <w:tr w14:paraId="10C95636">
        <w:tblPrEx>
          <w:tblCellMar>
            <w:top w:w="0" w:type="dxa"/>
            <w:left w:w="0" w:type="dxa"/>
            <w:bottom w:w="0" w:type="dxa"/>
            <w:right w:w="0" w:type="dxa"/>
          </w:tblCellMar>
        </w:tblPrEx>
        <w:trPr>
          <w:cantSplit/>
          <w:trHeight w:val="62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98341BD">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7087DAB">
            <w:pPr>
              <w:autoSpaceDE w:val="0"/>
              <w:autoSpaceDN w:val="0"/>
              <w:adjustRightInd w:val="0"/>
              <w:snapToGrid w:val="0"/>
              <w:spacing w:line="300" w:lineRule="exact"/>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EB46684">
            <w:pPr>
              <w:autoSpaceDE w:val="0"/>
              <w:autoSpaceDN w:val="0"/>
              <w:adjustRightInd w:val="0"/>
              <w:snapToGrid w:val="0"/>
              <w:spacing w:line="300" w:lineRule="exact"/>
              <w:jc w:val="center"/>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0C87AD6A">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88" w:type="dxa"/>
            <w:gridSpan w:val="2"/>
            <w:tcBorders>
              <w:top w:val="single" w:color="000000" w:sz="4" w:space="0"/>
              <w:left w:val="single" w:color="000000" w:sz="4" w:space="0"/>
              <w:bottom w:val="single" w:color="000000" w:sz="4" w:space="0"/>
              <w:right w:val="single" w:color="000000" w:sz="4" w:space="0"/>
            </w:tcBorders>
            <w:vAlign w:val="center"/>
          </w:tcPr>
          <w:p w14:paraId="47855894">
            <w:pPr>
              <w:autoSpaceDE w:val="0"/>
              <w:autoSpaceDN w:val="0"/>
              <w:adjustRightInd w:val="0"/>
              <w:snapToGrid w:val="0"/>
              <w:spacing w:line="300" w:lineRule="exact"/>
              <w:jc w:val="center"/>
              <w:rPr>
                <w:rFonts w:ascii="宋体" w:hAnsi="宋体"/>
                <w:color w:val="auto"/>
                <w:kern w:val="0"/>
                <w:szCs w:val="21"/>
                <w:highlight w:val="none"/>
              </w:rPr>
            </w:pPr>
          </w:p>
        </w:tc>
      </w:tr>
      <w:tr w14:paraId="2AA7A231">
        <w:tblPrEx>
          <w:tblCellMar>
            <w:top w:w="0" w:type="dxa"/>
            <w:left w:w="0" w:type="dxa"/>
            <w:bottom w:w="0" w:type="dxa"/>
            <w:right w:w="0" w:type="dxa"/>
          </w:tblCellMar>
        </w:tblPrEx>
        <w:trPr>
          <w:cantSplit/>
          <w:trHeight w:val="62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60EB66FE">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7430226D">
            <w:pPr>
              <w:autoSpaceDE w:val="0"/>
              <w:autoSpaceDN w:val="0"/>
              <w:adjustRightInd w:val="0"/>
              <w:snapToGrid w:val="0"/>
              <w:spacing w:line="300" w:lineRule="exact"/>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C8D5824">
            <w:pPr>
              <w:autoSpaceDE w:val="0"/>
              <w:autoSpaceDN w:val="0"/>
              <w:adjustRightInd w:val="0"/>
              <w:snapToGrid w:val="0"/>
              <w:spacing w:line="300" w:lineRule="exact"/>
              <w:jc w:val="center"/>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4C6499F7">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88" w:type="dxa"/>
            <w:gridSpan w:val="2"/>
            <w:tcBorders>
              <w:top w:val="single" w:color="000000" w:sz="4" w:space="0"/>
              <w:left w:val="single" w:color="000000" w:sz="4" w:space="0"/>
              <w:bottom w:val="single" w:color="000000" w:sz="4" w:space="0"/>
              <w:right w:val="single" w:color="000000" w:sz="4" w:space="0"/>
            </w:tcBorders>
            <w:vAlign w:val="center"/>
          </w:tcPr>
          <w:p w14:paraId="12CE2990">
            <w:pPr>
              <w:autoSpaceDE w:val="0"/>
              <w:autoSpaceDN w:val="0"/>
              <w:adjustRightInd w:val="0"/>
              <w:snapToGrid w:val="0"/>
              <w:spacing w:line="300" w:lineRule="exact"/>
              <w:jc w:val="center"/>
              <w:rPr>
                <w:rFonts w:ascii="宋体" w:hAnsi="宋体"/>
                <w:color w:val="auto"/>
                <w:kern w:val="0"/>
                <w:szCs w:val="21"/>
                <w:highlight w:val="none"/>
              </w:rPr>
            </w:pPr>
          </w:p>
        </w:tc>
      </w:tr>
      <w:tr w14:paraId="3C3E97D5">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998B452">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14:paraId="6D071232">
            <w:pPr>
              <w:autoSpaceDE w:val="0"/>
              <w:autoSpaceDN w:val="0"/>
              <w:adjustRightInd w:val="0"/>
              <w:snapToGrid w:val="0"/>
              <w:spacing w:line="300" w:lineRule="exact"/>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41EB4026">
            <w:pPr>
              <w:autoSpaceDE w:val="0"/>
              <w:autoSpaceDN w:val="0"/>
              <w:adjustRightInd w:val="0"/>
              <w:snapToGrid w:val="0"/>
              <w:spacing w:line="300" w:lineRule="exact"/>
              <w:jc w:val="center"/>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14:paraId="7E13CF17">
            <w:pPr>
              <w:tabs>
                <w:tab w:val="left" w:pos="1240"/>
              </w:tabs>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 xml:space="preserve"> 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88" w:type="dxa"/>
            <w:gridSpan w:val="2"/>
            <w:tcBorders>
              <w:top w:val="single" w:color="000000" w:sz="4" w:space="0"/>
              <w:left w:val="single" w:color="000000" w:sz="4" w:space="0"/>
              <w:bottom w:val="single" w:color="000000" w:sz="4" w:space="0"/>
              <w:right w:val="single" w:color="000000" w:sz="4" w:space="0"/>
            </w:tcBorders>
            <w:vAlign w:val="center"/>
          </w:tcPr>
          <w:p w14:paraId="08CE67B2">
            <w:pPr>
              <w:autoSpaceDE w:val="0"/>
              <w:autoSpaceDN w:val="0"/>
              <w:adjustRightInd w:val="0"/>
              <w:snapToGrid w:val="0"/>
              <w:spacing w:line="300" w:lineRule="exact"/>
              <w:jc w:val="center"/>
              <w:rPr>
                <w:rFonts w:ascii="宋体" w:hAnsi="宋体"/>
                <w:color w:val="auto"/>
                <w:kern w:val="0"/>
                <w:szCs w:val="21"/>
                <w:highlight w:val="none"/>
              </w:rPr>
            </w:pPr>
          </w:p>
        </w:tc>
      </w:tr>
      <w:tr w14:paraId="58DE8FB3">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C86D936">
            <w:pPr>
              <w:autoSpaceDE w:val="0"/>
              <w:autoSpaceDN w:val="0"/>
              <w:adjustRightInd w:val="0"/>
              <w:snapToGrid w:val="0"/>
              <w:spacing w:line="300" w:lineRule="exact"/>
              <w:jc w:val="center"/>
              <w:rPr>
                <w:rFonts w:ascii="宋体" w:hAnsi="宋体"/>
                <w:color w:val="auto"/>
                <w:kern w:val="0"/>
                <w:szCs w:val="21"/>
                <w:highlight w:val="none"/>
              </w:rPr>
            </w:pPr>
          </w:p>
          <w:p w14:paraId="78CCE22D">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277" w:type="dxa"/>
            <w:gridSpan w:val="9"/>
            <w:tcBorders>
              <w:top w:val="single" w:color="000000" w:sz="4" w:space="0"/>
              <w:left w:val="single" w:color="000000" w:sz="4" w:space="0"/>
              <w:bottom w:val="single" w:color="000000" w:sz="4" w:space="0"/>
              <w:right w:val="single" w:color="000000" w:sz="4" w:space="0"/>
            </w:tcBorders>
            <w:vAlign w:val="center"/>
          </w:tcPr>
          <w:p w14:paraId="1C3872BA">
            <w:pPr>
              <w:autoSpaceDE w:val="0"/>
              <w:autoSpaceDN w:val="0"/>
              <w:adjustRightInd w:val="0"/>
              <w:snapToGrid w:val="0"/>
              <w:spacing w:line="300" w:lineRule="exact"/>
              <w:jc w:val="center"/>
              <w:rPr>
                <w:rFonts w:ascii="仿宋_GB2312" w:eastAsia="仿宋_GB2312"/>
                <w:color w:val="auto"/>
                <w:kern w:val="0"/>
                <w:szCs w:val="21"/>
                <w:highlight w:val="none"/>
              </w:rPr>
            </w:pPr>
          </w:p>
        </w:tc>
      </w:tr>
      <w:tr w14:paraId="070C0700">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7BEC4BD9">
            <w:pPr>
              <w:autoSpaceDE w:val="0"/>
              <w:autoSpaceDN w:val="0"/>
              <w:adjustRightInd w:val="0"/>
              <w:snapToGrid w:val="0"/>
              <w:spacing w:line="300" w:lineRule="exact"/>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277" w:type="dxa"/>
            <w:gridSpan w:val="9"/>
            <w:tcBorders>
              <w:top w:val="single" w:color="000000" w:sz="4" w:space="0"/>
              <w:left w:val="single" w:color="000000" w:sz="4" w:space="0"/>
              <w:bottom w:val="single" w:color="000000" w:sz="4" w:space="0"/>
              <w:right w:val="single" w:color="000000" w:sz="4" w:space="0"/>
            </w:tcBorders>
            <w:vAlign w:val="center"/>
          </w:tcPr>
          <w:p w14:paraId="6D256085">
            <w:pPr>
              <w:autoSpaceDE w:val="0"/>
              <w:autoSpaceDN w:val="0"/>
              <w:adjustRightInd w:val="0"/>
              <w:snapToGrid w:val="0"/>
              <w:spacing w:line="300" w:lineRule="exact"/>
              <w:jc w:val="center"/>
              <w:rPr>
                <w:rFonts w:ascii="仿宋_GB2312" w:eastAsia="仿宋_GB2312"/>
                <w:color w:val="auto"/>
                <w:kern w:val="0"/>
                <w:szCs w:val="21"/>
                <w:highlight w:val="none"/>
              </w:rPr>
            </w:pPr>
          </w:p>
        </w:tc>
      </w:tr>
    </w:tbl>
    <w:p w14:paraId="209A8344">
      <w:pPr>
        <w:tabs>
          <w:tab w:val="right" w:leader="dot" w:pos="8623"/>
        </w:tabs>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（二）基本情况表</w:t>
      </w:r>
    </w:p>
    <w:p w14:paraId="27D9B4AC">
      <w:pPr>
        <w:tabs>
          <w:tab w:val="right" w:leader="dot" w:pos="8623"/>
        </w:tabs>
        <w:spacing w:line="360" w:lineRule="auto"/>
        <w:rPr>
          <w:rFonts w:ascii="宋体" w:hAnsi="宋体" w:cs="MingLiU"/>
          <w:b/>
          <w:color w:val="auto"/>
          <w:kern w:val="0"/>
          <w:szCs w:val="21"/>
          <w:highlight w:val="none"/>
        </w:rPr>
      </w:pPr>
      <w:r>
        <w:rPr>
          <w:rFonts w:hint="eastAsia" w:ascii="宋体" w:hAnsi="宋体" w:cs="MingLiU"/>
          <w:b/>
          <w:color w:val="auto"/>
          <w:kern w:val="0"/>
          <w:szCs w:val="21"/>
          <w:highlight w:val="none"/>
        </w:rPr>
        <w:t>注：投标人按照表格填写信息，如果没有的信息可以填“/”。</w:t>
      </w:r>
    </w:p>
    <w:p w14:paraId="2EE4C42B">
      <w:pPr>
        <w:tabs>
          <w:tab w:val="right" w:leader="dot" w:pos="8623"/>
        </w:tabs>
        <w:spacing w:line="360" w:lineRule="auto"/>
        <w:jc w:val="center"/>
        <w:rPr>
          <w:b/>
          <w:snapToGrid w:val="0"/>
          <w:color w:val="auto"/>
          <w:sz w:val="28"/>
          <w:szCs w:val="28"/>
          <w:highlight w:val="none"/>
        </w:rPr>
      </w:pPr>
    </w:p>
    <w:p w14:paraId="5CF4F9C1">
      <w:pPr>
        <w:tabs>
          <w:tab w:val="right" w:leader="dot" w:pos="8623"/>
        </w:tabs>
        <w:spacing w:line="360" w:lineRule="auto"/>
        <w:jc w:val="center"/>
        <w:rPr>
          <w:b/>
          <w:snapToGrid w:val="0"/>
          <w:color w:val="auto"/>
          <w:sz w:val="28"/>
          <w:szCs w:val="28"/>
          <w:highlight w:val="none"/>
        </w:rPr>
      </w:pPr>
    </w:p>
    <w:p w14:paraId="57873147">
      <w:pPr>
        <w:tabs>
          <w:tab w:val="right" w:leader="dot" w:pos="8623"/>
        </w:tabs>
        <w:spacing w:line="360" w:lineRule="auto"/>
        <w:jc w:val="center"/>
        <w:rPr>
          <w:b/>
          <w:snapToGrid w:val="0"/>
          <w:color w:val="auto"/>
          <w:sz w:val="28"/>
          <w:szCs w:val="28"/>
          <w:highlight w:val="none"/>
        </w:rPr>
      </w:pPr>
    </w:p>
    <w:p w14:paraId="0475094E">
      <w:pPr>
        <w:tabs>
          <w:tab w:val="right" w:leader="dot" w:pos="8623"/>
        </w:tabs>
        <w:spacing w:line="360" w:lineRule="auto"/>
        <w:rPr>
          <w:b/>
          <w:snapToGrid w:val="0"/>
          <w:color w:val="auto"/>
          <w:sz w:val="28"/>
          <w:szCs w:val="28"/>
          <w:highlight w:val="none"/>
        </w:rPr>
      </w:pPr>
    </w:p>
    <w:p w14:paraId="0D54C2B3">
      <w:pPr>
        <w:tabs>
          <w:tab w:val="right" w:leader="dot" w:pos="8623"/>
        </w:tabs>
        <w:spacing w:line="360" w:lineRule="auto"/>
        <w:jc w:val="center"/>
        <w:rPr>
          <w:b/>
          <w:snapToGrid w:val="0"/>
          <w:color w:val="auto"/>
          <w:sz w:val="28"/>
          <w:szCs w:val="28"/>
          <w:highlight w:val="none"/>
        </w:rPr>
      </w:pPr>
      <w:r>
        <w:rPr>
          <w:rFonts w:hint="eastAsia"/>
          <w:b/>
          <w:snapToGrid w:val="0"/>
          <w:color w:val="auto"/>
          <w:sz w:val="28"/>
          <w:szCs w:val="28"/>
          <w:highlight w:val="none"/>
        </w:rPr>
        <w:t>（三）投标人应提供的</w:t>
      </w:r>
      <w:bookmarkEnd w:id="780"/>
      <w:bookmarkEnd w:id="781"/>
      <w:r>
        <w:rPr>
          <w:rFonts w:hint="eastAsia"/>
          <w:b/>
          <w:snapToGrid w:val="0"/>
          <w:color w:val="auto"/>
          <w:sz w:val="28"/>
          <w:szCs w:val="28"/>
          <w:highlight w:val="none"/>
        </w:rPr>
        <w:t>资格证明资料</w:t>
      </w:r>
    </w:p>
    <w:p w14:paraId="2D5F35E6">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154EAA32">
      <w:pPr>
        <w:widowControl/>
        <w:shd w:val="clear" w:color="auto" w:fill="FFFFFF"/>
        <w:spacing w:line="480" w:lineRule="auto"/>
        <w:ind w:firstLine="420"/>
        <w:rPr>
          <w:rFonts w:ascii="宋体" w:hAnsi="宋体" w:cs="仿宋_GB2312"/>
          <w:b/>
          <w:color w:val="auto"/>
          <w:kern w:val="0"/>
          <w:szCs w:val="21"/>
          <w:highlight w:val="none"/>
        </w:rPr>
      </w:pPr>
      <w:r>
        <w:rPr>
          <w:rFonts w:hint="eastAsia" w:ascii="宋体" w:hAnsi="宋体"/>
          <w:color w:val="auto"/>
          <w:szCs w:val="21"/>
          <w:highlight w:val="none"/>
        </w:rPr>
        <w:t>1、营业执照：</w:t>
      </w:r>
      <w:r>
        <w:rPr>
          <w:rFonts w:hint="eastAsia" w:ascii="宋体" w:hAnsi="宋体" w:cs="仿宋_GB2312"/>
          <w:color w:val="auto"/>
          <w:szCs w:val="21"/>
          <w:highlight w:val="none"/>
        </w:rPr>
        <w:t>具有独立法人或其他组织，具备有效的营业执照，有能力提供本次招标服务的企业。</w:t>
      </w:r>
      <w:r>
        <w:rPr>
          <w:rFonts w:hint="eastAsia" w:ascii="宋体" w:hAnsi="宋体" w:cs="仿宋_GB2312"/>
          <w:b/>
          <w:bCs/>
          <w:color w:val="auto"/>
          <w:szCs w:val="21"/>
          <w:highlight w:val="none"/>
        </w:rPr>
        <w:t>（提供营业执照复印件加盖投标人单位公章（鲜章））</w:t>
      </w:r>
    </w:p>
    <w:p w14:paraId="07B1E765">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28BAB04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2EDEFDB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74FC19B0">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7B63E37">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0926F0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17DBAD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5CABFD7">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45570935">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C979436">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3A6F37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A2D70DA">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0F3DD696">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271CEE8">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067699A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5D3BB579">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4C6F7DCA">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05D10B3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43805B9F">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4650F23C">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77CA32D9">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14B11B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6A06131">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5A0569E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BD183B1">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50B62395">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D7FEAE1">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59758827">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065C5378">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E305865">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r>
        <w:rPr>
          <w:rFonts w:hint="eastAsia" w:ascii="宋体" w:hAnsi="宋体"/>
          <w:color w:val="auto"/>
          <w:szCs w:val="21"/>
          <w:highlight w:val="none"/>
        </w:rPr>
        <w:t>2、投标人承诺中标后向招标人开具符合法律要求的增值税专用发票或增值税普通发票。（须提供承诺书原件加盖投标人单位公章）</w:t>
      </w:r>
    </w:p>
    <w:p w14:paraId="17338059">
      <w:pPr>
        <w:widowControl/>
        <w:shd w:val="clear" w:color="auto" w:fill="FFFFFF"/>
        <w:spacing w:line="480" w:lineRule="auto"/>
        <w:ind w:firstLine="420"/>
        <w:jc w:val="center"/>
        <w:rPr>
          <w:rFonts w:ascii="宋体" w:hAnsi="宋体" w:cs="宋体"/>
          <w:b/>
          <w:color w:val="auto"/>
          <w:sz w:val="28"/>
          <w:szCs w:val="28"/>
          <w:highlight w:val="none"/>
        </w:rPr>
      </w:pPr>
      <w:r>
        <w:rPr>
          <w:rFonts w:hint="eastAsia" w:ascii="宋体" w:hAnsi="宋体" w:cs="宋体"/>
          <w:b/>
          <w:color w:val="auto"/>
          <w:sz w:val="28"/>
          <w:szCs w:val="28"/>
          <w:highlight w:val="none"/>
        </w:rPr>
        <w:t>承诺书</w:t>
      </w:r>
    </w:p>
    <w:p w14:paraId="27BF2FA8">
      <w:pPr>
        <w:widowControl/>
        <w:shd w:val="clear" w:color="auto" w:fill="FFFFFF"/>
        <w:spacing w:line="480" w:lineRule="auto"/>
        <w:ind w:firstLine="420"/>
        <w:rPr>
          <w:rFonts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u w:val="single"/>
        </w:rPr>
        <w:t>中国人寿保险股份有限公司重庆市分公司</w:t>
      </w:r>
    </w:p>
    <w:p w14:paraId="51334CEE">
      <w:pPr>
        <w:widowControl/>
        <w:shd w:val="clear" w:color="auto" w:fill="FFFFFF"/>
        <w:spacing w:line="480" w:lineRule="auto"/>
        <w:ind w:firstLine="420"/>
        <w:rPr>
          <w:rFonts w:ascii="宋体" w:hAnsi="宋体" w:cs="宋体"/>
          <w:bCs/>
          <w:color w:val="auto"/>
          <w:sz w:val="24"/>
          <w:highlight w:val="none"/>
        </w:rPr>
      </w:pPr>
    </w:p>
    <w:p w14:paraId="7D9D20E0">
      <w:pPr>
        <w:widowControl/>
        <w:shd w:val="clear" w:color="auto" w:fill="FFFFFF"/>
        <w:spacing w:line="480" w:lineRule="auto"/>
        <w:ind w:firstLine="420"/>
        <w:rPr>
          <w:rFonts w:ascii="宋体" w:hAnsi="宋体" w:cs="宋体"/>
          <w:bCs/>
          <w:color w:val="auto"/>
          <w:sz w:val="24"/>
          <w:highlight w:val="none"/>
        </w:rPr>
      </w:pPr>
      <w:r>
        <w:rPr>
          <w:rFonts w:hint="eastAsia" w:ascii="宋体" w:hAnsi="宋体" w:cs="宋体"/>
          <w:bCs/>
          <w:color w:val="auto"/>
          <w:sz w:val="24"/>
          <w:highlight w:val="none"/>
        </w:rPr>
        <w:t>我公司承诺</w:t>
      </w:r>
      <w:r>
        <w:rPr>
          <w:rFonts w:hint="eastAsia" w:ascii="宋体" w:hAnsi="宋体"/>
          <w:color w:val="auto"/>
          <w:sz w:val="24"/>
          <w:highlight w:val="none"/>
        </w:rPr>
        <w:t>能开具符合法律要求的增值税专用发票或增值税普通发票</w:t>
      </w:r>
      <w:r>
        <w:rPr>
          <w:rFonts w:hint="eastAsia" w:ascii="宋体" w:hAnsi="宋体" w:cs="宋体"/>
          <w:bCs/>
          <w:color w:val="auto"/>
          <w:sz w:val="24"/>
          <w:highlight w:val="none"/>
        </w:rPr>
        <w:t>，并承诺中标后向招标人开具符合法律要求的增值税专用发票或增值税普通发票。</w:t>
      </w:r>
    </w:p>
    <w:p w14:paraId="14D42914">
      <w:pPr>
        <w:widowControl/>
        <w:shd w:val="clear" w:color="auto" w:fill="FFFFFF"/>
        <w:spacing w:line="480" w:lineRule="auto"/>
        <w:ind w:firstLine="420"/>
        <w:rPr>
          <w:rFonts w:ascii="宋体" w:hAnsi="宋体" w:cs="宋体"/>
          <w:bCs/>
          <w:color w:val="auto"/>
          <w:sz w:val="24"/>
          <w:highlight w:val="none"/>
        </w:rPr>
      </w:pPr>
    </w:p>
    <w:p w14:paraId="0D715639">
      <w:pPr>
        <w:widowControl/>
        <w:shd w:val="clear" w:color="auto" w:fill="FFFFFF"/>
        <w:spacing w:line="480" w:lineRule="auto"/>
        <w:ind w:firstLine="420"/>
        <w:rPr>
          <w:rFonts w:ascii="宋体" w:hAnsi="宋体" w:cs="宋体"/>
          <w:bCs/>
          <w:color w:val="auto"/>
          <w:sz w:val="24"/>
          <w:highlight w:val="none"/>
        </w:rPr>
      </w:pPr>
      <w:r>
        <w:rPr>
          <w:rFonts w:hint="eastAsia" w:ascii="宋体" w:hAnsi="宋体" w:cs="宋体"/>
          <w:bCs/>
          <w:color w:val="auto"/>
          <w:sz w:val="24"/>
          <w:highlight w:val="none"/>
        </w:rPr>
        <w:t>特此承诺。</w:t>
      </w:r>
    </w:p>
    <w:p w14:paraId="48537A7B">
      <w:pPr>
        <w:spacing w:line="480" w:lineRule="auto"/>
        <w:ind w:firstLine="480" w:firstLineChars="200"/>
        <w:rPr>
          <w:rFonts w:ascii="宋体" w:hAnsi="宋体"/>
          <w:color w:val="auto"/>
          <w:sz w:val="24"/>
          <w:szCs w:val="28"/>
          <w:highlight w:val="none"/>
        </w:rPr>
      </w:pPr>
    </w:p>
    <w:p w14:paraId="5471CBA7">
      <w:pPr>
        <w:spacing w:line="480" w:lineRule="auto"/>
        <w:ind w:firstLine="480" w:firstLineChars="200"/>
        <w:rPr>
          <w:rFonts w:ascii="宋体" w:hAnsi="宋体"/>
          <w:color w:val="auto"/>
          <w:sz w:val="24"/>
          <w:szCs w:val="28"/>
          <w:highlight w:val="none"/>
        </w:rPr>
      </w:pPr>
    </w:p>
    <w:p w14:paraId="4828726D">
      <w:pPr>
        <w:spacing w:line="480" w:lineRule="auto"/>
        <w:rPr>
          <w:rFonts w:ascii="宋体" w:hAnsi="宋体"/>
          <w:color w:val="auto"/>
          <w:sz w:val="24"/>
          <w:szCs w:val="28"/>
          <w:highlight w:val="none"/>
        </w:rPr>
      </w:pPr>
    </w:p>
    <w:p w14:paraId="636DDDDA">
      <w:pPr>
        <w:spacing w:line="48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投标人：</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 xml:space="preserve">（投标人公章）                              </w:t>
      </w:r>
    </w:p>
    <w:p w14:paraId="3E76590E">
      <w:pPr>
        <w:spacing w:line="480" w:lineRule="auto"/>
        <w:rPr>
          <w:rFonts w:ascii="宋体" w:hAnsi="宋体"/>
          <w:color w:val="auto"/>
          <w:sz w:val="24"/>
          <w:szCs w:val="28"/>
          <w:highlight w:val="none"/>
        </w:rPr>
      </w:pPr>
      <w:r>
        <w:rPr>
          <w:rFonts w:hint="eastAsia" w:ascii="宋体" w:hAnsi="宋体"/>
          <w:color w:val="auto"/>
          <w:sz w:val="24"/>
          <w:szCs w:val="28"/>
          <w:highlight w:val="none"/>
        </w:rPr>
        <w:t xml:space="preserve">                                            年     月     日</w:t>
      </w:r>
    </w:p>
    <w:p w14:paraId="4CAC6B87">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D34283F">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16D9B050">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2B618575">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EC560D7">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15F7018">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2CA1E4C">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865616C">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3089015D">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0DA8EE22">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1AA2814">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7702D7D8">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5C3E03D6">
      <w:pPr>
        <w:tabs>
          <w:tab w:val="left" w:pos="2360"/>
          <w:tab w:val="left" w:pos="4000"/>
        </w:tabs>
        <w:autoSpaceDE w:val="0"/>
        <w:autoSpaceDN w:val="0"/>
        <w:adjustRightInd w:val="0"/>
        <w:spacing w:before="9" w:line="360" w:lineRule="auto"/>
        <w:ind w:left="120" w:leftChars="57" w:right="-38" w:firstLine="420" w:firstLineChars="200"/>
        <w:jc w:val="left"/>
        <w:rPr>
          <w:rFonts w:ascii="宋体" w:hAnsi="宋体"/>
          <w:color w:val="auto"/>
          <w:szCs w:val="21"/>
          <w:highlight w:val="none"/>
        </w:rPr>
      </w:pPr>
    </w:p>
    <w:p w14:paraId="62A540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3、信誉要求：（1）投标人具有良好的商业信誉和健全的财务会计制度。 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1月1日至投标截止日止在经营活动中没有重大违约、违法记录，没有行政处罚。投标人不得为“信用中国”网站（http://www.creditchina.gov.cn）中列入失信被执行人和重大税收违法失信主体的供应商，不得为“中国政府采购网”（http://www.ccgp.gov.cn）政府采购严重违法失信行为记录名单在被财政部门禁止参加采购活动的供应商。</w:t>
      </w:r>
    </w:p>
    <w:p w14:paraId="034696CF">
      <w:pPr>
        <w:spacing w:line="360" w:lineRule="auto"/>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承诺书</w:t>
      </w:r>
    </w:p>
    <w:p w14:paraId="06275195">
      <w:pPr>
        <w:pStyle w:val="40"/>
        <w:spacing w:line="360" w:lineRule="auto"/>
        <w:rPr>
          <w:color w:val="auto"/>
          <w:highlight w:val="none"/>
        </w:rPr>
      </w:pPr>
      <w:r>
        <w:rPr>
          <w:rFonts w:hint="eastAsia"/>
          <w:color w:val="auto"/>
          <w:highlight w:val="none"/>
        </w:rPr>
        <w:t>致：</w:t>
      </w:r>
      <w:r>
        <w:rPr>
          <w:rFonts w:hint="eastAsia"/>
          <w:color w:val="auto"/>
          <w:highlight w:val="none"/>
          <w:u w:val="single"/>
        </w:rPr>
        <w:t>中国人寿保险股份有限公司重庆市分公司</w:t>
      </w:r>
    </w:p>
    <w:p w14:paraId="155F4E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我司具有良好的商业信誉和健全的财务会计制度。 20</w:t>
      </w:r>
      <w:r>
        <w:rPr>
          <w:rFonts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年1月1日至投标截止日止在经营活动中没有重大违约、违法记录，没有行政处罚。我司非“信用中国”网站（http://www.creditchina.gov.cn）中列入失信被执行人和重大税收违法案件当事人名单的供应商，非“中国政府采购网”（http://www.ccgp.gov.cn）政府采购严重违法失信行为记录名单在被财政部门禁止参加采购活动的供应商。对真实性负责，如提供虚假材料，一经查实，则取消投标资格或中标资格，投标保证金不予退还。</w:t>
      </w:r>
    </w:p>
    <w:p w14:paraId="3889CCFF">
      <w:pPr>
        <w:autoSpaceDE w:val="0"/>
        <w:autoSpaceDN w:val="0"/>
        <w:adjustRightInd w:val="0"/>
        <w:snapToGrid w:val="0"/>
        <w:spacing w:line="360" w:lineRule="auto"/>
        <w:ind w:firstLine="480" w:firstLineChars="200"/>
        <w:rPr>
          <w:rFonts w:ascii="宋体" w:hAnsi="宋体"/>
          <w:color w:val="auto"/>
          <w:sz w:val="24"/>
          <w:highlight w:val="none"/>
        </w:rPr>
      </w:pPr>
    </w:p>
    <w:p w14:paraId="45B515FF">
      <w:pPr>
        <w:autoSpaceDE w:val="0"/>
        <w:autoSpaceDN w:val="0"/>
        <w:adjustRightInd w:val="0"/>
        <w:snapToGrid w:val="0"/>
        <w:spacing w:line="360" w:lineRule="auto"/>
        <w:ind w:firstLine="480" w:firstLineChars="200"/>
        <w:rPr>
          <w:rFonts w:ascii="宋体" w:hAnsi="宋体"/>
          <w:color w:val="auto"/>
          <w:sz w:val="24"/>
          <w:highlight w:val="none"/>
        </w:rPr>
      </w:pPr>
    </w:p>
    <w:p w14:paraId="3D4DA835">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（盖单位公章）</w:t>
      </w:r>
    </w:p>
    <w:p w14:paraId="17C1E15C">
      <w:pPr>
        <w:spacing w:line="360" w:lineRule="auto"/>
        <w:ind w:firstLine="480" w:firstLineChars="200"/>
        <w:jc w:val="right"/>
        <w:rPr>
          <w:color w:val="auto"/>
          <w:sz w:val="24"/>
          <w:highlight w:val="none"/>
        </w:rPr>
      </w:pPr>
    </w:p>
    <w:p w14:paraId="5221453C">
      <w:pPr>
        <w:spacing w:line="360" w:lineRule="auto"/>
        <w:ind w:firstLine="480" w:firstLineChars="200"/>
        <w:jc w:val="center"/>
        <w:rPr>
          <w:color w:val="auto"/>
          <w:sz w:val="24"/>
          <w:highlight w:val="none"/>
        </w:rPr>
      </w:pPr>
      <w:r>
        <w:rPr>
          <w:rFonts w:hint="eastAsia"/>
          <w:color w:val="auto"/>
          <w:sz w:val="24"/>
          <w:highlight w:val="none"/>
        </w:rPr>
        <w:t xml:space="preserve">                    年  月   日</w:t>
      </w:r>
    </w:p>
    <w:p w14:paraId="5BC254AC">
      <w:pPr>
        <w:autoSpaceDE w:val="0"/>
        <w:autoSpaceDN w:val="0"/>
        <w:adjustRightInd w:val="0"/>
        <w:snapToGrid w:val="0"/>
        <w:spacing w:line="360" w:lineRule="auto"/>
        <w:ind w:firstLine="480" w:firstLineChars="200"/>
        <w:rPr>
          <w:rFonts w:ascii="宋体" w:hAnsi="宋体"/>
          <w:color w:val="auto"/>
          <w:sz w:val="24"/>
          <w:highlight w:val="none"/>
        </w:rPr>
      </w:pPr>
    </w:p>
    <w:p w14:paraId="44CF9285">
      <w:pPr>
        <w:autoSpaceDE w:val="0"/>
        <w:autoSpaceDN w:val="0"/>
        <w:adjustRightInd w:val="0"/>
        <w:snapToGrid w:val="0"/>
        <w:spacing w:line="360" w:lineRule="auto"/>
        <w:ind w:firstLine="480" w:firstLineChars="200"/>
        <w:rPr>
          <w:rFonts w:ascii="宋体" w:hAnsi="宋体"/>
          <w:color w:val="auto"/>
          <w:sz w:val="24"/>
          <w:highlight w:val="none"/>
        </w:rPr>
      </w:pPr>
    </w:p>
    <w:p w14:paraId="5E14E9C6">
      <w:pPr>
        <w:spacing w:line="360" w:lineRule="auto"/>
        <w:ind w:firstLine="420" w:firstLineChars="200"/>
        <w:rPr>
          <w:rFonts w:ascii="宋体" w:hAnsi="宋体"/>
          <w:color w:val="auto"/>
          <w:szCs w:val="21"/>
          <w:highlight w:val="none"/>
        </w:rPr>
      </w:pPr>
    </w:p>
    <w:p w14:paraId="6D221D91">
      <w:pPr>
        <w:spacing w:line="360" w:lineRule="auto"/>
        <w:ind w:firstLine="420" w:firstLineChars="200"/>
        <w:rPr>
          <w:rFonts w:ascii="宋体" w:hAnsi="宋体"/>
          <w:color w:val="auto"/>
          <w:szCs w:val="21"/>
          <w:highlight w:val="none"/>
        </w:rPr>
      </w:pPr>
    </w:p>
    <w:p w14:paraId="34AB9363">
      <w:pPr>
        <w:spacing w:line="360" w:lineRule="auto"/>
        <w:ind w:firstLine="420" w:firstLineChars="200"/>
        <w:rPr>
          <w:rFonts w:ascii="宋体" w:hAnsi="宋体"/>
          <w:color w:val="auto"/>
          <w:szCs w:val="21"/>
          <w:highlight w:val="none"/>
        </w:rPr>
      </w:pPr>
    </w:p>
    <w:p w14:paraId="2E463237">
      <w:pPr>
        <w:spacing w:line="360" w:lineRule="auto"/>
        <w:ind w:firstLine="420" w:firstLineChars="200"/>
        <w:rPr>
          <w:rFonts w:ascii="宋体" w:hAnsi="宋体"/>
          <w:color w:val="auto"/>
          <w:szCs w:val="21"/>
          <w:highlight w:val="none"/>
        </w:rPr>
      </w:pPr>
    </w:p>
    <w:p w14:paraId="19CC5A96">
      <w:pPr>
        <w:spacing w:line="360" w:lineRule="auto"/>
        <w:ind w:firstLine="420" w:firstLineChars="200"/>
        <w:rPr>
          <w:rFonts w:ascii="宋体" w:hAnsi="宋体"/>
          <w:color w:val="auto"/>
          <w:szCs w:val="21"/>
          <w:highlight w:val="none"/>
        </w:rPr>
      </w:pPr>
    </w:p>
    <w:p w14:paraId="2A72B4BC">
      <w:pPr>
        <w:spacing w:line="360" w:lineRule="auto"/>
        <w:ind w:firstLine="420" w:firstLineChars="200"/>
        <w:rPr>
          <w:rFonts w:ascii="宋体" w:hAnsi="宋体"/>
          <w:color w:val="auto"/>
          <w:szCs w:val="21"/>
          <w:highlight w:val="none"/>
        </w:rPr>
      </w:pPr>
    </w:p>
    <w:p w14:paraId="79321FA3">
      <w:pPr>
        <w:spacing w:line="360" w:lineRule="auto"/>
        <w:ind w:firstLine="420" w:firstLineChars="200"/>
        <w:rPr>
          <w:rFonts w:ascii="宋体" w:hAnsi="宋体"/>
          <w:color w:val="auto"/>
          <w:szCs w:val="21"/>
          <w:highlight w:val="none"/>
        </w:rPr>
      </w:pPr>
    </w:p>
    <w:p w14:paraId="2D600D36">
      <w:pPr>
        <w:spacing w:line="360" w:lineRule="auto"/>
        <w:ind w:firstLine="420" w:firstLineChars="200"/>
        <w:rPr>
          <w:rFonts w:ascii="宋体" w:hAnsi="宋体"/>
          <w:color w:val="auto"/>
          <w:szCs w:val="21"/>
          <w:highlight w:val="none"/>
        </w:rPr>
      </w:pPr>
    </w:p>
    <w:p w14:paraId="4D6E05DB">
      <w:pPr>
        <w:autoSpaceDE w:val="0"/>
        <w:autoSpaceDN w:val="0"/>
        <w:adjustRightInd w:val="0"/>
        <w:snapToGrid w:val="0"/>
        <w:spacing w:line="360" w:lineRule="auto"/>
        <w:rPr>
          <w:rFonts w:ascii="宋体" w:hAnsi="宋体"/>
          <w:color w:val="auto"/>
          <w:szCs w:val="21"/>
          <w:highlight w:val="none"/>
        </w:rPr>
      </w:pPr>
    </w:p>
    <w:p w14:paraId="6C2977F4">
      <w:pPr>
        <w:pStyle w:val="40"/>
        <w:spacing w:line="360" w:lineRule="atLeast"/>
        <w:ind w:firstLine="315" w:firstLineChars="150"/>
        <w:rPr>
          <w:rFonts w:ascii="宋体" w:hAnsi="宋体"/>
          <w:color w:val="auto"/>
          <w:kern w:val="2"/>
          <w:sz w:val="21"/>
          <w:szCs w:val="21"/>
          <w:highlight w:val="none"/>
        </w:rPr>
      </w:pPr>
      <w:r>
        <w:rPr>
          <w:rFonts w:hint="eastAsia" w:ascii="宋体" w:hAnsi="宋体"/>
          <w:color w:val="auto"/>
          <w:kern w:val="2"/>
          <w:sz w:val="21"/>
          <w:szCs w:val="21"/>
          <w:highlight w:val="none"/>
        </w:rPr>
        <w:t>(2)截止投标截止日，投标人没有对招标项目产生不利影响的正在进行的诉讼（仲裁）案件。</w:t>
      </w:r>
    </w:p>
    <w:p w14:paraId="08218CE5">
      <w:pPr>
        <w:pStyle w:val="40"/>
        <w:spacing w:line="360" w:lineRule="atLeast"/>
        <w:rPr>
          <w:rFonts w:ascii="宋体" w:hAnsi="宋体"/>
          <w:color w:val="auto"/>
          <w:kern w:val="2"/>
          <w:sz w:val="21"/>
          <w:szCs w:val="21"/>
          <w:highlight w:val="none"/>
        </w:rPr>
      </w:pPr>
      <w:r>
        <w:rPr>
          <w:rFonts w:hint="eastAsia" w:ascii="宋体" w:hAnsi="宋体"/>
          <w:color w:val="auto"/>
          <w:kern w:val="2"/>
          <w:sz w:val="21"/>
          <w:szCs w:val="21"/>
          <w:highlight w:val="none"/>
        </w:rPr>
        <w:t>注：投标申请人须提供自行出具的书面承诺，承诺函需加盖投标人单位公章，并对其真实性负责，如提供虚假材料，一经查实，则取消投标资格或中标资格，投标保证金不予退还。</w:t>
      </w:r>
    </w:p>
    <w:p w14:paraId="3952F5B7">
      <w:pPr>
        <w:spacing w:line="360" w:lineRule="auto"/>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承诺函</w:t>
      </w:r>
    </w:p>
    <w:p w14:paraId="31F43CD0">
      <w:pPr>
        <w:pStyle w:val="40"/>
        <w:spacing w:line="360" w:lineRule="auto"/>
        <w:rPr>
          <w:color w:val="auto"/>
          <w:highlight w:val="none"/>
        </w:rPr>
      </w:pPr>
      <w:r>
        <w:rPr>
          <w:rFonts w:hint="eastAsia"/>
          <w:color w:val="auto"/>
          <w:highlight w:val="none"/>
        </w:rPr>
        <w:t>致：</w:t>
      </w:r>
      <w:r>
        <w:rPr>
          <w:rFonts w:hint="eastAsia"/>
          <w:color w:val="auto"/>
          <w:highlight w:val="none"/>
          <w:u w:val="single"/>
        </w:rPr>
        <w:t>中国人寿保险股份有限公司重庆市分公司</w:t>
      </w:r>
    </w:p>
    <w:p w14:paraId="57AC075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截止投标截止日，我司没有对招标项目产生不利影响的正在进行的诉讼（仲裁）案件。并对真实性负责，如提供虚假材料，一经查实，则取消投标资格或中标资格，投标保证金不予退还。</w:t>
      </w:r>
    </w:p>
    <w:p w14:paraId="09929141">
      <w:pPr>
        <w:pStyle w:val="37"/>
        <w:rPr>
          <w:rFonts w:ascii="宋体" w:hAnsi="宋体"/>
          <w:color w:val="auto"/>
          <w:sz w:val="24"/>
          <w:highlight w:val="none"/>
        </w:rPr>
      </w:pPr>
    </w:p>
    <w:p w14:paraId="3163B5DE">
      <w:pPr>
        <w:pStyle w:val="16"/>
        <w:rPr>
          <w:color w:val="auto"/>
          <w:highlight w:val="none"/>
        </w:rPr>
      </w:pPr>
    </w:p>
    <w:p w14:paraId="1E66DC25">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（盖单位公章）</w:t>
      </w:r>
    </w:p>
    <w:p w14:paraId="08F885CC">
      <w:pPr>
        <w:spacing w:line="360" w:lineRule="auto"/>
        <w:ind w:firstLine="480" w:firstLineChars="200"/>
        <w:jc w:val="right"/>
        <w:rPr>
          <w:color w:val="auto"/>
          <w:sz w:val="24"/>
          <w:highlight w:val="none"/>
        </w:rPr>
      </w:pPr>
    </w:p>
    <w:p w14:paraId="7981DC9A">
      <w:pPr>
        <w:spacing w:line="360" w:lineRule="auto"/>
        <w:ind w:firstLine="480" w:firstLineChars="200"/>
        <w:jc w:val="center"/>
        <w:rPr>
          <w:color w:val="auto"/>
          <w:sz w:val="24"/>
          <w:highlight w:val="none"/>
        </w:rPr>
      </w:pPr>
      <w:r>
        <w:rPr>
          <w:rFonts w:hint="eastAsia"/>
          <w:color w:val="auto"/>
          <w:sz w:val="24"/>
          <w:highlight w:val="none"/>
        </w:rPr>
        <w:t xml:space="preserve">                    年  月   日</w:t>
      </w:r>
    </w:p>
    <w:p w14:paraId="2B64179A">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18F3932D">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3501B93F">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5FBFCE28">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584D2AD6">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7008601A">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74649CCD">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6A7B7828">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04CD0816">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1A89A983">
      <w:pPr>
        <w:tabs>
          <w:tab w:val="left" w:pos="2360"/>
          <w:tab w:val="left" w:pos="4000"/>
        </w:tabs>
        <w:autoSpaceDE w:val="0"/>
        <w:autoSpaceDN w:val="0"/>
        <w:adjustRightInd w:val="0"/>
        <w:spacing w:before="9" w:line="480" w:lineRule="auto"/>
        <w:ind w:right="-38"/>
        <w:jc w:val="left"/>
        <w:rPr>
          <w:rFonts w:ascii="宋体" w:hAnsi="宋体"/>
          <w:color w:val="auto"/>
          <w:szCs w:val="21"/>
          <w:highlight w:val="none"/>
        </w:rPr>
      </w:pPr>
    </w:p>
    <w:p w14:paraId="2BC00683">
      <w:pPr>
        <w:autoSpaceDE w:val="0"/>
        <w:autoSpaceDN w:val="0"/>
        <w:adjustRightInd w:val="0"/>
        <w:snapToGrid w:val="0"/>
        <w:spacing w:line="360" w:lineRule="auto"/>
        <w:rPr>
          <w:b/>
          <w:snapToGrid w:val="0"/>
          <w:color w:val="auto"/>
          <w:sz w:val="28"/>
          <w:szCs w:val="28"/>
          <w:highlight w:val="none"/>
        </w:rPr>
      </w:pPr>
    </w:p>
    <w:p w14:paraId="4499C7CA">
      <w:pPr>
        <w:autoSpaceDE w:val="0"/>
        <w:autoSpaceDN w:val="0"/>
        <w:adjustRightInd w:val="0"/>
        <w:snapToGrid w:val="0"/>
        <w:spacing w:line="360" w:lineRule="auto"/>
        <w:rPr>
          <w:b/>
          <w:snapToGrid w:val="0"/>
          <w:color w:val="auto"/>
          <w:sz w:val="28"/>
          <w:szCs w:val="28"/>
          <w:highlight w:val="none"/>
        </w:rPr>
      </w:pPr>
    </w:p>
    <w:p w14:paraId="5CD0A919">
      <w:pPr>
        <w:autoSpaceDE w:val="0"/>
        <w:autoSpaceDN w:val="0"/>
        <w:adjustRightInd w:val="0"/>
        <w:snapToGrid w:val="0"/>
        <w:spacing w:line="360" w:lineRule="auto"/>
        <w:rPr>
          <w:b/>
          <w:snapToGrid w:val="0"/>
          <w:color w:val="auto"/>
          <w:sz w:val="28"/>
          <w:szCs w:val="28"/>
          <w:highlight w:val="none"/>
        </w:rPr>
      </w:pPr>
    </w:p>
    <w:p w14:paraId="43693E59">
      <w:pPr>
        <w:autoSpaceDE w:val="0"/>
        <w:autoSpaceDN w:val="0"/>
        <w:adjustRightInd w:val="0"/>
        <w:snapToGrid w:val="0"/>
        <w:spacing w:line="360" w:lineRule="auto"/>
        <w:rPr>
          <w:b/>
          <w:snapToGrid w:val="0"/>
          <w:color w:val="auto"/>
          <w:sz w:val="28"/>
          <w:szCs w:val="28"/>
          <w:highlight w:val="none"/>
        </w:rPr>
      </w:pPr>
    </w:p>
    <w:p w14:paraId="3F9FD1CB">
      <w:pPr>
        <w:spacing w:line="560" w:lineRule="exact"/>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w:t>
      </w:r>
      <w:r>
        <w:rPr>
          <w:rFonts w:hint="eastAsia" w:ascii="宋体" w:hAnsi="宋体"/>
          <w:color w:val="auto"/>
          <w:sz w:val="24"/>
          <w:highlight w:val="none"/>
        </w:rPr>
        <w:t>投标人</w:t>
      </w:r>
      <w:r>
        <w:rPr>
          <w:rFonts w:hint="eastAsia" w:ascii="宋体" w:hAnsi="宋体" w:cs="宋体"/>
          <w:color w:val="auto"/>
          <w:sz w:val="24"/>
          <w:highlight w:val="none"/>
        </w:rPr>
        <w:t>申明书</w:t>
      </w:r>
      <w:r>
        <w:rPr>
          <w:rFonts w:hint="eastAsia" w:ascii="宋体" w:hAnsi="宋体" w:cs="宋体"/>
          <w:bCs/>
          <w:color w:val="auto"/>
          <w:sz w:val="22"/>
          <w:szCs w:val="22"/>
          <w:highlight w:val="none"/>
        </w:rPr>
        <w:t>：</w:t>
      </w:r>
    </w:p>
    <w:p w14:paraId="2F50B48D">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《投标人声明书》</w:t>
      </w:r>
    </w:p>
    <w:p w14:paraId="2CEA27B3">
      <w:pPr>
        <w:widowControl/>
        <w:shd w:val="clear" w:color="auto" w:fill="FDFDFE"/>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为维护双方良好的合作关系，促进商业活动的健康发展，我方特向中国人寿</w:t>
      </w:r>
      <w:r>
        <w:rPr>
          <w:rFonts w:hint="eastAsia" w:ascii="宋体" w:hAnsi="宋体" w:cs="宋体"/>
          <w:color w:val="auto"/>
          <w:sz w:val="22"/>
          <w:szCs w:val="22"/>
          <w:highlight w:val="none"/>
        </w:rPr>
        <w:t>保险股份有限公司重庆市分公司</w:t>
      </w:r>
      <w:r>
        <w:rPr>
          <w:rFonts w:hint="eastAsia" w:ascii="宋体" w:hAnsi="宋体" w:cs="宋体"/>
          <w:color w:val="auto"/>
          <w:kern w:val="0"/>
          <w:sz w:val="22"/>
          <w:szCs w:val="22"/>
          <w:highlight w:val="none"/>
        </w:rPr>
        <w:t>承诺如下：</w:t>
      </w:r>
    </w:p>
    <w:p w14:paraId="537BE6D0">
      <w:pPr>
        <w:pStyle w:val="97"/>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一、我方承诺严格遵守《中华人民共和国环境保护法》等环境保护法律法规，携手共推绿色生态发展。</w:t>
      </w:r>
    </w:p>
    <w:p w14:paraId="040FCDE5">
      <w:pPr>
        <w:pStyle w:val="97"/>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二、我方承诺严格遵守《中华人民共和国劳动法》，保障员工合法权益。</w:t>
      </w:r>
    </w:p>
    <w:p w14:paraId="5DEB03FE">
      <w:pPr>
        <w:pStyle w:val="97"/>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三、我方承诺严格遵守《中华人民共和国数据安全法》《中华人民共和国个人信息保护法》，落实贵公司数据采集、传输、存储、处理、交换、销毁等环节的信息安全管控措施，提升信息安全管理能力。</w:t>
      </w:r>
    </w:p>
    <w:p w14:paraId="3642DFFA">
      <w:pPr>
        <w:pStyle w:val="97"/>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四、我方承诺严格遵守《中华人民共和国反垄断法》等与反贪污、反腐败、反垄断相关的法律法规，反对任何形式的贪污、腐败和勒索，维护公平竞争的商业环境。</w:t>
      </w:r>
    </w:p>
    <w:p w14:paraId="4B16CAC2">
      <w:pPr>
        <w:pStyle w:val="97"/>
        <w:widowControl/>
        <w:shd w:val="clear" w:color="auto" w:fill="FDFDFE"/>
        <w:spacing w:line="360" w:lineRule="auto"/>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将严格遵守国家法律法规和商业道德规范，加强员工廉洁教育，不进行任何形式的商业贿赂等不正当行为，不向贵公司实施影响职务廉洁性的宴请、旅游、健身、娱乐等活动安排，或赠送礼品、礼金、有价证券等。</w:t>
      </w:r>
    </w:p>
    <w:p w14:paraId="25EC2D1D">
      <w:pPr>
        <w:pStyle w:val="97"/>
        <w:widowControl/>
        <w:shd w:val="clear" w:color="auto" w:fill="FDFDFE"/>
        <w:spacing w:line="360" w:lineRule="auto"/>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我方将确保与贵公司的商业活动合法合规，积极配合</w:t>
      </w:r>
      <w:r>
        <w:rPr>
          <w:rFonts w:hint="eastAsia" w:ascii="宋体" w:hAnsi="宋体" w:cs="宋体"/>
          <w:color w:val="auto"/>
          <w:sz w:val="22"/>
          <w:szCs w:val="22"/>
          <w:highlight w:val="none"/>
        </w:rPr>
        <w:t>贵公司</w:t>
      </w:r>
      <w:r>
        <w:rPr>
          <w:rFonts w:hint="eastAsia" w:ascii="宋体" w:hAnsi="宋体" w:cs="宋体"/>
          <w:color w:val="auto"/>
          <w:kern w:val="0"/>
          <w:sz w:val="22"/>
          <w:szCs w:val="22"/>
          <w:highlight w:val="none"/>
        </w:rPr>
        <w:t>开展反贪腐工作，必要时接受与中标项目相关的监督和调查。</w:t>
      </w:r>
    </w:p>
    <w:p w14:paraId="43A017BB">
      <w:pPr>
        <w:pStyle w:val="97"/>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五、我方承诺积极参与贵公司组织开展的面向供应商的商业道德标准、信息安全与隐私保护宣导培训。</w:t>
      </w:r>
    </w:p>
    <w:p w14:paraId="5B96E05F">
      <w:pPr>
        <w:widowControl/>
        <w:shd w:val="clear" w:color="auto" w:fill="FDFDFE"/>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我方深知廉洁自律是商业合作的基石，也是企业长远发展的保障。我方将始终坚守诚信经营的原则，与</w:t>
      </w:r>
      <w:r>
        <w:rPr>
          <w:rFonts w:hint="eastAsia" w:ascii="宋体" w:hAnsi="宋体" w:cs="宋体"/>
          <w:color w:val="auto"/>
          <w:sz w:val="22"/>
          <w:szCs w:val="22"/>
          <w:highlight w:val="none"/>
        </w:rPr>
        <w:t>贵公司</w:t>
      </w:r>
      <w:r>
        <w:rPr>
          <w:rFonts w:hint="eastAsia" w:ascii="宋体" w:hAnsi="宋体" w:cs="宋体"/>
          <w:color w:val="auto"/>
          <w:kern w:val="0"/>
          <w:sz w:val="22"/>
          <w:szCs w:val="22"/>
          <w:highlight w:val="none"/>
        </w:rPr>
        <w:t>共同营造一个清正廉洁、公平公正的商业环境。</w:t>
      </w:r>
    </w:p>
    <w:p w14:paraId="5B2ED5AE">
      <w:pPr>
        <w:widowControl/>
        <w:shd w:val="clear" w:color="auto" w:fill="FDFDFE"/>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E1DA9C0">
      <w:pPr>
        <w:widowControl/>
        <w:shd w:val="clear" w:color="auto" w:fill="FDFDFE"/>
        <w:spacing w:line="360" w:lineRule="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（以下无正文，为签字页）</w:t>
      </w:r>
    </w:p>
    <w:p w14:paraId="778EC480">
      <w:pPr>
        <w:widowControl/>
        <w:shd w:val="clear" w:color="auto" w:fill="FDFDFE"/>
        <w:spacing w:line="360" w:lineRule="auto"/>
        <w:ind w:right="42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投标人名称：</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法定代表人或授权代表签字</w:t>
      </w:r>
    </w:p>
    <w:p w14:paraId="5809FECC">
      <w:pPr>
        <w:widowControl/>
        <w:shd w:val="clear" w:color="auto" w:fill="FDFDFE"/>
        <w:spacing w:line="360" w:lineRule="auto"/>
        <w:ind w:right="42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（如为授权代表签字须同时附授权委托书）：</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盖章：</w:t>
      </w:r>
    </w:p>
    <w:p w14:paraId="2198FB7C">
      <w:pPr>
        <w:widowControl/>
        <w:shd w:val="clear" w:color="auto" w:fill="FDFDFE"/>
        <w:spacing w:line="360" w:lineRule="auto"/>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日期：____年____月____日</w:t>
      </w:r>
    </w:p>
    <w:p w14:paraId="3AFEA185">
      <w:pPr>
        <w:autoSpaceDE w:val="0"/>
        <w:autoSpaceDN w:val="0"/>
        <w:adjustRightInd w:val="0"/>
        <w:snapToGrid w:val="0"/>
        <w:spacing w:line="360" w:lineRule="auto"/>
        <w:rPr>
          <w:b/>
          <w:snapToGrid w:val="0"/>
          <w:color w:val="auto"/>
          <w:sz w:val="28"/>
          <w:szCs w:val="28"/>
          <w:highlight w:val="none"/>
        </w:rPr>
      </w:pPr>
    </w:p>
    <w:p w14:paraId="4EEA101F">
      <w:pPr>
        <w:autoSpaceDE w:val="0"/>
        <w:autoSpaceDN w:val="0"/>
        <w:adjustRightInd w:val="0"/>
        <w:snapToGrid w:val="0"/>
        <w:spacing w:line="360" w:lineRule="auto"/>
        <w:rPr>
          <w:b/>
          <w:snapToGrid w:val="0"/>
          <w:color w:val="auto"/>
          <w:sz w:val="28"/>
          <w:szCs w:val="28"/>
          <w:highlight w:val="none"/>
        </w:rPr>
      </w:pPr>
    </w:p>
    <w:p w14:paraId="6D3BF37D">
      <w:pPr>
        <w:autoSpaceDE w:val="0"/>
        <w:autoSpaceDN w:val="0"/>
        <w:adjustRightInd w:val="0"/>
        <w:snapToGrid w:val="0"/>
        <w:spacing w:line="360" w:lineRule="auto"/>
        <w:rPr>
          <w:b/>
          <w:snapToGrid w:val="0"/>
          <w:color w:val="auto"/>
          <w:sz w:val="28"/>
          <w:szCs w:val="28"/>
          <w:highlight w:val="none"/>
        </w:rPr>
      </w:pPr>
    </w:p>
    <w:p w14:paraId="6A032040">
      <w:pPr>
        <w:spacing w:line="560" w:lineRule="exact"/>
        <w:rPr>
          <w:rFonts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w:t>
      </w:r>
      <w:r>
        <w:rPr>
          <w:rFonts w:hint="eastAsia" w:ascii="宋体" w:hAnsi="宋体"/>
          <w:color w:val="auto"/>
          <w:sz w:val="24"/>
          <w:highlight w:val="none"/>
        </w:rPr>
        <w:t>投标人参与采购活动承诺书</w:t>
      </w:r>
      <w:r>
        <w:rPr>
          <w:rFonts w:hint="eastAsia" w:ascii="宋体" w:hAnsi="宋体" w:cs="宋体"/>
          <w:bCs/>
          <w:color w:val="auto"/>
          <w:sz w:val="22"/>
          <w:szCs w:val="22"/>
          <w:highlight w:val="none"/>
        </w:rPr>
        <w:t>：</w:t>
      </w:r>
    </w:p>
    <w:p w14:paraId="4A272785">
      <w:pPr>
        <w:autoSpaceDE w:val="0"/>
        <w:autoSpaceDN w:val="0"/>
        <w:adjustRightInd w:val="0"/>
        <w:snapToGrid w:val="0"/>
        <w:spacing w:line="360" w:lineRule="auto"/>
        <w:rPr>
          <w:b/>
          <w:snapToGrid w:val="0"/>
          <w:color w:val="auto"/>
          <w:sz w:val="28"/>
          <w:szCs w:val="28"/>
          <w:highlight w:val="none"/>
        </w:rPr>
      </w:pPr>
    </w:p>
    <w:p w14:paraId="7BF6F91C">
      <w:pPr>
        <w:autoSpaceDE w:val="0"/>
        <w:autoSpaceDN w:val="0"/>
        <w:adjustRightInd w:val="0"/>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《投标人参与采购活动承诺书》</w:t>
      </w:r>
    </w:p>
    <w:p w14:paraId="66B61702">
      <w:pPr>
        <w:spacing w:line="360" w:lineRule="auto"/>
        <w:ind w:firstLine="420" w:firstLineChars="200"/>
        <w:rPr>
          <w:color w:val="auto"/>
          <w:szCs w:val="21"/>
          <w:highlight w:val="none"/>
        </w:rPr>
      </w:pPr>
      <w:r>
        <w:rPr>
          <w:rFonts w:hint="eastAsia"/>
          <w:color w:val="auto"/>
          <w:szCs w:val="21"/>
          <w:highlight w:val="none"/>
        </w:rPr>
        <w:t>中国人寿保险股份有限公司：</w:t>
      </w:r>
    </w:p>
    <w:p w14:paraId="6A18308D">
      <w:pPr>
        <w:spacing w:line="360" w:lineRule="auto"/>
        <w:ind w:firstLine="420" w:firstLineChars="200"/>
        <w:rPr>
          <w:color w:val="auto"/>
          <w:szCs w:val="21"/>
          <w:highlight w:val="none"/>
        </w:rPr>
      </w:pPr>
      <w:r>
        <w:rPr>
          <w:rFonts w:hint="eastAsia"/>
          <w:color w:val="auto"/>
          <w:szCs w:val="21"/>
          <w:highlight w:val="none"/>
        </w:rPr>
        <w:t>我方将严格遵守相关法律法规及有关规定，若有下列情形之一的，我方无条件接受贵方单方无条件取消我方中标资格或终止与我方的项目合同，并接受贵方对我方做出的限期改正、限期或永久被禁止参与贵方组织的集中采购活动的决定，且我方愿意承担相应的法律责任：</w:t>
      </w:r>
    </w:p>
    <w:p w14:paraId="20EA48A3">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 在准入报名及参与采购项目过程中提供材料不真实或无效的； </w:t>
      </w:r>
    </w:p>
    <w:p w14:paraId="39EE045A">
      <w:pPr>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2) 在参与采购活动中，采取不正当手段诋毁、排挤其他供应商的，给予采购人或者采购工作组成员财物以及非财产性利益，采用围标、串标、串通、行贿等不正当手段谋取中标、成交的；</w:t>
      </w:r>
    </w:p>
    <w:p w14:paraId="7591DE22">
      <w:pPr>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3）</w:t>
      </w:r>
      <w:bookmarkStart w:id="782" w:name="_Hlk165196059"/>
      <w:r>
        <w:rPr>
          <w:rFonts w:hint="eastAsia" w:ascii="宋体" w:hAnsi="宋体"/>
          <w:b/>
          <w:color w:val="auto"/>
          <w:kern w:val="0"/>
          <w:szCs w:val="21"/>
          <w:highlight w:val="none"/>
        </w:rPr>
        <w:t>在参与采购活动中，不遵守贵方有关信息安全保密条例，导致贵方商业和技术等秘密泄露的；</w:t>
      </w:r>
      <w:bookmarkEnd w:id="782"/>
    </w:p>
    <w:p w14:paraId="77364C33">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 在投标文件有效期内擅自撤销投标文件的；</w:t>
      </w:r>
    </w:p>
    <w:p w14:paraId="6197FC7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 在开标、评审现场，不遵守现场纪律，影响采购活动进行的；</w:t>
      </w:r>
    </w:p>
    <w:p w14:paraId="7B26B9A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rPr>
        <w:t xml:space="preserve">) 合同谈判时不能有效兑现投标文件承诺的；中标后拒绝与贵方签订合同的； </w:t>
      </w:r>
    </w:p>
    <w:p w14:paraId="23CB838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 在无举证的情况下，质疑、投诉其他供应商的；</w:t>
      </w:r>
    </w:p>
    <w:p w14:paraId="777B6468">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8</w:t>
      </w:r>
      <w:r>
        <w:rPr>
          <w:rFonts w:hint="eastAsia" w:ascii="宋体" w:hAnsi="宋体"/>
          <w:color w:val="auto"/>
          <w:szCs w:val="21"/>
          <w:highlight w:val="none"/>
        </w:rPr>
        <w:t>）在贵方处理质疑过程中陈述虚假情况或提供虚假材料的；</w:t>
      </w:r>
    </w:p>
    <w:p w14:paraId="67A79E1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rPr>
        <w:t>) 在采购或合同谈判过程中，未如实反映经营状况重大变化、重大合同纠纷或诉讼、信用等级和资质变化等可能影响履约能力的重大事项的，或因重大不良行为受到行政处罚或者司法处理的。</w:t>
      </w:r>
    </w:p>
    <w:p w14:paraId="75D733CB">
      <w:pPr>
        <w:rPr>
          <w:color w:val="auto"/>
          <w:highlight w:val="none"/>
        </w:rPr>
      </w:pPr>
    </w:p>
    <w:p w14:paraId="09FBA813">
      <w:pPr>
        <w:rPr>
          <w:color w:val="auto"/>
          <w:highlight w:val="none"/>
        </w:rPr>
      </w:pPr>
    </w:p>
    <w:p w14:paraId="054C4B46">
      <w:pPr>
        <w:rPr>
          <w:color w:val="auto"/>
          <w:highlight w:val="none"/>
        </w:rPr>
      </w:pPr>
    </w:p>
    <w:p w14:paraId="2D3F4B6B">
      <w:pPr>
        <w:rPr>
          <w:color w:val="auto"/>
          <w:highlight w:val="none"/>
        </w:rPr>
      </w:pPr>
    </w:p>
    <w:p w14:paraId="693E0AF8">
      <w:pPr>
        <w:tabs>
          <w:tab w:val="left" w:pos="1200"/>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投标人(公章)：</w:t>
      </w:r>
    </w:p>
    <w:p w14:paraId="61CA906A">
      <w:pPr>
        <w:tabs>
          <w:tab w:val="left" w:pos="1200"/>
        </w:tabs>
        <w:spacing w:line="360" w:lineRule="auto"/>
        <w:rPr>
          <w:rFonts w:ascii="宋体" w:hAnsi="宋体"/>
          <w:color w:val="auto"/>
          <w:szCs w:val="21"/>
          <w:highlight w:val="none"/>
        </w:rPr>
      </w:pPr>
    </w:p>
    <w:p w14:paraId="691AA3C1">
      <w:pPr>
        <w:tabs>
          <w:tab w:val="left" w:pos="1200"/>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投标人代表(签字或人名章)：</w:t>
      </w:r>
    </w:p>
    <w:p w14:paraId="3E6BEDE3">
      <w:pPr>
        <w:tabs>
          <w:tab w:val="left" w:pos="1200"/>
        </w:tabs>
        <w:spacing w:line="360" w:lineRule="auto"/>
        <w:rPr>
          <w:rFonts w:ascii="宋体" w:hAnsi="宋体"/>
          <w:color w:val="auto"/>
          <w:szCs w:val="21"/>
          <w:highlight w:val="none"/>
        </w:rPr>
      </w:pPr>
    </w:p>
    <w:p w14:paraId="6AFFDD6E">
      <w:pPr>
        <w:tabs>
          <w:tab w:val="left" w:pos="1200"/>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日　期：</w:t>
      </w:r>
    </w:p>
    <w:p w14:paraId="0362CF0B">
      <w:pPr>
        <w:pStyle w:val="164"/>
        <w:spacing w:line="360" w:lineRule="auto"/>
        <w:ind w:left="851"/>
        <w:rPr>
          <w:color w:val="auto"/>
          <w:highlight w:val="none"/>
        </w:rPr>
      </w:pPr>
    </w:p>
    <w:p w14:paraId="2D3659BF">
      <w:pPr>
        <w:autoSpaceDE w:val="0"/>
        <w:autoSpaceDN w:val="0"/>
        <w:adjustRightInd w:val="0"/>
        <w:snapToGrid w:val="0"/>
        <w:spacing w:line="360" w:lineRule="auto"/>
        <w:rPr>
          <w:b/>
          <w:snapToGrid w:val="0"/>
          <w:color w:val="auto"/>
          <w:sz w:val="28"/>
          <w:szCs w:val="28"/>
          <w:highlight w:val="none"/>
        </w:rPr>
      </w:pPr>
    </w:p>
    <w:p w14:paraId="741F1390">
      <w:pPr>
        <w:autoSpaceDE w:val="0"/>
        <w:autoSpaceDN w:val="0"/>
        <w:adjustRightInd w:val="0"/>
        <w:snapToGrid w:val="0"/>
        <w:spacing w:line="360" w:lineRule="auto"/>
        <w:rPr>
          <w:b/>
          <w:snapToGrid w:val="0"/>
          <w:color w:val="auto"/>
          <w:sz w:val="28"/>
          <w:szCs w:val="28"/>
          <w:highlight w:val="none"/>
        </w:rPr>
      </w:pPr>
    </w:p>
    <w:p w14:paraId="1E832D2D">
      <w:pPr>
        <w:autoSpaceDE w:val="0"/>
        <w:autoSpaceDN w:val="0"/>
        <w:adjustRightInd w:val="0"/>
        <w:snapToGrid w:val="0"/>
        <w:spacing w:line="360" w:lineRule="auto"/>
        <w:rPr>
          <w:b/>
          <w:snapToGrid w:val="0"/>
          <w:color w:val="auto"/>
          <w:sz w:val="28"/>
          <w:szCs w:val="28"/>
          <w:highlight w:val="none"/>
        </w:rPr>
      </w:pPr>
    </w:p>
    <w:p w14:paraId="3E2C8E66">
      <w:pPr>
        <w:autoSpaceDE w:val="0"/>
        <w:autoSpaceDN w:val="0"/>
        <w:adjustRightInd w:val="0"/>
        <w:snapToGrid w:val="0"/>
        <w:spacing w:line="360" w:lineRule="auto"/>
        <w:rPr>
          <w:b/>
          <w:snapToGrid w:val="0"/>
          <w:color w:val="auto"/>
          <w:sz w:val="28"/>
          <w:szCs w:val="28"/>
          <w:highlight w:val="none"/>
        </w:rPr>
      </w:pPr>
    </w:p>
    <w:p w14:paraId="7E6D08FC">
      <w:pPr>
        <w:autoSpaceDE w:val="0"/>
        <w:autoSpaceDN w:val="0"/>
        <w:adjustRightInd w:val="0"/>
        <w:snapToGrid w:val="0"/>
        <w:spacing w:line="360" w:lineRule="auto"/>
        <w:jc w:val="center"/>
        <w:rPr>
          <w:b/>
          <w:snapToGrid w:val="0"/>
          <w:color w:val="auto"/>
          <w:sz w:val="28"/>
          <w:szCs w:val="28"/>
          <w:highlight w:val="none"/>
        </w:rPr>
      </w:pPr>
      <w:r>
        <w:rPr>
          <w:rFonts w:hint="eastAsia"/>
          <w:b/>
          <w:snapToGrid w:val="0"/>
          <w:color w:val="auto"/>
          <w:sz w:val="28"/>
          <w:szCs w:val="28"/>
          <w:highlight w:val="none"/>
        </w:rPr>
        <w:t>（四）投标人应提供的商务评审证明资料</w:t>
      </w:r>
    </w:p>
    <w:p w14:paraId="3D03BB31">
      <w:pPr>
        <w:autoSpaceDE w:val="0"/>
        <w:autoSpaceDN w:val="0"/>
        <w:adjustRightInd w:val="0"/>
        <w:snapToGrid w:val="0"/>
        <w:spacing w:line="360" w:lineRule="auto"/>
        <w:jc w:val="center"/>
        <w:rPr>
          <w:rFonts w:ascii="宋体" w:hAnsi="宋体"/>
          <w:color w:val="auto"/>
          <w:szCs w:val="20"/>
          <w:highlight w:val="none"/>
        </w:rPr>
      </w:pPr>
      <w:r>
        <w:rPr>
          <w:rFonts w:hint="eastAsia" w:ascii="宋体" w:hAnsi="宋体"/>
          <w:color w:val="auto"/>
          <w:szCs w:val="20"/>
          <w:highlight w:val="none"/>
        </w:rPr>
        <w:t>注：投标人须按照商务部分评分标准提供相应资料，格式自拟。</w:t>
      </w:r>
    </w:p>
    <w:p w14:paraId="5E4C8461">
      <w:pPr>
        <w:autoSpaceDE w:val="0"/>
        <w:autoSpaceDN w:val="0"/>
        <w:adjustRightInd w:val="0"/>
        <w:snapToGrid w:val="0"/>
        <w:spacing w:line="360" w:lineRule="auto"/>
        <w:jc w:val="left"/>
        <w:rPr>
          <w:rFonts w:ascii="宋体" w:hAnsi="宋体" w:cs="Arial"/>
          <w:color w:val="auto"/>
          <w:kern w:val="0"/>
          <w:sz w:val="24"/>
          <w:highlight w:val="none"/>
        </w:rPr>
      </w:pPr>
    </w:p>
    <w:p w14:paraId="2F232E0B">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标包一酒店服务供应商商务部分评分资料：</w:t>
      </w:r>
    </w:p>
    <w:p w14:paraId="1C0C9398">
      <w:pPr>
        <w:autoSpaceDE w:val="0"/>
        <w:autoSpaceDN w:val="0"/>
        <w:adjustRightInd w:val="0"/>
        <w:snapToGrid w:val="0"/>
        <w:spacing w:line="360" w:lineRule="auto"/>
        <w:jc w:val="left"/>
        <w:rPr>
          <w:rFonts w:ascii="宋体" w:hAnsi="宋体" w:cs="Arial"/>
          <w:color w:val="auto"/>
          <w:kern w:val="0"/>
          <w:sz w:val="24"/>
          <w:highlight w:val="none"/>
        </w:rPr>
      </w:pPr>
    </w:p>
    <w:p w14:paraId="07919704">
      <w:pPr>
        <w:autoSpaceDE w:val="0"/>
        <w:autoSpaceDN w:val="0"/>
        <w:adjustRightInd w:val="0"/>
        <w:snapToGrid w:val="0"/>
        <w:spacing w:line="360" w:lineRule="auto"/>
        <w:jc w:val="left"/>
        <w:rPr>
          <w:rFonts w:ascii="宋体" w:hAnsi="宋体" w:cs="Arial"/>
          <w:color w:val="auto"/>
          <w:kern w:val="0"/>
          <w:sz w:val="24"/>
          <w:highlight w:val="none"/>
        </w:rPr>
      </w:pPr>
    </w:p>
    <w:p w14:paraId="45B026CC">
      <w:pPr>
        <w:autoSpaceDE w:val="0"/>
        <w:autoSpaceDN w:val="0"/>
        <w:adjustRightInd w:val="0"/>
        <w:snapToGrid w:val="0"/>
        <w:spacing w:line="360" w:lineRule="auto"/>
        <w:jc w:val="left"/>
        <w:rPr>
          <w:rFonts w:ascii="宋体" w:hAnsi="宋体" w:cs="Arial"/>
          <w:color w:val="auto"/>
          <w:kern w:val="0"/>
          <w:sz w:val="24"/>
          <w:highlight w:val="none"/>
        </w:rPr>
      </w:pPr>
    </w:p>
    <w:p w14:paraId="683E7E43">
      <w:pPr>
        <w:autoSpaceDE w:val="0"/>
        <w:autoSpaceDN w:val="0"/>
        <w:adjustRightInd w:val="0"/>
        <w:snapToGrid w:val="0"/>
        <w:spacing w:line="360" w:lineRule="auto"/>
        <w:jc w:val="left"/>
        <w:rPr>
          <w:rFonts w:ascii="宋体" w:hAnsi="宋体" w:cs="Arial"/>
          <w:color w:val="auto"/>
          <w:kern w:val="0"/>
          <w:sz w:val="24"/>
          <w:highlight w:val="none"/>
        </w:rPr>
      </w:pPr>
    </w:p>
    <w:p w14:paraId="7566930E">
      <w:pPr>
        <w:autoSpaceDE w:val="0"/>
        <w:autoSpaceDN w:val="0"/>
        <w:adjustRightInd w:val="0"/>
        <w:snapToGrid w:val="0"/>
        <w:spacing w:line="360" w:lineRule="auto"/>
        <w:jc w:val="left"/>
        <w:rPr>
          <w:rFonts w:ascii="宋体" w:hAnsi="宋体" w:cs="Arial"/>
          <w:color w:val="auto"/>
          <w:kern w:val="0"/>
          <w:sz w:val="24"/>
          <w:highlight w:val="none"/>
        </w:rPr>
      </w:pPr>
    </w:p>
    <w:p w14:paraId="6C9F12D2">
      <w:pPr>
        <w:autoSpaceDE w:val="0"/>
        <w:autoSpaceDN w:val="0"/>
        <w:adjustRightInd w:val="0"/>
        <w:snapToGrid w:val="0"/>
        <w:spacing w:line="360" w:lineRule="auto"/>
        <w:jc w:val="left"/>
        <w:rPr>
          <w:rFonts w:ascii="宋体" w:hAnsi="宋体" w:cs="Arial"/>
          <w:color w:val="auto"/>
          <w:kern w:val="0"/>
          <w:sz w:val="24"/>
          <w:highlight w:val="none"/>
        </w:rPr>
      </w:pPr>
    </w:p>
    <w:p w14:paraId="43072F28">
      <w:pPr>
        <w:autoSpaceDE w:val="0"/>
        <w:autoSpaceDN w:val="0"/>
        <w:adjustRightInd w:val="0"/>
        <w:snapToGrid w:val="0"/>
        <w:spacing w:line="360" w:lineRule="auto"/>
        <w:jc w:val="left"/>
        <w:rPr>
          <w:rFonts w:ascii="宋体" w:hAnsi="宋体" w:cs="Arial"/>
          <w:color w:val="auto"/>
          <w:kern w:val="0"/>
          <w:sz w:val="24"/>
          <w:highlight w:val="none"/>
        </w:rPr>
      </w:pPr>
    </w:p>
    <w:p w14:paraId="07DFE4F9">
      <w:pPr>
        <w:autoSpaceDE w:val="0"/>
        <w:autoSpaceDN w:val="0"/>
        <w:adjustRightInd w:val="0"/>
        <w:snapToGrid w:val="0"/>
        <w:spacing w:line="360" w:lineRule="auto"/>
        <w:jc w:val="left"/>
        <w:rPr>
          <w:rFonts w:ascii="宋体" w:hAnsi="宋体" w:cs="Arial"/>
          <w:color w:val="auto"/>
          <w:kern w:val="0"/>
          <w:sz w:val="24"/>
          <w:highlight w:val="none"/>
        </w:rPr>
      </w:pPr>
    </w:p>
    <w:p w14:paraId="20641EBD">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标包二会展服务供应商商务部分评分资料：</w:t>
      </w:r>
    </w:p>
    <w:p w14:paraId="5524DDE0">
      <w:pPr>
        <w:autoSpaceDE w:val="0"/>
        <w:autoSpaceDN w:val="0"/>
        <w:adjustRightInd w:val="0"/>
        <w:snapToGrid w:val="0"/>
        <w:spacing w:line="360" w:lineRule="auto"/>
        <w:jc w:val="left"/>
        <w:rPr>
          <w:rFonts w:ascii="宋体" w:hAnsi="宋体" w:cs="Arial"/>
          <w:color w:val="auto"/>
          <w:kern w:val="0"/>
          <w:sz w:val="24"/>
          <w:highlight w:val="none"/>
        </w:rPr>
      </w:pPr>
    </w:p>
    <w:p w14:paraId="738272B9">
      <w:pPr>
        <w:autoSpaceDE w:val="0"/>
        <w:autoSpaceDN w:val="0"/>
        <w:adjustRightInd w:val="0"/>
        <w:snapToGrid w:val="0"/>
        <w:spacing w:line="360" w:lineRule="auto"/>
        <w:jc w:val="left"/>
        <w:rPr>
          <w:rFonts w:ascii="宋体" w:hAnsi="宋体" w:cs="Arial"/>
          <w:color w:val="auto"/>
          <w:kern w:val="0"/>
          <w:sz w:val="24"/>
          <w:highlight w:val="none"/>
        </w:rPr>
      </w:pPr>
    </w:p>
    <w:p w14:paraId="779EB31D">
      <w:pPr>
        <w:autoSpaceDE w:val="0"/>
        <w:autoSpaceDN w:val="0"/>
        <w:adjustRightInd w:val="0"/>
        <w:snapToGrid w:val="0"/>
        <w:spacing w:line="360" w:lineRule="auto"/>
        <w:jc w:val="left"/>
        <w:rPr>
          <w:rFonts w:ascii="宋体" w:hAnsi="宋体" w:cs="Arial"/>
          <w:color w:val="auto"/>
          <w:kern w:val="0"/>
          <w:sz w:val="24"/>
          <w:highlight w:val="none"/>
        </w:rPr>
      </w:pPr>
    </w:p>
    <w:p w14:paraId="1E74F40A">
      <w:pPr>
        <w:autoSpaceDE w:val="0"/>
        <w:autoSpaceDN w:val="0"/>
        <w:adjustRightInd w:val="0"/>
        <w:snapToGrid w:val="0"/>
        <w:spacing w:line="360" w:lineRule="auto"/>
        <w:jc w:val="left"/>
        <w:rPr>
          <w:rFonts w:ascii="宋体" w:hAnsi="宋体" w:cs="Arial"/>
          <w:color w:val="auto"/>
          <w:kern w:val="0"/>
          <w:sz w:val="24"/>
          <w:highlight w:val="none"/>
        </w:rPr>
      </w:pPr>
    </w:p>
    <w:p w14:paraId="08FC305C">
      <w:pPr>
        <w:autoSpaceDE w:val="0"/>
        <w:autoSpaceDN w:val="0"/>
        <w:adjustRightInd w:val="0"/>
        <w:snapToGrid w:val="0"/>
        <w:spacing w:line="360" w:lineRule="auto"/>
        <w:jc w:val="left"/>
        <w:rPr>
          <w:rFonts w:ascii="宋体" w:hAnsi="宋体" w:cs="Arial"/>
          <w:color w:val="auto"/>
          <w:kern w:val="0"/>
          <w:sz w:val="24"/>
          <w:highlight w:val="none"/>
        </w:rPr>
      </w:pPr>
    </w:p>
    <w:p w14:paraId="0F328E93">
      <w:pPr>
        <w:autoSpaceDE w:val="0"/>
        <w:autoSpaceDN w:val="0"/>
        <w:adjustRightInd w:val="0"/>
        <w:snapToGrid w:val="0"/>
        <w:spacing w:line="360" w:lineRule="auto"/>
        <w:jc w:val="left"/>
        <w:rPr>
          <w:rFonts w:ascii="宋体" w:hAnsi="宋体" w:cs="Arial"/>
          <w:color w:val="auto"/>
          <w:kern w:val="0"/>
          <w:sz w:val="24"/>
          <w:highlight w:val="none"/>
        </w:rPr>
      </w:pPr>
    </w:p>
    <w:p w14:paraId="6D61C32C">
      <w:pPr>
        <w:autoSpaceDE w:val="0"/>
        <w:autoSpaceDN w:val="0"/>
        <w:adjustRightInd w:val="0"/>
        <w:snapToGrid w:val="0"/>
        <w:spacing w:line="360" w:lineRule="auto"/>
        <w:jc w:val="left"/>
        <w:rPr>
          <w:rFonts w:ascii="宋体" w:hAnsi="宋体" w:cs="Arial"/>
          <w:color w:val="auto"/>
          <w:kern w:val="0"/>
          <w:sz w:val="24"/>
          <w:highlight w:val="none"/>
        </w:rPr>
      </w:pPr>
    </w:p>
    <w:p w14:paraId="6305E2C4">
      <w:pPr>
        <w:autoSpaceDE w:val="0"/>
        <w:autoSpaceDN w:val="0"/>
        <w:adjustRightInd w:val="0"/>
        <w:snapToGrid w:val="0"/>
        <w:spacing w:line="360" w:lineRule="auto"/>
        <w:jc w:val="left"/>
        <w:rPr>
          <w:rFonts w:ascii="宋体" w:hAnsi="宋体" w:cs="Arial"/>
          <w:color w:val="auto"/>
          <w:kern w:val="0"/>
          <w:sz w:val="24"/>
          <w:highlight w:val="none"/>
        </w:rPr>
      </w:pPr>
    </w:p>
    <w:p w14:paraId="22D887ED">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标包三宣传品服务供应商商务部分评分资料：</w:t>
      </w:r>
    </w:p>
    <w:p w14:paraId="3DD9AEB3">
      <w:pPr>
        <w:autoSpaceDE w:val="0"/>
        <w:autoSpaceDN w:val="0"/>
        <w:adjustRightInd w:val="0"/>
        <w:snapToGrid w:val="0"/>
        <w:spacing w:line="360" w:lineRule="auto"/>
        <w:jc w:val="left"/>
        <w:rPr>
          <w:rFonts w:ascii="宋体" w:hAnsi="宋体" w:cs="Arial"/>
          <w:color w:val="auto"/>
          <w:kern w:val="0"/>
          <w:sz w:val="24"/>
          <w:highlight w:val="none"/>
        </w:rPr>
      </w:pPr>
    </w:p>
    <w:p w14:paraId="2CD02768">
      <w:pPr>
        <w:autoSpaceDE w:val="0"/>
        <w:autoSpaceDN w:val="0"/>
        <w:adjustRightInd w:val="0"/>
        <w:snapToGrid w:val="0"/>
        <w:spacing w:line="360" w:lineRule="auto"/>
        <w:jc w:val="left"/>
        <w:rPr>
          <w:rFonts w:ascii="宋体" w:hAnsi="宋体" w:cs="Arial"/>
          <w:color w:val="auto"/>
          <w:kern w:val="0"/>
          <w:sz w:val="24"/>
          <w:highlight w:val="none"/>
        </w:rPr>
      </w:pPr>
    </w:p>
    <w:p w14:paraId="6C3B308C">
      <w:pPr>
        <w:autoSpaceDE w:val="0"/>
        <w:autoSpaceDN w:val="0"/>
        <w:adjustRightInd w:val="0"/>
        <w:snapToGrid w:val="0"/>
        <w:spacing w:line="360" w:lineRule="auto"/>
        <w:jc w:val="left"/>
        <w:rPr>
          <w:rFonts w:ascii="宋体" w:hAnsi="宋体" w:cs="Arial"/>
          <w:color w:val="auto"/>
          <w:kern w:val="0"/>
          <w:sz w:val="24"/>
          <w:highlight w:val="none"/>
        </w:rPr>
      </w:pPr>
    </w:p>
    <w:p w14:paraId="42BF3F8A">
      <w:pPr>
        <w:autoSpaceDE w:val="0"/>
        <w:autoSpaceDN w:val="0"/>
        <w:adjustRightInd w:val="0"/>
        <w:snapToGrid w:val="0"/>
        <w:spacing w:line="360" w:lineRule="auto"/>
        <w:jc w:val="left"/>
        <w:rPr>
          <w:rFonts w:ascii="宋体" w:hAnsi="宋体" w:cs="Arial"/>
          <w:color w:val="auto"/>
          <w:kern w:val="0"/>
          <w:sz w:val="24"/>
          <w:highlight w:val="none"/>
        </w:rPr>
      </w:pPr>
    </w:p>
    <w:p w14:paraId="46105D0A">
      <w:pPr>
        <w:rPr>
          <w:rFonts w:ascii="宋体" w:hAnsi="宋体"/>
          <w:b/>
          <w:color w:val="auto"/>
          <w:szCs w:val="21"/>
          <w:highlight w:val="none"/>
        </w:rPr>
      </w:pPr>
      <w:bookmarkStart w:id="783" w:name="_Toc45615476"/>
    </w:p>
    <w:p w14:paraId="12DC0EDB">
      <w:pPr>
        <w:rPr>
          <w:color w:val="auto"/>
          <w:highlight w:val="none"/>
        </w:rPr>
      </w:pPr>
      <w:bookmarkStart w:id="784" w:name="_Toc46495173"/>
    </w:p>
    <w:p w14:paraId="48D083E0">
      <w:pPr>
        <w:pStyle w:val="3"/>
        <w:spacing w:line="360" w:lineRule="auto"/>
        <w:jc w:val="center"/>
        <w:rPr>
          <w:rFonts w:ascii="宋体" w:hAnsi="宋体"/>
          <w:bCs w:val="0"/>
          <w:color w:val="auto"/>
          <w:highlight w:val="none"/>
        </w:rPr>
      </w:pPr>
      <w:bookmarkStart w:id="785" w:name="_Toc21816"/>
      <w:r>
        <w:rPr>
          <w:rFonts w:hint="eastAsia" w:ascii="宋体" w:hAnsi="宋体"/>
          <w:bCs w:val="0"/>
          <w:color w:val="auto"/>
          <w:highlight w:val="none"/>
        </w:rPr>
        <w:t>二、技术部分</w:t>
      </w:r>
      <w:bookmarkEnd w:id="783"/>
      <w:bookmarkEnd w:id="784"/>
      <w:bookmarkEnd w:id="785"/>
    </w:p>
    <w:p w14:paraId="13E8B412">
      <w:pPr>
        <w:tabs>
          <w:tab w:val="left" w:pos="6300"/>
        </w:tabs>
        <w:spacing w:line="480" w:lineRule="auto"/>
        <w:jc w:val="center"/>
        <w:rPr>
          <w:b/>
          <w:snapToGrid w:val="0"/>
          <w:color w:val="auto"/>
          <w:sz w:val="28"/>
          <w:szCs w:val="28"/>
          <w:highlight w:val="none"/>
        </w:rPr>
      </w:pPr>
      <w:r>
        <w:rPr>
          <w:rFonts w:hint="eastAsia"/>
          <w:b/>
          <w:snapToGrid w:val="0"/>
          <w:color w:val="auto"/>
          <w:sz w:val="28"/>
          <w:szCs w:val="28"/>
          <w:highlight w:val="none"/>
        </w:rPr>
        <w:t>（一）投标人应提供的技术评审资料</w:t>
      </w:r>
    </w:p>
    <w:p w14:paraId="2596021F">
      <w:pPr>
        <w:tabs>
          <w:tab w:val="left" w:pos="6300"/>
        </w:tabs>
        <w:spacing w:line="480" w:lineRule="auto"/>
        <w:rPr>
          <w:rFonts w:ascii="宋体" w:hAnsi="宋体" w:cs="宋体"/>
          <w:b/>
          <w:color w:val="auto"/>
          <w:sz w:val="24"/>
          <w:highlight w:val="none"/>
        </w:rPr>
      </w:pPr>
      <w:r>
        <w:rPr>
          <w:rFonts w:hint="eastAsia" w:ascii="宋体" w:hAnsi="宋体"/>
          <w:color w:val="auto"/>
          <w:szCs w:val="20"/>
          <w:highlight w:val="none"/>
        </w:rPr>
        <w:t>投标人须按照技术部分评分标准提供相应资料，格式自拟。</w:t>
      </w:r>
    </w:p>
    <w:p w14:paraId="277CBBC1">
      <w:pPr>
        <w:tabs>
          <w:tab w:val="left" w:pos="6300"/>
        </w:tabs>
        <w:spacing w:line="480" w:lineRule="auto"/>
        <w:rPr>
          <w:rFonts w:ascii="宋体" w:hAnsi="宋体" w:cs="宋体"/>
          <w:b/>
          <w:color w:val="auto"/>
          <w:sz w:val="24"/>
          <w:highlight w:val="none"/>
        </w:rPr>
      </w:pPr>
    </w:p>
    <w:p w14:paraId="0956F139">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标包一酒店服务供应商技术部分：</w:t>
      </w:r>
    </w:p>
    <w:p w14:paraId="788FA22B">
      <w:pPr>
        <w:autoSpaceDE w:val="0"/>
        <w:autoSpaceDN w:val="0"/>
        <w:adjustRightInd w:val="0"/>
        <w:snapToGrid w:val="0"/>
        <w:spacing w:line="360" w:lineRule="auto"/>
        <w:jc w:val="left"/>
        <w:rPr>
          <w:rFonts w:ascii="宋体" w:hAnsi="宋体" w:cs="Arial"/>
          <w:color w:val="auto"/>
          <w:kern w:val="0"/>
          <w:sz w:val="24"/>
          <w:highlight w:val="none"/>
        </w:rPr>
      </w:pPr>
    </w:p>
    <w:p w14:paraId="518D3A4E">
      <w:pPr>
        <w:autoSpaceDE w:val="0"/>
        <w:autoSpaceDN w:val="0"/>
        <w:adjustRightInd w:val="0"/>
        <w:snapToGrid w:val="0"/>
        <w:spacing w:line="360" w:lineRule="auto"/>
        <w:jc w:val="left"/>
        <w:rPr>
          <w:rFonts w:ascii="宋体" w:hAnsi="宋体" w:cs="Arial"/>
          <w:color w:val="auto"/>
          <w:kern w:val="0"/>
          <w:sz w:val="24"/>
          <w:highlight w:val="none"/>
        </w:rPr>
      </w:pPr>
    </w:p>
    <w:p w14:paraId="4A774BB4">
      <w:pPr>
        <w:autoSpaceDE w:val="0"/>
        <w:autoSpaceDN w:val="0"/>
        <w:adjustRightInd w:val="0"/>
        <w:snapToGrid w:val="0"/>
        <w:spacing w:line="360" w:lineRule="auto"/>
        <w:jc w:val="left"/>
        <w:rPr>
          <w:rFonts w:ascii="宋体" w:hAnsi="宋体" w:cs="Arial"/>
          <w:color w:val="auto"/>
          <w:kern w:val="0"/>
          <w:sz w:val="24"/>
          <w:highlight w:val="none"/>
        </w:rPr>
      </w:pPr>
    </w:p>
    <w:p w14:paraId="2DE41C0A">
      <w:pPr>
        <w:autoSpaceDE w:val="0"/>
        <w:autoSpaceDN w:val="0"/>
        <w:adjustRightInd w:val="0"/>
        <w:snapToGrid w:val="0"/>
        <w:spacing w:line="360" w:lineRule="auto"/>
        <w:jc w:val="left"/>
        <w:rPr>
          <w:rFonts w:ascii="宋体" w:hAnsi="宋体" w:cs="Arial"/>
          <w:color w:val="auto"/>
          <w:kern w:val="0"/>
          <w:sz w:val="24"/>
          <w:highlight w:val="none"/>
        </w:rPr>
      </w:pPr>
    </w:p>
    <w:p w14:paraId="475307BE">
      <w:pPr>
        <w:autoSpaceDE w:val="0"/>
        <w:autoSpaceDN w:val="0"/>
        <w:adjustRightInd w:val="0"/>
        <w:snapToGrid w:val="0"/>
        <w:spacing w:line="360" w:lineRule="auto"/>
        <w:jc w:val="left"/>
        <w:rPr>
          <w:rFonts w:ascii="宋体" w:hAnsi="宋体" w:cs="Arial"/>
          <w:color w:val="auto"/>
          <w:kern w:val="0"/>
          <w:sz w:val="24"/>
          <w:highlight w:val="none"/>
        </w:rPr>
      </w:pPr>
    </w:p>
    <w:p w14:paraId="16D15327">
      <w:pPr>
        <w:autoSpaceDE w:val="0"/>
        <w:autoSpaceDN w:val="0"/>
        <w:adjustRightInd w:val="0"/>
        <w:snapToGrid w:val="0"/>
        <w:spacing w:line="360" w:lineRule="auto"/>
        <w:jc w:val="left"/>
        <w:rPr>
          <w:rFonts w:ascii="宋体" w:hAnsi="宋体" w:cs="Arial"/>
          <w:color w:val="auto"/>
          <w:kern w:val="0"/>
          <w:sz w:val="24"/>
          <w:highlight w:val="none"/>
        </w:rPr>
      </w:pPr>
    </w:p>
    <w:p w14:paraId="2A73CF76">
      <w:pPr>
        <w:autoSpaceDE w:val="0"/>
        <w:autoSpaceDN w:val="0"/>
        <w:adjustRightInd w:val="0"/>
        <w:snapToGrid w:val="0"/>
        <w:spacing w:line="360" w:lineRule="auto"/>
        <w:jc w:val="left"/>
        <w:rPr>
          <w:rFonts w:ascii="宋体" w:hAnsi="宋体" w:cs="Arial"/>
          <w:color w:val="auto"/>
          <w:kern w:val="0"/>
          <w:sz w:val="24"/>
          <w:highlight w:val="none"/>
        </w:rPr>
      </w:pPr>
    </w:p>
    <w:p w14:paraId="3F04D654">
      <w:pPr>
        <w:autoSpaceDE w:val="0"/>
        <w:autoSpaceDN w:val="0"/>
        <w:adjustRightInd w:val="0"/>
        <w:snapToGrid w:val="0"/>
        <w:spacing w:line="360" w:lineRule="auto"/>
        <w:jc w:val="left"/>
        <w:rPr>
          <w:rFonts w:ascii="宋体" w:hAnsi="宋体" w:cs="Arial"/>
          <w:color w:val="auto"/>
          <w:kern w:val="0"/>
          <w:sz w:val="24"/>
          <w:highlight w:val="none"/>
        </w:rPr>
      </w:pPr>
    </w:p>
    <w:p w14:paraId="4F9223AC">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标包二会展服务供应商技术部分：</w:t>
      </w:r>
    </w:p>
    <w:p w14:paraId="1E5E2B1F">
      <w:pPr>
        <w:autoSpaceDE w:val="0"/>
        <w:autoSpaceDN w:val="0"/>
        <w:adjustRightInd w:val="0"/>
        <w:snapToGrid w:val="0"/>
        <w:spacing w:line="360" w:lineRule="auto"/>
        <w:jc w:val="left"/>
        <w:rPr>
          <w:rFonts w:ascii="宋体" w:hAnsi="宋体" w:cs="Arial"/>
          <w:color w:val="auto"/>
          <w:kern w:val="0"/>
          <w:sz w:val="24"/>
          <w:highlight w:val="none"/>
        </w:rPr>
      </w:pPr>
    </w:p>
    <w:p w14:paraId="096F3CF2">
      <w:pPr>
        <w:autoSpaceDE w:val="0"/>
        <w:autoSpaceDN w:val="0"/>
        <w:adjustRightInd w:val="0"/>
        <w:snapToGrid w:val="0"/>
        <w:spacing w:line="360" w:lineRule="auto"/>
        <w:jc w:val="left"/>
        <w:rPr>
          <w:rFonts w:ascii="宋体" w:hAnsi="宋体" w:cs="Arial"/>
          <w:color w:val="auto"/>
          <w:kern w:val="0"/>
          <w:sz w:val="24"/>
          <w:highlight w:val="none"/>
        </w:rPr>
      </w:pPr>
    </w:p>
    <w:p w14:paraId="785DB778">
      <w:pPr>
        <w:autoSpaceDE w:val="0"/>
        <w:autoSpaceDN w:val="0"/>
        <w:adjustRightInd w:val="0"/>
        <w:snapToGrid w:val="0"/>
        <w:spacing w:line="360" w:lineRule="auto"/>
        <w:jc w:val="left"/>
        <w:rPr>
          <w:rFonts w:ascii="宋体" w:hAnsi="宋体" w:cs="Arial"/>
          <w:color w:val="auto"/>
          <w:kern w:val="0"/>
          <w:sz w:val="24"/>
          <w:highlight w:val="none"/>
        </w:rPr>
      </w:pPr>
    </w:p>
    <w:p w14:paraId="7AA240FC">
      <w:pPr>
        <w:autoSpaceDE w:val="0"/>
        <w:autoSpaceDN w:val="0"/>
        <w:adjustRightInd w:val="0"/>
        <w:snapToGrid w:val="0"/>
        <w:spacing w:line="360" w:lineRule="auto"/>
        <w:jc w:val="left"/>
        <w:rPr>
          <w:rFonts w:ascii="宋体" w:hAnsi="宋体" w:cs="Arial"/>
          <w:color w:val="auto"/>
          <w:kern w:val="0"/>
          <w:sz w:val="24"/>
          <w:highlight w:val="none"/>
        </w:rPr>
      </w:pPr>
    </w:p>
    <w:p w14:paraId="2F2CD863">
      <w:pPr>
        <w:autoSpaceDE w:val="0"/>
        <w:autoSpaceDN w:val="0"/>
        <w:adjustRightInd w:val="0"/>
        <w:snapToGrid w:val="0"/>
        <w:spacing w:line="360" w:lineRule="auto"/>
        <w:jc w:val="left"/>
        <w:rPr>
          <w:rFonts w:ascii="宋体" w:hAnsi="宋体" w:cs="Arial"/>
          <w:color w:val="auto"/>
          <w:kern w:val="0"/>
          <w:sz w:val="24"/>
          <w:highlight w:val="none"/>
        </w:rPr>
      </w:pPr>
    </w:p>
    <w:p w14:paraId="1134B662">
      <w:pPr>
        <w:autoSpaceDE w:val="0"/>
        <w:autoSpaceDN w:val="0"/>
        <w:adjustRightInd w:val="0"/>
        <w:snapToGrid w:val="0"/>
        <w:spacing w:line="360" w:lineRule="auto"/>
        <w:jc w:val="left"/>
        <w:rPr>
          <w:rFonts w:ascii="宋体" w:hAnsi="宋体" w:cs="Arial"/>
          <w:color w:val="auto"/>
          <w:kern w:val="0"/>
          <w:sz w:val="24"/>
          <w:highlight w:val="none"/>
        </w:rPr>
      </w:pPr>
    </w:p>
    <w:p w14:paraId="10787486">
      <w:pPr>
        <w:autoSpaceDE w:val="0"/>
        <w:autoSpaceDN w:val="0"/>
        <w:adjustRightInd w:val="0"/>
        <w:snapToGrid w:val="0"/>
        <w:spacing w:line="360" w:lineRule="auto"/>
        <w:jc w:val="left"/>
        <w:rPr>
          <w:rFonts w:ascii="宋体" w:hAnsi="宋体" w:cs="Arial"/>
          <w:color w:val="auto"/>
          <w:kern w:val="0"/>
          <w:sz w:val="24"/>
          <w:highlight w:val="none"/>
        </w:rPr>
      </w:pPr>
    </w:p>
    <w:p w14:paraId="09D2DF6F">
      <w:pPr>
        <w:autoSpaceDE w:val="0"/>
        <w:autoSpaceDN w:val="0"/>
        <w:adjustRightInd w:val="0"/>
        <w:snapToGrid w:val="0"/>
        <w:spacing w:line="360" w:lineRule="auto"/>
        <w:jc w:val="left"/>
        <w:rPr>
          <w:rFonts w:ascii="宋体" w:hAnsi="宋体" w:cs="Arial"/>
          <w:color w:val="auto"/>
          <w:kern w:val="0"/>
          <w:sz w:val="24"/>
          <w:highlight w:val="none"/>
        </w:rPr>
      </w:pPr>
    </w:p>
    <w:p w14:paraId="081422B2">
      <w:pPr>
        <w:autoSpaceDE w:val="0"/>
        <w:autoSpaceDN w:val="0"/>
        <w:adjustRightInd w:val="0"/>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标包三宣传品服务供应商技术部分：</w:t>
      </w:r>
    </w:p>
    <w:p w14:paraId="1C715883">
      <w:pPr>
        <w:autoSpaceDE w:val="0"/>
        <w:autoSpaceDN w:val="0"/>
        <w:adjustRightInd w:val="0"/>
        <w:snapToGrid w:val="0"/>
        <w:spacing w:line="360" w:lineRule="auto"/>
        <w:jc w:val="left"/>
        <w:rPr>
          <w:rFonts w:ascii="宋体" w:hAnsi="宋体" w:cs="Arial"/>
          <w:color w:val="auto"/>
          <w:kern w:val="0"/>
          <w:sz w:val="24"/>
          <w:highlight w:val="none"/>
        </w:rPr>
      </w:pPr>
    </w:p>
    <w:p w14:paraId="3BDC81ED">
      <w:pPr>
        <w:autoSpaceDE w:val="0"/>
        <w:autoSpaceDN w:val="0"/>
        <w:adjustRightInd w:val="0"/>
        <w:snapToGrid w:val="0"/>
        <w:spacing w:line="360" w:lineRule="auto"/>
        <w:jc w:val="left"/>
        <w:rPr>
          <w:rFonts w:ascii="宋体" w:hAnsi="宋体" w:cs="Arial"/>
          <w:color w:val="auto"/>
          <w:kern w:val="0"/>
          <w:sz w:val="24"/>
          <w:highlight w:val="none"/>
        </w:rPr>
      </w:pPr>
    </w:p>
    <w:p w14:paraId="20E79644">
      <w:pPr>
        <w:tabs>
          <w:tab w:val="left" w:pos="6300"/>
        </w:tabs>
        <w:spacing w:line="480" w:lineRule="auto"/>
        <w:rPr>
          <w:rFonts w:ascii="宋体" w:hAnsi="宋体" w:cs="宋体"/>
          <w:b/>
          <w:color w:val="auto"/>
          <w:sz w:val="24"/>
          <w:highlight w:val="none"/>
        </w:rPr>
      </w:pPr>
    </w:p>
    <w:p w14:paraId="0E5E05CA">
      <w:pPr>
        <w:tabs>
          <w:tab w:val="left" w:pos="6300"/>
        </w:tabs>
        <w:spacing w:line="480" w:lineRule="auto"/>
        <w:rPr>
          <w:rFonts w:ascii="宋体" w:hAnsi="宋体" w:cs="宋体"/>
          <w:b/>
          <w:color w:val="auto"/>
          <w:sz w:val="24"/>
          <w:highlight w:val="none"/>
        </w:rPr>
      </w:pPr>
    </w:p>
    <w:p w14:paraId="0BACC9F4">
      <w:pPr>
        <w:tabs>
          <w:tab w:val="left" w:pos="6300"/>
        </w:tabs>
        <w:spacing w:line="480" w:lineRule="auto"/>
        <w:rPr>
          <w:b/>
          <w:snapToGrid w:val="0"/>
          <w:color w:val="auto"/>
          <w:sz w:val="28"/>
          <w:szCs w:val="28"/>
          <w:highlight w:val="none"/>
        </w:rPr>
      </w:pPr>
    </w:p>
    <w:p w14:paraId="64CE959F">
      <w:pPr>
        <w:tabs>
          <w:tab w:val="left" w:pos="6300"/>
        </w:tabs>
        <w:spacing w:line="480" w:lineRule="auto"/>
        <w:jc w:val="center"/>
        <w:rPr>
          <w:b/>
          <w:snapToGrid w:val="0"/>
          <w:color w:val="auto"/>
          <w:sz w:val="28"/>
          <w:szCs w:val="28"/>
          <w:highlight w:val="none"/>
        </w:rPr>
      </w:pPr>
      <w:r>
        <w:rPr>
          <w:rFonts w:hint="eastAsia"/>
          <w:b/>
          <w:snapToGrid w:val="0"/>
          <w:color w:val="auto"/>
          <w:sz w:val="28"/>
          <w:szCs w:val="28"/>
          <w:highlight w:val="none"/>
        </w:rPr>
        <w:t>（二）其他资料(如果有)</w:t>
      </w:r>
    </w:p>
    <w:p w14:paraId="1CD7F0C8">
      <w:pPr>
        <w:rPr>
          <w:color w:val="auto"/>
          <w:highlight w:val="none"/>
        </w:rPr>
      </w:pPr>
    </w:p>
    <w:p w14:paraId="2B577473">
      <w:pPr>
        <w:rPr>
          <w:rFonts w:ascii="宋体" w:hAnsi="宋体"/>
          <w:color w:val="auto"/>
          <w:sz w:val="32"/>
          <w:szCs w:val="32"/>
          <w:highlight w:val="none"/>
        </w:rPr>
      </w:pPr>
    </w:p>
    <w:p w14:paraId="5324FEEB">
      <w:pPr>
        <w:spacing w:line="360" w:lineRule="auto"/>
        <w:rPr>
          <w:rFonts w:ascii="宋体" w:hAnsi="宋体" w:cs="仿宋_GB2312"/>
          <w:color w:val="auto"/>
          <w:szCs w:val="21"/>
          <w:highlight w:val="none"/>
        </w:rPr>
      </w:pPr>
    </w:p>
    <w:p w14:paraId="7FB292E1">
      <w:pPr>
        <w:autoSpaceDE w:val="0"/>
        <w:autoSpaceDN w:val="0"/>
        <w:adjustRightInd w:val="0"/>
        <w:spacing w:before="64" w:line="313" w:lineRule="auto"/>
        <w:ind w:right="-110"/>
        <w:rPr>
          <w:rFonts w:ascii="宋体" w:hAnsi="宋体" w:cs="仿宋_GB2312"/>
          <w:color w:val="auto"/>
          <w:szCs w:val="21"/>
          <w:highlight w:val="none"/>
        </w:rPr>
      </w:pPr>
    </w:p>
    <w:p w14:paraId="29C6E2AD">
      <w:pPr>
        <w:autoSpaceDE w:val="0"/>
        <w:autoSpaceDN w:val="0"/>
        <w:adjustRightInd w:val="0"/>
        <w:spacing w:before="64" w:line="313" w:lineRule="auto"/>
        <w:ind w:right="-110"/>
        <w:rPr>
          <w:rFonts w:ascii="宋体" w:hAnsi="宋体" w:cs="仿宋_GB2312"/>
          <w:color w:val="auto"/>
          <w:szCs w:val="21"/>
          <w:highlight w:val="none"/>
        </w:rPr>
      </w:pPr>
    </w:p>
    <w:p w14:paraId="2B5A4BEE">
      <w:pPr>
        <w:autoSpaceDE w:val="0"/>
        <w:autoSpaceDN w:val="0"/>
        <w:adjustRightInd w:val="0"/>
        <w:spacing w:before="64" w:line="313" w:lineRule="auto"/>
        <w:ind w:right="-110"/>
        <w:rPr>
          <w:rFonts w:ascii="宋体" w:hAnsi="宋体" w:cs="仿宋_GB2312"/>
          <w:color w:val="auto"/>
          <w:szCs w:val="21"/>
          <w:highlight w:val="none"/>
        </w:rPr>
      </w:pPr>
    </w:p>
    <w:p w14:paraId="0EF0CC79">
      <w:pPr>
        <w:autoSpaceDE w:val="0"/>
        <w:autoSpaceDN w:val="0"/>
        <w:adjustRightInd w:val="0"/>
        <w:spacing w:before="64" w:line="313" w:lineRule="auto"/>
        <w:ind w:right="-110"/>
        <w:rPr>
          <w:rFonts w:ascii="宋体" w:hAnsi="宋体" w:cs="仿宋_GB2312"/>
          <w:color w:val="auto"/>
          <w:szCs w:val="21"/>
          <w:highlight w:val="none"/>
        </w:rPr>
      </w:pPr>
    </w:p>
    <w:p w14:paraId="0D2FF2DB">
      <w:pPr>
        <w:autoSpaceDE w:val="0"/>
        <w:autoSpaceDN w:val="0"/>
        <w:adjustRightInd w:val="0"/>
        <w:spacing w:before="64" w:line="313" w:lineRule="auto"/>
        <w:ind w:right="-110"/>
        <w:rPr>
          <w:rFonts w:ascii="宋体" w:hAnsi="宋体" w:cs="仿宋_GB2312"/>
          <w:color w:val="auto"/>
          <w:szCs w:val="21"/>
          <w:highlight w:val="none"/>
        </w:rPr>
      </w:pPr>
    </w:p>
    <w:p w14:paraId="60977D79">
      <w:pPr>
        <w:autoSpaceDE w:val="0"/>
        <w:autoSpaceDN w:val="0"/>
        <w:adjustRightInd w:val="0"/>
        <w:spacing w:before="64" w:line="313" w:lineRule="auto"/>
        <w:ind w:right="-110"/>
        <w:rPr>
          <w:rFonts w:ascii="宋体" w:hAnsi="宋体" w:cs="仿宋_GB2312"/>
          <w:color w:val="auto"/>
          <w:szCs w:val="21"/>
          <w:highlight w:val="none"/>
        </w:rPr>
      </w:pPr>
    </w:p>
    <w:p w14:paraId="19909512">
      <w:pPr>
        <w:autoSpaceDE w:val="0"/>
        <w:autoSpaceDN w:val="0"/>
        <w:adjustRightInd w:val="0"/>
        <w:spacing w:before="64" w:line="313" w:lineRule="auto"/>
        <w:ind w:right="-110"/>
        <w:rPr>
          <w:rFonts w:ascii="宋体" w:hAnsi="宋体" w:cs="仿宋_GB2312"/>
          <w:color w:val="auto"/>
          <w:szCs w:val="21"/>
          <w:highlight w:val="none"/>
        </w:rPr>
      </w:pPr>
    </w:p>
    <w:p w14:paraId="60318F5D">
      <w:pPr>
        <w:autoSpaceDE w:val="0"/>
        <w:autoSpaceDN w:val="0"/>
        <w:adjustRightInd w:val="0"/>
        <w:spacing w:before="64" w:line="313" w:lineRule="auto"/>
        <w:ind w:right="-110"/>
        <w:rPr>
          <w:rFonts w:ascii="宋体" w:hAnsi="宋体" w:cs="仿宋_GB2312"/>
          <w:color w:val="auto"/>
          <w:szCs w:val="21"/>
          <w:highlight w:val="none"/>
        </w:rPr>
      </w:pPr>
    </w:p>
    <w:p w14:paraId="0116AEFF">
      <w:pPr>
        <w:autoSpaceDE w:val="0"/>
        <w:autoSpaceDN w:val="0"/>
        <w:adjustRightInd w:val="0"/>
        <w:spacing w:before="64" w:line="313" w:lineRule="auto"/>
        <w:ind w:right="-110"/>
        <w:rPr>
          <w:rFonts w:ascii="宋体" w:hAnsi="宋体" w:cs="仿宋_GB2312"/>
          <w:color w:val="auto"/>
          <w:szCs w:val="21"/>
          <w:highlight w:val="none"/>
        </w:rPr>
      </w:pPr>
    </w:p>
    <w:p w14:paraId="30F608E7">
      <w:pPr>
        <w:autoSpaceDE w:val="0"/>
        <w:autoSpaceDN w:val="0"/>
        <w:adjustRightInd w:val="0"/>
        <w:spacing w:before="64" w:line="313" w:lineRule="auto"/>
        <w:ind w:right="-110"/>
        <w:rPr>
          <w:rFonts w:ascii="宋体" w:hAnsi="宋体" w:cs="仿宋_GB2312"/>
          <w:color w:val="auto"/>
          <w:szCs w:val="21"/>
          <w:highlight w:val="none"/>
        </w:rPr>
      </w:pPr>
    </w:p>
    <w:p w14:paraId="575F9479">
      <w:pPr>
        <w:autoSpaceDE w:val="0"/>
        <w:autoSpaceDN w:val="0"/>
        <w:adjustRightInd w:val="0"/>
        <w:spacing w:before="64" w:line="313" w:lineRule="auto"/>
        <w:ind w:right="-110"/>
        <w:rPr>
          <w:rFonts w:ascii="宋体" w:hAnsi="宋体" w:cs="仿宋_GB2312"/>
          <w:color w:val="auto"/>
          <w:szCs w:val="21"/>
          <w:highlight w:val="none"/>
        </w:rPr>
      </w:pPr>
    </w:p>
    <w:p w14:paraId="26C6DC18">
      <w:pPr>
        <w:autoSpaceDE w:val="0"/>
        <w:autoSpaceDN w:val="0"/>
        <w:adjustRightInd w:val="0"/>
        <w:spacing w:before="64" w:line="313" w:lineRule="auto"/>
        <w:ind w:right="-110"/>
        <w:rPr>
          <w:rFonts w:ascii="宋体" w:hAnsi="宋体" w:cs="仿宋_GB2312"/>
          <w:color w:val="auto"/>
          <w:szCs w:val="21"/>
          <w:highlight w:val="none"/>
        </w:rPr>
      </w:pPr>
    </w:p>
    <w:p w14:paraId="756D3548">
      <w:pPr>
        <w:autoSpaceDE w:val="0"/>
        <w:autoSpaceDN w:val="0"/>
        <w:adjustRightInd w:val="0"/>
        <w:spacing w:before="64" w:line="313" w:lineRule="auto"/>
        <w:ind w:right="-110"/>
        <w:rPr>
          <w:rFonts w:ascii="宋体" w:hAnsi="宋体" w:cs="仿宋_GB2312"/>
          <w:color w:val="auto"/>
          <w:szCs w:val="21"/>
          <w:highlight w:val="none"/>
        </w:rPr>
      </w:pPr>
    </w:p>
    <w:p w14:paraId="10A5DE54">
      <w:pPr>
        <w:autoSpaceDE w:val="0"/>
        <w:autoSpaceDN w:val="0"/>
        <w:adjustRightInd w:val="0"/>
        <w:spacing w:before="64" w:line="313" w:lineRule="auto"/>
        <w:ind w:right="-110"/>
        <w:rPr>
          <w:rFonts w:ascii="宋体" w:hAnsi="宋体" w:cs="仿宋_GB2312"/>
          <w:color w:val="auto"/>
          <w:szCs w:val="21"/>
          <w:highlight w:val="none"/>
        </w:rPr>
      </w:pPr>
    </w:p>
    <w:p w14:paraId="2CE300E8">
      <w:pPr>
        <w:autoSpaceDE w:val="0"/>
        <w:autoSpaceDN w:val="0"/>
        <w:adjustRightInd w:val="0"/>
        <w:spacing w:before="64" w:line="313" w:lineRule="auto"/>
        <w:ind w:right="-110"/>
        <w:rPr>
          <w:rFonts w:ascii="宋体" w:hAnsi="宋体" w:cs="仿宋_GB2312"/>
          <w:color w:val="auto"/>
          <w:szCs w:val="21"/>
          <w:highlight w:val="none"/>
        </w:rPr>
      </w:pPr>
    </w:p>
    <w:p w14:paraId="33BEB5E0">
      <w:pPr>
        <w:autoSpaceDE w:val="0"/>
        <w:autoSpaceDN w:val="0"/>
        <w:adjustRightInd w:val="0"/>
        <w:spacing w:before="64" w:line="313" w:lineRule="auto"/>
        <w:ind w:right="-110"/>
        <w:rPr>
          <w:rFonts w:ascii="宋体" w:hAnsi="宋体" w:cs="仿宋_GB2312"/>
          <w:color w:val="auto"/>
          <w:szCs w:val="21"/>
          <w:highlight w:val="none"/>
        </w:rPr>
      </w:pPr>
    </w:p>
    <w:p w14:paraId="04135E8D">
      <w:pPr>
        <w:autoSpaceDE w:val="0"/>
        <w:autoSpaceDN w:val="0"/>
        <w:adjustRightInd w:val="0"/>
        <w:spacing w:before="64" w:line="313" w:lineRule="auto"/>
        <w:ind w:right="-110"/>
        <w:rPr>
          <w:rFonts w:ascii="宋体" w:hAnsi="宋体" w:cs="仿宋_GB2312"/>
          <w:color w:val="auto"/>
          <w:szCs w:val="21"/>
          <w:highlight w:val="none"/>
        </w:rPr>
      </w:pPr>
    </w:p>
    <w:sectPr>
      <w:headerReference r:id="rId10" w:type="default"/>
      <w:pgSz w:w="11920" w:h="16840"/>
      <w:pgMar w:top="1531" w:right="1474" w:bottom="1247" w:left="1531"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華康簡楷">
    <w:altName w:val="宋体"/>
    <w:panose1 w:val="00000000000000000000"/>
    <w:charset w:val="88"/>
    <w:family w:val="script"/>
    <w:pitch w:val="default"/>
    <w:sig w:usb0="00000000" w:usb1="00000000" w:usb2="00000016" w:usb3="00000000" w:csb0="0016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微软简仿宋">
    <w:altName w:val="仿宋"/>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3C8E">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3</w:t>
    </w:r>
    <w:r>
      <w:fldChar w:fldCharType="end"/>
    </w:r>
  </w:p>
  <w:p w14:paraId="227092F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DA54">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- 0 -</w:t>
    </w:r>
    <w:r>
      <w:fldChar w:fldCharType="end"/>
    </w:r>
  </w:p>
  <w:p w14:paraId="0757096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FFE5">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8F0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B10B">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00B3">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4C4C">
    <w:pPr>
      <w:pStyle w:val="28"/>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24E6">
    <w:pPr>
      <w:pStyle w:val="2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9069F"/>
    <w:multiLevelType w:val="singleLevel"/>
    <w:tmpl w:val="9089069F"/>
    <w:lvl w:ilvl="0" w:tentative="0">
      <w:start w:val="5"/>
      <w:numFmt w:val="chineseCounting"/>
      <w:suff w:val="nothing"/>
      <w:lvlText w:val="%1、"/>
      <w:lvlJc w:val="left"/>
      <w:rPr>
        <w:rFonts w:hint="eastAsia"/>
      </w:rPr>
    </w:lvl>
  </w:abstractNum>
  <w:abstractNum w:abstractNumId="1">
    <w:nsid w:val="9BAB6321"/>
    <w:multiLevelType w:val="singleLevel"/>
    <w:tmpl w:val="9BAB6321"/>
    <w:lvl w:ilvl="0" w:tentative="0">
      <w:start w:val="2"/>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tabs>
          <w:tab w:val="left" w:pos="432"/>
        </w:tabs>
        <w:ind w:left="432" w:hanging="432"/>
      </w:pPr>
      <w:rPr>
        <w:rFonts w:hint="eastAsia"/>
      </w:rPr>
    </w:lvl>
    <w:lvl w:ilvl="1" w:tentative="0">
      <w:start w:val="1"/>
      <w:numFmt w:val="decimal"/>
      <w:pStyle w:val="120"/>
      <w:lvlText w:val="%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C"/>
    <w:multiLevelType w:val="singleLevel"/>
    <w:tmpl w:val="0000000C"/>
    <w:lvl w:ilvl="0" w:tentative="0">
      <w:start w:val="5"/>
      <w:numFmt w:val="chineseCounting"/>
      <w:suff w:val="space"/>
      <w:lvlText w:val="第%1章"/>
      <w:lvlJc w:val="left"/>
    </w:lvl>
  </w:abstractNum>
  <w:abstractNum w:abstractNumId="5">
    <w:nsid w:val="0000000F"/>
    <w:multiLevelType w:val="singleLevel"/>
    <w:tmpl w:val="0000000F"/>
    <w:lvl w:ilvl="0" w:tentative="0">
      <w:start w:val="1"/>
      <w:numFmt w:val="decimal"/>
      <w:suff w:val="nothing"/>
      <w:lvlText w:val="%1."/>
      <w:lvlJc w:val="left"/>
    </w:lvl>
  </w:abstractNum>
  <w:abstractNum w:abstractNumId="6">
    <w:nsid w:val="09C758A2"/>
    <w:multiLevelType w:val="multilevel"/>
    <w:tmpl w:val="09C758A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B73377"/>
    <w:multiLevelType w:val="multilevel"/>
    <w:tmpl w:val="19B733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246DC3"/>
    <w:multiLevelType w:val="multilevel"/>
    <w:tmpl w:val="26246DC3"/>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5C1758"/>
    <w:multiLevelType w:val="multilevel"/>
    <w:tmpl w:val="3A5C175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33D43A3"/>
    <w:multiLevelType w:val="singleLevel"/>
    <w:tmpl w:val="533D43A3"/>
    <w:lvl w:ilvl="0" w:tentative="0">
      <w:start w:val="6"/>
      <w:numFmt w:val="chineseCounting"/>
      <w:suff w:val="nothing"/>
      <w:lvlText w:val="%1、"/>
      <w:lvlJc w:val="left"/>
    </w:lvl>
  </w:abstractNum>
  <w:abstractNum w:abstractNumId="11">
    <w:nsid w:val="533D4612"/>
    <w:multiLevelType w:val="singleLevel"/>
    <w:tmpl w:val="533D4612"/>
    <w:lvl w:ilvl="0" w:tentative="0">
      <w:start w:val="1"/>
      <w:numFmt w:val="decimal"/>
      <w:suff w:val="nothing"/>
      <w:lvlText w:val="（%1）"/>
      <w:lvlJc w:val="left"/>
    </w:lvl>
  </w:abstractNum>
  <w:abstractNum w:abstractNumId="12">
    <w:nsid w:val="533D4625"/>
    <w:multiLevelType w:val="singleLevel"/>
    <w:tmpl w:val="533D4625"/>
    <w:lvl w:ilvl="0" w:tentative="0">
      <w:start w:val="2"/>
      <w:numFmt w:val="decimal"/>
      <w:suff w:val="nothing"/>
      <w:lvlText w:val="（%1）"/>
      <w:lvlJc w:val="left"/>
    </w:lvl>
  </w:abstractNum>
  <w:abstractNum w:abstractNumId="13">
    <w:nsid w:val="53BE55A7"/>
    <w:multiLevelType w:val="multilevel"/>
    <w:tmpl w:val="53BE55A7"/>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B6FA80"/>
    <w:multiLevelType w:val="singleLevel"/>
    <w:tmpl w:val="55B6FA80"/>
    <w:lvl w:ilvl="0" w:tentative="0">
      <w:start w:val="1"/>
      <w:numFmt w:val="decimal"/>
      <w:suff w:val="nothing"/>
      <w:lvlText w:val="%1."/>
      <w:lvlJc w:val="left"/>
    </w:lvl>
  </w:abstractNum>
  <w:num w:numId="1">
    <w:abstractNumId w:val="5"/>
  </w:num>
  <w:num w:numId="2">
    <w:abstractNumId w:val="2"/>
  </w:num>
  <w:num w:numId="3">
    <w:abstractNumId w:val="1"/>
  </w:num>
  <w:num w:numId="4">
    <w:abstractNumId w:val="3"/>
  </w:num>
  <w:num w:numId="5">
    <w:abstractNumId w:val="8"/>
  </w:num>
  <w:num w:numId="6">
    <w:abstractNumId w:val="14"/>
  </w:num>
  <w:num w:numId="7">
    <w:abstractNumId w:val="0"/>
  </w:num>
  <w:num w:numId="8">
    <w:abstractNumId w:val="10"/>
  </w:num>
  <w:num w:numId="9">
    <w:abstractNumId w:val="11"/>
  </w:num>
  <w:num w:numId="10">
    <w:abstractNumId w:val="12"/>
  </w:num>
  <w:num w:numId="11">
    <w:abstractNumId w:val="4"/>
  </w:num>
  <w:num w:numId="12">
    <w:abstractNumId w:val="13"/>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172A27"/>
    <w:rsid w:val="000007A8"/>
    <w:rsid w:val="00005DF1"/>
    <w:rsid w:val="0001318E"/>
    <w:rsid w:val="00013E6B"/>
    <w:rsid w:val="00014F4E"/>
    <w:rsid w:val="00015687"/>
    <w:rsid w:val="00017197"/>
    <w:rsid w:val="00023854"/>
    <w:rsid w:val="000241CD"/>
    <w:rsid w:val="00024774"/>
    <w:rsid w:val="00027DCD"/>
    <w:rsid w:val="00030FD3"/>
    <w:rsid w:val="000476F5"/>
    <w:rsid w:val="00047BD4"/>
    <w:rsid w:val="0005006A"/>
    <w:rsid w:val="00050433"/>
    <w:rsid w:val="00050CFC"/>
    <w:rsid w:val="00051FC0"/>
    <w:rsid w:val="00054B82"/>
    <w:rsid w:val="00056729"/>
    <w:rsid w:val="00057358"/>
    <w:rsid w:val="000573A3"/>
    <w:rsid w:val="00064B09"/>
    <w:rsid w:val="00066ACE"/>
    <w:rsid w:val="000718B5"/>
    <w:rsid w:val="00071C13"/>
    <w:rsid w:val="00073028"/>
    <w:rsid w:val="00075266"/>
    <w:rsid w:val="00076D3A"/>
    <w:rsid w:val="000823A0"/>
    <w:rsid w:val="000823C9"/>
    <w:rsid w:val="00083CF6"/>
    <w:rsid w:val="0008542B"/>
    <w:rsid w:val="0008686D"/>
    <w:rsid w:val="00090C22"/>
    <w:rsid w:val="0009235A"/>
    <w:rsid w:val="0009564E"/>
    <w:rsid w:val="000A1A17"/>
    <w:rsid w:val="000B1050"/>
    <w:rsid w:val="000B2188"/>
    <w:rsid w:val="000B44B6"/>
    <w:rsid w:val="000B69E1"/>
    <w:rsid w:val="000B6C87"/>
    <w:rsid w:val="000C20C5"/>
    <w:rsid w:val="000C5515"/>
    <w:rsid w:val="000D012D"/>
    <w:rsid w:val="000D1B65"/>
    <w:rsid w:val="000D3092"/>
    <w:rsid w:val="000E02E6"/>
    <w:rsid w:val="000E04EE"/>
    <w:rsid w:val="000E09B1"/>
    <w:rsid w:val="000E1964"/>
    <w:rsid w:val="000E36CD"/>
    <w:rsid w:val="000E4DAC"/>
    <w:rsid w:val="000E645C"/>
    <w:rsid w:val="000F504D"/>
    <w:rsid w:val="000F56C9"/>
    <w:rsid w:val="001054C4"/>
    <w:rsid w:val="00111451"/>
    <w:rsid w:val="001116DB"/>
    <w:rsid w:val="00111F4B"/>
    <w:rsid w:val="001122EB"/>
    <w:rsid w:val="001158E9"/>
    <w:rsid w:val="0011722B"/>
    <w:rsid w:val="00120252"/>
    <w:rsid w:val="00127B03"/>
    <w:rsid w:val="00130B27"/>
    <w:rsid w:val="00132A56"/>
    <w:rsid w:val="00134AE6"/>
    <w:rsid w:val="001375DA"/>
    <w:rsid w:val="00141D02"/>
    <w:rsid w:val="00144E45"/>
    <w:rsid w:val="001452AA"/>
    <w:rsid w:val="00151FB0"/>
    <w:rsid w:val="00153333"/>
    <w:rsid w:val="00157861"/>
    <w:rsid w:val="001610F7"/>
    <w:rsid w:val="001613AE"/>
    <w:rsid w:val="0016240D"/>
    <w:rsid w:val="00162D2A"/>
    <w:rsid w:val="00163BEF"/>
    <w:rsid w:val="001644FF"/>
    <w:rsid w:val="00172A27"/>
    <w:rsid w:val="00173337"/>
    <w:rsid w:val="00173DB8"/>
    <w:rsid w:val="00186E69"/>
    <w:rsid w:val="00190661"/>
    <w:rsid w:val="00190C45"/>
    <w:rsid w:val="0019126E"/>
    <w:rsid w:val="001934C4"/>
    <w:rsid w:val="001A1077"/>
    <w:rsid w:val="001A2424"/>
    <w:rsid w:val="001A2832"/>
    <w:rsid w:val="001A367C"/>
    <w:rsid w:val="001A5969"/>
    <w:rsid w:val="001A69C4"/>
    <w:rsid w:val="001A736A"/>
    <w:rsid w:val="001A7EB3"/>
    <w:rsid w:val="001B31BC"/>
    <w:rsid w:val="001B512C"/>
    <w:rsid w:val="001B70AF"/>
    <w:rsid w:val="001B73B4"/>
    <w:rsid w:val="001C478E"/>
    <w:rsid w:val="001C76B3"/>
    <w:rsid w:val="001D2717"/>
    <w:rsid w:val="001D361E"/>
    <w:rsid w:val="001D3EE9"/>
    <w:rsid w:val="001D6792"/>
    <w:rsid w:val="001E02F1"/>
    <w:rsid w:val="001E223D"/>
    <w:rsid w:val="001E7269"/>
    <w:rsid w:val="00202A14"/>
    <w:rsid w:val="002042F4"/>
    <w:rsid w:val="00205942"/>
    <w:rsid w:val="0021250E"/>
    <w:rsid w:val="00216069"/>
    <w:rsid w:val="00225533"/>
    <w:rsid w:val="002273CD"/>
    <w:rsid w:val="00230254"/>
    <w:rsid w:val="002305E0"/>
    <w:rsid w:val="00231268"/>
    <w:rsid w:val="002350FB"/>
    <w:rsid w:val="00242968"/>
    <w:rsid w:val="0024347F"/>
    <w:rsid w:val="002467DF"/>
    <w:rsid w:val="00253E80"/>
    <w:rsid w:val="00254659"/>
    <w:rsid w:val="00257BB3"/>
    <w:rsid w:val="00261986"/>
    <w:rsid w:val="00263413"/>
    <w:rsid w:val="00263510"/>
    <w:rsid w:val="00263B3D"/>
    <w:rsid w:val="00275E8A"/>
    <w:rsid w:val="00284250"/>
    <w:rsid w:val="00295C93"/>
    <w:rsid w:val="00296E74"/>
    <w:rsid w:val="002C1A75"/>
    <w:rsid w:val="002C63AA"/>
    <w:rsid w:val="002E2CAA"/>
    <w:rsid w:val="002E2DF3"/>
    <w:rsid w:val="002E7289"/>
    <w:rsid w:val="002F4903"/>
    <w:rsid w:val="003044F3"/>
    <w:rsid w:val="00307852"/>
    <w:rsid w:val="00313501"/>
    <w:rsid w:val="003244EE"/>
    <w:rsid w:val="00340890"/>
    <w:rsid w:val="00343593"/>
    <w:rsid w:val="00345555"/>
    <w:rsid w:val="003456A8"/>
    <w:rsid w:val="00347B21"/>
    <w:rsid w:val="00353658"/>
    <w:rsid w:val="003553C7"/>
    <w:rsid w:val="003568E6"/>
    <w:rsid w:val="00357DEB"/>
    <w:rsid w:val="003617E3"/>
    <w:rsid w:val="0036590B"/>
    <w:rsid w:val="00365D75"/>
    <w:rsid w:val="003664E1"/>
    <w:rsid w:val="00366656"/>
    <w:rsid w:val="0037302E"/>
    <w:rsid w:val="003758D6"/>
    <w:rsid w:val="00375B64"/>
    <w:rsid w:val="003772DB"/>
    <w:rsid w:val="00380985"/>
    <w:rsid w:val="00381DEB"/>
    <w:rsid w:val="003834F7"/>
    <w:rsid w:val="00383C78"/>
    <w:rsid w:val="00391D5B"/>
    <w:rsid w:val="003A4A5E"/>
    <w:rsid w:val="003B3377"/>
    <w:rsid w:val="003B3B2A"/>
    <w:rsid w:val="003C248E"/>
    <w:rsid w:val="003C7419"/>
    <w:rsid w:val="003D04EB"/>
    <w:rsid w:val="003D170D"/>
    <w:rsid w:val="003D34CB"/>
    <w:rsid w:val="003D6657"/>
    <w:rsid w:val="003D6831"/>
    <w:rsid w:val="003D6F1A"/>
    <w:rsid w:val="003E7EB7"/>
    <w:rsid w:val="003F496A"/>
    <w:rsid w:val="003F7C29"/>
    <w:rsid w:val="00407678"/>
    <w:rsid w:val="00412DD6"/>
    <w:rsid w:val="004132FD"/>
    <w:rsid w:val="004143E3"/>
    <w:rsid w:val="0042059E"/>
    <w:rsid w:val="004214B1"/>
    <w:rsid w:val="00440AB8"/>
    <w:rsid w:val="004440D7"/>
    <w:rsid w:val="00444F4B"/>
    <w:rsid w:val="004504EA"/>
    <w:rsid w:val="00450F01"/>
    <w:rsid w:val="00453C3B"/>
    <w:rsid w:val="0045540F"/>
    <w:rsid w:val="00457F66"/>
    <w:rsid w:val="004602F9"/>
    <w:rsid w:val="004638B0"/>
    <w:rsid w:val="00467770"/>
    <w:rsid w:val="00467A05"/>
    <w:rsid w:val="00474C8E"/>
    <w:rsid w:val="004816ED"/>
    <w:rsid w:val="00485144"/>
    <w:rsid w:val="00487032"/>
    <w:rsid w:val="00487C77"/>
    <w:rsid w:val="00487D5D"/>
    <w:rsid w:val="004A0935"/>
    <w:rsid w:val="004A3527"/>
    <w:rsid w:val="004A5E97"/>
    <w:rsid w:val="004B29F3"/>
    <w:rsid w:val="004B3DF4"/>
    <w:rsid w:val="004C172F"/>
    <w:rsid w:val="004D12A0"/>
    <w:rsid w:val="004D3460"/>
    <w:rsid w:val="004D4CFD"/>
    <w:rsid w:val="004D7A96"/>
    <w:rsid w:val="004E2402"/>
    <w:rsid w:val="004E24A0"/>
    <w:rsid w:val="004E2D02"/>
    <w:rsid w:val="004E72F1"/>
    <w:rsid w:val="00500491"/>
    <w:rsid w:val="0050057F"/>
    <w:rsid w:val="00510729"/>
    <w:rsid w:val="005151E6"/>
    <w:rsid w:val="00516CF6"/>
    <w:rsid w:val="00516FD3"/>
    <w:rsid w:val="00520EC8"/>
    <w:rsid w:val="00521733"/>
    <w:rsid w:val="005245FB"/>
    <w:rsid w:val="005256DD"/>
    <w:rsid w:val="00525778"/>
    <w:rsid w:val="005279E6"/>
    <w:rsid w:val="00531007"/>
    <w:rsid w:val="00531649"/>
    <w:rsid w:val="005323AC"/>
    <w:rsid w:val="00534AA3"/>
    <w:rsid w:val="00537A68"/>
    <w:rsid w:val="005437F2"/>
    <w:rsid w:val="00543ADF"/>
    <w:rsid w:val="0054438C"/>
    <w:rsid w:val="00544516"/>
    <w:rsid w:val="005463E3"/>
    <w:rsid w:val="00546400"/>
    <w:rsid w:val="005475ED"/>
    <w:rsid w:val="00551CDE"/>
    <w:rsid w:val="005571EC"/>
    <w:rsid w:val="00557225"/>
    <w:rsid w:val="005657E2"/>
    <w:rsid w:val="00574902"/>
    <w:rsid w:val="00574A95"/>
    <w:rsid w:val="00580947"/>
    <w:rsid w:val="00582066"/>
    <w:rsid w:val="005904A5"/>
    <w:rsid w:val="00597A09"/>
    <w:rsid w:val="005A084F"/>
    <w:rsid w:val="005A4E4B"/>
    <w:rsid w:val="005A4EF8"/>
    <w:rsid w:val="005B028E"/>
    <w:rsid w:val="005B2179"/>
    <w:rsid w:val="005B6BDE"/>
    <w:rsid w:val="005C0A4E"/>
    <w:rsid w:val="005C7899"/>
    <w:rsid w:val="005E05E4"/>
    <w:rsid w:val="005E349A"/>
    <w:rsid w:val="005E3B35"/>
    <w:rsid w:val="005E420A"/>
    <w:rsid w:val="005F0BDE"/>
    <w:rsid w:val="005F1CD5"/>
    <w:rsid w:val="005F3C3F"/>
    <w:rsid w:val="005F412D"/>
    <w:rsid w:val="005F5B5A"/>
    <w:rsid w:val="005F67D8"/>
    <w:rsid w:val="006013DF"/>
    <w:rsid w:val="00604B82"/>
    <w:rsid w:val="006108AC"/>
    <w:rsid w:val="00610978"/>
    <w:rsid w:val="00611119"/>
    <w:rsid w:val="006126E4"/>
    <w:rsid w:val="00613746"/>
    <w:rsid w:val="00617D87"/>
    <w:rsid w:val="00623160"/>
    <w:rsid w:val="0062436F"/>
    <w:rsid w:val="00625765"/>
    <w:rsid w:val="006407A7"/>
    <w:rsid w:val="00641F80"/>
    <w:rsid w:val="00642604"/>
    <w:rsid w:val="00646502"/>
    <w:rsid w:val="00647616"/>
    <w:rsid w:val="00647E59"/>
    <w:rsid w:val="006500D6"/>
    <w:rsid w:val="00653487"/>
    <w:rsid w:val="006541E9"/>
    <w:rsid w:val="00656659"/>
    <w:rsid w:val="00662B47"/>
    <w:rsid w:val="00666E91"/>
    <w:rsid w:val="00672E22"/>
    <w:rsid w:val="006734D8"/>
    <w:rsid w:val="00677C0A"/>
    <w:rsid w:val="00680C71"/>
    <w:rsid w:val="00684A70"/>
    <w:rsid w:val="00686790"/>
    <w:rsid w:val="00686E85"/>
    <w:rsid w:val="006912FD"/>
    <w:rsid w:val="006A2445"/>
    <w:rsid w:val="006A7EDD"/>
    <w:rsid w:val="006B0A25"/>
    <w:rsid w:val="006B0E36"/>
    <w:rsid w:val="006B564F"/>
    <w:rsid w:val="006B789E"/>
    <w:rsid w:val="006C3DA0"/>
    <w:rsid w:val="006C544E"/>
    <w:rsid w:val="006C6519"/>
    <w:rsid w:val="006C701C"/>
    <w:rsid w:val="006C7C06"/>
    <w:rsid w:val="006D34E9"/>
    <w:rsid w:val="006D4C35"/>
    <w:rsid w:val="006E0E16"/>
    <w:rsid w:val="006E31FF"/>
    <w:rsid w:val="006E694D"/>
    <w:rsid w:val="006E7A91"/>
    <w:rsid w:val="006F29CE"/>
    <w:rsid w:val="006F394C"/>
    <w:rsid w:val="006F716E"/>
    <w:rsid w:val="00700203"/>
    <w:rsid w:val="00711424"/>
    <w:rsid w:val="007137D4"/>
    <w:rsid w:val="007202D9"/>
    <w:rsid w:val="00721491"/>
    <w:rsid w:val="007220DA"/>
    <w:rsid w:val="00723F33"/>
    <w:rsid w:val="007256CB"/>
    <w:rsid w:val="007276C6"/>
    <w:rsid w:val="00730DEB"/>
    <w:rsid w:val="00733614"/>
    <w:rsid w:val="007367BC"/>
    <w:rsid w:val="0073781B"/>
    <w:rsid w:val="00737EB2"/>
    <w:rsid w:val="0074029E"/>
    <w:rsid w:val="007471CD"/>
    <w:rsid w:val="007476F7"/>
    <w:rsid w:val="00751E2E"/>
    <w:rsid w:val="00751E34"/>
    <w:rsid w:val="00754D12"/>
    <w:rsid w:val="00762748"/>
    <w:rsid w:val="007654BE"/>
    <w:rsid w:val="0076762D"/>
    <w:rsid w:val="00780648"/>
    <w:rsid w:val="00780F88"/>
    <w:rsid w:val="0078276E"/>
    <w:rsid w:val="00783E4F"/>
    <w:rsid w:val="007866C5"/>
    <w:rsid w:val="00787055"/>
    <w:rsid w:val="007873C4"/>
    <w:rsid w:val="00787A06"/>
    <w:rsid w:val="007901E2"/>
    <w:rsid w:val="00791AA8"/>
    <w:rsid w:val="00792F2D"/>
    <w:rsid w:val="007941B9"/>
    <w:rsid w:val="007944CC"/>
    <w:rsid w:val="0079579A"/>
    <w:rsid w:val="007964E2"/>
    <w:rsid w:val="00796A54"/>
    <w:rsid w:val="007A2E8E"/>
    <w:rsid w:val="007A6026"/>
    <w:rsid w:val="007B14C3"/>
    <w:rsid w:val="007B414E"/>
    <w:rsid w:val="007B67AD"/>
    <w:rsid w:val="007B781F"/>
    <w:rsid w:val="007C0A68"/>
    <w:rsid w:val="007C4D42"/>
    <w:rsid w:val="007C5CFA"/>
    <w:rsid w:val="007D660E"/>
    <w:rsid w:val="007E6EFE"/>
    <w:rsid w:val="007F0DA8"/>
    <w:rsid w:val="007F238C"/>
    <w:rsid w:val="007F4ADF"/>
    <w:rsid w:val="007F5149"/>
    <w:rsid w:val="007F5F8B"/>
    <w:rsid w:val="007F64CD"/>
    <w:rsid w:val="00802A04"/>
    <w:rsid w:val="00803260"/>
    <w:rsid w:val="00805137"/>
    <w:rsid w:val="00815CB2"/>
    <w:rsid w:val="00817354"/>
    <w:rsid w:val="008178AD"/>
    <w:rsid w:val="008239B4"/>
    <w:rsid w:val="00825A36"/>
    <w:rsid w:val="00826891"/>
    <w:rsid w:val="00826D51"/>
    <w:rsid w:val="00827E15"/>
    <w:rsid w:val="00831730"/>
    <w:rsid w:val="00832775"/>
    <w:rsid w:val="00841F47"/>
    <w:rsid w:val="00847142"/>
    <w:rsid w:val="00847C7F"/>
    <w:rsid w:val="00851E02"/>
    <w:rsid w:val="0085338A"/>
    <w:rsid w:val="0086189C"/>
    <w:rsid w:val="008640DD"/>
    <w:rsid w:val="008643F8"/>
    <w:rsid w:val="00871908"/>
    <w:rsid w:val="00871EAB"/>
    <w:rsid w:val="00873FD0"/>
    <w:rsid w:val="008769C2"/>
    <w:rsid w:val="00877BCE"/>
    <w:rsid w:val="00881751"/>
    <w:rsid w:val="008818E8"/>
    <w:rsid w:val="00882D47"/>
    <w:rsid w:val="00882D65"/>
    <w:rsid w:val="00883B27"/>
    <w:rsid w:val="008846DE"/>
    <w:rsid w:val="00886DB2"/>
    <w:rsid w:val="008904D8"/>
    <w:rsid w:val="008A2439"/>
    <w:rsid w:val="008A2454"/>
    <w:rsid w:val="008A40A9"/>
    <w:rsid w:val="008A4813"/>
    <w:rsid w:val="008A7EA1"/>
    <w:rsid w:val="008B41E6"/>
    <w:rsid w:val="008B77AD"/>
    <w:rsid w:val="008C1BDE"/>
    <w:rsid w:val="008C3BBB"/>
    <w:rsid w:val="008D05F0"/>
    <w:rsid w:val="008D4223"/>
    <w:rsid w:val="008D569F"/>
    <w:rsid w:val="008E7AAE"/>
    <w:rsid w:val="008F390F"/>
    <w:rsid w:val="0090011E"/>
    <w:rsid w:val="00900967"/>
    <w:rsid w:val="00901ADD"/>
    <w:rsid w:val="00903042"/>
    <w:rsid w:val="0090339E"/>
    <w:rsid w:val="00904B17"/>
    <w:rsid w:val="00905681"/>
    <w:rsid w:val="00905D7E"/>
    <w:rsid w:val="00906E7A"/>
    <w:rsid w:val="00915CE5"/>
    <w:rsid w:val="00917740"/>
    <w:rsid w:val="00917FAF"/>
    <w:rsid w:val="00920797"/>
    <w:rsid w:val="0092646C"/>
    <w:rsid w:val="00930409"/>
    <w:rsid w:val="00930852"/>
    <w:rsid w:val="00934F45"/>
    <w:rsid w:val="0094008B"/>
    <w:rsid w:val="00951BCC"/>
    <w:rsid w:val="00967478"/>
    <w:rsid w:val="009717CB"/>
    <w:rsid w:val="00971FEC"/>
    <w:rsid w:val="00972D81"/>
    <w:rsid w:val="0097355B"/>
    <w:rsid w:val="00977509"/>
    <w:rsid w:val="009812CD"/>
    <w:rsid w:val="00981648"/>
    <w:rsid w:val="00982D14"/>
    <w:rsid w:val="00985939"/>
    <w:rsid w:val="00990A01"/>
    <w:rsid w:val="00994D2D"/>
    <w:rsid w:val="00997154"/>
    <w:rsid w:val="009978BD"/>
    <w:rsid w:val="009A07FF"/>
    <w:rsid w:val="009A449F"/>
    <w:rsid w:val="009A6D33"/>
    <w:rsid w:val="009B445E"/>
    <w:rsid w:val="009B4721"/>
    <w:rsid w:val="009B48B3"/>
    <w:rsid w:val="009B68E8"/>
    <w:rsid w:val="009C1ECC"/>
    <w:rsid w:val="009C4224"/>
    <w:rsid w:val="009D4D5D"/>
    <w:rsid w:val="009D72F7"/>
    <w:rsid w:val="009E5683"/>
    <w:rsid w:val="009F0F5C"/>
    <w:rsid w:val="009F302D"/>
    <w:rsid w:val="00A020AE"/>
    <w:rsid w:val="00A02148"/>
    <w:rsid w:val="00A030BF"/>
    <w:rsid w:val="00A04A94"/>
    <w:rsid w:val="00A06A3A"/>
    <w:rsid w:val="00A108C4"/>
    <w:rsid w:val="00A1619E"/>
    <w:rsid w:val="00A16B82"/>
    <w:rsid w:val="00A200DD"/>
    <w:rsid w:val="00A21E00"/>
    <w:rsid w:val="00A24CAF"/>
    <w:rsid w:val="00A25F16"/>
    <w:rsid w:val="00A278AA"/>
    <w:rsid w:val="00A27F67"/>
    <w:rsid w:val="00A306F7"/>
    <w:rsid w:val="00A361F1"/>
    <w:rsid w:val="00A424A2"/>
    <w:rsid w:val="00A42608"/>
    <w:rsid w:val="00A4631B"/>
    <w:rsid w:val="00A52BA1"/>
    <w:rsid w:val="00A53A0E"/>
    <w:rsid w:val="00A54A6C"/>
    <w:rsid w:val="00A54D50"/>
    <w:rsid w:val="00A55543"/>
    <w:rsid w:val="00A56FD2"/>
    <w:rsid w:val="00A70E56"/>
    <w:rsid w:val="00A80331"/>
    <w:rsid w:val="00A81033"/>
    <w:rsid w:val="00A856BE"/>
    <w:rsid w:val="00A86F42"/>
    <w:rsid w:val="00A903F2"/>
    <w:rsid w:val="00A94793"/>
    <w:rsid w:val="00A96335"/>
    <w:rsid w:val="00AA07BD"/>
    <w:rsid w:val="00AA6233"/>
    <w:rsid w:val="00AA72C0"/>
    <w:rsid w:val="00AA7BFC"/>
    <w:rsid w:val="00AB1DE1"/>
    <w:rsid w:val="00AB3AD2"/>
    <w:rsid w:val="00AB41C1"/>
    <w:rsid w:val="00AB7002"/>
    <w:rsid w:val="00AB7865"/>
    <w:rsid w:val="00AC2ACE"/>
    <w:rsid w:val="00AC4119"/>
    <w:rsid w:val="00AC429D"/>
    <w:rsid w:val="00AD1AF4"/>
    <w:rsid w:val="00AD369F"/>
    <w:rsid w:val="00AD3D59"/>
    <w:rsid w:val="00AD6D6A"/>
    <w:rsid w:val="00AE0884"/>
    <w:rsid w:val="00AE1737"/>
    <w:rsid w:val="00AE4A94"/>
    <w:rsid w:val="00AE5331"/>
    <w:rsid w:val="00AE6774"/>
    <w:rsid w:val="00AE7663"/>
    <w:rsid w:val="00AE7ACD"/>
    <w:rsid w:val="00AF1FCB"/>
    <w:rsid w:val="00AF3455"/>
    <w:rsid w:val="00AF5CEA"/>
    <w:rsid w:val="00B00A29"/>
    <w:rsid w:val="00B019DC"/>
    <w:rsid w:val="00B02EA8"/>
    <w:rsid w:val="00B0707A"/>
    <w:rsid w:val="00B13B78"/>
    <w:rsid w:val="00B16100"/>
    <w:rsid w:val="00B20807"/>
    <w:rsid w:val="00B2212E"/>
    <w:rsid w:val="00B24B8E"/>
    <w:rsid w:val="00B2507C"/>
    <w:rsid w:val="00B260C1"/>
    <w:rsid w:val="00B2748D"/>
    <w:rsid w:val="00B3135E"/>
    <w:rsid w:val="00B31A62"/>
    <w:rsid w:val="00B34DB9"/>
    <w:rsid w:val="00B35319"/>
    <w:rsid w:val="00B44782"/>
    <w:rsid w:val="00B454F8"/>
    <w:rsid w:val="00B45645"/>
    <w:rsid w:val="00B4675B"/>
    <w:rsid w:val="00B46882"/>
    <w:rsid w:val="00B51670"/>
    <w:rsid w:val="00B522D4"/>
    <w:rsid w:val="00B53D54"/>
    <w:rsid w:val="00B5441E"/>
    <w:rsid w:val="00B54BC3"/>
    <w:rsid w:val="00B554A6"/>
    <w:rsid w:val="00B60A80"/>
    <w:rsid w:val="00B61BBD"/>
    <w:rsid w:val="00B6331D"/>
    <w:rsid w:val="00B637A9"/>
    <w:rsid w:val="00B64781"/>
    <w:rsid w:val="00B65AB2"/>
    <w:rsid w:val="00B65F33"/>
    <w:rsid w:val="00B741DE"/>
    <w:rsid w:val="00B75F25"/>
    <w:rsid w:val="00B82015"/>
    <w:rsid w:val="00B8351B"/>
    <w:rsid w:val="00B90295"/>
    <w:rsid w:val="00B90559"/>
    <w:rsid w:val="00B94580"/>
    <w:rsid w:val="00B94FE6"/>
    <w:rsid w:val="00BA47A1"/>
    <w:rsid w:val="00BA6E4D"/>
    <w:rsid w:val="00BB29B3"/>
    <w:rsid w:val="00BB39D4"/>
    <w:rsid w:val="00BB68E0"/>
    <w:rsid w:val="00BB75E6"/>
    <w:rsid w:val="00BC1300"/>
    <w:rsid w:val="00BC4078"/>
    <w:rsid w:val="00BC58C2"/>
    <w:rsid w:val="00BC6F93"/>
    <w:rsid w:val="00BC75E4"/>
    <w:rsid w:val="00BD046F"/>
    <w:rsid w:val="00BD1B85"/>
    <w:rsid w:val="00BE0118"/>
    <w:rsid w:val="00BE06DF"/>
    <w:rsid w:val="00BE206C"/>
    <w:rsid w:val="00BE449F"/>
    <w:rsid w:val="00BE5877"/>
    <w:rsid w:val="00BE5927"/>
    <w:rsid w:val="00BF130B"/>
    <w:rsid w:val="00BF383F"/>
    <w:rsid w:val="00BF3A97"/>
    <w:rsid w:val="00C024A6"/>
    <w:rsid w:val="00C04174"/>
    <w:rsid w:val="00C04C92"/>
    <w:rsid w:val="00C13D7D"/>
    <w:rsid w:val="00C2440C"/>
    <w:rsid w:val="00C26E89"/>
    <w:rsid w:val="00C278E2"/>
    <w:rsid w:val="00C338D0"/>
    <w:rsid w:val="00C34293"/>
    <w:rsid w:val="00C34355"/>
    <w:rsid w:val="00C35EB6"/>
    <w:rsid w:val="00C36BDE"/>
    <w:rsid w:val="00C379BF"/>
    <w:rsid w:val="00C419D6"/>
    <w:rsid w:val="00C4535D"/>
    <w:rsid w:val="00C5052D"/>
    <w:rsid w:val="00C513C4"/>
    <w:rsid w:val="00C52806"/>
    <w:rsid w:val="00C571C3"/>
    <w:rsid w:val="00C61138"/>
    <w:rsid w:val="00C64B44"/>
    <w:rsid w:val="00C66049"/>
    <w:rsid w:val="00C6693A"/>
    <w:rsid w:val="00C71436"/>
    <w:rsid w:val="00C71687"/>
    <w:rsid w:val="00C72CB2"/>
    <w:rsid w:val="00C72F42"/>
    <w:rsid w:val="00C735A1"/>
    <w:rsid w:val="00C73FB5"/>
    <w:rsid w:val="00C73FBE"/>
    <w:rsid w:val="00C77680"/>
    <w:rsid w:val="00C82E17"/>
    <w:rsid w:val="00C83CD5"/>
    <w:rsid w:val="00C85FE4"/>
    <w:rsid w:val="00C90305"/>
    <w:rsid w:val="00C92F4E"/>
    <w:rsid w:val="00C937E2"/>
    <w:rsid w:val="00CA24D2"/>
    <w:rsid w:val="00CA6363"/>
    <w:rsid w:val="00CA6797"/>
    <w:rsid w:val="00CB497A"/>
    <w:rsid w:val="00CB5B18"/>
    <w:rsid w:val="00CC0B6B"/>
    <w:rsid w:val="00CC237C"/>
    <w:rsid w:val="00CC24E1"/>
    <w:rsid w:val="00CC7E0B"/>
    <w:rsid w:val="00CE1641"/>
    <w:rsid w:val="00CE43DA"/>
    <w:rsid w:val="00CE7919"/>
    <w:rsid w:val="00CF122A"/>
    <w:rsid w:val="00CF2515"/>
    <w:rsid w:val="00CF63EB"/>
    <w:rsid w:val="00CF79F8"/>
    <w:rsid w:val="00D01387"/>
    <w:rsid w:val="00D02D96"/>
    <w:rsid w:val="00D04E28"/>
    <w:rsid w:val="00D0557C"/>
    <w:rsid w:val="00D10EC7"/>
    <w:rsid w:val="00D232B2"/>
    <w:rsid w:val="00D26E00"/>
    <w:rsid w:val="00D3174B"/>
    <w:rsid w:val="00D31E34"/>
    <w:rsid w:val="00D344F3"/>
    <w:rsid w:val="00D36145"/>
    <w:rsid w:val="00D406BD"/>
    <w:rsid w:val="00D50739"/>
    <w:rsid w:val="00D518C6"/>
    <w:rsid w:val="00D5420D"/>
    <w:rsid w:val="00D56677"/>
    <w:rsid w:val="00D60BAB"/>
    <w:rsid w:val="00D64D48"/>
    <w:rsid w:val="00D7145E"/>
    <w:rsid w:val="00D7315E"/>
    <w:rsid w:val="00D73337"/>
    <w:rsid w:val="00D74A0D"/>
    <w:rsid w:val="00D76E5A"/>
    <w:rsid w:val="00D77DB5"/>
    <w:rsid w:val="00D803BC"/>
    <w:rsid w:val="00D81709"/>
    <w:rsid w:val="00D82A28"/>
    <w:rsid w:val="00D87771"/>
    <w:rsid w:val="00D903B4"/>
    <w:rsid w:val="00D90653"/>
    <w:rsid w:val="00D94B49"/>
    <w:rsid w:val="00DA01A7"/>
    <w:rsid w:val="00DA3F52"/>
    <w:rsid w:val="00DB0E30"/>
    <w:rsid w:val="00DC03FA"/>
    <w:rsid w:val="00DD1DD2"/>
    <w:rsid w:val="00DD2F57"/>
    <w:rsid w:val="00DD2FD9"/>
    <w:rsid w:val="00DD51B0"/>
    <w:rsid w:val="00DF35C7"/>
    <w:rsid w:val="00DF6B91"/>
    <w:rsid w:val="00E066DF"/>
    <w:rsid w:val="00E07813"/>
    <w:rsid w:val="00E10885"/>
    <w:rsid w:val="00E173F1"/>
    <w:rsid w:val="00E216AB"/>
    <w:rsid w:val="00E21701"/>
    <w:rsid w:val="00E229CD"/>
    <w:rsid w:val="00E22D31"/>
    <w:rsid w:val="00E23768"/>
    <w:rsid w:val="00E240E7"/>
    <w:rsid w:val="00E34C9A"/>
    <w:rsid w:val="00E34EE9"/>
    <w:rsid w:val="00E372D8"/>
    <w:rsid w:val="00E377E5"/>
    <w:rsid w:val="00E41EB0"/>
    <w:rsid w:val="00E42BD6"/>
    <w:rsid w:val="00E537DC"/>
    <w:rsid w:val="00E543D8"/>
    <w:rsid w:val="00E54F29"/>
    <w:rsid w:val="00E56D48"/>
    <w:rsid w:val="00E62639"/>
    <w:rsid w:val="00E6375E"/>
    <w:rsid w:val="00E639CF"/>
    <w:rsid w:val="00E64E99"/>
    <w:rsid w:val="00E65AE4"/>
    <w:rsid w:val="00E70CD8"/>
    <w:rsid w:val="00E71315"/>
    <w:rsid w:val="00E71789"/>
    <w:rsid w:val="00E71C9A"/>
    <w:rsid w:val="00E75FA9"/>
    <w:rsid w:val="00E81467"/>
    <w:rsid w:val="00E81DAC"/>
    <w:rsid w:val="00E82C00"/>
    <w:rsid w:val="00E84412"/>
    <w:rsid w:val="00E86553"/>
    <w:rsid w:val="00E95A61"/>
    <w:rsid w:val="00EB07DC"/>
    <w:rsid w:val="00EB1783"/>
    <w:rsid w:val="00EB4D8C"/>
    <w:rsid w:val="00EB50BC"/>
    <w:rsid w:val="00EB6882"/>
    <w:rsid w:val="00EC37F3"/>
    <w:rsid w:val="00EC3CDB"/>
    <w:rsid w:val="00EC3F18"/>
    <w:rsid w:val="00EC41B7"/>
    <w:rsid w:val="00EC5A1F"/>
    <w:rsid w:val="00EC6431"/>
    <w:rsid w:val="00EC7A81"/>
    <w:rsid w:val="00EC7F9F"/>
    <w:rsid w:val="00ED0155"/>
    <w:rsid w:val="00EE357A"/>
    <w:rsid w:val="00EE661F"/>
    <w:rsid w:val="00EE785E"/>
    <w:rsid w:val="00EF3299"/>
    <w:rsid w:val="00F06E47"/>
    <w:rsid w:val="00F06EDE"/>
    <w:rsid w:val="00F100A0"/>
    <w:rsid w:val="00F14EC2"/>
    <w:rsid w:val="00F210E7"/>
    <w:rsid w:val="00F23D1B"/>
    <w:rsid w:val="00F30C09"/>
    <w:rsid w:val="00F324E6"/>
    <w:rsid w:val="00F34F72"/>
    <w:rsid w:val="00F37A97"/>
    <w:rsid w:val="00F42450"/>
    <w:rsid w:val="00F43DD8"/>
    <w:rsid w:val="00F46758"/>
    <w:rsid w:val="00F51686"/>
    <w:rsid w:val="00F5248E"/>
    <w:rsid w:val="00F54C81"/>
    <w:rsid w:val="00F57131"/>
    <w:rsid w:val="00F64AD9"/>
    <w:rsid w:val="00F66BA0"/>
    <w:rsid w:val="00F67824"/>
    <w:rsid w:val="00F71E42"/>
    <w:rsid w:val="00F72DC7"/>
    <w:rsid w:val="00F808F4"/>
    <w:rsid w:val="00F8100F"/>
    <w:rsid w:val="00F81105"/>
    <w:rsid w:val="00F81E8D"/>
    <w:rsid w:val="00F821EF"/>
    <w:rsid w:val="00F835E4"/>
    <w:rsid w:val="00F854AE"/>
    <w:rsid w:val="00F87641"/>
    <w:rsid w:val="00F9069A"/>
    <w:rsid w:val="00F93806"/>
    <w:rsid w:val="00F94C26"/>
    <w:rsid w:val="00FA0718"/>
    <w:rsid w:val="00FA33EF"/>
    <w:rsid w:val="00FB12B5"/>
    <w:rsid w:val="00FB1395"/>
    <w:rsid w:val="00FB19A0"/>
    <w:rsid w:val="00FB1BF1"/>
    <w:rsid w:val="00FB36D2"/>
    <w:rsid w:val="00FC1B7A"/>
    <w:rsid w:val="00FE001B"/>
    <w:rsid w:val="00FE3E35"/>
    <w:rsid w:val="00FE54E5"/>
    <w:rsid w:val="00FE5ACB"/>
    <w:rsid w:val="00FE71A9"/>
    <w:rsid w:val="00FF210A"/>
    <w:rsid w:val="010230F9"/>
    <w:rsid w:val="012C2FD5"/>
    <w:rsid w:val="014B2A13"/>
    <w:rsid w:val="020877CF"/>
    <w:rsid w:val="02671BD1"/>
    <w:rsid w:val="03A82039"/>
    <w:rsid w:val="03FC5FFC"/>
    <w:rsid w:val="04597B2D"/>
    <w:rsid w:val="045E6A13"/>
    <w:rsid w:val="04C861A0"/>
    <w:rsid w:val="04F7230C"/>
    <w:rsid w:val="05527330"/>
    <w:rsid w:val="055371E0"/>
    <w:rsid w:val="06036FFA"/>
    <w:rsid w:val="06374CBF"/>
    <w:rsid w:val="06424B75"/>
    <w:rsid w:val="076444C8"/>
    <w:rsid w:val="078B5EF9"/>
    <w:rsid w:val="079E79DA"/>
    <w:rsid w:val="082F6D9B"/>
    <w:rsid w:val="090048DC"/>
    <w:rsid w:val="0972111F"/>
    <w:rsid w:val="0A2E773B"/>
    <w:rsid w:val="0AA413E9"/>
    <w:rsid w:val="0B48482D"/>
    <w:rsid w:val="0B674587"/>
    <w:rsid w:val="0CE95B9C"/>
    <w:rsid w:val="0D222E5C"/>
    <w:rsid w:val="0D2546FA"/>
    <w:rsid w:val="0DC635F4"/>
    <w:rsid w:val="0DFC37C7"/>
    <w:rsid w:val="0E1F5A1B"/>
    <w:rsid w:val="0E3B23DC"/>
    <w:rsid w:val="0EF16F8A"/>
    <w:rsid w:val="0FA61B22"/>
    <w:rsid w:val="0FDF17FB"/>
    <w:rsid w:val="1019100A"/>
    <w:rsid w:val="107C3988"/>
    <w:rsid w:val="12317C8C"/>
    <w:rsid w:val="12445622"/>
    <w:rsid w:val="12635C15"/>
    <w:rsid w:val="1291134C"/>
    <w:rsid w:val="12F26E2C"/>
    <w:rsid w:val="130A2B04"/>
    <w:rsid w:val="13AB7DCD"/>
    <w:rsid w:val="13CE42AC"/>
    <w:rsid w:val="14202A8A"/>
    <w:rsid w:val="144933C4"/>
    <w:rsid w:val="14A910E0"/>
    <w:rsid w:val="14D0454C"/>
    <w:rsid w:val="14FB2910"/>
    <w:rsid w:val="15426081"/>
    <w:rsid w:val="15D5601F"/>
    <w:rsid w:val="15E6309F"/>
    <w:rsid w:val="160F2C75"/>
    <w:rsid w:val="17001735"/>
    <w:rsid w:val="1841269C"/>
    <w:rsid w:val="186B2D16"/>
    <w:rsid w:val="18770500"/>
    <w:rsid w:val="1A331E45"/>
    <w:rsid w:val="1ADF5EC2"/>
    <w:rsid w:val="1B384D1E"/>
    <w:rsid w:val="1BC577D4"/>
    <w:rsid w:val="1BF578CE"/>
    <w:rsid w:val="1C9F2E59"/>
    <w:rsid w:val="1CFD3E77"/>
    <w:rsid w:val="1DA83FF8"/>
    <w:rsid w:val="1DC805B2"/>
    <w:rsid w:val="1E383CAF"/>
    <w:rsid w:val="1FC33A98"/>
    <w:rsid w:val="20270A5D"/>
    <w:rsid w:val="21275AD9"/>
    <w:rsid w:val="22031056"/>
    <w:rsid w:val="220C0AAE"/>
    <w:rsid w:val="26810DF2"/>
    <w:rsid w:val="28D92B11"/>
    <w:rsid w:val="28EF6DDD"/>
    <w:rsid w:val="290976CC"/>
    <w:rsid w:val="290D27BA"/>
    <w:rsid w:val="294641F4"/>
    <w:rsid w:val="29D850CE"/>
    <w:rsid w:val="2A107869"/>
    <w:rsid w:val="2A40115E"/>
    <w:rsid w:val="2AE34015"/>
    <w:rsid w:val="2B6D7540"/>
    <w:rsid w:val="2BB0224F"/>
    <w:rsid w:val="2D22135A"/>
    <w:rsid w:val="2D3A0564"/>
    <w:rsid w:val="2D7050C6"/>
    <w:rsid w:val="2D9E1C33"/>
    <w:rsid w:val="2DCF1A83"/>
    <w:rsid w:val="2E22016B"/>
    <w:rsid w:val="2E3D4AAA"/>
    <w:rsid w:val="2E6D1299"/>
    <w:rsid w:val="2ECB4031"/>
    <w:rsid w:val="2FD92FC4"/>
    <w:rsid w:val="305E3947"/>
    <w:rsid w:val="31DC2E9C"/>
    <w:rsid w:val="32056724"/>
    <w:rsid w:val="332B5EDA"/>
    <w:rsid w:val="33474170"/>
    <w:rsid w:val="3351220E"/>
    <w:rsid w:val="337C2A35"/>
    <w:rsid w:val="338D4C23"/>
    <w:rsid w:val="33AA6B21"/>
    <w:rsid w:val="33AD497E"/>
    <w:rsid w:val="33D07D10"/>
    <w:rsid w:val="35092088"/>
    <w:rsid w:val="357C5512"/>
    <w:rsid w:val="35947DA0"/>
    <w:rsid w:val="35C45D5A"/>
    <w:rsid w:val="369753BC"/>
    <w:rsid w:val="369B429D"/>
    <w:rsid w:val="36CC461C"/>
    <w:rsid w:val="36D21C8D"/>
    <w:rsid w:val="38163439"/>
    <w:rsid w:val="381672D6"/>
    <w:rsid w:val="385B52F0"/>
    <w:rsid w:val="38B2242E"/>
    <w:rsid w:val="390F1063"/>
    <w:rsid w:val="3960126D"/>
    <w:rsid w:val="39C9665C"/>
    <w:rsid w:val="3ADD1FEC"/>
    <w:rsid w:val="3BA527DC"/>
    <w:rsid w:val="3C1F11AC"/>
    <w:rsid w:val="3C502C92"/>
    <w:rsid w:val="3CA50080"/>
    <w:rsid w:val="3CC86905"/>
    <w:rsid w:val="3D454C02"/>
    <w:rsid w:val="3D464EF9"/>
    <w:rsid w:val="3D4A118F"/>
    <w:rsid w:val="3D5C7911"/>
    <w:rsid w:val="3DEB4100"/>
    <w:rsid w:val="3F47057F"/>
    <w:rsid w:val="3F4A6133"/>
    <w:rsid w:val="400C0C7E"/>
    <w:rsid w:val="40A9140A"/>
    <w:rsid w:val="41520861"/>
    <w:rsid w:val="417E7959"/>
    <w:rsid w:val="41F52311"/>
    <w:rsid w:val="42487A81"/>
    <w:rsid w:val="42F54ADA"/>
    <w:rsid w:val="43F860E9"/>
    <w:rsid w:val="4436349B"/>
    <w:rsid w:val="444F55DD"/>
    <w:rsid w:val="446E63AB"/>
    <w:rsid w:val="44C24001"/>
    <w:rsid w:val="44EF2AC9"/>
    <w:rsid w:val="458D0AB3"/>
    <w:rsid w:val="45E76415"/>
    <w:rsid w:val="46805F22"/>
    <w:rsid w:val="46BA0B6E"/>
    <w:rsid w:val="47096A39"/>
    <w:rsid w:val="47D115A7"/>
    <w:rsid w:val="47D2176E"/>
    <w:rsid w:val="48420553"/>
    <w:rsid w:val="48806F87"/>
    <w:rsid w:val="48DD3AFF"/>
    <w:rsid w:val="49AD1724"/>
    <w:rsid w:val="4A4B6102"/>
    <w:rsid w:val="4A761B16"/>
    <w:rsid w:val="4ABB5DEC"/>
    <w:rsid w:val="4B50680B"/>
    <w:rsid w:val="4BF73ADD"/>
    <w:rsid w:val="4C3A59A7"/>
    <w:rsid w:val="4C421DAA"/>
    <w:rsid w:val="4C8043FF"/>
    <w:rsid w:val="4CB1263E"/>
    <w:rsid w:val="4D003831"/>
    <w:rsid w:val="4D101BB2"/>
    <w:rsid w:val="4D782049"/>
    <w:rsid w:val="4E915917"/>
    <w:rsid w:val="4F141762"/>
    <w:rsid w:val="500733EB"/>
    <w:rsid w:val="50EF2A55"/>
    <w:rsid w:val="514630BC"/>
    <w:rsid w:val="51BB11A6"/>
    <w:rsid w:val="52417777"/>
    <w:rsid w:val="529C420B"/>
    <w:rsid w:val="52BE405A"/>
    <w:rsid w:val="53F54ADB"/>
    <w:rsid w:val="54397C63"/>
    <w:rsid w:val="548970F5"/>
    <w:rsid w:val="54D538DD"/>
    <w:rsid w:val="55FA184D"/>
    <w:rsid w:val="56102E3B"/>
    <w:rsid w:val="572F28B6"/>
    <w:rsid w:val="57373AFD"/>
    <w:rsid w:val="578D5600"/>
    <w:rsid w:val="57D82C38"/>
    <w:rsid w:val="57F81DBC"/>
    <w:rsid w:val="58F85DEC"/>
    <w:rsid w:val="593A260D"/>
    <w:rsid w:val="59866806"/>
    <w:rsid w:val="5AF84710"/>
    <w:rsid w:val="5B155711"/>
    <w:rsid w:val="5B3A5B86"/>
    <w:rsid w:val="5B5163B3"/>
    <w:rsid w:val="5B641863"/>
    <w:rsid w:val="5C1A396F"/>
    <w:rsid w:val="5C542BA7"/>
    <w:rsid w:val="5C7D31D8"/>
    <w:rsid w:val="5CFD6159"/>
    <w:rsid w:val="5D321BDF"/>
    <w:rsid w:val="5DF056D5"/>
    <w:rsid w:val="5E14201A"/>
    <w:rsid w:val="5EE66E12"/>
    <w:rsid w:val="5F6D4B9A"/>
    <w:rsid w:val="5F7A1C50"/>
    <w:rsid w:val="5FDC720B"/>
    <w:rsid w:val="5FE15281"/>
    <w:rsid w:val="603B65B5"/>
    <w:rsid w:val="605E745C"/>
    <w:rsid w:val="60712937"/>
    <w:rsid w:val="610E26BD"/>
    <w:rsid w:val="61805D70"/>
    <w:rsid w:val="619C512C"/>
    <w:rsid w:val="61E91312"/>
    <w:rsid w:val="61ED7E8E"/>
    <w:rsid w:val="6283706E"/>
    <w:rsid w:val="62D6719E"/>
    <w:rsid w:val="62E3160D"/>
    <w:rsid w:val="63893169"/>
    <w:rsid w:val="64104931"/>
    <w:rsid w:val="64C51278"/>
    <w:rsid w:val="655C6080"/>
    <w:rsid w:val="65F34EF1"/>
    <w:rsid w:val="6694184A"/>
    <w:rsid w:val="66B9305E"/>
    <w:rsid w:val="66E04A8F"/>
    <w:rsid w:val="670F0C8F"/>
    <w:rsid w:val="677D409D"/>
    <w:rsid w:val="679A69EC"/>
    <w:rsid w:val="687C07E7"/>
    <w:rsid w:val="68901986"/>
    <w:rsid w:val="68EF4B15"/>
    <w:rsid w:val="695232F6"/>
    <w:rsid w:val="69C13E71"/>
    <w:rsid w:val="6ABC7537"/>
    <w:rsid w:val="6B034621"/>
    <w:rsid w:val="6B1D240A"/>
    <w:rsid w:val="6B361121"/>
    <w:rsid w:val="6B8E3977"/>
    <w:rsid w:val="6C0618C6"/>
    <w:rsid w:val="6D683CF7"/>
    <w:rsid w:val="6E0C43BB"/>
    <w:rsid w:val="6E531FEA"/>
    <w:rsid w:val="6E773F0A"/>
    <w:rsid w:val="70181AEE"/>
    <w:rsid w:val="7238577F"/>
    <w:rsid w:val="729F4DE6"/>
    <w:rsid w:val="733118F8"/>
    <w:rsid w:val="733C129F"/>
    <w:rsid w:val="740238FD"/>
    <w:rsid w:val="74237D69"/>
    <w:rsid w:val="74776A1B"/>
    <w:rsid w:val="749D3D2D"/>
    <w:rsid w:val="75613CDD"/>
    <w:rsid w:val="757545F4"/>
    <w:rsid w:val="75D02019"/>
    <w:rsid w:val="75F27645"/>
    <w:rsid w:val="761D53B8"/>
    <w:rsid w:val="765608C9"/>
    <w:rsid w:val="76E2720E"/>
    <w:rsid w:val="76F634F4"/>
    <w:rsid w:val="771103FF"/>
    <w:rsid w:val="7769462C"/>
    <w:rsid w:val="77E62A54"/>
    <w:rsid w:val="7866523B"/>
    <w:rsid w:val="788B0A22"/>
    <w:rsid w:val="790B5C67"/>
    <w:rsid w:val="79D54621"/>
    <w:rsid w:val="79E9735F"/>
    <w:rsid w:val="7AE448F9"/>
    <w:rsid w:val="7B1A518B"/>
    <w:rsid w:val="7B865381"/>
    <w:rsid w:val="7BA36A13"/>
    <w:rsid w:val="7BD505C4"/>
    <w:rsid w:val="7C0D1A2A"/>
    <w:rsid w:val="7C18217D"/>
    <w:rsid w:val="7C1C080B"/>
    <w:rsid w:val="7C3B7FBF"/>
    <w:rsid w:val="7C8660A9"/>
    <w:rsid w:val="7CAE1F43"/>
    <w:rsid w:val="7CBC51FE"/>
    <w:rsid w:val="7E220E91"/>
    <w:rsid w:val="7E3A287F"/>
    <w:rsid w:val="7E8B46EC"/>
    <w:rsid w:val="7E9B42F0"/>
    <w:rsid w:val="7EA36676"/>
    <w:rsid w:val="7EBE0A65"/>
    <w:rsid w:val="7F3E639F"/>
    <w:rsid w:val="7F9B559F"/>
    <w:rsid w:val="7FBA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08" w:lineRule="auto"/>
      <w:outlineLvl w:val="1"/>
    </w:pPr>
    <w:rPr>
      <w:rFonts w:ascii="Cambria" w:hAnsi="Cambria"/>
      <w:b/>
      <w:bCs/>
      <w:sz w:val="32"/>
      <w:szCs w:val="32"/>
    </w:rPr>
  </w:style>
  <w:style w:type="paragraph" w:styleId="4">
    <w:name w:val="heading 3"/>
    <w:basedOn w:val="1"/>
    <w:next w:val="1"/>
    <w:link w:val="54"/>
    <w:qFormat/>
    <w:uiPriority w:val="0"/>
    <w:pPr>
      <w:keepNext/>
      <w:keepLines/>
      <w:spacing w:before="260" w:after="260" w:line="408" w:lineRule="auto"/>
      <w:outlineLvl w:val="2"/>
    </w:pPr>
    <w:rPr>
      <w:rFonts w:ascii="宋体" w:hAnsi="宋体"/>
      <w:kern w:val="0"/>
      <w:sz w:val="20"/>
    </w:rPr>
  </w:style>
  <w:style w:type="paragraph" w:styleId="5">
    <w:name w:val="heading 4"/>
    <w:basedOn w:val="1"/>
    <w:link w:val="55"/>
    <w:qFormat/>
    <w:uiPriority w:val="0"/>
    <w:pPr>
      <w:widowControl/>
      <w:spacing w:before="100" w:beforeAutospacing="1" w:after="100" w:afterAutospacing="1"/>
      <w:jc w:val="left"/>
      <w:outlineLvl w:val="3"/>
    </w:pPr>
    <w:rPr>
      <w:rFonts w:ascii="仿宋_GB2312" w:eastAsia="仿宋_GB2312"/>
      <w:b/>
      <w:sz w:val="28"/>
    </w:rPr>
  </w:style>
  <w:style w:type="paragraph" w:styleId="6">
    <w:name w:val="heading 5"/>
    <w:basedOn w:val="1"/>
    <w:link w:val="56"/>
    <w:qFormat/>
    <w:uiPriority w:val="0"/>
    <w:pPr>
      <w:widowControl/>
      <w:spacing w:before="100" w:beforeAutospacing="1" w:after="100" w:afterAutospacing="1"/>
      <w:jc w:val="left"/>
      <w:outlineLvl w:val="4"/>
    </w:pPr>
    <w:rPr>
      <w:rFonts w:ascii="仿宋_GB2312" w:eastAsia="仿宋_GB2312"/>
      <w:b/>
    </w:rPr>
  </w:style>
  <w:style w:type="paragraph" w:styleId="7">
    <w:name w:val="heading 6"/>
    <w:basedOn w:val="8"/>
    <w:next w:val="1"/>
    <w:link w:val="57"/>
    <w:qFormat/>
    <w:uiPriority w:val="0"/>
    <w:pPr>
      <w:keepNext/>
      <w:keepLines/>
      <w:ind w:firstLine="200" w:firstLineChars="200"/>
      <w:outlineLvl w:val="5"/>
    </w:pPr>
    <w:rPr>
      <w:rFonts w:ascii="仿宋_GB2312"/>
      <w:b/>
      <w:kern w:val="2"/>
      <w:sz w:val="21"/>
      <w:szCs w:val="24"/>
    </w:rPr>
  </w:style>
  <w:style w:type="paragraph" w:styleId="9">
    <w:name w:val="heading 7"/>
    <w:basedOn w:val="1"/>
    <w:next w:val="1"/>
    <w:link w:val="58"/>
    <w:qFormat/>
    <w:uiPriority w:val="0"/>
    <w:pPr>
      <w:keepNext/>
      <w:keepLines/>
      <w:adjustRightInd w:val="0"/>
      <w:spacing w:line="480" w:lineRule="atLeast"/>
      <w:ind w:left="175" w:leftChars="175" w:hanging="900" w:hangingChars="300"/>
      <w:outlineLvl w:val="6"/>
    </w:pPr>
    <w:rPr>
      <w:rFonts w:ascii="宋体" w:hAnsi="宋体"/>
      <w:i/>
      <w:sz w:val="22"/>
    </w:rPr>
  </w:style>
  <w:style w:type="paragraph" w:styleId="10">
    <w:name w:val="heading 8"/>
    <w:basedOn w:val="1"/>
    <w:next w:val="1"/>
    <w:link w:val="59"/>
    <w:qFormat/>
    <w:uiPriority w:val="0"/>
    <w:pPr>
      <w:adjustRightInd w:val="0"/>
      <w:spacing w:line="480" w:lineRule="atLeast"/>
      <w:ind w:left="450" w:leftChars="450" w:hanging="882" w:hangingChars="294"/>
      <w:outlineLvl w:val="7"/>
    </w:pPr>
    <w:rPr>
      <w:rFonts w:ascii="宋体" w:hAnsi="宋体"/>
      <w:i/>
      <w:sz w:val="22"/>
    </w:rPr>
  </w:style>
  <w:style w:type="paragraph" w:styleId="11">
    <w:name w:val="heading 9"/>
    <w:basedOn w:val="1"/>
    <w:next w:val="1"/>
    <w:link w:val="60"/>
    <w:qFormat/>
    <w:uiPriority w:val="0"/>
    <w:pPr>
      <w:keepNext/>
      <w:keepLines/>
      <w:adjustRightInd w:val="0"/>
      <w:spacing w:line="480" w:lineRule="atLeast"/>
      <w:ind w:left="715" w:leftChars="715" w:hanging="834" w:hangingChars="278"/>
      <w:outlineLvl w:val="8"/>
    </w:pPr>
    <w:rPr>
      <w:rFonts w:ascii="宋体" w:hAnsi="宋体"/>
      <w:sz w:val="18"/>
      <w:szCs w:val="18"/>
    </w:r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Document Map"/>
    <w:basedOn w:val="1"/>
    <w:link w:val="61"/>
    <w:qFormat/>
    <w:uiPriority w:val="0"/>
    <w:rPr>
      <w:rFonts w:ascii="宋体"/>
      <w:sz w:val="18"/>
      <w:szCs w:val="18"/>
    </w:rPr>
  </w:style>
  <w:style w:type="paragraph" w:styleId="14">
    <w:name w:val="annotation text"/>
    <w:basedOn w:val="1"/>
    <w:link w:val="62"/>
    <w:qFormat/>
    <w:uiPriority w:val="0"/>
    <w:pPr>
      <w:jc w:val="left"/>
    </w:pPr>
    <w:rPr>
      <w:rFonts w:ascii="仿宋_GB2312" w:eastAsia="仿宋_GB2312"/>
      <w:b/>
      <w:sz w:val="28"/>
      <w:szCs w:val="20"/>
    </w:rPr>
  </w:style>
  <w:style w:type="paragraph" w:styleId="15">
    <w:name w:val="Body Text 3"/>
    <w:basedOn w:val="1"/>
    <w:link w:val="63"/>
    <w:qFormat/>
    <w:uiPriority w:val="0"/>
    <w:pPr>
      <w:spacing w:after="120"/>
    </w:pPr>
    <w:rPr>
      <w:rFonts w:ascii="宋体" w:hAnsi="宋体"/>
      <w:kern w:val="0"/>
      <w:sz w:val="28"/>
      <w:szCs w:val="28"/>
    </w:rPr>
  </w:style>
  <w:style w:type="paragraph" w:styleId="16">
    <w:name w:val="Body Text"/>
    <w:basedOn w:val="1"/>
    <w:link w:val="64"/>
    <w:qFormat/>
    <w:uiPriority w:val="0"/>
    <w:pPr>
      <w:spacing w:after="120"/>
    </w:pPr>
    <w:rPr>
      <w:rFonts w:ascii="宋体" w:hAnsi="宋体"/>
    </w:rPr>
  </w:style>
  <w:style w:type="paragraph" w:styleId="17">
    <w:name w:val="Body Text Indent"/>
    <w:basedOn w:val="1"/>
    <w:link w:val="65"/>
    <w:qFormat/>
    <w:uiPriority w:val="0"/>
    <w:pPr>
      <w:ind w:firstLine="407" w:firstLineChars="200"/>
    </w:pPr>
    <w:rPr>
      <w:rFonts w:ascii="宋体" w:hAnsi="宋体" w:cs="宋体"/>
      <w:sz w:val="18"/>
      <w:szCs w:val="18"/>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sz w:val="18"/>
      <w:szCs w:val="18"/>
    </w:rPr>
  </w:style>
  <w:style w:type="paragraph" w:styleId="20">
    <w:name w:val="toc 3"/>
    <w:basedOn w:val="4"/>
    <w:next w:val="1"/>
    <w:qFormat/>
    <w:uiPriority w:val="39"/>
    <w:pPr>
      <w:keepNext w:val="0"/>
      <w:keepLines w:val="0"/>
      <w:spacing w:before="0" w:after="0" w:line="240" w:lineRule="auto"/>
      <w:ind w:left="420"/>
      <w:jc w:val="left"/>
      <w:outlineLvl w:val="9"/>
    </w:pPr>
    <w:rPr>
      <w:rFonts w:ascii="Times New Roman" w:hAnsi="Times New Roman"/>
      <w:i/>
      <w:iCs/>
      <w:kern w:val="2"/>
      <w:szCs w:val="20"/>
    </w:rPr>
  </w:style>
  <w:style w:type="paragraph" w:styleId="21">
    <w:name w:val="Plain Text"/>
    <w:basedOn w:val="1"/>
    <w:link w:val="66"/>
    <w:qFormat/>
    <w:uiPriority w:val="0"/>
    <w:rPr>
      <w:rFonts w:ascii="仿宋_GB2312" w:eastAsia="仿宋_GB2312"/>
      <w:b/>
      <w:sz w:val="28"/>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7"/>
    <w:qFormat/>
    <w:uiPriority w:val="0"/>
    <w:pPr>
      <w:ind w:left="2500" w:leftChars="2500"/>
    </w:pPr>
    <w:rPr>
      <w:rFonts w:ascii="宋体" w:hAnsi="宋体"/>
      <w:sz w:val="18"/>
      <w:szCs w:val="18"/>
    </w:rPr>
  </w:style>
  <w:style w:type="paragraph" w:styleId="24">
    <w:name w:val="Body Text Indent 2"/>
    <w:basedOn w:val="1"/>
    <w:link w:val="68"/>
    <w:qFormat/>
    <w:uiPriority w:val="0"/>
    <w:pPr>
      <w:widowControl/>
      <w:spacing w:line="480" w:lineRule="auto"/>
      <w:ind w:firstLine="560"/>
      <w:jc w:val="left"/>
    </w:pPr>
    <w:rPr>
      <w:rFonts w:ascii="宋体" w:hAnsi="宋体"/>
      <w:kern w:val="0"/>
      <w:sz w:val="20"/>
      <w:u w:val="single"/>
      <w:lang w:eastAsia="en-US"/>
    </w:rPr>
  </w:style>
  <w:style w:type="paragraph" w:styleId="25">
    <w:name w:val="endnote text"/>
    <w:basedOn w:val="1"/>
    <w:link w:val="69"/>
    <w:qFormat/>
    <w:uiPriority w:val="0"/>
    <w:pPr>
      <w:widowControl/>
      <w:snapToGrid w:val="0"/>
      <w:jc w:val="left"/>
    </w:pPr>
    <w:rPr>
      <w:rFonts w:ascii="宋体" w:hAnsi="宋体"/>
      <w:kern w:val="0"/>
      <w:sz w:val="28"/>
    </w:rPr>
  </w:style>
  <w:style w:type="paragraph" w:styleId="26">
    <w:name w:val="Balloon Text"/>
    <w:basedOn w:val="1"/>
    <w:link w:val="70"/>
    <w:qFormat/>
    <w:uiPriority w:val="0"/>
    <w:rPr>
      <w:rFonts w:ascii="宋体" w:hAnsi="宋体"/>
      <w:b/>
      <w:bCs/>
      <w:kern w:val="0"/>
      <w:sz w:val="20"/>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0">
    <w:name w:val="toc 4"/>
    <w:basedOn w:val="5"/>
    <w:next w:val="1"/>
    <w:qFormat/>
    <w:uiPriority w:val="39"/>
    <w:pPr>
      <w:widowControl w:val="0"/>
      <w:spacing w:before="0" w:beforeAutospacing="0" w:after="0" w:afterAutospacing="0"/>
      <w:ind w:left="630"/>
      <w:outlineLvl w:val="9"/>
    </w:pPr>
    <w:rPr>
      <w:rFonts w:ascii="Times New Roman" w:eastAsia="宋体"/>
      <w:b w:val="0"/>
      <w:sz w:val="18"/>
      <w:szCs w:val="18"/>
    </w:rPr>
  </w:style>
  <w:style w:type="paragraph" w:styleId="31">
    <w:name w:val="Subtitle"/>
    <w:basedOn w:val="1"/>
    <w:next w:val="1"/>
    <w:link w:val="73"/>
    <w:qFormat/>
    <w:uiPriority w:val="0"/>
    <w:pPr>
      <w:widowControl/>
      <w:jc w:val="center"/>
    </w:pPr>
    <w:rPr>
      <w:rFonts w:ascii="Cambria" w:hAnsi="Cambria"/>
      <w:b/>
      <w:bCs/>
      <w:kern w:val="28"/>
      <w:sz w:val="32"/>
      <w:szCs w:val="32"/>
    </w:rPr>
  </w:style>
  <w:style w:type="paragraph" w:styleId="32">
    <w:name w:val="footnote text"/>
    <w:basedOn w:val="1"/>
    <w:link w:val="74"/>
    <w:qFormat/>
    <w:uiPriority w:val="0"/>
    <w:pPr>
      <w:widowControl/>
      <w:snapToGrid w:val="0"/>
      <w:jc w:val="left"/>
    </w:pPr>
    <w:rPr>
      <w:rFonts w:ascii="宋体" w:hAnsi="宋体"/>
      <w:kern w:val="0"/>
      <w:sz w:val="16"/>
      <w:szCs w:val="16"/>
    </w:rPr>
  </w:style>
  <w:style w:type="paragraph" w:styleId="33">
    <w:name w:val="toc 6"/>
    <w:basedOn w:val="1"/>
    <w:next w:val="1"/>
    <w:qFormat/>
    <w:uiPriority w:val="39"/>
    <w:pPr>
      <w:ind w:left="1050"/>
      <w:jc w:val="left"/>
    </w:pPr>
    <w:rPr>
      <w:sz w:val="18"/>
      <w:szCs w:val="18"/>
    </w:rPr>
  </w:style>
  <w:style w:type="paragraph" w:styleId="34">
    <w:name w:val="Body Text Indent 3"/>
    <w:basedOn w:val="1"/>
    <w:link w:val="75"/>
    <w:qFormat/>
    <w:uiPriority w:val="0"/>
    <w:pPr>
      <w:spacing w:line="360" w:lineRule="auto"/>
      <w:ind w:firstLine="280" w:firstLineChars="100"/>
    </w:pPr>
    <w:rPr>
      <w:rFonts w:ascii="宋体" w:hAnsi="宋体"/>
      <w:kern w:val="0"/>
      <w:sz w:val="20"/>
      <w:u w:val="single"/>
      <w:lang w:eastAsia="en-US"/>
    </w:rPr>
  </w:style>
  <w:style w:type="paragraph" w:styleId="35">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qFormat/>
    <w:uiPriority w:val="0"/>
    <w:rPr>
      <w:i/>
      <w:iCs/>
      <w:sz w:val="26"/>
    </w:rPr>
  </w:style>
  <w:style w:type="paragraph" w:styleId="38">
    <w:name w:val="List Continue 2"/>
    <w:basedOn w:val="1"/>
    <w:qFormat/>
    <w:uiPriority w:val="0"/>
    <w:pPr>
      <w:spacing w:after="120"/>
      <w:ind w:left="840" w:leftChars="400"/>
    </w:pPr>
  </w:style>
  <w:style w:type="paragraph" w:styleId="39">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仿宋_GB2312" w:eastAsia="仿宋_GB2312"/>
      <w:b/>
      <w:szCs w:val="20"/>
    </w:rPr>
  </w:style>
  <w:style w:type="paragraph" w:styleId="40">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41">
    <w:name w:val="Title"/>
    <w:basedOn w:val="1"/>
    <w:link w:val="77"/>
    <w:qFormat/>
    <w:uiPriority w:val="0"/>
    <w:pPr>
      <w:widowControl/>
      <w:jc w:val="center"/>
    </w:pPr>
    <w:rPr>
      <w:rFonts w:ascii="宋体" w:hAnsi="宋体"/>
      <w:kern w:val="0"/>
      <w:sz w:val="20"/>
    </w:rPr>
  </w:style>
  <w:style w:type="paragraph" w:styleId="42">
    <w:name w:val="annotation subject"/>
    <w:basedOn w:val="14"/>
    <w:next w:val="14"/>
    <w:link w:val="78"/>
    <w:qFormat/>
    <w:uiPriority w:val="0"/>
    <w:rPr>
      <w:rFonts w:ascii="宋体" w:hAnsi="Courier New" w:eastAsia="宋体"/>
      <w:b w:val="0"/>
      <w:kern w:val="0"/>
      <w:sz w:val="20"/>
      <w:szCs w:val="21"/>
    </w:rPr>
  </w:style>
  <w:style w:type="paragraph" w:styleId="43">
    <w:name w:val="Body Text First Indent 2"/>
    <w:basedOn w:val="17"/>
    <w:next w:val="1"/>
    <w:qFormat/>
    <w:uiPriority w:val="0"/>
    <w:pPr>
      <w:spacing w:after="120"/>
      <w:ind w:left="420" w:leftChars="200" w:firstLine="420"/>
    </w:pPr>
    <w:rPr>
      <w:sz w:val="21"/>
    </w:r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标题 1 Char"/>
    <w:link w:val="2"/>
    <w:qFormat/>
    <w:uiPriority w:val="0"/>
    <w:rPr>
      <w:rFonts w:eastAsia="宋体"/>
      <w:b/>
      <w:bCs/>
      <w:kern w:val="44"/>
      <w:sz w:val="44"/>
      <w:szCs w:val="44"/>
      <w:lang w:val="en-US" w:eastAsia="zh-CN" w:bidi="ar-SA"/>
    </w:rPr>
  </w:style>
  <w:style w:type="character" w:customStyle="1" w:styleId="53">
    <w:name w:val="标题 2 Char1"/>
    <w:link w:val="3"/>
    <w:qFormat/>
    <w:uiPriority w:val="0"/>
    <w:rPr>
      <w:rFonts w:ascii="Cambria" w:hAnsi="Cambria" w:eastAsia="宋体"/>
      <w:b/>
      <w:bCs/>
      <w:kern w:val="2"/>
      <w:sz w:val="32"/>
      <w:szCs w:val="32"/>
      <w:lang w:val="en-US" w:eastAsia="zh-CN" w:bidi="ar-SA"/>
    </w:rPr>
  </w:style>
  <w:style w:type="character" w:customStyle="1" w:styleId="54">
    <w:name w:val="标题 3 Char"/>
    <w:link w:val="4"/>
    <w:qFormat/>
    <w:uiPriority w:val="0"/>
    <w:rPr>
      <w:rFonts w:ascii="宋体" w:hAnsi="宋体" w:eastAsia="宋体"/>
      <w:szCs w:val="24"/>
      <w:lang w:bidi="ar-SA"/>
    </w:rPr>
  </w:style>
  <w:style w:type="character" w:customStyle="1" w:styleId="55">
    <w:name w:val="标题 4 Char"/>
    <w:link w:val="5"/>
    <w:qFormat/>
    <w:uiPriority w:val="0"/>
    <w:rPr>
      <w:rFonts w:ascii="仿宋_GB2312" w:eastAsia="仿宋_GB2312"/>
      <w:b/>
      <w:kern w:val="2"/>
      <w:sz w:val="28"/>
      <w:szCs w:val="24"/>
      <w:lang w:val="en-US" w:eastAsia="zh-CN" w:bidi="ar-SA"/>
    </w:rPr>
  </w:style>
  <w:style w:type="character" w:customStyle="1" w:styleId="56">
    <w:name w:val="标题 5 Char"/>
    <w:link w:val="6"/>
    <w:qFormat/>
    <w:uiPriority w:val="0"/>
    <w:rPr>
      <w:rFonts w:ascii="仿宋_GB2312" w:eastAsia="仿宋_GB2312"/>
      <w:b/>
      <w:kern w:val="2"/>
      <w:sz w:val="21"/>
      <w:szCs w:val="24"/>
      <w:lang w:val="en-US" w:eastAsia="zh-CN" w:bidi="ar-SA"/>
    </w:rPr>
  </w:style>
  <w:style w:type="character" w:customStyle="1" w:styleId="57">
    <w:name w:val="标题 6 Char"/>
    <w:link w:val="7"/>
    <w:qFormat/>
    <w:uiPriority w:val="0"/>
    <w:rPr>
      <w:rFonts w:ascii="仿宋_GB2312" w:eastAsia="仿宋_GB2312"/>
      <w:b/>
      <w:kern w:val="2"/>
      <w:sz w:val="21"/>
      <w:szCs w:val="24"/>
      <w:lang w:val="en-US" w:eastAsia="zh-CN" w:bidi="ar-SA"/>
    </w:rPr>
  </w:style>
  <w:style w:type="character" w:customStyle="1" w:styleId="58">
    <w:name w:val="标题 7 Char"/>
    <w:link w:val="9"/>
    <w:qFormat/>
    <w:uiPriority w:val="0"/>
    <w:rPr>
      <w:rFonts w:ascii="宋体" w:hAnsi="宋体" w:eastAsia="宋体"/>
      <w:i/>
      <w:kern w:val="2"/>
      <w:sz w:val="22"/>
      <w:szCs w:val="24"/>
      <w:lang w:val="en-US" w:eastAsia="zh-CN" w:bidi="ar-SA"/>
    </w:rPr>
  </w:style>
  <w:style w:type="character" w:customStyle="1" w:styleId="59">
    <w:name w:val="标题 8 Char"/>
    <w:link w:val="10"/>
    <w:qFormat/>
    <w:uiPriority w:val="0"/>
    <w:rPr>
      <w:rFonts w:ascii="宋体" w:hAnsi="宋体" w:eastAsia="宋体"/>
      <w:i/>
      <w:kern w:val="2"/>
      <w:sz w:val="22"/>
      <w:szCs w:val="24"/>
      <w:lang w:val="en-US" w:eastAsia="zh-CN" w:bidi="ar-SA"/>
    </w:rPr>
  </w:style>
  <w:style w:type="character" w:customStyle="1" w:styleId="60">
    <w:name w:val="标题 9 Char"/>
    <w:link w:val="11"/>
    <w:qFormat/>
    <w:uiPriority w:val="0"/>
    <w:rPr>
      <w:rFonts w:ascii="宋体" w:hAnsi="宋体" w:eastAsia="宋体"/>
      <w:kern w:val="2"/>
      <w:sz w:val="18"/>
      <w:szCs w:val="18"/>
      <w:lang w:val="en-US" w:eastAsia="zh-CN" w:bidi="ar-SA"/>
    </w:rPr>
  </w:style>
  <w:style w:type="character" w:customStyle="1" w:styleId="61">
    <w:name w:val="文档结构图 Char"/>
    <w:link w:val="13"/>
    <w:qFormat/>
    <w:uiPriority w:val="0"/>
    <w:rPr>
      <w:rFonts w:ascii="宋体" w:eastAsia="宋体"/>
      <w:kern w:val="2"/>
      <w:sz w:val="18"/>
      <w:szCs w:val="18"/>
      <w:lang w:val="en-US" w:eastAsia="zh-CN" w:bidi="ar-SA"/>
    </w:rPr>
  </w:style>
  <w:style w:type="character" w:customStyle="1" w:styleId="62">
    <w:name w:val="批注文字 Char1"/>
    <w:link w:val="14"/>
    <w:qFormat/>
    <w:uiPriority w:val="0"/>
    <w:rPr>
      <w:rFonts w:ascii="仿宋_GB2312" w:eastAsia="仿宋_GB2312"/>
      <w:b/>
      <w:kern w:val="2"/>
      <w:sz w:val="28"/>
      <w:lang w:bidi="ar-SA"/>
    </w:rPr>
  </w:style>
  <w:style w:type="character" w:customStyle="1" w:styleId="63">
    <w:name w:val="正文文本 3 Char"/>
    <w:link w:val="15"/>
    <w:qFormat/>
    <w:uiPriority w:val="0"/>
    <w:rPr>
      <w:rFonts w:ascii="宋体" w:hAnsi="宋体" w:eastAsia="宋体"/>
      <w:sz w:val="28"/>
      <w:szCs w:val="28"/>
      <w:lang w:bidi="ar-SA"/>
    </w:rPr>
  </w:style>
  <w:style w:type="character" w:customStyle="1" w:styleId="64">
    <w:name w:val="正文文本 Char1"/>
    <w:link w:val="16"/>
    <w:qFormat/>
    <w:uiPriority w:val="0"/>
    <w:rPr>
      <w:rFonts w:ascii="宋体" w:hAnsi="宋体" w:eastAsia="宋体"/>
      <w:kern w:val="2"/>
      <w:sz w:val="21"/>
      <w:szCs w:val="24"/>
      <w:lang w:val="en-US" w:eastAsia="zh-CN" w:bidi="ar-SA"/>
    </w:rPr>
  </w:style>
  <w:style w:type="character" w:customStyle="1" w:styleId="65">
    <w:name w:val="正文文本缩进 Char"/>
    <w:link w:val="17"/>
    <w:qFormat/>
    <w:uiPriority w:val="0"/>
    <w:rPr>
      <w:rFonts w:ascii="宋体" w:hAnsi="宋体" w:cs="宋体"/>
      <w:kern w:val="2"/>
      <w:sz w:val="18"/>
      <w:szCs w:val="18"/>
      <w:lang w:bidi="ar-SA"/>
    </w:rPr>
  </w:style>
  <w:style w:type="character" w:customStyle="1" w:styleId="66">
    <w:name w:val="纯文本 Char"/>
    <w:link w:val="21"/>
    <w:qFormat/>
    <w:uiPriority w:val="0"/>
    <w:rPr>
      <w:rFonts w:ascii="仿宋_GB2312" w:eastAsia="仿宋_GB2312"/>
      <w:b/>
      <w:kern w:val="2"/>
      <w:sz w:val="28"/>
      <w:lang w:bidi="ar-SA"/>
    </w:rPr>
  </w:style>
  <w:style w:type="character" w:customStyle="1" w:styleId="67">
    <w:name w:val="日期 Char"/>
    <w:link w:val="23"/>
    <w:qFormat/>
    <w:uiPriority w:val="0"/>
    <w:rPr>
      <w:rFonts w:ascii="宋体" w:hAnsi="宋体" w:eastAsia="宋体"/>
      <w:kern w:val="2"/>
      <w:sz w:val="18"/>
      <w:szCs w:val="18"/>
      <w:lang w:val="en-US" w:eastAsia="zh-CN" w:bidi="ar-SA"/>
    </w:rPr>
  </w:style>
  <w:style w:type="character" w:customStyle="1" w:styleId="68">
    <w:name w:val="正文文本缩进 2 Char"/>
    <w:link w:val="24"/>
    <w:qFormat/>
    <w:uiPriority w:val="0"/>
    <w:rPr>
      <w:rFonts w:ascii="宋体" w:hAnsi="宋体" w:eastAsia="宋体"/>
      <w:szCs w:val="24"/>
      <w:u w:val="single"/>
      <w:lang w:eastAsia="en-US" w:bidi="ar-SA"/>
    </w:rPr>
  </w:style>
  <w:style w:type="character" w:customStyle="1" w:styleId="69">
    <w:name w:val="尾注文本 Char"/>
    <w:link w:val="25"/>
    <w:qFormat/>
    <w:uiPriority w:val="0"/>
    <w:rPr>
      <w:rFonts w:ascii="宋体" w:hAnsi="宋体" w:eastAsia="宋体"/>
      <w:sz w:val="28"/>
      <w:szCs w:val="24"/>
      <w:lang w:bidi="ar-SA"/>
    </w:rPr>
  </w:style>
  <w:style w:type="character" w:customStyle="1" w:styleId="70">
    <w:name w:val="批注框文本 Char"/>
    <w:link w:val="26"/>
    <w:qFormat/>
    <w:uiPriority w:val="0"/>
    <w:rPr>
      <w:rFonts w:ascii="宋体" w:hAnsi="宋体" w:eastAsia="宋体"/>
      <w:b/>
      <w:bCs/>
      <w:szCs w:val="24"/>
      <w:lang w:bidi="ar-SA"/>
    </w:rPr>
  </w:style>
  <w:style w:type="character" w:customStyle="1" w:styleId="71">
    <w:name w:val="页脚 Char"/>
    <w:link w:val="27"/>
    <w:qFormat/>
    <w:uiPriority w:val="0"/>
    <w:rPr>
      <w:rFonts w:eastAsia="宋体"/>
      <w:kern w:val="2"/>
      <w:sz w:val="18"/>
      <w:szCs w:val="18"/>
      <w:lang w:val="en-US" w:eastAsia="zh-CN" w:bidi="ar-SA"/>
    </w:rPr>
  </w:style>
  <w:style w:type="character" w:customStyle="1" w:styleId="72">
    <w:name w:val="页眉 Char"/>
    <w:link w:val="28"/>
    <w:qFormat/>
    <w:uiPriority w:val="0"/>
    <w:rPr>
      <w:rFonts w:eastAsia="宋体"/>
      <w:kern w:val="2"/>
      <w:sz w:val="18"/>
      <w:szCs w:val="18"/>
      <w:lang w:val="en-US" w:eastAsia="zh-CN" w:bidi="ar-SA"/>
    </w:rPr>
  </w:style>
  <w:style w:type="character" w:customStyle="1" w:styleId="73">
    <w:name w:val="副标题 Char"/>
    <w:link w:val="31"/>
    <w:qFormat/>
    <w:uiPriority w:val="0"/>
    <w:rPr>
      <w:rFonts w:ascii="Cambria" w:hAnsi="Cambria" w:cs="Times New Roman"/>
      <w:b/>
      <w:bCs/>
      <w:kern w:val="28"/>
      <w:sz w:val="32"/>
      <w:szCs w:val="32"/>
    </w:rPr>
  </w:style>
  <w:style w:type="character" w:customStyle="1" w:styleId="74">
    <w:name w:val="脚注文本 Char"/>
    <w:link w:val="32"/>
    <w:qFormat/>
    <w:uiPriority w:val="0"/>
    <w:rPr>
      <w:rFonts w:ascii="宋体" w:hAnsi="宋体" w:eastAsia="宋体"/>
      <w:sz w:val="16"/>
      <w:szCs w:val="16"/>
      <w:lang w:bidi="ar-SA"/>
    </w:rPr>
  </w:style>
  <w:style w:type="character" w:customStyle="1" w:styleId="75">
    <w:name w:val="正文文本缩进 3 Char"/>
    <w:link w:val="34"/>
    <w:qFormat/>
    <w:uiPriority w:val="0"/>
    <w:rPr>
      <w:rFonts w:ascii="宋体" w:hAnsi="宋体" w:eastAsia="宋体"/>
      <w:szCs w:val="24"/>
      <w:u w:val="single"/>
      <w:lang w:eastAsia="en-US" w:bidi="ar-SA"/>
    </w:rPr>
  </w:style>
  <w:style w:type="character" w:customStyle="1" w:styleId="76">
    <w:name w:val="HTML 预设格式 Char"/>
    <w:link w:val="39"/>
    <w:qFormat/>
    <w:uiPriority w:val="0"/>
    <w:rPr>
      <w:rFonts w:ascii="仿宋_GB2312" w:eastAsia="仿宋_GB2312"/>
      <w:b/>
      <w:kern w:val="2"/>
      <w:sz w:val="21"/>
      <w:lang w:bidi="ar-SA"/>
    </w:rPr>
  </w:style>
  <w:style w:type="character" w:customStyle="1" w:styleId="77">
    <w:name w:val="标题 Char"/>
    <w:link w:val="41"/>
    <w:qFormat/>
    <w:uiPriority w:val="0"/>
    <w:rPr>
      <w:rFonts w:ascii="宋体" w:hAnsi="宋体" w:eastAsia="宋体"/>
      <w:szCs w:val="24"/>
      <w:lang w:bidi="ar-SA"/>
    </w:rPr>
  </w:style>
  <w:style w:type="character" w:customStyle="1" w:styleId="78">
    <w:name w:val="批注主题 Char"/>
    <w:link w:val="42"/>
    <w:qFormat/>
    <w:uiPriority w:val="0"/>
    <w:rPr>
      <w:rFonts w:ascii="宋体" w:hAnsi="Courier New" w:eastAsia="宋体"/>
      <w:szCs w:val="21"/>
      <w:lang w:bidi="ar-SA"/>
    </w:rPr>
  </w:style>
  <w:style w:type="character" w:customStyle="1" w:styleId="79">
    <w:name w:val="Char1 Char Char"/>
    <w:link w:val="80"/>
    <w:qFormat/>
    <w:uiPriority w:val="0"/>
    <w:rPr>
      <w:rFonts w:ascii="Tahoma" w:hAnsi="Tahoma" w:eastAsia="宋体" w:cs="宋体"/>
      <w:kern w:val="2"/>
      <w:sz w:val="24"/>
      <w:szCs w:val="26"/>
      <w:lang w:val="en-US" w:eastAsia="zh-CN" w:bidi="ar-SA"/>
    </w:rPr>
  </w:style>
  <w:style w:type="paragraph" w:customStyle="1" w:styleId="80">
    <w:name w:val="Char1"/>
    <w:basedOn w:val="1"/>
    <w:link w:val="79"/>
    <w:qFormat/>
    <w:uiPriority w:val="0"/>
    <w:pPr>
      <w:spacing w:before="156" w:beforeLines="50" w:after="156" w:afterLines="50"/>
    </w:pPr>
    <w:rPr>
      <w:rFonts w:ascii="Tahoma" w:hAnsi="Tahoma" w:cs="宋体"/>
      <w:sz w:val="24"/>
      <w:szCs w:val="26"/>
    </w:rPr>
  </w:style>
  <w:style w:type="character" w:customStyle="1" w:styleId="81">
    <w:name w:val="段 Char Char"/>
    <w:link w:val="82"/>
    <w:qFormat/>
    <w:uiPriority w:val="0"/>
    <w:rPr>
      <w:rFonts w:ascii="宋体"/>
      <w:sz w:val="21"/>
      <w:lang w:val="en-US" w:eastAsia="zh-CN" w:bidi="ar-SA"/>
    </w:rPr>
  </w:style>
  <w:style w:type="paragraph" w:customStyle="1" w:styleId="82">
    <w:name w:val="段"/>
    <w:link w:val="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3">
    <w:name w:val="Char Char14"/>
    <w:qFormat/>
    <w:uiPriority w:val="0"/>
    <w:rPr>
      <w:kern w:val="2"/>
      <w:sz w:val="18"/>
      <w:szCs w:val="18"/>
    </w:rPr>
  </w:style>
  <w:style w:type="character" w:customStyle="1" w:styleId="84">
    <w:name w:val="Char Char4"/>
    <w:qFormat/>
    <w:uiPriority w:val="0"/>
    <w:rPr>
      <w:kern w:val="2"/>
      <w:sz w:val="26"/>
      <w:szCs w:val="24"/>
    </w:rPr>
  </w:style>
  <w:style w:type="character" w:customStyle="1" w:styleId="85">
    <w:name w:val="Char Char8"/>
    <w:qFormat/>
    <w:uiPriority w:val="0"/>
    <w:rPr>
      <w:kern w:val="2"/>
      <w:sz w:val="18"/>
      <w:szCs w:val="18"/>
    </w:rPr>
  </w:style>
  <w:style w:type="character" w:customStyle="1" w:styleId="86">
    <w:name w:val="文字 Char Char"/>
    <w:link w:val="87"/>
    <w:qFormat/>
    <w:uiPriority w:val="0"/>
    <w:rPr>
      <w:rFonts w:ascii="宋体" w:eastAsia="宋体"/>
      <w:kern w:val="2"/>
      <w:sz w:val="28"/>
      <w:lang w:val="en-US" w:eastAsia="zh-CN" w:bidi="ar-SA"/>
    </w:rPr>
  </w:style>
  <w:style w:type="paragraph" w:customStyle="1" w:styleId="87">
    <w:name w:val="文字"/>
    <w:basedOn w:val="1"/>
    <w:link w:val="86"/>
    <w:qFormat/>
    <w:uiPriority w:val="0"/>
    <w:pPr>
      <w:tabs>
        <w:tab w:val="left" w:pos="8520"/>
      </w:tabs>
      <w:spacing w:line="312" w:lineRule="auto"/>
      <w:ind w:right="-210" w:firstLine="556"/>
    </w:pPr>
    <w:rPr>
      <w:rFonts w:ascii="宋体"/>
      <w:sz w:val="28"/>
      <w:szCs w:val="20"/>
    </w:rPr>
  </w:style>
  <w:style w:type="character" w:customStyle="1" w:styleId="88">
    <w:name w:val="Char Char6"/>
    <w:qFormat/>
    <w:uiPriority w:val="0"/>
  </w:style>
  <w:style w:type="character" w:customStyle="1" w:styleId="89">
    <w:name w:val="Char Char5"/>
    <w:qFormat/>
    <w:uiPriority w:val="0"/>
    <w:rPr>
      <w:sz w:val="24"/>
    </w:rPr>
  </w:style>
  <w:style w:type="character" w:customStyle="1" w:styleId="90">
    <w:name w:val="页码1"/>
    <w:qFormat/>
    <w:uiPriority w:val="0"/>
  </w:style>
  <w:style w:type="character" w:customStyle="1" w:styleId="91">
    <w:name w:val="Char Char12"/>
    <w:qFormat/>
    <w:uiPriority w:val="0"/>
    <w:rPr>
      <w:rFonts w:ascii="仿宋_GB2312" w:eastAsia="仿宋_GB2312" w:cs="MingLiU"/>
      <w:b/>
      <w:spacing w:val="1"/>
      <w:w w:val="99"/>
      <w:sz w:val="28"/>
      <w:szCs w:val="32"/>
    </w:rPr>
  </w:style>
  <w:style w:type="character" w:customStyle="1" w:styleId="92">
    <w:name w:val="Char Char11"/>
    <w:qFormat/>
    <w:locked/>
    <w:uiPriority w:val="0"/>
    <w:rPr>
      <w:rFonts w:eastAsia="黑体"/>
      <w:kern w:val="2"/>
      <w:sz w:val="44"/>
      <w:lang w:val="en-US" w:eastAsia="zh-CN"/>
    </w:rPr>
  </w:style>
  <w:style w:type="character" w:customStyle="1" w:styleId="93">
    <w:name w:val="Char Char7"/>
    <w:qFormat/>
    <w:uiPriority w:val="0"/>
    <w:rPr>
      <w:kern w:val="2"/>
      <w:sz w:val="18"/>
      <w:szCs w:val="18"/>
    </w:rPr>
  </w:style>
  <w:style w:type="character" w:customStyle="1" w:styleId="94">
    <w:name w:val="js_location_string"/>
    <w:qFormat/>
    <w:uiPriority w:val="0"/>
  </w:style>
  <w:style w:type="character" w:customStyle="1" w:styleId="95">
    <w:name w:val="Char Char9"/>
    <w:qFormat/>
    <w:uiPriority w:val="0"/>
    <w:rPr>
      <w:kern w:val="2"/>
      <w:sz w:val="18"/>
      <w:szCs w:val="18"/>
    </w:rPr>
  </w:style>
  <w:style w:type="character" w:customStyle="1" w:styleId="96">
    <w:name w:val="列出段落 Char"/>
    <w:link w:val="97"/>
    <w:qFormat/>
    <w:uiPriority w:val="0"/>
    <w:rPr>
      <w:kern w:val="2"/>
      <w:sz w:val="28"/>
      <w:szCs w:val="28"/>
    </w:rPr>
  </w:style>
  <w:style w:type="paragraph" w:styleId="97">
    <w:name w:val="List Paragraph"/>
    <w:basedOn w:val="1"/>
    <w:link w:val="96"/>
    <w:qFormat/>
    <w:uiPriority w:val="0"/>
    <w:pPr>
      <w:ind w:firstLine="420" w:firstLineChars="200"/>
    </w:pPr>
    <w:rPr>
      <w:sz w:val="28"/>
      <w:szCs w:val="28"/>
    </w:rPr>
  </w:style>
  <w:style w:type="character" w:customStyle="1" w:styleId="98">
    <w:name w:val="font01"/>
    <w:qFormat/>
    <w:uiPriority w:val="0"/>
    <w:rPr>
      <w:rFonts w:hint="eastAsia" w:ascii="宋体" w:hAnsi="宋体" w:eastAsia="宋体" w:cs="宋体"/>
      <w:color w:val="000000"/>
      <w:sz w:val="24"/>
      <w:szCs w:val="24"/>
      <w:u w:val="none"/>
    </w:rPr>
  </w:style>
  <w:style w:type="character" w:customStyle="1" w:styleId="99">
    <w:name w:val="Char Char10"/>
    <w:qFormat/>
    <w:uiPriority w:val="0"/>
    <w:rPr>
      <w:rFonts w:ascii="仿宋_GB2312" w:eastAsia="仿宋_GB2312" w:cs="MingLiU"/>
      <w:b/>
      <w:sz w:val="24"/>
      <w:szCs w:val="28"/>
    </w:rPr>
  </w:style>
  <w:style w:type="character" w:customStyle="1" w:styleId="100">
    <w:name w:val="font11"/>
    <w:qFormat/>
    <w:uiPriority w:val="0"/>
    <w:rPr>
      <w:rFonts w:hint="eastAsia" w:ascii="宋体" w:hAnsi="宋体" w:eastAsia="宋体" w:cs="宋体"/>
      <w:color w:val="000000"/>
      <w:sz w:val="18"/>
      <w:szCs w:val="18"/>
    </w:rPr>
  </w:style>
  <w:style w:type="character" w:customStyle="1" w:styleId="101">
    <w:name w:val="Char Char24"/>
    <w:qFormat/>
    <w:uiPriority w:val="0"/>
    <w:rPr>
      <w:b/>
      <w:bCs/>
      <w:kern w:val="44"/>
      <w:sz w:val="44"/>
      <w:szCs w:val="44"/>
    </w:rPr>
  </w:style>
  <w:style w:type="character" w:customStyle="1" w:styleId="102">
    <w:name w:val="ca-141"/>
    <w:qFormat/>
    <w:uiPriority w:val="0"/>
    <w:rPr>
      <w:rFonts w:hint="eastAsia" w:ascii="仿宋_GB2312" w:eastAsia="仿宋_GB2312"/>
      <w:sz w:val="21"/>
      <w:szCs w:val="21"/>
    </w:rPr>
  </w:style>
  <w:style w:type="character" w:customStyle="1" w:styleId="103">
    <w:name w:val="Char Char111"/>
    <w:qFormat/>
    <w:uiPriority w:val="0"/>
    <w:rPr>
      <w:rFonts w:ascii="仿宋_GB2312" w:eastAsia="仿宋_GB2312" w:cs="MingLiU"/>
      <w:b/>
      <w:sz w:val="24"/>
      <w:szCs w:val="28"/>
    </w:rPr>
  </w:style>
  <w:style w:type="character" w:customStyle="1" w:styleId="104">
    <w:name w:val="apple-converted-space"/>
    <w:qFormat/>
    <w:uiPriority w:val="0"/>
  </w:style>
  <w:style w:type="character" w:customStyle="1" w:styleId="105">
    <w:name w:val="Char Char13"/>
    <w:qFormat/>
    <w:uiPriority w:val="0"/>
    <w:rPr>
      <w:rFonts w:eastAsia="黑体"/>
      <w:kern w:val="2"/>
      <w:sz w:val="44"/>
      <w:szCs w:val="44"/>
      <w:lang w:bidi="ar-SA"/>
    </w:rPr>
  </w:style>
  <w:style w:type="paragraph" w:customStyle="1" w:styleId="10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7">
    <w:name w:val="菲页1"/>
    <w:basedOn w:val="3"/>
    <w:qFormat/>
    <w:uiPriority w:val="0"/>
    <w:pPr>
      <w:widowControl/>
      <w:numPr>
        <w:ilvl w:val="1"/>
        <w:numId w:val="1"/>
      </w:numPr>
      <w:tabs>
        <w:tab w:val="left" w:pos="992"/>
      </w:tabs>
      <w:spacing w:line="360" w:lineRule="auto"/>
      <w:jc w:val="center"/>
    </w:pPr>
    <w:rPr>
      <w:rFonts w:ascii="黑体" w:hAnsi="宋体" w:eastAsia="仿宋_GB2312"/>
      <w:sz w:val="52"/>
      <w:szCs w:val="28"/>
    </w:rPr>
  </w:style>
  <w:style w:type="paragraph" w:customStyle="1" w:styleId="108">
    <w:name w:val="Table Paragraph"/>
    <w:basedOn w:val="1"/>
    <w:qFormat/>
    <w:uiPriority w:val="99"/>
    <w:pPr>
      <w:autoSpaceDE w:val="0"/>
      <w:autoSpaceDN w:val="0"/>
      <w:adjustRightInd w:val="0"/>
      <w:jc w:val="left"/>
    </w:pPr>
    <w:rPr>
      <w:kern w:val="0"/>
      <w:sz w:val="24"/>
    </w:rPr>
  </w:style>
  <w:style w:type="paragraph" w:customStyle="1" w:styleId="109">
    <w:name w:val="标题-8"/>
    <w:basedOn w:val="1"/>
    <w:next w:val="1"/>
    <w:qFormat/>
    <w:uiPriority w:val="0"/>
    <w:pPr>
      <w:tabs>
        <w:tab w:val="left" w:pos="1418"/>
      </w:tabs>
      <w:snapToGrid w:val="0"/>
      <w:spacing w:line="360" w:lineRule="auto"/>
      <w:ind w:left="1418" w:hanging="1418"/>
      <w:outlineLvl w:val="7"/>
    </w:pPr>
  </w:style>
  <w:style w:type="paragraph" w:customStyle="1" w:styleId="110">
    <w:name w:val="页脚 New New New"/>
    <w:basedOn w:val="1"/>
    <w:qFormat/>
    <w:uiPriority w:val="0"/>
    <w:pPr>
      <w:tabs>
        <w:tab w:val="center" w:pos="4153"/>
        <w:tab w:val="right" w:pos="8306"/>
      </w:tabs>
      <w:snapToGrid w:val="0"/>
      <w:jc w:val="left"/>
    </w:pPr>
    <w:rPr>
      <w:sz w:val="18"/>
      <w:szCs w:val="18"/>
    </w:rPr>
  </w:style>
  <w:style w:type="paragraph" w:customStyle="1" w:styleId="111">
    <w:name w:val="页脚 New New"/>
    <w:basedOn w:val="1"/>
    <w:qFormat/>
    <w:uiPriority w:val="0"/>
    <w:pPr>
      <w:tabs>
        <w:tab w:val="center" w:pos="4153"/>
        <w:tab w:val="right" w:pos="8306"/>
      </w:tabs>
      <w:snapToGrid w:val="0"/>
      <w:jc w:val="left"/>
    </w:pPr>
    <w:rPr>
      <w:sz w:val="18"/>
      <w:szCs w:val="18"/>
    </w:rPr>
  </w:style>
  <w:style w:type="paragraph" w:customStyle="1" w:styleId="112">
    <w:name w:val="页脚 New"/>
    <w:basedOn w:val="1"/>
    <w:qFormat/>
    <w:uiPriority w:val="0"/>
    <w:pPr>
      <w:tabs>
        <w:tab w:val="center" w:pos="4153"/>
        <w:tab w:val="right" w:pos="8306"/>
      </w:tabs>
      <w:snapToGrid w:val="0"/>
      <w:jc w:val="left"/>
    </w:pPr>
    <w:rPr>
      <w:sz w:val="18"/>
      <w:szCs w:val="18"/>
    </w:rPr>
  </w:style>
  <w:style w:type="paragraph" w:customStyle="1" w:styleId="113">
    <w:name w:val="页脚 New New New New"/>
    <w:basedOn w:val="1"/>
    <w:qFormat/>
    <w:uiPriority w:val="0"/>
    <w:pPr>
      <w:tabs>
        <w:tab w:val="center" w:pos="4153"/>
        <w:tab w:val="right" w:pos="8306"/>
      </w:tabs>
      <w:snapToGrid w:val="0"/>
      <w:jc w:val="left"/>
    </w:pPr>
    <w:rPr>
      <w:sz w:val="18"/>
      <w:szCs w:val="18"/>
    </w:rPr>
  </w:style>
  <w:style w:type="paragraph" w:customStyle="1" w:styleId="114">
    <w:name w:val="标题 31"/>
    <w:basedOn w:val="1"/>
    <w:qFormat/>
    <w:uiPriority w:val="0"/>
    <w:pPr>
      <w:autoSpaceDE w:val="0"/>
      <w:autoSpaceDN w:val="0"/>
      <w:adjustRightInd w:val="0"/>
      <w:ind w:left="756"/>
      <w:jc w:val="left"/>
      <w:outlineLvl w:val="2"/>
    </w:pPr>
    <w:rPr>
      <w:rFonts w:ascii="宋体" w:cs="宋体"/>
      <w:b/>
      <w:bCs/>
      <w:kern w:val="0"/>
      <w:sz w:val="36"/>
      <w:szCs w:val="36"/>
    </w:rPr>
  </w:style>
  <w:style w:type="paragraph" w:customStyle="1" w:styleId="115">
    <w:name w:val="标题 51"/>
    <w:basedOn w:val="1"/>
    <w:qFormat/>
    <w:uiPriority w:val="0"/>
    <w:pPr>
      <w:autoSpaceDE w:val="0"/>
      <w:autoSpaceDN w:val="0"/>
      <w:adjustRightInd w:val="0"/>
      <w:ind w:left="118"/>
      <w:jc w:val="left"/>
      <w:outlineLvl w:val="4"/>
    </w:pPr>
    <w:rPr>
      <w:rFonts w:ascii="宋体" w:cs="宋体"/>
      <w:b/>
      <w:bCs/>
      <w:kern w:val="0"/>
      <w:sz w:val="28"/>
      <w:szCs w:val="28"/>
    </w:rPr>
  </w:style>
  <w:style w:type="paragraph" w:customStyle="1" w:styleId="116">
    <w:name w:val="_Style 115"/>
    <w:qFormat/>
    <w:uiPriority w:val="0"/>
    <w:rPr>
      <w:rFonts w:ascii="Times New Roman" w:hAnsi="Times New Roman" w:eastAsia="宋体" w:cs="Times New Roman"/>
      <w:kern w:val="2"/>
      <w:sz w:val="21"/>
      <w:szCs w:val="24"/>
      <w:lang w:val="en-US" w:eastAsia="zh-CN" w:bidi="ar-SA"/>
    </w:rPr>
  </w:style>
  <w:style w:type="paragraph" w:customStyle="1" w:styleId="117">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8">
    <w:name w:val="标题 11"/>
    <w:basedOn w:val="1"/>
    <w:qFormat/>
    <w:uiPriority w:val="0"/>
    <w:pPr>
      <w:autoSpaceDE w:val="0"/>
      <w:autoSpaceDN w:val="0"/>
      <w:adjustRightInd w:val="0"/>
      <w:ind w:left="228"/>
      <w:jc w:val="left"/>
      <w:outlineLvl w:val="0"/>
    </w:pPr>
    <w:rPr>
      <w:rFonts w:ascii="宋体" w:cs="宋体"/>
      <w:b/>
      <w:bCs/>
      <w:kern w:val="0"/>
      <w:sz w:val="84"/>
      <w:szCs w:val="84"/>
    </w:rPr>
  </w:style>
  <w:style w:type="paragraph" w:customStyle="1" w:styleId="119">
    <w:name w:val="标题 81"/>
    <w:basedOn w:val="1"/>
    <w:qFormat/>
    <w:uiPriority w:val="0"/>
    <w:pPr>
      <w:autoSpaceDE w:val="0"/>
      <w:autoSpaceDN w:val="0"/>
      <w:adjustRightInd w:val="0"/>
      <w:spacing w:before="29"/>
      <w:ind w:left="100"/>
      <w:jc w:val="left"/>
      <w:outlineLvl w:val="7"/>
    </w:pPr>
    <w:rPr>
      <w:rFonts w:ascii="宋体" w:cs="宋体"/>
      <w:kern w:val="0"/>
      <w:sz w:val="24"/>
    </w:rPr>
  </w:style>
  <w:style w:type="paragraph" w:customStyle="1" w:styleId="120">
    <w:name w:val="节"/>
    <w:basedOn w:val="3"/>
    <w:qFormat/>
    <w:uiPriority w:val="0"/>
    <w:pPr>
      <w:numPr>
        <w:ilvl w:val="1"/>
        <w:numId w:val="2"/>
      </w:numPr>
      <w:spacing w:line="240" w:lineRule="auto"/>
    </w:pPr>
    <w:rPr>
      <w:rFonts w:ascii="黑体" w:hAnsi="Arial" w:eastAsia="黑体"/>
      <w:bCs w:val="0"/>
      <w:sz w:val="28"/>
      <w:szCs w:val="28"/>
    </w:rPr>
  </w:style>
  <w:style w:type="paragraph" w:customStyle="1" w:styleId="121">
    <w:name w:val="标题 41"/>
    <w:basedOn w:val="1"/>
    <w:qFormat/>
    <w:uiPriority w:val="0"/>
    <w:pPr>
      <w:autoSpaceDE w:val="0"/>
      <w:autoSpaceDN w:val="0"/>
      <w:adjustRightInd w:val="0"/>
      <w:spacing w:before="12"/>
      <w:ind w:left="1135"/>
      <w:jc w:val="left"/>
      <w:outlineLvl w:val="3"/>
    </w:pPr>
    <w:rPr>
      <w:rFonts w:ascii="宋体" w:cs="宋体"/>
      <w:b/>
      <w:bCs/>
      <w:kern w:val="0"/>
      <w:sz w:val="30"/>
      <w:szCs w:val="30"/>
    </w:rPr>
  </w:style>
  <w:style w:type="paragraph" w:customStyle="1" w:styleId="122">
    <w:name w:val="Char"/>
    <w:basedOn w:val="1"/>
    <w:qFormat/>
    <w:uiPriority w:val="0"/>
  </w:style>
  <w:style w:type="paragraph" w:customStyle="1" w:styleId="1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4">
    <w:name w:val="_Style 12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Char Char16 Char Char"/>
    <w:basedOn w:val="1"/>
    <w:qFormat/>
    <w:uiPriority w:val="0"/>
  </w:style>
  <w:style w:type="paragraph" w:customStyle="1" w:styleId="126">
    <w:name w:val="目录文字"/>
    <w:basedOn w:val="1"/>
    <w:qFormat/>
    <w:uiPriority w:val="0"/>
    <w:pPr>
      <w:widowControl/>
      <w:spacing w:line="480" w:lineRule="auto"/>
      <w:jc w:val="left"/>
    </w:pPr>
    <w:rPr>
      <w:rFonts w:ascii="宋体" w:hAnsi="宋体"/>
      <w:kern w:val="0"/>
      <w:sz w:val="24"/>
      <w:szCs w:val="20"/>
    </w:rPr>
  </w:style>
  <w:style w:type="paragraph" w:customStyle="1" w:styleId="127">
    <w:name w:val="p22"/>
    <w:basedOn w:val="1"/>
    <w:qFormat/>
    <w:uiPriority w:val="0"/>
    <w:pPr>
      <w:widowControl/>
      <w:spacing w:line="360" w:lineRule="atLeast"/>
      <w:ind w:firstLine="420"/>
      <w:jc w:val="left"/>
    </w:pPr>
    <w:rPr>
      <w:rFonts w:ascii="宋体" w:hAnsi="宋体" w:cs="宋体"/>
      <w:kern w:val="0"/>
      <w:sz w:val="24"/>
    </w:rPr>
  </w:style>
  <w:style w:type="paragraph" w:customStyle="1" w:styleId="128">
    <w:name w:val="Char Char1 Char Char Char Char Char Char Char"/>
    <w:basedOn w:val="1"/>
    <w:qFormat/>
    <w:uiPriority w:val="0"/>
    <w:pPr>
      <w:pageBreakBefore/>
    </w:pPr>
  </w:style>
  <w:style w:type="paragraph" w:customStyle="1" w:styleId="12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0">
    <w:name w:val="Char2"/>
    <w:basedOn w:val="1"/>
    <w:qFormat/>
    <w:uiPriority w:val="0"/>
    <w:pPr>
      <w:spacing w:before="156" w:beforeLines="50" w:after="156" w:afterLines="50"/>
      <w:ind w:firstLine="200" w:firstLineChars="200"/>
    </w:pPr>
  </w:style>
  <w:style w:type="paragraph" w:customStyle="1" w:styleId="131">
    <w:name w:val="p16"/>
    <w:basedOn w:val="1"/>
    <w:qFormat/>
    <w:uiPriority w:val="0"/>
    <w:pPr>
      <w:widowControl/>
      <w:ind w:left="420"/>
      <w:jc w:val="left"/>
    </w:pPr>
    <w:rPr>
      <w:kern w:val="0"/>
      <w:szCs w:val="21"/>
    </w:rPr>
  </w:style>
  <w:style w:type="paragraph" w:customStyle="1" w:styleId="132">
    <w:name w:val="p17"/>
    <w:basedOn w:val="1"/>
    <w:qFormat/>
    <w:uiPriority w:val="0"/>
    <w:pPr>
      <w:widowControl/>
    </w:pPr>
    <w:rPr>
      <w:kern w:val="0"/>
      <w:szCs w:val="21"/>
    </w:rPr>
  </w:style>
  <w:style w:type="paragraph" w:customStyle="1" w:styleId="133">
    <w:name w:val="Normal_1"/>
    <w:qFormat/>
    <w:uiPriority w:val="0"/>
    <w:pPr>
      <w:spacing w:before="120" w:after="240"/>
      <w:jc w:val="both"/>
    </w:pPr>
    <w:rPr>
      <w:rFonts w:ascii="Calibri" w:hAnsi="Calibri" w:eastAsia="宋体" w:cs="Times New Roman"/>
      <w:sz w:val="22"/>
      <w:szCs w:val="22"/>
      <w:lang w:val="en-US" w:eastAsia="en-US" w:bidi="ar-SA"/>
    </w:rPr>
  </w:style>
  <w:style w:type="paragraph" w:customStyle="1" w:styleId="134">
    <w:name w:val="标题 91"/>
    <w:basedOn w:val="1"/>
    <w:qFormat/>
    <w:uiPriority w:val="0"/>
    <w:pPr>
      <w:autoSpaceDE w:val="0"/>
      <w:autoSpaceDN w:val="0"/>
      <w:adjustRightInd w:val="0"/>
      <w:spacing w:before="37"/>
      <w:ind w:left="100"/>
      <w:jc w:val="left"/>
      <w:outlineLvl w:val="8"/>
    </w:pPr>
    <w:rPr>
      <w:rFonts w:ascii="宋体" w:cs="宋体"/>
      <w:b/>
      <w:bCs/>
      <w:kern w:val="0"/>
      <w:szCs w:val="21"/>
    </w:rPr>
  </w:style>
  <w:style w:type="paragraph" w:customStyle="1" w:styleId="135">
    <w:name w:val="页脚 New New New New New"/>
    <w:basedOn w:val="1"/>
    <w:qFormat/>
    <w:uiPriority w:val="0"/>
    <w:pPr>
      <w:tabs>
        <w:tab w:val="center" w:pos="4153"/>
        <w:tab w:val="right" w:pos="8306"/>
      </w:tabs>
      <w:snapToGrid w:val="0"/>
      <w:jc w:val="left"/>
    </w:pPr>
    <w:rPr>
      <w:sz w:val="18"/>
      <w:szCs w:val="18"/>
    </w:rPr>
  </w:style>
  <w:style w:type="paragraph" w:customStyle="1" w:styleId="136">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7">
    <w:name w:val="Char Char16"/>
    <w:basedOn w:val="1"/>
    <w:qFormat/>
    <w:uiPriority w:val="0"/>
    <w:pPr>
      <w:spacing w:before="156" w:beforeLines="50" w:after="156" w:afterLines="50"/>
      <w:ind w:firstLine="200" w:firstLineChars="200"/>
    </w:pPr>
  </w:style>
  <w:style w:type="paragraph" w:customStyle="1" w:styleId="138">
    <w:name w:val="Char4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39">
    <w:name w:val="pa-34"/>
    <w:basedOn w:val="1"/>
    <w:qFormat/>
    <w:uiPriority w:val="0"/>
    <w:pPr>
      <w:widowControl/>
      <w:spacing w:line="360" w:lineRule="atLeast"/>
      <w:ind w:firstLine="420"/>
      <w:jc w:val="left"/>
    </w:pPr>
    <w:rPr>
      <w:rFonts w:ascii="宋体" w:hAnsi="宋体" w:cs="宋体"/>
      <w:kern w:val="0"/>
      <w:sz w:val="24"/>
    </w:rPr>
  </w:style>
  <w:style w:type="paragraph" w:customStyle="1" w:styleId="140">
    <w:name w:val="Char Char Char Char Char Char Char"/>
    <w:basedOn w:val="1"/>
    <w:qFormat/>
    <w:uiPriority w:val="0"/>
    <w:pPr>
      <w:widowControl/>
      <w:spacing w:after="160" w:line="240" w:lineRule="exact"/>
      <w:jc w:val="left"/>
    </w:pPr>
    <w:rPr>
      <w:szCs w:val="20"/>
    </w:rPr>
  </w:style>
  <w:style w:type="paragraph" w:customStyle="1" w:styleId="141">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2">
    <w:name w:val="标题 61"/>
    <w:basedOn w:val="1"/>
    <w:qFormat/>
    <w:uiPriority w:val="0"/>
    <w:pPr>
      <w:autoSpaceDE w:val="0"/>
      <w:autoSpaceDN w:val="0"/>
      <w:adjustRightInd w:val="0"/>
      <w:spacing w:before="6"/>
      <w:ind w:left="100"/>
      <w:jc w:val="left"/>
      <w:outlineLvl w:val="5"/>
    </w:pPr>
    <w:rPr>
      <w:rFonts w:ascii="宋体" w:cs="宋体"/>
      <w:kern w:val="0"/>
      <w:sz w:val="28"/>
      <w:szCs w:val="28"/>
    </w:rPr>
  </w:style>
  <w:style w:type="paragraph" w:customStyle="1" w:styleId="143">
    <w:name w:val="标题 21"/>
    <w:basedOn w:val="1"/>
    <w:qFormat/>
    <w:uiPriority w:val="0"/>
    <w:pPr>
      <w:autoSpaceDE w:val="0"/>
      <w:autoSpaceDN w:val="0"/>
      <w:adjustRightInd w:val="0"/>
      <w:jc w:val="left"/>
      <w:outlineLvl w:val="1"/>
    </w:pPr>
    <w:rPr>
      <w:rFonts w:ascii="宋体" w:cs="宋体"/>
      <w:b/>
      <w:bCs/>
      <w:kern w:val="0"/>
      <w:sz w:val="44"/>
      <w:szCs w:val="44"/>
    </w:rPr>
  </w:style>
  <w:style w:type="paragraph" w:customStyle="1" w:styleId="144">
    <w:name w:val="List Paragraph1"/>
    <w:basedOn w:val="1"/>
    <w:qFormat/>
    <w:uiPriority w:val="0"/>
    <w:pPr>
      <w:autoSpaceDE w:val="0"/>
      <w:autoSpaceDN w:val="0"/>
      <w:adjustRightInd w:val="0"/>
      <w:jc w:val="left"/>
    </w:pPr>
    <w:rPr>
      <w:kern w:val="0"/>
      <w:sz w:val="24"/>
    </w:rPr>
  </w:style>
  <w:style w:type="paragraph" w:customStyle="1" w:styleId="145">
    <w:name w:val="默认段落字体 Para Char Char Char Char"/>
    <w:basedOn w:val="1"/>
    <w:qFormat/>
    <w:uiPriority w:val="0"/>
  </w:style>
  <w:style w:type="paragraph" w:customStyle="1" w:styleId="146">
    <w:name w:val="标题 71"/>
    <w:basedOn w:val="1"/>
    <w:qFormat/>
    <w:uiPriority w:val="0"/>
    <w:pPr>
      <w:autoSpaceDE w:val="0"/>
      <w:autoSpaceDN w:val="0"/>
      <w:adjustRightInd w:val="0"/>
      <w:ind w:left="100"/>
      <w:jc w:val="left"/>
      <w:outlineLvl w:val="6"/>
    </w:pPr>
    <w:rPr>
      <w:rFonts w:ascii="宋体" w:cs="宋体"/>
      <w:b/>
      <w:bCs/>
      <w:kern w:val="0"/>
      <w:sz w:val="24"/>
    </w:rPr>
  </w:style>
  <w:style w:type="paragraph" w:customStyle="1" w:styleId="147">
    <w:name w:val="p20"/>
    <w:basedOn w:val="1"/>
    <w:qFormat/>
    <w:uiPriority w:val="0"/>
    <w:pPr>
      <w:widowControl/>
      <w:spacing w:after="120"/>
      <w:ind w:left="420"/>
    </w:pPr>
    <w:rPr>
      <w:kern w:val="0"/>
      <w:szCs w:val="21"/>
    </w:rPr>
  </w:style>
  <w:style w:type="paragraph" w:customStyle="1" w:styleId="1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50">
    <w:name w:val="樣式1"/>
    <w:basedOn w:val="1"/>
    <w:qFormat/>
    <w:uiPriority w:val="0"/>
    <w:pPr>
      <w:snapToGrid w:val="0"/>
      <w:spacing w:line="360" w:lineRule="atLeast"/>
    </w:pPr>
    <w:rPr>
      <w:rFonts w:eastAsia="華康簡楷"/>
      <w:sz w:val="26"/>
      <w:szCs w:val="20"/>
      <w:lang w:eastAsia="zh-TW"/>
    </w:rPr>
  </w:style>
  <w:style w:type="paragraph" w:customStyle="1" w:styleId="151">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正文字缩2字"/>
    <w:basedOn w:val="1"/>
    <w:qFormat/>
    <w:uiPriority w:val="99"/>
    <w:pPr>
      <w:spacing w:before="60" w:after="60" w:line="360" w:lineRule="auto"/>
      <w:ind w:left="200" w:leftChars="200" w:firstLine="200" w:firstLineChars="200"/>
    </w:pPr>
    <w:rPr>
      <w:sz w:val="24"/>
      <w:szCs w:val="20"/>
    </w:rPr>
  </w:style>
  <w:style w:type="paragraph" w:customStyle="1" w:styleId="155">
    <w:name w:val="列出段落1"/>
    <w:basedOn w:val="1"/>
    <w:qFormat/>
    <w:uiPriority w:val="0"/>
    <w:pPr>
      <w:ind w:firstLine="420" w:firstLineChars="200"/>
    </w:pPr>
    <w:rPr>
      <w:rFonts w:ascii="Calibri" w:hAnsi="Calibri"/>
      <w:szCs w:val="21"/>
    </w:rPr>
  </w:style>
  <w:style w:type="paragraph" w:customStyle="1" w:styleId="156">
    <w:name w:val="纯文本1"/>
    <w:basedOn w:val="1"/>
    <w:qFormat/>
    <w:uiPriority w:val="0"/>
    <w:pPr>
      <w:adjustRightInd w:val="0"/>
      <w:textAlignment w:val="baseline"/>
    </w:pPr>
    <w:rPr>
      <w:rFonts w:ascii="宋体" w:hAnsi="Courier New" w:eastAsia="楷体_GB2312"/>
      <w:sz w:val="26"/>
      <w:szCs w:val="20"/>
    </w:rPr>
  </w:style>
  <w:style w:type="character" w:customStyle="1" w:styleId="157">
    <w:name w:val="标题 2 Char"/>
    <w:qFormat/>
    <w:uiPriority w:val="0"/>
    <w:rPr>
      <w:rFonts w:ascii="Arial" w:hAnsi="Arial" w:eastAsia="黑体"/>
      <w:b/>
      <w:bCs/>
      <w:kern w:val="2"/>
      <w:sz w:val="32"/>
      <w:szCs w:val="32"/>
      <w:lang w:val="en-US" w:eastAsia="zh-CN" w:bidi="ar-SA"/>
    </w:rPr>
  </w:style>
  <w:style w:type="character" w:customStyle="1" w:styleId="158">
    <w:name w:val="批注文字 Char"/>
    <w:qFormat/>
    <w:uiPriority w:val="0"/>
    <w:rPr>
      <w:rFonts w:ascii="仿宋_GB2312" w:eastAsia="仿宋_GB2312"/>
      <w:b/>
      <w:kern w:val="2"/>
      <w:sz w:val="28"/>
      <w:lang w:bidi="ar-SA"/>
    </w:rPr>
  </w:style>
  <w:style w:type="character" w:customStyle="1" w:styleId="159">
    <w:name w:val="正文文本 Char"/>
    <w:qFormat/>
    <w:uiPriority w:val="0"/>
    <w:rPr>
      <w:rFonts w:ascii="宋体" w:hAnsi="宋体" w:eastAsia="宋体"/>
      <w:kern w:val="2"/>
      <w:sz w:val="21"/>
      <w:szCs w:val="24"/>
      <w:lang w:val="en-US" w:eastAsia="zh-CN" w:bidi="ar-SA"/>
    </w:rPr>
  </w:style>
  <w:style w:type="character" w:customStyle="1" w:styleId="160">
    <w:name w:val="_Style 159"/>
    <w:unhideWhenUsed/>
    <w:qFormat/>
    <w:uiPriority w:val="99"/>
    <w:rPr>
      <w:color w:val="605E5C"/>
      <w:shd w:val="clear" w:color="auto" w:fill="E1DFDD"/>
    </w:rPr>
  </w:style>
  <w:style w:type="paragraph" w:customStyle="1" w:styleId="161">
    <w:name w:val="图例"/>
    <w:basedOn w:val="1"/>
    <w:qFormat/>
    <w:uiPriority w:val="0"/>
    <w:pPr>
      <w:spacing w:before="120" w:after="120" w:line="360" w:lineRule="auto"/>
      <w:jc w:val="center"/>
    </w:pPr>
    <w:rPr>
      <w:rFonts w:eastAsia="仿宋_GB2312"/>
      <w:b/>
      <w:sz w:val="24"/>
      <w:szCs w:val="20"/>
    </w:rPr>
  </w:style>
  <w:style w:type="paragraph" w:customStyle="1" w:styleId="16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16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样式1"/>
    <w:basedOn w:val="1"/>
    <w:qFormat/>
    <w:uiPriority w:val="0"/>
    <w:pPr>
      <w:adjustRightInd w:val="0"/>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70378BBC.dotm</Template>
  <Company>China</Company>
  <Pages>68</Pages>
  <Words>29775</Words>
  <Characters>31390</Characters>
  <Lines>273</Lines>
  <Paragraphs>77</Paragraphs>
  <TotalTime>18</TotalTime>
  <ScaleCrop>false</ScaleCrop>
  <LinksUpToDate>false</LinksUpToDate>
  <CharactersWithSpaces>33143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2025-08-29T02:58:00Z</dcterms:created>
  <dc:creator>YAO</dc:creator>
  <cp:lastModifiedBy>Primo</cp:lastModifiedBy>
  <cp:lastPrinted>2020-06-24T06:27:00Z</cp:lastPrinted>
  <dcterms:modified xsi:type="dcterms:W3CDTF">2025-09-03T01:23:14Z</dcterms:modified>
  <dc:title>招标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2CCE6868D1644C7BB73669E250D67806_13</vt:lpwstr>
  </property>
  <property fmtid="{D5CDD505-2E9C-101B-9397-08002B2CF9AE}" pid="4" name="KSOTemplateDocerSaveRecord">
    <vt:lpwstr>eyJoZGlkIjoiMmVhYjIwYTFkMDUyN2RmOGI2OTNiMWRjYmY5MjBlYTUiLCJ1c2VySWQiOiIyMjc2NzkyNDEifQ==</vt:lpwstr>
  </property>
</Properties>
</file>