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C732C">
      <w:pPr>
        <w:spacing w:before="140" w:after="140" w:line="240" w:lineRule="auto"/>
        <w:ind w:left="0" w:leftChars="0" w:right="-372" w:rightChars="-133" w:firstLine="0" w:firstLineChars="0"/>
        <w:jc w:val="center"/>
        <w:outlineLvl w:val="9"/>
        <w:rPr>
          <w:rFonts w:hint="eastAsia" w:ascii="仿宋" w:hAnsi="仿宋" w:eastAsia="仿宋" w:cs="仿宋"/>
          <w:b/>
          <w:bCs/>
          <w:sz w:val="36"/>
          <w:szCs w:val="21"/>
          <w:highlight w:val="none"/>
          <w:lang w:eastAsia="zh-CN"/>
        </w:rPr>
      </w:pPr>
      <w:bookmarkStart w:id="0" w:name="_Toc11641050"/>
      <w:bookmarkStart w:id="1" w:name="_Toc12789052"/>
      <w:bookmarkStart w:id="2" w:name="_Toc13424"/>
      <w:bookmarkStart w:id="3" w:name="_Toc21198"/>
      <w:r>
        <w:rPr>
          <w:rFonts w:hint="eastAsia" w:ascii="仿宋" w:hAnsi="仿宋" w:eastAsia="仿宋" w:cs="仿宋"/>
          <w:b/>
          <w:bCs/>
          <w:sz w:val="36"/>
          <w:szCs w:val="21"/>
          <w:highlight w:val="none"/>
          <w:lang w:eastAsia="zh-CN"/>
        </w:rPr>
        <w:t>毛背沱等片区老旧小区基础设施改造工程（燃气部分）管网泄漏在线监测设备</w:t>
      </w:r>
    </w:p>
    <w:bookmarkEnd w:id="0"/>
    <w:bookmarkEnd w:id="1"/>
    <w:bookmarkEnd w:id="2"/>
    <w:bookmarkEnd w:id="3"/>
    <w:p w14:paraId="20EC6D96">
      <w:pPr>
        <w:spacing w:before="140" w:after="140" w:line="240" w:lineRule="auto"/>
        <w:ind w:left="0" w:leftChars="0" w:right="-372" w:rightChars="-133" w:firstLine="0" w:firstLineChars="0"/>
        <w:jc w:val="center"/>
        <w:outlineLvl w:val="9"/>
        <w:rPr>
          <w:rFonts w:hint="eastAsia" w:ascii="仿宋" w:hAnsi="仿宋" w:eastAsia="仿宋" w:cs="仿宋"/>
          <w:b/>
          <w:bCs/>
          <w:sz w:val="4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24"/>
          <w:highlight w:val="none"/>
          <w:lang w:eastAsia="zh-CN"/>
        </w:rPr>
        <w:t>询比公告</w:t>
      </w:r>
    </w:p>
    <w:p w14:paraId="447E1842">
      <w:pPr>
        <w:snapToGrid w:val="0"/>
        <w:spacing w:line="240" w:lineRule="auto"/>
        <w:ind w:left="0" w:leftChars="0" w:right="-372" w:rightChars="-133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重庆佳智辰合物业服务评估监理有限公司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（以下简称：采购代理机构）受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重庆北碚佳友物业发展有限公司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的委托，对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毛背沱等片区老旧小区基础设施改造工程（燃气部分）管网泄漏在线监测设备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进行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采购。欢迎有资格的供应商前来参与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783F2BF1">
      <w:pPr>
        <w:pStyle w:val="4"/>
        <w:numPr>
          <w:ilvl w:val="0"/>
          <w:numId w:val="2"/>
        </w:numPr>
        <w:spacing w:before="0" w:after="0"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4" w:name="_Toc5350"/>
      <w:bookmarkStart w:id="5" w:name="_Toc20832"/>
      <w:bookmarkStart w:id="6" w:name="_Toc317775175"/>
      <w:bookmarkStart w:id="7" w:name="_Toc313893526"/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内容</w:t>
      </w:r>
      <w:bookmarkEnd w:id="4"/>
      <w:bookmarkEnd w:id="5"/>
      <w:bookmarkEnd w:id="6"/>
      <w:bookmarkEnd w:id="7"/>
    </w:p>
    <w:tbl>
      <w:tblPr>
        <w:tblStyle w:val="8"/>
        <w:tblW w:w="5266" w:type="pct"/>
        <w:tblInd w:w="-12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4"/>
        <w:gridCol w:w="2385"/>
        <w:gridCol w:w="2330"/>
      </w:tblGrid>
      <w:tr w14:paraId="4F89CC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2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7A4428">
            <w:pPr>
              <w:ind w:left="0" w:leftChars="0" w:right="112" w:rightChars="4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35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F964">
            <w:pPr>
              <w:ind w:left="0" w:leftChars="0" w:right="112" w:rightChars="4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0"/>
                <w:highlight w:val="none"/>
                <w:lang w:eastAsia="zh-CN"/>
              </w:rPr>
              <w:t>总报价</w:t>
            </w:r>
            <w:r>
              <w:rPr>
                <w:rFonts w:hint="eastAsia" w:ascii="仿宋" w:hAnsi="仿宋" w:eastAsia="仿宋" w:cs="仿宋"/>
                <w:sz w:val="28"/>
                <w:szCs w:val="20"/>
                <w:highlight w:val="none"/>
              </w:rPr>
              <w:t>最高限价</w:t>
            </w:r>
          </w:p>
        </w:tc>
        <w:tc>
          <w:tcPr>
            <w:tcW w:w="13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12" w:rightChars="4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成交供应商数量</w:t>
            </w:r>
          </w:p>
        </w:tc>
      </w:tr>
      <w:tr w14:paraId="659F2C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12" w:rightChars="4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毛背沱等片区老旧小区基础设施改造工程（燃气部分）管网泄漏在线监测设备</w:t>
            </w:r>
          </w:p>
        </w:tc>
        <w:tc>
          <w:tcPr>
            <w:tcW w:w="1358" w:type="pct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06CE0">
            <w:pPr>
              <w:ind w:left="0" w:leftChars="0" w:right="112" w:rightChars="4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4512880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元</w:t>
            </w:r>
          </w:p>
        </w:tc>
        <w:tc>
          <w:tcPr>
            <w:tcW w:w="1327" w:type="pct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18F34D">
            <w:pPr>
              <w:ind w:left="0" w:leftChars="0" w:right="112" w:rightChars="4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名</w:t>
            </w:r>
          </w:p>
        </w:tc>
      </w:tr>
    </w:tbl>
    <w:p w14:paraId="5637AAF0">
      <w:pPr>
        <w:pStyle w:val="4"/>
        <w:spacing w:before="0" w:after="0"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8" w:name="_Toc8412"/>
      <w:bookmarkStart w:id="9" w:name="_Toc27390"/>
      <w:bookmarkStart w:id="10" w:name="_Toc317775178"/>
      <w:bookmarkStart w:id="11" w:name="_Toc373860293"/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、供应商资格条件</w:t>
      </w:r>
      <w:bookmarkEnd w:id="8"/>
      <w:bookmarkEnd w:id="9"/>
    </w:p>
    <w:bookmarkEnd w:id="10"/>
    <w:bookmarkEnd w:id="11"/>
    <w:p w14:paraId="32CA1022">
      <w:pPr>
        <w:numPr>
          <w:ilvl w:val="0"/>
          <w:numId w:val="0"/>
        </w:num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2" w:name="_Toc11798"/>
      <w:bookmarkStart w:id="13" w:name="_Toc16787"/>
      <w:bookmarkStart w:id="14" w:name="_Toc19437"/>
      <w:bookmarkStart w:id="15" w:name="_Toc373860294"/>
      <w:r>
        <w:rPr>
          <w:rFonts w:hint="eastAsia" w:ascii="仿宋" w:hAnsi="仿宋" w:eastAsia="仿宋" w:cs="仿宋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为中华人民共和国境内合法注册的独立法人或其他组织，具有独立承担民事责任能力，具有独立订立合同的权利（提供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有效的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营业执照）；</w:t>
      </w:r>
    </w:p>
    <w:p w14:paraId="514D6BD2">
      <w:pPr>
        <w:numPr>
          <w:ilvl w:val="0"/>
          <w:numId w:val="0"/>
        </w:num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投标产品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具有有效的防爆合格证书（提供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有效的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证书）。</w:t>
      </w:r>
    </w:p>
    <w:p w14:paraId="46D988CF">
      <w:pPr>
        <w:numPr>
          <w:ilvl w:val="0"/>
          <w:numId w:val="0"/>
        </w:num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3.供应商还应在人员、设备、资金、信用等方面具有相应的能力，详见询比文件第一篇供应商须知前附表内容。</w:t>
      </w:r>
    </w:p>
    <w:p w14:paraId="450E4C70">
      <w:pPr>
        <w:spacing w:before="0" w:after="0" w:line="400" w:lineRule="exact"/>
        <w:ind w:left="0" w:leftChars="0" w:right="-372" w:rightChars="-133" w:firstLine="0" w:firstLineChars="0"/>
        <w:outlineLvl w:val="9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有关说明</w:t>
      </w:r>
      <w:bookmarkEnd w:id="12"/>
      <w:bookmarkEnd w:id="13"/>
      <w:bookmarkEnd w:id="14"/>
    </w:p>
    <w:p w14:paraId="4114B737"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45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）凡有意参加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的供应商，请到采购代理机构领处取本项目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以及澄清等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前公布的所有项目资料，无论供应商领取与否，均视为已知晓所有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内容。</w:t>
      </w:r>
    </w:p>
    <w:p w14:paraId="1295B492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公告期限：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2025年6月12日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653A51B5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）报名及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发售</w:t>
      </w:r>
      <w:bookmarkStart w:id="46" w:name="_GoBack"/>
      <w:bookmarkEnd w:id="46"/>
    </w:p>
    <w:p w14:paraId="7D0030A6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1.报名和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发售期：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2025年6月12日</w:t>
      </w:r>
    </w:p>
    <w:p w14:paraId="555007F8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售价：人民币1000元/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（报名时缴纳，售后不退）</w:t>
      </w:r>
    </w:p>
    <w:p w14:paraId="217E41D0">
      <w:pPr>
        <w:numPr>
          <w:ilvl w:val="0"/>
          <w:numId w:val="0"/>
        </w:num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报名方式：在报名及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发售期内（每天9：00-12：00，14：00-17：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，节假日除外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），供应商到采购代理机构处报名并缴纳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费。（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报名时应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提供营业执照复印件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、授权委托书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文件发售登记表各一份，并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加盖供应商公章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。）</w:t>
      </w:r>
    </w:p>
    <w:p w14:paraId="3BB9D750">
      <w:pPr>
        <w:numPr>
          <w:ilvl w:val="0"/>
          <w:numId w:val="0"/>
        </w:numPr>
        <w:spacing w:line="400" w:lineRule="exact"/>
        <w:ind w:left="0" w:leftChars="0" w:right="-372" w:rightChars="-133" w:firstLine="0" w:firstLineChars="0"/>
        <w:rPr>
          <w:rFonts w:hint="eastAsia" w:ascii="宋体" w:hAnsi="宋体" w:eastAsia="宋体" w:cs="宋体"/>
          <w:color w:val="808080" w:themeColor="background1" w:themeShade="8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（四）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递交响应文件地点：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重庆北碚佳友物业发展有限公司会议室（重庆市北碚区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缙云体育中心体育场九号附二号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</w:p>
    <w:p w14:paraId="06E915DC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日北京时间1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: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</w:t>
      </w:r>
    </w:p>
    <w:p w14:paraId="225E118F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询比地点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递交响应文件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地点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6676DF39">
      <w:pPr>
        <w:pStyle w:val="4"/>
        <w:spacing w:before="0" w:after="0"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6" w:name="_Toc13339"/>
      <w:bookmarkStart w:id="17" w:name="_Toc19355"/>
      <w:bookmarkStart w:id="18" w:name="_Toc26686"/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保证金</w:t>
      </w:r>
      <w:bookmarkEnd w:id="15"/>
      <w:bookmarkEnd w:id="16"/>
      <w:bookmarkEnd w:id="17"/>
      <w:bookmarkEnd w:id="18"/>
    </w:p>
    <w:p w14:paraId="505D967C">
      <w:pPr>
        <w:spacing w:line="400" w:lineRule="exact"/>
        <w:ind w:left="0" w:leftChars="0" w:right="-372" w:rightChars="-133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19" w:name="_Toc287620672"/>
      <w:bookmarkStart w:id="20" w:name="_Toc107928085"/>
      <w:bookmarkStart w:id="21" w:name="_Toc445382459"/>
      <w:bookmarkStart w:id="22" w:name="_Toc224103304"/>
      <w:bookmarkStart w:id="23" w:name="_Toc277082541"/>
      <w:bookmarkStart w:id="24" w:name="_Toc200359243"/>
      <w:bookmarkStart w:id="25" w:name="_Toc200359432"/>
      <w:bookmarkStart w:id="26" w:name="_Toc527280283"/>
      <w:bookmarkStart w:id="27" w:name="_Toc287607733"/>
      <w:r>
        <w:rPr>
          <w:rFonts w:hint="eastAsia" w:ascii="仿宋" w:hAnsi="仿宋" w:eastAsia="仿宋" w:cs="仿宋"/>
          <w:sz w:val="28"/>
          <w:szCs w:val="28"/>
          <w:highlight w:val="none"/>
        </w:rPr>
        <w:t>参照《重庆市北碚区财政局关于持续营造一流营商环境的通知》要求，取消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保证金收取。</w:t>
      </w: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3698657F">
      <w:pPr>
        <w:pStyle w:val="4"/>
        <w:spacing w:before="0" w:after="0"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bookmarkStart w:id="28" w:name="_Toc24181"/>
      <w:bookmarkStart w:id="29" w:name="_Toc29351"/>
      <w:bookmarkStart w:id="30" w:name="_Toc5228"/>
      <w:bookmarkStart w:id="31" w:name="_Toc75793503"/>
      <w:bookmarkStart w:id="32" w:name="_Toc30772"/>
      <w:bookmarkStart w:id="33" w:name="_Toc113264534"/>
      <w:bookmarkStart w:id="34" w:name="_Toc20944"/>
      <w:bookmarkStart w:id="35" w:name="_Toc67"/>
      <w:bookmarkStart w:id="36" w:name="_Toc13885"/>
      <w:bookmarkStart w:id="37" w:name="_Toc11494"/>
      <w:bookmarkStart w:id="38" w:name="_Toc29692"/>
      <w:bookmarkStart w:id="39" w:name="_Toc19676"/>
      <w:bookmarkStart w:id="40" w:name="_Toc15522"/>
      <w:bookmarkStart w:id="41" w:name="_Toc1706"/>
      <w:bookmarkStart w:id="42" w:name="_Toc26782"/>
      <w:bookmarkStart w:id="43" w:name="_Toc27515"/>
      <w:bookmarkStart w:id="44" w:name="_Toc28772"/>
      <w:bookmarkStart w:id="45" w:name="_Toc30488"/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、联系方式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058D8FF5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（一）采购人：重庆北碚佳友物业发展有限公司</w:t>
      </w:r>
    </w:p>
    <w:p w14:paraId="6C1EF946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联系人：辜老师</w:t>
      </w:r>
    </w:p>
    <w:p w14:paraId="702499DA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电  话：13452110606</w:t>
      </w:r>
    </w:p>
    <w:p w14:paraId="5FAC0EF8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  址：重庆市北碚区缙云体育中心体育场九号附二号</w:t>
      </w:r>
    </w:p>
    <w:p w14:paraId="17C28E4C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）采购代理机构：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重庆佳智辰合物业服务评估监理有限公司</w:t>
      </w:r>
    </w:p>
    <w:p w14:paraId="25B319F2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联系人：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唐老师</w:t>
      </w:r>
    </w:p>
    <w:p w14:paraId="10782CEC">
      <w:pPr>
        <w:spacing w:line="400" w:lineRule="exact"/>
        <w:ind w:left="0" w:leftChars="0" w:right="-372" w:rightChars="-133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电  话：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18580607521</w:t>
      </w:r>
    </w:p>
    <w:p w14:paraId="17F0F462">
      <w:pPr>
        <w:ind w:left="0" w:leftChars="0" w:right="-372" w:rightChars="-133" w:firstLine="0" w:firstLineChars="0"/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  址：重庆市渝北区宝桐一路成盛家园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59C52"/>
    <w:multiLevelType w:val="singleLevel"/>
    <w:tmpl w:val="3C159C52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5C11C75E"/>
    <w:multiLevelType w:val="singleLevel"/>
    <w:tmpl w:val="5C11C75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E6EF6"/>
    <w:rsid w:val="01B95932"/>
    <w:rsid w:val="0CF33227"/>
    <w:rsid w:val="2CDE1D72"/>
    <w:rsid w:val="3C8F37BA"/>
    <w:rsid w:val="3FAA7B50"/>
    <w:rsid w:val="49E50779"/>
    <w:rsid w:val="49FE6EF6"/>
    <w:rsid w:val="534A3B3F"/>
    <w:rsid w:val="643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kern w:val="0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950</Characters>
  <Lines>0</Lines>
  <Paragraphs>0</Paragraphs>
  <TotalTime>7</TotalTime>
  <ScaleCrop>false</ScaleCrop>
  <LinksUpToDate>false</LinksUpToDate>
  <CharactersWithSpaces>959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2025-06-06T09:08:00Z</dcterms:created>
  <dc:creator> 夕儿.chan</dc:creator>
  <cp:lastModifiedBy> 夕儿.chan</cp:lastModifiedBy>
  <dcterms:modified xsi:type="dcterms:W3CDTF">2025-06-06T09:35:23Z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1C61C9CC4AF74C61AC864D41A00329A5_11</vt:lpwstr>
  </property>
  <property fmtid="{D5CDD505-2E9C-101B-9397-08002B2CF9AE}" pid="4" name="KSOTemplateDocerSaveRecord">
    <vt:lpwstr>eyJoZGlkIjoiZjA3NTc0NmIwMTM4ZmVlODJiMDE3ODg3Yzc1MmZhOTciLCJ1c2VySWQiOiIzMTIxNTA5NTQifQ==</vt:lpwstr>
  </property>
</Properties>
</file>