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34AE3">
      <w:pPr>
        <w:shd w:val="clear"/>
        <w:spacing w:line="360" w:lineRule="auto"/>
        <w:jc w:val="center"/>
        <w:textAlignment w:val="baseline"/>
        <w:rPr>
          <w:rFonts w:hint="eastAsia" w:ascii="宋体" w:hAnsi="宋体" w:cs="宋体"/>
          <w:b/>
          <w:snapToGrid w:val="0"/>
          <w:color w:val="auto"/>
          <w:w w:val="99"/>
          <w:kern w:val="0"/>
          <w:sz w:val="32"/>
          <w:szCs w:val="32"/>
          <w:highlight w:val="none"/>
          <w:lang w:eastAsia="zh-CN"/>
        </w:rPr>
      </w:pPr>
      <w:bookmarkStart w:id="0" w:name="OLE_LINK1"/>
      <w:r>
        <w:rPr>
          <w:rFonts w:hint="eastAsia" w:ascii="宋体" w:hAnsi="宋体" w:eastAsia="宋体" w:cs="宋体"/>
          <w:b/>
          <w:snapToGrid w:val="0"/>
          <w:color w:val="auto"/>
          <w:w w:val="99"/>
          <w:kern w:val="0"/>
          <w:sz w:val="32"/>
          <w:szCs w:val="32"/>
          <w:highlight w:val="none"/>
          <w:lang w:val="en-US" w:eastAsia="zh-CN"/>
        </w:rPr>
        <w:t>龙湖悠山郡庭院10栋1、2、3单元9栋2单元外墙维修工程</w:t>
      </w:r>
    </w:p>
    <w:p w14:paraId="2E660B61">
      <w:pPr>
        <w:shd w:val="clear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snapToGrid w:val="0"/>
          <w:color w:val="auto"/>
          <w:w w:val="99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auto"/>
          <w:w w:val="99"/>
          <w:kern w:val="0"/>
          <w:sz w:val="32"/>
          <w:szCs w:val="32"/>
          <w:highlight w:val="none"/>
        </w:rPr>
        <w:t>竞争性比选公告</w:t>
      </w:r>
    </w:p>
    <w:p w14:paraId="1E7C79C5">
      <w:pPr>
        <w:shd w:val="clear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auto"/>
          <w:kern w:val="0"/>
          <w:sz w:val="10"/>
          <w:szCs w:val="10"/>
          <w:highlight w:val="none"/>
        </w:rPr>
      </w:pPr>
    </w:p>
    <w:p w14:paraId="09D30F3E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1" w:name="_Toc287607728"/>
      <w:bookmarkStart w:id="2" w:name="_Toc376114055"/>
      <w:bookmarkStart w:id="3" w:name="_Toc11166807"/>
      <w:bookmarkStart w:id="4" w:name="_Toc200359427"/>
      <w:bookmarkStart w:id="5" w:name="_Toc377115354"/>
      <w:bookmarkStart w:id="6" w:name="_Toc224103299"/>
      <w:bookmarkStart w:id="7" w:name="_Toc200359238"/>
      <w:bookmarkStart w:id="8" w:name="_Toc21111"/>
      <w:bookmarkStart w:id="9" w:name="_Toc431287035"/>
      <w:bookmarkStart w:id="10" w:name="_Toc5551"/>
      <w:bookmarkStart w:id="11" w:name="_Toc347847757"/>
      <w:bookmarkStart w:id="12" w:name="_Toc377067274"/>
      <w:bookmarkStart w:id="13" w:name="_Toc277082536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1. 比选条件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087E7C7">
      <w:pPr>
        <w:keepNext w:val="0"/>
        <w:keepLines w:val="0"/>
        <w:pageBreakBefore w:val="0"/>
        <w:shd w:val="clear"/>
        <w:tabs>
          <w:tab w:val="left" w:pos="3000"/>
          <w:tab w:val="left" w:pos="3280"/>
          <w:tab w:val="left" w:pos="6120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bookmarkStart w:id="14" w:name="_Toc376114056"/>
      <w:bookmarkStart w:id="15" w:name="_Toc377115355"/>
      <w:bookmarkStart w:id="16" w:name="_Toc287607729"/>
      <w:bookmarkStart w:id="17" w:name="_Toc200359239"/>
      <w:bookmarkStart w:id="18" w:name="_Toc277082537"/>
      <w:bookmarkStart w:id="19" w:name="_Toc224103300"/>
      <w:bookmarkStart w:id="20" w:name="_Toc200359428"/>
      <w:bookmarkStart w:id="21" w:name="_Toc377067275"/>
      <w:bookmarkStart w:id="22" w:name="_Toc431287036"/>
      <w:bookmarkStart w:id="23" w:name="_Toc11166808"/>
      <w:bookmarkStart w:id="24" w:name="_Toc347847758"/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本比选项目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龙湖悠山郡庭院10栋1、2、3单元9栋2单元外墙维修工程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，比选人为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龙湖物业服务集团有限公司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，建设资金来源为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大修基金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，项目出资比例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100%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。项目已具备比选条件，现对该项目进行公开竞争性比选，欢迎符合条件的单位参与竞选。</w:t>
      </w:r>
    </w:p>
    <w:p w14:paraId="79421C19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25" w:name="_Toc6600"/>
      <w:bookmarkStart w:id="26" w:name="_Toc12432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2. 项目概况与比选范围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715C425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27" w:name="_Toc347847759"/>
      <w:bookmarkStart w:id="28" w:name="_Toc287607730"/>
      <w:bookmarkStart w:id="29" w:name="_Toc277082538"/>
      <w:bookmarkStart w:id="30" w:name="_Toc200359240"/>
      <w:bookmarkStart w:id="31" w:name="_Toc224103301"/>
      <w:bookmarkStart w:id="32" w:name="_Toc200359429"/>
      <w:r>
        <w:rPr>
          <w:rFonts w:hint="eastAsia" w:ascii="宋体" w:hAnsi="宋体" w:eastAsia="宋体" w:cs="宋体"/>
          <w:color w:val="auto"/>
          <w:szCs w:val="21"/>
          <w:highlight w:val="none"/>
        </w:rPr>
        <w:t>2.1 工程地点：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重庆市渝北区礼嘉街道礼仁街11号悠山郡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</w:t>
      </w:r>
    </w:p>
    <w:p w14:paraId="463D8F02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2.2 本项目合同估算价：约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13.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42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万元。</w:t>
      </w:r>
    </w:p>
    <w:p w14:paraId="20801A22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比选范围：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龙湖悠山郡庭院10栋1、2、3单元9栋2单元外墙维修工程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主要内容包括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外墙面块料拆除、墙面基层处理、外墙聚氨酯防水涂料、外墙面刮腻子等工作内容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  <w:u w:val="singl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具体详见比选人提供的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比选文件、工程量清单、比选文件补遗、答疑、澄清中补充的全部工程内容等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。</w:t>
      </w:r>
    </w:p>
    <w:p w14:paraId="0BE30E91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计划工期：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45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日历天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，缺陷责任期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 5 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年。</w:t>
      </w:r>
    </w:p>
    <w:p w14:paraId="33DDD0E9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33" w:name="_Toc377115356"/>
      <w:bookmarkStart w:id="34" w:name="_Toc377067276"/>
      <w:bookmarkStart w:id="35" w:name="_Toc431287037"/>
      <w:bookmarkStart w:id="36" w:name="_Toc30606"/>
      <w:bookmarkStart w:id="37" w:name="_Toc6300"/>
      <w:bookmarkStart w:id="38" w:name="_Toc11166809"/>
      <w:bookmarkStart w:id="39" w:name="_Toc376114057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3.比选申请人资格要求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BD4B9D0">
      <w:pPr>
        <w:keepNext w:val="0"/>
        <w:keepLines w:val="0"/>
        <w:pageBreakBefore w:val="0"/>
        <w:shd w:val="clear"/>
        <w:tabs>
          <w:tab w:val="left" w:pos="304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</w:pPr>
      <w:bookmarkStart w:id="40" w:name="_Toc18366"/>
      <w:bookmarkStart w:id="41" w:name="_Toc8222"/>
      <w:bookmarkStart w:id="42" w:name="_Toc10714592"/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3.1 本次比选要求比选申请人须具备建设行政主管部门颁发的</w:t>
      </w:r>
      <w:r>
        <w:rPr>
          <w:rFonts w:hint="eastAsia" w:ascii="宋体" w:hAnsi="宋体" w:cs="楷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建筑工程</w:t>
      </w:r>
      <w:r>
        <w:rPr>
          <w:rFonts w:hint="eastAsia" w:ascii="宋体" w:hAnsi="宋体" w:cs="楷体"/>
          <w:b/>
          <w:bCs/>
          <w:snapToGrid w:val="0"/>
          <w:color w:val="auto"/>
          <w:kern w:val="0"/>
          <w:szCs w:val="21"/>
          <w:highlight w:val="none"/>
          <w:u w:val="single"/>
        </w:rPr>
        <w:t>施工总承包叁级及以上资质</w:t>
      </w:r>
      <w:r>
        <w:rPr>
          <w:rFonts w:hint="eastAsia" w:ascii="宋体" w:hAnsi="宋体" w:cs="楷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或防水防腐保温工程专业承包二级及以上资质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，并在人员、设备、资金等方面具有相应的施工能力。</w:t>
      </w:r>
    </w:p>
    <w:p w14:paraId="2234A48E">
      <w:pPr>
        <w:keepNext w:val="0"/>
        <w:keepLines w:val="0"/>
        <w:pageBreakBefore w:val="0"/>
        <w:shd w:val="clear"/>
        <w:tabs>
          <w:tab w:val="left" w:pos="304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3.2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本次比选要求比选申请人具备的业绩条件：详见比选文件第二章比选申请人须知前附表第1.4.1项内容；</w:t>
      </w:r>
    </w:p>
    <w:p w14:paraId="6CA54C4D">
      <w:pPr>
        <w:keepNext w:val="0"/>
        <w:keepLines w:val="0"/>
        <w:pageBreakBefore w:val="0"/>
        <w:shd w:val="clear"/>
        <w:tabs>
          <w:tab w:val="left" w:pos="304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楷体"/>
          <w:snapToGrid w:val="0"/>
          <w:color w:val="auto"/>
          <w:kern w:val="0"/>
          <w:szCs w:val="21"/>
          <w:highlight w:val="none"/>
        </w:rPr>
        <w:t>3.3 本次比选不接受联合体参选。</w:t>
      </w:r>
    </w:p>
    <w:p w14:paraId="4AAABFC1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4.比选文件的获取</w:t>
      </w:r>
      <w:bookmarkEnd w:id="40"/>
      <w:bookmarkEnd w:id="41"/>
    </w:p>
    <w:bookmarkEnd w:id="42"/>
    <w:p w14:paraId="28C625ED">
      <w:pPr>
        <w:keepNext w:val="0"/>
        <w:keepLines w:val="0"/>
        <w:pageBreakBefore w:val="0"/>
        <w:shd w:val="clear"/>
        <w:tabs>
          <w:tab w:val="left" w:pos="3000"/>
          <w:tab w:val="left" w:pos="3280"/>
          <w:tab w:val="left" w:pos="6120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bookmarkStart w:id="43" w:name="_Toc10714593"/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4.1 比选</w:t>
      </w:r>
      <w:r>
        <w:rPr>
          <w:rFonts w:hint="eastAsia" w:ascii="宋体" w:hAnsi="宋体" w:eastAsia="宋体" w:cs="宋体"/>
          <w:snapToGrid w:val="0"/>
          <w:color w:val="auto"/>
          <w:szCs w:val="21"/>
          <w:highlight w:val="none"/>
        </w:rPr>
        <w:t>文件的获取方式：</w:t>
      </w:r>
    </w:p>
    <w:p w14:paraId="7620D736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6" w:firstLineChars="15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线上获取：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凡有意参加本项目的比选申请人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，请于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日至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（法定公休日、法定节假日除外），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每日上午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9:00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时至下午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 17: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u w:val="single"/>
        </w:rPr>
        <w:t xml:space="preserve">0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（北京时间）,将公司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授权委托书（或介绍信）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、营业执照并加盖比选申请单位鲜章后的扫描件传至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single"/>
          <w:lang w:val="en-US" w:eastAsia="zh-CN"/>
        </w:rPr>
        <w:t>2286392747@qq.com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并电话通知如下联系人获取比选文件费的缴纳方式，待成功购买后，将该项目比选文件等资料传于比选申请人指定邮箱。</w:t>
      </w:r>
    </w:p>
    <w:p w14:paraId="05E9BE4F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罗老师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 </w:t>
      </w:r>
    </w:p>
    <w:p w14:paraId="202EF6ED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联系电话：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15523166616</w:t>
      </w:r>
    </w:p>
    <w:p w14:paraId="650A08DC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联系地点：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重庆誉德广工程咨询有限公司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重庆市渝北区洪湖西路22号21楼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）</w:t>
      </w:r>
    </w:p>
    <w:p w14:paraId="24CFF60E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注：各比选申请人须在比选文件发售期内购买比选文件才具备竞标资格。</w:t>
      </w:r>
    </w:p>
    <w:p w14:paraId="5D30BEF5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4.2 比选文件每套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300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.00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元，在报名时以缴纳，售后不退。</w:t>
      </w:r>
    </w:p>
    <w:p w14:paraId="433B4A5C">
      <w:pPr>
        <w:keepNext w:val="0"/>
        <w:keepLines w:val="0"/>
        <w:pageBreakBefore w:val="0"/>
        <w:shd w:val="clear"/>
        <w:tabs>
          <w:tab w:val="left" w:pos="3000"/>
          <w:tab w:val="left" w:pos="3280"/>
          <w:tab w:val="left" w:pos="6120"/>
          <w:tab w:val="left" w:pos="7540"/>
          <w:tab w:val="left" w:pos="8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4.3 请比选申请人于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8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13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10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00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前将本工程质疑书以书面或邮件形式向比选人或比选代理机构提出。比选人于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8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13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17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00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前对所有比选申请人提出的问题进行回答，并在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begin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instrText xml:space="preserve"> HYPERLINK "http://www.cqdjszfw.com/" </w:instrTex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separate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行采家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(https://www.gec123.com/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end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上</w:t>
      </w:r>
      <w:r>
        <w:rPr>
          <w:rFonts w:hint="eastAsia" w:ascii="宋体" w:hAnsi="宋体" w:eastAsia="宋体" w:cs="宋体"/>
          <w:color w:val="auto"/>
          <w:highlight w:val="none"/>
        </w:rPr>
        <w:t>发布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，比选申请人在开标前因未及时查看相应答疑补遗文件，而产生的一切后果由比选申请人自负。</w:t>
      </w:r>
    </w:p>
    <w:p w14:paraId="3646E86D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val="en-US" w:eastAsia="zh-CN"/>
        </w:rPr>
      </w:pPr>
      <w:bookmarkStart w:id="44" w:name="_Toc19867"/>
      <w:bookmarkStart w:id="45" w:name="_Toc19604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5.比选申请文件的递交</w:t>
      </w:r>
      <w:bookmarkEnd w:id="43"/>
      <w:bookmarkEnd w:id="44"/>
      <w:bookmarkEnd w:id="45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  <w:lang w:val="en-US" w:eastAsia="zh-CN"/>
        </w:rPr>
        <w:tab/>
      </w:r>
    </w:p>
    <w:p w14:paraId="0FE90F0F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5.1比选申请文件的递交时间为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14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14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分至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（北京时间），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递交比选申请文件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地点为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重庆誉德广工程咨询有限公司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重庆市渝北区洪湖西路22号21楼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val="en-US" w:eastAsia="zh-CN"/>
        </w:rPr>
        <w:t>。</w:t>
      </w:r>
    </w:p>
    <w:p w14:paraId="209FAF21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5.2比选截止时间（同开标时间）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14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14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时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30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Cs w:val="21"/>
          <w:highlight w:val="none"/>
        </w:rPr>
        <w:t>分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（北京时间）。</w:t>
      </w:r>
    </w:p>
    <w:p w14:paraId="4F882023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left="105" w:leftChars="50" w:firstLine="315" w:firstLineChars="150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5.3 逾期送达的或者未送达指定地点的比选申请文件，比选人不予受理。</w:t>
      </w:r>
    </w:p>
    <w:p w14:paraId="1C6934DC"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</w:pPr>
      <w:bookmarkStart w:id="46" w:name="_Toc2068"/>
      <w:bookmarkStart w:id="47" w:name="_Toc12359"/>
      <w:r>
        <w:rPr>
          <w:rFonts w:hint="eastAsia" w:ascii="宋体" w:hAnsi="宋体" w:eastAsia="宋体" w:cs="宋体"/>
          <w:snapToGrid w:val="0"/>
          <w:color w:val="auto"/>
          <w:sz w:val="21"/>
          <w:szCs w:val="21"/>
          <w:highlight w:val="none"/>
        </w:rPr>
        <w:t>6、发布公告的媒介</w:t>
      </w:r>
      <w:bookmarkEnd w:id="46"/>
      <w:bookmarkEnd w:id="47"/>
    </w:p>
    <w:p w14:paraId="559A7C37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本次比选公告在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begin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instrText xml:space="preserve"> HYPERLINK "http://www.cqdjszfw.com/" </w:instrTex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separate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行采家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t>(https://www.gec123.com/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u w:val="single"/>
        </w:rPr>
        <w:fldChar w:fldCharType="end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上发布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。</w:t>
      </w:r>
    </w:p>
    <w:p w14:paraId="4B1E8619">
      <w:pPr>
        <w:keepNext w:val="0"/>
        <w:keepLines w:val="0"/>
        <w:pageBreakBefore w:val="0"/>
        <w:shd w:val="clear"/>
        <w:tabs>
          <w:tab w:val="left" w:pos="49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snapToGrid w:val="0"/>
          <w:color w:val="auto"/>
          <w:spacing w:val="1"/>
          <w:w w:val="99"/>
          <w:szCs w:val="21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auto"/>
          <w:spacing w:val="1"/>
          <w:w w:val="99"/>
          <w:szCs w:val="21"/>
          <w:highlight w:val="none"/>
        </w:rPr>
        <w:t>7、联系方式</w:t>
      </w:r>
    </w:p>
    <w:p w14:paraId="055F6159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比 选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龙湖物业服务集团有限公司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</w:p>
    <w:p w14:paraId="5F49FF6C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地    址：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eastAsia="zh-CN"/>
        </w:rPr>
        <w:t>重庆市渝北区礼嘉街道礼仁街1号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  </w:t>
      </w:r>
    </w:p>
    <w:p w14:paraId="5ED33DB3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联 系 人：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彭老师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  </w:t>
      </w:r>
    </w:p>
    <w:p w14:paraId="2353F635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>15123186215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  </w:t>
      </w:r>
    </w:p>
    <w:p w14:paraId="469A61B0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</w:p>
    <w:p w14:paraId="1156BDAC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比选代理机构：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重庆誉德广工程咨询有限公司</w:t>
      </w:r>
    </w:p>
    <w:p w14:paraId="06CBD8C3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地    址：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重庆市渝北区洪湖西路22号21楼</w:t>
      </w:r>
    </w:p>
    <w:p w14:paraId="51AFDFC1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 系 人：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en-US" w:eastAsia="zh-CN"/>
        </w:rPr>
        <w:t>罗老师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 </w:t>
      </w:r>
    </w:p>
    <w:p w14:paraId="32B2EB81">
      <w:pPr>
        <w:keepNext w:val="0"/>
        <w:keepLines w:val="0"/>
        <w:pageBreakBefore w:val="0"/>
        <w:shd w:val="clear"/>
        <w:tabs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359" w:firstLineChars="171"/>
        <w:jc w:val="lef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联系电话 ：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eastAsia="zh-CN"/>
        </w:rPr>
        <w:t>15523166616</w:t>
      </w:r>
    </w:p>
    <w:p w14:paraId="64A99790">
      <w:pPr>
        <w:keepNext w:val="0"/>
        <w:keepLines w:val="0"/>
        <w:pageBreakBefore w:val="0"/>
        <w:shd w:val="clear"/>
        <w:tabs>
          <w:tab w:val="left" w:pos="495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202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 8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  <w:t xml:space="preserve">日 </w:t>
      </w:r>
    </w:p>
    <w:bookmarkEnd w:id="0"/>
    <w:p w14:paraId="0802FCE5">
      <w:bookmarkStart w:id="48" w:name="_GoBack"/>
      <w:bookmarkEnd w:id="4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0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eastAsia="仿宋_GB2312"/>
      <w:b/>
      <w:spacing w:val="1"/>
      <w:w w:val="99"/>
      <w:kern w:val="0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/>
      <w:kern w:val="0"/>
      <w:sz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2025-08-08T03:18:29Z</dcterms:created>
  <dc:creator>Lenovo</dc:creator>
  <cp:lastModifiedBy>重庆市鼎运工程咨询有限公司</cp:lastModifiedBy>
  <dcterms:modified xsi:type="dcterms:W3CDTF">2025-08-08T03:18:49Z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eyJoZGlkIjoiZGY5MDNlOGM1MGI1MGIwMzRhOTRiY2I4ZWMxMjg3YjAiLCJ1c2VySWQiOiI0MDQ0NTczNjgifQ==</vt:lpwstr>
  </property>
  <property fmtid="{D5CDD505-2E9C-101B-9397-08002B2CF9AE}" pid="4" name="ICV">
    <vt:lpwstr>2B3D809302D14412BE26D8BC0DC3FD54_12</vt:lpwstr>
  </property>
</Properties>
</file>