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0" w:leftChars="0" w:firstLine="0" w:firstLineChars="0"/>
        <w:jc w:val="center"/>
        <w:textAlignment w:val="auto"/>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北山一碗水周边环境提升项目</w:t>
      </w:r>
    </w:p>
    <w:p w14:paraId="04FA82F1">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7E2A8524">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53DCD2">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BB4DC09">
      <w:pPr>
        <w:keepNext w:val="0"/>
        <w:keepLines w:val="0"/>
        <w:pageBreakBefore w:val="0"/>
        <w:widowControl w:val="0"/>
        <w:kinsoku/>
        <w:topLinePunct w:val="0"/>
        <w:bidi w:val="0"/>
        <w:rPr>
          <w:rFonts w:hint="eastAsia" w:ascii="宋体" w:hAnsi="宋体" w:eastAsia="宋体" w:cs="宋体"/>
          <w:color w:val="auto"/>
          <w:sz w:val="32"/>
          <w:szCs w:val="32"/>
          <w:highlight w:val="none"/>
        </w:rPr>
      </w:pPr>
      <w:bookmarkStart w:id="0" w:name="_Toc109721475"/>
      <w:bookmarkStart w:id="1" w:name="_Toc110000690"/>
      <w:bookmarkStart w:id="2" w:name="_Toc110328768"/>
      <w:bookmarkStart w:id="3" w:name="_Toc17688"/>
      <w:bookmarkStart w:id="4" w:name="_Toc110443976"/>
    </w:p>
    <w:p w14:paraId="0CF0DF6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A6EBEA9">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F8911B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9ACC744">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EC1E6D8">
      <w:pPr>
        <w:pStyle w:val="23"/>
        <w:keepNext w:val="0"/>
        <w:keepLines w:val="0"/>
        <w:pageBreakBefore w:val="0"/>
        <w:widowControl w:val="0"/>
        <w:kinsoku/>
        <w:topLinePunct w:val="0"/>
        <w:bidi w:val="0"/>
        <w:rPr>
          <w:rFonts w:hint="eastAsia" w:ascii="宋体" w:hAnsi="宋体" w:eastAsia="宋体" w:cs="宋体"/>
          <w:color w:val="auto"/>
          <w:sz w:val="40"/>
          <w:szCs w:val="40"/>
          <w:highlight w:val="none"/>
        </w:rPr>
      </w:pPr>
    </w:p>
    <w:p w14:paraId="1DC7E026">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4287"/>
      <w:bookmarkStart w:id="6" w:name="_Toc2389"/>
      <w:bookmarkStart w:id="7" w:name="_Toc17681"/>
      <w:bookmarkStart w:id="8" w:name="_Toc18063"/>
      <w:bookmarkStart w:id="9"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bookmarkEnd w:id="5"/>
      <w:bookmarkEnd w:id="6"/>
      <w:bookmarkEnd w:id="7"/>
    </w:p>
    <w:p w14:paraId="0052F6A4">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rPr>
      </w:pPr>
      <w:bookmarkStart w:id="10" w:name="_Toc23263"/>
      <w:bookmarkStart w:id="11" w:name="_Toc8523"/>
      <w:bookmarkStart w:id="12" w:name="_Toc24743"/>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8"/>
      <w:bookmarkEnd w:id="9"/>
      <w:bookmarkEnd w:id="10"/>
      <w:bookmarkEnd w:id="11"/>
      <w:bookmarkEnd w:id="12"/>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lang w:val="en-US" w:eastAsia="zh-CN" w:bidi="ar-SA"/>
        </w:rPr>
      </w:pPr>
      <w:bookmarkStart w:id="13" w:name="_Toc26859"/>
      <w:bookmarkStart w:id="14" w:name="_Toc22223"/>
      <w:bookmarkStart w:id="15" w:name="_Toc1829"/>
      <w:r>
        <w:rPr>
          <w:rFonts w:hint="eastAsia" w:ascii="宋体" w:hAnsi="宋体" w:eastAsia="宋体" w:cs="宋体"/>
          <w:b/>
          <w:color w:val="auto"/>
          <w:kern w:val="2"/>
          <w:sz w:val="28"/>
          <w:szCs w:val="28"/>
          <w:highlight w:val="none"/>
          <w:lang w:val="en-US" w:eastAsia="zh-CN" w:bidi="ar-SA"/>
        </w:rPr>
        <w:t>项目编号：</w:t>
      </w:r>
      <w:bookmarkEnd w:id="13"/>
      <w:bookmarkEnd w:id="14"/>
      <w:bookmarkEnd w:id="15"/>
      <w:r>
        <w:rPr>
          <w:rFonts w:hint="eastAsia" w:ascii="宋体" w:hAnsi="宋体" w:eastAsia="宋体" w:cs="宋体"/>
          <w:b/>
          <w:color w:val="auto"/>
          <w:kern w:val="2"/>
          <w:sz w:val="28"/>
          <w:szCs w:val="28"/>
          <w:highlight w:val="none"/>
          <w:lang w:val="en-US" w:eastAsia="zh-CN" w:bidi="ar-SA"/>
        </w:rPr>
        <w:t>CQ</w:t>
      </w:r>
      <w:r>
        <w:rPr>
          <w:rFonts w:hint="eastAsia" w:ascii="宋体" w:hAnsi="宋体" w:cs="宋体"/>
          <w:b/>
          <w:color w:val="auto"/>
          <w:kern w:val="2"/>
          <w:sz w:val="28"/>
          <w:szCs w:val="28"/>
          <w:highlight w:val="none"/>
          <w:lang w:val="en-US" w:eastAsia="zh-CN" w:bidi="ar-SA"/>
        </w:rPr>
        <w:t>HY</w:t>
      </w:r>
      <w:r>
        <w:rPr>
          <w:rFonts w:hint="eastAsia" w:ascii="宋体" w:hAnsi="宋体" w:eastAsia="宋体" w:cs="宋体"/>
          <w:b/>
          <w:color w:val="auto"/>
          <w:kern w:val="2"/>
          <w:sz w:val="28"/>
          <w:szCs w:val="28"/>
          <w:highlight w:val="none"/>
          <w:lang w:val="en-US" w:eastAsia="zh-CN" w:bidi="ar-SA"/>
        </w:rPr>
        <w:t>-HC-202605</w:t>
      </w:r>
      <w:r>
        <w:rPr>
          <w:rFonts w:hint="eastAsia" w:ascii="宋体" w:hAnsi="宋体" w:cs="宋体"/>
          <w:b/>
          <w:color w:val="auto"/>
          <w:kern w:val="2"/>
          <w:sz w:val="28"/>
          <w:szCs w:val="28"/>
          <w:highlight w:val="none"/>
          <w:lang w:val="en-US" w:eastAsia="zh-CN" w:bidi="ar-SA"/>
        </w:rPr>
        <w:t>22</w:t>
      </w:r>
    </w:p>
    <w:p w14:paraId="4F606B81">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EA4E557">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6EA0D8">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2E323921">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6DA00C9">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1FA80D9">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4C6D12C">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4483D17">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5CC2C90">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bookmarkStart w:id="16" w:name="_Toc7282"/>
      <w:bookmarkStart w:id="17" w:name="_Toc853"/>
      <w:bookmarkStart w:id="18" w:name="_Toc30843"/>
      <w:r>
        <w:rPr>
          <w:rFonts w:hint="eastAsia" w:ascii="宋体" w:hAnsi="宋体" w:eastAsia="宋体" w:cs="宋体"/>
          <w:b/>
          <w:color w:val="auto"/>
          <w:kern w:val="2"/>
          <w:sz w:val="32"/>
          <w:szCs w:val="32"/>
          <w:highlight w:val="none"/>
          <w:lang w:val="en-US" w:eastAsia="zh-CN" w:bidi="ar-SA"/>
        </w:rPr>
        <w:t>采   购  人：重庆大足石刻国际文化旅游集团有限公司</w:t>
      </w:r>
      <w:bookmarkEnd w:id="16"/>
      <w:bookmarkEnd w:id="17"/>
      <w:bookmarkEnd w:id="18"/>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default" w:ascii="宋体" w:hAnsi="宋体" w:eastAsia="宋体" w:cs="宋体"/>
          <w:b/>
          <w:color w:val="auto"/>
          <w:kern w:val="2"/>
          <w:sz w:val="32"/>
          <w:szCs w:val="32"/>
          <w:highlight w:val="none"/>
          <w:lang w:val="en-US" w:eastAsia="zh-CN" w:bidi="ar-SA"/>
        </w:rPr>
      </w:pPr>
      <w:bookmarkStart w:id="19" w:name="_Toc14270"/>
      <w:bookmarkStart w:id="20" w:name="_Toc30580"/>
      <w:bookmarkStart w:id="21" w:name="_Toc16394"/>
      <w:r>
        <w:rPr>
          <w:rFonts w:hint="eastAsia" w:ascii="宋体" w:hAnsi="宋体" w:eastAsia="宋体" w:cs="宋体"/>
          <w:b/>
          <w:color w:val="auto"/>
          <w:kern w:val="2"/>
          <w:sz w:val="32"/>
          <w:szCs w:val="32"/>
          <w:highlight w:val="none"/>
          <w:lang w:val="en-US" w:eastAsia="zh-CN" w:bidi="ar-SA"/>
        </w:rPr>
        <w:t>代 理 机 构：</w:t>
      </w:r>
      <w:bookmarkEnd w:id="19"/>
      <w:bookmarkEnd w:id="20"/>
      <w:bookmarkEnd w:id="21"/>
      <w:r>
        <w:rPr>
          <w:rFonts w:hint="eastAsia" w:ascii="宋体" w:hAnsi="宋体" w:cs="宋体"/>
          <w:b/>
          <w:color w:val="auto"/>
          <w:kern w:val="2"/>
          <w:sz w:val="32"/>
          <w:szCs w:val="32"/>
          <w:highlight w:val="none"/>
          <w:lang w:val="en-US" w:eastAsia="zh-CN" w:bidi="ar-SA"/>
        </w:rPr>
        <w:t>重庆颢越工程管理有限公司</w:t>
      </w:r>
    </w:p>
    <w:p w14:paraId="78FAB187">
      <w:pPr>
        <w:keepNext w:val="0"/>
        <w:keepLines w:val="0"/>
        <w:pageBreakBefore w:val="0"/>
        <w:widowControl w:val="0"/>
        <w:kinsoku/>
        <w:wordWrap w:val="0"/>
        <w:overflowPunct/>
        <w:topLinePunct w:val="0"/>
        <w:autoSpaceDE/>
        <w:autoSpaceDN/>
        <w:bidi w:val="0"/>
        <w:spacing w:line="660" w:lineRule="exact"/>
        <w:ind w:firstLine="3855" w:firstLineChars="1200"/>
        <w:jc w:val="left"/>
        <w:textAlignment w:val="auto"/>
        <w:rPr>
          <w:rFonts w:hint="default"/>
          <w:color w:val="auto"/>
          <w:highlight w:val="none"/>
          <w:lang w:val="en-US"/>
        </w:rPr>
        <w:sectPr>
          <w:headerReference r:id="rId4" w:type="first"/>
          <w:headerReference r:id="rId3" w:type="default"/>
          <w:pgSz w:w="11907" w:h="16840"/>
          <w:pgMar w:top="1440" w:right="1080" w:bottom="1440" w:left="1080" w:header="851" w:footer="992" w:gutter="0"/>
          <w:pgNumType w:fmt="decimal" w:start="1"/>
          <w:cols w:space="720" w:num="1"/>
          <w:titlePg/>
          <w:docGrid w:linePitch="381" w:charSpace="-5735"/>
        </w:sectPr>
      </w:pPr>
      <w:r>
        <w:rPr>
          <w:rFonts w:hint="eastAsia" w:ascii="宋体" w:hAnsi="宋体" w:eastAsia="宋体" w:cs="宋体"/>
          <w:b/>
          <w:color w:val="auto"/>
          <w:kern w:val="2"/>
          <w:sz w:val="32"/>
          <w:szCs w:val="32"/>
          <w:highlight w:val="none"/>
          <w:lang w:val="en-US" w:eastAsia="zh-CN" w:bidi="ar-SA"/>
        </w:rPr>
        <w:t>202</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年</w:t>
      </w:r>
      <w:r>
        <w:rPr>
          <w:rFonts w:hint="eastAsia" w:ascii="宋体" w:hAnsi="宋体" w:cs="宋体"/>
          <w:b/>
          <w:color w:val="auto"/>
          <w:kern w:val="2"/>
          <w:sz w:val="32"/>
          <w:szCs w:val="32"/>
          <w:highlight w:val="none"/>
          <w:lang w:val="en-US" w:eastAsia="zh-CN" w:bidi="ar-SA"/>
        </w:rPr>
        <w:t>5月</w:t>
      </w:r>
    </w:p>
    <w:sdt>
      <w:sdtPr>
        <w:rPr>
          <w:rFonts w:ascii="宋体" w:hAnsi="宋体" w:eastAsia="宋体" w:cs="Times New Roman"/>
          <w:color w:val="auto"/>
          <w:kern w:val="2"/>
          <w:sz w:val="21"/>
          <w:highlight w:val="none"/>
          <w:lang w:val="en-US" w:eastAsia="zh-CN" w:bidi="ar-SA"/>
        </w:rPr>
        <w:id w:val="147473279"/>
        <w15:color w:val="DBDBDB"/>
        <w:docPartObj>
          <w:docPartGallery w:val="Table of Contents"/>
          <w:docPartUnique/>
        </w:docPartObj>
      </w:sdtPr>
      <w:sdtEndPr>
        <w:rPr>
          <w:rFonts w:hint="eastAsia" w:ascii="Times New Roman" w:hAnsi="Times New Roman" w:eastAsia="宋体" w:cs="Times New Roman"/>
          <w:color w:val="auto"/>
          <w:kern w:val="2"/>
          <w:sz w:val="28"/>
          <w:highlight w:val="none"/>
          <w:lang w:val="en-US" w:eastAsia="zh-CN" w:bidi="ar-SA"/>
        </w:rPr>
      </w:sdtEndPr>
      <w:sdtContent>
        <w:p w14:paraId="2C1C0006">
          <w:pPr>
            <w:keepNext w:val="0"/>
            <w:keepLines w:val="0"/>
            <w:pageBreakBefore w:val="0"/>
            <w:widowControl w:val="0"/>
            <w:kinsoku/>
            <w:topLinePunct w:val="0"/>
            <w:bidi w:val="0"/>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p>
        <w:p w14:paraId="79C63F0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_Toc15689 </w:instrText>
          </w:r>
          <w:r>
            <w:rPr>
              <w:rFonts w:hint="eastAsia"/>
              <w:color w:val="auto"/>
              <w:highlight w:val="none"/>
            </w:rPr>
            <w:fldChar w:fldCharType="separate"/>
          </w:r>
          <w:r>
            <w:rPr>
              <w:rFonts w:hint="eastAsia" w:eastAsia="宋体" w:cs="宋体"/>
              <w:bCs w:val="0"/>
              <w:color w:val="auto"/>
              <w:szCs w:val="36"/>
              <w:highlight w:val="none"/>
              <w:lang w:val="en-US" w:eastAsia="zh-CN"/>
            </w:rPr>
            <w:t>第一篇 比选公告</w:t>
          </w:r>
          <w:r>
            <w:rPr>
              <w:color w:val="auto"/>
              <w:highlight w:val="none"/>
            </w:rPr>
            <w:tab/>
          </w:r>
          <w:r>
            <w:rPr>
              <w:color w:val="auto"/>
              <w:highlight w:val="none"/>
            </w:rPr>
            <w:fldChar w:fldCharType="begin"/>
          </w:r>
          <w:r>
            <w:rPr>
              <w:color w:val="auto"/>
              <w:highlight w:val="none"/>
            </w:rPr>
            <w:instrText xml:space="preserve"> PAGEREF _Toc15689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7871FD8E">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_Toc12413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一、比选内容</w:t>
          </w:r>
          <w:r>
            <w:rPr>
              <w:color w:val="auto"/>
              <w:highlight w:val="none"/>
            </w:rPr>
            <w:tab/>
          </w:r>
          <w:r>
            <w:rPr>
              <w:color w:val="auto"/>
              <w:highlight w:val="none"/>
            </w:rPr>
            <w:fldChar w:fldCharType="begin"/>
          </w:r>
          <w:r>
            <w:rPr>
              <w:color w:val="auto"/>
              <w:highlight w:val="none"/>
            </w:rPr>
            <w:instrText xml:space="preserve"> PAGEREF _Toc12413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C8CFB3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_Toc8693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二、供应商的资格条件</w:t>
          </w:r>
          <w:r>
            <w:rPr>
              <w:color w:val="auto"/>
              <w:highlight w:val="none"/>
            </w:rPr>
            <w:tab/>
          </w:r>
          <w:r>
            <w:rPr>
              <w:color w:val="auto"/>
              <w:highlight w:val="none"/>
            </w:rPr>
            <w:fldChar w:fldCharType="begin"/>
          </w:r>
          <w:r>
            <w:rPr>
              <w:color w:val="auto"/>
              <w:highlight w:val="none"/>
            </w:rPr>
            <w:instrText xml:space="preserve"> PAGEREF _Toc8693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7237927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_Toc24774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三、比选的有关说明</w:t>
          </w:r>
          <w:r>
            <w:rPr>
              <w:color w:val="auto"/>
              <w:highlight w:val="none"/>
            </w:rPr>
            <w:tab/>
          </w:r>
          <w:r>
            <w:rPr>
              <w:color w:val="auto"/>
              <w:highlight w:val="none"/>
            </w:rPr>
            <w:fldChar w:fldCharType="begin"/>
          </w:r>
          <w:r>
            <w:rPr>
              <w:color w:val="auto"/>
              <w:highlight w:val="none"/>
            </w:rPr>
            <w:instrText xml:space="preserve"> PAGEREF _Toc24774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DBC095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_Toc19799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四、报名方式及投标程序</w:t>
          </w:r>
          <w:r>
            <w:rPr>
              <w:color w:val="auto"/>
              <w:highlight w:val="none"/>
            </w:rPr>
            <w:tab/>
          </w:r>
          <w:r>
            <w:rPr>
              <w:color w:val="auto"/>
              <w:highlight w:val="none"/>
            </w:rPr>
            <w:fldChar w:fldCharType="begin"/>
          </w:r>
          <w:r>
            <w:rPr>
              <w:color w:val="auto"/>
              <w:highlight w:val="none"/>
            </w:rPr>
            <w:instrText xml:space="preserve"> PAGEREF _Toc19799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56EE3C2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_Toc9350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五、投标保证金</w:t>
          </w:r>
          <w:r>
            <w:rPr>
              <w:color w:val="auto"/>
              <w:highlight w:val="none"/>
            </w:rPr>
            <w:tab/>
          </w:r>
          <w:r>
            <w:rPr>
              <w:color w:val="auto"/>
              <w:highlight w:val="none"/>
            </w:rPr>
            <w:fldChar w:fldCharType="begin"/>
          </w:r>
          <w:r>
            <w:rPr>
              <w:color w:val="auto"/>
              <w:highlight w:val="none"/>
            </w:rPr>
            <w:instrText xml:space="preserve"> PAGEREF _Toc9350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778F7A0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_Toc16519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六、其它有关规定</w:t>
          </w:r>
          <w:r>
            <w:rPr>
              <w:color w:val="auto"/>
              <w:highlight w:val="none"/>
            </w:rPr>
            <w:tab/>
          </w:r>
          <w:r>
            <w:rPr>
              <w:color w:val="auto"/>
              <w:highlight w:val="none"/>
            </w:rPr>
            <w:fldChar w:fldCharType="begin"/>
          </w:r>
          <w:r>
            <w:rPr>
              <w:color w:val="auto"/>
              <w:highlight w:val="none"/>
            </w:rPr>
            <w:instrText xml:space="preserve"> PAGEREF _Toc16519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4DDFED4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_Toc24392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七、联系方式</w:t>
          </w:r>
          <w:r>
            <w:rPr>
              <w:color w:val="auto"/>
              <w:highlight w:val="none"/>
            </w:rPr>
            <w:tab/>
          </w:r>
          <w:r>
            <w:rPr>
              <w:color w:val="auto"/>
              <w:highlight w:val="none"/>
            </w:rPr>
            <w:fldChar w:fldCharType="begin"/>
          </w:r>
          <w:r>
            <w:rPr>
              <w:color w:val="auto"/>
              <w:highlight w:val="none"/>
            </w:rPr>
            <w:instrText xml:space="preserve"> PAGEREF _Toc24392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14:paraId="5D484E5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_Toc25709 </w:instrText>
          </w:r>
          <w:r>
            <w:rPr>
              <w:rFonts w:hint="eastAsia"/>
              <w:color w:val="auto"/>
              <w:highlight w:val="none"/>
            </w:rPr>
            <w:fldChar w:fldCharType="separate"/>
          </w:r>
          <w:r>
            <w:rPr>
              <w:rFonts w:hint="eastAsia" w:eastAsia="宋体" w:cs="宋体"/>
              <w:bCs w:val="0"/>
              <w:color w:val="auto"/>
              <w:szCs w:val="36"/>
              <w:highlight w:val="none"/>
              <w:lang w:val="en-US" w:eastAsia="zh-CN"/>
            </w:rPr>
            <w:t xml:space="preserve">第二篇  </w:t>
          </w:r>
          <w:r>
            <w:rPr>
              <w:rFonts w:hint="eastAsia" w:cs="宋体"/>
              <w:bCs w:val="0"/>
              <w:color w:val="auto"/>
              <w:szCs w:val="36"/>
              <w:highlight w:val="none"/>
              <w:lang w:val="en-US" w:eastAsia="zh-CN"/>
            </w:rPr>
            <w:t>项目技术需求</w:t>
          </w:r>
          <w:r>
            <w:rPr>
              <w:color w:val="auto"/>
              <w:highlight w:val="none"/>
            </w:rPr>
            <w:tab/>
          </w:r>
          <w:r>
            <w:rPr>
              <w:color w:val="auto"/>
              <w:highlight w:val="none"/>
            </w:rPr>
            <w:fldChar w:fldCharType="begin"/>
          </w:r>
          <w:r>
            <w:rPr>
              <w:color w:val="auto"/>
              <w:highlight w:val="none"/>
            </w:rPr>
            <w:instrText xml:space="preserve"> PAGEREF _Toc25709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376A9FEF">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ascii="宋体" w:hAnsi="宋体" w:eastAsia="宋体" w:cs="宋体"/>
              <w:color w:val="auto"/>
              <w:szCs w:val="24"/>
              <w:highlight w:val="none"/>
              <w:lang w:eastAsia="zh-CN"/>
            </w:rPr>
            <w:t>一、项目一览表</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7B11C39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color w:val="auto"/>
              <w:highlight w:val="none"/>
              <w:lang w:val="en-US" w:eastAsia="zh-CN"/>
            </w:rPr>
            <w:t>二</w:t>
          </w:r>
          <w:r>
            <w:rPr>
              <w:rFonts w:hint="eastAsia" w:ascii="宋体" w:hAnsi="宋体" w:eastAsia="宋体" w:cs="宋体"/>
              <w:color w:val="auto"/>
              <w:szCs w:val="24"/>
              <w:highlight w:val="none"/>
              <w:lang w:eastAsia="zh-CN"/>
            </w:rPr>
            <w:t>、比选</w:t>
          </w:r>
          <w:r>
            <w:rPr>
              <w:rFonts w:hint="eastAsia" w:ascii="宋体" w:hAnsi="宋体" w:eastAsia="宋体" w:cs="宋体"/>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1CE185F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_Toc24805 </w:instrText>
          </w:r>
          <w:r>
            <w:rPr>
              <w:rFonts w:hint="eastAsia"/>
              <w:color w:val="auto"/>
              <w:highlight w:val="none"/>
            </w:rPr>
            <w:fldChar w:fldCharType="separate"/>
          </w:r>
          <w:r>
            <w:rPr>
              <w:rFonts w:hint="eastAsia"/>
              <w:color w:val="auto"/>
              <w:highlight w:val="none"/>
              <w:lang w:val="en-US"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安全要求</w:t>
          </w:r>
          <w:r>
            <w:rPr>
              <w:color w:val="auto"/>
              <w:highlight w:val="none"/>
            </w:rPr>
            <w:tab/>
          </w:r>
          <w:r>
            <w:rPr>
              <w:color w:val="auto"/>
              <w:highlight w:val="none"/>
            </w:rPr>
            <w:fldChar w:fldCharType="begin"/>
          </w:r>
          <w:r>
            <w:rPr>
              <w:color w:val="auto"/>
              <w:highlight w:val="none"/>
            </w:rPr>
            <w:instrText xml:space="preserve"> PAGEREF _Toc24805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5A87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_Toc686 </w:instrText>
          </w:r>
          <w:r>
            <w:rPr>
              <w:rFonts w:hint="eastAsia"/>
              <w:color w:val="auto"/>
              <w:highlight w:val="none"/>
            </w:rPr>
            <w:fldChar w:fldCharType="separate"/>
          </w:r>
          <w:r>
            <w:rPr>
              <w:rFonts w:hint="eastAsia"/>
              <w:color w:val="auto"/>
              <w:highlight w:val="none"/>
              <w:lang w:val="en-US" w:eastAsia="zh-CN"/>
            </w:rPr>
            <w:t>四</w:t>
          </w:r>
          <w:r>
            <w:rPr>
              <w:rFonts w:hint="eastAsia" w:ascii="宋体" w:hAnsi="宋体" w:eastAsia="宋体" w:cs="宋体"/>
              <w:color w:val="auto"/>
              <w:szCs w:val="24"/>
              <w:highlight w:val="none"/>
              <w:lang w:val="en-US" w:eastAsia="zh-CN"/>
            </w:rPr>
            <w:t>、质量要求</w:t>
          </w:r>
          <w:r>
            <w:rPr>
              <w:color w:val="auto"/>
              <w:highlight w:val="none"/>
            </w:rPr>
            <w:tab/>
          </w:r>
          <w:r>
            <w:rPr>
              <w:color w:val="auto"/>
              <w:highlight w:val="none"/>
            </w:rPr>
            <w:fldChar w:fldCharType="begin"/>
          </w:r>
          <w:r>
            <w:rPr>
              <w:color w:val="auto"/>
              <w:highlight w:val="none"/>
            </w:rPr>
            <w:instrText xml:space="preserve"> PAGEREF _Toc686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6C12E1B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_Toc29177 </w:instrText>
          </w:r>
          <w:r>
            <w:rPr>
              <w:rFonts w:hint="eastAsia"/>
              <w:color w:val="auto"/>
              <w:highlight w:val="none"/>
            </w:rPr>
            <w:fldChar w:fldCharType="separate"/>
          </w:r>
          <w:r>
            <w:rPr>
              <w:rFonts w:hint="eastAsia"/>
              <w:color w:val="auto"/>
              <w:highlight w:val="none"/>
              <w:lang w:val="en-US" w:eastAsia="zh-CN"/>
            </w:rPr>
            <w:t>五</w:t>
          </w:r>
          <w:r>
            <w:rPr>
              <w:rFonts w:hint="eastAsia" w:ascii="宋体" w:hAnsi="宋体" w:eastAsia="宋体" w:cs="宋体"/>
              <w:color w:val="auto"/>
              <w:szCs w:val="24"/>
              <w:highlight w:val="none"/>
              <w:lang w:val="en-US" w:eastAsia="zh-CN"/>
            </w:rPr>
            <w:t>、现场踏勘</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1C1A617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_Toc9235 </w:instrText>
          </w:r>
          <w:r>
            <w:rPr>
              <w:rFonts w:hint="eastAsia"/>
              <w:color w:val="auto"/>
              <w:highlight w:val="none"/>
            </w:rPr>
            <w:fldChar w:fldCharType="separate"/>
          </w:r>
          <w:r>
            <w:rPr>
              <w:rFonts w:hint="eastAsia"/>
              <w:color w:val="auto"/>
              <w:highlight w:val="none"/>
              <w:lang w:val="en-US" w:eastAsia="zh-CN"/>
            </w:rPr>
            <w:t>六</w:t>
          </w:r>
          <w:r>
            <w:rPr>
              <w:rFonts w:hint="eastAsia" w:ascii="宋体" w:hAnsi="宋体" w:eastAsia="宋体" w:cs="宋体"/>
              <w:color w:val="auto"/>
              <w:szCs w:val="24"/>
              <w:highlight w:val="none"/>
              <w:lang w:val="en-US" w:eastAsia="zh-CN"/>
            </w:rPr>
            <w:t>、结合本工程特点提出切实可行的服务方案</w:t>
          </w:r>
          <w:r>
            <w:rPr>
              <w:color w:val="auto"/>
              <w:highlight w:val="none"/>
            </w:rPr>
            <w:tab/>
          </w:r>
          <w:r>
            <w:rPr>
              <w:color w:val="auto"/>
              <w:highlight w:val="none"/>
            </w:rPr>
            <w:fldChar w:fldCharType="begin"/>
          </w:r>
          <w:r>
            <w:rPr>
              <w:color w:val="auto"/>
              <w:highlight w:val="none"/>
            </w:rPr>
            <w:instrText xml:space="preserve"> PAGEREF _Toc9235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6BBE0DC4">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_Toc21506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第三篇  项目商务需求</w:t>
          </w:r>
          <w:r>
            <w:rPr>
              <w:color w:val="auto"/>
              <w:highlight w:val="none"/>
            </w:rPr>
            <w:tab/>
          </w:r>
          <w:r>
            <w:rPr>
              <w:color w:val="auto"/>
              <w:highlight w:val="none"/>
            </w:rPr>
            <w:fldChar w:fldCharType="begin"/>
          </w:r>
          <w:r>
            <w:rPr>
              <w:color w:val="auto"/>
              <w:highlight w:val="none"/>
            </w:rPr>
            <w:instrText xml:space="preserve"> PAGEREF _Toc21506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rPr>
            <w:fldChar w:fldCharType="end"/>
          </w:r>
        </w:p>
        <w:p w14:paraId="4735F5B5">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_Toc26026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一、工期、建设地点、验收方式及安全目标</w:t>
          </w:r>
          <w:r>
            <w:rPr>
              <w:color w:val="auto"/>
              <w:highlight w:val="none"/>
            </w:rPr>
            <w:tab/>
          </w:r>
          <w:r>
            <w:rPr>
              <w:color w:val="auto"/>
              <w:highlight w:val="none"/>
            </w:rPr>
            <w:fldChar w:fldCharType="begin"/>
          </w:r>
          <w:r>
            <w:rPr>
              <w:color w:val="auto"/>
              <w:highlight w:val="none"/>
            </w:rPr>
            <w:instrText xml:space="preserve"> PAGEREF _Toc26026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25A80C5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人员</w:t>
          </w:r>
          <w:r>
            <w:rPr>
              <w:rFonts w:hint="eastAsia" w:ascii="宋体" w:hAnsi="宋体" w:eastAsia="宋体" w:cs="宋体"/>
              <w:color w:val="auto"/>
              <w:szCs w:val="24"/>
              <w:highlight w:val="none"/>
              <w:lang w:val="en-US" w:eastAsia="zh-CN"/>
            </w:rPr>
            <w:t>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4C04190D">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三、报价要求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116DE0B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_Toc25603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四、付款方式</w:t>
          </w:r>
          <w:r>
            <w:rPr>
              <w:color w:val="auto"/>
              <w:highlight w:val="none"/>
            </w:rPr>
            <w:tab/>
          </w:r>
          <w:r>
            <w:rPr>
              <w:color w:val="auto"/>
              <w:highlight w:val="none"/>
            </w:rPr>
            <w:fldChar w:fldCharType="begin"/>
          </w:r>
          <w:r>
            <w:rPr>
              <w:color w:val="auto"/>
              <w:highlight w:val="none"/>
            </w:rPr>
            <w:instrText xml:space="preserve"> PAGEREF _Toc25603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74E508D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_Toc14374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结算原则</w:t>
          </w:r>
          <w:r>
            <w:rPr>
              <w:color w:val="auto"/>
              <w:highlight w:val="none"/>
            </w:rPr>
            <w:tab/>
          </w:r>
          <w:r>
            <w:rPr>
              <w:color w:val="auto"/>
              <w:highlight w:val="none"/>
            </w:rPr>
            <w:fldChar w:fldCharType="begin"/>
          </w:r>
          <w:r>
            <w:rPr>
              <w:color w:val="auto"/>
              <w:highlight w:val="none"/>
            </w:rPr>
            <w:instrText xml:space="preserve"> PAGEREF _Toc14374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24D0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_Toc28549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六、履约担保</w:t>
          </w:r>
          <w:r>
            <w:rPr>
              <w:rFonts w:hint="eastAsia" w:ascii="宋体" w:hAnsi="宋体" w:cs="宋体"/>
              <w:color w:val="auto"/>
              <w:szCs w:val="24"/>
              <w:highlight w:val="none"/>
              <w:lang w:val="en-US" w:eastAsia="zh-CN"/>
            </w:rPr>
            <w:t>及农民工工资保证金</w:t>
          </w:r>
          <w:r>
            <w:rPr>
              <w:color w:val="auto"/>
              <w:highlight w:val="none"/>
            </w:rPr>
            <w:tab/>
          </w:r>
          <w:r>
            <w:rPr>
              <w:color w:val="auto"/>
              <w:highlight w:val="none"/>
            </w:rPr>
            <w:fldChar w:fldCharType="begin"/>
          </w:r>
          <w:r>
            <w:rPr>
              <w:color w:val="auto"/>
              <w:highlight w:val="none"/>
            </w:rPr>
            <w:instrText xml:space="preserve"> PAGEREF _Toc28549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7169EAE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_Toc579 </w:instrText>
          </w:r>
          <w:r>
            <w:rPr>
              <w:rFonts w:hint="eastAsia"/>
              <w:color w:val="auto"/>
              <w:highlight w:val="none"/>
            </w:rPr>
            <w:fldChar w:fldCharType="separate"/>
          </w:r>
          <w:r>
            <w:rPr>
              <w:rFonts w:hint="eastAsia" w:ascii="宋体" w:hAnsi="宋体" w:eastAsia="宋体" w:cs="宋体"/>
              <w:color w:val="auto"/>
              <w:kern w:val="2"/>
              <w:szCs w:val="24"/>
              <w:highlight w:val="none"/>
              <w:lang w:val="en-US" w:eastAsia="zh-CN" w:bidi="ar-SA"/>
            </w:rPr>
            <w:t>七、知识产权</w:t>
          </w:r>
          <w:r>
            <w:rPr>
              <w:color w:val="auto"/>
              <w:highlight w:val="none"/>
            </w:rPr>
            <w:tab/>
          </w:r>
          <w:r>
            <w:rPr>
              <w:color w:val="auto"/>
              <w:highlight w:val="none"/>
            </w:rPr>
            <w:fldChar w:fldCharType="begin"/>
          </w:r>
          <w:r>
            <w:rPr>
              <w:color w:val="auto"/>
              <w:highlight w:val="none"/>
            </w:rPr>
            <w:instrText xml:space="preserve"> PAGEREF _Toc579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14:paraId="5CC0824F">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_Toc25323 </w:instrText>
          </w:r>
          <w:r>
            <w:rPr>
              <w:rFonts w:hint="eastAsia"/>
              <w:color w:val="auto"/>
              <w:highlight w:val="none"/>
            </w:rPr>
            <w:fldChar w:fldCharType="separate"/>
          </w:r>
          <w:r>
            <w:rPr>
              <w:rFonts w:hint="eastAsia" w:ascii="宋体" w:hAnsi="宋体" w:cs="宋体"/>
              <w:color w:val="auto"/>
              <w:szCs w:val="24"/>
              <w:highlight w:val="none"/>
              <w:lang w:val="en-US" w:eastAsia="zh-CN"/>
            </w:rPr>
            <w:t>八</w:t>
          </w:r>
          <w:r>
            <w:rPr>
              <w:rFonts w:hint="eastAsia" w:ascii="宋体" w:hAnsi="宋体" w:eastAsia="宋体" w:cs="宋体"/>
              <w:color w:val="auto"/>
              <w:szCs w:val="24"/>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_Toc25323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14:paraId="529D0492">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_Toc27644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第四篇  比选程序及方法、评审标准、无效比选及采购终止</w:t>
          </w:r>
          <w:r>
            <w:rPr>
              <w:color w:val="auto"/>
              <w:highlight w:val="none"/>
            </w:rPr>
            <w:tab/>
          </w:r>
          <w:r>
            <w:rPr>
              <w:color w:val="auto"/>
              <w:highlight w:val="none"/>
            </w:rPr>
            <w:fldChar w:fldCharType="begin"/>
          </w:r>
          <w:r>
            <w:rPr>
              <w:color w:val="auto"/>
              <w:highlight w:val="none"/>
            </w:rPr>
            <w:instrText xml:space="preserve"> PAGEREF _Toc27644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09A4D543">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_Toc11930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一、比选程序</w:t>
          </w:r>
          <w:r>
            <w:rPr>
              <w:color w:val="auto"/>
              <w:highlight w:val="none"/>
            </w:rPr>
            <w:tab/>
          </w:r>
          <w:r>
            <w:rPr>
              <w:color w:val="auto"/>
              <w:highlight w:val="none"/>
            </w:rPr>
            <w:fldChar w:fldCharType="begin"/>
          </w:r>
          <w:r>
            <w:rPr>
              <w:color w:val="auto"/>
              <w:highlight w:val="none"/>
            </w:rPr>
            <w:instrText xml:space="preserve"> PAGEREF _Toc11930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28CE3C52">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_Toc28802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评标方法</w:t>
          </w:r>
          <w:r>
            <w:rPr>
              <w:color w:val="auto"/>
              <w:highlight w:val="none"/>
            </w:rPr>
            <w:tab/>
          </w:r>
          <w:r>
            <w:rPr>
              <w:color w:val="auto"/>
              <w:highlight w:val="none"/>
            </w:rPr>
            <w:fldChar w:fldCharType="begin"/>
          </w:r>
          <w:r>
            <w:rPr>
              <w:color w:val="auto"/>
              <w:highlight w:val="none"/>
            </w:rPr>
            <w:instrText xml:space="preserve"> PAGEREF _Toc28802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546D6341">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_Toc25587 </w:instrText>
          </w:r>
          <w:r>
            <w:rPr>
              <w:rFonts w:hint="eastAsia"/>
              <w:color w:val="auto"/>
              <w:highlight w:val="none"/>
            </w:rPr>
            <w:fldChar w:fldCharType="separate"/>
          </w:r>
          <w:r>
            <w:rPr>
              <w:rFonts w:hint="eastAsia" w:ascii="宋体" w:hAnsi="宋体" w:cs="宋体"/>
              <w:bCs/>
              <w:smallCaps w:val="0"/>
              <w:color w:val="auto"/>
              <w:kern w:val="2"/>
              <w:szCs w:val="24"/>
              <w:highlight w:val="none"/>
              <w:lang w:val="en-US" w:eastAsia="zh-CN" w:bidi="ar-SA"/>
            </w:rPr>
            <w:t>三、 评审标准</w:t>
          </w:r>
          <w:r>
            <w:rPr>
              <w:color w:val="auto"/>
              <w:highlight w:val="none"/>
            </w:rPr>
            <w:tab/>
          </w:r>
          <w:r>
            <w:rPr>
              <w:color w:val="auto"/>
              <w:highlight w:val="none"/>
            </w:rPr>
            <w:fldChar w:fldCharType="begin"/>
          </w:r>
          <w:r>
            <w:rPr>
              <w:color w:val="auto"/>
              <w:highlight w:val="none"/>
            </w:rPr>
            <w:instrText xml:space="preserve"> PAGEREF _Toc25587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776FB77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_Toc6873 </w:instrText>
          </w:r>
          <w:r>
            <w:rPr>
              <w:rFonts w:hint="eastAsia"/>
              <w:color w:val="auto"/>
              <w:highlight w:val="none"/>
            </w:rPr>
            <w:fldChar w:fldCharType="separate"/>
          </w:r>
          <w:r>
            <w:rPr>
              <w:rFonts w:hint="eastAsia" w:ascii="宋体" w:hAnsi="宋体" w:eastAsia="宋体" w:cs="宋体"/>
              <w:bCs/>
              <w:color w:val="auto"/>
              <w:szCs w:val="24"/>
              <w:highlight w:val="none"/>
              <w:lang w:val="en-US" w:eastAsia="zh-CN"/>
            </w:rPr>
            <w:t>四、无效响应</w:t>
          </w:r>
          <w:r>
            <w:rPr>
              <w:color w:val="auto"/>
              <w:highlight w:val="none"/>
            </w:rPr>
            <w:tab/>
          </w:r>
          <w:r>
            <w:rPr>
              <w:color w:val="auto"/>
              <w:highlight w:val="none"/>
            </w:rPr>
            <w:fldChar w:fldCharType="begin"/>
          </w:r>
          <w:r>
            <w:rPr>
              <w:color w:val="auto"/>
              <w:highlight w:val="none"/>
            </w:rPr>
            <w:instrText xml:space="preserve"> PAGEREF _Toc6873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35A8A3A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_Toc19561 </w:instrText>
          </w:r>
          <w:r>
            <w:rPr>
              <w:rFonts w:hint="eastAsia"/>
              <w:color w:val="auto"/>
              <w:highlight w:val="none"/>
            </w:rPr>
            <w:fldChar w:fldCharType="separate"/>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、采购终止</w:t>
          </w:r>
          <w:r>
            <w:rPr>
              <w:color w:val="auto"/>
              <w:highlight w:val="none"/>
            </w:rPr>
            <w:tab/>
          </w:r>
          <w:r>
            <w:rPr>
              <w:color w:val="auto"/>
              <w:highlight w:val="none"/>
            </w:rPr>
            <w:fldChar w:fldCharType="begin"/>
          </w:r>
          <w:r>
            <w:rPr>
              <w:color w:val="auto"/>
              <w:highlight w:val="none"/>
            </w:rPr>
            <w:instrText xml:space="preserve"> PAGEREF _Toc19561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1F03233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260B8541">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w:t>
          </w:r>
          <w:r>
            <w:rPr>
              <w:rFonts w:hint="eastAsia" w:cs="宋体"/>
              <w:bCs w:val="0"/>
              <w:color w:val="auto"/>
              <w:szCs w:val="36"/>
              <w:highlight w:val="none"/>
              <w:lang w:val="en-US" w:eastAsia="zh-CN"/>
            </w:rPr>
            <w:t>六</w:t>
          </w:r>
          <w:r>
            <w:rPr>
              <w:rFonts w:hint="eastAsia" w:cs="宋体"/>
              <w:bCs w:val="0"/>
              <w:color w:val="auto"/>
              <w:szCs w:val="36"/>
              <w:highlight w:val="none"/>
            </w:rPr>
            <w:t xml:space="preserve">篇  </w:t>
          </w:r>
          <w:r>
            <w:rPr>
              <w:rFonts w:hint="eastAsia" w:cs="宋体"/>
              <w:bCs w:val="0"/>
              <w:color w:val="auto"/>
              <w:szCs w:val="36"/>
              <w:highlight w:val="none"/>
              <w:lang w:val="en-US" w:eastAsia="zh-CN"/>
            </w:rPr>
            <w:t>采购合同</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7112E741">
          <w:pPr>
            <w:pStyle w:val="52"/>
            <w:keepNext w:val="0"/>
            <w:keepLines w:val="0"/>
            <w:pageBreakBefore w:val="0"/>
            <w:widowControl w:val="0"/>
            <w:tabs>
              <w:tab w:val="right" w:leader="dot" w:pos="9071"/>
            </w:tabs>
            <w:kinsoku/>
            <w:topLinePunct w:val="0"/>
            <w:bidi w:val="0"/>
            <w:spacing w:line="240" w:lineRule="auto"/>
            <w:rPr>
              <w:rFonts w:hint="eastAsia"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HYPERLINK \l _Toc25342 </w:instrText>
          </w:r>
          <w:r>
            <w:rPr>
              <w:rFonts w:hint="eastAsia"/>
              <w:color w:val="auto"/>
              <w:highlight w:val="none"/>
            </w:rPr>
            <w:fldChar w:fldCharType="separate"/>
          </w:r>
          <w:r>
            <w:rPr>
              <w:rFonts w:hint="eastAsia" w:ascii="宋体" w:hAnsi="宋体" w:eastAsia="宋体" w:cs="宋体"/>
              <w:color w:val="auto"/>
              <w:szCs w:val="44"/>
              <w:highlight w:val="none"/>
            </w:rPr>
            <w:t>第一部分 合同协议书</w:t>
          </w:r>
          <w:r>
            <w:rPr>
              <w:color w:val="auto"/>
              <w:highlight w:val="none"/>
            </w:rPr>
            <w:tab/>
          </w:r>
          <w:r>
            <w:rPr>
              <w:rFonts w:hint="eastAsia"/>
              <w:color w:val="auto"/>
              <w:highlight w:val="none"/>
            </w:rPr>
            <w:fldChar w:fldCharType="end"/>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p>
        <w:p w14:paraId="7A43ACC8">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_Toc12162 </w:instrText>
          </w:r>
          <w:r>
            <w:rPr>
              <w:rFonts w:hint="eastAsia"/>
              <w:color w:val="auto"/>
              <w:highlight w:val="none"/>
            </w:rPr>
            <w:fldChar w:fldCharType="separate"/>
          </w:r>
          <w:r>
            <w:rPr>
              <w:rFonts w:hint="eastAsia" w:ascii="宋体" w:hAnsi="宋体" w:eastAsia="宋体" w:cs="宋体"/>
              <w:bCs w:val="0"/>
              <w:color w:val="auto"/>
              <w:szCs w:val="28"/>
              <w:highlight w:val="none"/>
              <w:lang w:val="en-US" w:eastAsia="zh-CN"/>
            </w:rPr>
            <w:t>第二部分</w:t>
          </w:r>
          <w:r>
            <w:rPr>
              <w:rFonts w:hint="eastAsia" w:ascii="宋体" w:hAnsi="宋体" w:cs="宋体"/>
              <w:bCs w:val="0"/>
              <w:color w:val="auto"/>
              <w:szCs w:val="28"/>
              <w:highlight w:val="none"/>
              <w:lang w:val="en-US" w:eastAsia="zh-CN"/>
            </w:rPr>
            <w:t xml:space="preserve"> </w:t>
          </w:r>
          <w:r>
            <w:rPr>
              <w:rFonts w:hint="eastAsia" w:ascii="宋体" w:hAnsi="宋体" w:eastAsia="宋体" w:cs="宋体"/>
              <w:bCs w:val="0"/>
              <w:color w:val="auto"/>
              <w:szCs w:val="28"/>
              <w:highlight w:val="none"/>
            </w:rPr>
            <w:t>通用合同条款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1AC1000E">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_Toc32384 </w:instrText>
          </w:r>
          <w:r>
            <w:rPr>
              <w:rFonts w:hint="eastAsia"/>
              <w:color w:val="auto"/>
              <w:highlight w:val="none"/>
            </w:rPr>
            <w:fldChar w:fldCharType="separate"/>
          </w:r>
          <w:r>
            <w:rPr>
              <w:rFonts w:hint="eastAsia" w:ascii="宋体" w:hAnsi="宋体" w:eastAsia="宋体" w:cs="宋体"/>
              <w:color w:val="auto"/>
              <w:szCs w:val="28"/>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082A248F">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_Toc16476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第七篇  响应文件编制要求</w:t>
          </w:r>
          <w:r>
            <w:rPr>
              <w:color w:val="auto"/>
              <w:highlight w:val="none"/>
            </w:rPr>
            <w:tab/>
          </w:r>
          <w:r>
            <w:rPr>
              <w:color w:val="auto"/>
              <w:highlight w:val="none"/>
            </w:rPr>
            <w:fldChar w:fldCharType="begin"/>
          </w:r>
          <w:r>
            <w:rPr>
              <w:color w:val="auto"/>
              <w:highlight w:val="none"/>
            </w:rPr>
            <w:instrText xml:space="preserve"> PAGEREF _Toc16476 \h </w:instrText>
          </w:r>
          <w:r>
            <w:rPr>
              <w:color w:val="auto"/>
              <w:highlight w:val="none"/>
            </w:rPr>
            <w:fldChar w:fldCharType="separate"/>
          </w:r>
          <w:r>
            <w:rPr>
              <w:color w:val="auto"/>
              <w:highlight w:val="none"/>
            </w:rPr>
            <w:t>126</w:t>
          </w:r>
          <w:r>
            <w:rPr>
              <w:color w:val="auto"/>
              <w:highlight w:val="none"/>
            </w:rPr>
            <w:fldChar w:fldCharType="end"/>
          </w:r>
          <w:r>
            <w:rPr>
              <w:rFonts w:hint="eastAsia"/>
              <w:color w:val="auto"/>
              <w:highlight w:val="none"/>
            </w:rPr>
            <w:fldChar w:fldCharType="end"/>
          </w:r>
        </w:p>
        <w:p w14:paraId="7FC5E346">
          <w:pPr>
            <w:keepNext w:val="0"/>
            <w:keepLines w:val="0"/>
            <w:pageBreakBefore w:val="0"/>
            <w:widowControl w:val="0"/>
            <w:kinsoku/>
            <w:topLinePunct w:val="0"/>
            <w:bidi w:val="0"/>
            <w:rPr>
              <w:rFonts w:hint="eastAsia" w:ascii="Times New Roman" w:hAnsi="Times New Roman" w:eastAsia="宋体" w:cs="Times New Roman"/>
              <w:color w:val="auto"/>
              <w:kern w:val="2"/>
              <w:sz w:val="28"/>
              <w:highlight w:val="none"/>
              <w:lang w:val="en-US" w:eastAsia="zh-CN" w:bidi="ar-SA"/>
            </w:rPr>
          </w:pPr>
          <w:r>
            <w:rPr>
              <w:rFonts w:hint="eastAsia"/>
              <w:color w:val="auto"/>
              <w:highlight w:val="none"/>
            </w:rPr>
            <w:fldChar w:fldCharType="end"/>
          </w:r>
        </w:p>
      </w:sdtContent>
    </w:sdt>
    <w:p w14:paraId="16015719">
      <w:pPr>
        <w:pStyle w:val="23"/>
        <w:keepNext w:val="0"/>
        <w:keepLines w:val="0"/>
        <w:pageBreakBefore w:val="0"/>
        <w:widowControl w:val="0"/>
        <w:kinsoku/>
        <w:topLinePunct w:val="0"/>
        <w:bidi w:val="0"/>
        <w:rPr>
          <w:rFonts w:hint="eastAsia"/>
          <w:color w:val="auto"/>
          <w:highlight w:val="none"/>
        </w:rPr>
        <w:sectPr>
          <w:footerReference r:id="rId6" w:type="first"/>
          <w:footerReference r:id="rId5" w:type="default"/>
          <w:pgSz w:w="11907" w:h="16840"/>
          <w:pgMar w:top="1440" w:right="1080" w:bottom="1440" w:left="1080" w:header="851" w:footer="992" w:gutter="0"/>
          <w:pgNumType w:fmt="decimal" w:start="1"/>
          <w:cols w:space="720" w:num="1"/>
          <w:titlePg/>
          <w:docGrid w:linePitch="381" w:charSpace="-5735"/>
        </w:sectPr>
      </w:pPr>
    </w:p>
    <w:p w14:paraId="45068F41">
      <w:pPr>
        <w:keepNext w:val="0"/>
        <w:keepLines w:val="0"/>
        <w:pageBreakBefore w:val="0"/>
        <w:widowControl w:val="0"/>
        <w:numPr>
          <w:ilvl w:val="0"/>
          <w:numId w:val="14"/>
        </w:numPr>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22" w:name="_Toc12789052"/>
      <w:bookmarkStart w:id="23" w:name="_Toc11641050"/>
      <w:r>
        <w:rPr>
          <w:rFonts w:hint="eastAsia" w:eastAsia="宋体" w:cs="宋体"/>
          <w:b/>
          <w:bCs w:val="0"/>
          <w:color w:val="auto"/>
          <w:sz w:val="36"/>
          <w:szCs w:val="36"/>
          <w:highlight w:val="none"/>
          <w:lang w:val="en-US" w:eastAsia="zh-CN"/>
        </w:rPr>
        <w:t xml:space="preserve"> </w:t>
      </w:r>
      <w:bookmarkEnd w:id="22"/>
      <w:bookmarkEnd w:id="23"/>
      <w:bookmarkStart w:id="24" w:name="_Toc15689"/>
      <w:bookmarkStart w:id="25" w:name="_Toc28152"/>
      <w:bookmarkStart w:id="26" w:name="_Toc21805"/>
      <w:r>
        <w:rPr>
          <w:rFonts w:hint="eastAsia" w:eastAsia="宋体" w:cs="宋体"/>
          <w:b/>
          <w:bCs w:val="0"/>
          <w:color w:val="auto"/>
          <w:sz w:val="36"/>
          <w:szCs w:val="36"/>
          <w:highlight w:val="none"/>
          <w:lang w:val="en-US" w:eastAsia="zh-CN"/>
        </w:rPr>
        <w:t>比选公告</w:t>
      </w:r>
      <w:bookmarkEnd w:id="24"/>
      <w:bookmarkEnd w:id="25"/>
      <w:bookmarkEnd w:id="26"/>
    </w:p>
    <w:p w14:paraId="0ABA1D11">
      <w:pPr>
        <w:pStyle w:val="23"/>
        <w:keepNext w:val="0"/>
        <w:keepLines w:val="0"/>
        <w:pageBreakBefore w:val="0"/>
        <w:widowControl w:val="0"/>
        <w:numPr>
          <w:ilvl w:val="0"/>
          <w:numId w:val="0"/>
        </w:numPr>
        <w:kinsoku/>
        <w:topLinePunct w:val="0"/>
        <w:bidi w:val="0"/>
        <w:rPr>
          <w:rFonts w:hint="eastAsia"/>
          <w:color w:val="auto"/>
          <w:highlight w:val="none"/>
          <w:lang w:val="en-US" w:eastAsia="zh-CN"/>
        </w:rPr>
      </w:pPr>
    </w:p>
    <w:p w14:paraId="0E3E5F4E">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重庆颢越工程管理有限公司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重庆大足石刻国际文化旅游集团有限公司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北山一碗水周边环境提升项目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27" w:name="_Toc317775175"/>
      <w:bookmarkStart w:id="28" w:name="_Toc28440"/>
      <w:bookmarkStart w:id="29" w:name="_Toc313893526"/>
      <w:bookmarkStart w:id="30" w:name="_Toc51660705"/>
      <w:bookmarkStart w:id="31" w:name="_Toc12413"/>
      <w:r>
        <w:rPr>
          <w:rFonts w:hint="eastAsia" w:ascii="宋体" w:hAnsi="宋体" w:eastAsia="宋体" w:cs="宋体"/>
          <w:color w:val="auto"/>
          <w:sz w:val="24"/>
          <w:szCs w:val="24"/>
          <w:highlight w:val="none"/>
          <w:lang w:val="en-US" w:eastAsia="zh-CN"/>
        </w:rPr>
        <w:t>一、比选内容</w:t>
      </w:r>
      <w:bookmarkEnd w:id="27"/>
      <w:bookmarkEnd w:id="28"/>
      <w:bookmarkEnd w:id="29"/>
      <w:bookmarkEnd w:id="30"/>
      <w:bookmarkEnd w:id="31"/>
    </w:p>
    <w:tbl>
      <w:tblPr>
        <w:tblStyle w:val="65"/>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1537"/>
        <w:gridCol w:w="1243"/>
        <w:gridCol w:w="1293"/>
        <w:gridCol w:w="742"/>
      </w:tblGrid>
      <w:tr w14:paraId="0E9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1537" w:type="dxa"/>
            <w:tcBorders>
              <w:top w:val="single" w:color="auto" w:sz="4" w:space="0"/>
              <w:left w:val="single" w:color="auto" w:sz="4" w:space="0"/>
              <w:right w:val="single" w:color="auto" w:sz="4" w:space="0"/>
            </w:tcBorders>
            <w:vAlign w:val="center"/>
          </w:tcPr>
          <w:p w14:paraId="0356980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243" w:type="dxa"/>
            <w:tcBorders>
              <w:top w:val="single" w:color="auto" w:sz="4" w:space="0"/>
              <w:left w:val="single" w:color="auto" w:sz="4" w:space="0"/>
              <w:right w:val="single" w:color="auto" w:sz="4" w:space="0"/>
            </w:tcBorders>
            <w:shd w:val="clear" w:color="auto" w:fill="auto"/>
            <w:vAlign w:val="center"/>
          </w:tcPr>
          <w:p w14:paraId="6662F57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投标保证金（元）</w:t>
            </w:r>
          </w:p>
        </w:tc>
        <w:tc>
          <w:tcPr>
            <w:tcW w:w="1293" w:type="dxa"/>
            <w:tcBorders>
              <w:top w:val="single" w:color="auto" w:sz="4" w:space="0"/>
              <w:left w:val="single" w:color="auto" w:sz="4" w:space="0"/>
              <w:right w:val="single" w:color="auto" w:sz="4" w:space="0"/>
            </w:tcBorders>
            <w:shd w:val="clear" w:color="auto" w:fill="auto"/>
            <w:vAlign w:val="center"/>
          </w:tcPr>
          <w:p w14:paraId="5DED728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rPr>
              <w:t>资金来源</w:t>
            </w:r>
          </w:p>
        </w:tc>
        <w:tc>
          <w:tcPr>
            <w:tcW w:w="742" w:type="dxa"/>
            <w:tcBorders>
              <w:top w:val="single" w:color="auto" w:sz="4" w:space="0"/>
              <w:left w:val="single" w:color="auto" w:sz="4" w:space="0"/>
              <w:right w:val="single" w:color="auto" w:sz="4" w:space="0"/>
            </w:tcBorders>
            <w:vAlign w:val="center"/>
          </w:tcPr>
          <w:p w14:paraId="6522B64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7FB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北山一碗水周边环境提升项目</w:t>
            </w:r>
          </w:p>
        </w:tc>
        <w:tc>
          <w:tcPr>
            <w:tcW w:w="1537"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780000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1321A8C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5000</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647E97D">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业主自筹</w:t>
            </w:r>
          </w:p>
        </w:tc>
        <w:tc>
          <w:tcPr>
            <w:tcW w:w="742" w:type="dxa"/>
            <w:tcBorders>
              <w:top w:val="single" w:color="auto" w:sz="4" w:space="0"/>
              <w:left w:val="single" w:color="auto" w:sz="4" w:space="0"/>
              <w:bottom w:val="single" w:color="auto" w:sz="4" w:space="0"/>
              <w:right w:val="single" w:color="auto" w:sz="4" w:space="0"/>
            </w:tcBorders>
            <w:vAlign w:val="center"/>
          </w:tcPr>
          <w:p w14:paraId="7D669990">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2" w:name="_Toc51660707"/>
      <w:bookmarkStart w:id="33" w:name="_Toc14041"/>
      <w:bookmarkStart w:id="34" w:name="_Toc8693"/>
      <w:bookmarkStart w:id="35" w:name="_Toc373860293"/>
      <w:bookmarkStart w:id="36" w:name="_Toc317775178"/>
      <w:r>
        <w:rPr>
          <w:rFonts w:hint="eastAsia" w:ascii="宋体" w:hAnsi="宋体" w:eastAsia="宋体" w:cs="宋体"/>
          <w:color w:val="auto"/>
          <w:sz w:val="24"/>
          <w:szCs w:val="24"/>
          <w:highlight w:val="none"/>
          <w:lang w:val="en-US" w:eastAsia="zh-CN"/>
        </w:rPr>
        <w:t>二、供应商的资格条件</w:t>
      </w:r>
      <w:bookmarkEnd w:id="32"/>
      <w:bookmarkEnd w:id="33"/>
      <w:bookmarkEnd w:id="34"/>
    </w:p>
    <w:p w14:paraId="38B117E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1DA1897">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BA5F7D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1、资质条件：</w:t>
      </w:r>
      <w:r>
        <w:rPr>
          <w:rFonts w:hint="eastAsia" w:ascii="宋体" w:hAnsi="宋体" w:cs="宋体"/>
          <w:color w:val="auto"/>
          <w:sz w:val="24"/>
          <w:szCs w:val="24"/>
          <w:highlight w:val="none"/>
          <w:u w:val="single"/>
          <w:lang w:val="en-US" w:eastAsia="zh-CN"/>
        </w:rPr>
        <w:t>具备建设行政主管部门颁发的有效的</w:t>
      </w:r>
      <w:r>
        <w:rPr>
          <w:rFonts w:hint="eastAsia" w:ascii="宋体" w:hAnsi="宋体" w:eastAsia="宋体" w:cs="宋体"/>
          <w:color w:val="333333"/>
          <w:spacing w:val="2"/>
          <w:kern w:val="0"/>
          <w:sz w:val="24"/>
          <w:szCs w:val="24"/>
          <w:u w:val="single"/>
          <w:shd w:val="clear" w:color="auto" w:fill="FFFFFF"/>
          <w:lang w:val="en-US" w:eastAsia="zh-CN" w:bidi="ar"/>
        </w:rPr>
        <w:t>市政</w:t>
      </w:r>
      <w:r>
        <w:rPr>
          <w:rFonts w:hint="eastAsia" w:ascii="宋体" w:hAnsi="宋体" w:eastAsia="宋体" w:cs="宋体"/>
          <w:color w:val="333333"/>
          <w:kern w:val="0"/>
          <w:sz w:val="24"/>
          <w:szCs w:val="24"/>
          <w:u w:val="single"/>
          <w:shd w:val="clear" w:color="auto" w:fill="FFFFFF"/>
          <w:lang w:val="en-US" w:eastAsia="zh-CN" w:bidi="ar"/>
        </w:rPr>
        <w:t>公用工程</w:t>
      </w:r>
      <w:r>
        <w:rPr>
          <w:rFonts w:hint="eastAsia" w:ascii="宋体" w:hAnsi="宋体" w:eastAsia="宋体" w:cs="宋体"/>
          <w:b w:val="0"/>
          <w:bCs w:val="0"/>
          <w:snapToGrid w:val="0"/>
          <w:color w:val="auto"/>
          <w:sz w:val="24"/>
          <w:szCs w:val="24"/>
          <w:highlight w:val="none"/>
          <w:u w:val="single"/>
          <w:lang w:eastAsia="zh-CN"/>
        </w:rPr>
        <w:t>施工总承包</w:t>
      </w:r>
      <w:r>
        <w:rPr>
          <w:rFonts w:hint="eastAsia" w:ascii="宋体" w:hAnsi="宋体" w:eastAsia="宋体" w:cs="宋体"/>
          <w:b w:val="0"/>
          <w:bCs w:val="0"/>
          <w:snapToGrid w:val="0"/>
          <w:color w:val="auto"/>
          <w:sz w:val="24"/>
          <w:szCs w:val="24"/>
          <w:highlight w:val="none"/>
          <w:u w:val="single"/>
        </w:rPr>
        <w:t>三级</w:t>
      </w:r>
      <w:r>
        <w:rPr>
          <w:rFonts w:hint="eastAsia" w:ascii="宋体" w:hAnsi="宋体" w:cs="宋体"/>
          <w:color w:val="auto"/>
          <w:sz w:val="24"/>
          <w:szCs w:val="24"/>
          <w:highlight w:val="none"/>
          <w:u w:val="single"/>
          <w:lang w:val="en-US" w:eastAsia="zh-CN"/>
        </w:rPr>
        <w:t>及以上资质</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提供有效的资质证书复印件加盖供应商公章</w:t>
      </w:r>
      <w:r>
        <w:rPr>
          <w:rFonts w:hint="eastAsia" w:ascii="宋体" w:hAnsi="宋体" w:cs="宋体"/>
          <w:color w:val="auto"/>
          <w:sz w:val="24"/>
          <w:szCs w:val="24"/>
          <w:highlight w:val="none"/>
          <w:u w:val="none"/>
          <w:lang w:val="en-US" w:eastAsia="zh-CN"/>
        </w:rPr>
        <w:t>。）</w:t>
      </w:r>
    </w:p>
    <w:p w14:paraId="1EA9EFCD">
      <w:pPr>
        <w:keepNext w:val="0"/>
        <w:keepLines w:val="0"/>
        <w:pageBreakBefore w:val="0"/>
        <w:widowControl w:val="0"/>
        <w:numPr>
          <w:ilvl w:val="0"/>
          <w:numId w:val="15"/>
        </w:numPr>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具备有效的企业法人营业执照。</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提供有效的营业执照副本复印件并加盖供应商公章。</w:t>
      </w:r>
      <w:r>
        <w:rPr>
          <w:rFonts w:hint="eastAsia" w:ascii="宋体" w:hAnsi="宋体" w:cs="宋体"/>
          <w:color w:val="auto"/>
          <w:sz w:val="24"/>
          <w:szCs w:val="24"/>
          <w:highlight w:val="none"/>
          <w:u w:val="none"/>
          <w:lang w:val="en-US" w:eastAsia="zh-CN"/>
        </w:rPr>
        <w:t>）</w:t>
      </w:r>
    </w:p>
    <w:p w14:paraId="3EF0E054">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color w:val="auto"/>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安全生产条件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具备有效的安全生产许可证。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提供有效的安全生产许可证复印件并加盖供应商公章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B4BC2B8">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7" w:name="_Toc24774"/>
      <w:bookmarkStart w:id="38" w:name="_Toc14073"/>
      <w:bookmarkStart w:id="39" w:name="_Toc51660708"/>
      <w:r>
        <w:rPr>
          <w:rFonts w:hint="eastAsia" w:ascii="宋体" w:hAnsi="宋体" w:eastAsia="宋体" w:cs="宋体"/>
          <w:color w:val="auto"/>
          <w:sz w:val="24"/>
          <w:szCs w:val="24"/>
          <w:highlight w:val="none"/>
          <w:lang w:val="en-US" w:eastAsia="zh-CN"/>
        </w:rPr>
        <w:t>三、比选的有关说明</w:t>
      </w:r>
      <w:bookmarkEnd w:id="35"/>
      <w:bookmarkEnd w:id="37"/>
      <w:bookmarkEnd w:id="38"/>
      <w:bookmarkEnd w:id="39"/>
    </w:p>
    <w:p w14:paraId="3164AF9F">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40" w:name="_Toc19799"/>
      <w:bookmarkStart w:id="41" w:name="_Toc30500"/>
      <w:r>
        <w:rPr>
          <w:rFonts w:hint="eastAsia" w:ascii="宋体" w:hAnsi="宋体" w:eastAsia="宋体" w:cs="宋体"/>
          <w:color w:val="auto"/>
          <w:sz w:val="24"/>
          <w:szCs w:val="24"/>
          <w:highlight w:val="none"/>
          <w:lang w:val="en-US" w:eastAsia="zh-CN"/>
        </w:rPr>
        <w:t>四、报名方式及投标程序</w:t>
      </w:r>
      <w:bookmarkEnd w:id="40"/>
      <w:bookmarkEnd w:id="41"/>
    </w:p>
    <w:p w14:paraId="4402AA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2B8EE27D">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1.报名和采购文件发售期：2026年5月22日至2026年5月27日17：00（工作时间）。</w:t>
      </w:r>
    </w:p>
    <w:p w14:paraId="1AE46534">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2.采购文件售价：人民币500元/份（售后不退）。</w:t>
      </w:r>
    </w:p>
    <w:p w14:paraId="74AF1A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3.报名方式：在规定的报名和采购文件发售期内，供应商将本项目报名表（格式详见附件）填写完整加盖供应商公章扫描后同文件购买费转账截图一起发送至指定邮箱</w:t>
      </w:r>
      <w:r>
        <w:rPr>
          <w:rFonts w:hint="eastAsia" w:ascii="宋体" w:hAnsi="宋体" w:cs="宋体"/>
          <w:color w:val="auto"/>
          <w:kern w:val="2"/>
          <w:sz w:val="24"/>
          <w:szCs w:val="24"/>
          <w:highlight w:val="none"/>
          <w:lang w:val="en-US" w:eastAsia="zh-CN" w:bidi="ar-SA"/>
        </w:rPr>
        <w:t>2606654674@qq.com</w:t>
      </w:r>
      <w:r>
        <w:rPr>
          <w:rFonts w:hint="eastAsia" w:ascii="宋体" w:hAnsi="宋体" w:eastAsia="宋体" w:cs="宋体"/>
          <w:color w:val="auto"/>
          <w:kern w:val="2"/>
          <w:sz w:val="24"/>
          <w:szCs w:val="24"/>
          <w:highlight w:val="none"/>
          <w:lang w:val="en-US" w:eastAsia="zh-CN" w:bidi="ar-SA"/>
        </w:rPr>
        <w:t>，按要求发送邮箱后方才报名成功。</w:t>
      </w:r>
    </w:p>
    <w:p w14:paraId="670F46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线下递交响应文件时间：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9：30  </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lang w:val="en-US" w:eastAsia="zh-CN"/>
        </w:rPr>
        <w:t>（以北京时间为准，逾期不予受理）。</w:t>
      </w:r>
    </w:p>
    <w:p w14:paraId="406E6B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u w:val="none"/>
          <w:lang w:val="en-US" w:eastAsia="zh-CN"/>
        </w:rPr>
        <w:t>(北京时间）。</w:t>
      </w:r>
    </w:p>
    <w:p w14:paraId="2CE4A8FC">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4.比选地点</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重庆颢越工程管理有限公司开标室（</w:t>
      </w:r>
      <w:r>
        <w:rPr>
          <w:rFonts w:hint="eastAsia" w:ascii="宋体" w:hAnsi="宋体" w:eastAsia="宋体" w:cs="宋体"/>
          <w:color w:val="auto"/>
          <w:sz w:val="24"/>
          <w:szCs w:val="24"/>
          <w:highlight w:val="none"/>
          <w:lang w:val="en-US" w:eastAsia="zh-CN"/>
        </w:rPr>
        <w:t>重庆市大足区海棠路63号</w:t>
      </w:r>
      <w:r>
        <w:rPr>
          <w:rFonts w:hint="eastAsia" w:ascii="宋体" w:hAnsi="宋体" w:eastAsia="宋体" w:cs="宋体"/>
          <w:color w:val="auto"/>
          <w:kern w:val="2"/>
          <w:sz w:val="24"/>
          <w:szCs w:val="24"/>
          <w:highlight w:val="none"/>
          <w:lang w:val="en-US" w:eastAsia="zh-CN" w:bidi="ar-SA"/>
        </w:rPr>
        <w:t>）。</w:t>
      </w:r>
    </w:p>
    <w:p w14:paraId="733C4E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70CE0F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4.提交投标保证金银行转账凭据，加盖供应商公章；</w:t>
      </w:r>
    </w:p>
    <w:p w14:paraId="24CB36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6.递交“供应商信息卡”（格式详见附件），内容填写完整，加盖供应商公章；</w:t>
      </w:r>
    </w:p>
    <w:p w14:paraId="45505F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7.递交供应商银行“基本账户信息”或“开户许可证”复印件，加盖供应商公章；</w:t>
      </w:r>
    </w:p>
    <w:p w14:paraId="4367F4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bookmarkStart w:id="42" w:name="_Toc24820"/>
      <w:bookmarkStart w:id="43" w:name="_Toc9350"/>
      <w:bookmarkStart w:id="44" w:name="_Toc51660709"/>
      <w:bookmarkStart w:id="45" w:name="_Toc373860294"/>
      <w:r>
        <w:rPr>
          <w:rFonts w:hint="eastAsia" w:ascii="宋体" w:hAnsi="宋体" w:eastAsia="宋体" w:cs="宋体"/>
          <w:color w:val="auto"/>
          <w:sz w:val="24"/>
          <w:szCs w:val="24"/>
          <w:highlight w:val="none"/>
          <w:lang w:val="en-US" w:eastAsia="zh-CN"/>
        </w:rPr>
        <w:t>五、投标保证金</w:t>
      </w:r>
      <w:bookmarkEnd w:id="42"/>
      <w:bookmarkEnd w:id="43"/>
      <w:bookmarkEnd w:id="44"/>
      <w:bookmarkEnd w:id="45"/>
    </w:p>
    <w:p w14:paraId="3AFD1E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46" w:name="_Toc8383"/>
      <w:bookmarkStart w:id="47" w:name="_Toc51660711"/>
      <w:bookmarkStart w:id="48" w:name="_Toc16519"/>
      <w:r>
        <w:rPr>
          <w:rFonts w:hint="eastAsia" w:ascii="宋体" w:hAnsi="宋体" w:eastAsia="宋体" w:cs="宋体"/>
          <w:color w:val="auto"/>
          <w:sz w:val="24"/>
          <w:szCs w:val="24"/>
          <w:highlight w:val="none"/>
          <w:lang w:eastAsia="zh-CN"/>
        </w:rPr>
        <w:t>1.缴纳金额：</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lang w:eastAsia="zh-CN"/>
        </w:rPr>
        <w:t>元。</w:t>
      </w:r>
    </w:p>
    <w:p w14:paraId="1CEC6A5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2.缴纳方式：由供应商从其账户将投标保证金汇至以下指定账户：</w:t>
      </w:r>
    </w:p>
    <w:p w14:paraId="4FBF4F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w:t>
      </w:r>
      <w:r>
        <w:rPr>
          <w:rFonts w:hint="eastAsia" w:ascii="宋体" w:hAnsi="宋体" w:cs="宋体"/>
          <w:color w:val="000000"/>
          <w:sz w:val="24"/>
          <w:szCs w:val="24"/>
          <w:lang w:val="en-US" w:eastAsia="zh-CN"/>
        </w:rPr>
        <w:t>重庆颢越工程管理有限公司</w:t>
      </w:r>
    </w:p>
    <w:p w14:paraId="2105D15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开户行：中国银行股份有限公司重庆大足龙棠支行</w:t>
      </w:r>
    </w:p>
    <w:p w14:paraId="0FF8897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sz w:val="36"/>
          <w:szCs w:val="36"/>
          <w:lang w:val="en-US" w:eastAsia="zh-CN"/>
        </w:rPr>
      </w:pPr>
      <w:r>
        <w:rPr>
          <w:rFonts w:hint="eastAsia" w:ascii="宋体" w:hAnsi="宋体" w:eastAsia="宋体" w:cs="宋体"/>
          <w:color w:val="auto"/>
          <w:sz w:val="24"/>
          <w:szCs w:val="24"/>
          <w:highlight w:val="none"/>
          <w:lang w:eastAsia="zh-CN"/>
        </w:rPr>
        <w:t>账  号：</w:t>
      </w:r>
      <w:r>
        <w:rPr>
          <w:rFonts w:hint="eastAsia" w:ascii="宋体" w:hAnsi="宋体" w:eastAsia="宋体" w:cs="宋体"/>
          <w:color w:val="auto"/>
          <w:sz w:val="24"/>
          <w:szCs w:val="24"/>
          <w:highlight w:val="none"/>
          <w:lang w:val="en-US" w:eastAsia="zh-CN"/>
        </w:rPr>
        <w:t>114471563282</w:t>
      </w:r>
    </w:p>
    <w:p w14:paraId="64FB313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3.保证金到账时间及备注填写要求</w:t>
      </w:r>
    </w:p>
    <w:p w14:paraId="49B414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（1）到账时间要求</w:t>
      </w:r>
    </w:p>
    <w:p w14:paraId="7D1DCB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本项目投标保证金的到账截止时间同提交响应文件截止时间（供应商在银行转账汇款时，须充分考虑转账汇款的时间差风险，如同城转账、异地转账或汇款、跨行转账或电汇的时间要求）。</w:t>
      </w:r>
    </w:p>
    <w:p w14:paraId="0295DC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（2）备注填写要求</w:t>
      </w:r>
    </w:p>
    <w:p w14:paraId="3DAA0D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供应商应在银行转账（汇款）凭证备注栏中注明“投标保证金—</w:t>
      </w:r>
      <w:r>
        <w:rPr>
          <w:rFonts w:hint="eastAsia" w:ascii="宋体" w:hAnsi="宋体" w:cs="宋体"/>
          <w:color w:val="auto"/>
          <w:sz w:val="24"/>
          <w:szCs w:val="24"/>
          <w:highlight w:val="none"/>
          <w:lang w:val="en-US" w:eastAsia="zh-CN"/>
        </w:rPr>
        <w:t>CQHY-HC-20260522</w:t>
      </w:r>
      <w:r>
        <w:rPr>
          <w:rFonts w:hint="eastAsia" w:ascii="宋体" w:hAnsi="宋体" w:eastAsia="宋体" w:cs="宋体"/>
          <w:color w:val="auto"/>
          <w:sz w:val="24"/>
          <w:szCs w:val="24"/>
          <w:highlight w:val="none"/>
          <w:lang w:eastAsia="zh-CN"/>
        </w:rPr>
        <w:t>”，不按要求填写备注和缴纳保证金入指定账户的，投标现场不予接收投标文件，由供应商自行承担后果。</w:t>
      </w:r>
    </w:p>
    <w:p w14:paraId="57454A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4.保证金退还方式</w:t>
      </w:r>
    </w:p>
    <w:p w14:paraId="4E2173E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（1）未成交供应商的投标保证金，在中标通知书发出后，</w:t>
      </w:r>
      <w:r>
        <w:rPr>
          <w:rFonts w:hint="eastAsia" w:ascii="宋体" w:hAnsi="宋体" w:cs="宋体"/>
          <w:color w:val="000000"/>
          <w:sz w:val="24"/>
          <w:szCs w:val="24"/>
          <w:lang w:val="en-US" w:eastAsia="zh-CN"/>
        </w:rPr>
        <w:t>重庆颢越工程管理有限公司</w:t>
      </w:r>
      <w:r>
        <w:rPr>
          <w:rFonts w:hint="eastAsia" w:ascii="宋体" w:hAnsi="宋体" w:eastAsia="宋体" w:cs="宋体"/>
          <w:color w:val="auto"/>
          <w:sz w:val="24"/>
          <w:szCs w:val="24"/>
          <w:highlight w:val="none"/>
          <w:lang w:eastAsia="zh-CN"/>
        </w:rPr>
        <w:t>在五个工作日内按来款渠道直接退还。</w:t>
      </w:r>
    </w:p>
    <w:p w14:paraId="1CDEC4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（2）成交供应商的投标保证金，在成交供应商将与采购人签订合同</w:t>
      </w:r>
      <w:r>
        <w:rPr>
          <w:rFonts w:hint="eastAsia" w:ascii="宋体" w:hAnsi="宋体" w:cs="宋体"/>
          <w:color w:val="auto"/>
          <w:sz w:val="24"/>
          <w:szCs w:val="24"/>
          <w:highlight w:val="none"/>
          <w:lang w:val="en-US" w:eastAsia="zh-CN"/>
        </w:rPr>
        <w:t>后，由</w:t>
      </w:r>
      <w:r>
        <w:rPr>
          <w:rFonts w:hint="eastAsia" w:ascii="宋体" w:hAnsi="宋体" w:cs="宋体"/>
          <w:color w:val="000000"/>
          <w:sz w:val="24"/>
          <w:szCs w:val="24"/>
          <w:lang w:val="en-US" w:eastAsia="zh-CN"/>
        </w:rPr>
        <w:t>重庆颢越工程管理有限公司</w:t>
      </w:r>
      <w:r>
        <w:rPr>
          <w:rFonts w:hint="eastAsia" w:ascii="宋体" w:hAnsi="宋体" w:eastAsia="宋体" w:cs="宋体"/>
          <w:color w:val="000000"/>
          <w:sz w:val="24"/>
          <w:szCs w:val="24"/>
          <w:lang w:val="en-US" w:eastAsia="zh-CN"/>
        </w:rPr>
        <w:t>在</w:t>
      </w:r>
      <w:r>
        <w:rPr>
          <w:rFonts w:hint="eastAsia" w:ascii="宋体" w:hAnsi="宋体" w:eastAsia="宋体" w:cs="宋体"/>
          <w:color w:val="auto"/>
          <w:sz w:val="24"/>
          <w:szCs w:val="24"/>
          <w:highlight w:val="none"/>
          <w:lang w:eastAsia="zh-CN"/>
        </w:rPr>
        <w:t>五个工作日内按资金来款渠道直接退还。</w:t>
      </w:r>
    </w:p>
    <w:p w14:paraId="6439DB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保证金咨询电话：</w:t>
      </w:r>
      <w:r>
        <w:rPr>
          <w:rFonts w:hint="eastAsia" w:ascii="宋体" w:hAnsi="宋体" w:cs="宋体"/>
          <w:color w:val="auto"/>
          <w:sz w:val="24"/>
          <w:szCs w:val="24"/>
          <w:highlight w:val="none"/>
          <w:lang w:val="en-US" w:eastAsia="zh-CN"/>
        </w:rPr>
        <w:t>023-43331699</w:t>
      </w:r>
    </w:p>
    <w:p w14:paraId="0C8DB7F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bookmarkEnd w:id="36"/>
      <w:r>
        <w:rPr>
          <w:rFonts w:hint="eastAsia" w:ascii="宋体" w:hAnsi="宋体" w:eastAsia="宋体" w:cs="宋体"/>
          <w:color w:val="auto"/>
          <w:sz w:val="24"/>
          <w:szCs w:val="24"/>
          <w:highlight w:val="none"/>
          <w:lang w:val="en-US" w:eastAsia="zh-CN"/>
        </w:rPr>
        <w:t>其它有关规定</w:t>
      </w:r>
      <w:bookmarkEnd w:id="46"/>
      <w:bookmarkEnd w:id="47"/>
      <w:bookmarkEnd w:id="48"/>
    </w:p>
    <w:p w14:paraId="08169B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（四）超过响应文件截止时间递交的响应文件，恕不接收</w:t>
      </w:r>
      <w:r>
        <w:rPr>
          <w:rFonts w:hint="eastAsia" w:ascii="宋体" w:hAnsi="宋体" w:cs="宋体"/>
          <w:color w:val="auto"/>
          <w:sz w:val="24"/>
          <w:szCs w:val="24"/>
          <w:highlight w:val="none"/>
          <w:lang w:eastAsia="zh-CN"/>
        </w:rPr>
        <w:t>。</w:t>
      </w:r>
    </w:p>
    <w:p w14:paraId="31166D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49" w:name="_Toc51660712"/>
    </w:p>
    <w:p w14:paraId="696197D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50" w:name="_Toc13595"/>
      <w:bookmarkStart w:id="51" w:name="_Toc24392"/>
      <w:r>
        <w:rPr>
          <w:rFonts w:hint="eastAsia" w:ascii="宋体" w:hAnsi="宋体" w:eastAsia="宋体" w:cs="宋体"/>
          <w:color w:val="auto"/>
          <w:sz w:val="24"/>
          <w:szCs w:val="24"/>
          <w:highlight w:val="none"/>
          <w:lang w:val="en-US" w:eastAsia="zh-CN"/>
        </w:rPr>
        <w:t>七、联系方式</w:t>
      </w:r>
      <w:bookmarkEnd w:id="49"/>
      <w:bookmarkEnd w:id="50"/>
      <w:bookmarkEnd w:id="51"/>
    </w:p>
    <w:p w14:paraId="1AD3FC92">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kern w:val="2"/>
          <w:sz w:val="24"/>
          <w:szCs w:val="24"/>
          <w:highlight w:val="none"/>
          <w:lang w:val="en-US" w:eastAsia="zh-CN" w:bidi="ar-SA"/>
        </w:rPr>
        <w:t>重庆大足石刻国际文化旅游集团有限公司</w:t>
      </w:r>
    </w:p>
    <w:p w14:paraId="6C175608">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址：重庆市大足区棠香街道大铜路污水处理厂内</w:t>
      </w:r>
    </w:p>
    <w:p w14:paraId="69E8BD10">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张老师</w:t>
      </w:r>
    </w:p>
    <w:p w14:paraId="6775F5AD">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bookmarkStart w:id="52" w:name="_Toc102227313"/>
      <w:r>
        <w:rPr>
          <w:rFonts w:hint="eastAsia" w:ascii="宋体" w:hAnsi="宋体" w:eastAsia="宋体" w:cs="宋体"/>
          <w:color w:val="auto"/>
          <w:kern w:val="2"/>
          <w:sz w:val="24"/>
          <w:szCs w:val="24"/>
          <w:highlight w:val="none"/>
          <w:lang w:val="en-US" w:eastAsia="zh-CN" w:bidi="ar-SA"/>
        </w:rPr>
        <w:t>17623606033</w:t>
      </w:r>
    </w:p>
    <w:p w14:paraId="484FE8CC">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95A181D">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w:t>
      </w:r>
      <w:r>
        <w:rPr>
          <w:rFonts w:hint="eastAsia" w:eastAsia="宋体" w:cs="宋体"/>
          <w:color w:val="auto"/>
          <w:sz w:val="24"/>
          <w:szCs w:val="24"/>
          <w:highlight w:val="none"/>
          <w:lang w:val="en-US" w:eastAsia="zh-CN"/>
        </w:rPr>
        <w:t>重庆颢越工程管理有限公司</w:t>
      </w:r>
    </w:p>
    <w:p w14:paraId="156EDF6C">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sz w:val="24"/>
          <w:szCs w:val="24"/>
          <w:highlight w:val="none"/>
          <w:lang w:val="en-US" w:eastAsia="zh-CN"/>
        </w:rPr>
        <w:t>重庆市大足区海棠路63号</w:t>
      </w:r>
    </w:p>
    <w:p w14:paraId="6D5D849A">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钱老师</w:t>
      </w:r>
    </w:p>
    <w:p w14:paraId="666295E1">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023-43331699</w:t>
      </w:r>
      <w:r>
        <w:rPr>
          <w:rFonts w:hint="eastAsia" w:ascii="宋体" w:hAnsi="宋体" w:eastAsia="宋体" w:cs="宋体"/>
          <w:color w:val="auto"/>
          <w:sz w:val="24"/>
          <w:szCs w:val="24"/>
          <w:highlight w:val="none"/>
        </w:rPr>
        <w:br w:type="page"/>
      </w:r>
    </w:p>
    <w:p w14:paraId="2BEF2B1D">
      <w:pPr>
        <w:keepNext w:val="0"/>
        <w:keepLines w:val="0"/>
        <w:pageBreakBefore w:val="0"/>
        <w:widowControl w:val="0"/>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53" w:name="_Toc9902"/>
      <w:bookmarkStart w:id="54" w:name="_Toc19860"/>
      <w:bookmarkStart w:id="55" w:name="_Toc25709"/>
      <w:r>
        <w:rPr>
          <w:rFonts w:hint="eastAsia" w:eastAsia="宋体" w:cs="宋体"/>
          <w:b/>
          <w:bCs w:val="0"/>
          <w:color w:val="auto"/>
          <w:sz w:val="36"/>
          <w:szCs w:val="36"/>
          <w:highlight w:val="none"/>
          <w:lang w:val="en-US" w:eastAsia="zh-CN"/>
        </w:rPr>
        <w:t xml:space="preserve">第二篇 </w:t>
      </w:r>
      <w:bookmarkEnd w:id="52"/>
      <w:r>
        <w:rPr>
          <w:rFonts w:hint="eastAsia" w:eastAsia="宋体" w:cs="宋体"/>
          <w:b/>
          <w:bCs w:val="0"/>
          <w:color w:val="auto"/>
          <w:sz w:val="36"/>
          <w:szCs w:val="36"/>
          <w:highlight w:val="none"/>
          <w:lang w:val="en-US" w:eastAsia="zh-CN"/>
        </w:rPr>
        <w:t xml:space="preserve"> </w:t>
      </w:r>
      <w:bookmarkEnd w:id="53"/>
      <w:bookmarkEnd w:id="54"/>
      <w:bookmarkEnd w:id="55"/>
      <w:r>
        <w:rPr>
          <w:rFonts w:hint="eastAsia" w:cs="宋体"/>
          <w:b/>
          <w:bCs w:val="0"/>
          <w:color w:val="auto"/>
          <w:sz w:val="36"/>
          <w:szCs w:val="36"/>
          <w:highlight w:val="none"/>
          <w:lang w:val="en-US" w:eastAsia="zh-CN"/>
        </w:rPr>
        <w:t>项目技术需求</w:t>
      </w:r>
    </w:p>
    <w:p w14:paraId="39825C4F">
      <w:pPr>
        <w:pStyle w:val="4"/>
        <w:pageBreakBefore w:val="0"/>
        <w:kinsoku/>
        <w:wordWrap/>
        <w:topLinePunct w:val="0"/>
        <w:bidi w:val="0"/>
        <w:spacing w:line="400" w:lineRule="exact"/>
        <w:textAlignment w:val="auto"/>
        <w:rPr>
          <w:rFonts w:hint="eastAsia" w:ascii="宋体" w:hAnsi="宋体" w:eastAsia="宋体" w:cs="宋体"/>
          <w:color w:val="auto"/>
          <w:sz w:val="24"/>
          <w:szCs w:val="24"/>
          <w:highlight w:val="none"/>
          <w:lang w:eastAsia="zh-CN"/>
        </w:rPr>
      </w:pPr>
      <w:bookmarkStart w:id="56" w:name="_Toc23171"/>
      <w:bookmarkStart w:id="57" w:name="_Toc17333"/>
      <w:bookmarkStart w:id="58" w:name="_Toc24805"/>
      <w:bookmarkStart w:id="59" w:name="_Toc27075"/>
      <w:bookmarkStart w:id="60" w:name="_Toc345321101"/>
      <w:bookmarkStart w:id="61" w:name="_Toc427852462"/>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一览表</w:t>
      </w:r>
      <w:bookmarkEnd w:id="56"/>
      <w:bookmarkEnd w:id="57"/>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3"/>
      </w:tblGrid>
      <w:tr w14:paraId="408A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209" w:type="dxa"/>
            <w:vAlign w:val="center"/>
          </w:tcPr>
          <w:p w14:paraId="357B1EB2">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项目内容</w:t>
            </w:r>
          </w:p>
        </w:tc>
        <w:tc>
          <w:tcPr>
            <w:tcW w:w="3209" w:type="dxa"/>
            <w:vAlign w:val="center"/>
          </w:tcPr>
          <w:p w14:paraId="1D963563">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数量/单位</w:t>
            </w:r>
          </w:p>
        </w:tc>
        <w:tc>
          <w:tcPr>
            <w:tcW w:w="3210" w:type="dxa"/>
            <w:vAlign w:val="center"/>
          </w:tcPr>
          <w:p w14:paraId="52C5B0C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3F1D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209" w:type="dxa"/>
            <w:vAlign w:val="center"/>
          </w:tcPr>
          <w:p w14:paraId="0998B97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北山一碗水周边环境提升项目</w:t>
            </w:r>
          </w:p>
        </w:tc>
        <w:tc>
          <w:tcPr>
            <w:tcW w:w="3209" w:type="dxa"/>
            <w:vAlign w:val="center"/>
          </w:tcPr>
          <w:p w14:paraId="1614DA17">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w:t>
            </w:r>
          </w:p>
        </w:tc>
        <w:tc>
          <w:tcPr>
            <w:tcW w:w="3210" w:type="dxa"/>
            <w:vAlign w:val="center"/>
          </w:tcPr>
          <w:p w14:paraId="35DA4D79">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详见下文</w:t>
            </w:r>
          </w:p>
        </w:tc>
      </w:tr>
    </w:tbl>
    <w:p w14:paraId="5F892482">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、比选内容</w:t>
      </w:r>
      <w:bookmarkEnd w:id="58"/>
      <w:bookmarkEnd w:id="59"/>
    </w:p>
    <w:p w14:paraId="2E56A5B6">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cs="宋体"/>
          <w:color w:val="auto"/>
          <w:sz w:val="24"/>
          <w:szCs w:val="24"/>
          <w:highlight w:val="none"/>
          <w:lang w:val="en-US" w:eastAsia="zh-CN"/>
        </w:rPr>
        <w:t>北山一碗水周边环境提升项目</w:t>
      </w:r>
    </w:p>
    <w:p w14:paraId="44AE0D20">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2.建设地点：采购人指定地点。</w:t>
      </w:r>
    </w:p>
    <w:p w14:paraId="45BBB1C2">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3.工程概况：主要包含一碗水路口转角房屋花台整改提升，一碗水至老游客中心污水管网约420米，原址复建23.79㎡公共卫生间，约277.27㎡现状建筑外立面改造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具体内容详见施工图及工程量清单。</w:t>
      </w:r>
    </w:p>
    <w:p w14:paraId="48308948">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cs="宋体"/>
          <w:color w:val="auto"/>
          <w:sz w:val="24"/>
          <w:szCs w:val="24"/>
          <w:highlight w:val="none"/>
          <w:lang w:val="en-US" w:eastAsia="zh-CN"/>
        </w:rPr>
        <w:t>北山一碗水周边环境提升项目</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bookmarkEnd w:id="60"/>
    <w:bookmarkEnd w:id="61"/>
    <w:p w14:paraId="786CEDD0">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2" w:name="_Toc11993"/>
      <w:bookmarkStart w:id="63" w:name="_Toc9174"/>
      <w:bookmarkStart w:id="64" w:name="_Toc29177"/>
      <w:bookmarkStart w:id="65" w:name="_Toc12789058"/>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、安全要求</w:t>
      </w:r>
      <w:bookmarkEnd w:id="62"/>
      <w:bookmarkEnd w:id="63"/>
      <w:bookmarkEnd w:id="64"/>
    </w:p>
    <w:p w14:paraId="0D59964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6" w:name="_Toc3836"/>
      <w:bookmarkStart w:id="67" w:name="_Toc9235"/>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、质量要求</w:t>
      </w:r>
      <w:bookmarkEnd w:id="66"/>
      <w:bookmarkEnd w:id="67"/>
    </w:p>
    <w:p w14:paraId="04365CE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428EF555">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8" w:name="_Toc686"/>
      <w:bookmarkStart w:id="69" w:name="_Toc2250"/>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bookmarkStart w:id="70" w:name="_Toc80863889"/>
      <w:r>
        <w:rPr>
          <w:rFonts w:hint="eastAsia" w:ascii="宋体" w:hAnsi="宋体" w:eastAsia="宋体" w:cs="宋体"/>
          <w:color w:val="auto"/>
          <w:sz w:val="24"/>
          <w:szCs w:val="24"/>
          <w:highlight w:val="none"/>
          <w:lang w:val="en-US" w:eastAsia="zh-CN"/>
        </w:rPr>
        <w:t>现场踏勘</w:t>
      </w:r>
      <w:bookmarkEnd w:id="68"/>
      <w:bookmarkEnd w:id="69"/>
      <w:bookmarkEnd w:id="70"/>
    </w:p>
    <w:p w14:paraId="0255A760">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238FDCC7">
      <w:pPr>
        <w:keepNext w:val="0"/>
        <w:keepLines w:val="0"/>
        <w:pageBreakBefore w:val="0"/>
        <w:widowControl w:val="0"/>
        <w:kinsoku/>
        <w:wordWrap/>
        <w:topLinePunct w:val="0"/>
        <w:bidi w:val="0"/>
        <w:adjustRightInd/>
        <w:snapToGrid/>
        <w:spacing w:line="37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p>
    <w:p w14:paraId="1E423D9B">
      <w:pPr>
        <w:pStyle w:val="4"/>
        <w:keepNext w:val="0"/>
        <w:keepLines w:val="0"/>
        <w:pageBreakBefore w:val="0"/>
        <w:widowControl w:val="0"/>
        <w:kinsoku/>
        <w:wordWrap/>
        <w:topLinePunct w:val="0"/>
        <w:bidi w:val="0"/>
        <w:adjustRightInd/>
        <w:spacing w:line="240" w:lineRule="auto"/>
        <w:textAlignment w:val="auto"/>
        <w:rPr>
          <w:rFonts w:hint="eastAsia" w:ascii="宋体" w:hAnsi="宋体" w:cs="宋体"/>
          <w:b w:val="0"/>
          <w:bCs/>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、结合本工程特点提出切实可行的服务方案</w:t>
      </w:r>
      <w:bookmarkStart w:id="71" w:name="_Toc27288"/>
      <w:bookmarkStart w:id="72" w:name="_Toc3420"/>
      <w:bookmarkStart w:id="73" w:name="_Toc21506"/>
      <w:bookmarkStart w:id="74" w:name="_Toc29141"/>
    </w:p>
    <w:p w14:paraId="5A8BA888">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安全管理体系与措施：编制要点：针对本项目安全控制有透彻的认识，明确施工现场管理人员安全生产职责、达到施工安全目标，针对工程特点、确定危险源并制定具体的保护措施。对施工过程中可能发生的各种安全问题有合理的预见，并提出相应的应对措施，从安全体系建设、安全预案可靠性、安全经费保障、安全措施保障计划、安全管理机构设置科学、充分、有效并符合本项目实际需要。</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3833E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环境保护管理体系措施：编制要点：编制相应的环境保护组织机构，根据项目特征，识别评价环境影响因素，制定相应预防控制措施，切合实际，采取有效的措施防止扬尘、噪音等物质对大气的污染，施工产生的废渣有合理的处理方案，设有专人负责协调处理施工过程中产生的环境保护、水土保持相关问题及应急处置方案和措施，环境保护、水土保持体系健全有效，环境保护、水土保持保证措施得当具有针对性，与本项目周边环境情况相符合。</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546F1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工程进度计划与措施：编制要点：合理规划施工总体进度计划、控制性项目安排得当，工程进度补救措施可行，进度管理有提前预想方案以及补救措施，有理想可靠的提前工期方案。针对本项目</w:t>
      </w:r>
      <w:r>
        <w:rPr>
          <w:rFonts w:hint="eastAsia" w:ascii="宋体" w:hAnsi="宋体" w:cs="宋体"/>
          <w:b w:val="0"/>
          <w:bCs/>
          <w:color w:val="auto"/>
          <w:sz w:val="24"/>
          <w:szCs w:val="24"/>
          <w:highlight w:val="none"/>
          <w:lang w:val="en-US" w:eastAsia="zh-CN"/>
        </w:rPr>
        <w:t>施工内容</w:t>
      </w:r>
      <w:r>
        <w:rPr>
          <w:rFonts w:hint="eastAsia" w:ascii="宋体" w:hAnsi="宋体" w:eastAsia="宋体" w:cs="宋体"/>
          <w:b w:val="0"/>
          <w:bCs/>
          <w:color w:val="auto"/>
          <w:sz w:val="24"/>
          <w:szCs w:val="24"/>
          <w:highlight w:val="none"/>
          <w:lang w:val="en-US" w:eastAsia="zh-CN"/>
        </w:rPr>
        <w:t>制定保证工期专项措施。总计划满足</w:t>
      </w:r>
      <w:r>
        <w:rPr>
          <w:rFonts w:hint="eastAsia" w:ascii="宋体" w:hAnsi="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文件要求，逻辑关系正确，可操作行强，关键线路节点清晰准确完整，并绘制出双代号网络图。施工总体进度计划是否合理（附网络图），控制性项目是否安排得当，工程进度补救措施是否可行。提供工程进度计划表，明确开、竣工日期，各工作的自由时差及总时差，六个时间参数及相关措施。</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79A30783">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资源配备计划：编制要点：审查投入本工程施工的机具和设备是否符合本项目要求，以表格形式明确施工设备的名称、型号、数量、功率、施工部位、归属、已使用年限等方面充分满足施工需要；试验设备结合本项目明确用途；提供劳动力计划、主要机具设备配置计划，满足本项目需要的主要材料供应计划。</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73BEDE1C">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237AAB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3D8844A">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DA9936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160CFF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F917BB0">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42C3C1B">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9BFF375">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08275FD">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C36C5E1">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C73DBC4">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381C5E3">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0729A0A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第三篇  项目商务需求</w:t>
      </w:r>
      <w:bookmarkEnd w:id="65"/>
      <w:bookmarkEnd w:id="71"/>
      <w:bookmarkEnd w:id="72"/>
      <w:bookmarkEnd w:id="73"/>
      <w:bookmarkEnd w:id="74"/>
    </w:p>
    <w:p w14:paraId="147BAFDB">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75" w:name="_Toc51655840"/>
      <w:bookmarkStart w:id="76" w:name="_Toc15498"/>
      <w:bookmarkStart w:id="77" w:name="_Toc19148"/>
      <w:bookmarkStart w:id="78" w:name="_Toc26026"/>
      <w:bookmarkStart w:id="79" w:name="_Toc525909820"/>
      <w:bookmarkStart w:id="80" w:name="_Toc486325801"/>
      <w:bookmarkStart w:id="81" w:name="_Toc267320049"/>
      <w:bookmarkStart w:id="82" w:name="_Toc344475123"/>
      <w:bookmarkStart w:id="83" w:name="_Toc344475120"/>
      <w:bookmarkStart w:id="84" w:name="_Toc12789059"/>
      <w:bookmarkStart w:id="85" w:name="_Toc11641055"/>
      <w:r>
        <w:rPr>
          <w:rFonts w:hint="eastAsia" w:ascii="宋体" w:hAnsi="宋体" w:eastAsia="宋体" w:cs="宋体"/>
          <w:color w:val="auto"/>
          <w:sz w:val="24"/>
          <w:szCs w:val="24"/>
          <w:highlight w:val="none"/>
          <w:lang w:val="en-US" w:eastAsia="zh-CN"/>
        </w:rPr>
        <w:t>一、工期、建设地点、验收方式</w:t>
      </w:r>
      <w:bookmarkEnd w:id="75"/>
      <w:bookmarkEnd w:id="76"/>
      <w:r>
        <w:rPr>
          <w:rFonts w:hint="eastAsia" w:ascii="宋体" w:hAnsi="宋体" w:eastAsia="宋体" w:cs="宋体"/>
          <w:color w:val="auto"/>
          <w:sz w:val="24"/>
          <w:szCs w:val="24"/>
          <w:highlight w:val="none"/>
          <w:lang w:val="en-US" w:eastAsia="zh-CN"/>
        </w:rPr>
        <w:t>及安全目标</w:t>
      </w:r>
      <w:bookmarkEnd w:id="77"/>
      <w:bookmarkEnd w:id="78"/>
    </w:p>
    <w:p w14:paraId="1B4F3923">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60日历天</w:t>
      </w:r>
      <w:r>
        <w:rPr>
          <w:rFonts w:hint="eastAsia" w:ascii="宋体" w:hAnsi="宋体" w:eastAsia="宋体" w:cs="宋体"/>
          <w:color w:val="auto"/>
          <w:kern w:val="2"/>
          <w:sz w:val="24"/>
          <w:szCs w:val="24"/>
          <w:highlight w:val="none"/>
          <w:lang w:val="en-US" w:eastAsia="zh-CN" w:bidi="ar-SA"/>
        </w:rPr>
        <w:t>。</w:t>
      </w:r>
    </w:p>
    <w:p w14:paraId="7BFB4D94">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2.工程完工后，按国家相关标准验收程序和规程进行验收。验收的相关费用由成交供应商承担。</w:t>
      </w:r>
    </w:p>
    <w:p w14:paraId="565932EF">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37F48780">
      <w:pPr>
        <w:pStyle w:val="23"/>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（四）安全目标</w:t>
      </w:r>
    </w:p>
    <w:p w14:paraId="7963AB27">
      <w:pPr>
        <w:keepNext w:val="0"/>
        <w:keepLines w:val="0"/>
        <w:pageBreakBefore w:val="0"/>
        <w:widowControl w:val="0"/>
        <w:suppressLineNumbers w:val="0"/>
        <w:kinsoku/>
        <w:wordWrap/>
        <w:overflowPunct/>
        <w:topLinePunct w:val="0"/>
        <w:autoSpaceDE/>
        <w:autoSpaceDN/>
        <w:bidi w:val="0"/>
        <w:spacing w:line="400" w:lineRule="exact"/>
        <w:ind w:left="0" w:firstLine="480" w:firstLineChars="200"/>
        <w:jc w:val="left"/>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达到国家安全技术规范和标准的要求，无大小安全责任事故。</w:t>
      </w:r>
    </w:p>
    <w:p w14:paraId="05C211B7">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6" w:name="_Toc2507"/>
      <w:r>
        <w:rPr>
          <w:rFonts w:hint="eastAsia" w:ascii="宋体" w:hAnsi="宋体" w:eastAsia="宋体" w:cs="宋体"/>
          <w:color w:val="auto"/>
          <w:sz w:val="24"/>
          <w:szCs w:val="24"/>
          <w:highlight w:val="none"/>
          <w:lang w:val="en-US" w:eastAsia="zh-CN"/>
        </w:rPr>
        <w:t>二、人员要求</w:t>
      </w:r>
    </w:p>
    <w:bookmarkEnd w:id="86"/>
    <w:p w14:paraId="6E4C6214">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bookmarkStart w:id="87" w:name="_Toc267320050"/>
      <w:r>
        <w:rPr>
          <w:rFonts w:hint="eastAsia" w:asciiTheme="minorEastAsia" w:hAnsiTheme="minorEastAsia" w:eastAsiaTheme="minorEastAsia" w:cstheme="minorEastAsia"/>
          <w:color w:val="auto"/>
          <w:kern w:val="2"/>
          <w:sz w:val="24"/>
          <w:szCs w:val="24"/>
          <w:highlight w:val="none"/>
          <w:lang w:val="en-US" w:eastAsia="zh-CN" w:bidi="ar-SA"/>
        </w:rPr>
        <w:t>1.项目经理：拟派的项目经理须在供应商单位注册，并应具有</w:t>
      </w:r>
      <w:r>
        <w:rPr>
          <w:rFonts w:hint="eastAsia" w:asciiTheme="minorEastAsia" w:hAnsiTheme="minorEastAsia" w:eastAsiaTheme="minorEastAsia" w:cstheme="minorEastAsia"/>
          <w:color w:val="auto"/>
          <w:kern w:val="2"/>
          <w:sz w:val="24"/>
          <w:szCs w:val="24"/>
          <w:highlight w:val="none"/>
          <w:u w:val="single"/>
          <w:lang w:val="en-US" w:eastAsia="zh-CN" w:bidi="ar-SA"/>
        </w:rPr>
        <w:t>市政公用工程</w:t>
      </w:r>
      <w:r>
        <w:rPr>
          <w:rFonts w:hint="eastAsia" w:asciiTheme="minorEastAsia" w:hAnsiTheme="minorEastAsia" w:eastAsiaTheme="minorEastAsia" w:cstheme="minorEastAsia"/>
          <w:color w:val="auto"/>
          <w:kern w:val="2"/>
          <w:sz w:val="24"/>
          <w:szCs w:val="24"/>
          <w:highlight w:val="none"/>
          <w:lang w:val="en-US" w:eastAsia="zh-CN" w:bidi="ar-SA"/>
        </w:rPr>
        <w:t>专业</w:t>
      </w:r>
      <w:r>
        <w:rPr>
          <w:rFonts w:hint="eastAsia" w:asciiTheme="minorEastAsia" w:hAnsiTheme="minorEastAsia" w:eastAsiaTheme="minorEastAsia" w:cstheme="minorEastAsia"/>
          <w:color w:val="auto"/>
          <w:kern w:val="2"/>
          <w:sz w:val="24"/>
          <w:szCs w:val="24"/>
          <w:highlight w:val="none"/>
          <w:u w:val="single"/>
          <w:lang w:val="en-US" w:eastAsia="zh-CN" w:bidi="ar-SA"/>
        </w:rPr>
        <w:t>二级</w:t>
      </w:r>
      <w:r>
        <w:rPr>
          <w:rFonts w:hint="eastAsia" w:asciiTheme="minorEastAsia" w:hAnsiTheme="minorEastAsia" w:eastAsiaTheme="minorEastAsia" w:cstheme="minorEastAsia"/>
          <w:color w:val="auto"/>
          <w:kern w:val="2"/>
          <w:sz w:val="24"/>
          <w:szCs w:val="24"/>
          <w:highlight w:val="none"/>
          <w:lang w:val="en-US" w:eastAsia="zh-CN" w:bidi="ar-SA"/>
        </w:rPr>
        <w:t>及以上注册建造师执业资格（提供拟派项目经理身份证、建造师注册证、安全生产考核合格证书（B类）复印件）。</w:t>
      </w:r>
    </w:p>
    <w:p w14:paraId="46B6C35A">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2.项目技术负责人：应具有</w:t>
      </w:r>
      <w:r>
        <w:rPr>
          <w:rFonts w:hint="eastAsia" w:asciiTheme="minorEastAsia" w:hAnsiTheme="minorEastAsia" w:eastAsiaTheme="minorEastAsia" w:cstheme="minorEastAsia"/>
          <w:color w:val="auto"/>
          <w:kern w:val="2"/>
          <w:sz w:val="24"/>
          <w:szCs w:val="24"/>
          <w:highlight w:val="none"/>
          <w:u w:val="single"/>
          <w:lang w:val="en-US" w:eastAsia="zh-CN" w:bidi="ar-SA"/>
        </w:rPr>
        <w:t>工程类中级</w:t>
      </w:r>
      <w:r>
        <w:rPr>
          <w:rFonts w:hint="eastAsia" w:asciiTheme="minorEastAsia" w:hAnsiTheme="minorEastAsia" w:eastAsiaTheme="minorEastAsia" w:cstheme="minorEastAsia"/>
          <w:color w:val="auto"/>
          <w:kern w:val="2"/>
          <w:sz w:val="24"/>
          <w:szCs w:val="24"/>
          <w:highlight w:val="none"/>
          <w:lang w:val="en-US" w:eastAsia="zh-CN" w:bidi="ar-SA"/>
        </w:rPr>
        <w:t>及以上职称（提供身份证、职称证复印件）。</w:t>
      </w:r>
    </w:p>
    <w:p w14:paraId="2B145F50">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66C63423">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4.委托代理人：委托代理人必须为供应商本单位人员。</w:t>
      </w:r>
    </w:p>
    <w:p w14:paraId="610A241E">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注：项目经理、项目技术负责人及委托代理人须提供本单位为其缴纳的2025年11月至2026年4月连续养老保险证明（提供养老保险证明复印件）。</w:t>
      </w:r>
    </w:p>
    <w:bookmarkEnd w:id="79"/>
    <w:bookmarkEnd w:id="80"/>
    <w:bookmarkEnd w:id="81"/>
    <w:bookmarkEnd w:id="82"/>
    <w:bookmarkEnd w:id="87"/>
    <w:p w14:paraId="3FB2211F">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8" w:name="_Toc13283"/>
      <w:bookmarkStart w:id="89" w:name="_Toc12932"/>
      <w:bookmarkStart w:id="90" w:name="_Toc17129"/>
      <w:bookmarkStart w:id="91" w:name="_Toc376184485"/>
      <w:bookmarkStart w:id="92" w:name="_Toc267320051"/>
      <w:bookmarkStart w:id="93" w:name="_Toc51655843"/>
      <w:r>
        <w:rPr>
          <w:rFonts w:hint="eastAsia" w:ascii="宋体" w:hAnsi="宋体" w:eastAsia="宋体" w:cs="宋体"/>
          <w:color w:val="auto"/>
          <w:sz w:val="24"/>
          <w:szCs w:val="24"/>
          <w:highlight w:val="none"/>
          <w:lang w:val="en-US" w:eastAsia="zh-CN"/>
        </w:rPr>
        <w:t>三、报价要求</w:t>
      </w:r>
      <w:bookmarkEnd w:id="88"/>
      <w:bookmarkEnd w:id="89"/>
    </w:p>
    <w:p w14:paraId="73949D06">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，包含完成该项目的全部工作内容，亦包含建设工程一般风险费、安全生产费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管理费、利润、税金、采购代理服务费等所有费用。因成交供应商自身原因造成漏报、少报皆由其自行承担责任，采购人不再补偿。</w:t>
      </w:r>
    </w:p>
    <w:p w14:paraId="7E25C587">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、本项目必须采用工程量清单计价。工程量清单应采用综合单价计价。</w:t>
      </w:r>
    </w:p>
    <w:p w14:paraId="2EE7FE9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供应商应按相应的配套定额和文件，结合自身实力、市场行情自主合理报价。</w:t>
      </w:r>
    </w:p>
    <w:p w14:paraId="0BBFEA05">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工程项目及名称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单位、数量</w:t>
      </w:r>
      <w:r>
        <w:rPr>
          <w:rFonts w:hint="eastAsia" w:ascii="宋体" w:hAnsi="宋体" w:eastAsia="宋体" w:cs="宋体"/>
          <w:color w:val="auto"/>
          <w:sz w:val="24"/>
          <w:szCs w:val="24"/>
          <w:highlight w:val="none"/>
        </w:rPr>
        <w:t>必须与招标工程量清单一致。</w:t>
      </w:r>
    </w:p>
    <w:p w14:paraId="1974F40D">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、报价函中的总报价必须与已标价工程量清单总报价一致。否则由评审小组作无效报价处理。</w:t>
      </w:r>
    </w:p>
    <w:p w14:paraId="73660296">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、采购人在工程量清单中所列出的暂列金额、暂估价</w:t>
      </w:r>
      <w:r>
        <w:rPr>
          <w:rFonts w:hint="eastAsia" w:ascii="宋体" w:hAnsi="宋体" w:cs="宋体"/>
          <w:color w:val="auto"/>
          <w:sz w:val="24"/>
          <w:szCs w:val="24"/>
          <w:highlight w:val="none"/>
          <w:lang w:val="en-US" w:eastAsia="zh-CN"/>
        </w:rPr>
        <w:t>等暂定金额</w:t>
      </w:r>
      <w:r>
        <w:rPr>
          <w:rFonts w:hint="eastAsia" w:ascii="宋体" w:hAnsi="宋体" w:eastAsia="宋体" w:cs="宋体"/>
          <w:color w:val="auto"/>
          <w:sz w:val="24"/>
          <w:szCs w:val="24"/>
          <w:highlight w:val="none"/>
        </w:rPr>
        <w:t>，供应商不得修改。否则由评审小组作无效报价处理。</w:t>
      </w:r>
    </w:p>
    <w:p w14:paraId="2C348DC5">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rPr>
        <w:t>最高限价为：</w:t>
      </w:r>
      <w:r>
        <w:rPr>
          <w:rFonts w:hint="eastAsia" w:ascii="宋体" w:hAnsi="宋体" w:cs="宋体"/>
          <w:b/>
          <w:bCs/>
          <w:color w:val="auto"/>
          <w:sz w:val="24"/>
          <w:szCs w:val="24"/>
          <w:highlight w:val="none"/>
          <w:u w:val="single"/>
          <w:lang w:val="en-US" w:eastAsia="zh-CN"/>
        </w:rPr>
        <w:t xml:space="preserve"> 860797.12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 xml:space="preserve"> 捌拾陆万零柒佰玖拾柒元壹角贰分</w:t>
      </w:r>
      <w:r>
        <w:rPr>
          <w:rFonts w:hint="eastAsia" w:ascii="宋体" w:hAnsi="宋体" w:eastAsia="宋体" w:cs="宋体"/>
          <w:b/>
          <w:bCs/>
          <w:color w:val="auto"/>
          <w:sz w:val="24"/>
          <w:szCs w:val="24"/>
          <w:highlight w:val="none"/>
          <w:u w:val="singl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其中安全生产费：</w:t>
      </w:r>
      <w:r>
        <w:rPr>
          <w:rFonts w:hint="eastAsia" w:ascii="宋体" w:hAnsi="宋体" w:cs="宋体"/>
          <w:b/>
          <w:bCs/>
          <w:color w:val="auto"/>
          <w:sz w:val="24"/>
          <w:szCs w:val="24"/>
          <w:highlight w:val="none"/>
          <w:u w:val="single"/>
          <w:lang w:val="en-US" w:eastAsia="zh-CN"/>
        </w:rPr>
        <w:t xml:space="preserve"> 25607.73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 xml:space="preserve"> 贰万伍仟陆佰零柒元柒角叁分</w:t>
      </w:r>
      <w:r>
        <w:rPr>
          <w:rFonts w:hint="eastAsia" w:ascii="宋体" w:hAnsi="宋体" w:eastAsia="宋体" w:cs="宋体"/>
          <w:b/>
          <w:bCs/>
          <w:color w:val="auto"/>
          <w:sz w:val="24"/>
          <w:szCs w:val="24"/>
          <w:highlight w:val="none"/>
          <w:u w:val="singl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供应商的投标总报价不得超过投标总报价最高限价，否则由评审小组作无效报价处理。</w:t>
      </w:r>
      <w:bookmarkStart w:id="1944" w:name="_GoBack"/>
      <w:bookmarkEnd w:id="1944"/>
    </w:p>
    <w:p w14:paraId="7CBAE662">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0790641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关于不平衡报价：在本项目投标工程量清单中，实行分部分项报价按最高限价均衡下浮，任意分部分项单价下浮率不得超过投标总报价下浮率【（最高限价-投标总报价）/最高限价】的±5%。采购人在发出结果公告前将对拟成交供应商的分部分项工程量清单综合单价报价进行复核，若发现拟成交供应商的分部分项工程量清单综合单价报价存在不平衡报价的情形，采购人有权要求进行修正，若不按采购人要求修正，取消其中标资格，拟成交供应商承担因此造成的相关责任并赔偿相应损失，采购人可以按照评审小组提出的成交候选供应商名单排序依次确定其他候选人为成交供应商，也可以重新招标。</w:t>
      </w:r>
    </w:p>
    <w:p w14:paraId="07380CD3">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）、异常低价警戒线要求：</w:t>
      </w:r>
      <w:r>
        <w:rPr>
          <w:rFonts w:hint="eastAsia" w:ascii="宋体" w:hAnsi="宋体" w:eastAsia="宋体" w:cs="宋体"/>
          <w:b/>
          <w:bCs/>
          <w:color w:val="auto"/>
          <w:sz w:val="24"/>
          <w:szCs w:val="24"/>
          <w:highlight w:val="none"/>
          <w:lang w:val="en-US" w:eastAsia="zh-CN"/>
        </w:rPr>
        <w:t>最高限价的85%</w:t>
      </w:r>
      <w:r>
        <w:rPr>
          <w:rFonts w:hint="eastAsia" w:ascii="宋体" w:hAnsi="宋体" w:eastAsia="宋体" w:cs="宋体"/>
          <w:color w:val="auto"/>
          <w:sz w:val="24"/>
          <w:szCs w:val="24"/>
          <w:highlight w:val="none"/>
          <w:lang w:val="en-US" w:eastAsia="zh-CN"/>
        </w:rPr>
        <w:t>。</w:t>
      </w:r>
    </w:p>
    <w:p w14:paraId="733EF61A">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应提供报价合理性说明，并提供必要的证明材料。供应商提供的说明不得降低或者改变原设计方案、技术工艺、施工标准，不得影响项目的质量、安全、工期、结算等正常履约。</w:t>
      </w:r>
    </w:p>
    <w:p w14:paraId="1E6540B4">
      <w:pPr>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供应商投标总报价或者部分单项报价低于采购文件规定的对应的异常低价警戒线的，供应商未提供报价合理性说明或者提供的说明不能证明其报价合理性的，由评审小组作否决投标处理。</w:t>
      </w:r>
    </w:p>
    <w:bookmarkEnd w:id="90"/>
    <w:p w14:paraId="11E013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94" w:name="_Toc25603"/>
      <w:bookmarkStart w:id="95" w:name="_Toc32275"/>
      <w:r>
        <w:rPr>
          <w:rFonts w:hint="eastAsia" w:ascii="宋体" w:hAnsi="宋体" w:eastAsia="宋体" w:cs="宋体"/>
          <w:color w:val="auto"/>
          <w:sz w:val="24"/>
          <w:szCs w:val="24"/>
          <w:highlight w:val="none"/>
          <w:lang w:val="en-US" w:eastAsia="zh-CN"/>
        </w:rPr>
        <w:t>四、付款方式</w:t>
      </w:r>
      <w:bookmarkEnd w:id="91"/>
      <w:bookmarkEnd w:id="92"/>
      <w:bookmarkEnd w:id="93"/>
      <w:bookmarkEnd w:id="94"/>
      <w:bookmarkEnd w:id="95"/>
    </w:p>
    <w:p w14:paraId="5D947BE2">
      <w:pPr>
        <w:pStyle w:val="4"/>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eastAsia" w:ascii="宋体" w:hAnsi="宋体" w:cs="宋体"/>
          <w:color w:val="auto"/>
          <w:sz w:val="24"/>
          <w:szCs w:val="24"/>
          <w:highlight w:val="none"/>
          <w:lang w:val="en-US" w:eastAsia="zh-CN"/>
        </w:rPr>
      </w:pPr>
      <w:bookmarkStart w:id="96" w:name="_Toc14374"/>
      <w:bookmarkStart w:id="97" w:name="_Toc51655845"/>
      <w:bookmarkStart w:id="98" w:name="_Toc267320053"/>
      <w:bookmarkStart w:id="99" w:name="_Toc376184487"/>
      <w:bookmarkStart w:id="100" w:name="_Toc51"/>
      <w:bookmarkStart w:id="101" w:name="_Toc27504"/>
      <w:bookmarkStart w:id="102" w:name="_Toc28549"/>
      <w:bookmarkStart w:id="103" w:name="_Toc267320054"/>
      <w:r>
        <w:rPr>
          <w:rFonts w:hint="eastAsia" w:ascii="宋体" w:hAnsi="宋体" w:eastAsia="宋体" w:cs="Times New Roman"/>
          <w:b w:val="0"/>
          <w:bCs/>
          <w:szCs w:val="21"/>
        </w:rPr>
        <w:t>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bookmarkEnd w:id="96"/>
      <w:bookmarkEnd w:id="97"/>
      <w:bookmarkEnd w:id="98"/>
      <w:bookmarkEnd w:id="99"/>
      <w:bookmarkEnd w:id="100"/>
    </w:p>
    <w:p w14:paraId="38B16B08">
      <w:pPr>
        <w:pStyle w:val="4"/>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五、结算原则</w:t>
      </w:r>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1、结算总价=中标单价*实际完成工程量±增减（变更）工程造价±合同约定的其他费用，以审核审定的金额为准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（1）已标价工程量清单中有相同项目的，按照相同项目单价计算；</w:t>
      </w:r>
    </w:p>
    <w:p w14:paraId="6DBCDB7E">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已标价工程量清单中有类似项目的，参考类似项目单价计算</w:t>
      </w:r>
    </w:p>
    <w:p w14:paraId="1ED5A1F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工程内容与</w:t>
      </w:r>
      <w:r>
        <w:rPr>
          <w:rFonts w:hint="eastAsia" w:ascii="宋体" w:hAnsi="宋体" w:eastAsia="宋体" w:cs="宋体"/>
          <w:color w:val="auto"/>
          <w:sz w:val="24"/>
          <w:szCs w:val="24"/>
          <w:highlight w:val="none"/>
        </w:rPr>
        <w:t>已标价工程量清单中无相同项目亦无类似项目的，按照以下原则执行；《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承包人报价浮动率按下列公式计算：承包人报价浮动率=(1-中标价/最高限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100%。</w:t>
      </w:r>
    </w:p>
    <w:p w14:paraId="78906364">
      <w:pPr>
        <w:pStyle w:val="4"/>
        <w:keepNext w:val="0"/>
        <w:keepLines w:val="0"/>
        <w:pageBreakBefore w:val="0"/>
        <w:widowControl w:val="0"/>
        <w:kinsoku/>
        <w:wordWrap/>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、履约担保</w:t>
      </w:r>
      <w:bookmarkEnd w:id="101"/>
      <w:r>
        <w:rPr>
          <w:rFonts w:hint="eastAsia" w:ascii="宋体" w:hAnsi="宋体" w:cs="宋体"/>
          <w:color w:val="auto"/>
          <w:sz w:val="24"/>
          <w:szCs w:val="24"/>
          <w:highlight w:val="none"/>
          <w:lang w:val="en-US" w:eastAsia="zh-CN"/>
        </w:rPr>
        <w:t>及农民工工资保证金</w:t>
      </w:r>
      <w:bookmarkEnd w:id="102"/>
    </w:p>
    <w:p w14:paraId="63B2E169">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bookmarkStart w:id="104" w:name="_Toc19421"/>
      <w:r>
        <w:rPr>
          <w:rFonts w:hint="eastAsia" w:ascii="宋体" w:hAnsi="宋体" w:eastAsia="宋体" w:cs="宋体"/>
          <w:color w:val="auto"/>
          <w:kern w:val="2"/>
          <w:sz w:val="24"/>
          <w:szCs w:val="24"/>
          <w:highlight w:val="none"/>
          <w:lang w:val="en-US" w:eastAsia="zh-CN" w:bidi="ar-SA"/>
        </w:rPr>
        <w:t>1、履约担保</w:t>
      </w:r>
    </w:p>
    <w:p w14:paraId="08BBE9AB">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履约担保的形式：现金或现金+履约保函的组合（采用现金+履约保函的组合提交的，现金比例不低于应缴纳金额的50%），履约保函包括银行保函、保证保险和担保保函。</w:t>
      </w:r>
    </w:p>
    <w:p w14:paraId="34EFFE9A">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根据《关于印发重庆市融资担保公司监管评级及分类监管办法的通知》(渝金发(2021)5号)文件，担保公司须在《重庆市地方金融监督管理局关于开展2022年度监管评级有关工作的通知》《重庆市地方金融监督管理局关于开展2023年度监管评级有关工作的通知》中监管评级等级在B级及以上。</w:t>
      </w:r>
    </w:p>
    <w:p w14:paraId="7E2BB243">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7DAF8DC8">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3、履约担保的金额：中选合同金额的10%（不包含农民工工资保证金）；</w:t>
      </w:r>
    </w:p>
    <w:p w14:paraId="12237102">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4、提交时间：中选承包商领取中选通知书之日起10个工作日内，并作为签订施工合同的必备条件。</w:t>
      </w:r>
    </w:p>
    <w:p w14:paraId="4B49FF37">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5、退还时间：采用现金担保的，工程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验收合格后14天内退还；采用银行保函的，工程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w:t>
      </w:r>
    </w:p>
    <w:p w14:paraId="1406EE5E">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6、农民工工资保证金</w:t>
      </w:r>
    </w:p>
    <w:p w14:paraId="1BDDBFB3">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为确保施工过程中农民工工资实时、足额发放到位，承包人应按照下列条款约定的时间和金额缴存农民工工资保证金。</w:t>
      </w:r>
    </w:p>
    <w:p w14:paraId="648F06A5">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农民工工资保证金的缴存时间</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发出中选通知书之日起7个工作日内，并作为签订施工合同的必备条件。</w:t>
      </w:r>
    </w:p>
    <w:p w14:paraId="51FADC2A">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农民工工资保证金的缴存金额：</w:t>
      </w:r>
      <w:bookmarkStart w:id="105" w:name="OLE_LINK2"/>
      <w:r>
        <w:rPr>
          <w:rFonts w:hint="eastAsia" w:ascii="宋体" w:hAnsi="宋体" w:eastAsia="宋体" w:cs="宋体"/>
          <w:color w:val="auto"/>
          <w:kern w:val="2"/>
          <w:sz w:val="24"/>
          <w:szCs w:val="24"/>
          <w:highlight w:val="none"/>
          <w:lang w:val="en-US" w:eastAsia="zh-CN" w:bidi="ar-SA"/>
        </w:rPr>
        <w:t>按照渝人社规[2025]18号、渝人社规[2025]16号文件</w:t>
      </w:r>
      <w:r>
        <w:rPr>
          <w:rFonts w:hint="eastAsia" w:ascii="宋体" w:hAnsi="宋体" w:cs="宋体"/>
          <w:color w:val="auto"/>
          <w:kern w:val="2"/>
          <w:sz w:val="24"/>
          <w:szCs w:val="24"/>
          <w:highlight w:val="none"/>
          <w:lang w:val="en-US" w:eastAsia="zh-CN" w:bidi="ar-SA"/>
        </w:rPr>
        <w:t>等相关文件</w:t>
      </w:r>
      <w:r>
        <w:rPr>
          <w:rFonts w:hint="eastAsia" w:ascii="宋体" w:hAnsi="宋体" w:eastAsia="宋体" w:cs="宋体"/>
          <w:color w:val="auto"/>
          <w:kern w:val="2"/>
          <w:sz w:val="24"/>
          <w:szCs w:val="24"/>
          <w:highlight w:val="none"/>
          <w:lang w:val="en-US" w:eastAsia="zh-CN" w:bidi="ar-SA"/>
        </w:rPr>
        <w:t xml:space="preserve">执行 </w:t>
      </w:r>
      <w:bookmarkEnd w:id="105"/>
      <w:r>
        <w:rPr>
          <w:rFonts w:hint="eastAsia" w:ascii="宋体" w:hAnsi="宋体" w:eastAsia="宋体" w:cs="宋体"/>
          <w:color w:val="auto"/>
          <w:kern w:val="2"/>
          <w:sz w:val="24"/>
          <w:szCs w:val="24"/>
          <w:highlight w:val="none"/>
          <w:lang w:val="en-US" w:eastAsia="zh-CN" w:bidi="ar-SA"/>
        </w:rPr>
        <w:t>。</w:t>
      </w:r>
    </w:p>
    <w:p w14:paraId="3B91E2C8">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7、农民工工资保证金可采用银行保函或现金、支票形式。采用银行保函时，出具保函的银行须具有相应担保能力，且按照发包人批准的格式出具，所需费用由承包人承担。</w:t>
      </w:r>
    </w:p>
    <w:p w14:paraId="096B63D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8、农民工工资保证金的扣留条件、返还时间按照下列条款的约定执行。</w:t>
      </w:r>
    </w:p>
    <w:p w14:paraId="0BEBD7AE">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扣留条件：经重庆市大足区人力资源和社会保障行政部门及以上劳动保障行政主管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w:t>
      </w:r>
    </w:p>
    <w:p w14:paraId="2223BBC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农民工工资保证金的返还时间： 农民工工资保证金的返还时间：竣工验收合格后，建设单位应在工地现场和网站进行不少于 10 日的公告，对在规定时限内未接到拖欠投诉或有投诉已及时足额支付的，按相关规定程序返还。</w:t>
      </w:r>
    </w:p>
    <w:p w14:paraId="53307D49">
      <w:pPr>
        <w:pStyle w:val="23"/>
        <w:keepNext w:val="0"/>
        <w:keepLines w:val="0"/>
        <w:pageBreakBefore w:val="0"/>
        <w:widowControl w:val="0"/>
        <w:kinsoku/>
        <w:topLinePunct w:val="0"/>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发包人应按行业主管部门的相关规定将合同价款支付至承包人指定的开户银行及银行账户。</w:t>
      </w:r>
    </w:p>
    <w:p w14:paraId="077E8A29">
      <w:pPr>
        <w:pStyle w:val="4"/>
        <w:keepNext w:val="0"/>
        <w:keepLines w:val="0"/>
        <w:pageBreakBefore w:val="0"/>
        <w:widowControl w:val="0"/>
        <w:numPr>
          <w:ilvl w:val="0"/>
          <w:numId w:val="0"/>
        </w:numPr>
        <w:kinsoku/>
        <w:wordWrap/>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bookmarkStart w:id="106" w:name="_Toc579"/>
      <w:r>
        <w:rPr>
          <w:rFonts w:hint="eastAsia" w:ascii="宋体" w:hAnsi="宋体" w:cs="宋体"/>
          <w:color w:val="auto"/>
          <w:kern w:val="2"/>
          <w:sz w:val="24"/>
          <w:szCs w:val="24"/>
          <w:highlight w:val="none"/>
          <w:lang w:val="en-US" w:eastAsia="zh-CN" w:bidi="ar-SA"/>
        </w:rPr>
        <w:t xml:space="preserve">七 </w:t>
      </w:r>
      <w:r>
        <w:rPr>
          <w:rFonts w:hint="eastAsia" w:ascii="宋体" w:hAnsi="宋体" w:eastAsia="宋体" w:cs="宋体"/>
          <w:color w:val="auto"/>
          <w:kern w:val="2"/>
          <w:sz w:val="24"/>
          <w:szCs w:val="24"/>
          <w:highlight w:val="none"/>
          <w:lang w:val="en-US" w:eastAsia="zh-CN" w:bidi="ar-SA"/>
        </w:rPr>
        <w:t>、知识产权</w:t>
      </w:r>
      <w:bookmarkEnd w:id="104"/>
      <w:bookmarkEnd w:id="106"/>
    </w:p>
    <w:p w14:paraId="45C1815F">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bookmarkStart w:id="107" w:name="_Toc2923"/>
      <w:bookmarkStart w:id="108" w:name="_Toc25323"/>
      <w:bookmarkStart w:id="109" w:name="_Toc51655846"/>
      <w:bookmarkStart w:id="110" w:name="_Toc376184488"/>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、其他</w:t>
      </w:r>
      <w:bookmarkEnd w:id="103"/>
      <w:bookmarkEnd w:id="107"/>
      <w:bookmarkEnd w:id="108"/>
      <w:bookmarkEnd w:id="109"/>
      <w:bookmarkEnd w:id="110"/>
    </w:p>
    <w:p w14:paraId="7F268637">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83"/>
    </w:p>
    <w:p w14:paraId="55C448E1">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11" w:name="_Toc27644"/>
      <w:bookmarkStart w:id="112" w:name="_Toc7689"/>
      <w:bookmarkStart w:id="113" w:name="_Toc24050"/>
      <w:bookmarkStart w:id="114" w:name="_Toc25564"/>
      <w:r>
        <w:rPr>
          <w:rFonts w:hint="eastAsia" w:ascii="Times New Roman" w:hAnsi="Times New Roman" w:eastAsia="宋体" w:cs="宋体"/>
          <w:b/>
          <w:bCs w:val="0"/>
          <w:color w:val="auto"/>
          <w:kern w:val="2"/>
          <w:sz w:val="36"/>
          <w:szCs w:val="36"/>
          <w:highlight w:val="none"/>
          <w:lang w:val="en-US" w:eastAsia="zh-CN" w:bidi="ar-SA"/>
        </w:rPr>
        <w:t xml:space="preserve">第四篇  </w:t>
      </w:r>
      <w:bookmarkEnd w:id="84"/>
      <w:bookmarkEnd w:id="85"/>
      <w:r>
        <w:rPr>
          <w:rFonts w:hint="eastAsia" w:ascii="Times New Roman" w:hAnsi="Times New Roman" w:eastAsia="宋体" w:cs="宋体"/>
          <w:b/>
          <w:bCs w:val="0"/>
          <w:color w:val="auto"/>
          <w:kern w:val="2"/>
          <w:sz w:val="36"/>
          <w:szCs w:val="36"/>
          <w:highlight w:val="none"/>
          <w:lang w:val="en-US" w:eastAsia="zh-CN" w:bidi="ar-SA"/>
        </w:rPr>
        <w:t>比选程序及方法、评审标准、无效比选及采购终止</w:t>
      </w:r>
      <w:bookmarkEnd w:id="111"/>
      <w:bookmarkEnd w:id="112"/>
      <w:bookmarkEnd w:id="113"/>
      <w:bookmarkEnd w:id="114"/>
    </w:p>
    <w:p w14:paraId="4C1F9252">
      <w:pPr>
        <w:pStyle w:val="3"/>
        <w:keepNext w:val="0"/>
        <w:keepLines w:val="0"/>
        <w:pageBreakBefore w:val="0"/>
        <w:widowControl w:val="0"/>
        <w:kinsoku/>
        <w:wordWrap/>
        <w:topLinePunct w:val="0"/>
        <w:bidi w:val="0"/>
        <w:spacing w:line="400" w:lineRule="exact"/>
        <w:textAlignment w:val="auto"/>
        <w:outlineLvl w:val="1"/>
        <w:rPr>
          <w:rFonts w:hint="eastAsia" w:ascii="宋体" w:hAnsi="宋体" w:eastAsia="宋体" w:cs="宋体"/>
          <w:color w:val="auto"/>
          <w:sz w:val="24"/>
          <w:szCs w:val="24"/>
          <w:highlight w:val="none"/>
          <w:lang w:val="en-US" w:eastAsia="zh-CN"/>
        </w:rPr>
      </w:pPr>
      <w:bookmarkStart w:id="115" w:name="_Toc23485"/>
      <w:bookmarkStart w:id="116" w:name="_Toc26614"/>
      <w:bookmarkStart w:id="117" w:name="_Toc12009"/>
      <w:bookmarkStart w:id="118" w:name="_Toc11930"/>
      <w:r>
        <w:rPr>
          <w:rFonts w:hint="eastAsia" w:ascii="宋体" w:hAnsi="宋体" w:eastAsia="宋体" w:cs="宋体"/>
          <w:color w:val="auto"/>
          <w:sz w:val="24"/>
          <w:szCs w:val="24"/>
          <w:highlight w:val="none"/>
          <w:lang w:val="en-US" w:eastAsia="zh-CN"/>
        </w:rPr>
        <w:t>一、比选程序</w:t>
      </w:r>
      <w:bookmarkEnd w:id="115"/>
      <w:bookmarkEnd w:id="116"/>
      <w:bookmarkEnd w:id="117"/>
      <w:bookmarkEnd w:id="118"/>
    </w:p>
    <w:p w14:paraId="2D5BCE6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w:t>
            </w:r>
            <w:r>
              <w:rPr>
                <w:rFonts w:hint="eastAsia" w:ascii="宋体" w:hAnsi="宋体" w:cs="宋体"/>
                <w:color w:val="auto"/>
                <w:sz w:val="24"/>
                <w:szCs w:val="24"/>
                <w:highlight w:val="none"/>
                <w:lang w:val="en-US" w:eastAsia="zh-CN"/>
              </w:rPr>
              <w:t>第七篇</w:t>
            </w:r>
            <w:r>
              <w:rPr>
                <w:rFonts w:hint="eastAsia" w:ascii="宋体" w:hAnsi="宋体" w:eastAsia="宋体" w:cs="宋体"/>
                <w:color w:val="auto"/>
                <w:sz w:val="24"/>
                <w:szCs w:val="24"/>
                <w:highlight w:val="none"/>
              </w:rPr>
              <w:t>）。</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bl>
    <w:p w14:paraId="7157A9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D22B3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13AFC1F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9BA104">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6"/>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p>
        </w:tc>
        <w:tc>
          <w:tcPr>
            <w:tcW w:w="2237" w:type="dxa"/>
            <w:noWrap w:val="0"/>
            <w:vAlign w:val="center"/>
          </w:tcPr>
          <w:p w14:paraId="2A02D07F">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119" w:name="_Toc453076389"/>
    </w:p>
    <w:p w14:paraId="581EC44C">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b/>
          <w:bCs/>
          <w:color w:val="auto"/>
          <w:sz w:val="24"/>
          <w:szCs w:val="24"/>
          <w:highlight w:val="none"/>
          <w:lang w:val="en-US" w:eastAsia="zh-CN"/>
        </w:rPr>
      </w:pPr>
      <w:bookmarkStart w:id="120" w:name="_Toc17300"/>
      <w:bookmarkStart w:id="121" w:name="_Toc23393"/>
      <w:bookmarkStart w:id="122" w:name="_Toc28802"/>
      <w:bookmarkStart w:id="123" w:name="_Toc4674"/>
      <w:r>
        <w:rPr>
          <w:rFonts w:hint="eastAsia" w:ascii="宋体" w:hAnsi="宋体" w:eastAsia="宋体" w:cs="宋体"/>
          <w:b/>
          <w:bCs/>
          <w:color w:val="auto"/>
          <w:sz w:val="24"/>
          <w:szCs w:val="24"/>
          <w:highlight w:val="none"/>
          <w:lang w:val="en-US" w:eastAsia="zh-CN"/>
        </w:rPr>
        <w:t>二、</w:t>
      </w:r>
      <w:bookmarkEnd w:id="119"/>
      <w:r>
        <w:rPr>
          <w:rFonts w:hint="eastAsia" w:ascii="宋体" w:hAnsi="宋体" w:eastAsia="宋体" w:cs="宋体"/>
          <w:b/>
          <w:bCs/>
          <w:color w:val="auto"/>
          <w:sz w:val="24"/>
          <w:szCs w:val="24"/>
          <w:highlight w:val="none"/>
          <w:lang w:val="en-US" w:eastAsia="zh-CN"/>
        </w:rPr>
        <w:t>评标方法</w:t>
      </w:r>
      <w:bookmarkEnd w:id="120"/>
      <w:bookmarkEnd w:id="121"/>
      <w:bookmarkEnd w:id="122"/>
      <w:bookmarkEnd w:id="123"/>
    </w:p>
    <w:p w14:paraId="4564BFC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（一）本项目采用最低评标价法进行评标。</w:t>
      </w:r>
    </w:p>
    <w:p w14:paraId="3B21AB7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124" w:name="_Toc8748"/>
      <w:bookmarkStart w:id="125" w:name="_Toc24888"/>
      <w:r>
        <w:rPr>
          <w:rFonts w:hint="eastAsia" w:ascii="宋体" w:hAnsi="宋体" w:eastAsia="宋体" w:cs="宋体"/>
          <w:color w:val="auto"/>
          <w:sz w:val="24"/>
          <w:szCs w:val="24"/>
          <w:highlight w:val="none"/>
        </w:rPr>
        <w:t>最低评标价法，是指响应文件满足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文件全部实质性要求且投标报价最低的投标供应商为中标候选人的评标方法。</w:t>
      </w:r>
    </w:p>
    <w:p w14:paraId="1497521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（二）推荐中标候选人名单。</w:t>
      </w:r>
      <w:bookmarkEnd w:id="124"/>
      <w:bookmarkEnd w:id="125"/>
    </w:p>
    <w:p w14:paraId="497BF74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推荐投标文件满足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文件全部实质性要求，并依据价格按照由低到高的顺序排名前三的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为成交候选人，其中排名第一的投标供应商为第一成交候选人。</w:t>
      </w:r>
    </w:p>
    <w:p w14:paraId="0C0D34C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评标结果按投标报价由低到高顺序排列；若投标报价相同的，</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按照项目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需求的优劣顺序排列；以上都相同的，按项目商务需求的优劣顺序排列；以上所有都相同的，由</w:t>
      </w:r>
      <w:r>
        <w:rPr>
          <w:rFonts w:hint="eastAsia" w:ascii="宋体" w:hAnsi="宋体" w:cs="宋体"/>
          <w:color w:val="auto"/>
          <w:sz w:val="24"/>
          <w:szCs w:val="24"/>
          <w:highlight w:val="none"/>
          <w:lang w:val="en-US" w:eastAsia="zh-CN"/>
        </w:rPr>
        <w:t>评审小组投票决</w:t>
      </w:r>
      <w:r>
        <w:rPr>
          <w:rFonts w:hint="eastAsia" w:ascii="宋体" w:hAnsi="宋体" w:eastAsia="宋体" w:cs="宋体"/>
          <w:color w:val="auto"/>
          <w:sz w:val="24"/>
          <w:szCs w:val="24"/>
          <w:highlight w:val="none"/>
        </w:rPr>
        <w:t>定。</w:t>
      </w:r>
    </w:p>
    <w:p w14:paraId="189CDF52">
      <w:pPr>
        <w:keepNext w:val="0"/>
        <w:keepLines w:val="0"/>
        <w:pageBreakBefore w:val="0"/>
        <w:widowControl w:val="0"/>
        <w:numPr>
          <w:ilvl w:val="0"/>
          <w:numId w:val="0"/>
        </w:numPr>
        <w:kinsoku/>
        <w:wordWrap/>
        <w:topLinePunct w:val="0"/>
        <w:bidi w:val="0"/>
        <w:spacing w:line="400" w:lineRule="exact"/>
        <w:ind w:leftChars="0"/>
        <w:jc w:val="both"/>
        <w:textAlignment w:val="auto"/>
        <w:outlineLvl w:val="1"/>
        <w:rPr>
          <w:rFonts w:hint="eastAsia" w:ascii="宋体" w:hAnsi="宋体" w:cs="宋体"/>
          <w:b/>
          <w:bCs/>
          <w:smallCaps w:val="0"/>
          <w:color w:val="auto"/>
          <w:kern w:val="2"/>
          <w:sz w:val="24"/>
          <w:szCs w:val="24"/>
          <w:highlight w:val="none"/>
          <w:lang w:val="en-US" w:eastAsia="zh-CN" w:bidi="ar-SA"/>
        </w:rPr>
      </w:pPr>
      <w:bookmarkStart w:id="126" w:name="_Toc24594"/>
      <w:bookmarkStart w:id="127" w:name="_Toc25587"/>
      <w:bookmarkStart w:id="128" w:name="_Toc23125"/>
      <w:r>
        <w:rPr>
          <w:rFonts w:hint="eastAsia" w:ascii="宋体" w:hAnsi="宋体" w:cs="宋体"/>
          <w:b/>
          <w:bCs/>
          <w:smallCaps w:val="0"/>
          <w:color w:val="auto"/>
          <w:kern w:val="2"/>
          <w:sz w:val="24"/>
          <w:szCs w:val="24"/>
          <w:highlight w:val="none"/>
          <w:lang w:val="en-US" w:eastAsia="zh-CN" w:bidi="ar-SA"/>
        </w:rPr>
        <w:t>三、评审标准</w:t>
      </w:r>
      <w:bookmarkEnd w:id="126"/>
      <w:bookmarkEnd w:id="127"/>
      <w:bookmarkEnd w:id="128"/>
    </w:p>
    <w:p w14:paraId="44F2CE9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29" w:name="_Toc17751"/>
      <w:r>
        <w:rPr>
          <w:rFonts w:hint="eastAsia" w:ascii="宋体" w:hAnsi="宋体" w:eastAsia="宋体" w:cs="宋体"/>
          <w:color w:val="auto"/>
          <w:sz w:val="24"/>
          <w:szCs w:val="24"/>
          <w:highlight w:val="none"/>
        </w:rPr>
        <w:t>（一）响应文件投标应答有一条及以上不满足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文件“第二篇 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需求”要求的，投标供应商将失去成为成交候选人的资格；</w:t>
      </w:r>
    </w:p>
    <w:p w14:paraId="0A6ED44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（二）响应投标文件投标应答有一条及以上不满足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文件“第三篇 项目商务需求”要求的，投标供应商将失去成为成交候选人的资格；</w:t>
      </w:r>
      <w:bookmarkEnd w:id="129"/>
    </w:p>
    <w:p w14:paraId="505832E8">
      <w:pPr>
        <w:pStyle w:val="23"/>
        <w:keepNext w:val="0"/>
        <w:keepLines w:val="0"/>
        <w:pageBreakBefore w:val="0"/>
        <w:widowControl w:val="0"/>
        <w:kinsoku/>
        <w:wordWrap/>
        <w:topLinePunct w:val="0"/>
        <w:bidi w:val="0"/>
        <w:spacing w:line="400" w:lineRule="exact"/>
        <w:textAlignment w:val="auto"/>
        <w:outlineLvl w:val="1"/>
        <w:rPr>
          <w:rFonts w:hint="default" w:eastAsia="宋体"/>
          <w:b/>
          <w:bCs/>
          <w:color w:val="auto"/>
          <w:highlight w:val="none"/>
          <w:lang w:val="en-US" w:eastAsia="zh-CN"/>
        </w:rPr>
      </w:pPr>
      <w:bookmarkStart w:id="130" w:name="_Toc6873"/>
      <w:bookmarkStart w:id="131" w:name="_Toc26892"/>
      <w:bookmarkStart w:id="132" w:name="_Toc8635"/>
      <w:r>
        <w:rPr>
          <w:rFonts w:hint="eastAsia" w:ascii="宋体" w:hAnsi="宋体" w:eastAsia="宋体" w:cs="宋体"/>
          <w:b/>
          <w:bCs/>
          <w:color w:val="auto"/>
          <w:sz w:val="24"/>
          <w:szCs w:val="24"/>
          <w:highlight w:val="none"/>
          <w:lang w:val="en-US" w:eastAsia="zh-CN"/>
        </w:rPr>
        <w:t>四、无效响应</w:t>
      </w:r>
      <w:bookmarkEnd w:id="130"/>
      <w:bookmarkEnd w:id="131"/>
      <w:bookmarkEnd w:id="132"/>
    </w:p>
    <w:p w14:paraId="5B2711D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33" w:name="_Toc12510"/>
      <w:bookmarkStart w:id="134" w:name="_Toc2027"/>
      <w:bookmarkStart w:id="135" w:name="_Toc14566"/>
      <w:bookmarkStart w:id="136" w:name="_Toc25586"/>
      <w:bookmarkStart w:id="137" w:name="_Toc10466"/>
      <w:bookmarkStart w:id="138" w:name="_Toc31623"/>
      <w:bookmarkStart w:id="139" w:name="_Toc7641"/>
      <w:bookmarkStart w:id="140" w:name="_Toc22944"/>
      <w:bookmarkStart w:id="141" w:name="_Toc31151"/>
      <w:bookmarkStart w:id="142" w:name="_Toc76462336"/>
      <w:bookmarkStart w:id="143" w:name="_Toc27420"/>
      <w:bookmarkStart w:id="144" w:name="_Toc10254"/>
      <w:bookmarkStart w:id="145" w:name="_Toc4767"/>
      <w:bookmarkStart w:id="146" w:name="_Toc2583"/>
      <w:bookmarkStart w:id="147" w:name="_Toc23959"/>
      <w:bookmarkStart w:id="148" w:name="_Toc18545"/>
      <w:bookmarkStart w:id="149" w:name="_Toc292"/>
      <w:bookmarkStart w:id="150" w:name="_Toc31634"/>
      <w:bookmarkStart w:id="151" w:name="_Toc1791"/>
      <w:bookmarkStart w:id="152" w:name="_Toc16039"/>
      <w:bookmarkStart w:id="153" w:name="_Toc12197"/>
      <w:bookmarkStart w:id="154" w:name="_Toc18459"/>
      <w:bookmarkStart w:id="155" w:name="_Toc9827"/>
      <w:bookmarkStart w:id="156" w:name="_Toc19865"/>
      <w:bookmarkStart w:id="157" w:name="_Toc11456"/>
      <w:bookmarkStart w:id="158" w:name="_Toc3990"/>
      <w:bookmarkStart w:id="159" w:name="_Toc28982"/>
      <w:r>
        <w:rPr>
          <w:rFonts w:hint="eastAsia" w:ascii="宋体" w:hAnsi="宋体" w:eastAsia="宋体" w:cs="宋体"/>
          <w:color w:val="auto"/>
          <w:sz w:val="24"/>
          <w:szCs w:val="24"/>
          <w:highlight w:val="none"/>
        </w:rPr>
        <w:t>供应商发生以下条款情况之一者，视为无效报价：</w:t>
      </w:r>
    </w:p>
    <w:p w14:paraId="4170662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1199769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66D2253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（三）供应商所提交的响应文件未按“第七篇响应文件格式要求”要求签署或盖章的；</w:t>
      </w:r>
    </w:p>
    <w:p w14:paraId="3D36006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03BE20E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（五）单位负责人为同一人或者存在直接控股、管理关系的不同供应商，参加同一合同项（包）报价的；</w:t>
      </w:r>
    </w:p>
    <w:p w14:paraId="7517067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（六）为采购项目提供整体设计、规范编制或者项目管理、监理、检测等服务的供应商再参加该采购项目的其他采购活动的；</w:t>
      </w:r>
    </w:p>
    <w:p w14:paraId="33606E7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（七）法律、法规和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邀请书规定的其他无效情形。</w:t>
      </w:r>
    </w:p>
    <w:p w14:paraId="64BAFE3D">
      <w:pPr>
        <w:pStyle w:val="3"/>
        <w:keepNext w:val="0"/>
        <w:keepLines w:val="0"/>
        <w:pageBreakBefore w:val="0"/>
        <w:widowControl w:val="0"/>
        <w:kinsoku/>
        <w:wordWrap/>
        <w:topLinePunct w:val="0"/>
        <w:bidi w:val="0"/>
        <w:adjustRightInd w:val="0"/>
        <w:snapToGrid w:val="0"/>
        <w:spacing w:before="0" w:after="0" w:line="400" w:lineRule="exact"/>
        <w:jc w:val="left"/>
        <w:textAlignment w:val="auto"/>
        <w:outlineLvl w:val="1"/>
        <w:rPr>
          <w:rFonts w:hint="eastAsia" w:ascii="宋体" w:hAnsi="宋体" w:eastAsia="宋体" w:cs="宋体"/>
          <w:color w:val="auto"/>
          <w:sz w:val="24"/>
          <w:highlight w:val="none"/>
        </w:rPr>
      </w:pPr>
      <w:bookmarkStart w:id="160" w:name="_Toc5163"/>
      <w:bookmarkStart w:id="161" w:name="_Toc2898"/>
      <w:bookmarkStart w:id="162" w:name="_Toc26599"/>
      <w:bookmarkStart w:id="163" w:name="_Toc19561"/>
      <w:bookmarkStart w:id="164" w:name="_Toc4324"/>
      <w:bookmarkStart w:id="165" w:name="_Toc19108"/>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、采购终止</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30D0B4F">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采购活动，发布项目终止公告并说明原因，重新开展采购活动：</w:t>
      </w:r>
    </w:p>
    <w:p w14:paraId="60D837E5">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（一）因情况变化，不再符合规定的采购方式适用情形的；</w:t>
      </w:r>
    </w:p>
    <w:p w14:paraId="48563F01">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bookmarkStart w:id="166" w:name="_Toc25919"/>
      <w:r>
        <w:rPr>
          <w:rFonts w:hint="eastAsia" w:ascii="宋体" w:hAnsi="宋体" w:cs="宋体"/>
          <w:color w:val="auto"/>
          <w:sz w:val="24"/>
          <w:szCs w:val="24"/>
          <w:highlight w:val="none"/>
        </w:rPr>
        <w:t>（二）出现影响采购公正的违法、违规行为的；</w:t>
      </w:r>
      <w:bookmarkEnd w:id="166"/>
    </w:p>
    <w:p w14:paraId="5F7CBAF2">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（三）在采购过程中符合要求的供应商或者报价未超过采购预算的供应商不足3家的</w:t>
      </w:r>
      <w:r>
        <w:rPr>
          <w:rFonts w:hint="eastAsia" w:ascii="宋体" w:hAnsi="宋体" w:cs="宋体"/>
          <w:color w:val="auto"/>
          <w:sz w:val="24"/>
          <w:szCs w:val="24"/>
          <w:highlight w:val="none"/>
          <w:lang w:eastAsia="zh-CN"/>
        </w:rPr>
        <w:t>。</w:t>
      </w:r>
    </w:p>
    <w:p w14:paraId="587ADBDB">
      <w:pPr>
        <w:pStyle w:val="14"/>
        <w:keepNext w:val="0"/>
        <w:keepLines w:val="0"/>
        <w:pageBreakBefore w:val="0"/>
        <w:widowControl w:val="0"/>
        <w:kinsoku/>
        <w:wordWrap/>
        <w:topLinePunct w:val="0"/>
        <w:bidi w:val="0"/>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（四）项目出现其他实质性影响，可能导致项目无法正常开展的情形。</w:t>
      </w:r>
    </w:p>
    <w:p w14:paraId="2B17300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B33865D">
      <w:pPr>
        <w:keepNext w:val="0"/>
        <w:keepLines w:val="0"/>
        <w:pageBreakBefore w:val="0"/>
        <w:widowControl w:val="0"/>
        <w:kinsoku/>
        <w:wordWrap/>
        <w:topLinePunct w:val="0"/>
        <w:bidi w:val="0"/>
        <w:spacing w:line="400" w:lineRule="exact"/>
        <w:jc w:val="center"/>
        <w:textAlignment w:val="auto"/>
        <w:outlineLvl w:val="0"/>
        <w:rPr>
          <w:rFonts w:hint="eastAsia" w:cs="宋体"/>
          <w:b/>
          <w:bCs w:val="0"/>
          <w:color w:val="auto"/>
          <w:sz w:val="36"/>
          <w:szCs w:val="36"/>
          <w:highlight w:val="none"/>
        </w:rPr>
      </w:pPr>
      <w:bookmarkStart w:id="167" w:name="_Toc21331"/>
      <w:bookmarkStart w:id="168" w:name="_Toc23618"/>
      <w:bookmarkStart w:id="169" w:name="_Toc21867"/>
      <w:bookmarkStart w:id="170" w:name="_Toc1279"/>
      <w:bookmarkStart w:id="171" w:name="_Toc28618"/>
      <w:bookmarkStart w:id="172" w:name="_Toc26130"/>
      <w:bookmarkStart w:id="173" w:name="_Toc32541"/>
      <w:bookmarkStart w:id="174" w:name="_Toc27032"/>
      <w:bookmarkStart w:id="175" w:name="_Toc10699"/>
      <w:bookmarkStart w:id="176" w:name="_Toc22304"/>
      <w:bookmarkStart w:id="177" w:name="_Toc16632"/>
      <w:bookmarkStart w:id="178" w:name="_Toc20264"/>
      <w:bookmarkStart w:id="179" w:name="_Toc28660"/>
      <w:bookmarkStart w:id="180" w:name="_Toc13956"/>
      <w:bookmarkStart w:id="181" w:name="_Toc14313"/>
      <w:bookmarkStart w:id="182" w:name="_Toc8196"/>
      <w:bookmarkStart w:id="183" w:name="_Toc6272"/>
      <w:bookmarkStart w:id="184" w:name="_Toc21246"/>
      <w:bookmarkStart w:id="185" w:name="_Toc76462337"/>
      <w:bookmarkStart w:id="186" w:name="_Toc8251"/>
      <w:bookmarkStart w:id="187" w:name="_Toc1938"/>
      <w:bookmarkStart w:id="188" w:name="_Toc16742"/>
      <w:bookmarkStart w:id="189" w:name="_Toc20096"/>
      <w:bookmarkStart w:id="190" w:name="_Toc10078"/>
      <w:bookmarkStart w:id="191" w:name="_Toc18985"/>
      <w:bookmarkStart w:id="192" w:name="_Toc20039"/>
      <w:bookmarkStart w:id="193" w:name="_Toc706"/>
      <w:bookmarkStart w:id="194" w:name="_Toc8009"/>
      <w:bookmarkStart w:id="195" w:name="_Toc15885"/>
      <w:bookmarkStart w:id="196" w:name="_Toc3741"/>
      <w:bookmarkStart w:id="197" w:name="_Toc15373"/>
      <w:bookmarkStart w:id="198" w:name="_Toc11095"/>
    </w:p>
    <w:p w14:paraId="1E3F160D">
      <w:pPr>
        <w:keepNext w:val="0"/>
        <w:keepLines w:val="0"/>
        <w:pageBreakBefore w:val="0"/>
        <w:widowControl w:val="0"/>
        <w:kinsoku/>
        <w:wordWrap/>
        <w:topLinePunct w:val="0"/>
        <w:bidi w:val="0"/>
        <w:spacing w:line="400" w:lineRule="exact"/>
        <w:jc w:val="center"/>
        <w:textAlignment w:val="auto"/>
        <w:outlineLvl w:val="0"/>
        <w:rPr>
          <w:rFonts w:hint="eastAsia" w:cs="宋体"/>
          <w:b/>
          <w:bCs w:val="0"/>
          <w:color w:val="auto"/>
          <w:sz w:val="36"/>
          <w:szCs w:val="36"/>
          <w:highlight w:val="none"/>
        </w:rPr>
      </w:pPr>
    </w:p>
    <w:p w14:paraId="63DA48E1">
      <w:pPr>
        <w:keepNext w:val="0"/>
        <w:keepLines w:val="0"/>
        <w:pageBreakBefore w:val="0"/>
        <w:widowControl w:val="0"/>
        <w:kinsoku/>
        <w:wordWrap/>
        <w:topLinePunct w:val="0"/>
        <w:bidi w:val="0"/>
        <w:spacing w:line="400" w:lineRule="exact"/>
        <w:jc w:val="center"/>
        <w:textAlignment w:val="auto"/>
        <w:outlineLvl w:val="0"/>
        <w:rPr>
          <w:rFonts w:hint="eastAsia" w:cs="宋体"/>
          <w:bCs/>
          <w:color w:val="auto"/>
          <w:highlight w:val="none"/>
        </w:rPr>
      </w:pPr>
      <w:r>
        <w:rPr>
          <w:rFonts w:hint="eastAsia" w:cs="宋体"/>
          <w:b/>
          <w:bCs w:val="0"/>
          <w:color w:val="auto"/>
          <w:sz w:val="36"/>
          <w:szCs w:val="36"/>
          <w:highlight w:val="none"/>
        </w:rPr>
        <w:t>第五篇  供应商须知</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74C4F00">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199" w:name="_Toc19124"/>
      <w:bookmarkStart w:id="200" w:name="_Toc21556"/>
      <w:bookmarkStart w:id="201" w:name="_Toc793"/>
      <w:bookmarkStart w:id="202" w:name="_Toc17186"/>
      <w:bookmarkStart w:id="203" w:name="_Toc16292"/>
      <w:bookmarkStart w:id="204" w:name="_Toc23240"/>
      <w:bookmarkStart w:id="205" w:name="_Toc16478"/>
      <w:bookmarkStart w:id="206" w:name="_Toc7999"/>
      <w:bookmarkStart w:id="207" w:name="_Toc11819"/>
      <w:bookmarkStart w:id="208" w:name="_Toc14616"/>
      <w:bookmarkStart w:id="209" w:name="_Toc12390"/>
      <w:bookmarkStart w:id="210" w:name="_Toc7713"/>
      <w:bookmarkStart w:id="211" w:name="_Toc17232"/>
      <w:bookmarkStart w:id="212" w:name="_Toc27450"/>
      <w:bookmarkStart w:id="213" w:name="_Toc25138"/>
      <w:bookmarkStart w:id="214" w:name="_Toc27580"/>
      <w:bookmarkStart w:id="215" w:name="_Toc24846"/>
      <w:bookmarkStart w:id="216" w:name="_Toc342913389"/>
      <w:bookmarkStart w:id="217" w:name="_Toc76462338"/>
      <w:bookmarkStart w:id="218" w:name="_Toc21252"/>
      <w:bookmarkStart w:id="219" w:name="_Toc5692"/>
      <w:bookmarkStart w:id="220" w:name="_Toc13127"/>
      <w:bookmarkStart w:id="221" w:name="_Toc19632"/>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费用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899CB5F">
      <w:pPr>
        <w:pStyle w:val="147"/>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参与</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结果如何，采购人和采购代理机构在任何情况下无义务也无责任承担这些费用。</w:t>
      </w:r>
    </w:p>
    <w:p w14:paraId="09488D6A">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22" w:name="_Toc8698"/>
      <w:bookmarkStart w:id="223" w:name="_Toc76462339"/>
      <w:bookmarkStart w:id="224" w:name="_Toc30080"/>
      <w:bookmarkStart w:id="225" w:name="_Toc8038"/>
      <w:bookmarkStart w:id="226" w:name="_Toc16337"/>
      <w:bookmarkStart w:id="227" w:name="_Toc342913391"/>
      <w:bookmarkStart w:id="228" w:name="_Toc20922"/>
      <w:bookmarkStart w:id="229" w:name="_Toc16008"/>
      <w:bookmarkStart w:id="230" w:name="_Toc22221"/>
      <w:bookmarkStart w:id="231" w:name="_Toc8461"/>
      <w:bookmarkStart w:id="232" w:name="_Toc9497"/>
      <w:bookmarkStart w:id="233" w:name="_Toc4199"/>
      <w:bookmarkStart w:id="234" w:name="_Toc12006"/>
      <w:bookmarkStart w:id="235" w:name="_Toc15704"/>
      <w:bookmarkStart w:id="236" w:name="_Toc9045"/>
      <w:bookmarkStart w:id="237" w:name="_Toc18508"/>
      <w:bookmarkStart w:id="238" w:name="_Toc18232"/>
      <w:bookmarkStart w:id="239" w:name="_Toc18966"/>
      <w:bookmarkStart w:id="240" w:name="_Toc7754"/>
      <w:bookmarkStart w:id="241" w:name="_Toc4418"/>
      <w:bookmarkStart w:id="242" w:name="_Toc4573"/>
      <w:bookmarkStart w:id="243" w:name="_Toc26606"/>
      <w:bookmarkStart w:id="244" w:name="_Toc29521"/>
      <w:r>
        <w:rPr>
          <w:rFonts w:hint="eastAsia" w:ascii="宋体" w:hAnsi="宋体" w:cs="宋体"/>
          <w:b/>
          <w:bCs/>
          <w:color w:val="auto"/>
          <w:sz w:val="24"/>
          <w:highlight w:val="none"/>
        </w:rPr>
        <w:t>二、</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文件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674E62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（一）竞争性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需求、项目商务需求、</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4A37C7C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文件不可分割的部分。</w:t>
      </w:r>
    </w:p>
    <w:p w14:paraId="49AAE9A4">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45" w:name="_Toc13149"/>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文件的解释</w:t>
      </w:r>
      <w:bookmarkEnd w:id="245"/>
    </w:p>
    <w:p w14:paraId="3243F1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供应商如对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文件有疑问，必须以书面形式在提交响应文件截止时间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文件所有条款内容并同意放弃对这方面有不明白及误解的权利。</w:t>
      </w:r>
      <w:bookmarkStart w:id="246" w:name="_Toc318159349"/>
      <w:bookmarkStart w:id="247" w:name="_Toc318166429"/>
      <w:bookmarkStart w:id="248" w:name="_Toc318159780"/>
      <w:bookmarkStart w:id="249" w:name="_Toc318159160"/>
    </w:p>
    <w:p w14:paraId="59666B6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小组根据与供应商进行</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文件第二、三、六篇全部内容。</w:t>
      </w:r>
    </w:p>
    <w:p w14:paraId="477ACBE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（五）评审的依据为</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文件和响应文件（含有效的书面承诺）。</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小组判断响应文件对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文件的响应，仅基于响应文件本身而不靠外部证据。</w:t>
      </w:r>
    </w:p>
    <w:bookmarkEnd w:id="246"/>
    <w:bookmarkEnd w:id="247"/>
    <w:bookmarkEnd w:id="248"/>
    <w:bookmarkEnd w:id="249"/>
    <w:p w14:paraId="74C50DE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50" w:name="_Toc29340"/>
      <w:bookmarkStart w:id="251" w:name="_Toc28415"/>
      <w:bookmarkStart w:id="252" w:name="_Toc28796"/>
      <w:bookmarkStart w:id="253" w:name="_Toc342913392"/>
      <w:bookmarkStart w:id="254" w:name="_Toc21811"/>
      <w:bookmarkStart w:id="255" w:name="_Toc9407"/>
      <w:bookmarkStart w:id="256" w:name="_Toc8303"/>
      <w:bookmarkStart w:id="257" w:name="_Toc20791"/>
      <w:bookmarkStart w:id="258" w:name="_Toc2735"/>
      <w:bookmarkStart w:id="259" w:name="_Toc76462340"/>
      <w:bookmarkStart w:id="260" w:name="_Toc13838"/>
      <w:bookmarkStart w:id="261" w:name="_Toc632"/>
      <w:bookmarkStart w:id="262" w:name="_Toc6100"/>
      <w:bookmarkStart w:id="263" w:name="_Toc11304"/>
      <w:bookmarkStart w:id="264" w:name="_Toc22657"/>
      <w:bookmarkStart w:id="265" w:name="_Toc102227318"/>
      <w:bookmarkStart w:id="266" w:name="_Toc11189"/>
      <w:bookmarkStart w:id="267" w:name="_Toc31661"/>
      <w:bookmarkStart w:id="268" w:name="_Toc20247"/>
      <w:bookmarkStart w:id="269" w:name="_Toc25054"/>
      <w:bookmarkStart w:id="270" w:name="_Toc5232"/>
      <w:bookmarkStart w:id="271" w:name="_Toc179714297"/>
      <w:bookmarkStart w:id="272" w:name="_Toc23552"/>
      <w:bookmarkStart w:id="273" w:name="_Toc19500"/>
      <w:bookmarkStart w:id="274" w:name="_Toc14191"/>
      <w:r>
        <w:rPr>
          <w:rFonts w:hint="eastAsia" w:ascii="宋体" w:hAnsi="宋体" w:cs="宋体"/>
          <w:b/>
          <w:bCs/>
          <w:color w:val="auto"/>
          <w:sz w:val="24"/>
          <w:highlight w:val="none"/>
        </w:rPr>
        <w:t>三、</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要求</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22C4B7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5" w:name="_Toc23693"/>
      <w:r>
        <w:rPr>
          <w:rFonts w:hint="eastAsia" w:ascii="宋体" w:hAnsi="宋体" w:cs="宋体"/>
          <w:color w:val="auto"/>
          <w:sz w:val="24"/>
          <w:szCs w:val="24"/>
          <w:highlight w:val="none"/>
        </w:rPr>
        <w:t>（一）响应文件</w:t>
      </w:r>
      <w:bookmarkEnd w:id="275"/>
    </w:p>
    <w:p w14:paraId="636443D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文件提出的要求和条件作出实质性响应，响应文件原则上采用软面订本，同时应编制完整的页码、目录。</w:t>
      </w:r>
    </w:p>
    <w:p w14:paraId="75ABE7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0433E86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976F9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6" w:name="_Toc20197"/>
      <w:r>
        <w:rPr>
          <w:rFonts w:hint="eastAsia" w:ascii="宋体" w:hAnsi="宋体" w:cs="宋体"/>
          <w:color w:val="auto"/>
          <w:sz w:val="24"/>
          <w:szCs w:val="24"/>
          <w:highlight w:val="none"/>
        </w:rPr>
        <w:t>（二）联合体</w:t>
      </w:r>
      <w:bookmarkEnd w:id="276"/>
    </w:p>
    <w:p w14:paraId="6882CF3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w:t>
      </w:r>
    </w:p>
    <w:p w14:paraId="0A540EC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有效期：响应文件及有关承诺文件有效期为提交响应文件截止时间起90天。</w:t>
      </w:r>
    </w:p>
    <w:p w14:paraId="0BC8993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7" w:name="_Toc12725"/>
      <w:r>
        <w:rPr>
          <w:rFonts w:hint="eastAsia" w:ascii="宋体" w:hAnsi="宋体" w:cs="宋体"/>
          <w:color w:val="auto"/>
          <w:sz w:val="24"/>
          <w:szCs w:val="24"/>
          <w:highlight w:val="none"/>
        </w:rPr>
        <w:t>（四）修正错误</w:t>
      </w:r>
      <w:bookmarkEnd w:id="277"/>
    </w:p>
    <w:p w14:paraId="1FAE82C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5F80D91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小组按上述修正错误的原则及方法修正供应商的报价，供应商同意并签署确认后，修正后的报价对供应商具有约束作用。如果供应商不接受修正后的价格，将失去成为成交供应商的资格。</w:t>
      </w:r>
    </w:p>
    <w:p w14:paraId="30570CB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8" w:name="_Toc4591"/>
      <w:r>
        <w:rPr>
          <w:rFonts w:hint="eastAsia" w:ascii="宋体" w:hAnsi="宋体" w:cs="宋体"/>
          <w:color w:val="auto"/>
          <w:sz w:val="24"/>
          <w:szCs w:val="24"/>
          <w:highlight w:val="none"/>
        </w:rPr>
        <w:t>（五）提交响应文件的份数和签署</w:t>
      </w:r>
      <w:bookmarkEnd w:id="278"/>
    </w:p>
    <w:p w14:paraId="508FEAB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0A2A51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文件“第七篇响应文件编制要求”要求签署或盖章。</w:t>
      </w:r>
    </w:p>
    <w:p w14:paraId="10FF0D2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9" w:name="_Toc29878"/>
      <w:r>
        <w:rPr>
          <w:rFonts w:hint="eastAsia" w:ascii="宋体" w:hAnsi="宋体" w:cs="宋体"/>
          <w:color w:val="auto"/>
          <w:sz w:val="24"/>
          <w:szCs w:val="24"/>
          <w:highlight w:val="none"/>
        </w:rPr>
        <w:t>（六）响应文件的递交</w:t>
      </w:r>
      <w:bookmarkEnd w:id="279"/>
    </w:p>
    <w:p w14:paraId="40B1BBF7">
      <w:pPr>
        <w:pStyle w:val="34"/>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响应文件的正本、副本以及电子文档均应密封送达</w:t>
      </w:r>
      <w:r>
        <w:rPr>
          <w:rFonts w:hint="eastAsia" w:hAnsi="宋体" w:cs="宋体"/>
          <w:color w:val="auto"/>
          <w:sz w:val="24"/>
          <w:highlight w:val="none"/>
          <w:lang w:eastAsia="zh-CN"/>
        </w:rPr>
        <w:t>比选</w:t>
      </w:r>
      <w:r>
        <w:rPr>
          <w:rFonts w:hint="eastAsia" w:hAnsi="宋体" w:cs="宋体"/>
          <w:color w:val="auto"/>
          <w:sz w:val="24"/>
          <w:highlight w:val="none"/>
        </w:rPr>
        <w:t>地点，应在封套上注明</w:t>
      </w:r>
      <w:r>
        <w:rPr>
          <w:rFonts w:hint="eastAsia" w:hAnsi="宋体" w:cs="宋体"/>
          <w:color w:val="auto"/>
          <w:sz w:val="24"/>
          <w:highlight w:val="none"/>
          <w:lang w:eastAsia="zh-CN"/>
        </w:rPr>
        <w:t>比选</w:t>
      </w:r>
      <w:r>
        <w:rPr>
          <w:rFonts w:hint="eastAsia" w:hAnsi="宋体" w:cs="宋体"/>
          <w:color w:val="auto"/>
          <w:sz w:val="24"/>
          <w:highlight w:val="none"/>
        </w:rPr>
        <w:t>项目名称、供应商名称。若正本、副本以及电子文档分别进行密封的，还应在封套上注明“正本”、“副本”、“电子文档”字样。</w:t>
      </w:r>
    </w:p>
    <w:p w14:paraId="2B224C8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80" w:name="_Toc10669"/>
      <w:r>
        <w:rPr>
          <w:rFonts w:hint="eastAsia" w:ascii="宋体" w:hAnsi="宋体" w:cs="宋体"/>
          <w:color w:val="auto"/>
          <w:sz w:val="24"/>
          <w:szCs w:val="24"/>
          <w:highlight w:val="none"/>
        </w:rPr>
        <w:t>（七）供应商参与人员</w:t>
      </w:r>
      <w:bookmarkEnd w:id="280"/>
    </w:p>
    <w:p w14:paraId="6402A23E">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，至少1人应为法定代表人（或其授权代表）或自然人（供应商为自然人）。</w:t>
      </w:r>
    </w:p>
    <w:p w14:paraId="0CB567F4">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81" w:name="_Toc31697"/>
      <w:bookmarkStart w:id="282" w:name="_Toc10146"/>
      <w:bookmarkStart w:id="283" w:name="_Toc6872"/>
      <w:bookmarkStart w:id="284" w:name="_Toc28339"/>
      <w:bookmarkStart w:id="285" w:name="_Toc27253"/>
      <w:bookmarkStart w:id="286" w:name="_Toc8819"/>
      <w:bookmarkStart w:id="287" w:name="_Toc76462341"/>
      <w:bookmarkStart w:id="288" w:name="_Toc4255"/>
      <w:bookmarkStart w:id="289" w:name="_Toc1654"/>
      <w:bookmarkStart w:id="290" w:name="_Toc16815"/>
      <w:bookmarkStart w:id="291" w:name="_Toc29902"/>
      <w:bookmarkStart w:id="292" w:name="_Toc2807"/>
      <w:bookmarkStart w:id="293" w:name="_Toc13618"/>
      <w:bookmarkStart w:id="294" w:name="_Toc11240"/>
      <w:bookmarkStart w:id="295" w:name="_Toc8867"/>
      <w:bookmarkStart w:id="296" w:name="_Toc6975"/>
      <w:bookmarkStart w:id="297" w:name="_Toc10675"/>
      <w:bookmarkStart w:id="298" w:name="_Toc26891"/>
      <w:bookmarkStart w:id="299" w:name="_Toc3816"/>
      <w:bookmarkStart w:id="300" w:name="_Toc3211"/>
      <w:bookmarkStart w:id="301" w:name="_Toc4358"/>
      <w:bookmarkStart w:id="302" w:name="_Toc21037"/>
      <w:r>
        <w:rPr>
          <w:rFonts w:hint="eastAsia" w:ascii="宋体" w:hAnsi="宋体" w:cs="宋体"/>
          <w:b/>
          <w:bCs/>
          <w:color w:val="auto"/>
          <w:sz w:val="24"/>
          <w:highlight w:val="none"/>
        </w:rPr>
        <w:t>四、成交供应商的确认和变更</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648C5DA">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3" w:name="_Toc22399"/>
      <w:r>
        <w:rPr>
          <w:rFonts w:hint="eastAsia" w:ascii="宋体" w:hAnsi="宋体" w:cs="宋体"/>
          <w:color w:val="auto"/>
          <w:sz w:val="24"/>
          <w:szCs w:val="24"/>
          <w:highlight w:val="none"/>
        </w:rPr>
        <w:t>（一）成交供应商的确认</w:t>
      </w:r>
      <w:bookmarkEnd w:id="303"/>
    </w:p>
    <w:p w14:paraId="534778A3">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小组直接确定成交供应商。采购人逾期未确定成交供应商且不提出异议的，视为确定评审报告提出的排序第一的供应商为成交供应商。</w:t>
      </w:r>
    </w:p>
    <w:p w14:paraId="54E14440">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4" w:name="_Toc7832"/>
      <w:r>
        <w:rPr>
          <w:rFonts w:hint="eastAsia" w:ascii="宋体" w:hAnsi="宋体" w:cs="宋体"/>
          <w:color w:val="auto"/>
          <w:sz w:val="24"/>
          <w:szCs w:val="24"/>
          <w:highlight w:val="none"/>
        </w:rPr>
        <w:t>（二）成交供应商的变更</w:t>
      </w:r>
      <w:bookmarkEnd w:id="304"/>
    </w:p>
    <w:p w14:paraId="6114282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091E36F5">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05" w:name="_Toc9729"/>
      <w:bookmarkStart w:id="306" w:name="_Toc17733"/>
      <w:bookmarkStart w:id="307" w:name="_Toc1942"/>
      <w:bookmarkStart w:id="308" w:name="_Toc13900"/>
      <w:bookmarkStart w:id="309" w:name="_Toc102227321"/>
      <w:bookmarkStart w:id="310" w:name="_Toc27893"/>
      <w:bookmarkStart w:id="311" w:name="_Toc17789"/>
      <w:bookmarkStart w:id="312" w:name="_Toc20539"/>
      <w:bookmarkStart w:id="313" w:name="_Toc1927"/>
      <w:bookmarkStart w:id="314" w:name="_Toc15326"/>
      <w:bookmarkStart w:id="315" w:name="_Toc21638"/>
      <w:bookmarkStart w:id="316" w:name="_Toc3600"/>
      <w:bookmarkStart w:id="317" w:name="_Toc21706"/>
      <w:bookmarkStart w:id="318" w:name="_Toc7024"/>
      <w:bookmarkStart w:id="319" w:name="_Toc7139"/>
      <w:bookmarkStart w:id="320" w:name="_Toc4036"/>
      <w:bookmarkStart w:id="321" w:name="_Toc342913395"/>
      <w:bookmarkStart w:id="322" w:name="_Toc11566"/>
      <w:bookmarkStart w:id="323" w:name="_Toc9305"/>
      <w:bookmarkStart w:id="324" w:name="_Toc76462342"/>
      <w:bookmarkStart w:id="325" w:name="_Toc5669"/>
      <w:bookmarkStart w:id="326" w:name="_Toc2450"/>
      <w:bookmarkStart w:id="327" w:name="_Toc1176"/>
      <w:bookmarkStart w:id="328" w:name="_Toc16227"/>
      <w:r>
        <w:rPr>
          <w:rFonts w:hint="eastAsia" w:ascii="宋体" w:hAnsi="宋体" w:cs="宋体"/>
          <w:b/>
          <w:bCs/>
          <w:color w:val="auto"/>
          <w:sz w:val="24"/>
          <w:highlight w:val="none"/>
        </w:rPr>
        <w:t>五、成交通知</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A36BB9E">
      <w:pPr>
        <w:keepNext w:val="0"/>
        <w:keepLines w:val="0"/>
        <w:pageBreakBefore w:val="0"/>
        <w:widowControl w:val="0"/>
        <w:kinsoku/>
        <w:wordWrap/>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成交供应商确定后，采购代理机构将在行采家（</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"https://www.gec123.com/"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https://www.gec123.com/</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）上发布成交结果公告。</w:t>
      </w:r>
    </w:p>
    <w:p w14:paraId="21A85156">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9892CF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329" w:name="_Toc23493"/>
      <w:r>
        <w:rPr>
          <w:rFonts w:hint="eastAsia" w:ascii="宋体" w:hAnsi="宋体" w:cs="宋体"/>
          <w:color w:val="auto"/>
          <w:sz w:val="24"/>
          <w:szCs w:val="24"/>
          <w:highlight w:val="none"/>
        </w:rPr>
        <w:t>（三）《成交通知书》将作为签订合同的依据。</w:t>
      </w:r>
      <w:bookmarkEnd w:id="329"/>
    </w:p>
    <w:p w14:paraId="741CBDF7">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30" w:name="_Toc102227322"/>
      <w:bookmarkStart w:id="331" w:name="_Toc17651"/>
      <w:bookmarkStart w:id="332" w:name="_Toc11278"/>
      <w:bookmarkStart w:id="333" w:name="_Toc17728"/>
      <w:bookmarkStart w:id="334" w:name="_Toc2209"/>
      <w:bookmarkStart w:id="335" w:name="_Toc342913396"/>
      <w:bookmarkStart w:id="336" w:name="_Toc26372"/>
      <w:bookmarkStart w:id="337" w:name="_Toc26629"/>
      <w:bookmarkStart w:id="338" w:name="_Toc8595"/>
      <w:bookmarkStart w:id="339" w:name="_Toc20308"/>
      <w:bookmarkStart w:id="340" w:name="_Toc28716"/>
      <w:bookmarkStart w:id="341" w:name="_Toc8704"/>
      <w:bookmarkStart w:id="342" w:name="_Toc9122"/>
      <w:bookmarkStart w:id="343" w:name="_Toc17565"/>
      <w:bookmarkStart w:id="344" w:name="_Toc27598"/>
      <w:bookmarkStart w:id="345" w:name="_Toc24303"/>
      <w:bookmarkStart w:id="346" w:name="_Toc18211"/>
      <w:bookmarkStart w:id="347" w:name="_Toc76462346"/>
      <w:bookmarkStart w:id="348" w:name="_Toc16077"/>
      <w:bookmarkStart w:id="349" w:name="_Toc14130"/>
      <w:bookmarkStart w:id="350" w:name="_Toc24713"/>
      <w:bookmarkStart w:id="351" w:name="_Toc7501"/>
      <w:bookmarkStart w:id="352" w:name="_Toc3327"/>
      <w:bookmarkStart w:id="353" w:name="_Toc31502"/>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、签订</w:t>
      </w:r>
      <w:bookmarkEnd w:id="330"/>
      <w:r>
        <w:rPr>
          <w:rFonts w:hint="eastAsia" w:ascii="宋体" w:hAnsi="宋体" w:cs="宋体"/>
          <w:b/>
          <w:bCs/>
          <w:color w:val="auto"/>
          <w:sz w:val="24"/>
          <w:highlight w:val="none"/>
        </w:rPr>
        <w:t>合同</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C88C9F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（一）采购人原则上应在成交通知书发出之日起二十日内和成交供应商签订采购合同，无正当理由不得拒绝或拖延合同签订。所签订的合同不得对性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文件和供应商的响应文件作实质性修改。其他未尽事宜由采购人和成交供应商在采购合同中详细约定。</w:t>
      </w:r>
    </w:p>
    <w:p w14:paraId="12EAADF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文件、供应商的响应文件及澄清文件等，均为签订合同的依据。</w:t>
      </w:r>
    </w:p>
    <w:p w14:paraId="7D1EE5C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）合同生效条款由供需双方约定，法律、行政法规规定应当办理批准、登记等手续后生效的合同，依照其规定。</w:t>
      </w:r>
    </w:p>
    <w:p w14:paraId="5C9E7D3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）采购人要求成交供应商提供履约保证金的，应当在</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文件中予以约定。成交供应商履约完毕后，采购人根据采购文件规定无息退还其履约保证金。</w:t>
      </w:r>
    </w:p>
    <w:p w14:paraId="17540F45">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b/>
          <w:bCs/>
          <w:color w:val="auto"/>
          <w:sz w:val="24"/>
          <w:highlight w:val="none"/>
        </w:rPr>
      </w:pPr>
      <w:bookmarkStart w:id="354" w:name="_Toc1244"/>
      <w:bookmarkStart w:id="355" w:name="_Toc3479"/>
      <w:bookmarkStart w:id="356" w:name="_Toc2536"/>
      <w:bookmarkStart w:id="357" w:name="_Toc24806"/>
      <w:bookmarkStart w:id="358" w:name="_Toc106030899"/>
      <w:bookmarkStart w:id="359" w:name="_Toc23347"/>
      <w:bookmarkStart w:id="360" w:name="_Toc76462344"/>
      <w:bookmarkStart w:id="361" w:name="_Toc1663"/>
      <w:bookmarkStart w:id="362" w:name="_Toc1276"/>
      <w:bookmarkStart w:id="363" w:name="_Toc16513"/>
      <w:bookmarkStart w:id="364" w:name="_Toc28018"/>
      <w:bookmarkStart w:id="365" w:name="_Toc14780"/>
      <w:bookmarkStart w:id="366" w:name="_Toc32592"/>
      <w:bookmarkStart w:id="367" w:name="_Toc2355"/>
      <w:bookmarkStart w:id="368" w:name="_Toc1728"/>
      <w:bookmarkStart w:id="369" w:name="_Toc23925"/>
      <w:bookmarkStart w:id="370" w:name="_Toc21537"/>
      <w:bookmarkStart w:id="371" w:name="_Toc27572"/>
      <w:bookmarkStart w:id="372" w:name="_Toc76462347"/>
      <w:bookmarkStart w:id="373" w:name="_Toc23133"/>
      <w:bookmarkStart w:id="374" w:name="_Toc22910"/>
      <w:bookmarkStart w:id="375" w:name="_Toc29361"/>
      <w:bookmarkStart w:id="376" w:name="_Toc11071"/>
      <w:bookmarkStart w:id="377" w:name="_Toc18676"/>
      <w:bookmarkStart w:id="378" w:name="_Toc24073"/>
      <w:bookmarkStart w:id="379" w:name="_Toc10155"/>
      <w:bookmarkStart w:id="380" w:name="_Toc22843"/>
      <w:bookmarkStart w:id="381" w:name="_Toc15781"/>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、采购代理服务费</w:t>
      </w:r>
      <w:bookmarkEnd w:id="354"/>
      <w:bookmarkEnd w:id="355"/>
      <w:bookmarkEnd w:id="356"/>
      <w:bookmarkEnd w:id="357"/>
      <w:bookmarkEnd w:id="358"/>
      <w:bookmarkEnd w:id="359"/>
      <w:bookmarkEnd w:id="360"/>
      <w:bookmarkEnd w:id="361"/>
    </w:p>
    <w:p w14:paraId="77720485">
      <w:pPr>
        <w:keepNext w:val="0"/>
        <w:keepLines w:val="0"/>
        <w:pageBreakBefore w:val="0"/>
        <w:widowControl w:val="0"/>
        <w:kinsoku/>
        <w:wordWrap/>
        <w:topLinePunct w:val="0"/>
        <w:bidi w:val="0"/>
        <w:spacing w:line="400" w:lineRule="exact"/>
        <w:ind w:firstLine="480" w:firstLineChars="200"/>
        <w:textAlignment w:val="auto"/>
        <w:rPr>
          <w:rFonts w:hint="default" w:ascii="宋体" w:hAnsi="宋体" w:cs="宋体"/>
          <w:b/>
          <w:color w:val="auto"/>
          <w:sz w:val="24"/>
          <w:highlight w:val="none"/>
          <w:lang w:val="en-US"/>
        </w:rPr>
      </w:pPr>
      <w:bookmarkStart w:id="382" w:name="_Toc7792"/>
      <w:bookmarkStart w:id="383" w:name="_Toc25784"/>
      <w:bookmarkStart w:id="384" w:name="_Toc15872"/>
      <w:bookmarkStart w:id="385" w:name="_Toc106030902"/>
      <w:r>
        <w:rPr>
          <w:rFonts w:hint="eastAsia" w:ascii="宋体" w:hAnsi="宋体" w:cs="宋体"/>
          <w:color w:val="auto"/>
          <w:sz w:val="24"/>
          <w:highlight w:val="none"/>
        </w:rPr>
        <w:t>（一）本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代理服务费由中标单位支付，</w:t>
      </w:r>
      <w:r>
        <w:rPr>
          <w:rFonts w:hint="eastAsia" w:ascii="宋体" w:hAnsi="宋体" w:cs="宋体"/>
          <w:sz w:val="24"/>
          <w:highlight w:val="none"/>
        </w:rPr>
        <w:t>代理服务费</w:t>
      </w:r>
      <w:r>
        <w:rPr>
          <w:rFonts w:hint="eastAsia" w:ascii="宋体" w:hAnsi="宋体" w:cs="宋体"/>
          <w:color w:val="auto"/>
          <w:sz w:val="24"/>
          <w:highlight w:val="none"/>
        </w:rPr>
        <w:t>参照计价格〔2002〕1980号文件规定标准计取</w:t>
      </w:r>
      <w:r>
        <w:rPr>
          <w:rFonts w:hint="eastAsia" w:ascii="宋体" w:hAnsi="宋体" w:eastAsia="宋体" w:cs="宋体"/>
          <w:color w:val="auto"/>
          <w:kern w:val="2"/>
          <w:sz w:val="24"/>
          <w:szCs w:val="20"/>
          <w:highlight w:val="none"/>
          <w:lang w:val="en-US" w:eastAsia="zh-CN" w:bidi="ar"/>
        </w:rPr>
        <w:t>。</w:t>
      </w:r>
      <w:r>
        <w:rPr>
          <w:rFonts w:hint="eastAsia" w:ascii="宋体" w:hAnsi="宋体" w:cs="宋体"/>
          <w:color w:val="auto"/>
          <w:kern w:val="2"/>
          <w:sz w:val="24"/>
          <w:szCs w:val="20"/>
          <w:highlight w:val="none"/>
          <w:lang w:val="en-US" w:eastAsia="zh-CN" w:bidi="ar"/>
        </w:rPr>
        <w:t>由成交供应商在领取成交通知书时一次性向代理机构缴纳。</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71132E7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41CAA01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8391F4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24F4AC">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70143">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8D3D89D">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FB4B71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6B4FD56">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228CD5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4CE2C0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06E575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6502E70">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5B61F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9FF40F2">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386" w:name="_Toc20413"/>
      <w:bookmarkStart w:id="387" w:name="_Toc6442"/>
      <w:bookmarkStart w:id="388" w:name="_Toc84"/>
      <w:bookmarkStart w:id="389" w:name="_Toc23229"/>
      <w:bookmarkStart w:id="390" w:name="_Toc18187"/>
      <w:bookmarkStart w:id="391" w:name="_Toc6204"/>
      <w:bookmarkStart w:id="392" w:name="_Toc21896"/>
      <w:bookmarkStart w:id="393" w:name="_Toc424"/>
      <w:bookmarkStart w:id="394" w:name="_Toc229"/>
      <w:bookmarkStart w:id="395" w:name="_Toc19076"/>
      <w:bookmarkStart w:id="396" w:name="_Toc14340"/>
      <w:bookmarkStart w:id="397" w:name="_Toc32599"/>
      <w:bookmarkStart w:id="398" w:name="_Toc18306"/>
      <w:bookmarkStart w:id="399" w:name="_Toc1505"/>
      <w:bookmarkStart w:id="400" w:name="_Toc130"/>
      <w:bookmarkStart w:id="401" w:name="_Toc16313"/>
      <w:bookmarkStart w:id="402" w:name="_Toc20965"/>
      <w:bookmarkStart w:id="403" w:name="_Toc17453"/>
      <w:bookmarkStart w:id="404" w:name="_Toc18910"/>
      <w:bookmarkStart w:id="405" w:name="_Toc76462348"/>
      <w:bookmarkStart w:id="406" w:name="_Toc6967"/>
      <w:bookmarkStart w:id="407" w:name="_Toc28948"/>
      <w:bookmarkStart w:id="408" w:name="_Toc1411"/>
      <w:bookmarkStart w:id="409" w:name="_Toc3221"/>
      <w:bookmarkStart w:id="410" w:name="_Toc18101"/>
      <w:bookmarkStart w:id="411" w:name="_Toc27280"/>
      <w:bookmarkStart w:id="412" w:name="_Toc32562"/>
      <w:bookmarkStart w:id="413" w:name="_Toc14964"/>
      <w:bookmarkStart w:id="414" w:name="_Toc19622"/>
      <w:bookmarkStart w:id="415" w:name="_Toc7864"/>
      <w:bookmarkStart w:id="416" w:name="_Toc11593"/>
      <w:bookmarkStart w:id="417" w:name="_Toc20244"/>
      <w:bookmarkStart w:id="418" w:name="_Toc11449"/>
      <w:bookmarkStart w:id="419" w:name="_Toc29988"/>
    </w:p>
    <w:p w14:paraId="1DF2602D">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2F13A">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5E7C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E3640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120F795">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5862613">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C413C20">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A26F6A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338D3B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184D083">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A83662F">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宋体" w:hAnsi="宋体" w:cs="宋体"/>
          <w:color w:val="auto"/>
          <w:highlight w:val="none"/>
        </w:rPr>
      </w:pPr>
      <w:r>
        <w:rPr>
          <w:rFonts w:hint="eastAsia" w:ascii="Times New Roman" w:hAnsi="Times New Roman" w:eastAsia="宋体" w:cs="宋体"/>
          <w:b/>
          <w:bCs w:val="0"/>
          <w:color w:val="auto"/>
          <w:kern w:val="2"/>
          <w:sz w:val="36"/>
          <w:szCs w:val="36"/>
          <w:highlight w:val="none"/>
          <w:lang w:val="en-US" w:eastAsia="zh-CN" w:bidi="ar-SA"/>
        </w:rPr>
        <w:t>第六篇  采购合同</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Times New Roman" w:hAnsi="Times New Roman" w:eastAsia="宋体" w:cs="宋体"/>
          <w:b/>
          <w:bCs w:val="0"/>
          <w:color w:val="auto"/>
          <w:kern w:val="2"/>
          <w:sz w:val="36"/>
          <w:szCs w:val="36"/>
          <w:highlight w:val="none"/>
          <w:lang w:val="en-US" w:eastAsia="zh-CN" w:bidi="ar-SA"/>
        </w:rPr>
        <w:t>（样本）</w:t>
      </w:r>
      <w:bookmarkEnd w:id="413"/>
      <w:bookmarkEnd w:id="414"/>
      <w:bookmarkEnd w:id="415"/>
      <w:bookmarkEnd w:id="416"/>
      <w:bookmarkEnd w:id="417"/>
      <w:bookmarkEnd w:id="418"/>
      <w:bookmarkEnd w:id="419"/>
      <w:bookmarkStart w:id="420" w:name="_Toc325910652"/>
      <w:bookmarkStart w:id="421" w:name="_Toc26878"/>
      <w:bookmarkStart w:id="422" w:name="_Toc298010387"/>
      <w:bookmarkStart w:id="423" w:name="_Toc322559720"/>
      <w:bookmarkStart w:id="424" w:name="_Toc330980512"/>
      <w:bookmarkStart w:id="425" w:name="_Toc30260"/>
      <w:bookmarkStart w:id="426" w:name="_Toc22311"/>
      <w:bookmarkStart w:id="427" w:name="_Toc15809"/>
      <w:bookmarkStart w:id="428" w:name="_Toc2705"/>
      <w:bookmarkStart w:id="429" w:name="_Toc29379"/>
      <w:bookmarkStart w:id="430" w:name="_Toc30441"/>
      <w:bookmarkStart w:id="431" w:name="_Toc23433"/>
      <w:bookmarkStart w:id="432" w:name="_Toc5872"/>
      <w:bookmarkStart w:id="433" w:name="_Toc9338"/>
      <w:bookmarkStart w:id="434" w:name="_Toc31068"/>
      <w:bookmarkStart w:id="435" w:name="_Toc7605"/>
      <w:bookmarkStart w:id="436" w:name="_Toc13040"/>
      <w:bookmarkStart w:id="437" w:name="_Toc2393"/>
      <w:bookmarkStart w:id="438" w:name="_Toc26077"/>
      <w:bookmarkStart w:id="439" w:name="_Toc6342"/>
      <w:bookmarkStart w:id="440" w:name="_Toc17879"/>
      <w:bookmarkStart w:id="441" w:name="_Toc11195"/>
      <w:bookmarkStart w:id="442" w:name="_Toc16351"/>
      <w:bookmarkStart w:id="443" w:name="_Toc23212"/>
      <w:bookmarkStart w:id="444" w:name="_Toc19195"/>
      <w:bookmarkStart w:id="445" w:name="_Toc8650"/>
      <w:bookmarkStart w:id="446" w:name="_Toc429"/>
      <w:bookmarkStart w:id="447" w:name="_Toc12180"/>
      <w:bookmarkStart w:id="448" w:name="_Toc5150"/>
      <w:bookmarkStart w:id="449" w:name="_Toc27521"/>
      <w:bookmarkStart w:id="450" w:name="_Toc76462349"/>
      <w:bookmarkStart w:id="451" w:name="_Toc24148"/>
    </w:p>
    <w:p w14:paraId="4BAD4AEB">
      <w:pPr>
        <w:rPr>
          <w:rFonts w:hint="eastAsia" w:ascii="宋体" w:hAnsi="宋体" w:cs="宋体"/>
          <w:color w:val="auto"/>
          <w:highlight w:val="none"/>
        </w:rPr>
      </w:pPr>
    </w:p>
    <w:bookmarkEnd w:id="420"/>
    <w:bookmarkEnd w:id="421"/>
    <w:bookmarkEnd w:id="422"/>
    <w:bookmarkEnd w:id="423"/>
    <w:bookmarkEnd w:id="424"/>
    <w:p w14:paraId="55C8C67C">
      <w:pPr>
        <w:rPr>
          <w:rFonts w:ascii="宋体" w:hAnsi="宋体" w:cs="宋体"/>
          <w:sz w:val="21"/>
          <w:szCs w:val="21"/>
        </w:rPr>
      </w:pPr>
      <w:bookmarkStart w:id="452" w:name="_Toc9194"/>
      <w:bookmarkEnd w:id="452"/>
      <w:bookmarkStart w:id="453" w:name="_Toc509218786"/>
      <w:bookmarkEnd w:id="453"/>
      <w:bookmarkStart w:id="454" w:name="_Toc351203494"/>
      <w:bookmarkEnd w:id="454"/>
      <w:bookmarkStart w:id="455" w:name="_Toc534185765"/>
      <w:bookmarkEnd w:id="455"/>
      <w:bookmarkStart w:id="456" w:name="_Toc5965"/>
      <w:bookmarkEnd w:id="456"/>
      <w:bookmarkStart w:id="457" w:name="_Toc11406"/>
      <w:bookmarkEnd w:id="457"/>
      <w:bookmarkStart w:id="458" w:name="_Toc351203632"/>
      <w:r>
        <w:rPr>
          <w:rFonts w:hint="eastAsia" w:ascii="宋体" w:hAnsi="宋体" w:cs="宋体"/>
          <w:sz w:val="21"/>
          <w:szCs w:val="21"/>
        </w:rPr>
        <w:t>合同编号：</w:t>
      </w:r>
    </w:p>
    <w:p w14:paraId="784D0D08">
      <w:pPr>
        <w:rPr>
          <w:rFonts w:ascii="宋体" w:hAnsi="宋体" w:cs="宋体"/>
          <w:sz w:val="21"/>
          <w:szCs w:val="21"/>
        </w:rPr>
      </w:pPr>
    </w:p>
    <w:p w14:paraId="79F18BA9">
      <w:pPr>
        <w:rPr>
          <w:rFonts w:ascii="宋体" w:hAnsi="宋体" w:cs="宋体"/>
          <w:sz w:val="21"/>
          <w:szCs w:val="21"/>
        </w:rPr>
      </w:pPr>
    </w:p>
    <w:p w14:paraId="23FAE7BC">
      <w:pPr>
        <w:pStyle w:val="2"/>
        <w:jc w:val="center"/>
        <w:rPr>
          <w:rFonts w:hint="eastAsia" w:hAnsi="宋体" w:cs="宋体"/>
          <w:sz w:val="21"/>
          <w:szCs w:val="21"/>
        </w:rPr>
      </w:pPr>
      <w:bookmarkStart w:id="459" w:name="_Toc25848"/>
      <w:bookmarkStart w:id="460" w:name="_Toc536106521"/>
      <w:bookmarkStart w:id="461" w:name="_Toc487025778"/>
    </w:p>
    <w:p w14:paraId="08C13A7B">
      <w:pPr>
        <w:rPr>
          <w:rFonts w:hint="eastAsia" w:hAnsi="宋体" w:cs="宋体"/>
          <w:sz w:val="21"/>
          <w:szCs w:val="21"/>
        </w:rPr>
      </w:pPr>
    </w:p>
    <w:p w14:paraId="4708C706">
      <w:pPr>
        <w:rPr>
          <w:rFonts w:hint="eastAsia" w:hAnsi="宋体" w:cs="宋体"/>
          <w:sz w:val="21"/>
          <w:szCs w:val="21"/>
        </w:rPr>
      </w:pPr>
    </w:p>
    <w:p w14:paraId="31B20787">
      <w:pPr>
        <w:pStyle w:val="2"/>
        <w:jc w:val="center"/>
        <w:rPr>
          <w:rFonts w:hint="eastAsia" w:hAnsi="宋体" w:cs="宋体"/>
          <w:sz w:val="21"/>
          <w:szCs w:val="21"/>
        </w:rPr>
      </w:pPr>
    </w:p>
    <w:p w14:paraId="513E3F49">
      <w:pPr>
        <w:pStyle w:val="2"/>
        <w:jc w:val="center"/>
        <w:rPr>
          <w:rFonts w:hint="eastAsia" w:hAnsi="宋体" w:cs="宋体"/>
          <w:sz w:val="52"/>
          <w:szCs w:val="52"/>
        </w:rPr>
      </w:pPr>
    </w:p>
    <w:p w14:paraId="78158A91">
      <w:pPr>
        <w:rPr>
          <w:rFonts w:hint="eastAsia"/>
        </w:rPr>
      </w:pPr>
    </w:p>
    <w:p w14:paraId="652D46B4">
      <w:pPr>
        <w:pStyle w:val="2"/>
        <w:jc w:val="center"/>
        <w:rPr>
          <w:rFonts w:hAnsi="宋体" w:cs="宋体"/>
          <w:sz w:val="52"/>
          <w:szCs w:val="52"/>
        </w:rPr>
      </w:pPr>
      <w:r>
        <w:rPr>
          <w:rFonts w:hint="eastAsia" w:hAnsi="宋体" w:cs="宋体"/>
          <w:sz w:val="52"/>
          <w:szCs w:val="52"/>
        </w:rPr>
        <w:t>建设工程项目施工合同</w:t>
      </w:r>
      <w:bookmarkEnd w:id="459"/>
      <w:bookmarkEnd w:id="460"/>
      <w:bookmarkEnd w:id="461"/>
    </w:p>
    <w:p w14:paraId="3B1E3CB3">
      <w:pPr>
        <w:jc w:val="center"/>
        <w:rPr>
          <w:rFonts w:ascii="宋体" w:hAnsi="宋体" w:cs="宋体"/>
          <w:b/>
          <w:sz w:val="21"/>
          <w:szCs w:val="21"/>
        </w:rPr>
      </w:pPr>
    </w:p>
    <w:p w14:paraId="49C10ED5">
      <w:pPr>
        <w:jc w:val="center"/>
        <w:rPr>
          <w:rFonts w:ascii="宋体" w:hAnsi="宋体" w:cs="宋体"/>
          <w:b/>
          <w:sz w:val="21"/>
          <w:szCs w:val="21"/>
        </w:rPr>
      </w:pPr>
    </w:p>
    <w:p w14:paraId="5C04C418">
      <w:pPr>
        <w:jc w:val="center"/>
        <w:rPr>
          <w:rFonts w:ascii="宋体" w:hAnsi="宋体" w:cs="宋体"/>
          <w:b/>
          <w:sz w:val="21"/>
          <w:szCs w:val="21"/>
        </w:rPr>
      </w:pPr>
    </w:p>
    <w:p w14:paraId="547580F9">
      <w:pPr>
        <w:jc w:val="center"/>
        <w:rPr>
          <w:rFonts w:ascii="宋体" w:hAnsi="宋体" w:cs="宋体"/>
          <w:b/>
          <w:sz w:val="21"/>
          <w:szCs w:val="21"/>
        </w:rPr>
      </w:pPr>
    </w:p>
    <w:p w14:paraId="3E1B2E8D">
      <w:pPr>
        <w:rPr>
          <w:rFonts w:ascii="宋体" w:hAnsi="宋体" w:cs="宋体"/>
          <w:b/>
          <w:sz w:val="21"/>
          <w:szCs w:val="21"/>
        </w:rPr>
      </w:pPr>
    </w:p>
    <w:p w14:paraId="28B293CC">
      <w:pPr>
        <w:pStyle w:val="23"/>
        <w:rPr>
          <w:rFonts w:ascii="宋体" w:hAnsi="宋体"/>
          <w:b/>
          <w:sz w:val="21"/>
          <w:szCs w:val="21"/>
        </w:rPr>
      </w:pPr>
    </w:p>
    <w:p w14:paraId="2315399B">
      <w:pPr>
        <w:rPr>
          <w:rFonts w:ascii="宋体" w:hAnsi="宋体" w:cs="宋体"/>
          <w:sz w:val="21"/>
          <w:szCs w:val="21"/>
        </w:rPr>
      </w:pPr>
    </w:p>
    <w:p w14:paraId="3965D07A">
      <w:pPr>
        <w:pStyle w:val="63"/>
        <w:ind w:firstLine="210"/>
        <w:rPr>
          <w:sz w:val="21"/>
          <w:szCs w:val="21"/>
        </w:rPr>
      </w:pPr>
    </w:p>
    <w:p w14:paraId="16FFF937">
      <w:pPr>
        <w:rPr>
          <w:rFonts w:ascii="宋体" w:hAnsi="宋体" w:cs="宋体"/>
          <w:sz w:val="21"/>
          <w:szCs w:val="21"/>
        </w:rPr>
      </w:pPr>
    </w:p>
    <w:p w14:paraId="53E3C02C">
      <w:pPr>
        <w:pStyle w:val="63"/>
        <w:ind w:firstLine="210"/>
        <w:rPr>
          <w:sz w:val="21"/>
          <w:szCs w:val="21"/>
        </w:rPr>
      </w:pPr>
    </w:p>
    <w:p w14:paraId="03D3EEE9">
      <w:pPr>
        <w:rPr>
          <w:rFonts w:ascii="宋体" w:hAnsi="宋体" w:cs="宋体"/>
          <w:sz w:val="21"/>
          <w:szCs w:val="21"/>
        </w:rPr>
      </w:pPr>
    </w:p>
    <w:p w14:paraId="6CB50F13">
      <w:pPr>
        <w:pStyle w:val="63"/>
        <w:ind w:firstLine="210"/>
        <w:rPr>
          <w:sz w:val="21"/>
          <w:szCs w:val="21"/>
        </w:rPr>
      </w:pPr>
    </w:p>
    <w:p w14:paraId="5BDE6550">
      <w:pPr>
        <w:jc w:val="center"/>
        <w:rPr>
          <w:rFonts w:ascii="宋体" w:hAnsi="宋体" w:cs="宋体"/>
          <w:b/>
          <w:sz w:val="21"/>
          <w:szCs w:val="21"/>
        </w:rPr>
      </w:pPr>
    </w:p>
    <w:p w14:paraId="31D768D5">
      <w:pPr>
        <w:jc w:val="center"/>
        <w:rPr>
          <w:rFonts w:ascii="宋体" w:hAnsi="宋体" w:cs="宋体"/>
          <w:b/>
          <w:sz w:val="21"/>
          <w:szCs w:val="21"/>
        </w:rPr>
      </w:pPr>
    </w:p>
    <w:p w14:paraId="2D49B276">
      <w:pPr>
        <w:pStyle w:val="63"/>
        <w:ind w:firstLine="211"/>
        <w:rPr>
          <w:b/>
          <w:sz w:val="21"/>
          <w:szCs w:val="21"/>
        </w:rPr>
      </w:pPr>
    </w:p>
    <w:p w14:paraId="0D29AC9C">
      <w:pPr>
        <w:rPr>
          <w:rFonts w:ascii="宋体" w:hAnsi="宋体" w:cs="宋体"/>
          <w:b/>
          <w:sz w:val="21"/>
          <w:szCs w:val="21"/>
        </w:rPr>
      </w:pPr>
    </w:p>
    <w:p w14:paraId="1EE920DA">
      <w:pPr>
        <w:pStyle w:val="63"/>
        <w:ind w:left="0" w:leftChars="0" w:firstLine="0" w:firstLineChars="0"/>
        <w:rPr>
          <w:sz w:val="21"/>
          <w:szCs w:val="21"/>
        </w:rPr>
      </w:pPr>
    </w:p>
    <w:p w14:paraId="7452B30D">
      <w:pPr>
        <w:spacing w:line="320" w:lineRule="atLeast"/>
        <w:textAlignment w:val="center"/>
        <w:rPr>
          <w:rFonts w:ascii="宋体" w:hAnsi="宋体" w:cs="宋体"/>
          <w:spacing w:val="-20"/>
          <w:kern w:val="10"/>
          <w:sz w:val="21"/>
          <w:szCs w:val="21"/>
        </w:rPr>
      </w:pPr>
    </w:p>
    <w:p w14:paraId="00CACEB3">
      <w:pPr>
        <w:spacing w:line="320" w:lineRule="atLeast"/>
        <w:textAlignment w:val="center"/>
        <w:rPr>
          <w:rFonts w:ascii="宋体" w:hAnsi="宋体" w:cs="宋体"/>
          <w:spacing w:val="-20"/>
          <w:kern w:val="10"/>
          <w:sz w:val="21"/>
          <w:szCs w:val="21"/>
        </w:rPr>
      </w:pPr>
    </w:p>
    <w:p w14:paraId="1D5AADEC">
      <w:pPr>
        <w:spacing w:line="320" w:lineRule="atLeast"/>
        <w:textAlignment w:val="center"/>
        <w:rPr>
          <w:rFonts w:ascii="宋体" w:hAnsi="宋体" w:cs="宋体"/>
          <w:spacing w:val="-20"/>
          <w:kern w:val="10"/>
          <w:sz w:val="21"/>
          <w:szCs w:val="21"/>
        </w:rPr>
      </w:pPr>
    </w:p>
    <w:p w14:paraId="2A426754">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中华人民共和国建设部　　</w:t>
      </w:r>
    </w:p>
    <w:p w14:paraId="70DA7CF2">
      <w:pPr>
        <w:spacing w:line="320" w:lineRule="atLeast"/>
        <w:jc w:val="center"/>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制定</w:t>
      </w:r>
    </w:p>
    <w:p w14:paraId="57E62FAE">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国家工商行政管理总局 </w:t>
      </w:r>
    </w:p>
    <w:p w14:paraId="4D019B0D">
      <w:pPr>
        <w:keepNext/>
        <w:keepLines/>
        <w:spacing w:before="260" w:after="260" w:line="415" w:lineRule="auto"/>
        <w:jc w:val="center"/>
        <w:outlineLvl w:val="2"/>
        <w:rPr>
          <w:rFonts w:ascii="宋体" w:hAnsi="宋体" w:eastAsia="宋体" w:cs="Times New Roman"/>
          <w:bCs/>
          <w:sz w:val="21"/>
          <w:szCs w:val="21"/>
        </w:rPr>
      </w:pPr>
      <w:r>
        <w:rPr>
          <w:rFonts w:hint="eastAsia" w:ascii="宋体" w:hAnsi="宋体" w:eastAsia="宋体" w:cs="Times New Roman"/>
          <w:b/>
          <w:bCs/>
          <w:sz w:val="21"/>
          <w:szCs w:val="21"/>
        </w:rPr>
        <w:t>第一部分 合同协议书</w:t>
      </w:r>
      <w:bookmarkEnd w:id="458"/>
    </w:p>
    <w:p w14:paraId="5796429D">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50DD28EE">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4250DF54">
      <w:pPr>
        <w:autoSpaceDE w:val="0"/>
        <w:spacing w:line="360" w:lineRule="auto"/>
        <w:rPr>
          <w:rFonts w:ascii="宋体" w:hAnsi="宋体" w:eastAsia="宋体" w:cs="Times New Roman"/>
          <w:b/>
          <w:sz w:val="21"/>
          <w:szCs w:val="21"/>
          <w:u w:val="single"/>
        </w:rPr>
      </w:pPr>
      <w:r>
        <w:rPr>
          <w:rFonts w:hint="eastAsia" w:ascii="宋体" w:hAnsi="宋体" w:eastAsia="宋体" w:cs="Times New Roman"/>
          <w:sz w:val="21"/>
          <w:szCs w:val="21"/>
        </w:rPr>
        <w:t>根据《中华人民共和国民法典》、《中华人民共和国建筑法》及有关法律、法规规定，遵循平等、自愿、公平和诚实信用的原则，双方就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工程施工及有关事项协商一致，共同达成如下协议：</w:t>
      </w:r>
    </w:p>
    <w:p w14:paraId="01E19193">
      <w:pPr>
        <w:keepNext/>
        <w:keepLines/>
        <w:autoSpaceDE w:val="0"/>
        <w:spacing w:line="360" w:lineRule="auto"/>
        <w:outlineLvl w:val="3"/>
        <w:rPr>
          <w:rFonts w:ascii="宋体" w:hAnsi="宋体" w:eastAsia="宋体" w:cs="宋体"/>
          <w:b/>
          <w:bCs/>
          <w:sz w:val="21"/>
          <w:szCs w:val="21"/>
        </w:rPr>
      </w:pPr>
      <w:bookmarkStart w:id="462" w:name="_Toc532377166"/>
      <w:bookmarkEnd w:id="462"/>
      <w:bookmarkStart w:id="463" w:name="_Toc532375573"/>
      <w:bookmarkEnd w:id="463"/>
      <w:bookmarkStart w:id="464" w:name="_Toc351203481"/>
      <w:r>
        <w:rPr>
          <w:rFonts w:hint="eastAsia" w:ascii="宋体" w:hAnsi="宋体" w:eastAsia="宋体" w:cs="宋体"/>
          <w:b/>
          <w:bCs/>
          <w:sz w:val="21"/>
          <w:szCs w:val="21"/>
        </w:rPr>
        <w:t>一、工程概况</w:t>
      </w:r>
      <w:bookmarkEnd w:id="464"/>
    </w:p>
    <w:p w14:paraId="65B1967E">
      <w:pPr>
        <w:autoSpaceDE w:val="0"/>
        <w:snapToGrid w:val="0"/>
        <w:spacing w:line="360" w:lineRule="auto"/>
        <w:rPr>
          <w:rFonts w:ascii="宋体" w:hAnsi="宋体" w:eastAsia="宋体" w:cs="Times New Roman"/>
          <w:sz w:val="21"/>
          <w:szCs w:val="21"/>
          <w:u w:val="single"/>
        </w:rPr>
      </w:pPr>
      <w:r>
        <w:rPr>
          <w:rFonts w:hint="eastAsia" w:ascii="宋体" w:hAnsi="宋体" w:eastAsia="宋体" w:cs="Times New Roman"/>
          <w:bCs/>
          <w:sz w:val="21"/>
          <w:szCs w:val="21"/>
        </w:rPr>
        <w:t>1.工程名称</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16F00B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2.工程地点：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B5550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3.工程立项批准文号：</w:t>
      </w:r>
      <w:r>
        <w:rPr>
          <w:rFonts w:hint="eastAsia" w:ascii="宋体" w:hAnsi="宋体" w:eastAsia="宋体" w:cs="Times New Roman"/>
          <w:sz w:val="21"/>
          <w:szCs w:val="21"/>
          <w:u w:val="single"/>
        </w:rPr>
        <w:t xml:space="preserve">                        </w:t>
      </w:r>
      <w:r>
        <w:rPr>
          <w:rFonts w:hint="eastAsia" w:ascii="宋体" w:hAnsi="宋体" w:eastAsia="宋体" w:cs="Times New Roman"/>
          <w:bCs/>
          <w:sz w:val="21"/>
          <w:szCs w:val="21"/>
        </w:rPr>
        <w:t>。</w:t>
      </w:r>
    </w:p>
    <w:p w14:paraId="3FC96D25">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4.资金来源：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B73DDC7">
      <w:pPr>
        <w:autoSpaceDE w:val="0"/>
        <w:snapToGrid w:val="0"/>
        <w:spacing w:line="360" w:lineRule="auto"/>
        <w:rPr>
          <w:rFonts w:ascii="宋体" w:hAnsi="宋体" w:eastAsia="宋体" w:cs="Times New Roman"/>
          <w:sz w:val="21"/>
          <w:szCs w:val="21"/>
        </w:rPr>
      </w:pPr>
      <w:r>
        <w:rPr>
          <w:rFonts w:hint="eastAsia" w:ascii="宋体" w:hAnsi="宋体" w:eastAsia="宋体" w:cs="Times New Roman"/>
          <w:bCs/>
          <w:sz w:val="21"/>
          <w:szCs w:val="21"/>
        </w:rPr>
        <w:t>5.工程内容：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BD4F05E">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sz w:val="21"/>
          <w:szCs w:val="21"/>
        </w:rPr>
        <w:t>群体工程应附《承包人承揽工程项目一览表》（附件1）。</w:t>
      </w:r>
    </w:p>
    <w:p w14:paraId="25D7D5D6">
      <w:pPr>
        <w:autoSpaceDE w:val="0"/>
        <w:snapToGrid w:val="0"/>
        <w:spacing w:line="360" w:lineRule="auto"/>
        <w:jc w:val="left"/>
        <w:rPr>
          <w:rFonts w:ascii="宋体" w:hAnsi="宋体" w:eastAsia="宋体" w:cs="Times New Roman"/>
          <w:bCs/>
          <w:sz w:val="21"/>
          <w:szCs w:val="21"/>
        </w:rPr>
      </w:pPr>
      <w:r>
        <w:rPr>
          <w:rFonts w:hint="eastAsia" w:ascii="宋体" w:hAnsi="宋体" w:eastAsia="宋体" w:cs="Times New Roman"/>
          <w:bCs/>
          <w:sz w:val="21"/>
          <w:szCs w:val="21"/>
        </w:rPr>
        <w:t>6.工程承包范围：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A07CE5D">
      <w:pPr>
        <w:keepNext/>
        <w:keepLines/>
        <w:autoSpaceDE w:val="0"/>
        <w:spacing w:line="360" w:lineRule="auto"/>
        <w:outlineLvl w:val="3"/>
        <w:rPr>
          <w:rFonts w:ascii="宋体" w:hAnsi="宋体" w:eastAsia="宋体" w:cs="宋体"/>
          <w:b/>
          <w:bCs/>
          <w:sz w:val="21"/>
          <w:szCs w:val="21"/>
        </w:rPr>
      </w:pPr>
      <w:bookmarkStart w:id="465" w:name="_Toc351203482"/>
      <w:bookmarkEnd w:id="465"/>
      <w:bookmarkStart w:id="466" w:name="_Toc532377167"/>
      <w:bookmarkEnd w:id="466"/>
      <w:bookmarkStart w:id="467" w:name="_Toc532375574"/>
      <w:r>
        <w:rPr>
          <w:rFonts w:hint="eastAsia" w:ascii="宋体" w:hAnsi="宋体" w:eastAsia="宋体" w:cs="宋体"/>
          <w:b/>
          <w:bCs/>
          <w:sz w:val="21"/>
          <w:szCs w:val="21"/>
        </w:rPr>
        <w:t>二、合同工期</w:t>
      </w:r>
      <w:bookmarkEnd w:id="467"/>
    </w:p>
    <w:p w14:paraId="5D695A29">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计划开工日期：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069F6FD3">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计划竣工日期：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3CF8CBA9">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工期总日历天数</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天。工期总日历天数与根据前述计划开竣工日期计算的工期天数不一</w:t>
      </w:r>
      <w:r>
        <w:rPr>
          <w:rFonts w:hint="eastAsia" w:ascii="宋体" w:hAnsi="宋体" w:eastAsia="宋体" w:cs="Times New Roman"/>
          <w:sz w:val="21"/>
          <w:szCs w:val="21"/>
        </w:rPr>
        <w:t>致的，以工期总日历天数为准。</w:t>
      </w:r>
    </w:p>
    <w:p w14:paraId="710B0701">
      <w:pPr>
        <w:keepNext/>
        <w:keepLines/>
        <w:autoSpaceDE w:val="0"/>
        <w:spacing w:line="360" w:lineRule="auto"/>
        <w:outlineLvl w:val="3"/>
        <w:rPr>
          <w:rFonts w:ascii="宋体" w:hAnsi="宋体" w:eastAsia="宋体" w:cs="宋体"/>
          <w:b/>
          <w:bCs/>
          <w:sz w:val="21"/>
          <w:szCs w:val="21"/>
        </w:rPr>
      </w:pPr>
      <w:bookmarkStart w:id="468" w:name="_Toc532375575"/>
      <w:bookmarkEnd w:id="468"/>
      <w:bookmarkStart w:id="469" w:name="_Toc532377168"/>
      <w:bookmarkEnd w:id="469"/>
      <w:bookmarkStart w:id="470" w:name="_Toc351203483"/>
      <w:r>
        <w:rPr>
          <w:rFonts w:hint="eastAsia" w:ascii="宋体" w:hAnsi="宋体" w:eastAsia="宋体" w:cs="宋体"/>
          <w:b/>
          <w:bCs/>
          <w:sz w:val="21"/>
          <w:szCs w:val="21"/>
        </w:rPr>
        <w:t>三、质量标准</w:t>
      </w:r>
      <w:bookmarkEnd w:id="470"/>
    </w:p>
    <w:p w14:paraId="6BFB9A6C">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工程质量符合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标准。</w:t>
      </w:r>
    </w:p>
    <w:p w14:paraId="60420641">
      <w:pPr>
        <w:keepNext/>
        <w:keepLines/>
        <w:autoSpaceDE w:val="0"/>
        <w:spacing w:line="360" w:lineRule="auto"/>
        <w:outlineLvl w:val="3"/>
        <w:rPr>
          <w:rFonts w:ascii="宋体" w:hAnsi="宋体" w:eastAsia="宋体" w:cs="宋体"/>
          <w:b/>
          <w:bCs/>
          <w:sz w:val="21"/>
          <w:szCs w:val="21"/>
        </w:rPr>
      </w:pPr>
      <w:bookmarkStart w:id="471" w:name="_Toc532377169"/>
      <w:bookmarkEnd w:id="471"/>
      <w:bookmarkStart w:id="472" w:name="_Toc351203484"/>
      <w:bookmarkEnd w:id="472"/>
      <w:bookmarkStart w:id="473" w:name="_Toc532375576"/>
      <w:r>
        <w:rPr>
          <w:rFonts w:hint="eastAsia" w:ascii="宋体" w:hAnsi="宋体" w:eastAsia="宋体" w:cs="宋体"/>
          <w:b/>
          <w:bCs/>
          <w:sz w:val="21"/>
          <w:szCs w:val="21"/>
        </w:rPr>
        <w:t>四、签约合同价与合同价格形式</w:t>
      </w:r>
      <w:bookmarkEnd w:id="473"/>
      <w:r>
        <w:rPr>
          <w:rFonts w:hint="eastAsia" w:ascii="宋体" w:hAnsi="宋体" w:eastAsia="宋体" w:cs="宋体"/>
          <w:b/>
          <w:bCs/>
          <w:sz w:val="21"/>
          <w:szCs w:val="21"/>
        </w:rPr>
        <w:tab/>
      </w:r>
    </w:p>
    <w:p w14:paraId="5B3EF5E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1.签约合同价为：</w:t>
      </w:r>
    </w:p>
    <w:p w14:paraId="69829AD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7E7ECA32">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其中：</w:t>
      </w:r>
    </w:p>
    <w:p w14:paraId="4155099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（1）安全文明施工费：</w:t>
      </w:r>
    </w:p>
    <w:p w14:paraId="63E532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1CE4378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（2）材料和工程设备暂估价金额：</w:t>
      </w:r>
    </w:p>
    <w:p w14:paraId="0B2DD02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0611C52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（3）专业工程暂估价金额：</w:t>
      </w:r>
    </w:p>
    <w:p w14:paraId="3A640DB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23F089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（4）暂列金额：</w:t>
      </w:r>
    </w:p>
    <w:p w14:paraId="0D15B8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5D367DF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2.合同价格形式：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C53E85B">
      <w:pPr>
        <w:keepNext/>
        <w:keepLines/>
        <w:autoSpaceDE w:val="0"/>
        <w:spacing w:line="360" w:lineRule="auto"/>
        <w:outlineLvl w:val="3"/>
        <w:rPr>
          <w:rFonts w:ascii="宋体" w:hAnsi="宋体" w:eastAsia="宋体" w:cs="宋体"/>
          <w:b/>
          <w:bCs/>
          <w:sz w:val="21"/>
          <w:szCs w:val="21"/>
        </w:rPr>
      </w:pPr>
      <w:bookmarkStart w:id="474" w:name="_Toc351203485"/>
      <w:bookmarkEnd w:id="474"/>
      <w:bookmarkStart w:id="475" w:name="_Toc532377170"/>
      <w:bookmarkEnd w:id="475"/>
      <w:bookmarkStart w:id="476" w:name="_Toc532375577"/>
      <w:r>
        <w:rPr>
          <w:rFonts w:hint="eastAsia" w:ascii="宋体" w:hAnsi="宋体" w:eastAsia="宋体" w:cs="宋体"/>
          <w:b/>
          <w:bCs/>
          <w:sz w:val="21"/>
          <w:szCs w:val="21"/>
        </w:rPr>
        <w:t>五、</w:t>
      </w:r>
      <w:bookmarkEnd w:id="476"/>
      <w:r>
        <w:rPr>
          <w:rFonts w:hint="eastAsia" w:ascii="宋体" w:hAnsi="宋体" w:eastAsia="宋体" w:cs="宋体"/>
          <w:b/>
          <w:bCs/>
          <w:sz w:val="21"/>
          <w:szCs w:val="21"/>
        </w:rPr>
        <w:t>项目经理</w:t>
      </w:r>
    </w:p>
    <w:p w14:paraId="0685B41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承包人项目经理：</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7185BF3">
      <w:pPr>
        <w:keepNext/>
        <w:keepLines/>
        <w:autoSpaceDE w:val="0"/>
        <w:spacing w:line="360" w:lineRule="auto"/>
        <w:outlineLvl w:val="3"/>
        <w:rPr>
          <w:rFonts w:ascii="宋体" w:hAnsi="宋体" w:eastAsia="宋体" w:cs="宋体"/>
          <w:b/>
          <w:bCs/>
          <w:sz w:val="21"/>
          <w:szCs w:val="21"/>
        </w:rPr>
      </w:pPr>
      <w:bookmarkStart w:id="477" w:name="_Toc351203486"/>
      <w:bookmarkEnd w:id="477"/>
      <w:bookmarkStart w:id="478" w:name="_Toc532377171"/>
      <w:bookmarkEnd w:id="478"/>
      <w:bookmarkStart w:id="479" w:name="_Toc532375578"/>
      <w:r>
        <w:rPr>
          <w:rFonts w:hint="eastAsia" w:ascii="宋体" w:hAnsi="宋体" w:eastAsia="宋体" w:cs="宋体"/>
          <w:b/>
          <w:bCs/>
          <w:sz w:val="21"/>
          <w:szCs w:val="21"/>
        </w:rPr>
        <w:t>六、合同文件构成</w:t>
      </w:r>
      <w:bookmarkEnd w:id="479"/>
    </w:p>
    <w:p w14:paraId="5252A4C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本协议书与下列文件一起构成合同文件：</w:t>
      </w:r>
    </w:p>
    <w:p w14:paraId="419D530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（1）中标通知书（如果有）；</w:t>
      </w:r>
    </w:p>
    <w:p w14:paraId="570A3D5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（2）投标函及其附录（如果有）； </w:t>
      </w:r>
    </w:p>
    <w:p w14:paraId="53CF11D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（3）专用合同条款及其附件；</w:t>
      </w:r>
    </w:p>
    <w:p w14:paraId="6D6A7AB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（4）通用合同条款；</w:t>
      </w:r>
    </w:p>
    <w:p w14:paraId="6E2B8EB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（5）技术标准和要求；</w:t>
      </w:r>
    </w:p>
    <w:p w14:paraId="0128946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（6）图纸；</w:t>
      </w:r>
    </w:p>
    <w:p w14:paraId="4F7315B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（7）已标价工程量清单或预算书；</w:t>
      </w:r>
    </w:p>
    <w:p w14:paraId="49FAA7E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（8）其他合同文件。</w:t>
      </w:r>
    </w:p>
    <w:p w14:paraId="6CEF96F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在合同订立及履行过程中形成的与合同有关的文件均构成合同文件组成部分。</w:t>
      </w:r>
    </w:p>
    <w:p w14:paraId="67443EE0">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上述各项合同文件包括合同当事人就该项合同文件所作出的补充和修改，属于同一类内容的文件，应以最新签署的为准。专用合同条款及其附件须经合同当事人签名或盖章。</w:t>
      </w:r>
    </w:p>
    <w:p w14:paraId="1CA458D0">
      <w:pPr>
        <w:keepNext/>
        <w:keepLines/>
        <w:autoSpaceDE w:val="0"/>
        <w:spacing w:line="360" w:lineRule="auto"/>
        <w:outlineLvl w:val="3"/>
        <w:rPr>
          <w:rFonts w:ascii="宋体" w:hAnsi="宋体" w:eastAsia="宋体" w:cs="宋体"/>
          <w:b/>
          <w:bCs/>
          <w:sz w:val="21"/>
          <w:szCs w:val="21"/>
        </w:rPr>
      </w:pPr>
      <w:bookmarkStart w:id="480" w:name="_Toc532377172"/>
      <w:bookmarkEnd w:id="480"/>
      <w:bookmarkStart w:id="481" w:name="_Toc351203487"/>
      <w:bookmarkEnd w:id="481"/>
      <w:bookmarkStart w:id="482" w:name="_Toc532375579"/>
      <w:r>
        <w:rPr>
          <w:rFonts w:hint="eastAsia" w:ascii="宋体" w:hAnsi="宋体" w:eastAsia="宋体" w:cs="宋体"/>
          <w:b/>
          <w:bCs/>
          <w:sz w:val="21"/>
          <w:szCs w:val="21"/>
        </w:rPr>
        <w:t>七、承诺</w:t>
      </w:r>
      <w:bookmarkEnd w:id="482"/>
    </w:p>
    <w:p w14:paraId="0567350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1.发包人承诺按照法律规定履行项目审批手续、筹集工程建设资金并按照合同约定的期限和方式支付合同价款。</w:t>
      </w:r>
    </w:p>
    <w:p w14:paraId="3A8AD840">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2.承包人承诺按照法律规定及合同约定组织完成工程施工，确保工程质量和安全，不进行转包及违法分包，并在缺陷责任期及保修期内承担相应的工程维修责任。</w:t>
      </w:r>
    </w:p>
    <w:p w14:paraId="308E121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3.发包人和承包人通过招投标形式签订合同的，双方理解并承诺不再就同一工程另行签订与合同实质性内容相背离的协议。</w:t>
      </w:r>
    </w:p>
    <w:p w14:paraId="71611C27">
      <w:pPr>
        <w:keepNext/>
        <w:keepLines/>
        <w:autoSpaceDE w:val="0"/>
        <w:spacing w:line="360" w:lineRule="auto"/>
        <w:outlineLvl w:val="3"/>
        <w:rPr>
          <w:rFonts w:ascii="宋体" w:hAnsi="宋体" w:eastAsia="宋体" w:cs="宋体"/>
          <w:b/>
          <w:bCs/>
          <w:sz w:val="21"/>
          <w:szCs w:val="21"/>
        </w:rPr>
      </w:pPr>
      <w:bookmarkStart w:id="483" w:name="_Toc351203488"/>
      <w:bookmarkEnd w:id="483"/>
      <w:bookmarkStart w:id="484" w:name="_Toc532377173"/>
      <w:bookmarkEnd w:id="484"/>
      <w:bookmarkStart w:id="485" w:name="_Toc532375580"/>
      <w:r>
        <w:rPr>
          <w:rFonts w:hint="eastAsia" w:ascii="宋体" w:hAnsi="宋体" w:eastAsia="宋体" w:cs="宋体"/>
          <w:b/>
          <w:bCs/>
          <w:sz w:val="21"/>
          <w:szCs w:val="21"/>
        </w:rPr>
        <w:t>八、词语含义</w:t>
      </w:r>
      <w:bookmarkEnd w:id="485"/>
    </w:p>
    <w:p w14:paraId="3493ADC4">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本协议书中词语含义与第二部分通用合同条款中赋予的含义相同。</w:t>
      </w:r>
    </w:p>
    <w:p w14:paraId="2186AFA1">
      <w:pPr>
        <w:keepNext/>
        <w:keepLines/>
        <w:autoSpaceDE w:val="0"/>
        <w:spacing w:line="360" w:lineRule="auto"/>
        <w:outlineLvl w:val="3"/>
        <w:rPr>
          <w:rFonts w:ascii="宋体" w:hAnsi="宋体" w:eastAsia="宋体" w:cs="宋体"/>
          <w:b/>
          <w:bCs/>
          <w:sz w:val="21"/>
          <w:szCs w:val="21"/>
        </w:rPr>
      </w:pPr>
      <w:bookmarkStart w:id="486" w:name="_Toc532377174"/>
      <w:bookmarkEnd w:id="486"/>
      <w:bookmarkStart w:id="487" w:name="_Toc532375581"/>
      <w:r>
        <w:rPr>
          <w:rFonts w:hint="eastAsia" w:ascii="宋体" w:hAnsi="宋体" w:eastAsia="宋体" w:cs="宋体"/>
          <w:b/>
          <w:bCs/>
          <w:sz w:val="21"/>
          <w:szCs w:val="21"/>
        </w:rPr>
        <w:t>九、签订时间</w:t>
      </w:r>
      <w:bookmarkEnd w:id="487"/>
    </w:p>
    <w:p w14:paraId="70BBB1D5">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本合同于</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日签订</w:t>
      </w:r>
    </w:p>
    <w:p w14:paraId="4A0F6D22">
      <w:pPr>
        <w:keepNext/>
        <w:keepLines/>
        <w:autoSpaceDE w:val="0"/>
        <w:spacing w:line="360" w:lineRule="auto"/>
        <w:outlineLvl w:val="3"/>
        <w:rPr>
          <w:rFonts w:ascii="宋体" w:hAnsi="宋体" w:eastAsia="宋体" w:cs="宋体"/>
          <w:b/>
          <w:bCs/>
          <w:sz w:val="21"/>
          <w:szCs w:val="21"/>
        </w:rPr>
      </w:pPr>
      <w:bookmarkStart w:id="488" w:name="_Toc532375582"/>
      <w:bookmarkEnd w:id="488"/>
      <w:bookmarkStart w:id="489" w:name="_Toc532377175"/>
      <w:bookmarkEnd w:id="489"/>
      <w:bookmarkStart w:id="490" w:name="_Toc351203489"/>
      <w:r>
        <w:rPr>
          <w:rFonts w:hint="eastAsia" w:ascii="宋体" w:hAnsi="宋体" w:eastAsia="宋体" w:cs="宋体"/>
          <w:b/>
          <w:bCs/>
          <w:sz w:val="21"/>
          <w:szCs w:val="21"/>
        </w:rPr>
        <w:t>十、</w:t>
      </w:r>
      <w:bookmarkEnd w:id="490"/>
      <w:bookmarkStart w:id="491" w:name="_Toc351203490"/>
      <w:bookmarkEnd w:id="491"/>
      <w:r>
        <w:rPr>
          <w:rFonts w:hint="eastAsia" w:ascii="宋体" w:hAnsi="宋体" w:eastAsia="宋体" w:cs="宋体"/>
          <w:b/>
          <w:bCs/>
          <w:sz w:val="21"/>
          <w:szCs w:val="21"/>
        </w:rPr>
        <w:t>签订地点</w:t>
      </w:r>
    </w:p>
    <w:p w14:paraId="67BDEB0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本合同在</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签订。</w:t>
      </w:r>
    </w:p>
    <w:p w14:paraId="1DFFE265">
      <w:pPr>
        <w:keepNext/>
        <w:keepLines/>
        <w:autoSpaceDE w:val="0"/>
        <w:spacing w:line="360" w:lineRule="auto"/>
        <w:outlineLvl w:val="3"/>
        <w:rPr>
          <w:rFonts w:ascii="宋体" w:hAnsi="宋体" w:eastAsia="宋体" w:cs="宋体"/>
          <w:b/>
          <w:bCs/>
          <w:sz w:val="21"/>
          <w:szCs w:val="21"/>
        </w:rPr>
      </w:pPr>
      <w:bookmarkStart w:id="492" w:name="_Toc532377176"/>
      <w:bookmarkEnd w:id="492"/>
      <w:bookmarkStart w:id="493" w:name="_Toc351203491"/>
      <w:bookmarkEnd w:id="493"/>
      <w:bookmarkStart w:id="494" w:name="_Toc532375583"/>
      <w:r>
        <w:rPr>
          <w:rFonts w:hint="eastAsia" w:ascii="宋体" w:hAnsi="宋体" w:eastAsia="宋体" w:cs="宋体"/>
          <w:b/>
          <w:bCs/>
          <w:sz w:val="21"/>
          <w:szCs w:val="21"/>
        </w:rPr>
        <w:t>十一、补充协议</w:t>
      </w:r>
      <w:bookmarkEnd w:id="494"/>
    </w:p>
    <w:p w14:paraId="197611B4">
      <w:pPr>
        <w:autoSpaceDE w:val="0"/>
        <w:spacing w:line="360" w:lineRule="auto"/>
        <w:rPr>
          <w:rFonts w:ascii="宋体" w:hAnsi="宋体" w:eastAsia="宋体" w:cs="Times New Roman"/>
          <w:b/>
          <w:bCs/>
          <w:sz w:val="21"/>
          <w:szCs w:val="21"/>
        </w:rPr>
      </w:pPr>
      <w:r>
        <w:rPr>
          <w:rFonts w:hint="eastAsia" w:ascii="宋体" w:hAnsi="宋体" w:eastAsia="宋体" w:cs="Times New Roman"/>
          <w:bCs/>
          <w:sz w:val="21"/>
          <w:szCs w:val="21"/>
        </w:rPr>
        <w:t>合同未尽事宜，合同当事人另行签订补充协议，补充协议是合同的组成部分。</w:t>
      </w:r>
    </w:p>
    <w:p w14:paraId="7A09D3B0">
      <w:pPr>
        <w:keepNext/>
        <w:keepLines/>
        <w:autoSpaceDE w:val="0"/>
        <w:spacing w:line="360" w:lineRule="auto"/>
        <w:outlineLvl w:val="3"/>
        <w:rPr>
          <w:rFonts w:ascii="宋体" w:hAnsi="宋体" w:eastAsia="宋体" w:cs="宋体"/>
          <w:b/>
          <w:bCs/>
          <w:sz w:val="21"/>
          <w:szCs w:val="21"/>
        </w:rPr>
      </w:pPr>
      <w:bookmarkStart w:id="495" w:name="_Toc351203492"/>
      <w:bookmarkEnd w:id="495"/>
      <w:bookmarkStart w:id="496" w:name="_Toc532375584"/>
      <w:bookmarkEnd w:id="496"/>
      <w:bookmarkStart w:id="497" w:name="_Toc532377177"/>
      <w:r>
        <w:rPr>
          <w:rFonts w:hint="eastAsia" w:ascii="宋体" w:hAnsi="宋体" w:eastAsia="宋体" w:cs="宋体"/>
          <w:b/>
          <w:bCs/>
          <w:sz w:val="21"/>
          <w:szCs w:val="21"/>
        </w:rPr>
        <w:t>十二、合同生效</w:t>
      </w:r>
      <w:bookmarkEnd w:id="497"/>
    </w:p>
    <w:p w14:paraId="60B5F5E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本合同自</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生效</w:t>
      </w:r>
      <w:r>
        <w:rPr>
          <w:rFonts w:hint="eastAsia" w:ascii="宋体" w:hAnsi="宋体" w:eastAsia="宋体" w:cs="Times New Roman"/>
          <w:sz w:val="21"/>
          <w:szCs w:val="21"/>
        </w:rPr>
        <w:t>。</w:t>
      </w:r>
    </w:p>
    <w:p w14:paraId="5E00A721">
      <w:pPr>
        <w:keepNext/>
        <w:keepLines/>
        <w:autoSpaceDE w:val="0"/>
        <w:spacing w:line="360" w:lineRule="auto"/>
        <w:outlineLvl w:val="3"/>
        <w:rPr>
          <w:rFonts w:ascii="宋体" w:hAnsi="宋体" w:eastAsia="宋体" w:cs="宋体"/>
          <w:b/>
          <w:bCs/>
          <w:sz w:val="21"/>
          <w:szCs w:val="21"/>
        </w:rPr>
      </w:pPr>
      <w:bookmarkStart w:id="498" w:name="_Toc532377178"/>
      <w:bookmarkEnd w:id="498"/>
      <w:bookmarkStart w:id="499" w:name="_Toc351203493"/>
      <w:bookmarkEnd w:id="499"/>
      <w:bookmarkStart w:id="500" w:name="_Toc532375585"/>
      <w:r>
        <w:rPr>
          <w:rFonts w:hint="eastAsia" w:ascii="宋体" w:hAnsi="宋体" w:eastAsia="宋体" w:cs="宋体"/>
          <w:b/>
          <w:bCs/>
          <w:sz w:val="21"/>
          <w:szCs w:val="21"/>
        </w:rPr>
        <w:t>十三、合同份数</w:t>
      </w:r>
      <w:bookmarkEnd w:id="500"/>
    </w:p>
    <w:p w14:paraId="0C13343B">
      <w:pPr>
        <w:autoSpaceDE w:val="0"/>
        <w:spacing w:line="360" w:lineRule="auto"/>
        <w:rPr>
          <w:rFonts w:ascii="宋体" w:hAnsi="宋体" w:eastAsia="宋体" w:cs="Times New Roman"/>
          <w:bCs/>
          <w:sz w:val="21"/>
          <w:szCs w:val="21"/>
        </w:rPr>
      </w:pPr>
      <w:r>
        <w:rPr>
          <w:rFonts w:hint="eastAsia" w:ascii="宋体" w:hAnsi="宋体" w:eastAsia="宋体" w:cs="Microsoft Sans Serif"/>
          <w:bCs/>
          <w:sz w:val="21"/>
          <w:szCs w:val="21"/>
        </w:rPr>
        <w:t>本合同一式</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份，均具有同等法律效力，发包人执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份，承包人执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w:t>
      </w:r>
      <w:r>
        <w:rPr>
          <w:rFonts w:hint="eastAsia" w:ascii="宋体" w:hAnsi="宋体" w:eastAsia="宋体" w:cs="Times New Roman"/>
          <w:bCs/>
          <w:sz w:val="21"/>
          <w:szCs w:val="21"/>
        </w:rPr>
        <w:t>。</w:t>
      </w:r>
    </w:p>
    <w:p w14:paraId="0F603C9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3D27BF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DB00E8B">
      <w:pPr>
        <w:autoSpaceDE w:val="0"/>
        <w:spacing w:before="100" w:beforeAutospacing="1"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D2E77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  (公章)             承包人：  (公章)</w:t>
      </w:r>
    </w:p>
    <w:p w14:paraId="4CA2A1B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324EA0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   法定代表人或其委托代理人：</w:t>
      </w:r>
    </w:p>
    <w:p w14:paraId="343653B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（签名）                    （签名）</w:t>
      </w:r>
    </w:p>
    <w:p w14:paraId="08CC17F3">
      <w:pPr>
        <w:autoSpaceDE w:val="0"/>
        <w:spacing w:line="360" w:lineRule="auto"/>
        <w:jc w:val="right"/>
        <w:rPr>
          <w:rFonts w:ascii="宋体" w:hAnsi="宋体" w:eastAsia="宋体" w:cs="Times New Roman"/>
          <w:sz w:val="21"/>
          <w:szCs w:val="21"/>
        </w:rPr>
      </w:pPr>
      <w:r>
        <w:rPr>
          <w:rFonts w:hint="eastAsia" w:ascii="宋体" w:hAnsi="宋体" w:eastAsia="宋体" w:cs="Times New Roman"/>
          <w:sz w:val="21"/>
          <w:szCs w:val="21"/>
        </w:rPr>
        <w:t xml:space="preserve"> </w:t>
      </w:r>
    </w:p>
    <w:p w14:paraId="37B98D4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组织机构代码：         组织机构代码：           </w:t>
      </w:r>
    </w:p>
    <w:p w14:paraId="531DD15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地  址：       地  址：        </w:t>
      </w:r>
    </w:p>
    <w:p w14:paraId="74BC19C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邮政编码：       邮政编码：   </w:t>
      </w:r>
    </w:p>
    <w:p w14:paraId="474EA9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        法定代表人：             </w:t>
      </w:r>
    </w:p>
    <w:p w14:paraId="0CD84C1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委托代理人：             委托代理人：             </w:t>
      </w:r>
    </w:p>
    <w:p w14:paraId="7CA5E7B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  话：     电  话：     </w:t>
      </w:r>
    </w:p>
    <w:p w14:paraId="5A85498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传  真：     传  真：     </w:t>
      </w:r>
    </w:p>
    <w:p w14:paraId="34B9EA8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电子信箱：                   电子信箱：   </w:t>
      </w:r>
    </w:p>
    <w:p w14:paraId="6AE8BF8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开户银行：     开户银行：   </w:t>
      </w:r>
    </w:p>
    <w:p w14:paraId="0B8DFC3E">
      <w:pPr>
        <w:autoSpaceDE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账  号：          账  号：     </w:t>
      </w:r>
    </w:p>
    <w:p w14:paraId="7F3127C8">
      <w:pPr>
        <w:keepNext/>
        <w:keepLines/>
        <w:spacing w:before="260" w:after="260" w:line="415" w:lineRule="auto"/>
        <w:jc w:val="center"/>
        <w:outlineLvl w:val="2"/>
        <w:rPr>
          <w:rFonts w:ascii="宋体" w:hAnsi="宋体" w:eastAsia="宋体" w:cs="Times New Roman"/>
          <w:b/>
          <w:sz w:val="21"/>
          <w:szCs w:val="21"/>
        </w:rPr>
      </w:pPr>
      <w:r>
        <w:rPr>
          <w:rFonts w:hint="eastAsia" w:ascii="宋体" w:hAnsi="宋体" w:eastAsia="宋体" w:cs="Times New Roman"/>
          <w:bCs/>
          <w:sz w:val="21"/>
          <w:szCs w:val="21"/>
        </w:rPr>
        <w:br w:type="page"/>
      </w:r>
      <w:bookmarkStart w:id="501" w:name="_Toc16411"/>
      <w:bookmarkEnd w:id="501"/>
      <w:bookmarkStart w:id="502" w:name="_Toc532375586"/>
      <w:bookmarkEnd w:id="502"/>
      <w:bookmarkStart w:id="503" w:name="_Toc6949"/>
      <w:bookmarkEnd w:id="503"/>
      <w:bookmarkStart w:id="504" w:name="_Toc17274"/>
      <w:bookmarkEnd w:id="504"/>
      <w:bookmarkStart w:id="505" w:name="_Toc532377179"/>
      <w:bookmarkEnd w:id="505"/>
      <w:bookmarkStart w:id="506" w:name="_Toc529388289"/>
      <w:r>
        <w:rPr>
          <w:rFonts w:hint="eastAsia" w:ascii="宋体" w:hAnsi="宋体" w:eastAsia="宋体" w:cs="Times New Roman"/>
          <w:b/>
          <w:bCs/>
          <w:sz w:val="21"/>
          <w:szCs w:val="21"/>
        </w:rPr>
        <w:t>第二部分 通用合同条款</w:t>
      </w:r>
      <w:bookmarkEnd w:id="506"/>
    </w:p>
    <w:p w14:paraId="78E50403">
      <w:pPr>
        <w:keepNext/>
        <w:keepLines/>
        <w:spacing w:before="156" w:beforeLines="50" w:after="156" w:afterLines="50" w:line="360" w:lineRule="auto"/>
        <w:outlineLvl w:val="3"/>
        <w:rPr>
          <w:rFonts w:ascii="宋体" w:hAnsi="宋体" w:eastAsia="宋体" w:cs="宋体"/>
          <w:b/>
          <w:bCs/>
          <w:sz w:val="21"/>
          <w:szCs w:val="21"/>
        </w:rPr>
      </w:pPr>
      <w:bookmarkStart w:id="507" w:name="_Toc532375587"/>
      <w:bookmarkEnd w:id="507"/>
      <w:bookmarkStart w:id="508" w:name="_Toc532377180"/>
      <w:bookmarkEnd w:id="508"/>
      <w:bookmarkStart w:id="509" w:name="_Toc351203495"/>
      <w:r>
        <w:rPr>
          <w:rFonts w:hint="eastAsia" w:ascii="宋体" w:hAnsi="宋体" w:eastAsia="宋体" w:cs="宋体"/>
          <w:b/>
          <w:bCs/>
          <w:sz w:val="21"/>
          <w:szCs w:val="21"/>
        </w:rPr>
        <w:t>1.</w:t>
      </w:r>
      <w:bookmarkEnd w:id="509"/>
      <w:bookmarkStart w:id="510" w:name="_Toc303538973"/>
      <w:bookmarkEnd w:id="510"/>
      <w:bookmarkStart w:id="511" w:name="_Toc303538975"/>
      <w:bookmarkEnd w:id="511"/>
      <w:bookmarkStart w:id="512" w:name="_Toc303538974"/>
      <w:bookmarkEnd w:id="512"/>
      <w:bookmarkStart w:id="513" w:name="_Toc296503027"/>
      <w:bookmarkEnd w:id="513"/>
      <w:bookmarkStart w:id="514" w:name="_Toc303538972"/>
      <w:bookmarkEnd w:id="514"/>
      <w:bookmarkStart w:id="515" w:name="_Toc303538976"/>
      <w:bookmarkEnd w:id="515"/>
      <w:bookmarkStart w:id="516" w:name="_Toc296346528"/>
      <w:r>
        <w:rPr>
          <w:rFonts w:hint="eastAsia" w:ascii="宋体" w:hAnsi="宋体" w:eastAsia="宋体" w:cs="宋体"/>
          <w:b/>
          <w:bCs/>
          <w:sz w:val="21"/>
          <w:szCs w:val="21"/>
        </w:rPr>
        <w:t>一般约定</w:t>
      </w:r>
      <w:bookmarkEnd w:id="516"/>
    </w:p>
    <w:p w14:paraId="3BE7444A">
      <w:pPr>
        <w:widowControl/>
        <w:spacing w:line="360" w:lineRule="auto"/>
        <w:jc w:val="left"/>
        <w:outlineLvl w:val="4"/>
        <w:rPr>
          <w:rFonts w:ascii="宋体" w:hAnsi="宋体" w:eastAsia="宋体" w:cs="宋体"/>
          <w:b/>
          <w:bCs/>
          <w:kern w:val="0"/>
          <w:sz w:val="21"/>
          <w:szCs w:val="21"/>
        </w:rPr>
      </w:pPr>
      <w:bookmarkStart w:id="517" w:name="_Toc296503028"/>
      <w:bookmarkEnd w:id="517"/>
      <w:bookmarkStart w:id="518" w:name="_Toc337558728"/>
      <w:bookmarkEnd w:id="518"/>
      <w:bookmarkStart w:id="519" w:name="_Toc296346529"/>
      <w:bookmarkEnd w:id="519"/>
      <w:bookmarkStart w:id="520" w:name="_Toc351203496"/>
      <w:bookmarkEnd w:id="520"/>
      <w:bookmarkStart w:id="521" w:name="_Toc532377181"/>
      <w:r>
        <w:rPr>
          <w:rFonts w:hint="eastAsia" w:ascii="宋体" w:hAnsi="宋体" w:eastAsia="宋体" w:cs="宋体"/>
          <w:b/>
          <w:bCs/>
          <w:kern w:val="0"/>
          <w:sz w:val="21"/>
          <w:szCs w:val="21"/>
        </w:rPr>
        <w:t>1.1词语定义</w:t>
      </w:r>
      <w:bookmarkEnd w:id="521"/>
      <w:r>
        <w:rPr>
          <w:rFonts w:hint="eastAsia" w:ascii="宋体" w:hAnsi="宋体" w:eastAsia="宋体" w:cs="宋体"/>
          <w:b/>
          <w:bCs/>
          <w:kern w:val="0"/>
          <w:sz w:val="21"/>
          <w:szCs w:val="21"/>
        </w:rPr>
        <w:t>与解释</w:t>
      </w:r>
    </w:p>
    <w:p w14:paraId="4E5CEF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合同协议书、通用合同条款、专用合同条款中的下列词语具有本款所赋予的含义：</w:t>
      </w:r>
    </w:p>
    <w:p w14:paraId="45FE3879">
      <w:pPr>
        <w:widowControl/>
        <w:spacing w:line="360" w:lineRule="auto"/>
        <w:jc w:val="left"/>
        <w:outlineLvl w:val="4"/>
        <w:rPr>
          <w:rFonts w:ascii="宋体" w:hAnsi="宋体" w:eastAsia="宋体" w:cs="宋体"/>
          <w:kern w:val="0"/>
          <w:sz w:val="21"/>
          <w:szCs w:val="21"/>
        </w:rPr>
      </w:pPr>
      <w:bookmarkStart w:id="522" w:name="_Toc532377182"/>
      <w:bookmarkEnd w:id="522"/>
      <w:r>
        <w:rPr>
          <w:rFonts w:hint="eastAsia" w:ascii="宋体" w:hAnsi="宋体" w:eastAsia="宋体" w:cs="宋体"/>
          <w:kern w:val="0"/>
          <w:sz w:val="21"/>
          <w:szCs w:val="21"/>
        </w:rPr>
        <w:t>1.1.1 合同</w:t>
      </w:r>
    </w:p>
    <w:p w14:paraId="733D24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合同：是指根据法律规定和合同当事人约定具有约束力的文件，构成合同的文件包括合同协议书、中标通知书（如有）、投标函及其附录（如有）、专用合同条款</w:t>
      </w:r>
      <w:r>
        <w:rPr>
          <w:rFonts w:hint="eastAsia" w:ascii="宋体" w:hAnsi="宋体" w:eastAsia="宋体" w:cs="Times New Roman"/>
          <w:sz w:val="21"/>
          <w:szCs w:val="21"/>
        </w:rPr>
        <w:t>及其附件</w:t>
      </w:r>
      <w:r>
        <w:rPr>
          <w:rFonts w:hint="eastAsia" w:ascii="宋体" w:hAnsi="宋体" w:eastAsia="宋体" w:cs="Times New Roman"/>
          <w:kern w:val="0"/>
          <w:sz w:val="21"/>
          <w:szCs w:val="21"/>
        </w:rPr>
        <w:t>、通用合同条款、技术标准和要求、图纸、已标价工程量清单或预算书以及其他合同文件。</w:t>
      </w:r>
    </w:p>
    <w:p w14:paraId="25935DD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合同协议书：是指构成合同的由发包人和承包人共同签署的称为“合同协议书”的书面文件。</w:t>
      </w:r>
    </w:p>
    <w:p w14:paraId="7419BD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中标通知书：是指构成合同的由发包人通知承包人中标的书面文件。</w:t>
      </w:r>
    </w:p>
    <w:p w14:paraId="6C7361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投标函：是指构成合同的由承包人填写并签署的用于投标的称为“投标函”的文件。</w:t>
      </w:r>
    </w:p>
    <w:p w14:paraId="56F4CEA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1.1.1.5 投标函附录：是指构成合同的附在投标函后的称为“投标函附录”的文件。</w:t>
      </w:r>
    </w:p>
    <w:p w14:paraId="3352F3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1.1.1.6 技术标准和要求：是指构成合同的施工应当遵守的或指导施工的国家、行业或地方的技术标准和要求，以及合同约定的技术标准和要求。</w:t>
      </w:r>
    </w:p>
    <w:p w14:paraId="4CF132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405839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1.1.1.8 已标价工程量清单：是指构成合同的由承包人按照规定的格式和要求填写并标明价格的工程量清单，包括说明和表格。</w:t>
      </w:r>
    </w:p>
    <w:p w14:paraId="48D8C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1.1.1.9 预算书：是指构成合同的由承包人按照发包人规定的格式和要求编制的工程预算文件。</w:t>
      </w:r>
    </w:p>
    <w:p w14:paraId="030922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1.1.1.10 其他合同文件：是指经合同当事人约定的与工程施工有关的具有合同约束力的文件或书面协议。合同当事人可以在专用合同条款中进行约定。</w:t>
      </w:r>
    </w:p>
    <w:p w14:paraId="3EBC63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 合同当事人及其他相关方</w:t>
      </w:r>
    </w:p>
    <w:p w14:paraId="605EAB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1.1.2.1 合同当事人：是指发包人和（或）承包人。</w:t>
      </w:r>
    </w:p>
    <w:p w14:paraId="7248A2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1.1.2.2 发包人：是指与承包人签订合同协议书的当事人及取得该当事人资格的合法继承人。</w:t>
      </w:r>
    </w:p>
    <w:p w14:paraId="555834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1.1.2.3 承包人：是指与发包人签订合同协议书的，具有相应工程施工承包资质的当事人及取得该当事人资格的合法继承人。</w:t>
      </w:r>
    </w:p>
    <w:p w14:paraId="27E4B4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1.1.2.4 监理人：是指在专用合同条款中指明的，受发包人委托按照法律规定进行工程监督管理的法人或其他组织。</w:t>
      </w:r>
    </w:p>
    <w:p w14:paraId="5CE4A2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1.1.2.5 设计人：是指在专用合同条款中指明的，受发包人委托负责工程设计并具备相应工程设计资质的法人或其他组织。</w:t>
      </w:r>
    </w:p>
    <w:p w14:paraId="0DF8FD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1.1.2.6 分包人：</w:t>
      </w:r>
      <w:bookmarkStart w:id="523" w:name="#go5"/>
      <w:bookmarkEnd w:id="523"/>
      <w:r>
        <w:rPr>
          <w:rFonts w:hint="eastAsia" w:ascii="宋体" w:hAnsi="宋体" w:eastAsia="宋体" w:cs="Times New Roman"/>
          <w:kern w:val="0"/>
          <w:sz w:val="21"/>
          <w:szCs w:val="21"/>
        </w:rPr>
        <w:t>是指按照法律规定和合同约定，分包部分工程或工作，并与承包人签订分包合同的具有相应资质的法人。</w:t>
      </w:r>
    </w:p>
    <w:p w14:paraId="49EFE9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1.1.2.7 发包人代表：是指由发包人任命并派驻施工现场在发包人授权范围内行使发包人权利的人。</w:t>
      </w:r>
    </w:p>
    <w:p w14:paraId="797CC38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1.1.2.8 项目经理：是指由承包人任命并派驻施工现场，在承包人授权范围内负责合同履行，且按照法律规定具有相应资格的项目负责人。</w:t>
      </w:r>
    </w:p>
    <w:p w14:paraId="3675751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1.1.2.9 总监理工程师：是指由监理人任命并派驻施工现场进行工程监理的总负责人。</w:t>
      </w:r>
    </w:p>
    <w:p w14:paraId="1165404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 工程和设备</w:t>
      </w:r>
    </w:p>
    <w:p w14:paraId="23EFD79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 工程：是指与合同协议书中工程承包范围对应的永久工程和（或）临时工程。</w:t>
      </w:r>
    </w:p>
    <w:p w14:paraId="57392A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1.1.3.2 永久工程：是指按合同约定建造并移交给发包人的工程，包括工程设备。</w:t>
      </w:r>
    </w:p>
    <w:p w14:paraId="76BD40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1.1.3.3 临时工程：是指为完成合同约定的永久工程所修建的各类临时性工程，不包括施工设备。</w:t>
      </w:r>
    </w:p>
    <w:p w14:paraId="24116D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1.1.3.4 单位工程：是指在合同协议书中指明的，具备独立施工条件并能形成独立使用功能的永久工程。</w:t>
      </w:r>
    </w:p>
    <w:p w14:paraId="43F335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1.1.3.5 工程设备：是指构成永久工程的机电设备、金属结构设备、仪器及其他类似的设备和装置。</w:t>
      </w:r>
    </w:p>
    <w:p w14:paraId="7859461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1.1.3.6 施工设备：是指为完成合同约定的各项工作所需的设备、器具和其他物品，但不包括工程设备、临时工程和材料。</w:t>
      </w:r>
    </w:p>
    <w:p w14:paraId="7AF4D82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1.1.3.7 施工现场：是指用于工程施工的场所，以及在专用合同条款中指明作为施工场所组成部分的其他场所，包括永久占地和临时占地。</w:t>
      </w:r>
    </w:p>
    <w:p w14:paraId="71078B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1.1.3.8临时设施：是指为完成合同约定的各项工作所服务的临时性生产和生活设施。</w:t>
      </w:r>
    </w:p>
    <w:p w14:paraId="52BEC7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1.1.3.9 永久占地：是指专用合同条款中指明为实施工程需永久占用的土地。</w:t>
      </w:r>
    </w:p>
    <w:p w14:paraId="4B0535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1.1.3.10 临时占地：是指专用合同条款中指明为实施工程需要临时占用的土地。</w:t>
      </w:r>
    </w:p>
    <w:p w14:paraId="1F8BFE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 日期和期限</w:t>
      </w:r>
    </w:p>
    <w:p w14:paraId="3FB1C6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43DC99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1.1.4.2 竣工日期：包括计划竣工日期和实际竣工日期。计划竣工日期是指合同协议书约定的竣工日期；实际竣工日期按照第13.2.3项〔竣工日期〕的约定确定。 </w:t>
      </w:r>
    </w:p>
    <w:p w14:paraId="2E961AC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1.1.4.3 工期：是指在合同协议书约定的承包人完成工程所需的期限，包括按照合同约定所作的期限变更。</w:t>
      </w:r>
    </w:p>
    <w:p w14:paraId="1B7FD2E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1.1.4.4 缺陷责任期：是指承包人按照合同约定承担缺陷修复义务，且发包人预留质量保证金（已缴纳履约保证金的除外）的期限，自工程实际竣工日期起计算。</w:t>
      </w:r>
    </w:p>
    <w:p w14:paraId="56A7D12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1.1.4.5 保修期：是指承包人按照合同约定对工程承担保修责任的期限，从工程竣工验收合格之日起计算。</w:t>
      </w:r>
    </w:p>
    <w:p w14:paraId="4A3A1A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1.1.4.6 基准日期：招标发包的工程以投标截止日前28天的日期为基准日期，直接发包的工程以合同签订日前28天的日期为基准日期。</w:t>
      </w:r>
    </w:p>
    <w:p w14:paraId="6A9223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1.1.4.7 天：除特别指明外，均指日历天。合同中按天计算时间的，开始当天不计入，从次日开始计算，期限最后一天的截止时间为当天24：00时。</w:t>
      </w:r>
    </w:p>
    <w:p w14:paraId="7BE485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 合同价格和费用</w:t>
      </w:r>
    </w:p>
    <w:p w14:paraId="46441A7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1.1.5.1 签约合同价：是指</w:t>
      </w:r>
      <w:r>
        <w:rPr>
          <w:rFonts w:hint="eastAsia" w:ascii="宋体" w:hAnsi="宋体" w:eastAsia="宋体" w:cs="Times New Roman"/>
          <w:sz w:val="21"/>
          <w:szCs w:val="21"/>
        </w:rPr>
        <w:t>发包人和承包人在合同协议书中确定的总金额，包括安全文明施工费、暂估价及暂列金额等。</w:t>
      </w:r>
    </w:p>
    <w:p w14:paraId="1B2CDC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1.1.5.2 合同价格：是指发包人用于支付承包人按照合同约定完成承包范围内全部工作的金额，包括合同履行过程中按合同约定发生的价格变化。</w:t>
      </w:r>
    </w:p>
    <w:p w14:paraId="3622A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1.1.5.3 费用：是指为履行合同所发生的或将要发生的所有必需的开支，包括管理费和应分摊的其他费用，但不包括利润。</w:t>
      </w:r>
    </w:p>
    <w:p w14:paraId="721CDC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1.1.5.4 暂估价：是指发包人在工程量清单或预算书中提供的用于支付必然发生但暂时不能确定价格的材料、工程设备的单价、专业工程以及服务工作的金额。</w:t>
      </w:r>
    </w:p>
    <w:p w14:paraId="20DAF4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76C2F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1.1.5.6 计日工：是指合同履行过程中，承包人完成发包人提出的零星工作或需要采用计日工计价的变更工作时，按合同中约定的单价计价的一种方式。</w:t>
      </w:r>
    </w:p>
    <w:p w14:paraId="49011EC9">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1.1.5.7 质量保证金</w:t>
      </w:r>
      <w:bookmarkStart w:id="524" w:name="#go2"/>
      <w:bookmarkEnd w:id="524"/>
      <w:r>
        <w:rPr>
          <w:rFonts w:hint="eastAsia" w:ascii="宋体" w:hAnsi="宋体" w:eastAsia="宋体" w:cs="Times New Roman"/>
          <w:kern w:val="0"/>
          <w:sz w:val="21"/>
          <w:szCs w:val="21"/>
        </w:rPr>
        <w:t>：是指按照第15.3款〔质量保证金〕约定承包人用于保证其在缺陷责任期内履行缺陷修补义务的担保</w:t>
      </w:r>
      <w:r>
        <w:rPr>
          <w:rFonts w:hint="eastAsia" w:ascii="宋体" w:hAnsi="宋体" w:eastAsia="宋体" w:cs="Times New Roman"/>
          <w:sz w:val="21"/>
          <w:szCs w:val="21"/>
        </w:rPr>
        <w:t>。</w:t>
      </w:r>
    </w:p>
    <w:p w14:paraId="3C1CA8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1.1.5.8 总价项目：是指在现行国家、行业以及地方的计量规则中无工程量计算规则，在已标价工程量清单或预算书中以总价或以费率形式计算的项目。</w:t>
      </w:r>
    </w:p>
    <w:p w14:paraId="1DF433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1.1.6 其他</w:t>
      </w:r>
    </w:p>
    <w:p w14:paraId="4E61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1.1.6.1 书面形式：是指合同文件、信函、电报、传真等可以有形地表现所载内容的形式。</w:t>
      </w:r>
    </w:p>
    <w:p w14:paraId="7DAB5BDD">
      <w:pPr>
        <w:widowControl/>
        <w:spacing w:line="360" w:lineRule="auto"/>
        <w:jc w:val="left"/>
        <w:outlineLvl w:val="4"/>
        <w:rPr>
          <w:rFonts w:ascii="宋体" w:hAnsi="宋体" w:eastAsia="宋体" w:cs="宋体"/>
          <w:b/>
          <w:bCs/>
          <w:kern w:val="0"/>
          <w:sz w:val="21"/>
          <w:szCs w:val="21"/>
        </w:rPr>
      </w:pPr>
      <w:bookmarkStart w:id="525" w:name="_Toc532377183"/>
      <w:bookmarkEnd w:id="525"/>
      <w:r>
        <w:rPr>
          <w:rFonts w:hint="eastAsia" w:ascii="宋体" w:hAnsi="宋体" w:eastAsia="宋体" w:cs="宋体"/>
          <w:b/>
          <w:bCs/>
          <w:kern w:val="0"/>
          <w:sz w:val="21"/>
          <w:szCs w:val="21"/>
        </w:rPr>
        <w:t>1.2 语言文字</w:t>
      </w:r>
    </w:p>
    <w:p w14:paraId="70743A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合同以中国的汉语简体文字编写、解释和说明。合同当事人在专用合同条款中约定使用两种以上语言时，汉语为优先解释和说明合同的语言。</w:t>
      </w:r>
    </w:p>
    <w:p w14:paraId="24BBF1AF">
      <w:pPr>
        <w:widowControl/>
        <w:spacing w:line="360" w:lineRule="auto"/>
        <w:jc w:val="left"/>
        <w:outlineLvl w:val="4"/>
        <w:rPr>
          <w:rFonts w:ascii="宋体" w:hAnsi="宋体" w:eastAsia="宋体" w:cs="宋体"/>
          <w:b/>
          <w:bCs/>
          <w:kern w:val="0"/>
          <w:sz w:val="21"/>
          <w:szCs w:val="21"/>
        </w:rPr>
      </w:pPr>
      <w:bookmarkStart w:id="526" w:name="_Toc351203498"/>
      <w:bookmarkEnd w:id="526"/>
      <w:bookmarkStart w:id="527" w:name="_Toc532377184"/>
      <w:bookmarkEnd w:id="527"/>
      <w:bookmarkStart w:id="528" w:name="_Toc337558730"/>
      <w:bookmarkEnd w:id="528"/>
      <w:bookmarkStart w:id="529" w:name="_Toc296503030"/>
      <w:bookmarkEnd w:id="529"/>
      <w:bookmarkStart w:id="530" w:name="_Toc296346531"/>
      <w:r>
        <w:rPr>
          <w:rFonts w:hint="eastAsia" w:ascii="宋体" w:hAnsi="宋体" w:eastAsia="宋体" w:cs="宋体"/>
          <w:b/>
          <w:bCs/>
          <w:kern w:val="0"/>
          <w:sz w:val="21"/>
          <w:szCs w:val="21"/>
        </w:rPr>
        <w:t>1.3法律</w:t>
      </w:r>
      <w:bookmarkEnd w:id="530"/>
    </w:p>
    <w:p w14:paraId="5543AEB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合同所称法律是指中华人民共和国法律、行政法规、部门规章，以及工程所在地的地方性法规、自治条例、单行条例和地方政府规章等。</w:t>
      </w:r>
    </w:p>
    <w:p w14:paraId="1BD6B0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合同当事人可以在专用合同条款中约定合同适用的其他规范性文件。</w:t>
      </w:r>
    </w:p>
    <w:p w14:paraId="45D0DF1C">
      <w:pPr>
        <w:widowControl/>
        <w:spacing w:line="360" w:lineRule="auto"/>
        <w:jc w:val="left"/>
        <w:outlineLvl w:val="4"/>
        <w:rPr>
          <w:rFonts w:ascii="宋体" w:hAnsi="宋体" w:eastAsia="宋体" w:cs="宋体"/>
          <w:b/>
          <w:bCs/>
          <w:kern w:val="0"/>
          <w:sz w:val="21"/>
          <w:szCs w:val="21"/>
        </w:rPr>
      </w:pPr>
      <w:bookmarkStart w:id="531" w:name="_Toc351203499"/>
      <w:bookmarkEnd w:id="531"/>
      <w:bookmarkStart w:id="532" w:name="_Toc532377185"/>
      <w:r>
        <w:rPr>
          <w:rFonts w:hint="eastAsia" w:ascii="宋体" w:hAnsi="宋体" w:eastAsia="宋体" w:cs="宋体"/>
          <w:b/>
          <w:bCs/>
          <w:kern w:val="0"/>
          <w:sz w:val="21"/>
          <w:szCs w:val="21"/>
        </w:rPr>
        <w:t>1.4 标准和规范</w:t>
      </w:r>
      <w:bookmarkEnd w:id="532"/>
    </w:p>
    <w:p w14:paraId="67C7AB7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1.4.1 适用于工程的国家标准、行业标准、工程所在地的地方性标准，以及相应的规范、规程等，合同当事人有特别要求的，应在专用合同条款中约定。</w:t>
      </w:r>
    </w:p>
    <w:p w14:paraId="761DE5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发包人要求使用国外标准、规范的，发包人负责提供原文版本和中文译本，并在专用合同条款中约定提供标准规范的名称、份数和时间。</w:t>
      </w:r>
    </w:p>
    <w:p w14:paraId="7B02F9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3F3E9A">
      <w:pPr>
        <w:widowControl/>
        <w:spacing w:line="360" w:lineRule="auto"/>
        <w:jc w:val="left"/>
        <w:outlineLvl w:val="4"/>
        <w:rPr>
          <w:rFonts w:ascii="宋体" w:hAnsi="宋体" w:eastAsia="宋体" w:cs="宋体"/>
          <w:b/>
          <w:bCs/>
          <w:kern w:val="0"/>
          <w:sz w:val="21"/>
          <w:szCs w:val="21"/>
        </w:rPr>
      </w:pPr>
      <w:bookmarkStart w:id="533" w:name="_Toc351203500"/>
      <w:bookmarkEnd w:id="533"/>
      <w:bookmarkStart w:id="534" w:name="_Toc532377186"/>
      <w:r>
        <w:rPr>
          <w:rFonts w:hint="eastAsia" w:ascii="宋体" w:hAnsi="宋体" w:eastAsia="宋体" w:cs="宋体"/>
          <w:b/>
          <w:bCs/>
          <w:kern w:val="0"/>
          <w:sz w:val="21"/>
          <w:szCs w:val="21"/>
        </w:rPr>
        <w:t>1</w:t>
      </w:r>
      <w:bookmarkEnd w:id="534"/>
      <w:bookmarkStart w:id="535" w:name="_Toc296346532"/>
      <w:bookmarkEnd w:id="535"/>
      <w:bookmarkStart w:id="536" w:name="_Toc337558731"/>
      <w:bookmarkEnd w:id="536"/>
      <w:bookmarkStart w:id="537" w:name="_Toc296503031"/>
      <w:r>
        <w:rPr>
          <w:rFonts w:hint="eastAsia" w:ascii="宋体" w:hAnsi="宋体" w:eastAsia="宋体" w:cs="宋体"/>
          <w:b/>
          <w:bCs/>
          <w:kern w:val="0"/>
          <w:sz w:val="21"/>
          <w:szCs w:val="21"/>
        </w:rPr>
        <w:t>.5 合同文件的优先顺序</w:t>
      </w:r>
      <w:bookmarkEnd w:id="537"/>
    </w:p>
    <w:p w14:paraId="0F028E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组成合同的各项文件应互相解释，互为说明。除专用合同条款另有约定外，解释合同文件的优先顺序如下：</w:t>
      </w:r>
    </w:p>
    <w:p w14:paraId="1A1121B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（1）合同协议书；</w:t>
      </w:r>
    </w:p>
    <w:p w14:paraId="4BBF78C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（2）中标通知书（如有）；</w:t>
      </w:r>
    </w:p>
    <w:p w14:paraId="2CF87EF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（3）投标函及其附录（如有）；</w:t>
      </w:r>
    </w:p>
    <w:p w14:paraId="6B5542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（4）专用合同条款及其附件；</w:t>
      </w:r>
    </w:p>
    <w:p w14:paraId="630456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（5）通用合同条款；</w:t>
      </w:r>
    </w:p>
    <w:p w14:paraId="289468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（6）技术标准和要求；</w:t>
      </w:r>
    </w:p>
    <w:p w14:paraId="5A7A68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（7）图纸；</w:t>
      </w:r>
    </w:p>
    <w:p w14:paraId="715D27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（8）已标价工程量清单或预算书；</w:t>
      </w:r>
    </w:p>
    <w:p w14:paraId="6B0DB4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（9）其他合同文件。</w:t>
      </w:r>
    </w:p>
    <w:p w14:paraId="53FA13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上述各项合同文件包括合同当事人就该项合同文件所作出的补充和修改，属于同一类内容的文件，应以最新签署的为准。</w:t>
      </w:r>
    </w:p>
    <w:p w14:paraId="24033AD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在合同订立及履行过程中形成的与合同有关的文件均构成合同文件组成部分，并根据其性质确定优先解释顺序。</w:t>
      </w:r>
    </w:p>
    <w:p w14:paraId="36732E84">
      <w:pPr>
        <w:widowControl/>
        <w:spacing w:line="360" w:lineRule="auto"/>
        <w:jc w:val="left"/>
        <w:outlineLvl w:val="4"/>
        <w:rPr>
          <w:rFonts w:ascii="宋体" w:hAnsi="宋体" w:eastAsia="宋体" w:cs="宋体"/>
          <w:b/>
          <w:bCs/>
          <w:kern w:val="0"/>
          <w:sz w:val="21"/>
          <w:szCs w:val="21"/>
        </w:rPr>
      </w:pPr>
      <w:bookmarkStart w:id="538" w:name="_Toc351203501"/>
      <w:bookmarkEnd w:id="538"/>
      <w:bookmarkStart w:id="539" w:name="_Toc532377187"/>
      <w:r>
        <w:rPr>
          <w:rFonts w:hint="eastAsia" w:ascii="宋体" w:hAnsi="宋体" w:eastAsia="宋体" w:cs="宋体"/>
          <w:b/>
          <w:bCs/>
          <w:kern w:val="0"/>
          <w:sz w:val="21"/>
          <w:szCs w:val="21"/>
        </w:rPr>
        <w:t>1</w:t>
      </w:r>
      <w:bookmarkEnd w:id="539"/>
      <w:bookmarkStart w:id="540" w:name="_Toc296503032"/>
      <w:bookmarkEnd w:id="540"/>
      <w:bookmarkStart w:id="541" w:name="_Toc296346533"/>
      <w:bookmarkEnd w:id="541"/>
      <w:bookmarkStart w:id="542" w:name="_Toc337558732"/>
      <w:r>
        <w:rPr>
          <w:rFonts w:hint="eastAsia" w:ascii="宋体" w:hAnsi="宋体" w:eastAsia="宋体" w:cs="宋体"/>
          <w:b/>
          <w:bCs/>
          <w:kern w:val="0"/>
          <w:sz w:val="21"/>
          <w:szCs w:val="21"/>
        </w:rPr>
        <w:t>.6图纸和承包人文件</w:t>
      </w:r>
      <w:bookmarkEnd w:id="542"/>
    </w:p>
    <w:p w14:paraId="40793D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 图纸的提供和交底</w:t>
      </w:r>
    </w:p>
    <w:p w14:paraId="0521A2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C96520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因发包人未按合同约定提供图纸导致承包人费用增加和（或）工期延误的，按照第7.5.1项〔因发包人原因导致工期延误〕约定办理。</w:t>
      </w:r>
    </w:p>
    <w:p w14:paraId="274EBE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 图纸的错误</w:t>
      </w:r>
    </w:p>
    <w:p w14:paraId="159984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16358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1.6.3 图纸的修改和补充</w:t>
      </w:r>
    </w:p>
    <w:p w14:paraId="1E4C22A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图纸需要修改和补充的，应经图纸原设计人及审批部门同意，并由监理人在工程或工程相应部位施工前将修改后的图纸或补充图纸提交给承包人，承包人应按修改或补充后的图纸施工。</w:t>
      </w:r>
    </w:p>
    <w:p w14:paraId="122F6F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1.6.4 承包人文件</w:t>
      </w:r>
    </w:p>
    <w:p w14:paraId="773F2C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承包人应按照专用合同条款的约定提供应当由其编制的与工程施工有关的文件，并按照专用合同条款约定的期限、数量和形式提交监理人，并由监理人报送发包人。</w:t>
      </w:r>
    </w:p>
    <w:p w14:paraId="3A0C8C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876BF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1.6.5 图纸和承包人文件的保管</w:t>
      </w:r>
    </w:p>
    <w:p w14:paraId="607CA1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除专用合同条款另有约定外，承包人应在施工现场另外保存一套完整的图纸和承包人文件，供发包人、监理人及有关人员进行工程检查时使用。</w:t>
      </w:r>
    </w:p>
    <w:p w14:paraId="6EF7CA36">
      <w:pPr>
        <w:widowControl/>
        <w:spacing w:line="360" w:lineRule="auto"/>
        <w:jc w:val="left"/>
        <w:outlineLvl w:val="4"/>
        <w:rPr>
          <w:rFonts w:ascii="宋体" w:hAnsi="宋体" w:eastAsia="宋体" w:cs="宋体"/>
          <w:b/>
          <w:bCs/>
          <w:kern w:val="0"/>
          <w:sz w:val="21"/>
          <w:szCs w:val="21"/>
        </w:rPr>
      </w:pPr>
      <w:bookmarkStart w:id="543" w:name="_Toc351203502"/>
      <w:bookmarkEnd w:id="543"/>
      <w:bookmarkStart w:id="544" w:name="_Toc532377188"/>
      <w:r>
        <w:rPr>
          <w:rFonts w:hint="eastAsia" w:ascii="宋体" w:hAnsi="宋体" w:eastAsia="宋体" w:cs="宋体"/>
          <w:b/>
          <w:bCs/>
          <w:kern w:val="0"/>
          <w:sz w:val="21"/>
          <w:szCs w:val="21"/>
        </w:rPr>
        <w:t>1</w:t>
      </w:r>
      <w:bookmarkEnd w:id="544"/>
      <w:bookmarkStart w:id="545" w:name="_Toc337558733"/>
      <w:bookmarkEnd w:id="545"/>
      <w:bookmarkStart w:id="546" w:name="_Toc296346534"/>
      <w:bookmarkEnd w:id="546"/>
      <w:bookmarkStart w:id="547" w:name="_Toc296503033"/>
      <w:r>
        <w:rPr>
          <w:rFonts w:hint="eastAsia" w:ascii="宋体" w:hAnsi="宋体" w:eastAsia="宋体" w:cs="宋体"/>
          <w:b/>
          <w:bCs/>
          <w:kern w:val="0"/>
          <w:sz w:val="21"/>
          <w:szCs w:val="21"/>
        </w:rPr>
        <w:t>.7联络</w:t>
      </w:r>
      <w:bookmarkEnd w:id="547"/>
    </w:p>
    <w:p w14:paraId="1D3F7E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与合同有关的通知、批准、证明、证书、指示、指令、要求、请求、同意、意见、确定和决定等，均应采用书面形式，并应在合同约定的期限内送达接收人和送达地点。</w:t>
      </w:r>
    </w:p>
    <w:p w14:paraId="316868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发包人和承包人应在专用合同条款中约定各自的送达接收人和送达地点。任何一方合同当事人指定的接收人或送达地点发生变动的，应提前3天以书面形式通知对方。</w:t>
      </w:r>
    </w:p>
    <w:p w14:paraId="3525AC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 发包人和承包人应当及时签收另一方送达至送达地点和指定接收人的来往信函。拒不签收的，由此增加的费用和（或）延误的工期由拒绝接收一方承担。</w:t>
      </w:r>
    </w:p>
    <w:p w14:paraId="5CB8A64C">
      <w:pPr>
        <w:widowControl/>
        <w:spacing w:line="360" w:lineRule="auto"/>
        <w:jc w:val="left"/>
        <w:outlineLvl w:val="4"/>
        <w:rPr>
          <w:rFonts w:ascii="宋体" w:hAnsi="宋体" w:eastAsia="宋体" w:cs="宋体"/>
          <w:b/>
          <w:bCs/>
          <w:kern w:val="0"/>
          <w:sz w:val="21"/>
          <w:szCs w:val="21"/>
        </w:rPr>
      </w:pPr>
      <w:bookmarkStart w:id="548" w:name="_Toc532377189"/>
      <w:bookmarkEnd w:id="548"/>
      <w:bookmarkStart w:id="549" w:name="_Toc351203503"/>
      <w:r>
        <w:rPr>
          <w:rFonts w:hint="eastAsia" w:ascii="宋体" w:hAnsi="宋体" w:eastAsia="宋体" w:cs="宋体"/>
          <w:b/>
          <w:bCs/>
          <w:kern w:val="0"/>
          <w:sz w:val="21"/>
          <w:szCs w:val="21"/>
        </w:rPr>
        <w:t>1</w:t>
      </w:r>
      <w:bookmarkEnd w:id="549"/>
      <w:bookmarkStart w:id="550" w:name="_Toc337558734"/>
      <w:bookmarkEnd w:id="550"/>
      <w:bookmarkStart w:id="551" w:name="_Toc296346536"/>
      <w:bookmarkEnd w:id="551"/>
      <w:bookmarkStart w:id="552" w:name="_Toc296503035"/>
      <w:r>
        <w:rPr>
          <w:rFonts w:hint="eastAsia" w:ascii="宋体" w:hAnsi="宋体" w:eastAsia="宋体" w:cs="宋体"/>
          <w:b/>
          <w:bCs/>
          <w:kern w:val="0"/>
          <w:sz w:val="21"/>
          <w:szCs w:val="21"/>
        </w:rPr>
        <w:t>.8严禁贿赂</w:t>
      </w:r>
      <w:bookmarkEnd w:id="552"/>
    </w:p>
    <w:p w14:paraId="4D69568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合同当事人不得以贿赂或变相贿赂的方式，谋取非法利益或损害对方权益。因一方合同当事人的贿赂造成对方损失的，应赔偿损失，并承担相应的法律责任。</w:t>
      </w:r>
    </w:p>
    <w:p w14:paraId="1F4843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42C6CEA7">
      <w:pPr>
        <w:widowControl/>
        <w:spacing w:line="360" w:lineRule="auto"/>
        <w:jc w:val="left"/>
        <w:outlineLvl w:val="4"/>
        <w:rPr>
          <w:rFonts w:ascii="宋体" w:hAnsi="宋体" w:eastAsia="宋体" w:cs="宋体"/>
          <w:b/>
          <w:bCs/>
          <w:kern w:val="0"/>
          <w:sz w:val="21"/>
          <w:szCs w:val="21"/>
        </w:rPr>
      </w:pPr>
      <w:bookmarkStart w:id="553" w:name="_Toc532377190"/>
      <w:bookmarkEnd w:id="553"/>
      <w:bookmarkStart w:id="554" w:name="_Toc351203504"/>
      <w:r>
        <w:rPr>
          <w:rFonts w:hint="eastAsia" w:ascii="宋体" w:hAnsi="宋体" w:eastAsia="宋体" w:cs="宋体"/>
          <w:b/>
          <w:bCs/>
          <w:kern w:val="0"/>
          <w:sz w:val="21"/>
          <w:szCs w:val="21"/>
        </w:rPr>
        <w:t>1</w:t>
      </w:r>
      <w:bookmarkEnd w:id="554"/>
      <w:bookmarkStart w:id="555" w:name="_Toc296503036"/>
      <w:bookmarkEnd w:id="555"/>
      <w:bookmarkStart w:id="556" w:name="_Toc337558735"/>
      <w:bookmarkEnd w:id="556"/>
      <w:bookmarkStart w:id="557" w:name="_Toc296346537"/>
      <w:r>
        <w:rPr>
          <w:rFonts w:hint="eastAsia" w:ascii="宋体" w:hAnsi="宋体" w:eastAsia="宋体" w:cs="宋体"/>
          <w:b/>
          <w:bCs/>
          <w:kern w:val="0"/>
          <w:sz w:val="21"/>
          <w:szCs w:val="21"/>
        </w:rPr>
        <w:t>.9化石、文物</w:t>
      </w:r>
      <w:bookmarkEnd w:id="557"/>
    </w:p>
    <w:p w14:paraId="638A3B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C580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发包人、监理人和承包人应按有关政府行政管理部门要求采取妥善的保护措施，由此增加的费用和（或）延误的工期由发包人承担。</w:t>
      </w:r>
    </w:p>
    <w:p w14:paraId="5CAA00A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承包人发现文物后不及时报告或隐瞒不报，致使文物丢失或损坏的，应赔偿损失，并承担相应的法律责任。</w:t>
      </w:r>
    </w:p>
    <w:p w14:paraId="46C6DD6D">
      <w:pPr>
        <w:widowControl/>
        <w:spacing w:line="360" w:lineRule="auto"/>
        <w:jc w:val="left"/>
        <w:outlineLvl w:val="4"/>
        <w:rPr>
          <w:rFonts w:ascii="宋体" w:hAnsi="宋体" w:eastAsia="宋体" w:cs="宋体"/>
          <w:b/>
          <w:bCs/>
          <w:kern w:val="0"/>
          <w:sz w:val="21"/>
          <w:szCs w:val="21"/>
        </w:rPr>
      </w:pPr>
      <w:bookmarkStart w:id="558" w:name="_Toc351203505"/>
      <w:bookmarkEnd w:id="558"/>
      <w:bookmarkStart w:id="559" w:name="_Toc532377191"/>
      <w:r>
        <w:rPr>
          <w:rFonts w:hint="eastAsia" w:ascii="宋体" w:hAnsi="宋体" w:eastAsia="宋体" w:cs="宋体"/>
          <w:b/>
          <w:bCs/>
          <w:kern w:val="0"/>
          <w:sz w:val="21"/>
          <w:szCs w:val="21"/>
        </w:rPr>
        <w:t>1</w:t>
      </w:r>
      <w:bookmarkEnd w:id="559"/>
      <w:bookmarkStart w:id="560" w:name="_Toc337558736"/>
      <w:r>
        <w:rPr>
          <w:rFonts w:hint="eastAsia" w:ascii="宋体" w:hAnsi="宋体" w:eastAsia="宋体" w:cs="宋体"/>
          <w:b/>
          <w:bCs/>
          <w:kern w:val="0"/>
          <w:sz w:val="21"/>
          <w:szCs w:val="21"/>
        </w:rPr>
        <w:t>.10交通运输</w:t>
      </w:r>
      <w:bookmarkEnd w:id="560"/>
    </w:p>
    <w:p w14:paraId="459B8D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1.10.1 出入现场的权利</w:t>
      </w:r>
    </w:p>
    <w:p w14:paraId="1C76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835B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C8620F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1.10.2 场外交通</w:t>
      </w:r>
    </w:p>
    <w:p w14:paraId="13329B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1FCFB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1.10.3场内交通</w:t>
      </w:r>
    </w:p>
    <w:p w14:paraId="4B7A24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6E50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64675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场外交通和场内交通的边界由合同当事人在专用合同条款中约定。</w:t>
      </w:r>
    </w:p>
    <w:p w14:paraId="5E19A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1.10.4 超大件和超重件的运输</w:t>
      </w:r>
    </w:p>
    <w:p w14:paraId="14369E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3BB2C5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1.10.5 道路和桥梁的损坏责任</w:t>
      </w:r>
    </w:p>
    <w:p w14:paraId="3F478A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因承包人运输造成施工场地内外公共道路和桥梁损坏的，由承包人承担修复损坏的全部费用和可能引起的赔偿。</w:t>
      </w:r>
    </w:p>
    <w:p w14:paraId="6813B1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1.10.6 水路和航空运输</w:t>
      </w:r>
    </w:p>
    <w:p w14:paraId="276C49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本款前述各项的内容适用于水路运输和航空运输，其中“道路”一词的涵义包括河道、航线、船闸、机场、码头、堤防以及水路或航空运输中其他相似结构物；“车辆”一词的涵义包括船舶和飞机等。</w:t>
      </w:r>
    </w:p>
    <w:p w14:paraId="237DDC71">
      <w:pPr>
        <w:widowControl/>
        <w:spacing w:line="360" w:lineRule="auto"/>
        <w:jc w:val="left"/>
        <w:outlineLvl w:val="4"/>
        <w:rPr>
          <w:rFonts w:ascii="宋体" w:hAnsi="宋体" w:eastAsia="宋体" w:cs="宋体"/>
          <w:b/>
          <w:bCs/>
          <w:kern w:val="0"/>
          <w:sz w:val="21"/>
          <w:szCs w:val="21"/>
        </w:rPr>
      </w:pPr>
      <w:bookmarkStart w:id="561" w:name="_Toc532377192"/>
      <w:bookmarkEnd w:id="561"/>
      <w:bookmarkStart w:id="562" w:name="_Toc351203506"/>
      <w:r>
        <w:rPr>
          <w:rFonts w:hint="eastAsia" w:ascii="宋体" w:hAnsi="宋体" w:eastAsia="宋体" w:cs="宋体"/>
          <w:b/>
          <w:bCs/>
          <w:kern w:val="0"/>
          <w:sz w:val="21"/>
          <w:szCs w:val="21"/>
        </w:rPr>
        <w:t>1</w:t>
      </w:r>
      <w:bookmarkEnd w:id="562"/>
      <w:bookmarkStart w:id="563" w:name="_Toc296503037"/>
      <w:bookmarkEnd w:id="563"/>
      <w:bookmarkStart w:id="564" w:name="_Toc296346538"/>
      <w:bookmarkEnd w:id="564"/>
      <w:bookmarkStart w:id="565" w:name="_Toc337558737"/>
      <w:r>
        <w:rPr>
          <w:rFonts w:hint="eastAsia" w:ascii="宋体" w:hAnsi="宋体" w:eastAsia="宋体" w:cs="宋体"/>
          <w:b/>
          <w:bCs/>
          <w:kern w:val="0"/>
          <w:sz w:val="21"/>
          <w:szCs w:val="21"/>
        </w:rPr>
        <w:t>.11知识产权</w:t>
      </w:r>
      <w:bookmarkEnd w:id="565"/>
    </w:p>
    <w:p w14:paraId="2DA31F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3DC2E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A6F806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1CADA7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除专用合同条款另有约定外，承包人在合同签订前和签订时已确定采用的专利、专有技术、技术秘密的使用费已包含在签约合同价中。</w:t>
      </w:r>
    </w:p>
    <w:p w14:paraId="018157C9">
      <w:pPr>
        <w:widowControl/>
        <w:spacing w:line="360" w:lineRule="auto"/>
        <w:jc w:val="left"/>
        <w:outlineLvl w:val="4"/>
        <w:rPr>
          <w:rFonts w:ascii="宋体" w:hAnsi="宋体" w:eastAsia="宋体" w:cs="宋体"/>
          <w:b/>
          <w:bCs/>
          <w:kern w:val="0"/>
          <w:sz w:val="21"/>
          <w:szCs w:val="21"/>
        </w:rPr>
      </w:pPr>
      <w:bookmarkStart w:id="566" w:name="_Toc351203507"/>
      <w:bookmarkEnd w:id="566"/>
      <w:bookmarkStart w:id="567" w:name="_Toc532377193"/>
      <w:r>
        <w:rPr>
          <w:rFonts w:hint="eastAsia" w:ascii="宋体" w:hAnsi="宋体" w:eastAsia="宋体" w:cs="宋体"/>
          <w:b/>
          <w:bCs/>
          <w:kern w:val="0"/>
          <w:sz w:val="21"/>
          <w:szCs w:val="21"/>
        </w:rPr>
        <w:t>1</w:t>
      </w:r>
      <w:bookmarkEnd w:id="567"/>
      <w:bookmarkStart w:id="568" w:name="_Toc337558738"/>
      <w:r>
        <w:rPr>
          <w:rFonts w:hint="eastAsia" w:ascii="宋体" w:hAnsi="宋体" w:eastAsia="宋体" w:cs="宋体"/>
          <w:b/>
          <w:bCs/>
          <w:kern w:val="0"/>
          <w:sz w:val="21"/>
          <w:szCs w:val="21"/>
        </w:rPr>
        <w:t>.12保密</w:t>
      </w:r>
      <w:bookmarkEnd w:id="568"/>
    </w:p>
    <w:p w14:paraId="6A68AA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除法律规定或合同另有约定外，未经发包人同意，承包人不得将发包人提供的图纸、文件以及声明需要保密的资料信息等商业秘密泄露给第三方。</w:t>
      </w:r>
    </w:p>
    <w:p w14:paraId="1033A7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除法律规定或合同另有约定外，未经承包人同意，发包人不得将承包人提供的技术秘密及声明需要保密的资料信息等商业秘密泄露给第三方。</w:t>
      </w:r>
    </w:p>
    <w:p w14:paraId="74395DE4">
      <w:pPr>
        <w:widowControl/>
        <w:spacing w:line="360" w:lineRule="auto"/>
        <w:jc w:val="left"/>
        <w:outlineLvl w:val="4"/>
        <w:rPr>
          <w:rFonts w:ascii="宋体" w:hAnsi="宋体" w:eastAsia="宋体" w:cs="宋体"/>
          <w:b/>
          <w:bCs/>
          <w:kern w:val="0"/>
          <w:sz w:val="21"/>
          <w:szCs w:val="21"/>
        </w:rPr>
      </w:pPr>
      <w:bookmarkStart w:id="569" w:name="_Toc351203508"/>
      <w:bookmarkEnd w:id="569"/>
      <w:bookmarkStart w:id="570" w:name="_Toc532377194"/>
      <w:r>
        <w:rPr>
          <w:rFonts w:hint="eastAsia" w:ascii="宋体" w:hAnsi="宋体" w:eastAsia="宋体" w:cs="宋体"/>
          <w:b/>
          <w:bCs/>
          <w:kern w:val="0"/>
          <w:sz w:val="21"/>
          <w:szCs w:val="21"/>
        </w:rPr>
        <w:t>1.13工程量清单错误的修正</w:t>
      </w:r>
      <w:bookmarkEnd w:id="570"/>
    </w:p>
    <w:p w14:paraId="7D7292A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除专用合同条款另有约定外，发包人提供的工程量清单，应被认为是准确的和完整的。出现下列情形之一时，发包人应予以修正，并相应调整合同价格：</w:t>
      </w:r>
    </w:p>
    <w:p w14:paraId="779371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（1）工程量清单存在缺项、漏项的；</w:t>
      </w:r>
    </w:p>
    <w:p w14:paraId="1D8F50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（2）工程量清单偏差超出专用合同条款约定的工程量偏差范围的；</w:t>
      </w:r>
    </w:p>
    <w:p w14:paraId="7DDB61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（3）未按照国家现行计量规范强制性规定计量的。</w:t>
      </w:r>
    </w:p>
    <w:p w14:paraId="1F4A018F">
      <w:pPr>
        <w:keepNext/>
        <w:keepLines/>
        <w:spacing w:before="156" w:beforeLines="50" w:after="156" w:afterLines="50" w:line="360" w:lineRule="auto"/>
        <w:outlineLvl w:val="3"/>
        <w:rPr>
          <w:rFonts w:ascii="宋体" w:hAnsi="宋体" w:eastAsia="宋体" w:cs="宋体"/>
          <w:b/>
          <w:bCs/>
          <w:sz w:val="21"/>
          <w:szCs w:val="21"/>
        </w:rPr>
      </w:pPr>
      <w:bookmarkStart w:id="571" w:name="_Toc532375588"/>
      <w:bookmarkEnd w:id="571"/>
      <w:bookmarkStart w:id="572" w:name="_Toc351203509"/>
      <w:bookmarkEnd w:id="572"/>
      <w:bookmarkStart w:id="573" w:name="_Toc532377195"/>
      <w:r>
        <w:rPr>
          <w:rFonts w:hint="eastAsia" w:ascii="宋体" w:hAnsi="宋体" w:eastAsia="宋体" w:cs="宋体"/>
          <w:b/>
          <w:bCs/>
          <w:sz w:val="21"/>
          <w:szCs w:val="21"/>
        </w:rPr>
        <w:t>2</w:t>
      </w:r>
      <w:bookmarkEnd w:id="573"/>
      <w:bookmarkStart w:id="574" w:name="_Toc296346539"/>
      <w:bookmarkEnd w:id="574"/>
      <w:bookmarkStart w:id="575" w:name="_Toc296503038"/>
      <w:bookmarkEnd w:id="575"/>
      <w:bookmarkStart w:id="576" w:name="_Toc337558739"/>
      <w:bookmarkEnd w:id="576"/>
      <w:r>
        <w:rPr>
          <w:rFonts w:hint="eastAsia" w:ascii="宋体" w:hAnsi="宋体" w:eastAsia="宋体" w:cs="宋体"/>
          <w:b/>
          <w:bCs/>
          <w:sz w:val="21"/>
          <w:szCs w:val="21"/>
        </w:rPr>
        <w:t>. 发包人</w:t>
      </w:r>
    </w:p>
    <w:p w14:paraId="4151B711">
      <w:pPr>
        <w:widowControl/>
        <w:spacing w:line="360" w:lineRule="auto"/>
        <w:jc w:val="left"/>
        <w:outlineLvl w:val="4"/>
        <w:rPr>
          <w:rFonts w:ascii="宋体" w:hAnsi="宋体" w:eastAsia="宋体" w:cs="宋体"/>
          <w:b/>
          <w:bCs/>
          <w:kern w:val="0"/>
          <w:sz w:val="21"/>
          <w:szCs w:val="21"/>
        </w:rPr>
      </w:pPr>
      <w:bookmarkStart w:id="577" w:name="_Toc351203510"/>
      <w:bookmarkEnd w:id="577"/>
      <w:bookmarkStart w:id="578" w:name="_Toc532377196"/>
      <w:bookmarkEnd w:id="578"/>
      <w:r>
        <w:rPr>
          <w:rFonts w:hint="eastAsia" w:ascii="宋体" w:hAnsi="宋体" w:eastAsia="宋体" w:cs="宋体"/>
          <w:b/>
          <w:bCs/>
          <w:kern w:val="0"/>
          <w:sz w:val="21"/>
          <w:szCs w:val="21"/>
        </w:rPr>
        <w:t>2</w:t>
      </w:r>
      <w:bookmarkStart w:id="579" w:name="_Toc296346540"/>
      <w:bookmarkEnd w:id="579"/>
      <w:bookmarkStart w:id="580" w:name="_Toc337558740"/>
      <w:bookmarkEnd w:id="580"/>
      <w:bookmarkStart w:id="581" w:name="_Toc296503039"/>
      <w:r>
        <w:rPr>
          <w:rFonts w:hint="eastAsia" w:ascii="宋体" w:hAnsi="宋体" w:eastAsia="宋体" w:cs="宋体"/>
          <w:b/>
          <w:bCs/>
          <w:kern w:val="0"/>
          <w:sz w:val="21"/>
          <w:szCs w:val="21"/>
        </w:rPr>
        <w:t>.1 许可或批准</w:t>
      </w:r>
      <w:bookmarkEnd w:id="581"/>
    </w:p>
    <w:p w14:paraId="3A8FF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30E1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因发包人原因未能及时办理完毕前述许可、批准或备案，由发包人承担由此增加的费用和（或）延误的工期，并支付承包人合理的利润。</w:t>
      </w:r>
    </w:p>
    <w:p w14:paraId="3F556A1F">
      <w:pPr>
        <w:widowControl/>
        <w:spacing w:line="360" w:lineRule="auto"/>
        <w:jc w:val="left"/>
        <w:outlineLvl w:val="4"/>
        <w:rPr>
          <w:rFonts w:ascii="宋体" w:hAnsi="宋体" w:eastAsia="宋体" w:cs="宋体"/>
          <w:b/>
          <w:bCs/>
          <w:kern w:val="0"/>
          <w:sz w:val="21"/>
          <w:szCs w:val="21"/>
        </w:rPr>
      </w:pPr>
      <w:bookmarkStart w:id="582" w:name="_Toc351203511"/>
      <w:bookmarkEnd w:id="582"/>
      <w:bookmarkStart w:id="583" w:name="_Toc532377197"/>
      <w:r>
        <w:rPr>
          <w:rFonts w:hint="eastAsia" w:ascii="宋体" w:hAnsi="宋体" w:eastAsia="宋体" w:cs="宋体"/>
          <w:b/>
          <w:bCs/>
          <w:kern w:val="0"/>
          <w:sz w:val="21"/>
          <w:szCs w:val="21"/>
        </w:rPr>
        <w:t>2.2 发包人代表</w:t>
      </w:r>
      <w:bookmarkEnd w:id="583"/>
    </w:p>
    <w:p w14:paraId="71DAC1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4D0D0A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发包人代表不能按照合同约定履行其职责及义务，并导致合同无法继续正常履行的，承包人可以要求发包人撤换发包人代表。</w:t>
      </w:r>
    </w:p>
    <w:p w14:paraId="05A0AE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不属于法定必须监理的工程，监理人的职权可以由发包人代表或发包人指定的其他人员行使。</w:t>
      </w:r>
    </w:p>
    <w:p w14:paraId="01828C41">
      <w:pPr>
        <w:widowControl/>
        <w:spacing w:line="360" w:lineRule="auto"/>
        <w:jc w:val="left"/>
        <w:outlineLvl w:val="4"/>
        <w:rPr>
          <w:rFonts w:ascii="宋体" w:hAnsi="宋体" w:eastAsia="宋体" w:cs="宋体"/>
          <w:b/>
          <w:bCs/>
          <w:kern w:val="0"/>
          <w:sz w:val="21"/>
          <w:szCs w:val="21"/>
        </w:rPr>
      </w:pPr>
      <w:bookmarkStart w:id="584" w:name="_Toc532377198"/>
      <w:bookmarkEnd w:id="584"/>
      <w:bookmarkStart w:id="585" w:name="_Toc351203512"/>
      <w:r>
        <w:rPr>
          <w:rFonts w:hint="eastAsia" w:ascii="宋体" w:hAnsi="宋体" w:eastAsia="宋体" w:cs="宋体"/>
          <w:b/>
          <w:bCs/>
          <w:kern w:val="0"/>
          <w:sz w:val="21"/>
          <w:szCs w:val="21"/>
        </w:rPr>
        <w:t>2.3 发包人人员</w:t>
      </w:r>
      <w:bookmarkEnd w:id="585"/>
    </w:p>
    <w:p w14:paraId="56602A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发包人应要求在施工现场的发包人人员遵守法律及有关安全、质量、环境保护、文明施工等规定，并保障承包人免于承受因发包人人员未遵守上述要求给承包人造成的损失和责任。</w:t>
      </w:r>
    </w:p>
    <w:p w14:paraId="62503D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发包人人员包括发包人代表及其他由发包人派驻施工现场的人员。</w:t>
      </w:r>
    </w:p>
    <w:p w14:paraId="6AED3978">
      <w:pPr>
        <w:widowControl/>
        <w:spacing w:line="360" w:lineRule="auto"/>
        <w:jc w:val="left"/>
        <w:outlineLvl w:val="4"/>
        <w:rPr>
          <w:rFonts w:ascii="宋体" w:hAnsi="宋体" w:eastAsia="宋体" w:cs="宋体"/>
          <w:b/>
          <w:bCs/>
          <w:kern w:val="0"/>
          <w:sz w:val="21"/>
          <w:szCs w:val="21"/>
        </w:rPr>
      </w:pPr>
      <w:bookmarkStart w:id="586" w:name="_Toc351203513"/>
      <w:bookmarkEnd w:id="586"/>
      <w:bookmarkStart w:id="587" w:name="_Toc532377199"/>
      <w:r>
        <w:rPr>
          <w:rFonts w:hint="eastAsia" w:ascii="宋体" w:hAnsi="宋体" w:eastAsia="宋体" w:cs="宋体"/>
          <w:b/>
          <w:bCs/>
          <w:kern w:val="0"/>
          <w:sz w:val="21"/>
          <w:szCs w:val="21"/>
        </w:rPr>
        <w:t>2</w:t>
      </w:r>
      <w:bookmarkEnd w:id="587"/>
      <w:bookmarkStart w:id="588" w:name="_Toc296503040"/>
      <w:bookmarkEnd w:id="588"/>
      <w:bookmarkStart w:id="589" w:name="_Toc296346541"/>
      <w:bookmarkEnd w:id="589"/>
      <w:bookmarkStart w:id="590" w:name="_Toc337558741"/>
      <w:r>
        <w:rPr>
          <w:rFonts w:hint="eastAsia" w:ascii="宋体" w:hAnsi="宋体" w:eastAsia="宋体" w:cs="宋体"/>
          <w:b/>
          <w:bCs/>
          <w:kern w:val="0"/>
          <w:sz w:val="21"/>
          <w:szCs w:val="21"/>
        </w:rPr>
        <w:t>.4 施工现场、施工条件和基础资料的提供</w:t>
      </w:r>
      <w:bookmarkEnd w:id="590"/>
    </w:p>
    <w:p w14:paraId="3B2B10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2.4.1 提供施工现场</w:t>
      </w:r>
    </w:p>
    <w:p w14:paraId="126654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除专用合同条款另有约定外，发包人应最迟于开工日期7天前向承包人移交施工现场。</w:t>
      </w:r>
    </w:p>
    <w:p w14:paraId="7F3AEC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2.4.2 提供施工条件</w:t>
      </w:r>
    </w:p>
    <w:p w14:paraId="3FACDE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除专用合同条款另有约定外，发包人应负责提供施工所需要的条件，包括：</w:t>
      </w:r>
    </w:p>
    <w:p w14:paraId="5FFEBF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（1）将施工用水、电力、通讯线路等施工所必需的条件接至施工现场内；</w:t>
      </w:r>
    </w:p>
    <w:p w14:paraId="663AE7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（2）保证向承包人提供正常施工所需要的进入施工现场的交通条件；</w:t>
      </w:r>
    </w:p>
    <w:p w14:paraId="5D62AF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（3）协调处理施工现场周围地下管线和邻近建筑物、构筑物、古树名木的保护工作，并承担相关费用；</w:t>
      </w:r>
    </w:p>
    <w:p w14:paraId="2A1A2E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（4）按照专用合同条款约定应提供的其他设施和条件。</w:t>
      </w:r>
    </w:p>
    <w:p w14:paraId="30CF5E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2.4.3 提供基础资料</w:t>
      </w:r>
    </w:p>
    <w:p w14:paraId="4C4F1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D44B8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按照法律规定确需在开工后方能提供的基础资料，发包人应尽其努力及时地在相应工程施工前的合理期限内提供，合理期限应以不影响承包人的正常施工为限。</w:t>
      </w:r>
    </w:p>
    <w:p w14:paraId="698DEB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2.4.4 逾期提供的责任</w:t>
      </w:r>
    </w:p>
    <w:p w14:paraId="1C8F248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因发包人原因未能按合同约定及时向承包人提供施工现场、施工条件、基础资料的，由发包人承担由此增加的费用和（或）延误的工期。</w:t>
      </w:r>
    </w:p>
    <w:p w14:paraId="273DF2A9">
      <w:pPr>
        <w:widowControl/>
        <w:spacing w:line="360" w:lineRule="auto"/>
        <w:jc w:val="left"/>
        <w:outlineLvl w:val="4"/>
        <w:rPr>
          <w:rFonts w:ascii="宋体" w:hAnsi="宋体" w:eastAsia="宋体" w:cs="宋体"/>
          <w:b/>
          <w:bCs/>
          <w:kern w:val="0"/>
          <w:sz w:val="21"/>
          <w:szCs w:val="21"/>
        </w:rPr>
      </w:pPr>
      <w:bookmarkStart w:id="591" w:name="_Toc351203514"/>
      <w:bookmarkEnd w:id="591"/>
      <w:bookmarkStart w:id="592" w:name="_Toc532377200"/>
      <w:r>
        <w:rPr>
          <w:rFonts w:hint="eastAsia" w:ascii="宋体" w:hAnsi="宋体" w:eastAsia="宋体" w:cs="宋体"/>
          <w:b/>
          <w:bCs/>
          <w:kern w:val="0"/>
          <w:sz w:val="21"/>
          <w:szCs w:val="21"/>
        </w:rPr>
        <w:t>2</w:t>
      </w:r>
      <w:bookmarkEnd w:id="592"/>
      <w:bookmarkStart w:id="593" w:name="_Toc296503042"/>
      <w:bookmarkEnd w:id="593"/>
      <w:bookmarkStart w:id="594" w:name="_Toc296346543"/>
      <w:bookmarkEnd w:id="594"/>
      <w:bookmarkStart w:id="595" w:name="_Toc337558745"/>
      <w:r>
        <w:rPr>
          <w:rFonts w:hint="eastAsia" w:ascii="宋体" w:hAnsi="宋体" w:eastAsia="宋体" w:cs="宋体"/>
          <w:b/>
          <w:bCs/>
          <w:kern w:val="0"/>
          <w:sz w:val="21"/>
          <w:szCs w:val="21"/>
        </w:rPr>
        <w:t>.5 资</w:t>
      </w:r>
      <w:bookmarkEnd w:id="595"/>
      <w:r>
        <w:rPr>
          <w:rFonts w:hint="eastAsia" w:ascii="宋体" w:hAnsi="宋体" w:eastAsia="宋体" w:cs="宋体"/>
          <w:b/>
          <w:bCs/>
          <w:kern w:val="0"/>
          <w:sz w:val="21"/>
          <w:szCs w:val="21"/>
        </w:rPr>
        <w:t>金来源证明及支付担保</w:t>
      </w:r>
    </w:p>
    <w:p w14:paraId="3897FD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除专用合同条款另有约定外，发包人应在收到承包人要求提供资金来源证明的书面通知后28天内，向承包人提供能够按照合同约定支付合同价款的相应资金来源证明。</w:t>
      </w:r>
    </w:p>
    <w:p w14:paraId="5FDE99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09DFA4A6">
      <w:pPr>
        <w:widowControl/>
        <w:spacing w:line="360" w:lineRule="auto"/>
        <w:jc w:val="left"/>
        <w:outlineLvl w:val="4"/>
        <w:rPr>
          <w:rFonts w:ascii="宋体" w:hAnsi="宋体" w:eastAsia="宋体" w:cs="宋体"/>
          <w:b/>
          <w:bCs/>
          <w:kern w:val="0"/>
          <w:sz w:val="21"/>
          <w:szCs w:val="21"/>
        </w:rPr>
      </w:pPr>
      <w:bookmarkStart w:id="596" w:name="_Toc532377201"/>
      <w:bookmarkEnd w:id="596"/>
      <w:bookmarkStart w:id="597" w:name="_Toc351203515"/>
      <w:r>
        <w:rPr>
          <w:rFonts w:hint="eastAsia" w:ascii="宋体" w:hAnsi="宋体" w:eastAsia="宋体" w:cs="宋体"/>
          <w:b/>
          <w:bCs/>
          <w:kern w:val="0"/>
          <w:sz w:val="21"/>
          <w:szCs w:val="21"/>
        </w:rPr>
        <w:t>2.6 支付合同价款</w:t>
      </w:r>
      <w:bookmarkEnd w:id="597"/>
    </w:p>
    <w:p w14:paraId="58565F6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发包人应按合同约定向承包人及时支付合同价款。</w:t>
      </w:r>
    </w:p>
    <w:p w14:paraId="423C01C8">
      <w:pPr>
        <w:widowControl/>
        <w:spacing w:line="360" w:lineRule="auto"/>
        <w:jc w:val="left"/>
        <w:outlineLvl w:val="4"/>
        <w:rPr>
          <w:rFonts w:ascii="宋体" w:hAnsi="宋体" w:eastAsia="宋体" w:cs="宋体"/>
          <w:b/>
          <w:bCs/>
          <w:kern w:val="0"/>
          <w:sz w:val="21"/>
          <w:szCs w:val="21"/>
        </w:rPr>
      </w:pPr>
      <w:bookmarkStart w:id="598" w:name="_Toc532377202"/>
      <w:bookmarkEnd w:id="598"/>
      <w:bookmarkStart w:id="599" w:name="_Toc351203516"/>
      <w:r>
        <w:rPr>
          <w:rFonts w:hint="eastAsia" w:ascii="宋体" w:hAnsi="宋体" w:eastAsia="宋体" w:cs="宋体"/>
          <w:b/>
          <w:bCs/>
          <w:kern w:val="0"/>
          <w:sz w:val="21"/>
          <w:szCs w:val="21"/>
        </w:rPr>
        <w:t>2.7 组织竣工验收</w:t>
      </w:r>
      <w:bookmarkEnd w:id="599"/>
    </w:p>
    <w:p w14:paraId="53C1D8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发包人应按合同约定及时组织竣工验收。</w:t>
      </w:r>
    </w:p>
    <w:p w14:paraId="6C483346">
      <w:pPr>
        <w:widowControl/>
        <w:spacing w:line="360" w:lineRule="auto"/>
        <w:jc w:val="left"/>
        <w:outlineLvl w:val="4"/>
        <w:rPr>
          <w:rFonts w:ascii="宋体" w:hAnsi="宋体" w:eastAsia="宋体" w:cs="宋体"/>
          <w:b/>
          <w:bCs/>
          <w:kern w:val="0"/>
          <w:sz w:val="21"/>
          <w:szCs w:val="21"/>
        </w:rPr>
      </w:pPr>
      <w:bookmarkStart w:id="600" w:name="_Toc532377203"/>
      <w:bookmarkEnd w:id="600"/>
      <w:bookmarkStart w:id="601" w:name="_Toc351203517"/>
      <w:r>
        <w:rPr>
          <w:rFonts w:hint="eastAsia" w:ascii="宋体" w:hAnsi="宋体" w:eastAsia="宋体" w:cs="宋体"/>
          <w:b/>
          <w:bCs/>
          <w:kern w:val="0"/>
          <w:sz w:val="21"/>
          <w:szCs w:val="21"/>
        </w:rPr>
        <w:t>2.8 现场统一管理协议</w:t>
      </w:r>
      <w:bookmarkEnd w:id="601"/>
    </w:p>
    <w:p w14:paraId="72E2F3A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发包人应与承包人、由发包人直接发包的专业工程的承包人签订施工现场统一管理协议，明确各方的权利义务。施工现场统一管理协议作为专用合同条款的附件。</w:t>
      </w:r>
    </w:p>
    <w:p w14:paraId="0911695A">
      <w:pPr>
        <w:keepNext/>
        <w:keepLines/>
        <w:spacing w:before="156" w:beforeLines="50" w:after="156" w:afterLines="50" w:line="360" w:lineRule="auto"/>
        <w:outlineLvl w:val="3"/>
        <w:rPr>
          <w:rFonts w:ascii="宋体" w:hAnsi="宋体" w:eastAsia="宋体" w:cs="宋体"/>
          <w:b/>
          <w:sz w:val="21"/>
          <w:szCs w:val="21"/>
        </w:rPr>
      </w:pPr>
      <w:bookmarkStart w:id="602" w:name="_Toc532375589"/>
      <w:bookmarkEnd w:id="602"/>
      <w:bookmarkStart w:id="603" w:name="_Toc351203518"/>
      <w:bookmarkEnd w:id="603"/>
      <w:bookmarkStart w:id="604" w:name="_Toc532377204"/>
      <w:r>
        <w:rPr>
          <w:rFonts w:hint="eastAsia" w:ascii="宋体" w:hAnsi="宋体" w:eastAsia="宋体" w:cs="宋体"/>
          <w:b/>
          <w:bCs/>
          <w:sz w:val="21"/>
          <w:szCs w:val="21"/>
        </w:rPr>
        <w:t>3</w:t>
      </w:r>
      <w:bookmarkEnd w:id="604"/>
      <w:bookmarkStart w:id="605" w:name="_Toc337558746"/>
      <w:bookmarkEnd w:id="605"/>
      <w:bookmarkStart w:id="606" w:name="_Toc296346546"/>
      <w:bookmarkEnd w:id="606"/>
      <w:bookmarkStart w:id="607" w:name="_Toc296503045"/>
      <w:r>
        <w:rPr>
          <w:rFonts w:hint="eastAsia" w:ascii="宋体" w:hAnsi="宋体" w:eastAsia="宋体" w:cs="宋体"/>
          <w:b/>
          <w:bCs/>
          <w:sz w:val="21"/>
          <w:szCs w:val="21"/>
        </w:rPr>
        <w:t>. 承包人</w:t>
      </w:r>
      <w:bookmarkEnd w:id="607"/>
    </w:p>
    <w:p w14:paraId="5A2DF00C">
      <w:pPr>
        <w:widowControl/>
        <w:spacing w:line="360" w:lineRule="auto"/>
        <w:jc w:val="left"/>
        <w:outlineLvl w:val="4"/>
        <w:rPr>
          <w:rFonts w:ascii="宋体" w:hAnsi="宋体" w:eastAsia="宋体" w:cs="宋体"/>
          <w:b/>
          <w:bCs/>
          <w:kern w:val="0"/>
          <w:sz w:val="21"/>
          <w:szCs w:val="21"/>
        </w:rPr>
      </w:pPr>
      <w:bookmarkStart w:id="608" w:name="_Toc351203519"/>
      <w:bookmarkEnd w:id="608"/>
      <w:bookmarkStart w:id="609" w:name="_Toc532377205"/>
      <w:bookmarkEnd w:id="609"/>
      <w:r>
        <w:rPr>
          <w:rFonts w:hint="eastAsia" w:ascii="宋体" w:hAnsi="宋体" w:eastAsia="宋体" w:cs="宋体"/>
          <w:b/>
          <w:bCs/>
          <w:kern w:val="0"/>
          <w:sz w:val="21"/>
          <w:szCs w:val="21"/>
        </w:rPr>
        <w:t>3</w:t>
      </w:r>
      <w:bookmarkStart w:id="610" w:name="_Toc296503046"/>
      <w:bookmarkEnd w:id="610"/>
      <w:bookmarkStart w:id="611" w:name="_Toc337558747"/>
      <w:bookmarkEnd w:id="611"/>
      <w:bookmarkStart w:id="612" w:name="_Toc296346547"/>
      <w:r>
        <w:rPr>
          <w:rFonts w:hint="eastAsia" w:ascii="宋体" w:hAnsi="宋体" w:eastAsia="宋体" w:cs="宋体"/>
          <w:b/>
          <w:bCs/>
          <w:kern w:val="0"/>
          <w:sz w:val="21"/>
          <w:szCs w:val="21"/>
        </w:rPr>
        <w:t>.1 承包人的一般义务</w:t>
      </w:r>
      <w:bookmarkEnd w:id="612"/>
    </w:p>
    <w:p w14:paraId="48BB219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承包人在履行合同过程中应遵守法律和工程建设标准规范，并履行以下义务：</w:t>
      </w:r>
    </w:p>
    <w:p w14:paraId="449908F9">
      <w:pPr>
        <w:numPr>
          <w:ilvl w:val="0"/>
          <w:numId w:val="16"/>
        </w:numPr>
        <w:autoSpaceDE w:val="0"/>
        <w:autoSpaceDN w:val="0"/>
        <w:spacing w:line="360" w:lineRule="auto"/>
        <w:ind w:firstLine="420"/>
        <w:jc w:val="left"/>
        <w:rPr>
          <w:rFonts w:ascii="宋体" w:hAnsi="宋体" w:eastAsia="宋体" w:cs="Times New Roman"/>
          <w:kern w:val="0"/>
          <w:sz w:val="21"/>
          <w:szCs w:val="21"/>
        </w:rPr>
      </w:pPr>
      <w:r>
        <w:rPr>
          <w:rFonts w:hint="eastAsia" w:ascii="宋体" w:hAnsi="宋体" w:eastAsia="宋体" w:cs="Times New Roman"/>
          <w:kern w:val="0"/>
          <w:sz w:val="21"/>
          <w:szCs w:val="21"/>
        </w:rPr>
        <w:t>办理法律规定应由承包人办理的许可和批准，并将办理结果书面报送发包人留存；</w:t>
      </w:r>
    </w:p>
    <w:p w14:paraId="7E56776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（2）按法律规定和合同约定完成工程，并在保修期内承担保修义务；</w:t>
      </w:r>
    </w:p>
    <w:p w14:paraId="03DD90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（3）按法律规定和合同约定采取施工安全和环境保护措施，办理工伤保险，确保工程及人员、材料、设备和设施的安全；</w:t>
      </w:r>
    </w:p>
    <w:p w14:paraId="39C2B1B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（4）按合同约定的工作内容和施工进度要求，编制施工组织设计和施工措施计划，并对所有施工作业和施工方法的完备性和安全可靠性负责；</w:t>
      </w:r>
    </w:p>
    <w:p w14:paraId="36C4A4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09D9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（6）按照第6.3款〔环境保护〕约定负责施工场地及其周边环境与生态的保护工作；</w:t>
      </w:r>
    </w:p>
    <w:p w14:paraId="317FC9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（7）按第6.1款〔安全文明施工〕约定采取施工安全措施，确保工程及其人员、材料、设备和设施的安全，防止因工程施工造成的人身伤害和财产损失；</w:t>
      </w:r>
    </w:p>
    <w:p w14:paraId="3DBCBE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（8）将发包人按合同约定支付的各项价款专用于合同工程，且应及时支付其雇用人员工资，并及时向分包人支付合同价款；</w:t>
      </w:r>
    </w:p>
    <w:p w14:paraId="75CC16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（9）按照法律规定和合同约定编制竣工资料，完成竣工资料立卷及归档，并按专用合同条款约定的竣工资料的套数、内容、时间等要求移交发包人；</w:t>
      </w:r>
    </w:p>
    <w:p w14:paraId="561058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（10）应履行的其他义务。</w:t>
      </w:r>
    </w:p>
    <w:p w14:paraId="22676C3B">
      <w:pPr>
        <w:widowControl/>
        <w:spacing w:line="360" w:lineRule="auto"/>
        <w:jc w:val="left"/>
        <w:outlineLvl w:val="4"/>
        <w:rPr>
          <w:rFonts w:ascii="宋体" w:hAnsi="宋体" w:eastAsia="宋体" w:cs="宋体"/>
          <w:b/>
          <w:bCs/>
          <w:kern w:val="0"/>
          <w:sz w:val="21"/>
          <w:szCs w:val="21"/>
        </w:rPr>
      </w:pPr>
      <w:bookmarkStart w:id="613" w:name="_Toc351203520"/>
      <w:bookmarkEnd w:id="613"/>
      <w:bookmarkStart w:id="614" w:name="_Toc532377206"/>
      <w:r>
        <w:rPr>
          <w:rFonts w:hint="eastAsia" w:ascii="宋体" w:hAnsi="宋体" w:eastAsia="宋体" w:cs="宋体"/>
          <w:b/>
          <w:bCs/>
          <w:kern w:val="0"/>
          <w:sz w:val="21"/>
          <w:szCs w:val="21"/>
        </w:rPr>
        <w:t>3</w:t>
      </w:r>
      <w:bookmarkEnd w:id="614"/>
      <w:bookmarkStart w:id="615" w:name="_Toc296346548"/>
      <w:bookmarkEnd w:id="615"/>
      <w:bookmarkStart w:id="616" w:name="_Toc337558748"/>
      <w:bookmarkEnd w:id="616"/>
      <w:bookmarkStart w:id="617" w:name="_Toc296503047"/>
      <w:r>
        <w:rPr>
          <w:rFonts w:hint="eastAsia" w:ascii="宋体" w:hAnsi="宋体" w:eastAsia="宋体" w:cs="宋体"/>
          <w:b/>
          <w:bCs/>
          <w:kern w:val="0"/>
          <w:sz w:val="21"/>
          <w:szCs w:val="21"/>
        </w:rPr>
        <w:t xml:space="preserve">.2 </w:t>
      </w:r>
      <w:bookmarkEnd w:id="617"/>
      <w:r>
        <w:rPr>
          <w:rFonts w:hint="eastAsia" w:ascii="宋体" w:hAnsi="宋体" w:eastAsia="宋体" w:cs="宋体"/>
          <w:b/>
          <w:bCs/>
          <w:kern w:val="0"/>
          <w:sz w:val="21"/>
          <w:szCs w:val="21"/>
        </w:rPr>
        <w:t>项目经理</w:t>
      </w:r>
    </w:p>
    <w:p w14:paraId="109C8C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948061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2D736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承包人违反上述约定的，应按照专用合同条款的约定，承担违约责任。</w:t>
      </w:r>
    </w:p>
    <w:p w14:paraId="7F8A49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58493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CF641D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67A1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722FC43D">
      <w:pPr>
        <w:widowControl/>
        <w:spacing w:line="360" w:lineRule="auto"/>
        <w:jc w:val="left"/>
        <w:outlineLvl w:val="4"/>
        <w:rPr>
          <w:rFonts w:ascii="宋体" w:hAnsi="宋体" w:eastAsia="宋体" w:cs="宋体"/>
          <w:b/>
          <w:bCs/>
          <w:kern w:val="0"/>
          <w:sz w:val="21"/>
          <w:szCs w:val="21"/>
        </w:rPr>
      </w:pPr>
      <w:bookmarkStart w:id="618" w:name="_Toc532377207"/>
      <w:bookmarkEnd w:id="618"/>
      <w:bookmarkStart w:id="619" w:name="_Toc351203521"/>
      <w:r>
        <w:rPr>
          <w:rFonts w:hint="eastAsia" w:ascii="宋体" w:hAnsi="宋体" w:eastAsia="宋体" w:cs="宋体"/>
          <w:b/>
          <w:bCs/>
          <w:kern w:val="0"/>
          <w:sz w:val="21"/>
          <w:szCs w:val="21"/>
        </w:rPr>
        <w:t>3</w:t>
      </w:r>
      <w:bookmarkEnd w:id="619"/>
      <w:bookmarkStart w:id="620" w:name="_Toc296346549"/>
      <w:bookmarkEnd w:id="620"/>
      <w:bookmarkStart w:id="621" w:name="_Toc296503048"/>
      <w:bookmarkEnd w:id="621"/>
      <w:bookmarkStart w:id="622" w:name="_Toc337558749"/>
      <w:r>
        <w:rPr>
          <w:rFonts w:hint="eastAsia" w:ascii="宋体" w:hAnsi="宋体" w:eastAsia="宋体" w:cs="宋体"/>
          <w:b/>
          <w:bCs/>
          <w:kern w:val="0"/>
          <w:sz w:val="21"/>
          <w:szCs w:val="21"/>
        </w:rPr>
        <w:t xml:space="preserve">.3 </w:t>
      </w:r>
      <w:bookmarkEnd w:id="622"/>
      <w:r>
        <w:rPr>
          <w:rFonts w:hint="eastAsia" w:ascii="宋体" w:hAnsi="宋体" w:eastAsia="宋体" w:cs="宋体"/>
          <w:b/>
          <w:bCs/>
          <w:kern w:val="0"/>
          <w:sz w:val="21"/>
          <w:szCs w:val="21"/>
        </w:rPr>
        <w:t>承包人人员</w:t>
      </w:r>
    </w:p>
    <w:p w14:paraId="0F37E7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B0807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5278D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特殊工种作业人员均应持有相应的资格证明，监理人可以随时检查。</w:t>
      </w:r>
    </w:p>
    <w:p w14:paraId="4C3A4F3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D1B589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60A7A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3.3.5 承包人擅自更换主要施工管理人员，或前述人员未经监理人或发包人同意擅自离开施工现场的，应按照专用合同条款约定承担违约责任。</w:t>
      </w:r>
    </w:p>
    <w:p w14:paraId="42825184">
      <w:pPr>
        <w:widowControl/>
        <w:spacing w:line="360" w:lineRule="auto"/>
        <w:jc w:val="left"/>
        <w:outlineLvl w:val="4"/>
        <w:rPr>
          <w:rFonts w:ascii="宋体" w:hAnsi="宋体" w:eastAsia="宋体" w:cs="宋体"/>
          <w:b/>
          <w:bCs/>
          <w:kern w:val="0"/>
          <w:sz w:val="21"/>
          <w:szCs w:val="21"/>
        </w:rPr>
      </w:pPr>
      <w:bookmarkStart w:id="623" w:name="_Toc532377208"/>
      <w:bookmarkEnd w:id="623"/>
      <w:bookmarkStart w:id="624" w:name="_Toc351203522"/>
      <w:r>
        <w:rPr>
          <w:rFonts w:hint="eastAsia" w:ascii="宋体" w:hAnsi="宋体" w:eastAsia="宋体" w:cs="宋体"/>
          <w:b/>
          <w:bCs/>
          <w:kern w:val="0"/>
          <w:sz w:val="21"/>
          <w:szCs w:val="21"/>
        </w:rPr>
        <w:t>3</w:t>
      </w:r>
      <w:bookmarkEnd w:id="624"/>
      <w:bookmarkStart w:id="625" w:name="_Toc296346551"/>
      <w:bookmarkEnd w:id="625"/>
      <w:bookmarkStart w:id="626" w:name="_Toc337558750"/>
      <w:bookmarkEnd w:id="626"/>
      <w:bookmarkStart w:id="627" w:name="_Toc296503050"/>
      <w:r>
        <w:rPr>
          <w:rFonts w:hint="eastAsia" w:ascii="宋体" w:hAnsi="宋体" w:eastAsia="宋体" w:cs="宋体"/>
          <w:b/>
          <w:bCs/>
          <w:kern w:val="0"/>
          <w:sz w:val="21"/>
          <w:szCs w:val="21"/>
        </w:rPr>
        <w:t>.4 承包人现场查勘</w:t>
      </w:r>
      <w:bookmarkEnd w:id="627"/>
    </w:p>
    <w:p w14:paraId="044540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承包人应对基于发包人按照第2.4.3项〔提供基础资料〕提交的基础资料所做出的解释和推断负责，但因基础资料存在错误、遗漏导致承包人解释或推断失实的，由发包人承担责任。</w:t>
      </w:r>
    </w:p>
    <w:p w14:paraId="54C107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4ECE741">
      <w:pPr>
        <w:widowControl/>
        <w:spacing w:line="360" w:lineRule="auto"/>
        <w:jc w:val="left"/>
        <w:outlineLvl w:val="4"/>
        <w:rPr>
          <w:rFonts w:ascii="宋体" w:hAnsi="宋体" w:eastAsia="宋体" w:cs="宋体"/>
          <w:b/>
          <w:bCs/>
          <w:kern w:val="0"/>
          <w:sz w:val="21"/>
          <w:szCs w:val="21"/>
        </w:rPr>
      </w:pPr>
      <w:bookmarkStart w:id="628" w:name="_Toc532377209"/>
      <w:bookmarkEnd w:id="628"/>
      <w:bookmarkStart w:id="629" w:name="_Toc351203523"/>
      <w:r>
        <w:rPr>
          <w:rFonts w:hint="eastAsia" w:ascii="宋体" w:hAnsi="宋体" w:eastAsia="宋体" w:cs="宋体"/>
          <w:b/>
          <w:bCs/>
          <w:kern w:val="0"/>
          <w:sz w:val="21"/>
          <w:szCs w:val="21"/>
        </w:rPr>
        <w:t>3</w:t>
      </w:r>
      <w:bookmarkEnd w:id="629"/>
      <w:bookmarkStart w:id="630" w:name="_Toc337558751"/>
      <w:bookmarkEnd w:id="630"/>
      <w:bookmarkStart w:id="631" w:name="_Toc296503051"/>
      <w:bookmarkEnd w:id="631"/>
      <w:bookmarkStart w:id="632" w:name="_Toc296346552"/>
      <w:r>
        <w:rPr>
          <w:rFonts w:hint="eastAsia" w:ascii="宋体" w:hAnsi="宋体" w:eastAsia="宋体" w:cs="宋体"/>
          <w:b/>
          <w:bCs/>
          <w:kern w:val="0"/>
          <w:sz w:val="21"/>
          <w:szCs w:val="21"/>
        </w:rPr>
        <w:t>.5 分包</w:t>
      </w:r>
      <w:bookmarkEnd w:id="632"/>
    </w:p>
    <w:p w14:paraId="66D1A59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3.5.1 分包的一般约定</w:t>
      </w:r>
    </w:p>
    <w:p w14:paraId="768083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9311CA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承包人不得以劳务分包的名义转包或违法分包工程。</w:t>
      </w:r>
    </w:p>
    <w:p w14:paraId="283CD4A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3.5.2 分包的确定</w:t>
      </w:r>
    </w:p>
    <w:p w14:paraId="045F1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7E059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3.5.3 分包管理</w:t>
      </w:r>
    </w:p>
    <w:p w14:paraId="614ED0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承包人应向监理人提交分包人的主要施工管理人员表，并对分包人的施工人员进行实名制管理，包括但不限于进出场管理、登记造册以及各种证照的办理。</w:t>
      </w:r>
    </w:p>
    <w:p w14:paraId="74C0D1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3.5.4 分包合同价款</w:t>
      </w:r>
    </w:p>
    <w:p w14:paraId="00D3A3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（1）除本项第（2）目约定的情况或专用合同条款另有约定外，分包合同价款由承包人与分包人结算，未经承包人同意，发包人不得向分包人支付分包工程价款；</w:t>
      </w:r>
    </w:p>
    <w:p w14:paraId="06828E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（2）生效法律文书要求发包人向分包人支付分包合同价款的，发包人有权从应付承包人工程款中扣除该部分款项。</w:t>
      </w:r>
    </w:p>
    <w:p w14:paraId="58E8285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3.5.5 分包合同权益的转让</w:t>
      </w:r>
    </w:p>
    <w:p w14:paraId="37DAE71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633" w:name="_Toc351203524"/>
      <w:bookmarkEnd w:id="633"/>
    </w:p>
    <w:p w14:paraId="52F65A34">
      <w:pPr>
        <w:widowControl/>
        <w:spacing w:line="360" w:lineRule="auto"/>
        <w:jc w:val="left"/>
        <w:outlineLvl w:val="4"/>
        <w:rPr>
          <w:rFonts w:ascii="宋体" w:hAnsi="宋体" w:eastAsia="宋体" w:cs="宋体"/>
          <w:b/>
          <w:bCs/>
          <w:kern w:val="0"/>
          <w:sz w:val="21"/>
          <w:szCs w:val="21"/>
        </w:rPr>
      </w:pPr>
      <w:bookmarkStart w:id="634" w:name="_Toc532377210"/>
      <w:bookmarkEnd w:id="634"/>
      <w:r>
        <w:rPr>
          <w:rFonts w:hint="eastAsia" w:ascii="宋体" w:hAnsi="宋体" w:eastAsia="宋体" w:cs="宋体"/>
          <w:b/>
          <w:bCs/>
          <w:kern w:val="0"/>
          <w:sz w:val="21"/>
          <w:szCs w:val="21"/>
        </w:rPr>
        <w:t>3.6 工程照管与成品、半成品保护</w:t>
      </w:r>
    </w:p>
    <w:p w14:paraId="743CB1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（1）除专用合同条款另有约定外，自发包人向承包人移交施工现场之日起，承包人应负责照管工程及工程相关的材料、工程设备，直到颁发工程接收证书之日止。</w:t>
      </w:r>
    </w:p>
    <w:p w14:paraId="027AAB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（2）在承包人负责照管期间，因承包人原因造成工程、材料、工程设备损坏的，由承包人负责修复或更换，并承担由此增加的费用和（或）延误的工期。</w:t>
      </w:r>
    </w:p>
    <w:p w14:paraId="39F073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6846210A">
      <w:pPr>
        <w:widowControl/>
        <w:spacing w:line="360" w:lineRule="auto"/>
        <w:jc w:val="left"/>
        <w:outlineLvl w:val="4"/>
        <w:rPr>
          <w:rFonts w:ascii="宋体" w:hAnsi="宋体" w:eastAsia="宋体" w:cs="宋体"/>
          <w:b/>
          <w:bCs/>
          <w:kern w:val="0"/>
          <w:sz w:val="21"/>
          <w:szCs w:val="21"/>
        </w:rPr>
      </w:pPr>
      <w:bookmarkStart w:id="635" w:name="_Toc532377211"/>
      <w:bookmarkEnd w:id="635"/>
      <w:bookmarkStart w:id="636" w:name="_Toc351203525"/>
      <w:r>
        <w:rPr>
          <w:rFonts w:hint="eastAsia" w:ascii="宋体" w:hAnsi="宋体" w:eastAsia="宋体" w:cs="宋体"/>
          <w:b/>
          <w:bCs/>
          <w:kern w:val="0"/>
          <w:sz w:val="21"/>
          <w:szCs w:val="21"/>
        </w:rPr>
        <w:t>3</w:t>
      </w:r>
      <w:bookmarkEnd w:id="636"/>
      <w:bookmarkStart w:id="637" w:name="_Toc296346553"/>
      <w:bookmarkEnd w:id="637"/>
      <w:bookmarkStart w:id="638" w:name="_Toc296503052"/>
      <w:bookmarkEnd w:id="638"/>
      <w:bookmarkStart w:id="639" w:name="_Toc337558752"/>
      <w:r>
        <w:rPr>
          <w:rFonts w:hint="eastAsia" w:ascii="宋体" w:hAnsi="宋体" w:eastAsia="宋体" w:cs="宋体"/>
          <w:b/>
          <w:bCs/>
          <w:kern w:val="0"/>
          <w:sz w:val="21"/>
          <w:szCs w:val="21"/>
        </w:rPr>
        <w:t>.7 履约担保</w:t>
      </w:r>
      <w:bookmarkEnd w:id="639"/>
    </w:p>
    <w:p w14:paraId="04132F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8690A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因承包人原因导致工期延长的，继续提供履约担保所增加的费用由承包人承担；非因承包人原因导致工期延长的，继续提供履约担保所增加的费用由发包人承担。</w:t>
      </w:r>
    </w:p>
    <w:p w14:paraId="39F53458">
      <w:pPr>
        <w:widowControl/>
        <w:spacing w:line="360" w:lineRule="auto"/>
        <w:jc w:val="left"/>
        <w:outlineLvl w:val="4"/>
        <w:rPr>
          <w:rFonts w:ascii="宋体" w:hAnsi="宋体" w:eastAsia="宋体" w:cs="宋体"/>
          <w:b/>
          <w:bCs/>
          <w:kern w:val="0"/>
          <w:sz w:val="21"/>
          <w:szCs w:val="21"/>
        </w:rPr>
      </w:pPr>
      <w:bookmarkStart w:id="640" w:name="_Toc351203526"/>
      <w:bookmarkEnd w:id="640"/>
      <w:bookmarkStart w:id="641" w:name="_Toc532377212"/>
      <w:r>
        <w:rPr>
          <w:rFonts w:hint="eastAsia" w:ascii="宋体" w:hAnsi="宋体" w:eastAsia="宋体" w:cs="宋体"/>
          <w:b/>
          <w:bCs/>
          <w:kern w:val="0"/>
          <w:sz w:val="21"/>
          <w:szCs w:val="21"/>
        </w:rPr>
        <w:t>3.8 联合体</w:t>
      </w:r>
      <w:bookmarkEnd w:id="641"/>
    </w:p>
    <w:p w14:paraId="53DC81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3.8.1 联合体各方应共同与发包人签订合同协议书。联合体各方应为履行合同向发包人承担连带责任。</w:t>
      </w:r>
    </w:p>
    <w:p w14:paraId="23B5E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3.8.2 </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经发包人确认后作为合同附件。在履行合同过程中，未经发包人同意，不得修改</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w:t>
      </w:r>
    </w:p>
    <w:p w14:paraId="794A867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3.8.3 联合体牵头人负责与发包人和监理人联系，并接受指示，负责组织联合体各成员全面履行合同。</w:t>
      </w:r>
    </w:p>
    <w:p w14:paraId="7783317E">
      <w:pPr>
        <w:keepNext/>
        <w:keepLines/>
        <w:spacing w:before="156" w:beforeLines="50" w:after="156" w:afterLines="50" w:line="360" w:lineRule="auto"/>
        <w:outlineLvl w:val="3"/>
        <w:rPr>
          <w:rFonts w:ascii="宋体" w:hAnsi="宋体" w:eastAsia="宋体" w:cs="宋体"/>
          <w:b/>
          <w:sz w:val="21"/>
          <w:szCs w:val="21"/>
        </w:rPr>
      </w:pPr>
      <w:bookmarkStart w:id="642" w:name="_Toc532375590"/>
      <w:bookmarkEnd w:id="642"/>
      <w:bookmarkStart w:id="643" w:name="_Toc351203527"/>
      <w:bookmarkEnd w:id="643"/>
      <w:bookmarkStart w:id="644" w:name="_Toc532377213"/>
      <w:r>
        <w:rPr>
          <w:rFonts w:hint="eastAsia" w:ascii="宋体" w:hAnsi="宋体" w:eastAsia="宋体" w:cs="宋体"/>
          <w:b/>
          <w:bCs/>
          <w:sz w:val="21"/>
          <w:szCs w:val="21"/>
        </w:rPr>
        <w:t>4</w:t>
      </w:r>
      <w:bookmarkEnd w:id="644"/>
      <w:bookmarkStart w:id="645" w:name="_Toc296346554"/>
      <w:bookmarkEnd w:id="645"/>
      <w:bookmarkStart w:id="646" w:name="_Toc296503053"/>
      <w:bookmarkEnd w:id="646"/>
      <w:bookmarkStart w:id="647" w:name="_Toc337558753"/>
      <w:r>
        <w:rPr>
          <w:rFonts w:hint="eastAsia" w:ascii="宋体" w:hAnsi="宋体" w:eastAsia="宋体" w:cs="宋体"/>
          <w:b/>
          <w:bCs/>
          <w:sz w:val="21"/>
          <w:szCs w:val="21"/>
        </w:rPr>
        <w:t>. 监</w:t>
      </w:r>
      <w:bookmarkEnd w:id="647"/>
      <w:r>
        <w:rPr>
          <w:rFonts w:hint="eastAsia" w:ascii="宋体" w:hAnsi="宋体" w:eastAsia="宋体" w:cs="宋体"/>
          <w:b/>
          <w:bCs/>
          <w:sz w:val="21"/>
          <w:szCs w:val="21"/>
        </w:rPr>
        <w:t>理人</w:t>
      </w:r>
    </w:p>
    <w:p w14:paraId="53B97A0A">
      <w:pPr>
        <w:widowControl/>
        <w:spacing w:line="360" w:lineRule="auto"/>
        <w:jc w:val="left"/>
        <w:outlineLvl w:val="4"/>
        <w:rPr>
          <w:rFonts w:ascii="宋体" w:hAnsi="宋体" w:eastAsia="宋体" w:cs="宋体"/>
          <w:b/>
          <w:bCs/>
          <w:kern w:val="0"/>
          <w:sz w:val="21"/>
          <w:szCs w:val="21"/>
        </w:rPr>
      </w:pPr>
      <w:bookmarkStart w:id="648" w:name="_Toc532377214"/>
      <w:bookmarkEnd w:id="648"/>
      <w:bookmarkStart w:id="649" w:name="_Toc351203528"/>
      <w:r>
        <w:rPr>
          <w:rFonts w:hint="eastAsia" w:ascii="宋体" w:hAnsi="宋体" w:eastAsia="宋体" w:cs="宋体"/>
          <w:b/>
          <w:bCs/>
          <w:kern w:val="0"/>
          <w:sz w:val="21"/>
          <w:szCs w:val="21"/>
        </w:rPr>
        <w:t>4</w:t>
      </w:r>
      <w:bookmarkEnd w:id="649"/>
      <w:bookmarkStart w:id="650" w:name="_Toc337558754"/>
      <w:bookmarkEnd w:id="650"/>
      <w:bookmarkStart w:id="651" w:name="_Toc296503054"/>
      <w:bookmarkEnd w:id="651"/>
      <w:bookmarkStart w:id="652" w:name="_Toc296346555"/>
      <w:r>
        <w:rPr>
          <w:rFonts w:hint="eastAsia" w:ascii="宋体" w:hAnsi="宋体" w:eastAsia="宋体" w:cs="宋体"/>
          <w:b/>
          <w:bCs/>
          <w:kern w:val="0"/>
          <w:sz w:val="21"/>
          <w:szCs w:val="21"/>
        </w:rPr>
        <w:t>.1监理人的一般规定</w:t>
      </w:r>
      <w:bookmarkEnd w:id="652"/>
    </w:p>
    <w:p w14:paraId="1803EC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70DC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除专用合同条款另有约定外，监理人在施工现场的办公场所、生活场所由承包人提供，所发生的费用由发包人承担。</w:t>
      </w:r>
    </w:p>
    <w:p w14:paraId="62FBC9F4">
      <w:pPr>
        <w:widowControl/>
        <w:spacing w:line="360" w:lineRule="auto"/>
        <w:jc w:val="left"/>
        <w:outlineLvl w:val="4"/>
        <w:rPr>
          <w:rFonts w:ascii="宋体" w:hAnsi="宋体" w:eastAsia="宋体" w:cs="宋体"/>
          <w:b/>
          <w:bCs/>
          <w:kern w:val="0"/>
          <w:sz w:val="21"/>
          <w:szCs w:val="21"/>
        </w:rPr>
      </w:pPr>
      <w:bookmarkStart w:id="653" w:name="_Toc351203529"/>
      <w:bookmarkEnd w:id="653"/>
      <w:bookmarkStart w:id="654" w:name="_Toc532377215"/>
      <w:r>
        <w:rPr>
          <w:rFonts w:hint="eastAsia" w:ascii="宋体" w:hAnsi="宋体" w:eastAsia="宋体" w:cs="宋体"/>
          <w:b/>
          <w:bCs/>
          <w:kern w:val="0"/>
          <w:sz w:val="21"/>
          <w:szCs w:val="21"/>
        </w:rPr>
        <w:t>4</w:t>
      </w:r>
      <w:bookmarkEnd w:id="654"/>
      <w:bookmarkStart w:id="655" w:name="_Toc337558755"/>
      <w:r>
        <w:rPr>
          <w:rFonts w:hint="eastAsia" w:ascii="宋体" w:hAnsi="宋体" w:eastAsia="宋体" w:cs="宋体"/>
          <w:b/>
          <w:bCs/>
          <w:kern w:val="0"/>
          <w:sz w:val="21"/>
          <w:szCs w:val="21"/>
        </w:rPr>
        <w:t>.2监理人员</w:t>
      </w:r>
      <w:bookmarkEnd w:id="655"/>
    </w:p>
    <w:p w14:paraId="0B7E707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5403980">
      <w:pPr>
        <w:widowControl/>
        <w:spacing w:line="360" w:lineRule="auto"/>
        <w:jc w:val="left"/>
        <w:outlineLvl w:val="4"/>
        <w:rPr>
          <w:rFonts w:ascii="宋体" w:hAnsi="宋体" w:eastAsia="宋体" w:cs="宋体"/>
          <w:b/>
          <w:bCs/>
          <w:kern w:val="0"/>
          <w:sz w:val="21"/>
          <w:szCs w:val="21"/>
        </w:rPr>
      </w:pPr>
      <w:bookmarkStart w:id="656" w:name="_Toc351203530"/>
      <w:bookmarkEnd w:id="656"/>
      <w:bookmarkStart w:id="657" w:name="_Toc532377216"/>
      <w:r>
        <w:rPr>
          <w:rFonts w:hint="eastAsia" w:ascii="宋体" w:hAnsi="宋体" w:eastAsia="宋体" w:cs="宋体"/>
          <w:b/>
          <w:bCs/>
          <w:kern w:val="0"/>
          <w:sz w:val="21"/>
          <w:szCs w:val="21"/>
        </w:rPr>
        <w:t>4</w:t>
      </w:r>
      <w:bookmarkEnd w:id="657"/>
      <w:bookmarkStart w:id="658" w:name="_Toc296346556"/>
      <w:bookmarkEnd w:id="658"/>
      <w:bookmarkStart w:id="659" w:name="_Toc296503055"/>
      <w:bookmarkEnd w:id="659"/>
      <w:bookmarkStart w:id="660" w:name="_Toc337558756"/>
      <w:r>
        <w:rPr>
          <w:rFonts w:hint="eastAsia" w:ascii="宋体" w:hAnsi="宋体" w:eastAsia="宋体" w:cs="宋体"/>
          <w:b/>
          <w:bCs/>
          <w:kern w:val="0"/>
          <w:sz w:val="21"/>
          <w:szCs w:val="21"/>
        </w:rPr>
        <w:t>.3</w:t>
      </w:r>
      <w:bookmarkEnd w:id="660"/>
      <w:r>
        <w:rPr>
          <w:rFonts w:hint="eastAsia" w:ascii="宋体" w:hAnsi="宋体" w:eastAsia="宋体" w:cs="宋体"/>
          <w:b/>
          <w:bCs/>
          <w:kern w:val="0"/>
          <w:sz w:val="21"/>
          <w:szCs w:val="21"/>
        </w:rPr>
        <w:t>监理人的指示</w:t>
      </w:r>
    </w:p>
    <w:p w14:paraId="3B200C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3738B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033C1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承包人对监理人发出的指示有疑问的，应向监理人提出书面异议，监理人应在48小时内对该指示予以确认、更改或撤销，监理人逾期未回复的，承包人有权拒绝执行上述指示。</w:t>
      </w:r>
    </w:p>
    <w:p w14:paraId="451F89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监理人对承包人的任何工作、工程或其采用的材料和工程设备未在约定的或合理期限内提出意见的，视为批准，但不免除或减轻承包人对该工作、工程、材料、工程设备等应承担的责任和义务。</w:t>
      </w:r>
    </w:p>
    <w:p w14:paraId="75774DA4">
      <w:pPr>
        <w:widowControl/>
        <w:spacing w:line="360" w:lineRule="auto"/>
        <w:jc w:val="left"/>
        <w:outlineLvl w:val="4"/>
        <w:rPr>
          <w:rFonts w:ascii="宋体" w:hAnsi="宋体" w:eastAsia="宋体" w:cs="宋体"/>
          <w:b/>
          <w:bCs/>
          <w:kern w:val="0"/>
          <w:sz w:val="21"/>
          <w:szCs w:val="21"/>
        </w:rPr>
      </w:pPr>
      <w:bookmarkStart w:id="661" w:name="_Toc351203531"/>
      <w:bookmarkEnd w:id="661"/>
      <w:bookmarkStart w:id="662" w:name="_Toc532377217"/>
      <w:r>
        <w:rPr>
          <w:rFonts w:hint="eastAsia" w:ascii="宋体" w:hAnsi="宋体" w:eastAsia="宋体" w:cs="宋体"/>
          <w:b/>
          <w:bCs/>
          <w:kern w:val="0"/>
          <w:sz w:val="21"/>
          <w:szCs w:val="21"/>
        </w:rPr>
        <w:t>4</w:t>
      </w:r>
      <w:bookmarkEnd w:id="662"/>
      <w:bookmarkStart w:id="663" w:name="_Toc337558757"/>
      <w:bookmarkEnd w:id="663"/>
      <w:bookmarkStart w:id="664" w:name="_Toc296503057"/>
      <w:bookmarkEnd w:id="664"/>
      <w:bookmarkStart w:id="665" w:name="_Toc296346558"/>
      <w:r>
        <w:rPr>
          <w:rFonts w:hint="eastAsia" w:ascii="宋体" w:hAnsi="宋体" w:eastAsia="宋体" w:cs="宋体"/>
          <w:b/>
          <w:bCs/>
          <w:kern w:val="0"/>
          <w:sz w:val="21"/>
          <w:szCs w:val="21"/>
        </w:rPr>
        <w:t>.4 商定或确定</w:t>
      </w:r>
      <w:bookmarkEnd w:id="665"/>
    </w:p>
    <w:p w14:paraId="0EAE9F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合同当事人进行商定或确定时，总监理工程师应当会同合同当事人尽量通过协商达成一致，不能达成一致的，由总监理工程师按照合同约定审慎做出公正的确定。</w:t>
      </w:r>
    </w:p>
    <w:p w14:paraId="2E98C0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D2C8668">
      <w:pPr>
        <w:keepNext/>
        <w:keepLines/>
        <w:spacing w:before="156" w:beforeLines="50" w:after="156" w:afterLines="50" w:line="360" w:lineRule="auto"/>
        <w:outlineLvl w:val="3"/>
        <w:rPr>
          <w:rFonts w:ascii="宋体" w:hAnsi="宋体" w:eastAsia="宋体" w:cs="宋体"/>
          <w:b/>
          <w:sz w:val="21"/>
          <w:szCs w:val="21"/>
        </w:rPr>
      </w:pPr>
      <w:bookmarkStart w:id="666" w:name="_Toc532377218"/>
      <w:bookmarkEnd w:id="666"/>
      <w:bookmarkStart w:id="667" w:name="_Toc351203532"/>
      <w:bookmarkEnd w:id="667"/>
      <w:bookmarkStart w:id="668" w:name="_Toc532375591"/>
      <w:r>
        <w:rPr>
          <w:rFonts w:hint="eastAsia" w:ascii="宋体" w:hAnsi="宋体" w:eastAsia="宋体" w:cs="宋体"/>
          <w:b/>
          <w:bCs/>
          <w:sz w:val="21"/>
          <w:szCs w:val="21"/>
        </w:rPr>
        <w:t>5</w:t>
      </w:r>
      <w:bookmarkEnd w:id="668"/>
      <w:bookmarkStart w:id="669" w:name="_Toc337558758"/>
      <w:r>
        <w:rPr>
          <w:rFonts w:hint="eastAsia" w:ascii="宋体" w:hAnsi="宋体" w:eastAsia="宋体" w:cs="宋体"/>
          <w:b/>
          <w:bCs/>
          <w:sz w:val="21"/>
          <w:szCs w:val="21"/>
        </w:rPr>
        <w:t>. 工程质量</w:t>
      </w:r>
      <w:bookmarkEnd w:id="669"/>
    </w:p>
    <w:p w14:paraId="6777B88B">
      <w:pPr>
        <w:widowControl/>
        <w:spacing w:line="360" w:lineRule="auto"/>
        <w:jc w:val="left"/>
        <w:outlineLvl w:val="4"/>
        <w:rPr>
          <w:rFonts w:ascii="宋体" w:hAnsi="宋体" w:eastAsia="宋体" w:cs="宋体"/>
          <w:b/>
          <w:bCs/>
          <w:kern w:val="0"/>
          <w:sz w:val="21"/>
          <w:szCs w:val="21"/>
        </w:rPr>
      </w:pPr>
      <w:bookmarkStart w:id="670" w:name="_Toc351203533"/>
      <w:bookmarkEnd w:id="670"/>
      <w:bookmarkStart w:id="671" w:name="_Toc532377219"/>
      <w:r>
        <w:rPr>
          <w:rFonts w:hint="eastAsia" w:ascii="宋体" w:hAnsi="宋体" w:eastAsia="宋体" w:cs="宋体"/>
          <w:b/>
          <w:bCs/>
          <w:kern w:val="0"/>
          <w:sz w:val="21"/>
          <w:szCs w:val="21"/>
        </w:rPr>
        <w:t>5</w:t>
      </w:r>
      <w:bookmarkEnd w:id="671"/>
      <w:bookmarkStart w:id="672" w:name="_Toc337558759"/>
      <w:r>
        <w:rPr>
          <w:rFonts w:hint="eastAsia" w:ascii="宋体" w:hAnsi="宋体" w:eastAsia="宋体" w:cs="宋体"/>
          <w:b/>
          <w:bCs/>
          <w:kern w:val="0"/>
          <w:sz w:val="21"/>
          <w:szCs w:val="21"/>
        </w:rPr>
        <w:t>.1质量要求</w:t>
      </w:r>
      <w:bookmarkEnd w:id="672"/>
    </w:p>
    <w:p w14:paraId="6EF1DE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5.1.1 工程质量标准必须符合现行国家有关工程施工质量验收规范和标准的要求。有关工程质量的特殊标准或要求由合同当事人在专用合同条款中约定。</w:t>
      </w:r>
    </w:p>
    <w:p w14:paraId="0307BF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5.1.2 因发包人原因造成工程质量未达到合同约定标准的，由发包人承担由此增加的费用和（或）延误的工期，并支付承包人合理的利润。</w:t>
      </w:r>
    </w:p>
    <w:p w14:paraId="3773C9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5.1.3 因承包人原因造成工程质量未达到合同约定标准的，发包人有权要求承包人返工直至工程质量达到合同约定的标准为止，并由承包人承担由此增加的费用和（或）延误的工期。</w:t>
      </w:r>
    </w:p>
    <w:p w14:paraId="63CD0D1A">
      <w:pPr>
        <w:widowControl/>
        <w:spacing w:line="360" w:lineRule="auto"/>
        <w:jc w:val="left"/>
        <w:outlineLvl w:val="4"/>
        <w:rPr>
          <w:rFonts w:ascii="宋体" w:hAnsi="宋体" w:eastAsia="宋体" w:cs="宋体"/>
          <w:b/>
          <w:bCs/>
          <w:kern w:val="0"/>
          <w:sz w:val="21"/>
          <w:szCs w:val="21"/>
        </w:rPr>
      </w:pPr>
      <w:bookmarkStart w:id="673" w:name="_Toc532377220"/>
      <w:bookmarkEnd w:id="673"/>
      <w:bookmarkStart w:id="674" w:name="_Toc351203534"/>
      <w:r>
        <w:rPr>
          <w:rFonts w:hint="eastAsia" w:ascii="宋体" w:hAnsi="宋体" w:eastAsia="宋体" w:cs="宋体"/>
          <w:b/>
          <w:bCs/>
          <w:kern w:val="0"/>
          <w:sz w:val="21"/>
          <w:szCs w:val="21"/>
        </w:rPr>
        <w:t>5</w:t>
      </w:r>
      <w:bookmarkEnd w:id="674"/>
      <w:bookmarkStart w:id="675" w:name="_Toc337558760"/>
      <w:r>
        <w:rPr>
          <w:rFonts w:hint="eastAsia" w:ascii="宋体" w:hAnsi="宋体" w:eastAsia="宋体" w:cs="宋体"/>
          <w:b/>
          <w:bCs/>
          <w:kern w:val="0"/>
          <w:sz w:val="21"/>
          <w:szCs w:val="21"/>
        </w:rPr>
        <w:t>.2质量保证措施</w:t>
      </w:r>
      <w:bookmarkEnd w:id="675"/>
    </w:p>
    <w:p w14:paraId="7EF72D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5.2.1 发包人的质量管理</w:t>
      </w:r>
    </w:p>
    <w:p w14:paraId="4A75F80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发包人应按照法律规定及合同约定完成与工程质量有关的各项工作。</w:t>
      </w:r>
    </w:p>
    <w:p w14:paraId="6E775B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5.2.2 承包人的质量管理</w:t>
      </w:r>
    </w:p>
    <w:p w14:paraId="4D16ED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A98F6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承包人应对施工人员进行质量教育和技术培训，定期考核施工人员的劳动技能，严格执行施工规范和操作规程。</w:t>
      </w:r>
    </w:p>
    <w:p w14:paraId="499655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DA977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5.2.3 监理人的质量检查和检验</w:t>
      </w:r>
    </w:p>
    <w:p w14:paraId="4D889E0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DAD82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FA9A47D">
      <w:pPr>
        <w:widowControl/>
        <w:spacing w:line="360" w:lineRule="auto"/>
        <w:jc w:val="left"/>
        <w:outlineLvl w:val="4"/>
        <w:rPr>
          <w:rFonts w:ascii="宋体" w:hAnsi="宋体" w:eastAsia="宋体" w:cs="宋体"/>
          <w:b/>
          <w:bCs/>
          <w:kern w:val="0"/>
          <w:sz w:val="21"/>
          <w:szCs w:val="21"/>
        </w:rPr>
      </w:pPr>
      <w:bookmarkStart w:id="676" w:name="_Toc532377221"/>
      <w:bookmarkEnd w:id="676"/>
      <w:bookmarkStart w:id="677" w:name="_Toc351203535"/>
      <w:r>
        <w:rPr>
          <w:rFonts w:hint="eastAsia" w:ascii="宋体" w:hAnsi="宋体" w:eastAsia="宋体" w:cs="宋体"/>
          <w:b/>
          <w:bCs/>
          <w:kern w:val="0"/>
          <w:sz w:val="21"/>
          <w:szCs w:val="21"/>
        </w:rPr>
        <w:t>5</w:t>
      </w:r>
      <w:bookmarkEnd w:id="677"/>
      <w:bookmarkStart w:id="678" w:name="_Toc337558761"/>
      <w:r>
        <w:rPr>
          <w:rFonts w:hint="eastAsia" w:ascii="宋体" w:hAnsi="宋体" w:eastAsia="宋体" w:cs="宋体"/>
          <w:b/>
          <w:bCs/>
          <w:kern w:val="0"/>
          <w:sz w:val="21"/>
          <w:szCs w:val="21"/>
        </w:rPr>
        <w:t>.3 隐蔽工程检查</w:t>
      </w:r>
      <w:bookmarkEnd w:id="678"/>
    </w:p>
    <w:p w14:paraId="367D57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5.3.1承包人自检</w:t>
      </w:r>
    </w:p>
    <w:p w14:paraId="0698DC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承包人应当对工程隐蔽部位进行自检，并经自检确认是否具备覆盖条件。</w:t>
      </w:r>
    </w:p>
    <w:p w14:paraId="60AAF42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5.3.2检查程序</w:t>
      </w:r>
    </w:p>
    <w:p w14:paraId="0240992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7B045D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1588F0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D8C9E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5.3.3 重新检查</w:t>
      </w:r>
    </w:p>
    <w:p w14:paraId="65DB497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8D1E37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5.3.4 承包人私自覆盖</w:t>
      </w:r>
    </w:p>
    <w:p w14:paraId="37036B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1FB8DE03">
      <w:pPr>
        <w:widowControl/>
        <w:spacing w:line="360" w:lineRule="auto"/>
        <w:jc w:val="left"/>
        <w:outlineLvl w:val="4"/>
        <w:rPr>
          <w:rFonts w:ascii="宋体" w:hAnsi="宋体" w:eastAsia="宋体" w:cs="宋体"/>
          <w:b/>
          <w:bCs/>
          <w:kern w:val="0"/>
          <w:sz w:val="21"/>
          <w:szCs w:val="21"/>
        </w:rPr>
      </w:pPr>
      <w:bookmarkStart w:id="679" w:name="_Toc532377222"/>
      <w:bookmarkEnd w:id="679"/>
      <w:r>
        <w:rPr>
          <w:rFonts w:hint="eastAsia" w:ascii="宋体" w:hAnsi="宋体" w:eastAsia="宋体" w:cs="宋体"/>
          <w:b/>
          <w:bCs/>
          <w:kern w:val="0"/>
          <w:sz w:val="21"/>
          <w:szCs w:val="21"/>
        </w:rPr>
        <w:t>5.4不合格工程的处理</w:t>
      </w:r>
    </w:p>
    <w:p w14:paraId="219D70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90C758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5.4.2 因发包人原因造成工程不合格的，由此增加的费用和（或）延误的工期由发包人承担，并支付承包人合理的利润。</w:t>
      </w:r>
    </w:p>
    <w:p w14:paraId="6234ADF8">
      <w:pPr>
        <w:widowControl/>
        <w:spacing w:line="360" w:lineRule="auto"/>
        <w:jc w:val="left"/>
        <w:outlineLvl w:val="4"/>
        <w:rPr>
          <w:rFonts w:ascii="宋体" w:hAnsi="宋体" w:eastAsia="宋体" w:cs="宋体"/>
          <w:b/>
          <w:bCs/>
          <w:kern w:val="0"/>
          <w:sz w:val="21"/>
          <w:szCs w:val="21"/>
        </w:rPr>
      </w:pPr>
      <w:bookmarkStart w:id="680" w:name="_Toc351203537"/>
      <w:bookmarkEnd w:id="680"/>
      <w:bookmarkStart w:id="681" w:name="_Toc532377223"/>
      <w:r>
        <w:rPr>
          <w:rFonts w:hint="eastAsia" w:ascii="宋体" w:hAnsi="宋体" w:eastAsia="宋体" w:cs="宋体"/>
          <w:b/>
          <w:bCs/>
          <w:kern w:val="0"/>
          <w:sz w:val="21"/>
          <w:szCs w:val="21"/>
        </w:rPr>
        <w:t>5.5 质量争议检测</w:t>
      </w:r>
      <w:bookmarkEnd w:id="681"/>
    </w:p>
    <w:p w14:paraId="675EB5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合同当事人对工程质量有争议的，由双方协商确定的工程质量检测机构鉴定，由此产生的费用及因此造成的损失，由责任方承担。</w:t>
      </w:r>
    </w:p>
    <w:p w14:paraId="6705BE3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合同当事人均有责任的，由双方根据其责任分别承担。合同当事人无法达成一致的，按照第4.4款〔商定或确定〕执行。</w:t>
      </w:r>
    </w:p>
    <w:p w14:paraId="78C89109">
      <w:pPr>
        <w:keepNext/>
        <w:keepLines/>
        <w:spacing w:before="156" w:beforeLines="50" w:after="156" w:afterLines="50" w:line="360" w:lineRule="auto"/>
        <w:outlineLvl w:val="3"/>
        <w:rPr>
          <w:rFonts w:ascii="宋体" w:hAnsi="宋体" w:eastAsia="宋体" w:cs="宋体"/>
          <w:b/>
          <w:sz w:val="21"/>
          <w:szCs w:val="21"/>
        </w:rPr>
      </w:pPr>
      <w:bookmarkStart w:id="682" w:name="_Toc532375592"/>
      <w:bookmarkEnd w:id="682"/>
      <w:bookmarkStart w:id="683" w:name="_Toc351203538"/>
      <w:bookmarkEnd w:id="683"/>
      <w:bookmarkStart w:id="684" w:name="_Toc532377224"/>
      <w:r>
        <w:rPr>
          <w:rFonts w:hint="eastAsia" w:ascii="宋体" w:hAnsi="宋体" w:eastAsia="宋体" w:cs="宋体"/>
          <w:b/>
          <w:bCs/>
          <w:sz w:val="21"/>
          <w:szCs w:val="21"/>
        </w:rPr>
        <w:t>6</w:t>
      </w:r>
      <w:bookmarkEnd w:id="684"/>
      <w:bookmarkStart w:id="685" w:name="_Toc337558763"/>
      <w:r>
        <w:rPr>
          <w:rFonts w:hint="eastAsia" w:ascii="宋体" w:hAnsi="宋体" w:eastAsia="宋体" w:cs="宋体"/>
          <w:b/>
          <w:bCs/>
          <w:sz w:val="21"/>
          <w:szCs w:val="21"/>
        </w:rPr>
        <w:t>. 安全文明施工与环境保护</w:t>
      </w:r>
      <w:bookmarkEnd w:id="685"/>
    </w:p>
    <w:p w14:paraId="0593A1DC">
      <w:pPr>
        <w:widowControl/>
        <w:spacing w:line="360" w:lineRule="auto"/>
        <w:jc w:val="left"/>
        <w:outlineLvl w:val="4"/>
        <w:rPr>
          <w:rFonts w:ascii="宋体" w:hAnsi="宋体" w:eastAsia="宋体" w:cs="宋体"/>
          <w:b/>
          <w:bCs/>
          <w:kern w:val="0"/>
          <w:sz w:val="21"/>
          <w:szCs w:val="21"/>
        </w:rPr>
      </w:pPr>
      <w:bookmarkStart w:id="686" w:name="_Toc351203539"/>
      <w:bookmarkEnd w:id="686"/>
      <w:bookmarkStart w:id="687" w:name="_Toc532377225"/>
      <w:r>
        <w:rPr>
          <w:rFonts w:hint="eastAsia" w:ascii="宋体" w:hAnsi="宋体" w:eastAsia="宋体" w:cs="宋体"/>
          <w:b/>
          <w:bCs/>
          <w:kern w:val="0"/>
          <w:sz w:val="21"/>
          <w:szCs w:val="21"/>
        </w:rPr>
        <w:t>6</w:t>
      </w:r>
      <w:bookmarkEnd w:id="687"/>
      <w:bookmarkStart w:id="688" w:name="_Toc337558764"/>
      <w:r>
        <w:rPr>
          <w:rFonts w:hint="eastAsia" w:ascii="宋体" w:hAnsi="宋体" w:eastAsia="宋体" w:cs="宋体"/>
          <w:b/>
          <w:bCs/>
          <w:kern w:val="0"/>
          <w:sz w:val="21"/>
          <w:szCs w:val="21"/>
        </w:rPr>
        <w:t>.1安全文明施工</w:t>
      </w:r>
      <w:bookmarkEnd w:id="688"/>
    </w:p>
    <w:p w14:paraId="67C58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6.1.1安全生产要求</w:t>
      </w:r>
    </w:p>
    <w:p w14:paraId="3AC624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0974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114777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因安全生产需要暂停施工的，按照第7.8款〔暂停施工〕的约定执行。</w:t>
      </w:r>
    </w:p>
    <w:p w14:paraId="5D502D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6.1.2 安全生产保证措施</w:t>
      </w:r>
    </w:p>
    <w:p w14:paraId="4695FC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84496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6.1.3特别安全生产事项</w:t>
      </w:r>
    </w:p>
    <w:p w14:paraId="5E4D73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DFAC3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承包人在动力设备、输电线路、地下管道、密封防震车间、易燃易爆地段以及临街交通要道附近施工时，施工开始前应向发包人和监理人提出安全防护措施，经发包人认可后实施。 </w:t>
      </w:r>
    </w:p>
    <w:p w14:paraId="6E5F7D9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7EE08B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需单独编制危险性较大分部分项专项工程施工方案的，及要求进行专家论证的超过一定规模的危险性较大的分部分项工程，承包人应及时编制和组织论证。</w:t>
      </w:r>
    </w:p>
    <w:p w14:paraId="1785B8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6.1.4 治安保卫</w:t>
      </w:r>
    </w:p>
    <w:p w14:paraId="126826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除专用合同条款另有约定外，发包人应与当地公安部门协商，在现场建立治安管理机构或联防组织，统一管理施工场地的治安保卫事项，履行合同工程的治安保卫职责。</w:t>
      </w:r>
    </w:p>
    <w:p w14:paraId="0B8D802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发包人和承包人除应协助现场治安管理机构或联防组织维护施工场地的社会治安外，还应做好包括生活区在内的各自管辖区的治安保卫工作。</w:t>
      </w:r>
    </w:p>
    <w:p w14:paraId="1F622A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B0F4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6.1.5 文明施工</w:t>
      </w:r>
    </w:p>
    <w:p w14:paraId="25407A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FBD6C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030D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6.1.6 安全文明施工费</w:t>
      </w:r>
    </w:p>
    <w:p w14:paraId="5BF4A6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安全文明施工费由发包人承担，发包人不得以任何形式扣减该部分费用。因基准日期后合同所适用的法律或政府有关规定发生变化，增加的安全文明施工费由发包人承担。</w:t>
      </w:r>
    </w:p>
    <w:p w14:paraId="53E2D9B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5C806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E7A1B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2D8C1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6.1.7 紧急情况处理</w:t>
      </w:r>
    </w:p>
    <w:p w14:paraId="7D03EE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303B6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6.1.8 事故处理</w:t>
      </w:r>
    </w:p>
    <w:p w14:paraId="7D5D11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BDA3E4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 安全生产责任</w:t>
      </w:r>
    </w:p>
    <w:p w14:paraId="080679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6.1.9.1 发包人的安全责任</w:t>
      </w:r>
    </w:p>
    <w:p w14:paraId="44E7E1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发包人应负责赔偿以下各种情况造成的损失：</w:t>
      </w:r>
    </w:p>
    <w:p w14:paraId="000C0D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（1）工程或工程的任何部分对土地的占用所造成的第三者财产损失；</w:t>
      </w:r>
    </w:p>
    <w:p w14:paraId="65429B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（2）由于发包人原因在施工场地及其毗邻地带造成的第三者人身伤亡和财产损失；</w:t>
      </w:r>
    </w:p>
    <w:p w14:paraId="122EDEA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（3）由于发包人原因对承包人、监理人造成的人员人身伤亡和财产损失；</w:t>
      </w:r>
    </w:p>
    <w:p w14:paraId="14120B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（4）由于发包人原因造成的发包人自身人员的人身伤害以及财产损失。</w:t>
      </w:r>
    </w:p>
    <w:p w14:paraId="6535F2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6.1.9.2 承包人的安全责任</w:t>
      </w:r>
    </w:p>
    <w:p w14:paraId="0D7656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由于承包人原因在施工场地内及其毗邻地带造成的发包人、监理人以及第三者人员伤亡和财产损失，由承包人负责赔偿。</w:t>
      </w:r>
    </w:p>
    <w:p w14:paraId="4C3DF425">
      <w:pPr>
        <w:widowControl/>
        <w:spacing w:line="360" w:lineRule="auto"/>
        <w:jc w:val="left"/>
        <w:outlineLvl w:val="4"/>
        <w:rPr>
          <w:rFonts w:ascii="宋体" w:hAnsi="宋体" w:eastAsia="宋体" w:cs="宋体"/>
          <w:b/>
          <w:bCs/>
          <w:kern w:val="0"/>
          <w:sz w:val="21"/>
          <w:szCs w:val="21"/>
        </w:rPr>
      </w:pPr>
      <w:bookmarkStart w:id="689" w:name="_Toc532377226"/>
      <w:bookmarkEnd w:id="689"/>
      <w:bookmarkStart w:id="690" w:name="_Toc351203540"/>
      <w:r>
        <w:rPr>
          <w:rFonts w:hint="eastAsia" w:ascii="宋体" w:hAnsi="宋体" w:eastAsia="宋体" w:cs="宋体"/>
          <w:b/>
          <w:bCs/>
          <w:kern w:val="0"/>
          <w:sz w:val="21"/>
          <w:szCs w:val="21"/>
        </w:rPr>
        <w:t>6</w:t>
      </w:r>
      <w:bookmarkEnd w:id="690"/>
      <w:bookmarkStart w:id="691" w:name="_Toc337558765"/>
      <w:r>
        <w:rPr>
          <w:rFonts w:hint="eastAsia" w:ascii="宋体" w:hAnsi="宋体" w:eastAsia="宋体" w:cs="宋体"/>
          <w:b/>
          <w:bCs/>
          <w:kern w:val="0"/>
          <w:sz w:val="21"/>
          <w:szCs w:val="21"/>
        </w:rPr>
        <w:t>.2 职业健康</w:t>
      </w:r>
      <w:bookmarkEnd w:id="691"/>
    </w:p>
    <w:p w14:paraId="792EF7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6.2.1 劳动保护</w:t>
      </w:r>
    </w:p>
    <w:p w14:paraId="71B6D6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68492E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F4CC4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C8FCA3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6.2.2 生活条件</w:t>
      </w:r>
    </w:p>
    <w:p w14:paraId="3FDC3C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CBF919">
      <w:pPr>
        <w:widowControl/>
        <w:spacing w:line="360" w:lineRule="auto"/>
        <w:jc w:val="left"/>
        <w:outlineLvl w:val="4"/>
        <w:rPr>
          <w:rFonts w:ascii="宋体" w:hAnsi="宋体" w:eastAsia="宋体" w:cs="宋体"/>
          <w:b/>
          <w:bCs/>
          <w:kern w:val="0"/>
          <w:sz w:val="21"/>
          <w:szCs w:val="21"/>
        </w:rPr>
      </w:pPr>
      <w:bookmarkStart w:id="692" w:name="_Toc351203541"/>
      <w:bookmarkEnd w:id="692"/>
      <w:bookmarkStart w:id="693" w:name="_Toc532377227"/>
      <w:r>
        <w:rPr>
          <w:rFonts w:hint="eastAsia" w:ascii="宋体" w:hAnsi="宋体" w:eastAsia="宋体" w:cs="宋体"/>
          <w:b/>
          <w:bCs/>
          <w:kern w:val="0"/>
          <w:sz w:val="21"/>
          <w:szCs w:val="21"/>
        </w:rPr>
        <w:t>6</w:t>
      </w:r>
      <w:bookmarkEnd w:id="693"/>
      <w:bookmarkStart w:id="694" w:name="_Toc337558766"/>
      <w:r>
        <w:rPr>
          <w:rFonts w:hint="eastAsia" w:ascii="宋体" w:hAnsi="宋体" w:eastAsia="宋体" w:cs="宋体"/>
          <w:b/>
          <w:bCs/>
          <w:kern w:val="0"/>
          <w:sz w:val="21"/>
          <w:szCs w:val="21"/>
        </w:rPr>
        <w:t>.3 环境保护</w:t>
      </w:r>
      <w:bookmarkEnd w:id="694"/>
    </w:p>
    <w:p w14:paraId="4F2E69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66E35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承包人应当承担因其原因引起的环境污染侵权损害赔偿责任，因上述环境污染引起纠纷而导致暂停施工的，由此增加的费用和（或）延误的工期由承包人承担。</w:t>
      </w:r>
    </w:p>
    <w:p w14:paraId="0B3089CA">
      <w:pPr>
        <w:keepNext/>
        <w:keepLines/>
        <w:spacing w:before="156" w:beforeLines="50" w:after="156" w:afterLines="50" w:line="360" w:lineRule="auto"/>
        <w:outlineLvl w:val="3"/>
        <w:rPr>
          <w:rFonts w:ascii="宋体" w:hAnsi="宋体" w:eastAsia="宋体" w:cs="宋体"/>
          <w:b/>
          <w:sz w:val="21"/>
          <w:szCs w:val="21"/>
        </w:rPr>
      </w:pPr>
      <w:bookmarkStart w:id="695" w:name="_Toc351203542"/>
      <w:bookmarkEnd w:id="695"/>
      <w:bookmarkStart w:id="696" w:name="_Toc532377228"/>
      <w:bookmarkEnd w:id="696"/>
      <w:bookmarkStart w:id="697" w:name="_Toc532375593"/>
      <w:r>
        <w:rPr>
          <w:rFonts w:hint="eastAsia" w:ascii="宋体" w:hAnsi="宋体" w:eastAsia="宋体" w:cs="宋体"/>
          <w:b/>
          <w:bCs/>
          <w:sz w:val="21"/>
          <w:szCs w:val="21"/>
        </w:rPr>
        <w:t>7</w:t>
      </w:r>
      <w:bookmarkEnd w:id="697"/>
      <w:bookmarkStart w:id="698" w:name="_Toc337558767"/>
      <w:r>
        <w:rPr>
          <w:rFonts w:hint="eastAsia" w:ascii="宋体" w:hAnsi="宋体" w:eastAsia="宋体" w:cs="宋体"/>
          <w:b/>
          <w:bCs/>
          <w:sz w:val="21"/>
          <w:szCs w:val="21"/>
        </w:rPr>
        <w:t>. 工期和进度</w:t>
      </w:r>
      <w:bookmarkEnd w:id="698"/>
    </w:p>
    <w:p w14:paraId="02992353">
      <w:pPr>
        <w:widowControl/>
        <w:spacing w:line="360" w:lineRule="auto"/>
        <w:jc w:val="left"/>
        <w:outlineLvl w:val="4"/>
        <w:rPr>
          <w:rFonts w:ascii="宋体" w:hAnsi="宋体" w:eastAsia="宋体" w:cs="宋体"/>
          <w:b/>
          <w:bCs/>
          <w:kern w:val="0"/>
          <w:sz w:val="21"/>
          <w:szCs w:val="21"/>
        </w:rPr>
      </w:pPr>
      <w:bookmarkStart w:id="699" w:name="_Toc532377229"/>
      <w:bookmarkEnd w:id="699"/>
      <w:bookmarkStart w:id="700" w:name="_Toc351203543"/>
      <w:r>
        <w:rPr>
          <w:rFonts w:hint="eastAsia" w:ascii="宋体" w:hAnsi="宋体" w:eastAsia="宋体" w:cs="宋体"/>
          <w:b/>
          <w:bCs/>
          <w:kern w:val="0"/>
          <w:sz w:val="21"/>
          <w:szCs w:val="21"/>
        </w:rPr>
        <w:t>7</w:t>
      </w:r>
      <w:bookmarkEnd w:id="700"/>
      <w:bookmarkStart w:id="701" w:name="_Toc296503066"/>
      <w:bookmarkEnd w:id="701"/>
      <w:bookmarkStart w:id="702" w:name="_Toc337558768"/>
      <w:bookmarkEnd w:id="702"/>
      <w:bookmarkStart w:id="703" w:name="_Toc296346567"/>
      <w:r>
        <w:rPr>
          <w:rFonts w:hint="eastAsia" w:ascii="宋体" w:hAnsi="宋体" w:eastAsia="宋体" w:cs="宋体"/>
          <w:b/>
          <w:bCs/>
          <w:kern w:val="0"/>
          <w:sz w:val="21"/>
          <w:szCs w:val="21"/>
        </w:rPr>
        <w:t>.1施工组织设计</w:t>
      </w:r>
      <w:bookmarkEnd w:id="703"/>
    </w:p>
    <w:p w14:paraId="7D94E2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7.1.1 施工组织设计的内容</w:t>
      </w:r>
    </w:p>
    <w:p w14:paraId="4AA633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施工组织设计应包含以下内容：</w:t>
      </w:r>
    </w:p>
    <w:p w14:paraId="497100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（1）施工方案； </w:t>
      </w:r>
    </w:p>
    <w:p w14:paraId="0A0DED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（2）施工现场平面布置图；</w:t>
      </w:r>
    </w:p>
    <w:p w14:paraId="47B25D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（3）施工进度计划和保证措施； </w:t>
      </w:r>
    </w:p>
    <w:p w14:paraId="5DE972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（4）劳动力及材料供应计划；</w:t>
      </w:r>
    </w:p>
    <w:p w14:paraId="2B071E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（5）施工机械设备的选用；</w:t>
      </w:r>
    </w:p>
    <w:p w14:paraId="5125A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（6）质量保证体系及措施；</w:t>
      </w:r>
    </w:p>
    <w:p w14:paraId="005B8B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（7）安全生产、文明施工措施；</w:t>
      </w:r>
    </w:p>
    <w:p w14:paraId="2EB06C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（8）环境保护、成本控制措施；</w:t>
      </w:r>
    </w:p>
    <w:p w14:paraId="55646E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（9）合同当事人约定的其他内容。</w:t>
      </w:r>
    </w:p>
    <w:p w14:paraId="35A1B12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7.1.2 施工组织设计的提交和修改</w:t>
      </w:r>
    </w:p>
    <w:p w14:paraId="704B01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5E724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施工进度计划的编制和修改按照第7.2款〔施工进度计划〕执行。</w:t>
      </w:r>
    </w:p>
    <w:p w14:paraId="734882B6">
      <w:pPr>
        <w:widowControl/>
        <w:spacing w:line="360" w:lineRule="auto"/>
        <w:jc w:val="left"/>
        <w:outlineLvl w:val="4"/>
        <w:rPr>
          <w:rFonts w:ascii="宋体" w:hAnsi="宋体" w:eastAsia="宋体" w:cs="宋体"/>
          <w:b/>
          <w:bCs/>
          <w:kern w:val="0"/>
          <w:sz w:val="21"/>
          <w:szCs w:val="21"/>
        </w:rPr>
      </w:pPr>
      <w:bookmarkStart w:id="704" w:name="_Toc532377230"/>
      <w:bookmarkEnd w:id="704"/>
      <w:bookmarkStart w:id="705" w:name="_Toc351203544"/>
      <w:r>
        <w:rPr>
          <w:rFonts w:hint="eastAsia" w:ascii="宋体" w:hAnsi="宋体" w:eastAsia="宋体" w:cs="宋体"/>
          <w:b/>
          <w:bCs/>
          <w:kern w:val="0"/>
          <w:sz w:val="21"/>
          <w:szCs w:val="21"/>
        </w:rPr>
        <w:t>7</w:t>
      </w:r>
      <w:bookmarkEnd w:id="705"/>
      <w:bookmarkStart w:id="706" w:name="_Toc337558769"/>
      <w:r>
        <w:rPr>
          <w:rFonts w:hint="eastAsia" w:ascii="宋体" w:hAnsi="宋体" w:eastAsia="宋体" w:cs="宋体"/>
          <w:b/>
          <w:bCs/>
          <w:kern w:val="0"/>
          <w:sz w:val="21"/>
          <w:szCs w:val="21"/>
        </w:rPr>
        <w:t>.2 施工进度计划</w:t>
      </w:r>
      <w:bookmarkEnd w:id="706"/>
    </w:p>
    <w:p w14:paraId="4B80994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7.2.1 施工进度计划的编制</w:t>
      </w:r>
    </w:p>
    <w:p w14:paraId="7DB9C0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6928E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7.2.2 施工进度计划的修订</w:t>
      </w:r>
    </w:p>
    <w:p w14:paraId="3E58C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FC6F154">
      <w:pPr>
        <w:widowControl/>
        <w:spacing w:line="360" w:lineRule="auto"/>
        <w:jc w:val="left"/>
        <w:outlineLvl w:val="4"/>
        <w:rPr>
          <w:rFonts w:ascii="宋体" w:hAnsi="宋体" w:eastAsia="宋体" w:cs="宋体"/>
          <w:b/>
          <w:bCs/>
          <w:kern w:val="0"/>
          <w:sz w:val="21"/>
          <w:szCs w:val="21"/>
        </w:rPr>
      </w:pPr>
      <w:bookmarkStart w:id="707" w:name="_Toc532377231"/>
      <w:bookmarkEnd w:id="707"/>
      <w:bookmarkStart w:id="708" w:name="_Toc351203545"/>
      <w:r>
        <w:rPr>
          <w:rFonts w:hint="eastAsia" w:ascii="宋体" w:hAnsi="宋体" w:eastAsia="宋体" w:cs="宋体"/>
          <w:b/>
          <w:bCs/>
          <w:kern w:val="0"/>
          <w:sz w:val="21"/>
          <w:szCs w:val="21"/>
        </w:rPr>
        <w:t>7</w:t>
      </w:r>
      <w:bookmarkEnd w:id="708"/>
      <w:bookmarkStart w:id="709" w:name="_Toc337558770"/>
      <w:r>
        <w:rPr>
          <w:rFonts w:hint="eastAsia" w:ascii="宋体" w:hAnsi="宋体" w:eastAsia="宋体" w:cs="宋体"/>
          <w:b/>
          <w:bCs/>
          <w:kern w:val="0"/>
          <w:sz w:val="21"/>
          <w:szCs w:val="21"/>
        </w:rPr>
        <w:t>.3 开工</w:t>
      </w:r>
      <w:bookmarkEnd w:id="709"/>
    </w:p>
    <w:p w14:paraId="628F99E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7.3.1 开工准备</w:t>
      </w:r>
    </w:p>
    <w:p w14:paraId="272B4C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3BE6A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除专用合同条款另有约定外，合同当事人应按约定完成开工准备工作。</w:t>
      </w:r>
    </w:p>
    <w:p w14:paraId="057C1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7.3.2 开工通知</w:t>
      </w:r>
    </w:p>
    <w:p w14:paraId="1A9DFA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E6023D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697C350">
      <w:pPr>
        <w:widowControl/>
        <w:spacing w:line="360" w:lineRule="auto"/>
        <w:jc w:val="left"/>
        <w:outlineLvl w:val="4"/>
        <w:rPr>
          <w:rFonts w:ascii="宋体" w:hAnsi="宋体" w:eastAsia="宋体" w:cs="宋体"/>
          <w:b/>
          <w:bCs/>
          <w:kern w:val="0"/>
          <w:sz w:val="21"/>
          <w:szCs w:val="21"/>
        </w:rPr>
      </w:pPr>
      <w:bookmarkStart w:id="710" w:name="_Toc351203546"/>
      <w:bookmarkEnd w:id="710"/>
      <w:bookmarkStart w:id="711" w:name="_Toc532377232"/>
      <w:r>
        <w:rPr>
          <w:rFonts w:hint="eastAsia" w:ascii="宋体" w:hAnsi="宋体" w:eastAsia="宋体" w:cs="宋体"/>
          <w:b/>
          <w:bCs/>
          <w:kern w:val="0"/>
          <w:sz w:val="21"/>
          <w:szCs w:val="21"/>
        </w:rPr>
        <w:t>7.4测量放线</w:t>
      </w:r>
      <w:bookmarkEnd w:id="711"/>
    </w:p>
    <w:p w14:paraId="4682CB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B6551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FA8045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F2A9D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施工过程中对施工现场内水准点等测量标志物的保护工作由承包人负责。</w:t>
      </w:r>
      <w:bookmarkStart w:id="712" w:name="_Toc351203547"/>
      <w:bookmarkEnd w:id="712"/>
    </w:p>
    <w:p w14:paraId="3FA97560">
      <w:pPr>
        <w:widowControl/>
        <w:spacing w:line="360" w:lineRule="auto"/>
        <w:jc w:val="left"/>
        <w:outlineLvl w:val="4"/>
        <w:rPr>
          <w:rFonts w:ascii="宋体" w:hAnsi="宋体" w:eastAsia="宋体" w:cs="宋体"/>
          <w:b/>
          <w:bCs/>
          <w:kern w:val="0"/>
          <w:sz w:val="21"/>
          <w:szCs w:val="21"/>
        </w:rPr>
      </w:pPr>
      <w:bookmarkStart w:id="713" w:name="_Toc532377233"/>
      <w:bookmarkEnd w:id="713"/>
      <w:r>
        <w:rPr>
          <w:rFonts w:hint="eastAsia" w:ascii="宋体" w:hAnsi="宋体" w:eastAsia="宋体" w:cs="宋体"/>
          <w:b/>
          <w:bCs/>
          <w:kern w:val="0"/>
          <w:sz w:val="21"/>
          <w:szCs w:val="21"/>
        </w:rPr>
        <w:t>7</w:t>
      </w:r>
      <w:bookmarkStart w:id="714" w:name="_Toc296346574"/>
      <w:bookmarkEnd w:id="714"/>
      <w:bookmarkStart w:id="715" w:name="_Toc337558772"/>
      <w:bookmarkEnd w:id="715"/>
      <w:bookmarkStart w:id="716" w:name="_Toc296503073"/>
      <w:r>
        <w:rPr>
          <w:rFonts w:hint="eastAsia" w:ascii="宋体" w:hAnsi="宋体" w:eastAsia="宋体" w:cs="宋体"/>
          <w:b/>
          <w:bCs/>
          <w:kern w:val="0"/>
          <w:sz w:val="21"/>
          <w:szCs w:val="21"/>
        </w:rPr>
        <w:t>.5 工期延误</w:t>
      </w:r>
      <w:bookmarkEnd w:id="716"/>
    </w:p>
    <w:p w14:paraId="0B5E83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7.5.1 因发包人原因导致工期延误</w:t>
      </w:r>
    </w:p>
    <w:p w14:paraId="4BB3D9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在合同履行过程中，因下列情况导致工期延误和（或）费用增加的，由发包人承担由此延误的工期和（或）增加的费用，且发包人应支付承包人合理的利润： </w:t>
      </w:r>
    </w:p>
    <w:p w14:paraId="6CD0DC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（1）发包人未能按合同约定提供图纸或所提供图纸不符合合同约定的；</w:t>
      </w:r>
    </w:p>
    <w:p w14:paraId="6C57AD5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（2）发包人未能按合同约定提供施工现场、施工条件、基础资料、许可、批准等开工条件的；</w:t>
      </w:r>
    </w:p>
    <w:p w14:paraId="117541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（3）发包人提供的测量基准点、基准线和水准点及其书面资料存在错误或疏漏的；</w:t>
      </w:r>
    </w:p>
    <w:p w14:paraId="3DABDB6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（4）发包人未能在计划开工日期之日起7天内同意下达开工通知的；</w:t>
      </w:r>
    </w:p>
    <w:p w14:paraId="0F5E54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（5）发包人未能按合同约定日期支付工程预付款、进度款或竣工结算款的；</w:t>
      </w:r>
    </w:p>
    <w:p w14:paraId="712D14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（6）监理人未按合同约定发出指示、批准等文件的；</w:t>
      </w:r>
    </w:p>
    <w:p w14:paraId="44D7FBD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（7）专用合同条款中约定的其他情形。</w:t>
      </w:r>
    </w:p>
    <w:p w14:paraId="70A89B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F5F62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7.5.2 因承包人原因导致工期延误</w:t>
      </w:r>
    </w:p>
    <w:p w14:paraId="3E6F6815">
      <w:pPr>
        <w:autoSpaceDE w:val="0"/>
        <w:autoSpaceDN w:val="0"/>
        <w:spacing w:line="360" w:lineRule="auto"/>
        <w:jc w:val="left"/>
        <w:rPr>
          <w:rFonts w:ascii="宋体" w:hAnsi="宋体" w:eastAsia="宋体" w:cs="Times New Roman"/>
          <w:kern w:val="0"/>
          <w:sz w:val="21"/>
          <w:szCs w:val="21"/>
        </w:rPr>
      </w:pPr>
      <w:bookmarkStart w:id="717" w:name="_Toc296346577"/>
      <w:bookmarkEnd w:id="717"/>
      <w:bookmarkStart w:id="718" w:name="_Toc296503076"/>
      <w:r>
        <w:rPr>
          <w:rFonts w:hint="eastAsia" w:ascii="宋体" w:hAnsi="宋体" w:eastAsia="宋体" w:cs="Times New Roman"/>
          <w:kern w:val="0"/>
          <w:sz w:val="21"/>
          <w:szCs w:val="21"/>
        </w:rPr>
        <w:t>因</w:t>
      </w:r>
      <w:bookmarkEnd w:id="718"/>
      <w:r>
        <w:rPr>
          <w:rFonts w:hint="eastAsia" w:ascii="宋体" w:hAnsi="宋体" w:eastAsia="宋体" w:cs="Times New Roman"/>
          <w:kern w:val="0"/>
          <w:sz w:val="21"/>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61ED8E88">
      <w:pPr>
        <w:widowControl/>
        <w:spacing w:line="360" w:lineRule="auto"/>
        <w:jc w:val="left"/>
        <w:outlineLvl w:val="4"/>
        <w:rPr>
          <w:rFonts w:ascii="宋体" w:hAnsi="宋体" w:eastAsia="宋体" w:cs="宋体"/>
          <w:b/>
          <w:bCs/>
          <w:kern w:val="0"/>
          <w:sz w:val="21"/>
          <w:szCs w:val="21"/>
        </w:rPr>
      </w:pPr>
      <w:bookmarkStart w:id="719" w:name="_Toc532377234"/>
      <w:bookmarkEnd w:id="719"/>
      <w:bookmarkStart w:id="720" w:name="_Toc351203548"/>
      <w:r>
        <w:rPr>
          <w:rFonts w:hint="eastAsia" w:ascii="宋体" w:hAnsi="宋体" w:eastAsia="宋体" w:cs="宋体"/>
          <w:b/>
          <w:bCs/>
          <w:kern w:val="0"/>
          <w:sz w:val="21"/>
          <w:szCs w:val="21"/>
        </w:rPr>
        <w:t>7</w:t>
      </w:r>
      <w:bookmarkEnd w:id="720"/>
      <w:bookmarkStart w:id="721" w:name="_Toc296346575"/>
      <w:bookmarkEnd w:id="721"/>
      <w:bookmarkStart w:id="722" w:name="_Toc296503074"/>
      <w:bookmarkEnd w:id="722"/>
      <w:bookmarkStart w:id="723" w:name="_Toc296503077"/>
      <w:bookmarkEnd w:id="723"/>
      <w:bookmarkStart w:id="724" w:name="_Toc337558773"/>
      <w:bookmarkEnd w:id="724"/>
      <w:bookmarkStart w:id="725" w:name="_Toc296346578"/>
      <w:r>
        <w:rPr>
          <w:rFonts w:hint="eastAsia" w:ascii="宋体" w:hAnsi="宋体" w:eastAsia="宋体" w:cs="宋体"/>
          <w:b/>
          <w:bCs/>
          <w:kern w:val="0"/>
          <w:sz w:val="21"/>
          <w:szCs w:val="21"/>
        </w:rPr>
        <w:t>.6 不利物质条件</w:t>
      </w:r>
      <w:bookmarkEnd w:id="725"/>
    </w:p>
    <w:p w14:paraId="410795F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29CB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C3CF7E0">
      <w:pPr>
        <w:widowControl/>
        <w:spacing w:line="360" w:lineRule="auto"/>
        <w:jc w:val="left"/>
        <w:outlineLvl w:val="4"/>
        <w:rPr>
          <w:rFonts w:ascii="宋体" w:hAnsi="宋体" w:eastAsia="宋体" w:cs="宋体"/>
          <w:b/>
          <w:bCs/>
          <w:kern w:val="0"/>
          <w:sz w:val="21"/>
          <w:szCs w:val="21"/>
        </w:rPr>
      </w:pPr>
      <w:bookmarkStart w:id="726" w:name="_Toc351203549"/>
      <w:bookmarkEnd w:id="726"/>
      <w:bookmarkStart w:id="727" w:name="_Toc532377235"/>
      <w:r>
        <w:rPr>
          <w:rFonts w:hint="eastAsia" w:ascii="宋体" w:hAnsi="宋体" w:eastAsia="宋体" w:cs="宋体"/>
          <w:b/>
          <w:bCs/>
          <w:kern w:val="0"/>
          <w:sz w:val="21"/>
          <w:szCs w:val="21"/>
        </w:rPr>
        <w:t>7</w:t>
      </w:r>
      <w:bookmarkEnd w:id="727"/>
      <w:bookmarkStart w:id="728" w:name="_Toc337558774"/>
      <w:bookmarkEnd w:id="728"/>
      <w:bookmarkStart w:id="729" w:name="_Toc296503075"/>
      <w:bookmarkEnd w:id="729"/>
      <w:bookmarkStart w:id="730" w:name="_Toc296346576"/>
      <w:r>
        <w:rPr>
          <w:rFonts w:hint="eastAsia" w:ascii="宋体" w:hAnsi="宋体" w:eastAsia="宋体" w:cs="宋体"/>
          <w:b/>
          <w:bCs/>
          <w:kern w:val="0"/>
          <w:sz w:val="21"/>
          <w:szCs w:val="21"/>
        </w:rPr>
        <w:t>.7 异常恶劣的气候条件</w:t>
      </w:r>
      <w:bookmarkEnd w:id="730"/>
    </w:p>
    <w:p w14:paraId="58FBF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D4A5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731" w:name="_Toc351203550"/>
      <w:bookmarkEnd w:id="731"/>
    </w:p>
    <w:p w14:paraId="2C3B0199">
      <w:pPr>
        <w:widowControl/>
        <w:spacing w:line="360" w:lineRule="auto"/>
        <w:jc w:val="left"/>
        <w:outlineLvl w:val="4"/>
        <w:rPr>
          <w:rFonts w:ascii="宋体" w:hAnsi="宋体" w:eastAsia="宋体" w:cs="宋体"/>
          <w:b/>
          <w:bCs/>
          <w:kern w:val="0"/>
          <w:sz w:val="21"/>
          <w:szCs w:val="21"/>
        </w:rPr>
      </w:pPr>
      <w:bookmarkStart w:id="732" w:name="_Toc532377236"/>
      <w:bookmarkEnd w:id="732"/>
      <w:r>
        <w:rPr>
          <w:rFonts w:hint="eastAsia" w:ascii="宋体" w:hAnsi="宋体" w:eastAsia="宋体" w:cs="宋体"/>
          <w:b/>
          <w:bCs/>
          <w:kern w:val="0"/>
          <w:sz w:val="21"/>
          <w:szCs w:val="21"/>
        </w:rPr>
        <w:t>7</w:t>
      </w:r>
      <w:bookmarkStart w:id="733" w:name="_Toc337558775"/>
      <w:r>
        <w:rPr>
          <w:rFonts w:hint="eastAsia" w:ascii="宋体" w:hAnsi="宋体" w:eastAsia="宋体" w:cs="宋体"/>
          <w:b/>
          <w:bCs/>
          <w:kern w:val="0"/>
          <w:sz w:val="21"/>
          <w:szCs w:val="21"/>
        </w:rPr>
        <w:t>.8 暂停施工</w:t>
      </w:r>
      <w:bookmarkEnd w:id="733"/>
    </w:p>
    <w:p w14:paraId="6D5986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7.8.1发包人原因引起的暂停施工</w:t>
      </w:r>
    </w:p>
    <w:p w14:paraId="030044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因发包人原因引起暂停施工的，监理人经发包人同意后，应及时下达暂停施工指示。情况紧急且监理人未及时下达暂停施工指示的，按照第7.8.4项〔紧急情况下的暂停施工〕执行。</w:t>
      </w:r>
    </w:p>
    <w:p w14:paraId="4D2383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因发包人原因引起的暂停施工，发包人应承担由此增加的费用和（或）延误的工期，并支付承包人合理的利润。</w:t>
      </w:r>
    </w:p>
    <w:p w14:paraId="781F855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7.8.2 承包人原因引起的暂停施工</w:t>
      </w:r>
    </w:p>
    <w:p w14:paraId="5062C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17C7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7.8.3 指示暂停施工</w:t>
      </w:r>
    </w:p>
    <w:p w14:paraId="165E04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监理人认为有必要时，并经发包人批准后，可向承包人作出暂停施工的指示，承包人应按监理人指示暂停施工。</w:t>
      </w:r>
    </w:p>
    <w:p w14:paraId="4C1A25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7.8.4 紧急情况下的暂停施工</w:t>
      </w:r>
    </w:p>
    <w:p w14:paraId="6E1ACD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146028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7.8.5 暂停施工后的复工</w:t>
      </w:r>
    </w:p>
    <w:p w14:paraId="325D62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60416F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承包人无故拖延和拒绝复工的，承包人承担由此增加的费用和（或）延误的工期；因发包人原因无法按时复工的，按照第7.5.1项〔因发包人原因导致工期延误〕约定办理。</w:t>
      </w:r>
    </w:p>
    <w:p w14:paraId="0A45B5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7.8.6 暂停施工持续56天以上</w:t>
      </w:r>
    </w:p>
    <w:p w14:paraId="4605E8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64FC7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7718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7.8.7 暂停施工期间的工程照管</w:t>
      </w:r>
    </w:p>
    <w:p w14:paraId="3582CD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暂停施工期间，承包人应负责妥善照管工程并提供安全保障，由此增加的费用由责任方承担。</w:t>
      </w:r>
    </w:p>
    <w:p w14:paraId="1A14ED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7.8.8 暂停施工的措施</w:t>
      </w:r>
    </w:p>
    <w:p w14:paraId="360E4C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暂停施工期间，发包人和承包人均应采取必要的措施确保工程质量及安全，防止因暂停施工扩大损失。</w:t>
      </w:r>
    </w:p>
    <w:p w14:paraId="5FCB52F1">
      <w:pPr>
        <w:widowControl/>
        <w:spacing w:line="360" w:lineRule="auto"/>
        <w:jc w:val="left"/>
        <w:outlineLvl w:val="4"/>
        <w:rPr>
          <w:rFonts w:ascii="宋体" w:hAnsi="宋体" w:eastAsia="宋体" w:cs="宋体"/>
          <w:b/>
          <w:bCs/>
          <w:kern w:val="0"/>
          <w:sz w:val="21"/>
          <w:szCs w:val="21"/>
        </w:rPr>
      </w:pPr>
      <w:bookmarkStart w:id="734" w:name="_Toc351203551"/>
      <w:bookmarkEnd w:id="734"/>
      <w:bookmarkStart w:id="735" w:name="_Toc532377237"/>
      <w:r>
        <w:rPr>
          <w:rFonts w:hint="eastAsia" w:ascii="宋体" w:hAnsi="宋体" w:eastAsia="宋体" w:cs="宋体"/>
          <w:b/>
          <w:bCs/>
          <w:kern w:val="0"/>
          <w:sz w:val="21"/>
          <w:szCs w:val="21"/>
        </w:rPr>
        <w:t>7.9提前竣工</w:t>
      </w:r>
      <w:bookmarkEnd w:id="735"/>
    </w:p>
    <w:p w14:paraId="421E0E2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46FDC0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7.9.2 发包人要求承包人提前竣工，或承包人提出提前竣工的建议能够给发包人带来效益的，合同当事人可以在专用合同条款中约定提前竣工的奖励。</w:t>
      </w:r>
    </w:p>
    <w:p w14:paraId="0D1531FC">
      <w:pPr>
        <w:keepNext/>
        <w:keepLines/>
        <w:spacing w:before="156" w:beforeLines="50" w:after="156" w:afterLines="50" w:line="360" w:lineRule="auto"/>
        <w:outlineLvl w:val="3"/>
        <w:rPr>
          <w:rFonts w:ascii="宋体" w:hAnsi="宋体" w:eastAsia="宋体" w:cs="宋体"/>
          <w:b/>
          <w:sz w:val="21"/>
          <w:szCs w:val="21"/>
        </w:rPr>
      </w:pPr>
      <w:bookmarkStart w:id="736" w:name="_Toc532377238"/>
      <w:bookmarkEnd w:id="736"/>
      <w:bookmarkStart w:id="737" w:name="_Toc351203552"/>
      <w:bookmarkEnd w:id="737"/>
      <w:bookmarkStart w:id="738" w:name="_Toc532375594"/>
      <w:r>
        <w:rPr>
          <w:rFonts w:hint="eastAsia" w:ascii="宋体" w:hAnsi="宋体" w:eastAsia="宋体" w:cs="宋体"/>
          <w:b/>
          <w:bCs/>
          <w:sz w:val="21"/>
          <w:szCs w:val="21"/>
        </w:rPr>
        <w:t>8</w:t>
      </w:r>
      <w:bookmarkEnd w:id="738"/>
      <w:bookmarkStart w:id="739" w:name="_Toc296346559"/>
      <w:bookmarkEnd w:id="739"/>
      <w:bookmarkStart w:id="740" w:name="_Toc337558776"/>
      <w:bookmarkEnd w:id="740"/>
      <w:bookmarkStart w:id="741" w:name="_Toc296503058"/>
      <w:r>
        <w:rPr>
          <w:rFonts w:hint="eastAsia" w:ascii="宋体" w:hAnsi="宋体" w:eastAsia="宋体" w:cs="宋体"/>
          <w:b/>
          <w:bCs/>
          <w:sz w:val="21"/>
          <w:szCs w:val="21"/>
        </w:rPr>
        <w:t>. 材料与设备</w:t>
      </w:r>
      <w:bookmarkEnd w:id="741"/>
    </w:p>
    <w:p w14:paraId="30760DA1">
      <w:pPr>
        <w:widowControl/>
        <w:spacing w:line="360" w:lineRule="auto"/>
        <w:jc w:val="left"/>
        <w:outlineLvl w:val="4"/>
        <w:rPr>
          <w:rFonts w:ascii="宋体" w:hAnsi="宋体" w:eastAsia="宋体" w:cs="宋体"/>
          <w:b/>
          <w:bCs/>
          <w:kern w:val="0"/>
          <w:sz w:val="21"/>
          <w:szCs w:val="21"/>
        </w:rPr>
      </w:pPr>
      <w:bookmarkStart w:id="742" w:name="_Toc351203553"/>
      <w:bookmarkEnd w:id="742"/>
      <w:bookmarkStart w:id="743" w:name="_Toc532377239"/>
      <w:bookmarkEnd w:id="743"/>
      <w:r>
        <w:rPr>
          <w:rFonts w:hint="eastAsia" w:ascii="宋体" w:hAnsi="宋体" w:eastAsia="宋体" w:cs="宋体"/>
          <w:b/>
          <w:bCs/>
          <w:kern w:val="0"/>
          <w:sz w:val="21"/>
          <w:szCs w:val="21"/>
        </w:rPr>
        <w:t>8</w:t>
      </w:r>
      <w:bookmarkStart w:id="744" w:name="_Toc296503059"/>
      <w:bookmarkEnd w:id="744"/>
      <w:bookmarkStart w:id="745" w:name="_Toc337558777"/>
      <w:bookmarkEnd w:id="745"/>
      <w:bookmarkStart w:id="746" w:name="_Toc296346560"/>
      <w:bookmarkEnd w:id="746"/>
      <w:bookmarkStart w:id="747" w:name="_Toc468936960"/>
      <w:r>
        <w:rPr>
          <w:rFonts w:hint="eastAsia" w:ascii="宋体" w:hAnsi="宋体" w:eastAsia="宋体" w:cs="宋体"/>
          <w:b/>
          <w:bCs/>
          <w:kern w:val="0"/>
          <w:sz w:val="21"/>
          <w:szCs w:val="21"/>
        </w:rPr>
        <w:t>.1发包人供应材料与工程设备</w:t>
      </w:r>
      <w:bookmarkEnd w:id="747"/>
    </w:p>
    <w:p w14:paraId="77444F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发包人自行供应材料、工程设备的，应在签订合同时在专用合同条款的附件《发包人供应材料设备一览表》中明确材料、工程设备的品种、规格、型号、数量、单价、质量等级和送达地点。</w:t>
      </w:r>
    </w:p>
    <w:p w14:paraId="59487A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B7529D2">
      <w:pPr>
        <w:widowControl/>
        <w:spacing w:line="360" w:lineRule="auto"/>
        <w:jc w:val="left"/>
        <w:outlineLvl w:val="4"/>
        <w:rPr>
          <w:rFonts w:ascii="宋体" w:hAnsi="宋体" w:eastAsia="宋体" w:cs="宋体"/>
          <w:b/>
          <w:bCs/>
          <w:kern w:val="0"/>
          <w:sz w:val="21"/>
          <w:szCs w:val="21"/>
        </w:rPr>
      </w:pPr>
      <w:bookmarkStart w:id="748" w:name="_Toc532377240"/>
      <w:bookmarkEnd w:id="748"/>
      <w:r>
        <w:rPr>
          <w:rFonts w:hint="eastAsia" w:ascii="宋体" w:hAnsi="宋体" w:eastAsia="宋体" w:cs="宋体"/>
          <w:b/>
          <w:bCs/>
          <w:kern w:val="0"/>
          <w:sz w:val="21"/>
          <w:szCs w:val="21"/>
        </w:rPr>
        <w:t>8.2承包人采购材料与工程设备</w:t>
      </w:r>
    </w:p>
    <w:p w14:paraId="7A31D6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795296D">
      <w:pPr>
        <w:widowControl/>
        <w:spacing w:line="360" w:lineRule="auto"/>
        <w:jc w:val="left"/>
        <w:outlineLvl w:val="4"/>
        <w:rPr>
          <w:rFonts w:ascii="宋体" w:hAnsi="宋体" w:eastAsia="宋体" w:cs="宋体"/>
          <w:b/>
          <w:bCs/>
          <w:kern w:val="0"/>
          <w:sz w:val="21"/>
          <w:szCs w:val="21"/>
        </w:rPr>
      </w:pPr>
      <w:bookmarkStart w:id="749" w:name="_Toc351203555"/>
      <w:bookmarkEnd w:id="749"/>
      <w:bookmarkStart w:id="750" w:name="_Toc532377241"/>
      <w:r>
        <w:rPr>
          <w:rFonts w:hint="eastAsia" w:ascii="宋体" w:hAnsi="宋体" w:eastAsia="宋体" w:cs="宋体"/>
          <w:b/>
          <w:bCs/>
          <w:kern w:val="0"/>
          <w:sz w:val="21"/>
          <w:szCs w:val="21"/>
        </w:rPr>
        <w:t>8</w:t>
      </w:r>
      <w:bookmarkEnd w:id="750"/>
      <w:bookmarkStart w:id="751" w:name="_Toc337558779"/>
      <w:bookmarkEnd w:id="751"/>
      <w:bookmarkStart w:id="752" w:name="_Toc296346562"/>
      <w:bookmarkEnd w:id="752"/>
      <w:bookmarkStart w:id="753" w:name="_Toc296503061"/>
      <w:r>
        <w:rPr>
          <w:rFonts w:hint="eastAsia" w:ascii="宋体" w:hAnsi="宋体" w:eastAsia="宋体" w:cs="宋体"/>
          <w:b/>
          <w:bCs/>
          <w:kern w:val="0"/>
          <w:sz w:val="21"/>
          <w:szCs w:val="21"/>
        </w:rPr>
        <w:t>.3材料与工程设备的接收与拒收</w:t>
      </w:r>
      <w:bookmarkEnd w:id="753"/>
    </w:p>
    <w:p w14:paraId="351E36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C58D5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发包人提供的材料和工程设备的规格、数量或质量不符合合同约定的，或因发包人原因导致交货日期延误或交货地点变更等情况的，按照第16.1款〔发包人违约〕约定办理。</w:t>
      </w:r>
    </w:p>
    <w:p w14:paraId="297EF1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8.3.2 承包人采购的材料和工程设备，应保证产品质量合格，承包人应在材料和工程设备到货前24小时通知监理人检验。承</w:t>
      </w:r>
      <w:bookmarkStart w:id="754" w:name="_Toc250655469"/>
      <w:r>
        <w:rPr>
          <w:rFonts w:hint="eastAsia" w:ascii="宋体" w:hAnsi="宋体" w:eastAsia="宋体" w:cs="Times New Roman"/>
          <w:kern w:val="0"/>
          <w:sz w:val="21"/>
          <w:szCs w:val="21"/>
        </w:rPr>
        <w:t>包人进行永久设备、材料的制造和生产的，应符合相关质量标准，并向监理人提交材料的样本以及有关资料，并应在使用该材料或工程设备之前获得监理人同意。</w:t>
      </w:r>
      <w:bookmarkEnd w:id="754"/>
    </w:p>
    <w:p w14:paraId="0A7FF0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2F96DD8">
      <w:pPr>
        <w:widowControl/>
        <w:spacing w:line="360" w:lineRule="auto"/>
        <w:jc w:val="left"/>
        <w:outlineLvl w:val="4"/>
        <w:rPr>
          <w:rFonts w:ascii="宋体" w:hAnsi="宋体" w:eastAsia="宋体" w:cs="宋体"/>
          <w:b/>
          <w:bCs/>
          <w:kern w:val="0"/>
          <w:sz w:val="21"/>
          <w:szCs w:val="21"/>
        </w:rPr>
      </w:pPr>
      <w:bookmarkStart w:id="755" w:name="_Toc351203556"/>
      <w:bookmarkEnd w:id="755"/>
      <w:bookmarkStart w:id="756" w:name="_Toc532377242"/>
      <w:r>
        <w:rPr>
          <w:rFonts w:hint="eastAsia" w:ascii="宋体" w:hAnsi="宋体" w:eastAsia="宋体" w:cs="宋体"/>
          <w:b/>
          <w:bCs/>
          <w:kern w:val="0"/>
          <w:sz w:val="21"/>
          <w:szCs w:val="21"/>
        </w:rPr>
        <w:t>8</w:t>
      </w:r>
      <w:bookmarkEnd w:id="756"/>
      <w:bookmarkStart w:id="757" w:name="_Toc296503062"/>
      <w:bookmarkEnd w:id="757"/>
      <w:bookmarkStart w:id="758" w:name="_Toc296346563"/>
      <w:bookmarkEnd w:id="758"/>
      <w:bookmarkStart w:id="759" w:name="_Toc337558780"/>
      <w:r>
        <w:rPr>
          <w:rFonts w:hint="eastAsia" w:ascii="宋体" w:hAnsi="宋体" w:eastAsia="宋体" w:cs="宋体"/>
          <w:b/>
          <w:bCs/>
          <w:kern w:val="0"/>
          <w:sz w:val="21"/>
          <w:szCs w:val="21"/>
        </w:rPr>
        <w:t>.4材料与工程设备的保管与使用</w:t>
      </w:r>
      <w:bookmarkEnd w:id="759"/>
    </w:p>
    <w:p w14:paraId="0F96FC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8.4.1 发包人供应材料与工程设备的保管与使用</w:t>
      </w:r>
    </w:p>
    <w:p w14:paraId="406907B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F9B2B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发包人供应的材料和工程设备使用前，由承包人负责检验，检验费用由发包人承担，不合格的不得使用。</w:t>
      </w:r>
    </w:p>
    <w:p w14:paraId="76E0AD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8.4.2 承包人采购材料与工程设备的保管与使用</w:t>
      </w:r>
    </w:p>
    <w:p w14:paraId="3E1C3F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5E670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发包人或监理人发现承包人使用不符合设计或有关标准要求的材料和工程设备时，有权要求承包人进行修复、拆除或重新采购，由此增加的费用和（或）延误的工期，由承包人承担。</w:t>
      </w:r>
    </w:p>
    <w:p w14:paraId="30633D03">
      <w:pPr>
        <w:widowControl/>
        <w:spacing w:line="360" w:lineRule="auto"/>
        <w:jc w:val="left"/>
        <w:outlineLvl w:val="4"/>
        <w:rPr>
          <w:rFonts w:ascii="宋体" w:hAnsi="宋体" w:eastAsia="宋体" w:cs="宋体"/>
          <w:b/>
          <w:bCs/>
          <w:kern w:val="0"/>
          <w:sz w:val="21"/>
          <w:szCs w:val="21"/>
        </w:rPr>
      </w:pPr>
      <w:bookmarkStart w:id="760" w:name="_Toc351203557"/>
      <w:bookmarkEnd w:id="760"/>
      <w:bookmarkStart w:id="761" w:name="_Toc532377243"/>
      <w:r>
        <w:rPr>
          <w:rFonts w:hint="eastAsia" w:ascii="宋体" w:hAnsi="宋体" w:eastAsia="宋体" w:cs="宋体"/>
          <w:b/>
          <w:bCs/>
          <w:kern w:val="0"/>
          <w:sz w:val="21"/>
          <w:szCs w:val="21"/>
        </w:rPr>
        <w:t>8.5禁止使用不合格的材料和工程设备</w:t>
      </w:r>
      <w:bookmarkEnd w:id="761"/>
    </w:p>
    <w:p w14:paraId="39CE28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8.5.1 监理人有权拒绝承包人提供的不合格材料或工程设备，并要求承包人立即进行更换。监理人应在更换后再次进行检查和检验，由此增加的费用和（或）延误的工期由承包人承担。</w:t>
      </w:r>
    </w:p>
    <w:p w14:paraId="13357F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8.5.2 监理人发现承包人使用了不合格的材料和工程设备，承包人应按照监理人的指示立即改正，并禁止在工程中继续使用不合格的材料和工程设备。</w:t>
      </w:r>
    </w:p>
    <w:p w14:paraId="77B1CA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8.5.3 发包人提供的材料或工程设备不符合合同要求的，承包人有权拒绝，并可要求发包人更换，由此增加的费用和（或）延误的工期由发包人承担，并支付承包人合理的利润。</w:t>
      </w:r>
    </w:p>
    <w:p w14:paraId="54DB6560">
      <w:pPr>
        <w:widowControl/>
        <w:spacing w:line="360" w:lineRule="auto"/>
        <w:jc w:val="left"/>
        <w:outlineLvl w:val="4"/>
        <w:rPr>
          <w:rFonts w:ascii="宋体" w:hAnsi="宋体" w:eastAsia="宋体" w:cs="宋体"/>
          <w:b/>
          <w:bCs/>
          <w:kern w:val="0"/>
          <w:sz w:val="21"/>
          <w:szCs w:val="21"/>
        </w:rPr>
      </w:pPr>
      <w:bookmarkStart w:id="762" w:name="_Toc351203558"/>
      <w:bookmarkEnd w:id="762"/>
      <w:bookmarkStart w:id="763" w:name="_Toc532377244"/>
      <w:r>
        <w:rPr>
          <w:rFonts w:hint="eastAsia" w:ascii="宋体" w:hAnsi="宋体" w:eastAsia="宋体" w:cs="宋体"/>
          <w:b/>
          <w:bCs/>
          <w:kern w:val="0"/>
          <w:sz w:val="21"/>
          <w:szCs w:val="21"/>
        </w:rPr>
        <w:t>8.6 样品</w:t>
      </w:r>
      <w:bookmarkEnd w:id="763"/>
    </w:p>
    <w:p w14:paraId="53E9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8.6.1</w:t>
      </w:r>
      <w:r>
        <w:rPr>
          <w:rFonts w:hint="eastAsia" w:ascii="宋体" w:hAnsi="宋体" w:eastAsia="宋体" w:cs="Times New Roman"/>
          <w:kern w:val="0"/>
          <w:sz w:val="21"/>
          <w:szCs w:val="21"/>
        </w:rPr>
        <w:tab/>
      </w:r>
      <w:r>
        <w:rPr>
          <w:rFonts w:hint="eastAsia" w:ascii="宋体" w:hAnsi="宋体" w:eastAsia="宋体" w:cs="Times New Roman"/>
          <w:kern w:val="0"/>
          <w:sz w:val="21"/>
          <w:szCs w:val="21"/>
        </w:rPr>
        <w:t>样品的报送与封存</w:t>
      </w:r>
    </w:p>
    <w:p w14:paraId="731AF7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需要承包人报送样品的材料或工程设备，样品的种类、名称、规格、数量等要求均应在专用合同条款中约定。样品的报送程序如下：</w:t>
      </w:r>
    </w:p>
    <w:p w14:paraId="065407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3BEC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97532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（3）经发包人和监理人审批确认的样品应按约定的方法封样，封存的样品作为检验工程相关部分的标准之一。承包人在施工过程中不得使用与样品不符的材料或工程设备。</w:t>
      </w:r>
    </w:p>
    <w:p w14:paraId="74C89E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1B175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8.6.2 样品的保管</w:t>
      </w:r>
    </w:p>
    <w:p w14:paraId="603F25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经批准的样品应由监理人负责封存于现场，承包人应在现场为保存样品提供适当和固定的场所并保持适当和良好的存储环境条件。</w:t>
      </w:r>
    </w:p>
    <w:p w14:paraId="70081CCF">
      <w:pPr>
        <w:widowControl/>
        <w:spacing w:line="360" w:lineRule="auto"/>
        <w:jc w:val="left"/>
        <w:outlineLvl w:val="4"/>
        <w:rPr>
          <w:rFonts w:ascii="宋体" w:hAnsi="宋体" w:eastAsia="宋体" w:cs="宋体"/>
          <w:b/>
          <w:bCs/>
          <w:kern w:val="0"/>
          <w:sz w:val="21"/>
          <w:szCs w:val="21"/>
        </w:rPr>
      </w:pPr>
      <w:bookmarkStart w:id="764" w:name="_Toc532377245"/>
      <w:bookmarkEnd w:id="764"/>
      <w:bookmarkStart w:id="765" w:name="_Toc351203559"/>
      <w:r>
        <w:rPr>
          <w:rFonts w:hint="eastAsia" w:ascii="宋体" w:hAnsi="宋体" w:eastAsia="宋体" w:cs="宋体"/>
          <w:b/>
          <w:bCs/>
          <w:kern w:val="0"/>
          <w:sz w:val="21"/>
          <w:szCs w:val="21"/>
        </w:rPr>
        <w:t>8.7材料与工程设备的替代</w:t>
      </w:r>
      <w:bookmarkEnd w:id="765"/>
    </w:p>
    <w:p w14:paraId="4511B0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8.7.1 出现下列情况需要使用替代材料和工程设备的，承包人应按照第8.7.2项约定的程序执行：</w:t>
      </w:r>
    </w:p>
    <w:p w14:paraId="2706F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（1）基准日期后生效的法律规定禁止使用的；</w:t>
      </w:r>
    </w:p>
    <w:p w14:paraId="0A4579D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（2）发包人要求使用替代品的；</w:t>
      </w:r>
    </w:p>
    <w:p w14:paraId="75A63AD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（3）因其他原因必须使用替代品的。</w:t>
      </w:r>
    </w:p>
    <w:p w14:paraId="35F2DA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8.7.2 承包人应在使用替代材料和工程设备28天前书面通知监理人，并附下列文件：</w:t>
      </w:r>
    </w:p>
    <w:p w14:paraId="067DF3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（1）被替代的材料和工程设备的名称、数量、规格、型号、品牌、性能、价格及其他相关资料；</w:t>
      </w:r>
    </w:p>
    <w:p w14:paraId="417A27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（2）替代品的名称、数量、规格、型号、品牌、性能、价格及其他相关资料；</w:t>
      </w:r>
    </w:p>
    <w:p w14:paraId="79460C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（3）替代品与被替代产品之间的差异以及使用替代品可能对工程产生的影响；</w:t>
      </w:r>
    </w:p>
    <w:p w14:paraId="6AD985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（4）替代品与被替代产品的价格差异；</w:t>
      </w:r>
    </w:p>
    <w:p w14:paraId="5CCB12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（5）使用替代品的理由和原因说明；</w:t>
      </w:r>
    </w:p>
    <w:p w14:paraId="153A4E9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（6）监理人要求的其他文件。</w:t>
      </w:r>
    </w:p>
    <w:p w14:paraId="7F386A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监理人应在收到通知后14天内向承包人发出经发包人签认的书面指示；监理人逾期发出书面指示的，视为发包人和监理人同意使用替代品。</w:t>
      </w:r>
    </w:p>
    <w:p w14:paraId="5E13D5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90C9781">
      <w:pPr>
        <w:widowControl/>
        <w:spacing w:line="360" w:lineRule="auto"/>
        <w:jc w:val="left"/>
        <w:outlineLvl w:val="4"/>
        <w:rPr>
          <w:rFonts w:ascii="宋体" w:hAnsi="宋体" w:eastAsia="宋体" w:cs="宋体"/>
          <w:b/>
          <w:bCs/>
          <w:kern w:val="0"/>
          <w:sz w:val="21"/>
          <w:szCs w:val="21"/>
        </w:rPr>
      </w:pPr>
      <w:bookmarkStart w:id="766" w:name="_Toc532377246"/>
      <w:bookmarkEnd w:id="766"/>
      <w:bookmarkStart w:id="767" w:name="_Toc351203560"/>
      <w:r>
        <w:rPr>
          <w:rFonts w:hint="eastAsia" w:ascii="宋体" w:hAnsi="宋体" w:eastAsia="宋体" w:cs="宋体"/>
          <w:b/>
          <w:bCs/>
          <w:kern w:val="0"/>
          <w:sz w:val="21"/>
          <w:szCs w:val="21"/>
        </w:rPr>
        <w:t>8.8施工设备和临时设施</w:t>
      </w:r>
      <w:bookmarkEnd w:id="767"/>
    </w:p>
    <w:p w14:paraId="0D4472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8.8.1 承包人提供的施工设备和临时设施</w:t>
      </w:r>
    </w:p>
    <w:p w14:paraId="234FCB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4C5CC1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除专用合同条款另有约定外，承包人应自行承担修建临时设施的费用，需要临时占地的，应由发包人办理申请手续并承担相应费用。</w:t>
      </w:r>
    </w:p>
    <w:p w14:paraId="6CD94B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8.8.2发包人提供的施工设备和临时设施</w:t>
      </w:r>
    </w:p>
    <w:p w14:paraId="46C1325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发包人提供的施工设备或临时设施在专用合同条款中约定。</w:t>
      </w:r>
    </w:p>
    <w:p w14:paraId="5BDF2D7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8.8.3要求承包人增加或更换施工设备</w:t>
      </w:r>
    </w:p>
    <w:p w14:paraId="2A33B5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承包人使用的施工设备不能满足合同进度计划和（或）质量要求时，监理人有权要求承包人增加或更换施工设备，承包人应及时增加或更换，由此增加的费用和（或）延误的工期由承包人承担。</w:t>
      </w:r>
    </w:p>
    <w:p w14:paraId="77BD72A9">
      <w:pPr>
        <w:widowControl/>
        <w:spacing w:line="360" w:lineRule="auto"/>
        <w:jc w:val="left"/>
        <w:outlineLvl w:val="4"/>
        <w:rPr>
          <w:rFonts w:ascii="宋体" w:hAnsi="宋体" w:eastAsia="宋体" w:cs="宋体"/>
          <w:b/>
          <w:bCs/>
          <w:kern w:val="0"/>
          <w:sz w:val="21"/>
          <w:szCs w:val="21"/>
        </w:rPr>
      </w:pPr>
      <w:bookmarkStart w:id="768" w:name="_Toc351203561"/>
      <w:bookmarkEnd w:id="768"/>
      <w:bookmarkStart w:id="769" w:name="_Toc532377247"/>
      <w:r>
        <w:rPr>
          <w:rFonts w:hint="eastAsia" w:ascii="宋体" w:hAnsi="宋体" w:eastAsia="宋体" w:cs="宋体"/>
          <w:b/>
          <w:bCs/>
          <w:kern w:val="0"/>
          <w:sz w:val="21"/>
          <w:szCs w:val="21"/>
        </w:rPr>
        <w:t>8</w:t>
      </w:r>
      <w:bookmarkEnd w:id="769"/>
      <w:bookmarkStart w:id="770" w:name="_Toc296503063"/>
      <w:bookmarkEnd w:id="770"/>
      <w:bookmarkStart w:id="771" w:name="_Toc337558781"/>
      <w:bookmarkEnd w:id="771"/>
      <w:bookmarkStart w:id="772" w:name="_Toc296346564"/>
      <w:r>
        <w:rPr>
          <w:rFonts w:hint="eastAsia" w:ascii="宋体" w:hAnsi="宋体" w:eastAsia="宋体" w:cs="宋体"/>
          <w:b/>
          <w:bCs/>
          <w:kern w:val="0"/>
          <w:sz w:val="21"/>
          <w:szCs w:val="21"/>
        </w:rPr>
        <w:t>.9材料与设备专用</w:t>
      </w:r>
      <w:bookmarkEnd w:id="772"/>
      <w:r>
        <w:rPr>
          <w:rFonts w:hint="eastAsia" w:ascii="宋体" w:hAnsi="宋体" w:eastAsia="宋体" w:cs="宋体"/>
          <w:b/>
          <w:bCs/>
          <w:kern w:val="0"/>
          <w:sz w:val="21"/>
          <w:szCs w:val="21"/>
        </w:rPr>
        <w:t>要求</w:t>
      </w:r>
    </w:p>
    <w:p w14:paraId="05A3A8E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8D9178A">
      <w:pPr>
        <w:keepNext/>
        <w:keepLines/>
        <w:spacing w:before="156" w:beforeLines="50" w:after="156" w:afterLines="50" w:line="360" w:lineRule="auto"/>
        <w:outlineLvl w:val="3"/>
        <w:rPr>
          <w:rFonts w:ascii="宋体" w:hAnsi="宋体" w:eastAsia="宋体" w:cs="宋体"/>
          <w:b/>
          <w:sz w:val="21"/>
          <w:szCs w:val="21"/>
        </w:rPr>
      </w:pPr>
      <w:bookmarkStart w:id="773" w:name="_Toc351203562"/>
      <w:bookmarkEnd w:id="773"/>
      <w:bookmarkStart w:id="774" w:name="_Toc532375595"/>
      <w:bookmarkEnd w:id="774"/>
      <w:bookmarkStart w:id="775" w:name="_Toc532377248"/>
      <w:r>
        <w:rPr>
          <w:rFonts w:hint="eastAsia" w:ascii="宋体" w:hAnsi="宋体" w:eastAsia="宋体" w:cs="宋体"/>
          <w:b/>
          <w:bCs/>
          <w:sz w:val="21"/>
          <w:szCs w:val="21"/>
        </w:rPr>
        <w:t>9</w:t>
      </w:r>
      <w:bookmarkEnd w:id="775"/>
      <w:bookmarkStart w:id="776" w:name="_Toc296503083"/>
      <w:bookmarkEnd w:id="776"/>
      <w:bookmarkStart w:id="777" w:name="_Toc337558782"/>
      <w:bookmarkEnd w:id="777"/>
      <w:bookmarkStart w:id="778" w:name="_Toc296346584"/>
      <w:r>
        <w:rPr>
          <w:rFonts w:hint="eastAsia" w:ascii="宋体" w:hAnsi="宋体" w:eastAsia="宋体" w:cs="宋体"/>
          <w:b/>
          <w:bCs/>
          <w:sz w:val="21"/>
          <w:szCs w:val="21"/>
        </w:rPr>
        <w:t>. 试验与检验</w:t>
      </w:r>
      <w:bookmarkEnd w:id="778"/>
    </w:p>
    <w:p w14:paraId="7F72DC56">
      <w:pPr>
        <w:widowControl/>
        <w:spacing w:line="360" w:lineRule="auto"/>
        <w:jc w:val="left"/>
        <w:outlineLvl w:val="4"/>
        <w:rPr>
          <w:rFonts w:ascii="宋体" w:hAnsi="宋体" w:eastAsia="宋体" w:cs="宋体"/>
          <w:b/>
          <w:bCs/>
          <w:kern w:val="0"/>
          <w:sz w:val="21"/>
          <w:szCs w:val="21"/>
        </w:rPr>
      </w:pPr>
      <w:bookmarkStart w:id="779" w:name="_Toc351203563"/>
      <w:bookmarkEnd w:id="779"/>
      <w:bookmarkStart w:id="780" w:name="_Toc532377249"/>
      <w:r>
        <w:rPr>
          <w:rFonts w:hint="eastAsia" w:ascii="宋体" w:hAnsi="宋体" w:eastAsia="宋体" w:cs="宋体"/>
          <w:b/>
          <w:bCs/>
          <w:kern w:val="0"/>
          <w:sz w:val="21"/>
          <w:szCs w:val="21"/>
        </w:rPr>
        <w:t>9</w:t>
      </w:r>
      <w:bookmarkEnd w:id="780"/>
      <w:bookmarkStart w:id="781" w:name="_Toc337558783"/>
      <w:r>
        <w:rPr>
          <w:rFonts w:hint="eastAsia" w:ascii="宋体" w:hAnsi="宋体" w:eastAsia="宋体" w:cs="宋体"/>
          <w:b/>
          <w:bCs/>
          <w:kern w:val="0"/>
          <w:sz w:val="21"/>
          <w:szCs w:val="21"/>
        </w:rPr>
        <w:t>.1试验设备与试验人员</w:t>
      </w:r>
      <w:bookmarkEnd w:id="781"/>
    </w:p>
    <w:p w14:paraId="7ABD3E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2087D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9.1.2 承包人应按专用合同条款的约定提供试验设备、取样装置、试验场所和试验条件，并向监理人提交相应进场计划表。</w:t>
      </w:r>
    </w:p>
    <w:p w14:paraId="2C3A740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承包人配置的试验设备要符合相应试验规程的要求并经过具有资质的检测单位检测，且在正式使用该试验设备前，需要经过监理人与承包人共同校定。</w:t>
      </w:r>
    </w:p>
    <w:p w14:paraId="659EB2C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9.1.3 承包人应向监理人提交试验人员的名单及其岗位、资格等证明资料，试验人员必须能够熟练进行相应的检测试验，承包人对试验人员的试验程序和试验结果的正确性负责。</w:t>
      </w:r>
    </w:p>
    <w:p w14:paraId="32DFC39B">
      <w:pPr>
        <w:widowControl/>
        <w:spacing w:line="360" w:lineRule="auto"/>
        <w:jc w:val="left"/>
        <w:outlineLvl w:val="4"/>
        <w:rPr>
          <w:rFonts w:ascii="宋体" w:hAnsi="宋体" w:eastAsia="宋体" w:cs="宋体"/>
          <w:b/>
          <w:bCs/>
          <w:kern w:val="0"/>
          <w:sz w:val="21"/>
          <w:szCs w:val="21"/>
        </w:rPr>
      </w:pPr>
      <w:bookmarkStart w:id="782" w:name="_Toc532377250"/>
      <w:bookmarkEnd w:id="782"/>
      <w:bookmarkStart w:id="783" w:name="_Toc351203564"/>
      <w:r>
        <w:rPr>
          <w:rFonts w:hint="eastAsia" w:ascii="宋体" w:hAnsi="宋体" w:eastAsia="宋体" w:cs="宋体"/>
          <w:b/>
          <w:bCs/>
          <w:kern w:val="0"/>
          <w:sz w:val="21"/>
          <w:szCs w:val="21"/>
        </w:rPr>
        <w:t>9</w:t>
      </w:r>
      <w:bookmarkEnd w:id="783"/>
      <w:bookmarkStart w:id="784" w:name="_Toc337558784"/>
      <w:r>
        <w:rPr>
          <w:rFonts w:hint="eastAsia" w:ascii="宋体" w:hAnsi="宋体" w:eastAsia="宋体" w:cs="宋体"/>
          <w:b/>
          <w:bCs/>
          <w:kern w:val="0"/>
          <w:sz w:val="21"/>
          <w:szCs w:val="21"/>
        </w:rPr>
        <w:t>.2取样</w:t>
      </w:r>
      <w:bookmarkEnd w:id="784"/>
    </w:p>
    <w:p w14:paraId="337BCC1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试验属于自检性质的，承包人可以单独取样。试验属于监理人抽检性质的，可由监理人取样，也可由承包人的试验人员在监理人的监督下取样。</w:t>
      </w:r>
    </w:p>
    <w:p w14:paraId="668DDDCF">
      <w:pPr>
        <w:widowControl/>
        <w:spacing w:line="360" w:lineRule="auto"/>
        <w:jc w:val="left"/>
        <w:outlineLvl w:val="4"/>
        <w:rPr>
          <w:rFonts w:ascii="宋体" w:hAnsi="宋体" w:eastAsia="宋体" w:cs="宋体"/>
          <w:b/>
          <w:bCs/>
          <w:kern w:val="0"/>
          <w:sz w:val="21"/>
          <w:szCs w:val="21"/>
        </w:rPr>
      </w:pPr>
      <w:bookmarkStart w:id="785" w:name="_Toc351203565"/>
      <w:bookmarkEnd w:id="785"/>
      <w:bookmarkStart w:id="786" w:name="_Toc532377251"/>
      <w:r>
        <w:rPr>
          <w:rFonts w:hint="eastAsia" w:ascii="宋体" w:hAnsi="宋体" w:eastAsia="宋体" w:cs="宋体"/>
          <w:b/>
          <w:bCs/>
          <w:kern w:val="0"/>
          <w:sz w:val="21"/>
          <w:szCs w:val="21"/>
        </w:rPr>
        <w:t>9</w:t>
      </w:r>
      <w:bookmarkEnd w:id="786"/>
      <w:bookmarkStart w:id="787" w:name="_Toc337558785"/>
      <w:r>
        <w:rPr>
          <w:rFonts w:hint="eastAsia" w:ascii="宋体" w:hAnsi="宋体" w:eastAsia="宋体" w:cs="宋体"/>
          <w:b/>
          <w:bCs/>
          <w:kern w:val="0"/>
          <w:sz w:val="21"/>
          <w:szCs w:val="21"/>
        </w:rPr>
        <w:t>.3材料、工程设备和工程的试验和检验</w:t>
      </w:r>
      <w:bookmarkEnd w:id="787"/>
    </w:p>
    <w:p w14:paraId="7EEAEFC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A81E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CD616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CC9277B">
      <w:pPr>
        <w:widowControl/>
        <w:spacing w:line="360" w:lineRule="auto"/>
        <w:jc w:val="left"/>
        <w:outlineLvl w:val="4"/>
        <w:rPr>
          <w:rFonts w:ascii="宋体" w:hAnsi="宋体" w:eastAsia="宋体" w:cs="宋体"/>
          <w:b/>
          <w:bCs/>
          <w:kern w:val="0"/>
          <w:sz w:val="21"/>
          <w:szCs w:val="21"/>
        </w:rPr>
      </w:pPr>
      <w:bookmarkStart w:id="788" w:name="_Toc351203566"/>
      <w:bookmarkEnd w:id="788"/>
      <w:bookmarkStart w:id="789" w:name="_Toc532377252"/>
      <w:r>
        <w:rPr>
          <w:rFonts w:hint="eastAsia" w:ascii="宋体" w:hAnsi="宋体" w:eastAsia="宋体" w:cs="宋体"/>
          <w:b/>
          <w:bCs/>
          <w:kern w:val="0"/>
          <w:sz w:val="21"/>
          <w:szCs w:val="21"/>
        </w:rPr>
        <w:t>9</w:t>
      </w:r>
      <w:bookmarkEnd w:id="789"/>
      <w:bookmarkStart w:id="790" w:name="_Toc337558786"/>
      <w:r>
        <w:rPr>
          <w:rFonts w:hint="eastAsia" w:ascii="宋体" w:hAnsi="宋体" w:eastAsia="宋体" w:cs="宋体"/>
          <w:b/>
          <w:bCs/>
          <w:kern w:val="0"/>
          <w:sz w:val="21"/>
          <w:szCs w:val="21"/>
        </w:rPr>
        <w:t>.4现场工艺试验</w:t>
      </w:r>
      <w:bookmarkEnd w:id="790"/>
    </w:p>
    <w:p w14:paraId="5322BB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承包人应按合同约定或监理人指示进行现场工艺试验。对大型的现场工艺试验，监理人认为必要时，承包人应根据监理人提出的工艺试验要求，编制工艺试验措施计划，报送监理人审查。</w:t>
      </w:r>
    </w:p>
    <w:p w14:paraId="47E19871">
      <w:pPr>
        <w:keepNext/>
        <w:keepLines/>
        <w:spacing w:before="156" w:beforeLines="50" w:after="156" w:afterLines="50" w:line="360" w:lineRule="auto"/>
        <w:outlineLvl w:val="3"/>
        <w:rPr>
          <w:rFonts w:ascii="宋体" w:hAnsi="宋体" w:eastAsia="宋体" w:cs="宋体"/>
          <w:b/>
          <w:sz w:val="21"/>
          <w:szCs w:val="21"/>
        </w:rPr>
      </w:pPr>
      <w:bookmarkStart w:id="791" w:name="_Toc532375596"/>
      <w:bookmarkEnd w:id="791"/>
      <w:bookmarkStart w:id="792" w:name="_Toc351203567"/>
      <w:bookmarkEnd w:id="792"/>
      <w:bookmarkStart w:id="793" w:name="_Toc532377253"/>
      <w:r>
        <w:rPr>
          <w:rFonts w:hint="eastAsia" w:ascii="宋体" w:hAnsi="宋体" w:eastAsia="宋体" w:cs="宋体"/>
          <w:b/>
          <w:bCs/>
          <w:sz w:val="21"/>
          <w:szCs w:val="21"/>
        </w:rPr>
        <w:t>1</w:t>
      </w:r>
      <w:bookmarkEnd w:id="793"/>
      <w:bookmarkStart w:id="794" w:name="_Toc337558787"/>
      <w:r>
        <w:rPr>
          <w:rFonts w:hint="eastAsia" w:ascii="宋体" w:hAnsi="宋体" w:eastAsia="宋体" w:cs="宋体"/>
          <w:b/>
          <w:bCs/>
          <w:sz w:val="21"/>
          <w:szCs w:val="21"/>
        </w:rPr>
        <w:t>0. 变更</w:t>
      </w:r>
      <w:bookmarkEnd w:id="794"/>
    </w:p>
    <w:p w14:paraId="6F69C7DE">
      <w:pPr>
        <w:widowControl/>
        <w:spacing w:line="360" w:lineRule="auto"/>
        <w:jc w:val="left"/>
        <w:outlineLvl w:val="4"/>
        <w:rPr>
          <w:rFonts w:ascii="宋体" w:hAnsi="宋体" w:eastAsia="宋体" w:cs="宋体"/>
          <w:b/>
          <w:bCs/>
          <w:kern w:val="0"/>
          <w:sz w:val="21"/>
          <w:szCs w:val="21"/>
        </w:rPr>
      </w:pPr>
      <w:bookmarkStart w:id="795" w:name="_Toc532377254"/>
      <w:bookmarkEnd w:id="795"/>
      <w:bookmarkStart w:id="796" w:name="_Toc351203568"/>
      <w:r>
        <w:rPr>
          <w:rFonts w:hint="eastAsia" w:ascii="宋体" w:hAnsi="宋体" w:eastAsia="宋体" w:cs="宋体"/>
          <w:b/>
          <w:bCs/>
          <w:kern w:val="0"/>
          <w:sz w:val="21"/>
          <w:szCs w:val="21"/>
        </w:rPr>
        <w:t>1</w:t>
      </w:r>
      <w:bookmarkEnd w:id="796"/>
      <w:bookmarkStart w:id="797" w:name="_Toc296503084"/>
      <w:bookmarkEnd w:id="797"/>
      <w:bookmarkStart w:id="798" w:name="_Toc296346585"/>
      <w:bookmarkEnd w:id="798"/>
      <w:bookmarkStart w:id="799" w:name="_Toc337558788"/>
      <w:r>
        <w:rPr>
          <w:rFonts w:hint="eastAsia" w:ascii="宋体" w:hAnsi="宋体" w:eastAsia="宋体" w:cs="宋体"/>
          <w:b/>
          <w:bCs/>
          <w:kern w:val="0"/>
          <w:sz w:val="21"/>
          <w:szCs w:val="21"/>
        </w:rPr>
        <w:t>0.1变更的范围</w:t>
      </w:r>
      <w:bookmarkEnd w:id="799"/>
    </w:p>
    <w:p w14:paraId="3DAF0D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除专用合同条款另有约定外，合同履行过程中发生以下情形的，应按照本条约定进行变更：</w:t>
      </w:r>
    </w:p>
    <w:p w14:paraId="7F1F87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（1）增加或减少合同中任何工作，或追加额外的工作；</w:t>
      </w:r>
    </w:p>
    <w:p w14:paraId="1083C0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（2）取消合同中任何工作，但转由他人实施的工作除外；</w:t>
      </w:r>
    </w:p>
    <w:p w14:paraId="6D7099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（3）改变合同中任何工作的质量标准或其他特性；</w:t>
      </w:r>
    </w:p>
    <w:p w14:paraId="5D37132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（4）改变工程的基线、标高、位置和尺寸；</w:t>
      </w:r>
    </w:p>
    <w:p w14:paraId="6FAA33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（5）改变工程的时间安排或实施顺序。</w:t>
      </w:r>
    </w:p>
    <w:p w14:paraId="7DFE57B0">
      <w:pPr>
        <w:widowControl/>
        <w:spacing w:line="360" w:lineRule="auto"/>
        <w:jc w:val="left"/>
        <w:outlineLvl w:val="4"/>
        <w:rPr>
          <w:rFonts w:ascii="宋体" w:hAnsi="宋体" w:eastAsia="宋体" w:cs="宋体"/>
          <w:b/>
          <w:bCs/>
          <w:kern w:val="0"/>
          <w:sz w:val="21"/>
          <w:szCs w:val="21"/>
        </w:rPr>
      </w:pPr>
      <w:bookmarkStart w:id="800" w:name="_Toc532377255"/>
      <w:bookmarkEnd w:id="800"/>
      <w:r>
        <w:rPr>
          <w:rFonts w:hint="eastAsia" w:ascii="宋体" w:hAnsi="宋体" w:eastAsia="宋体" w:cs="宋体"/>
          <w:b/>
          <w:bCs/>
          <w:kern w:val="0"/>
          <w:sz w:val="21"/>
          <w:szCs w:val="21"/>
        </w:rPr>
        <w:t>10.2变更权</w:t>
      </w:r>
    </w:p>
    <w:p w14:paraId="691229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C63D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涉及设计变更的，应由设计人提供变更后的图纸和说明。如变更超过原设计标准或批准的建设规模时，发包人应及时办理规划、设计变更等审批手续。</w:t>
      </w:r>
    </w:p>
    <w:p w14:paraId="13CB798E">
      <w:pPr>
        <w:widowControl/>
        <w:spacing w:line="360" w:lineRule="auto"/>
        <w:jc w:val="left"/>
        <w:outlineLvl w:val="4"/>
        <w:rPr>
          <w:rFonts w:ascii="宋体" w:hAnsi="宋体" w:eastAsia="宋体" w:cs="宋体"/>
          <w:b/>
          <w:bCs/>
          <w:kern w:val="0"/>
          <w:sz w:val="21"/>
          <w:szCs w:val="21"/>
        </w:rPr>
      </w:pPr>
      <w:bookmarkStart w:id="801" w:name="_Toc532377256"/>
      <w:bookmarkEnd w:id="801"/>
      <w:r>
        <w:rPr>
          <w:rFonts w:hint="eastAsia" w:ascii="宋体" w:hAnsi="宋体" w:eastAsia="宋体" w:cs="宋体"/>
          <w:b/>
          <w:bCs/>
          <w:kern w:val="0"/>
          <w:sz w:val="21"/>
          <w:szCs w:val="21"/>
        </w:rPr>
        <w:t>10.3变更程序</w:t>
      </w:r>
    </w:p>
    <w:p w14:paraId="3DD7D47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10.3.1 发包人提出变更</w:t>
      </w:r>
    </w:p>
    <w:p w14:paraId="76DD55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发包人提出变更的，应通过监理人向承包人发出变更指示，变更指示应说明计划变更的工程范围和变更的内容。</w:t>
      </w:r>
    </w:p>
    <w:p w14:paraId="3C03A61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10.3.2 监理人提出变更建议</w:t>
      </w:r>
    </w:p>
    <w:p w14:paraId="26CBD90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5A12EA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10.3.3 变更执行</w:t>
      </w:r>
    </w:p>
    <w:p w14:paraId="4AB9B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F89922">
      <w:pPr>
        <w:widowControl/>
        <w:spacing w:line="360" w:lineRule="auto"/>
        <w:jc w:val="left"/>
        <w:outlineLvl w:val="4"/>
        <w:rPr>
          <w:rFonts w:ascii="宋体" w:hAnsi="宋体" w:eastAsia="宋体" w:cs="宋体"/>
          <w:b/>
          <w:bCs/>
          <w:kern w:val="0"/>
          <w:sz w:val="21"/>
          <w:szCs w:val="21"/>
        </w:rPr>
      </w:pPr>
      <w:bookmarkStart w:id="802" w:name="_Toc351203571"/>
      <w:bookmarkEnd w:id="802"/>
      <w:bookmarkStart w:id="803" w:name="_Toc532377257"/>
      <w:r>
        <w:rPr>
          <w:rFonts w:hint="eastAsia" w:ascii="宋体" w:hAnsi="宋体" w:eastAsia="宋体" w:cs="宋体"/>
          <w:b/>
          <w:bCs/>
          <w:kern w:val="0"/>
          <w:sz w:val="21"/>
          <w:szCs w:val="21"/>
        </w:rPr>
        <w:t>1</w:t>
      </w:r>
      <w:bookmarkEnd w:id="803"/>
      <w:bookmarkStart w:id="804" w:name="_Toc296503087"/>
      <w:bookmarkEnd w:id="804"/>
      <w:bookmarkStart w:id="805" w:name="_Toc337558791"/>
      <w:bookmarkEnd w:id="805"/>
      <w:bookmarkStart w:id="806" w:name="_Toc296346588"/>
      <w:r>
        <w:rPr>
          <w:rFonts w:hint="eastAsia" w:ascii="宋体" w:hAnsi="宋体" w:eastAsia="宋体" w:cs="宋体"/>
          <w:b/>
          <w:bCs/>
          <w:kern w:val="0"/>
          <w:sz w:val="21"/>
          <w:szCs w:val="21"/>
        </w:rPr>
        <w:t>0.4变更估价</w:t>
      </w:r>
      <w:bookmarkEnd w:id="806"/>
    </w:p>
    <w:p w14:paraId="15DE3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10.4.1 变更估价原则</w:t>
      </w:r>
    </w:p>
    <w:p w14:paraId="673960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除专用合同条款另有约定外，变更估价按照本款约定处理：</w:t>
      </w:r>
    </w:p>
    <w:p w14:paraId="69EC13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（1）已标价工程量清单或预算书有相同项目的，按照相同项目单价认定；</w:t>
      </w:r>
    </w:p>
    <w:p w14:paraId="00A941E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（2）已标价工程量清单或预算书中无相同项目，但有类似项目的，参照类似项目的单价认定；</w:t>
      </w:r>
    </w:p>
    <w:p w14:paraId="6AEADC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75124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10.4.2 变更估价程序</w:t>
      </w:r>
    </w:p>
    <w:p w14:paraId="26FD59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45E25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因变更引起的价格调整应计入最近一期的进度款中支付。</w:t>
      </w:r>
    </w:p>
    <w:p w14:paraId="1959A46B">
      <w:pPr>
        <w:widowControl/>
        <w:spacing w:line="360" w:lineRule="auto"/>
        <w:jc w:val="left"/>
        <w:outlineLvl w:val="4"/>
        <w:rPr>
          <w:rFonts w:ascii="宋体" w:hAnsi="宋体" w:eastAsia="宋体" w:cs="宋体"/>
          <w:b/>
          <w:bCs/>
          <w:kern w:val="0"/>
          <w:sz w:val="21"/>
          <w:szCs w:val="21"/>
        </w:rPr>
      </w:pPr>
      <w:bookmarkStart w:id="807" w:name="_Toc532377258"/>
      <w:bookmarkEnd w:id="807"/>
      <w:bookmarkStart w:id="808" w:name="_Toc351203572"/>
      <w:r>
        <w:rPr>
          <w:rFonts w:hint="eastAsia" w:ascii="宋体" w:hAnsi="宋体" w:eastAsia="宋体" w:cs="宋体"/>
          <w:b/>
          <w:bCs/>
          <w:kern w:val="0"/>
          <w:sz w:val="21"/>
          <w:szCs w:val="21"/>
        </w:rPr>
        <w:t>1</w:t>
      </w:r>
      <w:bookmarkEnd w:id="808"/>
      <w:bookmarkStart w:id="809" w:name="_Toc296346595"/>
      <w:bookmarkEnd w:id="809"/>
      <w:bookmarkStart w:id="810" w:name="_Toc296503094"/>
      <w:bookmarkEnd w:id="810"/>
      <w:bookmarkStart w:id="811" w:name="_Toc337558792"/>
      <w:r>
        <w:rPr>
          <w:rFonts w:hint="eastAsia" w:ascii="宋体" w:hAnsi="宋体" w:eastAsia="宋体" w:cs="宋体"/>
          <w:b/>
          <w:bCs/>
          <w:kern w:val="0"/>
          <w:sz w:val="21"/>
          <w:szCs w:val="21"/>
        </w:rPr>
        <w:t>0.5承包人的合理化建议</w:t>
      </w:r>
      <w:bookmarkEnd w:id="811"/>
    </w:p>
    <w:p w14:paraId="1A6A69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承包人提出合理化建议的，应向监理人提交合理化建议说明，说明建议的内容和理由，以及实施该建议对合同价格和工期的影响。</w:t>
      </w:r>
    </w:p>
    <w:p w14:paraId="070E0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19933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合理化建议降低了合同价格或者提高了工程经济效益的，发包人可对承包人给予奖励，奖励的方法和金额在专用合同条款中约定。</w:t>
      </w:r>
    </w:p>
    <w:p w14:paraId="3E0B7763">
      <w:pPr>
        <w:widowControl/>
        <w:spacing w:line="360" w:lineRule="auto"/>
        <w:jc w:val="left"/>
        <w:outlineLvl w:val="4"/>
        <w:rPr>
          <w:rFonts w:ascii="宋体" w:hAnsi="宋体" w:eastAsia="宋体" w:cs="宋体"/>
          <w:b/>
          <w:bCs/>
          <w:kern w:val="0"/>
          <w:sz w:val="21"/>
          <w:szCs w:val="21"/>
        </w:rPr>
      </w:pPr>
      <w:bookmarkStart w:id="812" w:name="_Toc532377259"/>
      <w:bookmarkEnd w:id="812"/>
      <w:bookmarkStart w:id="813" w:name="_Toc351203573"/>
      <w:r>
        <w:rPr>
          <w:rFonts w:hint="eastAsia" w:ascii="宋体" w:hAnsi="宋体" w:eastAsia="宋体" w:cs="宋体"/>
          <w:b/>
          <w:bCs/>
          <w:kern w:val="0"/>
          <w:sz w:val="21"/>
          <w:szCs w:val="21"/>
        </w:rPr>
        <w:t>1</w:t>
      </w:r>
      <w:bookmarkEnd w:id="813"/>
      <w:bookmarkStart w:id="814" w:name="_Toc337558793"/>
      <w:r>
        <w:rPr>
          <w:rFonts w:hint="eastAsia" w:ascii="宋体" w:hAnsi="宋体" w:eastAsia="宋体" w:cs="宋体"/>
          <w:b/>
          <w:bCs/>
          <w:kern w:val="0"/>
          <w:sz w:val="21"/>
          <w:szCs w:val="21"/>
        </w:rPr>
        <w:t>0.6变更引起的工期调整</w:t>
      </w:r>
      <w:bookmarkEnd w:id="814"/>
    </w:p>
    <w:p w14:paraId="1D10CA1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因变更引起工期变化的，合同当事人均可要求调整合同工期，由合同当事人按照第4.4款〔商定或确定〕并参考工程所在地的工期定额标准确定增减工期天数。</w:t>
      </w:r>
    </w:p>
    <w:p w14:paraId="0BCD642D">
      <w:pPr>
        <w:widowControl/>
        <w:spacing w:line="360" w:lineRule="auto"/>
        <w:jc w:val="left"/>
        <w:outlineLvl w:val="4"/>
        <w:rPr>
          <w:rFonts w:ascii="宋体" w:hAnsi="宋体" w:eastAsia="宋体" w:cs="宋体"/>
          <w:b/>
          <w:bCs/>
          <w:kern w:val="0"/>
          <w:sz w:val="21"/>
          <w:szCs w:val="21"/>
        </w:rPr>
      </w:pPr>
      <w:bookmarkStart w:id="815" w:name="_Toc532377260"/>
      <w:bookmarkEnd w:id="815"/>
      <w:bookmarkStart w:id="816" w:name="_Toc351203574"/>
      <w:r>
        <w:rPr>
          <w:rFonts w:hint="eastAsia" w:ascii="宋体" w:hAnsi="宋体" w:eastAsia="宋体" w:cs="宋体"/>
          <w:b/>
          <w:bCs/>
          <w:kern w:val="0"/>
          <w:sz w:val="21"/>
          <w:szCs w:val="21"/>
        </w:rPr>
        <w:t>10.7暂估价</w:t>
      </w:r>
      <w:bookmarkEnd w:id="816"/>
    </w:p>
    <w:p w14:paraId="183F32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暂估价专业分包工程、服务、材料和工程设备的明细由合同当事人在专用合同条款中约定。</w:t>
      </w:r>
    </w:p>
    <w:p w14:paraId="1BDFC0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10.7.1 依法必须招标的暂估价项目</w:t>
      </w:r>
    </w:p>
    <w:p w14:paraId="28B533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对于依法必须招标的暂估价项目，采取以下第1种方式确定。合同当事人也可以在专用合同条款中选择其他招标方式。</w:t>
      </w:r>
    </w:p>
    <w:p w14:paraId="241957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第1种方式：对于依法必须招标的暂估价项目，由承包人招标，对该暂估价项目的确认和批准按照以下约定执行：</w:t>
      </w:r>
    </w:p>
    <w:p w14:paraId="213D86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1AA72C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08BF68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CEE15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C4D3E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10.7.2不属于依法必须招标的暂估价项目</w:t>
      </w:r>
    </w:p>
    <w:p w14:paraId="1D9A50F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除专用合同条款另有约定外，对于不属于依法必须招标的暂估价项目，采取以下第1种方式确定： </w:t>
      </w:r>
    </w:p>
    <w:p w14:paraId="5F9E0F2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第1种方式：对于不属于依法必须招标的暂估价项目，按本项约定确认和批准：</w:t>
      </w:r>
    </w:p>
    <w:p w14:paraId="2273B8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85E8F5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（2）发包人认为承包人确定的供应商、分包人无法满足工程质量或合同要求的，发包人可以要求承包人重新确定暂估价项目的供应商、分包人;</w:t>
      </w:r>
    </w:p>
    <w:p w14:paraId="76E0FA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（3）承包人应当在签订暂估价合同后7天内，将暂估价合同副本报送发包人留存。</w:t>
      </w:r>
    </w:p>
    <w:p w14:paraId="7B1238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第2种方式：承包人按照第10.7.1项〔依法必须招标的暂估价项目〕约定的第1种方式确定暂估价项目。</w:t>
      </w:r>
    </w:p>
    <w:p w14:paraId="49B0D8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第3种方式：承包人直接实施的暂估价项目</w:t>
      </w:r>
    </w:p>
    <w:p w14:paraId="77F701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承包人具备实施暂估价项目的资格和条件的，经发包人和承包人协商一致后，可由承包人自行实施暂估价项目，合同当事人可以在专用合同条款约定具体事项。</w:t>
      </w:r>
    </w:p>
    <w:p w14:paraId="4AA99C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3120931">
      <w:pPr>
        <w:widowControl/>
        <w:spacing w:line="360" w:lineRule="auto"/>
        <w:jc w:val="left"/>
        <w:outlineLvl w:val="4"/>
        <w:rPr>
          <w:rFonts w:ascii="宋体" w:hAnsi="宋体" w:eastAsia="宋体" w:cs="宋体"/>
          <w:b/>
          <w:bCs/>
          <w:kern w:val="0"/>
          <w:sz w:val="21"/>
          <w:szCs w:val="21"/>
        </w:rPr>
      </w:pPr>
      <w:bookmarkStart w:id="817" w:name="_Toc532377261"/>
      <w:bookmarkEnd w:id="817"/>
      <w:bookmarkStart w:id="818" w:name="_Toc351203575"/>
      <w:r>
        <w:rPr>
          <w:rFonts w:hint="eastAsia" w:ascii="宋体" w:hAnsi="宋体" w:eastAsia="宋体" w:cs="宋体"/>
          <w:b/>
          <w:bCs/>
          <w:kern w:val="0"/>
          <w:sz w:val="21"/>
          <w:szCs w:val="21"/>
        </w:rPr>
        <w:t>1</w:t>
      </w:r>
      <w:bookmarkEnd w:id="818"/>
      <w:bookmarkStart w:id="819" w:name="_Toc296346591"/>
      <w:bookmarkEnd w:id="819"/>
      <w:bookmarkStart w:id="820" w:name="_Toc296503090"/>
      <w:bookmarkEnd w:id="820"/>
      <w:bookmarkStart w:id="821" w:name="_Toc322522561"/>
      <w:bookmarkEnd w:id="821"/>
      <w:bookmarkStart w:id="822" w:name="_Toc337558794"/>
      <w:r>
        <w:rPr>
          <w:rFonts w:hint="eastAsia" w:ascii="宋体" w:hAnsi="宋体" w:eastAsia="宋体" w:cs="宋体"/>
          <w:b/>
          <w:bCs/>
          <w:kern w:val="0"/>
          <w:sz w:val="21"/>
          <w:szCs w:val="21"/>
        </w:rPr>
        <w:t>0.8暂列金额</w:t>
      </w:r>
      <w:bookmarkEnd w:id="822"/>
    </w:p>
    <w:p w14:paraId="093404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暂列金额应按照发包人的要求使用，发包人的要求应通过监理人发出。合同当事人可以在专用合同条款中协商确定有关事项。</w:t>
      </w:r>
    </w:p>
    <w:p w14:paraId="3E7F1AC7">
      <w:pPr>
        <w:widowControl/>
        <w:spacing w:line="360" w:lineRule="auto"/>
        <w:jc w:val="left"/>
        <w:outlineLvl w:val="4"/>
        <w:rPr>
          <w:rFonts w:ascii="宋体" w:hAnsi="宋体" w:eastAsia="宋体" w:cs="宋体"/>
          <w:b/>
          <w:bCs/>
          <w:kern w:val="0"/>
          <w:sz w:val="21"/>
          <w:szCs w:val="21"/>
        </w:rPr>
      </w:pPr>
      <w:bookmarkStart w:id="823" w:name="_Toc351203576"/>
      <w:bookmarkEnd w:id="823"/>
      <w:bookmarkStart w:id="824" w:name="_Toc532377262"/>
      <w:bookmarkEnd w:id="824"/>
      <w:r>
        <w:rPr>
          <w:rFonts w:hint="eastAsia" w:ascii="宋体" w:hAnsi="宋体" w:eastAsia="宋体" w:cs="宋体"/>
          <w:b/>
          <w:bCs/>
          <w:kern w:val="0"/>
          <w:sz w:val="21"/>
          <w:szCs w:val="21"/>
        </w:rPr>
        <w:t>1</w:t>
      </w:r>
      <w:bookmarkStart w:id="825" w:name="_Toc337558796"/>
      <w:bookmarkEnd w:id="825"/>
      <w:bookmarkStart w:id="826" w:name="_Toc296503091"/>
      <w:bookmarkEnd w:id="826"/>
      <w:bookmarkStart w:id="827" w:name="_Toc296346592"/>
      <w:r>
        <w:rPr>
          <w:rFonts w:hint="eastAsia" w:ascii="宋体" w:hAnsi="宋体" w:eastAsia="宋体" w:cs="宋体"/>
          <w:b/>
          <w:bCs/>
          <w:kern w:val="0"/>
          <w:sz w:val="21"/>
          <w:szCs w:val="21"/>
        </w:rPr>
        <w:t>0.9计日工</w:t>
      </w:r>
      <w:bookmarkEnd w:id="827"/>
    </w:p>
    <w:p w14:paraId="5DA095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B22D6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采用计日工计价的任何一项工作，承包人应在该项工作实施过程中，每天提交以下报表和有关凭证报送监理人审查：</w:t>
      </w:r>
    </w:p>
    <w:p w14:paraId="24724C8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（1）工作名称、内容和数量；</w:t>
      </w:r>
    </w:p>
    <w:p w14:paraId="2E5A4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（2）投入该工作的所有人员的姓名、专业、工种、级别和耗用工时；</w:t>
      </w:r>
    </w:p>
    <w:p w14:paraId="322C8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（3）投入该工作的材料类别和数量；</w:t>
      </w:r>
    </w:p>
    <w:p w14:paraId="13E7677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（4）投入该工作的施工设备型号、台数和耗用台时；</w:t>
      </w:r>
    </w:p>
    <w:p w14:paraId="17F856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（5）其他有关资料和凭证。</w:t>
      </w:r>
    </w:p>
    <w:p w14:paraId="118C74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计日工由承包人汇总后，列入最近一期进度付款申请单，由监理人审查并经发包人批准后列入进度付款。</w:t>
      </w:r>
    </w:p>
    <w:p w14:paraId="56256954">
      <w:pPr>
        <w:keepNext/>
        <w:keepLines/>
        <w:spacing w:before="156" w:beforeLines="50" w:after="156" w:afterLines="50" w:line="360" w:lineRule="auto"/>
        <w:outlineLvl w:val="3"/>
        <w:rPr>
          <w:rFonts w:ascii="宋体" w:hAnsi="宋体" w:eastAsia="宋体" w:cs="宋体"/>
          <w:b/>
          <w:sz w:val="21"/>
          <w:szCs w:val="21"/>
        </w:rPr>
      </w:pPr>
      <w:bookmarkStart w:id="828" w:name="_Toc532375597"/>
      <w:bookmarkEnd w:id="828"/>
      <w:bookmarkStart w:id="829" w:name="_Toc351203577"/>
      <w:bookmarkEnd w:id="829"/>
      <w:bookmarkStart w:id="830" w:name="_Toc532377263"/>
      <w:r>
        <w:rPr>
          <w:rFonts w:hint="eastAsia" w:ascii="宋体" w:hAnsi="宋体" w:eastAsia="宋体" w:cs="宋体"/>
          <w:b/>
          <w:bCs/>
          <w:sz w:val="21"/>
          <w:szCs w:val="21"/>
        </w:rPr>
        <w:t>11. 价格调整</w:t>
      </w:r>
      <w:bookmarkEnd w:id="830"/>
    </w:p>
    <w:p w14:paraId="326047E3">
      <w:pPr>
        <w:widowControl/>
        <w:spacing w:line="360" w:lineRule="auto"/>
        <w:jc w:val="left"/>
        <w:outlineLvl w:val="4"/>
        <w:rPr>
          <w:rFonts w:ascii="宋体" w:hAnsi="宋体" w:eastAsia="宋体" w:cs="宋体"/>
          <w:b/>
          <w:bCs/>
          <w:kern w:val="0"/>
          <w:sz w:val="21"/>
          <w:szCs w:val="21"/>
        </w:rPr>
      </w:pPr>
      <w:bookmarkStart w:id="831" w:name="_Toc337558797"/>
      <w:bookmarkEnd w:id="831"/>
      <w:bookmarkStart w:id="832" w:name="_Toc532377264"/>
      <w:bookmarkEnd w:id="832"/>
      <w:bookmarkStart w:id="833" w:name="_Toc351203578"/>
      <w:bookmarkEnd w:id="833"/>
      <w:bookmarkStart w:id="834" w:name="_Toc296346593"/>
      <w:bookmarkEnd w:id="834"/>
      <w:bookmarkStart w:id="835" w:name="_Toc296503092"/>
      <w:r>
        <w:rPr>
          <w:rFonts w:hint="eastAsia" w:ascii="宋体" w:hAnsi="宋体" w:eastAsia="宋体" w:cs="宋体"/>
          <w:b/>
          <w:bCs/>
          <w:kern w:val="0"/>
          <w:sz w:val="21"/>
          <w:szCs w:val="21"/>
        </w:rPr>
        <w:t>11.1市场价格波动引起的调整</w:t>
      </w:r>
      <w:bookmarkEnd w:id="835"/>
    </w:p>
    <w:p w14:paraId="41674E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除专用合同条款另有约定外，市场价格波动超过合同当事人约定的范围，合同价格应当调整。合同当事人可以在专用合同条款中约定选择以下一种方式对合同价格进行调整：</w:t>
      </w:r>
    </w:p>
    <w:p w14:paraId="4E1DF81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第1种方式：采用价格指数进行价格调整。</w:t>
      </w:r>
    </w:p>
    <w:p w14:paraId="5A3A9E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（1）价格调整公式</w:t>
      </w:r>
    </w:p>
    <w:p w14:paraId="44ED7F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因人工、材料和设备等价格波动影响合同价格时，根据专用合同条款中约定的数据，按以下公式计算差额并调整合同价格：</w:t>
      </w:r>
    </w:p>
    <w:p w14:paraId="7C36E00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4572000" cy="552450"/>
            <wp:effectExtent l="0" t="0" r="0" b="0"/>
            <wp:docPr id="1" name="图片 1" descr="C:\Users\Administrator\AppData\Local\Temp\ksohtml6832\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ksohtml6832\wps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177F794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公式中：ΔP——需调整的价格差额；</w:t>
      </w:r>
    </w:p>
    <w:p w14:paraId="7D393A66">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238125" cy="238125"/>
            <wp:effectExtent l="0" t="0" r="0" b="7620"/>
            <wp:docPr id="8" name="图片 8" descr="C:\Users\Administrator\AppData\Local\Temp\ksohtml6832\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Temp\ksohtml6832\wps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rFonts w:hint="eastAsia" w:ascii="宋体" w:hAnsi="宋体" w:eastAsia="宋体" w:cs="Times New Roman"/>
          <w:kern w:val="0"/>
          <w:sz w:val="2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20DCE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A——定值权重（即不调部分的权重）；</w:t>
      </w:r>
    </w:p>
    <w:p w14:paraId="490E079C">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85875" cy="285750"/>
            <wp:effectExtent l="0" t="0" r="0" b="0"/>
            <wp:docPr id="3" name="图片 3" descr="C:\Users\Administrator\AppData\Local\Temp\ksohtml6832\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ksohtml6832\wps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85875"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——各可调因子的变值权重（即可调部分的权重），为各可调因子在签约合同价中所占的比例；</w:t>
      </w:r>
    </w:p>
    <w:p w14:paraId="2A1E9873">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95400" cy="285750"/>
            <wp:effectExtent l="0" t="0" r="0" b="0"/>
            <wp:docPr id="4" name="图片 4" descr="C:\Users\Administrator\AppData\Local\Temp\ksohtml6832\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ksohtml6832\wps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9540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——各可调因子的现行价格指数，指约定的付款证书相关周期最后一天的前42天的各可调因子的价格指数；</w:t>
      </w:r>
    </w:p>
    <w:p w14:paraId="5320FF6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390650" cy="285750"/>
            <wp:effectExtent l="0" t="0" r="0" b="0"/>
            <wp:docPr id="5" name="图片 5" descr="C:\Users\Administrator\AppData\Local\Temp\ksohtml6832\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Local\Temp\ksohtml6832\wps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9065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——各可调因子的基本价格指数，指基准日期的各可调因子的价格指数。</w:t>
      </w:r>
    </w:p>
    <w:p w14:paraId="2FD6F0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21B8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（2）暂时确定调整差额</w:t>
      </w:r>
    </w:p>
    <w:p w14:paraId="51F182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在计算调整差额时无现行价格指数的，合同当事人同意暂用前次价格指数计算。实际价格指数有调整的，合同当事人进行相应调整。</w:t>
      </w:r>
    </w:p>
    <w:p w14:paraId="5307799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（3）权重的调整</w:t>
      </w:r>
    </w:p>
    <w:p w14:paraId="47DDB2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因变更导致合同约定的权重不合理时，按照第4.4款〔商定或确定〕执行。</w:t>
      </w:r>
    </w:p>
    <w:p w14:paraId="3F98AE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（4）因承包人原因工期延误后的价格调整</w:t>
      </w:r>
    </w:p>
    <w:p w14:paraId="02D3C7B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因承包人原因未按期竣工的，对合同约定的竣工日期后继续施工的工程，在使用价格调整公式时，应采用计划竣工日期与实际竣工日期的两个价格指数中较低的一个作为现行价格指数。</w:t>
      </w:r>
    </w:p>
    <w:p w14:paraId="5742F9D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第2种方式：采用造价信息进行价格调整。</w:t>
      </w:r>
    </w:p>
    <w:p w14:paraId="7954BE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3714DD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46266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（2）材料、工程设备价格变化的价款调整按照发包人提供的基准价格，按以下风险范围规定执行：</w:t>
      </w:r>
    </w:p>
    <w:p w14:paraId="5C868F7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B6AA2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7CBE6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③承包人在已标价工程量清单或预算书中载明材料单价等于基准价格的：除专用合同条款另有约定外，合同履行期间材料单价涨跌幅以基准价格为基础超过±5%时，其超过部分据实调整。</w:t>
      </w:r>
    </w:p>
    <w:p w14:paraId="67769A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F4136F3">
      <w:pPr>
        <w:spacing w:line="360" w:lineRule="auto"/>
        <w:jc w:val="left"/>
        <w:rPr>
          <w:rFonts w:ascii="宋体" w:hAnsi="宋体" w:eastAsia="宋体" w:cs="Times New Roman"/>
          <w:kern w:val="0"/>
          <w:sz w:val="21"/>
          <w:szCs w:val="21"/>
        </w:rPr>
      </w:pPr>
      <w:bookmarkStart w:id="836" w:name="OLE_LINK3"/>
      <w:bookmarkEnd w:id="836"/>
      <w:r>
        <w:rPr>
          <w:rFonts w:hint="eastAsia" w:ascii="宋体" w:hAnsi="宋体" w:eastAsia="宋体" w:cs="Times New Roman"/>
          <w:kern w:val="0"/>
          <w:sz w:val="2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7E6377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（3）施工机械台班单价或施工机械使用费发生变化超过省级或行业建设主管部门或其授权的工程造价管理机构规定的范围时，按规定调整合同价格。</w:t>
      </w:r>
    </w:p>
    <w:p w14:paraId="4F6DBFC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第3种方式：专用合同条款约定的其他方式。</w:t>
      </w:r>
    </w:p>
    <w:p w14:paraId="37FD9021">
      <w:pPr>
        <w:widowControl/>
        <w:spacing w:line="360" w:lineRule="auto"/>
        <w:jc w:val="left"/>
        <w:outlineLvl w:val="4"/>
        <w:rPr>
          <w:rFonts w:ascii="宋体" w:hAnsi="宋体" w:eastAsia="宋体" w:cs="宋体"/>
          <w:b/>
          <w:bCs/>
          <w:kern w:val="0"/>
          <w:sz w:val="21"/>
          <w:szCs w:val="21"/>
        </w:rPr>
      </w:pPr>
      <w:bookmarkStart w:id="837" w:name="_Toc337558798"/>
      <w:bookmarkEnd w:id="837"/>
      <w:bookmarkStart w:id="838" w:name="_Toc351203579"/>
      <w:bookmarkEnd w:id="838"/>
      <w:bookmarkStart w:id="839" w:name="_Toc296503093"/>
      <w:bookmarkEnd w:id="839"/>
      <w:bookmarkStart w:id="840" w:name="_Toc296346594"/>
      <w:bookmarkEnd w:id="840"/>
      <w:bookmarkStart w:id="841" w:name="_Toc532377265"/>
      <w:r>
        <w:rPr>
          <w:rFonts w:hint="eastAsia" w:ascii="宋体" w:hAnsi="宋体" w:eastAsia="宋体" w:cs="宋体"/>
          <w:b/>
          <w:bCs/>
          <w:kern w:val="0"/>
          <w:sz w:val="21"/>
          <w:szCs w:val="21"/>
        </w:rPr>
        <w:t>11.2法律变化引起的调整</w:t>
      </w:r>
      <w:bookmarkEnd w:id="841"/>
    </w:p>
    <w:p w14:paraId="543A2A3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EFB01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因法律变化引起的合同价格和工期调整，合同当事人无法达成一致的，由总监理工程师按第4.4款〔商定或确定〕的约定处理。</w:t>
      </w:r>
    </w:p>
    <w:p w14:paraId="3E7679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因承包人原因造成工期延误，在工期延误期间出现法律变化的，由此增加的费用和（或）延误的工期由承包人承担。</w:t>
      </w:r>
    </w:p>
    <w:p w14:paraId="1BB4F00D">
      <w:pPr>
        <w:keepNext/>
        <w:keepLines/>
        <w:spacing w:before="156" w:beforeLines="50" w:after="156" w:afterLines="50" w:line="360" w:lineRule="auto"/>
        <w:outlineLvl w:val="3"/>
        <w:rPr>
          <w:rFonts w:ascii="宋体" w:hAnsi="宋体" w:eastAsia="宋体" w:cs="宋体"/>
          <w:b/>
          <w:sz w:val="21"/>
          <w:szCs w:val="21"/>
        </w:rPr>
      </w:pPr>
      <w:bookmarkStart w:id="842" w:name="_Toc296503096"/>
      <w:bookmarkEnd w:id="842"/>
      <w:bookmarkStart w:id="843" w:name="_Toc532377266"/>
      <w:bookmarkEnd w:id="843"/>
      <w:bookmarkStart w:id="844" w:name="_Toc296346597"/>
      <w:bookmarkEnd w:id="844"/>
      <w:bookmarkStart w:id="845" w:name="_Toc337558799"/>
      <w:bookmarkEnd w:id="845"/>
      <w:bookmarkStart w:id="846" w:name="_Toc351203580"/>
      <w:bookmarkEnd w:id="846"/>
      <w:bookmarkStart w:id="847" w:name="_Toc532375598"/>
      <w:r>
        <w:rPr>
          <w:rFonts w:hint="eastAsia" w:ascii="宋体" w:hAnsi="宋体" w:eastAsia="宋体" w:cs="宋体"/>
          <w:b/>
          <w:bCs/>
          <w:sz w:val="21"/>
          <w:szCs w:val="21"/>
        </w:rPr>
        <w:t>12. 合同价格、计量与支付</w:t>
      </w:r>
      <w:bookmarkEnd w:id="847"/>
    </w:p>
    <w:p w14:paraId="09ECD003">
      <w:pPr>
        <w:widowControl/>
        <w:spacing w:line="360" w:lineRule="auto"/>
        <w:jc w:val="left"/>
        <w:outlineLvl w:val="4"/>
        <w:rPr>
          <w:rFonts w:ascii="宋体" w:hAnsi="宋体" w:eastAsia="宋体" w:cs="宋体"/>
          <w:b/>
          <w:bCs/>
          <w:kern w:val="0"/>
          <w:sz w:val="21"/>
          <w:szCs w:val="21"/>
        </w:rPr>
      </w:pPr>
      <w:bookmarkStart w:id="848" w:name="_Toc351203581"/>
      <w:bookmarkEnd w:id="848"/>
      <w:bookmarkStart w:id="849" w:name="_Toc532377267"/>
      <w:bookmarkEnd w:id="849"/>
      <w:bookmarkStart w:id="850" w:name="_Toc337558800"/>
      <w:r>
        <w:rPr>
          <w:rFonts w:hint="eastAsia" w:ascii="宋体" w:hAnsi="宋体" w:eastAsia="宋体" w:cs="宋体"/>
          <w:b/>
          <w:bCs/>
          <w:kern w:val="0"/>
          <w:sz w:val="21"/>
          <w:szCs w:val="21"/>
        </w:rPr>
        <w:t>12.1 合同价</w:t>
      </w:r>
      <w:bookmarkEnd w:id="850"/>
      <w:r>
        <w:rPr>
          <w:rFonts w:hint="eastAsia" w:ascii="宋体" w:hAnsi="宋体" w:eastAsia="宋体" w:cs="宋体"/>
          <w:b/>
          <w:bCs/>
          <w:kern w:val="0"/>
          <w:sz w:val="21"/>
          <w:szCs w:val="21"/>
        </w:rPr>
        <w:t>格形式</w:t>
      </w:r>
    </w:p>
    <w:p w14:paraId="0DC090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发包人和承包人应在合同协议书中选择下列一种合同价格形式： </w:t>
      </w:r>
    </w:p>
    <w:p w14:paraId="511D4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w:t>
      </w:r>
    </w:p>
    <w:p w14:paraId="3A7802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90A4CF0">
      <w:pPr>
        <w:widowControl/>
        <w:spacing w:line="360" w:lineRule="auto"/>
        <w:jc w:val="left"/>
        <w:outlineLvl w:val="4"/>
        <w:rPr>
          <w:rFonts w:ascii="宋体" w:hAnsi="宋体" w:eastAsia="宋体" w:cs="宋体"/>
          <w:bCs/>
          <w:kern w:val="0"/>
          <w:sz w:val="21"/>
          <w:szCs w:val="21"/>
        </w:rPr>
      </w:pPr>
      <w:bookmarkStart w:id="851" w:name="_Toc532377268"/>
      <w:bookmarkEnd w:id="851"/>
      <w:r>
        <w:rPr>
          <w:rFonts w:hint="eastAsia" w:ascii="宋体" w:hAnsi="宋体" w:eastAsia="宋体" w:cs="宋体"/>
          <w:bCs/>
          <w:kern w:val="0"/>
          <w:sz w:val="21"/>
          <w:szCs w:val="21"/>
        </w:rPr>
        <w:t>2.总价合同</w:t>
      </w:r>
    </w:p>
    <w:p w14:paraId="2CC518F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E9E9C80">
      <w:pPr>
        <w:widowControl/>
        <w:spacing w:line="360" w:lineRule="auto"/>
        <w:jc w:val="left"/>
        <w:outlineLvl w:val="4"/>
        <w:rPr>
          <w:rFonts w:ascii="宋体" w:hAnsi="宋体" w:eastAsia="宋体" w:cs="宋体"/>
          <w:bCs/>
          <w:kern w:val="0"/>
          <w:sz w:val="21"/>
          <w:szCs w:val="21"/>
        </w:rPr>
      </w:pPr>
      <w:bookmarkStart w:id="852" w:name="_Toc532377269"/>
      <w:bookmarkEnd w:id="852"/>
      <w:r>
        <w:rPr>
          <w:rFonts w:hint="eastAsia" w:ascii="宋体" w:hAnsi="宋体" w:eastAsia="宋体" w:cs="宋体"/>
          <w:bCs/>
          <w:kern w:val="0"/>
          <w:sz w:val="21"/>
          <w:szCs w:val="21"/>
        </w:rPr>
        <w:t>3.其它价格形式</w:t>
      </w:r>
    </w:p>
    <w:p w14:paraId="3AA7886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合同当事人可在专用合同条款中约定其他合同价格形式。</w:t>
      </w:r>
    </w:p>
    <w:p w14:paraId="6DD0B838">
      <w:pPr>
        <w:widowControl/>
        <w:spacing w:line="360" w:lineRule="auto"/>
        <w:jc w:val="left"/>
        <w:outlineLvl w:val="4"/>
        <w:rPr>
          <w:rFonts w:ascii="宋体" w:hAnsi="宋体" w:eastAsia="宋体" w:cs="宋体"/>
          <w:b/>
          <w:bCs/>
          <w:kern w:val="0"/>
          <w:sz w:val="21"/>
          <w:szCs w:val="21"/>
        </w:rPr>
      </w:pPr>
      <w:bookmarkStart w:id="853" w:name="_Toc532377270"/>
      <w:bookmarkEnd w:id="853"/>
      <w:bookmarkStart w:id="854" w:name="_Toc351203582"/>
      <w:bookmarkEnd w:id="854"/>
      <w:bookmarkStart w:id="855" w:name="_Toc296346598"/>
      <w:bookmarkEnd w:id="855"/>
      <w:bookmarkStart w:id="856" w:name="_Toc296503097"/>
      <w:bookmarkEnd w:id="856"/>
      <w:bookmarkStart w:id="857" w:name="_Toc337558801"/>
      <w:r>
        <w:rPr>
          <w:rFonts w:hint="eastAsia" w:ascii="宋体" w:hAnsi="宋体" w:eastAsia="宋体" w:cs="宋体"/>
          <w:b/>
          <w:bCs/>
          <w:kern w:val="0"/>
          <w:sz w:val="21"/>
          <w:szCs w:val="21"/>
        </w:rPr>
        <w:t>12.2预</w:t>
      </w:r>
      <w:bookmarkEnd w:id="857"/>
      <w:bookmarkStart w:id="858" w:name="_Toc296346601"/>
      <w:bookmarkEnd w:id="858"/>
      <w:bookmarkStart w:id="859" w:name="_Toc296503100"/>
      <w:bookmarkEnd w:id="859"/>
      <w:r>
        <w:rPr>
          <w:rFonts w:hint="eastAsia" w:ascii="宋体" w:hAnsi="宋体" w:eastAsia="宋体" w:cs="宋体"/>
          <w:b/>
          <w:bCs/>
          <w:kern w:val="0"/>
          <w:sz w:val="21"/>
          <w:szCs w:val="21"/>
        </w:rPr>
        <w:t>付款</w:t>
      </w:r>
    </w:p>
    <w:p w14:paraId="55C0413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12.2.1预付款的支付</w:t>
      </w:r>
    </w:p>
    <w:p w14:paraId="7547F1D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预付款的支付按照专用合同条款约定执行，但至迟应在开工通知载明的开工日期7天前支付。预付款应当用于材料、工程设备、施工设备的采购及修建临时工程、组织施工队伍进场等。</w:t>
      </w:r>
    </w:p>
    <w:p w14:paraId="501897B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除专用合同条款另有约定外，预付款在进度付款中同比例扣回。在颁发工程接收证书前，提前解除合同的，尚未扣完的预付款应与合同价款一并结算。</w:t>
      </w:r>
    </w:p>
    <w:p w14:paraId="7FE0AB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发包人逾期支付预付款超过7天的，承包人有权向发包人发出要求预付的催告通知，发包人收到通知后7天内仍未支付的，承包人有权暂停施工，并按第16.1.1项〔发包人违约的情形〕执行。</w:t>
      </w:r>
    </w:p>
    <w:p w14:paraId="5335734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12.2.2 预付款担保</w:t>
      </w:r>
    </w:p>
    <w:p w14:paraId="4AF705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FE897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发包人在工程款中逐期扣回预付款后，预付款担保额度应相应减少，但剩余的预付款担保金额不得低于未被扣回的预付款金额。</w:t>
      </w:r>
    </w:p>
    <w:p w14:paraId="63AC567E">
      <w:pPr>
        <w:widowControl/>
        <w:spacing w:line="360" w:lineRule="auto"/>
        <w:jc w:val="left"/>
        <w:outlineLvl w:val="4"/>
        <w:rPr>
          <w:rFonts w:ascii="宋体" w:hAnsi="宋体" w:eastAsia="宋体" w:cs="宋体"/>
          <w:b/>
          <w:bCs/>
          <w:kern w:val="0"/>
          <w:sz w:val="21"/>
          <w:szCs w:val="21"/>
        </w:rPr>
      </w:pPr>
      <w:bookmarkStart w:id="860" w:name="_Toc337558802"/>
      <w:bookmarkEnd w:id="860"/>
      <w:bookmarkStart w:id="861" w:name="_Toc351203583"/>
      <w:bookmarkEnd w:id="861"/>
      <w:bookmarkStart w:id="862" w:name="_Toc532377271"/>
      <w:r>
        <w:rPr>
          <w:rFonts w:hint="eastAsia" w:ascii="宋体" w:hAnsi="宋体" w:eastAsia="宋体" w:cs="宋体"/>
          <w:b/>
          <w:bCs/>
          <w:kern w:val="0"/>
          <w:sz w:val="21"/>
          <w:szCs w:val="21"/>
        </w:rPr>
        <w:t>12.3计量</w:t>
      </w:r>
      <w:bookmarkEnd w:id="862"/>
    </w:p>
    <w:p w14:paraId="56161B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12.3.1 计量原则</w:t>
      </w:r>
    </w:p>
    <w:p w14:paraId="79E54F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工程量计量按照合同约定的工程量计算规则、图纸及变更指示等进行计量。工程量计算规则应以相关的国家标准、行业标准等为依据，由合同当事人在专用合同条款中约定。</w:t>
      </w:r>
    </w:p>
    <w:p w14:paraId="6DB8E09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12.3.2 计量周期</w:t>
      </w:r>
    </w:p>
    <w:p w14:paraId="7D336D3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除专用合同条款另有约定外，工程量的计量按月进行。</w:t>
      </w:r>
    </w:p>
    <w:p w14:paraId="7882BC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12.3.3 单价合同的计量</w:t>
      </w:r>
    </w:p>
    <w:p w14:paraId="28FBE5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除专用合同条款另有约定外，单价合同的计量按照本项约定执行：</w:t>
      </w:r>
    </w:p>
    <w:p w14:paraId="4DC999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71D94DC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1D600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（3）监理人未在收到承包人提交的工程量报表后的7天内完成审核的，承包人报送的工程量报告中的工程量视为承包人实际完成的工程量，据此计算工程价款。</w:t>
      </w:r>
    </w:p>
    <w:p w14:paraId="6C3E32C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12.3.4 总价合同的计量</w:t>
      </w:r>
    </w:p>
    <w:p w14:paraId="0702F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除专用合同条款另有约定外，按月计量支付的总价合同，按照本项约定执行：</w:t>
      </w:r>
    </w:p>
    <w:p w14:paraId="27F1F4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5421560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2A7BF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（3）监理人未在收到承包人提交的工程量报表后的7天内完成复核的，承包人提交的工程量报告中的工程量视为承包人实际完成的工程量。</w:t>
      </w:r>
    </w:p>
    <w:p w14:paraId="1928BF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12.3.5 总价合同采用支付分解表计量支付的，可以按照第12.3.4项〔总价合同的计量〕约定进行计量，但合同价款按照支付分解表进行支付。</w:t>
      </w:r>
    </w:p>
    <w:p w14:paraId="43E70B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12.3.6 其他价格形式合同的计量</w:t>
      </w:r>
    </w:p>
    <w:p w14:paraId="0CF8E8F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合同当事人可在专用合同条款中约定其他价格形式合同的计量方式和程序。</w:t>
      </w:r>
    </w:p>
    <w:p w14:paraId="1FA3E7BD">
      <w:pPr>
        <w:widowControl/>
        <w:spacing w:line="360" w:lineRule="auto"/>
        <w:jc w:val="left"/>
        <w:outlineLvl w:val="4"/>
        <w:rPr>
          <w:rFonts w:ascii="宋体" w:hAnsi="宋体" w:eastAsia="宋体" w:cs="宋体"/>
          <w:b/>
          <w:bCs/>
          <w:kern w:val="0"/>
          <w:sz w:val="21"/>
          <w:szCs w:val="21"/>
        </w:rPr>
      </w:pPr>
      <w:bookmarkStart w:id="863" w:name="_Toc532377272"/>
      <w:bookmarkEnd w:id="863"/>
      <w:bookmarkStart w:id="864" w:name="_Toc296503101"/>
      <w:bookmarkEnd w:id="864"/>
      <w:bookmarkStart w:id="865" w:name="_Toc296346602"/>
      <w:bookmarkEnd w:id="865"/>
      <w:bookmarkStart w:id="866" w:name="_Toc351203584"/>
      <w:bookmarkEnd w:id="866"/>
      <w:bookmarkStart w:id="867" w:name="_Toc337558803"/>
      <w:r>
        <w:rPr>
          <w:rFonts w:hint="eastAsia" w:ascii="宋体" w:hAnsi="宋体" w:eastAsia="宋体" w:cs="宋体"/>
          <w:b/>
          <w:bCs/>
          <w:kern w:val="0"/>
          <w:sz w:val="21"/>
          <w:szCs w:val="21"/>
        </w:rPr>
        <w:t>12.4工程进度款支</w:t>
      </w:r>
      <w:bookmarkEnd w:id="867"/>
      <w:r>
        <w:rPr>
          <w:rFonts w:hint="eastAsia" w:ascii="宋体" w:hAnsi="宋体" w:eastAsia="宋体" w:cs="宋体"/>
          <w:b/>
          <w:bCs/>
          <w:kern w:val="0"/>
          <w:sz w:val="21"/>
          <w:szCs w:val="21"/>
        </w:rPr>
        <w:t>付</w:t>
      </w:r>
    </w:p>
    <w:p w14:paraId="4D30EBC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12.4.1 付款周期</w:t>
      </w:r>
    </w:p>
    <w:p w14:paraId="25FA3A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除专用合同条款另有约定外，付款周期应按照第12.3.2项〔计量周期〕的约定与计量周期保持一致。</w:t>
      </w:r>
    </w:p>
    <w:p w14:paraId="18BE0E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12.4.2 进度付款申请单的编制</w:t>
      </w:r>
    </w:p>
    <w:p w14:paraId="5E7594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除专用合同条款另有约定外，进度付款申请单应包括下列内容：</w:t>
      </w:r>
    </w:p>
    <w:p w14:paraId="7771FE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（1）截至本次付款周期已完成工作对应的金额；</w:t>
      </w:r>
    </w:p>
    <w:p w14:paraId="1D041F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（2）根据第10条〔变更〕应增加和扣减的变更金额；</w:t>
      </w:r>
    </w:p>
    <w:p w14:paraId="608705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（3）根据第12.2款〔预付款〕约定应支付的预付款和扣减的返还预付款；</w:t>
      </w:r>
    </w:p>
    <w:p w14:paraId="646A05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（4）根据第15.3款〔质量保证金〕约定应扣减的质量保证金；</w:t>
      </w:r>
    </w:p>
    <w:p w14:paraId="45F160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（5）根据第19条〔索赔〕应增加和扣减的索赔金额；</w:t>
      </w:r>
    </w:p>
    <w:p w14:paraId="3AB8C0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（6）对已签发的进度款支付证书中出现错误的修正，应在本次进度付款中支付或扣除的金额；</w:t>
      </w:r>
    </w:p>
    <w:p w14:paraId="403DBB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（7）根据合同约定应增加和扣减的其他金额。</w:t>
      </w:r>
    </w:p>
    <w:p w14:paraId="7F5289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12.4.3 进度付款申请单的提交</w:t>
      </w:r>
    </w:p>
    <w:p w14:paraId="03C654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（1）单价合同进度付款申请单的提交</w:t>
      </w:r>
    </w:p>
    <w:p w14:paraId="712142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3B8328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（2）总价合同进度付款申请单的提交</w:t>
      </w:r>
    </w:p>
    <w:p w14:paraId="13F8B7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总价合同按月计量支付的，承包人按照第12.3.4项〔总价合同的计量〕约定的时间按月向监理人提交进度付款申请单，并附上已完成工程量报表和有关资料。</w:t>
      </w:r>
    </w:p>
    <w:p w14:paraId="6771C0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总价合同按支付分解表支付的，承包人应按照第12.4.6项〔支付分解表〕及第12.4.2项〔进度付款申请单的编制〕的约定向监理人提交进度付款申请单。</w:t>
      </w:r>
    </w:p>
    <w:p w14:paraId="59ACC3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（3）其他价格形式合同的进度付款申请单的提交</w:t>
      </w:r>
    </w:p>
    <w:p w14:paraId="361EA4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合同当事人可在专用合同条款中约定其他价格形式合同的进度付款申请单的编制和提交程序。</w:t>
      </w:r>
    </w:p>
    <w:p w14:paraId="02E3DC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12.4.4 进度款审核和支付</w:t>
      </w:r>
    </w:p>
    <w:p w14:paraId="00661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A48B7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4918E9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39E256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（3）发包人签发进度款支付证书或临时进度款支付证书，不表明发包人已同意、批准或接受了承包人完成的相应部分的工作。</w:t>
      </w:r>
    </w:p>
    <w:p w14:paraId="442A9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12.4.5 进度付款的修正</w:t>
      </w:r>
    </w:p>
    <w:p w14:paraId="05153F1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在对已签发的进度款支付证书进行阶段汇总和复核中发现错误、遗漏或重复的，发包人和承包人均有权提出修正申请。经发包人和承包人同意的修正，应在下期进度付款中支付或扣除。</w:t>
      </w:r>
    </w:p>
    <w:p w14:paraId="557BB5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12.4.6 支付分解表</w:t>
      </w:r>
    </w:p>
    <w:p w14:paraId="621E3C8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1.支付分解表的编制要求</w:t>
      </w:r>
    </w:p>
    <w:p w14:paraId="73D934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（1）支付分解表中所列的每期付款金额，应为第12.4.2项〔进度付款申请单的编制〕第（1）目的估算金额；</w:t>
      </w:r>
    </w:p>
    <w:p w14:paraId="0514DC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（2）实际进度与施工进度计划不一致的，合同当事人可按照第4.4款〔商定或确定〕修改支付分解表；</w:t>
      </w:r>
    </w:p>
    <w:p w14:paraId="6EF251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（3）不采用支付分解表的，承包人应向发包人和监理人提交按季度编制的支付估算分解表，用于支付参考。</w:t>
      </w:r>
    </w:p>
    <w:p w14:paraId="69ECF4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2.总价合同支付分解表的编制与审批</w:t>
      </w:r>
    </w:p>
    <w:p w14:paraId="69DE26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EA4F43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（2）监理人应在收到支付分解表后7天内完成审核并报送发包人。发包人应在收到经监理人审核的支付分解表后7天内完成审批，经发包人批准的支付分解表为有约束力的支付分解表。</w:t>
      </w:r>
    </w:p>
    <w:p w14:paraId="5A1A49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（3）发包人逾期未完成支付分解表审批的，也未及时要求承包人进行修正和提供补充资料的，则承包人提交的支付分解表视为已经获得发包人批准。</w:t>
      </w:r>
    </w:p>
    <w:p w14:paraId="5EAF2C9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3.单价合同的总价项目支付分解表的编制与审批</w:t>
      </w:r>
    </w:p>
    <w:p w14:paraId="2A79E4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AB23D24">
      <w:pPr>
        <w:widowControl/>
        <w:spacing w:line="360" w:lineRule="auto"/>
        <w:jc w:val="left"/>
        <w:outlineLvl w:val="4"/>
        <w:rPr>
          <w:rFonts w:ascii="宋体" w:hAnsi="宋体" w:eastAsia="宋体" w:cs="宋体"/>
          <w:b/>
          <w:bCs/>
          <w:kern w:val="0"/>
          <w:sz w:val="21"/>
          <w:szCs w:val="21"/>
        </w:rPr>
      </w:pPr>
      <w:bookmarkStart w:id="868" w:name="_Toc532377273"/>
      <w:bookmarkEnd w:id="868"/>
      <w:r>
        <w:rPr>
          <w:rFonts w:hint="eastAsia" w:ascii="宋体" w:hAnsi="宋体" w:eastAsia="宋体" w:cs="宋体"/>
          <w:b/>
          <w:bCs/>
          <w:kern w:val="0"/>
          <w:sz w:val="21"/>
          <w:szCs w:val="21"/>
        </w:rPr>
        <w:t>12.5支付账户</w:t>
      </w:r>
    </w:p>
    <w:p w14:paraId="6E4D11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发包人应将合同价款支付至合同协议书中约定的承包人账户。</w:t>
      </w:r>
    </w:p>
    <w:p w14:paraId="4DBA663E">
      <w:pPr>
        <w:keepNext/>
        <w:keepLines/>
        <w:spacing w:before="156" w:beforeLines="50" w:after="156" w:afterLines="50" w:line="360" w:lineRule="auto"/>
        <w:outlineLvl w:val="3"/>
        <w:rPr>
          <w:rFonts w:ascii="宋体" w:hAnsi="宋体" w:eastAsia="宋体" w:cs="宋体"/>
          <w:b/>
          <w:sz w:val="21"/>
          <w:szCs w:val="21"/>
        </w:rPr>
      </w:pPr>
      <w:bookmarkStart w:id="869" w:name="_Toc322522574"/>
      <w:bookmarkEnd w:id="869"/>
      <w:bookmarkStart w:id="870" w:name="_Toc351203586"/>
      <w:bookmarkEnd w:id="870"/>
      <w:bookmarkStart w:id="871" w:name="_Toc296503106"/>
      <w:bookmarkEnd w:id="871"/>
      <w:bookmarkStart w:id="872" w:name="_Toc532375599"/>
      <w:bookmarkEnd w:id="872"/>
      <w:bookmarkStart w:id="873" w:name="_Toc296346607"/>
      <w:bookmarkEnd w:id="873"/>
      <w:bookmarkStart w:id="874" w:name="_Toc532377274"/>
      <w:bookmarkEnd w:id="874"/>
      <w:bookmarkStart w:id="875" w:name="_Toc337558804"/>
      <w:r>
        <w:rPr>
          <w:rFonts w:hint="eastAsia" w:ascii="宋体" w:hAnsi="宋体" w:eastAsia="宋体" w:cs="宋体"/>
          <w:b/>
          <w:bCs/>
          <w:sz w:val="21"/>
          <w:szCs w:val="21"/>
        </w:rPr>
        <w:t>13. 验收和工程试车</w:t>
      </w:r>
      <w:bookmarkEnd w:id="875"/>
    </w:p>
    <w:p w14:paraId="5E5B04AC">
      <w:pPr>
        <w:widowControl/>
        <w:spacing w:line="360" w:lineRule="auto"/>
        <w:jc w:val="left"/>
        <w:outlineLvl w:val="4"/>
        <w:rPr>
          <w:rFonts w:ascii="宋体" w:hAnsi="宋体" w:eastAsia="宋体" w:cs="宋体"/>
          <w:b/>
          <w:bCs/>
          <w:kern w:val="0"/>
          <w:sz w:val="21"/>
          <w:szCs w:val="21"/>
        </w:rPr>
      </w:pPr>
      <w:bookmarkStart w:id="876" w:name="_Toc296346611"/>
      <w:bookmarkEnd w:id="876"/>
      <w:bookmarkStart w:id="877" w:name="_Toc337558805"/>
      <w:bookmarkEnd w:id="877"/>
      <w:bookmarkStart w:id="878" w:name="_Toc532377275"/>
      <w:bookmarkEnd w:id="878"/>
      <w:bookmarkStart w:id="879" w:name="_Toc351203587"/>
      <w:bookmarkEnd w:id="879"/>
      <w:bookmarkStart w:id="880" w:name="_Toc296503110"/>
      <w:r>
        <w:rPr>
          <w:rFonts w:hint="eastAsia" w:ascii="宋体" w:hAnsi="宋体" w:eastAsia="宋体" w:cs="宋体"/>
          <w:b/>
          <w:bCs/>
          <w:kern w:val="0"/>
          <w:sz w:val="21"/>
          <w:szCs w:val="21"/>
        </w:rPr>
        <w:t>13.1分部分项工程验收</w:t>
      </w:r>
      <w:bookmarkEnd w:id="880"/>
    </w:p>
    <w:p w14:paraId="366D64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13.1.1 分部分项工程质量应符合国家有关工程施工验收规范、标准及合同约定，承包人应按照施工组织设计的要求完成分部分项工程施工。</w:t>
      </w:r>
    </w:p>
    <w:p w14:paraId="44D6A3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A863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分部分项工程的验收资料应当作为竣工资料的组成部分。</w:t>
      </w:r>
    </w:p>
    <w:p w14:paraId="1265E814">
      <w:pPr>
        <w:widowControl/>
        <w:spacing w:line="360" w:lineRule="auto"/>
        <w:jc w:val="left"/>
        <w:outlineLvl w:val="4"/>
        <w:rPr>
          <w:rFonts w:ascii="宋体" w:hAnsi="宋体" w:eastAsia="宋体" w:cs="宋体"/>
          <w:b/>
          <w:bCs/>
          <w:kern w:val="0"/>
          <w:sz w:val="21"/>
          <w:szCs w:val="21"/>
        </w:rPr>
      </w:pPr>
      <w:bookmarkStart w:id="881" w:name="_Toc532377276"/>
      <w:bookmarkEnd w:id="881"/>
      <w:bookmarkStart w:id="882" w:name="_Toc337558806"/>
      <w:bookmarkEnd w:id="882"/>
      <w:bookmarkStart w:id="883" w:name="_Toc351203588"/>
      <w:r>
        <w:rPr>
          <w:rFonts w:hint="eastAsia" w:ascii="宋体" w:hAnsi="宋体" w:eastAsia="宋体" w:cs="宋体"/>
          <w:b/>
          <w:bCs/>
          <w:kern w:val="0"/>
          <w:sz w:val="21"/>
          <w:szCs w:val="21"/>
        </w:rPr>
        <w:t>13.2竣工验收</w:t>
      </w:r>
      <w:bookmarkEnd w:id="883"/>
    </w:p>
    <w:p w14:paraId="75180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13.2.1竣工验收条件</w:t>
      </w:r>
    </w:p>
    <w:p w14:paraId="4B4A44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工程具备以下条件的，承包人可以申请竣工验收：</w:t>
      </w:r>
    </w:p>
    <w:p w14:paraId="114B1A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（1）除发包人同意的甩项工作和缺陷修补工作外，合同范围内的全部工程以及有关工作，包括合同要求的试验、试运行以及检验均已完成，并符合合同要求；</w:t>
      </w:r>
    </w:p>
    <w:p w14:paraId="74489C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（2）已按合同约定编制了甩项工作和缺陷修补工作清单以及相应的施工计划；</w:t>
      </w:r>
    </w:p>
    <w:p w14:paraId="5B15F61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（3）已按合同约定的内容和份数备齐竣工资料。</w:t>
      </w:r>
    </w:p>
    <w:p w14:paraId="664E09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13.2.2竣工验收程序</w:t>
      </w:r>
    </w:p>
    <w:p w14:paraId="683B23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除专用合同条款另有约定外，承包人申请竣工验收的，应当按照以下程序进行：</w:t>
      </w:r>
    </w:p>
    <w:p w14:paraId="4A1AA7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0A49F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9150E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（3）竣工验收合格的，发包人应在验收合格后14天内向承包人签发工程接收证书。发包人无正当理由逾期不颁发工程接收证书的，自验收合格后第15天起视为已颁发工程接收证书。</w:t>
      </w:r>
    </w:p>
    <w:p w14:paraId="43BE55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737ED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E8998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除专用合同条款另有约定外，发包人不按照本项约定组织竣工验收、颁发工程接收证书的，每逾期一天，应以签约合同价为基数，按照中国人民银行发布的同期同类贷款基准利率支付违约金。</w:t>
      </w:r>
    </w:p>
    <w:p w14:paraId="56F69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13.2.3竣工日期</w:t>
      </w:r>
    </w:p>
    <w:p w14:paraId="56C2E9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84" w:name="#go14"/>
      <w:bookmarkEnd w:id="884"/>
      <w:r>
        <w:rPr>
          <w:rFonts w:hint="eastAsia" w:ascii="宋体" w:hAnsi="宋体" w:eastAsia="宋体" w:cs="Times New Roman"/>
          <w:kern w:val="0"/>
          <w:sz w:val="21"/>
          <w:szCs w:val="21"/>
        </w:rPr>
        <w:t>收申请报告的日期为实际竣工日期；工程未经竣工验收，发包人擅自使用的，以转移占有工程之日为实际竣工日期。</w:t>
      </w:r>
    </w:p>
    <w:p w14:paraId="5BB752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13.2.4 拒绝接收全部或部分工程</w:t>
      </w:r>
    </w:p>
    <w:p w14:paraId="08DE3A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4AF45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13.2.5 移交、接收全部与部分工程</w:t>
      </w:r>
    </w:p>
    <w:p w14:paraId="67B9D4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除专用合同条款另有约定外，合同当事人应当在颁发工程接收证书后7天内完成工程的移交。</w:t>
      </w:r>
    </w:p>
    <w:p w14:paraId="7EE76E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F0440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承包人无正当理由不移交工程的，承包人应承担工程照管、成品保护、保管等与工程有关的各项费用，合同当事人可以在专用合同条款中另行约定承包人无正当理由不移交工程的违约责任。</w:t>
      </w:r>
    </w:p>
    <w:p w14:paraId="7DA476AA">
      <w:pPr>
        <w:widowControl/>
        <w:spacing w:line="360" w:lineRule="auto"/>
        <w:jc w:val="left"/>
        <w:outlineLvl w:val="4"/>
        <w:rPr>
          <w:rFonts w:ascii="宋体" w:hAnsi="宋体" w:eastAsia="宋体" w:cs="宋体"/>
          <w:b/>
          <w:bCs/>
          <w:kern w:val="0"/>
          <w:sz w:val="21"/>
          <w:szCs w:val="21"/>
        </w:rPr>
      </w:pPr>
      <w:bookmarkStart w:id="885" w:name="_Toc296503111"/>
      <w:bookmarkEnd w:id="885"/>
      <w:bookmarkStart w:id="886" w:name="_Toc296346612"/>
      <w:bookmarkEnd w:id="886"/>
      <w:bookmarkStart w:id="887" w:name="_Toc532377277"/>
      <w:bookmarkEnd w:id="887"/>
      <w:bookmarkStart w:id="888" w:name="_Toc351203589"/>
      <w:bookmarkEnd w:id="888"/>
      <w:bookmarkStart w:id="889" w:name="_Toc337558807"/>
      <w:r>
        <w:rPr>
          <w:rFonts w:hint="eastAsia" w:ascii="宋体" w:hAnsi="宋体" w:eastAsia="宋体" w:cs="宋体"/>
          <w:b/>
          <w:bCs/>
          <w:kern w:val="0"/>
          <w:sz w:val="21"/>
          <w:szCs w:val="21"/>
        </w:rPr>
        <w:t>13.3工程试车</w:t>
      </w:r>
      <w:bookmarkEnd w:id="889"/>
    </w:p>
    <w:p w14:paraId="378206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13.3.1试车程序</w:t>
      </w:r>
    </w:p>
    <w:p w14:paraId="6DDE1FA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工程需要试车的，除专用合同条款另有约定外，试车内容应与承包人承包范围相一致，试车费用由承包人承担。工程试车应按如下程序进行：</w:t>
      </w:r>
    </w:p>
    <w:p w14:paraId="194C71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3B5BF84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AE2A3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5AF924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13.3.2 试车中的责任</w:t>
      </w:r>
    </w:p>
    <w:p w14:paraId="3AC8C3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BC678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66316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13.3.3 投料试车</w:t>
      </w:r>
    </w:p>
    <w:p w14:paraId="74DA8E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如需进行投料试车的，发包人应在工程竣工验收后组织投料试车。发包人要求在工程竣工验收前进行或需要承包人配合时，应征得承包人同意，并在专用合同条款中约定有关事项。</w:t>
      </w:r>
    </w:p>
    <w:p w14:paraId="693B80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0C7A59C">
      <w:pPr>
        <w:widowControl/>
        <w:spacing w:line="360" w:lineRule="auto"/>
        <w:jc w:val="left"/>
        <w:outlineLvl w:val="4"/>
        <w:rPr>
          <w:rFonts w:ascii="宋体" w:hAnsi="宋体" w:eastAsia="宋体" w:cs="宋体"/>
          <w:b/>
          <w:bCs/>
          <w:kern w:val="0"/>
          <w:sz w:val="21"/>
          <w:szCs w:val="21"/>
        </w:rPr>
      </w:pPr>
      <w:bookmarkStart w:id="890" w:name="_Toc532377278"/>
      <w:bookmarkEnd w:id="890"/>
      <w:r>
        <w:rPr>
          <w:rFonts w:hint="eastAsia" w:ascii="宋体" w:hAnsi="宋体" w:eastAsia="宋体" w:cs="宋体"/>
          <w:b/>
          <w:bCs/>
          <w:kern w:val="0"/>
          <w:sz w:val="21"/>
          <w:szCs w:val="21"/>
        </w:rPr>
        <w:t>13.4提前交付单位工程的验收</w:t>
      </w:r>
    </w:p>
    <w:p w14:paraId="7F4B9E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13.4.1 发包人需要在工程竣工前使用单位工程的，或承包人提出提前交付已经竣工的单位工程且经发包人同意的，可进行单位工程验收，验收的程序按照第13.2款〔竣工验收〕的约定进行。</w:t>
      </w:r>
    </w:p>
    <w:p w14:paraId="574963C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E057D1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13.4.2 发包人要求在工程竣工前交付单位工程，由此导致承包人费用增加和（或）工期延误的，由发包人承担由此增加的费用和（或）延误的工期，并支付承包人合理的利润。</w:t>
      </w:r>
    </w:p>
    <w:p w14:paraId="59018880">
      <w:pPr>
        <w:widowControl/>
        <w:spacing w:line="360" w:lineRule="auto"/>
        <w:jc w:val="left"/>
        <w:outlineLvl w:val="4"/>
        <w:rPr>
          <w:rFonts w:ascii="宋体" w:hAnsi="宋体" w:eastAsia="宋体" w:cs="宋体"/>
          <w:b/>
          <w:bCs/>
          <w:kern w:val="0"/>
          <w:sz w:val="21"/>
          <w:szCs w:val="21"/>
        </w:rPr>
      </w:pPr>
      <w:bookmarkStart w:id="891" w:name="_Toc532377279"/>
      <w:bookmarkEnd w:id="891"/>
      <w:bookmarkStart w:id="892" w:name="_Toc351203591"/>
      <w:r>
        <w:rPr>
          <w:rFonts w:hint="eastAsia" w:ascii="宋体" w:hAnsi="宋体" w:eastAsia="宋体" w:cs="宋体"/>
          <w:b/>
          <w:bCs/>
          <w:kern w:val="0"/>
          <w:sz w:val="21"/>
          <w:szCs w:val="21"/>
        </w:rPr>
        <w:t>13.5 施工期运行</w:t>
      </w:r>
      <w:bookmarkEnd w:id="892"/>
    </w:p>
    <w:p w14:paraId="3D7BEE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4ED67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13.5.2 在施工期运行中发现工程或工程设备损坏或存在缺陷的，由承包人按第15.2款〔缺陷责任期〕约定进行修复。</w:t>
      </w:r>
    </w:p>
    <w:p w14:paraId="0CD81C48">
      <w:pPr>
        <w:widowControl/>
        <w:spacing w:line="360" w:lineRule="auto"/>
        <w:jc w:val="left"/>
        <w:outlineLvl w:val="4"/>
        <w:rPr>
          <w:rFonts w:ascii="宋体" w:hAnsi="宋体" w:eastAsia="宋体" w:cs="宋体"/>
          <w:b/>
          <w:bCs/>
          <w:kern w:val="0"/>
          <w:sz w:val="21"/>
          <w:szCs w:val="21"/>
        </w:rPr>
      </w:pPr>
      <w:bookmarkStart w:id="893" w:name="_Toc351203592"/>
      <w:bookmarkEnd w:id="893"/>
      <w:bookmarkStart w:id="894" w:name="_Toc296346613"/>
      <w:bookmarkEnd w:id="894"/>
      <w:bookmarkStart w:id="895" w:name="_Toc296503112"/>
      <w:bookmarkEnd w:id="895"/>
      <w:bookmarkStart w:id="896" w:name="_Toc532377280"/>
      <w:bookmarkEnd w:id="896"/>
      <w:bookmarkStart w:id="897" w:name="_Toc337558809"/>
      <w:r>
        <w:rPr>
          <w:rFonts w:hint="eastAsia" w:ascii="宋体" w:hAnsi="宋体" w:eastAsia="宋体" w:cs="宋体"/>
          <w:b/>
          <w:bCs/>
          <w:kern w:val="0"/>
          <w:sz w:val="21"/>
          <w:szCs w:val="21"/>
        </w:rPr>
        <w:t>13.6 竣工退</w:t>
      </w:r>
      <w:bookmarkEnd w:id="897"/>
      <w:r>
        <w:rPr>
          <w:rFonts w:hint="eastAsia" w:ascii="宋体" w:hAnsi="宋体" w:eastAsia="宋体" w:cs="宋体"/>
          <w:b/>
          <w:bCs/>
          <w:kern w:val="0"/>
          <w:sz w:val="21"/>
          <w:szCs w:val="21"/>
        </w:rPr>
        <w:t>场</w:t>
      </w:r>
    </w:p>
    <w:p w14:paraId="512C66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13.6.1 竣工退场</w:t>
      </w:r>
    </w:p>
    <w:p w14:paraId="6DD280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颁发工程接收证书后，承包人应按以下要求对施工现场进行清理：</w:t>
      </w:r>
    </w:p>
    <w:p w14:paraId="60FE2F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（1）施工现场内残留的垃圾已全部清除出场；</w:t>
      </w:r>
    </w:p>
    <w:p w14:paraId="0A18B4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（2）临时工程已拆除，场地已进行清理、平整或复原；</w:t>
      </w:r>
    </w:p>
    <w:p w14:paraId="1D6A87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（3）按合同约定应撤离的人员、承包人施工设备和剩余的材料，包括废弃的施工设备和材料，已按计划撤离施工现场；</w:t>
      </w:r>
    </w:p>
    <w:p w14:paraId="140998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（4）施工现场周边及其附近道路、河道的施工堆积物，已全部清理；</w:t>
      </w:r>
    </w:p>
    <w:p w14:paraId="63D40D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（5）施工现场其他场地清理工作已全部完成。</w:t>
      </w:r>
    </w:p>
    <w:p w14:paraId="6E6DE28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D15EFD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13.6.2 地表还原</w:t>
      </w:r>
    </w:p>
    <w:p w14:paraId="1B35156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E34246D">
      <w:pPr>
        <w:keepNext/>
        <w:keepLines/>
        <w:spacing w:before="156" w:beforeLines="50" w:after="156" w:afterLines="50" w:line="360" w:lineRule="auto"/>
        <w:outlineLvl w:val="3"/>
        <w:rPr>
          <w:rFonts w:ascii="宋体" w:hAnsi="宋体" w:eastAsia="宋体" w:cs="宋体"/>
          <w:b/>
          <w:sz w:val="21"/>
          <w:szCs w:val="21"/>
        </w:rPr>
      </w:pPr>
      <w:bookmarkStart w:id="898" w:name="_Toc532377281"/>
      <w:bookmarkEnd w:id="898"/>
      <w:bookmarkStart w:id="899" w:name="_Toc337558810"/>
      <w:bookmarkEnd w:id="899"/>
      <w:bookmarkStart w:id="900" w:name="_Toc296346614"/>
      <w:bookmarkEnd w:id="900"/>
      <w:bookmarkStart w:id="901" w:name="_Toc351203593"/>
      <w:bookmarkEnd w:id="901"/>
      <w:bookmarkStart w:id="902" w:name="_Toc532375600"/>
      <w:bookmarkEnd w:id="902"/>
      <w:bookmarkStart w:id="903" w:name="_Toc296503113"/>
      <w:r>
        <w:rPr>
          <w:rFonts w:hint="eastAsia" w:ascii="宋体" w:hAnsi="宋体" w:eastAsia="宋体" w:cs="宋体"/>
          <w:b/>
          <w:bCs/>
          <w:sz w:val="21"/>
          <w:szCs w:val="21"/>
        </w:rPr>
        <w:t>14. 竣工结算</w:t>
      </w:r>
      <w:bookmarkEnd w:id="903"/>
    </w:p>
    <w:p w14:paraId="2125FB41">
      <w:pPr>
        <w:widowControl/>
        <w:spacing w:line="360" w:lineRule="auto"/>
        <w:jc w:val="left"/>
        <w:outlineLvl w:val="4"/>
        <w:rPr>
          <w:rFonts w:ascii="宋体" w:hAnsi="宋体" w:eastAsia="宋体" w:cs="宋体"/>
          <w:b/>
          <w:bCs/>
          <w:kern w:val="0"/>
          <w:sz w:val="21"/>
          <w:szCs w:val="21"/>
        </w:rPr>
      </w:pPr>
      <w:bookmarkStart w:id="904" w:name="_Toc337558811"/>
      <w:bookmarkEnd w:id="904"/>
      <w:bookmarkStart w:id="905" w:name="_Toc351203594"/>
      <w:bookmarkEnd w:id="905"/>
      <w:bookmarkStart w:id="906" w:name="_Toc532377282"/>
      <w:r>
        <w:rPr>
          <w:rFonts w:hint="eastAsia" w:ascii="宋体" w:hAnsi="宋体" w:eastAsia="宋体" w:cs="宋体"/>
          <w:b/>
          <w:bCs/>
          <w:kern w:val="0"/>
          <w:sz w:val="21"/>
          <w:szCs w:val="21"/>
        </w:rPr>
        <w:t>14.1 竣工结算申请</w:t>
      </w:r>
      <w:bookmarkEnd w:id="906"/>
    </w:p>
    <w:p w14:paraId="0F2312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C7B26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除专用合同条款另有约定外，竣工结算申请单应包括以下内容：</w:t>
      </w:r>
    </w:p>
    <w:p w14:paraId="5CA48E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（1）竣工结算合同价格；</w:t>
      </w:r>
    </w:p>
    <w:p w14:paraId="53557A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（2）发包人已支付承包人的款项；</w:t>
      </w:r>
    </w:p>
    <w:p w14:paraId="3CBF9A9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（3）应扣留的质量保证金。已缴纳履约保证金的或提供其他工程质量担保方式的除外； </w:t>
      </w:r>
    </w:p>
    <w:p w14:paraId="29A6BB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（4）发包人应支付承包人的合同价款。</w:t>
      </w:r>
    </w:p>
    <w:p w14:paraId="7FCA6092">
      <w:pPr>
        <w:widowControl/>
        <w:spacing w:line="360" w:lineRule="auto"/>
        <w:jc w:val="left"/>
        <w:outlineLvl w:val="4"/>
        <w:rPr>
          <w:rFonts w:ascii="宋体" w:hAnsi="宋体" w:eastAsia="宋体" w:cs="宋体"/>
          <w:b/>
          <w:bCs/>
          <w:kern w:val="0"/>
          <w:sz w:val="21"/>
          <w:szCs w:val="21"/>
        </w:rPr>
      </w:pPr>
      <w:bookmarkStart w:id="907" w:name="_Toc351203595"/>
      <w:bookmarkEnd w:id="907"/>
      <w:bookmarkStart w:id="908" w:name="_Toc337558812"/>
      <w:bookmarkEnd w:id="908"/>
      <w:bookmarkStart w:id="909" w:name="_Toc532377283"/>
      <w:r>
        <w:rPr>
          <w:rFonts w:hint="eastAsia" w:ascii="宋体" w:hAnsi="宋体" w:eastAsia="宋体" w:cs="宋体"/>
          <w:b/>
          <w:bCs/>
          <w:kern w:val="0"/>
          <w:sz w:val="21"/>
          <w:szCs w:val="21"/>
        </w:rPr>
        <w:t>14.2 竣工结算审核</w:t>
      </w:r>
      <w:bookmarkEnd w:id="909"/>
    </w:p>
    <w:p w14:paraId="37C939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9EDF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C3CCE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80B756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E10CA7B">
      <w:pPr>
        <w:widowControl/>
        <w:spacing w:line="360" w:lineRule="auto"/>
        <w:jc w:val="left"/>
        <w:outlineLvl w:val="4"/>
        <w:rPr>
          <w:rFonts w:ascii="宋体" w:hAnsi="宋体" w:eastAsia="宋体" w:cs="宋体"/>
          <w:b/>
          <w:bCs/>
          <w:kern w:val="0"/>
          <w:sz w:val="21"/>
          <w:szCs w:val="21"/>
        </w:rPr>
      </w:pPr>
      <w:bookmarkStart w:id="910" w:name="_Toc532377284"/>
      <w:bookmarkEnd w:id="910"/>
      <w:bookmarkStart w:id="911" w:name="_Toc351203596"/>
      <w:bookmarkEnd w:id="911"/>
      <w:bookmarkStart w:id="912" w:name="_Toc337558813"/>
      <w:r>
        <w:rPr>
          <w:rFonts w:hint="eastAsia" w:ascii="宋体" w:hAnsi="宋体" w:eastAsia="宋体" w:cs="宋体"/>
          <w:b/>
          <w:bCs/>
          <w:kern w:val="0"/>
          <w:sz w:val="21"/>
          <w:szCs w:val="21"/>
        </w:rPr>
        <w:t>14.3 甩项竣工协议</w:t>
      </w:r>
      <w:bookmarkEnd w:id="912"/>
    </w:p>
    <w:p w14:paraId="03E70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7E732C84">
      <w:pPr>
        <w:widowControl/>
        <w:spacing w:line="360" w:lineRule="auto"/>
        <w:jc w:val="left"/>
        <w:outlineLvl w:val="4"/>
        <w:rPr>
          <w:rFonts w:ascii="宋体" w:hAnsi="宋体" w:eastAsia="宋体" w:cs="宋体"/>
          <w:b/>
          <w:bCs/>
          <w:kern w:val="0"/>
          <w:sz w:val="21"/>
          <w:szCs w:val="21"/>
        </w:rPr>
      </w:pPr>
      <w:bookmarkStart w:id="913" w:name="_Toc532377285"/>
      <w:bookmarkEnd w:id="913"/>
      <w:bookmarkStart w:id="914" w:name="_Toc351203597"/>
      <w:bookmarkEnd w:id="914"/>
      <w:bookmarkStart w:id="915" w:name="_Toc337558814"/>
      <w:r>
        <w:rPr>
          <w:rFonts w:hint="eastAsia" w:ascii="宋体" w:hAnsi="宋体" w:eastAsia="宋体" w:cs="宋体"/>
          <w:b/>
          <w:bCs/>
          <w:kern w:val="0"/>
          <w:sz w:val="21"/>
          <w:szCs w:val="21"/>
        </w:rPr>
        <w:t>14.4 最终结清</w:t>
      </w:r>
      <w:bookmarkEnd w:id="915"/>
    </w:p>
    <w:p w14:paraId="71EC46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14.4.1 最终结清申请单</w:t>
      </w:r>
    </w:p>
    <w:p w14:paraId="56690B4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（1）除专用合同条款另有约定外，承包人应在缺陷责任期终止证书颁发后7天内，按专用合同条款约定的份数向发包人提交最终结清申请单，并提供相关证明材料。</w:t>
      </w:r>
    </w:p>
    <w:p w14:paraId="291EA1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除专用合同条款另有约定外，最终结清申请单应列明质量保证金、应扣除的质量保证金、缺陷责任期内发生的增减费用。</w:t>
      </w:r>
    </w:p>
    <w:p w14:paraId="0C3324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（2）发包人对最终结清申请单内容有异议的，有权要求承包人进行修正和提供补充资料，承包人应向发包人提交修正后的最终结清申请单。</w:t>
      </w:r>
    </w:p>
    <w:p w14:paraId="6EEAC9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14.4.2 最终结清证书和支付</w:t>
      </w:r>
    </w:p>
    <w:p w14:paraId="2D3155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AAD88E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4FA9D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（3）承包人对发包人颁发的最终结清证书有异议的，按第20条〔争议解决〕的约定办理。</w:t>
      </w:r>
    </w:p>
    <w:p w14:paraId="726140DF">
      <w:pPr>
        <w:keepNext/>
        <w:keepLines/>
        <w:spacing w:before="156" w:beforeLines="50" w:after="156" w:afterLines="50" w:line="360" w:lineRule="auto"/>
        <w:outlineLvl w:val="3"/>
        <w:rPr>
          <w:rFonts w:ascii="宋体" w:hAnsi="宋体" w:eastAsia="宋体" w:cs="宋体"/>
          <w:b/>
          <w:sz w:val="21"/>
          <w:szCs w:val="21"/>
        </w:rPr>
      </w:pPr>
      <w:bookmarkStart w:id="916" w:name="_Toc351203598"/>
      <w:bookmarkEnd w:id="916"/>
      <w:bookmarkStart w:id="917" w:name="_Toc532377286"/>
      <w:bookmarkEnd w:id="917"/>
      <w:bookmarkStart w:id="918" w:name="_Toc532375601"/>
      <w:bookmarkEnd w:id="918"/>
      <w:bookmarkStart w:id="919" w:name="_Toc337558815"/>
      <w:r>
        <w:rPr>
          <w:rFonts w:hint="eastAsia" w:ascii="宋体" w:hAnsi="宋体" w:eastAsia="宋体" w:cs="宋体"/>
          <w:b/>
          <w:bCs/>
          <w:sz w:val="21"/>
          <w:szCs w:val="21"/>
        </w:rPr>
        <w:t>15. 缺陷责任与保修</w:t>
      </w:r>
      <w:bookmarkEnd w:id="919"/>
    </w:p>
    <w:p w14:paraId="249B779E">
      <w:pPr>
        <w:widowControl/>
        <w:spacing w:line="360" w:lineRule="auto"/>
        <w:jc w:val="left"/>
        <w:outlineLvl w:val="4"/>
        <w:rPr>
          <w:rFonts w:ascii="宋体" w:hAnsi="宋体" w:eastAsia="宋体" w:cs="宋体"/>
          <w:b/>
          <w:bCs/>
          <w:kern w:val="0"/>
          <w:sz w:val="21"/>
          <w:szCs w:val="21"/>
        </w:rPr>
      </w:pPr>
      <w:bookmarkStart w:id="920" w:name="_Toc532377287"/>
      <w:bookmarkEnd w:id="920"/>
      <w:bookmarkStart w:id="921" w:name="_Toc351203599"/>
      <w:bookmarkEnd w:id="921"/>
      <w:bookmarkStart w:id="922" w:name="_Toc296503114"/>
      <w:bookmarkEnd w:id="922"/>
      <w:bookmarkStart w:id="923" w:name="_Toc337558816"/>
      <w:bookmarkEnd w:id="923"/>
      <w:bookmarkStart w:id="924" w:name="_Toc296346615"/>
      <w:r>
        <w:rPr>
          <w:rFonts w:hint="eastAsia" w:ascii="宋体" w:hAnsi="宋体" w:eastAsia="宋体" w:cs="宋体"/>
          <w:b/>
          <w:bCs/>
          <w:kern w:val="0"/>
          <w:sz w:val="21"/>
          <w:szCs w:val="21"/>
        </w:rPr>
        <w:t>15.1 工程保修的原则</w:t>
      </w:r>
      <w:bookmarkEnd w:id="924"/>
    </w:p>
    <w:p w14:paraId="61EB6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在工程移交发包人后，因承包人原因产生的质量缺陷，承包人应承担质量缺陷责任和保修义务。缺陷责任期届满，承包人仍应按合同约定的工程各部位保修年限承担保修义务。</w:t>
      </w:r>
    </w:p>
    <w:p w14:paraId="1C91E269">
      <w:pPr>
        <w:widowControl/>
        <w:spacing w:line="360" w:lineRule="auto"/>
        <w:jc w:val="left"/>
        <w:outlineLvl w:val="4"/>
        <w:rPr>
          <w:rFonts w:ascii="宋体" w:hAnsi="宋体" w:eastAsia="宋体" w:cs="宋体"/>
          <w:b/>
          <w:bCs/>
          <w:kern w:val="0"/>
          <w:sz w:val="21"/>
          <w:szCs w:val="21"/>
        </w:rPr>
      </w:pPr>
      <w:bookmarkStart w:id="925" w:name="_Toc351203600"/>
      <w:bookmarkEnd w:id="925"/>
      <w:bookmarkStart w:id="926" w:name="_Toc337558817"/>
      <w:bookmarkEnd w:id="926"/>
      <w:bookmarkStart w:id="927" w:name="_Toc532377288"/>
      <w:r>
        <w:rPr>
          <w:rFonts w:hint="eastAsia" w:ascii="宋体" w:hAnsi="宋体" w:eastAsia="宋体" w:cs="宋体"/>
          <w:b/>
          <w:bCs/>
          <w:kern w:val="0"/>
          <w:sz w:val="21"/>
          <w:szCs w:val="21"/>
        </w:rPr>
        <w:t>15.2 缺陷责任期</w:t>
      </w:r>
      <w:bookmarkEnd w:id="927"/>
    </w:p>
    <w:p w14:paraId="324032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15.2.1 缺陷责任期从工程通过竣工验收之日起计算，合同当事人应在专用合同条款约定缺陷责任期的具体期限，但该期限最长不超过24个月。</w:t>
      </w:r>
    </w:p>
    <w:p w14:paraId="29B897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8734DD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E397C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由他人原因造成的缺陷，发包人负责组织维修，承包人不承担费用，且发包人不得从保证金中扣除费用。</w:t>
      </w:r>
    </w:p>
    <w:p w14:paraId="7101C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15.2.3 任何一项缺陷或损坏修复后，经检查证明其影响了工程或工程设备的使用性能，承包人应重新进行合同约定的试验和试运行，试验和试运行的全部费用应由责任方承担。</w:t>
      </w:r>
    </w:p>
    <w:p w14:paraId="7737835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7484DD0">
      <w:pPr>
        <w:widowControl/>
        <w:spacing w:line="360" w:lineRule="auto"/>
        <w:jc w:val="left"/>
        <w:outlineLvl w:val="4"/>
        <w:rPr>
          <w:rFonts w:ascii="宋体" w:hAnsi="宋体" w:eastAsia="宋体" w:cs="宋体"/>
          <w:b/>
          <w:bCs/>
          <w:kern w:val="0"/>
          <w:sz w:val="21"/>
          <w:szCs w:val="21"/>
        </w:rPr>
      </w:pPr>
      <w:bookmarkStart w:id="928" w:name="_Toc351203601"/>
      <w:bookmarkEnd w:id="928"/>
      <w:bookmarkStart w:id="929" w:name="_Toc296503115"/>
      <w:bookmarkEnd w:id="929"/>
      <w:bookmarkStart w:id="930" w:name="_Toc337558818"/>
      <w:bookmarkEnd w:id="930"/>
      <w:bookmarkStart w:id="931" w:name="_Toc532377289"/>
      <w:bookmarkEnd w:id="931"/>
      <w:bookmarkStart w:id="932" w:name="_Toc296346616"/>
      <w:r>
        <w:rPr>
          <w:rFonts w:hint="eastAsia" w:ascii="宋体" w:hAnsi="宋体" w:eastAsia="宋体" w:cs="宋体"/>
          <w:b/>
          <w:bCs/>
          <w:kern w:val="0"/>
          <w:sz w:val="21"/>
          <w:szCs w:val="21"/>
        </w:rPr>
        <w:t>15.3 质量保证金</w:t>
      </w:r>
      <w:bookmarkEnd w:id="932"/>
    </w:p>
    <w:p w14:paraId="37BAFF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经合同当事人协商一致扣留质量保证金的，应在专用合同条款中予以明确。</w:t>
      </w:r>
    </w:p>
    <w:p w14:paraId="0BDE5DF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在工程项目竣工前，承包人已经提供履约担保的，发包人不得同时预留工程质量保证金。</w:t>
      </w:r>
    </w:p>
    <w:p w14:paraId="04DEC5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15.3.1 承包人提供质量保证金的方式</w:t>
      </w:r>
    </w:p>
    <w:p w14:paraId="3F2296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承包人提供质量保证金有以下三种方式：</w:t>
      </w:r>
    </w:p>
    <w:p w14:paraId="56C86D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（1）质量保证金保函；</w:t>
      </w:r>
    </w:p>
    <w:p w14:paraId="36D298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（2）相应比例的工程款；</w:t>
      </w:r>
    </w:p>
    <w:p w14:paraId="2A028C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（3）双方约定的其他方式。</w:t>
      </w:r>
    </w:p>
    <w:p w14:paraId="4662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除专用合同条款另有约定外，质量保证金原则上采用上述第（1）种方式。</w:t>
      </w:r>
    </w:p>
    <w:p w14:paraId="1D666C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15.3.2 质量保证金的扣留</w:t>
      </w:r>
    </w:p>
    <w:p w14:paraId="60595E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质量保证金的扣留有以下三种方式：</w:t>
      </w:r>
    </w:p>
    <w:p w14:paraId="2A54AB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（1）在支付工程进度款时逐次扣留，在此情形下，质量保证金的计算基数不包括预付款的支付、扣回以及价格调整的金额；</w:t>
      </w:r>
    </w:p>
    <w:p w14:paraId="663B8A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w:t>
      </w:r>
      <w:bookmarkStart w:id="933" w:name="#go6"/>
      <w:bookmarkEnd w:id="933"/>
      <w:r>
        <w:rPr>
          <w:rFonts w:hint="eastAsia" w:ascii="宋体" w:hAnsi="宋体" w:eastAsia="宋体" w:cs="Times New Roman"/>
          <w:kern w:val="0"/>
          <w:sz w:val="21"/>
          <w:szCs w:val="21"/>
        </w:rPr>
        <w:t>程竣工结算时一次性扣留质量保证金；</w:t>
      </w:r>
    </w:p>
    <w:p w14:paraId="7EC87DE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（3）双方约定的其他扣留方式。</w:t>
      </w:r>
    </w:p>
    <w:p w14:paraId="7C46EC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除专用合同条款另有约定外，质量保证金的扣留原则上采用上述第（1）种方式。</w:t>
      </w:r>
    </w:p>
    <w:p w14:paraId="1D78B9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w:t>
      </w:r>
      <w:bookmarkStart w:id="934" w:name="#go4"/>
      <w:bookmarkEnd w:id="934"/>
      <w:r>
        <w:rPr>
          <w:rFonts w:hint="eastAsia" w:ascii="宋体" w:hAnsi="宋体" w:eastAsia="宋体" w:cs="Times New Roman"/>
          <w:kern w:val="0"/>
          <w:sz w:val="21"/>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01CCE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发包人在退还质量保证金的同时按照中国人民银行发布的同期同类贷款基准利率支付利息。</w:t>
      </w:r>
    </w:p>
    <w:p w14:paraId="32457E5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15.3.3 质量保证金的退还</w:t>
      </w:r>
    </w:p>
    <w:p w14:paraId="613D58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缺陷责任期内，承包人认真履行合同约定的责任，到期后，承包人可向发包人申请返还保证金。</w:t>
      </w:r>
    </w:p>
    <w:p w14:paraId="2D0667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DAFEB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发包人和承包人对保证金预留、返还以及工程维修质量、费用有争议的，按合同第20条约定的争议和纠纷解决程序处理。</w:t>
      </w:r>
    </w:p>
    <w:p w14:paraId="089016A8">
      <w:pPr>
        <w:widowControl/>
        <w:spacing w:line="360" w:lineRule="auto"/>
        <w:jc w:val="left"/>
        <w:outlineLvl w:val="4"/>
        <w:rPr>
          <w:rFonts w:ascii="宋体" w:hAnsi="宋体" w:eastAsia="宋体" w:cs="宋体"/>
          <w:b/>
          <w:bCs/>
          <w:kern w:val="0"/>
          <w:sz w:val="21"/>
          <w:szCs w:val="21"/>
        </w:rPr>
      </w:pPr>
      <w:bookmarkStart w:id="935" w:name="_Toc351203602"/>
      <w:bookmarkEnd w:id="935"/>
      <w:bookmarkStart w:id="936" w:name="_Toc532377290"/>
      <w:bookmarkEnd w:id="936"/>
      <w:bookmarkStart w:id="937" w:name="_Toc337558819"/>
      <w:r>
        <w:rPr>
          <w:rFonts w:hint="eastAsia" w:ascii="宋体" w:hAnsi="宋体" w:eastAsia="宋体" w:cs="宋体"/>
          <w:b/>
          <w:bCs/>
          <w:kern w:val="0"/>
          <w:sz w:val="21"/>
          <w:szCs w:val="21"/>
        </w:rPr>
        <w:t>15.4 保修</w:t>
      </w:r>
      <w:bookmarkEnd w:id="937"/>
    </w:p>
    <w:p w14:paraId="2E43F36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15.4.1保修责任</w:t>
      </w:r>
    </w:p>
    <w:p w14:paraId="36473B3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54AB9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发包人未经竣工验收擅自使用工程的，保修期自转移占有之日起算。</w:t>
      </w:r>
    </w:p>
    <w:p w14:paraId="47D562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15.4.2 修复费用</w:t>
      </w:r>
    </w:p>
    <w:p w14:paraId="72A4E5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保修期内，修复的费用按照以下约定处理：</w:t>
      </w:r>
    </w:p>
    <w:p w14:paraId="6CED6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（1）保修期内，因承包人原因造成工程的缺陷、损坏，承包人应负责修复，并承担修复的费用以及因工程的缺陷、损坏造成的人身伤害和财产损失；</w:t>
      </w:r>
    </w:p>
    <w:p w14:paraId="2999DFA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（2）保修期内，因发包人使用不当造成工程的缺陷、损坏，可以委托承包人修复，但发包人应承担修复的费用，并支付承包人合理利润；</w:t>
      </w:r>
    </w:p>
    <w:p w14:paraId="7EB8CFA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（3）因其他原因造成工程的缺陷、损坏，可以委托承包人修复，发包人应承担修复的费用，并支付承包人合理的利润，因工程的缺陷、损坏造成的人身伤害和财产损失由责任方承担。</w:t>
      </w:r>
    </w:p>
    <w:p w14:paraId="51288F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15.4.3 修复通知</w:t>
      </w:r>
    </w:p>
    <w:p w14:paraId="0D3D5FE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A17067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15.4.4 未能修复</w:t>
      </w:r>
    </w:p>
    <w:p w14:paraId="0E7C5D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F7D3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15.4.5 承包人出入权</w:t>
      </w:r>
    </w:p>
    <w:p w14:paraId="5E3BEF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EDFC1F9">
      <w:pPr>
        <w:keepNext/>
        <w:keepLines/>
        <w:spacing w:before="156" w:beforeLines="50" w:after="156" w:afterLines="50" w:line="360" w:lineRule="auto"/>
        <w:outlineLvl w:val="3"/>
        <w:rPr>
          <w:rFonts w:ascii="宋体" w:hAnsi="宋体" w:eastAsia="宋体" w:cs="宋体"/>
          <w:b/>
          <w:sz w:val="21"/>
          <w:szCs w:val="21"/>
        </w:rPr>
      </w:pPr>
      <w:bookmarkStart w:id="938" w:name="_Toc532377291"/>
      <w:bookmarkEnd w:id="938"/>
      <w:bookmarkStart w:id="939" w:name="_Toc351203603"/>
      <w:bookmarkEnd w:id="939"/>
      <w:bookmarkStart w:id="940" w:name="_Toc532375602"/>
      <w:bookmarkEnd w:id="940"/>
      <w:bookmarkStart w:id="941" w:name="_Toc337558820"/>
      <w:r>
        <w:rPr>
          <w:rFonts w:hint="eastAsia" w:ascii="宋体" w:hAnsi="宋体" w:eastAsia="宋体" w:cs="宋体"/>
          <w:b/>
          <w:bCs/>
          <w:sz w:val="21"/>
          <w:szCs w:val="21"/>
        </w:rPr>
        <w:t>16. 违约</w:t>
      </w:r>
      <w:bookmarkEnd w:id="941"/>
    </w:p>
    <w:p w14:paraId="2E7FB81F">
      <w:pPr>
        <w:widowControl/>
        <w:spacing w:line="360" w:lineRule="auto"/>
        <w:jc w:val="left"/>
        <w:outlineLvl w:val="4"/>
        <w:rPr>
          <w:rFonts w:ascii="宋体" w:hAnsi="宋体" w:eastAsia="宋体" w:cs="宋体"/>
          <w:b/>
          <w:bCs/>
          <w:kern w:val="0"/>
          <w:sz w:val="21"/>
          <w:szCs w:val="21"/>
        </w:rPr>
      </w:pPr>
      <w:bookmarkStart w:id="942" w:name="_Toc337558821"/>
      <w:bookmarkEnd w:id="942"/>
      <w:bookmarkStart w:id="943" w:name="_Toc351203604"/>
      <w:bookmarkEnd w:id="943"/>
      <w:bookmarkStart w:id="944" w:name="_Toc296346630"/>
      <w:bookmarkEnd w:id="944"/>
      <w:bookmarkStart w:id="945" w:name="_Toc296503129"/>
      <w:bookmarkEnd w:id="945"/>
      <w:bookmarkStart w:id="946" w:name="_Toc532377292"/>
      <w:r>
        <w:rPr>
          <w:rFonts w:hint="eastAsia" w:ascii="宋体" w:hAnsi="宋体" w:eastAsia="宋体" w:cs="宋体"/>
          <w:b/>
          <w:bCs/>
          <w:kern w:val="0"/>
          <w:sz w:val="21"/>
          <w:szCs w:val="21"/>
        </w:rPr>
        <w:t>16.1 发</w:t>
      </w:r>
      <w:bookmarkEnd w:id="946"/>
      <w:r>
        <w:rPr>
          <w:rFonts w:hint="eastAsia" w:ascii="宋体" w:hAnsi="宋体" w:eastAsia="宋体" w:cs="宋体"/>
          <w:b/>
          <w:bCs/>
          <w:kern w:val="0"/>
          <w:sz w:val="21"/>
          <w:szCs w:val="21"/>
        </w:rPr>
        <w:t>包人违约</w:t>
      </w:r>
    </w:p>
    <w:p w14:paraId="038D2E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16.1.1 发包人违约的情形</w:t>
      </w:r>
    </w:p>
    <w:p w14:paraId="1225AE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在合同履行过程中发生的下列情形，属于发包人违约：</w:t>
      </w:r>
    </w:p>
    <w:p w14:paraId="1A5550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（1）因发包人原因未能在计划开工日期前7天内下达开工通知的；</w:t>
      </w:r>
    </w:p>
    <w:p w14:paraId="19957E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（2）因发包人原因未能按合同约定支付合同价款的；</w:t>
      </w:r>
    </w:p>
    <w:p w14:paraId="2429309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（3）发包人违反第10.1款〔变更的范围〕第（2）项约定，自行实施被取消的工作或转由他人实施的；</w:t>
      </w:r>
    </w:p>
    <w:p w14:paraId="16C86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（4）发包人提供的材料、工程设备的规格、数量或质量不符合合同约定，或因发包人原因导致交货日期延误或交货地点变更等情况的；</w:t>
      </w:r>
    </w:p>
    <w:p w14:paraId="4A50F5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（5）因发包人违反合同约定造成暂停施工的；</w:t>
      </w:r>
    </w:p>
    <w:p w14:paraId="7790BEF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（6）发包人无正当理由没有在约定期限内发出复工指示，导致承包人无法复工的；</w:t>
      </w:r>
    </w:p>
    <w:p w14:paraId="6AA9CA2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（7）发包人明确表示或者以其行为表明不履行合同主要义务的；</w:t>
      </w:r>
    </w:p>
    <w:p w14:paraId="2A0620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（8）发包人未能按照合同约定履行其他义务的。</w:t>
      </w:r>
    </w:p>
    <w:p w14:paraId="410A95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4CE9A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16.1.2 发包人违约的责任</w:t>
      </w:r>
    </w:p>
    <w:p w14:paraId="0A5E11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发包人应承担因其违约给承包人增加的费用和（或）延误的工期，并支付承包人合理的利润。此外，合同当事人可在专用合同条款中另行约定发包人违约责任的承担方式和计算方法。</w:t>
      </w:r>
    </w:p>
    <w:p w14:paraId="7F760A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16.1.3 因发包人违约解除合同</w:t>
      </w:r>
    </w:p>
    <w:p w14:paraId="66EF1D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F246B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16.1.4 因发包人违约解除合同后的付款</w:t>
      </w:r>
    </w:p>
    <w:p w14:paraId="528582C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承包人按照本款约定解除合同的，发包人应在解除合同后28天内支付下列款项，并解除履约担保：</w:t>
      </w:r>
    </w:p>
    <w:p w14:paraId="45D39B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（1）合同解除前所完成工作的价款；</w:t>
      </w:r>
    </w:p>
    <w:p w14:paraId="1814C0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（2）承包人为工程施工订购并已付款的材料、工程设备和其他物品的价款；</w:t>
      </w:r>
    </w:p>
    <w:p w14:paraId="514E1A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（3）承包人撤离施工现场以及遣散承包人人员的款项；</w:t>
      </w:r>
    </w:p>
    <w:p w14:paraId="12133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（4）按照合同约定在合同解除前应支付的违约金；</w:t>
      </w:r>
    </w:p>
    <w:p w14:paraId="1575EE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（5）按照合同约定应当支付给承包人的其他款项；</w:t>
      </w:r>
    </w:p>
    <w:p w14:paraId="7C0EA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（6）按照合同约定应退还的质量保证金；</w:t>
      </w:r>
    </w:p>
    <w:p w14:paraId="4CCF7A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（7）因解除合同给承包人造成的损失。</w:t>
      </w:r>
    </w:p>
    <w:p w14:paraId="0FC5D9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合同当事人未能就解除合同后的结清达成一致的，按照第20条〔争议解决〕的约定处理。</w:t>
      </w:r>
    </w:p>
    <w:p w14:paraId="2862D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承包人应妥善做好已完工程和与工程有关的已购材料、工程设备的保护和移交工作，并将施工设备和人员撤出施工现场，发包人应为承包人撤出提供必要条件。</w:t>
      </w:r>
    </w:p>
    <w:p w14:paraId="6BFB3112">
      <w:pPr>
        <w:widowControl/>
        <w:spacing w:line="360" w:lineRule="auto"/>
        <w:jc w:val="left"/>
        <w:outlineLvl w:val="4"/>
        <w:rPr>
          <w:rFonts w:ascii="宋体" w:hAnsi="宋体" w:eastAsia="宋体" w:cs="宋体"/>
          <w:b/>
          <w:bCs/>
          <w:kern w:val="0"/>
          <w:sz w:val="21"/>
          <w:szCs w:val="21"/>
        </w:rPr>
      </w:pPr>
      <w:bookmarkStart w:id="947" w:name="_Toc296503131"/>
      <w:bookmarkEnd w:id="947"/>
      <w:bookmarkStart w:id="948" w:name="_Toc337558822"/>
      <w:bookmarkEnd w:id="948"/>
      <w:bookmarkStart w:id="949" w:name="_Toc351203605"/>
      <w:bookmarkEnd w:id="949"/>
      <w:bookmarkStart w:id="950" w:name="_Toc296346632"/>
      <w:bookmarkEnd w:id="950"/>
      <w:bookmarkStart w:id="951" w:name="_Toc532377293"/>
      <w:r>
        <w:rPr>
          <w:rFonts w:hint="eastAsia" w:ascii="宋体" w:hAnsi="宋体" w:eastAsia="宋体" w:cs="宋体"/>
          <w:b/>
          <w:bCs/>
          <w:kern w:val="0"/>
          <w:sz w:val="21"/>
          <w:szCs w:val="21"/>
        </w:rPr>
        <w:t>16.2 承包人违约</w:t>
      </w:r>
      <w:bookmarkEnd w:id="951"/>
    </w:p>
    <w:p w14:paraId="6D5116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16.2.1 承包人违约的情形</w:t>
      </w:r>
    </w:p>
    <w:p w14:paraId="787DC9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在合同履行过程中发生的下列情形，属于承包人违约：</w:t>
      </w:r>
    </w:p>
    <w:p w14:paraId="29130A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（1）承包人违反合同约定进行转包或违法分包的；</w:t>
      </w:r>
    </w:p>
    <w:p w14:paraId="08474A1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（2）承包人违反合同约定采购和使用不合格的材料和工程设备的；</w:t>
      </w:r>
    </w:p>
    <w:p w14:paraId="038DBF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（3）因承包人原因导致工程质量不符合合同要求的； </w:t>
      </w:r>
    </w:p>
    <w:p w14:paraId="40B231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（4）承包人违反第8.9款〔材料与设备专用要求〕的约定，未经批准，私自将已按照合同约定进入施工现场的材料或设备撤离施工现场的；</w:t>
      </w:r>
    </w:p>
    <w:p w14:paraId="5D0862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（5）承包人未能按施工进度计划及时完成合同约定的工作，造成工期延误的；</w:t>
      </w:r>
    </w:p>
    <w:p w14:paraId="052981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（6）承包人在缺陷责任期及保修期内，未能在合理期限对工程缺陷进行修复，或拒绝按发包人要求进行修复的；</w:t>
      </w:r>
    </w:p>
    <w:p w14:paraId="0E18AFB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（7）承包人明确表示或者以其行为表明不履行合同主要义务的；</w:t>
      </w:r>
    </w:p>
    <w:p w14:paraId="0080DE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（8）承包人未能按照合同约定履行其他义务的。</w:t>
      </w:r>
    </w:p>
    <w:p w14:paraId="244071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承包人发生除本项第（7）目约定以外的其他违约情况时，监理人可向承包人发出整改通知，要求其在指定的期限内改正。</w:t>
      </w:r>
    </w:p>
    <w:p w14:paraId="1DC743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16.2.2 承包人违约的责任</w:t>
      </w:r>
    </w:p>
    <w:p w14:paraId="1D74A09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承包人应承担因其违约行为而增加的费用和（或）延误的工期。此外，合同当事人可在专用合同条款中另行约定承包人违约责任的承担方式和计算方法。</w:t>
      </w:r>
    </w:p>
    <w:p w14:paraId="2B7B2C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16.2.3 因承包人违约解除合同</w:t>
      </w:r>
    </w:p>
    <w:p w14:paraId="2BD54F4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E3F0FB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16.2.4因承包人违约解除合同后的处理</w:t>
      </w:r>
    </w:p>
    <w:p w14:paraId="34D2FB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因承包人原因导致合同解除的，则合同当事人应在合同解除后28天内完成估价、付款和清算，并按以下约定执行：</w:t>
      </w:r>
    </w:p>
    <w:p w14:paraId="716562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（1）合同解除后，按第4.4款〔商定或确定〕商定或确定承包人实际完成工作对应的合同价款，以及承包人已提供的材料、工程设备、施工设备和临时工程等的价值；</w:t>
      </w:r>
    </w:p>
    <w:p w14:paraId="231D68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（2）合同解除后，承包人应支付的违约金；</w:t>
      </w:r>
    </w:p>
    <w:p w14:paraId="725587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（3）合同解除后，因解除合同给发包人造成的损失；</w:t>
      </w:r>
    </w:p>
    <w:p w14:paraId="62D099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（4）合同解除后，承包人应按照发包人要求和监理人的指示完成现场的清理和撤离；</w:t>
      </w:r>
    </w:p>
    <w:p w14:paraId="594C85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（5）发包人和承包人应在合同解除后进行清算，出具最终结清付款证书，结清全部款项。</w:t>
      </w:r>
    </w:p>
    <w:p w14:paraId="3C05DA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因承包人违约解除合同的，发包人有权暂停对承包人的付款，查清各项付款和已扣款项。发包人和承包人未能就合同解除后的清算和款项支付达成一致的，按照第20条〔争议解决〕的约定处理。</w:t>
      </w:r>
    </w:p>
    <w:p w14:paraId="240E11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16.2.5采购合同权益转让</w:t>
      </w:r>
    </w:p>
    <w:p w14:paraId="27099B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CC54584">
      <w:pPr>
        <w:widowControl/>
        <w:spacing w:line="360" w:lineRule="auto"/>
        <w:jc w:val="left"/>
        <w:outlineLvl w:val="4"/>
        <w:rPr>
          <w:rFonts w:ascii="宋体" w:hAnsi="宋体" w:eastAsia="宋体" w:cs="宋体"/>
          <w:b/>
          <w:bCs/>
          <w:kern w:val="0"/>
          <w:sz w:val="21"/>
          <w:szCs w:val="21"/>
        </w:rPr>
      </w:pPr>
      <w:bookmarkStart w:id="952" w:name="_Toc532377294"/>
      <w:bookmarkEnd w:id="952"/>
      <w:bookmarkStart w:id="953" w:name="_Toc351203606"/>
      <w:r>
        <w:rPr>
          <w:rFonts w:hint="eastAsia" w:ascii="宋体" w:hAnsi="宋体" w:eastAsia="宋体" w:cs="宋体"/>
          <w:b/>
          <w:bCs/>
          <w:kern w:val="0"/>
          <w:sz w:val="21"/>
          <w:szCs w:val="21"/>
        </w:rPr>
        <w:t>16.3 第三人造成的违约</w:t>
      </w:r>
      <w:bookmarkEnd w:id="953"/>
    </w:p>
    <w:p w14:paraId="633C52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在履行合同过程中，一方当事人因第三人的原因造成违约的，应当向对方当事人承担违约责任。一方当事人和第三人之间的纠纷，依照法律规定或者按照约定解决。</w:t>
      </w:r>
    </w:p>
    <w:p w14:paraId="1E7AD64D">
      <w:pPr>
        <w:keepNext/>
        <w:keepLines/>
        <w:spacing w:before="156" w:beforeLines="50" w:after="156" w:afterLines="50" w:line="360" w:lineRule="auto"/>
        <w:outlineLvl w:val="3"/>
        <w:rPr>
          <w:rFonts w:ascii="宋体" w:hAnsi="宋体" w:eastAsia="宋体" w:cs="宋体"/>
          <w:b/>
          <w:sz w:val="21"/>
          <w:szCs w:val="21"/>
        </w:rPr>
      </w:pPr>
      <w:bookmarkStart w:id="954" w:name="_Toc296346617"/>
      <w:bookmarkEnd w:id="954"/>
      <w:bookmarkStart w:id="955" w:name="_Toc532377295"/>
      <w:bookmarkEnd w:id="955"/>
      <w:bookmarkStart w:id="956" w:name="_Toc296503116"/>
      <w:bookmarkEnd w:id="956"/>
      <w:bookmarkStart w:id="957" w:name="_Toc351203607"/>
      <w:bookmarkEnd w:id="957"/>
      <w:bookmarkStart w:id="958" w:name="_Toc532375603"/>
      <w:bookmarkEnd w:id="958"/>
      <w:bookmarkStart w:id="959" w:name="_Toc337558823"/>
      <w:r>
        <w:rPr>
          <w:rFonts w:hint="eastAsia" w:ascii="宋体" w:hAnsi="宋体" w:eastAsia="宋体" w:cs="宋体"/>
          <w:b/>
          <w:bCs/>
          <w:sz w:val="21"/>
          <w:szCs w:val="21"/>
        </w:rPr>
        <w:t>17. 不可抗力</w:t>
      </w:r>
      <w:bookmarkEnd w:id="959"/>
    </w:p>
    <w:p w14:paraId="6B02E26B">
      <w:pPr>
        <w:widowControl/>
        <w:spacing w:line="360" w:lineRule="auto"/>
        <w:jc w:val="left"/>
        <w:outlineLvl w:val="4"/>
        <w:rPr>
          <w:rFonts w:ascii="宋体" w:hAnsi="宋体" w:eastAsia="宋体" w:cs="宋体"/>
          <w:b/>
          <w:bCs/>
          <w:kern w:val="0"/>
          <w:sz w:val="21"/>
          <w:szCs w:val="21"/>
        </w:rPr>
      </w:pPr>
      <w:bookmarkStart w:id="960" w:name="_Toc532377296"/>
      <w:bookmarkEnd w:id="960"/>
      <w:bookmarkStart w:id="961" w:name="_Toc351203608"/>
      <w:bookmarkEnd w:id="961"/>
      <w:bookmarkStart w:id="962" w:name="_Toc296503117"/>
      <w:bookmarkEnd w:id="962"/>
      <w:bookmarkStart w:id="963" w:name="_Toc296346618"/>
      <w:bookmarkEnd w:id="963"/>
      <w:bookmarkStart w:id="964" w:name="_Toc337558824"/>
      <w:r>
        <w:rPr>
          <w:rFonts w:hint="eastAsia" w:ascii="宋体" w:hAnsi="宋体" w:eastAsia="宋体" w:cs="宋体"/>
          <w:b/>
          <w:bCs/>
          <w:kern w:val="0"/>
          <w:sz w:val="21"/>
          <w:szCs w:val="21"/>
        </w:rPr>
        <w:t>17.1 不可抗力的确认</w:t>
      </w:r>
      <w:bookmarkEnd w:id="964"/>
    </w:p>
    <w:p w14:paraId="132C83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00D87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41FE5F6">
      <w:pPr>
        <w:widowControl/>
        <w:spacing w:line="360" w:lineRule="auto"/>
        <w:jc w:val="left"/>
        <w:outlineLvl w:val="4"/>
        <w:rPr>
          <w:rFonts w:ascii="宋体" w:hAnsi="宋体" w:eastAsia="宋体" w:cs="宋体"/>
          <w:b/>
          <w:bCs/>
          <w:kern w:val="0"/>
          <w:sz w:val="21"/>
          <w:szCs w:val="21"/>
        </w:rPr>
      </w:pPr>
      <w:bookmarkStart w:id="965" w:name="_Toc296503118"/>
      <w:bookmarkEnd w:id="965"/>
      <w:bookmarkStart w:id="966" w:name="_Toc337558825"/>
      <w:bookmarkEnd w:id="966"/>
      <w:bookmarkStart w:id="967" w:name="_Toc296346619"/>
      <w:bookmarkEnd w:id="967"/>
      <w:bookmarkStart w:id="968" w:name="_Toc532377297"/>
      <w:bookmarkEnd w:id="968"/>
      <w:bookmarkStart w:id="969" w:name="_Toc351203609"/>
      <w:r>
        <w:rPr>
          <w:rFonts w:hint="eastAsia" w:ascii="宋体" w:hAnsi="宋体" w:eastAsia="宋体" w:cs="宋体"/>
          <w:b/>
          <w:bCs/>
          <w:kern w:val="0"/>
          <w:sz w:val="21"/>
          <w:szCs w:val="21"/>
        </w:rPr>
        <w:t>17.2 不可抗力的通知</w:t>
      </w:r>
      <w:bookmarkEnd w:id="969"/>
    </w:p>
    <w:p w14:paraId="4DD81A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合同一方当事人遇到不可抗力事件，使其履行合同义务受到阻碍时，应立即通知合同另一方当事人和监理人，书面说明不可抗力和受阻碍的详细情况，并提供必要的证明。</w:t>
      </w:r>
    </w:p>
    <w:p w14:paraId="2D55F76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不可抗力持续发生的，合同一方当事人应及时向合同另一方当事人和监理人提交中间报告，说明不可抗力和履行合同受阻的情况，并于不可抗力事件结束后28天内提交最终报告及有关资料。</w:t>
      </w:r>
    </w:p>
    <w:p w14:paraId="270E170A">
      <w:pPr>
        <w:widowControl/>
        <w:spacing w:line="360" w:lineRule="auto"/>
        <w:jc w:val="left"/>
        <w:outlineLvl w:val="4"/>
        <w:rPr>
          <w:rFonts w:ascii="宋体" w:hAnsi="宋体" w:eastAsia="宋体" w:cs="宋体"/>
          <w:b/>
          <w:bCs/>
          <w:kern w:val="0"/>
          <w:sz w:val="21"/>
          <w:szCs w:val="21"/>
        </w:rPr>
      </w:pPr>
      <w:bookmarkStart w:id="970" w:name="_Toc532377298"/>
      <w:bookmarkEnd w:id="970"/>
      <w:r>
        <w:rPr>
          <w:rFonts w:hint="eastAsia" w:ascii="宋体" w:hAnsi="宋体" w:eastAsia="宋体" w:cs="宋体"/>
          <w:b/>
          <w:bCs/>
          <w:kern w:val="0"/>
          <w:sz w:val="21"/>
          <w:szCs w:val="21"/>
        </w:rPr>
        <w:t>17.3 不可抗力后果的承担</w:t>
      </w:r>
    </w:p>
    <w:p w14:paraId="15F85F8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17.3.1 不可抗力引起的后果及造成的损失由合同当事人按照法律规定及合同约定各自承担。不可抗力发生前已完成的工程应当按照合同约定进行计量支付。</w:t>
      </w:r>
    </w:p>
    <w:p w14:paraId="20FBB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17.3.2 不可抗力导致的人员伤亡、财产损失、费用增加和（或）工期延误等后果，由合同当事人按以下原则承担：</w:t>
      </w:r>
    </w:p>
    <w:p w14:paraId="7ABB8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（1）永久工程、已运至施工现场的材料和工程设备的损坏，以及因工程损坏造成的第三人人员伤亡和财产损失由发包人承担；</w:t>
      </w:r>
    </w:p>
    <w:p w14:paraId="1351BF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（2）承包人施工设备的损坏由承包人承担；</w:t>
      </w:r>
    </w:p>
    <w:p w14:paraId="2EB23F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（3）发包人和承包人承担各自人员伤亡和财产的损失；</w:t>
      </w:r>
    </w:p>
    <w:p w14:paraId="28EC87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7704CC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（5）因不可抗力引起或将引起工期延误，发包人要求赶工的，由此增加的赶工费用由发包人承担；</w:t>
      </w:r>
    </w:p>
    <w:p w14:paraId="42558D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（6）承包人在停工期间按照发包人要求照管、清理和修复工程的费用由发包人承担。</w:t>
      </w:r>
    </w:p>
    <w:p w14:paraId="631BC4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不可抗力发生后，合同当事人均应采取措施尽量避免和减少损失的扩大，任何一方当事人没有采取有效措施导致损失扩大的，应对扩大的损失承担责任。</w:t>
      </w:r>
    </w:p>
    <w:p w14:paraId="1AC3A4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因合同一方迟延履行合同义务，在迟延履行期间遭遇不可抗力的，不免除其违约责任。</w:t>
      </w:r>
    </w:p>
    <w:p w14:paraId="7DF03FA9">
      <w:pPr>
        <w:widowControl/>
        <w:spacing w:line="360" w:lineRule="auto"/>
        <w:jc w:val="left"/>
        <w:outlineLvl w:val="4"/>
        <w:rPr>
          <w:rFonts w:ascii="宋体" w:hAnsi="宋体" w:eastAsia="宋体" w:cs="宋体"/>
          <w:b/>
          <w:bCs/>
          <w:kern w:val="0"/>
          <w:sz w:val="21"/>
          <w:szCs w:val="21"/>
        </w:rPr>
      </w:pPr>
      <w:bookmarkStart w:id="971" w:name="_Toc337558827"/>
      <w:bookmarkEnd w:id="971"/>
      <w:bookmarkStart w:id="972" w:name="_Toc351203611"/>
      <w:bookmarkEnd w:id="972"/>
      <w:bookmarkStart w:id="973" w:name="_Toc532377299"/>
      <w:r>
        <w:rPr>
          <w:rFonts w:hint="eastAsia" w:ascii="宋体" w:hAnsi="宋体" w:eastAsia="宋体" w:cs="宋体"/>
          <w:b/>
          <w:bCs/>
          <w:kern w:val="0"/>
          <w:sz w:val="21"/>
          <w:szCs w:val="21"/>
        </w:rPr>
        <w:t>17.4 因不可抗力解除合同</w:t>
      </w:r>
      <w:bookmarkEnd w:id="973"/>
    </w:p>
    <w:p w14:paraId="4B2E20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1CB27E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（1）合同解除前承包人已完成工作的价款；</w:t>
      </w:r>
    </w:p>
    <w:p w14:paraId="38A278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（2）承包人为工程订购的并已交付给承包人，或承包人有责任接受交付的材料、工程设备和其他物品的价款；</w:t>
      </w:r>
    </w:p>
    <w:p w14:paraId="112D6C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（3）发包人要求承包人退货或解除订货合同而产生的费用，或因不能退货或解除合同而产生的损失；</w:t>
      </w:r>
    </w:p>
    <w:p w14:paraId="110108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（4）承包人撤离施工现场以及遣散承包人人员的费用；</w:t>
      </w:r>
    </w:p>
    <w:p w14:paraId="592760B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（5）按照合同约定在合同解除前应支付给承包人的其他款项；</w:t>
      </w:r>
    </w:p>
    <w:p w14:paraId="30980D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（6）扣减承包人按照合同约定应向发包人支付的款项；</w:t>
      </w:r>
    </w:p>
    <w:p w14:paraId="31712E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（7）双方商定或确定的其他款项。</w:t>
      </w:r>
    </w:p>
    <w:p w14:paraId="43B3DB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除专用合同条款另有约定外，合同解除后，发包人应在商定或确定上述款项后28天内完成上述款项的支付。</w:t>
      </w:r>
    </w:p>
    <w:p w14:paraId="0F732F90">
      <w:pPr>
        <w:keepNext/>
        <w:keepLines/>
        <w:spacing w:before="156" w:beforeLines="50" w:after="156" w:afterLines="50" w:line="360" w:lineRule="auto"/>
        <w:outlineLvl w:val="3"/>
        <w:rPr>
          <w:rFonts w:ascii="宋体" w:hAnsi="宋体" w:eastAsia="宋体" w:cs="宋体"/>
          <w:b/>
          <w:sz w:val="21"/>
          <w:szCs w:val="21"/>
        </w:rPr>
      </w:pPr>
      <w:bookmarkStart w:id="974" w:name="_Toc337558828"/>
      <w:bookmarkEnd w:id="974"/>
      <w:bookmarkStart w:id="975" w:name="_Toc351203612"/>
      <w:bookmarkEnd w:id="975"/>
      <w:bookmarkStart w:id="976" w:name="_Toc532377300"/>
      <w:bookmarkEnd w:id="976"/>
      <w:bookmarkStart w:id="977" w:name="_Toc296346621"/>
      <w:bookmarkEnd w:id="977"/>
      <w:bookmarkStart w:id="978" w:name="_Toc532375604"/>
      <w:bookmarkEnd w:id="978"/>
      <w:bookmarkStart w:id="979" w:name="_Toc296503120"/>
      <w:r>
        <w:rPr>
          <w:rFonts w:hint="eastAsia" w:ascii="宋体" w:hAnsi="宋体" w:eastAsia="宋体" w:cs="宋体"/>
          <w:b/>
          <w:bCs/>
          <w:sz w:val="21"/>
          <w:szCs w:val="21"/>
        </w:rPr>
        <w:t>18. 保险</w:t>
      </w:r>
      <w:bookmarkEnd w:id="979"/>
    </w:p>
    <w:p w14:paraId="677952CF">
      <w:pPr>
        <w:widowControl/>
        <w:spacing w:line="360" w:lineRule="auto"/>
        <w:jc w:val="left"/>
        <w:outlineLvl w:val="4"/>
        <w:rPr>
          <w:rFonts w:ascii="宋体" w:hAnsi="宋体" w:eastAsia="宋体" w:cs="宋体"/>
          <w:b/>
          <w:bCs/>
          <w:kern w:val="0"/>
          <w:sz w:val="21"/>
          <w:szCs w:val="21"/>
        </w:rPr>
      </w:pPr>
      <w:bookmarkStart w:id="980" w:name="_Toc296346622"/>
      <w:bookmarkEnd w:id="980"/>
      <w:bookmarkStart w:id="981" w:name="_Toc351203613"/>
      <w:bookmarkEnd w:id="981"/>
      <w:bookmarkStart w:id="982" w:name="_Toc337558829"/>
      <w:bookmarkEnd w:id="982"/>
      <w:bookmarkStart w:id="983" w:name="_Toc532377301"/>
      <w:bookmarkEnd w:id="983"/>
      <w:bookmarkStart w:id="984" w:name="_Toc296503121"/>
      <w:r>
        <w:rPr>
          <w:rFonts w:hint="eastAsia" w:ascii="宋体" w:hAnsi="宋体" w:eastAsia="宋体" w:cs="宋体"/>
          <w:b/>
          <w:bCs/>
          <w:kern w:val="0"/>
          <w:sz w:val="21"/>
          <w:szCs w:val="21"/>
        </w:rPr>
        <w:t>18.1 工程保险</w:t>
      </w:r>
      <w:bookmarkEnd w:id="984"/>
    </w:p>
    <w:p w14:paraId="50F6E8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除专用合同条款另有约定外，发包人应投保建筑工程一切险或安装工程一切险；发包人委托承包人投保的，因投保产生的保险费和其他相关费用由发包人承担。</w:t>
      </w:r>
    </w:p>
    <w:p w14:paraId="7CDCE607">
      <w:pPr>
        <w:widowControl/>
        <w:spacing w:line="360" w:lineRule="auto"/>
        <w:jc w:val="left"/>
        <w:outlineLvl w:val="4"/>
        <w:rPr>
          <w:rFonts w:ascii="宋体" w:hAnsi="宋体" w:eastAsia="宋体" w:cs="宋体"/>
          <w:b/>
          <w:bCs/>
          <w:kern w:val="0"/>
          <w:sz w:val="21"/>
          <w:szCs w:val="21"/>
        </w:rPr>
      </w:pPr>
      <w:bookmarkStart w:id="985" w:name="_Toc296503122"/>
      <w:bookmarkEnd w:id="985"/>
      <w:bookmarkStart w:id="986" w:name="_Toc337558830"/>
      <w:bookmarkEnd w:id="986"/>
      <w:bookmarkStart w:id="987" w:name="_Toc351203614"/>
      <w:bookmarkEnd w:id="987"/>
      <w:bookmarkStart w:id="988" w:name="_Toc532377302"/>
      <w:bookmarkEnd w:id="988"/>
      <w:bookmarkStart w:id="989" w:name="_Toc296346623"/>
      <w:r>
        <w:rPr>
          <w:rFonts w:hint="eastAsia" w:ascii="宋体" w:hAnsi="宋体" w:eastAsia="宋体" w:cs="宋体"/>
          <w:b/>
          <w:bCs/>
          <w:kern w:val="0"/>
          <w:sz w:val="21"/>
          <w:szCs w:val="21"/>
        </w:rPr>
        <w:t>18.2 工伤保险</w:t>
      </w:r>
      <w:bookmarkEnd w:id="989"/>
    </w:p>
    <w:p w14:paraId="7FA851C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18.2.1 发包人应依照法律规定参加工伤保险，并为在施工现场的全部员工办理工伤保险，缴纳工伤保险费，并要求监理人及由发包人为履行合同聘请的第三方依法参加工伤保险。</w:t>
      </w:r>
    </w:p>
    <w:p w14:paraId="4A9CF7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18.2.2 承包人应依照法律规定参加工伤保险，并为其履行合同的全部员工办理工伤保险，缴纳工伤保险费，并要求分包人及由承包人为履行合同聘请的第三方依法参加工伤保险。</w:t>
      </w:r>
    </w:p>
    <w:p w14:paraId="0D97C72F">
      <w:pPr>
        <w:widowControl/>
        <w:spacing w:line="360" w:lineRule="auto"/>
        <w:jc w:val="left"/>
        <w:outlineLvl w:val="4"/>
        <w:rPr>
          <w:rFonts w:ascii="宋体" w:hAnsi="宋体" w:eastAsia="宋体" w:cs="宋体"/>
          <w:b/>
          <w:bCs/>
          <w:kern w:val="0"/>
          <w:sz w:val="21"/>
          <w:szCs w:val="21"/>
        </w:rPr>
      </w:pPr>
      <w:bookmarkStart w:id="990" w:name="_Toc296346626"/>
      <w:bookmarkEnd w:id="990"/>
      <w:bookmarkStart w:id="991" w:name="_Toc337558831"/>
      <w:bookmarkEnd w:id="991"/>
      <w:bookmarkStart w:id="992" w:name="_Toc296503125"/>
      <w:bookmarkEnd w:id="992"/>
      <w:bookmarkStart w:id="993" w:name="_Toc351203615"/>
      <w:bookmarkEnd w:id="993"/>
      <w:bookmarkStart w:id="994" w:name="_Toc532377303"/>
      <w:r>
        <w:rPr>
          <w:rFonts w:hint="eastAsia" w:ascii="宋体" w:hAnsi="宋体" w:eastAsia="宋体" w:cs="宋体"/>
          <w:b/>
          <w:bCs/>
          <w:kern w:val="0"/>
          <w:sz w:val="21"/>
          <w:szCs w:val="21"/>
        </w:rPr>
        <w:t>18.3其他保险</w:t>
      </w:r>
      <w:bookmarkEnd w:id="994"/>
    </w:p>
    <w:p w14:paraId="17006B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发包人和承包人可以为其施工现场的全部人员办理意外伤害保险并支付保险费，包括其员工及为履行合同聘请的第三方的人员，具体事项由合同当事人在专用合同条款约定。</w:t>
      </w:r>
    </w:p>
    <w:p w14:paraId="679A1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除专用合同条款另有约定外，承包人应为其施工设备等办理财产保险。</w:t>
      </w:r>
    </w:p>
    <w:p w14:paraId="2046A2F2">
      <w:pPr>
        <w:widowControl/>
        <w:spacing w:line="360" w:lineRule="auto"/>
        <w:jc w:val="left"/>
        <w:outlineLvl w:val="4"/>
        <w:rPr>
          <w:rFonts w:ascii="宋体" w:hAnsi="宋体" w:eastAsia="宋体" w:cs="宋体"/>
          <w:b/>
          <w:bCs/>
          <w:kern w:val="0"/>
          <w:sz w:val="21"/>
          <w:szCs w:val="21"/>
        </w:rPr>
      </w:pPr>
      <w:bookmarkStart w:id="995" w:name="_Toc351203616"/>
      <w:bookmarkEnd w:id="995"/>
      <w:bookmarkStart w:id="996" w:name="_Toc532377304"/>
      <w:r>
        <w:rPr>
          <w:rFonts w:hint="eastAsia" w:ascii="宋体" w:hAnsi="宋体" w:eastAsia="宋体" w:cs="宋体"/>
          <w:b/>
          <w:bCs/>
          <w:kern w:val="0"/>
          <w:sz w:val="21"/>
          <w:szCs w:val="21"/>
        </w:rPr>
        <w:t>18.4持续保险</w:t>
      </w:r>
      <w:bookmarkEnd w:id="996"/>
    </w:p>
    <w:p w14:paraId="38351D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合同当事人应与保险人保持联系，使保险人能够随时了解工程实施中的变动，并确保按保险合同条款要求持续保险。</w:t>
      </w:r>
    </w:p>
    <w:p w14:paraId="60B4E20E">
      <w:pPr>
        <w:widowControl/>
        <w:spacing w:line="360" w:lineRule="auto"/>
        <w:jc w:val="left"/>
        <w:outlineLvl w:val="4"/>
        <w:rPr>
          <w:rFonts w:ascii="宋体" w:hAnsi="宋体" w:eastAsia="宋体" w:cs="宋体"/>
          <w:b/>
          <w:bCs/>
          <w:kern w:val="0"/>
          <w:sz w:val="21"/>
          <w:szCs w:val="21"/>
        </w:rPr>
      </w:pPr>
      <w:bookmarkStart w:id="997" w:name="_Toc337558832"/>
      <w:bookmarkEnd w:id="997"/>
      <w:bookmarkStart w:id="998" w:name="_Toc532377305"/>
      <w:bookmarkEnd w:id="998"/>
      <w:bookmarkStart w:id="999" w:name="_Toc296503126"/>
      <w:bookmarkEnd w:id="999"/>
      <w:bookmarkStart w:id="1000" w:name="_Toc351203617"/>
      <w:bookmarkEnd w:id="1000"/>
      <w:bookmarkStart w:id="1001" w:name="_Toc296346627"/>
      <w:r>
        <w:rPr>
          <w:rFonts w:hint="eastAsia" w:ascii="宋体" w:hAnsi="宋体" w:eastAsia="宋体" w:cs="宋体"/>
          <w:b/>
          <w:bCs/>
          <w:kern w:val="0"/>
          <w:sz w:val="21"/>
          <w:szCs w:val="21"/>
        </w:rPr>
        <w:t>18.5 保险凭证</w:t>
      </w:r>
      <w:bookmarkEnd w:id="1001"/>
    </w:p>
    <w:p w14:paraId="4B02312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合同当事人应及时向另一方当事人提交其已投保的各项保险的凭证和保险单复印件。</w:t>
      </w:r>
    </w:p>
    <w:p w14:paraId="212CE4BA">
      <w:pPr>
        <w:widowControl/>
        <w:spacing w:line="360" w:lineRule="auto"/>
        <w:jc w:val="left"/>
        <w:outlineLvl w:val="4"/>
        <w:rPr>
          <w:rFonts w:ascii="宋体" w:hAnsi="宋体" w:eastAsia="宋体" w:cs="宋体"/>
          <w:b/>
          <w:bCs/>
          <w:kern w:val="0"/>
          <w:sz w:val="21"/>
          <w:szCs w:val="21"/>
        </w:rPr>
      </w:pPr>
      <w:bookmarkStart w:id="1002" w:name="_Toc296346628"/>
      <w:bookmarkEnd w:id="1002"/>
      <w:bookmarkStart w:id="1003" w:name="_Toc532377306"/>
      <w:bookmarkEnd w:id="1003"/>
      <w:bookmarkStart w:id="1004" w:name="_Toc351203618"/>
      <w:bookmarkEnd w:id="1004"/>
      <w:bookmarkStart w:id="1005" w:name="_Toc337558833"/>
      <w:bookmarkEnd w:id="1005"/>
      <w:bookmarkStart w:id="1006" w:name="_Toc296503127"/>
      <w:r>
        <w:rPr>
          <w:rFonts w:hint="eastAsia" w:ascii="宋体" w:hAnsi="宋体" w:eastAsia="宋体" w:cs="宋体"/>
          <w:b/>
          <w:bCs/>
          <w:kern w:val="0"/>
          <w:sz w:val="21"/>
          <w:szCs w:val="21"/>
        </w:rPr>
        <w:t>18.6 未按约定投保的补救</w:t>
      </w:r>
      <w:bookmarkEnd w:id="1006"/>
    </w:p>
    <w:p w14:paraId="38926B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18.6.1发包人未按合同约定办理保险，或未能使保险持续有效的，则承包人可代为办理，所需费用由发包人承担。发包人未按合同约定办理保险，导致未能得到足额赔偿的，由发包人负责补足。</w:t>
      </w:r>
    </w:p>
    <w:p w14:paraId="0849F4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18.6.2承包人未按合同约定办理保险，或未能使保险持续有效的，则发包人可代为办理，所需费用由承包人承担。承包人未按合同约定办理保险，导致未能得到足额赔偿的，由承包人负责补足。</w:t>
      </w:r>
    </w:p>
    <w:p w14:paraId="42BAFE99">
      <w:pPr>
        <w:widowControl/>
        <w:spacing w:line="360" w:lineRule="auto"/>
        <w:jc w:val="left"/>
        <w:outlineLvl w:val="4"/>
        <w:rPr>
          <w:rFonts w:ascii="宋体" w:hAnsi="宋体" w:eastAsia="宋体" w:cs="宋体"/>
          <w:b/>
          <w:bCs/>
          <w:kern w:val="0"/>
          <w:sz w:val="21"/>
          <w:szCs w:val="21"/>
        </w:rPr>
      </w:pPr>
      <w:bookmarkStart w:id="1007" w:name="_Toc532377307"/>
      <w:bookmarkEnd w:id="1007"/>
      <w:bookmarkStart w:id="1008" w:name="_Toc351203619"/>
      <w:bookmarkEnd w:id="1008"/>
      <w:bookmarkStart w:id="1009" w:name="_Toc337558834"/>
      <w:r>
        <w:rPr>
          <w:rFonts w:hint="eastAsia" w:ascii="宋体" w:hAnsi="宋体" w:eastAsia="宋体" w:cs="宋体"/>
          <w:b/>
          <w:bCs/>
          <w:kern w:val="0"/>
          <w:sz w:val="21"/>
          <w:szCs w:val="21"/>
        </w:rPr>
        <w:t>18.7 通知义务</w:t>
      </w:r>
      <w:bookmarkEnd w:id="1009"/>
    </w:p>
    <w:p w14:paraId="414985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A7172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保险事故发生时，投保人应按照保险合同规定的条件和期限及时向保险人报告。发包人和承包人应当在知道保险事故发生后及时通知对方。</w:t>
      </w:r>
    </w:p>
    <w:p w14:paraId="7AE21BA2">
      <w:pPr>
        <w:keepNext/>
        <w:keepLines/>
        <w:spacing w:before="156" w:beforeLines="50" w:after="156" w:afterLines="50" w:line="360" w:lineRule="auto"/>
        <w:outlineLvl w:val="3"/>
        <w:rPr>
          <w:rFonts w:ascii="宋体" w:hAnsi="宋体" w:eastAsia="宋体" w:cs="宋体"/>
          <w:b/>
          <w:sz w:val="21"/>
          <w:szCs w:val="21"/>
        </w:rPr>
      </w:pPr>
      <w:bookmarkStart w:id="1010" w:name="_Toc532377308"/>
      <w:bookmarkEnd w:id="1010"/>
      <w:bookmarkStart w:id="1011" w:name="_Toc532375605"/>
      <w:r>
        <w:rPr>
          <w:rFonts w:hint="eastAsia" w:ascii="宋体" w:hAnsi="宋体" w:eastAsia="宋体" w:cs="宋体"/>
          <w:b/>
          <w:bCs/>
          <w:sz w:val="21"/>
          <w:szCs w:val="21"/>
        </w:rPr>
        <w:t>19. 索赔</w:t>
      </w:r>
      <w:bookmarkEnd w:id="1011"/>
    </w:p>
    <w:p w14:paraId="71751A66">
      <w:pPr>
        <w:widowControl/>
        <w:spacing w:line="360" w:lineRule="auto"/>
        <w:jc w:val="left"/>
        <w:outlineLvl w:val="4"/>
        <w:rPr>
          <w:rFonts w:ascii="宋体" w:hAnsi="宋体" w:eastAsia="宋体" w:cs="宋体"/>
          <w:b/>
          <w:bCs/>
          <w:kern w:val="0"/>
          <w:sz w:val="21"/>
          <w:szCs w:val="21"/>
        </w:rPr>
      </w:pPr>
      <w:bookmarkStart w:id="1012" w:name="_Toc532377309"/>
      <w:bookmarkEnd w:id="1012"/>
      <w:r>
        <w:rPr>
          <w:rFonts w:hint="eastAsia" w:ascii="宋体" w:hAnsi="宋体" w:eastAsia="宋体" w:cs="宋体"/>
          <w:b/>
          <w:bCs/>
          <w:kern w:val="0"/>
          <w:sz w:val="21"/>
          <w:szCs w:val="21"/>
        </w:rPr>
        <w:t>19.1承包人的索赔</w:t>
      </w:r>
    </w:p>
    <w:p w14:paraId="4D650F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根据合同约定，承包人认为有权得到追加付款和（或）延长工期的，应按以下程序向发包人提出索赔：</w:t>
      </w:r>
    </w:p>
    <w:p w14:paraId="57D9C9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922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（2）承包人应在发出索赔意向通知书后28天内，向监理人正式递交索赔报告；索赔报告应详细说明索赔理由以及要求追加的付款金额和（或）延长的工期，并附必要的记录和证明材料；</w:t>
      </w:r>
    </w:p>
    <w:p w14:paraId="47F7A36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（3）索赔事件具有持续影响的，承包人应按合理时间间隔继续递交延续索赔通知，说明持续影响的实际情况和记录，列出累计的追加付款金额和（或）工期延长天数；</w:t>
      </w:r>
    </w:p>
    <w:p w14:paraId="0BB830D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（4）在索赔事件影响结束后28天内，承包人应向监理人递交最终索赔报告，说明最终要求索赔的追加付款金额和（或）延长的工期，并附必要的记录和证明材料。</w:t>
      </w:r>
    </w:p>
    <w:p w14:paraId="7E89663B">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（5）其因政策原因造成的延期、停工、变更、终止，承包人不得向发包人索赔预期利益。</w:t>
      </w:r>
    </w:p>
    <w:p w14:paraId="42DE0712">
      <w:pPr>
        <w:widowControl/>
        <w:spacing w:line="360" w:lineRule="auto"/>
        <w:jc w:val="left"/>
        <w:outlineLvl w:val="4"/>
        <w:rPr>
          <w:rFonts w:ascii="宋体" w:hAnsi="宋体" w:eastAsia="宋体" w:cs="宋体"/>
          <w:b/>
          <w:bCs/>
          <w:kern w:val="0"/>
          <w:sz w:val="21"/>
          <w:szCs w:val="21"/>
        </w:rPr>
      </w:pPr>
      <w:bookmarkStart w:id="1013" w:name="_Toc532377310"/>
      <w:bookmarkEnd w:id="1013"/>
      <w:bookmarkStart w:id="1014" w:name="_Toc296346643"/>
      <w:bookmarkEnd w:id="1014"/>
      <w:bookmarkStart w:id="1015" w:name="_Toc351203622"/>
      <w:bookmarkEnd w:id="1015"/>
      <w:bookmarkStart w:id="1016" w:name="_Toc296503142"/>
      <w:bookmarkEnd w:id="1016"/>
      <w:bookmarkStart w:id="1017" w:name="_Toc337558837"/>
      <w:r>
        <w:rPr>
          <w:rFonts w:hint="eastAsia" w:ascii="宋体" w:hAnsi="宋体" w:eastAsia="宋体" w:cs="宋体"/>
          <w:b/>
          <w:bCs/>
          <w:kern w:val="0"/>
          <w:sz w:val="21"/>
          <w:szCs w:val="21"/>
        </w:rPr>
        <w:t>19.2 对承包人索赔的处理</w:t>
      </w:r>
      <w:bookmarkEnd w:id="1017"/>
    </w:p>
    <w:p w14:paraId="016698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对承包人索赔的处理如下：</w:t>
      </w:r>
    </w:p>
    <w:p w14:paraId="0945F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（1）监理人应在收到索赔报告后14天内完成审查并报送发包人。监理人对索赔报告存在异议的，有权要求承包人提交全部原始记录副本；</w:t>
      </w:r>
    </w:p>
    <w:p w14:paraId="4E66C4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（2）发包人应在监理人收到索赔报告或有关索赔的进一步证明材料后的28天内，由监理人向承包人出具经发包人签认的索赔处理结果。发包人逾期答复的，则视为认可承包人的索赔要求；</w:t>
      </w:r>
    </w:p>
    <w:p w14:paraId="2083E0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（3）承包人接受索赔处理结果的，索赔款项在当期进度款中进行支付；承包人不接受索赔处理结果的，按照第20条〔争议解决〕约定处理。</w:t>
      </w:r>
    </w:p>
    <w:p w14:paraId="2D18FA5E">
      <w:pPr>
        <w:widowControl/>
        <w:spacing w:line="360" w:lineRule="auto"/>
        <w:jc w:val="left"/>
        <w:outlineLvl w:val="4"/>
        <w:rPr>
          <w:rFonts w:ascii="宋体" w:hAnsi="宋体" w:eastAsia="宋体" w:cs="宋体"/>
          <w:b/>
          <w:bCs/>
          <w:kern w:val="0"/>
          <w:sz w:val="21"/>
          <w:szCs w:val="21"/>
        </w:rPr>
      </w:pPr>
      <w:bookmarkStart w:id="1018" w:name="_Toc296503143"/>
      <w:bookmarkEnd w:id="1018"/>
      <w:bookmarkStart w:id="1019" w:name="_Toc532377311"/>
      <w:bookmarkEnd w:id="1019"/>
      <w:bookmarkStart w:id="1020" w:name="_Toc337558838"/>
      <w:bookmarkEnd w:id="1020"/>
      <w:bookmarkStart w:id="1021" w:name="_Toc351203623"/>
      <w:bookmarkEnd w:id="1021"/>
      <w:bookmarkStart w:id="1022" w:name="_Toc296346644"/>
      <w:r>
        <w:rPr>
          <w:rFonts w:hint="eastAsia" w:ascii="宋体" w:hAnsi="宋体" w:eastAsia="宋体" w:cs="宋体"/>
          <w:b/>
          <w:bCs/>
          <w:kern w:val="0"/>
          <w:sz w:val="21"/>
          <w:szCs w:val="21"/>
        </w:rPr>
        <w:t>19.3发包人的索赔</w:t>
      </w:r>
      <w:bookmarkEnd w:id="1022"/>
    </w:p>
    <w:p w14:paraId="05E639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根据合同约定，发包人认为有权得到赔付金额和（或）延长缺陷责任期的，监理人应向承包人发出通知并附有详细的证明。</w:t>
      </w:r>
    </w:p>
    <w:p w14:paraId="53D478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BBC13BE">
      <w:pPr>
        <w:widowControl/>
        <w:spacing w:line="360" w:lineRule="auto"/>
        <w:jc w:val="left"/>
        <w:outlineLvl w:val="4"/>
        <w:rPr>
          <w:rFonts w:ascii="宋体" w:hAnsi="宋体" w:eastAsia="宋体" w:cs="宋体"/>
          <w:b/>
          <w:bCs/>
          <w:kern w:val="0"/>
          <w:sz w:val="21"/>
          <w:szCs w:val="21"/>
        </w:rPr>
      </w:pPr>
      <w:bookmarkStart w:id="1023" w:name="_Toc532377312"/>
      <w:bookmarkEnd w:id="1023"/>
      <w:bookmarkStart w:id="1024" w:name="_Toc337558839"/>
      <w:bookmarkEnd w:id="1024"/>
      <w:bookmarkStart w:id="1025" w:name="_Toc351203624"/>
      <w:bookmarkEnd w:id="1025"/>
      <w:bookmarkStart w:id="1026" w:name="_Toc296503144"/>
      <w:bookmarkEnd w:id="1026"/>
      <w:bookmarkStart w:id="1027" w:name="_Toc296346645"/>
      <w:r>
        <w:rPr>
          <w:rFonts w:hint="eastAsia" w:ascii="宋体" w:hAnsi="宋体" w:eastAsia="宋体" w:cs="宋体"/>
          <w:b/>
          <w:bCs/>
          <w:kern w:val="0"/>
          <w:sz w:val="21"/>
          <w:szCs w:val="21"/>
        </w:rPr>
        <w:t>19.4 对发包人索赔的处理</w:t>
      </w:r>
      <w:bookmarkEnd w:id="1027"/>
    </w:p>
    <w:p w14:paraId="02E3E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对发包人索赔的处理如下：</w:t>
      </w:r>
    </w:p>
    <w:p w14:paraId="7D4C0D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（1）承包人收到发包人提交的索赔报告后，应及时审查索赔报告的内容、查验发包人证明材料；</w:t>
      </w:r>
    </w:p>
    <w:p w14:paraId="323436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（2）承包人应在收到索赔报告或有关索赔的进一步证明材料后28天内，将索赔处理结果答复发包人。如果承包人未在上述期限内作出答复的，则视为对发包人索赔要求的认可；</w:t>
      </w:r>
    </w:p>
    <w:p w14:paraId="72DA02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（3）承包人接受索赔处理结果的，发包人可从应支付给承包人的合同价款中扣除赔付的金额或延长缺陷责任期；发包人不接受索赔处理结果的，按第20条〔争议解决〕约定处理。</w:t>
      </w:r>
    </w:p>
    <w:p w14:paraId="5C42FE7B">
      <w:pPr>
        <w:widowControl/>
        <w:spacing w:line="360" w:lineRule="auto"/>
        <w:jc w:val="left"/>
        <w:outlineLvl w:val="4"/>
        <w:rPr>
          <w:rFonts w:ascii="宋体" w:hAnsi="宋体" w:eastAsia="宋体" w:cs="宋体"/>
          <w:bCs/>
          <w:kern w:val="0"/>
          <w:sz w:val="21"/>
          <w:szCs w:val="21"/>
        </w:rPr>
      </w:pPr>
      <w:bookmarkStart w:id="1028" w:name="_Toc351203625"/>
      <w:bookmarkEnd w:id="1028"/>
      <w:bookmarkStart w:id="1029" w:name="_Toc532377313"/>
      <w:r>
        <w:rPr>
          <w:rFonts w:hint="eastAsia" w:ascii="宋体" w:hAnsi="宋体" w:eastAsia="宋体" w:cs="宋体"/>
          <w:bCs/>
          <w:kern w:val="0"/>
          <w:sz w:val="21"/>
          <w:szCs w:val="21"/>
        </w:rPr>
        <w:t>19.5 提出索赔的期限</w:t>
      </w:r>
      <w:bookmarkEnd w:id="1029"/>
    </w:p>
    <w:p w14:paraId="51F66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（1）承包人按第14.2款〔竣工结算审核〕约定接收竣工付款证书后，应被视为已无权再提出在工程接收证书颁发前所发生的任何索赔。</w:t>
      </w:r>
    </w:p>
    <w:p w14:paraId="0475C3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（2）承包人按第14.4款〔最终结清〕提交的最终结清申请单中，只限于提出工程接收证书颁发后发生的索赔。提出索赔的期限自接受最终结清证书时终止。</w:t>
      </w:r>
    </w:p>
    <w:p w14:paraId="7D5D7A18">
      <w:pPr>
        <w:keepNext/>
        <w:keepLines/>
        <w:spacing w:before="156" w:beforeLines="50" w:after="156" w:afterLines="50" w:line="360" w:lineRule="auto"/>
        <w:outlineLvl w:val="3"/>
        <w:rPr>
          <w:rFonts w:ascii="宋体" w:hAnsi="宋体" w:eastAsia="宋体" w:cs="宋体"/>
          <w:b/>
          <w:sz w:val="21"/>
          <w:szCs w:val="21"/>
        </w:rPr>
      </w:pPr>
      <w:bookmarkStart w:id="1030" w:name="_Toc532377314"/>
      <w:bookmarkEnd w:id="1030"/>
      <w:bookmarkStart w:id="1031" w:name="_Toc351203626"/>
      <w:bookmarkEnd w:id="1031"/>
      <w:bookmarkStart w:id="1032" w:name="_Toc532375606"/>
      <w:r>
        <w:rPr>
          <w:rFonts w:hint="eastAsia" w:ascii="宋体" w:hAnsi="宋体" w:eastAsia="宋体" w:cs="宋体"/>
          <w:b/>
          <w:bCs/>
          <w:sz w:val="21"/>
          <w:szCs w:val="21"/>
        </w:rPr>
        <w:t>20</w:t>
      </w:r>
      <w:bookmarkEnd w:id="1032"/>
      <w:bookmarkStart w:id="1033" w:name="_Toc337558840"/>
      <w:bookmarkEnd w:id="1033"/>
      <w:bookmarkStart w:id="1034" w:name="_Toc296346647"/>
      <w:bookmarkEnd w:id="1034"/>
      <w:bookmarkStart w:id="1035" w:name="_Toc296503146"/>
      <w:r>
        <w:rPr>
          <w:rFonts w:hint="eastAsia" w:ascii="宋体" w:hAnsi="宋体" w:eastAsia="宋体" w:cs="宋体"/>
          <w:b/>
          <w:bCs/>
          <w:sz w:val="21"/>
          <w:szCs w:val="21"/>
        </w:rPr>
        <w:t>. 争议解决</w:t>
      </w:r>
      <w:bookmarkEnd w:id="1035"/>
    </w:p>
    <w:p w14:paraId="051FB69E">
      <w:pPr>
        <w:widowControl/>
        <w:spacing w:line="360" w:lineRule="auto"/>
        <w:jc w:val="left"/>
        <w:outlineLvl w:val="4"/>
        <w:rPr>
          <w:rFonts w:ascii="宋体" w:hAnsi="宋体" w:eastAsia="宋体" w:cs="宋体"/>
          <w:b/>
          <w:bCs/>
          <w:kern w:val="0"/>
          <w:sz w:val="21"/>
          <w:szCs w:val="21"/>
        </w:rPr>
      </w:pPr>
      <w:bookmarkStart w:id="1036" w:name="_Toc532377315"/>
      <w:bookmarkEnd w:id="1036"/>
      <w:bookmarkStart w:id="1037" w:name="_Toc351203627"/>
      <w:bookmarkEnd w:id="1037"/>
      <w:bookmarkStart w:id="1038" w:name="_Toc296503147"/>
      <w:bookmarkEnd w:id="1038"/>
      <w:bookmarkStart w:id="1039" w:name="_Toc296346648"/>
      <w:bookmarkEnd w:id="1039"/>
      <w:bookmarkStart w:id="1040" w:name="_Toc337558841"/>
      <w:r>
        <w:rPr>
          <w:rFonts w:hint="eastAsia" w:ascii="宋体" w:hAnsi="宋体" w:eastAsia="宋体" w:cs="宋体"/>
          <w:b/>
          <w:bCs/>
          <w:kern w:val="0"/>
          <w:sz w:val="21"/>
          <w:szCs w:val="21"/>
        </w:rPr>
        <w:t>20.1和解</w:t>
      </w:r>
      <w:bookmarkEnd w:id="1040"/>
    </w:p>
    <w:p w14:paraId="12CDE7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合同当事人可以就争议自行和解，自行和解达成协议的经双方签名并盖章后作为合同补充文件，双方均应遵照执行。</w:t>
      </w:r>
    </w:p>
    <w:p w14:paraId="0DE64439">
      <w:pPr>
        <w:widowControl/>
        <w:spacing w:line="360" w:lineRule="auto"/>
        <w:jc w:val="left"/>
        <w:outlineLvl w:val="4"/>
        <w:rPr>
          <w:rFonts w:ascii="宋体" w:hAnsi="宋体" w:eastAsia="宋体" w:cs="宋体"/>
          <w:b/>
          <w:bCs/>
          <w:kern w:val="0"/>
          <w:sz w:val="21"/>
          <w:szCs w:val="21"/>
        </w:rPr>
      </w:pPr>
      <w:bookmarkStart w:id="1041" w:name="_Toc351203628"/>
      <w:bookmarkEnd w:id="1041"/>
      <w:bookmarkStart w:id="1042" w:name="_Toc532377316"/>
      <w:r>
        <w:rPr>
          <w:rFonts w:hint="eastAsia" w:ascii="宋体" w:hAnsi="宋体" w:eastAsia="宋体" w:cs="宋体"/>
          <w:b/>
          <w:bCs/>
          <w:kern w:val="0"/>
          <w:sz w:val="21"/>
          <w:szCs w:val="21"/>
        </w:rPr>
        <w:t>20</w:t>
      </w:r>
      <w:bookmarkEnd w:id="1042"/>
      <w:bookmarkStart w:id="1043" w:name="_Toc296346649"/>
      <w:bookmarkEnd w:id="1043"/>
      <w:bookmarkStart w:id="1044" w:name="_Toc296503148"/>
      <w:bookmarkEnd w:id="1044"/>
      <w:bookmarkStart w:id="1045" w:name="_Toc337558842"/>
      <w:r>
        <w:rPr>
          <w:rFonts w:hint="eastAsia" w:ascii="宋体" w:hAnsi="宋体" w:eastAsia="宋体" w:cs="宋体"/>
          <w:b/>
          <w:bCs/>
          <w:kern w:val="0"/>
          <w:sz w:val="21"/>
          <w:szCs w:val="21"/>
        </w:rPr>
        <w:t>.2调解</w:t>
      </w:r>
      <w:bookmarkEnd w:id="1045"/>
    </w:p>
    <w:p w14:paraId="6E1483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合同当事人可以就争议请求建设行政主管部门、行业协会或其他第三方进行调解，调解达成协议的，经双方签名并盖章后作为合同补充文件，双方均应遵照执行。</w:t>
      </w:r>
    </w:p>
    <w:p w14:paraId="63AD808F">
      <w:pPr>
        <w:widowControl/>
        <w:spacing w:line="360" w:lineRule="auto"/>
        <w:jc w:val="left"/>
        <w:outlineLvl w:val="4"/>
        <w:rPr>
          <w:rFonts w:ascii="宋体" w:hAnsi="宋体" w:eastAsia="宋体" w:cs="宋体"/>
          <w:b/>
          <w:bCs/>
          <w:kern w:val="0"/>
          <w:sz w:val="21"/>
          <w:szCs w:val="21"/>
        </w:rPr>
      </w:pPr>
      <w:bookmarkStart w:id="1046" w:name="_Toc296346650"/>
      <w:bookmarkEnd w:id="1046"/>
      <w:bookmarkStart w:id="1047" w:name="_Toc296503149"/>
      <w:bookmarkEnd w:id="1047"/>
      <w:bookmarkStart w:id="1048" w:name="_Toc351203629"/>
      <w:bookmarkEnd w:id="1048"/>
      <w:bookmarkStart w:id="1049" w:name="_Toc532377317"/>
      <w:bookmarkEnd w:id="1049"/>
      <w:bookmarkStart w:id="1050" w:name="_Toc337558843"/>
      <w:r>
        <w:rPr>
          <w:rFonts w:hint="eastAsia" w:ascii="宋体" w:hAnsi="宋体" w:eastAsia="宋体" w:cs="宋体"/>
          <w:b/>
          <w:bCs/>
          <w:kern w:val="0"/>
          <w:sz w:val="21"/>
          <w:szCs w:val="21"/>
        </w:rPr>
        <w:t>20.3争议评审</w:t>
      </w:r>
      <w:bookmarkEnd w:id="1050"/>
    </w:p>
    <w:p w14:paraId="066E69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合同当事人在专用合同条款中约定采取争议评审方式解决争议以及评审规则，并按下列约定执行： </w:t>
      </w:r>
    </w:p>
    <w:p w14:paraId="542D63F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20.3.1 争议评审小组的确定</w:t>
      </w:r>
    </w:p>
    <w:p w14:paraId="6C4150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合同当事人可以共同选择一名或三名争议评审员，组成争议评审小组。除专用合同条款另有约定外，合同当事人应当自合同签订后28天内，或者争议发生后14天内，选定争议评审员。</w:t>
      </w:r>
    </w:p>
    <w:p w14:paraId="4501E8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6903C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除专用合同条款另有约定外，评审员报酬由发包人和承包人各承担一半。</w:t>
      </w:r>
    </w:p>
    <w:p w14:paraId="19E5CF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20.3.2 争议评审小组的决定</w:t>
      </w:r>
    </w:p>
    <w:p w14:paraId="170DE2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2488F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20.3.3 争议评审小组决定的效力</w:t>
      </w:r>
    </w:p>
    <w:p w14:paraId="1ADE4E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争议评审小组作出的书面决定经合同当事人签名确认后，对双方具有约束力，双方应遵照执行。</w:t>
      </w:r>
    </w:p>
    <w:p w14:paraId="5EFE9E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任何一方当事人不接受争议评审小组决定或不履行争议评审小组决定的，双方可选择采用其他争议解决方式。</w:t>
      </w:r>
    </w:p>
    <w:p w14:paraId="39823908">
      <w:pPr>
        <w:widowControl/>
        <w:spacing w:line="360" w:lineRule="auto"/>
        <w:jc w:val="left"/>
        <w:outlineLvl w:val="4"/>
        <w:rPr>
          <w:rFonts w:ascii="宋体" w:hAnsi="宋体" w:eastAsia="宋体" w:cs="宋体"/>
          <w:b/>
          <w:bCs/>
          <w:kern w:val="0"/>
          <w:sz w:val="21"/>
          <w:szCs w:val="21"/>
        </w:rPr>
      </w:pPr>
      <w:bookmarkStart w:id="1051" w:name="_Toc296346651"/>
      <w:bookmarkEnd w:id="1051"/>
      <w:bookmarkStart w:id="1052" w:name="_Toc296503150"/>
      <w:bookmarkEnd w:id="1052"/>
      <w:bookmarkStart w:id="1053" w:name="_Toc337558844"/>
      <w:bookmarkEnd w:id="1053"/>
      <w:bookmarkStart w:id="1054" w:name="_Toc351203630"/>
      <w:bookmarkEnd w:id="1054"/>
      <w:bookmarkStart w:id="1055" w:name="_Toc532377318"/>
      <w:r>
        <w:rPr>
          <w:rFonts w:hint="eastAsia" w:ascii="宋体" w:hAnsi="宋体" w:eastAsia="宋体" w:cs="宋体"/>
          <w:b/>
          <w:bCs/>
          <w:kern w:val="0"/>
          <w:sz w:val="21"/>
          <w:szCs w:val="21"/>
        </w:rPr>
        <w:t>20.4仲裁或诉讼</w:t>
      </w:r>
      <w:bookmarkEnd w:id="1055"/>
    </w:p>
    <w:p w14:paraId="4DA5B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因合同及合同有关事项产生的争议，合同当事人可以在专用合同条款中约定以下一种方式解决争议：</w:t>
      </w:r>
    </w:p>
    <w:p w14:paraId="6B31ECF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（1）向约定的仲裁委员会申请仲裁；</w:t>
      </w:r>
    </w:p>
    <w:p w14:paraId="2D2B331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（2）向有管辖权的人民法院起诉。</w:t>
      </w:r>
    </w:p>
    <w:p w14:paraId="2C0D45AA">
      <w:pPr>
        <w:widowControl/>
        <w:spacing w:line="360" w:lineRule="auto"/>
        <w:jc w:val="left"/>
        <w:outlineLvl w:val="4"/>
        <w:rPr>
          <w:rFonts w:ascii="宋体" w:hAnsi="宋体" w:eastAsia="宋体" w:cs="宋体"/>
          <w:bCs/>
          <w:kern w:val="0"/>
          <w:sz w:val="21"/>
          <w:szCs w:val="21"/>
        </w:rPr>
      </w:pPr>
      <w:bookmarkStart w:id="1056" w:name="_Toc296503152"/>
      <w:bookmarkEnd w:id="1056"/>
      <w:bookmarkStart w:id="1057" w:name="_Toc337558845"/>
      <w:bookmarkEnd w:id="1057"/>
      <w:bookmarkStart w:id="1058" w:name="_Toc296346653"/>
      <w:bookmarkEnd w:id="1058"/>
      <w:bookmarkStart w:id="1059" w:name="_Toc532377319"/>
      <w:bookmarkEnd w:id="1059"/>
      <w:bookmarkStart w:id="1060" w:name="_Toc351203631"/>
      <w:r>
        <w:rPr>
          <w:rFonts w:hint="eastAsia" w:ascii="宋体" w:hAnsi="宋体" w:eastAsia="宋体" w:cs="宋体"/>
          <w:bCs/>
          <w:kern w:val="0"/>
          <w:sz w:val="21"/>
          <w:szCs w:val="21"/>
        </w:rPr>
        <w:t>20.5争议解决条款效力</w:t>
      </w:r>
      <w:bookmarkEnd w:id="1060"/>
    </w:p>
    <w:p w14:paraId="370EF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合同有关争议解决的条款独立存在，合同的变更、解除、终止、无效或者被撤销均不影响其效力。</w:t>
      </w:r>
    </w:p>
    <w:p w14:paraId="479D7E0C">
      <w:pPr>
        <w:keepNext/>
        <w:keepLines/>
        <w:snapToGrid w:val="0"/>
        <w:spacing w:before="260" w:after="260" w:line="360" w:lineRule="auto"/>
        <w:outlineLvl w:val="2"/>
        <w:rPr>
          <w:rFonts w:ascii="宋体" w:hAnsi="宋体" w:eastAsia="宋体" w:cs="Times New Roman"/>
          <w:b/>
          <w:bCs/>
          <w:sz w:val="21"/>
          <w:szCs w:val="21"/>
        </w:rPr>
      </w:pPr>
      <w:r>
        <w:rPr>
          <w:rFonts w:hint="eastAsia" w:ascii="宋体" w:hAnsi="宋体" w:eastAsia="宋体" w:cs="Times New Roman"/>
          <w:b/>
          <w:bCs/>
          <w:sz w:val="21"/>
          <w:szCs w:val="21"/>
        </w:rPr>
        <w:br w:type="page"/>
      </w:r>
    </w:p>
    <w:p w14:paraId="07A86A41">
      <w:pPr>
        <w:keepNext/>
        <w:keepLines/>
        <w:spacing w:before="260" w:after="260" w:line="415" w:lineRule="auto"/>
        <w:jc w:val="center"/>
        <w:outlineLvl w:val="2"/>
        <w:rPr>
          <w:rFonts w:ascii="宋体" w:hAnsi="宋体" w:eastAsia="宋体" w:cs="Times New Roman"/>
          <w:b/>
          <w:bCs/>
          <w:sz w:val="21"/>
          <w:szCs w:val="21"/>
        </w:rPr>
      </w:pPr>
      <w:bookmarkStart w:id="1061" w:name="_Toc29664"/>
      <w:bookmarkEnd w:id="1061"/>
      <w:bookmarkStart w:id="1062" w:name="_Toc532375607"/>
      <w:bookmarkEnd w:id="1062"/>
      <w:bookmarkStart w:id="1063" w:name="_Toc9869"/>
      <w:bookmarkEnd w:id="1063"/>
      <w:bookmarkStart w:id="1064" w:name="_Toc532377320"/>
      <w:bookmarkEnd w:id="1064"/>
      <w:bookmarkStart w:id="1065" w:name="_Toc529388290"/>
      <w:bookmarkEnd w:id="1065"/>
      <w:bookmarkStart w:id="1066" w:name="_Toc29602"/>
      <w:r>
        <w:rPr>
          <w:rFonts w:hint="eastAsia" w:ascii="宋体" w:hAnsi="宋体" w:eastAsia="宋体" w:cs="Times New Roman"/>
          <w:b/>
          <w:bCs/>
          <w:sz w:val="21"/>
          <w:szCs w:val="21"/>
        </w:rPr>
        <w:t>第三部分 专用合同条款</w:t>
      </w:r>
      <w:bookmarkEnd w:id="1066"/>
    </w:p>
    <w:p w14:paraId="5D16567B">
      <w:pPr>
        <w:keepNext/>
        <w:keepLines/>
        <w:spacing w:line="360" w:lineRule="auto"/>
        <w:outlineLvl w:val="3"/>
        <w:rPr>
          <w:rFonts w:ascii="宋体" w:hAnsi="宋体" w:eastAsia="宋体" w:cs="宋体"/>
          <w:b/>
          <w:sz w:val="21"/>
          <w:szCs w:val="21"/>
        </w:rPr>
      </w:pPr>
      <w:bookmarkStart w:id="1067" w:name="_Toc532377321"/>
      <w:bookmarkEnd w:id="1067"/>
      <w:bookmarkStart w:id="1068" w:name="_Toc351203652"/>
      <w:bookmarkEnd w:id="1068"/>
      <w:bookmarkStart w:id="1069" w:name="baidusnap7"/>
      <w:bookmarkEnd w:id="1069"/>
      <w:bookmarkStart w:id="1070" w:name="_Toc532375608"/>
      <w:bookmarkEnd w:id="1070"/>
      <w:bookmarkStart w:id="1071" w:name="招标文件05章工程量清单"/>
      <w:bookmarkEnd w:id="1071"/>
      <w:bookmarkStart w:id="1072" w:name="_Toc532377425"/>
      <w:bookmarkEnd w:id="1072"/>
      <w:bookmarkStart w:id="1073" w:name="baidusnap3"/>
      <w:bookmarkEnd w:id="1073"/>
      <w:bookmarkStart w:id="1074" w:name="_Toc532375686"/>
      <w:bookmarkEnd w:id="1074"/>
      <w:bookmarkStart w:id="1075" w:name="_Toc351203633"/>
      <w:bookmarkEnd w:id="1075"/>
      <w:bookmarkStart w:id="1076" w:name="_Hlk528927191"/>
      <w:r>
        <w:rPr>
          <w:rFonts w:hint="eastAsia" w:ascii="宋体" w:hAnsi="宋体" w:eastAsia="宋体" w:cs="宋体"/>
          <w:b/>
          <w:bCs/>
          <w:sz w:val="21"/>
          <w:szCs w:val="21"/>
        </w:rPr>
        <w:t>1</w:t>
      </w:r>
      <w:bookmarkEnd w:id="1076"/>
      <w:bookmarkStart w:id="1077" w:name="_Toc296891196"/>
      <w:bookmarkEnd w:id="1077"/>
      <w:bookmarkStart w:id="1078" w:name="_Toc297120456"/>
      <w:bookmarkEnd w:id="1078"/>
      <w:bookmarkStart w:id="1079" w:name="_Toc296503156"/>
      <w:bookmarkEnd w:id="1079"/>
      <w:bookmarkStart w:id="1080" w:name="_Toc296347155"/>
      <w:bookmarkEnd w:id="1080"/>
      <w:bookmarkStart w:id="1081" w:name="_Toc296944495"/>
      <w:bookmarkEnd w:id="1081"/>
      <w:bookmarkStart w:id="1082" w:name="_Toc296890984"/>
      <w:bookmarkEnd w:id="1082"/>
      <w:bookmarkStart w:id="1083" w:name="_Toc297048342"/>
      <w:bookmarkEnd w:id="1083"/>
      <w:bookmarkStart w:id="1084" w:name="_Toc296346657"/>
      <w:bookmarkEnd w:id="1084"/>
      <w:bookmarkStart w:id="1085" w:name="_Toc292559361"/>
      <w:bookmarkEnd w:id="1085"/>
      <w:bookmarkStart w:id="1086" w:name="_Toc292559866"/>
      <w:r>
        <w:rPr>
          <w:rFonts w:hint="eastAsia" w:ascii="宋体" w:hAnsi="宋体" w:eastAsia="宋体" w:cs="宋体"/>
          <w:b/>
          <w:bCs/>
          <w:sz w:val="21"/>
          <w:szCs w:val="21"/>
        </w:rPr>
        <w:t>. 一般约定</w:t>
      </w:r>
      <w:bookmarkEnd w:id="1086"/>
    </w:p>
    <w:p w14:paraId="7B5592A1">
      <w:pPr>
        <w:widowControl/>
        <w:spacing w:line="360" w:lineRule="auto"/>
        <w:jc w:val="left"/>
        <w:outlineLvl w:val="4"/>
        <w:rPr>
          <w:rFonts w:ascii="宋体" w:hAnsi="宋体" w:eastAsia="宋体" w:cs="宋体"/>
          <w:b/>
          <w:bCs/>
          <w:kern w:val="0"/>
          <w:sz w:val="21"/>
          <w:szCs w:val="21"/>
        </w:rPr>
      </w:pPr>
      <w:bookmarkStart w:id="1087" w:name="_Toc532377322"/>
      <w:bookmarkEnd w:id="1087"/>
      <w:r>
        <w:rPr>
          <w:rFonts w:hint="eastAsia" w:ascii="宋体" w:hAnsi="宋体" w:eastAsia="宋体" w:cs="宋体"/>
          <w:b/>
          <w:bCs/>
          <w:kern w:val="0"/>
          <w:sz w:val="21"/>
          <w:szCs w:val="21"/>
        </w:rPr>
        <w:t>1.1词语定义与解释</w:t>
      </w:r>
    </w:p>
    <w:p w14:paraId="3A738D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 合同</w:t>
      </w:r>
    </w:p>
    <w:p w14:paraId="3004B2DA">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1.1.1.10 其他合同文件包括：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6C4D9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 合同当事人及其他相关方</w:t>
      </w:r>
    </w:p>
    <w:p w14:paraId="04071B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1.1.2.4 监理人：</w:t>
      </w:r>
    </w:p>
    <w:p w14:paraId="00A674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0ACE9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3C0E00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B560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1.1.2.5 设计人：</w:t>
      </w:r>
    </w:p>
    <w:p w14:paraId="64BE7B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C7915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5E94CE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D6DC0F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 工程和设备</w:t>
      </w:r>
    </w:p>
    <w:p w14:paraId="69E4380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1.1.3.7 作为施工现场组成部分的其他场所包括：</w:t>
      </w:r>
      <w:r>
        <w:rPr>
          <w:rFonts w:hint="eastAsia" w:ascii="宋体" w:hAnsi="宋体" w:eastAsia="宋体" w:cs="Times New Roman"/>
          <w:kern w:val="0"/>
          <w:sz w:val="21"/>
          <w:szCs w:val="21"/>
          <w:u w:val="single"/>
        </w:rPr>
        <w:t xml:space="preserve"> 永久占地、临时占地以及为修建临时工程而租用、占用的土地 </w:t>
      </w:r>
      <w:r>
        <w:rPr>
          <w:rFonts w:hint="eastAsia" w:ascii="宋体" w:hAnsi="宋体" w:eastAsia="宋体" w:cs="Times New Roman"/>
          <w:sz w:val="21"/>
          <w:szCs w:val="21"/>
        </w:rPr>
        <w:t>。</w:t>
      </w:r>
    </w:p>
    <w:p w14:paraId="30DB106B">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1.1.3.9 永久占地包括：</w:t>
      </w:r>
      <w:r>
        <w:rPr>
          <w:rFonts w:hint="eastAsia" w:ascii="宋体" w:hAnsi="宋体" w:eastAsia="宋体" w:cs="Times New Roman"/>
          <w:kern w:val="0"/>
          <w:sz w:val="21"/>
          <w:szCs w:val="21"/>
          <w:u w:val="single"/>
        </w:rPr>
        <w:t xml:space="preserve">  为实施合同工程而需要的一切永久占用的土地，即合同工程</w:t>
      </w:r>
      <w:r>
        <w:rPr>
          <w:rFonts w:hint="eastAsia" w:ascii="宋体" w:hAnsi="宋体" w:eastAsia="宋体" w:cs="Times New Roman"/>
          <w:sz w:val="21"/>
          <w:szCs w:val="21"/>
          <w:u w:val="single"/>
        </w:rPr>
        <w:t>用地红线范围内的土地</w:t>
      </w:r>
      <w:r>
        <w:rPr>
          <w:rFonts w:hint="eastAsia" w:ascii="宋体" w:hAnsi="宋体" w:eastAsia="宋体" w:cs="Times New Roman"/>
          <w:kern w:val="0"/>
          <w:sz w:val="21"/>
          <w:szCs w:val="21"/>
          <w:u w:val="single"/>
        </w:rPr>
        <w:t xml:space="preserve"> </w:t>
      </w:r>
      <w:r>
        <w:rPr>
          <w:rFonts w:hint="eastAsia" w:ascii="宋体" w:hAnsi="宋体" w:eastAsia="宋体" w:cs="Times New Roman"/>
          <w:sz w:val="21"/>
          <w:szCs w:val="21"/>
        </w:rPr>
        <w:t>。</w:t>
      </w:r>
    </w:p>
    <w:p w14:paraId="3AF8A8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1.1.3.10 临时占地包括：</w:t>
      </w:r>
      <w:r>
        <w:rPr>
          <w:rFonts w:hint="eastAsia" w:ascii="宋体" w:hAnsi="宋体" w:eastAsia="宋体" w:cs="Times New Roman"/>
          <w:sz w:val="21"/>
          <w:szCs w:val="21"/>
          <w:u w:val="single"/>
        </w:rPr>
        <w:t xml:space="preserve"> 为实施合同工程而需要</w:t>
      </w:r>
      <w:r>
        <w:rPr>
          <w:rFonts w:hint="eastAsia" w:ascii="宋体" w:hAnsi="宋体" w:eastAsia="宋体" w:cs="Times New Roman"/>
          <w:kern w:val="0"/>
          <w:sz w:val="21"/>
          <w:szCs w:val="21"/>
          <w:u w:val="single"/>
        </w:rPr>
        <w:t>的一切</w:t>
      </w:r>
      <w:r>
        <w:rPr>
          <w:rFonts w:hint="eastAsia" w:ascii="宋体" w:hAnsi="宋体" w:eastAsia="宋体" w:cs="Times New Roman"/>
          <w:sz w:val="21"/>
          <w:szCs w:val="21"/>
          <w:u w:val="single"/>
        </w:rPr>
        <w:t xml:space="preserve">临时占用的土地，包括施工所用的临时便道等的临时出入道，以及生产（办公）、生活等临时设施用地 </w:t>
      </w:r>
      <w:r>
        <w:rPr>
          <w:rFonts w:hint="eastAsia" w:ascii="宋体" w:hAnsi="宋体" w:eastAsia="宋体" w:cs="Times New Roman"/>
          <w:sz w:val="21"/>
          <w:szCs w:val="21"/>
        </w:rPr>
        <w:t>。</w:t>
      </w:r>
    </w:p>
    <w:p w14:paraId="4CBB7AD1">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1.3 法律</w:t>
      </w:r>
    </w:p>
    <w:p w14:paraId="1053FC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适用于合同的其他规范性文件：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2742A26">
      <w:pPr>
        <w:widowControl/>
        <w:spacing w:line="360" w:lineRule="auto"/>
        <w:jc w:val="left"/>
        <w:outlineLvl w:val="4"/>
        <w:rPr>
          <w:rFonts w:ascii="宋体" w:hAnsi="宋体" w:eastAsia="宋体" w:cs="宋体"/>
          <w:b/>
          <w:bCs/>
          <w:kern w:val="0"/>
          <w:sz w:val="21"/>
          <w:szCs w:val="21"/>
        </w:rPr>
      </w:pPr>
      <w:bookmarkStart w:id="1088" w:name="_Toc532377323"/>
      <w:bookmarkEnd w:id="1088"/>
      <w:r>
        <w:rPr>
          <w:rFonts w:hint="eastAsia" w:ascii="宋体" w:hAnsi="宋体" w:eastAsia="宋体" w:cs="宋体"/>
          <w:b/>
          <w:bCs/>
          <w:kern w:val="0"/>
          <w:sz w:val="21"/>
          <w:szCs w:val="21"/>
        </w:rPr>
        <w:t>1.4 标准和规范</w:t>
      </w:r>
    </w:p>
    <w:p w14:paraId="71B30C5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1.4.1 适用于工程的标准规范包括：</w:t>
      </w:r>
      <w:r>
        <w:rPr>
          <w:rFonts w:hint="eastAsia" w:ascii="宋体" w:hAnsi="宋体" w:eastAsia="宋体" w:cs="Times New Roman"/>
          <w:sz w:val="21"/>
          <w:szCs w:val="21"/>
          <w:u w:val="single"/>
        </w:rPr>
        <w:t xml:space="preserve"> （1）施工图所涉及的技术标准、规范、规程、图集等；</w:t>
      </w:r>
    </w:p>
    <w:p w14:paraId="0D290ED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（2）国家、行业或重庆市与本工程有关的标准，以及相应的规范、规程等，当这些标准、规范、规程不一致时，以标准、规范、规程要求最高的为准。</w:t>
      </w:r>
    </w:p>
    <w:p w14:paraId="420BE1C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8D1AB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3AFA111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发包人提供国外标准、规范的份数：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7BD2DF2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225CFC9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1.4.3 发包人对工程的技术标准和功能要求的特殊要求：</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7615B5">
      <w:pPr>
        <w:widowControl/>
        <w:spacing w:line="360" w:lineRule="auto"/>
        <w:jc w:val="left"/>
        <w:outlineLvl w:val="4"/>
        <w:rPr>
          <w:rFonts w:ascii="宋体" w:hAnsi="宋体" w:eastAsia="宋体" w:cs="宋体"/>
          <w:b/>
          <w:bCs/>
          <w:kern w:val="0"/>
          <w:sz w:val="21"/>
          <w:szCs w:val="21"/>
        </w:rPr>
      </w:pPr>
      <w:bookmarkStart w:id="1089" w:name="_Toc532377324"/>
      <w:bookmarkEnd w:id="1089"/>
      <w:r>
        <w:rPr>
          <w:rFonts w:hint="eastAsia" w:ascii="宋体" w:hAnsi="宋体" w:eastAsia="宋体" w:cs="宋体"/>
          <w:b/>
          <w:bCs/>
          <w:kern w:val="0"/>
          <w:sz w:val="21"/>
          <w:szCs w:val="21"/>
        </w:rPr>
        <w:t>1.5 合同文件的优先顺序</w:t>
      </w:r>
    </w:p>
    <w:p w14:paraId="6A3B0C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合同文件组成及优先顺序为：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329EE47">
      <w:pPr>
        <w:widowControl/>
        <w:spacing w:line="360" w:lineRule="auto"/>
        <w:jc w:val="left"/>
        <w:outlineLvl w:val="4"/>
        <w:rPr>
          <w:rFonts w:ascii="宋体" w:hAnsi="宋体" w:eastAsia="宋体" w:cs="宋体"/>
          <w:b/>
          <w:bCs/>
          <w:kern w:val="0"/>
          <w:sz w:val="21"/>
          <w:szCs w:val="21"/>
        </w:rPr>
      </w:pPr>
      <w:bookmarkStart w:id="1090" w:name="_Toc532377325"/>
      <w:bookmarkEnd w:id="1090"/>
      <w:r>
        <w:rPr>
          <w:rFonts w:hint="eastAsia" w:ascii="宋体" w:hAnsi="宋体" w:eastAsia="宋体" w:cs="宋体"/>
          <w:b/>
          <w:bCs/>
          <w:kern w:val="0"/>
          <w:sz w:val="21"/>
          <w:szCs w:val="21"/>
        </w:rPr>
        <w:t>1.6 图纸和承包人文件</w:t>
      </w:r>
    </w:p>
    <w:p w14:paraId="4DB7762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1.6.1 图纸的提供和交底</w:t>
      </w:r>
    </w:p>
    <w:p w14:paraId="00B2A9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发包人向承包人提供图纸的期限：</w:t>
      </w:r>
      <w:r>
        <w:rPr>
          <w:rFonts w:hint="eastAsia" w:ascii="宋体" w:hAnsi="宋体" w:eastAsia="宋体" w:cs="Times New Roman"/>
          <w:sz w:val="21"/>
          <w:szCs w:val="21"/>
          <w:u w:val="single"/>
        </w:rPr>
        <w:t xml:space="preserve">  通用合同条款第7.3.2款</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开工通知</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 xml:space="preserve">载明的开工日期前14天 </w:t>
      </w:r>
      <w:r>
        <w:rPr>
          <w:rFonts w:hint="eastAsia" w:ascii="宋体" w:hAnsi="宋体" w:eastAsia="宋体" w:cs="Times New Roman"/>
          <w:sz w:val="21"/>
          <w:szCs w:val="21"/>
        </w:rPr>
        <w:t>；</w:t>
      </w:r>
    </w:p>
    <w:p w14:paraId="751FE8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发包人向承包人提供图纸的数量：</w:t>
      </w:r>
      <w:r>
        <w:rPr>
          <w:rFonts w:hint="eastAsia" w:ascii="宋体" w:hAnsi="宋体" w:eastAsia="宋体" w:cs="Times New Roman"/>
          <w:sz w:val="21"/>
          <w:szCs w:val="21"/>
          <w:u w:val="single"/>
        </w:rPr>
        <w:t xml:space="preserve">       套  </w:t>
      </w:r>
      <w:r>
        <w:rPr>
          <w:rFonts w:hint="eastAsia" w:ascii="宋体" w:hAnsi="宋体" w:eastAsia="宋体" w:cs="Times New Roman"/>
          <w:sz w:val="21"/>
          <w:szCs w:val="21"/>
        </w:rPr>
        <w:t xml:space="preserve">； </w:t>
      </w:r>
    </w:p>
    <w:p w14:paraId="7AF8BD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发包人向承包人提供图纸的内容：</w:t>
      </w:r>
      <w:r>
        <w:rPr>
          <w:rFonts w:hint="eastAsia" w:ascii="宋体" w:hAnsi="宋体" w:eastAsia="宋体" w:cs="Times New Roman"/>
          <w:sz w:val="21"/>
          <w:szCs w:val="21"/>
          <w:u w:val="single"/>
        </w:rPr>
        <w:t xml:space="preserve">   工程承包范围内工程的施工图设计文件   </w:t>
      </w:r>
      <w:r>
        <w:rPr>
          <w:rFonts w:hint="eastAsia" w:ascii="宋体" w:hAnsi="宋体" w:eastAsia="宋体" w:cs="Times New Roman"/>
          <w:sz w:val="21"/>
          <w:szCs w:val="21"/>
        </w:rPr>
        <w:t>。</w:t>
      </w:r>
    </w:p>
    <w:p w14:paraId="53E33A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1.6.4 承包人文件</w:t>
      </w:r>
    </w:p>
    <w:p w14:paraId="261E10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需要由承包人提供的文件，包括：</w:t>
      </w:r>
      <w:r>
        <w:rPr>
          <w:rFonts w:hint="eastAsia" w:ascii="宋体" w:hAnsi="宋体" w:eastAsia="宋体" w:cs="Times New Roman"/>
          <w:sz w:val="21"/>
          <w:szCs w:val="21"/>
          <w:u w:val="single"/>
        </w:rPr>
        <w:t xml:space="preserve">  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 </w:t>
      </w:r>
      <w:r>
        <w:rPr>
          <w:rFonts w:hint="eastAsia" w:ascii="宋体" w:hAnsi="宋体" w:eastAsia="宋体" w:cs="Times New Roman"/>
          <w:sz w:val="21"/>
          <w:szCs w:val="21"/>
        </w:rPr>
        <w:t>。</w:t>
      </w:r>
    </w:p>
    <w:p w14:paraId="6B3DCC6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承包人提供的文件的期限为：</w:t>
      </w:r>
      <w:r>
        <w:rPr>
          <w:rFonts w:hint="eastAsia" w:ascii="宋体" w:hAnsi="宋体" w:eastAsia="宋体" w:cs="Times New Roman"/>
          <w:sz w:val="21"/>
          <w:szCs w:val="21"/>
          <w:u w:val="single"/>
        </w:rPr>
        <w:t xml:space="preserve">  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    </w:t>
      </w:r>
      <w:r>
        <w:rPr>
          <w:rFonts w:hint="eastAsia" w:ascii="宋体" w:hAnsi="宋体" w:eastAsia="宋体" w:cs="Times New Roman"/>
          <w:sz w:val="21"/>
          <w:szCs w:val="21"/>
        </w:rPr>
        <w:t>；</w:t>
      </w:r>
    </w:p>
    <w:p w14:paraId="1861D08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承包人提供的文件的形式为：</w:t>
      </w:r>
      <w:r>
        <w:rPr>
          <w:rFonts w:hint="eastAsia" w:ascii="宋体" w:hAnsi="宋体" w:eastAsia="宋体" w:cs="Times New Roman"/>
          <w:sz w:val="21"/>
          <w:szCs w:val="21"/>
          <w:u w:val="single"/>
        </w:rPr>
        <w:t xml:space="preserve"> </w:t>
      </w:r>
      <w:r>
        <w:rPr>
          <w:rFonts w:ascii="Segoe UI Symbol" w:hAnsi="Segoe UI Symbol" w:eastAsia="宋体" w:cs="Segoe UI Symbol"/>
          <w:sz w:val="21"/>
          <w:szCs w:val="21"/>
          <w:u w:val="single"/>
        </w:rPr>
        <w:t>☑</w:t>
      </w:r>
      <w:r>
        <w:rPr>
          <w:rFonts w:hint="eastAsia" w:ascii="宋体" w:hAnsi="宋体" w:eastAsia="宋体" w:cs="宋体"/>
          <w:sz w:val="21"/>
          <w:szCs w:val="21"/>
          <w:u w:val="single"/>
        </w:rPr>
        <w:t>采用电子招标的，投标文件以电子文档为准，其他文件以书面文件为准</w:t>
      </w:r>
      <w:r>
        <w:rPr>
          <w:rFonts w:hint="eastAsia" w:ascii="宋体" w:hAnsi="宋体" w:eastAsia="宋体" w:cs="Times New Roman"/>
          <w:sz w:val="21"/>
          <w:szCs w:val="21"/>
        </w:rPr>
        <w:t>。监理人审批承包人文件的期限：</w:t>
      </w:r>
      <w:r>
        <w:rPr>
          <w:rFonts w:hint="eastAsia" w:ascii="宋体" w:hAnsi="宋体" w:eastAsia="宋体" w:cs="Times New Roman"/>
          <w:sz w:val="21"/>
          <w:szCs w:val="21"/>
          <w:u w:val="single"/>
        </w:rPr>
        <w:t>收到施工组织设计和工程总体进度计划及当年年度施工进度计划后7天内；合同另有约定的，从其约定</w:t>
      </w:r>
      <w:r>
        <w:rPr>
          <w:rFonts w:hint="eastAsia" w:ascii="宋体" w:hAnsi="宋体" w:eastAsia="宋体" w:cs="Times New Roman"/>
          <w:sz w:val="21"/>
          <w:szCs w:val="21"/>
        </w:rPr>
        <w:t>。</w:t>
      </w:r>
    </w:p>
    <w:p w14:paraId="5CE8478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发包人审批承包人文件的期限：</w:t>
      </w:r>
      <w:r>
        <w:rPr>
          <w:rFonts w:hint="eastAsia" w:ascii="宋体" w:hAnsi="宋体" w:eastAsia="宋体" w:cs="Times New Roman"/>
          <w:sz w:val="21"/>
          <w:szCs w:val="21"/>
          <w:u w:val="single"/>
        </w:rPr>
        <w:t>收到后14天内；合同另有约定的，从其约定</w:t>
      </w:r>
      <w:r>
        <w:rPr>
          <w:rFonts w:hint="eastAsia" w:ascii="宋体" w:hAnsi="宋体" w:eastAsia="宋体" w:cs="Times New Roman"/>
          <w:sz w:val="21"/>
          <w:szCs w:val="21"/>
        </w:rPr>
        <w:t>。</w:t>
      </w:r>
    </w:p>
    <w:p w14:paraId="1AD66EB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监理人、发包人的修改意见和审批，不免除或减轻承包人对该工作、工程、材料、工程设备等应承担的责任和义务</w:t>
      </w:r>
      <w:r>
        <w:rPr>
          <w:rFonts w:hint="eastAsia" w:ascii="宋体" w:hAnsi="宋体" w:eastAsia="宋体" w:cs="Times New Roman"/>
          <w:sz w:val="21"/>
          <w:szCs w:val="21"/>
        </w:rPr>
        <w:t>。</w:t>
      </w:r>
    </w:p>
    <w:p w14:paraId="08E7031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1.6.5 现场图纸准备</w:t>
      </w:r>
    </w:p>
    <w:p w14:paraId="160798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关于现场图纸准备的约定：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8219C0B">
      <w:pPr>
        <w:widowControl/>
        <w:spacing w:line="360" w:lineRule="auto"/>
        <w:jc w:val="left"/>
        <w:outlineLvl w:val="4"/>
        <w:rPr>
          <w:rFonts w:ascii="宋体" w:hAnsi="宋体" w:eastAsia="宋体" w:cs="宋体"/>
          <w:b/>
          <w:bCs/>
          <w:kern w:val="0"/>
          <w:sz w:val="21"/>
          <w:szCs w:val="21"/>
        </w:rPr>
      </w:pPr>
      <w:bookmarkStart w:id="1091" w:name="_Toc532377326"/>
      <w:bookmarkEnd w:id="1091"/>
      <w:r>
        <w:rPr>
          <w:rFonts w:hint="eastAsia" w:ascii="宋体" w:hAnsi="宋体" w:eastAsia="宋体" w:cs="宋体"/>
          <w:b/>
          <w:bCs/>
          <w:kern w:val="0"/>
          <w:sz w:val="21"/>
          <w:szCs w:val="21"/>
        </w:rPr>
        <w:t>1.7 联络</w:t>
      </w:r>
    </w:p>
    <w:p w14:paraId="500BF5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发包人和承包人应当在</w:t>
      </w:r>
      <w:r>
        <w:rPr>
          <w:rFonts w:hint="eastAsia" w:ascii="宋体" w:hAnsi="宋体" w:eastAsia="宋体" w:cs="Times New Roman"/>
          <w:sz w:val="21"/>
          <w:szCs w:val="21"/>
          <w:u w:val="single"/>
        </w:rPr>
        <w:t xml:space="preserve">     7   </w:t>
      </w:r>
      <w:r>
        <w:rPr>
          <w:rFonts w:hint="eastAsia" w:ascii="宋体" w:hAnsi="宋体" w:eastAsia="宋体" w:cs="Times New Roman"/>
          <w:kern w:val="0"/>
          <w:sz w:val="21"/>
          <w:szCs w:val="21"/>
        </w:rPr>
        <w:t>天内将与合同有关的通知、批准、证明、证书、指示、指令、要求、请求、同意、意见、确定和决定等书面函件送达对方当事人。</w:t>
      </w:r>
    </w:p>
    <w:p w14:paraId="67286B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33E589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发包人指定的接收人为：</w:t>
      </w:r>
      <w:bookmarkStart w:id="1092" w:name="_Hlk528493983"/>
      <w:bookmarkEnd w:id="1092"/>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3D614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62D84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0BE952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836A60A">
      <w:pPr>
        <w:spacing w:line="360" w:lineRule="auto"/>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监理人指定的接收人为：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24971A36">
      <w:pPr>
        <w:widowControl/>
        <w:spacing w:line="360" w:lineRule="auto"/>
        <w:jc w:val="left"/>
        <w:outlineLvl w:val="4"/>
        <w:rPr>
          <w:rFonts w:ascii="宋体" w:hAnsi="宋体" w:eastAsia="宋体" w:cs="宋体"/>
          <w:b/>
          <w:bCs/>
          <w:kern w:val="0"/>
          <w:sz w:val="21"/>
          <w:szCs w:val="21"/>
        </w:rPr>
      </w:pPr>
      <w:bookmarkStart w:id="1093" w:name="_Toc532377328"/>
      <w:bookmarkEnd w:id="1093"/>
      <w:r>
        <w:rPr>
          <w:rFonts w:hint="eastAsia" w:ascii="宋体" w:hAnsi="宋体" w:eastAsia="宋体" w:cs="宋体"/>
          <w:b/>
          <w:bCs/>
          <w:kern w:val="0"/>
          <w:sz w:val="21"/>
          <w:szCs w:val="21"/>
        </w:rPr>
        <w:t>1.10 交通运输</w:t>
      </w:r>
    </w:p>
    <w:p w14:paraId="3AADCA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4" w:name="_Toc303539100"/>
      <w:bookmarkEnd w:id="1094"/>
      <w:bookmarkStart w:id="1095" w:name="_Toc318581155"/>
      <w:bookmarkEnd w:id="1095"/>
      <w:bookmarkStart w:id="1096" w:name="_Toc312677986"/>
      <w:bookmarkEnd w:id="1096"/>
      <w:bookmarkStart w:id="1097" w:name="_Toc304295521"/>
      <w:bookmarkEnd w:id="1097"/>
      <w:bookmarkStart w:id="1098" w:name="_Toc300934943"/>
      <w:r>
        <w:rPr>
          <w:rFonts w:hint="eastAsia" w:ascii="宋体" w:hAnsi="宋体" w:eastAsia="宋体" w:cs="Times New Roman"/>
          <w:sz w:val="21"/>
          <w:szCs w:val="21"/>
        </w:rPr>
        <w:t>.10.1 出入现场的权利</w:t>
      </w:r>
      <w:bookmarkEnd w:id="1098"/>
    </w:p>
    <w:p w14:paraId="669860FC">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关于出入现场的权利的约定：</w:t>
      </w:r>
      <w:r>
        <w:rPr>
          <w:rFonts w:hint="eastAsia" w:ascii="宋体" w:hAnsi="宋体" w:eastAsia="宋体" w:cs="Times New Roman"/>
          <w:sz w:val="21"/>
          <w:szCs w:val="21"/>
          <w:u w:val="single"/>
        </w:rPr>
        <w:t xml:space="preserve">  按规定执行        </w:t>
      </w:r>
      <w:r>
        <w:rPr>
          <w:rFonts w:hint="eastAsia" w:ascii="宋体" w:hAnsi="宋体" w:eastAsia="宋体" w:cs="Times New Roman"/>
          <w:sz w:val="21"/>
          <w:szCs w:val="21"/>
        </w:rPr>
        <w:t>。</w:t>
      </w:r>
    </w:p>
    <w:p w14:paraId="5C2785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9" w:name="_Toc318581156"/>
      <w:bookmarkEnd w:id="1099"/>
      <w:bookmarkStart w:id="1100" w:name="_Toc312677987"/>
      <w:bookmarkEnd w:id="1100"/>
      <w:bookmarkStart w:id="1101" w:name="_Toc300934944"/>
      <w:bookmarkEnd w:id="1101"/>
      <w:bookmarkStart w:id="1102" w:name="_Toc303539101"/>
      <w:bookmarkEnd w:id="1102"/>
      <w:bookmarkStart w:id="1103" w:name="_Toc304295522"/>
      <w:r>
        <w:rPr>
          <w:rFonts w:hint="eastAsia" w:ascii="宋体" w:hAnsi="宋体" w:eastAsia="宋体" w:cs="Times New Roman"/>
          <w:sz w:val="21"/>
          <w:szCs w:val="21"/>
        </w:rPr>
        <w:t>.10.3 场内交通</w:t>
      </w:r>
      <w:bookmarkEnd w:id="1103"/>
    </w:p>
    <w:p w14:paraId="6B38B12D">
      <w:pPr>
        <w:spacing w:line="360" w:lineRule="auto"/>
        <w:jc w:val="left"/>
        <w:rPr>
          <w:rFonts w:ascii="宋体" w:hAnsi="宋体" w:eastAsia="宋体" w:cs="Times New Roman"/>
          <w:sz w:val="21"/>
          <w:szCs w:val="21"/>
          <w:u w:val="single"/>
        </w:rPr>
      </w:pPr>
      <w:r>
        <w:rPr>
          <w:rFonts w:hint="eastAsia" w:ascii="宋体" w:hAnsi="宋体" w:eastAsia="宋体" w:cs="Times New Roman"/>
          <w:kern w:val="0"/>
          <w:sz w:val="21"/>
          <w:szCs w:val="21"/>
        </w:rPr>
        <w:t>关于场外交通和场内交通的边界的约定：</w:t>
      </w:r>
      <w:r>
        <w:rPr>
          <w:rFonts w:hint="eastAsia" w:ascii="宋体" w:hAnsi="宋体" w:eastAsia="宋体" w:cs="Times New Roman"/>
          <w:sz w:val="21"/>
          <w:szCs w:val="21"/>
          <w:u w:val="single"/>
        </w:rPr>
        <w:t xml:space="preserve"> 以合同工程用地红线为界，用地红线外为场外交通，用地红线范围内为场内交通（场外道路穿越场内的除外）</w:t>
      </w:r>
      <w:r>
        <w:rPr>
          <w:rFonts w:hint="eastAsia" w:ascii="宋体" w:hAnsi="宋体" w:eastAsia="宋体" w:cs="Times New Roman"/>
          <w:sz w:val="21"/>
          <w:szCs w:val="21"/>
        </w:rPr>
        <w:t>。</w:t>
      </w:r>
    </w:p>
    <w:p w14:paraId="606EAF6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关于发包人向承包人免费提供满足工程施工需要的场内道路和交通设施的约定：</w:t>
      </w:r>
      <w:r>
        <w:rPr>
          <w:rFonts w:hint="eastAsia" w:ascii="宋体" w:hAnsi="宋体" w:eastAsia="宋体" w:cs="Times New Roman"/>
          <w:kern w:val="0"/>
          <w:sz w:val="21"/>
          <w:szCs w:val="21"/>
          <w:u w:val="single"/>
        </w:rPr>
        <w:t xml:space="preserve"> 以施工场地移交时的现状为准</w:t>
      </w:r>
      <w:r>
        <w:rPr>
          <w:rFonts w:hint="eastAsia" w:ascii="宋体" w:hAnsi="宋体" w:eastAsia="宋体" w:cs="Times New Roman"/>
          <w:sz w:val="21"/>
          <w:szCs w:val="21"/>
        </w:rPr>
        <w:t>。</w:t>
      </w:r>
    </w:p>
    <w:p w14:paraId="3A500437">
      <w:pPr>
        <w:spacing w:line="360" w:lineRule="auto"/>
        <w:jc w:val="left"/>
        <w:rPr>
          <w:rFonts w:ascii="宋体" w:hAnsi="宋体" w:eastAsia="宋体" w:cs="Times New Roman"/>
          <w:sz w:val="21"/>
          <w:szCs w:val="21"/>
        </w:rPr>
      </w:pPr>
      <w:bookmarkStart w:id="1104" w:name="_Toc318581157"/>
      <w:bookmarkEnd w:id="1104"/>
      <w:r>
        <w:rPr>
          <w:rFonts w:hint="eastAsia" w:ascii="宋体" w:hAnsi="宋体" w:eastAsia="宋体" w:cs="Times New Roman"/>
          <w:sz w:val="21"/>
          <w:szCs w:val="21"/>
        </w:rPr>
        <w:t>1.10.4 超大件和超重件的运输</w:t>
      </w:r>
    </w:p>
    <w:p w14:paraId="2A6EBBA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运输超大件或超重件所需的道路和桥梁临时加固改造费用和其他有关费用由</w:t>
      </w:r>
      <w:r>
        <w:rPr>
          <w:rFonts w:hint="eastAsia" w:ascii="宋体" w:hAnsi="宋体" w:eastAsia="宋体" w:cs="Times New Roman"/>
          <w:sz w:val="21"/>
          <w:szCs w:val="21"/>
          <w:u w:val="single"/>
        </w:rPr>
        <w:t>发包人</w:t>
      </w:r>
      <w:r>
        <w:rPr>
          <w:rFonts w:hint="eastAsia" w:ascii="宋体" w:hAnsi="宋体" w:eastAsia="宋体" w:cs="Times New Roman"/>
          <w:sz w:val="21"/>
          <w:szCs w:val="21"/>
        </w:rPr>
        <w:t>承担。</w:t>
      </w:r>
    </w:p>
    <w:p w14:paraId="324BD98F">
      <w:pPr>
        <w:widowControl/>
        <w:spacing w:line="360" w:lineRule="auto"/>
        <w:jc w:val="left"/>
        <w:outlineLvl w:val="4"/>
        <w:rPr>
          <w:rFonts w:ascii="宋体" w:hAnsi="宋体" w:eastAsia="宋体" w:cs="宋体"/>
          <w:b/>
          <w:bCs/>
          <w:kern w:val="0"/>
          <w:sz w:val="21"/>
          <w:szCs w:val="21"/>
        </w:rPr>
      </w:pPr>
      <w:bookmarkStart w:id="1105" w:name="_Toc532377329"/>
      <w:bookmarkEnd w:id="1105"/>
      <w:r>
        <w:rPr>
          <w:rFonts w:hint="eastAsia" w:ascii="宋体" w:hAnsi="宋体" w:eastAsia="宋体" w:cs="宋体"/>
          <w:b/>
          <w:bCs/>
          <w:kern w:val="0"/>
          <w:sz w:val="21"/>
          <w:szCs w:val="21"/>
        </w:rPr>
        <w:t>1.11 知识产权</w:t>
      </w:r>
    </w:p>
    <w:p w14:paraId="5D207E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Times New Roman"/>
          <w:sz w:val="21"/>
          <w:szCs w:val="21"/>
          <w:u w:val="single"/>
        </w:rPr>
        <w:t xml:space="preserve"> 属于发包人 </w:t>
      </w:r>
      <w:r>
        <w:rPr>
          <w:rFonts w:hint="eastAsia" w:ascii="宋体" w:hAnsi="宋体" w:eastAsia="宋体" w:cs="Times New Roman"/>
          <w:sz w:val="21"/>
          <w:szCs w:val="21"/>
        </w:rPr>
        <w:t>。</w:t>
      </w:r>
    </w:p>
    <w:p w14:paraId="70A0F6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关于发包人提供的上述文件的使用限制的要求：</w:t>
      </w:r>
      <w:r>
        <w:rPr>
          <w:rFonts w:hint="eastAsia" w:ascii="宋体" w:hAnsi="宋体" w:eastAsia="宋体" w:cs="Times New Roman"/>
          <w:sz w:val="21"/>
          <w:szCs w:val="21"/>
          <w:u w:val="single"/>
        </w:rPr>
        <w:t xml:space="preserve">   按通用合同条款执行 </w:t>
      </w:r>
      <w:r>
        <w:rPr>
          <w:rFonts w:hint="eastAsia" w:ascii="宋体" w:hAnsi="宋体" w:eastAsia="宋体" w:cs="Times New Roman"/>
          <w:sz w:val="21"/>
          <w:szCs w:val="21"/>
        </w:rPr>
        <w:t>。</w:t>
      </w:r>
    </w:p>
    <w:p w14:paraId="6C21C37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1.11.2 关于承包人为实施工程所编制文件的著作权的归属：</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44F5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关于承包人提供的上述文件的使用限制的要求：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D21AB8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1.11.4 承包人在施工过程中所采用的专利、专有技术、技术秘密的使用费的承担方式：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10C3E87">
      <w:pPr>
        <w:keepNext/>
        <w:keepLines/>
        <w:spacing w:line="360" w:lineRule="auto"/>
        <w:outlineLvl w:val="3"/>
        <w:rPr>
          <w:rFonts w:ascii="宋体" w:hAnsi="宋体" w:eastAsia="宋体" w:cs="宋体"/>
          <w:b/>
          <w:sz w:val="21"/>
          <w:szCs w:val="21"/>
        </w:rPr>
      </w:pPr>
      <w:bookmarkStart w:id="1106" w:name="_Toc351203634"/>
      <w:bookmarkEnd w:id="1106"/>
      <w:bookmarkStart w:id="1107" w:name="_Toc532377331"/>
      <w:bookmarkEnd w:id="1107"/>
      <w:bookmarkStart w:id="1108" w:name="_Toc532375609"/>
      <w:r>
        <w:rPr>
          <w:rFonts w:hint="eastAsia" w:ascii="宋体" w:hAnsi="宋体" w:eastAsia="宋体" w:cs="宋体"/>
          <w:b/>
          <w:bCs/>
          <w:sz w:val="21"/>
          <w:szCs w:val="21"/>
        </w:rPr>
        <w:t>2</w:t>
      </w:r>
      <w:bookmarkEnd w:id="1108"/>
      <w:bookmarkStart w:id="1109" w:name="_Toc292559362"/>
      <w:bookmarkEnd w:id="1109"/>
      <w:bookmarkStart w:id="1110" w:name="_Toc297120457"/>
      <w:bookmarkEnd w:id="1110"/>
      <w:bookmarkStart w:id="1111" w:name="_Toc296944496"/>
      <w:bookmarkEnd w:id="1111"/>
      <w:bookmarkStart w:id="1112" w:name="_Toc297048343"/>
      <w:bookmarkEnd w:id="1112"/>
      <w:bookmarkStart w:id="1113" w:name="_Toc296890985"/>
      <w:bookmarkEnd w:id="1113"/>
      <w:bookmarkStart w:id="1114" w:name="_Toc296347156"/>
      <w:bookmarkEnd w:id="1114"/>
      <w:bookmarkStart w:id="1115" w:name="_Toc296891197"/>
      <w:bookmarkEnd w:id="1115"/>
      <w:bookmarkStart w:id="1116" w:name="_Toc296503157"/>
      <w:bookmarkEnd w:id="1116"/>
      <w:bookmarkStart w:id="1117" w:name="_Toc296346658"/>
      <w:bookmarkEnd w:id="1117"/>
      <w:bookmarkStart w:id="1118" w:name="_Toc292559867"/>
      <w:r>
        <w:rPr>
          <w:rFonts w:hint="eastAsia" w:ascii="宋体" w:hAnsi="宋体" w:eastAsia="宋体" w:cs="宋体"/>
          <w:b/>
          <w:bCs/>
          <w:sz w:val="21"/>
          <w:szCs w:val="21"/>
        </w:rPr>
        <w:t>. 发包人</w:t>
      </w:r>
      <w:bookmarkEnd w:id="1118"/>
    </w:p>
    <w:p w14:paraId="385EFE18">
      <w:pPr>
        <w:spacing w:line="360" w:lineRule="auto"/>
        <w:jc w:val="left"/>
        <w:rPr>
          <w:rFonts w:ascii="宋体" w:hAnsi="宋体" w:eastAsia="宋体" w:cs="Times New Roman"/>
          <w:b/>
          <w:bCs/>
          <w:sz w:val="21"/>
          <w:szCs w:val="21"/>
        </w:rPr>
      </w:pPr>
      <w:r>
        <w:rPr>
          <w:rFonts w:hint="eastAsia" w:ascii="宋体" w:hAnsi="宋体" w:eastAsia="宋体" w:cs="Times New Roman"/>
          <w:b/>
          <w:bCs/>
          <w:sz w:val="21"/>
          <w:szCs w:val="21"/>
        </w:rPr>
        <w:t>2.2 发包人代表</w:t>
      </w:r>
    </w:p>
    <w:p w14:paraId="55E63E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发包人代表：</w:t>
      </w:r>
    </w:p>
    <w:p w14:paraId="77E1E10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892545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A2C95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F4330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08679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邮    编：</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06B1F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发包人对发包人代表的授权范围如下：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1C9834F">
      <w:pPr>
        <w:widowControl/>
        <w:spacing w:line="360" w:lineRule="auto"/>
        <w:jc w:val="left"/>
        <w:outlineLvl w:val="4"/>
        <w:rPr>
          <w:rFonts w:ascii="宋体" w:hAnsi="宋体" w:eastAsia="宋体" w:cs="宋体"/>
          <w:b/>
          <w:bCs/>
          <w:kern w:val="0"/>
          <w:sz w:val="21"/>
          <w:szCs w:val="21"/>
        </w:rPr>
      </w:pPr>
      <w:bookmarkStart w:id="1119" w:name="_Toc532377332"/>
      <w:bookmarkEnd w:id="1119"/>
      <w:r>
        <w:rPr>
          <w:rFonts w:hint="eastAsia" w:ascii="宋体" w:hAnsi="宋体" w:eastAsia="宋体" w:cs="宋体"/>
          <w:b/>
          <w:bCs/>
          <w:kern w:val="0"/>
          <w:sz w:val="21"/>
          <w:szCs w:val="21"/>
        </w:rPr>
        <w:t>2.4 施工现场、施工条件和基础资料的提供</w:t>
      </w:r>
    </w:p>
    <w:p w14:paraId="188C82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2.4.1 提供施工现场</w:t>
      </w:r>
    </w:p>
    <w:p w14:paraId="249EAD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关于发包人移交施工现场的期限要求：</w:t>
      </w:r>
      <w:r>
        <w:rPr>
          <w:rFonts w:hint="eastAsia" w:ascii="宋体" w:hAnsi="宋体" w:eastAsia="宋体" w:cs="Times New Roman"/>
          <w:sz w:val="21"/>
          <w:szCs w:val="21"/>
          <w:u w:val="single"/>
        </w:rPr>
        <w:t xml:space="preserve"> 一次提供全部施工场地：发包人于开工前向承包人提供合同工程用地红线范围内的施工场地。 </w:t>
      </w:r>
    </w:p>
    <w:p w14:paraId="6F04256C">
      <w:pPr>
        <w:widowControl/>
        <w:spacing w:line="360" w:lineRule="auto"/>
        <w:jc w:val="left"/>
        <w:outlineLvl w:val="4"/>
        <w:rPr>
          <w:rFonts w:ascii="宋体" w:hAnsi="宋体" w:eastAsia="宋体" w:cs="宋体"/>
          <w:b/>
          <w:bCs/>
          <w:kern w:val="0"/>
          <w:sz w:val="21"/>
          <w:szCs w:val="21"/>
        </w:rPr>
      </w:pPr>
      <w:bookmarkStart w:id="1120" w:name="_Toc532377333"/>
      <w:bookmarkEnd w:id="1120"/>
      <w:r>
        <w:rPr>
          <w:rFonts w:hint="eastAsia" w:ascii="宋体" w:hAnsi="宋体" w:eastAsia="宋体" w:cs="宋体"/>
          <w:b/>
          <w:bCs/>
          <w:kern w:val="0"/>
          <w:sz w:val="21"/>
          <w:szCs w:val="21"/>
        </w:rPr>
        <w:t>2.5 资金来源证明及支付担保</w:t>
      </w:r>
    </w:p>
    <w:p w14:paraId="5C6EA2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发包人提供资金来源证明的期限要求：</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A08D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发包人是否提供支付担保：</w:t>
      </w:r>
      <w:r>
        <w:rPr>
          <w:rFonts w:hint="eastAsia" w:ascii="宋体" w:hAnsi="宋体" w:eastAsia="宋体" w:cs="Times New Roman"/>
          <w:sz w:val="21"/>
          <w:szCs w:val="21"/>
          <w:u w:val="single"/>
        </w:rPr>
        <w:t xml:space="preserve">     否       </w:t>
      </w:r>
      <w:r>
        <w:rPr>
          <w:rFonts w:hint="eastAsia" w:ascii="宋体" w:hAnsi="宋体" w:eastAsia="宋体" w:cs="Times New Roman"/>
          <w:sz w:val="21"/>
          <w:szCs w:val="21"/>
        </w:rPr>
        <w:t>。</w:t>
      </w:r>
    </w:p>
    <w:p w14:paraId="4471A4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发包人提供支付担保的形式：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3164BED">
      <w:pPr>
        <w:keepNext/>
        <w:keepLines/>
        <w:spacing w:line="360" w:lineRule="auto"/>
        <w:outlineLvl w:val="3"/>
        <w:rPr>
          <w:rFonts w:ascii="宋体" w:hAnsi="宋体" w:eastAsia="宋体" w:cs="宋体"/>
          <w:b/>
          <w:sz w:val="21"/>
          <w:szCs w:val="21"/>
        </w:rPr>
      </w:pPr>
      <w:bookmarkStart w:id="1121" w:name="_Toc532375610"/>
      <w:bookmarkEnd w:id="1121"/>
      <w:bookmarkStart w:id="1122" w:name="_Toc532377334"/>
      <w:bookmarkEnd w:id="1122"/>
      <w:bookmarkStart w:id="1123" w:name="_Toc351203635"/>
      <w:r>
        <w:rPr>
          <w:rFonts w:hint="eastAsia" w:ascii="宋体" w:hAnsi="宋体" w:eastAsia="宋体" w:cs="宋体"/>
          <w:b/>
          <w:bCs/>
          <w:sz w:val="21"/>
          <w:szCs w:val="21"/>
        </w:rPr>
        <w:t>3</w:t>
      </w:r>
      <w:bookmarkEnd w:id="1123"/>
      <w:bookmarkStart w:id="1124" w:name="_Toc297120458"/>
      <w:bookmarkEnd w:id="1124"/>
      <w:bookmarkStart w:id="1125" w:name="_Toc296944497"/>
      <w:bookmarkEnd w:id="1125"/>
      <w:bookmarkStart w:id="1126" w:name="_Toc292559868"/>
      <w:bookmarkEnd w:id="1126"/>
      <w:bookmarkStart w:id="1127" w:name="_Toc296890986"/>
      <w:bookmarkEnd w:id="1127"/>
      <w:bookmarkStart w:id="1128" w:name="_Toc296346659"/>
      <w:bookmarkEnd w:id="1128"/>
      <w:bookmarkStart w:id="1129" w:name="_Toc296347157"/>
      <w:bookmarkEnd w:id="1129"/>
      <w:bookmarkStart w:id="1130" w:name="_Toc297048344"/>
      <w:bookmarkEnd w:id="1130"/>
      <w:bookmarkStart w:id="1131" w:name="_Toc296891198"/>
      <w:bookmarkEnd w:id="1131"/>
      <w:bookmarkStart w:id="1132" w:name="_Toc296503158"/>
      <w:bookmarkEnd w:id="1132"/>
      <w:bookmarkStart w:id="1133" w:name="_Toc292559363"/>
      <w:r>
        <w:rPr>
          <w:rFonts w:hint="eastAsia" w:ascii="宋体" w:hAnsi="宋体" w:eastAsia="宋体" w:cs="宋体"/>
          <w:b/>
          <w:bCs/>
          <w:sz w:val="21"/>
          <w:szCs w:val="21"/>
        </w:rPr>
        <w:t>. 承包人</w:t>
      </w:r>
      <w:bookmarkEnd w:id="1133"/>
    </w:p>
    <w:p w14:paraId="1F0B350F">
      <w:pPr>
        <w:widowControl/>
        <w:spacing w:line="360" w:lineRule="auto"/>
        <w:jc w:val="left"/>
        <w:outlineLvl w:val="4"/>
        <w:rPr>
          <w:rFonts w:ascii="宋体" w:hAnsi="宋体" w:eastAsia="宋体" w:cs="宋体"/>
          <w:b/>
          <w:bCs/>
          <w:kern w:val="0"/>
          <w:sz w:val="21"/>
          <w:szCs w:val="21"/>
        </w:rPr>
      </w:pPr>
      <w:bookmarkStart w:id="1134" w:name="_Toc532377335"/>
      <w:bookmarkEnd w:id="1134"/>
      <w:r>
        <w:rPr>
          <w:rFonts w:hint="eastAsia" w:ascii="宋体" w:hAnsi="宋体" w:eastAsia="宋体" w:cs="宋体"/>
          <w:b/>
          <w:bCs/>
          <w:kern w:val="0"/>
          <w:sz w:val="21"/>
          <w:szCs w:val="21"/>
        </w:rPr>
        <w:t>3.1 承包人的一般义务</w:t>
      </w:r>
    </w:p>
    <w:p w14:paraId="3A1D90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（9）承包人提交的竣工资料的内容：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4F10A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承包人需要提交的竣工资料套数：</w:t>
      </w:r>
      <w:r>
        <w:rPr>
          <w:rFonts w:hint="eastAsia" w:ascii="宋体" w:hAnsi="宋体" w:eastAsia="宋体" w:cs="Times New Roman"/>
          <w:sz w:val="21"/>
          <w:szCs w:val="21"/>
          <w:u w:val="single"/>
        </w:rPr>
        <w:t xml:space="preserve">     3套       </w:t>
      </w:r>
      <w:r>
        <w:rPr>
          <w:rFonts w:hint="eastAsia" w:ascii="宋体" w:hAnsi="宋体" w:eastAsia="宋体" w:cs="Times New Roman"/>
          <w:sz w:val="21"/>
          <w:szCs w:val="21"/>
        </w:rPr>
        <w:t>。</w:t>
      </w:r>
    </w:p>
    <w:p w14:paraId="0E9D8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承包人提交的竣工资料的费用承担：</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FFA5A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承包人提交的竣工资料移交时间：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54F750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承包人提交的竣工资料形式要求：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C09671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（10）承包人应履行的其他义务：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7DF5A46">
      <w:pPr>
        <w:widowControl/>
        <w:spacing w:line="360" w:lineRule="auto"/>
        <w:jc w:val="left"/>
        <w:outlineLvl w:val="4"/>
        <w:rPr>
          <w:rFonts w:ascii="宋体" w:hAnsi="宋体" w:eastAsia="宋体" w:cs="宋体"/>
          <w:b/>
          <w:bCs/>
          <w:kern w:val="0"/>
          <w:sz w:val="21"/>
          <w:szCs w:val="21"/>
        </w:rPr>
      </w:pPr>
      <w:bookmarkStart w:id="1135" w:name="_Toc532377336"/>
      <w:bookmarkEnd w:id="1135"/>
      <w:r>
        <w:rPr>
          <w:rFonts w:hint="eastAsia" w:ascii="宋体" w:hAnsi="宋体" w:eastAsia="宋体" w:cs="宋体"/>
          <w:b/>
          <w:bCs/>
          <w:kern w:val="0"/>
          <w:sz w:val="21"/>
          <w:szCs w:val="21"/>
        </w:rPr>
        <w:t>3.2 项目经理</w:t>
      </w:r>
    </w:p>
    <w:p w14:paraId="5A3041F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 xml:space="preserve">3.2.1 </w:t>
      </w:r>
      <w:r>
        <w:rPr>
          <w:rFonts w:hint="eastAsia" w:ascii="宋体" w:hAnsi="宋体" w:eastAsia="宋体" w:cs="Times New Roman"/>
          <w:sz w:val="21"/>
          <w:szCs w:val="21"/>
        </w:rPr>
        <w:t>项目经理：</w:t>
      </w:r>
    </w:p>
    <w:p w14:paraId="1705A3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6D9C1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C0DC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建造师执业资格等级：</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7D178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建造师注册证书号：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DF20F9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建造师执业印章号：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968E4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安全生产考核合格证书号：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15BA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798A8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承包人对项目经理的授权范围如下：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BD8B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关于项目经理每月在施工现场的时间要求：</w:t>
      </w:r>
      <w:r>
        <w:rPr>
          <w:rFonts w:hint="eastAsia" w:ascii="宋体" w:hAnsi="宋体" w:eastAsia="宋体" w:cs="Times New Roman"/>
          <w:sz w:val="21"/>
          <w:szCs w:val="21"/>
          <w:u w:val="single"/>
        </w:rPr>
        <w:t xml:space="preserve">    不少于22天，由监理人负责项目经理的考勤。承包人应在合同签订后7天内提交与项目经理签订的劳动合同及为项日经理缴纳社会保险的证明，承包人未在限期内提交的，项目经理无权履行职责，发包人有权要求更换项目经理  </w:t>
      </w:r>
      <w:r>
        <w:rPr>
          <w:rFonts w:hint="eastAsia" w:ascii="宋体" w:hAnsi="宋体" w:eastAsia="宋体" w:cs="Times New Roman"/>
          <w:sz w:val="21"/>
          <w:szCs w:val="21"/>
        </w:rPr>
        <w:t>。</w:t>
      </w:r>
    </w:p>
    <w:p w14:paraId="086C95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承包人未提交劳动合同，以及没有为项目经理缴纳社会保险证明的违约责任：</w:t>
      </w:r>
      <w:r>
        <w:rPr>
          <w:rFonts w:hint="eastAsia" w:ascii="宋体" w:hAnsi="宋体" w:eastAsia="宋体" w:cs="Times New Roman"/>
          <w:sz w:val="21"/>
          <w:szCs w:val="21"/>
          <w:u w:val="single"/>
        </w:rPr>
        <w:t xml:space="preserve"> 因此造成任何损失由承包人承担     </w:t>
      </w:r>
      <w:r>
        <w:rPr>
          <w:rFonts w:hint="eastAsia" w:ascii="宋体" w:hAnsi="宋体" w:eastAsia="宋体" w:cs="Times New Roman"/>
          <w:sz w:val="21"/>
          <w:szCs w:val="21"/>
        </w:rPr>
        <w:t>。</w:t>
      </w:r>
    </w:p>
    <w:p w14:paraId="7D618A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项目经理未经批准，擅自离开施工现场的违约责任：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bookmarkStart w:id="1136" w:name="_Hlk528927599"/>
      <w:bookmarkEnd w:id="1136"/>
    </w:p>
    <w:p w14:paraId="3AD0C7BC">
      <w:pPr>
        <w:spacing w:line="360" w:lineRule="auto"/>
        <w:jc w:val="left"/>
        <w:rPr>
          <w:rFonts w:ascii="宋体" w:hAnsi="宋体" w:eastAsia="宋体" w:cs="Times New Roman"/>
          <w:sz w:val="21"/>
          <w:szCs w:val="21"/>
        </w:rPr>
      </w:pPr>
      <w:bookmarkStart w:id="1137" w:name="_Hlk528927718"/>
      <w:bookmarkEnd w:id="1137"/>
      <w:r>
        <w:rPr>
          <w:rFonts w:hint="eastAsia" w:ascii="宋体" w:hAnsi="宋体" w:eastAsia="宋体" w:cs="Times New Roman"/>
          <w:sz w:val="21"/>
          <w:szCs w:val="21"/>
        </w:rPr>
        <w:t>3.2.3 承包人擅自更换项目经理的违约责任：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2FC220A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3.2.4 承包人无正当理由拒绝更换项目经理的违约责任：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4940C88F">
      <w:pPr>
        <w:widowControl/>
        <w:spacing w:line="360" w:lineRule="auto"/>
        <w:jc w:val="left"/>
        <w:outlineLvl w:val="4"/>
        <w:rPr>
          <w:rFonts w:ascii="宋体" w:hAnsi="宋体" w:eastAsia="宋体" w:cs="宋体"/>
          <w:b/>
          <w:bCs/>
          <w:kern w:val="0"/>
          <w:sz w:val="21"/>
          <w:szCs w:val="21"/>
        </w:rPr>
      </w:pPr>
      <w:bookmarkStart w:id="1138" w:name="_Toc532377337"/>
      <w:bookmarkEnd w:id="1138"/>
      <w:r>
        <w:rPr>
          <w:rFonts w:hint="eastAsia" w:ascii="宋体" w:hAnsi="宋体" w:eastAsia="宋体" w:cs="宋体"/>
          <w:b/>
          <w:bCs/>
          <w:kern w:val="0"/>
          <w:sz w:val="21"/>
          <w:szCs w:val="21"/>
        </w:rPr>
        <w:t>3.3 承包人人员</w:t>
      </w:r>
    </w:p>
    <w:p w14:paraId="25B138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3.3.1 承包人提交项目管理机构及施工现场管理人员安排报告的期限：</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E41708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3.3.3 承包人无正当理由拒绝撤换主要施工管理人员的违约责任：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25432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3.3.4 承包人主要施工管理人员离开施工现场的批准要求：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12E34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3.3.5承包人擅自更换主要施工管理人员的违约责任：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F260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承包人主要施工管理人员擅自离开施工现场的违约责任：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676D679">
      <w:pPr>
        <w:widowControl/>
        <w:spacing w:line="360" w:lineRule="auto"/>
        <w:jc w:val="left"/>
        <w:outlineLvl w:val="4"/>
        <w:rPr>
          <w:rFonts w:ascii="宋体" w:hAnsi="宋体" w:eastAsia="宋体" w:cs="宋体"/>
          <w:b/>
          <w:bCs/>
          <w:kern w:val="0"/>
          <w:sz w:val="21"/>
          <w:szCs w:val="21"/>
        </w:rPr>
      </w:pPr>
      <w:bookmarkStart w:id="1139" w:name="_Toc532377338"/>
      <w:bookmarkEnd w:id="1139"/>
      <w:r>
        <w:rPr>
          <w:rFonts w:hint="eastAsia" w:ascii="宋体" w:hAnsi="宋体" w:eastAsia="宋体" w:cs="宋体"/>
          <w:b/>
          <w:bCs/>
          <w:kern w:val="0"/>
          <w:sz w:val="21"/>
          <w:szCs w:val="21"/>
        </w:rPr>
        <w:t>3</w:t>
      </w:r>
      <w:bookmarkStart w:id="1140" w:name="_Toc297120459"/>
      <w:bookmarkEnd w:id="1140"/>
      <w:bookmarkStart w:id="1141" w:name="_Toc303539102"/>
      <w:bookmarkEnd w:id="1141"/>
      <w:bookmarkStart w:id="1142" w:name="_Toc312677988"/>
      <w:bookmarkEnd w:id="1142"/>
      <w:bookmarkStart w:id="1143" w:name="_Toc304295523"/>
      <w:bookmarkEnd w:id="1143"/>
      <w:bookmarkStart w:id="1144" w:name="_Toc297123492"/>
      <w:bookmarkEnd w:id="1144"/>
      <w:bookmarkStart w:id="1145" w:name="_Toc296503159"/>
      <w:bookmarkEnd w:id="1145"/>
      <w:bookmarkStart w:id="1146" w:name="_Toc296890987"/>
      <w:bookmarkEnd w:id="1146"/>
      <w:bookmarkStart w:id="1147" w:name="_Toc296891199"/>
      <w:bookmarkEnd w:id="1147"/>
      <w:bookmarkStart w:id="1148" w:name="_Toc297048345"/>
      <w:bookmarkEnd w:id="1148"/>
      <w:bookmarkStart w:id="1149" w:name="_Toc292559869"/>
      <w:bookmarkEnd w:id="1149"/>
      <w:bookmarkStart w:id="1150" w:name="_Toc296347158"/>
      <w:bookmarkEnd w:id="1150"/>
      <w:bookmarkStart w:id="1151" w:name="_Toc297216151"/>
      <w:bookmarkEnd w:id="1151"/>
      <w:bookmarkStart w:id="1152" w:name="_Toc300934945"/>
      <w:bookmarkEnd w:id="1152"/>
      <w:bookmarkStart w:id="1153" w:name="_Toc296944498"/>
      <w:bookmarkEnd w:id="1153"/>
      <w:bookmarkStart w:id="1154" w:name="_Toc296346660"/>
      <w:bookmarkEnd w:id="1154"/>
      <w:bookmarkStart w:id="1155" w:name="_Toc292559364"/>
      <w:r>
        <w:rPr>
          <w:rFonts w:hint="eastAsia" w:ascii="宋体" w:hAnsi="宋体" w:eastAsia="宋体" w:cs="宋体"/>
          <w:b/>
          <w:bCs/>
          <w:kern w:val="0"/>
          <w:sz w:val="21"/>
          <w:szCs w:val="21"/>
        </w:rPr>
        <w:t>.5 分包</w:t>
      </w:r>
      <w:bookmarkEnd w:id="1155"/>
    </w:p>
    <w:p w14:paraId="179A2C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3.5.1 分包的一般约定</w:t>
      </w:r>
    </w:p>
    <w:p w14:paraId="50F64C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禁止分包的工程包括：</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40E70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主体结构、关键性工作的范围：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BFD34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3.5.2分包的确定</w:t>
      </w:r>
    </w:p>
    <w:p w14:paraId="571F39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允许分包的专业工程包括：</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36DB1E6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其他关于分包的约定：</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0A0261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3.5.4 分包合同价款</w:t>
      </w:r>
    </w:p>
    <w:p w14:paraId="2B6758A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关于分包合同价款支付的约定：</w:t>
      </w:r>
      <w:r>
        <w:rPr>
          <w:rFonts w:hint="eastAsia" w:ascii="宋体" w:hAnsi="宋体" w:eastAsia="宋体" w:cs="宋体"/>
          <w:b/>
          <w:bCs/>
          <w:kern w:val="0"/>
          <w:sz w:val="21"/>
          <w:szCs w:val="21"/>
          <w:u w:val="single"/>
        </w:rPr>
        <w:t xml:space="preserve"> 分包合同价款由承包人与分包人结算，未经承包人同意，发包人不得向分包人支付分包工程价款；生效法律文书要求发包人向分包人支付分包合同价款的，发包人有权从应付承包人工程款中扣除该部分款项  </w:t>
      </w:r>
      <w:r>
        <w:rPr>
          <w:rFonts w:hint="eastAsia" w:ascii="宋体" w:hAnsi="宋体" w:eastAsia="宋体" w:cs="宋体"/>
          <w:b/>
          <w:bCs/>
          <w:kern w:val="0"/>
          <w:sz w:val="21"/>
          <w:szCs w:val="21"/>
        </w:rPr>
        <w:t>。</w:t>
      </w:r>
    </w:p>
    <w:p w14:paraId="5DDCA4E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3.6 工程照管与成品、半成品保护</w:t>
      </w:r>
    </w:p>
    <w:p w14:paraId="626137F9">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承包人负责照管工程及工程相关的材料、工程设备的起始时间：</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自发包人向承包人移交施工现场之日起，承包人应负责照管工程及工程相关的材料、工程设备，直到颁发工程接收证书之日止。</w:t>
      </w:r>
    </w:p>
    <w:p w14:paraId="0BF561A1">
      <w:pPr>
        <w:widowControl/>
        <w:spacing w:line="360" w:lineRule="auto"/>
        <w:jc w:val="left"/>
        <w:outlineLvl w:val="4"/>
        <w:rPr>
          <w:rFonts w:ascii="宋体" w:hAnsi="宋体" w:eastAsia="宋体" w:cs="宋体"/>
          <w:b/>
          <w:bCs/>
          <w:kern w:val="0"/>
          <w:sz w:val="21"/>
          <w:szCs w:val="21"/>
        </w:rPr>
      </w:pPr>
      <w:bookmarkStart w:id="1156" w:name="_Toc532377339"/>
      <w:bookmarkEnd w:id="1156"/>
      <w:r>
        <w:rPr>
          <w:rFonts w:hint="eastAsia" w:ascii="宋体" w:hAnsi="宋体" w:eastAsia="宋体" w:cs="宋体"/>
          <w:b/>
          <w:bCs/>
          <w:kern w:val="0"/>
          <w:sz w:val="21"/>
          <w:szCs w:val="21"/>
        </w:rPr>
        <w:t>3.7 履约担保</w:t>
      </w:r>
    </w:p>
    <w:p w14:paraId="5FCE4972">
      <w:pPr>
        <w:autoSpaceDE w:val="0"/>
        <w:spacing w:line="360" w:lineRule="auto"/>
        <w:jc w:val="left"/>
        <w:rPr>
          <w:rFonts w:ascii="宋体" w:hAnsi="宋体" w:eastAsia="宋体" w:cs="Times New Roman"/>
          <w:sz w:val="21"/>
          <w:szCs w:val="21"/>
        </w:rPr>
      </w:pPr>
      <w:bookmarkStart w:id="1157" w:name="_Toc532377340"/>
      <w:bookmarkEnd w:id="1157"/>
      <w:bookmarkStart w:id="1158" w:name="_Toc351203636"/>
      <w:bookmarkEnd w:id="1158"/>
      <w:bookmarkStart w:id="1159" w:name="_Toc532375611"/>
      <w:r>
        <w:rPr>
          <w:rFonts w:hint="eastAsia" w:ascii="宋体" w:hAnsi="宋体" w:eastAsia="宋体" w:cs="Times New Roman"/>
          <w:sz w:val="21"/>
          <w:szCs w:val="21"/>
        </w:rPr>
        <w:t>承包人是否提供履约担保：</w:t>
      </w:r>
      <w:bookmarkEnd w:id="1159"/>
      <w:r>
        <w:rPr>
          <w:rFonts w:hint="eastAsia" w:ascii="宋体" w:hAnsi="宋体" w:eastAsia="宋体" w:cs="Times New Roman"/>
          <w:sz w:val="21"/>
          <w:szCs w:val="21"/>
          <w:u w:val="single"/>
        </w:rPr>
        <w:t xml:space="preserve">  提供      </w:t>
      </w:r>
      <w:r>
        <w:rPr>
          <w:rFonts w:hint="eastAsia" w:ascii="宋体" w:hAnsi="宋体" w:eastAsia="宋体" w:cs="Times New Roman"/>
          <w:sz w:val="21"/>
          <w:szCs w:val="21"/>
        </w:rPr>
        <w:t>。</w:t>
      </w:r>
    </w:p>
    <w:p w14:paraId="5D3A271A">
      <w:pPr>
        <w:snapToGrid w:val="0"/>
        <w:spacing w:line="400" w:lineRule="exact"/>
        <w:rPr>
          <w:rFonts w:ascii="宋体" w:hAnsi="宋体" w:eastAsia="宋体" w:cs="Times New Roman"/>
          <w:sz w:val="21"/>
          <w:szCs w:val="21"/>
          <w:u w:val="single"/>
        </w:rPr>
      </w:pPr>
      <w:r>
        <w:rPr>
          <w:rFonts w:hint="eastAsia" w:ascii="宋体" w:hAnsi="宋体" w:eastAsia="宋体" w:cs="Times New Roman"/>
          <w:sz w:val="21"/>
          <w:szCs w:val="21"/>
        </w:rPr>
        <w:t>承包人提供履约担保的形式、金额及期限的：</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（1）履约担保的形式：现金或现金+履约保函的组合（采用现金+履约保函的组合提交的，现金比例不低于应缴纳金额的 50%），履约保函范文本详见第四章合同条款及格式附件。中标人提交的履约保函应严格执行其示范文本，不得对示范文本中的实质性内容进行修改</w:t>
      </w:r>
      <w:r>
        <w:rPr>
          <w:rFonts w:hint="eastAsia" w:ascii="宋体" w:hAnsi="宋体" w:eastAsia="宋体" w:cs="Times New Roman"/>
          <w:sz w:val="21"/>
          <w:szCs w:val="21"/>
          <w:u w:val="single"/>
        </w:rPr>
        <w:t>。</w:t>
      </w:r>
      <w:r>
        <w:rPr>
          <w:rFonts w:hint="eastAsia" w:ascii="宋体" w:hAnsi="宋体" w:eastAsia="宋体" w:cs="Times New Roman"/>
          <w:sz w:val="21"/>
          <w:szCs w:val="21"/>
        </w:rPr>
        <w:t>保函须不可撤销且见索即付。</w:t>
      </w:r>
    </w:p>
    <w:p w14:paraId="0BE77B1B">
      <w:pPr>
        <w:spacing w:line="400" w:lineRule="exact"/>
        <w:rPr>
          <w:rFonts w:ascii="宋体" w:hAnsi="宋体" w:eastAsia="宋体" w:cs="Times New Roman"/>
          <w:kern w:val="0"/>
          <w:sz w:val="21"/>
          <w:szCs w:val="21"/>
          <w:u w:val="single"/>
        </w:rPr>
      </w:pPr>
      <w:r>
        <w:rPr>
          <w:rFonts w:hint="eastAsia" w:ascii="宋体" w:hAnsi="宋体" w:eastAsia="宋体" w:cs="Times New Roman"/>
          <w:sz w:val="21"/>
          <w:szCs w:val="21"/>
        </w:rPr>
        <w:t>注:根据《关于印发重庆市融资担保公司监管评级及分类监管办法的通知》(渝金发(2021)5号)文件，担保公司须在《重庆市地方金融监督管理局关于开展2023年度监管评级有关工作的通知》《重庆市地方金融监督管理局关于开展2024年度监管评级有关工作的通知》中监管评级等级在B级及以上。</w:t>
      </w:r>
    </w:p>
    <w:p w14:paraId="57D9E000">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中标人应提供该纸质保函在重庆市辖区范围内的核验地址和核验方式，并确保该纸质保函能在开立人在渝的总部或者分支机构进行核验。中标人对所提交的履约保函的真实性、合法性、有效性负责。</w:t>
      </w:r>
    </w:p>
    <w:p w14:paraId="3D91EB49">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（3）履约担保的金额： 中标合同金额的 10%（不包含农民工工资保证金） 。</w:t>
      </w:r>
    </w:p>
    <w:p w14:paraId="59330EA0">
      <w:pPr>
        <w:widowControl/>
        <w:spacing w:line="460" w:lineRule="exact"/>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（4）履约担保的提交时间：中选承包商领取中选通知书之日起10个工作日内，并作为签订施工合同的必备条件。</w:t>
      </w:r>
    </w:p>
    <w:p w14:paraId="2DE64878">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（5）履约担保的期限：自我方法定代表人（或其委托代理人）签名并加盖公章之日起至你方签发或应签发工程接收证书之日止自提交履约担保之日起至交（竣）工验收合格之日止</w:t>
      </w:r>
      <w:r>
        <w:rPr>
          <w:rFonts w:hint="eastAsia" w:ascii="宋体" w:hAnsi="宋体" w:eastAsia="宋体" w:cs="Times New Roman"/>
          <w:kern w:val="0"/>
          <w:sz w:val="21"/>
          <w:szCs w:val="21"/>
        </w:rPr>
        <w:t>。</w:t>
      </w:r>
    </w:p>
    <w:p w14:paraId="523DE973">
      <w:pPr>
        <w:spacing w:before="100" w:beforeAutospacing="1"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u w:val="single"/>
        </w:rPr>
        <w:t>（6）履约担保的退还时间：采用现金担保的，工程竣工验收合格后14天内退还；采用银行保函的，工程竣工验收合格后14天内退还。</w:t>
      </w:r>
    </w:p>
    <w:p w14:paraId="35D1735D">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4</w:t>
      </w:r>
      <w:bookmarkStart w:id="1160" w:name="_Toc297048348"/>
      <w:bookmarkEnd w:id="1160"/>
      <w:bookmarkStart w:id="1161" w:name="_Toc296890990"/>
      <w:bookmarkEnd w:id="1161"/>
      <w:bookmarkStart w:id="1162" w:name="_Toc292559871"/>
      <w:bookmarkEnd w:id="1162"/>
      <w:bookmarkStart w:id="1163" w:name="_Toc297120462"/>
      <w:bookmarkEnd w:id="1163"/>
      <w:bookmarkStart w:id="1164" w:name="_Toc296346663"/>
      <w:bookmarkEnd w:id="1164"/>
      <w:bookmarkStart w:id="1165" w:name="_Toc296503162"/>
      <w:bookmarkEnd w:id="1165"/>
      <w:bookmarkStart w:id="1166" w:name="_Toc296944501"/>
      <w:bookmarkEnd w:id="1166"/>
      <w:bookmarkStart w:id="1167" w:name="_Toc267251413"/>
      <w:bookmarkEnd w:id="1167"/>
      <w:bookmarkStart w:id="1168" w:name="_Toc296891202"/>
      <w:bookmarkEnd w:id="1168"/>
      <w:bookmarkStart w:id="1169" w:name="_Toc296347161"/>
      <w:bookmarkEnd w:id="1169"/>
      <w:bookmarkStart w:id="1170" w:name="_Toc292559366"/>
      <w:r>
        <w:rPr>
          <w:rFonts w:hint="eastAsia" w:ascii="宋体" w:hAnsi="宋体" w:eastAsia="宋体" w:cs="宋体"/>
          <w:b/>
          <w:bCs/>
          <w:sz w:val="21"/>
          <w:szCs w:val="21"/>
        </w:rPr>
        <w:t>. 监</w:t>
      </w:r>
      <w:bookmarkEnd w:id="1170"/>
      <w:r>
        <w:rPr>
          <w:rFonts w:hint="eastAsia" w:ascii="宋体" w:hAnsi="宋体" w:eastAsia="宋体" w:cs="宋体"/>
          <w:b/>
          <w:bCs/>
          <w:sz w:val="21"/>
          <w:szCs w:val="21"/>
        </w:rPr>
        <w:t>理人</w:t>
      </w:r>
    </w:p>
    <w:p w14:paraId="6B52AFDA">
      <w:pPr>
        <w:widowControl/>
        <w:spacing w:line="360" w:lineRule="auto"/>
        <w:jc w:val="left"/>
        <w:outlineLvl w:val="4"/>
        <w:rPr>
          <w:rFonts w:ascii="宋体" w:hAnsi="宋体" w:eastAsia="宋体" w:cs="宋体"/>
          <w:b/>
          <w:bCs/>
          <w:kern w:val="0"/>
          <w:sz w:val="21"/>
          <w:szCs w:val="21"/>
        </w:rPr>
      </w:pPr>
      <w:bookmarkStart w:id="1171" w:name="_Toc532377341"/>
      <w:bookmarkEnd w:id="1171"/>
      <w:r>
        <w:rPr>
          <w:rFonts w:hint="eastAsia" w:ascii="宋体" w:hAnsi="宋体" w:eastAsia="宋体" w:cs="宋体"/>
          <w:b/>
          <w:bCs/>
          <w:kern w:val="0"/>
          <w:sz w:val="21"/>
          <w:szCs w:val="21"/>
        </w:rPr>
        <w:t>4.1 监理人的一般规定</w:t>
      </w:r>
    </w:p>
    <w:p w14:paraId="19240766">
      <w:pPr>
        <w:spacing w:line="360" w:lineRule="auto"/>
        <w:jc w:val="left"/>
        <w:rPr>
          <w:rFonts w:ascii="宋体" w:hAnsi="宋体" w:eastAsia="宋体" w:cs="Times New Roman"/>
          <w:sz w:val="21"/>
          <w:szCs w:val="21"/>
        </w:rPr>
      </w:pPr>
      <w:bookmarkStart w:id="1172" w:name="_Toc532377342"/>
      <w:bookmarkEnd w:id="1172"/>
      <w:r>
        <w:rPr>
          <w:rFonts w:hint="eastAsia" w:ascii="宋体" w:hAnsi="宋体" w:eastAsia="宋体" w:cs="Times New Roman"/>
          <w:sz w:val="21"/>
          <w:szCs w:val="21"/>
        </w:rPr>
        <w:t>关于监理人的监理内容：</w:t>
      </w:r>
      <w:r>
        <w:rPr>
          <w:rFonts w:hint="eastAsia" w:ascii="宋体" w:hAnsi="宋体" w:eastAsia="宋体" w:cs="Times New Roman"/>
          <w:sz w:val="21"/>
          <w:szCs w:val="21"/>
          <w:u w:val="single"/>
        </w:rPr>
        <w:t>见发包人与监理人就本工程签订的监理合同</w:t>
      </w:r>
      <w:r>
        <w:rPr>
          <w:rFonts w:hint="eastAsia" w:ascii="宋体" w:hAnsi="宋体" w:eastAsia="宋体" w:cs="Times New Roman"/>
          <w:sz w:val="21"/>
          <w:szCs w:val="21"/>
        </w:rPr>
        <w:t>。</w:t>
      </w:r>
    </w:p>
    <w:p w14:paraId="4EC32C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关于监理人的监理权限：</w:t>
      </w:r>
      <w:r>
        <w:rPr>
          <w:rFonts w:hint="eastAsia" w:ascii="宋体" w:hAnsi="宋体" w:eastAsia="宋体" w:cs="Times New Roman"/>
          <w:sz w:val="21"/>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eastAsia="宋体" w:cs="Times New Roman"/>
          <w:sz w:val="21"/>
          <w:szCs w:val="21"/>
        </w:rPr>
        <w:t>。</w:t>
      </w:r>
    </w:p>
    <w:p w14:paraId="30EA35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关于监理人在施工现场的办公场所、生活场所的提供和费用承担的约定：</w:t>
      </w:r>
      <w:r>
        <w:rPr>
          <w:rFonts w:hint="eastAsia" w:ascii="宋体" w:hAnsi="宋体" w:eastAsia="宋体" w:cs="Times New Roman"/>
          <w:sz w:val="21"/>
          <w:szCs w:val="21"/>
          <w:u w:val="single"/>
        </w:rPr>
        <w:t xml:space="preserve">  见发包人与监理人就本工程签订的监理合同</w:t>
      </w:r>
      <w:r>
        <w:rPr>
          <w:rFonts w:hint="eastAsia" w:ascii="宋体" w:hAnsi="宋体" w:eastAsia="宋体" w:cs="Times New Roman"/>
          <w:sz w:val="21"/>
          <w:szCs w:val="21"/>
        </w:rPr>
        <w:t>。</w:t>
      </w:r>
    </w:p>
    <w:p w14:paraId="16A600D9">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4.2 监理人员</w:t>
      </w:r>
    </w:p>
    <w:p w14:paraId="3E223A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总监理工程师：</w:t>
      </w:r>
    </w:p>
    <w:p w14:paraId="34FE28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86E663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C5FA2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监理工程师执业资格证书号：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B4A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8B1CD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关于监理人的其他约定：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02CF3A">
      <w:pPr>
        <w:keepNext/>
        <w:keepLines/>
        <w:spacing w:line="360" w:lineRule="auto"/>
        <w:outlineLvl w:val="3"/>
        <w:rPr>
          <w:rFonts w:ascii="宋体" w:hAnsi="宋体" w:eastAsia="宋体" w:cs="宋体"/>
          <w:b/>
          <w:sz w:val="21"/>
          <w:szCs w:val="21"/>
        </w:rPr>
      </w:pPr>
      <w:bookmarkStart w:id="1173" w:name="_Toc351203637"/>
      <w:bookmarkEnd w:id="1173"/>
      <w:bookmarkStart w:id="1174" w:name="_Toc532377344"/>
      <w:bookmarkEnd w:id="1174"/>
      <w:bookmarkStart w:id="1175" w:name="_Toc532375612"/>
      <w:bookmarkEnd w:id="1175"/>
      <w:bookmarkStart w:id="1176" w:name="_Toc267251418"/>
      <w:r>
        <w:rPr>
          <w:rFonts w:hint="eastAsia" w:ascii="宋体" w:hAnsi="宋体" w:eastAsia="宋体" w:cs="宋体"/>
          <w:b/>
          <w:bCs/>
          <w:sz w:val="21"/>
          <w:szCs w:val="21"/>
        </w:rPr>
        <w:t>5</w:t>
      </w:r>
      <w:bookmarkEnd w:id="1176"/>
      <w:bookmarkStart w:id="1177" w:name="_Toc296503163"/>
      <w:bookmarkEnd w:id="1177"/>
      <w:bookmarkStart w:id="1178" w:name="_Toc292559872"/>
      <w:bookmarkEnd w:id="1178"/>
      <w:bookmarkStart w:id="1179" w:name="_Toc292559367"/>
      <w:bookmarkEnd w:id="1179"/>
      <w:bookmarkStart w:id="1180" w:name="_Toc297120463"/>
      <w:bookmarkEnd w:id="1180"/>
      <w:bookmarkStart w:id="1181" w:name="_Toc296944502"/>
      <w:bookmarkEnd w:id="1181"/>
      <w:bookmarkStart w:id="1182" w:name="_Toc296891203"/>
      <w:bookmarkEnd w:id="1182"/>
      <w:bookmarkStart w:id="1183" w:name="_Toc296890991"/>
      <w:bookmarkEnd w:id="1183"/>
      <w:bookmarkStart w:id="1184" w:name="_Toc297048349"/>
      <w:bookmarkEnd w:id="1184"/>
      <w:bookmarkStart w:id="1185" w:name="_Toc296346664"/>
      <w:bookmarkEnd w:id="1185"/>
      <w:bookmarkStart w:id="1186" w:name="_Toc296347162"/>
      <w:r>
        <w:rPr>
          <w:rFonts w:hint="eastAsia" w:ascii="宋体" w:hAnsi="宋体" w:eastAsia="宋体" w:cs="宋体"/>
          <w:b/>
          <w:bCs/>
          <w:sz w:val="21"/>
          <w:szCs w:val="21"/>
        </w:rPr>
        <w:t>. 工程质量</w:t>
      </w:r>
      <w:bookmarkEnd w:id="1186"/>
    </w:p>
    <w:p w14:paraId="0AD67033">
      <w:pPr>
        <w:widowControl/>
        <w:spacing w:line="360" w:lineRule="auto"/>
        <w:jc w:val="left"/>
        <w:outlineLvl w:val="4"/>
        <w:rPr>
          <w:rFonts w:ascii="宋体" w:hAnsi="宋体" w:eastAsia="宋体" w:cs="宋体"/>
          <w:b/>
          <w:bCs/>
          <w:kern w:val="0"/>
          <w:sz w:val="21"/>
          <w:szCs w:val="21"/>
        </w:rPr>
      </w:pPr>
      <w:bookmarkStart w:id="1187" w:name="_Toc532377345"/>
      <w:bookmarkEnd w:id="1187"/>
      <w:r>
        <w:rPr>
          <w:rFonts w:hint="eastAsia" w:ascii="宋体" w:hAnsi="宋体" w:eastAsia="宋体" w:cs="宋体"/>
          <w:b/>
          <w:bCs/>
          <w:kern w:val="0"/>
          <w:sz w:val="21"/>
          <w:szCs w:val="21"/>
        </w:rPr>
        <w:t>5.1 质量要求</w:t>
      </w:r>
      <w:bookmarkStart w:id="1188" w:name="_Toc318581164"/>
      <w:bookmarkEnd w:id="1188"/>
      <w:bookmarkStart w:id="1189" w:name="_Toc297216155"/>
      <w:bookmarkEnd w:id="1189"/>
      <w:bookmarkStart w:id="1190" w:name="_Toc303539106"/>
      <w:bookmarkEnd w:id="1190"/>
      <w:bookmarkStart w:id="1191" w:name="_Toc297123496"/>
      <w:bookmarkEnd w:id="1191"/>
      <w:bookmarkStart w:id="1192" w:name="_Toc304295527"/>
      <w:bookmarkEnd w:id="1192"/>
      <w:bookmarkStart w:id="1193" w:name="_Hlk528909888"/>
      <w:bookmarkEnd w:id="1193"/>
      <w:bookmarkStart w:id="1194" w:name="_Toc312677997"/>
      <w:bookmarkEnd w:id="1194"/>
      <w:bookmarkStart w:id="1195" w:name="_Toc300934949"/>
      <w:bookmarkEnd w:id="1195"/>
    </w:p>
    <w:p w14:paraId="23C4AB9D">
      <w:pPr>
        <w:spacing w:line="360" w:lineRule="auto"/>
        <w:jc w:val="left"/>
        <w:rPr>
          <w:rFonts w:ascii="宋体" w:hAnsi="宋体" w:eastAsia="宋体" w:cs="Times New Roman"/>
          <w:sz w:val="21"/>
          <w:szCs w:val="21"/>
        </w:rPr>
      </w:pPr>
      <w:bookmarkStart w:id="1196" w:name="_Hlk528927873"/>
      <w:bookmarkEnd w:id="1196"/>
      <w:bookmarkStart w:id="1197" w:name="_Toc351203536"/>
      <w:bookmarkEnd w:id="1197"/>
      <w:bookmarkStart w:id="1198" w:name="_Toc532377347"/>
      <w:r>
        <w:rPr>
          <w:rFonts w:hint="eastAsia" w:ascii="宋体" w:hAnsi="宋体" w:eastAsia="宋体" w:cs="Times New Roman"/>
          <w:sz w:val="21"/>
          <w:szCs w:val="21"/>
        </w:rPr>
        <w:t>工程质量符合强制性质量标准，</w:t>
      </w:r>
      <w:bookmarkEnd w:id="1198"/>
      <w:r>
        <w:rPr>
          <w:rFonts w:hint="eastAsia" w:ascii="宋体" w:hAnsi="宋体" w:eastAsia="宋体" w:cs="Times New Roman"/>
          <w:sz w:val="21"/>
          <w:szCs w:val="21"/>
          <w:u w:val="single"/>
        </w:rPr>
        <w:t>符合国家和重庆市现行有关施工质量验收规范要求，并达到合格标准</w:t>
      </w:r>
      <w:r>
        <w:rPr>
          <w:rFonts w:hint="eastAsia" w:ascii="宋体" w:hAnsi="宋体" w:eastAsia="宋体" w:cs="Times New Roman"/>
          <w:sz w:val="21"/>
          <w:szCs w:val="21"/>
        </w:rPr>
        <w:t>。</w:t>
      </w:r>
    </w:p>
    <w:p w14:paraId="53D4A946">
      <w:pPr>
        <w:widowControl/>
        <w:spacing w:before="100" w:beforeAutospacing="1" w:after="100" w:afterAutospacing="1"/>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5.2质量缺陷及质量事故处理的约定：</w:t>
      </w:r>
    </w:p>
    <w:p w14:paraId="3707CD1D">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 </w:t>
      </w:r>
      <w:r>
        <w:rPr>
          <w:rFonts w:hint="eastAsia" w:ascii="宋体" w:hAnsi="宋体" w:eastAsia="宋体" w:cs="Times New Roman"/>
          <w:kern w:val="0"/>
          <w:sz w:val="21"/>
          <w:szCs w:val="21"/>
        </w:rPr>
        <w:t>（1）合同履行过程中，发生工程质量事故的调查处理按照国家及重庆市现行规定处理。</w:t>
      </w:r>
    </w:p>
    <w:p w14:paraId="0A57D8B3">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2）发包人在对工程质量（含材料、设备等）、安全和环境保护、水土保持等建设全过程管理中发现有技术、质量和其他问题的，可通过监理人责令承包人返工或整改，费用和工期损失由承包人承担；对存在的隐患，有权责令承包人予以解决，承包人按照合同中其他条款约定承担违约责任。</w:t>
      </w:r>
    </w:p>
    <w:p w14:paraId="652F3255">
      <w:pPr>
        <w:adjustRightInd w:val="0"/>
        <w:snapToGrid w:val="0"/>
        <w:spacing w:line="360" w:lineRule="auto"/>
        <w:rPr>
          <w:rFonts w:ascii="Times New Roman" w:hAnsi="Times New Roman" w:eastAsia="宋体" w:cs="Times New Roman"/>
          <w:sz w:val="21"/>
          <w:szCs w:val="21"/>
        </w:rPr>
      </w:pPr>
      <w:r>
        <w:rPr>
          <w:rFonts w:hint="eastAsia" w:ascii="宋体" w:hAnsi="宋体" w:eastAsia="宋体" w:cs="Times New Roman"/>
          <w:kern w:val="0"/>
          <w:sz w:val="21"/>
          <w:szCs w:val="21"/>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477F78C">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5.3隐蔽工程检查</w:t>
      </w:r>
    </w:p>
    <w:p w14:paraId="654EF9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5.3.2承包人提前通知监理人隐蔽工程检查的期限的约定：</w:t>
      </w:r>
      <w:r>
        <w:rPr>
          <w:rFonts w:hint="eastAsia" w:ascii="宋体" w:hAnsi="宋体" w:eastAsia="宋体" w:cs="Times New Roman"/>
          <w:sz w:val="21"/>
          <w:szCs w:val="21"/>
          <w:u w:val="single"/>
        </w:rPr>
        <w:t xml:space="preserve">   12小时内   </w:t>
      </w:r>
      <w:r>
        <w:rPr>
          <w:rFonts w:hint="eastAsia" w:ascii="宋体" w:hAnsi="宋体" w:eastAsia="宋体" w:cs="Times New Roman"/>
          <w:sz w:val="21"/>
          <w:szCs w:val="21"/>
        </w:rPr>
        <w:t>。</w:t>
      </w:r>
    </w:p>
    <w:p w14:paraId="0368D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监理人不能按时进行检查时，应提前</w:t>
      </w:r>
      <w:r>
        <w:rPr>
          <w:rFonts w:hint="eastAsia" w:ascii="宋体" w:hAnsi="宋体" w:eastAsia="宋体" w:cs="Times New Roman"/>
          <w:sz w:val="21"/>
          <w:szCs w:val="21"/>
          <w:u w:val="single"/>
        </w:rPr>
        <w:t xml:space="preserve">  12  </w:t>
      </w:r>
      <w:r>
        <w:rPr>
          <w:rFonts w:hint="eastAsia" w:ascii="宋体" w:hAnsi="宋体" w:eastAsia="宋体" w:cs="Times New Roman"/>
          <w:sz w:val="21"/>
          <w:szCs w:val="21"/>
        </w:rPr>
        <w:t>小时提交书面延期要求。</w:t>
      </w:r>
    </w:p>
    <w:p w14:paraId="00F663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小时。</w:t>
      </w:r>
    </w:p>
    <w:p w14:paraId="2625D726">
      <w:pPr>
        <w:keepNext/>
        <w:keepLines/>
        <w:spacing w:line="360" w:lineRule="auto"/>
        <w:outlineLvl w:val="3"/>
        <w:rPr>
          <w:rFonts w:ascii="宋体" w:hAnsi="宋体" w:eastAsia="宋体" w:cs="宋体"/>
          <w:b/>
          <w:sz w:val="21"/>
          <w:szCs w:val="21"/>
        </w:rPr>
      </w:pPr>
      <w:bookmarkStart w:id="1199" w:name="_Toc296347172"/>
      <w:bookmarkEnd w:id="1199"/>
      <w:bookmarkStart w:id="1200" w:name="_Toc296891213"/>
      <w:bookmarkEnd w:id="1200"/>
      <w:bookmarkStart w:id="1201" w:name="_Toc296346674"/>
      <w:bookmarkEnd w:id="1201"/>
      <w:bookmarkStart w:id="1202" w:name="_Toc297120473"/>
      <w:bookmarkEnd w:id="1202"/>
      <w:bookmarkStart w:id="1203" w:name="_Toc296503173"/>
      <w:bookmarkEnd w:id="1203"/>
      <w:bookmarkStart w:id="1204" w:name="_Toc267251427"/>
      <w:bookmarkEnd w:id="1204"/>
      <w:bookmarkStart w:id="1205" w:name="_Toc267251428"/>
      <w:bookmarkEnd w:id="1205"/>
      <w:bookmarkStart w:id="1206" w:name="_Toc296944512"/>
      <w:bookmarkEnd w:id="1206"/>
      <w:bookmarkStart w:id="1207" w:name="_Toc351203642"/>
      <w:bookmarkEnd w:id="1207"/>
      <w:bookmarkStart w:id="1208" w:name="_Toc532375613"/>
      <w:bookmarkEnd w:id="1208"/>
      <w:bookmarkStart w:id="1209" w:name="_Toc292559883"/>
      <w:bookmarkEnd w:id="1209"/>
      <w:bookmarkStart w:id="1210" w:name="_Toc297048359"/>
      <w:bookmarkEnd w:id="1210"/>
      <w:bookmarkStart w:id="1211" w:name="_Toc296891001"/>
      <w:bookmarkEnd w:id="1211"/>
      <w:bookmarkStart w:id="1212" w:name="_Toc532377349"/>
      <w:bookmarkEnd w:id="1212"/>
      <w:bookmarkStart w:id="1213" w:name="_Toc292559378"/>
      <w:bookmarkEnd w:id="1213"/>
      <w:bookmarkStart w:id="1214" w:name="_Toc351203638"/>
      <w:bookmarkEnd w:id="1214"/>
      <w:r>
        <w:rPr>
          <w:rFonts w:hint="eastAsia" w:ascii="宋体" w:hAnsi="宋体" w:eastAsia="宋体" w:cs="宋体"/>
          <w:b/>
          <w:bCs/>
          <w:sz w:val="21"/>
          <w:szCs w:val="21"/>
        </w:rPr>
        <w:t>6. 安全文明施工与环境保护</w:t>
      </w:r>
    </w:p>
    <w:p w14:paraId="01268B17">
      <w:pPr>
        <w:widowControl/>
        <w:spacing w:line="360" w:lineRule="auto"/>
        <w:jc w:val="left"/>
        <w:outlineLvl w:val="4"/>
        <w:rPr>
          <w:rFonts w:ascii="宋体" w:hAnsi="宋体" w:eastAsia="宋体" w:cs="宋体"/>
          <w:b/>
          <w:bCs/>
          <w:kern w:val="0"/>
          <w:sz w:val="21"/>
          <w:szCs w:val="21"/>
        </w:rPr>
      </w:pPr>
      <w:bookmarkStart w:id="1215" w:name="_Toc532375614"/>
      <w:bookmarkEnd w:id="1215"/>
      <w:bookmarkStart w:id="1216" w:name="_Toc532377350"/>
      <w:r>
        <w:rPr>
          <w:rFonts w:hint="eastAsia" w:ascii="宋体" w:hAnsi="宋体" w:eastAsia="宋体" w:cs="宋体"/>
          <w:b/>
          <w:bCs/>
          <w:kern w:val="0"/>
          <w:sz w:val="21"/>
          <w:szCs w:val="21"/>
        </w:rPr>
        <w:t>6.1 安全文明施工</w:t>
      </w:r>
      <w:bookmarkEnd w:id="1216"/>
    </w:p>
    <w:p w14:paraId="3479659D">
      <w:pPr>
        <w:spacing w:line="360" w:lineRule="auto"/>
        <w:jc w:val="left"/>
        <w:rPr>
          <w:rFonts w:ascii="宋体" w:hAnsi="宋体" w:eastAsia="宋体" w:cs="Times New Roman"/>
          <w:sz w:val="21"/>
          <w:szCs w:val="21"/>
          <w:u w:val="single"/>
        </w:rPr>
      </w:pPr>
      <w:bookmarkStart w:id="1217" w:name="_Toc351203639"/>
      <w:bookmarkEnd w:id="1217"/>
      <w:bookmarkStart w:id="1218" w:name="_Toc532377352"/>
      <w:bookmarkEnd w:id="1218"/>
      <w:bookmarkStart w:id="1219" w:name="_Toc532375616"/>
      <w:r>
        <w:rPr>
          <w:rFonts w:hint="eastAsia" w:ascii="宋体" w:hAnsi="宋体" w:eastAsia="宋体" w:cs="Times New Roman"/>
          <w:sz w:val="21"/>
          <w:szCs w:val="21"/>
        </w:rPr>
        <w:t>6.1.1 项目安全生产的达标目标及相应事项的约定：</w:t>
      </w:r>
      <w:bookmarkEnd w:id="1219"/>
      <w:r>
        <w:rPr>
          <w:rFonts w:hint="eastAsia" w:ascii="宋体" w:hAnsi="宋体" w:eastAsia="宋体" w:cs="Times New Roman"/>
          <w:sz w:val="21"/>
          <w:szCs w:val="21"/>
          <w:u w:val="single"/>
        </w:rPr>
        <w:t>达到《建筑施工安全检查标准》(JGJ59-2011)的要求。</w:t>
      </w:r>
    </w:p>
    <w:p w14:paraId="7EC3BE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(1)按现行安全文明施工费计取及使用管理的政策文件规定及发包人制订的安全管理制度执行。</w:t>
      </w:r>
    </w:p>
    <w:p w14:paraId="4ACEDBB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(2)承包人的原因造成事故，由此产生的法律责任和事故责任及费用由承包人全部承担。</w:t>
      </w:r>
    </w:p>
    <w:p w14:paraId="3E94FDE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(3)承包人向发包人做出安全承诺，并签订《安全生产目标责任书》和《安全承诺书》。</w:t>
      </w:r>
    </w:p>
    <w:p w14:paraId="1318333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(4)承包人在施工过程中，必须严格执行安全生产法的相关规定，制定切实可靠的安全技术措施。</w:t>
      </w:r>
    </w:p>
    <w:p w14:paraId="4ED5CFBB">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(5)接受发包人安全监督和管理，在施工中违反安全管理规定和操作规程、违章作业的，承担违约责任。</w:t>
      </w:r>
    </w:p>
    <w:p w14:paraId="78863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6.1.4 关于治安保卫的特别约定：</w:t>
      </w:r>
      <w:r>
        <w:rPr>
          <w:rFonts w:hint="eastAsia" w:ascii="宋体" w:hAnsi="宋体" w:eastAsia="宋体" w:cs="Times New Roman"/>
          <w:sz w:val="21"/>
          <w:szCs w:val="21"/>
          <w:u w:val="single"/>
        </w:rPr>
        <w:t>承包人负责组建施工现场治安管理机构或联防组织；承包人负责编制施工场地治安管理计划和突发治安事件紧急预案。</w:t>
      </w:r>
    </w:p>
    <w:p w14:paraId="700A6B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关于编制施工场地治安管理计划的约定：</w:t>
      </w:r>
      <w:r>
        <w:rPr>
          <w:rFonts w:hint="eastAsia" w:ascii="宋体" w:hAnsi="宋体" w:eastAsia="宋体" w:cs="Times New Roman"/>
          <w:sz w:val="21"/>
          <w:szCs w:val="21"/>
          <w:u w:val="single"/>
        </w:rPr>
        <w:t xml:space="preserve">由承包人负责 </w:t>
      </w:r>
      <w:r>
        <w:rPr>
          <w:rFonts w:hint="eastAsia" w:ascii="宋体" w:hAnsi="宋体" w:eastAsia="宋体" w:cs="Times New Roman"/>
          <w:sz w:val="21"/>
          <w:szCs w:val="21"/>
        </w:rPr>
        <w:t>。</w:t>
      </w:r>
    </w:p>
    <w:p w14:paraId="6AF0C1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6.1.5 文明施工</w:t>
      </w:r>
    </w:p>
    <w:p w14:paraId="5103C06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合同当事人对文明施工的要求：</w:t>
      </w:r>
      <w:r>
        <w:rPr>
          <w:rFonts w:hint="eastAsia" w:ascii="宋体" w:hAnsi="宋体" w:eastAsia="宋体" w:cs="Times New Roman"/>
          <w:sz w:val="21"/>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eastAsia="宋体" w:cs="Times New Roman"/>
          <w:sz w:val="21"/>
          <w:szCs w:val="21"/>
        </w:rPr>
        <w:t>。</w:t>
      </w:r>
    </w:p>
    <w:p w14:paraId="35642F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eastAsia="宋体" w:cs="Times New Roman"/>
          <w:sz w:val="21"/>
          <w:szCs w:val="21"/>
        </w:rPr>
        <w:t>。</w:t>
      </w:r>
    </w:p>
    <w:p w14:paraId="407F6E4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6.1.6 关于安全文明施工费支付比例和支付期限的约定：按照行业主管部门相关规定执行。</w:t>
      </w:r>
    </w:p>
    <w:p w14:paraId="5FC7AE4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安全文明施工费的要求与内容、提取支付方法以及违反约定造成损失的赔偿等条款，按照现行规范要求执行，做到专款专用</w:t>
      </w:r>
      <w:r>
        <w:rPr>
          <w:rFonts w:hint="eastAsia" w:ascii="宋体" w:hAnsi="宋体" w:eastAsia="宋体" w:cs="Times New Roman"/>
          <w:sz w:val="21"/>
          <w:szCs w:val="21"/>
        </w:rPr>
        <w:t>。</w:t>
      </w:r>
    </w:p>
    <w:p w14:paraId="4859480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7. 工期和进度</w:t>
      </w:r>
    </w:p>
    <w:p w14:paraId="106F5146">
      <w:pPr>
        <w:widowControl/>
        <w:spacing w:line="360" w:lineRule="auto"/>
        <w:jc w:val="left"/>
        <w:outlineLvl w:val="4"/>
        <w:rPr>
          <w:rFonts w:ascii="宋体" w:hAnsi="宋体" w:eastAsia="宋体" w:cs="宋体"/>
          <w:b/>
          <w:bCs/>
          <w:kern w:val="0"/>
          <w:sz w:val="21"/>
          <w:szCs w:val="21"/>
        </w:rPr>
      </w:pPr>
      <w:bookmarkStart w:id="1220" w:name="_Toc532375617"/>
      <w:bookmarkEnd w:id="1220"/>
      <w:bookmarkStart w:id="1221" w:name="_Toc532377353"/>
      <w:r>
        <w:rPr>
          <w:rFonts w:hint="eastAsia" w:ascii="宋体" w:hAnsi="宋体" w:eastAsia="宋体" w:cs="宋体"/>
          <w:b/>
          <w:bCs/>
          <w:kern w:val="0"/>
          <w:sz w:val="21"/>
          <w:szCs w:val="21"/>
        </w:rPr>
        <w:t>7.1 施工组织设计</w:t>
      </w:r>
      <w:bookmarkEnd w:id="1221"/>
    </w:p>
    <w:p w14:paraId="30BE37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7.1.1 合同当事人约定的施工组织设计应包括的其他内容：</w:t>
      </w:r>
      <w:r>
        <w:rPr>
          <w:rFonts w:hint="eastAsia" w:ascii="宋体" w:hAnsi="宋体" w:eastAsia="宋体" w:cs="Times New Roman"/>
          <w:sz w:val="21"/>
          <w:szCs w:val="21"/>
          <w:u w:val="single"/>
        </w:rPr>
        <w:t xml:space="preserve"> 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Times New Roman"/>
          <w:sz w:val="21"/>
          <w:szCs w:val="21"/>
        </w:rPr>
        <w:t>。</w:t>
      </w:r>
    </w:p>
    <w:p w14:paraId="68F09EF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7.1.2 施工组织设计的提交和修改</w:t>
      </w:r>
    </w:p>
    <w:p w14:paraId="35547CF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承包人提交详细施工组织设计的期限的约定：</w:t>
      </w:r>
      <w:r>
        <w:rPr>
          <w:rFonts w:hint="eastAsia" w:ascii="宋体" w:hAnsi="宋体" w:eastAsia="宋体" w:cs="Times New Roman"/>
          <w:sz w:val="21"/>
          <w:szCs w:val="21"/>
          <w:u w:val="single"/>
        </w:rPr>
        <w:t xml:space="preserve"> 合同签订后7天内，但最迟不得晚于开工通知载明的开工日期前10天  </w:t>
      </w:r>
      <w:r>
        <w:rPr>
          <w:rFonts w:hint="eastAsia" w:ascii="宋体" w:hAnsi="宋体" w:eastAsia="宋体" w:cs="Times New Roman"/>
          <w:sz w:val="21"/>
          <w:szCs w:val="21"/>
        </w:rPr>
        <w:t>。</w:t>
      </w:r>
    </w:p>
    <w:p w14:paraId="4158517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发包人和监理人在收到详细的施工组织设计后确认或提出修改意见的期限：</w:t>
      </w:r>
      <w:r>
        <w:rPr>
          <w:rFonts w:hint="eastAsia" w:ascii="宋体" w:hAnsi="宋体" w:eastAsia="宋体" w:cs="Times New Roman"/>
          <w:sz w:val="21"/>
          <w:szCs w:val="21"/>
          <w:u w:val="single"/>
        </w:rPr>
        <w:t xml:space="preserve">  收到施工组织设计后7天内</w:t>
      </w:r>
      <w:r>
        <w:rPr>
          <w:rFonts w:hint="eastAsia" w:ascii="宋体" w:hAnsi="宋体" w:eastAsia="宋体" w:cs="Times New Roman"/>
          <w:sz w:val="21"/>
          <w:szCs w:val="21"/>
        </w:rPr>
        <w:t>。</w:t>
      </w:r>
    </w:p>
    <w:p w14:paraId="4EE40548">
      <w:pPr>
        <w:widowControl/>
        <w:spacing w:line="360" w:lineRule="auto"/>
        <w:jc w:val="left"/>
        <w:outlineLvl w:val="4"/>
        <w:rPr>
          <w:rFonts w:ascii="宋体" w:hAnsi="宋体" w:eastAsia="宋体" w:cs="宋体"/>
          <w:b/>
          <w:bCs/>
          <w:kern w:val="0"/>
          <w:sz w:val="21"/>
          <w:szCs w:val="21"/>
        </w:rPr>
      </w:pPr>
      <w:bookmarkStart w:id="1222" w:name="_Toc532377354"/>
      <w:bookmarkEnd w:id="1222"/>
      <w:bookmarkStart w:id="1223" w:name="_Toc532375618"/>
      <w:r>
        <w:rPr>
          <w:rFonts w:hint="eastAsia" w:ascii="宋体" w:hAnsi="宋体" w:eastAsia="宋体" w:cs="宋体"/>
          <w:b/>
          <w:bCs/>
          <w:kern w:val="0"/>
          <w:sz w:val="21"/>
          <w:szCs w:val="21"/>
        </w:rPr>
        <w:t>7.2 施工进度计划</w:t>
      </w:r>
      <w:bookmarkEnd w:id="1223"/>
    </w:p>
    <w:p w14:paraId="136C91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7.2.2 施工进度计划的修订</w:t>
      </w:r>
    </w:p>
    <w:p w14:paraId="0DB84C7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发包人和监理人在收到修订的施工进度计划后确认或提出修改意见的期限：</w:t>
      </w:r>
      <w:r>
        <w:rPr>
          <w:rFonts w:hint="eastAsia" w:ascii="宋体" w:hAnsi="宋体" w:eastAsia="宋体" w:cs="Times New Roman"/>
          <w:sz w:val="21"/>
          <w:szCs w:val="21"/>
          <w:u w:val="single"/>
        </w:rPr>
        <w:t xml:space="preserve"> 收到修订的施工进度计划后 7天内</w:t>
      </w:r>
      <w:r>
        <w:rPr>
          <w:rFonts w:hint="eastAsia" w:ascii="宋体" w:hAnsi="宋体" w:eastAsia="宋体" w:cs="Times New Roman"/>
          <w:sz w:val="21"/>
          <w:szCs w:val="21"/>
        </w:rPr>
        <w:t>。</w:t>
      </w:r>
    </w:p>
    <w:p w14:paraId="2ADA303A">
      <w:pPr>
        <w:widowControl/>
        <w:spacing w:line="360" w:lineRule="auto"/>
        <w:jc w:val="left"/>
        <w:outlineLvl w:val="4"/>
        <w:rPr>
          <w:rFonts w:ascii="宋体" w:hAnsi="宋体" w:eastAsia="宋体" w:cs="宋体"/>
          <w:b/>
          <w:bCs/>
          <w:kern w:val="0"/>
          <w:sz w:val="21"/>
          <w:szCs w:val="21"/>
        </w:rPr>
      </w:pPr>
      <w:bookmarkStart w:id="1224" w:name="_Toc312677479"/>
      <w:bookmarkEnd w:id="1224"/>
      <w:bookmarkStart w:id="1225" w:name="_Toc300934966"/>
      <w:bookmarkEnd w:id="1225"/>
      <w:bookmarkStart w:id="1226" w:name="_Toc303539123"/>
      <w:bookmarkEnd w:id="1226"/>
      <w:bookmarkStart w:id="1227" w:name="_Toc312678005"/>
      <w:bookmarkEnd w:id="1227"/>
      <w:bookmarkStart w:id="1228" w:name="_Toc297216173"/>
      <w:bookmarkEnd w:id="1228"/>
      <w:bookmarkStart w:id="1229" w:name="_Toc532377355"/>
      <w:bookmarkEnd w:id="1229"/>
      <w:bookmarkStart w:id="1230" w:name="_Toc304295541"/>
      <w:bookmarkEnd w:id="1230"/>
      <w:bookmarkStart w:id="1231" w:name="_Toc297123514"/>
      <w:bookmarkEnd w:id="1231"/>
      <w:bookmarkStart w:id="1232" w:name="_Toc532375619"/>
      <w:r>
        <w:rPr>
          <w:rFonts w:hint="eastAsia" w:ascii="宋体" w:hAnsi="宋体" w:eastAsia="宋体" w:cs="宋体"/>
          <w:b/>
          <w:bCs/>
          <w:kern w:val="0"/>
          <w:sz w:val="21"/>
          <w:szCs w:val="21"/>
        </w:rPr>
        <w:t>7.3 开工</w:t>
      </w:r>
      <w:bookmarkEnd w:id="1232"/>
    </w:p>
    <w:p w14:paraId="5A1F7F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7.3.1 开工准备</w:t>
      </w:r>
    </w:p>
    <w:p w14:paraId="2D7217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关于承包人提交工程开工报审表的期限：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4C4E49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2632F8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5EB80F70">
      <w:pPr>
        <w:widowControl/>
        <w:spacing w:line="360" w:lineRule="auto"/>
        <w:jc w:val="left"/>
        <w:outlineLvl w:val="4"/>
        <w:rPr>
          <w:rFonts w:ascii="宋体" w:hAnsi="宋体" w:eastAsia="宋体" w:cs="宋体"/>
          <w:b/>
          <w:bCs/>
          <w:kern w:val="0"/>
          <w:sz w:val="21"/>
          <w:szCs w:val="21"/>
        </w:rPr>
      </w:pPr>
      <w:bookmarkStart w:id="1233" w:name="_Toc532377356"/>
      <w:bookmarkEnd w:id="1233"/>
      <w:bookmarkStart w:id="1234" w:name="_Toc532375620"/>
      <w:bookmarkEnd w:id="1234"/>
      <w:r>
        <w:rPr>
          <w:rFonts w:hint="eastAsia" w:ascii="宋体" w:hAnsi="宋体" w:eastAsia="宋体" w:cs="宋体"/>
          <w:b/>
          <w:bCs/>
          <w:kern w:val="0"/>
          <w:sz w:val="21"/>
          <w:szCs w:val="21"/>
        </w:rPr>
        <w:t>7.4 测量放线</w:t>
      </w:r>
    </w:p>
    <w:p w14:paraId="4FA60F7A">
      <w:pPr>
        <w:autoSpaceDE w:val="0"/>
        <w:autoSpaceDN w:val="0"/>
        <w:adjustRightInd w:val="0"/>
        <w:spacing w:line="400" w:lineRule="exact"/>
        <w:jc w:val="left"/>
        <w:rPr>
          <w:rFonts w:ascii="宋体" w:hAnsi="宋体" w:eastAsia="宋体" w:cs="仿宋"/>
          <w:color w:val="000000"/>
          <w:kern w:val="0"/>
          <w:sz w:val="21"/>
          <w:szCs w:val="21"/>
        </w:rPr>
      </w:pPr>
      <w:bookmarkStart w:id="1235" w:name="_Toc532377357"/>
      <w:bookmarkEnd w:id="1235"/>
      <w:bookmarkStart w:id="1236" w:name="_Toc532375621"/>
      <w:r>
        <w:rPr>
          <w:rFonts w:hint="eastAsia" w:ascii="宋体" w:hAnsi="宋体" w:eastAsia="宋体" w:cs="Times New Roman"/>
          <w:color w:val="000000"/>
          <w:sz w:val="21"/>
          <w:szCs w:val="21"/>
        </w:rPr>
        <w:t>7.4.1发包人通过监理人向承包人提供测量基准点、基准线和水准点及其书面资料的期限</w:t>
      </w:r>
      <w:bookmarkEnd w:id="1236"/>
      <w:r>
        <w:rPr>
          <w:rFonts w:hint="eastAsia" w:ascii="宋体" w:hAnsi="宋体" w:eastAsia="宋体" w:cs="仿宋"/>
          <w:color w:val="000000"/>
          <w:kern w:val="0"/>
          <w:sz w:val="21"/>
          <w:szCs w:val="21"/>
        </w:rPr>
        <w:t>：</w:t>
      </w:r>
      <w:r>
        <w:rPr>
          <w:rFonts w:hint="eastAsia" w:ascii="宋体" w:hAnsi="宋体" w:eastAsia="宋体" w:cs="仿宋"/>
          <w:color w:val="000000"/>
          <w:kern w:val="0"/>
          <w:sz w:val="21"/>
          <w:szCs w:val="21"/>
          <w:u w:val="single"/>
        </w:rPr>
        <w:t xml:space="preserve">  </w:t>
      </w:r>
      <w:r>
        <w:rPr>
          <w:rFonts w:hint="eastAsia" w:ascii="宋体" w:hAnsi="宋体" w:eastAsia="宋体" w:cs="宋体"/>
          <w:color w:val="000000"/>
          <w:kern w:val="0"/>
          <w:sz w:val="21"/>
          <w:szCs w:val="21"/>
          <w:u w:val="single"/>
        </w:rPr>
        <w:t xml:space="preserve"> 进场施工后7天之内 </w:t>
      </w:r>
      <w:r>
        <w:rPr>
          <w:rFonts w:hint="eastAsia" w:ascii="宋体" w:hAnsi="宋体" w:eastAsia="宋体" w:cs="仿宋"/>
          <w:color w:val="000000"/>
          <w:kern w:val="0"/>
          <w:sz w:val="21"/>
          <w:szCs w:val="21"/>
          <w:u w:val="single"/>
        </w:rPr>
        <w:t xml:space="preserve"> </w:t>
      </w:r>
      <w:r>
        <w:rPr>
          <w:rFonts w:hint="eastAsia" w:ascii="宋体" w:hAnsi="宋体" w:eastAsia="宋体" w:cs="仿宋"/>
          <w:color w:val="000000"/>
          <w:kern w:val="0"/>
          <w:sz w:val="21"/>
          <w:szCs w:val="21"/>
        </w:rPr>
        <w:t>。</w:t>
      </w:r>
    </w:p>
    <w:p w14:paraId="002F01D5">
      <w:pPr>
        <w:widowControl/>
        <w:spacing w:line="360" w:lineRule="auto"/>
        <w:jc w:val="left"/>
        <w:outlineLvl w:val="4"/>
        <w:rPr>
          <w:rFonts w:ascii="宋体" w:hAnsi="宋体" w:eastAsia="宋体" w:cs="宋体"/>
          <w:b/>
          <w:bCs/>
          <w:kern w:val="0"/>
          <w:sz w:val="21"/>
          <w:szCs w:val="21"/>
        </w:rPr>
      </w:pPr>
      <w:bookmarkStart w:id="1237" w:name="_Toc532375622"/>
      <w:bookmarkEnd w:id="1237"/>
      <w:bookmarkStart w:id="1238" w:name="_Hlk528927997"/>
      <w:bookmarkEnd w:id="1238"/>
      <w:bookmarkStart w:id="1239" w:name="_Toc532377358"/>
      <w:r>
        <w:rPr>
          <w:rFonts w:hint="eastAsia" w:ascii="宋体" w:hAnsi="宋体" w:eastAsia="宋体" w:cs="宋体"/>
          <w:b/>
          <w:bCs/>
          <w:kern w:val="0"/>
          <w:sz w:val="21"/>
          <w:szCs w:val="21"/>
        </w:rPr>
        <w:t>7</w:t>
      </w:r>
      <w:bookmarkEnd w:id="1239"/>
      <w:bookmarkStart w:id="1240" w:name="_Toc297216178"/>
      <w:bookmarkEnd w:id="1240"/>
      <w:bookmarkStart w:id="1241" w:name="_Toc304295549"/>
      <w:bookmarkEnd w:id="1241"/>
      <w:bookmarkStart w:id="1242" w:name="_Toc300934971"/>
      <w:bookmarkEnd w:id="1242"/>
      <w:bookmarkStart w:id="1243" w:name="_Toc312678015"/>
      <w:bookmarkEnd w:id="1243"/>
      <w:bookmarkStart w:id="1244" w:name="_Toc297123519"/>
      <w:bookmarkEnd w:id="1244"/>
      <w:bookmarkStart w:id="1245" w:name="_Toc303539128"/>
      <w:r>
        <w:rPr>
          <w:rFonts w:hint="eastAsia" w:ascii="宋体" w:hAnsi="宋体" w:eastAsia="宋体" w:cs="宋体"/>
          <w:b/>
          <w:bCs/>
          <w:kern w:val="0"/>
          <w:sz w:val="21"/>
          <w:szCs w:val="21"/>
        </w:rPr>
        <w:t>.6 不</w:t>
      </w:r>
      <w:bookmarkEnd w:id="1245"/>
      <w:r>
        <w:rPr>
          <w:rFonts w:hint="eastAsia" w:ascii="宋体" w:hAnsi="宋体" w:eastAsia="宋体" w:cs="宋体"/>
          <w:b/>
          <w:bCs/>
          <w:kern w:val="0"/>
          <w:sz w:val="21"/>
          <w:szCs w:val="21"/>
        </w:rPr>
        <w:t>利物质条件</w:t>
      </w:r>
    </w:p>
    <w:p w14:paraId="30BD91BC">
      <w:pPr>
        <w:spacing w:line="360" w:lineRule="auto"/>
        <w:jc w:val="left"/>
        <w:rPr>
          <w:rFonts w:ascii="宋体" w:hAnsi="宋体" w:eastAsia="宋体" w:cs="Times New Roman"/>
          <w:bCs/>
          <w:sz w:val="21"/>
          <w:szCs w:val="21"/>
        </w:rPr>
      </w:pPr>
      <w:bookmarkStart w:id="1246" w:name="_Toc300934972"/>
      <w:bookmarkEnd w:id="1246"/>
      <w:bookmarkStart w:id="1247" w:name="_Toc297216179"/>
      <w:bookmarkEnd w:id="1247"/>
      <w:bookmarkStart w:id="1248" w:name="_Toc318581172"/>
      <w:bookmarkEnd w:id="1248"/>
      <w:bookmarkStart w:id="1249" w:name="_Toc303539129"/>
      <w:bookmarkEnd w:id="1249"/>
      <w:bookmarkStart w:id="1250" w:name="_Toc297123520"/>
      <w:bookmarkEnd w:id="1250"/>
      <w:bookmarkStart w:id="1251" w:name="_Toc312678016"/>
      <w:bookmarkEnd w:id="1251"/>
      <w:bookmarkStart w:id="1252" w:name="_Toc304295550"/>
      <w:r>
        <w:rPr>
          <w:rFonts w:hint="eastAsia" w:ascii="宋体" w:hAnsi="宋体" w:eastAsia="宋体" w:cs="Times New Roman"/>
          <w:sz w:val="21"/>
          <w:szCs w:val="21"/>
        </w:rPr>
        <w:t>不利物质条件的其他情形和有关约定：</w:t>
      </w:r>
      <w:bookmarkEnd w:id="1252"/>
      <w:bookmarkStart w:id="1253" w:name="_Hlk528910274"/>
      <w:bookmarkEnd w:id="1253"/>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承包人在施工场地遇到的不可预见的自然物质条件、非自然的物质障碍和污染物，包括地下和水文条件，但不包括气候条件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530D042">
      <w:pPr>
        <w:widowControl/>
        <w:spacing w:line="360" w:lineRule="auto"/>
        <w:jc w:val="left"/>
        <w:outlineLvl w:val="4"/>
        <w:rPr>
          <w:rFonts w:ascii="宋体" w:hAnsi="宋体" w:eastAsia="宋体" w:cs="宋体"/>
          <w:b/>
          <w:bCs/>
          <w:kern w:val="0"/>
          <w:sz w:val="21"/>
          <w:szCs w:val="21"/>
        </w:rPr>
      </w:pPr>
      <w:bookmarkStart w:id="1254" w:name="_Toc532375623"/>
      <w:bookmarkEnd w:id="1254"/>
      <w:bookmarkStart w:id="1255" w:name="_Toc532377359"/>
      <w:bookmarkEnd w:id="1255"/>
      <w:r>
        <w:rPr>
          <w:rFonts w:hint="eastAsia" w:ascii="宋体" w:hAnsi="宋体" w:eastAsia="宋体" w:cs="宋体"/>
          <w:b/>
          <w:bCs/>
          <w:kern w:val="0"/>
          <w:sz w:val="21"/>
          <w:szCs w:val="21"/>
        </w:rPr>
        <w:t>7</w:t>
      </w:r>
      <w:bookmarkStart w:id="1256" w:name="_Toc304295551"/>
      <w:bookmarkEnd w:id="1256"/>
      <w:bookmarkStart w:id="1257" w:name="_Toc312678017"/>
      <w:bookmarkEnd w:id="1257"/>
      <w:bookmarkStart w:id="1258" w:name="_Toc300934973"/>
      <w:bookmarkEnd w:id="1258"/>
      <w:bookmarkStart w:id="1259" w:name="_Toc303539130"/>
      <w:bookmarkEnd w:id="1259"/>
      <w:bookmarkStart w:id="1260" w:name="_Toc297123521"/>
      <w:bookmarkEnd w:id="1260"/>
      <w:bookmarkStart w:id="1261" w:name="_Toc297216180"/>
      <w:r>
        <w:rPr>
          <w:rFonts w:hint="eastAsia" w:ascii="宋体" w:hAnsi="宋体" w:eastAsia="宋体" w:cs="宋体"/>
          <w:b/>
          <w:bCs/>
          <w:kern w:val="0"/>
          <w:sz w:val="21"/>
          <w:szCs w:val="21"/>
        </w:rPr>
        <w:t>.7异常恶劣的气候条件</w:t>
      </w:r>
      <w:bookmarkEnd w:id="1261"/>
    </w:p>
    <w:p w14:paraId="1591F1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发包人和承包人同意以下情形视为异常恶劣的气候条件：</w:t>
      </w:r>
    </w:p>
    <w:p w14:paraId="70F0FC27">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 xml:space="preserve"> 异常气候是指项目所在地50年以上一遇的罕见气候现象 </w:t>
      </w:r>
      <w:r>
        <w:rPr>
          <w:rFonts w:hint="eastAsia" w:ascii="宋体" w:hAnsi="宋体" w:eastAsia="宋体" w:cs="Times New Roman"/>
          <w:sz w:val="21"/>
          <w:szCs w:val="21"/>
        </w:rPr>
        <w:t>；</w:t>
      </w:r>
    </w:p>
    <w:p w14:paraId="0265A957">
      <w:pPr>
        <w:widowControl/>
        <w:spacing w:line="360" w:lineRule="auto"/>
        <w:jc w:val="left"/>
        <w:outlineLvl w:val="4"/>
        <w:rPr>
          <w:rFonts w:ascii="宋体" w:hAnsi="宋体" w:eastAsia="宋体" w:cs="宋体"/>
          <w:b/>
          <w:bCs/>
          <w:kern w:val="0"/>
          <w:sz w:val="21"/>
          <w:szCs w:val="21"/>
        </w:rPr>
      </w:pPr>
      <w:bookmarkStart w:id="1262" w:name="_Toc532375624"/>
      <w:bookmarkEnd w:id="1262"/>
      <w:bookmarkStart w:id="1263" w:name="_Toc532377360"/>
      <w:r>
        <w:rPr>
          <w:rFonts w:hint="eastAsia" w:ascii="宋体" w:hAnsi="宋体" w:eastAsia="宋体" w:cs="宋体"/>
          <w:b/>
          <w:bCs/>
          <w:kern w:val="0"/>
          <w:sz w:val="21"/>
          <w:szCs w:val="21"/>
        </w:rPr>
        <w:t>7.9 提前竣工</w:t>
      </w:r>
      <w:bookmarkEnd w:id="1263"/>
    </w:p>
    <w:p w14:paraId="182625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7.9.2 提前竣工的奖励：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326459C">
      <w:pPr>
        <w:keepNext/>
        <w:keepLines/>
        <w:spacing w:line="360" w:lineRule="auto"/>
        <w:outlineLvl w:val="3"/>
        <w:rPr>
          <w:rFonts w:ascii="宋体" w:hAnsi="宋体" w:eastAsia="宋体" w:cs="宋体"/>
          <w:b/>
          <w:sz w:val="21"/>
          <w:szCs w:val="21"/>
        </w:rPr>
      </w:pPr>
      <w:bookmarkStart w:id="1264" w:name="_Toc351203640"/>
      <w:bookmarkEnd w:id="1264"/>
      <w:bookmarkStart w:id="1265" w:name="_Toc532377361"/>
      <w:bookmarkEnd w:id="1265"/>
      <w:bookmarkStart w:id="1266" w:name="_Toc532375625"/>
      <w:r>
        <w:rPr>
          <w:rFonts w:hint="eastAsia" w:ascii="宋体" w:hAnsi="宋体" w:eastAsia="宋体" w:cs="宋体"/>
          <w:b/>
          <w:bCs/>
          <w:sz w:val="21"/>
          <w:szCs w:val="21"/>
        </w:rPr>
        <w:t>8. 材料与设备</w:t>
      </w:r>
      <w:bookmarkEnd w:id="1266"/>
    </w:p>
    <w:p w14:paraId="3DC81488">
      <w:pPr>
        <w:widowControl/>
        <w:spacing w:line="360" w:lineRule="auto"/>
        <w:jc w:val="left"/>
        <w:outlineLvl w:val="4"/>
        <w:rPr>
          <w:rFonts w:ascii="宋体" w:hAnsi="宋体" w:eastAsia="宋体" w:cs="宋体"/>
          <w:b/>
          <w:bCs/>
          <w:kern w:val="0"/>
          <w:sz w:val="21"/>
          <w:szCs w:val="21"/>
        </w:rPr>
      </w:pPr>
      <w:bookmarkStart w:id="1267" w:name="_Toc532375628"/>
      <w:bookmarkEnd w:id="1267"/>
      <w:bookmarkStart w:id="1268" w:name="_Toc532377364"/>
      <w:r>
        <w:rPr>
          <w:rFonts w:hint="eastAsia" w:ascii="宋体" w:hAnsi="宋体" w:eastAsia="宋体" w:cs="宋体"/>
          <w:b/>
          <w:bCs/>
          <w:kern w:val="0"/>
          <w:sz w:val="21"/>
          <w:szCs w:val="21"/>
        </w:rPr>
        <w:t>8</w:t>
      </w:r>
      <w:bookmarkEnd w:id="1268"/>
      <w:bookmarkStart w:id="1269" w:name="_Toc297123527"/>
      <w:bookmarkEnd w:id="1269"/>
      <w:bookmarkStart w:id="1270" w:name="_Toc296346668"/>
      <w:bookmarkEnd w:id="1270"/>
      <w:bookmarkStart w:id="1271" w:name="_Toc267251424"/>
      <w:bookmarkEnd w:id="1271"/>
      <w:bookmarkStart w:id="1272" w:name="_Toc312677493"/>
      <w:bookmarkEnd w:id="1272"/>
      <w:bookmarkStart w:id="1273" w:name="_Toc292559877"/>
      <w:bookmarkEnd w:id="1273"/>
      <w:bookmarkStart w:id="1274" w:name="_Toc312678019"/>
      <w:bookmarkEnd w:id="1274"/>
      <w:bookmarkStart w:id="1275" w:name="_Toc296891207"/>
      <w:bookmarkEnd w:id="1275"/>
      <w:bookmarkStart w:id="1276" w:name="_Toc280868654"/>
      <w:bookmarkEnd w:id="1276"/>
      <w:bookmarkStart w:id="1277" w:name="_Toc280868656"/>
      <w:bookmarkEnd w:id="1277"/>
      <w:bookmarkStart w:id="1278" w:name="_Toc296944506"/>
      <w:bookmarkEnd w:id="1278"/>
      <w:bookmarkStart w:id="1279" w:name="_Toc296347166"/>
      <w:bookmarkEnd w:id="1279"/>
      <w:bookmarkStart w:id="1280" w:name="_Toc297120467"/>
      <w:bookmarkEnd w:id="1280"/>
      <w:bookmarkStart w:id="1281" w:name="_Toc292559372"/>
      <w:bookmarkEnd w:id="1281"/>
      <w:bookmarkStart w:id="1282" w:name="_Toc296890995"/>
      <w:bookmarkEnd w:id="1282"/>
      <w:bookmarkStart w:id="1283" w:name="_Toc300934979"/>
      <w:bookmarkEnd w:id="1283"/>
      <w:bookmarkStart w:id="1284" w:name="_Toc304295556"/>
      <w:bookmarkEnd w:id="1284"/>
      <w:bookmarkStart w:id="1285" w:name="_Toc297048353"/>
      <w:bookmarkEnd w:id="1285"/>
      <w:bookmarkStart w:id="1286" w:name="_Toc296503167"/>
      <w:bookmarkEnd w:id="1286"/>
      <w:bookmarkStart w:id="1287" w:name="_Toc303539136"/>
      <w:bookmarkEnd w:id="1287"/>
      <w:bookmarkStart w:id="1288" w:name="_Toc297216186"/>
      <w:bookmarkEnd w:id="1288"/>
      <w:bookmarkStart w:id="1289" w:name="_Toc280868655"/>
      <w:r>
        <w:rPr>
          <w:rFonts w:hint="eastAsia" w:ascii="宋体" w:hAnsi="宋体" w:eastAsia="宋体" w:cs="宋体"/>
          <w:b/>
          <w:bCs/>
          <w:kern w:val="0"/>
          <w:sz w:val="21"/>
          <w:szCs w:val="21"/>
        </w:rPr>
        <w:t>.4 材料与工程设备的保管与使用</w:t>
      </w:r>
      <w:bookmarkEnd w:id="1289"/>
    </w:p>
    <w:p w14:paraId="385E88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w:t>
      </w:r>
      <w:bookmarkStart w:id="1290" w:name="_Toc296503168"/>
      <w:bookmarkEnd w:id="1290"/>
      <w:bookmarkStart w:id="1291" w:name="_Toc318581173"/>
      <w:bookmarkEnd w:id="1291"/>
      <w:bookmarkStart w:id="1292" w:name="_Toc292559878"/>
      <w:bookmarkEnd w:id="1292"/>
      <w:bookmarkStart w:id="1293" w:name="_Toc296891208"/>
      <w:bookmarkEnd w:id="1293"/>
      <w:bookmarkStart w:id="1294" w:name="_Toc312677494"/>
      <w:bookmarkEnd w:id="1294"/>
      <w:bookmarkStart w:id="1295" w:name="_Toc296346669"/>
      <w:bookmarkEnd w:id="1295"/>
      <w:bookmarkStart w:id="1296" w:name="_Toc296944507"/>
      <w:bookmarkEnd w:id="1296"/>
      <w:bookmarkStart w:id="1297" w:name="_Toc312678020"/>
      <w:bookmarkEnd w:id="1297"/>
      <w:bookmarkStart w:id="1298" w:name="_Toc297123528"/>
      <w:bookmarkEnd w:id="1298"/>
      <w:bookmarkStart w:id="1299" w:name="_Toc300934980"/>
      <w:bookmarkEnd w:id="1299"/>
      <w:bookmarkStart w:id="1300" w:name="_Toc292559373"/>
      <w:bookmarkEnd w:id="1300"/>
      <w:bookmarkStart w:id="1301" w:name="_Toc296347167"/>
      <w:bookmarkEnd w:id="1301"/>
      <w:bookmarkStart w:id="1302" w:name="_Toc304295557"/>
      <w:bookmarkEnd w:id="1302"/>
      <w:bookmarkStart w:id="1303" w:name="_Toc303539137"/>
      <w:bookmarkEnd w:id="1303"/>
      <w:bookmarkStart w:id="1304" w:name="_Toc296890996"/>
      <w:bookmarkEnd w:id="1304"/>
      <w:bookmarkStart w:id="1305" w:name="_Toc297120468"/>
      <w:bookmarkEnd w:id="1305"/>
      <w:bookmarkStart w:id="1306" w:name="_Toc297048354"/>
      <w:bookmarkEnd w:id="1306"/>
      <w:bookmarkStart w:id="1307" w:name="_Toc297216187"/>
      <w:r>
        <w:rPr>
          <w:rFonts w:hint="eastAsia" w:ascii="宋体" w:hAnsi="宋体" w:eastAsia="宋体" w:cs="Times New Roman"/>
          <w:sz w:val="21"/>
          <w:szCs w:val="21"/>
        </w:rPr>
        <w:t>.4.1 发包人供应的材料设备的保管费用的承担：</w:t>
      </w:r>
      <w:bookmarkEnd w:id="1307"/>
      <w:r>
        <w:rPr>
          <w:rFonts w:hint="eastAsia" w:ascii="宋体" w:hAnsi="宋体" w:eastAsia="宋体" w:cs="Times New Roman"/>
          <w:sz w:val="21"/>
          <w:szCs w:val="21"/>
          <w:u w:val="single"/>
        </w:rPr>
        <w:t xml:space="preserve">  由承包人承担     </w:t>
      </w:r>
      <w:r>
        <w:rPr>
          <w:rFonts w:hint="eastAsia" w:ascii="宋体" w:hAnsi="宋体" w:eastAsia="宋体" w:cs="Times New Roman"/>
          <w:sz w:val="21"/>
          <w:szCs w:val="21"/>
        </w:rPr>
        <w:t>。</w:t>
      </w:r>
    </w:p>
    <w:p w14:paraId="7F4A1AFF">
      <w:pPr>
        <w:widowControl/>
        <w:spacing w:line="360" w:lineRule="auto"/>
        <w:jc w:val="left"/>
        <w:outlineLvl w:val="4"/>
        <w:rPr>
          <w:rFonts w:ascii="宋体" w:hAnsi="宋体" w:eastAsia="宋体" w:cs="宋体"/>
          <w:b/>
          <w:bCs/>
          <w:kern w:val="0"/>
          <w:sz w:val="21"/>
          <w:szCs w:val="21"/>
        </w:rPr>
      </w:pPr>
      <w:bookmarkStart w:id="1308" w:name="_Toc532375629"/>
      <w:bookmarkEnd w:id="1308"/>
      <w:bookmarkStart w:id="1309" w:name="_Toc532377365"/>
      <w:r>
        <w:rPr>
          <w:rFonts w:hint="eastAsia" w:ascii="宋体" w:hAnsi="宋体" w:eastAsia="宋体" w:cs="宋体"/>
          <w:b/>
          <w:bCs/>
          <w:kern w:val="0"/>
          <w:sz w:val="21"/>
          <w:szCs w:val="21"/>
        </w:rPr>
        <w:t>8.6 样品</w:t>
      </w:r>
      <w:bookmarkEnd w:id="1309"/>
    </w:p>
    <w:p w14:paraId="586015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8.6.1 样品的报送与封存</w:t>
      </w:r>
    </w:p>
    <w:p w14:paraId="45CC607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需要承包人报送样品的材料或工程设备，样品的种类、名称、规格、数量要求：</w:t>
      </w:r>
      <w:r>
        <w:rPr>
          <w:rFonts w:hint="eastAsia" w:ascii="宋体" w:hAnsi="宋体" w:eastAsia="宋体" w:cs="Times New Roman"/>
          <w:sz w:val="21"/>
          <w:szCs w:val="21"/>
          <w:u w:val="single"/>
        </w:rPr>
        <w:t xml:space="preserve">    由承包人实施采购时向发包人提供样品，并经发包人同意后方可用于现场施工      </w:t>
      </w:r>
      <w:r>
        <w:rPr>
          <w:rFonts w:hint="eastAsia" w:ascii="宋体" w:hAnsi="宋体" w:eastAsia="宋体" w:cs="Times New Roman"/>
          <w:sz w:val="21"/>
          <w:szCs w:val="21"/>
        </w:rPr>
        <w:t>。</w:t>
      </w:r>
    </w:p>
    <w:p w14:paraId="167C2FCE">
      <w:pPr>
        <w:widowControl/>
        <w:spacing w:line="360" w:lineRule="auto"/>
        <w:jc w:val="left"/>
        <w:outlineLvl w:val="4"/>
        <w:rPr>
          <w:rFonts w:ascii="宋体" w:hAnsi="宋体" w:eastAsia="宋体" w:cs="宋体"/>
          <w:b/>
          <w:bCs/>
          <w:kern w:val="0"/>
          <w:sz w:val="21"/>
          <w:szCs w:val="21"/>
        </w:rPr>
      </w:pPr>
      <w:bookmarkStart w:id="1310" w:name="_Toc532375630"/>
      <w:bookmarkEnd w:id="1310"/>
      <w:bookmarkStart w:id="1311" w:name="_Toc532377366"/>
      <w:r>
        <w:rPr>
          <w:rFonts w:hint="eastAsia" w:ascii="宋体" w:hAnsi="宋体" w:eastAsia="宋体" w:cs="宋体"/>
          <w:b/>
          <w:bCs/>
          <w:kern w:val="0"/>
          <w:sz w:val="21"/>
          <w:szCs w:val="21"/>
        </w:rPr>
        <w:t>8.8 施工设备和临时设施</w:t>
      </w:r>
      <w:bookmarkEnd w:id="1311"/>
    </w:p>
    <w:p w14:paraId="21FC5DE5">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8.8.1 承包人提供的施工设备和临时设施</w:t>
      </w:r>
    </w:p>
    <w:p w14:paraId="66E491F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关于修建临时设施费用承担的约定：</w:t>
      </w:r>
      <w:r>
        <w:rPr>
          <w:rFonts w:hint="eastAsia" w:ascii="宋体" w:hAnsi="宋体" w:eastAsia="宋体" w:cs="Times New Roman"/>
          <w:sz w:val="21"/>
          <w:szCs w:val="21"/>
          <w:u w:val="single"/>
        </w:rPr>
        <w:t xml:space="preserve"> 由承包人承担</w:t>
      </w:r>
      <w:r>
        <w:rPr>
          <w:rFonts w:hint="eastAsia" w:ascii="宋体" w:hAnsi="宋体" w:eastAsia="宋体" w:cs="Times New Roman"/>
          <w:sz w:val="21"/>
          <w:szCs w:val="21"/>
        </w:rPr>
        <w:t>。</w:t>
      </w:r>
    </w:p>
    <w:p w14:paraId="2F57D082">
      <w:pPr>
        <w:keepNext/>
        <w:keepLines/>
        <w:spacing w:line="360" w:lineRule="auto"/>
        <w:outlineLvl w:val="3"/>
        <w:rPr>
          <w:rFonts w:ascii="宋体" w:hAnsi="宋体" w:eastAsia="宋体" w:cs="宋体"/>
          <w:b/>
          <w:sz w:val="21"/>
          <w:szCs w:val="21"/>
        </w:rPr>
      </w:pPr>
      <w:bookmarkStart w:id="1312" w:name="_Toc532377367"/>
      <w:bookmarkEnd w:id="1312"/>
      <w:bookmarkStart w:id="1313" w:name="_Toc532375631"/>
      <w:bookmarkEnd w:id="1313"/>
      <w:bookmarkStart w:id="1314" w:name="_Toc351203641"/>
      <w:bookmarkEnd w:id="1314"/>
      <w:r>
        <w:rPr>
          <w:rFonts w:hint="eastAsia" w:ascii="宋体" w:hAnsi="宋体" w:eastAsia="宋体" w:cs="宋体"/>
          <w:b/>
          <w:bCs/>
          <w:sz w:val="21"/>
          <w:szCs w:val="21"/>
        </w:rPr>
        <w:t>9</w:t>
      </w:r>
      <w:bookmarkStart w:id="1315" w:name="_Toc297216192"/>
      <w:bookmarkEnd w:id="1315"/>
      <w:bookmarkStart w:id="1316" w:name="_Toc312678021"/>
      <w:bookmarkEnd w:id="1316"/>
      <w:bookmarkStart w:id="1317" w:name="_Toc300934982"/>
      <w:bookmarkEnd w:id="1317"/>
      <w:bookmarkStart w:id="1318" w:name="_Toc297123533"/>
      <w:bookmarkEnd w:id="1318"/>
      <w:bookmarkStart w:id="1319" w:name="_Toc303539139"/>
      <w:bookmarkEnd w:id="1319"/>
      <w:bookmarkStart w:id="1320" w:name="_Toc312677495"/>
      <w:bookmarkEnd w:id="1320"/>
      <w:bookmarkStart w:id="1321" w:name="_Toc304295559"/>
      <w:r>
        <w:rPr>
          <w:rFonts w:hint="eastAsia" w:ascii="宋体" w:hAnsi="宋体" w:eastAsia="宋体" w:cs="宋体"/>
          <w:b/>
          <w:bCs/>
          <w:sz w:val="21"/>
          <w:szCs w:val="21"/>
        </w:rPr>
        <w:t>. 试验与检验</w:t>
      </w:r>
      <w:bookmarkEnd w:id="1321"/>
    </w:p>
    <w:p w14:paraId="0A3B26E2">
      <w:pPr>
        <w:widowControl/>
        <w:spacing w:line="360" w:lineRule="auto"/>
        <w:jc w:val="left"/>
        <w:outlineLvl w:val="4"/>
        <w:rPr>
          <w:rFonts w:ascii="宋体" w:hAnsi="宋体" w:eastAsia="宋体" w:cs="宋体"/>
          <w:b/>
          <w:bCs/>
          <w:kern w:val="0"/>
          <w:sz w:val="21"/>
          <w:szCs w:val="21"/>
        </w:rPr>
      </w:pPr>
      <w:bookmarkStart w:id="1322" w:name="_Toc532375632"/>
      <w:bookmarkEnd w:id="1322"/>
      <w:bookmarkStart w:id="1323" w:name="_Toc532377368"/>
      <w:bookmarkEnd w:id="1323"/>
      <w:r>
        <w:rPr>
          <w:rFonts w:hint="eastAsia" w:ascii="宋体" w:hAnsi="宋体" w:eastAsia="宋体" w:cs="宋体"/>
          <w:b/>
          <w:bCs/>
          <w:kern w:val="0"/>
          <w:sz w:val="21"/>
          <w:szCs w:val="21"/>
        </w:rPr>
        <w:t>9</w:t>
      </w:r>
      <w:bookmarkStart w:id="1324" w:name="_Toc297216193"/>
      <w:bookmarkEnd w:id="1324"/>
      <w:bookmarkStart w:id="1325" w:name="_Toc312677496"/>
      <w:bookmarkEnd w:id="1325"/>
      <w:bookmarkStart w:id="1326" w:name="_Toc303539140"/>
      <w:bookmarkEnd w:id="1326"/>
      <w:bookmarkStart w:id="1327" w:name="_Toc312678022"/>
      <w:bookmarkEnd w:id="1327"/>
      <w:bookmarkStart w:id="1328" w:name="_Toc304295560"/>
      <w:bookmarkEnd w:id="1328"/>
      <w:bookmarkStart w:id="1329" w:name="_Toc300934983"/>
      <w:bookmarkEnd w:id="1329"/>
      <w:bookmarkStart w:id="1330" w:name="_Toc297123534"/>
      <w:r>
        <w:rPr>
          <w:rFonts w:hint="eastAsia" w:ascii="宋体" w:hAnsi="宋体" w:eastAsia="宋体" w:cs="宋体"/>
          <w:b/>
          <w:bCs/>
          <w:kern w:val="0"/>
          <w:sz w:val="21"/>
          <w:szCs w:val="21"/>
        </w:rPr>
        <w:t>.1 试验设备与试验人员</w:t>
      </w:r>
      <w:bookmarkEnd w:id="1330"/>
    </w:p>
    <w:p w14:paraId="12E6E5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w:t>
      </w:r>
      <w:bookmarkStart w:id="1331" w:name="_Toc300934984"/>
      <w:bookmarkEnd w:id="1331"/>
      <w:bookmarkStart w:id="1332" w:name="_Toc312677497"/>
      <w:bookmarkEnd w:id="1332"/>
      <w:bookmarkStart w:id="1333" w:name="_Toc312678023"/>
      <w:bookmarkEnd w:id="1333"/>
      <w:bookmarkStart w:id="1334" w:name="_Toc318581174"/>
      <w:bookmarkEnd w:id="1334"/>
      <w:bookmarkStart w:id="1335" w:name="_Toc304295561"/>
      <w:bookmarkEnd w:id="1335"/>
      <w:bookmarkStart w:id="1336" w:name="_Toc297216194"/>
      <w:bookmarkEnd w:id="1336"/>
      <w:bookmarkStart w:id="1337" w:name="_Toc297123535"/>
      <w:bookmarkEnd w:id="1337"/>
      <w:bookmarkStart w:id="1338" w:name="_Toc303539141"/>
      <w:r>
        <w:rPr>
          <w:rFonts w:hint="eastAsia" w:ascii="宋体" w:hAnsi="宋体" w:eastAsia="宋体" w:cs="Times New Roman"/>
          <w:sz w:val="21"/>
          <w:szCs w:val="21"/>
        </w:rPr>
        <w:t>.1.2 试验设备</w:t>
      </w:r>
      <w:bookmarkEnd w:id="1338"/>
    </w:p>
    <w:p w14:paraId="40113BC9">
      <w:pPr>
        <w:spacing w:line="360" w:lineRule="auto"/>
        <w:jc w:val="left"/>
        <w:rPr>
          <w:rFonts w:ascii="宋体" w:hAnsi="宋体" w:eastAsia="宋体" w:cs="Times New Roman"/>
          <w:sz w:val="21"/>
          <w:szCs w:val="21"/>
        </w:rPr>
      </w:pPr>
      <w:bookmarkStart w:id="1339" w:name="_Toc300934985"/>
      <w:bookmarkEnd w:id="1339"/>
      <w:bookmarkStart w:id="1340" w:name="_Toc312678024"/>
      <w:bookmarkEnd w:id="1340"/>
      <w:bookmarkStart w:id="1341" w:name="_Toc303539142"/>
      <w:bookmarkEnd w:id="1341"/>
      <w:bookmarkStart w:id="1342" w:name="_Toc312677498"/>
      <w:bookmarkEnd w:id="1342"/>
      <w:bookmarkStart w:id="1343" w:name="_Toc297216195"/>
      <w:bookmarkEnd w:id="1343"/>
      <w:bookmarkStart w:id="1344" w:name="_Toc297123536"/>
      <w:bookmarkEnd w:id="1344"/>
      <w:bookmarkStart w:id="1345" w:name="_Toc532375633"/>
      <w:bookmarkEnd w:id="1345"/>
      <w:bookmarkStart w:id="1346" w:name="_Toc304295562"/>
      <w:bookmarkEnd w:id="1346"/>
      <w:bookmarkStart w:id="1347" w:name="_Toc532377369"/>
      <w:r>
        <w:rPr>
          <w:rFonts w:hint="eastAsia" w:ascii="宋体" w:hAnsi="宋体" w:eastAsia="宋体" w:cs="Times New Roman"/>
          <w:sz w:val="21"/>
          <w:szCs w:val="21"/>
        </w:rPr>
        <w:t>施工现场需要配置的试验场所：</w:t>
      </w:r>
      <w:bookmarkEnd w:id="1347"/>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384A14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施工现场需要配备的试验设备：</w:t>
      </w:r>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5DA908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施工现场需要具备的其他试验条件：</w:t>
      </w:r>
      <w:r>
        <w:rPr>
          <w:rFonts w:hint="eastAsia" w:ascii="宋体" w:hAnsi="宋体" w:eastAsia="宋体" w:cs="Times New Roman"/>
          <w:sz w:val="21"/>
          <w:szCs w:val="21"/>
          <w:u w:val="single"/>
        </w:rPr>
        <w:t xml:space="preserve">  满足工程施工的需要   </w:t>
      </w:r>
      <w:r>
        <w:rPr>
          <w:rFonts w:hint="eastAsia" w:ascii="宋体" w:hAnsi="宋体" w:eastAsia="宋体" w:cs="Times New Roman"/>
          <w:sz w:val="21"/>
          <w:szCs w:val="21"/>
        </w:rPr>
        <w:t>。</w:t>
      </w:r>
    </w:p>
    <w:p w14:paraId="46153BCF">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9.4 现场工艺试验</w:t>
      </w:r>
    </w:p>
    <w:p w14:paraId="378CA5EE">
      <w:pPr>
        <w:spacing w:line="360" w:lineRule="auto"/>
        <w:jc w:val="left"/>
        <w:rPr>
          <w:rFonts w:ascii="宋体" w:hAnsi="宋体" w:eastAsia="宋体" w:cs="Times New Roman"/>
          <w:sz w:val="21"/>
          <w:szCs w:val="21"/>
        </w:rPr>
      </w:pPr>
      <w:bookmarkStart w:id="1348" w:name="_Toc267251491"/>
      <w:bookmarkEnd w:id="1348"/>
      <w:bookmarkStart w:id="1349" w:name="_Toc532375634"/>
      <w:bookmarkEnd w:id="1349"/>
      <w:bookmarkStart w:id="1350" w:name="_Toc267251506"/>
      <w:bookmarkEnd w:id="1350"/>
      <w:bookmarkStart w:id="1351" w:name="_Toc267251499"/>
      <w:bookmarkEnd w:id="1351"/>
      <w:bookmarkStart w:id="1352" w:name="_Toc267251511"/>
      <w:bookmarkEnd w:id="1352"/>
      <w:bookmarkStart w:id="1353" w:name="_Toc267251493"/>
      <w:bookmarkEnd w:id="1353"/>
      <w:bookmarkStart w:id="1354" w:name="_Toc267251502"/>
      <w:bookmarkEnd w:id="1354"/>
      <w:bookmarkStart w:id="1355" w:name="_Toc532377370"/>
      <w:bookmarkEnd w:id="1355"/>
      <w:bookmarkStart w:id="1356" w:name="_Toc267251507"/>
      <w:bookmarkEnd w:id="1356"/>
      <w:bookmarkStart w:id="1357" w:name="_Toc267251508"/>
      <w:bookmarkEnd w:id="1357"/>
      <w:bookmarkStart w:id="1358" w:name="_Toc267251492"/>
      <w:bookmarkEnd w:id="1358"/>
      <w:bookmarkStart w:id="1359" w:name="_Toc267251485"/>
      <w:bookmarkEnd w:id="1359"/>
      <w:bookmarkStart w:id="1360" w:name="_Toc267251498"/>
      <w:bookmarkEnd w:id="1360"/>
      <w:bookmarkStart w:id="1361" w:name="_Toc267251488"/>
      <w:bookmarkEnd w:id="1361"/>
      <w:bookmarkStart w:id="1362" w:name="_Toc267251497"/>
      <w:bookmarkEnd w:id="1362"/>
      <w:bookmarkStart w:id="1363" w:name="_Toc267251509"/>
      <w:bookmarkEnd w:id="1363"/>
      <w:bookmarkStart w:id="1364" w:name="_Toc267251482"/>
      <w:bookmarkEnd w:id="1364"/>
      <w:bookmarkStart w:id="1365" w:name="_Toc267251514"/>
      <w:bookmarkEnd w:id="1365"/>
      <w:bookmarkStart w:id="1366" w:name="_Toc267251495"/>
      <w:bookmarkEnd w:id="1366"/>
      <w:bookmarkStart w:id="1367" w:name="_Hlk524298112"/>
      <w:bookmarkEnd w:id="1367"/>
      <w:bookmarkStart w:id="1368" w:name="_Toc267251494"/>
      <w:bookmarkEnd w:id="1368"/>
      <w:bookmarkStart w:id="1369" w:name="_Toc267251504"/>
      <w:bookmarkEnd w:id="1369"/>
      <w:bookmarkStart w:id="1370" w:name="_Toc267251510"/>
      <w:bookmarkEnd w:id="1370"/>
      <w:bookmarkStart w:id="1371" w:name="_Toc267251496"/>
      <w:bookmarkEnd w:id="1371"/>
      <w:bookmarkStart w:id="1372" w:name="_Toc267251489"/>
      <w:bookmarkEnd w:id="1372"/>
      <w:bookmarkStart w:id="1373" w:name="_Toc267251486"/>
      <w:bookmarkEnd w:id="1373"/>
      <w:bookmarkStart w:id="1374" w:name="_Toc267251501"/>
      <w:bookmarkEnd w:id="1374"/>
      <w:bookmarkStart w:id="1375" w:name="_Toc267251515"/>
      <w:bookmarkEnd w:id="1375"/>
      <w:bookmarkStart w:id="1376" w:name="_Toc267251490"/>
      <w:bookmarkEnd w:id="1376"/>
      <w:bookmarkStart w:id="1377" w:name="_Toc267251484"/>
      <w:bookmarkEnd w:id="1377"/>
      <w:bookmarkStart w:id="1378" w:name="_Toc267251503"/>
      <w:bookmarkEnd w:id="1378"/>
      <w:bookmarkStart w:id="1379" w:name="_Toc267251513"/>
      <w:r>
        <w:rPr>
          <w:rFonts w:hint="eastAsia" w:ascii="宋体" w:hAnsi="宋体" w:eastAsia="宋体" w:cs="Times New Roman"/>
          <w:sz w:val="21"/>
          <w:szCs w:val="21"/>
        </w:rPr>
        <w:t>现场工艺试验的有关约定</w:t>
      </w:r>
      <w:bookmarkEnd w:id="1379"/>
      <w:r>
        <w:rPr>
          <w:rFonts w:hint="eastAsia" w:ascii="宋体" w:hAnsi="宋体" w:eastAsia="宋体" w:cs="Times New Roman"/>
          <w:sz w:val="21"/>
          <w:szCs w:val="21"/>
        </w:rPr>
        <w:t>：</w:t>
      </w:r>
    </w:p>
    <w:p w14:paraId="00DEA0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9.4.1</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一般检验试验：</w:t>
      </w:r>
    </w:p>
    <w:p w14:paraId="17FBA7D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根据</w:t>
      </w:r>
      <w:r>
        <w:rPr>
          <w:rFonts w:hint="eastAsia" w:ascii="宋体" w:hAnsi="宋体" w:eastAsia="宋体" w:cs="Times New Roman"/>
          <w:sz w:val="21"/>
          <w:szCs w:val="21"/>
          <w:u w:val="single"/>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eastAsia="宋体" w:cs="Times New Roman"/>
          <w:sz w:val="21"/>
          <w:szCs w:val="21"/>
        </w:rPr>
        <w:t>，对工程材料、构件、建筑安装物、半成品、成品进行的一般质量鉴定、检测和试验，由发包人委托的第三方检测试验机构实施，所发生的鉴定、检测和试验费用由发包人承担，不包含在合同价格中。</w:t>
      </w:r>
    </w:p>
    <w:p w14:paraId="092AC0C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实施前，由发包人、承包人和第三方检测试验机构签订三方合同，第三方检测试验机构分别向承包人和发包人出具相应的检测试验报告。根据</w:t>
      </w:r>
      <w:r>
        <w:rPr>
          <w:rFonts w:hint="eastAsia" w:ascii="宋体" w:hAnsi="宋体" w:eastAsia="宋体" w:cs="Times New Roman"/>
          <w:sz w:val="21"/>
          <w:szCs w:val="21"/>
          <w:u w:val="single"/>
        </w:rPr>
        <w:t>渝建〔2015〕420号文和有关施工规范、验收标准及施工图</w:t>
      </w:r>
      <w:r>
        <w:rPr>
          <w:rFonts w:hint="eastAsia" w:ascii="宋体" w:hAnsi="宋体" w:eastAsia="宋体" w:cs="Times New Roman"/>
          <w:sz w:val="21"/>
          <w:szCs w:val="21"/>
        </w:rPr>
        <w:t>的规定或要求，所做的上述检测试验所需的试件取样、制作、送检，试件制作需要提供的材料以及检测、试验的配合工作由承包人负责完成并承担由此产生的所有相关费用。</w:t>
      </w:r>
    </w:p>
    <w:p w14:paraId="320BCD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9.4.2特殊检验试验：</w:t>
      </w:r>
    </w:p>
    <w:p w14:paraId="11D6A8D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eastAsia="宋体" w:cs="Times New Roman"/>
          <w:sz w:val="21"/>
          <w:szCs w:val="21"/>
          <w:u w:val="single"/>
        </w:rPr>
        <w:t>渝建〔2015〕420号文</w:t>
      </w:r>
      <w:r>
        <w:rPr>
          <w:rFonts w:hint="eastAsia" w:ascii="宋体" w:hAnsi="宋体" w:eastAsia="宋体" w:cs="Times New Roman"/>
          <w:sz w:val="21"/>
          <w:szCs w:val="21"/>
        </w:rPr>
        <w:t>的规定，均由发包人委托相应的第三方检测试验机构进行检测，所发生的特殊检验试验费由发包人承担，不包含在合同价格中。</w:t>
      </w:r>
    </w:p>
    <w:p w14:paraId="1D087F4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发包人委托的第三方检测试验机构检测试验的试件所需的材料、取样、送检及相关配合工作由承包人负责完成并承担由此产生的所有相关费用。</w:t>
      </w:r>
    </w:p>
    <w:p w14:paraId="69C149D2">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（2）施工措施的检测、试验：因施工措施需要而做的相关检测、试验由承包人负责实施，其费用由承包人承担。</w:t>
      </w:r>
    </w:p>
    <w:p w14:paraId="2534F80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9.4.3专项检测：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72EE37">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9.4.4若因承包人取样、制样、送检及相关配合不及时而导致工程的工期和费用增加，影响的工期不予延长，增加费用由承包人承担。</w:t>
      </w:r>
    </w:p>
    <w:p w14:paraId="30ABE395">
      <w:pPr>
        <w:spacing w:line="360" w:lineRule="auto"/>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9.4.5检测试验不合格的项目，其缺陷处理和复测费用由承包人承担，工期不予延长。</w:t>
      </w:r>
    </w:p>
    <w:p w14:paraId="34C93D32">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w:t>
      </w:r>
      <w:bookmarkStart w:id="1380" w:name="_Toc296347192"/>
      <w:bookmarkEnd w:id="1380"/>
      <w:bookmarkStart w:id="1381" w:name="_Toc297120493"/>
      <w:bookmarkEnd w:id="1381"/>
      <w:bookmarkStart w:id="1382" w:name="_Toc303539146"/>
      <w:bookmarkEnd w:id="1382"/>
      <w:bookmarkStart w:id="1383" w:name="_Toc296891233"/>
      <w:bookmarkEnd w:id="1383"/>
      <w:bookmarkStart w:id="1384" w:name="_Toc267251440"/>
      <w:bookmarkEnd w:id="1384"/>
      <w:bookmarkStart w:id="1385" w:name="_Toc267251441"/>
      <w:bookmarkEnd w:id="1385"/>
      <w:bookmarkStart w:id="1386" w:name="_Toc297048379"/>
      <w:bookmarkEnd w:id="1386"/>
      <w:bookmarkStart w:id="1387" w:name="_Toc312678025"/>
      <w:bookmarkEnd w:id="1387"/>
      <w:bookmarkStart w:id="1388" w:name="_Toc296944532"/>
      <w:bookmarkEnd w:id="1388"/>
      <w:bookmarkStart w:id="1389" w:name="_Toc267251433"/>
      <w:bookmarkEnd w:id="1389"/>
      <w:bookmarkStart w:id="1390" w:name="_Toc312677499"/>
      <w:bookmarkEnd w:id="1390"/>
      <w:bookmarkStart w:id="1391" w:name="_Toc292559398"/>
      <w:bookmarkEnd w:id="1391"/>
      <w:bookmarkStart w:id="1392" w:name="_Toc296346694"/>
      <w:bookmarkEnd w:id="1392"/>
      <w:bookmarkStart w:id="1393" w:name="_Toc297216199"/>
      <w:bookmarkEnd w:id="1393"/>
      <w:bookmarkStart w:id="1394" w:name="_Toc304295566"/>
      <w:bookmarkEnd w:id="1394"/>
      <w:bookmarkStart w:id="1395" w:name="_Toc296891021"/>
      <w:bookmarkEnd w:id="1395"/>
      <w:bookmarkStart w:id="1396" w:name="_Toc267251437"/>
      <w:bookmarkEnd w:id="1396"/>
      <w:bookmarkStart w:id="1397" w:name="_Toc292559903"/>
      <w:bookmarkEnd w:id="1397"/>
      <w:bookmarkStart w:id="1398" w:name="_Toc300934989"/>
      <w:bookmarkEnd w:id="1398"/>
      <w:bookmarkStart w:id="1399" w:name="_Toc267251435"/>
      <w:bookmarkEnd w:id="1399"/>
      <w:bookmarkStart w:id="1400" w:name="_Toc296503193"/>
      <w:bookmarkEnd w:id="1400"/>
      <w:bookmarkStart w:id="1401" w:name="_Toc297123540"/>
      <w:bookmarkEnd w:id="1401"/>
      <w:bookmarkStart w:id="1402" w:name="_Toc267251439"/>
      <w:r>
        <w:rPr>
          <w:rFonts w:hint="eastAsia" w:ascii="宋体" w:hAnsi="宋体" w:eastAsia="宋体" w:cs="宋体"/>
          <w:b/>
          <w:bCs/>
          <w:sz w:val="21"/>
          <w:szCs w:val="21"/>
        </w:rPr>
        <w:t>0. 变更</w:t>
      </w:r>
      <w:bookmarkEnd w:id="1402"/>
    </w:p>
    <w:p w14:paraId="2705AE9F">
      <w:pPr>
        <w:widowControl/>
        <w:spacing w:line="360" w:lineRule="auto"/>
        <w:jc w:val="left"/>
        <w:outlineLvl w:val="4"/>
        <w:rPr>
          <w:rFonts w:ascii="宋体" w:hAnsi="宋体" w:eastAsia="宋体" w:cs="宋体"/>
          <w:b/>
          <w:bCs/>
          <w:kern w:val="0"/>
          <w:sz w:val="21"/>
          <w:szCs w:val="21"/>
        </w:rPr>
      </w:pPr>
      <w:bookmarkStart w:id="1403" w:name="_Toc296944533"/>
      <w:bookmarkEnd w:id="1403"/>
      <w:bookmarkStart w:id="1404" w:name="_Toc300934990"/>
      <w:bookmarkEnd w:id="1404"/>
      <w:bookmarkStart w:id="1405" w:name="_Toc312678026"/>
      <w:bookmarkEnd w:id="1405"/>
      <w:bookmarkStart w:id="1406" w:name="_Toc532375635"/>
      <w:bookmarkEnd w:id="1406"/>
      <w:bookmarkStart w:id="1407" w:name="_Toc296891234"/>
      <w:bookmarkEnd w:id="1407"/>
      <w:bookmarkStart w:id="1408" w:name="_Toc292559904"/>
      <w:bookmarkEnd w:id="1408"/>
      <w:bookmarkStart w:id="1409" w:name="_Toc296503194"/>
      <w:bookmarkEnd w:id="1409"/>
      <w:bookmarkStart w:id="1410" w:name="_Toc532377371"/>
      <w:bookmarkEnd w:id="1410"/>
      <w:bookmarkStart w:id="1411" w:name="_Toc296347193"/>
      <w:bookmarkEnd w:id="1411"/>
      <w:bookmarkStart w:id="1412" w:name="_Toc292559399"/>
      <w:bookmarkEnd w:id="1412"/>
      <w:bookmarkStart w:id="1413" w:name="_Toc297123541"/>
      <w:bookmarkEnd w:id="1413"/>
      <w:bookmarkStart w:id="1414" w:name="_Toc297120494"/>
      <w:bookmarkEnd w:id="1414"/>
      <w:bookmarkStart w:id="1415" w:name="_Toc297048380"/>
      <w:bookmarkEnd w:id="1415"/>
      <w:bookmarkStart w:id="1416" w:name="_Toc303539147"/>
      <w:bookmarkEnd w:id="1416"/>
      <w:bookmarkStart w:id="1417" w:name="_Toc312677500"/>
      <w:bookmarkEnd w:id="1417"/>
      <w:bookmarkStart w:id="1418" w:name="_Toc297216200"/>
      <w:bookmarkEnd w:id="1418"/>
      <w:bookmarkStart w:id="1419" w:name="_Toc296346695"/>
      <w:bookmarkEnd w:id="1419"/>
      <w:bookmarkStart w:id="1420" w:name="_Toc296891022"/>
      <w:bookmarkEnd w:id="1420"/>
      <w:bookmarkStart w:id="1421" w:name="_Toc304295567"/>
      <w:r>
        <w:rPr>
          <w:rFonts w:hint="eastAsia" w:ascii="宋体" w:hAnsi="宋体" w:eastAsia="宋体" w:cs="宋体"/>
          <w:b/>
          <w:bCs/>
          <w:kern w:val="0"/>
          <w:sz w:val="21"/>
          <w:szCs w:val="21"/>
        </w:rPr>
        <w:t>10.1变更的范围</w:t>
      </w:r>
      <w:bookmarkEnd w:id="1421"/>
    </w:p>
    <w:p w14:paraId="68D7EADB">
      <w:pPr>
        <w:spacing w:line="360" w:lineRule="auto"/>
        <w:jc w:val="left"/>
        <w:rPr>
          <w:rFonts w:ascii="宋体" w:hAnsi="宋体" w:eastAsia="宋体" w:cs="Times New Roman"/>
          <w:sz w:val="21"/>
          <w:szCs w:val="21"/>
        </w:rPr>
      </w:pPr>
      <w:bookmarkStart w:id="1422" w:name="_Toc532375638"/>
      <w:bookmarkEnd w:id="1422"/>
      <w:bookmarkStart w:id="1423" w:name="_Toc532377374"/>
      <w:r>
        <w:rPr>
          <w:rFonts w:hint="eastAsia" w:ascii="宋体" w:hAnsi="宋体" w:eastAsia="宋体" w:cs="Times New Roman"/>
          <w:sz w:val="21"/>
          <w:szCs w:val="21"/>
        </w:rPr>
        <w:t>关于变更的范围的约定：</w:t>
      </w:r>
      <w:bookmarkEnd w:id="1423"/>
    </w:p>
    <w:p w14:paraId="0DAA811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(1)增加或减少合同中任何工作，或追加额外的工作；</w:t>
      </w:r>
    </w:p>
    <w:p w14:paraId="6A71E1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(2)取消合同中任何工作；</w:t>
      </w:r>
    </w:p>
    <w:p w14:paraId="27F6F48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(3)改变合同中任何工作的质量标准或其他特性；</w:t>
      </w:r>
    </w:p>
    <w:p w14:paraId="011DF91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(4)改变工程的基线、标高、位置和尺寸；</w:t>
      </w:r>
    </w:p>
    <w:p w14:paraId="1C5B9F9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(5)适用于工程的标准和(或)规范变化导致需要对工程进行改变，且该改变导致工期和(或)费用变化的；</w:t>
      </w:r>
    </w:p>
    <w:p w14:paraId="46A2215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(6)勘察设计变更；</w:t>
      </w:r>
    </w:p>
    <w:p w14:paraId="5C5E78C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(7)实施内容变更，包括因设计变更和非设计变更引起的实施地点、投资规模、结构型式、采购数量、服务内容等进行的调整，以及因此导致的合同价格、工期变更；</w:t>
      </w:r>
    </w:p>
    <w:p w14:paraId="26BBE2B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(8)项目管理人员变更；</w:t>
      </w:r>
    </w:p>
    <w:p w14:paraId="4B6171F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(9)因人工、原材料等价格变化导致的合同总价变更；</w:t>
      </w:r>
    </w:p>
    <w:p w14:paraId="20F12A6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(10)非实施内容变化导致的工期变更；</w:t>
      </w:r>
    </w:p>
    <w:p w14:paraId="2A79616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(11)其他：①若承包人拒绝或拖延实施变更内容视为无条件放弃该变更建设内容中标权属，发包人可另行委托其他承包人实施，承包人不得向发包人索赔预期利益及干预；②由于变更造成的工程投资变化导致合同金额增加或减少，承包人不得向发包人索赔预期利益。</w:t>
      </w:r>
    </w:p>
    <w:p w14:paraId="7BE0E3B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回变更管理暂行办法》要求进行信息公开。项目合同变更未获得通过的，发包人和承包人均不得擅自变更原合同约定事项，且不得就同一理由同一事项再提出变更。</w:t>
      </w:r>
    </w:p>
    <w:p w14:paraId="0DED0CAC">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承包人对其提供的材料、工程设备、施工、无负荷试车、热负荷试车及图纸参数存在的缺陷，自费修正、调整和完善，不属于变更</w:t>
      </w:r>
      <w:r>
        <w:rPr>
          <w:rFonts w:hint="eastAsia" w:ascii="宋体" w:hAnsi="宋体" w:eastAsia="宋体" w:cs="Times New Roman"/>
          <w:sz w:val="21"/>
          <w:szCs w:val="21"/>
        </w:rPr>
        <w:t>。</w:t>
      </w:r>
    </w:p>
    <w:p w14:paraId="6C06E742">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10.4 变更估价</w:t>
      </w:r>
    </w:p>
    <w:p w14:paraId="7EEA3F9A">
      <w:pPr>
        <w:spacing w:line="360" w:lineRule="auto"/>
        <w:jc w:val="left"/>
        <w:rPr>
          <w:rFonts w:ascii="宋体" w:hAnsi="宋体" w:eastAsia="宋体" w:cs="Times New Roman"/>
          <w:sz w:val="21"/>
          <w:szCs w:val="21"/>
          <w:u w:val="single"/>
        </w:rPr>
      </w:pPr>
      <w:bookmarkStart w:id="1424" w:name="_Toc532375641"/>
      <w:bookmarkEnd w:id="1424"/>
      <w:bookmarkStart w:id="1425" w:name="_Toc532377377"/>
      <w:bookmarkEnd w:id="1425"/>
      <w:r>
        <w:rPr>
          <w:rFonts w:hint="eastAsia" w:ascii="宋体" w:hAnsi="宋体" w:eastAsia="宋体" w:cs="Times New Roman"/>
          <w:sz w:val="21"/>
          <w:szCs w:val="21"/>
        </w:rPr>
        <w:t>关于变更估价的约定：</w:t>
      </w:r>
      <w:r>
        <w:rPr>
          <w:rFonts w:hint="eastAsia" w:ascii="宋体" w:hAnsi="宋体" w:eastAsia="宋体" w:cs="Times New Roman"/>
          <w:sz w:val="21"/>
          <w:szCs w:val="21"/>
          <w:u w:val="single"/>
        </w:rPr>
        <w:t>当发生工程变更时，工程量按国家及重庆市规定的计算规则及已标价工程量清单规定的工程量计算规则计量，按以下办法计价：</w:t>
      </w:r>
    </w:p>
    <w:p w14:paraId="35939D8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10.4.1.1已标价工程量清单中有相同项目的，按照相同项目单价计算；</w:t>
      </w:r>
    </w:p>
    <w:p w14:paraId="50A9BE1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10.4.1.2已标价工程量清单中有类似项目的，参考类似项目单价计算；</w:t>
      </w:r>
    </w:p>
    <w:p w14:paraId="102B75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10.4.1.3已标价工程量清单中无相同项目亦无类似项目的，按照以下原则执行；</w:t>
      </w:r>
    </w:p>
    <w:p w14:paraId="6506564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经监理人、发包人审定后执行。</w:t>
      </w:r>
    </w:p>
    <w:p w14:paraId="289BF43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承包人报价浮动率按下列公式计算：承包人报价浮动率=(1-中标价/最高限价)X100%。</w:t>
      </w:r>
    </w:p>
    <w:p w14:paraId="247E91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(1)人工单价：《重庆工程造价信息》</w:t>
      </w:r>
      <w:r>
        <w:rPr>
          <w:rFonts w:hint="eastAsia" w:ascii="宋体" w:hAnsi="宋体" w:eastAsia="宋体" w:cs="Times New Roman"/>
          <w:sz w:val="21"/>
          <w:szCs w:val="21"/>
          <w:highlight w:val="none"/>
          <w:u w:val="single"/>
        </w:rPr>
        <w:t>大足区2026年第4期。</w:t>
      </w:r>
    </w:p>
    <w:p w14:paraId="2901DA0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(2)材料单价：</w:t>
      </w:r>
    </w:p>
    <w:p w14:paraId="76987BB0">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u w:val="single"/>
        </w:rPr>
        <w:t>①按《重庆工程造价信息》大足区</w:t>
      </w:r>
      <w:r>
        <w:rPr>
          <w:rFonts w:hint="eastAsia" w:ascii="宋体" w:hAnsi="宋体" w:eastAsia="宋体" w:cs="Times New Roman"/>
          <w:sz w:val="21"/>
          <w:szCs w:val="21"/>
          <w:highlight w:val="none"/>
          <w:u w:val="single"/>
        </w:rPr>
        <w:t>2026年第4期、主城区2026年第4期执行；</w:t>
      </w:r>
    </w:p>
    <w:p w14:paraId="38B837F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②开标当期《重庆工程造价》中没有的，承包人投标报价中有的，按承包人投标报价中相同材料单价的最低值执行；</w:t>
      </w:r>
    </w:p>
    <w:p w14:paraId="20E6AA2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③开标当期《重庆工程造价》和承包人投标报价没有的，由承包人申报、监理人会同发包人根据市场行情认质核价确定。</w:t>
      </w:r>
    </w:p>
    <w:p w14:paraId="23A1216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(3)企业管理费和利润：按承包人投标报价中相同工程分类的费用标准执行(投标报价中费用标准高于《重庆市建设工程费用定额》(CQFYDE-2018)费用标准的，按《重庆市建设工程费用定额》(CQFYDE-2018)费用标准执行)。</w:t>
      </w:r>
    </w:p>
    <w:p w14:paraId="63AC13A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(4)规费：按《重庆市建设工程费用定额》(CQFYDE-2018)费用标准进行计算。</w:t>
      </w:r>
    </w:p>
    <w:p w14:paraId="2BBE52F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(5)税金：包含增值税、城市维护建设税、教育费附加、地方教育附加以及环境保护税。其中增值税按《重庆市建设工程费用定额》(CQFYDE-2018)规定及配套文件执行。</w:t>
      </w:r>
    </w:p>
    <w:p w14:paraId="580F36E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10.4.1.4己标价工程量清单中无相同项日亦无类似项日，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3AC8867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本款补充10.4.3项：</w:t>
      </w:r>
    </w:p>
    <w:p w14:paraId="27871D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33F89B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(1)安全文明施工费应按照实际发生变化的措施项目依据现行安全文明施工费计取及管理政策规定及《重庆市建设工程费用定额》(CQFYDE-2018)规定执行；</w:t>
      </w:r>
    </w:p>
    <w:p w14:paraId="6D0708C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(2)按照单价计算的措施项目费，应按照实际发生变化的措施项目，按照第10.4.1项(变更估价原则)约定执行；</w:t>
      </w:r>
    </w:p>
    <w:p w14:paraId="729862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(3)按总价(或系数)计算的措施项目费，应按照实际发生变化的措施项目费按承包人报价浮动率下浮后的金额计算；</w:t>
      </w:r>
    </w:p>
    <w:p w14:paraId="7F68CA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(4)如果承包人未事前将拟实施的方案提交给发包人确认，则应视为工程变更不引起措施项目费的调整或承包人放弃调整措施项目费的权利。</w:t>
      </w:r>
    </w:p>
    <w:p w14:paraId="091CBF26">
      <w:pPr>
        <w:widowControl/>
        <w:spacing w:line="360" w:lineRule="auto"/>
        <w:jc w:val="left"/>
        <w:outlineLvl w:val="4"/>
        <w:rPr>
          <w:rFonts w:ascii="宋体" w:hAnsi="宋体" w:eastAsia="宋体" w:cs="宋体"/>
          <w:b/>
          <w:bCs/>
          <w:kern w:val="0"/>
          <w:sz w:val="21"/>
          <w:szCs w:val="21"/>
        </w:rPr>
      </w:pPr>
      <w:bookmarkStart w:id="1426" w:name="_Toc532377375"/>
      <w:bookmarkEnd w:id="1426"/>
      <w:bookmarkStart w:id="1427" w:name="_Toc532375639"/>
      <w:r>
        <w:rPr>
          <w:rFonts w:hint="eastAsia" w:ascii="宋体" w:hAnsi="宋体" w:eastAsia="宋体" w:cs="宋体"/>
          <w:b/>
          <w:bCs/>
          <w:kern w:val="0"/>
          <w:sz w:val="21"/>
          <w:szCs w:val="21"/>
        </w:rPr>
        <w:t>1</w:t>
      </w:r>
      <w:bookmarkEnd w:id="1427"/>
      <w:bookmarkStart w:id="1428" w:name="_Toc303539150"/>
      <w:bookmarkEnd w:id="1428"/>
      <w:bookmarkStart w:id="1429" w:name="_Toc296891237"/>
      <w:bookmarkEnd w:id="1429"/>
      <w:bookmarkStart w:id="1430" w:name="_Toc304295570"/>
      <w:bookmarkEnd w:id="1430"/>
      <w:bookmarkStart w:id="1431" w:name="_Toc300934993"/>
      <w:bookmarkEnd w:id="1431"/>
      <w:bookmarkStart w:id="1432" w:name="_Toc292559402"/>
      <w:bookmarkEnd w:id="1432"/>
      <w:bookmarkStart w:id="1433" w:name="_Toc296891025"/>
      <w:bookmarkEnd w:id="1433"/>
      <w:bookmarkStart w:id="1434" w:name="_Toc292559907"/>
      <w:bookmarkEnd w:id="1434"/>
      <w:bookmarkStart w:id="1435" w:name="_Toc296346698"/>
      <w:bookmarkEnd w:id="1435"/>
      <w:bookmarkStart w:id="1436" w:name="_Toc296503197"/>
      <w:bookmarkEnd w:id="1436"/>
      <w:bookmarkStart w:id="1437" w:name="_Toc296347196"/>
      <w:bookmarkEnd w:id="1437"/>
      <w:bookmarkStart w:id="1438" w:name="_Toc296944536"/>
      <w:bookmarkEnd w:id="1438"/>
      <w:bookmarkStart w:id="1439" w:name="_Toc297048383"/>
      <w:bookmarkEnd w:id="1439"/>
      <w:bookmarkStart w:id="1440" w:name="_Toc297216203"/>
      <w:bookmarkEnd w:id="1440"/>
      <w:bookmarkStart w:id="1441" w:name="_Toc297123544"/>
      <w:bookmarkEnd w:id="1441"/>
      <w:bookmarkStart w:id="1442" w:name="_Toc312677503"/>
      <w:bookmarkEnd w:id="1442"/>
      <w:bookmarkStart w:id="1443" w:name="_Toc297120497"/>
      <w:bookmarkEnd w:id="1443"/>
      <w:bookmarkStart w:id="1444" w:name="_Toc312678029"/>
      <w:r>
        <w:rPr>
          <w:rFonts w:hint="eastAsia" w:ascii="宋体" w:hAnsi="宋体" w:eastAsia="宋体" w:cs="宋体"/>
          <w:b/>
          <w:bCs/>
          <w:kern w:val="0"/>
          <w:sz w:val="21"/>
          <w:szCs w:val="21"/>
        </w:rPr>
        <w:t>0.5承</w:t>
      </w:r>
      <w:bookmarkEnd w:id="1444"/>
      <w:bookmarkStart w:id="1445" w:name="_Toc296346704"/>
      <w:bookmarkEnd w:id="1445"/>
      <w:bookmarkStart w:id="1446" w:name="_Toc296503203"/>
      <w:bookmarkEnd w:id="1446"/>
      <w:bookmarkStart w:id="1447" w:name="_Toc297216204"/>
      <w:bookmarkEnd w:id="1447"/>
      <w:bookmarkStart w:id="1448" w:name="_Toc292559408"/>
      <w:bookmarkEnd w:id="1448"/>
      <w:bookmarkStart w:id="1449" w:name="_Toc297120503"/>
      <w:bookmarkEnd w:id="1449"/>
      <w:bookmarkStart w:id="1450" w:name="_Toc292559913"/>
      <w:bookmarkEnd w:id="1450"/>
      <w:bookmarkStart w:id="1451" w:name="_Toc296891243"/>
      <w:bookmarkEnd w:id="1451"/>
      <w:bookmarkStart w:id="1452" w:name="_Toc296891031"/>
      <w:bookmarkEnd w:id="1452"/>
      <w:bookmarkStart w:id="1453" w:name="_Toc297048389"/>
      <w:bookmarkEnd w:id="1453"/>
      <w:bookmarkStart w:id="1454" w:name="_Toc296347202"/>
      <w:bookmarkEnd w:id="1454"/>
      <w:bookmarkStart w:id="1455" w:name="_Toc303539151"/>
      <w:bookmarkEnd w:id="1455"/>
      <w:bookmarkStart w:id="1456" w:name="_Toc300934994"/>
      <w:bookmarkEnd w:id="1456"/>
      <w:bookmarkStart w:id="1457" w:name="_Toc296944542"/>
      <w:bookmarkEnd w:id="1457"/>
      <w:bookmarkStart w:id="1458" w:name="_Toc297123545"/>
      <w:bookmarkEnd w:id="1458"/>
      <w:r>
        <w:rPr>
          <w:rFonts w:hint="eastAsia" w:ascii="宋体" w:hAnsi="宋体" w:eastAsia="宋体" w:cs="宋体"/>
          <w:b/>
          <w:bCs/>
          <w:kern w:val="0"/>
          <w:sz w:val="21"/>
          <w:szCs w:val="21"/>
        </w:rPr>
        <w:t>包人的合理化建议</w:t>
      </w:r>
    </w:p>
    <w:p w14:paraId="750CC19C">
      <w:pPr>
        <w:spacing w:line="360" w:lineRule="auto"/>
        <w:jc w:val="left"/>
        <w:rPr>
          <w:rFonts w:ascii="宋体" w:hAnsi="宋体" w:eastAsia="宋体" w:cs="Times New Roman"/>
          <w:sz w:val="21"/>
          <w:szCs w:val="21"/>
        </w:rPr>
      </w:pPr>
      <w:bookmarkStart w:id="1459" w:name="_Toc297123546"/>
      <w:bookmarkEnd w:id="1459"/>
      <w:bookmarkStart w:id="1460" w:name="_Toc292559914"/>
      <w:bookmarkEnd w:id="1460"/>
      <w:bookmarkStart w:id="1461" w:name="_Toc292559409"/>
      <w:bookmarkEnd w:id="1461"/>
      <w:bookmarkStart w:id="1462" w:name="_Toc303539152"/>
      <w:bookmarkEnd w:id="1462"/>
      <w:bookmarkStart w:id="1463" w:name="_Toc296944543"/>
      <w:bookmarkEnd w:id="1463"/>
      <w:bookmarkStart w:id="1464" w:name="_Toc296891244"/>
      <w:bookmarkEnd w:id="1464"/>
      <w:bookmarkStart w:id="1465" w:name="_Toc296891032"/>
      <w:bookmarkEnd w:id="1465"/>
      <w:bookmarkStart w:id="1466" w:name="_Toc318581175"/>
      <w:bookmarkEnd w:id="1466"/>
      <w:bookmarkStart w:id="1467" w:name="_Toc312678030"/>
      <w:bookmarkEnd w:id="1467"/>
      <w:bookmarkStart w:id="1468" w:name="_Toc300934995"/>
      <w:bookmarkEnd w:id="1468"/>
      <w:bookmarkStart w:id="1469" w:name="_Toc296503204"/>
      <w:bookmarkEnd w:id="1469"/>
      <w:bookmarkStart w:id="1470" w:name="_Toc297048390"/>
      <w:bookmarkEnd w:id="1470"/>
      <w:bookmarkStart w:id="1471" w:name="_Toc304295571"/>
      <w:bookmarkEnd w:id="1471"/>
      <w:bookmarkStart w:id="1472" w:name="_Toc297120504"/>
      <w:bookmarkEnd w:id="1472"/>
      <w:bookmarkStart w:id="1473" w:name="_Toc297216205"/>
      <w:bookmarkEnd w:id="1473"/>
      <w:bookmarkStart w:id="1474" w:name="_Toc312677504"/>
      <w:bookmarkEnd w:id="1474"/>
      <w:bookmarkStart w:id="1475" w:name="_Toc296346705"/>
      <w:bookmarkEnd w:id="1475"/>
      <w:bookmarkStart w:id="1476" w:name="_Toc296347203"/>
      <w:r>
        <w:rPr>
          <w:rFonts w:hint="eastAsia" w:ascii="宋体" w:hAnsi="宋体" w:eastAsia="宋体" w:cs="Times New Roman"/>
          <w:sz w:val="21"/>
          <w:szCs w:val="21"/>
        </w:rPr>
        <w:t>承包人提出合理化建议的，应向监理人提交合理化建议说明，说明建议的内容和理由，以及实施该建议对合同价格和（或）工期和（或）工程经济效益的影响。</w:t>
      </w:r>
      <w:bookmarkEnd w:id="1476"/>
    </w:p>
    <w:p w14:paraId="2890FCF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监理人审查承包人合理化建议的期限：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422C37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发包人审批承包人合理化建议的期限：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705425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承包人提出的合理化建议降低了合同价格或缩短了工期或者提高了工程经济效益的奖励的方法和金额为：</w:t>
      </w:r>
      <w:r>
        <w:rPr>
          <w:rFonts w:hint="eastAsia" w:ascii="宋体" w:hAnsi="宋体" w:eastAsia="宋体" w:cs="Times New Roman"/>
          <w:sz w:val="21"/>
          <w:szCs w:val="21"/>
          <w:u w:val="single"/>
        </w:rPr>
        <w:t>无</w:t>
      </w:r>
      <w:r>
        <w:rPr>
          <w:rFonts w:hint="eastAsia" w:ascii="宋体" w:hAnsi="宋体" w:eastAsia="宋体" w:cs="Times New Roman"/>
          <w:sz w:val="21"/>
          <w:szCs w:val="21"/>
        </w:rPr>
        <w:t>。</w:t>
      </w:r>
    </w:p>
    <w:p w14:paraId="3631D6ED">
      <w:pPr>
        <w:widowControl/>
        <w:spacing w:line="360" w:lineRule="auto"/>
        <w:jc w:val="left"/>
        <w:outlineLvl w:val="4"/>
        <w:rPr>
          <w:rFonts w:ascii="宋体" w:hAnsi="宋体" w:eastAsia="宋体" w:cs="宋体"/>
          <w:b/>
          <w:bCs/>
          <w:kern w:val="0"/>
          <w:sz w:val="21"/>
          <w:szCs w:val="21"/>
        </w:rPr>
      </w:pPr>
      <w:bookmarkStart w:id="1477" w:name="_Toc532375640"/>
      <w:bookmarkEnd w:id="1477"/>
      <w:bookmarkStart w:id="1478" w:name="_Toc532377376"/>
      <w:bookmarkEnd w:id="1478"/>
      <w:r>
        <w:rPr>
          <w:rFonts w:hint="eastAsia" w:ascii="宋体" w:hAnsi="宋体" w:eastAsia="宋体" w:cs="宋体"/>
          <w:b/>
          <w:bCs/>
          <w:kern w:val="0"/>
          <w:sz w:val="21"/>
          <w:szCs w:val="21"/>
        </w:rPr>
        <w:t>1</w:t>
      </w:r>
      <w:bookmarkStart w:id="1479" w:name="_Toc297123548"/>
      <w:bookmarkEnd w:id="1479"/>
      <w:bookmarkStart w:id="1480" w:name="_Toc312678033"/>
      <w:bookmarkEnd w:id="1480"/>
      <w:bookmarkStart w:id="1481" w:name="_Toc296347198"/>
      <w:bookmarkEnd w:id="1481"/>
      <w:bookmarkStart w:id="1482" w:name="_Toc296944538"/>
      <w:bookmarkEnd w:id="1482"/>
      <w:bookmarkStart w:id="1483" w:name="_Toc300934997"/>
      <w:bookmarkEnd w:id="1483"/>
      <w:bookmarkStart w:id="1484" w:name="_Toc304295574"/>
      <w:bookmarkEnd w:id="1484"/>
      <w:bookmarkStart w:id="1485" w:name="_Toc292559909"/>
      <w:bookmarkEnd w:id="1485"/>
      <w:bookmarkStart w:id="1486" w:name="_Toc297120499"/>
      <w:bookmarkEnd w:id="1486"/>
      <w:bookmarkStart w:id="1487" w:name="_Toc296503199"/>
      <w:bookmarkEnd w:id="1487"/>
      <w:bookmarkStart w:id="1488" w:name="_Toc312677507"/>
      <w:bookmarkEnd w:id="1488"/>
      <w:bookmarkStart w:id="1489" w:name="_Toc296891239"/>
      <w:bookmarkEnd w:id="1489"/>
      <w:bookmarkStart w:id="1490" w:name="_Toc296891027"/>
      <w:bookmarkEnd w:id="1490"/>
      <w:bookmarkStart w:id="1491" w:name="_Toc292559404"/>
      <w:bookmarkEnd w:id="1491"/>
      <w:bookmarkStart w:id="1492" w:name="_Toc296346700"/>
      <w:bookmarkEnd w:id="1492"/>
      <w:bookmarkStart w:id="1493" w:name="_Toc303539154"/>
      <w:bookmarkEnd w:id="1493"/>
      <w:bookmarkStart w:id="1494" w:name="_Toc297216207"/>
      <w:bookmarkEnd w:id="1494"/>
      <w:bookmarkStart w:id="1495" w:name="_Toc297048385"/>
      <w:r>
        <w:rPr>
          <w:rFonts w:hint="eastAsia" w:ascii="宋体" w:hAnsi="宋体" w:eastAsia="宋体" w:cs="宋体"/>
          <w:b/>
          <w:bCs/>
          <w:kern w:val="0"/>
          <w:sz w:val="21"/>
          <w:szCs w:val="21"/>
        </w:rPr>
        <w:t>0.7 暂估价</w:t>
      </w:r>
      <w:bookmarkEnd w:id="1495"/>
    </w:p>
    <w:p w14:paraId="6B8E0A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专业工程暂估价：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万元。</w:t>
      </w:r>
    </w:p>
    <w:p w14:paraId="1063D3B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3CD5F28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单项合同暂估价在国家相关法律法规规定必须招标规模以上的，需依法必须招标的，由承包人、发包人共同招标确定。</w:t>
      </w:r>
    </w:p>
    <w:p w14:paraId="098CC1DE">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10.8 暂列金额</w:t>
      </w:r>
    </w:p>
    <w:p w14:paraId="42C89E30">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合同当事人关于暂列金额使用的约定：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暂列金额应由监理人报发包人批准后指令全部或部分地使用，或者根本不予动用</w:t>
      </w:r>
      <w:r>
        <w:rPr>
          <w:rFonts w:hint="eastAsia" w:ascii="宋体" w:hAnsi="宋体" w:eastAsia="宋体" w:cs="Times New Roman"/>
          <w:kern w:val="0"/>
          <w:sz w:val="21"/>
          <w:szCs w:val="21"/>
        </w:rPr>
        <w:t>。</w:t>
      </w:r>
    </w:p>
    <w:p w14:paraId="0086FDB5">
      <w:pPr>
        <w:keepNext/>
        <w:keepLines/>
        <w:spacing w:line="360" w:lineRule="auto"/>
        <w:outlineLvl w:val="3"/>
        <w:rPr>
          <w:rFonts w:ascii="宋体" w:hAnsi="宋体" w:eastAsia="宋体" w:cs="宋体"/>
          <w:b/>
          <w:sz w:val="21"/>
          <w:szCs w:val="21"/>
        </w:rPr>
      </w:pPr>
      <w:bookmarkStart w:id="1496" w:name="_Toc532377378"/>
      <w:bookmarkEnd w:id="1496"/>
      <w:bookmarkStart w:id="1497" w:name="_Toc532375642"/>
      <w:bookmarkEnd w:id="1497"/>
      <w:bookmarkStart w:id="1498" w:name="_Toc351203643"/>
      <w:r>
        <w:rPr>
          <w:rFonts w:hint="eastAsia" w:ascii="宋体" w:hAnsi="宋体" w:eastAsia="宋体" w:cs="宋体"/>
          <w:b/>
          <w:bCs/>
          <w:sz w:val="21"/>
          <w:szCs w:val="21"/>
        </w:rPr>
        <w:t>11. 价格调整</w:t>
      </w:r>
      <w:bookmarkEnd w:id="1498"/>
    </w:p>
    <w:p w14:paraId="7B70ADD5">
      <w:pPr>
        <w:widowControl/>
        <w:spacing w:line="360" w:lineRule="auto"/>
        <w:jc w:val="left"/>
        <w:outlineLvl w:val="4"/>
        <w:rPr>
          <w:rFonts w:ascii="宋体" w:hAnsi="宋体" w:eastAsia="宋体" w:cs="宋体"/>
          <w:b/>
          <w:bCs/>
          <w:kern w:val="0"/>
          <w:sz w:val="21"/>
          <w:szCs w:val="21"/>
        </w:rPr>
      </w:pPr>
      <w:bookmarkStart w:id="1499" w:name="_Toc297216209"/>
      <w:bookmarkEnd w:id="1499"/>
      <w:bookmarkStart w:id="1500" w:name="_Toc312678039"/>
      <w:bookmarkEnd w:id="1500"/>
      <w:bookmarkStart w:id="1501" w:name="_Toc296891241"/>
      <w:bookmarkEnd w:id="1501"/>
      <w:bookmarkStart w:id="1502" w:name="_Toc303539157"/>
      <w:bookmarkEnd w:id="1502"/>
      <w:bookmarkStart w:id="1503" w:name="_Toc296891029"/>
      <w:bookmarkEnd w:id="1503"/>
      <w:bookmarkStart w:id="1504" w:name="_Toc296944540"/>
      <w:bookmarkEnd w:id="1504"/>
      <w:bookmarkStart w:id="1505" w:name="_Toc297048387"/>
      <w:bookmarkEnd w:id="1505"/>
      <w:bookmarkStart w:id="1506" w:name="_Toc296347200"/>
      <w:bookmarkEnd w:id="1506"/>
      <w:bookmarkStart w:id="1507" w:name="_Toc297120501"/>
      <w:bookmarkEnd w:id="1507"/>
      <w:bookmarkStart w:id="1508" w:name="_Toc532377379"/>
      <w:bookmarkEnd w:id="1508"/>
      <w:bookmarkStart w:id="1509" w:name="_Toc300935000"/>
      <w:bookmarkEnd w:id="1509"/>
      <w:bookmarkStart w:id="1510" w:name="_Toc292559911"/>
      <w:bookmarkEnd w:id="1510"/>
      <w:bookmarkStart w:id="1511" w:name="_Toc304295577"/>
      <w:bookmarkEnd w:id="1511"/>
      <w:bookmarkStart w:id="1512" w:name="_Toc297123550"/>
      <w:bookmarkEnd w:id="1512"/>
      <w:bookmarkStart w:id="1513" w:name="_Toc296503201"/>
      <w:bookmarkEnd w:id="1513"/>
      <w:bookmarkStart w:id="1514" w:name="_Toc532375643"/>
      <w:bookmarkEnd w:id="1514"/>
      <w:bookmarkStart w:id="1515" w:name="_Toc296346702"/>
      <w:bookmarkEnd w:id="1515"/>
      <w:bookmarkStart w:id="1516" w:name="_Toc292559406"/>
      <w:r>
        <w:rPr>
          <w:rFonts w:hint="eastAsia" w:ascii="宋体" w:hAnsi="宋体" w:eastAsia="宋体" w:cs="宋体"/>
          <w:b/>
          <w:bCs/>
          <w:kern w:val="0"/>
          <w:sz w:val="21"/>
          <w:szCs w:val="21"/>
        </w:rPr>
        <w:t xml:space="preserve">11.1 </w:t>
      </w:r>
      <w:bookmarkEnd w:id="1516"/>
      <w:r>
        <w:rPr>
          <w:rFonts w:hint="eastAsia" w:ascii="宋体" w:hAnsi="宋体" w:eastAsia="宋体" w:cs="宋体"/>
          <w:b/>
          <w:bCs/>
          <w:kern w:val="0"/>
          <w:sz w:val="21"/>
          <w:szCs w:val="21"/>
        </w:rPr>
        <w:t>市场价格波动引起的调整</w:t>
      </w:r>
    </w:p>
    <w:p w14:paraId="611C0049">
      <w:pPr>
        <w:spacing w:line="360" w:lineRule="auto"/>
        <w:jc w:val="left"/>
        <w:rPr>
          <w:rFonts w:ascii="宋体" w:hAnsi="宋体" w:eastAsia="宋体" w:cs="Times New Roman"/>
          <w:sz w:val="21"/>
          <w:szCs w:val="21"/>
        </w:rPr>
      </w:pPr>
      <w:bookmarkStart w:id="1517" w:name="_Toc297120505"/>
      <w:bookmarkEnd w:id="1517"/>
      <w:bookmarkStart w:id="1518" w:name="_Toc292559915"/>
      <w:bookmarkEnd w:id="1518"/>
      <w:bookmarkStart w:id="1519" w:name="_Toc300935002"/>
      <w:bookmarkEnd w:id="1519"/>
      <w:bookmarkStart w:id="1520" w:name="_Toc296891033"/>
      <w:bookmarkEnd w:id="1520"/>
      <w:bookmarkStart w:id="1521" w:name="_Toc292559410"/>
      <w:bookmarkEnd w:id="1521"/>
      <w:bookmarkStart w:id="1522" w:name="_Toc297216211"/>
      <w:bookmarkEnd w:id="1522"/>
      <w:bookmarkStart w:id="1523" w:name="_Toc297048391"/>
      <w:bookmarkEnd w:id="1523"/>
      <w:bookmarkStart w:id="1524" w:name="_Toc297123552"/>
      <w:bookmarkEnd w:id="1524"/>
      <w:bookmarkStart w:id="1525" w:name="_Toc296891245"/>
      <w:bookmarkEnd w:id="1525"/>
      <w:bookmarkStart w:id="1526" w:name="_Toc312678040"/>
      <w:bookmarkEnd w:id="1526"/>
      <w:bookmarkStart w:id="1527" w:name="_Toc296503205"/>
      <w:bookmarkEnd w:id="1527"/>
      <w:bookmarkStart w:id="1528" w:name="_Toc296944544"/>
      <w:bookmarkEnd w:id="1528"/>
      <w:bookmarkStart w:id="1529" w:name="_Toc296347204"/>
      <w:bookmarkEnd w:id="1529"/>
      <w:bookmarkStart w:id="1530" w:name="_Toc296346706"/>
      <w:bookmarkEnd w:id="1530"/>
      <w:bookmarkStart w:id="1531" w:name="_Toc351203644"/>
      <w:bookmarkEnd w:id="1531"/>
      <w:bookmarkStart w:id="1532" w:name="_Toc303539159"/>
      <w:bookmarkEnd w:id="1532"/>
      <w:bookmarkStart w:id="1533" w:name="_Toc304295579"/>
      <w:bookmarkEnd w:id="1533"/>
      <w:r>
        <w:rPr>
          <w:rFonts w:hint="eastAsia" w:ascii="宋体" w:hAnsi="宋体" w:eastAsia="宋体" w:cs="Times New Roman"/>
          <w:sz w:val="21"/>
          <w:szCs w:val="21"/>
        </w:rPr>
        <w:t>市场价格波动是否调整合同价格的约定：</w:t>
      </w:r>
      <w:r>
        <w:rPr>
          <w:rFonts w:hint="eastAsia" w:ascii="宋体" w:hAnsi="宋体" w:eastAsia="宋体" w:cs="Times New Roman"/>
          <w:sz w:val="21"/>
          <w:szCs w:val="21"/>
          <w:u w:val="single"/>
        </w:rPr>
        <w:t xml:space="preserve">   不调整</w:t>
      </w:r>
      <w:r>
        <w:rPr>
          <w:rFonts w:hint="eastAsia" w:ascii="Times New Roman" w:hAnsi="Times New Roman" w:eastAsia="宋体" w:cs="Times New Roman"/>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3F51E09">
      <w:pPr>
        <w:keepNext/>
        <w:keepLines/>
        <w:numPr>
          <w:ilvl w:val="0"/>
          <w:numId w:val="17"/>
        </w:numPr>
        <w:spacing w:line="360" w:lineRule="auto"/>
        <w:outlineLvl w:val="3"/>
        <w:rPr>
          <w:rFonts w:ascii="宋体" w:hAnsi="宋体" w:eastAsia="宋体" w:cs="宋体"/>
          <w:b/>
          <w:bCs/>
          <w:sz w:val="21"/>
          <w:szCs w:val="21"/>
        </w:rPr>
      </w:pPr>
      <w:bookmarkStart w:id="1534" w:name="_Toc532375646"/>
      <w:bookmarkEnd w:id="1534"/>
      <w:bookmarkStart w:id="1535" w:name="_Toc532377382"/>
      <w:bookmarkEnd w:id="1535"/>
      <w:r>
        <w:rPr>
          <w:rFonts w:hint="eastAsia" w:ascii="宋体" w:hAnsi="宋体" w:eastAsia="宋体" w:cs="宋体"/>
          <w:b/>
          <w:bCs/>
          <w:sz w:val="21"/>
          <w:szCs w:val="21"/>
        </w:rPr>
        <w:t>合同价格、计量与支付</w:t>
      </w:r>
    </w:p>
    <w:p w14:paraId="26CF2AD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12.1 合同价格形式</w:t>
      </w:r>
    </w:p>
    <w:p w14:paraId="70DE8D76">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单价合同。</w:t>
      </w:r>
    </w:p>
    <w:p w14:paraId="0A832C48">
      <w:pPr>
        <w:spacing w:line="360" w:lineRule="auto"/>
        <w:jc w:val="left"/>
        <w:rPr>
          <w:rFonts w:ascii="宋体" w:hAnsi="宋体" w:eastAsia="宋体" w:cs="Times New Roman"/>
          <w:sz w:val="21"/>
          <w:szCs w:val="21"/>
        </w:rPr>
      </w:pPr>
      <w:bookmarkStart w:id="1536" w:name="_Toc296944546"/>
      <w:bookmarkEnd w:id="1536"/>
      <w:bookmarkStart w:id="1537" w:name="_Toc296346708"/>
      <w:bookmarkEnd w:id="1537"/>
      <w:bookmarkStart w:id="1538" w:name="_Toc297048393"/>
      <w:bookmarkEnd w:id="1538"/>
      <w:bookmarkStart w:id="1539" w:name="_Toc292559412"/>
      <w:bookmarkEnd w:id="1539"/>
      <w:bookmarkStart w:id="1540" w:name="_Toc296503207"/>
      <w:bookmarkEnd w:id="1540"/>
      <w:bookmarkStart w:id="1541" w:name="_Toc296891035"/>
      <w:bookmarkEnd w:id="1541"/>
      <w:bookmarkStart w:id="1542" w:name="_Toc296891247"/>
      <w:bookmarkEnd w:id="1542"/>
      <w:bookmarkStart w:id="1543" w:name="_Toc292559917"/>
      <w:bookmarkEnd w:id="1543"/>
      <w:bookmarkStart w:id="1544" w:name="_Toc297120507"/>
      <w:bookmarkEnd w:id="1544"/>
      <w:bookmarkStart w:id="1545" w:name="_Toc296347206"/>
      <w:r>
        <w:rPr>
          <w:rFonts w:hint="eastAsia" w:ascii="宋体" w:hAnsi="宋体" w:eastAsia="宋体" w:cs="Times New Roman"/>
          <w:sz w:val="21"/>
          <w:szCs w:val="21"/>
        </w:rPr>
        <w:t>12.2.1 预付款的支付</w:t>
      </w:r>
      <w:bookmarkEnd w:id="1545"/>
    </w:p>
    <w:p w14:paraId="7751B3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预付款支付比例或金额：</w:t>
      </w:r>
      <w:r>
        <w:rPr>
          <w:rFonts w:hint="eastAsia" w:ascii="宋体" w:hAnsi="宋体" w:eastAsia="宋体" w:cs="Times New Roman"/>
          <w:sz w:val="21"/>
          <w:szCs w:val="21"/>
          <w:u w:val="single"/>
        </w:rPr>
        <w:t xml:space="preserve">  不支付预付款   </w:t>
      </w:r>
      <w:r>
        <w:rPr>
          <w:rFonts w:hint="eastAsia" w:ascii="宋体" w:hAnsi="宋体" w:eastAsia="宋体" w:cs="Times New Roman"/>
          <w:sz w:val="21"/>
          <w:szCs w:val="21"/>
        </w:rPr>
        <w:t>。</w:t>
      </w:r>
    </w:p>
    <w:p w14:paraId="54D860B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C291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预付款扣回的方式：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CD939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12.2.2 预付款担保</w:t>
      </w:r>
    </w:p>
    <w:p w14:paraId="433AA4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承包人提交预付款担保的期限：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529849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预付款担保的形式为：</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24EC0">
      <w:pPr>
        <w:widowControl/>
        <w:spacing w:line="360" w:lineRule="auto"/>
        <w:jc w:val="left"/>
        <w:outlineLvl w:val="4"/>
        <w:rPr>
          <w:rFonts w:ascii="宋体" w:hAnsi="宋体" w:eastAsia="宋体" w:cs="宋体"/>
          <w:b/>
          <w:bCs/>
          <w:kern w:val="0"/>
          <w:sz w:val="21"/>
          <w:szCs w:val="21"/>
        </w:rPr>
      </w:pPr>
      <w:bookmarkStart w:id="1546" w:name="_Toc532377385"/>
      <w:bookmarkEnd w:id="1546"/>
      <w:bookmarkStart w:id="1547" w:name="_Toc532375649"/>
      <w:bookmarkEnd w:id="1547"/>
      <w:r>
        <w:rPr>
          <w:rFonts w:hint="eastAsia" w:ascii="宋体" w:hAnsi="宋体" w:eastAsia="宋体" w:cs="宋体"/>
          <w:b/>
          <w:bCs/>
          <w:kern w:val="0"/>
          <w:sz w:val="21"/>
          <w:szCs w:val="21"/>
        </w:rPr>
        <w:t>12.3 计量</w:t>
      </w:r>
    </w:p>
    <w:p w14:paraId="748DD089">
      <w:pPr>
        <w:spacing w:line="360" w:lineRule="auto"/>
        <w:jc w:val="left"/>
        <w:rPr>
          <w:rFonts w:ascii="宋体" w:hAnsi="宋体" w:eastAsia="宋体" w:cs="Times New Roman"/>
          <w:sz w:val="21"/>
          <w:szCs w:val="21"/>
        </w:rPr>
      </w:pPr>
      <w:bookmarkStart w:id="1548" w:name="_Hlk528928260"/>
      <w:bookmarkEnd w:id="1548"/>
      <w:r>
        <w:rPr>
          <w:rFonts w:hint="eastAsia" w:ascii="宋体" w:hAnsi="宋体" w:eastAsia="宋体" w:cs="Times New Roman"/>
          <w:sz w:val="21"/>
          <w:szCs w:val="21"/>
        </w:rPr>
        <w:t>12.3.1 计量原则</w:t>
      </w:r>
    </w:p>
    <w:p w14:paraId="6BACE8FF">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工程量计算规则：按《建设工程工程量清单计价规范》（</w:t>
      </w:r>
      <w:r>
        <w:rPr>
          <w:rFonts w:hint="eastAsia" w:ascii="Times New Roman" w:hAnsi="Times New Roman" w:eastAsia="宋体" w:cs="Times New Roman"/>
          <w:sz w:val="21"/>
          <w:szCs w:val="21"/>
        </w:rPr>
        <w:t>GB50500-2013</w:t>
      </w:r>
      <w:r>
        <w:rPr>
          <w:rFonts w:hint="eastAsia" w:ascii="宋体" w:hAnsi="宋体" w:eastAsia="宋体" w:cs="Times New Roman"/>
          <w:sz w:val="21"/>
          <w:szCs w:val="21"/>
        </w:rPr>
        <w:t>）、《市政工程工程量计算规范》（</w:t>
      </w:r>
      <w:r>
        <w:rPr>
          <w:rFonts w:hint="eastAsia" w:ascii="Times New Roman" w:hAnsi="Times New Roman" w:eastAsia="宋体" w:cs="Times New Roman"/>
          <w:sz w:val="21"/>
          <w:szCs w:val="21"/>
        </w:rPr>
        <w:t>GB50857-2013</w:t>
      </w:r>
      <w:r>
        <w:rPr>
          <w:rFonts w:hint="eastAsia" w:ascii="宋体" w:hAnsi="宋体" w:eastAsia="宋体" w:cs="Times New Roman"/>
          <w:sz w:val="21"/>
          <w:szCs w:val="21"/>
        </w:rPr>
        <w:t>）、《通用安装工程工程量计算规范》（</w:t>
      </w:r>
      <w:r>
        <w:rPr>
          <w:rFonts w:hint="eastAsia" w:ascii="Times New Roman" w:hAnsi="Times New Roman" w:eastAsia="宋体" w:cs="Times New Roman"/>
          <w:sz w:val="21"/>
          <w:szCs w:val="21"/>
        </w:rPr>
        <w:t>GB50856-2013</w:t>
      </w:r>
      <w:r>
        <w:rPr>
          <w:rFonts w:hint="eastAsia" w:ascii="宋体" w:hAnsi="宋体" w:eastAsia="宋体" w:cs="Times New Roman"/>
          <w:sz w:val="21"/>
          <w:szCs w:val="21"/>
        </w:rPr>
        <w:t>）、（</w:t>
      </w:r>
      <w:r>
        <w:rPr>
          <w:rFonts w:hint="eastAsia" w:ascii="Times New Roman" w:hAnsi="Times New Roman" w:eastAsia="宋体" w:cs="Times New Roman"/>
          <w:sz w:val="21"/>
          <w:szCs w:val="21"/>
        </w:rPr>
        <w:t>GB50858-2013</w:t>
      </w:r>
      <w:r>
        <w:rPr>
          <w:rFonts w:hint="eastAsia" w:ascii="宋体" w:hAnsi="宋体" w:eastAsia="宋体" w:cs="Times New Roman"/>
          <w:sz w:val="21"/>
          <w:szCs w:val="21"/>
        </w:rPr>
        <w:t>）、《重庆市建设工程工程量清单计价规则》（</w:t>
      </w:r>
      <w:r>
        <w:rPr>
          <w:rFonts w:hint="eastAsia" w:ascii="Times New Roman" w:hAnsi="Times New Roman" w:eastAsia="宋体" w:cs="Times New Roman"/>
          <w:sz w:val="21"/>
          <w:szCs w:val="21"/>
        </w:rPr>
        <w:t>CQQDGZ-2013</w:t>
      </w:r>
      <w:r>
        <w:rPr>
          <w:rFonts w:hint="eastAsia" w:ascii="宋体" w:hAnsi="宋体" w:eastAsia="宋体" w:cs="Times New Roman"/>
          <w:sz w:val="21"/>
          <w:szCs w:val="21"/>
        </w:rPr>
        <w:t>）、《重庆市建设工程工程量计算规则》（</w:t>
      </w:r>
      <w:r>
        <w:rPr>
          <w:rFonts w:hint="eastAsia" w:ascii="Times New Roman" w:hAnsi="Times New Roman" w:eastAsia="宋体" w:cs="Times New Roman"/>
          <w:sz w:val="21"/>
          <w:szCs w:val="21"/>
        </w:rPr>
        <w:t>CQJLGZ-2013</w:t>
      </w:r>
      <w:r>
        <w:rPr>
          <w:rFonts w:hint="eastAsia" w:ascii="宋体" w:hAnsi="宋体" w:eastAsia="宋体" w:cs="Times New Roman"/>
          <w:sz w:val="21"/>
          <w:szCs w:val="21"/>
        </w:rPr>
        <w:t>）、（</w:t>
      </w:r>
      <w:r>
        <w:rPr>
          <w:rFonts w:hint="eastAsia" w:ascii="Times New Roman" w:hAnsi="Times New Roman" w:eastAsia="宋体" w:cs="Times New Roman"/>
          <w:sz w:val="21"/>
          <w:szCs w:val="21"/>
        </w:rPr>
        <w:t>CQFYDE-2018</w:t>
      </w:r>
      <w:r>
        <w:rPr>
          <w:rFonts w:hint="eastAsia" w:ascii="宋体" w:hAnsi="宋体" w:eastAsia="宋体" w:cs="Times New Roman"/>
          <w:sz w:val="21"/>
          <w:szCs w:val="21"/>
        </w:rPr>
        <w:t>）《重庆市建设工程费用定额》、（</w:t>
      </w:r>
      <w:r>
        <w:rPr>
          <w:rFonts w:hint="eastAsia" w:ascii="Times New Roman" w:hAnsi="Times New Roman" w:eastAsia="宋体" w:cs="Times New Roman"/>
          <w:sz w:val="21"/>
          <w:szCs w:val="21"/>
        </w:rPr>
        <w:t>CQJZZSDE-2018</w:t>
      </w:r>
      <w:r>
        <w:rPr>
          <w:rFonts w:hint="eastAsia" w:ascii="宋体" w:hAnsi="宋体" w:eastAsia="宋体" w:cs="Times New Roman"/>
          <w:sz w:val="21"/>
          <w:szCs w:val="21"/>
        </w:rPr>
        <w:t>）《重庆市建筑与装饰工程计价定额》、（</w:t>
      </w:r>
      <w:r>
        <w:rPr>
          <w:rFonts w:hint="eastAsia" w:ascii="Times New Roman" w:hAnsi="Times New Roman" w:eastAsia="宋体" w:cs="Times New Roman"/>
          <w:sz w:val="21"/>
          <w:szCs w:val="21"/>
        </w:rPr>
        <w:t>CQSZDE-2018</w:t>
      </w:r>
      <w:r>
        <w:rPr>
          <w:rFonts w:hint="eastAsia" w:ascii="宋体" w:hAnsi="宋体" w:eastAsia="宋体" w:cs="Times New Roman"/>
          <w:sz w:val="21"/>
          <w:szCs w:val="21"/>
        </w:rPr>
        <w:t>）《重庆市市政工程计价定额》、（</w:t>
      </w:r>
      <w:r>
        <w:rPr>
          <w:rFonts w:hint="eastAsia" w:ascii="Times New Roman" w:hAnsi="Times New Roman" w:eastAsia="宋体" w:cs="Times New Roman"/>
          <w:sz w:val="21"/>
          <w:szCs w:val="21"/>
        </w:rPr>
        <w:t>CQAZDE-2018</w:t>
      </w:r>
      <w:r>
        <w:rPr>
          <w:rFonts w:hint="eastAsia" w:ascii="宋体" w:hAnsi="宋体" w:eastAsia="宋体" w:cs="Times New Roman"/>
          <w:sz w:val="21"/>
          <w:szCs w:val="21"/>
        </w:rPr>
        <w:t>）《重庆市通用安装工程计价定额》、（</w:t>
      </w:r>
      <w:r>
        <w:rPr>
          <w:rFonts w:hint="eastAsia" w:ascii="Times New Roman" w:hAnsi="Times New Roman" w:eastAsia="宋体" w:cs="Times New Roman"/>
          <w:sz w:val="21"/>
          <w:szCs w:val="21"/>
        </w:rPr>
        <w:t>CQPHBB-2018</w:t>
      </w:r>
      <w:r>
        <w:rPr>
          <w:rFonts w:hint="eastAsia" w:ascii="宋体" w:hAnsi="宋体" w:eastAsia="宋体" w:cs="Times New Roman"/>
          <w:sz w:val="21"/>
          <w:szCs w:val="21"/>
        </w:rPr>
        <w:t>）《重庆市建筑工程混凝土及砂浆配合比表定额》、（</w:t>
      </w:r>
      <w:r>
        <w:rPr>
          <w:rFonts w:hint="eastAsia" w:ascii="Times New Roman" w:hAnsi="Times New Roman" w:eastAsia="宋体" w:cs="Times New Roman"/>
          <w:sz w:val="21"/>
          <w:szCs w:val="21"/>
        </w:rPr>
        <w:t>CQYQYBDE-2018</w:t>
      </w:r>
      <w:r>
        <w:rPr>
          <w:rFonts w:hint="eastAsia" w:ascii="宋体" w:hAnsi="宋体" w:eastAsia="宋体" w:cs="Times New Roman"/>
          <w:sz w:val="21"/>
          <w:szCs w:val="21"/>
        </w:rPr>
        <w:t>）《重庆市建筑工程施工仪器仪表台班定额》等相关定额、渝建（</w:t>
      </w:r>
      <w:r>
        <w:rPr>
          <w:rFonts w:hint="eastAsia" w:ascii="Times New Roman" w:hAnsi="Times New Roman" w:eastAsia="宋体" w:cs="Times New Roman"/>
          <w:sz w:val="21"/>
          <w:szCs w:val="21"/>
        </w:rPr>
        <w:t>2019</w:t>
      </w:r>
      <w:r>
        <w:rPr>
          <w:rFonts w:hint="eastAsia" w:ascii="宋体" w:hAnsi="宋体" w:eastAsia="宋体" w:cs="Times New Roman"/>
          <w:sz w:val="21"/>
          <w:szCs w:val="21"/>
        </w:rPr>
        <w:t>）</w:t>
      </w:r>
      <w:r>
        <w:rPr>
          <w:rFonts w:hint="eastAsia" w:ascii="Times New Roman" w:hAnsi="Times New Roman" w:eastAsia="宋体" w:cs="Times New Roman"/>
          <w:sz w:val="21"/>
          <w:szCs w:val="21"/>
        </w:rPr>
        <w:t>143</w:t>
      </w:r>
      <w:r>
        <w:rPr>
          <w:rFonts w:hint="eastAsia" w:ascii="宋体" w:hAnsi="宋体" w:eastAsia="宋体" w:cs="Times New Roman"/>
          <w:sz w:val="21"/>
          <w:szCs w:val="21"/>
        </w:rPr>
        <w:t>号等相关规范、文件规定的计算规则计量。</w:t>
      </w:r>
    </w:p>
    <w:p w14:paraId="0E86E4D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12.3.2 计量周期</w:t>
      </w:r>
    </w:p>
    <w:p w14:paraId="027A87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关于计量周期的约定：</w:t>
      </w:r>
      <w:r>
        <w:rPr>
          <w:rFonts w:hint="eastAsia" w:ascii="宋体" w:hAnsi="宋体" w:eastAsia="宋体" w:cs="Times New Roman"/>
          <w:sz w:val="21"/>
          <w:szCs w:val="21"/>
          <w:u w:val="single"/>
        </w:rPr>
        <w:t>按月计量根据具体项目实际情况可以按月、按进度、按节点等形式计量，按进度、按节点计量的参考按月计量原则执行</w:t>
      </w:r>
      <w:r>
        <w:rPr>
          <w:rFonts w:hint="eastAsia" w:ascii="宋体" w:hAnsi="宋体" w:eastAsia="宋体" w:cs="Times New Roman"/>
          <w:sz w:val="21"/>
          <w:szCs w:val="21"/>
        </w:rPr>
        <w:t>。</w:t>
      </w:r>
    </w:p>
    <w:p w14:paraId="26C4A8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12.3.3 单价合同的计量</w:t>
      </w:r>
    </w:p>
    <w:p w14:paraId="07B2B0F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关于单价合同计量的约定：</w:t>
      </w:r>
      <w:bookmarkStart w:id="1549" w:name="_Hlk528926162"/>
      <w:bookmarkEnd w:id="1549"/>
      <w:r>
        <w:rPr>
          <w:rFonts w:hint="eastAsia" w:ascii="宋体" w:hAnsi="宋体" w:eastAsia="宋体" w:cs="Times New Roman"/>
          <w:sz w:val="21"/>
          <w:szCs w:val="21"/>
          <w:u w:val="single"/>
        </w:rPr>
        <w:t>（1）承包人应于当月 10 日前向监理人报送上月已完成的工程量，并附进度付款申请单、已完成工程量报表和其他有关资料</w:t>
      </w:r>
      <w:r>
        <w:rPr>
          <w:rFonts w:hint="eastAsia" w:ascii="宋体" w:hAnsi="宋体" w:eastAsia="宋体" w:cs="Times New Roman"/>
          <w:sz w:val="21"/>
          <w:szCs w:val="21"/>
        </w:rPr>
        <w:t>。</w:t>
      </w:r>
    </w:p>
    <w:p w14:paraId="6800DD7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Times New Roman"/>
          <w:sz w:val="21"/>
          <w:szCs w:val="21"/>
        </w:rPr>
        <w:t>。</w:t>
      </w:r>
    </w:p>
    <w:p w14:paraId="776F498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Times New Roman"/>
          <w:sz w:val="21"/>
          <w:szCs w:val="21"/>
        </w:rPr>
        <w:t>。</w:t>
      </w:r>
    </w:p>
    <w:p w14:paraId="6B63F2BA">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Times New Roman"/>
          <w:sz w:val="21"/>
          <w:szCs w:val="21"/>
        </w:rPr>
        <w:t>。</w:t>
      </w:r>
    </w:p>
    <w:p w14:paraId="52B5497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12.3.4 总价合同的计量</w:t>
      </w:r>
    </w:p>
    <w:p w14:paraId="6A3034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关于总价合同计量的约定：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DB3C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12.3.5总价合同采用支付分解表计量支付的，是否适用第12.3.4 项〔总价合同的计量〕约定进行计量：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A9E2B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12.3.6 其他价格形式合同的计量</w:t>
      </w:r>
    </w:p>
    <w:p w14:paraId="54B1505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其他价格形式的计量方式和程序：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811FB01">
      <w:pPr>
        <w:widowControl/>
        <w:spacing w:line="360" w:lineRule="auto"/>
        <w:jc w:val="left"/>
        <w:outlineLvl w:val="4"/>
        <w:rPr>
          <w:rFonts w:ascii="宋体" w:hAnsi="宋体" w:eastAsia="宋体" w:cs="宋体"/>
          <w:b/>
          <w:bCs/>
          <w:kern w:val="0"/>
          <w:sz w:val="21"/>
          <w:szCs w:val="21"/>
        </w:rPr>
      </w:pPr>
      <w:bookmarkStart w:id="1550" w:name="_Hlk528928289"/>
      <w:bookmarkEnd w:id="1550"/>
      <w:bookmarkStart w:id="1551" w:name="_Toc532375650"/>
      <w:bookmarkEnd w:id="1551"/>
      <w:bookmarkStart w:id="1552" w:name="_Toc532377386"/>
      <w:r>
        <w:rPr>
          <w:rFonts w:hint="eastAsia" w:ascii="宋体" w:hAnsi="宋体" w:eastAsia="宋体" w:cs="宋体"/>
          <w:b/>
          <w:bCs/>
          <w:kern w:val="0"/>
          <w:sz w:val="21"/>
          <w:szCs w:val="21"/>
        </w:rPr>
        <w:t>12.4 工程进度款支付</w:t>
      </w:r>
      <w:bookmarkEnd w:id="1552"/>
    </w:p>
    <w:p w14:paraId="370D020C">
      <w:pPr>
        <w:spacing w:line="360" w:lineRule="auto"/>
        <w:jc w:val="left"/>
        <w:rPr>
          <w:rFonts w:ascii="宋体" w:hAnsi="宋体" w:eastAsia="宋体" w:cs="Times New Roman"/>
          <w:sz w:val="21"/>
          <w:szCs w:val="21"/>
        </w:rPr>
      </w:pPr>
      <w:bookmarkStart w:id="1553" w:name="_Toc303539172"/>
      <w:bookmarkEnd w:id="1553"/>
      <w:bookmarkStart w:id="1554" w:name="_Toc296347218"/>
      <w:bookmarkEnd w:id="1554"/>
      <w:bookmarkStart w:id="1555" w:name="_Toc304295593"/>
      <w:bookmarkEnd w:id="1555"/>
      <w:bookmarkStart w:id="1556" w:name="_Toc296891047"/>
      <w:bookmarkEnd w:id="1556"/>
      <w:bookmarkStart w:id="1557" w:name="_Toc296944558"/>
      <w:bookmarkEnd w:id="1557"/>
      <w:bookmarkStart w:id="1558" w:name="_Toc292559929"/>
      <w:bookmarkEnd w:id="1558"/>
      <w:bookmarkStart w:id="1559" w:name="_Toc532375651"/>
      <w:bookmarkEnd w:id="1559"/>
      <w:bookmarkStart w:id="1560" w:name="_Toc297123564"/>
      <w:bookmarkEnd w:id="1560"/>
      <w:bookmarkStart w:id="1561" w:name="_Toc296503219"/>
      <w:bookmarkEnd w:id="1561"/>
      <w:bookmarkStart w:id="1562" w:name="_Toc297120519"/>
      <w:bookmarkEnd w:id="1562"/>
      <w:bookmarkStart w:id="1563" w:name="_Toc296891259"/>
      <w:bookmarkEnd w:id="1563"/>
      <w:bookmarkStart w:id="1564" w:name="_Toc297048405"/>
      <w:bookmarkEnd w:id="1564"/>
      <w:bookmarkStart w:id="1565" w:name="_Toc297216223"/>
      <w:bookmarkEnd w:id="1565"/>
      <w:bookmarkStart w:id="1566" w:name="_Toc532377388"/>
      <w:bookmarkEnd w:id="1566"/>
      <w:bookmarkStart w:id="1567" w:name="_Toc351203645"/>
      <w:bookmarkEnd w:id="1567"/>
      <w:bookmarkStart w:id="1568" w:name="_Toc312678053"/>
      <w:bookmarkEnd w:id="1568"/>
      <w:bookmarkStart w:id="1569" w:name="_Toc296346720"/>
      <w:bookmarkEnd w:id="1569"/>
      <w:bookmarkStart w:id="1570" w:name="_Toc292559424"/>
      <w:bookmarkEnd w:id="1570"/>
      <w:bookmarkStart w:id="1571" w:name="_Toc300935015"/>
      <w:r>
        <w:rPr>
          <w:rFonts w:hint="eastAsia" w:ascii="宋体" w:hAnsi="宋体" w:eastAsia="宋体" w:cs="Times New Roman"/>
          <w:sz w:val="21"/>
          <w:szCs w:val="21"/>
        </w:rPr>
        <w:t>12.4.1 付款周期</w:t>
      </w:r>
      <w:bookmarkEnd w:id="1571"/>
    </w:p>
    <w:p w14:paraId="455DA9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关于付款周期的约定：</w:t>
      </w:r>
      <w:r>
        <w:rPr>
          <w:rFonts w:hint="eastAsia" w:ascii="宋体" w:hAnsi="宋体" w:eastAsia="宋体" w:cs="Times New Roman"/>
          <w:sz w:val="21"/>
          <w:szCs w:val="21"/>
          <w:u w:val="single"/>
        </w:rPr>
        <w:t xml:space="preserve">  按月计量支付进度款（按进度、按节点计量支付进度款的参考按月计量支付进度款原则执行）   </w:t>
      </w:r>
      <w:r>
        <w:rPr>
          <w:rFonts w:hint="eastAsia" w:ascii="宋体" w:hAnsi="宋体" w:eastAsia="宋体" w:cs="Times New Roman"/>
          <w:sz w:val="21"/>
          <w:szCs w:val="21"/>
        </w:rPr>
        <w:t>。</w:t>
      </w:r>
    </w:p>
    <w:p w14:paraId="1326C8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12.4.2 进度付款申请单的编制</w:t>
      </w:r>
    </w:p>
    <w:p w14:paraId="3130A0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关于进度付款申请单编制的约定：</w:t>
      </w:r>
      <w:r>
        <w:rPr>
          <w:rFonts w:hint="eastAsia" w:ascii="宋体" w:hAnsi="宋体" w:eastAsia="宋体" w:cs="Times New Roman"/>
          <w:sz w:val="21"/>
          <w:szCs w:val="21"/>
          <w:u w:val="single"/>
        </w:rPr>
        <w:t xml:space="preserve">     /   </w:t>
      </w:r>
    </w:p>
    <w:p w14:paraId="76FBFDF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12.4.3 进度付款申请单的提交</w:t>
      </w:r>
    </w:p>
    <w:p w14:paraId="6B7E94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（1）单价合同进度付款申请单提交的约定：</w:t>
      </w:r>
      <w:r>
        <w:rPr>
          <w:rFonts w:hint="eastAsia" w:ascii="宋体" w:hAnsi="宋体" w:eastAsia="宋体" w:cs="Times New Roman"/>
          <w:sz w:val="21"/>
          <w:szCs w:val="21"/>
          <w:u w:val="single"/>
        </w:rPr>
        <w:t xml:space="preserve">  /   </w:t>
      </w:r>
    </w:p>
    <w:p w14:paraId="0F8E4A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（2）总价合同进度付款申请单提交的约定：</w:t>
      </w:r>
      <w:r>
        <w:rPr>
          <w:rFonts w:hint="eastAsia" w:ascii="宋体" w:hAnsi="宋体" w:eastAsia="宋体" w:cs="Times New Roman"/>
          <w:sz w:val="21"/>
          <w:szCs w:val="21"/>
          <w:u w:val="single"/>
        </w:rPr>
        <w:t xml:space="preserve">   /  </w:t>
      </w:r>
    </w:p>
    <w:p w14:paraId="2B9B98F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（3）其他价格形式合同进度付款申请单提交的约定：</w:t>
      </w:r>
      <w:r>
        <w:rPr>
          <w:rFonts w:hint="eastAsia" w:ascii="宋体" w:hAnsi="宋体" w:eastAsia="宋体" w:cs="Times New Roman"/>
          <w:sz w:val="21"/>
          <w:szCs w:val="21"/>
          <w:u w:val="single"/>
        </w:rPr>
        <w:t xml:space="preserve">   不采用  </w:t>
      </w:r>
      <w:r>
        <w:rPr>
          <w:rFonts w:hint="eastAsia" w:ascii="宋体" w:hAnsi="宋体" w:eastAsia="宋体" w:cs="Times New Roman"/>
          <w:sz w:val="21"/>
          <w:szCs w:val="21"/>
        </w:rPr>
        <w:t>。</w:t>
      </w:r>
    </w:p>
    <w:p w14:paraId="6A3602F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12.4.4 进度款审核和支付</w:t>
      </w:r>
    </w:p>
    <w:p w14:paraId="086CC90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（1）监理人审查并报送发包人的期限：</w:t>
      </w:r>
      <w:r>
        <w:rPr>
          <w:rFonts w:hint="eastAsia" w:ascii="宋体" w:hAnsi="宋体" w:eastAsia="宋体" w:cs="Times New Roman"/>
          <w:sz w:val="21"/>
          <w:szCs w:val="21"/>
          <w:u w:val="single"/>
        </w:rPr>
        <w:t>收到完整资料后7天内。</w:t>
      </w:r>
    </w:p>
    <w:p w14:paraId="4E5EA76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发包人完成审批并签发进度款支付证书的期限：</w:t>
      </w:r>
      <w:r>
        <w:rPr>
          <w:rFonts w:hint="eastAsia" w:ascii="宋体" w:hAnsi="宋体" w:eastAsia="宋体" w:cs="Times New Roman"/>
          <w:sz w:val="21"/>
          <w:szCs w:val="21"/>
          <w:u w:val="single"/>
        </w:rPr>
        <w:t>发包人收到监理人报送资料后7天内完成审批并签发进度款支付证书。</w:t>
      </w:r>
    </w:p>
    <w:p w14:paraId="6299143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7天内（遇法定节假日顺延）完成审查并报送发包人，发包人收到监理人报送资料后7天内（遇法定节假日顺延）完成审批并向承包人签发无异议部分的临时进度款支付证书。存在争议的部分，按照合同约定的争议解决的约定处理。</w:t>
      </w:r>
    </w:p>
    <w:p w14:paraId="16F29B6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发包人签发进度款支付证书或临时进度款支付证书，不表明发包人已同意、批准或接受了承包人完成的相应部分的工作。</w:t>
      </w:r>
    </w:p>
    <w:p w14:paraId="5359F9FD">
      <w:pPr>
        <w:spacing w:line="360" w:lineRule="auto"/>
        <w:rPr>
          <w:rFonts w:ascii="宋体" w:hAnsi="宋体" w:eastAsia="宋体" w:cs="Times New Roman"/>
          <w:sz w:val="21"/>
          <w:szCs w:val="21"/>
        </w:rPr>
      </w:pPr>
      <w:r>
        <w:rPr>
          <w:rFonts w:hint="eastAsia" w:ascii="宋体" w:hAnsi="宋体" w:eastAsia="宋体" w:cs="Times New Roman"/>
          <w:sz w:val="21"/>
          <w:szCs w:val="21"/>
        </w:rPr>
        <w:t>(2)进度款支付:</w:t>
      </w:r>
    </w:p>
    <w:p w14:paraId="443B220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①发包人将上月农民工工资支付凭证作为当月进度款支付的前置条件。</w:t>
      </w:r>
    </w:p>
    <w:p w14:paraId="78AD8D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②安全生产费：合同签订后，发包人在开工前按签约合同价中安全生产费的50%支付承包人，用于现场安全文明施工建设，余下安全生产费按施工进度支付。</w:t>
      </w:r>
    </w:p>
    <w:p w14:paraId="20B283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③分部分项工程费：按承包人当期完成并经监理人和发包人审定的工程量乘以相应综合单价计算当期完成的分部分项工程费及相应的规费和税金。发包人按经监理人和发包人审定的当期完成的分部分项工程费及相应的规费和税金（不含人工费价差和材料费价差）的80%支付承包人。</w:t>
      </w:r>
    </w:p>
    <w:p w14:paraId="3760856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④其他项目费：按承包人当期完成并经监理人和发包人审定的工程量乘以相应综合单价计算当期完成的其他项目费及相应的规费和税金。发包人按经监理人和发包人审定的当期完成的其他项目费及相应的规费和税金的80%支付承包人。</w:t>
      </w:r>
    </w:p>
    <w:p w14:paraId="79668A7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⑤人工费（工资款）：发包人在签发人工费（工资款）支付证书的次月25日前，按经监理人和发包人审定的当月完成的合同价款的30%支付至承包人农民工工资专户。</w:t>
      </w:r>
    </w:p>
    <w:p w14:paraId="65A8964A">
      <w:pPr>
        <w:spacing w:line="360" w:lineRule="auto"/>
        <w:rPr>
          <w:rFonts w:ascii="宋体" w:hAnsi="宋体" w:eastAsia="宋体" w:cs="Times New Roman"/>
          <w:sz w:val="21"/>
          <w:szCs w:val="21"/>
        </w:rPr>
      </w:pPr>
      <w:r>
        <w:rPr>
          <w:rFonts w:hint="eastAsia" w:ascii="宋体" w:hAnsi="宋体" w:eastAsia="宋体" w:cs="Times New Roman"/>
          <w:sz w:val="21"/>
          <w:szCs w:val="21"/>
        </w:rPr>
        <w:t>⑥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p>
    <w:p w14:paraId="2328A891">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13. 验收和工程试车</w:t>
      </w:r>
    </w:p>
    <w:p w14:paraId="475939CF">
      <w:pPr>
        <w:widowControl/>
        <w:spacing w:line="360" w:lineRule="auto"/>
        <w:jc w:val="left"/>
        <w:outlineLvl w:val="4"/>
        <w:rPr>
          <w:rFonts w:ascii="宋体" w:hAnsi="宋体" w:eastAsia="宋体" w:cs="宋体"/>
          <w:b/>
          <w:bCs/>
          <w:kern w:val="0"/>
          <w:sz w:val="21"/>
          <w:szCs w:val="21"/>
        </w:rPr>
      </w:pPr>
      <w:bookmarkStart w:id="1572" w:name="_Toc267251470"/>
      <w:bookmarkEnd w:id="1572"/>
      <w:bookmarkStart w:id="1573" w:name="_Toc532377389"/>
      <w:bookmarkEnd w:id="1573"/>
      <w:bookmarkStart w:id="1574" w:name="_Toc267251474"/>
      <w:bookmarkEnd w:id="1574"/>
      <w:bookmarkStart w:id="1575" w:name="_Toc532377393"/>
      <w:bookmarkEnd w:id="1575"/>
      <w:bookmarkStart w:id="1576" w:name="_Toc532375656"/>
      <w:bookmarkEnd w:id="1576"/>
      <w:bookmarkStart w:id="1577" w:name="_Toc280868706"/>
      <w:bookmarkEnd w:id="1577"/>
      <w:bookmarkStart w:id="1578" w:name="_Toc267251476"/>
      <w:bookmarkEnd w:id="1578"/>
      <w:bookmarkStart w:id="1579" w:name="_Toc280868708"/>
      <w:bookmarkEnd w:id="1579"/>
      <w:bookmarkStart w:id="1580" w:name="_Toc267251473"/>
      <w:bookmarkEnd w:id="1580"/>
      <w:bookmarkStart w:id="1581" w:name="_Toc532375652"/>
      <w:bookmarkEnd w:id="1581"/>
      <w:bookmarkStart w:id="1582" w:name="_Toc267251472"/>
      <w:bookmarkEnd w:id="1582"/>
      <w:bookmarkStart w:id="1583" w:name="_Toc280868705"/>
      <w:bookmarkEnd w:id="1583"/>
      <w:bookmarkStart w:id="1584" w:name="_Toc351203646"/>
      <w:bookmarkEnd w:id="1584"/>
      <w:bookmarkStart w:id="1585" w:name="_Toc267251475"/>
      <w:bookmarkEnd w:id="1585"/>
      <w:bookmarkStart w:id="1586" w:name="_Toc280868707"/>
      <w:bookmarkEnd w:id="1586"/>
      <w:bookmarkStart w:id="1587" w:name="_Toc267251471"/>
      <w:bookmarkEnd w:id="1587"/>
      <w:bookmarkStart w:id="1588" w:name="_Toc280868704"/>
      <w:bookmarkEnd w:id="1588"/>
      <w:bookmarkStart w:id="1589" w:name="_Toc280868709"/>
      <w:r>
        <w:rPr>
          <w:rFonts w:hint="eastAsia" w:ascii="宋体" w:hAnsi="宋体" w:eastAsia="宋体" w:cs="宋体"/>
          <w:b/>
          <w:bCs/>
          <w:kern w:val="0"/>
          <w:sz w:val="21"/>
          <w:szCs w:val="21"/>
        </w:rPr>
        <w:t>13.1 分部分项工程验收</w:t>
      </w:r>
      <w:bookmarkEnd w:id="1589"/>
    </w:p>
    <w:p w14:paraId="7795CF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13.1.2 监理人不能按时进行验收时，应提前</w:t>
      </w:r>
      <w:r>
        <w:rPr>
          <w:rFonts w:hint="eastAsia" w:ascii="宋体" w:hAnsi="宋体" w:eastAsia="宋体" w:cs="Times New Roman"/>
          <w:sz w:val="21"/>
          <w:szCs w:val="21"/>
          <w:u w:val="single"/>
        </w:rPr>
        <w:t xml:space="preserve">  48   </w:t>
      </w:r>
      <w:r>
        <w:rPr>
          <w:rFonts w:hint="eastAsia" w:ascii="宋体" w:hAnsi="宋体" w:eastAsia="宋体" w:cs="Times New Roman"/>
          <w:sz w:val="21"/>
          <w:szCs w:val="21"/>
        </w:rPr>
        <w:t>小时提交书面延期要求。</w:t>
      </w:r>
    </w:p>
    <w:p w14:paraId="636F1A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72  </w:t>
      </w:r>
      <w:r>
        <w:rPr>
          <w:rFonts w:hint="eastAsia" w:ascii="宋体" w:hAnsi="宋体" w:eastAsia="宋体" w:cs="Times New Roman"/>
          <w:sz w:val="21"/>
          <w:szCs w:val="21"/>
        </w:rPr>
        <w:t>小时。</w:t>
      </w:r>
    </w:p>
    <w:p w14:paraId="5BE82D6E">
      <w:pPr>
        <w:widowControl/>
        <w:spacing w:line="360" w:lineRule="auto"/>
        <w:jc w:val="left"/>
        <w:outlineLvl w:val="4"/>
        <w:rPr>
          <w:rFonts w:ascii="宋体" w:hAnsi="宋体" w:eastAsia="宋体" w:cs="宋体"/>
          <w:b/>
          <w:bCs/>
          <w:kern w:val="0"/>
          <w:sz w:val="21"/>
          <w:szCs w:val="21"/>
        </w:rPr>
      </w:pPr>
      <w:bookmarkStart w:id="1590" w:name="_Toc296944562"/>
      <w:bookmarkEnd w:id="1590"/>
      <w:bookmarkStart w:id="1591" w:name="_Toc297216224"/>
      <w:bookmarkEnd w:id="1591"/>
      <w:bookmarkStart w:id="1592" w:name="_Toc296346724"/>
      <w:bookmarkEnd w:id="1592"/>
      <w:bookmarkStart w:id="1593" w:name="_Toc297123565"/>
      <w:bookmarkEnd w:id="1593"/>
      <w:bookmarkStart w:id="1594" w:name="_Toc292559933"/>
      <w:bookmarkEnd w:id="1594"/>
      <w:bookmarkStart w:id="1595" w:name="_Toc297048409"/>
      <w:bookmarkEnd w:id="1595"/>
      <w:bookmarkStart w:id="1596" w:name="_Toc296347222"/>
      <w:bookmarkEnd w:id="1596"/>
      <w:bookmarkStart w:id="1597" w:name="_Toc300935016"/>
      <w:bookmarkEnd w:id="1597"/>
      <w:bookmarkStart w:id="1598" w:name="_Toc303539173"/>
      <w:bookmarkEnd w:id="1598"/>
      <w:bookmarkStart w:id="1599" w:name="_Toc312678056"/>
      <w:bookmarkEnd w:id="1599"/>
      <w:bookmarkStart w:id="1600" w:name="_Toc304295596"/>
      <w:bookmarkEnd w:id="1600"/>
      <w:bookmarkStart w:id="1601" w:name="_Toc532377390"/>
      <w:bookmarkEnd w:id="1601"/>
      <w:bookmarkStart w:id="1602" w:name="_Toc532375653"/>
      <w:bookmarkEnd w:id="1602"/>
      <w:bookmarkStart w:id="1603" w:name="_Toc292559428"/>
      <w:bookmarkEnd w:id="1603"/>
      <w:bookmarkStart w:id="1604" w:name="_Toc296891263"/>
      <w:bookmarkEnd w:id="1604"/>
      <w:bookmarkStart w:id="1605" w:name="_Toc296503223"/>
      <w:bookmarkEnd w:id="1605"/>
      <w:bookmarkStart w:id="1606" w:name="_Toc296891051"/>
      <w:bookmarkEnd w:id="1606"/>
      <w:bookmarkStart w:id="1607" w:name="_Toc297120523"/>
      <w:r>
        <w:rPr>
          <w:rFonts w:hint="eastAsia" w:ascii="宋体" w:hAnsi="宋体" w:eastAsia="宋体" w:cs="宋体"/>
          <w:b/>
          <w:bCs/>
          <w:kern w:val="0"/>
          <w:sz w:val="21"/>
          <w:szCs w:val="21"/>
        </w:rPr>
        <w:t>13.2 竣工验收</w:t>
      </w:r>
      <w:bookmarkEnd w:id="1607"/>
    </w:p>
    <w:p w14:paraId="240C740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13.2.1竣工验收程序</w:t>
      </w:r>
    </w:p>
    <w:p w14:paraId="5C4628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关于竣工验收程序的约定：</w:t>
      </w:r>
      <w:r>
        <w:rPr>
          <w:rFonts w:hint="eastAsia" w:ascii="宋体" w:hAnsi="宋体" w:eastAsia="宋体" w:cs="Times New Roman"/>
          <w:sz w:val="21"/>
          <w:szCs w:val="21"/>
          <w:u w:val="single"/>
        </w:rPr>
        <w:t xml:space="preserve">  按相关规定执行   </w:t>
      </w:r>
      <w:r>
        <w:rPr>
          <w:rFonts w:hint="eastAsia" w:ascii="宋体" w:hAnsi="宋体" w:eastAsia="宋体" w:cs="Times New Roman"/>
          <w:sz w:val="21"/>
          <w:szCs w:val="21"/>
        </w:rPr>
        <w:t>。</w:t>
      </w:r>
    </w:p>
    <w:p w14:paraId="33488C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13.2.2 移交、接收全部与部分工程</w:t>
      </w:r>
    </w:p>
    <w:p w14:paraId="037C8E5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承包人向发包人移交工程的期限：</w:t>
      </w:r>
      <w:r>
        <w:rPr>
          <w:rFonts w:hint="eastAsia" w:ascii="宋体" w:hAnsi="宋体" w:eastAsia="宋体" w:cs="Times New Roman"/>
          <w:sz w:val="21"/>
          <w:szCs w:val="21"/>
          <w:u w:val="single"/>
        </w:rPr>
        <w:t xml:space="preserve">     竣工验收后       </w:t>
      </w:r>
      <w:r>
        <w:rPr>
          <w:rFonts w:hint="eastAsia" w:ascii="宋体" w:hAnsi="宋体" w:eastAsia="宋体" w:cs="Times New Roman"/>
          <w:sz w:val="21"/>
          <w:szCs w:val="21"/>
        </w:rPr>
        <w:t>。</w:t>
      </w:r>
    </w:p>
    <w:p w14:paraId="5A7DAA03">
      <w:pPr>
        <w:widowControl/>
        <w:spacing w:line="360" w:lineRule="auto"/>
        <w:jc w:val="left"/>
        <w:outlineLvl w:val="4"/>
        <w:rPr>
          <w:rFonts w:ascii="宋体" w:hAnsi="宋体" w:eastAsia="宋体" w:cs="宋体"/>
          <w:b/>
          <w:bCs/>
          <w:kern w:val="0"/>
          <w:sz w:val="21"/>
          <w:szCs w:val="21"/>
        </w:rPr>
      </w:pPr>
      <w:bookmarkStart w:id="1608" w:name="_Toc532375654"/>
      <w:bookmarkEnd w:id="1608"/>
      <w:bookmarkStart w:id="1609" w:name="_Toc532377391"/>
      <w:r>
        <w:rPr>
          <w:rFonts w:hint="eastAsia" w:ascii="宋体" w:hAnsi="宋体" w:eastAsia="宋体" w:cs="宋体"/>
          <w:b/>
          <w:bCs/>
          <w:kern w:val="0"/>
          <w:sz w:val="21"/>
          <w:szCs w:val="21"/>
        </w:rPr>
        <w:t>13.3 工程试车</w:t>
      </w:r>
      <w:bookmarkEnd w:id="1609"/>
    </w:p>
    <w:p w14:paraId="5C9B67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13.3.1 试车程序</w:t>
      </w:r>
    </w:p>
    <w:p w14:paraId="6D73753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工程试车内容：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720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（1）单机无负荷试车费用由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47084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（2）无负荷联动试车费用由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0217135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13.3.3 投料试车</w:t>
      </w:r>
    </w:p>
    <w:p w14:paraId="7442BB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关于投料试车相关事项的约定：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5D6F48D">
      <w:pPr>
        <w:widowControl/>
        <w:spacing w:line="360" w:lineRule="auto"/>
        <w:jc w:val="left"/>
        <w:outlineLvl w:val="4"/>
        <w:rPr>
          <w:rFonts w:ascii="宋体" w:hAnsi="宋体" w:eastAsia="宋体" w:cs="宋体"/>
          <w:b/>
          <w:bCs/>
          <w:kern w:val="0"/>
          <w:sz w:val="21"/>
          <w:szCs w:val="21"/>
        </w:rPr>
      </w:pPr>
      <w:bookmarkStart w:id="1610" w:name="_Toc532377392"/>
      <w:bookmarkEnd w:id="1610"/>
      <w:bookmarkStart w:id="1611" w:name="_Toc532375655"/>
      <w:r>
        <w:rPr>
          <w:rFonts w:hint="eastAsia" w:ascii="宋体" w:hAnsi="宋体" w:eastAsia="宋体" w:cs="宋体"/>
          <w:b/>
          <w:bCs/>
          <w:kern w:val="0"/>
          <w:sz w:val="21"/>
          <w:szCs w:val="21"/>
        </w:rPr>
        <w:t>13.6 竣工退场</w:t>
      </w:r>
      <w:bookmarkEnd w:id="1611"/>
    </w:p>
    <w:p w14:paraId="684DB62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13.6.1 竣工退场</w:t>
      </w:r>
    </w:p>
    <w:p w14:paraId="07D0BA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承包人完成竣工退场的期限：</w:t>
      </w:r>
      <w:r>
        <w:rPr>
          <w:rFonts w:hint="eastAsia" w:ascii="宋体" w:hAnsi="宋体" w:eastAsia="宋体" w:cs="Times New Roman"/>
          <w:sz w:val="21"/>
          <w:szCs w:val="21"/>
          <w:u w:val="single"/>
        </w:rPr>
        <w:t xml:space="preserve"> 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Times New Roman"/>
          <w:sz w:val="21"/>
          <w:szCs w:val="21"/>
        </w:rPr>
        <w:t>。</w:t>
      </w:r>
    </w:p>
    <w:p w14:paraId="45182D6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14. 竣工结算</w:t>
      </w:r>
    </w:p>
    <w:p w14:paraId="26780562">
      <w:pPr>
        <w:widowControl/>
        <w:spacing w:line="360" w:lineRule="auto"/>
        <w:jc w:val="left"/>
        <w:outlineLvl w:val="4"/>
        <w:rPr>
          <w:rFonts w:ascii="宋体" w:hAnsi="宋体" w:eastAsia="宋体" w:cs="宋体"/>
          <w:b/>
          <w:bCs/>
          <w:kern w:val="0"/>
          <w:sz w:val="21"/>
          <w:szCs w:val="21"/>
        </w:rPr>
      </w:pPr>
      <w:bookmarkStart w:id="1612" w:name="_Toc532377394"/>
      <w:bookmarkEnd w:id="1612"/>
      <w:bookmarkStart w:id="1613" w:name="_Toc532375657"/>
      <w:r>
        <w:rPr>
          <w:rFonts w:hint="eastAsia" w:ascii="宋体" w:hAnsi="宋体" w:eastAsia="宋体" w:cs="宋体"/>
          <w:b/>
          <w:bCs/>
          <w:kern w:val="0"/>
          <w:sz w:val="21"/>
          <w:szCs w:val="21"/>
        </w:rPr>
        <w:t>14.1 竣工结算申请</w:t>
      </w:r>
      <w:bookmarkEnd w:id="1613"/>
    </w:p>
    <w:p w14:paraId="1A4F1BE2">
      <w:pPr>
        <w:spacing w:line="360" w:lineRule="auto"/>
        <w:jc w:val="left"/>
        <w:rPr>
          <w:rFonts w:ascii="宋体" w:hAnsi="宋体" w:eastAsia="宋体" w:cs="Times New Roman"/>
          <w:sz w:val="21"/>
          <w:szCs w:val="21"/>
          <w:u w:val="single"/>
        </w:rPr>
      </w:pPr>
      <w:bookmarkStart w:id="1614" w:name="_Toc532377395"/>
      <w:bookmarkEnd w:id="1614"/>
      <w:bookmarkStart w:id="1615" w:name="_Toc532375658"/>
      <w:r>
        <w:rPr>
          <w:rFonts w:hint="eastAsia" w:ascii="宋体" w:hAnsi="宋体" w:eastAsia="宋体" w:cs="Times New Roman"/>
          <w:sz w:val="21"/>
          <w:szCs w:val="21"/>
        </w:rPr>
        <w:t>承包人提交竣工结算申请单的期限：</w:t>
      </w:r>
      <w:bookmarkEnd w:id="1615"/>
      <w:bookmarkStart w:id="1616" w:name="_Hlk524297994"/>
      <w:bookmarkEnd w:id="1616"/>
      <w:r>
        <w:rPr>
          <w:rFonts w:hint="eastAsia" w:ascii="宋体" w:hAnsi="宋体" w:eastAsia="宋体" w:cs="Times New Roman"/>
          <w:sz w:val="21"/>
          <w:szCs w:val="21"/>
          <w:u w:val="single"/>
        </w:rPr>
        <w:t>承包人应在工程竣工验收合格且报送完整工程竣工资料之日起28天内向监理人、发包人提交竣工结算申请单，并向发包人报送完整的工程竣工资料及经监理人初审确认的完整的竣工结算资料。监理人或跟审单位或发包人对竣工结算申请单有异议的，应在接到竣工结算申请单后14天内要求承包人进行修正和提供补充资料，承包人在接到监理人或跟审单位或发包人提出的审核意见后，应在28天内按监理人或发包人提出的合理要求补充资料、修改竣工结算资料，并再次提交监理人或发包人审核。承包人未在规定时间内补充资料给承包人造成经济损失的由承包人自行承担，承包人未在规定时间内报送竣工结算资料给发包人造成经济损失的，承包人应承担赔偿责任。</w:t>
      </w:r>
    </w:p>
    <w:p w14:paraId="4C3780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竣工结算申请单应包括的内容：</w:t>
      </w:r>
    </w:p>
    <w:p w14:paraId="12D848BC">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（1）竣工结算合同价格；</w:t>
      </w:r>
    </w:p>
    <w:p w14:paraId="3E965188">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（2）变更增减金额；</w:t>
      </w:r>
    </w:p>
    <w:p w14:paraId="7254318F">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（3）现场签证增减金额；</w:t>
      </w:r>
    </w:p>
    <w:p w14:paraId="57624F1A">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（4）发包人已支付承包人的款项；</w:t>
      </w:r>
    </w:p>
    <w:p w14:paraId="1C713411">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（5）应扣留的质量保证金；</w:t>
      </w:r>
    </w:p>
    <w:p w14:paraId="728C147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（6）发包人应支付承包人的合同价款。</w:t>
      </w:r>
    </w:p>
    <w:p w14:paraId="002F931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（7）   符合审核要求的全套的结算资料      。</w:t>
      </w:r>
    </w:p>
    <w:p w14:paraId="0BD433B8">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14.2 竣工结算审核</w:t>
      </w:r>
    </w:p>
    <w:p w14:paraId="3C6359CC">
      <w:pPr>
        <w:spacing w:line="360" w:lineRule="auto"/>
        <w:ind w:right="140" w:rightChars="50"/>
        <w:jc w:val="left"/>
        <w:rPr>
          <w:rFonts w:ascii="宋体" w:hAnsi="宋体" w:eastAsia="宋体" w:cs="Times New Roman"/>
          <w:sz w:val="21"/>
          <w:szCs w:val="21"/>
        </w:rPr>
      </w:pPr>
      <w:bookmarkStart w:id="1617" w:name="_Toc532377396"/>
      <w:bookmarkEnd w:id="1617"/>
      <w:bookmarkStart w:id="1618" w:name="_Toc532375659"/>
      <w:r>
        <w:rPr>
          <w:rFonts w:hint="eastAsia" w:ascii="宋体" w:hAnsi="宋体" w:eastAsia="宋体" w:cs="Times New Roman"/>
          <w:sz w:val="21"/>
          <w:szCs w:val="21"/>
        </w:rPr>
        <w:t>14.2.1 竣工结算办法</w:t>
      </w:r>
      <w:bookmarkEnd w:id="1618"/>
    </w:p>
    <w:p w14:paraId="0854185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14.2.1.1计量原则</w:t>
      </w:r>
    </w:p>
    <w:p w14:paraId="1283A014">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rPr>
        <w:t>按照第12.3.1项〔计量原则〕约定执行。</w:t>
      </w:r>
    </w:p>
    <w:p w14:paraId="2AED65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14.2.1.2计价原则</w:t>
      </w:r>
    </w:p>
    <w:p w14:paraId="27E9FE5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eastAsia="宋体" w:cs="Times New Roman"/>
          <w:sz w:val="21"/>
          <w:szCs w:val="21"/>
        </w:rPr>
        <w:t>。</w:t>
      </w:r>
    </w:p>
    <w:p w14:paraId="6A3F96E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具体结算办法如下：</w:t>
      </w:r>
    </w:p>
    <w:p w14:paraId="03C86D0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（1）分部分项工程：</w:t>
      </w:r>
    </w:p>
    <w:p w14:paraId="226D65B2">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eastAsia="宋体" w:cs="Times New Roman"/>
          <w:sz w:val="21"/>
          <w:szCs w:val="21"/>
        </w:rPr>
        <w:t>；</w:t>
      </w:r>
    </w:p>
    <w:p w14:paraId="030E26F8">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②需要对没有填入综合单价或总额价的子目项目进行扣减的，第12.3.1项〔计量原则〕约定确定的工程量乘以按照10.4.1.3〔变更估价原则〕目约定的综合单价进行扣减</w:t>
      </w:r>
      <w:r>
        <w:rPr>
          <w:rFonts w:hint="eastAsia" w:ascii="宋体" w:hAnsi="宋体" w:eastAsia="宋体" w:cs="Times New Roman"/>
          <w:sz w:val="21"/>
          <w:szCs w:val="21"/>
        </w:rPr>
        <w:t>；</w:t>
      </w:r>
    </w:p>
    <w:p w14:paraId="5CE0062D">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③合同、已标价工程量清单和招标文件另有约定的，按照其约定执行</w:t>
      </w:r>
      <w:r>
        <w:rPr>
          <w:rFonts w:hint="eastAsia" w:ascii="宋体" w:hAnsi="宋体" w:eastAsia="宋体" w:cs="Times New Roman"/>
          <w:sz w:val="21"/>
          <w:szCs w:val="21"/>
        </w:rPr>
        <w:t>。</w:t>
      </w:r>
    </w:p>
    <w:p w14:paraId="5ED0519B">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（2）措施项目：</w:t>
      </w:r>
    </w:p>
    <w:p w14:paraId="5DC0BB2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eastAsia="宋体" w:cs="Times New Roman"/>
          <w:sz w:val="21"/>
          <w:szCs w:val="21"/>
        </w:rPr>
        <w:t>。</w:t>
      </w:r>
    </w:p>
    <w:p w14:paraId="0198E54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②工程变更引起施工方案改变使措施项目发生变化的，经监理人、发包人确定后可对按第10.4.3项约定执行</w:t>
      </w:r>
      <w:r>
        <w:rPr>
          <w:rFonts w:hint="eastAsia" w:ascii="宋体" w:hAnsi="宋体" w:eastAsia="宋体" w:cs="Times New Roman"/>
          <w:sz w:val="21"/>
          <w:szCs w:val="21"/>
        </w:rPr>
        <w:t>。</w:t>
      </w:r>
    </w:p>
    <w:p w14:paraId="3527359A">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u w:val="single"/>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eastAsia="宋体" w:cs="Times New Roman"/>
          <w:sz w:val="21"/>
          <w:szCs w:val="21"/>
        </w:rPr>
        <w:t>。</w:t>
      </w:r>
    </w:p>
    <w:p w14:paraId="427D3BFF">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（3）其他项目：</w:t>
      </w:r>
    </w:p>
    <w:p w14:paraId="1EEDF6F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①材料（工程设备）暂估价：</w:t>
      </w:r>
      <w:r>
        <w:rPr>
          <w:rFonts w:hint="eastAsia" w:ascii="宋体" w:hAnsi="宋体" w:eastAsia="宋体" w:cs="Times New Roman"/>
          <w:sz w:val="21"/>
          <w:szCs w:val="21"/>
          <w:u w:val="single"/>
        </w:rPr>
        <w:t>按照第12.3.1项〔计量原则〕约定及对应定额消耗量确定的数量乘以监理人、发包人根据市场行情认质核价确定的价格进行结算</w:t>
      </w:r>
      <w:r>
        <w:rPr>
          <w:rFonts w:hint="eastAsia" w:ascii="宋体" w:hAnsi="宋体" w:eastAsia="宋体" w:cs="Times New Roman"/>
          <w:sz w:val="21"/>
          <w:szCs w:val="21"/>
        </w:rPr>
        <w:t>。</w:t>
      </w:r>
    </w:p>
    <w:p w14:paraId="38B55F5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②专业工程暂估价：</w:t>
      </w:r>
    </w:p>
    <w:p w14:paraId="5DE2D6F9">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1）对于不属于依法必须招标的暂估价项目：按发包人审定的价格进行结算</w:t>
      </w:r>
      <w:r>
        <w:rPr>
          <w:rFonts w:hint="eastAsia" w:ascii="宋体" w:hAnsi="宋体" w:eastAsia="宋体" w:cs="Times New Roman"/>
          <w:sz w:val="21"/>
          <w:szCs w:val="21"/>
        </w:rPr>
        <w:t>。</w:t>
      </w:r>
    </w:p>
    <w:p w14:paraId="6938237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eastAsia="宋体" w:cs="Times New Roman"/>
          <w:sz w:val="21"/>
          <w:szCs w:val="21"/>
        </w:rPr>
        <w:t>。</w:t>
      </w:r>
    </w:p>
    <w:p w14:paraId="604B718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③总承包服务费：</w:t>
      </w:r>
      <w:r>
        <w:rPr>
          <w:rFonts w:hint="eastAsia" w:ascii="宋体" w:hAnsi="宋体" w:eastAsia="宋体" w:cs="Times New Roman"/>
          <w:sz w:val="21"/>
          <w:szCs w:val="21"/>
          <w:u w:val="single"/>
        </w:rPr>
        <w:t>总承包服务费包干使用，结算时不作调整</w:t>
      </w:r>
      <w:r>
        <w:rPr>
          <w:rFonts w:hint="eastAsia" w:ascii="宋体" w:hAnsi="宋体" w:eastAsia="宋体" w:cs="Times New Roman"/>
          <w:sz w:val="21"/>
          <w:szCs w:val="21"/>
        </w:rPr>
        <w:t>。</w:t>
      </w:r>
    </w:p>
    <w:p w14:paraId="560CB7C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（4）价格调整：</w:t>
      </w:r>
      <w:r>
        <w:rPr>
          <w:rFonts w:hint="eastAsia" w:ascii="宋体" w:hAnsi="宋体" w:eastAsia="宋体" w:cs="Times New Roman"/>
          <w:sz w:val="21"/>
          <w:szCs w:val="21"/>
          <w:u w:val="single"/>
        </w:rPr>
        <w:t>按照第11条〔价格调整〕约定约定执行</w:t>
      </w:r>
      <w:r>
        <w:rPr>
          <w:rFonts w:hint="eastAsia" w:ascii="宋体" w:hAnsi="宋体" w:eastAsia="宋体" w:cs="Times New Roman"/>
          <w:sz w:val="21"/>
          <w:szCs w:val="21"/>
        </w:rPr>
        <w:t>。</w:t>
      </w:r>
    </w:p>
    <w:p w14:paraId="5CDB1673">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（5）工程变更、索赔与现场签证：</w:t>
      </w:r>
    </w:p>
    <w:p w14:paraId="169BD450">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1）工程变更：按照第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约定，确定为总价包干的，按审定包干总价计入结算；其余项目按照有效的竣工结算资料和第12.3.1项〔计量原则〕约定确定的工程量乘以相应的按照第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约定确定综合单价来确定该部分结算价。</w:t>
      </w:r>
    </w:p>
    <w:p w14:paraId="33ECC326">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2）索赔：按照第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3794655A">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3）现场签证：按照第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51349671">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（6）奖励、罚金、违约金及其他费用：</w:t>
      </w:r>
      <w:r>
        <w:rPr>
          <w:rFonts w:hint="eastAsia" w:ascii="宋体" w:hAnsi="宋体" w:eastAsia="宋体" w:cs="Times New Roman"/>
          <w:sz w:val="21"/>
          <w:szCs w:val="21"/>
          <w:u w:val="single"/>
        </w:rPr>
        <w:t>按实进行结算</w:t>
      </w:r>
      <w:r>
        <w:rPr>
          <w:rFonts w:hint="eastAsia" w:ascii="宋体" w:hAnsi="宋体" w:eastAsia="宋体" w:cs="Times New Roman"/>
          <w:sz w:val="21"/>
          <w:szCs w:val="21"/>
        </w:rPr>
        <w:t>。</w:t>
      </w:r>
    </w:p>
    <w:p w14:paraId="018C4D5F">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（7）规费：已标价工程量清单中规费费用按</w:t>
      </w:r>
      <w:r>
        <w:rPr>
          <w:rFonts w:hint="eastAsia" w:ascii="宋体" w:hAnsi="宋体" w:eastAsia="宋体" w:cs="Times New Roman"/>
          <w:sz w:val="21"/>
          <w:szCs w:val="21"/>
          <w:u w:val="single"/>
        </w:rPr>
        <w:t>《重庆市建设工程费用定额》（CQFYDE-2018）</w:t>
      </w:r>
      <w:r>
        <w:rPr>
          <w:rFonts w:hint="eastAsia" w:ascii="宋体" w:hAnsi="宋体" w:eastAsia="宋体" w:cs="Times New Roman"/>
          <w:sz w:val="21"/>
          <w:szCs w:val="21"/>
        </w:rPr>
        <w:t>执行。</w:t>
      </w:r>
    </w:p>
    <w:p w14:paraId="3EFF3814">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（8）税金：包含增值税、城市维护建设税、教育费附加、地方教育附加以及环境保护税。其中增值税按</w:t>
      </w:r>
      <w:r>
        <w:rPr>
          <w:rFonts w:hint="eastAsia" w:ascii="宋体" w:hAnsi="宋体" w:eastAsia="宋体" w:cs="Times New Roman"/>
          <w:sz w:val="21"/>
          <w:szCs w:val="21"/>
          <w:u w:val="single"/>
        </w:rPr>
        <w:t>《重庆市建设工程费用定额》（CQFYDE-2018）、《重庆市城乡建设委员会关于适用增值税新税率调整建设工程计价依据的通知》（渝建〔2019〕143号）</w:t>
      </w:r>
      <w:r>
        <w:rPr>
          <w:rFonts w:hint="eastAsia" w:ascii="宋体" w:hAnsi="宋体" w:eastAsia="宋体" w:cs="Times New Roman"/>
          <w:sz w:val="21"/>
          <w:szCs w:val="21"/>
        </w:rPr>
        <w:t>规定执行，环境保护税按实结算。</w:t>
      </w:r>
    </w:p>
    <w:p w14:paraId="0F7599D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14.2.1.3竣工结算价</w:t>
      </w:r>
    </w:p>
    <w:p w14:paraId="23D61858">
      <w:pPr>
        <w:spacing w:line="400" w:lineRule="exact"/>
        <w:jc w:val="left"/>
        <w:rPr>
          <w:rFonts w:ascii="宋体" w:hAnsi="宋体" w:eastAsia="宋体" w:cs="Times New Roman"/>
          <w:sz w:val="21"/>
          <w:szCs w:val="21"/>
        </w:rPr>
      </w:pPr>
      <w:bookmarkStart w:id="1619" w:name="_Hlk528660512"/>
      <w:bookmarkEnd w:id="1619"/>
      <w:r>
        <w:rPr>
          <w:rFonts w:hint="eastAsia" w:ascii="宋体" w:hAnsi="宋体" w:eastAsia="宋体" w:cs="Times New Roman"/>
          <w:sz w:val="21"/>
          <w:szCs w:val="21"/>
        </w:rPr>
        <w:t>工程竣工验收合格、移交完整的工程竣工资料后，报区审计局审计或区财政局审核；（</w:t>
      </w:r>
      <w:r>
        <w:rPr>
          <w:rFonts w:hint="eastAsia" w:ascii="宋体" w:hAnsi="宋体" w:eastAsia="宋体" w:cs="Times New Roman"/>
          <w:b/>
          <w:bCs/>
          <w:sz w:val="21"/>
          <w:szCs w:val="21"/>
        </w:rPr>
        <w:t>注：施工单位提供的工程结算价款，审减率超过5%以上的，超过部分的审减效益费用由施工单位承担，并由建设单位从工程结算价中扣除。</w:t>
      </w:r>
      <w:r>
        <w:rPr>
          <w:rFonts w:hint="eastAsia" w:ascii="宋体" w:hAnsi="宋体" w:eastAsia="宋体" w:cs="Times New Roman"/>
          <w:sz w:val="21"/>
          <w:szCs w:val="21"/>
        </w:rPr>
        <w:t>）</w:t>
      </w:r>
    </w:p>
    <w:p w14:paraId="0F5213C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14.2.2 竣工结算审核期限</w:t>
      </w:r>
    </w:p>
    <w:p w14:paraId="04B24002">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监理人审核竣工付款申请单的期限：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10533D0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0B5FB90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发包人完成竣工付款的期限：</w:t>
      </w:r>
      <w:r>
        <w:rPr>
          <w:rFonts w:hint="eastAsia" w:ascii="宋体" w:hAnsi="宋体" w:eastAsia="宋体" w:cs="Times New Roman"/>
          <w:sz w:val="21"/>
          <w:szCs w:val="21"/>
          <w:u w:val="single"/>
        </w:rPr>
        <w:t>完成竣工付款申请单审核后28天内</w:t>
      </w:r>
      <w:r>
        <w:rPr>
          <w:rFonts w:hint="eastAsia" w:ascii="宋体" w:hAnsi="宋体" w:eastAsia="宋体" w:cs="Times New Roman"/>
          <w:sz w:val="21"/>
          <w:szCs w:val="21"/>
        </w:rPr>
        <w:t>。</w:t>
      </w:r>
    </w:p>
    <w:p w14:paraId="1A3DD6E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关于竣工付款证书异议部分复核的方式和程序： 按照第20条〔争议解决〕约定处理。</w:t>
      </w:r>
    </w:p>
    <w:p w14:paraId="49D7ADD6">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14.4 最终结清</w:t>
      </w:r>
    </w:p>
    <w:p w14:paraId="227B4E33">
      <w:pPr>
        <w:spacing w:line="360" w:lineRule="auto"/>
        <w:ind w:right="140" w:rightChars="50"/>
        <w:jc w:val="left"/>
        <w:rPr>
          <w:rFonts w:ascii="宋体" w:hAnsi="宋体" w:eastAsia="宋体" w:cs="Times New Roman"/>
          <w:sz w:val="21"/>
          <w:szCs w:val="21"/>
        </w:rPr>
      </w:pPr>
      <w:bookmarkStart w:id="1620" w:name="_Toc267251483"/>
      <w:bookmarkEnd w:id="1620"/>
      <w:bookmarkStart w:id="1621" w:name="_Toc280868717"/>
      <w:bookmarkEnd w:id="1621"/>
      <w:bookmarkStart w:id="1622" w:name="_Toc280868718"/>
      <w:bookmarkEnd w:id="1622"/>
      <w:bookmarkStart w:id="1623" w:name="_Toc532375661"/>
      <w:bookmarkEnd w:id="1623"/>
      <w:bookmarkStart w:id="1624" w:name="_Toc351203647"/>
      <w:bookmarkEnd w:id="1624"/>
      <w:bookmarkStart w:id="1625" w:name="_Toc532377398"/>
      <w:bookmarkEnd w:id="1625"/>
      <w:r>
        <w:rPr>
          <w:rFonts w:hint="eastAsia" w:ascii="宋体" w:hAnsi="宋体" w:eastAsia="宋体" w:cs="Times New Roman"/>
          <w:sz w:val="21"/>
          <w:szCs w:val="21"/>
        </w:rPr>
        <w:t>14.4.1 最终结清申请单</w:t>
      </w:r>
    </w:p>
    <w:p w14:paraId="0CF97F2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承包人提交最终结清申请单的份数：</w:t>
      </w:r>
      <w:r>
        <w:rPr>
          <w:rFonts w:hint="eastAsia" w:ascii="宋体" w:hAnsi="宋体" w:eastAsia="宋体" w:cs="Times New Roman"/>
          <w:sz w:val="21"/>
          <w:szCs w:val="21"/>
          <w:u w:val="single"/>
        </w:rPr>
        <w:t>5份</w:t>
      </w:r>
      <w:r>
        <w:rPr>
          <w:rFonts w:hint="eastAsia" w:ascii="宋体" w:hAnsi="宋体" w:eastAsia="宋体" w:cs="Times New Roman"/>
          <w:sz w:val="21"/>
          <w:szCs w:val="21"/>
        </w:rPr>
        <w:t>。</w:t>
      </w:r>
    </w:p>
    <w:p w14:paraId="37AC9F1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承包人提交最终结算申请单的期限：</w:t>
      </w:r>
      <w:r>
        <w:rPr>
          <w:rFonts w:hint="eastAsia" w:ascii="宋体" w:hAnsi="宋体" w:eastAsia="宋体" w:cs="Times New Roman"/>
          <w:sz w:val="21"/>
          <w:szCs w:val="21"/>
          <w:u w:val="single"/>
        </w:rPr>
        <w:t>缺陷责任期终止证书颁发后14天内</w:t>
      </w:r>
      <w:r>
        <w:rPr>
          <w:rFonts w:hint="eastAsia" w:ascii="宋体" w:hAnsi="宋体" w:eastAsia="宋体" w:cs="Times New Roman"/>
          <w:sz w:val="21"/>
          <w:szCs w:val="21"/>
        </w:rPr>
        <w:t>。</w:t>
      </w:r>
    </w:p>
    <w:p w14:paraId="5546BC3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14.4.2 最终结清证书和支付</w:t>
      </w:r>
    </w:p>
    <w:p w14:paraId="24B189F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（1）发包人完成最终结清申请单的审批并颁发最终结清证书的期限：</w:t>
      </w:r>
      <w:r>
        <w:rPr>
          <w:rFonts w:hint="eastAsia" w:ascii="宋体" w:hAnsi="宋体" w:eastAsia="宋体" w:cs="Times New Roman"/>
          <w:sz w:val="21"/>
          <w:szCs w:val="21"/>
          <w:u w:val="single"/>
        </w:rPr>
        <w:t>发包人收到完整资料后14天内完成审批并颁发最终结清证书</w:t>
      </w:r>
      <w:r>
        <w:rPr>
          <w:rFonts w:hint="eastAsia" w:ascii="宋体" w:hAnsi="宋体" w:eastAsia="宋体" w:cs="Times New Roman"/>
          <w:sz w:val="21"/>
          <w:szCs w:val="21"/>
        </w:rPr>
        <w:t>。</w:t>
      </w:r>
    </w:p>
    <w:p w14:paraId="12DDDE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（2）发包人完成支付的期限：</w:t>
      </w:r>
      <w:r>
        <w:rPr>
          <w:rFonts w:hint="eastAsia" w:ascii="宋体" w:hAnsi="宋体" w:eastAsia="宋体" w:cs="Times New Roman"/>
          <w:sz w:val="21"/>
          <w:szCs w:val="21"/>
          <w:u w:val="single"/>
        </w:rPr>
        <w:t>颁发最终结清证书的14天内</w:t>
      </w:r>
      <w:r>
        <w:rPr>
          <w:rFonts w:hint="eastAsia" w:ascii="宋体" w:hAnsi="宋体" w:eastAsia="宋体" w:cs="Times New Roman"/>
          <w:sz w:val="21"/>
          <w:szCs w:val="21"/>
        </w:rPr>
        <w:t>。</w:t>
      </w:r>
    </w:p>
    <w:p w14:paraId="6C5404A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本条补充14.5款：</w:t>
      </w:r>
    </w:p>
    <w:p w14:paraId="1C6366F1">
      <w:pPr>
        <w:widowControl/>
        <w:spacing w:line="360" w:lineRule="auto"/>
        <w:jc w:val="left"/>
        <w:outlineLvl w:val="4"/>
        <w:rPr>
          <w:rFonts w:ascii="宋体" w:hAnsi="宋体" w:eastAsia="宋体" w:cs="宋体"/>
          <w:b/>
          <w:bCs/>
          <w:kern w:val="0"/>
          <w:sz w:val="21"/>
          <w:szCs w:val="21"/>
        </w:rPr>
      </w:pPr>
      <w:bookmarkStart w:id="1626" w:name="_Toc532375660"/>
      <w:bookmarkEnd w:id="1626"/>
      <w:bookmarkStart w:id="1627" w:name="_Toc532377397"/>
      <w:r>
        <w:rPr>
          <w:rFonts w:hint="eastAsia" w:ascii="宋体" w:hAnsi="宋体" w:eastAsia="宋体" w:cs="宋体"/>
          <w:b/>
          <w:bCs/>
          <w:kern w:val="0"/>
          <w:sz w:val="21"/>
          <w:szCs w:val="21"/>
        </w:rPr>
        <w:t>14.5 逾期办理或不配合办理竣工结算的处理</w:t>
      </w:r>
      <w:bookmarkEnd w:id="1627"/>
    </w:p>
    <w:p w14:paraId="4576EDE7">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有下列情形之一的，视为承包人放弃与发包人共同办理竣工结算的权利，发包人有权会同监理人根据有效资料共同确定竣工结算金额。</w:t>
      </w:r>
    </w:p>
    <w:p w14:paraId="5AC846F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（1）承包人逾期未报送竣工结算资料，亦未获得发包人批准延期报送，经发包人两</w:t>
      </w:r>
      <w:bookmarkStart w:id="1628" w:name="_Hlk529133622"/>
      <w:r>
        <w:rPr>
          <w:rFonts w:hint="eastAsia" w:ascii="宋体" w:hAnsi="宋体" w:eastAsia="宋体" w:cs="Times New Roman"/>
          <w:sz w:val="21"/>
          <w:szCs w:val="21"/>
        </w:rPr>
        <w:t>次书面催告仍未在限期内报送的</w:t>
      </w:r>
      <w:bookmarkEnd w:id="1628"/>
      <w:r>
        <w:rPr>
          <w:rFonts w:hint="eastAsia" w:ascii="宋体" w:hAnsi="宋体" w:eastAsia="宋体" w:cs="Times New Roman"/>
          <w:sz w:val="21"/>
          <w:szCs w:val="21"/>
        </w:rPr>
        <w:t>；</w:t>
      </w:r>
    </w:p>
    <w:p w14:paraId="5BA946A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018E8B8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（3）承包人不配合发包人、监理人、发包人委托的工程造价咨询服务单位办理竣工结算的，经发包人两次书面函告仍未改正的。</w:t>
      </w:r>
    </w:p>
    <w:p w14:paraId="629833B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7DB2F2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090C4696">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15. 缺陷责任期与保修</w:t>
      </w:r>
    </w:p>
    <w:p w14:paraId="0AEE5B12">
      <w:pPr>
        <w:widowControl/>
        <w:spacing w:line="360" w:lineRule="auto"/>
        <w:jc w:val="left"/>
        <w:outlineLvl w:val="4"/>
        <w:rPr>
          <w:rFonts w:ascii="宋体" w:hAnsi="宋体" w:eastAsia="宋体" w:cs="宋体"/>
          <w:b/>
          <w:bCs/>
          <w:kern w:val="0"/>
          <w:sz w:val="21"/>
          <w:szCs w:val="21"/>
        </w:rPr>
      </w:pPr>
      <w:bookmarkStart w:id="1629" w:name="_Toc532377399"/>
      <w:bookmarkEnd w:id="1629"/>
      <w:bookmarkStart w:id="1630" w:name="_Toc532375662"/>
      <w:r>
        <w:rPr>
          <w:rFonts w:hint="eastAsia" w:ascii="宋体" w:hAnsi="宋体" w:eastAsia="宋体" w:cs="宋体"/>
          <w:b/>
          <w:bCs/>
          <w:kern w:val="0"/>
          <w:sz w:val="21"/>
          <w:szCs w:val="21"/>
        </w:rPr>
        <w:t>15.</w:t>
      </w:r>
      <w:bookmarkEnd w:id="1630"/>
      <w:r>
        <w:rPr>
          <w:rFonts w:hint="eastAsia" w:ascii="宋体" w:hAnsi="宋体" w:eastAsia="宋体" w:cs="宋体"/>
          <w:b/>
          <w:bCs/>
          <w:kern w:val="0"/>
          <w:sz w:val="21"/>
          <w:szCs w:val="21"/>
        </w:rPr>
        <w:t>2缺陷责任期</w:t>
      </w:r>
    </w:p>
    <w:p w14:paraId="3F11E3F4">
      <w:pPr>
        <w:widowControl/>
        <w:spacing w:line="360" w:lineRule="auto"/>
        <w:jc w:val="left"/>
        <w:outlineLvl w:val="4"/>
        <w:rPr>
          <w:rFonts w:ascii="宋体" w:hAnsi="宋体" w:eastAsia="宋体" w:cs="宋体"/>
          <w:kern w:val="0"/>
          <w:sz w:val="21"/>
          <w:szCs w:val="21"/>
        </w:rPr>
      </w:pPr>
      <w:r>
        <w:rPr>
          <w:rFonts w:hint="eastAsia" w:ascii="宋体" w:hAnsi="宋体" w:eastAsia="宋体" w:cs="宋体"/>
          <w:kern w:val="0"/>
          <w:sz w:val="21"/>
          <w:szCs w:val="21"/>
        </w:rPr>
        <w:t>缺陷责任期的具体期限</w:t>
      </w:r>
      <w:r>
        <w:rPr>
          <w:rFonts w:hint="eastAsia" w:ascii="宋体" w:hAnsi="宋体" w:eastAsia="宋体" w:cs="宋体"/>
          <w:b/>
          <w:bCs/>
          <w:kern w:val="0"/>
          <w:sz w:val="21"/>
          <w:szCs w:val="21"/>
        </w:rPr>
        <w:t>：</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rPr>
        <w:t xml:space="preserve"> 按附件3质量保修书执行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4CBB32F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15.3 质量保证金</w:t>
      </w:r>
    </w:p>
    <w:p w14:paraId="1563915D">
      <w:pPr>
        <w:spacing w:line="360" w:lineRule="auto"/>
        <w:ind w:right="140" w:rightChars="50"/>
        <w:jc w:val="left"/>
        <w:rPr>
          <w:rFonts w:ascii="宋体" w:hAnsi="宋体" w:eastAsia="宋体" w:cs="Times New Roman"/>
          <w:sz w:val="21"/>
          <w:szCs w:val="21"/>
        </w:rPr>
      </w:pPr>
      <w:bookmarkStart w:id="1631" w:name="_Toc532375663"/>
      <w:bookmarkEnd w:id="1631"/>
      <w:bookmarkStart w:id="1632" w:name="_Toc532377400"/>
      <w:r>
        <w:rPr>
          <w:rFonts w:hint="eastAsia" w:ascii="宋体" w:hAnsi="宋体" w:eastAsia="宋体" w:cs="Times New Roman"/>
          <w:sz w:val="21"/>
          <w:szCs w:val="21"/>
        </w:rPr>
        <w:t>15.3.1 承包人提供质量保证金的方式</w:t>
      </w:r>
      <w:bookmarkEnd w:id="1632"/>
    </w:p>
    <w:p w14:paraId="292E29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关于是否扣留质量保证金的约定：</w:t>
      </w:r>
      <w:r>
        <w:rPr>
          <w:rFonts w:hint="eastAsia" w:ascii="宋体" w:hAnsi="宋体" w:eastAsia="宋体" w:cs="Times New Roman"/>
          <w:sz w:val="21"/>
          <w:szCs w:val="21"/>
          <w:u w:val="single"/>
        </w:rPr>
        <w:t xml:space="preserve">      扣留      </w:t>
      </w:r>
      <w:r>
        <w:rPr>
          <w:rFonts w:hint="eastAsia" w:ascii="宋体" w:hAnsi="宋体" w:eastAsia="宋体" w:cs="Times New Roman"/>
          <w:sz w:val="21"/>
          <w:szCs w:val="21"/>
        </w:rPr>
        <w:t>。</w:t>
      </w:r>
    </w:p>
    <w:p w14:paraId="22B155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在工程项目竣工前，承包人按专用合同条款第3.7条提供履约担保的，发包人不得同时预留工程质量保证金。</w:t>
      </w:r>
    </w:p>
    <w:p w14:paraId="4B473B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15.3.1 承包人提供质量保证金的方式</w:t>
      </w:r>
    </w:p>
    <w:p w14:paraId="2E9759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质量保证金采用以下第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3A2BF9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（1）质量保证金保函，保证金额为：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7BF8B55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u w:val="single"/>
        </w:rPr>
        <w:t xml:space="preserve">    3    </w:t>
      </w:r>
      <w:r>
        <w:rPr>
          <w:rFonts w:hint="eastAsia" w:ascii="宋体" w:hAnsi="宋体" w:eastAsia="宋体" w:cs="Times New Roman"/>
          <w:sz w:val="21"/>
          <w:szCs w:val="21"/>
        </w:rPr>
        <w:t>%的工程款；</w:t>
      </w:r>
    </w:p>
    <w:p w14:paraId="20B541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F08D5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15.3.2 质量保证金的扣留</w:t>
      </w:r>
    </w:p>
    <w:p w14:paraId="3571C6D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质量保证金的扣留采取以下第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2EB445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（1）在支付工程进度款时逐次扣留，在此情形下，质量保证金的计算基数不包括预付款的支付、扣回以及价格调整的金额；</w:t>
      </w:r>
    </w:p>
    <w:p w14:paraId="3CA48D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（2）工程竣工结算时一次性扣留质量保证金；</w:t>
      </w:r>
    </w:p>
    <w:p w14:paraId="5E69A32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注:约定的缺陷责任期满，且质里监督机构已按规定对工程质里检测鉴定合格，承包人向发包人电请到期应返还承包人剩余的质里保证金金额，发包人应在14天内会同承包人按照合同约定的内容核实承包人是否完成缺陷责任。如无异议，发包人应当在核实后将质里保证金无息返还承包人。</w:t>
      </w:r>
    </w:p>
    <w:p w14:paraId="43C6B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关于质量保证金的补充约定：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6FD07E3">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15.4 保修</w:t>
      </w:r>
    </w:p>
    <w:p w14:paraId="421F12DE">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15.4.1 保修责任</w:t>
      </w:r>
    </w:p>
    <w:p w14:paraId="6A4585E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工程保修期为：</w:t>
      </w:r>
      <w:bookmarkStart w:id="1633" w:name="_Hlk524381274"/>
      <w:bookmarkEnd w:id="1633"/>
      <w:r>
        <w:rPr>
          <w:rFonts w:hint="eastAsia" w:ascii="宋体" w:hAnsi="宋体" w:eastAsia="宋体" w:cs="Times New Roman"/>
          <w:sz w:val="21"/>
          <w:szCs w:val="21"/>
          <w:u w:val="single"/>
        </w:rPr>
        <w:t xml:space="preserve">按附件3质量保修书执行   </w:t>
      </w:r>
      <w:r>
        <w:rPr>
          <w:rFonts w:hint="eastAsia" w:ascii="宋体" w:hAnsi="宋体" w:eastAsia="宋体" w:cs="Times New Roman"/>
          <w:sz w:val="21"/>
          <w:szCs w:val="21"/>
        </w:rPr>
        <w:t>。</w:t>
      </w:r>
    </w:p>
    <w:p w14:paraId="015E921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15.4.3 修复通知</w:t>
      </w:r>
    </w:p>
    <w:p w14:paraId="503310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承包人收到保修通知并到达工程现场的合理时间：</w:t>
      </w:r>
      <w:r>
        <w:rPr>
          <w:rFonts w:hint="eastAsia" w:ascii="宋体" w:hAnsi="宋体" w:eastAsia="宋体" w:cs="Times New Roman"/>
          <w:sz w:val="21"/>
          <w:szCs w:val="21"/>
          <w:u w:val="single"/>
        </w:rPr>
        <w:t xml:space="preserve">  24小时内 </w:t>
      </w:r>
      <w:r>
        <w:rPr>
          <w:rFonts w:hint="eastAsia" w:ascii="宋体" w:hAnsi="宋体" w:eastAsia="宋体" w:cs="Times New Roman"/>
          <w:sz w:val="21"/>
          <w:szCs w:val="21"/>
        </w:rPr>
        <w:t>。</w:t>
      </w:r>
    </w:p>
    <w:p w14:paraId="595757C1">
      <w:pPr>
        <w:keepNext/>
        <w:keepLines/>
        <w:spacing w:line="360" w:lineRule="auto"/>
        <w:outlineLvl w:val="3"/>
        <w:rPr>
          <w:rFonts w:ascii="宋体" w:hAnsi="宋体" w:eastAsia="宋体" w:cs="宋体"/>
          <w:b/>
          <w:sz w:val="21"/>
          <w:szCs w:val="21"/>
        </w:rPr>
      </w:pPr>
      <w:bookmarkStart w:id="1634" w:name="_Toc532375664"/>
      <w:bookmarkEnd w:id="1634"/>
      <w:bookmarkStart w:id="1635" w:name="_Toc532377401"/>
      <w:bookmarkEnd w:id="1635"/>
      <w:bookmarkStart w:id="1636" w:name="_Toc351203648"/>
      <w:r>
        <w:rPr>
          <w:rFonts w:hint="eastAsia" w:ascii="宋体" w:hAnsi="宋体" w:eastAsia="宋体" w:cs="宋体"/>
          <w:b/>
          <w:bCs/>
          <w:sz w:val="21"/>
          <w:szCs w:val="21"/>
        </w:rPr>
        <w:t>16. 违约</w:t>
      </w:r>
      <w:bookmarkEnd w:id="1636"/>
    </w:p>
    <w:p w14:paraId="2237673B">
      <w:pPr>
        <w:widowControl/>
        <w:spacing w:line="400" w:lineRule="exact"/>
        <w:jc w:val="left"/>
        <w:outlineLvl w:val="4"/>
        <w:rPr>
          <w:rFonts w:ascii="宋体" w:hAnsi="宋体" w:eastAsia="宋体" w:cs="宋体"/>
          <w:b/>
          <w:bCs/>
          <w:kern w:val="0"/>
          <w:sz w:val="21"/>
          <w:szCs w:val="21"/>
        </w:rPr>
      </w:pPr>
      <w:bookmarkStart w:id="1637" w:name="_Toc532377403"/>
      <w:bookmarkEnd w:id="1637"/>
      <w:r>
        <w:rPr>
          <w:rFonts w:hint="eastAsia" w:ascii="宋体" w:hAnsi="宋体" w:eastAsia="宋体" w:cs="宋体"/>
          <w:b/>
          <w:bCs/>
          <w:kern w:val="0"/>
          <w:sz w:val="21"/>
          <w:szCs w:val="21"/>
        </w:rPr>
        <w:t>16.1 发包人违约</w:t>
      </w:r>
    </w:p>
    <w:p w14:paraId="3B2AAED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16.1.1发包人违约的情形</w:t>
      </w:r>
    </w:p>
    <w:p w14:paraId="35859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（1）因发包人原因导致工期延误的；</w:t>
      </w:r>
    </w:p>
    <w:p w14:paraId="3145526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（2）因发包人原因未能及时办理完毕合同约定的许可、批准或备案的；</w:t>
      </w:r>
    </w:p>
    <w:p w14:paraId="6C1B389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（3）因监理人未能按合同约定发出指示、指示延误或发出了错误指示而导致承包人工期延误的；</w:t>
      </w:r>
    </w:p>
    <w:p w14:paraId="1997AFD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（4）发包人或监理人要求重新检查的，经检查证明工程质量符合合同要求的，并由此产生延误的工期的；</w:t>
      </w:r>
    </w:p>
    <w:p w14:paraId="50C9E4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（5）因发包人原因造成工程质量未达到合同约定标准的；</w:t>
      </w:r>
    </w:p>
    <w:p w14:paraId="395C0F7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（6）由于发包人原因对承包人造成的人员人身伤亡和财产损失的；</w:t>
      </w:r>
    </w:p>
    <w:p w14:paraId="74A4B324">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（7）因发包人原因导致工程无法按期办理竣工验收或竣工结算的；</w:t>
      </w:r>
    </w:p>
    <w:p w14:paraId="3B8C3A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（8）发包人无正当理由未按约定退还履约担保、低价风险担保、预付款担保或质量保证金的；</w:t>
      </w:r>
    </w:p>
    <w:p w14:paraId="0815898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（9）发包人不当提取履约担保、低价风险担保或质量保证金的；</w:t>
      </w:r>
    </w:p>
    <w:p w14:paraId="427CEC2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（10）发包人未按合同约定接收全部或部分工作的；</w:t>
      </w:r>
    </w:p>
    <w:p w14:paraId="1E742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（11）发包人未按合同约定办理保险的；</w:t>
      </w:r>
    </w:p>
    <w:p w14:paraId="7FBD197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16.1.2发包人违约的责任</w:t>
      </w:r>
    </w:p>
    <w:p w14:paraId="4D20A6C7">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（1）因发包人原因未能及时办理完毕前述许可、批准或备案的违约责任：由发包人承担工期顺延责任。</w:t>
      </w:r>
    </w:p>
    <w:p w14:paraId="04C5D3B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（2）因发包人原因导致工期延误的违约责任：由发包人承担工期顺延责任。</w:t>
      </w:r>
    </w:p>
    <w:p w14:paraId="2F19B5FA">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（3）发包人或监理人要求重新检查的，经检查证明工程质量符合合同要求的，由发包人承担由此顺延工期。</w:t>
      </w:r>
    </w:p>
    <w:p w14:paraId="4613FB7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（4）发包人违反合同约定，自行实施或转由他人实施被取消的合同工作内容的违约责任；</w:t>
      </w:r>
    </w:p>
    <w:p w14:paraId="708C1421">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顺延工期。</w:t>
      </w:r>
    </w:p>
    <w:p w14:paraId="2BF56A3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（6）因发包人原因造成工程质量未达到合同约定标准的，由发包人承担由此延误的工期。</w:t>
      </w:r>
    </w:p>
    <w:p w14:paraId="27E522F8">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（7）因发包人违反合同约定造成暂停施工的违约责任：由发包人承担由此顺延工期。</w:t>
      </w:r>
    </w:p>
    <w:p w14:paraId="6E0A13C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（8）发包人无正当理由没有在约定期限内发出复工指示，导致承包人无法复工的违约责任：由发包人承担由此顺延工期。</w:t>
      </w:r>
    </w:p>
    <w:p w14:paraId="3078A127">
      <w:pPr>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（9）因发包人原因导致工程无法按期办理竣工验收或竣工结算的违约责任：由发包人承担由此顺延工期。</w:t>
      </w:r>
    </w:p>
    <w:p w14:paraId="517B7EA8">
      <w:pPr>
        <w:spacing w:line="400" w:lineRule="exact"/>
        <w:jc w:val="left"/>
        <w:rPr>
          <w:rFonts w:ascii="宋体" w:hAnsi="宋体" w:eastAsia="宋体" w:cs="Times New Roman"/>
          <w:kern w:val="0"/>
          <w:sz w:val="21"/>
          <w:szCs w:val="21"/>
          <w:u w:val="single"/>
        </w:rPr>
      </w:pPr>
      <w:r>
        <w:rPr>
          <w:rFonts w:hint="eastAsia" w:ascii="宋体" w:hAnsi="宋体" w:eastAsia="宋体" w:cs="Times New Roman"/>
          <w:sz w:val="21"/>
          <w:szCs w:val="21"/>
        </w:rPr>
        <w:t>（10）</w:t>
      </w:r>
      <w:r>
        <w:rPr>
          <w:rFonts w:hint="eastAsia" w:ascii="宋体" w:hAnsi="宋体" w:eastAsia="宋体" w:cs="Times New Roman"/>
          <w:kern w:val="0"/>
          <w:sz w:val="21"/>
          <w:szCs w:val="21"/>
        </w:rPr>
        <w:t>发包人不得以无正当理由不按约定退还履约担保、低价风险担保、预付款担保或质量保证金。</w:t>
      </w:r>
    </w:p>
    <w:p w14:paraId="63FB9E3C">
      <w:pPr>
        <w:spacing w:before="100" w:beforeAutospacing="1" w:line="400" w:lineRule="exact"/>
        <w:rPr>
          <w:rFonts w:ascii="宋体" w:hAnsi="宋体" w:eastAsia="宋体" w:cs="Times New Roman"/>
          <w:sz w:val="21"/>
          <w:szCs w:val="21"/>
        </w:rPr>
      </w:pPr>
      <w:r>
        <w:rPr>
          <w:rFonts w:hint="eastAsia" w:ascii="宋体" w:hAnsi="宋体" w:eastAsia="宋体" w:cs="Times New Roman"/>
          <w:kern w:val="0"/>
          <w:sz w:val="21"/>
          <w:szCs w:val="21"/>
        </w:rPr>
        <w:t>（11）</w:t>
      </w:r>
      <w:r>
        <w:rPr>
          <w:rFonts w:hint="eastAsia" w:ascii="宋体" w:hAnsi="宋体" w:eastAsia="宋体" w:cs="Times New Roman"/>
          <w:sz w:val="21"/>
          <w:szCs w:val="21"/>
        </w:rPr>
        <w:t>发包人不当提取履约担保、低价风险担保、预付款担保或质量保证金的，应及时予以退还。</w:t>
      </w:r>
      <w:r>
        <w:rPr>
          <w:rFonts w:hint="eastAsia" w:ascii="宋体" w:hAnsi="宋体" w:eastAsia="宋体" w:cs="Times New Roman"/>
          <w:kern w:val="0"/>
          <w:sz w:val="21"/>
          <w:szCs w:val="21"/>
        </w:rPr>
        <w:t>（12）发包人未按合同约定接收全部或部分工作的违约责任：由发包人承担自应当接收工程之日起的工程照管、成品保护、保管等与工程有关的各项费用。</w:t>
      </w:r>
    </w:p>
    <w:p w14:paraId="64F46B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（13）由于发包人原因对承包人造成的人员人身伤亡和财产损失的，由发包人负责赔偿，并承担由此延误的工期。</w:t>
      </w:r>
    </w:p>
    <w:p w14:paraId="188BF925">
      <w:pPr>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 xml:space="preserve">（14）其他： </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088FE71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16.1.3因发包人违约并致使合同目的不能实现的，承包人有权解除合同：</w:t>
      </w:r>
    </w:p>
    <w:p w14:paraId="1A63B06B">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（1）因发包人原因延迟支付合同价款超过180天的；</w:t>
      </w:r>
    </w:p>
    <w:p w14:paraId="3D02F1EF">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（2）因发包人原因导致工期延误超过90天的；</w:t>
      </w:r>
    </w:p>
    <w:p w14:paraId="4460429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发包人提供的基准资料错误并导致承包人测量放线工作返工或造成工程损失的，以及发包人提供的材料、工程设备的规格、数量或质量不符合合同约定，或因发包人原因导致交货日期延误或交货地点变更等情况的违约责任，违约情形导致暂停施工满56天，且发包人仍未纠正其违约行为的；</w:t>
      </w:r>
    </w:p>
    <w:p w14:paraId="621CE6D0">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（4）其他未履行合同项下的义务构成对合同的实质性违约，并且在收到承包人要求说明其违约并予以补救的通知后56天内仍未补救该实质性违约的；</w:t>
      </w:r>
    </w:p>
    <w:p w14:paraId="530A3C16">
      <w:pPr>
        <w:snapToGrid w:val="0"/>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（5）</w:t>
      </w:r>
      <w:r>
        <w:rPr>
          <w:rFonts w:hint="eastAsia" w:ascii="宋体" w:hAnsi="宋体" w:eastAsia="宋体" w:cs="Times New Roman"/>
          <w:kern w:val="0"/>
          <w:sz w:val="21"/>
          <w:szCs w:val="21"/>
          <w:u w:val="single"/>
        </w:rPr>
        <w:t>合同约定的承包人有权解除合同的其他情形</w:t>
      </w:r>
      <w:r>
        <w:rPr>
          <w:rFonts w:hint="eastAsia" w:ascii="宋体" w:hAnsi="宋体" w:eastAsia="宋体" w:cs="Times New Roman"/>
          <w:kern w:val="0"/>
          <w:sz w:val="21"/>
          <w:szCs w:val="21"/>
        </w:rPr>
        <w:t>。</w:t>
      </w:r>
    </w:p>
    <w:p w14:paraId="4F6964A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16.1.4发包人无正当理由不按时返还履约保证金、质量保证金或农民工工资保证金的，发包人应向承包人支付的违约金如下：</w:t>
      </w:r>
      <w:r>
        <w:rPr>
          <w:rFonts w:hint="eastAsia" w:ascii="宋体" w:hAnsi="宋体" w:eastAsia="宋体" w:cs="Times New Roman"/>
          <w:sz w:val="21"/>
          <w:szCs w:val="21"/>
          <w:u w:val="single"/>
        </w:rPr>
        <w:t xml:space="preserve">       /   。</w:t>
      </w:r>
    </w:p>
    <w:p w14:paraId="307B0F49">
      <w:pPr>
        <w:widowControl/>
        <w:spacing w:line="360" w:lineRule="auto"/>
        <w:jc w:val="left"/>
        <w:outlineLvl w:val="4"/>
        <w:rPr>
          <w:rFonts w:ascii="宋体" w:hAnsi="宋体" w:eastAsia="宋体" w:cs="宋体"/>
          <w:b/>
          <w:bCs/>
          <w:kern w:val="0"/>
          <w:sz w:val="21"/>
          <w:szCs w:val="21"/>
        </w:rPr>
      </w:pPr>
      <w:bookmarkStart w:id="1638" w:name="_Toc532375665"/>
      <w:bookmarkEnd w:id="1638"/>
      <w:bookmarkStart w:id="1639" w:name="_Toc351203649"/>
      <w:bookmarkEnd w:id="1639"/>
      <w:bookmarkStart w:id="1640" w:name="_Hlk528928440"/>
      <w:bookmarkEnd w:id="1640"/>
      <w:bookmarkStart w:id="1641" w:name="_Toc532377404"/>
      <w:bookmarkEnd w:id="1641"/>
      <w:r>
        <w:rPr>
          <w:rFonts w:hint="eastAsia" w:ascii="宋体" w:hAnsi="宋体" w:eastAsia="宋体" w:cs="宋体"/>
          <w:b/>
          <w:bCs/>
          <w:kern w:val="0"/>
          <w:sz w:val="21"/>
          <w:szCs w:val="21"/>
        </w:rPr>
        <w:t>16.2 承包人违约</w:t>
      </w:r>
    </w:p>
    <w:p w14:paraId="3EB4DC13">
      <w:pPr>
        <w:snapToGrid w:val="0"/>
        <w:spacing w:line="360" w:lineRule="auto"/>
        <w:jc w:val="left"/>
        <w:rPr>
          <w:rFonts w:ascii="宋体" w:hAnsi="宋体" w:eastAsia="宋体" w:cs="Microsoft Sans Serif"/>
          <w:kern w:val="0"/>
          <w:sz w:val="21"/>
          <w:szCs w:val="21"/>
        </w:rPr>
      </w:pPr>
      <w:bookmarkStart w:id="1642" w:name="OLE_LINK11"/>
      <w:bookmarkEnd w:id="1642"/>
      <w:bookmarkStart w:id="1643" w:name="_Hlk524380579"/>
      <w:r>
        <w:rPr>
          <w:rFonts w:hint="eastAsia" w:ascii="宋体" w:hAnsi="宋体" w:eastAsia="宋体" w:cs="Microsoft Sans Serif"/>
          <w:kern w:val="0"/>
          <w:sz w:val="21"/>
          <w:szCs w:val="21"/>
        </w:rPr>
        <w:t>16.2.1 承包人违约的情形</w:t>
      </w:r>
      <w:bookmarkEnd w:id="1643"/>
    </w:p>
    <w:p w14:paraId="254CF44C">
      <w:pPr>
        <w:snapToGrid w:val="0"/>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除通用合同条款约定外，承包人违约的其他情形：</w:t>
      </w:r>
    </w:p>
    <w:p w14:paraId="15E90BA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（1）承包人未按合同约定提交履约担保或质量保证金的；</w:t>
      </w:r>
    </w:p>
    <w:p w14:paraId="03A8D0E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（2）承包人未能按期开工的；</w:t>
      </w:r>
    </w:p>
    <w:p w14:paraId="79A577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（3）承包人未按招标申请文件或监理人的要求及时配备称职的主要管理人员，或承包人未按经审定的施工组织设计配备或更换关键施工设备的；</w:t>
      </w:r>
    </w:p>
    <w:p w14:paraId="42306FD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（4）承包人有安全问题或有违反安全管理规章制度情况的；</w:t>
      </w:r>
    </w:p>
    <w:p w14:paraId="5E4E0D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（5）承包人在缺陷责任期及保修期内，未能在合理期限对工程缺陷进行修复，或拒绝按发包人要求进行修复的；</w:t>
      </w:r>
    </w:p>
    <w:p w14:paraId="6FAC333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（6）承包人拖欠其工人或所雇人员工资或报酬，导致其工人或所雇人员向有关部门投诉、控告、检举或以聚集等方式讨要工资或报酬的；</w:t>
      </w:r>
    </w:p>
    <w:p w14:paraId="0ADA1F5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（7）承包人不配合发包人、监理人及发包人委托的工程造价咨询服务单位结算审核或承包人其他原因导致未按期完成工程竣工结算的；</w:t>
      </w:r>
    </w:p>
    <w:p w14:paraId="5EB832D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（8）承包人违反合同约定进行转包或违法分包的；</w:t>
      </w:r>
    </w:p>
    <w:p w14:paraId="09874EB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（9）承包人未按合同约定移交全部或部分工作的；</w:t>
      </w:r>
    </w:p>
    <w:p w14:paraId="573EB3A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（10）承包人未按合同约定购买保险的；</w:t>
      </w:r>
    </w:p>
    <w:p w14:paraId="707F3745">
      <w:pPr>
        <w:spacing w:line="360" w:lineRule="auto"/>
        <w:rPr>
          <w:rFonts w:ascii="宋体" w:hAnsi="宋体" w:eastAsia="宋体" w:cs="Times New Roman"/>
          <w:sz w:val="21"/>
          <w:szCs w:val="21"/>
        </w:rPr>
      </w:pPr>
      <w:r>
        <w:rPr>
          <w:rFonts w:hint="eastAsia" w:ascii="宋体" w:hAnsi="宋体" w:eastAsia="宋体" w:cs="Times New Roman"/>
          <w:sz w:val="21"/>
          <w:szCs w:val="21"/>
        </w:rPr>
        <w:t>（11）未经监理人批准，私自将已按合同约定进入施工场地的施工设备、临时设施、材料或工程设备撤离施工场地；</w:t>
      </w:r>
    </w:p>
    <w:p w14:paraId="7C785D98">
      <w:pPr>
        <w:spacing w:line="360" w:lineRule="auto"/>
        <w:rPr>
          <w:rFonts w:ascii="Times New Roman" w:hAnsi="Times New Roman" w:eastAsia="宋体" w:cs="Times New Roman"/>
          <w:sz w:val="21"/>
          <w:szCs w:val="21"/>
        </w:rPr>
      </w:pPr>
      <w:r>
        <w:rPr>
          <w:rFonts w:hint="eastAsia" w:ascii="宋体" w:hAnsi="宋体" w:eastAsia="宋体" w:cs="Times New Roman"/>
          <w:sz w:val="21"/>
          <w:szCs w:val="21"/>
        </w:rPr>
        <w:t>（12）承包人不按合同约定履行义务的其他情况。</w:t>
      </w:r>
    </w:p>
    <w:p w14:paraId="23F5369F">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（13）项目经理若有以下情形，属于承包人违约：</w:t>
      </w:r>
    </w:p>
    <w:p w14:paraId="3881DD7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1）项目经理不按承诺到岗的；</w:t>
      </w:r>
    </w:p>
    <w:p w14:paraId="5277860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2）每月在施工现场的天数少于约定天数的；</w:t>
      </w:r>
    </w:p>
    <w:p w14:paraId="4D9D0B6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3）承包人未提交项目经理劳动合同和社会保险证明的；</w:t>
      </w:r>
    </w:p>
    <w:p w14:paraId="7CD5C9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4）未经批准，擅自离开施工现场（超过约定时间）的；</w:t>
      </w:r>
    </w:p>
    <w:p w14:paraId="12A9A2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5）未经批准，擅自变更项目经理的；</w:t>
      </w:r>
    </w:p>
    <w:p w14:paraId="2E5C94B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6）按照渝建发〔2015〕35号文的要求，施工期间，项目经理因在一个记分周期内累计记分达到12分，被建设行政主管部门依法责令停止执业的；</w:t>
      </w:r>
    </w:p>
    <w:p w14:paraId="67BDDD3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7）发包人有正当理由认为项目经理不称职/不履职，且承包人在约定时间内不予更换的；</w:t>
      </w:r>
    </w:p>
    <w:p w14:paraId="7DDF566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8）其他双方约定的情形：/</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9E0DE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（14）技术负责人若有以下情形，属于承包人违约：</w:t>
      </w:r>
    </w:p>
    <w:p w14:paraId="64FDA3A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1）每月在施工现场的天数少于约定天数的；</w:t>
      </w:r>
    </w:p>
    <w:p w14:paraId="70DED1E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2）承包人未提交技术负责人劳动合同和社会保险证明的；</w:t>
      </w:r>
    </w:p>
    <w:p w14:paraId="530C064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3）未经批准，擅自离开施工现场（超过约定时间）的；</w:t>
      </w:r>
    </w:p>
    <w:p w14:paraId="408A813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4）未经批准，擅自变更技术负责人的；</w:t>
      </w:r>
    </w:p>
    <w:p w14:paraId="4F1D13F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5）发包人有正当理由认为技术负责人不称职/不履职，且承包人在约定时间内不予更换的；</w:t>
      </w:r>
    </w:p>
    <w:p w14:paraId="6D7A8D1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B7DEF27">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（15）主要施工管理人员若有以下情形，属于承包人违约：</w:t>
      </w:r>
    </w:p>
    <w:p w14:paraId="66BB544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1）承包人未提交主要管理人员劳动合同和社会保险证明的；</w:t>
      </w:r>
    </w:p>
    <w:p w14:paraId="4E96A88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2）未经批准，擅自离开施工现场（超过约定时间）的；</w:t>
      </w:r>
    </w:p>
    <w:p w14:paraId="4767B62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3）未经批准，擅自变更主要施工管理人员的；</w:t>
      </w:r>
    </w:p>
    <w:p w14:paraId="77D0C3C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4）发包人有正当理由认为主要施工管理人员不称职/不履职，且承包人在约定时间内不予更换的；</w:t>
      </w:r>
    </w:p>
    <w:p w14:paraId="2410A5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3BA435C">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（16）</w:t>
      </w:r>
      <w:r>
        <w:rPr>
          <w:rFonts w:hint="eastAsia" w:ascii="宋体" w:hAnsi="宋体" w:eastAsia="宋体" w:cs="Times New Roman"/>
          <w:kern w:val="0"/>
          <w:sz w:val="21"/>
          <w:szCs w:val="21"/>
          <w:u w:val="single"/>
        </w:rPr>
        <w:t>按合同约定承包人项目经理、技术负责人等需到岗履职，如不能到岗履职，无论对发包单位是否产生实际损失，均应按合同约定条款执行惩罚条款。</w:t>
      </w:r>
    </w:p>
    <w:p w14:paraId="5018FF00">
      <w:pPr>
        <w:adjustRightInd w:val="0"/>
        <w:snapToGrid w:val="0"/>
        <w:spacing w:line="360" w:lineRule="auto"/>
        <w:rPr>
          <w:rFonts w:ascii="宋体" w:hAnsi="宋体" w:eastAsia="宋体" w:cs="Microsoft Sans Serif"/>
          <w:kern w:val="0"/>
          <w:sz w:val="21"/>
          <w:szCs w:val="21"/>
        </w:rPr>
      </w:pPr>
      <w:r>
        <w:rPr>
          <w:rFonts w:hint="eastAsia" w:ascii="宋体" w:hAnsi="宋体" w:eastAsia="宋体" w:cs="Microsoft Sans Serif"/>
          <w:kern w:val="0"/>
          <w:sz w:val="21"/>
          <w:szCs w:val="21"/>
        </w:rPr>
        <w:t>16.2.2 承包人违约的责任</w:t>
      </w:r>
    </w:p>
    <w:p w14:paraId="5D8E2B4E">
      <w:pPr>
        <w:adjustRightInd w:val="0"/>
        <w:snapToGrid w:val="0"/>
        <w:spacing w:line="360" w:lineRule="auto"/>
        <w:rPr>
          <w:rFonts w:ascii="宋体" w:hAnsi="宋体" w:eastAsia="宋体" w:cs="Microsoft Sans Serif"/>
          <w:kern w:val="0"/>
          <w:sz w:val="21"/>
          <w:szCs w:val="21"/>
        </w:rPr>
      </w:pPr>
      <w:bookmarkStart w:id="1644" w:name="_Hlk524380347"/>
      <w:bookmarkEnd w:id="1644"/>
      <w:r>
        <w:rPr>
          <w:rFonts w:hint="eastAsia" w:ascii="宋体" w:hAnsi="宋体" w:eastAsia="宋体" w:cs="Microsoft Sans Serif"/>
          <w:kern w:val="0"/>
          <w:sz w:val="21"/>
          <w:szCs w:val="21"/>
        </w:rPr>
        <w:t>承包人违约责任的承担方式和计算方法：</w:t>
      </w:r>
    </w:p>
    <w:p w14:paraId="2DF68A98">
      <w:pPr>
        <w:adjustRightInd w:val="0"/>
        <w:snapToGrid w:val="0"/>
        <w:spacing w:line="400" w:lineRule="exact"/>
        <w:rPr>
          <w:rFonts w:ascii="宋体" w:hAnsi="宋体" w:eastAsia="宋体" w:cs="Times New Roman"/>
          <w:kern w:val="0"/>
          <w:sz w:val="21"/>
          <w:szCs w:val="21"/>
        </w:rPr>
      </w:pPr>
      <w:r>
        <w:rPr>
          <w:rFonts w:hint="eastAsia" w:ascii="宋体" w:hAnsi="宋体" w:eastAsia="宋体" w:cs="Times New Roman"/>
          <w:kern w:val="0"/>
          <w:sz w:val="21"/>
          <w:szCs w:val="21"/>
        </w:rPr>
        <w:t>承包人违约责任的承担方式和计算方法：</w:t>
      </w:r>
    </w:p>
    <w:p w14:paraId="6D16A11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（1）承包人未按合同约定提交履约担保、质量保证金的违约责任：承包人应支付违约金，</w:t>
      </w:r>
      <w:r>
        <w:rPr>
          <w:rFonts w:hint="eastAsia" w:ascii="宋体" w:hAnsi="宋体" w:eastAsia="宋体" w:cs="Times New Roman"/>
          <w:sz w:val="21"/>
          <w:szCs w:val="21"/>
        </w:rPr>
        <w:t>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5000元/天</w:t>
      </w:r>
      <w:r>
        <w:rPr>
          <w:rFonts w:hint="eastAsia" w:ascii="宋体" w:hAnsi="宋体" w:eastAsia="宋体" w:cs="Times New Roman"/>
          <w:kern w:val="0"/>
          <w:sz w:val="21"/>
          <w:szCs w:val="21"/>
        </w:rPr>
        <w:t>计算违约金，累计违约金上限：</w:t>
      </w:r>
      <w:r>
        <w:rPr>
          <w:rFonts w:hint="eastAsia" w:ascii="宋体" w:hAnsi="宋体" w:eastAsia="宋体" w:cs="Times New Roman"/>
          <w:kern w:val="0"/>
          <w:sz w:val="21"/>
          <w:szCs w:val="21"/>
          <w:u w:val="single"/>
        </w:rPr>
        <w:t xml:space="preserve">  不超过签约合同价的3%</w:t>
      </w:r>
      <w:r>
        <w:rPr>
          <w:rFonts w:hint="eastAsia" w:ascii="宋体" w:hAnsi="宋体" w:eastAsia="宋体" w:cs="Times New Roman"/>
          <w:kern w:val="0"/>
          <w:sz w:val="21"/>
          <w:szCs w:val="21"/>
        </w:rPr>
        <w:t>。</w:t>
      </w:r>
    </w:p>
    <w:p w14:paraId="2CBF8B2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（2）承包人违反合同约定进行转包或违法分包的违约责任：按照违反合同约定进行转包和（或）违法分包相应转包和（或）分包合同的合同金额的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支付违约金，违法转/分包商应在7天内撤离出场。</w:t>
      </w:r>
    </w:p>
    <w:p w14:paraId="76C240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（3）承包人违反合同约定采购和使用不合格的材料和工程设备的违约责任：按照违反合同约定采购和使用不合格的材料和（或）工程设备相应合同金额的</w:t>
      </w:r>
      <w:r>
        <w:rPr>
          <w:rFonts w:hint="eastAsia" w:ascii="宋体" w:hAnsi="宋体" w:eastAsia="宋体" w:cs="Times New Roman"/>
          <w:kern w:val="0"/>
          <w:sz w:val="21"/>
          <w:szCs w:val="21"/>
          <w:u w:val="single"/>
        </w:rPr>
        <w:t>2倍</w:t>
      </w:r>
      <w:r>
        <w:rPr>
          <w:rFonts w:hint="eastAsia" w:ascii="宋体" w:hAnsi="宋体" w:eastAsia="宋体" w:cs="Times New Roman"/>
          <w:kern w:val="0"/>
          <w:sz w:val="21"/>
          <w:szCs w:val="21"/>
        </w:rPr>
        <w:t>支付违约金。</w:t>
      </w:r>
    </w:p>
    <w:p w14:paraId="6C610F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（4）因承包人原因导致工程质量不符合规定或合同要求的违约责任：承包人退还已支付工程质量不符合合同要求工程的工程款，并按照工程质量不符合合同要求工程相应合同金额的</w:t>
      </w:r>
      <w:r>
        <w:rPr>
          <w:rFonts w:ascii="宋体" w:hAnsi="宋体" w:eastAsia="宋体" w:cs="Times New Roman"/>
          <w:kern w:val="0"/>
          <w:sz w:val="21"/>
          <w:szCs w:val="21"/>
          <w:u w:val="single"/>
        </w:rPr>
        <w:t>2</w:t>
      </w:r>
      <w:r>
        <w:rPr>
          <w:rFonts w:hint="eastAsia" w:ascii="宋体" w:hAnsi="宋体" w:eastAsia="宋体" w:cs="Times New Roman"/>
          <w:kern w:val="0"/>
          <w:sz w:val="21"/>
          <w:szCs w:val="21"/>
          <w:u w:val="single"/>
        </w:rPr>
        <w:t>倍</w:t>
      </w:r>
      <w:r>
        <w:rPr>
          <w:rFonts w:hint="eastAsia" w:ascii="宋体" w:hAnsi="宋体" w:eastAsia="宋体" w:cs="Times New Roman"/>
          <w:kern w:val="0"/>
          <w:sz w:val="21"/>
          <w:szCs w:val="21"/>
        </w:rPr>
        <w:t>支付违约金。</w:t>
      </w:r>
    </w:p>
    <w:p w14:paraId="601226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Times New Roman"/>
          <w:kern w:val="0"/>
          <w:sz w:val="21"/>
          <w:szCs w:val="21"/>
          <w:u w:val="single"/>
        </w:rPr>
        <w:t xml:space="preserve">  5%</w:t>
      </w:r>
      <w:r>
        <w:rPr>
          <w:rFonts w:hint="eastAsia" w:ascii="宋体" w:hAnsi="宋体" w:eastAsia="宋体" w:cs="Times New Roman"/>
          <w:kern w:val="0"/>
          <w:sz w:val="21"/>
          <w:szCs w:val="21"/>
        </w:rPr>
        <w:t>支付违约金。</w:t>
      </w:r>
    </w:p>
    <w:p w14:paraId="785E9E8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（6）因承包人原因造成工期延误的违约承担方式和计算方法：由承包人承担由此增加的费用，</w:t>
      </w:r>
      <w:r>
        <w:rPr>
          <w:rFonts w:hint="eastAsia" w:ascii="宋体" w:hAnsi="宋体" w:eastAsia="宋体" w:cs="Times New Roman"/>
          <w:sz w:val="21"/>
          <w:szCs w:val="21"/>
        </w:rPr>
        <w:t>由此导致工期延误的，工期不予顺延；逾期竣工违约金的计算方法：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 元/天</w:t>
      </w:r>
      <w:r>
        <w:rPr>
          <w:rFonts w:hint="eastAsia" w:ascii="宋体" w:hAnsi="宋体" w:eastAsia="宋体" w:cs="Times New Roman"/>
          <w:kern w:val="0"/>
          <w:sz w:val="21"/>
          <w:szCs w:val="21"/>
        </w:rPr>
        <w:t>计算逾期竣工违约金，累计违约金上限：</w:t>
      </w:r>
      <w:r>
        <w:rPr>
          <w:rFonts w:hint="eastAsia" w:ascii="宋体" w:hAnsi="宋体" w:eastAsia="宋体" w:cs="Times New Roman"/>
          <w:kern w:val="0"/>
          <w:sz w:val="21"/>
          <w:szCs w:val="21"/>
          <w:u w:val="single"/>
        </w:rPr>
        <w:t>不超过签约合同价的3%</w:t>
      </w:r>
      <w:r>
        <w:rPr>
          <w:rFonts w:hint="eastAsia" w:ascii="宋体" w:hAnsi="宋体" w:eastAsia="宋体" w:cs="Times New Roman"/>
          <w:kern w:val="0"/>
          <w:sz w:val="21"/>
          <w:szCs w:val="21"/>
        </w:rPr>
        <w:t>；承包人支付逾期竣工违约金后，不免除承包人继续完成工程及修补缺陷的义务。</w:t>
      </w:r>
    </w:p>
    <w:p w14:paraId="7CBDB6D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（7）承包人在缺陷责任期及保修期内，未能在合理期限对工程缺陷进行修复，或拒绝按发包人要求进行修复的违约责任：按照发包人修复缺陷费用的</w:t>
      </w:r>
      <w:r>
        <w:rPr>
          <w:rFonts w:hint="eastAsia" w:ascii="宋体" w:hAnsi="宋体" w:eastAsia="宋体" w:cs="Times New Roman"/>
          <w:kern w:val="0"/>
          <w:sz w:val="21"/>
          <w:szCs w:val="21"/>
          <w:u w:val="single"/>
        </w:rPr>
        <w:t xml:space="preserve">  2%</w:t>
      </w:r>
      <w:r>
        <w:rPr>
          <w:rFonts w:hint="eastAsia" w:ascii="宋体" w:hAnsi="宋体" w:eastAsia="宋体" w:cs="Times New Roman"/>
          <w:kern w:val="0"/>
          <w:sz w:val="21"/>
          <w:szCs w:val="21"/>
        </w:rPr>
        <w:t>支付违约金。</w:t>
      </w:r>
    </w:p>
    <w:p w14:paraId="01FB98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（8）承包人明确表示或者以其行为表明不履行合同主要义务的违约责任：按签约合同价的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w:t>
      </w:r>
    </w:p>
    <w:p w14:paraId="4C50364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（9）承包人未能按照合同约定履行其他义务的违约责任：按</w:t>
      </w:r>
      <w:r>
        <w:rPr>
          <w:rFonts w:hint="eastAsia" w:ascii="宋体" w:hAnsi="宋体" w:eastAsia="宋体" w:cs="Times New Roman"/>
          <w:kern w:val="0"/>
          <w:sz w:val="21"/>
          <w:szCs w:val="21"/>
          <w:u w:val="single"/>
        </w:rPr>
        <w:t>5000元/次</w:t>
      </w:r>
      <w:r>
        <w:rPr>
          <w:rFonts w:hint="eastAsia" w:ascii="宋体" w:hAnsi="宋体" w:eastAsia="宋体" w:cs="Times New Roman"/>
          <w:kern w:val="0"/>
          <w:sz w:val="21"/>
          <w:szCs w:val="21"/>
        </w:rPr>
        <w:t>支付违约金。</w:t>
      </w:r>
    </w:p>
    <w:p w14:paraId="318473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（10）承包人未能按期开工的违约责任：按合同价</w:t>
      </w:r>
      <w:r>
        <w:rPr>
          <w:rFonts w:hint="eastAsia" w:ascii="宋体" w:hAnsi="宋体" w:eastAsia="宋体" w:cs="Times New Roman"/>
          <w:kern w:val="0"/>
          <w:sz w:val="21"/>
          <w:szCs w:val="21"/>
          <w:u w:val="single"/>
        </w:rPr>
        <w:t>0.2‰/天</w:t>
      </w:r>
      <w:r>
        <w:rPr>
          <w:rFonts w:hint="eastAsia" w:ascii="宋体" w:hAnsi="宋体" w:eastAsia="宋体" w:cs="Times New Roman"/>
          <w:kern w:val="0"/>
          <w:sz w:val="21"/>
          <w:szCs w:val="21"/>
        </w:rPr>
        <w:t>支付违约金，本项违约金累计限额为签约合同价的</w:t>
      </w:r>
      <w:r>
        <w:rPr>
          <w:rFonts w:hint="eastAsia" w:ascii="宋体" w:hAnsi="宋体" w:eastAsia="宋体" w:cs="Times New Roman"/>
          <w:kern w:val="0"/>
          <w:sz w:val="21"/>
          <w:szCs w:val="21"/>
          <w:u w:val="single"/>
        </w:rPr>
        <w:t xml:space="preserve"> 1 %</w:t>
      </w:r>
      <w:r>
        <w:rPr>
          <w:rFonts w:hint="eastAsia" w:ascii="宋体" w:hAnsi="宋体" w:eastAsia="宋体" w:cs="Times New Roman"/>
          <w:kern w:val="0"/>
          <w:sz w:val="21"/>
          <w:szCs w:val="21"/>
        </w:rPr>
        <w:t>。</w:t>
      </w:r>
    </w:p>
    <w:p w14:paraId="2A128D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（11）承包人未按经审定的施工组织设计配备或更换关键施工设备的违约责任：</w:t>
      </w:r>
      <w:r>
        <w:rPr>
          <w:rFonts w:hint="eastAsia" w:ascii="宋体" w:hAnsi="宋体" w:eastAsia="宋体" w:cs="Times New Roman"/>
          <w:kern w:val="0"/>
          <w:sz w:val="21"/>
          <w:szCs w:val="21"/>
          <w:u w:val="single"/>
        </w:rPr>
        <w:t>5000元/台·次</w:t>
      </w:r>
      <w:r>
        <w:rPr>
          <w:rFonts w:hint="eastAsia" w:ascii="宋体" w:hAnsi="宋体" w:eastAsia="宋体" w:cs="Times New Roman"/>
          <w:kern w:val="0"/>
          <w:sz w:val="21"/>
          <w:szCs w:val="21"/>
        </w:rPr>
        <w:t>支付违约金。</w:t>
      </w:r>
    </w:p>
    <w:p w14:paraId="791202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（12）承包人有安全问题或有违反安全管理规章制度情况的违约责任：根据具体情节，按签约合同价的</w:t>
      </w:r>
      <w:r>
        <w:rPr>
          <w:rFonts w:hint="eastAsia" w:ascii="宋体" w:hAnsi="宋体" w:eastAsia="宋体" w:cs="Times New Roman"/>
          <w:kern w:val="0"/>
          <w:sz w:val="21"/>
          <w:szCs w:val="21"/>
          <w:u w:val="single"/>
        </w:rPr>
        <w:t>4‰/次</w:t>
      </w:r>
      <w:r>
        <w:rPr>
          <w:rFonts w:hint="eastAsia" w:ascii="宋体" w:hAnsi="宋体" w:eastAsia="宋体" w:cs="Times New Roman"/>
          <w:kern w:val="0"/>
          <w:sz w:val="21"/>
          <w:szCs w:val="21"/>
        </w:rPr>
        <w:t>支付违约金（累计不超过签约合同价的1%，详见附件9安全管理协议）。</w:t>
      </w:r>
    </w:p>
    <w:p w14:paraId="3143B2FF">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Times New Roman"/>
          <w:kern w:val="0"/>
          <w:sz w:val="21"/>
          <w:szCs w:val="21"/>
          <w:u w:val="single"/>
        </w:rPr>
        <w:t xml:space="preserve">  20000元/次</w:t>
      </w:r>
      <w:r>
        <w:rPr>
          <w:rFonts w:hint="eastAsia" w:ascii="宋体" w:hAnsi="宋体" w:eastAsia="宋体" w:cs="Times New Roman"/>
          <w:kern w:val="0"/>
          <w:sz w:val="21"/>
          <w:szCs w:val="21"/>
        </w:rPr>
        <w:t>支付违约金。</w:t>
      </w:r>
    </w:p>
    <w:p w14:paraId="0895383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（14）承包人不配合发包人、监理人及发包人委托的工程造价咨询服务单位结算审核的违约责任：根据具体情节，按</w:t>
      </w:r>
      <w:r>
        <w:rPr>
          <w:rFonts w:hint="eastAsia" w:ascii="宋体" w:hAnsi="宋体" w:eastAsia="宋体" w:cs="Times New Roman"/>
          <w:kern w:val="0"/>
          <w:sz w:val="21"/>
          <w:szCs w:val="21"/>
          <w:u w:val="single"/>
        </w:rPr>
        <w:t xml:space="preserve">  50000元/次</w:t>
      </w:r>
      <w:r>
        <w:rPr>
          <w:rFonts w:hint="eastAsia" w:ascii="宋体" w:hAnsi="宋体" w:eastAsia="宋体" w:cs="Times New Roman"/>
          <w:kern w:val="0"/>
          <w:sz w:val="21"/>
          <w:szCs w:val="21"/>
        </w:rPr>
        <w:t>支付违约金。</w:t>
      </w:r>
    </w:p>
    <w:p w14:paraId="0E3981F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支付违约金。</w:t>
      </w:r>
    </w:p>
    <w:p w14:paraId="14BA445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sz w:val="21"/>
          <w:szCs w:val="21"/>
        </w:rPr>
        <w:t>（16）承包人未按合同约定购买保险的违约责任：除按18.6.2项约定执行外，每延迟1天，按</w:t>
      </w:r>
      <w:r>
        <w:rPr>
          <w:rFonts w:hint="eastAsia" w:ascii="宋体" w:hAnsi="宋体" w:eastAsia="宋体" w:cs="Times New Roman"/>
          <w:sz w:val="21"/>
          <w:szCs w:val="21"/>
          <w:u w:val="single"/>
        </w:rPr>
        <w:t>500元/天</w:t>
      </w:r>
      <w:r>
        <w:rPr>
          <w:rFonts w:hint="eastAsia" w:ascii="宋体" w:hAnsi="宋体" w:eastAsia="宋体" w:cs="Times New Roman"/>
          <w:sz w:val="21"/>
          <w:szCs w:val="21"/>
        </w:rPr>
        <w:t>支付违约金。</w:t>
      </w:r>
    </w:p>
    <w:p w14:paraId="01ED75C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（17）发生第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违约情形的违约责任：除承担由此增加的费用和工期延误的责任，承包人应向发包人支付违约金：</w:t>
      </w:r>
    </w:p>
    <w:p w14:paraId="2F69398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项（13）目的情形，每发现一次，根据具体情节，按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计算违约金；项目经理不按承诺到岗的，按履约保证金的</w:t>
      </w:r>
      <w:r>
        <w:rPr>
          <w:rFonts w:hint="eastAsia" w:ascii="宋体" w:hAnsi="宋体" w:eastAsia="宋体" w:cs="Times New Roman"/>
          <w:kern w:val="0"/>
          <w:sz w:val="21"/>
          <w:szCs w:val="21"/>
          <w:u w:val="single"/>
        </w:rPr>
        <w:t>100%</w:t>
      </w:r>
      <w:r>
        <w:rPr>
          <w:rFonts w:hint="eastAsia" w:ascii="宋体" w:hAnsi="宋体" w:eastAsia="宋体" w:cs="Times New Roman"/>
          <w:kern w:val="0"/>
          <w:sz w:val="21"/>
          <w:szCs w:val="21"/>
        </w:rPr>
        <w:t>支付违约金，并解除合同；擅自更换项目经理的，按签约合同价的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万，累计不超过</w:t>
      </w:r>
      <w:r>
        <w:rPr>
          <w:rFonts w:hint="eastAsia" w:ascii="宋体" w:hAnsi="宋体" w:eastAsia="宋体" w:cs="Times New Roman"/>
          <w:kern w:val="0"/>
          <w:sz w:val="21"/>
          <w:szCs w:val="21"/>
          <w:u w:val="single"/>
        </w:rPr>
        <w:t>10</w:t>
      </w:r>
      <w:r>
        <w:rPr>
          <w:rFonts w:hint="eastAsia" w:ascii="宋体" w:hAnsi="宋体" w:eastAsia="宋体" w:cs="Times New Roman"/>
          <w:kern w:val="0"/>
          <w:sz w:val="21"/>
          <w:szCs w:val="21"/>
        </w:rPr>
        <w:t>万。</w:t>
      </w:r>
    </w:p>
    <w:p w14:paraId="2C59AFBD">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2）主要技术负责人违约承担方式和计算方法：对于第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项（14）目的六种情形，每发现一次，根据具体情节，按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计算违约金；擅自更换主要技术负责人的，按签约合同价的</w:t>
      </w:r>
      <w:r>
        <w:rPr>
          <w:rFonts w:hint="eastAsia" w:ascii="宋体" w:hAnsi="宋体" w:eastAsia="宋体" w:cs="Times New Roman"/>
          <w:kern w:val="0"/>
          <w:sz w:val="21"/>
          <w:szCs w:val="21"/>
          <w:u w:val="single"/>
        </w:rPr>
        <w:t>2%/人·次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5万</w:t>
      </w:r>
      <w:r>
        <w:rPr>
          <w:rFonts w:hint="eastAsia" w:ascii="宋体" w:hAnsi="宋体" w:eastAsia="宋体" w:cs="Times New Roman"/>
          <w:kern w:val="0"/>
          <w:sz w:val="21"/>
          <w:szCs w:val="21"/>
        </w:rPr>
        <w:t>。</w:t>
      </w:r>
    </w:p>
    <w:p w14:paraId="66BE123D">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3）主要施工管理人员违约承担方式和计算方法：对于第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项（15）目的五种情形，每发现一次，根据具体情节，按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w:t>
      </w:r>
    </w:p>
    <w:p w14:paraId="5819A8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（18）</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6E914737">
      <w:pPr>
        <w:keepNext/>
        <w:keepLines/>
        <w:snapToGrid w:val="0"/>
        <w:spacing w:line="360" w:lineRule="auto"/>
        <w:jc w:val="left"/>
        <w:outlineLvl w:val="3"/>
        <w:rPr>
          <w:rFonts w:ascii="宋体" w:hAnsi="宋体" w:eastAsia="宋体" w:cs="宋体"/>
          <w:kern w:val="0"/>
          <w:sz w:val="21"/>
          <w:szCs w:val="21"/>
        </w:rPr>
      </w:pPr>
      <w:r>
        <w:rPr>
          <w:rFonts w:hint="eastAsia" w:ascii="宋体" w:hAnsi="宋体" w:eastAsia="宋体" w:cs="宋体"/>
          <w:sz w:val="21"/>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 对承包人违约的处理</w:t>
      </w:r>
      <w:r>
        <w:rPr>
          <w:rFonts w:hint="eastAsia" w:ascii="宋体" w:hAnsi="宋体" w:eastAsia="宋体" w:cs="宋体"/>
          <w:kern w:val="0"/>
          <w:sz w:val="21"/>
          <w:szCs w:val="21"/>
        </w:rPr>
        <w:t>承担违约责任</w:t>
      </w:r>
      <w:r>
        <w:rPr>
          <w:rFonts w:hint="eastAsia" w:ascii="宋体" w:hAnsi="宋体" w:eastAsia="宋体" w:cs="宋体"/>
          <w:sz w:val="21"/>
          <w:szCs w:val="21"/>
        </w:rPr>
        <w:t>，并从应付或到期应付给承包人的任何款项中或采用其他方法，扣除该违约金。</w:t>
      </w:r>
    </w:p>
    <w:p w14:paraId="7E9516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eastAsia="宋体" w:cs="Times New Roman"/>
          <w:kern w:val="0"/>
          <w:sz w:val="21"/>
          <w:szCs w:val="21"/>
        </w:rPr>
        <w:t>，承担由此给</w:t>
      </w:r>
      <w:r>
        <w:rPr>
          <w:rFonts w:hint="eastAsia" w:ascii="宋体" w:hAnsi="宋体" w:eastAsia="宋体" w:cs="Times New Roman"/>
          <w:sz w:val="21"/>
          <w:szCs w:val="21"/>
        </w:rPr>
        <w:t>发包人造成的经济损失。</w:t>
      </w:r>
    </w:p>
    <w:p w14:paraId="3390EE2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16.2.3 因承包人违约解除合同</w:t>
      </w:r>
    </w:p>
    <w:p w14:paraId="18AD7CE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因承包人违约并致使合同目的不能实现的，发包人有权解除合同：</w:t>
      </w:r>
    </w:p>
    <w:p w14:paraId="2EFF57A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（1）未按合同约定延迟提供履约担保、质量保证金超过14天的；</w:t>
      </w:r>
    </w:p>
    <w:p w14:paraId="51A9BE1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（2）未按合同约定购买保险且经催告后超过56天的；</w:t>
      </w:r>
    </w:p>
    <w:p w14:paraId="2935F821">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（3）因承包人原因导致开工时间累计延误超过56天的；</w:t>
      </w:r>
    </w:p>
    <w:p w14:paraId="4DBB11D6">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（4）因承包人原因导致工期延误超过90天的；</w:t>
      </w:r>
    </w:p>
    <w:p w14:paraId="2BE9936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（5）发生第21.2款〔退出机制〕约定的情形的；</w:t>
      </w:r>
    </w:p>
    <w:p w14:paraId="4BD1C19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（6）监理人发出整改通知后，承包人在监理人限定的期限内仍不纠正违约行为的；</w:t>
      </w:r>
    </w:p>
    <w:p w14:paraId="0477FA4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（7）承包人进入清算或者严重资不抵债且无法履行合同的；</w:t>
      </w:r>
    </w:p>
    <w:p w14:paraId="2D9688F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（8）违反适用法律而被相关政府部门依法吊销营业执照、责令停业、清算或宣布破产、责令关闭的；</w:t>
      </w:r>
    </w:p>
    <w:p w14:paraId="44DD9DC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（9）承包人未履行合同项下的义务构成对合同的实质性违约，并且在收到发包人要求说明其违约并予以补救的通知后56天内仍未能补救该实质性违约的；</w:t>
      </w:r>
    </w:p>
    <w:p w14:paraId="49B8A49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（10）</w:t>
      </w:r>
      <w:r>
        <w:rPr>
          <w:rFonts w:hint="eastAsia" w:ascii="宋体" w:hAnsi="宋体" w:eastAsia="宋体" w:cs="Microsoft Sans Serif"/>
          <w:kern w:val="0"/>
          <w:sz w:val="21"/>
          <w:szCs w:val="21"/>
          <w:u w:val="single"/>
        </w:rPr>
        <w:t>合同约定的发包人有权解除合同的其他情形</w:t>
      </w:r>
      <w:r>
        <w:rPr>
          <w:rFonts w:hint="eastAsia" w:ascii="宋体" w:hAnsi="宋体" w:eastAsia="宋体" w:cs="Microsoft Sans Serif"/>
          <w:kern w:val="0"/>
          <w:sz w:val="21"/>
          <w:szCs w:val="21"/>
        </w:rPr>
        <w:t>。</w:t>
      </w:r>
    </w:p>
    <w:p w14:paraId="665D0A04">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16.2.4因承包人违约解除合同后的处理</w:t>
      </w:r>
    </w:p>
    <w:p w14:paraId="0ABC420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因承包人违约导致合同解除的，合同当事人应在</w:t>
      </w:r>
      <w:r>
        <w:rPr>
          <w:rFonts w:hint="eastAsia" w:ascii="宋体" w:hAnsi="宋体" w:eastAsia="宋体" w:cs="Microsoft Sans Serif"/>
          <w:kern w:val="0"/>
          <w:sz w:val="21"/>
          <w:szCs w:val="21"/>
          <w:u w:val="single"/>
        </w:rPr>
        <w:t>合同解除后28天内</w:t>
      </w:r>
      <w:r>
        <w:rPr>
          <w:rFonts w:hint="eastAsia" w:ascii="宋体" w:hAnsi="宋体" w:eastAsia="宋体" w:cs="Microsoft Sans Serif"/>
          <w:kern w:val="0"/>
          <w:sz w:val="21"/>
          <w:szCs w:val="21"/>
        </w:rPr>
        <w:t>完成估价、付款和清算，并按以下约定执行：</w:t>
      </w:r>
    </w:p>
    <w:p w14:paraId="707BA4C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（1）合同解除后，按第14.2款结算审定方式确定承包人实际完成工作对应的合同价款，以及承包人已提供的材料、工程设备、施工设备和临时工程等的价值；</w:t>
      </w:r>
    </w:p>
    <w:p w14:paraId="7E8A4697">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（2）合同解除后，承包人应支付违约金；</w:t>
      </w:r>
    </w:p>
    <w:p w14:paraId="3056C0D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（3）合同解除后，赔偿因解除合同给发包人造成的损失；</w:t>
      </w:r>
    </w:p>
    <w:p w14:paraId="225C342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（4）合同解除后，承包人应按照发包人要求和监理人的指示完成现场的清理和撤离。</w:t>
      </w:r>
    </w:p>
    <w:p w14:paraId="191347AE">
      <w:pPr>
        <w:spacing w:line="360" w:lineRule="auto"/>
        <w:jc w:val="left"/>
        <w:rPr>
          <w:rFonts w:ascii="宋体" w:hAnsi="宋体" w:eastAsia="宋体" w:cs="Times New Roman"/>
          <w:sz w:val="21"/>
          <w:szCs w:val="21"/>
        </w:rPr>
      </w:pPr>
      <w:r>
        <w:rPr>
          <w:rFonts w:hint="eastAsia" w:ascii="宋体" w:hAnsi="宋体" w:eastAsia="宋体" w:cs="Microsoft Sans Serif"/>
          <w:kern w:val="0"/>
          <w:sz w:val="21"/>
          <w:szCs w:val="21"/>
        </w:rPr>
        <w:t>（5）</w:t>
      </w:r>
      <w:r>
        <w:rPr>
          <w:rFonts w:hint="eastAsia" w:ascii="宋体" w:hAnsi="宋体" w:eastAsia="宋体" w:cs="Microsoft Sans Serif"/>
          <w:kern w:val="0"/>
          <w:sz w:val="21"/>
          <w:szCs w:val="21"/>
          <w:u w:val="single"/>
        </w:rPr>
        <w:t xml:space="preserve">   /     </w:t>
      </w:r>
      <w:r>
        <w:rPr>
          <w:rFonts w:hint="eastAsia" w:ascii="宋体" w:hAnsi="宋体" w:eastAsia="宋体" w:cs="Microsoft Sans Serif"/>
          <w:kern w:val="0"/>
          <w:sz w:val="21"/>
          <w:szCs w:val="21"/>
        </w:rPr>
        <w:t>。</w:t>
      </w:r>
    </w:p>
    <w:p w14:paraId="5468E5A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708B71C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FE08FBA">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17. 不可抗力</w:t>
      </w:r>
    </w:p>
    <w:p w14:paraId="11F65E98">
      <w:pPr>
        <w:widowControl/>
        <w:spacing w:line="360" w:lineRule="auto"/>
        <w:jc w:val="left"/>
        <w:outlineLvl w:val="4"/>
        <w:rPr>
          <w:rFonts w:ascii="宋体" w:hAnsi="宋体" w:eastAsia="宋体" w:cs="宋体"/>
          <w:b/>
          <w:bCs/>
          <w:kern w:val="0"/>
          <w:sz w:val="21"/>
          <w:szCs w:val="21"/>
        </w:rPr>
      </w:pPr>
      <w:bookmarkStart w:id="1645" w:name="_Toc532377405"/>
      <w:bookmarkEnd w:id="1645"/>
      <w:bookmarkStart w:id="1646" w:name="_Toc532375666"/>
      <w:r>
        <w:rPr>
          <w:rFonts w:hint="eastAsia" w:ascii="宋体" w:hAnsi="宋体" w:eastAsia="宋体" w:cs="宋体"/>
          <w:b/>
          <w:bCs/>
          <w:kern w:val="0"/>
          <w:sz w:val="21"/>
          <w:szCs w:val="21"/>
        </w:rPr>
        <w:t>17.1 不可抗力的确认</w:t>
      </w:r>
      <w:bookmarkEnd w:id="1646"/>
    </w:p>
    <w:p w14:paraId="2CE27E32">
      <w:pPr>
        <w:spacing w:line="400" w:lineRule="exact"/>
        <w:ind w:right="140" w:rightChars="50"/>
        <w:jc w:val="left"/>
        <w:rPr>
          <w:rFonts w:ascii="宋体" w:hAnsi="宋体" w:eastAsia="宋体" w:cs="Times New Roman"/>
          <w:sz w:val="21"/>
          <w:szCs w:val="21"/>
        </w:rPr>
      </w:pPr>
      <w:bookmarkStart w:id="1647" w:name="_Toc351203650"/>
      <w:bookmarkEnd w:id="1647"/>
      <w:bookmarkStart w:id="1648" w:name="_Toc532377408"/>
      <w:bookmarkEnd w:id="1648"/>
      <w:bookmarkStart w:id="1649" w:name="_Toc532375669"/>
      <w:r>
        <w:rPr>
          <w:rFonts w:hint="eastAsia" w:ascii="宋体" w:hAnsi="宋体" w:eastAsia="宋体" w:cs="Times New Roman"/>
          <w:sz w:val="21"/>
          <w:szCs w:val="21"/>
        </w:rPr>
        <w:t>除通用合同条款约定的不可抗力事件之外，视为不可抗力的其他情形：</w:t>
      </w:r>
      <w:bookmarkEnd w:id="1649"/>
      <w:bookmarkStart w:id="1650" w:name="_Hlk524379638"/>
      <w:bookmarkEnd w:id="1650"/>
    </w:p>
    <w:p w14:paraId="637573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（1）洪水、火山爆发、山崩、山体滑坡、泥石流、龙卷风、隧道内不可预测的突发性地质灾害等自然灾害；</w:t>
      </w:r>
    </w:p>
    <w:p w14:paraId="4C2AE5EB">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（2）骚乱、戒严、封锁、禁运、恐怖行为、等社会行为，但承包人或其分包人派遣与雇佣的人员由于合同工程施工原因引起的除外；</w:t>
      </w:r>
    </w:p>
    <w:p w14:paraId="1CC6DBED">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（3）不能合理预见的重大交通阻滞、停运、交通事故，非双方责任引起的火灾、爆炸、船舶撞击等情形；</w:t>
      </w:r>
    </w:p>
    <w:p w14:paraId="16EB968C">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（4）化学或放射性污染或核辐射；</w:t>
      </w:r>
    </w:p>
    <w:p w14:paraId="26B12CA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（5）环保治理等政府行为导致项目停工的。</w:t>
      </w:r>
    </w:p>
    <w:p w14:paraId="29F64E71">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55B7745">
      <w:pPr>
        <w:widowControl/>
        <w:spacing w:line="360" w:lineRule="auto"/>
        <w:jc w:val="left"/>
        <w:outlineLvl w:val="4"/>
        <w:rPr>
          <w:rFonts w:ascii="宋体" w:hAnsi="宋体" w:eastAsia="宋体" w:cs="宋体"/>
          <w:b/>
          <w:bCs/>
          <w:kern w:val="0"/>
          <w:sz w:val="21"/>
          <w:szCs w:val="21"/>
        </w:rPr>
      </w:pPr>
      <w:bookmarkStart w:id="1651" w:name="_Toc532375668"/>
      <w:bookmarkEnd w:id="1651"/>
      <w:bookmarkStart w:id="1652" w:name="_Toc532377407"/>
      <w:r>
        <w:rPr>
          <w:rFonts w:hint="eastAsia" w:ascii="宋体" w:hAnsi="宋体" w:eastAsia="宋体" w:cs="宋体"/>
          <w:b/>
          <w:bCs/>
          <w:kern w:val="0"/>
          <w:sz w:val="21"/>
          <w:szCs w:val="21"/>
        </w:rPr>
        <w:t xml:space="preserve">17.4 </w:t>
      </w:r>
      <w:bookmarkEnd w:id="1652"/>
      <w:r>
        <w:rPr>
          <w:rFonts w:hint="eastAsia" w:ascii="宋体" w:hAnsi="宋体" w:eastAsia="宋体" w:cs="宋体"/>
          <w:b/>
          <w:bCs/>
          <w:kern w:val="0"/>
          <w:sz w:val="21"/>
          <w:szCs w:val="21"/>
        </w:rPr>
        <w:t>因不可抗力解除合同</w:t>
      </w:r>
    </w:p>
    <w:p w14:paraId="038EA4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合同解除后，发包人应在商定或确定发包人应支付款项后</w:t>
      </w:r>
      <w:r>
        <w:rPr>
          <w:rFonts w:hint="eastAsia" w:ascii="宋体" w:hAnsi="宋体" w:eastAsia="宋体" w:cs="Times New Roman"/>
          <w:sz w:val="21"/>
          <w:szCs w:val="21"/>
          <w:u w:val="single"/>
        </w:rPr>
        <w:t xml:space="preserve"> 60 </w:t>
      </w:r>
      <w:r>
        <w:rPr>
          <w:rFonts w:hint="eastAsia" w:ascii="宋体" w:hAnsi="宋体" w:eastAsia="宋体" w:cs="Times New Roman"/>
          <w:sz w:val="21"/>
          <w:szCs w:val="21"/>
        </w:rPr>
        <w:t>天内完成款项的支付。</w:t>
      </w:r>
    </w:p>
    <w:p w14:paraId="2F5570F0">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18. 保险</w:t>
      </w:r>
    </w:p>
    <w:p w14:paraId="4FEC9211">
      <w:pPr>
        <w:widowControl/>
        <w:spacing w:line="360" w:lineRule="auto"/>
        <w:jc w:val="left"/>
        <w:outlineLvl w:val="4"/>
        <w:rPr>
          <w:rFonts w:ascii="宋体" w:hAnsi="宋体" w:eastAsia="宋体" w:cs="宋体"/>
          <w:b/>
          <w:bCs/>
          <w:kern w:val="0"/>
          <w:sz w:val="21"/>
          <w:szCs w:val="21"/>
        </w:rPr>
      </w:pPr>
      <w:bookmarkStart w:id="1653" w:name="_Toc532377409"/>
      <w:bookmarkEnd w:id="1653"/>
      <w:bookmarkStart w:id="1654" w:name="_Toc532375670"/>
      <w:r>
        <w:rPr>
          <w:rFonts w:hint="eastAsia" w:ascii="宋体" w:hAnsi="宋体" w:eastAsia="宋体" w:cs="宋体"/>
          <w:b/>
          <w:bCs/>
          <w:kern w:val="0"/>
          <w:sz w:val="21"/>
          <w:szCs w:val="21"/>
        </w:rPr>
        <w:t>18.1 工程保险</w:t>
      </w:r>
      <w:bookmarkEnd w:id="1654"/>
    </w:p>
    <w:p w14:paraId="430D6AAD">
      <w:pPr>
        <w:widowControl/>
        <w:spacing w:line="360" w:lineRule="auto"/>
        <w:jc w:val="left"/>
        <w:outlineLvl w:val="4"/>
        <w:rPr>
          <w:rFonts w:ascii="宋体" w:hAnsi="宋体" w:eastAsia="宋体" w:cs="宋体"/>
          <w:kern w:val="0"/>
          <w:sz w:val="21"/>
          <w:szCs w:val="21"/>
        </w:rPr>
      </w:pPr>
      <w:bookmarkStart w:id="1655" w:name="_Toc532377410"/>
      <w:bookmarkEnd w:id="1655"/>
      <w:bookmarkStart w:id="1656" w:name="_Toc532375671"/>
      <w:r>
        <w:rPr>
          <w:rFonts w:hint="eastAsia" w:ascii="宋体" w:hAnsi="宋体" w:eastAsia="宋体" w:cs="宋体"/>
          <w:kern w:val="0"/>
          <w:sz w:val="21"/>
          <w:szCs w:val="21"/>
        </w:rPr>
        <w:t>关于工程保险的特别约定：发包人应投保</w:t>
      </w:r>
      <w:bookmarkEnd w:id="1656"/>
      <w:r>
        <w:rPr>
          <w:rFonts w:hint="eastAsia" w:ascii="宋体" w:hAnsi="宋体" w:eastAsia="宋体" w:cs="宋体"/>
          <w:kern w:val="0"/>
          <w:sz w:val="21"/>
          <w:szCs w:val="21"/>
          <w:u w:val="single"/>
        </w:rPr>
        <w:t>建筑工程一切险或安装工程一切险</w:t>
      </w:r>
      <w:r>
        <w:rPr>
          <w:rFonts w:hint="eastAsia" w:ascii="宋体" w:hAnsi="宋体" w:eastAsia="宋体" w:cs="宋体"/>
          <w:kern w:val="0"/>
          <w:sz w:val="21"/>
          <w:szCs w:val="21"/>
        </w:rPr>
        <w:t>；发包人委托承包人投保的，因投保产生的保险费和其他相关费用由发包人承担。</w:t>
      </w:r>
    </w:p>
    <w:p w14:paraId="3E897B90">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18.3 其他保险</w:t>
      </w:r>
    </w:p>
    <w:p w14:paraId="6D16DD9C">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关于其他保险的约定：</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50FC25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承包人是否应为其施工设备等办理财产保险：</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07D84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安全生产责任险：</w:t>
      </w:r>
      <w:r>
        <w:rPr>
          <w:rFonts w:hint="eastAsia" w:ascii="宋体" w:hAnsi="宋体" w:eastAsia="宋体" w:cs="Times New Roman"/>
          <w:sz w:val="21"/>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eastAsia="宋体" w:cs="Times New Roman"/>
          <w:sz w:val="21"/>
          <w:szCs w:val="21"/>
        </w:rPr>
        <w:t>。</w:t>
      </w:r>
    </w:p>
    <w:p w14:paraId="1BB64073">
      <w:pPr>
        <w:widowControl/>
        <w:spacing w:line="360" w:lineRule="auto"/>
        <w:jc w:val="left"/>
        <w:outlineLvl w:val="4"/>
        <w:rPr>
          <w:rFonts w:ascii="宋体" w:hAnsi="宋体" w:eastAsia="宋体" w:cs="宋体"/>
          <w:b/>
          <w:bCs/>
          <w:kern w:val="0"/>
          <w:sz w:val="21"/>
          <w:szCs w:val="21"/>
        </w:rPr>
      </w:pPr>
      <w:bookmarkStart w:id="1657" w:name="_Toc532377411"/>
      <w:bookmarkEnd w:id="1657"/>
      <w:bookmarkStart w:id="1658" w:name="_Toc532375672"/>
      <w:r>
        <w:rPr>
          <w:rFonts w:hint="eastAsia" w:ascii="宋体" w:hAnsi="宋体" w:eastAsia="宋体" w:cs="宋体"/>
          <w:b/>
          <w:bCs/>
          <w:kern w:val="0"/>
          <w:sz w:val="21"/>
          <w:szCs w:val="21"/>
        </w:rPr>
        <w:t>18.7 通知义务</w:t>
      </w:r>
      <w:bookmarkEnd w:id="1658"/>
    </w:p>
    <w:p w14:paraId="6C12CA5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关于变更保险合同时的通知义务的约定：</w:t>
      </w:r>
      <w:r>
        <w:rPr>
          <w:rFonts w:hint="eastAsia" w:ascii="宋体" w:hAnsi="宋体" w:eastAsia="宋体" w:cs="Times New Roman"/>
          <w:sz w:val="21"/>
          <w:szCs w:val="21"/>
          <w:u w:val="single"/>
        </w:rPr>
        <w:t>按通用合同条款执行</w:t>
      </w:r>
      <w:r>
        <w:rPr>
          <w:rFonts w:hint="eastAsia" w:ascii="宋体" w:hAnsi="宋体" w:eastAsia="宋体" w:cs="Times New Roman"/>
          <w:sz w:val="21"/>
          <w:szCs w:val="21"/>
        </w:rPr>
        <w:t>。</w:t>
      </w:r>
    </w:p>
    <w:p w14:paraId="2703E107">
      <w:pPr>
        <w:keepNext/>
        <w:keepLines/>
        <w:spacing w:before="156" w:beforeLines="50" w:after="156" w:afterLines="50" w:line="360" w:lineRule="auto"/>
        <w:outlineLvl w:val="3"/>
        <w:rPr>
          <w:rFonts w:ascii="宋体" w:hAnsi="宋体" w:eastAsia="宋体" w:cs="宋体"/>
          <w:b/>
          <w:sz w:val="21"/>
          <w:szCs w:val="21"/>
        </w:rPr>
      </w:pPr>
      <w:r>
        <w:rPr>
          <w:rFonts w:hint="eastAsia" w:ascii="宋体" w:hAnsi="宋体" w:eastAsia="宋体" w:cs="宋体"/>
          <w:b/>
          <w:bCs/>
          <w:sz w:val="21"/>
          <w:szCs w:val="21"/>
        </w:rPr>
        <w:t>19. 索赔</w:t>
      </w:r>
    </w:p>
    <w:p w14:paraId="68C165A4">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19.1承包人的索赔</w:t>
      </w:r>
    </w:p>
    <w:p w14:paraId="67418301">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其他：其因政策原因造成的延期、停工、变更、终止，承包人不得向发包人索赔预期利益。</w:t>
      </w:r>
    </w:p>
    <w:p w14:paraId="3671F445">
      <w:pPr>
        <w:keepNext/>
        <w:keepLines/>
        <w:spacing w:line="360" w:lineRule="auto"/>
        <w:outlineLvl w:val="3"/>
        <w:rPr>
          <w:rFonts w:ascii="宋体" w:hAnsi="宋体" w:eastAsia="宋体" w:cs="宋体"/>
          <w:b/>
          <w:sz w:val="21"/>
          <w:szCs w:val="21"/>
        </w:rPr>
      </w:pPr>
      <w:bookmarkStart w:id="1659" w:name="_Toc532377419"/>
      <w:bookmarkEnd w:id="1659"/>
      <w:bookmarkStart w:id="1660" w:name="_Toc532375680"/>
      <w:bookmarkEnd w:id="1660"/>
      <w:bookmarkStart w:id="1661" w:name="_Toc351203651"/>
      <w:r>
        <w:rPr>
          <w:rFonts w:hint="eastAsia" w:ascii="宋体" w:hAnsi="宋体" w:eastAsia="宋体" w:cs="宋体"/>
          <w:b/>
          <w:bCs/>
          <w:sz w:val="21"/>
          <w:szCs w:val="21"/>
        </w:rPr>
        <w:t>20. 争议解决</w:t>
      </w:r>
      <w:bookmarkEnd w:id="1661"/>
    </w:p>
    <w:p w14:paraId="03561F72">
      <w:pPr>
        <w:widowControl/>
        <w:spacing w:line="360" w:lineRule="auto"/>
        <w:jc w:val="left"/>
        <w:outlineLvl w:val="4"/>
        <w:rPr>
          <w:rFonts w:ascii="宋体" w:hAnsi="宋体" w:eastAsia="宋体" w:cs="宋体"/>
          <w:b/>
          <w:bCs/>
          <w:kern w:val="0"/>
          <w:sz w:val="21"/>
          <w:szCs w:val="21"/>
        </w:rPr>
      </w:pPr>
      <w:bookmarkStart w:id="1662" w:name="_Toc532377420"/>
      <w:bookmarkEnd w:id="1662"/>
      <w:bookmarkStart w:id="1663" w:name="_Toc532375681"/>
      <w:r>
        <w:rPr>
          <w:rFonts w:hint="eastAsia" w:ascii="宋体" w:hAnsi="宋体" w:eastAsia="宋体" w:cs="宋体"/>
          <w:b/>
          <w:bCs/>
          <w:kern w:val="0"/>
          <w:sz w:val="21"/>
          <w:szCs w:val="21"/>
        </w:rPr>
        <w:t>20.3 争议评审</w:t>
      </w:r>
      <w:bookmarkEnd w:id="1663"/>
    </w:p>
    <w:p w14:paraId="17F0CC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合同当事人是否同意将工程争议提交争议评审小组决定：</w:t>
      </w:r>
      <w:r>
        <w:rPr>
          <w:rFonts w:hint="eastAsia" w:ascii="宋体" w:hAnsi="宋体" w:eastAsia="宋体" w:cs="Times New Roman"/>
          <w:sz w:val="21"/>
          <w:szCs w:val="21"/>
          <w:u w:val="single"/>
        </w:rPr>
        <w:t xml:space="preserve">     </w:t>
      </w:r>
      <w:r>
        <w:rPr>
          <w:rFonts w:hint="eastAsia" w:ascii="宋体" w:hAnsi="宋体" w:eastAsia="宋体" w:cs="Microsoft Sans Serif"/>
          <w:kern w:val="0"/>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44712">
      <w:pPr>
        <w:widowControl/>
        <w:spacing w:line="360" w:lineRule="auto"/>
        <w:jc w:val="left"/>
        <w:outlineLvl w:val="4"/>
        <w:rPr>
          <w:rFonts w:ascii="宋体" w:hAnsi="宋体" w:eastAsia="宋体" w:cs="宋体"/>
          <w:b/>
          <w:bCs/>
          <w:kern w:val="0"/>
          <w:sz w:val="21"/>
          <w:szCs w:val="21"/>
        </w:rPr>
      </w:pPr>
      <w:bookmarkStart w:id="1664" w:name="_Toc532375682"/>
      <w:bookmarkEnd w:id="1664"/>
      <w:bookmarkStart w:id="1665" w:name="_Toc532377421"/>
      <w:r>
        <w:rPr>
          <w:rFonts w:hint="eastAsia" w:ascii="宋体" w:hAnsi="宋体" w:eastAsia="宋体" w:cs="宋体"/>
          <w:b/>
          <w:bCs/>
          <w:kern w:val="0"/>
          <w:sz w:val="21"/>
          <w:szCs w:val="21"/>
        </w:rPr>
        <w:t>20.4 仲裁或诉讼</w:t>
      </w:r>
      <w:bookmarkEnd w:id="1665"/>
    </w:p>
    <w:p w14:paraId="33C3A8D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因合同及合同有关事项发生的争议，按下列第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种方式解决：</w:t>
      </w:r>
    </w:p>
    <w:p w14:paraId="1A3D6F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仲裁委员会申请仲裁；</w:t>
      </w:r>
    </w:p>
    <w:p w14:paraId="21D7CB6F">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人民法院起诉。</w:t>
      </w:r>
    </w:p>
    <w:p w14:paraId="7AED1B34">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21. 合同附件</w:t>
      </w:r>
    </w:p>
    <w:p w14:paraId="361EB2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协议书附件：</w:t>
      </w:r>
    </w:p>
    <w:p w14:paraId="6AD8328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附件1：承包人承揽工程项目一览表</w:t>
      </w:r>
    </w:p>
    <w:p w14:paraId="6D8261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专用合同条款附件：</w:t>
      </w:r>
    </w:p>
    <w:p w14:paraId="5D406F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附件2：发包人供应材料设备一览表</w:t>
      </w:r>
    </w:p>
    <w:p w14:paraId="6588FA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附件3：工程质量保修书</w:t>
      </w:r>
    </w:p>
    <w:p w14:paraId="129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附件4：主要建设工程文件目录</w:t>
      </w:r>
    </w:p>
    <w:p w14:paraId="79854F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附件5：承包人用于本工程施工的机械设备表</w:t>
      </w:r>
    </w:p>
    <w:p w14:paraId="34451E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附件6：承包人主要施工管理人员表</w:t>
      </w:r>
    </w:p>
    <w:p w14:paraId="6B5D41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附件7：分包人主要施工管理人员表</w:t>
      </w:r>
    </w:p>
    <w:p w14:paraId="094786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附件8：履约担保格式</w:t>
      </w:r>
    </w:p>
    <w:p w14:paraId="77714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附件9：安全管理协议</w:t>
      </w:r>
    </w:p>
    <w:p w14:paraId="4E4E50E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附件10：廉洁从业协议</w:t>
      </w:r>
    </w:p>
    <w:p w14:paraId="124E8A4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附件11：暂估价一览表</w:t>
      </w:r>
    </w:p>
    <w:p w14:paraId="4FB668BA">
      <w:pPr>
        <w:widowControl/>
        <w:spacing w:line="360" w:lineRule="auto"/>
        <w:jc w:val="left"/>
        <w:rPr>
          <w:rFonts w:ascii="宋体" w:hAnsi="宋体" w:eastAsia="宋体" w:cs="Times New Roman"/>
          <w:sz w:val="21"/>
          <w:szCs w:val="21"/>
        </w:rPr>
        <w:sectPr>
          <w:footerReference r:id="rId11" w:type="first"/>
          <w:headerReference r:id="rId7" w:type="default"/>
          <w:footerReference r:id="rId9" w:type="default"/>
          <w:headerReference r:id="rId8" w:type="even"/>
          <w:footerReference r:id="rId10" w:type="even"/>
          <w:pgSz w:w="11906" w:h="16838"/>
          <w:pgMar w:top="1418" w:right="1531" w:bottom="1418" w:left="1554" w:header="851" w:footer="992" w:gutter="0"/>
          <w:pgNumType w:fmt="decimal" w:start="1"/>
          <w:cols w:space="720" w:num="1"/>
          <w:titlePg/>
          <w:docGrid w:type="lines" w:linePitch="312" w:charSpace="0"/>
        </w:sectPr>
      </w:pPr>
    </w:p>
    <w:p w14:paraId="1BC44AA3">
      <w:pPr>
        <w:spacing w:before="156" w:beforeLines="50" w:after="156" w:afterLines="50" w:line="440" w:lineRule="exact"/>
        <w:jc w:val="left"/>
        <w:rPr>
          <w:rFonts w:ascii="宋体" w:hAnsi="宋体" w:eastAsia="宋体" w:cs="Times New Roman"/>
          <w:sz w:val="21"/>
          <w:szCs w:val="21"/>
        </w:rPr>
      </w:pPr>
      <w:r>
        <w:rPr>
          <w:rFonts w:hint="eastAsia" w:ascii="宋体" w:hAnsi="宋体" w:eastAsia="宋体" w:cs="Times New Roman"/>
          <w:sz w:val="21"/>
          <w:szCs w:val="21"/>
        </w:rPr>
        <w:t>附件1：</w:t>
      </w:r>
    </w:p>
    <w:p w14:paraId="284E9F4D">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承包人承揽工程项目一览表</w:t>
      </w:r>
    </w:p>
    <w:tbl>
      <w:tblPr>
        <w:tblStyle w:val="65"/>
        <w:tblW w:w="14601"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3EE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2" w:space="0"/>
              <w:right w:val="single" w:color="auto" w:sz="6" w:space="0"/>
            </w:tcBorders>
            <w:vAlign w:val="center"/>
          </w:tcPr>
          <w:p w14:paraId="1C78592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单位工程名称</w:t>
            </w:r>
          </w:p>
        </w:tc>
        <w:tc>
          <w:tcPr>
            <w:tcW w:w="1843" w:type="dxa"/>
            <w:tcBorders>
              <w:top w:val="single" w:color="auto" w:sz="12" w:space="0"/>
              <w:left w:val="single" w:color="auto" w:sz="6" w:space="0"/>
              <w:bottom w:val="double" w:color="auto" w:sz="2" w:space="0"/>
              <w:right w:val="single" w:color="auto" w:sz="6" w:space="0"/>
            </w:tcBorders>
            <w:vAlign w:val="center"/>
          </w:tcPr>
          <w:p w14:paraId="2069AF1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建设规模</w:t>
            </w:r>
          </w:p>
        </w:tc>
        <w:tc>
          <w:tcPr>
            <w:tcW w:w="1417" w:type="dxa"/>
            <w:tcBorders>
              <w:top w:val="single" w:color="auto" w:sz="12" w:space="0"/>
              <w:left w:val="single" w:color="auto" w:sz="6" w:space="0"/>
              <w:bottom w:val="double" w:color="auto" w:sz="2" w:space="0"/>
              <w:right w:val="single" w:color="auto" w:sz="6" w:space="0"/>
            </w:tcBorders>
            <w:vAlign w:val="center"/>
          </w:tcPr>
          <w:p w14:paraId="1C8CC3B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建筑面积(平方米)</w:t>
            </w:r>
          </w:p>
        </w:tc>
        <w:tc>
          <w:tcPr>
            <w:tcW w:w="2410" w:type="dxa"/>
            <w:tcBorders>
              <w:top w:val="single" w:color="auto" w:sz="12" w:space="0"/>
              <w:left w:val="single" w:color="auto" w:sz="6" w:space="0"/>
              <w:bottom w:val="double" w:color="auto" w:sz="2" w:space="0"/>
              <w:right w:val="single" w:color="auto" w:sz="6" w:space="0"/>
            </w:tcBorders>
            <w:vAlign w:val="center"/>
          </w:tcPr>
          <w:p w14:paraId="25ED66D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结构形式</w:t>
            </w:r>
          </w:p>
        </w:tc>
        <w:tc>
          <w:tcPr>
            <w:tcW w:w="850" w:type="dxa"/>
            <w:tcBorders>
              <w:top w:val="single" w:color="auto" w:sz="12" w:space="0"/>
              <w:left w:val="single" w:color="auto" w:sz="6" w:space="0"/>
              <w:bottom w:val="double" w:color="auto" w:sz="2" w:space="0"/>
              <w:right w:val="single" w:color="auto" w:sz="6" w:space="0"/>
            </w:tcBorders>
            <w:vAlign w:val="center"/>
          </w:tcPr>
          <w:p w14:paraId="6FA5B5D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层数</w:t>
            </w:r>
          </w:p>
        </w:tc>
        <w:tc>
          <w:tcPr>
            <w:tcW w:w="1560" w:type="dxa"/>
            <w:tcBorders>
              <w:top w:val="single" w:color="auto" w:sz="12" w:space="0"/>
              <w:left w:val="single" w:color="auto" w:sz="6" w:space="0"/>
              <w:bottom w:val="double" w:color="auto" w:sz="2" w:space="0"/>
              <w:right w:val="single" w:color="auto" w:sz="6" w:space="0"/>
            </w:tcBorders>
            <w:vAlign w:val="center"/>
          </w:tcPr>
          <w:p w14:paraId="58026B7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2126" w:type="dxa"/>
            <w:tcBorders>
              <w:top w:val="single" w:color="auto" w:sz="12" w:space="0"/>
              <w:left w:val="single" w:color="auto" w:sz="6" w:space="0"/>
              <w:bottom w:val="double" w:color="auto" w:sz="2" w:space="0"/>
              <w:right w:val="single" w:color="auto" w:sz="6" w:space="0"/>
            </w:tcBorders>
            <w:vAlign w:val="center"/>
          </w:tcPr>
          <w:p w14:paraId="3FDE99F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设备安装内容</w:t>
            </w:r>
          </w:p>
        </w:tc>
        <w:tc>
          <w:tcPr>
            <w:tcW w:w="1417" w:type="dxa"/>
            <w:tcBorders>
              <w:top w:val="single" w:color="auto" w:sz="12" w:space="0"/>
              <w:left w:val="single" w:color="auto" w:sz="6" w:space="0"/>
              <w:bottom w:val="double" w:color="auto" w:sz="2" w:space="0"/>
              <w:right w:val="single" w:color="auto" w:sz="6" w:space="0"/>
            </w:tcBorders>
            <w:vAlign w:val="center"/>
          </w:tcPr>
          <w:p w14:paraId="537ADDB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合同价格（元）</w:t>
            </w:r>
          </w:p>
        </w:tc>
        <w:tc>
          <w:tcPr>
            <w:tcW w:w="851" w:type="dxa"/>
            <w:tcBorders>
              <w:top w:val="single" w:color="auto" w:sz="12" w:space="0"/>
              <w:left w:val="single" w:color="auto" w:sz="6" w:space="0"/>
              <w:bottom w:val="double" w:color="auto" w:sz="2" w:space="0"/>
              <w:right w:val="single" w:color="auto" w:sz="6" w:space="0"/>
            </w:tcBorders>
            <w:vAlign w:val="center"/>
          </w:tcPr>
          <w:p w14:paraId="60F023B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开工日期</w:t>
            </w:r>
          </w:p>
        </w:tc>
        <w:tc>
          <w:tcPr>
            <w:tcW w:w="850" w:type="dxa"/>
            <w:tcBorders>
              <w:top w:val="single" w:color="auto" w:sz="12" w:space="0"/>
              <w:left w:val="single" w:color="auto" w:sz="6" w:space="0"/>
              <w:bottom w:val="double" w:color="auto" w:sz="2" w:space="0"/>
              <w:right w:val="single" w:color="auto" w:sz="12" w:space="0"/>
            </w:tcBorders>
            <w:vAlign w:val="center"/>
          </w:tcPr>
          <w:p w14:paraId="5B291C4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竣工日期</w:t>
            </w:r>
          </w:p>
        </w:tc>
      </w:tr>
      <w:tr w14:paraId="5069D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2" w:space="0"/>
              <w:left w:val="single" w:color="auto" w:sz="12" w:space="0"/>
              <w:bottom w:val="single" w:color="auto" w:sz="6" w:space="0"/>
              <w:right w:val="single" w:color="auto" w:sz="6" w:space="0"/>
            </w:tcBorders>
            <w:vAlign w:val="center"/>
          </w:tcPr>
          <w:p w14:paraId="3802FA0D">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double" w:color="auto" w:sz="2" w:space="0"/>
              <w:left w:val="single" w:color="auto" w:sz="6" w:space="0"/>
              <w:bottom w:val="single" w:color="auto" w:sz="6" w:space="0"/>
              <w:right w:val="single" w:color="auto" w:sz="6" w:space="0"/>
            </w:tcBorders>
            <w:vAlign w:val="center"/>
          </w:tcPr>
          <w:p w14:paraId="4326F1D5">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2C6E1AAB">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double" w:color="auto" w:sz="2" w:space="0"/>
              <w:left w:val="single" w:color="auto" w:sz="6" w:space="0"/>
              <w:bottom w:val="single" w:color="auto" w:sz="6" w:space="0"/>
              <w:right w:val="single" w:color="auto" w:sz="6" w:space="0"/>
            </w:tcBorders>
            <w:vAlign w:val="center"/>
          </w:tcPr>
          <w:p w14:paraId="6E7B57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7D9C0D98">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double" w:color="auto" w:sz="2" w:space="0"/>
              <w:left w:val="single" w:color="auto" w:sz="6" w:space="0"/>
              <w:bottom w:val="single" w:color="auto" w:sz="6" w:space="0"/>
              <w:right w:val="single" w:color="auto" w:sz="6" w:space="0"/>
            </w:tcBorders>
            <w:vAlign w:val="center"/>
          </w:tcPr>
          <w:p w14:paraId="0B257EB7">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double" w:color="auto" w:sz="2" w:space="0"/>
              <w:left w:val="single" w:color="auto" w:sz="6" w:space="0"/>
              <w:bottom w:val="single" w:color="auto" w:sz="6" w:space="0"/>
              <w:right w:val="single" w:color="auto" w:sz="6" w:space="0"/>
            </w:tcBorders>
            <w:vAlign w:val="center"/>
          </w:tcPr>
          <w:p w14:paraId="628AA0C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3CFD90F5">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71503D0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12" w:space="0"/>
            </w:tcBorders>
            <w:vAlign w:val="center"/>
          </w:tcPr>
          <w:p w14:paraId="27F0E764">
            <w:pPr>
              <w:keepNext/>
              <w:autoSpaceDE w:val="0"/>
              <w:spacing w:before="100" w:beforeAutospacing="1" w:line="400" w:lineRule="exact"/>
              <w:jc w:val="center"/>
              <w:rPr>
                <w:rFonts w:ascii="宋体" w:hAnsi="宋体" w:eastAsia="宋体" w:cs="Times New Roman"/>
                <w:sz w:val="21"/>
                <w:szCs w:val="21"/>
              </w:rPr>
            </w:pPr>
          </w:p>
        </w:tc>
      </w:tr>
      <w:tr w14:paraId="2BBF1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CD2EC2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3D6FD0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729109D">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14A26FE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CA71C8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5BB469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77BF85D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451E967">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973A0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0516C85">
            <w:pPr>
              <w:keepNext/>
              <w:autoSpaceDE w:val="0"/>
              <w:spacing w:before="100" w:beforeAutospacing="1" w:line="400" w:lineRule="exact"/>
              <w:jc w:val="center"/>
              <w:rPr>
                <w:rFonts w:ascii="宋体" w:hAnsi="宋体" w:eastAsia="宋体" w:cs="Times New Roman"/>
                <w:sz w:val="21"/>
                <w:szCs w:val="21"/>
              </w:rPr>
            </w:pPr>
          </w:p>
        </w:tc>
      </w:tr>
      <w:tr w14:paraId="6469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7612595">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09397C88">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7F193C92">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7B1E0E6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847DE14">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9050718">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E014837">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4826EE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BEA4FC8">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6C9D58C0">
            <w:pPr>
              <w:keepNext/>
              <w:autoSpaceDE w:val="0"/>
              <w:spacing w:before="100" w:beforeAutospacing="1" w:line="400" w:lineRule="exact"/>
              <w:jc w:val="center"/>
              <w:rPr>
                <w:rFonts w:ascii="宋体" w:hAnsi="宋体" w:eastAsia="宋体" w:cs="Times New Roman"/>
                <w:sz w:val="21"/>
                <w:szCs w:val="21"/>
              </w:rPr>
            </w:pPr>
          </w:p>
        </w:tc>
      </w:tr>
      <w:tr w14:paraId="42EF0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9B2C926">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4B7873C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5834566">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3BA30F3C">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E3F067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35B238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585D920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F29B82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682709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2326A74">
            <w:pPr>
              <w:keepNext/>
              <w:autoSpaceDE w:val="0"/>
              <w:spacing w:before="100" w:beforeAutospacing="1" w:line="400" w:lineRule="exact"/>
              <w:jc w:val="center"/>
              <w:rPr>
                <w:rFonts w:ascii="宋体" w:hAnsi="宋体" w:eastAsia="宋体" w:cs="Times New Roman"/>
                <w:sz w:val="21"/>
                <w:szCs w:val="21"/>
              </w:rPr>
            </w:pPr>
          </w:p>
        </w:tc>
      </w:tr>
      <w:tr w14:paraId="47795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2538F8">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76041F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DEDBDBA">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5AD67D2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7AC46FFC">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FF50E3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4CF9C31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5D314B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8D6BFE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74A14B81">
            <w:pPr>
              <w:keepNext/>
              <w:autoSpaceDE w:val="0"/>
              <w:spacing w:before="100" w:beforeAutospacing="1" w:line="400" w:lineRule="exact"/>
              <w:jc w:val="center"/>
              <w:rPr>
                <w:rFonts w:ascii="宋体" w:hAnsi="宋体" w:eastAsia="宋体" w:cs="Times New Roman"/>
                <w:sz w:val="21"/>
                <w:szCs w:val="21"/>
              </w:rPr>
            </w:pPr>
          </w:p>
        </w:tc>
      </w:tr>
      <w:tr w14:paraId="6E9C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910D04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440EA09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CBBA433">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4515FC60">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9A4F0E7">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4C0D86DE">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03FC23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4BE8715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AF80A9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2593A233">
            <w:pPr>
              <w:keepNext/>
              <w:autoSpaceDE w:val="0"/>
              <w:spacing w:before="100" w:beforeAutospacing="1" w:line="400" w:lineRule="exact"/>
              <w:jc w:val="center"/>
              <w:rPr>
                <w:rFonts w:ascii="宋体" w:hAnsi="宋体" w:eastAsia="宋体" w:cs="Times New Roman"/>
                <w:sz w:val="21"/>
                <w:szCs w:val="21"/>
              </w:rPr>
            </w:pPr>
          </w:p>
        </w:tc>
      </w:tr>
      <w:tr w14:paraId="112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1B7B9B7">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5C3EBC7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7EA990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2E69709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2F975B2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7F07304">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0FF14D5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9C6D20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3FDF7A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634CA528">
            <w:pPr>
              <w:keepNext/>
              <w:autoSpaceDE w:val="0"/>
              <w:spacing w:before="100" w:beforeAutospacing="1" w:line="400" w:lineRule="exact"/>
              <w:jc w:val="center"/>
              <w:rPr>
                <w:rFonts w:ascii="宋体" w:hAnsi="宋体" w:eastAsia="宋体" w:cs="Times New Roman"/>
                <w:sz w:val="21"/>
                <w:szCs w:val="21"/>
              </w:rPr>
            </w:pPr>
          </w:p>
        </w:tc>
      </w:tr>
      <w:tr w14:paraId="12EF3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45D7A3">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3ACBEDE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3637D9B4">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37B09415">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8E3A67A">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7EB055C5">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1C21694">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06499BC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1902AB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090E7ECB">
            <w:pPr>
              <w:keepNext/>
              <w:autoSpaceDE w:val="0"/>
              <w:spacing w:before="100" w:beforeAutospacing="1" w:line="400" w:lineRule="exact"/>
              <w:jc w:val="center"/>
              <w:rPr>
                <w:rFonts w:ascii="宋体" w:hAnsi="宋体" w:eastAsia="宋体" w:cs="Times New Roman"/>
                <w:sz w:val="21"/>
                <w:szCs w:val="21"/>
              </w:rPr>
            </w:pPr>
          </w:p>
        </w:tc>
      </w:tr>
      <w:tr w14:paraId="2027C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3159682">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12" w:space="0"/>
              <w:right w:val="single" w:color="auto" w:sz="6" w:space="0"/>
            </w:tcBorders>
            <w:vAlign w:val="center"/>
          </w:tcPr>
          <w:p w14:paraId="51DA2C1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60DDD41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12" w:space="0"/>
              <w:right w:val="single" w:color="auto" w:sz="6" w:space="0"/>
            </w:tcBorders>
            <w:vAlign w:val="center"/>
          </w:tcPr>
          <w:p w14:paraId="3BAE283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vAlign w:val="center"/>
          </w:tcPr>
          <w:p w14:paraId="50BFA94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12" w:space="0"/>
              <w:right w:val="single" w:color="auto" w:sz="6" w:space="0"/>
            </w:tcBorders>
            <w:vAlign w:val="center"/>
          </w:tcPr>
          <w:p w14:paraId="6593486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12" w:space="0"/>
              <w:right w:val="single" w:color="auto" w:sz="6" w:space="0"/>
            </w:tcBorders>
            <w:vAlign w:val="center"/>
          </w:tcPr>
          <w:p w14:paraId="5474A04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783EA00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77A9AD1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12" w:space="0"/>
            </w:tcBorders>
            <w:vAlign w:val="center"/>
          </w:tcPr>
          <w:p w14:paraId="27497933">
            <w:pPr>
              <w:keepNext/>
              <w:autoSpaceDE w:val="0"/>
              <w:spacing w:before="100" w:beforeAutospacing="1" w:line="400" w:lineRule="exact"/>
              <w:jc w:val="center"/>
              <w:rPr>
                <w:rFonts w:ascii="宋体" w:hAnsi="宋体" w:eastAsia="宋体" w:cs="Times New Roman"/>
                <w:sz w:val="21"/>
                <w:szCs w:val="21"/>
              </w:rPr>
            </w:pPr>
          </w:p>
        </w:tc>
      </w:tr>
    </w:tbl>
    <w:p w14:paraId="6D9C4976">
      <w:pPr>
        <w:widowControl/>
        <w:jc w:val="left"/>
        <w:rPr>
          <w:rFonts w:ascii="宋体" w:hAnsi="宋体" w:eastAsia="宋体" w:cs="宋体"/>
          <w:b/>
          <w:sz w:val="21"/>
          <w:szCs w:val="21"/>
        </w:rPr>
        <w:sectPr>
          <w:pgSz w:w="16838" w:h="11906" w:orient="landscape"/>
          <w:pgMar w:top="1554" w:right="1418" w:bottom="1531" w:left="1418" w:header="851" w:footer="992" w:gutter="0"/>
          <w:pgNumType w:fmt="decimal"/>
          <w:cols w:space="720" w:num="1"/>
          <w:titlePg/>
          <w:docGrid w:type="lines" w:linePitch="312" w:charSpace="0"/>
        </w:sectPr>
      </w:pPr>
    </w:p>
    <w:p w14:paraId="3A835A04">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66" w:name="_Toc296891265"/>
      <w:bookmarkEnd w:id="1666"/>
      <w:bookmarkStart w:id="1667" w:name="_Toc296347224"/>
      <w:bookmarkEnd w:id="1667"/>
      <w:bookmarkStart w:id="1668" w:name="_Toc296346726"/>
      <w:bookmarkEnd w:id="1668"/>
      <w:bookmarkStart w:id="1669" w:name="_Toc296944564"/>
      <w:bookmarkEnd w:id="1669"/>
      <w:bookmarkStart w:id="1670" w:name="_Toc296891053"/>
      <w:bookmarkEnd w:id="1670"/>
      <w:bookmarkStart w:id="1671" w:name="_Toc296503225"/>
      <w:bookmarkEnd w:id="1671"/>
      <w:bookmarkStart w:id="1672" w:name="_Toc267261692"/>
      <w:r>
        <w:rPr>
          <w:rFonts w:hint="eastAsia" w:ascii="宋体" w:hAnsi="宋体" w:eastAsia="宋体" w:cs="Times New Roman"/>
          <w:sz w:val="21"/>
          <w:szCs w:val="21"/>
        </w:rPr>
        <w:t>件2：</w:t>
      </w:r>
      <w:bookmarkEnd w:id="1672"/>
    </w:p>
    <w:p w14:paraId="25A7937F">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发包人供应材料设备一览表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1AD3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vAlign w:val="center"/>
          </w:tcPr>
          <w:p w14:paraId="5488E71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276" w:type="dxa"/>
            <w:tcBorders>
              <w:top w:val="single" w:color="auto" w:sz="12" w:space="0"/>
              <w:left w:val="single" w:color="auto" w:sz="6" w:space="0"/>
              <w:bottom w:val="double" w:color="auto" w:sz="2" w:space="0"/>
              <w:right w:val="single" w:color="auto" w:sz="6" w:space="0"/>
            </w:tcBorders>
            <w:vAlign w:val="center"/>
          </w:tcPr>
          <w:p w14:paraId="471291F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材料、设备品种</w:t>
            </w:r>
          </w:p>
        </w:tc>
        <w:tc>
          <w:tcPr>
            <w:tcW w:w="1418" w:type="dxa"/>
            <w:tcBorders>
              <w:top w:val="single" w:color="auto" w:sz="12" w:space="0"/>
              <w:left w:val="single" w:color="auto" w:sz="6" w:space="0"/>
              <w:bottom w:val="double" w:color="auto" w:sz="2" w:space="0"/>
              <w:right w:val="single" w:color="auto" w:sz="6" w:space="0"/>
            </w:tcBorders>
            <w:vAlign w:val="center"/>
          </w:tcPr>
          <w:p w14:paraId="27FF304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940" w:type="dxa"/>
            <w:tcBorders>
              <w:top w:val="single" w:color="auto" w:sz="12" w:space="0"/>
              <w:left w:val="single" w:color="auto" w:sz="6" w:space="0"/>
              <w:bottom w:val="double" w:color="auto" w:sz="2" w:space="0"/>
              <w:right w:val="single" w:color="auto" w:sz="6" w:space="0"/>
            </w:tcBorders>
            <w:vAlign w:val="center"/>
          </w:tcPr>
          <w:p w14:paraId="1F1FE7F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851" w:type="dxa"/>
            <w:tcBorders>
              <w:top w:val="single" w:color="auto" w:sz="12" w:space="0"/>
              <w:left w:val="single" w:color="auto" w:sz="6" w:space="0"/>
              <w:bottom w:val="double" w:color="auto" w:sz="2" w:space="0"/>
              <w:right w:val="single" w:color="auto" w:sz="6" w:space="0"/>
            </w:tcBorders>
            <w:vAlign w:val="center"/>
          </w:tcPr>
          <w:p w14:paraId="2856280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044" w:type="dxa"/>
            <w:tcBorders>
              <w:top w:val="single" w:color="auto" w:sz="12" w:space="0"/>
              <w:left w:val="single" w:color="auto" w:sz="6" w:space="0"/>
              <w:bottom w:val="double" w:color="auto" w:sz="2" w:space="0"/>
              <w:right w:val="single" w:color="auto" w:sz="6" w:space="0"/>
            </w:tcBorders>
            <w:vAlign w:val="center"/>
          </w:tcPr>
          <w:p w14:paraId="0118608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992" w:type="dxa"/>
            <w:tcBorders>
              <w:top w:val="single" w:color="auto" w:sz="12" w:space="0"/>
              <w:left w:val="single" w:color="auto" w:sz="6" w:space="0"/>
              <w:bottom w:val="double" w:color="auto" w:sz="2" w:space="0"/>
              <w:right w:val="single" w:color="auto" w:sz="6" w:space="0"/>
            </w:tcBorders>
            <w:vAlign w:val="center"/>
          </w:tcPr>
          <w:p w14:paraId="6C70A6F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质量等级</w:t>
            </w:r>
          </w:p>
        </w:tc>
        <w:tc>
          <w:tcPr>
            <w:tcW w:w="851" w:type="dxa"/>
            <w:tcBorders>
              <w:top w:val="single" w:color="auto" w:sz="12" w:space="0"/>
              <w:left w:val="single" w:color="auto" w:sz="6" w:space="0"/>
              <w:bottom w:val="double" w:color="auto" w:sz="2" w:space="0"/>
              <w:right w:val="single" w:color="auto" w:sz="6" w:space="0"/>
            </w:tcBorders>
            <w:vAlign w:val="center"/>
          </w:tcPr>
          <w:p w14:paraId="2B452F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供应时间</w:t>
            </w:r>
          </w:p>
        </w:tc>
        <w:tc>
          <w:tcPr>
            <w:tcW w:w="1487" w:type="dxa"/>
            <w:tcBorders>
              <w:top w:val="single" w:color="auto" w:sz="12" w:space="0"/>
              <w:left w:val="single" w:color="auto" w:sz="6" w:space="0"/>
              <w:bottom w:val="double" w:color="auto" w:sz="2" w:space="0"/>
              <w:right w:val="single" w:color="auto" w:sz="6" w:space="0"/>
            </w:tcBorders>
            <w:vAlign w:val="center"/>
          </w:tcPr>
          <w:p w14:paraId="2475FE4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送达地点</w:t>
            </w:r>
          </w:p>
        </w:tc>
        <w:tc>
          <w:tcPr>
            <w:tcW w:w="992" w:type="dxa"/>
            <w:tcBorders>
              <w:top w:val="single" w:color="auto" w:sz="12" w:space="0"/>
              <w:left w:val="single" w:color="auto" w:sz="6" w:space="0"/>
              <w:bottom w:val="double" w:color="auto" w:sz="2" w:space="0"/>
              <w:right w:val="single" w:color="auto" w:sz="12" w:space="0"/>
            </w:tcBorders>
            <w:vAlign w:val="center"/>
          </w:tcPr>
          <w:p w14:paraId="145775F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7A9E9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vAlign w:val="center"/>
          </w:tcPr>
          <w:p w14:paraId="6D33583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718EF1B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766A3A8A">
            <w:pPr>
              <w:keepNext/>
              <w:autoSpaceDE w:val="0"/>
              <w:spacing w:before="100" w:beforeAutospacing="1" w:line="400" w:lineRule="exact"/>
              <w:jc w:val="center"/>
              <w:rPr>
                <w:rFonts w:ascii="宋体" w:hAnsi="宋体" w:eastAsia="宋体" w:cs="Times New Roman"/>
                <w:sz w:val="21"/>
                <w:szCs w:val="21"/>
              </w:rPr>
            </w:pPr>
          </w:p>
        </w:tc>
        <w:tc>
          <w:tcPr>
            <w:tcW w:w="940" w:type="dxa"/>
            <w:tcBorders>
              <w:top w:val="double" w:color="auto" w:sz="2" w:space="0"/>
              <w:left w:val="single" w:color="auto" w:sz="6" w:space="0"/>
              <w:bottom w:val="single" w:color="auto" w:sz="6" w:space="0"/>
              <w:right w:val="single" w:color="auto" w:sz="6" w:space="0"/>
            </w:tcBorders>
            <w:vAlign w:val="center"/>
          </w:tcPr>
          <w:p w14:paraId="64F8B5B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38A1EFE1">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double" w:color="auto" w:sz="2" w:space="0"/>
              <w:left w:val="single" w:color="auto" w:sz="6" w:space="0"/>
              <w:bottom w:val="single" w:color="auto" w:sz="6" w:space="0"/>
              <w:right w:val="single" w:color="auto" w:sz="6" w:space="0"/>
            </w:tcBorders>
            <w:vAlign w:val="center"/>
          </w:tcPr>
          <w:p w14:paraId="155A767C">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6" w:space="0"/>
            </w:tcBorders>
            <w:vAlign w:val="center"/>
          </w:tcPr>
          <w:p w14:paraId="46DADC6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1D7B60D4">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double" w:color="auto" w:sz="2" w:space="0"/>
              <w:left w:val="single" w:color="auto" w:sz="6" w:space="0"/>
              <w:bottom w:val="single" w:color="auto" w:sz="6" w:space="0"/>
              <w:right w:val="single" w:color="auto" w:sz="6" w:space="0"/>
            </w:tcBorders>
            <w:vAlign w:val="center"/>
          </w:tcPr>
          <w:p w14:paraId="73F9F8ED">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12" w:space="0"/>
            </w:tcBorders>
            <w:vAlign w:val="center"/>
          </w:tcPr>
          <w:p w14:paraId="707B896D">
            <w:pPr>
              <w:keepNext/>
              <w:autoSpaceDE w:val="0"/>
              <w:spacing w:before="100" w:beforeAutospacing="1" w:line="400" w:lineRule="exact"/>
              <w:jc w:val="center"/>
              <w:rPr>
                <w:rFonts w:ascii="宋体" w:hAnsi="宋体" w:eastAsia="宋体" w:cs="Times New Roman"/>
                <w:sz w:val="21"/>
                <w:szCs w:val="21"/>
              </w:rPr>
            </w:pPr>
          </w:p>
        </w:tc>
      </w:tr>
      <w:tr w14:paraId="1AC28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1E4438D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4BC9C66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4AD83372">
            <w:pPr>
              <w:keepNext/>
              <w:autoSpaceDE w:val="0"/>
              <w:spacing w:before="100" w:beforeAutospacing="1" w:line="400" w:lineRule="exact"/>
              <w:jc w:val="center"/>
              <w:rPr>
                <w:rFonts w:ascii="宋体" w:hAnsi="宋体" w:eastAsia="宋体" w:cs="Times New Roman"/>
                <w:sz w:val="21"/>
                <w:szCs w:val="21"/>
              </w:rPr>
            </w:pPr>
          </w:p>
        </w:tc>
        <w:tc>
          <w:tcPr>
            <w:tcW w:w="940" w:type="dxa"/>
            <w:tcBorders>
              <w:top w:val="nil"/>
              <w:left w:val="single" w:color="auto" w:sz="6" w:space="0"/>
              <w:bottom w:val="single" w:color="auto" w:sz="6" w:space="0"/>
              <w:right w:val="single" w:color="auto" w:sz="6" w:space="0"/>
            </w:tcBorders>
            <w:vAlign w:val="center"/>
          </w:tcPr>
          <w:p w14:paraId="019972E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5B55A810">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nil"/>
              <w:left w:val="single" w:color="auto" w:sz="6" w:space="0"/>
              <w:bottom w:val="single" w:color="auto" w:sz="6" w:space="0"/>
              <w:right w:val="single" w:color="auto" w:sz="6" w:space="0"/>
            </w:tcBorders>
            <w:vAlign w:val="center"/>
          </w:tcPr>
          <w:p w14:paraId="6D5F505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6" w:space="0"/>
            </w:tcBorders>
            <w:vAlign w:val="center"/>
          </w:tcPr>
          <w:p w14:paraId="2A156A1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A0CF5A5">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nil"/>
              <w:left w:val="single" w:color="auto" w:sz="6" w:space="0"/>
              <w:bottom w:val="single" w:color="auto" w:sz="6" w:space="0"/>
              <w:right w:val="single" w:color="auto" w:sz="6" w:space="0"/>
            </w:tcBorders>
            <w:vAlign w:val="center"/>
          </w:tcPr>
          <w:p w14:paraId="69A5132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12" w:space="0"/>
            </w:tcBorders>
            <w:vAlign w:val="center"/>
          </w:tcPr>
          <w:p w14:paraId="7FB07AB2">
            <w:pPr>
              <w:keepNext/>
              <w:autoSpaceDE w:val="0"/>
              <w:spacing w:before="100" w:beforeAutospacing="1" w:line="400" w:lineRule="exact"/>
              <w:jc w:val="center"/>
              <w:rPr>
                <w:rFonts w:ascii="宋体" w:hAnsi="宋体" w:eastAsia="宋体" w:cs="Times New Roman"/>
                <w:sz w:val="21"/>
                <w:szCs w:val="21"/>
              </w:rPr>
            </w:pPr>
          </w:p>
        </w:tc>
      </w:tr>
      <w:tr w14:paraId="411E6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71E4B8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581F89E">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EBC596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2E3864E1">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520F9B4">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A03571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D2C236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885C3D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7DC7BA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1F77D39">
            <w:pPr>
              <w:keepNext/>
              <w:autoSpaceDE w:val="0"/>
              <w:spacing w:before="100" w:beforeAutospacing="1" w:line="400" w:lineRule="exact"/>
              <w:jc w:val="center"/>
              <w:rPr>
                <w:rFonts w:ascii="宋体" w:hAnsi="宋体" w:eastAsia="宋体" w:cs="Times New Roman"/>
                <w:sz w:val="21"/>
                <w:szCs w:val="21"/>
              </w:rPr>
            </w:pPr>
          </w:p>
        </w:tc>
      </w:tr>
      <w:tr w14:paraId="0917B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D017EA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F06CB28">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46EAB7">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975F7C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0907A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30AC7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C6C999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E38A03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3395AAA">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60EB79B9">
            <w:pPr>
              <w:keepNext/>
              <w:autoSpaceDE w:val="0"/>
              <w:spacing w:before="100" w:beforeAutospacing="1" w:line="400" w:lineRule="exact"/>
              <w:jc w:val="center"/>
              <w:rPr>
                <w:rFonts w:ascii="宋体" w:hAnsi="宋体" w:eastAsia="宋体" w:cs="Times New Roman"/>
                <w:sz w:val="21"/>
                <w:szCs w:val="21"/>
              </w:rPr>
            </w:pPr>
          </w:p>
        </w:tc>
      </w:tr>
      <w:tr w14:paraId="491F5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3CE9486">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5483147">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438628">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E00DC1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EC03E8D">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278EF2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E2CD10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7A19E1">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A43993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2455298">
            <w:pPr>
              <w:keepNext/>
              <w:autoSpaceDE w:val="0"/>
              <w:spacing w:before="100" w:beforeAutospacing="1" w:line="400" w:lineRule="exact"/>
              <w:jc w:val="center"/>
              <w:rPr>
                <w:rFonts w:ascii="宋体" w:hAnsi="宋体" w:eastAsia="宋体" w:cs="Times New Roman"/>
                <w:sz w:val="21"/>
                <w:szCs w:val="21"/>
              </w:rPr>
            </w:pPr>
          </w:p>
        </w:tc>
      </w:tr>
      <w:tr w14:paraId="15372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AFD574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612B71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1DC9CB">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C8BFA9D">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1B8EC08">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FCEE8A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0D7A17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620288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803F93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7EAAB91">
            <w:pPr>
              <w:keepNext/>
              <w:autoSpaceDE w:val="0"/>
              <w:spacing w:before="100" w:beforeAutospacing="1" w:line="400" w:lineRule="exact"/>
              <w:jc w:val="center"/>
              <w:rPr>
                <w:rFonts w:ascii="宋体" w:hAnsi="宋体" w:eastAsia="宋体" w:cs="Times New Roman"/>
                <w:sz w:val="21"/>
                <w:szCs w:val="21"/>
              </w:rPr>
            </w:pPr>
          </w:p>
        </w:tc>
      </w:tr>
      <w:tr w14:paraId="22058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D4CC12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69BA68B">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7BA2D49">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C6A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8219DE">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38B017E">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9A1998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187900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5C7426E4">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30B4C14">
            <w:pPr>
              <w:keepNext/>
              <w:autoSpaceDE w:val="0"/>
              <w:spacing w:before="100" w:beforeAutospacing="1" w:line="400" w:lineRule="exact"/>
              <w:jc w:val="center"/>
              <w:rPr>
                <w:rFonts w:ascii="宋体" w:hAnsi="宋体" w:eastAsia="宋体" w:cs="Times New Roman"/>
                <w:sz w:val="21"/>
                <w:szCs w:val="21"/>
              </w:rPr>
            </w:pPr>
          </w:p>
        </w:tc>
      </w:tr>
      <w:tr w14:paraId="37E3C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744E8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895911A">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807329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E94B91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4C3BDD9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2CB5A59">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AD7F84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DC66D9">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090E4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7EE09C4">
            <w:pPr>
              <w:keepNext/>
              <w:autoSpaceDE w:val="0"/>
              <w:spacing w:before="100" w:beforeAutospacing="1" w:line="400" w:lineRule="exact"/>
              <w:jc w:val="center"/>
              <w:rPr>
                <w:rFonts w:ascii="宋体" w:hAnsi="宋体" w:eastAsia="宋体" w:cs="Times New Roman"/>
                <w:sz w:val="21"/>
                <w:szCs w:val="21"/>
              </w:rPr>
            </w:pPr>
          </w:p>
        </w:tc>
      </w:tr>
      <w:tr w14:paraId="0F532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B8912D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36E2F89">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31CC0CE">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5C9888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DB39F7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540C5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10F6D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1C65DD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DCCB2D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A3CBEBE">
            <w:pPr>
              <w:autoSpaceDE w:val="0"/>
              <w:spacing w:line="400" w:lineRule="exact"/>
              <w:jc w:val="center"/>
              <w:rPr>
                <w:rFonts w:ascii="宋体" w:hAnsi="宋体" w:eastAsia="宋体" w:cs="Times New Roman"/>
                <w:sz w:val="21"/>
                <w:szCs w:val="21"/>
              </w:rPr>
            </w:pPr>
          </w:p>
        </w:tc>
      </w:tr>
      <w:tr w14:paraId="68983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E433D70">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6E318C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D46ECC0">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E6197C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6C6A25">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0F95D59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75564E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7F23C3E">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442F64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32B4250">
            <w:pPr>
              <w:keepNext/>
              <w:autoSpaceDE w:val="0"/>
              <w:spacing w:before="100" w:beforeAutospacing="1" w:line="400" w:lineRule="exact"/>
              <w:jc w:val="center"/>
              <w:rPr>
                <w:rFonts w:ascii="宋体" w:hAnsi="宋体" w:eastAsia="宋体" w:cs="Times New Roman"/>
                <w:sz w:val="21"/>
                <w:szCs w:val="21"/>
              </w:rPr>
            </w:pPr>
          </w:p>
        </w:tc>
      </w:tr>
      <w:tr w14:paraId="50E67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103EC2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75F0FAB">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7BCEC99">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8547E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7D82B6">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1E4C6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A7A261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7997748">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F0F51C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4B5DECE">
            <w:pPr>
              <w:autoSpaceDE w:val="0"/>
              <w:spacing w:line="400" w:lineRule="exact"/>
              <w:jc w:val="center"/>
              <w:rPr>
                <w:rFonts w:ascii="宋体" w:hAnsi="宋体" w:eastAsia="宋体" w:cs="Times New Roman"/>
                <w:sz w:val="21"/>
                <w:szCs w:val="21"/>
              </w:rPr>
            </w:pPr>
          </w:p>
        </w:tc>
      </w:tr>
      <w:tr w14:paraId="16E05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27AD5E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C78CD05">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0FB5E2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724240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7A82F7D">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F6594C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60500B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65B72E0">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BFF670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096BB86B">
            <w:pPr>
              <w:autoSpaceDE w:val="0"/>
              <w:spacing w:line="400" w:lineRule="exact"/>
              <w:jc w:val="center"/>
              <w:rPr>
                <w:rFonts w:ascii="宋体" w:hAnsi="宋体" w:eastAsia="宋体" w:cs="Times New Roman"/>
                <w:sz w:val="21"/>
                <w:szCs w:val="21"/>
              </w:rPr>
            </w:pPr>
          </w:p>
        </w:tc>
      </w:tr>
      <w:tr w14:paraId="7F54B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C324E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189DF8">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7561B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11C8C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F7F69CF">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11A0596">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1585D1F">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7E648D5">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1001D9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8EB45CD">
            <w:pPr>
              <w:autoSpaceDE w:val="0"/>
              <w:spacing w:line="400" w:lineRule="exact"/>
              <w:jc w:val="center"/>
              <w:rPr>
                <w:rFonts w:ascii="宋体" w:hAnsi="宋体" w:eastAsia="宋体" w:cs="Times New Roman"/>
                <w:sz w:val="21"/>
                <w:szCs w:val="21"/>
              </w:rPr>
            </w:pPr>
          </w:p>
        </w:tc>
      </w:tr>
      <w:tr w14:paraId="685EF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E9A4DA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F238A3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9895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D54B36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159EA6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607F8B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34E0FB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017A2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72F3A7C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C76ED7D">
            <w:pPr>
              <w:autoSpaceDE w:val="0"/>
              <w:spacing w:line="400" w:lineRule="exact"/>
              <w:jc w:val="center"/>
              <w:rPr>
                <w:rFonts w:ascii="宋体" w:hAnsi="宋体" w:eastAsia="宋体" w:cs="Times New Roman"/>
                <w:sz w:val="21"/>
                <w:szCs w:val="21"/>
              </w:rPr>
            </w:pPr>
          </w:p>
        </w:tc>
      </w:tr>
      <w:tr w14:paraId="32DA1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738346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F169F1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17196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0BA7324">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136B83">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0EA0B0C">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71EB9F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23F06E">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007BB53">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221CE19">
            <w:pPr>
              <w:autoSpaceDE w:val="0"/>
              <w:spacing w:line="400" w:lineRule="exact"/>
              <w:jc w:val="center"/>
              <w:rPr>
                <w:rFonts w:ascii="宋体" w:hAnsi="宋体" w:eastAsia="宋体" w:cs="Times New Roman"/>
                <w:sz w:val="21"/>
                <w:szCs w:val="21"/>
              </w:rPr>
            </w:pPr>
          </w:p>
        </w:tc>
      </w:tr>
      <w:tr w14:paraId="7773E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1D0702D">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53C2B42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F04C22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F4B2ABA">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14A4A4">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3C0BC15">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097155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CF51E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A2D571D">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BC86B96">
            <w:pPr>
              <w:autoSpaceDE w:val="0"/>
              <w:spacing w:line="400" w:lineRule="exact"/>
              <w:jc w:val="center"/>
              <w:rPr>
                <w:rFonts w:ascii="宋体" w:hAnsi="宋体" w:eastAsia="宋体" w:cs="Times New Roman"/>
                <w:sz w:val="21"/>
                <w:szCs w:val="21"/>
              </w:rPr>
            </w:pPr>
          </w:p>
        </w:tc>
      </w:tr>
      <w:tr w14:paraId="0D51C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78E76A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A0B7850">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758950">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91E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D32B5B9">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5FA259A">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3A25F5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3F8CA4">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26F2ABEE">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7B511092">
            <w:pPr>
              <w:autoSpaceDE w:val="0"/>
              <w:spacing w:line="400" w:lineRule="exact"/>
              <w:jc w:val="center"/>
              <w:rPr>
                <w:rFonts w:ascii="宋体" w:hAnsi="宋体" w:eastAsia="宋体" w:cs="Times New Roman"/>
                <w:sz w:val="21"/>
                <w:szCs w:val="21"/>
              </w:rPr>
            </w:pPr>
          </w:p>
        </w:tc>
      </w:tr>
      <w:tr w14:paraId="7533B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A64439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vAlign w:val="center"/>
          </w:tcPr>
          <w:p w14:paraId="31DF64D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27E5C192">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12" w:space="0"/>
              <w:right w:val="single" w:color="auto" w:sz="6" w:space="0"/>
            </w:tcBorders>
            <w:vAlign w:val="center"/>
          </w:tcPr>
          <w:p w14:paraId="1B23282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35A47EF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12" w:space="0"/>
              <w:right w:val="single" w:color="auto" w:sz="6" w:space="0"/>
            </w:tcBorders>
            <w:vAlign w:val="center"/>
          </w:tcPr>
          <w:p w14:paraId="3E5224E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6" w:space="0"/>
            </w:tcBorders>
            <w:vAlign w:val="center"/>
          </w:tcPr>
          <w:p w14:paraId="652E923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0B15982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12" w:space="0"/>
              <w:right w:val="single" w:color="auto" w:sz="6" w:space="0"/>
            </w:tcBorders>
            <w:vAlign w:val="center"/>
          </w:tcPr>
          <w:p w14:paraId="4E47B749">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12" w:space="0"/>
            </w:tcBorders>
            <w:vAlign w:val="center"/>
          </w:tcPr>
          <w:p w14:paraId="044BDCFB">
            <w:pPr>
              <w:autoSpaceDE w:val="0"/>
              <w:spacing w:line="400" w:lineRule="exact"/>
              <w:jc w:val="center"/>
              <w:rPr>
                <w:rFonts w:ascii="宋体" w:hAnsi="宋体" w:eastAsia="宋体" w:cs="Times New Roman"/>
                <w:sz w:val="21"/>
                <w:szCs w:val="21"/>
              </w:rPr>
            </w:pPr>
          </w:p>
        </w:tc>
      </w:tr>
    </w:tbl>
    <w:p w14:paraId="090C7B27">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8C82B1A">
      <w:pPr>
        <w:rPr>
          <w:rFonts w:ascii="宋体" w:hAnsi="宋体" w:eastAsia="宋体" w:cs="Times New Roman"/>
          <w:sz w:val="21"/>
          <w:szCs w:val="21"/>
        </w:rPr>
      </w:pPr>
      <w:r>
        <w:rPr>
          <w:rFonts w:hint="eastAsia" w:ascii="宋体" w:hAnsi="宋体" w:eastAsia="宋体" w:cs="Times New Roman"/>
          <w:sz w:val="21"/>
          <w:szCs w:val="21"/>
        </w:rPr>
        <w:br w:type="page"/>
      </w:r>
    </w:p>
    <w:p w14:paraId="0B1284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673" w:name="_Toc296346727"/>
      <w:bookmarkEnd w:id="1673"/>
      <w:bookmarkStart w:id="1674" w:name="_Toc296347225"/>
      <w:bookmarkEnd w:id="1674"/>
      <w:bookmarkStart w:id="1675" w:name="_Toc296891054"/>
      <w:bookmarkEnd w:id="1675"/>
      <w:bookmarkStart w:id="1676" w:name="_Toc267261693"/>
      <w:bookmarkEnd w:id="1676"/>
      <w:bookmarkStart w:id="1677" w:name="_Toc296944565"/>
      <w:bookmarkEnd w:id="1677"/>
      <w:bookmarkStart w:id="1678" w:name="_Toc296891266"/>
      <w:bookmarkEnd w:id="1678"/>
      <w:bookmarkStart w:id="1679" w:name="_Toc296503226"/>
      <w:r>
        <w:rPr>
          <w:rFonts w:hint="eastAsia" w:ascii="宋体" w:hAnsi="宋体" w:eastAsia="宋体" w:cs="Times New Roman"/>
          <w:sz w:val="21"/>
          <w:szCs w:val="21"/>
        </w:rPr>
        <w:t>件3：</w:t>
      </w:r>
      <w:bookmarkEnd w:id="1679"/>
    </w:p>
    <w:p w14:paraId="20836241">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工程质量保修书</w:t>
      </w:r>
    </w:p>
    <w:p w14:paraId="04F9EF0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623854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06B0C7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5A027A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发包人和承包人根据《中华人民共和国建筑法》和《建设工程质量管理条例》，经协商一致就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（工程全称）签订工程质量保修书。</w:t>
      </w:r>
    </w:p>
    <w:p w14:paraId="17D9C602">
      <w:pPr>
        <w:autoSpaceDE w:val="0"/>
        <w:spacing w:line="360" w:lineRule="auto"/>
        <w:outlineLvl w:val="0"/>
        <w:rPr>
          <w:rFonts w:ascii="宋体" w:hAnsi="宋体" w:eastAsia="宋体" w:cs="Times New Roman"/>
          <w:sz w:val="21"/>
          <w:szCs w:val="21"/>
        </w:rPr>
      </w:pPr>
      <w:bookmarkStart w:id="1680" w:name="_Toc25787"/>
      <w:bookmarkEnd w:id="1680"/>
      <w:bookmarkStart w:id="1681" w:name="_Toc23976"/>
      <w:r>
        <w:rPr>
          <w:rFonts w:hint="eastAsia" w:ascii="宋体" w:hAnsi="宋体" w:eastAsia="宋体" w:cs="Times New Roman"/>
          <w:sz w:val="21"/>
          <w:szCs w:val="21"/>
        </w:rPr>
        <w:t>一、工程质量保修范围和内容</w:t>
      </w:r>
      <w:bookmarkEnd w:id="1681"/>
    </w:p>
    <w:p w14:paraId="33E4E2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承包人在质量保修期内，按照有关法律规定和合同约定，承担工程质量保修责任。</w:t>
      </w:r>
    </w:p>
    <w:p w14:paraId="586739C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23374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DADA83">
      <w:pPr>
        <w:numPr>
          <w:ilvl w:val="0"/>
          <w:numId w:val="18"/>
        </w:numPr>
        <w:autoSpaceDE w:val="0"/>
        <w:spacing w:line="360" w:lineRule="auto"/>
        <w:ind w:firstLine="420"/>
        <w:outlineLvl w:val="0"/>
        <w:rPr>
          <w:rFonts w:ascii="宋体" w:hAnsi="宋体" w:eastAsia="宋体" w:cs="Times New Roman"/>
          <w:sz w:val="21"/>
          <w:szCs w:val="21"/>
        </w:rPr>
      </w:pPr>
      <w:bookmarkStart w:id="1682" w:name="_Toc11763"/>
      <w:bookmarkEnd w:id="1682"/>
      <w:bookmarkStart w:id="1683" w:name="_Toc9838"/>
      <w:r>
        <w:rPr>
          <w:rFonts w:hint="eastAsia" w:ascii="宋体" w:hAnsi="宋体" w:eastAsia="宋体" w:cs="Times New Roman"/>
          <w:sz w:val="21"/>
          <w:szCs w:val="21"/>
        </w:rPr>
        <w:t>质量保修期</w:t>
      </w:r>
      <w:bookmarkEnd w:id="1683"/>
    </w:p>
    <w:p w14:paraId="15410E6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根据《建设工程质量管理条例》及有关规定，工程的质量保修期如下：</w:t>
      </w:r>
    </w:p>
    <w:p w14:paraId="1544D9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1．地基基础工程和主体结构工程为设计文件规定的工程合理使用年限；</w:t>
      </w:r>
    </w:p>
    <w:p w14:paraId="75B57D0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2．屋面防水工程、有防水要求的卫生间、房间和外墙面的防渗为</w:t>
      </w:r>
      <w:r>
        <w:rPr>
          <w:rFonts w:hint="eastAsia" w:ascii="宋体" w:hAnsi="宋体" w:eastAsia="宋体" w:cs="Times New Roman"/>
          <w:sz w:val="21"/>
          <w:szCs w:val="21"/>
          <w:u w:val="single"/>
        </w:rPr>
        <w:t xml:space="preserve">    5    </w:t>
      </w:r>
      <w:r>
        <w:rPr>
          <w:rFonts w:hint="eastAsia" w:ascii="宋体" w:hAnsi="宋体" w:eastAsia="宋体" w:cs="Times New Roman"/>
          <w:sz w:val="21"/>
          <w:szCs w:val="21"/>
        </w:rPr>
        <w:t>年；</w:t>
      </w:r>
    </w:p>
    <w:p w14:paraId="0F3C2CE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3．装修工程为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63B7A43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4．电气管线、给排水管道、设备安装工程为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4CB41D6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5．供热与供冷系统为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个采暖期、供冷期；</w:t>
      </w:r>
    </w:p>
    <w:p w14:paraId="72A35E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6．给排水设施、道路等配套工程为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3D324A4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7．其他项目保修期限约定如下：</w:t>
      </w:r>
    </w:p>
    <w:p w14:paraId="7AC22C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D8F9D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质量保修期自工程竣工验收合格之日起计算。</w:t>
      </w:r>
    </w:p>
    <w:p w14:paraId="424B53AD">
      <w:pPr>
        <w:autoSpaceDE w:val="0"/>
        <w:spacing w:line="360" w:lineRule="auto"/>
        <w:outlineLvl w:val="0"/>
        <w:rPr>
          <w:rFonts w:ascii="宋体" w:hAnsi="宋体" w:eastAsia="宋体" w:cs="Times New Roman"/>
          <w:sz w:val="21"/>
          <w:szCs w:val="21"/>
        </w:rPr>
      </w:pPr>
      <w:bookmarkStart w:id="1684" w:name="_Toc6195"/>
      <w:bookmarkEnd w:id="1684"/>
      <w:bookmarkStart w:id="1685" w:name="_Toc14726"/>
      <w:r>
        <w:rPr>
          <w:rFonts w:hint="eastAsia" w:ascii="宋体" w:hAnsi="宋体" w:eastAsia="宋体" w:cs="Times New Roman"/>
          <w:sz w:val="21"/>
          <w:szCs w:val="21"/>
        </w:rPr>
        <w:t>三、缺陷责任期</w:t>
      </w:r>
      <w:bookmarkEnd w:id="1685"/>
    </w:p>
    <w:p w14:paraId="07CC46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工程缺陷责任期为</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个月，缺陷责任期自工程通过竣工验收之日起计算。单位工程先于全部工程进行验收，单位工程缺陷责任期自单位工程验收合格之日起算。</w:t>
      </w:r>
    </w:p>
    <w:p w14:paraId="020B5A1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缺陷责任期终止后，发包人应退还剩余的质量保证金。</w:t>
      </w:r>
    </w:p>
    <w:p w14:paraId="19F52F64">
      <w:pPr>
        <w:autoSpaceDE w:val="0"/>
        <w:spacing w:line="360" w:lineRule="auto"/>
        <w:outlineLvl w:val="0"/>
        <w:rPr>
          <w:rFonts w:ascii="宋体" w:hAnsi="宋体" w:eastAsia="宋体" w:cs="Times New Roman"/>
          <w:sz w:val="21"/>
          <w:szCs w:val="21"/>
        </w:rPr>
      </w:pPr>
      <w:bookmarkStart w:id="1686" w:name="_Toc29237"/>
      <w:bookmarkEnd w:id="1686"/>
      <w:bookmarkStart w:id="1687" w:name="_Toc21547"/>
      <w:r>
        <w:rPr>
          <w:rFonts w:hint="eastAsia" w:ascii="宋体" w:hAnsi="宋体" w:eastAsia="宋体" w:cs="Times New Roman"/>
          <w:sz w:val="21"/>
          <w:szCs w:val="21"/>
        </w:rPr>
        <w:t>四、质量保修责任</w:t>
      </w:r>
      <w:bookmarkEnd w:id="1687"/>
    </w:p>
    <w:p w14:paraId="522410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1．属于保修范围、内容的项目，承包人应当在接到保修通知之日起7天内派人保修。承包人不在约定期限内派人保修的，发包人可以委托他人修理。</w:t>
      </w:r>
    </w:p>
    <w:p w14:paraId="73EDADF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2．发生紧急事故需抢修的，承包人在接到事故通知后，应当立即到达事故现场抢修。</w:t>
      </w:r>
    </w:p>
    <w:p w14:paraId="7B00AC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D688E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4．质量保修完成后，由发包人组织验收。</w:t>
      </w:r>
    </w:p>
    <w:p w14:paraId="7985F207">
      <w:pPr>
        <w:autoSpaceDE w:val="0"/>
        <w:spacing w:line="360" w:lineRule="auto"/>
        <w:outlineLvl w:val="0"/>
        <w:rPr>
          <w:rFonts w:ascii="宋体" w:hAnsi="宋体" w:eastAsia="宋体" w:cs="Times New Roman"/>
          <w:sz w:val="21"/>
          <w:szCs w:val="21"/>
        </w:rPr>
      </w:pPr>
      <w:bookmarkStart w:id="1688" w:name="_Toc950"/>
      <w:bookmarkEnd w:id="1688"/>
      <w:bookmarkStart w:id="1689" w:name="_Toc2765"/>
      <w:r>
        <w:rPr>
          <w:rFonts w:hint="eastAsia" w:ascii="宋体" w:hAnsi="宋体" w:eastAsia="宋体" w:cs="Times New Roman"/>
          <w:sz w:val="21"/>
          <w:szCs w:val="21"/>
        </w:rPr>
        <w:t>五、保修费用</w:t>
      </w:r>
      <w:bookmarkEnd w:id="1689"/>
    </w:p>
    <w:p w14:paraId="64402BB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保修费用由造成质量缺陷的责任方承担。</w:t>
      </w:r>
    </w:p>
    <w:p w14:paraId="1A5AC90B">
      <w:pPr>
        <w:autoSpaceDE w:val="0"/>
        <w:spacing w:line="360" w:lineRule="auto"/>
        <w:jc w:val="left"/>
        <w:rPr>
          <w:rFonts w:ascii="宋体" w:hAnsi="宋体" w:eastAsia="宋体" w:cs="Times New Roman"/>
          <w:sz w:val="21"/>
          <w:szCs w:val="21"/>
        </w:rPr>
      </w:pPr>
      <w:r>
        <w:rPr>
          <w:rFonts w:hint="eastAsia" w:ascii="宋体" w:hAnsi="宋体" w:eastAsia="宋体" w:cs="Times New Roman"/>
          <w:bCs/>
          <w:sz w:val="21"/>
          <w:szCs w:val="21"/>
        </w:rPr>
        <w:t>六、双</w:t>
      </w:r>
      <w:r>
        <w:rPr>
          <w:rFonts w:hint="eastAsia" w:ascii="宋体" w:hAnsi="宋体" w:eastAsia="宋体" w:cs="Times New Roman"/>
          <w:sz w:val="21"/>
          <w:szCs w:val="21"/>
        </w:rPr>
        <w:t>方约定的其他工程质量保修事项：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E27BC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工程质量保修书由发包人、承包人在工程竣工验收前共同签署，作为施工合同附件，其有效期限至保修期满。</w:t>
      </w:r>
    </w:p>
    <w:p w14:paraId="182C1C4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F83701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发包人(公章)：</w:t>
      </w:r>
      <w:r>
        <w:rPr>
          <w:rFonts w:hint="eastAsia" w:ascii="宋体" w:hAnsi="宋体" w:eastAsia="宋体" w:cs="Times New Roman"/>
          <w:sz w:val="21"/>
          <w:szCs w:val="21"/>
          <w:u w:val="single"/>
        </w:rPr>
        <w:t xml:space="preserve">        </w:t>
      </w:r>
      <w:r>
        <w:rPr>
          <w:rFonts w:hint="eastAsia" w:ascii="宋体" w:hAnsi="宋体" w:eastAsia="宋体" w:cs="Times New Roman"/>
          <w:sz w:val="21"/>
          <w:szCs w:val="21"/>
        </w:rPr>
        <w:t xml:space="preserve"> 承包人(公章)：</w:t>
      </w:r>
      <w:r>
        <w:rPr>
          <w:rFonts w:hint="eastAsia" w:ascii="宋体" w:hAnsi="宋体" w:eastAsia="宋体" w:cs="Times New Roman"/>
          <w:sz w:val="21"/>
          <w:szCs w:val="21"/>
          <w:u w:val="single"/>
        </w:rPr>
        <w:t xml:space="preserve">           </w:t>
      </w:r>
    </w:p>
    <w:p w14:paraId="31FB91F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地  址：</w:t>
      </w:r>
      <w:r>
        <w:rPr>
          <w:rFonts w:hint="eastAsia" w:ascii="宋体" w:hAnsi="宋体" w:eastAsia="宋体" w:cs="Times New Roman"/>
          <w:sz w:val="21"/>
          <w:szCs w:val="21"/>
          <w:u w:val="single"/>
        </w:rPr>
        <w:t xml:space="preserve">       </w:t>
      </w:r>
    </w:p>
    <w:p w14:paraId="129A6CD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法定代表人(签名)：</w:t>
      </w:r>
      <w:r>
        <w:rPr>
          <w:rFonts w:hint="eastAsia" w:ascii="宋体" w:hAnsi="宋体" w:eastAsia="宋体" w:cs="Times New Roman"/>
          <w:sz w:val="21"/>
          <w:szCs w:val="21"/>
          <w:u w:val="single"/>
        </w:rPr>
        <w:t xml:space="preserve">       </w:t>
      </w:r>
    </w:p>
    <w:p w14:paraId="298ACA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委托代理人(签名)：</w:t>
      </w:r>
      <w:r>
        <w:rPr>
          <w:rFonts w:hint="eastAsia" w:ascii="宋体" w:hAnsi="宋体" w:eastAsia="宋体" w:cs="Times New Roman"/>
          <w:sz w:val="21"/>
          <w:szCs w:val="21"/>
          <w:u w:val="single"/>
        </w:rPr>
        <w:t xml:space="preserve">       </w:t>
      </w:r>
    </w:p>
    <w:p w14:paraId="30F127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电  话：</w:t>
      </w:r>
      <w:r>
        <w:rPr>
          <w:rFonts w:hint="eastAsia" w:ascii="宋体" w:hAnsi="宋体" w:eastAsia="宋体" w:cs="Times New Roman"/>
          <w:sz w:val="21"/>
          <w:szCs w:val="21"/>
          <w:u w:val="single"/>
        </w:rPr>
        <w:t xml:space="preserve">     </w:t>
      </w:r>
    </w:p>
    <w:p w14:paraId="755DC96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传  真：</w:t>
      </w:r>
      <w:r>
        <w:rPr>
          <w:rFonts w:hint="eastAsia" w:ascii="宋体" w:hAnsi="宋体" w:eastAsia="宋体" w:cs="Times New Roman"/>
          <w:sz w:val="21"/>
          <w:szCs w:val="21"/>
          <w:u w:val="single"/>
        </w:rPr>
        <w:t xml:space="preserve">     </w:t>
      </w:r>
    </w:p>
    <w:p w14:paraId="0ACD8D6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开户银行：</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开户银行：</w:t>
      </w:r>
      <w:r>
        <w:rPr>
          <w:rFonts w:hint="eastAsia" w:ascii="宋体" w:hAnsi="宋体" w:eastAsia="宋体" w:cs="Times New Roman"/>
          <w:sz w:val="21"/>
          <w:szCs w:val="21"/>
          <w:u w:val="single"/>
        </w:rPr>
        <w:t xml:space="preserve">   </w:t>
      </w:r>
    </w:p>
    <w:p w14:paraId="5C2E50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账  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账  号：</w:t>
      </w:r>
      <w:r>
        <w:rPr>
          <w:rFonts w:hint="eastAsia" w:ascii="宋体" w:hAnsi="宋体" w:eastAsia="宋体" w:cs="Times New Roman"/>
          <w:sz w:val="21"/>
          <w:szCs w:val="21"/>
          <w:u w:val="single"/>
        </w:rPr>
        <w:t xml:space="preserve">     </w:t>
      </w:r>
    </w:p>
    <w:p w14:paraId="146083D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邮政编码：</w:t>
      </w:r>
      <w:r>
        <w:rPr>
          <w:rFonts w:hint="eastAsia" w:ascii="宋体" w:hAnsi="宋体" w:eastAsia="宋体" w:cs="Times New Roman"/>
          <w:sz w:val="21"/>
          <w:szCs w:val="21"/>
          <w:u w:val="single"/>
        </w:rPr>
        <w:t xml:space="preserve">   </w:t>
      </w:r>
    </w:p>
    <w:p w14:paraId="048AB606">
      <w:pPr>
        <w:spacing w:line="440" w:lineRule="exact"/>
        <w:rPr>
          <w:rFonts w:ascii="宋体" w:hAnsi="宋体" w:eastAsia="宋体" w:cs="Times New Roman"/>
          <w:sz w:val="21"/>
          <w:szCs w:val="21"/>
        </w:rPr>
      </w:pPr>
      <w:r>
        <w:rPr>
          <w:rFonts w:hint="eastAsia" w:ascii="宋体" w:hAnsi="宋体" w:eastAsia="宋体" w:cs="Times New Roman"/>
          <w:b/>
          <w:sz w:val="21"/>
          <w:szCs w:val="21"/>
        </w:rPr>
        <w:br w:type="page"/>
      </w:r>
      <w:r>
        <w:rPr>
          <w:rFonts w:hint="eastAsia" w:ascii="宋体" w:hAnsi="宋体" w:eastAsia="宋体" w:cs="Times New Roman"/>
          <w:sz w:val="21"/>
          <w:szCs w:val="21"/>
        </w:rPr>
        <w:t>附件4：</w:t>
      </w:r>
    </w:p>
    <w:p w14:paraId="2670359C">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主要建设工程文件目录</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8A8C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14:paraId="6A7A175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14:paraId="2FA766A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套数</w:t>
            </w:r>
          </w:p>
        </w:tc>
        <w:tc>
          <w:tcPr>
            <w:tcW w:w="1450" w:type="dxa"/>
            <w:tcBorders>
              <w:top w:val="single" w:color="auto" w:sz="12" w:space="0"/>
              <w:left w:val="single" w:color="auto" w:sz="6" w:space="0"/>
              <w:bottom w:val="double" w:color="auto" w:sz="2" w:space="0"/>
              <w:right w:val="single" w:color="auto" w:sz="6" w:space="0"/>
            </w:tcBorders>
            <w:vAlign w:val="center"/>
          </w:tcPr>
          <w:p w14:paraId="0B9851C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费用（元）</w:t>
            </w:r>
          </w:p>
        </w:tc>
        <w:tc>
          <w:tcPr>
            <w:tcW w:w="1243" w:type="dxa"/>
            <w:tcBorders>
              <w:top w:val="single" w:color="auto" w:sz="12" w:space="0"/>
              <w:left w:val="single" w:color="auto" w:sz="6" w:space="0"/>
              <w:bottom w:val="double" w:color="auto" w:sz="2" w:space="0"/>
              <w:right w:val="single" w:color="auto" w:sz="6" w:space="0"/>
            </w:tcBorders>
            <w:vAlign w:val="center"/>
          </w:tcPr>
          <w:p w14:paraId="2EFB70B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w:t>
            </w:r>
          </w:p>
        </w:tc>
        <w:tc>
          <w:tcPr>
            <w:tcW w:w="1450" w:type="dxa"/>
            <w:tcBorders>
              <w:top w:val="single" w:color="auto" w:sz="12" w:space="0"/>
              <w:left w:val="single" w:color="auto" w:sz="6" w:space="0"/>
              <w:bottom w:val="double" w:color="auto" w:sz="2" w:space="0"/>
              <w:right w:val="single" w:color="auto" w:sz="6" w:space="0"/>
            </w:tcBorders>
          </w:tcPr>
          <w:p w14:paraId="2F6BD51B">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移交时间</w:t>
            </w:r>
          </w:p>
        </w:tc>
        <w:tc>
          <w:tcPr>
            <w:tcW w:w="1667" w:type="dxa"/>
            <w:tcBorders>
              <w:top w:val="single" w:color="auto" w:sz="12" w:space="0"/>
              <w:left w:val="single" w:color="auto" w:sz="6" w:space="0"/>
              <w:bottom w:val="double" w:color="auto" w:sz="2" w:space="0"/>
              <w:right w:val="single" w:color="auto" w:sz="12" w:space="0"/>
            </w:tcBorders>
          </w:tcPr>
          <w:p w14:paraId="679C4AA3">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责任人</w:t>
            </w:r>
          </w:p>
        </w:tc>
      </w:tr>
      <w:tr w14:paraId="0AC51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14:paraId="20E004C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35CB4562">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527BA35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double" w:color="auto" w:sz="2" w:space="0"/>
              <w:left w:val="single" w:color="auto" w:sz="6" w:space="0"/>
              <w:bottom w:val="single" w:color="auto" w:sz="6" w:space="0"/>
              <w:right w:val="single" w:color="auto" w:sz="6" w:space="0"/>
            </w:tcBorders>
            <w:vAlign w:val="center"/>
          </w:tcPr>
          <w:p w14:paraId="0789C380">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21BB170F">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double" w:color="auto" w:sz="2" w:space="0"/>
              <w:left w:val="single" w:color="auto" w:sz="6" w:space="0"/>
              <w:bottom w:val="single" w:color="auto" w:sz="6" w:space="0"/>
              <w:right w:val="single" w:color="auto" w:sz="12" w:space="0"/>
            </w:tcBorders>
            <w:vAlign w:val="center"/>
          </w:tcPr>
          <w:p w14:paraId="08597795">
            <w:pPr>
              <w:keepNext/>
              <w:autoSpaceDE w:val="0"/>
              <w:spacing w:before="100" w:beforeAutospacing="1" w:line="400" w:lineRule="exact"/>
              <w:jc w:val="center"/>
              <w:rPr>
                <w:rFonts w:ascii="宋体" w:hAnsi="宋体" w:eastAsia="宋体" w:cs="Times New Roman"/>
                <w:sz w:val="21"/>
                <w:szCs w:val="21"/>
              </w:rPr>
            </w:pPr>
          </w:p>
        </w:tc>
      </w:tr>
      <w:tr w14:paraId="191D9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A4C45D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6B4BE8C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592B268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nil"/>
              <w:left w:val="single" w:color="auto" w:sz="6" w:space="0"/>
              <w:bottom w:val="single" w:color="auto" w:sz="6" w:space="0"/>
              <w:right w:val="single" w:color="auto" w:sz="6" w:space="0"/>
            </w:tcBorders>
            <w:vAlign w:val="center"/>
          </w:tcPr>
          <w:p w14:paraId="126BB435">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79A5878C">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nil"/>
              <w:left w:val="single" w:color="auto" w:sz="6" w:space="0"/>
              <w:bottom w:val="single" w:color="auto" w:sz="6" w:space="0"/>
              <w:right w:val="single" w:color="auto" w:sz="12" w:space="0"/>
            </w:tcBorders>
            <w:vAlign w:val="center"/>
          </w:tcPr>
          <w:p w14:paraId="6F182521">
            <w:pPr>
              <w:keepNext/>
              <w:autoSpaceDE w:val="0"/>
              <w:spacing w:before="100" w:beforeAutospacing="1" w:line="400" w:lineRule="exact"/>
              <w:jc w:val="center"/>
              <w:rPr>
                <w:rFonts w:ascii="宋体" w:hAnsi="宋体" w:eastAsia="宋体" w:cs="Times New Roman"/>
                <w:sz w:val="21"/>
                <w:szCs w:val="21"/>
              </w:rPr>
            </w:pPr>
          </w:p>
        </w:tc>
      </w:tr>
      <w:tr w14:paraId="7F523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6DE9D4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CB2039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4B2146B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4CEA9AC7">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6A29F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1397AC1">
            <w:pPr>
              <w:keepNext/>
              <w:autoSpaceDE w:val="0"/>
              <w:spacing w:before="100" w:beforeAutospacing="1" w:line="400" w:lineRule="exact"/>
              <w:jc w:val="center"/>
              <w:rPr>
                <w:rFonts w:ascii="宋体" w:hAnsi="宋体" w:eastAsia="宋体" w:cs="Times New Roman"/>
                <w:sz w:val="21"/>
                <w:szCs w:val="21"/>
              </w:rPr>
            </w:pPr>
          </w:p>
        </w:tc>
      </w:tr>
      <w:tr w14:paraId="5BBCB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A5C2B1F">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B1498E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8444278">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5B592C8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BF7567A">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09F10970">
            <w:pPr>
              <w:keepNext/>
              <w:autoSpaceDE w:val="0"/>
              <w:spacing w:before="100" w:beforeAutospacing="1" w:line="400" w:lineRule="exact"/>
              <w:jc w:val="center"/>
              <w:rPr>
                <w:rFonts w:ascii="宋体" w:hAnsi="宋体" w:eastAsia="宋体" w:cs="Times New Roman"/>
                <w:sz w:val="21"/>
                <w:szCs w:val="21"/>
              </w:rPr>
            </w:pPr>
          </w:p>
        </w:tc>
      </w:tr>
      <w:tr w14:paraId="76862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BCD42A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97F908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5C76B4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7372CC1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365F9A7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BD73D4F">
            <w:pPr>
              <w:keepNext/>
              <w:autoSpaceDE w:val="0"/>
              <w:spacing w:before="100" w:beforeAutospacing="1" w:line="400" w:lineRule="exact"/>
              <w:jc w:val="center"/>
              <w:rPr>
                <w:rFonts w:ascii="宋体" w:hAnsi="宋体" w:eastAsia="宋体" w:cs="Times New Roman"/>
                <w:sz w:val="21"/>
                <w:szCs w:val="21"/>
              </w:rPr>
            </w:pPr>
          </w:p>
        </w:tc>
      </w:tr>
      <w:tr w14:paraId="70211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210DEE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892EC3">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35BB32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A163E9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79041D">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AD71620">
            <w:pPr>
              <w:keepNext/>
              <w:autoSpaceDE w:val="0"/>
              <w:spacing w:before="100" w:beforeAutospacing="1" w:line="400" w:lineRule="exact"/>
              <w:jc w:val="center"/>
              <w:rPr>
                <w:rFonts w:ascii="宋体" w:hAnsi="宋体" w:eastAsia="宋体" w:cs="Times New Roman"/>
                <w:sz w:val="21"/>
                <w:szCs w:val="21"/>
              </w:rPr>
            </w:pPr>
          </w:p>
        </w:tc>
      </w:tr>
      <w:tr w14:paraId="258F9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FBE962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FE4794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1AD561F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A7B8851">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0537C4E">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6FF4A74">
            <w:pPr>
              <w:keepNext/>
              <w:autoSpaceDE w:val="0"/>
              <w:spacing w:before="100" w:beforeAutospacing="1" w:line="400" w:lineRule="exact"/>
              <w:jc w:val="center"/>
              <w:rPr>
                <w:rFonts w:ascii="宋体" w:hAnsi="宋体" w:eastAsia="宋体" w:cs="Times New Roman"/>
                <w:sz w:val="21"/>
                <w:szCs w:val="21"/>
              </w:rPr>
            </w:pPr>
          </w:p>
        </w:tc>
      </w:tr>
      <w:tr w14:paraId="206F6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F79C67">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508F7D4">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2A11EBC">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7977B0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2D38E37">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8253A58">
            <w:pPr>
              <w:keepNext/>
              <w:autoSpaceDE w:val="0"/>
              <w:spacing w:before="100" w:beforeAutospacing="1" w:line="400" w:lineRule="exact"/>
              <w:jc w:val="center"/>
              <w:rPr>
                <w:rFonts w:ascii="宋体" w:hAnsi="宋体" w:eastAsia="宋体" w:cs="Times New Roman"/>
                <w:sz w:val="21"/>
                <w:szCs w:val="21"/>
              </w:rPr>
            </w:pPr>
          </w:p>
        </w:tc>
      </w:tr>
      <w:tr w14:paraId="4F0C6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0C0D89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F8AA923">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207A897">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6A726EB5">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CDC1B55">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0F807B63">
            <w:pPr>
              <w:autoSpaceDE w:val="0"/>
              <w:spacing w:line="400" w:lineRule="exact"/>
              <w:jc w:val="center"/>
              <w:rPr>
                <w:rFonts w:ascii="宋体" w:hAnsi="宋体" w:eastAsia="宋体" w:cs="Times New Roman"/>
                <w:sz w:val="21"/>
                <w:szCs w:val="21"/>
              </w:rPr>
            </w:pPr>
          </w:p>
        </w:tc>
      </w:tr>
      <w:tr w14:paraId="5CC11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CD3B33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B8AE5E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47736B5">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269F22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708F199">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2A71389E">
            <w:pPr>
              <w:keepNext/>
              <w:autoSpaceDE w:val="0"/>
              <w:spacing w:before="100" w:beforeAutospacing="1" w:line="400" w:lineRule="exact"/>
              <w:jc w:val="center"/>
              <w:rPr>
                <w:rFonts w:ascii="宋体" w:hAnsi="宋体" w:eastAsia="宋体" w:cs="Times New Roman"/>
                <w:sz w:val="21"/>
                <w:szCs w:val="21"/>
              </w:rPr>
            </w:pPr>
          </w:p>
        </w:tc>
      </w:tr>
      <w:tr w14:paraId="6FBD9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AF2321">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B3457BC">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4C36880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2A9D478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B051059">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369D9CF5">
            <w:pPr>
              <w:autoSpaceDE w:val="0"/>
              <w:spacing w:line="400" w:lineRule="exact"/>
              <w:jc w:val="center"/>
              <w:rPr>
                <w:rFonts w:ascii="宋体" w:hAnsi="宋体" w:eastAsia="宋体" w:cs="Times New Roman"/>
                <w:sz w:val="21"/>
                <w:szCs w:val="21"/>
              </w:rPr>
            </w:pPr>
          </w:p>
        </w:tc>
      </w:tr>
      <w:tr w14:paraId="482F4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E9A5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3FC215F">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69C398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3355781A">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5A61C32">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D02C536">
            <w:pPr>
              <w:autoSpaceDE w:val="0"/>
              <w:spacing w:line="400" w:lineRule="exact"/>
              <w:jc w:val="center"/>
              <w:rPr>
                <w:rFonts w:ascii="宋体" w:hAnsi="宋体" w:eastAsia="宋体" w:cs="Times New Roman"/>
                <w:sz w:val="21"/>
                <w:szCs w:val="21"/>
              </w:rPr>
            </w:pPr>
          </w:p>
        </w:tc>
      </w:tr>
      <w:tr w14:paraId="1643A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D40AC">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36232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237FA3A2">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B78C7D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7E9B9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7EE8B7E">
            <w:pPr>
              <w:autoSpaceDE w:val="0"/>
              <w:spacing w:line="400" w:lineRule="exact"/>
              <w:jc w:val="center"/>
              <w:rPr>
                <w:rFonts w:ascii="宋体" w:hAnsi="宋体" w:eastAsia="宋体" w:cs="Times New Roman"/>
                <w:sz w:val="21"/>
                <w:szCs w:val="21"/>
              </w:rPr>
            </w:pPr>
          </w:p>
        </w:tc>
      </w:tr>
      <w:tr w14:paraId="088D0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D0E8B1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1387AAE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47829AF">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840F3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59C51BA6">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CF9F104">
            <w:pPr>
              <w:autoSpaceDE w:val="0"/>
              <w:spacing w:line="400" w:lineRule="exact"/>
              <w:jc w:val="center"/>
              <w:rPr>
                <w:rFonts w:ascii="宋体" w:hAnsi="宋体" w:eastAsia="宋体" w:cs="Times New Roman"/>
                <w:sz w:val="21"/>
                <w:szCs w:val="21"/>
              </w:rPr>
            </w:pPr>
          </w:p>
        </w:tc>
      </w:tr>
      <w:tr w14:paraId="2238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445E4F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92E05F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B1ABE8E">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CD55AC0">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C2A35A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5226C76">
            <w:pPr>
              <w:autoSpaceDE w:val="0"/>
              <w:spacing w:line="400" w:lineRule="exact"/>
              <w:jc w:val="center"/>
              <w:rPr>
                <w:rFonts w:ascii="宋体" w:hAnsi="宋体" w:eastAsia="宋体" w:cs="Times New Roman"/>
                <w:sz w:val="21"/>
                <w:szCs w:val="21"/>
              </w:rPr>
            </w:pPr>
          </w:p>
        </w:tc>
      </w:tr>
      <w:tr w14:paraId="69C16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1F874D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D416C5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79B3AB6">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84F2FB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5D8132A">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8B1AB4F">
            <w:pPr>
              <w:autoSpaceDE w:val="0"/>
              <w:spacing w:line="400" w:lineRule="exact"/>
              <w:jc w:val="center"/>
              <w:rPr>
                <w:rFonts w:ascii="宋体" w:hAnsi="宋体" w:eastAsia="宋体" w:cs="Times New Roman"/>
                <w:sz w:val="21"/>
                <w:szCs w:val="21"/>
              </w:rPr>
            </w:pPr>
          </w:p>
        </w:tc>
      </w:tr>
      <w:tr w14:paraId="5F3D7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98916F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ECF28C4">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829D40">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324D02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91C5780">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660F432">
            <w:pPr>
              <w:autoSpaceDE w:val="0"/>
              <w:spacing w:line="400" w:lineRule="exact"/>
              <w:jc w:val="center"/>
              <w:rPr>
                <w:rFonts w:ascii="宋体" w:hAnsi="宋体" w:eastAsia="宋体" w:cs="Times New Roman"/>
                <w:sz w:val="21"/>
                <w:szCs w:val="21"/>
              </w:rPr>
            </w:pPr>
          </w:p>
        </w:tc>
      </w:tr>
      <w:tr w14:paraId="51503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66A7B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74A5D95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4A4EA15">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4DCCB32">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0C5104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27DBEA5F">
            <w:pPr>
              <w:autoSpaceDE w:val="0"/>
              <w:spacing w:line="400" w:lineRule="exact"/>
              <w:jc w:val="center"/>
              <w:rPr>
                <w:rFonts w:ascii="宋体" w:hAnsi="宋体" w:eastAsia="宋体" w:cs="Times New Roman"/>
                <w:sz w:val="21"/>
                <w:szCs w:val="21"/>
              </w:rPr>
            </w:pPr>
          </w:p>
        </w:tc>
      </w:tr>
      <w:tr w14:paraId="28BF2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057D929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tcPr>
          <w:p w14:paraId="54B7F9E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3F5EE3B8">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12" w:space="0"/>
              <w:right w:val="single" w:color="auto" w:sz="6" w:space="0"/>
            </w:tcBorders>
          </w:tcPr>
          <w:p w14:paraId="7B61684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0D7DE6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12" w:space="0"/>
              <w:right w:val="single" w:color="auto" w:sz="12" w:space="0"/>
            </w:tcBorders>
          </w:tcPr>
          <w:p w14:paraId="3963A741">
            <w:pPr>
              <w:autoSpaceDE w:val="0"/>
              <w:spacing w:line="400" w:lineRule="exact"/>
              <w:jc w:val="center"/>
              <w:rPr>
                <w:rFonts w:ascii="宋体" w:hAnsi="宋体" w:eastAsia="宋体" w:cs="Times New Roman"/>
                <w:sz w:val="21"/>
                <w:szCs w:val="21"/>
              </w:rPr>
            </w:pPr>
          </w:p>
        </w:tc>
      </w:tr>
    </w:tbl>
    <w:p w14:paraId="06F252B8">
      <w:pPr>
        <w:rPr>
          <w:rFonts w:ascii="宋体" w:hAnsi="宋体" w:eastAsia="宋体" w:cs="Times New Roman"/>
          <w:sz w:val="21"/>
          <w:szCs w:val="21"/>
        </w:rPr>
      </w:pPr>
      <w:r>
        <w:rPr>
          <w:rFonts w:hint="eastAsia" w:ascii="宋体" w:hAnsi="宋体" w:eastAsia="宋体" w:cs="Times New Roman"/>
          <w:sz w:val="21"/>
          <w:szCs w:val="21"/>
        </w:rPr>
        <w:br w:type="page"/>
      </w:r>
    </w:p>
    <w:p w14:paraId="3D8F9A6C">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0" w:name="_Toc296346728"/>
      <w:bookmarkEnd w:id="1690"/>
      <w:bookmarkStart w:id="1691" w:name="_Toc296347226"/>
      <w:bookmarkEnd w:id="1691"/>
      <w:bookmarkStart w:id="1692" w:name="_Toc296891055"/>
      <w:bookmarkEnd w:id="1692"/>
      <w:bookmarkStart w:id="1693" w:name="_Toc296944566"/>
      <w:bookmarkEnd w:id="1693"/>
      <w:bookmarkStart w:id="1694" w:name="_Toc296503227"/>
      <w:bookmarkEnd w:id="1694"/>
      <w:bookmarkStart w:id="1695" w:name="_Toc296891267"/>
      <w:bookmarkEnd w:id="1695"/>
      <w:bookmarkStart w:id="1696" w:name="_Toc267261698"/>
      <w:r>
        <w:rPr>
          <w:rFonts w:hint="eastAsia" w:ascii="宋体" w:hAnsi="宋体" w:eastAsia="宋体" w:cs="Times New Roman"/>
          <w:sz w:val="21"/>
          <w:szCs w:val="21"/>
        </w:rPr>
        <w:t>件5：</w:t>
      </w:r>
      <w:bookmarkEnd w:id="1696"/>
    </w:p>
    <w:p w14:paraId="6DAEF844">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承包人用于本工程施工的机械设备表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4C6C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left w:val="single" w:color="auto" w:sz="12" w:space="0"/>
              <w:bottom w:val="double" w:color="auto" w:sz="2" w:space="0"/>
              <w:right w:val="single" w:color="auto" w:sz="6" w:space="0"/>
            </w:tcBorders>
            <w:vAlign w:val="center"/>
          </w:tcPr>
          <w:p w14:paraId="7217C9A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418" w:type="dxa"/>
            <w:tcBorders>
              <w:top w:val="single" w:color="auto" w:sz="12" w:space="0"/>
              <w:left w:val="single" w:color="auto" w:sz="6" w:space="0"/>
              <w:bottom w:val="double" w:color="auto" w:sz="2" w:space="0"/>
              <w:right w:val="single" w:color="auto" w:sz="6" w:space="0"/>
            </w:tcBorders>
            <w:vAlign w:val="center"/>
          </w:tcPr>
          <w:p w14:paraId="0C86B455">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机械或设备名称</w:t>
            </w:r>
          </w:p>
        </w:tc>
        <w:tc>
          <w:tcPr>
            <w:tcW w:w="850" w:type="dxa"/>
            <w:tcBorders>
              <w:top w:val="single" w:color="auto" w:sz="12" w:space="0"/>
              <w:left w:val="single" w:color="auto" w:sz="6" w:space="0"/>
              <w:bottom w:val="double" w:color="auto" w:sz="2" w:space="0"/>
              <w:right w:val="single" w:color="auto" w:sz="6" w:space="0"/>
            </w:tcBorders>
            <w:vAlign w:val="center"/>
          </w:tcPr>
          <w:p w14:paraId="6A0A42EB">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1058" w:type="dxa"/>
            <w:tcBorders>
              <w:top w:val="single" w:color="auto" w:sz="12" w:space="0"/>
              <w:left w:val="single" w:color="auto" w:sz="6" w:space="0"/>
              <w:bottom w:val="double" w:color="auto" w:sz="2" w:space="0"/>
              <w:right w:val="single" w:color="auto" w:sz="6" w:space="0"/>
            </w:tcBorders>
            <w:vAlign w:val="center"/>
          </w:tcPr>
          <w:p w14:paraId="1D44418F">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880" w:type="dxa"/>
            <w:tcBorders>
              <w:top w:val="single" w:color="auto" w:sz="12" w:space="0"/>
              <w:left w:val="single" w:color="auto" w:sz="6" w:space="0"/>
              <w:bottom w:val="double" w:color="auto" w:sz="2" w:space="0"/>
              <w:right w:val="single" w:color="auto" w:sz="6" w:space="0"/>
            </w:tcBorders>
            <w:vAlign w:val="center"/>
          </w:tcPr>
          <w:p w14:paraId="11F7F9DE">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产地</w:t>
            </w:r>
          </w:p>
        </w:tc>
        <w:tc>
          <w:tcPr>
            <w:tcW w:w="1020" w:type="dxa"/>
            <w:tcBorders>
              <w:top w:val="single" w:color="auto" w:sz="12" w:space="0"/>
              <w:left w:val="single" w:color="auto" w:sz="6" w:space="0"/>
              <w:bottom w:val="double" w:color="auto" w:sz="2" w:space="0"/>
              <w:right w:val="single" w:color="auto" w:sz="6" w:space="0"/>
            </w:tcBorders>
            <w:vAlign w:val="center"/>
          </w:tcPr>
          <w:p w14:paraId="1FF59A5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制造年份</w:t>
            </w:r>
          </w:p>
        </w:tc>
        <w:tc>
          <w:tcPr>
            <w:tcW w:w="1480" w:type="dxa"/>
            <w:tcBorders>
              <w:top w:val="single" w:color="auto" w:sz="12" w:space="0"/>
              <w:left w:val="single" w:color="auto" w:sz="6" w:space="0"/>
              <w:bottom w:val="double" w:color="auto" w:sz="2" w:space="0"/>
              <w:right w:val="single" w:color="auto" w:sz="6" w:space="0"/>
            </w:tcBorders>
            <w:vAlign w:val="center"/>
          </w:tcPr>
          <w:p w14:paraId="439708D3">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额定功率(kW)</w:t>
            </w:r>
          </w:p>
        </w:tc>
        <w:tc>
          <w:tcPr>
            <w:tcW w:w="1020" w:type="dxa"/>
            <w:tcBorders>
              <w:top w:val="single" w:color="auto" w:sz="12" w:space="0"/>
              <w:left w:val="single" w:color="auto" w:sz="6" w:space="0"/>
              <w:bottom w:val="double" w:color="auto" w:sz="2" w:space="0"/>
              <w:right w:val="single" w:color="auto" w:sz="6" w:space="0"/>
            </w:tcBorders>
            <w:vAlign w:val="center"/>
          </w:tcPr>
          <w:p w14:paraId="56809CB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921" w:type="dxa"/>
            <w:tcBorders>
              <w:top w:val="single" w:color="auto" w:sz="12" w:space="0"/>
              <w:left w:val="single" w:color="auto" w:sz="6" w:space="0"/>
              <w:bottom w:val="double" w:color="auto" w:sz="2" w:space="0"/>
              <w:right w:val="single" w:color="auto" w:sz="12" w:space="0"/>
            </w:tcBorders>
            <w:vAlign w:val="center"/>
          </w:tcPr>
          <w:p w14:paraId="0DE1F80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EDB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2" w:space="0"/>
              <w:left w:val="single" w:color="auto" w:sz="12" w:space="0"/>
              <w:bottom w:val="single" w:color="auto" w:sz="6" w:space="0"/>
              <w:right w:val="single" w:color="auto" w:sz="6" w:space="0"/>
            </w:tcBorders>
            <w:vAlign w:val="center"/>
          </w:tcPr>
          <w:p w14:paraId="1A385FD8">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0272268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0566151A">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double" w:color="auto" w:sz="2" w:space="0"/>
              <w:left w:val="single" w:color="auto" w:sz="6" w:space="0"/>
              <w:bottom w:val="single" w:color="auto" w:sz="6" w:space="0"/>
              <w:right w:val="single" w:color="auto" w:sz="6" w:space="0"/>
            </w:tcBorders>
            <w:vAlign w:val="center"/>
          </w:tcPr>
          <w:p w14:paraId="47E5CA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double" w:color="auto" w:sz="2" w:space="0"/>
              <w:left w:val="single" w:color="auto" w:sz="6" w:space="0"/>
              <w:bottom w:val="single" w:color="auto" w:sz="6" w:space="0"/>
              <w:right w:val="single" w:color="auto" w:sz="6" w:space="0"/>
            </w:tcBorders>
            <w:vAlign w:val="center"/>
          </w:tcPr>
          <w:p w14:paraId="787DC8D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35A0FDDA">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double" w:color="auto" w:sz="2" w:space="0"/>
              <w:left w:val="single" w:color="auto" w:sz="6" w:space="0"/>
              <w:bottom w:val="single" w:color="auto" w:sz="6" w:space="0"/>
              <w:right w:val="single" w:color="auto" w:sz="6" w:space="0"/>
            </w:tcBorders>
            <w:vAlign w:val="center"/>
          </w:tcPr>
          <w:p w14:paraId="2CDE886F">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5B306037">
            <w:pPr>
              <w:keepNext/>
              <w:autoSpaceDE w:val="0"/>
              <w:spacing w:before="100" w:beforeAutospacing="1" w:line="300" w:lineRule="exact"/>
              <w:jc w:val="center"/>
              <w:rPr>
                <w:rFonts w:ascii="宋体" w:hAnsi="宋体" w:eastAsia="宋体" w:cs="Times New Roman"/>
                <w:sz w:val="21"/>
                <w:szCs w:val="21"/>
              </w:rPr>
            </w:pPr>
          </w:p>
        </w:tc>
        <w:tc>
          <w:tcPr>
            <w:tcW w:w="921" w:type="dxa"/>
            <w:tcBorders>
              <w:top w:val="double" w:color="auto" w:sz="2" w:space="0"/>
              <w:left w:val="single" w:color="auto" w:sz="6" w:space="0"/>
              <w:bottom w:val="single" w:color="auto" w:sz="6" w:space="0"/>
              <w:right w:val="single" w:color="auto" w:sz="12" w:space="0"/>
            </w:tcBorders>
            <w:vAlign w:val="center"/>
          </w:tcPr>
          <w:p w14:paraId="0E4431AA">
            <w:pPr>
              <w:keepNext/>
              <w:autoSpaceDE w:val="0"/>
              <w:spacing w:before="100" w:beforeAutospacing="1" w:line="300" w:lineRule="exact"/>
              <w:jc w:val="center"/>
              <w:rPr>
                <w:rFonts w:ascii="宋体" w:hAnsi="宋体" w:eastAsia="宋体" w:cs="Times New Roman"/>
                <w:sz w:val="21"/>
                <w:szCs w:val="21"/>
              </w:rPr>
            </w:pPr>
          </w:p>
        </w:tc>
      </w:tr>
      <w:tr w14:paraId="4661F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left w:val="single" w:color="auto" w:sz="12" w:space="0"/>
              <w:bottom w:val="single" w:color="auto" w:sz="6" w:space="0"/>
              <w:right w:val="single" w:color="auto" w:sz="6" w:space="0"/>
            </w:tcBorders>
            <w:vAlign w:val="center"/>
          </w:tcPr>
          <w:p w14:paraId="5E6FAAD6">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1583209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A4A581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nil"/>
              <w:left w:val="single" w:color="auto" w:sz="6" w:space="0"/>
              <w:bottom w:val="single" w:color="auto" w:sz="6" w:space="0"/>
              <w:right w:val="single" w:color="auto" w:sz="6" w:space="0"/>
            </w:tcBorders>
            <w:vAlign w:val="center"/>
          </w:tcPr>
          <w:p w14:paraId="1080AA8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nil"/>
              <w:left w:val="single" w:color="auto" w:sz="6" w:space="0"/>
              <w:bottom w:val="single" w:color="auto" w:sz="6" w:space="0"/>
              <w:right w:val="single" w:color="auto" w:sz="6" w:space="0"/>
            </w:tcBorders>
            <w:vAlign w:val="center"/>
          </w:tcPr>
          <w:p w14:paraId="70ECBCC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101CE36F">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nil"/>
              <w:left w:val="single" w:color="auto" w:sz="6" w:space="0"/>
              <w:bottom w:val="single" w:color="auto" w:sz="6" w:space="0"/>
              <w:right w:val="single" w:color="auto" w:sz="6" w:space="0"/>
            </w:tcBorders>
            <w:vAlign w:val="center"/>
          </w:tcPr>
          <w:p w14:paraId="7124D3E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31C700B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nil"/>
              <w:left w:val="single" w:color="auto" w:sz="6" w:space="0"/>
              <w:bottom w:val="single" w:color="auto" w:sz="6" w:space="0"/>
              <w:right w:val="single" w:color="auto" w:sz="12" w:space="0"/>
            </w:tcBorders>
            <w:vAlign w:val="center"/>
          </w:tcPr>
          <w:p w14:paraId="381B565C">
            <w:pPr>
              <w:keepNext/>
              <w:autoSpaceDE w:val="0"/>
              <w:spacing w:before="100" w:beforeAutospacing="1" w:line="300" w:lineRule="exact"/>
              <w:jc w:val="center"/>
              <w:rPr>
                <w:rFonts w:ascii="宋体" w:hAnsi="宋体" w:eastAsia="宋体" w:cs="Times New Roman"/>
                <w:sz w:val="21"/>
                <w:szCs w:val="21"/>
              </w:rPr>
            </w:pPr>
          </w:p>
        </w:tc>
      </w:tr>
      <w:tr w14:paraId="2C5DE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BAFE9E1">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9FD436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5E61B52">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3B19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D4E9C2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C0AA02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19B4A63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5D3231">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BE06CB6">
            <w:pPr>
              <w:keepNext/>
              <w:autoSpaceDE w:val="0"/>
              <w:spacing w:before="100" w:beforeAutospacing="1" w:line="300" w:lineRule="exact"/>
              <w:jc w:val="center"/>
              <w:rPr>
                <w:rFonts w:ascii="宋体" w:hAnsi="宋体" w:eastAsia="宋体" w:cs="Times New Roman"/>
                <w:sz w:val="21"/>
                <w:szCs w:val="21"/>
              </w:rPr>
            </w:pPr>
          </w:p>
        </w:tc>
      </w:tr>
      <w:tr w14:paraId="3EF60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6E78710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799757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6EED3A4">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1D2678">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08BBAB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4981A2">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3F0A86C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FD1353E">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5620839">
            <w:pPr>
              <w:keepNext/>
              <w:autoSpaceDE w:val="0"/>
              <w:spacing w:before="100" w:beforeAutospacing="1" w:line="300" w:lineRule="exact"/>
              <w:jc w:val="center"/>
              <w:rPr>
                <w:rFonts w:ascii="宋体" w:hAnsi="宋体" w:eastAsia="宋体" w:cs="Times New Roman"/>
                <w:sz w:val="21"/>
                <w:szCs w:val="21"/>
              </w:rPr>
            </w:pPr>
          </w:p>
        </w:tc>
      </w:tr>
      <w:tr w14:paraId="56141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1FFB91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C6C337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4BDB984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88643B7">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439125F6">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2ECEFA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BB2A0F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1D0BEDC">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4FBF90CA">
            <w:pPr>
              <w:keepNext/>
              <w:autoSpaceDE w:val="0"/>
              <w:spacing w:before="100" w:beforeAutospacing="1" w:line="300" w:lineRule="exact"/>
              <w:jc w:val="center"/>
              <w:rPr>
                <w:rFonts w:ascii="宋体" w:hAnsi="宋体" w:eastAsia="宋体" w:cs="Times New Roman"/>
                <w:sz w:val="21"/>
                <w:szCs w:val="21"/>
              </w:rPr>
            </w:pPr>
          </w:p>
        </w:tc>
      </w:tr>
      <w:tr w14:paraId="151AA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6CC4503">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B64DF0C">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28AC00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1E9FDF1">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ADC180B">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3C147DC">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571E3694">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12F59D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F11CD5B">
            <w:pPr>
              <w:keepNext/>
              <w:autoSpaceDE w:val="0"/>
              <w:spacing w:before="100" w:beforeAutospacing="1" w:line="300" w:lineRule="exact"/>
              <w:jc w:val="center"/>
              <w:rPr>
                <w:rFonts w:ascii="宋体" w:hAnsi="宋体" w:eastAsia="宋体" w:cs="Times New Roman"/>
                <w:sz w:val="21"/>
                <w:szCs w:val="21"/>
              </w:rPr>
            </w:pPr>
          </w:p>
        </w:tc>
      </w:tr>
      <w:tr w14:paraId="3FF3F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4871DDAD">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A76A72">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804D138">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B8C211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9944759">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791937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27AB20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390591AA">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187EEB5B">
            <w:pPr>
              <w:keepNext/>
              <w:autoSpaceDE w:val="0"/>
              <w:spacing w:before="100" w:beforeAutospacing="1" w:line="300" w:lineRule="exact"/>
              <w:jc w:val="center"/>
              <w:rPr>
                <w:rFonts w:ascii="宋体" w:hAnsi="宋体" w:eastAsia="宋体" w:cs="Times New Roman"/>
                <w:sz w:val="21"/>
                <w:szCs w:val="21"/>
              </w:rPr>
            </w:pPr>
          </w:p>
        </w:tc>
      </w:tr>
      <w:tr w14:paraId="3B8DC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3C0456BA">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02F28AA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7EAD41">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055CCF3E">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AE4020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BAA381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79492A1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76413BCB">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84F1BE1">
            <w:pPr>
              <w:keepNext/>
              <w:autoSpaceDE w:val="0"/>
              <w:spacing w:before="100" w:beforeAutospacing="1" w:line="300" w:lineRule="exact"/>
              <w:jc w:val="center"/>
              <w:rPr>
                <w:rFonts w:ascii="宋体" w:hAnsi="宋体" w:eastAsia="宋体" w:cs="Times New Roman"/>
                <w:sz w:val="21"/>
                <w:szCs w:val="21"/>
              </w:rPr>
            </w:pPr>
          </w:p>
        </w:tc>
      </w:tr>
      <w:tr w14:paraId="0BE7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D5DB9EC">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FF86848">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4AA60191">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64EC749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B749959">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69B4A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5EF2B6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017C89">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53F3FE">
            <w:pPr>
              <w:autoSpaceDE w:val="0"/>
              <w:spacing w:line="300" w:lineRule="exact"/>
              <w:jc w:val="center"/>
              <w:rPr>
                <w:rFonts w:ascii="宋体" w:hAnsi="宋体" w:eastAsia="宋体" w:cs="Times New Roman"/>
                <w:sz w:val="21"/>
                <w:szCs w:val="21"/>
              </w:rPr>
            </w:pPr>
          </w:p>
        </w:tc>
      </w:tr>
      <w:tr w14:paraId="628CF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1C2BD22">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C7582C0">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23E87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34494FE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3AD5FDB0">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9630E51">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4FD4D11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CD1D1B0">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D60B2E5">
            <w:pPr>
              <w:keepNext/>
              <w:autoSpaceDE w:val="0"/>
              <w:spacing w:before="100" w:beforeAutospacing="1" w:line="300" w:lineRule="exact"/>
              <w:jc w:val="center"/>
              <w:rPr>
                <w:rFonts w:ascii="宋体" w:hAnsi="宋体" w:eastAsia="宋体" w:cs="Times New Roman"/>
                <w:sz w:val="21"/>
                <w:szCs w:val="21"/>
              </w:rPr>
            </w:pPr>
          </w:p>
        </w:tc>
      </w:tr>
      <w:tr w14:paraId="26FEB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10DC74EE">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A79401">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32D2530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C5A14EB">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E6918C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88AF791">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5E4AD3A">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81CCF37">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399B6B0">
            <w:pPr>
              <w:autoSpaceDE w:val="0"/>
              <w:spacing w:line="300" w:lineRule="exact"/>
              <w:jc w:val="center"/>
              <w:rPr>
                <w:rFonts w:ascii="宋体" w:hAnsi="宋体" w:eastAsia="宋体" w:cs="Times New Roman"/>
                <w:sz w:val="21"/>
                <w:szCs w:val="21"/>
              </w:rPr>
            </w:pPr>
          </w:p>
        </w:tc>
      </w:tr>
      <w:tr w14:paraId="1B875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07FD22">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1194EFD">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BC8A24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3D75DC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148A4EF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F80C0E4">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3063F7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53D81C5">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3C994EFB">
            <w:pPr>
              <w:autoSpaceDE w:val="0"/>
              <w:spacing w:line="300" w:lineRule="exact"/>
              <w:jc w:val="center"/>
              <w:rPr>
                <w:rFonts w:ascii="宋体" w:hAnsi="宋体" w:eastAsia="宋体" w:cs="Times New Roman"/>
                <w:sz w:val="21"/>
                <w:szCs w:val="21"/>
              </w:rPr>
            </w:pPr>
          </w:p>
        </w:tc>
      </w:tr>
      <w:tr w14:paraId="7E6D1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E5D784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5D4BE">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EECE5A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A124591">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B7389F2">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EECABB5">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C11699B">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5C197A2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6021B094">
            <w:pPr>
              <w:autoSpaceDE w:val="0"/>
              <w:spacing w:line="300" w:lineRule="exact"/>
              <w:jc w:val="center"/>
              <w:rPr>
                <w:rFonts w:ascii="宋体" w:hAnsi="宋体" w:eastAsia="宋体" w:cs="Times New Roman"/>
                <w:sz w:val="21"/>
                <w:szCs w:val="21"/>
              </w:rPr>
            </w:pPr>
          </w:p>
        </w:tc>
      </w:tr>
      <w:tr w14:paraId="1FFCB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35786607">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5B1B834">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0BDD71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2FA652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A49551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59D6742">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3C3E01E">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64E43D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75C231">
            <w:pPr>
              <w:autoSpaceDE w:val="0"/>
              <w:spacing w:line="300" w:lineRule="exact"/>
              <w:jc w:val="center"/>
              <w:rPr>
                <w:rFonts w:ascii="宋体" w:hAnsi="宋体" w:eastAsia="宋体" w:cs="Times New Roman"/>
                <w:sz w:val="21"/>
                <w:szCs w:val="21"/>
              </w:rPr>
            </w:pPr>
          </w:p>
        </w:tc>
      </w:tr>
      <w:tr w14:paraId="0DC0B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95DAC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99783B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76448726">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2CFA44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C4E1887">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CEBBDD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73B031F">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4604AE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EB2749E">
            <w:pPr>
              <w:autoSpaceDE w:val="0"/>
              <w:spacing w:line="300" w:lineRule="exact"/>
              <w:jc w:val="center"/>
              <w:rPr>
                <w:rFonts w:ascii="宋体" w:hAnsi="宋体" w:eastAsia="宋体" w:cs="Times New Roman"/>
                <w:sz w:val="21"/>
                <w:szCs w:val="21"/>
              </w:rPr>
            </w:pPr>
          </w:p>
        </w:tc>
      </w:tr>
      <w:tr w14:paraId="398A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27BFDE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B08781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04803A6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3D42F516">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023C77C">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F73CB10">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2B7E660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316F5B">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78BD4DD">
            <w:pPr>
              <w:autoSpaceDE w:val="0"/>
              <w:spacing w:line="300" w:lineRule="exact"/>
              <w:jc w:val="center"/>
              <w:rPr>
                <w:rFonts w:ascii="宋体" w:hAnsi="宋体" w:eastAsia="宋体" w:cs="Times New Roman"/>
                <w:sz w:val="21"/>
                <w:szCs w:val="21"/>
              </w:rPr>
            </w:pPr>
          </w:p>
        </w:tc>
      </w:tr>
      <w:tr w14:paraId="551FC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CB51AA6">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8143E6">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68B0FA2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4D5298CE">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2E665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47403DAC">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013758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79736A">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62319BD">
            <w:pPr>
              <w:autoSpaceDE w:val="0"/>
              <w:spacing w:line="300" w:lineRule="exact"/>
              <w:jc w:val="center"/>
              <w:rPr>
                <w:rFonts w:ascii="宋体" w:hAnsi="宋体" w:eastAsia="宋体" w:cs="Times New Roman"/>
                <w:sz w:val="21"/>
                <w:szCs w:val="21"/>
              </w:rPr>
            </w:pPr>
          </w:p>
        </w:tc>
      </w:tr>
      <w:tr w14:paraId="61ABE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033BC5B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2700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F067C84">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B025CC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AA789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88CD04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A9A437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137A7F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4563872D">
            <w:pPr>
              <w:autoSpaceDE w:val="0"/>
              <w:spacing w:line="300" w:lineRule="exact"/>
              <w:jc w:val="center"/>
              <w:rPr>
                <w:rFonts w:ascii="宋体" w:hAnsi="宋体" w:eastAsia="宋体" w:cs="Times New Roman"/>
                <w:sz w:val="21"/>
                <w:szCs w:val="21"/>
              </w:rPr>
            </w:pPr>
          </w:p>
        </w:tc>
      </w:tr>
      <w:tr w14:paraId="77AFC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12" w:space="0"/>
              <w:right w:val="single" w:color="auto" w:sz="6" w:space="0"/>
            </w:tcBorders>
          </w:tcPr>
          <w:p w14:paraId="2C86759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29420C7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tcPr>
          <w:p w14:paraId="029367AC">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12" w:space="0"/>
              <w:right w:val="single" w:color="auto" w:sz="6" w:space="0"/>
            </w:tcBorders>
          </w:tcPr>
          <w:p w14:paraId="0FDBECE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12" w:space="0"/>
              <w:right w:val="single" w:color="auto" w:sz="6" w:space="0"/>
            </w:tcBorders>
          </w:tcPr>
          <w:p w14:paraId="75B4B13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169CF8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12" w:space="0"/>
              <w:right w:val="single" w:color="auto" w:sz="6" w:space="0"/>
            </w:tcBorders>
          </w:tcPr>
          <w:p w14:paraId="7019710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A12F004">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12" w:space="0"/>
              <w:right w:val="single" w:color="auto" w:sz="12" w:space="0"/>
            </w:tcBorders>
          </w:tcPr>
          <w:p w14:paraId="11886B81">
            <w:pPr>
              <w:autoSpaceDE w:val="0"/>
              <w:spacing w:line="300" w:lineRule="exact"/>
              <w:jc w:val="center"/>
              <w:rPr>
                <w:rFonts w:ascii="宋体" w:hAnsi="宋体" w:eastAsia="宋体" w:cs="Times New Roman"/>
                <w:sz w:val="21"/>
                <w:szCs w:val="21"/>
              </w:rPr>
            </w:pPr>
          </w:p>
        </w:tc>
      </w:tr>
    </w:tbl>
    <w:p w14:paraId="0C1B1790">
      <w:pPr>
        <w:rPr>
          <w:rFonts w:ascii="宋体" w:hAnsi="宋体" w:eastAsia="宋体" w:cs="Times New Roman"/>
          <w:sz w:val="21"/>
          <w:szCs w:val="21"/>
        </w:rPr>
      </w:pPr>
      <w:r>
        <w:rPr>
          <w:rFonts w:hint="eastAsia" w:ascii="宋体" w:hAnsi="宋体" w:eastAsia="宋体" w:cs="Times New Roman"/>
          <w:sz w:val="21"/>
          <w:szCs w:val="21"/>
        </w:rPr>
        <w:br w:type="page"/>
      </w:r>
    </w:p>
    <w:p w14:paraId="638D09AD">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7" w:name="_Toc296891268"/>
      <w:bookmarkEnd w:id="1697"/>
      <w:bookmarkStart w:id="1698" w:name="_Toc296891056"/>
      <w:bookmarkEnd w:id="1698"/>
      <w:bookmarkStart w:id="1699" w:name="_Toc267261699"/>
      <w:bookmarkEnd w:id="1699"/>
      <w:bookmarkStart w:id="1700" w:name="_Toc296346729"/>
      <w:bookmarkEnd w:id="1700"/>
      <w:bookmarkStart w:id="1701" w:name="_Toc296944567"/>
      <w:bookmarkEnd w:id="1701"/>
      <w:bookmarkStart w:id="1702" w:name="_Toc296347227"/>
      <w:bookmarkEnd w:id="1702"/>
      <w:bookmarkStart w:id="1703" w:name="_Toc296503228"/>
      <w:r>
        <w:rPr>
          <w:rFonts w:hint="eastAsia" w:ascii="宋体" w:hAnsi="宋体" w:eastAsia="宋体" w:cs="Times New Roman"/>
          <w:sz w:val="21"/>
          <w:szCs w:val="21"/>
        </w:rPr>
        <w:t>件6：</w:t>
      </w:r>
      <w:bookmarkEnd w:id="1703"/>
    </w:p>
    <w:p w14:paraId="1E4D1F57">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93FE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vAlign w:val="center"/>
          </w:tcPr>
          <w:p w14:paraId="701E55E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48C915F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02CCA8D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256B842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712986C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4B5B5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vAlign w:val="center"/>
          </w:tcPr>
          <w:p w14:paraId="5E73349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6AB9C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0C0A94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0A19655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7CFDD4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556A4D1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06D00FBD">
            <w:pPr>
              <w:keepNext/>
              <w:autoSpaceDE w:val="0"/>
              <w:spacing w:before="100" w:beforeAutospacing="1" w:line="400" w:lineRule="exact"/>
              <w:jc w:val="center"/>
              <w:rPr>
                <w:rFonts w:ascii="宋体" w:hAnsi="宋体" w:eastAsia="宋体" w:cs="Times New Roman"/>
                <w:sz w:val="21"/>
                <w:szCs w:val="21"/>
              </w:rPr>
            </w:pPr>
          </w:p>
        </w:tc>
      </w:tr>
      <w:tr w14:paraId="73BDE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75DA0D3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4F6971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4E0791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08FAE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CD70C7B">
            <w:pPr>
              <w:keepNext/>
              <w:autoSpaceDE w:val="0"/>
              <w:spacing w:before="100" w:beforeAutospacing="1" w:line="400" w:lineRule="exact"/>
              <w:jc w:val="center"/>
              <w:rPr>
                <w:rFonts w:ascii="宋体" w:hAnsi="宋体" w:eastAsia="宋体" w:cs="Times New Roman"/>
                <w:sz w:val="21"/>
                <w:szCs w:val="21"/>
              </w:rPr>
            </w:pPr>
          </w:p>
        </w:tc>
      </w:tr>
      <w:tr w14:paraId="6F32B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029CA2B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E5141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E6162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CA94314">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263AA5C">
            <w:pPr>
              <w:keepNext/>
              <w:autoSpaceDE w:val="0"/>
              <w:spacing w:before="100" w:beforeAutospacing="1" w:line="400" w:lineRule="exact"/>
              <w:jc w:val="center"/>
              <w:rPr>
                <w:rFonts w:ascii="宋体" w:hAnsi="宋体" w:eastAsia="宋体" w:cs="Times New Roman"/>
                <w:sz w:val="21"/>
                <w:szCs w:val="21"/>
              </w:rPr>
            </w:pPr>
          </w:p>
        </w:tc>
      </w:tr>
      <w:tr w14:paraId="2D9B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77DCE2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754D5F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F269D3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6DDC0">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2A61E6A">
            <w:pPr>
              <w:keepNext/>
              <w:autoSpaceDE w:val="0"/>
              <w:spacing w:before="100" w:beforeAutospacing="1" w:line="400" w:lineRule="exact"/>
              <w:jc w:val="center"/>
              <w:rPr>
                <w:rFonts w:ascii="宋体" w:hAnsi="宋体" w:eastAsia="宋体" w:cs="Times New Roman"/>
                <w:sz w:val="21"/>
                <w:szCs w:val="21"/>
              </w:rPr>
            </w:pPr>
          </w:p>
        </w:tc>
      </w:tr>
      <w:tr w14:paraId="796F2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70EEF1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13F38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F3065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513425F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2667C4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E84C03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34DDBD2">
            <w:pPr>
              <w:keepNext/>
              <w:autoSpaceDE w:val="0"/>
              <w:spacing w:before="100" w:beforeAutospacing="1" w:line="400" w:lineRule="exact"/>
              <w:jc w:val="center"/>
              <w:rPr>
                <w:rFonts w:ascii="宋体" w:hAnsi="宋体" w:eastAsia="宋体" w:cs="Times New Roman"/>
                <w:sz w:val="21"/>
                <w:szCs w:val="21"/>
              </w:rPr>
            </w:pPr>
          </w:p>
        </w:tc>
      </w:tr>
      <w:tr w14:paraId="0E20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4D3E89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5477C58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4AC45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67E51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7B1D3D15">
            <w:pPr>
              <w:keepNext/>
              <w:autoSpaceDE w:val="0"/>
              <w:spacing w:before="100" w:beforeAutospacing="1" w:line="400" w:lineRule="exact"/>
              <w:jc w:val="center"/>
              <w:rPr>
                <w:rFonts w:ascii="宋体" w:hAnsi="宋体" w:eastAsia="宋体" w:cs="Times New Roman"/>
                <w:sz w:val="21"/>
                <w:szCs w:val="21"/>
              </w:rPr>
            </w:pPr>
          </w:p>
        </w:tc>
      </w:tr>
      <w:tr w14:paraId="15A54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90162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26D96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297D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AB9B39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67A313E">
            <w:pPr>
              <w:keepNext/>
              <w:autoSpaceDE w:val="0"/>
              <w:spacing w:before="100" w:beforeAutospacing="1" w:line="400" w:lineRule="exact"/>
              <w:jc w:val="center"/>
              <w:rPr>
                <w:rFonts w:ascii="宋体" w:hAnsi="宋体" w:eastAsia="宋体" w:cs="Times New Roman"/>
                <w:sz w:val="21"/>
                <w:szCs w:val="21"/>
              </w:rPr>
            </w:pPr>
          </w:p>
        </w:tc>
      </w:tr>
      <w:tr w14:paraId="7A909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FE970F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1E3D042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DD9FF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6DD4B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A502E60">
            <w:pPr>
              <w:keepNext/>
              <w:autoSpaceDE w:val="0"/>
              <w:spacing w:before="100" w:beforeAutospacing="1" w:line="400" w:lineRule="exact"/>
              <w:jc w:val="center"/>
              <w:rPr>
                <w:rFonts w:ascii="宋体" w:hAnsi="宋体" w:eastAsia="宋体" w:cs="Times New Roman"/>
                <w:sz w:val="21"/>
                <w:szCs w:val="21"/>
              </w:rPr>
            </w:pPr>
          </w:p>
        </w:tc>
      </w:tr>
      <w:tr w14:paraId="1D5C7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E220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3D783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BA7E8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85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3240FA9">
            <w:pPr>
              <w:keepNext/>
              <w:autoSpaceDE w:val="0"/>
              <w:spacing w:before="100" w:beforeAutospacing="1" w:line="400" w:lineRule="exact"/>
              <w:jc w:val="center"/>
              <w:rPr>
                <w:rFonts w:ascii="宋体" w:hAnsi="宋体" w:eastAsia="宋体" w:cs="Times New Roman"/>
                <w:sz w:val="21"/>
                <w:szCs w:val="21"/>
              </w:rPr>
            </w:pPr>
          </w:p>
        </w:tc>
      </w:tr>
      <w:tr w14:paraId="21A66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0046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8D174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B4EB63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51FED6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2FF9F2F">
            <w:pPr>
              <w:keepNext/>
              <w:autoSpaceDE w:val="0"/>
              <w:spacing w:before="100" w:beforeAutospacing="1" w:line="400" w:lineRule="exact"/>
              <w:jc w:val="center"/>
              <w:rPr>
                <w:rFonts w:ascii="宋体" w:hAnsi="宋体" w:eastAsia="宋体" w:cs="Times New Roman"/>
                <w:sz w:val="21"/>
                <w:szCs w:val="21"/>
              </w:rPr>
            </w:pPr>
          </w:p>
        </w:tc>
      </w:tr>
      <w:tr w14:paraId="69195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551995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39D54E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4784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EFBE74E">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D8DBEFB">
            <w:pPr>
              <w:keepNext/>
              <w:autoSpaceDE w:val="0"/>
              <w:spacing w:before="100" w:beforeAutospacing="1" w:line="400" w:lineRule="exact"/>
              <w:jc w:val="center"/>
              <w:rPr>
                <w:rFonts w:ascii="宋体" w:hAnsi="宋体" w:eastAsia="宋体" w:cs="Times New Roman"/>
                <w:sz w:val="21"/>
                <w:szCs w:val="21"/>
              </w:rPr>
            </w:pPr>
          </w:p>
        </w:tc>
      </w:tr>
      <w:tr w14:paraId="1ACD2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DA2792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5FE357D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19E37F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A176D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4774AD">
            <w:pPr>
              <w:keepNext/>
              <w:autoSpaceDE w:val="0"/>
              <w:spacing w:before="100" w:beforeAutospacing="1" w:line="400" w:lineRule="exact"/>
              <w:jc w:val="center"/>
              <w:rPr>
                <w:rFonts w:ascii="宋体" w:hAnsi="宋体" w:eastAsia="宋体" w:cs="Times New Roman"/>
                <w:sz w:val="21"/>
                <w:szCs w:val="21"/>
              </w:rPr>
            </w:pPr>
          </w:p>
        </w:tc>
      </w:tr>
      <w:tr w14:paraId="4DE32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vAlign w:val="center"/>
          </w:tcPr>
          <w:p w14:paraId="6454EB8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458782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EBA96C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629EB6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1E00C03">
            <w:pPr>
              <w:keepNext/>
              <w:autoSpaceDE w:val="0"/>
              <w:spacing w:before="100" w:beforeAutospacing="1" w:line="400" w:lineRule="exact"/>
              <w:jc w:val="center"/>
              <w:rPr>
                <w:rFonts w:ascii="宋体" w:hAnsi="宋体" w:eastAsia="宋体" w:cs="Times New Roman"/>
                <w:sz w:val="21"/>
                <w:szCs w:val="21"/>
              </w:rPr>
            </w:pPr>
          </w:p>
        </w:tc>
      </w:tr>
      <w:tr w14:paraId="7D35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76E24E2">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1B60F25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044A0DF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74B006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01387566">
            <w:pPr>
              <w:keepNext/>
              <w:autoSpaceDE w:val="0"/>
              <w:spacing w:before="100" w:beforeAutospacing="1" w:line="400" w:lineRule="exact"/>
              <w:jc w:val="center"/>
              <w:rPr>
                <w:rFonts w:ascii="宋体" w:hAnsi="宋体" w:eastAsia="宋体" w:cs="Times New Roman"/>
                <w:sz w:val="21"/>
                <w:szCs w:val="21"/>
              </w:rPr>
            </w:pPr>
          </w:p>
        </w:tc>
      </w:tr>
      <w:tr w14:paraId="532E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0FCD6AB">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C3EA3D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B02E0D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26165E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D67B667">
            <w:pPr>
              <w:keepNext/>
              <w:autoSpaceDE w:val="0"/>
              <w:spacing w:before="100" w:beforeAutospacing="1" w:line="400" w:lineRule="exact"/>
              <w:jc w:val="center"/>
              <w:rPr>
                <w:rFonts w:ascii="宋体" w:hAnsi="宋体" w:eastAsia="宋体" w:cs="Times New Roman"/>
                <w:sz w:val="21"/>
                <w:szCs w:val="21"/>
              </w:rPr>
            </w:pPr>
          </w:p>
        </w:tc>
      </w:tr>
      <w:tr w14:paraId="372CC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685B4C86">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57DE58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6AB5DD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E935AA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7EDFA1">
            <w:pPr>
              <w:keepNext/>
              <w:autoSpaceDE w:val="0"/>
              <w:spacing w:before="100" w:beforeAutospacing="1" w:line="400" w:lineRule="exact"/>
              <w:jc w:val="center"/>
              <w:rPr>
                <w:rFonts w:ascii="宋体" w:hAnsi="宋体" w:eastAsia="宋体" w:cs="Times New Roman"/>
                <w:sz w:val="21"/>
                <w:szCs w:val="21"/>
              </w:rPr>
            </w:pPr>
          </w:p>
        </w:tc>
      </w:tr>
      <w:tr w14:paraId="1133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62E8C3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D8C750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F53DED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D5C0CE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6110D3F">
            <w:pPr>
              <w:keepNext/>
              <w:autoSpaceDE w:val="0"/>
              <w:spacing w:before="100" w:beforeAutospacing="1" w:line="400" w:lineRule="exact"/>
              <w:jc w:val="center"/>
              <w:rPr>
                <w:rFonts w:ascii="宋体" w:hAnsi="宋体" w:eastAsia="宋体" w:cs="Times New Roman"/>
                <w:sz w:val="21"/>
                <w:szCs w:val="21"/>
              </w:rPr>
            </w:pPr>
          </w:p>
        </w:tc>
      </w:tr>
      <w:tr w14:paraId="3DB0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5B16AE41">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613AD3A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64A6BF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7825A1A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1CD8DAFB">
            <w:pPr>
              <w:keepNext/>
              <w:autoSpaceDE w:val="0"/>
              <w:spacing w:before="100" w:beforeAutospacing="1" w:line="400" w:lineRule="exact"/>
              <w:jc w:val="center"/>
              <w:rPr>
                <w:rFonts w:ascii="宋体" w:hAnsi="宋体" w:eastAsia="宋体" w:cs="Times New Roman"/>
                <w:sz w:val="21"/>
                <w:szCs w:val="21"/>
              </w:rPr>
            </w:pPr>
          </w:p>
        </w:tc>
      </w:tr>
    </w:tbl>
    <w:p w14:paraId="64DA1BF2">
      <w:pPr>
        <w:rPr>
          <w:rFonts w:ascii="宋体" w:hAnsi="宋体" w:eastAsia="宋体" w:cs="Times New Roman"/>
          <w:sz w:val="21"/>
          <w:szCs w:val="21"/>
        </w:rPr>
      </w:pPr>
      <w:r>
        <w:rPr>
          <w:rFonts w:hint="eastAsia" w:ascii="宋体" w:hAnsi="宋体" w:eastAsia="宋体" w:cs="Times New Roman"/>
          <w:sz w:val="21"/>
          <w:szCs w:val="21"/>
        </w:rPr>
        <w:br w:type="page"/>
      </w:r>
    </w:p>
    <w:p w14:paraId="72D271BA">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704" w:name="_Toc296891057"/>
      <w:bookmarkEnd w:id="1704"/>
      <w:bookmarkStart w:id="1705" w:name="_Toc296347228"/>
      <w:bookmarkEnd w:id="1705"/>
      <w:bookmarkStart w:id="1706" w:name="_Toc296346730"/>
      <w:bookmarkEnd w:id="1706"/>
      <w:bookmarkStart w:id="1707" w:name="_Toc296944568"/>
      <w:bookmarkEnd w:id="1707"/>
      <w:bookmarkStart w:id="1708" w:name="_Toc296503229"/>
      <w:bookmarkEnd w:id="1708"/>
      <w:bookmarkStart w:id="1709" w:name="_Toc296891269"/>
      <w:r>
        <w:rPr>
          <w:rFonts w:hint="eastAsia" w:ascii="宋体" w:hAnsi="宋体" w:eastAsia="宋体" w:cs="Times New Roman"/>
          <w:sz w:val="21"/>
          <w:szCs w:val="21"/>
        </w:rPr>
        <w:t>件7：</w:t>
      </w:r>
      <w:bookmarkEnd w:id="1709"/>
    </w:p>
    <w:p w14:paraId="5EBCB92B">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分包人主要施工管理人员表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5BB9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left w:val="single" w:color="auto" w:sz="12" w:space="0"/>
              <w:bottom w:val="double" w:color="auto" w:sz="2" w:space="0"/>
              <w:right w:val="single" w:color="auto" w:sz="6" w:space="0"/>
            </w:tcBorders>
            <w:vAlign w:val="center"/>
          </w:tcPr>
          <w:p w14:paraId="14620863">
            <w:pPr>
              <w:keepNext/>
              <w:autoSpaceDE w:val="0"/>
              <w:spacing w:before="100" w:beforeAutospacing="1" w:line="400" w:lineRule="exact"/>
              <w:jc w:val="center"/>
              <w:rPr>
                <w:rFonts w:ascii="宋体" w:hAnsi="宋体" w:eastAsia="宋体" w:cs="Times New Roman"/>
                <w:sz w:val="21"/>
                <w:szCs w:val="21"/>
              </w:rPr>
            </w:pPr>
            <w:bookmarkStart w:id="1710" w:name="_Toc267261701"/>
            <w:bookmarkEnd w:id="1710"/>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0519BE7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32601F2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4B3905C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488B036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73EC3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2" w:space="0"/>
              <w:left w:val="single" w:color="auto" w:sz="12" w:space="0"/>
              <w:bottom w:val="single" w:color="auto" w:sz="6" w:space="0"/>
              <w:right w:val="single" w:color="auto" w:sz="12" w:space="0"/>
            </w:tcBorders>
            <w:vAlign w:val="center"/>
          </w:tcPr>
          <w:p w14:paraId="0A1ED16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723E8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D31D5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1A979F6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CBB3CF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29CD86F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49BEF848">
            <w:pPr>
              <w:keepNext/>
              <w:autoSpaceDE w:val="0"/>
              <w:spacing w:before="100" w:beforeAutospacing="1" w:line="400" w:lineRule="exact"/>
              <w:jc w:val="center"/>
              <w:rPr>
                <w:rFonts w:ascii="宋体" w:hAnsi="宋体" w:eastAsia="宋体" w:cs="Times New Roman"/>
                <w:sz w:val="21"/>
                <w:szCs w:val="21"/>
              </w:rPr>
            </w:pPr>
          </w:p>
        </w:tc>
      </w:tr>
      <w:tr w14:paraId="05484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nil"/>
              <w:right w:val="single" w:color="auto" w:sz="6" w:space="0"/>
            </w:tcBorders>
            <w:vAlign w:val="center"/>
          </w:tcPr>
          <w:p w14:paraId="0F7B0022">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D1098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61733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C28D2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8A6C29F">
            <w:pPr>
              <w:keepNext/>
              <w:autoSpaceDE w:val="0"/>
              <w:spacing w:before="100" w:beforeAutospacing="1" w:line="400" w:lineRule="exact"/>
              <w:jc w:val="center"/>
              <w:rPr>
                <w:rFonts w:ascii="宋体" w:hAnsi="宋体" w:eastAsia="宋体" w:cs="Times New Roman"/>
                <w:sz w:val="21"/>
                <w:szCs w:val="21"/>
              </w:rPr>
            </w:pPr>
          </w:p>
        </w:tc>
      </w:tr>
      <w:tr w14:paraId="50A7D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5F68090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4D4A1B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CF40F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96F46B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EA1A53">
            <w:pPr>
              <w:keepNext/>
              <w:autoSpaceDE w:val="0"/>
              <w:spacing w:before="100" w:beforeAutospacing="1" w:line="400" w:lineRule="exact"/>
              <w:jc w:val="center"/>
              <w:rPr>
                <w:rFonts w:ascii="宋体" w:hAnsi="宋体" w:eastAsia="宋体" w:cs="Times New Roman"/>
                <w:sz w:val="21"/>
                <w:szCs w:val="21"/>
              </w:rPr>
            </w:pPr>
          </w:p>
        </w:tc>
      </w:tr>
      <w:tr w14:paraId="6DAE7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55161A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A7F532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8ACB1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741CE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D4FDB0B">
            <w:pPr>
              <w:keepNext/>
              <w:autoSpaceDE w:val="0"/>
              <w:spacing w:before="100" w:beforeAutospacing="1" w:line="400" w:lineRule="exact"/>
              <w:jc w:val="center"/>
              <w:rPr>
                <w:rFonts w:ascii="宋体" w:hAnsi="宋体" w:eastAsia="宋体" w:cs="Times New Roman"/>
                <w:sz w:val="21"/>
                <w:szCs w:val="21"/>
              </w:rPr>
            </w:pPr>
          </w:p>
        </w:tc>
      </w:tr>
      <w:tr w14:paraId="691F7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left w:val="single" w:color="auto" w:sz="12" w:space="0"/>
              <w:bottom w:val="single" w:color="auto" w:sz="6" w:space="0"/>
              <w:right w:val="single" w:color="auto" w:sz="12" w:space="0"/>
            </w:tcBorders>
            <w:vAlign w:val="center"/>
          </w:tcPr>
          <w:p w14:paraId="6EA84C3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6A37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9D365B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0A0FE9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CFF79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4DEE1E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822F64">
            <w:pPr>
              <w:keepNext/>
              <w:autoSpaceDE w:val="0"/>
              <w:spacing w:before="100" w:beforeAutospacing="1" w:line="400" w:lineRule="exact"/>
              <w:jc w:val="center"/>
              <w:rPr>
                <w:rFonts w:ascii="宋体" w:hAnsi="宋体" w:eastAsia="宋体" w:cs="Times New Roman"/>
                <w:sz w:val="21"/>
                <w:szCs w:val="21"/>
              </w:rPr>
            </w:pPr>
          </w:p>
        </w:tc>
      </w:tr>
      <w:tr w14:paraId="2830F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41F3DC0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CABB3FD">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3C1827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89E7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C4FFAD2">
            <w:pPr>
              <w:keepNext/>
              <w:autoSpaceDE w:val="0"/>
              <w:spacing w:before="100" w:beforeAutospacing="1" w:line="400" w:lineRule="exact"/>
              <w:jc w:val="center"/>
              <w:rPr>
                <w:rFonts w:ascii="宋体" w:hAnsi="宋体" w:eastAsia="宋体" w:cs="Times New Roman"/>
                <w:sz w:val="21"/>
                <w:szCs w:val="21"/>
              </w:rPr>
            </w:pPr>
          </w:p>
        </w:tc>
      </w:tr>
      <w:tr w14:paraId="76099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C1AA89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54576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01EBCF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5F5E6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55D2E8E">
            <w:pPr>
              <w:keepNext/>
              <w:autoSpaceDE w:val="0"/>
              <w:spacing w:before="100" w:beforeAutospacing="1" w:line="400" w:lineRule="exact"/>
              <w:jc w:val="center"/>
              <w:rPr>
                <w:rFonts w:ascii="宋体" w:hAnsi="宋体" w:eastAsia="宋体" w:cs="Times New Roman"/>
                <w:sz w:val="21"/>
                <w:szCs w:val="21"/>
              </w:rPr>
            </w:pPr>
          </w:p>
        </w:tc>
      </w:tr>
      <w:tr w14:paraId="536E8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9F89AB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6132AC3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DC268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61A893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F1CAEE">
            <w:pPr>
              <w:keepNext/>
              <w:autoSpaceDE w:val="0"/>
              <w:spacing w:before="100" w:beforeAutospacing="1" w:line="400" w:lineRule="exact"/>
              <w:jc w:val="center"/>
              <w:rPr>
                <w:rFonts w:ascii="宋体" w:hAnsi="宋体" w:eastAsia="宋体" w:cs="Times New Roman"/>
                <w:sz w:val="21"/>
                <w:szCs w:val="21"/>
              </w:rPr>
            </w:pPr>
          </w:p>
        </w:tc>
      </w:tr>
      <w:tr w14:paraId="4F847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86FD79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0A88B0B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C56D1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AAB763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97468FF">
            <w:pPr>
              <w:keepNext/>
              <w:autoSpaceDE w:val="0"/>
              <w:spacing w:before="100" w:beforeAutospacing="1" w:line="400" w:lineRule="exact"/>
              <w:jc w:val="center"/>
              <w:rPr>
                <w:rFonts w:ascii="宋体" w:hAnsi="宋体" w:eastAsia="宋体" w:cs="Times New Roman"/>
                <w:sz w:val="21"/>
                <w:szCs w:val="21"/>
              </w:rPr>
            </w:pPr>
          </w:p>
        </w:tc>
      </w:tr>
      <w:tr w14:paraId="3F6CF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655612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481A4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92D80C">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803E91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279687F">
            <w:pPr>
              <w:keepNext/>
              <w:autoSpaceDE w:val="0"/>
              <w:spacing w:before="100" w:beforeAutospacing="1" w:line="400" w:lineRule="exact"/>
              <w:jc w:val="center"/>
              <w:rPr>
                <w:rFonts w:ascii="宋体" w:hAnsi="宋体" w:eastAsia="宋体" w:cs="Times New Roman"/>
                <w:sz w:val="21"/>
                <w:szCs w:val="21"/>
              </w:rPr>
            </w:pPr>
          </w:p>
        </w:tc>
      </w:tr>
      <w:tr w14:paraId="030D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C3C76B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9177C3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2B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2094F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F26BF6">
            <w:pPr>
              <w:keepNext/>
              <w:autoSpaceDE w:val="0"/>
              <w:spacing w:before="100" w:beforeAutospacing="1" w:line="400" w:lineRule="exact"/>
              <w:jc w:val="center"/>
              <w:rPr>
                <w:rFonts w:ascii="宋体" w:hAnsi="宋体" w:eastAsia="宋体" w:cs="Times New Roman"/>
                <w:sz w:val="21"/>
                <w:szCs w:val="21"/>
              </w:rPr>
            </w:pPr>
          </w:p>
        </w:tc>
      </w:tr>
      <w:tr w14:paraId="1C67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74A407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480500E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22F47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879D2F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BAEA434">
            <w:pPr>
              <w:keepNext/>
              <w:autoSpaceDE w:val="0"/>
              <w:spacing w:before="100" w:beforeAutospacing="1" w:line="400" w:lineRule="exact"/>
              <w:jc w:val="center"/>
              <w:rPr>
                <w:rFonts w:ascii="宋体" w:hAnsi="宋体" w:eastAsia="宋体" w:cs="Times New Roman"/>
                <w:sz w:val="21"/>
                <w:szCs w:val="21"/>
              </w:rPr>
            </w:pPr>
          </w:p>
        </w:tc>
      </w:tr>
      <w:tr w14:paraId="570AA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nil"/>
              <w:left w:val="single" w:color="auto" w:sz="12" w:space="0"/>
              <w:bottom w:val="single" w:color="auto" w:sz="6" w:space="0"/>
              <w:right w:val="single" w:color="auto" w:sz="6" w:space="0"/>
            </w:tcBorders>
            <w:vAlign w:val="center"/>
          </w:tcPr>
          <w:p w14:paraId="25E1278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C2BE9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A5931E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7CC9DDD">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3F6293B6">
            <w:pPr>
              <w:keepNext/>
              <w:autoSpaceDE w:val="0"/>
              <w:spacing w:before="100" w:beforeAutospacing="1" w:line="400" w:lineRule="exact"/>
              <w:jc w:val="center"/>
              <w:rPr>
                <w:rFonts w:ascii="宋体" w:hAnsi="宋体" w:eastAsia="宋体" w:cs="Times New Roman"/>
                <w:sz w:val="21"/>
                <w:szCs w:val="21"/>
              </w:rPr>
            </w:pPr>
          </w:p>
        </w:tc>
      </w:tr>
      <w:tr w14:paraId="00640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2BC7C12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39557FD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EE7E5A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450C3C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5EF61641">
            <w:pPr>
              <w:keepNext/>
              <w:autoSpaceDE w:val="0"/>
              <w:spacing w:before="100" w:beforeAutospacing="1" w:line="400" w:lineRule="exact"/>
              <w:jc w:val="center"/>
              <w:rPr>
                <w:rFonts w:ascii="宋体" w:hAnsi="宋体" w:eastAsia="宋体" w:cs="Times New Roman"/>
                <w:sz w:val="21"/>
                <w:szCs w:val="21"/>
              </w:rPr>
            </w:pPr>
          </w:p>
        </w:tc>
      </w:tr>
      <w:tr w14:paraId="33DC2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3B8E2B0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17B6E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E6BCE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1C93D5">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54D5F99E">
            <w:pPr>
              <w:keepNext/>
              <w:autoSpaceDE w:val="0"/>
              <w:spacing w:before="100" w:beforeAutospacing="1" w:line="400" w:lineRule="exact"/>
              <w:jc w:val="center"/>
              <w:rPr>
                <w:rFonts w:ascii="宋体" w:hAnsi="宋体" w:eastAsia="宋体" w:cs="Times New Roman"/>
                <w:sz w:val="21"/>
                <w:szCs w:val="21"/>
              </w:rPr>
            </w:pPr>
          </w:p>
        </w:tc>
      </w:tr>
      <w:tr w14:paraId="79028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6F5EB75D">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D7D65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00BC0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098F7">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59055F">
            <w:pPr>
              <w:keepNext/>
              <w:autoSpaceDE w:val="0"/>
              <w:spacing w:before="100" w:beforeAutospacing="1" w:line="400" w:lineRule="exact"/>
              <w:jc w:val="center"/>
              <w:rPr>
                <w:rFonts w:ascii="宋体" w:hAnsi="宋体" w:eastAsia="宋体" w:cs="Times New Roman"/>
                <w:sz w:val="21"/>
                <w:szCs w:val="21"/>
              </w:rPr>
            </w:pPr>
          </w:p>
        </w:tc>
      </w:tr>
      <w:tr w14:paraId="6789D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43F7F48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58FA5F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C452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E19A0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551EDDF">
            <w:pPr>
              <w:keepNext/>
              <w:autoSpaceDE w:val="0"/>
              <w:spacing w:before="100" w:beforeAutospacing="1" w:line="400" w:lineRule="exact"/>
              <w:jc w:val="center"/>
              <w:rPr>
                <w:rFonts w:ascii="宋体" w:hAnsi="宋体" w:eastAsia="宋体" w:cs="Times New Roman"/>
                <w:sz w:val="21"/>
                <w:szCs w:val="21"/>
              </w:rPr>
            </w:pPr>
          </w:p>
        </w:tc>
      </w:tr>
      <w:tr w14:paraId="7B4E6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56851DA0">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59B1ECC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360EE6A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1A25BFB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30AF9D16">
            <w:pPr>
              <w:keepNext/>
              <w:autoSpaceDE w:val="0"/>
              <w:spacing w:before="100" w:beforeAutospacing="1" w:line="400" w:lineRule="exact"/>
              <w:jc w:val="center"/>
              <w:rPr>
                <w:rFonts w:ascii="宋体" w:hAnsi="宋体" w:eastAsia="宋体" w:cs="Times New Roman"/>
                <w:sz w:val="21"/>
                <w:szCs w:val="21"/>
              </w:rPr>
            </w:pPr>
          </w:p>
        </w:tc>
      </w:tr>
    </w:tbl>
    <w:p w14:paraId="05B59D4D">
      <w:pPr>
        <w:rPr>
          <w:rFonts w:ascii="宋体" w:hAnsi="宋体" w:eastAsia="宋体" w:cs="Times New Roman"/>
          <w:sz w:val="21"/>
          <w:szCs w:val="21"/>
        </w:rPr>
      </w:pPr>
      <w:r>
        <w:rPr>
          <w:rFonts w:hint="eastAsia" w:ascii="宋体" w:hAnsi="宋体" w:eastAsia="宋体" w:cs="Times New Roman"/>
          <w:sz w:val="21"/>
          <w:szCs w:val="21"/>
        </w:rPr>
        <w:br w:type="page"/>
      </w:r>
    </w:p>
    <w:p w14:paraId="4EDD7BB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1" w:name="_Toc296503231"/>
      <w:bookmarkEnd w:id="1711"/>
      <w:bookmarkStart w:id="1712" w:name="_Toc296944570"/>
      <w:bookmarkEnd w:id="1712"/>
      <w:bookmarkStart w:id="1713" w:name="_Toc296347230"/>
      <w:bookmarkEnd w:id="1713"/>
      <w:bookmarkStart w:id="1714" w:name="_Toc296346732"/>
      <w:bookmarkEnd w:id="1714"/>
      <w:bookmarkStart w:id="1715" w:name="_Toc296891059"/>
      <w:bookmarkEnd w:id="1715"/>
      <w:bookmarkStart w:id="1716" w:name="_Toc296891271"/>
      <w:r>
        <w:rPr>
          <w:rFonts w:hint="eastAsia" w:ascii="宋体" w:hAnsi="宋体" w:eastAsia="宋体" w:cs="Times New Roman"/>
          <w:sz w:val="21"/>
          <w:szCs w:val="21"/>
        </w:rPr>
        <w:t>件8：</w:t>
      </w:r>
      <w:bookmarkEnd w:id="1716"/>
    </w:p>
    <w:p w14:paraId="2DAF3FC6">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履约担保</w:t>
      </w:r>
    </w:p>
    <w:p w14:paraId="6219551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u w:val="single"/>
        </w:rPr>
        <w:tab/>
      </w:r>
      <w:r>
        <w:rPr>
          <w:rFonts w:hint="eastAsia" w:ascii="宋体" w:hAnsi="宋体" w:eastAsia="宋体" w:cs="Times New Roman"/>
          <w:sz w:val="21"/>
          <w:szCs w:val="21"/>
        </w:rPr>
        <w:t>（发包人名称）：</w:t>
      </w:r>
    </w:p>
    <w:p w14:paraId="1400EF3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BAE4B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鉴于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（发包人名称，以下简称“发包人”）与</w:t>
      </w:r>
    </w:p>
    <w:p w14:paraId="1D1757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（承包人名称）（以下称“承包人”）于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（工程名称）施工及有关事项协商一致共同签订《建设工程施工合同》。我方愿意无条件地、不可撤销地就承包人履行与你方签订的合同，向你方提供连带责任担保。</w:t>
      </w:r>
    </w:p>
    <w:p w14:paraId="33FAFF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 担保金额人民币（大写）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EBF1D3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 担保有效期自你方与承包人签订的合同生效之日起至你方签发或应签发工程接收证书之日止。</w:t>
      </w:r>
    </w:p>
    <w:p w14:paraId="2CB70D9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 在本担保有效期内，因承包人违反合同约定的义务给你方造成经济损失时，我方在收到你方以书面形式提出的在担保金额内的赔偿要求后，在7天内无条件支付。</w:t>
      </w:r>
    </w:p>
    <w:p w14:paraId="364253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 你方和承包人按合同约定变更合同时，我方承担本担保规定的义务不变。</w:t>
      </w:r>
    </w:p>
    <w:p w14:paraId="3768D3D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 因本保函发生的纠纷，可由双方协商解决，协商不成的，任何一方均可提请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仲裁委员会仲裁。</w:t>
      </w:r>
    </w:p>
    <w:p w14:paraId="3FB8228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 本保函自我方法定代表人（或其授权代理人）签名并加盖公章之日起生效。</w:t>
      </w:r>
    </w:p>
    <w:p w14:paraId="72402FC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A8E7BA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担 保 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（盖单位章）</w:t>
      </w:r>
    </w:p>
    <w:p w14:paraId="5834875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（签名）</w:t>
      </w:r>
    </w:p>
    <w:p w14:paraId="400E877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w:t>
      </w:r>
    </w:p>
    <w:p w14:paraId="247DB75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w:t>
      </w:r>
    </w:p>
    <w:p w14:paraId="2FBD13D4">
      <w:pPr>
        <w:autoSpaceDE w:val="0"/>
        <w:spacing w:line="360" w:lineRule="auto"/>
        <w:rPr>
          <w:rFonts w:ascii="宋体" w:hAnsi="宋体" w:eastAsia="宋体" w:cs="Times New Roman"/>
          <w:sz w:val="21"/>
          <w:szCs w:val="21"/>
          <w:u w:val="single"/>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p>
    <w:p w14:paraId="4798DD4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p>
    <w:p w14:paraId="31F9B801">
      <w:pPr>
        <w:autoSpaceDE w:val="0"/>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w:t>
      </w:r>
    </w:p>
    <w:p w14:paraId="496FACB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w:t>
      </w:r>
    </w:p>
    <w:p w14:paraId="6AE6CA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E8ECBA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br w:type="page"/>
      </w:r>
    </w:p>
    <w:p w14:paraId="2E75389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7" w:name="_Toc296891272"/>
      <w:bookmarkEnd w:id="1717"/>
      <w:bookmarkStart w:id="1718" w:name="_Toc296503232"/>
      <w:bookmarkEnd w:id="1718"/>
      <w:bookmarkStart w:id="1719" w:name="_Toc296346733"/>
      <w:bookmarkEnd w:id="1719"/>
      <w:bookmarkStart w:id="1720" w:name="_Toc296891060"/>
      <w:bookmarkEnd w:id="1720"/>
      <w:bookmarkStart w:id="1721" w:name="_Toc296944571"/>
      <w:bookmarkEnd w:id="1721"/>
      <w:bookmarkStart w:id="1722" w:name="_Toc296347231"/>
      <w:bookmarkEnd w:id="1722"/>
      <w:bookmarkStart w:id="1723" w:name="_Toc267261702"/>
      <w:r>
        <w:rPr>
          <w:rFonts w:hint="eastAsia" w:ascii="宋体" w:hAnsi="宋体" w:eastAsia="宋体" w:cs="Times New Roman"/>
          <w:sz w:val="21"/>
          <w:szCs w:val="21"/>
        </w:rPr>
        <w:t>件9：</w:t>
      </w:r>
      <w:bookmarkEnd w:id="1723"/>
    </w:p>
    <w:p w14:paraId="13CF8E63">
      <w:pPr>
        <w:spacing w:before="156" w:beforeLines="50" w:after="156" w:afterLines="50" w:line="480" w:lineRule="auto"/>
        <w:jc w:val="center"/>
        <w:rPr>
          <w:rFonts w:ascii="宋体" w:hAnsi="宋体" w:eastAsia="宋体" w:cs="Times New Roman"/>
          <w:sz w:val="21"/>
          <w:szCs w:val="21"/>
        </w:rPr>
      </w:pPr>
      <w:bookmarkStart w:id="1724" w:name="_Toc435690184"/>
      <w:bookmarkEnd w:id="1724"/>
      <w:bookmarkStart w:id="1725" w:name="_Toc448406299"/>
      <w:bookmarkEnd w:id="1725"/>
      <w:bookmarkStart w:id="1726" w:name="_Toc435689499"/>
      <w:bookmarkEnd w:id="1726"/>
      <w:bookmarkStart w:id="1727" w:name="_Toc247431422"/>
      <w:bookmarkEnd w:id="1727"/>
      <w:bookmarkStart w:id="1728" w:name="_Toc336680145"/>
      <w:bookmarkEnd w:id="1728"/>
      <w:bookmarkStart w:id="1729" w:name="_Toc239510288"/>
      <w:bookmarkEnd w:id="1729"/>
      <w:r>
        <w:rPr>
          <w:rFonts w:hint="eastAsia" w:ascii="宋体" w:hAnsi="宋体" w:eastAsia="宋体" w:cs="Times New Roman"/>
          <w:sz w:val="21"/>
          <w:szCs w:val="21"/>
        </w:rPr>
        <w:t>安全管理协议</w:t>
      </w:r>
    </w:p>
    <w:p w14:paraId="63E6FB97">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79AA2DBD">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08D338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为了确保实现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安全生产目标，进一步明确双方的安全管理责任，加强安全生产管理工作的协调、管理力度，</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（以下简称“发包人”）与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FD7B845">
      <w:pPr>
        <w:spacing w:line="360" w:lineRule="auto"/>
        <w:rPr>
          <w:rFonts w:ascii="宋体" w:hAnsi="宋体" w:eastAsia="宋体" w:cs="Times New Roman"/>
          <w:sz w:val="21"/>
          <w:szCs w:val="21"/>
        </w:rPr>
      </w:pPr>
      <w:bookmarkStart w:id="1730" w:name="_Toc247431423"/>
      <w:bookmarkEnd w:id="1730"/>
      <w:bookmarkStart w:id="1731" w:name="_Toc247418263"/>
      <w:bookmarkEnd w:id="1731"/>
      <w:bookmarkStart w:id="1732" w:name="_Toc532375700"/>
      <w:bookmarkEnd w:id="1732"/>
      <w:bookmarkStart w:id="1733" w:name="_Toc239510289"/>
      <w:r>
        <w:rPr>
          <w:rFonts w:hint="eastAsia" w:ascii="宋体" w:hAnsi="宋体" w:eastAsia="宋体" w:cs="Times New Roman"/>
          <w:sz w:val="21"/>
          <w:szCs w:val="21"/>
        </w:rPr>
        <w:t>一、协议有效期限</w:t>
      </w:r>
      <w:bookmarkEnd w:id="1733"/>
    </w:p>
    <w:p w14:paraId="5A59EC9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本协议中所涉及的安全管理责任自合同签订之日起开始生效，至合同工程全部完工验收且经发包人与承包人签订移交协议生效后之日终止。</w:t>
      </w:r>
    </w:p>
    <w:p w14:paraId="1C873243">
      <w:pPr>
        <w:spacing w:line="360" w:lineRule="auto"/>
        <w:rPr>
          <w:rFonts w:ascii="宋体" w:hAnsi="宋体" w:eastAsia="宋体" w:cs="Times New Roman"/>
          <w:sz w:val="21"/>
          <w:szCs w:val="21"/>
        </w:rPr>
      </w:pPr>
      <w:bookmarkStart w:id="1734" w:name="_Toc247431424"/>
      <w:bookmarkEnd w:id="1734"/>
      <w:bookmarkStart w:id="1735" w:name="_Toc247418264"/>
      <w:bookmarkEnd w:id="1735"/>
      <w:bookmarkStart w:id="1736" w:name="_Toc239510290"/>
      <w:bookmarkEnd w:id="1736"/>
      <w:bookmarkStart w:id="1737" w:name="_Toc532375701"/>
      <w:r>
        <w:rPr>
          <w:rFonts w:hint="eastAsia" w:ascii="宋体" w:hAnsi="宋体" w:eastAsia="宋体" w:cs="Times New Roman"/>
          <w:sz w:val="21"/>
          <w:szCs w:val="21"/>
        </w:rPr>
        <w:t>二、责任目标</w:t>
      </w:r>
      <w:bookmarkEnd w:id="1737"/>
    </w:p>
    <w:p w14:paraId="568364B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（一）承包人承诺承担和履行合同和发包人所规定的安全责任，且满足要求。</w:t>
      </w:r>
    </w:p>
    <w:p w14:paraId="4558B1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（二）承包人的安全控制目标是确保本工程在实施过程中：</w:t>
      </w:r>
    </w:p>
    <w:p w14:paraId="52791DE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1．不发生人身重伤事故；</w:t>
      </w:r>
    </w:p>
    <w:p w14:paraId="0FBCF1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2．不发生火灾事故；</w:t>
      </w:r>
    </w:p>
    <w:p w14:paraId="479FEA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3．不发生负有同等及以上事故责任的造成人身重伤的一般交通事故；</w:t>
      </w:r>
    </w:p>
    <w:p w14:paraId="5C1B53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4．不发生集体食物中毒事件（同时5人及以上的食物中毒）；</w:t>
      </w:r>
    </w:p>
    <w:p w14:paraId="121DA9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5．不发生流行性传染病 （无甲型传染病、其他常见传染病未形成多人同时患病）；</w:t>
      </w:r>
    </w:p>
    <w:p w14:paraId="7E194A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6．不发生重大环境污染事件（生活、工业垃圾及其他污染物造成环境污染和大面积水土流失）；</w:t>
      </w:r>
    </w:p>
    <w:p w14:paraId="71426F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7．不发生对施工区附近生产、生活造成重大影响的事件（如造成重大设备损坏、重大财产损失、人员伤害等）；</w:t>
      </w:r>
    </w:p>
    <w:p w14:paraId="143779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8．不发生治安保卫事件（构成刑事拘留及以上的事件、盗窃直接损失超过1万元人民币的事件）。</w:t>
      </w:r>
    </w:p>
    <w:p w14:paraId="6F7F433F">
      <w:pPr>
        <w:spacing w:line="360" w:lineRule="auto"/>
        <w:jc w:val="left"/>
        <w:rPr>
          <w:rFonts w:ascii="宋体" w:hAnsi="宋体" w:eastAsia="宋体" w:cs="Times New Roman"/>
          <w:sz w:val="21"/>
          <w:szCs w:val="21"/>
        </w:rPr>
      </w:pPr>
      <w:bookmarkStart w:id="1738" w:name="_Toc239510291"/>
      <w:bookmarkEnd w:id="1738"/>
      <w:bookmarkStart w:id="1739" w:name="_Toc247431425"/>
      <w:bookmarkEnd w:id="1739"/>
      <w:bookmarkStart w:id="1740" w:name="_Toc247418265"/>
      <w:r>
        <w:rPr>
          <w:rFonts w:hint="eastAsia" w:ascii="宋体" w:hAnsi="宋体" w:eastAsia="宋体" w:cs="Times New Roman"/>
          <w:sz w:val="21"/>
          <w:szCs w:val="21"/>
        </w:rPr>
        <w:t>（三）承包人承诺在施工中控制以下安全事故的发生：</w:t>
      </w:r>
      <w:bookmarkEnd w:id="1740"/>
    </w:p>
    <w:p w14:paraId="1A47F6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1．人员轻伤事故。</w:t>
      </w:r>
    </w:p>
    <w:p w14:paraId="51E0027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2．负有同等及以上事故责任的人身轻伤交通事故。</w:t>
      </w:r>
    </w:p>
    <w:p w14:paraId="64C715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3．其他安全未遂事故和异常事件。</w:t>
      </w:r>
    </w:p>
    <w:p w14:paraId="3CF023E0">
      <w:pPr>
        <w:spacing w:line="360" w:lineRule="auto"/>
        <w:rPr>
          <w:rFonts w:ascii="宋体" w:hAnsi="宋体" w:eastAsia="宋体" w:cs="Times New Roman"/>
          <w:sz w:val="21"/>
          <w:szCs w:val="21"/>
        </w:rPr>
      </w:pPr>
      <w:bookmarkStart w:id="1741" w:name="_Toc239510292"/>
      <w:bookmarkEnd w:id="1741"/>
      <w:bookmarkStart w:id="1742" w:name="_Toc532375702"/>
      <w:bookmarkEnd w:id="1742"/>
      <w:bookmarkStart w:id="1743" w:name="_Toc247418266"/>
      <w:bookmarkEnd w:id="1743"/>
      <w:bookmarkStart w:id="1744" w:name="_Toc247431426"/>
      <w:r>
        <w:rPr>
          <w:rFonts w:hint="eastAsia" w:ascii="宋体" w:hAnsi="宋体" w:eastAsia="宋体" w:cs="Times New Roman"/>
          <w:sz w:val="21"/>
          <w:szCs w:val="21"/>
        </w:rPr>
        <w:t>三、安全责任</w:t>
      </w:r>
      <w:bookmarkEnd w:id="1744"/>
    </w:p>
    <w:p w14:paraId="7E543C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1．承包人负有安全生产的管理责任和直接责任。</w:t>
      </w:r>
    </w:p>
    <w:p w14:paraId="031489F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2．承包人的法人或签署合同的公司总经理或受委托的代理人对合同安全负有全面的领导责任。</w:t>
      </w:r>
    </w:p>
    <w:p w14:paraId="5CE2C7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3．承包人项目经理对施工现场的安全工作负有全面的直接领导责任。</w:t>
      </w:r>
    </w:p>
    <w:p w14:paraId="6AA230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4．承包人保证执行“谁施工、谁负责”的施工安全原则。</w:t>
      </w:r>
    </w:p>
    <w:p w14:paraId="06DE94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5．承包人保证服从发包人对安全工作的统一协调和管理。</w:t>
      </w:r>
    </w:p>
    <w:p w14:paraId="749DE0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6．承包人保证对本工程项目安全生产条件及其管理资源自行投入，保证安全资金的专款专用。</w:t>
      </w:r>
    </w:p>
    <w:p w14:paraId="053D80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7．承包人保证建立本工程项目的安全管理体系及安全保证体系（注：项目安全管理大纲/手册、管理性的程序文件等）。</w:t>
      </w:r>
    </w:p>
    <w:p w14:paraId="624A8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8．承包人保证现场的安全管理专职人员必须持有建设主管部门安全生产培训考核合格证书。</w:t>
      </w:r>
    </w:p>
    <w:p w14:paraId="4058575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9．承包人保证为现场所有工作人员（含分包商员工及劳务人员）配备符合国家标准的有承包人和/或其下属分包商标志的个人基本劳动保护用品。</w:t>
      </w:r>
    </w:p>
    <w:p w14:paraId="4295880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10．承包人保证按照国家法律规定为现场所有工作人员（含分包商员工及劳务人员）购买意外伤害保险。</w:t>
      </w:r>
    </w:p>
    <w:p w14:paraId="50B51D7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11．承包人保证施工生活营地（包括自建的和租用的营地）满足消防、安全用电、卫生防疫、防暴雨、防雷击等方面的安全要求。</w:t>
      </w:r>
    </w:p>
    <w:p w14:paraId="59778A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12．承包人保证对带入现场的设备、工具、材料按照国家法规和标准进行检测、试验，并持有法定部门出具的检验证书。</w:t>
      </w:r>
    </w:p>
    <w:p w14:paraId="3133050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13．承包人保证制订施工现场的文明施工措施，保护环境、树木和植被，保持施工现场的良好秩序和整洁的作业环境。</w:t>
      </w:r>
    </w:p>
    <w:p w14:paraId="474571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14．承包人负责在施工过程中与当地政府、周边群众及其他承包商保持良好的沟通和交流。承包人遇到与周边群众发生纠纷时，应负责协调工作，确保工程能够顺利进行。</w:t>
      </w:r>
    </w:p>
    <w:p w14:paraId="4FAEE095">
      <w:pPr>
        <w:spacing w:line="360" w:lineRule="auto"/>
        <w:rPr>
          <w:rFonts w:ascii="宋体" w:hAnsi="宋体" w:eastAsia="宋体" w:cs="Times New Roman"/>
          <w:sz w:val="21"/>
          <w:szCs w:val="21"/>
        </w:rPr>
      </w:pPr>
      <w:bookmarkStart w:id="1745" w:name="_Toc247418267"/>
      <w:bookmarkEnd w:id="1745"/>
      <w:bookmarkStart w:id="1746" w:name="_Toc239510293"/>
      <w:bookmarkEnd w:id="1746"/>
      <w:bookmarkStart w:id="1747" w:name="_Toc247431427"/>
      <w:bookmarkEnd w:id="1747"/>
      <w:bookmarkStart w:id="1748" w:name="_Toc532375703"/>
      <w:r>
        <w:rPr>
          <w:rFonts w:hint="eastAsia" w:ascii="宋体" w:hAnsi="宋体" w:eastAsia="宋体" w:cs="Times New Roman"/>
          <w:sz w:val="21"/>
          <w:szCs w:val="21"/>
        </w:rPr>
        <w:t>四、接口及协调</w:t>
      </w:r>
      <w:bookmarkEnd w:id="1748"/>
    </w:p>
    <w:p w14:paraId="6AC6E1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1．发包人委托监理公司对该工程实施监理，监理公司在安全管理方面代表发包人行使监督检查职能，承包人必须给予配合和支持。</w:t>
      </w:r>
    </w:p>
    <w:p w14:paraId="44AADD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2．承包人人员、车辆的出入，带入现场的设备、机具、材料，在现场使用的或直接管理的办公、生活、生产性设施的安全管理须满足发包人现场管理的基本要求。</w:t>
      </w:r>
    </w:p>
    <w:p w14:paraId="1E7E330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6251F4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DE382D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5．承包人指定的专职安全管理人员应与发包人委托的监理公司建立联系，在业务上接受发包人委托的监理公司的协调和指导。</w:t>
      </w:r>
    </w:p>
    <w:p w14:paraId="3761504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6．开工后承包人的专职安全管理人员应按照发包人委托的监理公司的规定，定期报送安全月度快报、季报、年报和各种专项事故报告等。</w:t>
      </w:r>
    </w:p>
    <w:p w14:paraId="14DE834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7．在工程实体未全部正式移交发包人施工管理部门之前，承包人依旧对施工范围内的安全管理负责。</w:t>
      </w:r>
    </w:p>
    <w:p w14:paraId="700AE53D">
      <w:pPr>
        <w:spacing w:line="360" w:lineRule="auto"/>
        <w:rPr>
          <w:rFonts w:ascii="宋体" w:hAnsi="宋体" w:eastAsia="宋体" w:cs="Times New Roman"/>
          <w:sz w:val="21"/>
          <w:szCs w:val="21"/>
        </w:rPr>
      </w:pPr>
      <w:bookmarkStart w:id="1749" w:name="_Toc247431428"/>
      <w:bookmarkEnd w:id="1749"/>
      <w:bookmarkStart w:id="1750" w:name="_Toc532375704"/>
      <w:bookmarkEnd w:id="1750"/>
      <w:bookmarkStart w:id="1751" w:name="_Toc247418268"/>
      <w:bookmarkEnd w:id="1751"/>
      <w:bookmarkStart w:id="1752" w:name="_Toc239510294"/>
      <w:r>
        <w:rPr>
          <w:rFonts w:hint="eastAsia" w:ascii="宋体" w:hAnsi="宋体" w:eastAsia="宋体" w:cs="Times New Roman"/>
          <w:sz w:val="21"/>
          <w:szCs w:val="21"/>
        </w:rPr>
        <w:t>五、安全资质审查</w:t>
      </w:r>
      <w:bookmarkEnd w:id="1752"/>
    </w:p>
    <w:p w14:paraId="71E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承包人在项目开工前5个工作天内向发包人委托的监理公司提供以下安全资质供审查和存档：</w:t>
      </w:r>
    </w:p>
    <w:p w14:paraId="0BF079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1．企业安全生产许可证书复印件。</w:t>
      </w:r>
    </w:p>
    <w:p w14:paraId="725CFA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2．企业近三年的施工简历及安全施工业绩证明文件。</w:t>
      </w:r>
    </w:p>
    <w:p w14:paraId="6894B20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3．企业主要安全管理人员（包括项目经理、专职安全管理人员）经建设主管部门安全生产知识考核合格证书。</w:t>
      </w:r>
    </w:p>
    <w:p w14:paraId="3506C6E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4．特种作业人员资格证书。</w:t>
      </w:r>
    </w:p>
    <w:p w14:paraId="414550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5．项目安全管理机构及其人员配备（承包人必须配有专职的安全员）。</w:t>
      </w:r>
    </w:p>
    <w:p w14:paraId="4973A5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6．适用于项目的安全管理体系及保证体系文件（安全管理大纲及管理程序文件）。</w:t>
      </w:r>
    </w:p>
    <w:p w14:paraId="463D7F05">
      <w:pPr>
        <w:spacing w:line="360" w:lineRule="auto"/>
        <w:rPr>
          <w:rFonts w:ascii="宋体" w:hAnsi="宋体" w:eastAsia="宋体" w:cs="Times New Roman"/>
          <w:sz w:val="21"/>
          <w:szCs w:val="21"/>
        </w:rPr>
      </w:pPr>
      <w:bookmarkStart w:id="1753" w:name="_Toc247418269"/>
      <w:bookmarkEnd w:id="1753"/>
      <w:bookmarkStart w:id="1754" w:name="_Toc239510295"/>
      <w:bookmarkEnd w:id="1754"/>
      <w:bookmarkStart w:id="1755" w:name="_Toc247431429"/>
      <w:bookmarkEnd w:id="1755"/>
      <w:bookmarkStart w:id="1756" w:name="_Toc532375705"/>
      <w:r>
        <w:rPr>
          <w:rFonts w:hint="eastAsia" w:ascii="宋体" w:hAnsi="宋体" w:eastAsia="宋体" w:cs="Times New Roman"/>
          <w:sz w:val="21"/>
          <w:szCs w:val="21"/>
        </w:rPr>
        <w:t>六、人员基本素质</w:t>
      </w:r>
      <w:bookmarkEnd w:id="1756"/>
    </w:p>
    <w:p w14:paraId="6167F2E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承包人提供的人员必须满足下列要求：</w:t>
      </w:r>
    </w:p>
    <w:p w14:paraId="27D37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34CE73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2．无刑事案件牵连。</w:t>
      </w:r>
    </w:p>
    <w:p w14:paraId="24D958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3．无吸毒、酗酒、赌博、嫖娼等恶习及违法行为。</w:t>
      </w:r>
    </w:p>
    <w:p w14:paraId="3A4F7426">
      <w:pPr>
        <w:spacing w:line="360" w:lineRule="auto"/>
        <w:rPr>
          <w:rFonts w:ascii="宋体" w:hAnsi="宋体" w:eastAsia="宋体" w:cs="Times New Roman"/>
          <w:sz w:val="21"/>
          <w:szCs w:val="21"/>
        </w:rPr>
      </w:pPr>
      <w:bookmarkStart w:id="1757" w:name="_Toc247431430"/>
      <w:bookmarkEnd w:id="1757"/>
      <w:bookmarkStart w:id="1758" w:name="_Toc239510296"/>
      <w:bookmarkEnd w:id="1758"/>
      <w:bookmarkStart w:id="1759" w:name="_Toc247418270"/>
      <w:bookmarkEnd w:id="1759"/>
      <w:bookmarkStart w:id="1760" w:name="_Toc532375706"/>
      <w:r>
        <w:rPr>
          <w:rFonts w:hint="eastAsia" w:ascii="宋体" w:hAnsi="宋体" w:eastAsia="宋体" w:cs="Times New Roman"/>
          <w:sz w:val="21"/>
          <w:szCs w:val="21"/>
        </w:rPr>
        <w:t>七、劳动保护</w:t>
      </w:r>
      <w:bookmarkEnd w:id="1760"/>
    </w:p>
    <w:p w14:paraId="1C4AA3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1．承包人负责为本单位任何用工形式的员工提供个人劳动保护用品（包括工作服、安全帽、安全鞋等）。</w:t>
      </w:r>
    </w:p>
    <w:p w14:paraId="0F89079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2．承包人负责向特殊工种的员工提供特殊劳动保护，否则不得从事特殊工种作业。</w:t>
      </w:r>
    </w:p>
    <w:p w14:paraId="627985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3．发包人委托的监理公司有权检查承包人的个人劳动保护用品是否符合国家的相应标准。</w:t>
      </w:r>
    </w:p>
    <w:p w14:paraId="32D8F2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 承包人在特殊风险场所作业而需要特殊防护用品或安全仪表时，必须在上述防护用品全部到位后才能开工。</w:t>
      </w:r>
    </w:p>
    <w:p w14:paraId="0FD28B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5．承包人应配备临时安全围栏、警示带、警告标志、防火布等集体防护用品。</w:t>
      </w:r>
    </w:p>
    <w:p w14:paraId="201813E2">
      <w:pPr>
        <w:spacing w:line="360" w:lineRule="auto"/>
        <w:rPr>
          <w:rFonts w:ascii="宋体" w:hAnsi="宋体" w:eastAsia="宋体" w:cs="Times New Roman"/>
          <w:sz w:val="21"/>
          <w:szCs w:val="21"/>
        </w:rPr>
      </w:pPr>
      <w:bookmarkStart w:id="1761" w:name="_Toc247431431"/>
      <w:bookmarkEnd w:id="1761"/>
      <w:bookmarkStart w:id="1762" w:name="_Toc239510297"/>
      <w:bookmarkEnd w:id="1762"/>
      <w:bookmarkStart w:id="1763" w:name="_Toc247418271"/>
      <w:bookmarkEnd w:id="1763"/>
      <w:bookmarkStart w:id="1764" w:name="_Toc532375707"/>
      <w:r>
        <w:rPr>
          <w:rFonts w:hint="eastAsia" w:ascii="宋体" w:hAnsi="宋体" w:eastAsia="宋体" w:cs="Times New Roman"/>
          <w:sz w:val="21"/>
          <w:szCs w:val="21"/>
        </w:rPr>
        <w:t>八、施工机具与材料</w:t>
      </w:r>
      <w:bookmarkEnd w:id="1764"/>
    </w:p>
    <w:p w14:paraId="6BC4DA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1．承包人对带入现场的施工机械和工器具的安全负责。</w:t>
      </w:r>
    </w:p>
    <w:p w14:paraId="1E2ACCC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2．对于承包人带入现场的特殊工器具，如起重设备、索具、机动车辆、压缩气瓶等，承包人必须按国家法规和标准进行检测、试验，并持有法定部门出具的检验证书。</w:t>
      </w:r>
    </w:p>
    <w:p w14:paraId="5B428E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3．对于不属于法定检测的工器具，承包人也必须建立相应的管理、检测制度，这些工器具包括登高工具、脚手架材料、电动工具、安全防护设备及用具等。</w:t>
      </w:r>
    </w:p>
    <w:p w14:paraId="623FBC99">
      <w:pPr>
        <w:spacing w:line="360" w:lineRule="auto"/>
        <w:rPr>
          <w:rFonts w:ascii="宋体" w:hAnsi="宋体" w:eastAsia="宋体" w:cs="Times New Roman"/>
          <w:sz w:val="21"/>
          <w:szCs w:val="21"/>
        </w:rPr>
      </w:pPr>
      <w:bookmarkStart w:id="1765" w:name="_Toc247418272"/>
      <w:bookmarkEnd w:id="1765"/>
      <w:bookmarkStart w:id="1766" w:name="_Toc532375708"/>
      <w:bookmarkEnd w:id="1766"/>
      <w:bookmarkStart w:id="1767" w:name="_Toc247431432"/>
      <w:bookmarkEnd w:id="1767"/>
      <w:bookmarkStart w:id="1768" w:name="_Toc239510298"/>
      <w:r>
        <w:rPr>
          <w:rFonts w:hint="eastAsia" w:ascii="宋体" w:hAnsi="宋体" w:eastAsia="宋体" w:cs="Times New Roman"/>
          <w:sz w:val="21"/>
          <w:szCs w:val="21"/>
        </w:rPr>
        <w:t>九、开工前安全条件检查</w:t>
      </w:r>
      <w:bookmarkEnd w:id="1768"/>
    </w:p>
    <w:p w14:paraId="1FAF44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2255F12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D723E4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52996F4C">
      <w:pPr>
        <w:spacing w:line="360" w:lineRule="auto"/>
        <w:rPr>
          <w:rFonts w:ascii="宋体" w:hAnsi="宋体" w:eastAsia="宋体" w:cs="Times New Roman"/>
          <w:sz w:val="21"/>
          <w:szCs w:val="21"/>
        </w:rPr>
      </w:pPr>
      <w:bookmarkStart w:id="1769" w:name="_Toc247431433"/>
      <w:bookmarkEnd w:id="1769"/>
      <w:bookmarkStart w:id="1770" w:name="_Toc247418273"/>
      <w:bookmarkEnd w:id="1770"/>
      <w:bookmarkStart w:id="1771" w:name="_Toc239510299"/>
      <w:bookmarkEnd w:id="1771"/>
      <w:bookmarkStart w:id="1772" w:name="_Toc532375709"/>
      <w:r>
        <w:rPr>
          <w:rFonts w:hint="eastAsia" w:ascii="宋体" w:hAnsi="宋体" w:eastAsia="宋体" w:cs="Times New Roman"/>
          <w:sz w:val="21"/>
          <w:szCs w:val="21"/>
        </w:rPr>
        <w:t>十、安全监督</w:t>
      </w:r>
      <w:bookmarkEnd w:id="1772"/>
    </w:p>
    <w:p w14:paraId="2135F44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1．承包人应配备有满足项目安全管理需要的专职安全管理人员。</w:t>
      </w:r>
    </w:p>
    <w:p w14:paraId="06A6AD1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2．承包人的专职安全管理人员必须持建设主管部门颁发的安全生产知识考核合格证书。</w:t>
      </w:r>
    </w:p>
    <w:p w14:paraId="6F812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3．承包人的专职安全管理人员在业务上接受发包人委托的监理公司和发包人安全管理部门的协调和指导。</w:t>
      </w:r>
    </w:p>
    <w:p w14:paraId="21B23B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4．承包人应建立班前安全交底制度；施工期间坚持开展安全检查和日常安全监督并形成相应的记录。</w:t>
      </w:r>
    </w:p>
    <w:p w14:paraId="422ABDB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5．承包人应在每个作业区任命兼职安全员，赋予兼职安全员相应的授权和义务，并对兼职安全员进行定期考核。</w:t>
      </w:r>
    </w:p>
    <w:p w14:paraId="0231DE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6．承包人应接受和配合发包人专业部门及委托的监理公司的监督与安全评价。</w:t>
      </w:r>
    </w:p>
    <w:p w14:paraId="53D430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BF2B1CF">
      <w:pPr>
        <w:spacing w:line="360" w:lineRule="auto"/>
        <w:rPr>
          <w:rFonts w:ascii="宋体" w:hAnsi="宋体" w:eastAsia="宋体" w:cs="Times New Roman"/>
          <w:sz w:val="21"/>
          <w:szCs w:val="21"/>
        </w:rPr>
      </w:pPr>
      <w:bookmarkStart w:id="1773" w:name="_Toc247418274"/>
      <w:bookmarkEnd w:id="1773"/>
      <w:bookmarkStart w:id="1774" w:name="_Toc247431434"/>
      <w:bookmarkEnd w:id="1774"/>
      <w:bookmarkStart w:id="1775" w:name="_Toc532375710"/>
      <w:bookmarkEnd w:id="1775"/>
      <w:bookmarkStart w:id="1776" w:name="_Toc239510300"/>
      <w:r>
        <w:rPr>
          <w:rFonts w:hint="eastAsia" w:ascii="宋体" w:hAnsi="宋体" w:eastAsia="宋体" w:cs="Times New Roman"/>
          <w:sz w:val="21"/>
          <w:szCs w:val="21"/>
        </w:rPr>
        <w:t>十一、安全培训与授权</w:t>
      </w:r>
      <w:bookmarkEnd w:id="1776"/>
    </w:p>
    <w:p w14:paraId="65FDC6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8CBC2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2．承包人应在特殊工种之外的其他工种中，筛选出高风险工种，并对其开展针对性的专题安全培训。</w:t>
      </w:r>
    </w:p>
    <w:p w14:paraId="70526E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3．承包人应组织 “入场培训”和考核。发包人委托的监理公司有权监督培训、考核情况或组织抽查考核。</w:t>
      </w:r>
    </w:p>
    <w:p w14:paraId="34800B2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4．承包人应建立安全培训和考核机制，编制培训教材和培训滚动计划。承包人应组织安全考试/考核，建立培训考核记录，发包人委托的监理公司有权查看这些记录。</w:t>
      </w:r>
    </w:p>
    <w:p w14:paraId="31CCEF2E">
      <w:pPr>
        <w:spacing w:line="360" w:lineRule="auto"/>
        <w:rPr>
          <w:rFonts w:ascii="宋体" w:hAnsi="宋体" w:eastAsia="宋体" w:cs="Times New Roman"/>
          <w:sz w:val="21"/>
          <w:szCs w:val="21"/>
        </w:rPr>
      </w:pPr>
      <w:bookmarkStart w:id="1777" w:name="_Toc532375711"/>
      <w:bookmarkEnd w:id="1777"/>
      <w:bookmarkStart w:id="1778" w:name="_Toc239510301"/>
      <w:bookmarkEnd w:id="1778"/>
      <w:bookmarkStart w:id="1779" w:name="_Toc247418275"/>
      <w:bookmarkEnd w:id="1779"/>
      <w:bookmarkStart w:id="1780" w:name="_Toc247431435"/>
      <w:r>
        <w:rPr>
          <w:rFonts w:hint="eastAsia" w:ascii="宋体" w:hAnsi="宋体" w:eastAsia="宋体" w:cs="Times New Roman"/>
          <w:sz w:val="21"/>
          <w:szCs w:val="21"/>
        </w:rPr>
        <w:t>十二、职业健康与卫生防疫</w:t>
      </w:r>
      <w:bookmarkEnd w:id="1780"/>
    </w:p>
    <w:p w14:paraId="0F507E2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0DCC6EC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2．承包人应保证卫生防疫基本设施的投入，以满足医疗、急救的要求，建立外部医疗支持渠道。</w:t>
      </w:r>
    </w:p>
    <w:p w14:paraId="0A153D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E313033">
      <w:pPr>
        <w:spacing w:line="360" w:lineRule="auto"/>
        <w:rPr>
          <w:rFonts w:ascii="宋体" w:hAnsi="宋体" w:eastAsia="宋体" w:cs="Times New Roman"/>
          <w:sz w:val="21"/>
          <w:szCs w:val="21"/>
        </w:rPr>
      </w:pPr>
      <w:bookmarkStart w:id="1781" w:name="_Toc247418276"/>
      <w:bookmarkEnd w:id="1781"/>
      <w:bookmarkStart w:id="1782" w:name="_Toc239510302"/>
      <w:bookmarkEnd w:id="1782"/>
      <w:bookmarkStart w:id="1783" w:name="_Toc532375712"/>
      <w:bookmarkEnd w:id="1783"/>
      <w:bookmarkStart w:id="1784" w:name="_Toc247431436"/>
      <w:r>
        <w:rPr>
          <w:rFonts w:hint="eastAsia" w:ascii="宋体" w:hAnsi="宋体" w:eastAsia="宋体" w:cs="Times New Roman"/>
          <w:sz w:val="21"/>
          <w:szCs w:val="21"/>
        </w:rPr>
        <w:t>十三、文明施工与环保要求</w:t>
      </w:r>
      <w:bookmarkEnd w:id="1784"/>
    </w:p>
    <w:p w14:paraId="569E769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1．承包人需制订施工现场的文明施工措施，保持良好的施工现场秩序。施工现场的物料堆放要摆放整齐，安全标志和宣传标志要清楚醒目，废料、废物要分类收集，安全通道要畅通。</w:t>
      </w:r>
    </w:p>
    <w:p w14:paraId="594EEE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2．承包人作业时应避免建筑材料抛洒、飞扬、流淌；应尽可能降低噪音、震动。</w:t>
      </w:r>
    </w:p>
    <w:p w14:paraId="10C6FA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3．承包人应根据实际需要，在施工现场布置临时卫生设施（洗手间、卫生间等），施工作业不破坏环境卫生，不污染现场环境。</w:t>
      </w:r>
    </w:p>
    <w:p w14:paraId="08DDBF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4．承包人在施工中应充分重视对环境的保护，保护绿色植被，保护古树。施工如需伤害古树，必须报告发包人委托的监理公司，在未得到指令前，禁止擅自伤害古树。</w:t>
      </w:r>
    </w:p>
    <w:p w14:paraId="26A4FA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08CFE9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6．承包人在施工中应禁止向环境，排放工业污水、生活污水、废油或其他有害物质。</w:t>
      </w:r>
    </w:p>
    <w:p w14:paraId="587E9C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0E7DAEC">
      <w:pPr>
        <w:spacing w:line="360" w:lineRule="auto"/>
        <w:rPr>
          <w:rFonts w:ascii="宋体" w:hAnsi="宋体" w:eastAsia="宋体" w:cs="Times New Roman"/>
          <w:sz w:val="21"/>
          <w:szCs w:val="21"/>
        </w:rPr>
      </w:pPr>
      <w:bookmarkStart w:id="1785" w:name="_Toc239510303"/>
      <w:bookmarkEnd w:id="1785"/>
      <w:bookmarkStart w:id="1786" w:name="_Toc247431437"/>
      <w:bookmarkEnd w:id="1786"/>
      <w:bookmarkStart w:id="1787" w:name="_Toc532375713"/>
      <w:bookmarkEnd w:id="1787"/>
      <w:bookmarkStart w:id="1788" w:name="_Toc247418277"/>
      <w:r>
        <w:rPr>
          <w:rFonts w:hint="eastAsia" w:ascii="宋体" w:hAnsi="宋体" w:eastAsia="宋体" w:cs="Times New Roman"/>
          <w:sz w:val="21"/>
          <w:szCs w:val="21"/>
        </w:rPr>
        <w:t>十四、工程风险管理与事故预防</w:t>
      </w:r>
      <w:bookmarkEnd w:id="1788"/>
    </w:p>
    <w:p w14:paraId="6970C593">
      <w:pPr>
        <w:spacing w:line="360" w:lineRule="auto"/>
        <w:jc w:val="left"/>
        <w:rPr>
          <w:rFonts w:ascii="宋体" w:hAnsi="宋体" w:eastAsia="宋体" w:cs="Times New Roman"/>
          <w:sz w:val="21"/>
          <w:szCs w:val="21"/>
        </w:rPr>
      </w:pPr>
      <w:bookmarkStart w:id="1789" w:name="_Toc247431438"/>
      <w:bookmarkEnd w:id="1789"/>
      <w:bookmarkStart w:id="1790" w:name="_Toc239510304"/>
      <w:bookmarkEnd w:id="1790"/>
      <w:bookmarkStart w:id="1791" w:name="_Toc247418278"/>
      <w:r>
        <w:rPr>
          <w:rFonts w:hint="eastAsia" w:ascii="宋体" w:hAnsi="宋体" w:eastAsia="宋体" w:cs="Times New Roman"/>
          <w:sz w:val="21"/>
          <w:szCs w:val="21"/>
        </w:rPr>
        <w:t>（一）基本要求</w:t>
      </w:r>
      <w:bookmarkEnd w:id="1791"/>
    </w:p>
    <w:p w14:paraId="745DF113">
      <w:pPr>
        <w:spacing w:line="360" w:lineRule="auto"/>
        <w:jc w:val="left"/>
        <w:rPr>
          <w:rFonts w:ascii="宋体" w:hAnsi="宋体" w:eastAsia="宋体" w:cs="Times New Roman"/>
          <w:sz w:val="21"/>
          <w:szCs w:val="21"/>
        </w:rPr>
      </w:pPr>
      <w:bookmarkStart w:id="1792" w:name="_Toc532375714"/>
      <w:bookmarkEnd w:id="1792"/>
      <w:r>
        <w:rPr>
          <w:rFonts w:hint="eastAsia" w:ascii="宋体" w:hAnsi="宋体" w:eastAsia="宋体" w:cs="Times New Roman"/>
          <w:sz w:val="21"/>
          <w:szCs w:val="21"/>
        </w:rPr>
        <w:t>1．承包人应对施工过程进行全面、深入的危险源识别和风险分析。在施工安全组织设计中提供危险源及重要危险源清单、作业风险分析报告，该报告应包括（但不限于）如下信息：</w:t>
      </w:r>
    </w:p>
    <w:p w14:paraId="29CB40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（1）高风险作业和工种清单：作业名称、类别和数量、主要事故风险。</w:t>
      </w:r>
    </w:p>
    <w:p w14:paraId="5C1D56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（2）施工能源和机械的种类、数量和主要事故风险。</w:t>
      </w:r>
    </w:p>
    <w:p w14:paraId="1E9BB5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（3）施工作业条件的类型和主要事故风险。</w:t>
      </w:r>
    </w:p>
    <w:p w14:paraId="538A1C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（4）主要工艺过程（或施工活动）的类别及其相关的事故风险。</w:t>
      </w:r>
    </w:p>
    <w:p w14:paraId="00C9B1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（5）主要火灾危险（可燃物、点火源）。</w:t>
      </w:r>
    </w:p>
    <w:p w14:paraId="375068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（6）主要自然灾害（洪水、大风、雷暴、暴雨、地质灾害等）。</w:t>
      </w:r>
    </w:p>
    <w:p w14:paraId="64A046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（7）主要环境保护事件（有害垃圾、机械的跑冒滴漏、原材料流失、水土流失等）。</w:t>
      </w:r>
    </w:p>
    <w:p w14:paraId="5580FFD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（8）其他。</w:t>
      </w:r>
    </w:p>
    <w:p w14:paraId="684307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2．承包人应针对识别出的危险源制定有针对性的事故预防措施并确保在施工中得到有效落实。</w:t>
      </w:r>
    </w:p>
    <w:p w14:paraId="4478F6C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3．承包人应建立日常施工活动的动态作业风险分析和安全交底制度。该制度应明确规定风险分析的方法、责任和交底的内容、时间及记录。</w:t>
      </w:r>
    </w:p>
    <w:p w14:paraId="53586D74">
      <w:pPr>
        <w:spacing w:line="360" w:lineRule="auto"/>
        <w:jc w:val="left"/>
        <w:rPr>
          <w:rFonts w:ascii="宋体" w:hAnsi="宋体" w:eastAsia="宋体" w:cs="Times New Roman"/>
          <w:sz w:val="21"/>
          <w:szCs w:val="21"/>
        </w:rPr>
      </w:pPr>
      <w:bookmarkStart w:id="1793" w:name="_Toc247418279"/>
      <w:bookmarkEnd w:id="1793"/>
      <w:bookmarkStart w:id="1794" w:name="_Toc239510305"/>
      <w:bookmarkEnd w:id="1794"/>
      <w:bookmarkStart w:id="1795" w:name="_Toc247431439"/>
      <w:r>
        <w:rPr>
          <w:rFonts w:hint="eastAsia" w:ascii="宋体" w:hAnsi="宋体" w:eastAsia="宋体" w:cs="Times New Roman"/>
          <w:sz w:val="21"/>
          <w:szCs w:val="21"/>
        </w:rPr>
        <w:t>（二）现场作业基本安全条件</w:t>
      </w:r>
      <w:bookmarkEnd w:id="1795"/>
    </w:p>
    <w:p w14:paraId="269490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6400F1C">
      <w:pPr>
        <w:spacing w:line="360" w:lineRule="auto"/>
        <w:rPr>
          <w:rFonts w:ascii="宋体" w:hAnsi="宋体" w:eastAsia="宋体" w:cs="Times New Roman"/>
          <w:sz w:val="21"/>
          <w:szCs w:val="21"/>
        </w:rPr>
      </w:pPr>
      <w:bookmarkStart w:id="1796" w:name="_Toc247431440"/>
      <w:bookmarkEnd w:id="1796"/>
      <w:bookmarkStart w:id="1797" w:name="_Toc532375715"/>
      <w:bookmarkEnd w:id="1797"/>
      <w:bookmarkStart w:id="1798" w:name="_Toc239510306"/>
      <w:bookmarkEnd w:id="1798"/>
      <w:bookmarkStart w:id="1799" w:name="_Toc247418280"/>
      <w:r>
        <w:rPr>
          <w:rFonts w:hint="eastAsia" w:ascii="宋体" w:hAnsi="宋体" w:eastAsia="宋体" w:cs="Times New Roman"/>
          <w:sz w:val="21"/>
          <w:szCs w:val="21"/>
        </w:rPr>
        <w:t>十五、事故报告与应急救援</w:t>
      </w:r>
      <w:bookmarkEnd w:id="1799"/>
    </w:p>
    <w:p w14:paraId="3CC723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1．承包人应制定对于未遂事故及以上级别的安全事件和事故，定期报送安全月度快报、季报、年报和各种专项事故报告等。</w:t>
      </w:r>
    </w:p>
    <w:p w14:paraId="75B85B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2．承包人应建立安全事故统计记录、未遂事故统计记录、违章统计记录，并根据统计情况进行分析，并就分析结果制定相应的预防措施。</w:t>
      </w:r>
    </w:p>
    <w:p w14:paraId="7663B6F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3．承包人应建立事故应急救援机制，明确事故处置的基本原则，即现场发生事故时，首先抢救生命，向救援组织报警，并采取措施限制事故扩大。</w:t>
      </w:r>
    </w:p>
    <w:p w14:paraId="2C13A3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4．承包人应建立相应的应急响应组织，以便能迅速处理突发意外。</w:t>
      </w:r>
    </w:p>
    <w:p w14:paraId="77DF971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5．承包人应建立专项应急响应预案，包括重大人身伤亡事故的救护预案、火灾响应预案、“四防”预案（防风、防冻、防雷、防暴雨）、重大疫病防护预案、环境污染防护预案、地质灾害防护预案等。</w:t>
      </w:r>
    </w:p>
    <w:p w14:paraId="040A4B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6．承包人应对应急预案进行适当演练，保证应急预案的可操作性。</w:t>
      </w:r>
    </w:p>
    <w:p w14:paraId="728031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7．在工地的其他施工单位发生重大事故时，承包人应无条件立即配合、支持事故抢险。</w:t>
      </w:r>
    </w:p>
    <w:p w14:paraId="53FA876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8．承包人必须为事故处置支付各项费用，包括受伤者的抚恤、补偿等费用，并按合同要求赔偿对发包人造成的损失。</w:t>
      </w:r>
    </w:p>
    <w:p w14:paraId="6ABA0E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9．由于发包人原因而造成的事故，发包人应负责按事故的具体损失情况给予承包人经济赔偿。</w:t>
      </w:r>
    </w:p>
    <w:p w14:paraId="5E0260C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10．涉及承包人员工的伤害事故，承包人除要报告发包人委托的监理公司外，还应负责按照国家、行业和本单位上级公司的要求，上报事故。</w:t>
      </w:r>
    </w:p>
    <w:p w14:paraId="6988599C">
      <w:pPr>
        <w:spacing w:line="360" w:lineRule="auto"/>
        <w:rPr>
          <w:rFonts w:ascii="宋体" w:hAnsi="宋体" w:eastAsia="宋体" w:cs="Times New Roman"/>
          <w:sz w:val="21"/>
          <w:szCs w:val="21"/>
        </w:rPr>
      </w:pPr>
      <w:bookmarkStart w:id="1800" w:name="_Toc247431441"/>
      <w:bookmarkEnd w:id="1800"/>
      <w:bookmarkStart w:id="1801" w:name="_Toc239510307"/>
      <w:bookmarkEnd w:id="1801"/>
      <w:bookmarkStart w:id="1802" w:name="_Toc247418281"/>
      <w:bookmarkEnd w:id="1802"/>
      <w:bookmarkStart w:id="1803" w:name="_Toc532375716"/>
      <w:r>
        <w:rPr>
          <w:rFonts w:hint="eastAsia" w:ascii="宋体" w:hAnsi="宋体" w:eastAsia="宋体" w:cs="Times New Roman"/>
          <w:sz w:val="21"/>
          <w:szCs w:val="21"/>
        </w:rPr>
        <w:t>十六、安全业绩考核</w:t>
      </w:r>
      <w:bookmarkEnd w:id="1803"/>
    </w:p>
    <w:p w14:paraId="5FD4554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为了落实安全管理的责任，承包人在施工过程中发生安全事故时，承包人除应按国家有关规定承担责任和处罚外，发包人还将按照以下标准进行考核：</w:t>
      </w:r>
    </w:p>
    <w:tbl>
      <w:tblPr>
        <w:tblStyle w:val="65"/>
        <w:tblW w:w="7005" w:type="dxa"/>
        <w:jc w:val="center"/>
        <w:tblLayout w:type="fixed"/>
        <w:tblCellMar>
          <w:top w:w="0" w:type="dxa"/>
          <w:left w:w="0" w:type="dxa"/>
          <w:bottom w:w="0" w:type="dxa"/>
          <w:right w:w="0" w:type="dxa"/>
        </w:tblCellMar>
      </w:tblPr>
      <w:tblGrid>
        <w:gridCol w:w="3240"/>
        <w:gridCol w:w="3765"/>
      </w:tblGrid>
      <w:tr w14:paraId="5622E60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D91F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532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违约金额</w:t>
            </w:r>
          </w:p>
        </w:tc>
      </w:tr>
      <w:tr w14:paraId="73FB6FB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628B7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较大事故</w:t>
            </w:r>
          </w:p>
        </w:tc>
        <w:tc>
          <w:tcPr>
            <w:tcW w:w="3765" w:type="dxa"/>
            <w:tcBorders>
              <w:top w:val="single" w:color="auto" w:sz="8" w:space="0"/>
              <w:left w:val="nil"/>
              <w:bottom w:val="single" w:color="auto" w:sz="8" w:space="0"/>
              <w:right w:val="single" w:color="auto" w:sz="8" w:space="0"/>
            </w:tcBorders>
            <w:vAlign w:val="center"/>
          </w:tcPr>
          <w:p w14:paraId="53E02B4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签约合同价</w:t>
            </w:r>
            <w:r>
              <w:rPr>
                <w:rFonts w:hint="eastAsia" w:ascii="宋体" w:hAnsi="宋体" w:eastAsia="宋体" w:cs="Times New Roman"/>
                <w:sz w:val="21"/>
                <w:szCs w:val="21"/>
              </w:rPr>
              <w:t>的0.5‰</w:t>
            </w:r>
          </w:p>
        </w:tc>
      </w:tr>
      <w:tr w14:paraId="29CE481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608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重大事故</w:t>
            </w:r>
          </w:p>
        </w:tc>
        <w:tc>
          <w:tcPr>
            <w:tcW w:w="3765" w:type="dxa"/>
            <w:tcBorders>
              <w:top w:val="single" w:color="auto" w:sz="8" w:space="0"/>
              <w:left w:val="nil"/>
              <w:bottom w:val="single" w:color="auto" w:sz="8" w:space="0"/>
              <w:right w:val="single" w:color="auto" w:sz="8" w:space="0"/>
            </w:tcBorders>
            <w:vAlign w:val="center"/>
          </w:tcPr>
          <w:p w14:paraId="03EA1C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签约合同价的2‰</w:t>
            </w:r>
          </w:p>
        </w:tc>
      </w:tr>
      <w:tr w14:paraId="4D3202F5">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9E08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165441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签约合同价的4‰</w:t>
            </w:r>
          </w:p>
        </w:tc>
      </w:tr>
    </w:tbl>
    <w:p w14:paraId="70CBCF5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（1）较大事故，是指造成3人以上10人以下死亡，或者10人以上50人以下重伤，或者1000万元以上5000万元以下直接经济损失的事故；</w:t>
      </w:r>
    </w:p>
    <w:p w14:paraId="6BA756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（2）重大事故，是指造成10人以上30人以下死亡，或者50人以上100人以下重伤，或者5000万元以上1亿元以下直接经济损失的事故；</w:t>
      </w:r>
    </w:p>
    <w:p w14:paraId="733446A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（3）特别重大事故，是指造成30人以上死亡，或者100人以上重伤（包括急性工业中毒，下同），或者1亿元以上直接经济损失的事故；</w:t>
      </w:r>
    </w:p>
    <w:p w14:paraId="2A23F2F3">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（4）所称的“以上”包括本数，所称的“以下”不包括本数。</w:t>
      </w:r>
    </w:p>
    <w:p w14:paraId="17CBF832">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137D8C5">
      <w:pPr>
        <w:spacing w:line="273" w:lineRule="auto"/>
        <w:rPr>
          <w:rFonts w:ascii="宋体" w:hAnsi="宋体" w:eastAsia="宋体" w:cs="Times New Roman"/>
          <w:sz w:val="21"/>
          <w:szCs w:val="21"/>
        </w:rPr>
      </w:pPr>
      <w:bookmarkStart w:id="1804" w:name="_Toc532375717"/>
      <w:bookmarkEnd w:id="1804"/>
      <w:bookmarkStart w:id="1805" w:name="_Toc247418282"/>
      <w:bookmarkEnd w:id="1805"/>
      <w:bookmarkStart w:id="1806" w:name="_Toc239510308"/>
      <w:bookmarkEnd w:id="1806"/>
      <w:bookmarkStart w:id="1807" w:name="_Toc247431442"/>
      <w:r>
        <w:rPr>
          <w:rFonts w:hint="eastAsia" w:ascii="宋体" w:hAnsi="宋体" w:eastAsia="宋体" w:cs="Times New Roman"/>
          <w:sz w:val="21"/>
          <w:szCs w:val="21"/>
        </w:rPr>
        <w:t>十七、协议条款的修订</w:t>
      </w:r>
      <w:bookmarkEnd w:id="1807"/>
    </w:p>
    <w:p w14:paraId="4E6D448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在项目实施过程中，经双方友好协商，本协议的有关条款也可做出相应的修改。</w:t>
      </w:r>
    </w:p>
    <w:p w14:paraId="2A7E220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本工程安全管理协议，由发包人、承包人双方在施工承包合同签订后7天内共同签署，作为施工合同附件。</w:t>
      </w:r>
    </w:p>
    <w:p w14:paraId="1616CC0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  包  人（单位公章）：</w:t>
      </w:r>
      <w:r>
        <w:rPr>
          <w:rFonts w:hint="eastAsia" w:ascii="宋体" w:hAnsi="宋体" w:eastAsia="宋体" w:cs="Times New Roman"/>
          <w:sz w:val="21"/>
          <w:szCs w:val="21"/>
          <w:u w:val="single"/>
        </w:rPr>
        <w:t xml:space="preserve">                   </w:t>
      </w:r>
    </w:p>
    <w:p w14:paraId="303C9B6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F089B2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35911E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 xml:space="preserve"> </w:t>
      </w:r>
    </w:p>
    <w:p w14:paraId="14C32652">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  包  人（单位公章）：</w:t>
      </w:r>
      <w:r>
        <w:rPr>
          <w:rFonts w:hint="eastAsia" w:ascii="宋体" w:hAnsi="宋体" w:eastAsia="宋体" w:cs="Times New Roman"/>
          <w:sz w:val="21"/>
          <w:szCs w:val="21"/>
          <w:u w:val="single"/>
        </w:rPr>
        <w:t xml:space="preserve">                   </w:t>
      </w:r>
    </w:p>
    <w:p w14:paraId="1848BB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p>
    <w:p w14:paraId="1F9924CF">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p>
    <w:p w14:paraId="75CA5B8D">
      <w:pPr>
        <w:snapToGrid w:val="0"/>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br w:type="page"/>
      </w:r>
    </w:p>
    <w:p w14:paraId="4561CB7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CAAE13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808" w:name="_Toc296891061"/>
      <w:bookmarkEnd w:id="1808"/>
      <w:bookmarkStart w:id="1809" w:name="_Toc296347232"/>
      <w:bookmarkEnd w:id="1809"/>
      <w:bookmarkStart w:id="1810" w:name="_Toc296891273"/>
      <w:bookmarkEnd w:id="1810"/>
      <w:bookmarkStart w:id="1811" w:name="_Toc296503233"/>
      <w:bookmarkEnd w:id="1811"/>
      <w:bookmarkStart w:id="1812" w:name="_Toc296944572"/>
      <w:bookmarkEnd w:id="1812"/>
      <w:bookmarkStart w:id="1813" w:name="_Toc296346734"/>
      <w:r>
        <w:rPr>
          <w:rFonts w:hint="eastAsia" w:ascii="宋体" w:hAnsi="宋体" w:eastAsia="宋体" w:cs="Times New Roman"/>
          <w:sz w:val="21"/>
          <w:szCs w:val="21"/>
        </w:rPr>
        <w:t>件10</w:t>
      </w:r>
      <w:bookmarkEnd w:id="1813"/>
    </w:p>
    <w:p w14:paraId="1E1D4825">
      <w:pPr>
        <w:spacing w:before="156" w:beforeLines="50" w:after="156" w:afterLines="50" w:line="480" w:lineRule="auto"/>
        <w:jc w:val="center"/>
        <w:rPr>
          <w:rFonts w:ascii="宋体" w:hAnsi="宋体" w:eastAsia="宋体" w:cs="Times New Roman"/>
          <w:sz w:val="21"/>
          <w:szCs w:val="21"/>
        </w:rPr>
      </w:pPr>
      <w:r>
        <w:rPr>
          <w:rFonts w:hint="eastAsia" w:ascii="宋体" w:hAnsi="宋体" w:eastAsia="宋体" w:cs="Times New Roman"/>
          <w:sz w:val="21"/>
          <w:szCs w:val="21"/>
        </w:rPr>
        <w:t>廉洁从业协议</w:t>
      </w:r>
    </w:p>
    <w:p w14:paraId="68CE082B">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127147CE">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11F8F228">
      <w:pPr>
        <w:spacing w:line="360" w:lineRule="auto"/>
        <w:rPr>
          <w:rFonts w:ascii="宋体" w:hAnsi="宋体" w:eastAsia="宋体" w:cs="Times New Roman"/>
          <w:sz w:val="21"/>
          <w:szCs w:val="21"/>
        </w:rPr>
      </w:pPr>
      <w:r>
        <w:rPr>
          <w:rFonts w:hint="eastAsia" w:ascii="宋体" w:hAnsi="宋体" w:eastAsia="宋体" w:cs="Times New Roman"/>
          <w:sz w:val="21"/>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E6EF69D">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1. 发包人承包人的权利和义务</w:t>
      </w:r>
    </w:p>
    <w:p w14:paraId="4B3E0EBA">
      <w:pPr>
        <w:spacing w:line="360" w:lineRule="auto"/>
        <w:rPr>
          <w:rFonts w:ascii="宋体" w:hAnsi="宋体" w:eastAsia="宋体" w:cs="Times New Roman"/>
          <w:sz w:val="21"/>
          <w:szCs w:val="21"/>
        </w:rPr>
      </w:pPr>
      <w:r>
        <w:rPr>
          <w:rFonts w:hint="eastAsia" w:ascii="宋体" w:hAnsi="宋体" w:eastAsia="宋体" w:cs="Times New Roman"/>
          <w:sz w:val="21"/>
          <w:szCs w:val="21"/>
        </w:rPr>
        <w:t>（1）严格遵守党的政策规定和国家有关法律法规及相关部门的有关规定。</w:t>
      </w:r>
    </w:p>
    <w:p w14:paraId="237D2127">
      <w:pPr>
        <w:spacing w:line="360" w:lineRule="auto"/>
        <w:rPr>
          <w:rFonts w:ascii="宋体" w:hAnsi="宋体" w:eastAsia="宋体" w:cs="Times New Roman"/>
          <w:sz w:val="21"/>
          <w:szCs w:val="21"/>
        </w:rPr>
      </w:pPr>
      <w:r>
        <w:rPr>
          <w:rFonts w:hint="eastAsia" w:ascii="宋体" w:hAnsi="宋体" w:eastAsia="宋体" w:cs="Times New Roman"/>
          <w:sz w:val="21"/>
          <w:szCs w:val="21"/>
        </w:rPr>
        <w:t>（2）严格执行 工程的合同文件，自觉按合同办事。</w:t>
      </w:r>
    </w:p>
    <w:p w14:paraId="6C410584">
      <w:pPr>
        <w:spacing w:line="360" w:lineRule="auto"/>
        <w:rPr>
          <w:rFonts w:ascii="宋体" w:hAnsi="宋体" w:eastAsia="宋体" w:cs="Times New Roman"/>
          <w:sz w:val="21"/>
          <w:szCs w:val="21"/>
        </w:rPr>
      </w:pPr>
      <w:r>
        <w:rPr>
          <w:rFonts w:hint="eastAsia" w:ascii="宋体" w:hAnsi="宋体" w:eastAsia="宋体" w:cs="Times New Roman"/>
          <w:sz w:val="21"/>
          <w:szCs w:val="21"/>
        </w:rPr>
        <w:t>（3）双方的业务活动坚持公开、公正、诚信、透明的原则（法律认定的商业秘密和合同文件另有规定除外），不得损害国家和集体利益，违反工程建设管理规章制度。</w:t>
      </w:r>
    </w:p>
    <w:p w14:paraId="6FB5C638">
      <w:pPr>
        <w:spacing w:line="360" w:lineRule="auto"/>
        <w:rPr>
          <w:rFonts w:ascii="宋体" w:hAnsi="宋体" w:eastAsia="宋体" w:cs="Times New Roman"/>
          <w:sz w:val="21"/>
          <w:szCs w:val="21"/>
        </w:rPr>
      </w:pPr>
      <w:r>
        <w:rPr>
          <w:rFonts w:hint="eastAsia" w:ascii="宋体" w:hAnsi="宋体" w:eastAsia="宋体" w:cs="Times New Roman"/>
          <w:sz w:val="21"/>
          <w:szCs w:val="21"/>
        </w:rPr>
        <w:t>（4）建立健全廉政制度，开展廉政教育，设立廉政告示牌，公布举报电话，监督并认真查处违法违纪行为。</w:t>
      </w:r>
    </w:p>
    <w:p w14:paraId="3A976480">
      <w:pPr>
        <w:spacing w:line="360" w:lineRule="auto"/>
        <w:rPr>
          <w:rFonts w:ascii="宋体" w:hAnsi="宋体" w:eastAsia="宋体" w:cs="Times New Roman"/>
          <w:sz w:val="21"/>
          <w:szCs w:val="21"/>
        </w:rPr>
      </w:pPr>
      <w:r>
        <w:rPr>
          <w:rFonts w:hint="eastAsia" w:ascii="宋体" w:hAnsi="宋体" w:eastAsia="宋体" w:cs="Times New Roman"/>
          <w:sz w:val="21"/>
          <w:szCs w:val="21"/>
        </w:rPr>
        <w:t>（5）发现对方在业务活动中有违反廉政规定的行为，有及时提醒对方纠正的权利和义务。</w:t>
      </w:r>
    </w:p>
    <w:p w14:paraId="40ABD2D2">
      <w:pPr>
        <w:spacing w:line="360" w:lineRule="auto"/>
        <w:rPr>
          <w:rFonts w:ascii="宋体" w:hAnsi="宋体" w:eastAsia="宋体" w:cs="Times New Roman"/>
          <w:sz w:val="21"/>
          <w:szCs w:val="21"/>
        </w:rPr>
      </w:pPr>
      <w:r>
        <w:rPr>
          <w:rFonts w:hint="eastAsia" w:ascii="宋体" w:hAnsi="宋体" w:eastAsia="宋体" w:cs="Times New Roman"/>
          <w:sz w:val="21"/>
          <w:szCs w:val="21"/>
        </w:rPr>
        <w:t>（6）发现对方严重违反协议义务条款的行为，有向其上级有关部门举报、建议给予处理并要求告知处理结果的权利。</w:t>
      </w:r>
    </w:p>
    <w:p w14:paraId="13D6C498">
      <w:pPr>
        <w:spacing w:line="360" w:lineRule="auto"/>
        <w:rPr>
          <w:rFonts w:ascii="宋体" w:hAnsi="宋体" w:eastAsia="宋体" w:cs="Times New Roman"/>
          <w:sz w:val="21"/>
          <w:szCs w:val="21"/>
        </w:rPr>
      </w:pPr>
      <w:r>
        <w:rPr>
          <w:rFonts w:hint="eastAsia" w:ascii="宋体" w:hAnsi="宋体" w:eastAsia="宋体" w:cs="Times New Roman"/>
          <w:sz w:val="21"/>
          <w:szCs w:val="21"/>
        </w:rPr>
        <w:t>2. 发包人的义务</w:t>
      </w:r>
    </w:p>
    <w:p w14:paraId="08F63D42">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（1）发包人及其工作人员不得索要或接受承包人的礼金、有价证券和贵重物品，不得在承包人报销任何应由发包人或发包人工作人员个人支付的费用等。</w:t>
      </w:r>
    </w:p>
    <w:p w14:paraId="09BC4C53">
      <w:pPr>
        <w:spacing w:line="360" w:lineRule="auto"/>
        <w:rPr>
          <w:rFonts w:ascii="宋体" w:hAnsi="宋体" w:eastAsia="宋体" w:cs="Times New Roman"/>
          <w:sz w:val="21"/>
          <w:szCs w:val="21"/>
        </w:rPr>
      </w:pPr>
      <w:r>
        <w:rPr>
          <w:rFonts w:hint="eastAsia" w:ascii="宋体" w:hAnsi="宋体" w:eastAsia="宋体" w:cs="Times New Roman"/>
          <w:sz w:val="21"/>
          <w:szCs w:val="21"/>
        </w:rPr>
        <w:t>（2）发包人工作人员不得参加承包人安排的超标准宴请和娱乐活动；不得接受承包人提供的通讯工具、交通工具和高档办公用品等。</w:t>
      </w:r>
    </w:p>
    <w:p w14:paraId="3FE9ED6D">
      <w:pPr>
        <w:spacing w:line="360" w:lineRule="auto"/>
        <w:rPr>
          <w:rFonts w:ascii="宋体" w:hAnsi="宋体" w:eastAsia="宋体" w:cs="Times New Roman"/>
          <w:sz w:val="21"/>
          <w:szCs w:val="21"/>
        </w:rPr>
      </w:pPr>
      <w:r>
        <w:rPr>
          <w:rFonts w:hint="eastAsia" w:ascii="宋体" w:hAnsi="宋体" w:eastAsia="宋体" w:cs="Times New Roman"/>
          <w:sz w:val="21"/>
          <w:szCs w:val="21"/>
        </w:rPr>
        <w:t>（3）发包人及其工作人员不得要求或者接受承包人为其住房装修、婚丧嫁娶活动、配偶子女的工作安排以及出国出境、旅游等提供方便等。</w:t>
      </w:r>
    </w:p>
    <w:p w14:paraId="5F2F6013">
      <w:pPr>
        <w:spacing w:line="360" w:lineRule="auto"/>
        <w:rPr>
          <w:rFonts w:ascii="宋体" w:hAnsi="宋体" w:eastAsia="宋体" w:cs="Times New Roman"/>
          <w:sz w:val="21"/>
          <w:szCs w:val="21"/>
        </w:rPr>
      </w:pPr>
      <w:r>
        <w:rPr>
          <w:rFonts w:hint="eastAsia" w:ascii="宋体" w:hAnsi="宋体" w:eastAsia="宋体" w:cs="Times New Roman"/>
          <w:sz w:val="21"/>
          <w:szCs w:val="21"/>
        </w:rPr>
        <w:t>（4）发包人工作人员及其配偶、子女不得从事与发包人工程有关的材料设备供应、工程分包、劳务等经济活动等。</w:t>
      </w:r>
    </w:p>
    <w:p w14:paraId="7102B6D5">
      <w:pPr>
        <w:spacing w:line="360" w:lineRule="auto"/>
        <w:rPr>
          <w:rFonts w:ascii="宋体" w:hAnsi="宋体" w:eastAsia="宋体" w:cs="Times New Roman"/>
          <w:sz w:val="21"/>
          <w:szCs w:val="21"/>
        </w:rPr>
      </w:pPr>
      <w:r>
        <w:rPr>
          <w:rFonts w:hint="eastAsia" w:ascii="宋体" w:hAnsi="宋体" w:eastAsia="宋体" w:cs="Times New Roman"/>
          <w:sz w:val="21"/>
          <w:szCs w:val="21"/>
        </w:rPr>
        <w:t>（5）发包人及其工作人员不得以任何理由向承包人推荐分包单位或推销材料，不得要求承包人购买合同规定外的材料和设备。</w:t>
      </w:r>
    </w:p>
    <w:p w14:paraId="5E793027">
      <w:pPr>
        <w:spacing w:line="360" w:lineRule="auto"/>
        <w:rPr>
          <w:rFonts w:ascii="宋体" w:hAnsi="宋体" w:eastAsia="宋体" w:cs="Times New Roman"/>
          <w:sz w:val="21"/>
          <w:szCs w:val="21"/>
        </w:rPr>
      </w:pPr>
      <w:r>
        <w:rPr>
          <w:rFonts w:hint="eastAsia" w:ascii="宋体" w:hAnsi="宋体" w:eastAsia="宋体" w:cs="Times New Roman"/>
          <w:sz w:val="21"/>
          <w:szCs w:val="21"/>
        </w:rPr>
        <w:t>（6）发包人工作人员要秉公办事，不准营私舞弊，不准利用职权从事各种个人有偿中介活动和安排个人施工队伍。</w:t>
      </w:r>
    </w:p>
    <w:p w14:paraId="48385820">
      <w:pPr>
        <w:spacing w:line="360" w:lineRule="auto"/>
        <w:rPr>
          <w:rFonts w:ascii="宋体" w:hAnsi="宋体" w:eastAsia="宋体" w:cs="Times New Roman"/>
          <w:sz w:val="21"/>
          <w:szCs w:val="21"/>
        </w:rPr>
      </w:pPr>
      <w:r>
        <w:rPr>
          <w:rFonts w:hint="eastAsia" w:ascii="宋体" w:hAnsi="宋体" w:eastAsia="宋体" w:cs="Times New Roman"/>
          <w:sz w:val="21"/>
          <w:szCs w:val="21"/>
        </w:rPr>
        <w:t>3. 承包人义务</w:t>
      </w:r>
    </w:p>
    <w:p w14:paraId="34A83EB9">
      <w:pPr>
        <w:spacing w:line="360" w:lineRule="auto"/>
        <w:rPr>
          <w:rFonts w:ascii="宋体" w:hAnsi="宋体" w:eastAsia="宋体" w:cs="Times New Roman"/>
          <w:sz w:val="21"/>
          <w:szCs w:val="21"/>
        </w:rPr>
      </w:pPr>
      <w:r>
        <w:rPr>
          <w:rFonts w:hint="eastAsia" w:ascii="宋体" w:hAnsi="宋体" w:eastAsia="宋体" w:cs="Times New Roman"/>
          <w:sz w:val="21"/>
          <w:szCs w:val="21"/>
        </w:rPr>
        <w:t>（1）承包人不得以任何理由向发包人及其工作人员行贿或馈赠礼金、有价证券、贵重礼品。</w:t>
      </w:r>
    </w:p>
    <w:p w14:paraId="0E1B884A">
      <w:pPr>
        <w:spacing w:line="360" w:lineRule="auto"/>
        <w:rPr>
          <w:rFonts w:ascii="宋体" w:hAnsi="宋体" w:eastAsia="宋体" w:cs="Times New Roman"/>
          <w:sz w:val="21"/>
          <w:szCs w:val="21"/>
        </w:rPr>
      </w:pPr>
      <w:r>
        <w:rPr>
          <w:rFonts w:hint="eastAsia" w:ascii="宋体" w:hAnsi="宋体" w:eastAsia="宋体" w:cs="Times New Roman"/>
          <w:sz w:val="21"/>
          <w:szCs w:val="21"/>
        </w:rPr>
        <w:t>（2）承包人不得以任何名义为发包人及其工作人员报销应由发包人单位或个人支付的任何费用。</w:t>
      </w:r>
    </w:p>
    <w:p w14:paraId="202D5EDD">
      <w:pPr>
        <w:spacing w:line="360" w:lineRule="auto"/>
        <w:rPr>
          <w:rFonts w:ascii="宋体" w:hAnsi="宋体" w:eastAsia="宋体" w:cs="Times New Roman"/>
          <w:sz w:val="21"/>
          <w:szCs w:val="21"/>
        </w:rPr>
      </w:pPr>
      <w:r>
        <w:rPr>
          <w:rFonts w:hint="eastAsia" w:ascii="宋体" w:hAnsi="宋体" w:eastAsia="宋体" w:cs="Times New Roman"/>
          <w:sz w:val="21"/>
          <w:szCs w:val="21"/>
        </w:rPr>
        <w:t>（3）承包人不得以任何理由安排发包人工作人员参加超标准宴请及娱乐活动。</w:t>
      </w:r>
    </w:p>
    <w:p w14:paraId="48DBA1E2">
      <w:pPr>
        <w:spacing w:line="360" w:lineRule="auto"/>
        <w:rPr>
          <w:rFonts w:ascii="宋体" w:hAnsi="宋体" w:eastAsia="宋体" w:cs="Times New Roman"/>
          <w:sz w:val="21"/>
          <w:szCs w:val="21"/>
        </w:rPr>
      </w:pPr>
      <w:r>
        <w:rPr>
          <w:rFonts w:hint="eastAsia" w:ascii="宋体" w:hAnsi="宋体" w:eastAsia="宋体" w:cs="Times New Roman"/>
          <w:sz w:val="21"/>
          <w:szCs w:val="21"/>
        </w:rPr>
        <w:t>（4）承包人不得为发包人单位和个人购置或提供通讯工具、交通工具和高档办公用品等。</w:t>
      </w:r>
    </w:p>
    <w:p w14:paraId="0C5D7BEB">
      <w:pPr>
        <w:spacing w:line="360" w:lineRule="auto"/>
        <w:rPr>
          <w:rFonts w:ascii="宋体" w:hAnsi="宋体" w:eastAsia="宋体" w:cs="Times New Roman"/>
          <w:sz w:val="21"/>
          <w:szCs w:val="21"/>
        </w:rPr>
      </w:pPr>
      <w:r>
        <w:rPr>
          <w:rFonts w:hint="eastAsia" w:ascii="宋体" w:hAnsi="宋体" w:eastAsia="宋体" w:cs="Times New Roman"/>
          <w:sz w:val="21"/>
          <w:szCs w:val="21"/>
        </w:rPr>
        <w:t>4. 违约责任</w:t>
      </w:r>
    </w:p>
    <w:p w14:paraId="13B991E1">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（1）发包人及其工作人员违反合同第1、2条，按管理权限，依据有关规定给予党纪、政纪或组织处理；涉嫌犯罪的，移交司法机关追究刑事责任；给承包人单位造成经济损失的，应予以赔偿。</w:t>
      </w:r>
    </w:p>
    <w:p w14:paraId="6EFCADC4">
      <w:pPr>
        <w:spacing w:line="360" w:lineRule="auto"/>
        <w:rPr>
          <w:rFonts w:ascii="宋体" w:hAnsi="宋体" w:eastAsia="宋体" w:cs="Times New Roman"/>
          <w:sz w:val="21"/>
          <w:szCs w:val="21"/>
        </w:rPr>
      </w:pPr>
      <w:r>
        <w:rPr>
          <w:rFonts w:hint="eastAsia" w:ascii="宋体" w:hAnsi="宋体" w:eastAsia="宋体" w:cs="Times New Roman"/>
          <w:sz w:val="21"/>
          <w:szCs w:val="21"/>
        </w:rPr>
        <w:t>（2）承包人及其工作人员违反合同第1、3条，按管理权限，依据有关规定给予党纪、政纪或组织处理；给发包人单位造成经济损失的，应予以赔偿。</w:t>
      </w:r>
    </w:p>
    <w:p w14:paraId="67170577">
      <w:pPr>
        <w:spacing w:line="360" w:lineRule="auto"/>
        <w:rPr>
          <w:rFonts w:ascii="宋体" w:hAnsi="宋体" w:eastAsia="宋体" w:cs="Times New Roman"/>
          <w:sz w:val="21"/>
          <w:szCs w:val="21"/>
        </w:rPr>
      </w:pPr>
      <w:r>
        <w:rPr>
          <w:rFonts w:hint="eastAsia" w:ascii="宋体" w:hAnsi="宋体" w:eastAsia="宋体" w:cs="Times New Roman"/>
          <w:sz w:val="21"/>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EB65740">
      <w:pPr>
        <w:spacing w:line="360" w:lineRule="auto"/>
        <w:rPr>
          <w:rFonts w:ascii="宋体" w:hAnsi="宋体" w:eastAsia="宋体" w:cs="Times New Roman"/>
          <w:sz w:val="21"/>
          <w:szCs w:val="21"/>
        </w:rPr>
      </w:pPr>
      <w:r>
        <w:rPr>
          <w:rFonts w:hint="eastAsia" w:ascii="宋体" w:hAnsi="宋体" w:eastAsia="宋体" w:cs="Times New Roman"/>
          <w:sz w:val="21"/>
          <w:szCs w:val="21"/>
        </w:rPr>
        <w:t>6. 协议有效期为发承包双方签署之日起至该工程项目竣工验收后止。</w:t>
      </w:r>
    </w:p>
    <w:p w14:paraId="7B2B8851">
      <w:pPr>
        <w:spacing w:line="360" w:lineRule="auto"/>
        <w:rPr>
          <w:rFonts w:ascii="宋体" w:hAnsi="宋体" w:eastAsia="宋体" w:cs="Times New Roman"/>
          <w:sz w:val="21"/>
          <w:szCs w:val="21"/>
        </w:rPr>
      </w:pPr>
      <w:r>
        <w:rPr>
          <w:rFonts w:hint="eastAsia" w:ascii="宋体" w:hAnsi="宋体" w:eastAsia="宋体" w:cs="Times New Roman"/>
          <w:sz w:val="21"/>
          <w:szCs w:val="21"/>
        </w:rPr>
        <w:t>7.协议作为工程施工合同的附件，与工程施工合同具有同等的法律效力，经合同双方签署立即生效。</w:t>
      </w:r>
    </w:p>
    <w:p w14:paraId="227820B6">
      <w:pPr>
        <w:spacing w:line="360" w:lineRule="auto"/>
        <w:rPr>
          <w:rFonts w:ascii="宋体" w:hAnsi="宋体" w:eastAsia="宋体" w:cs="Times New Roman"/>
          <w:sz w:val="21"/>
          <w:szCs w:val="21"/>
        </w:rPr>
      </w:pPr>
      <w:r>
        <w:rPr>
          <w:rFonts w:hint="eastAsia" w:ascii="宋体" w:hAnsi="宋体" w:eastAsia="宋体" w:cs="Times New Roman"/>
          <w:sz w:val="21"/>
          <w:szCs w:val="21"/>
        </w:rPr>
        <w:t>（以下无正文）</w:t>
      </w:r>
    </w:p>
    <w:p w14:paraId="59D384F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85726C4">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F6D06C">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7FA2641">
      <w:pPr>
        <w:spacing w:line="360" w:lineRule="auto"/>
        <w:rPr>
          <w:rFonts w:ascii="宋体" w:hAnsi="宋体" w:eastAsia="宋体" w:cs="Times New Roman"/>
          <w:sz w:val="21"/>
          <w:szCs w:val="21"/>
        </w:rPr>
      </w:pPr>
      <w:r>
        <w:rPr>
          <w:rFonts w:hint="eastAsia" w:ascii="宋体" w:hAnsi="宋体" w:eastAsia="宋体" w:cs="Times New Roman"/>
          <w:sz w:val="21"/>
          <w:szCs w:val="21"/>
        </w:rPr>
        <w:t>发 包 人 ：                         承 包 人 ：</w:t>
      </w:r>
    </w:p>
    <w:p w14:paraId="2F4E1EBF">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1212E8B2">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124F90B">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法定代表人                      </w:t>
      </w:r>
    </w:p>
    <w:p w14:paraId="46C7618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1A5497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8107C3">
      <w:pPr>
        <w:spacing w:line="360" w:lineRule="auto"/>
        <w:rPr>
          <w:rFonts w:ascii="宋体" w:hAnsi="宋体" w:eastAsia="宋体" w:cs="Times New Roman"/>
          <w:sz w:val="21"/>
          <w:szCs w:val="21"/>
        </w:rPr>
      </w:pPr>
      <w:r>
        <w:rPr>
          <w:rFonts w:hint="eastAsia" w:ascii="宋体" w:hAnsi="宋体" w:eastAsia="宋体" w:cs="Times New Roman"/>
          <w:sz w:val="21"/>
          <w:szCs w:val="21"/>
        </w:rPr>
        <w:t>或其授权的代理人：                  或授权的代理人：</w:t>
      </w:r>
    </w:p>
    <w:p w14:paraId="0533BF51">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775C9EE4">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335D5A1A">
      <w:pPr>
        <w:spacing w:line="440" w:lineRule="exact"/>
        <w:rPr>
          <w:rFonts w:ascii="宋体" w:hAnsi="宋体" w:eastAsia="宋体" w:cs="Times New Roman"/>
          <w:sz w:val="21"/>
          <w:szCs w:val="21"/>
        </w:rPr>
      </w:pPr>
      <w:r>
        <w:rPr>
          <w:rFonts w:hint="eastAsia" w:ascii="宋体" w:hAnsi="宋体" w:eastAsia="宋体" w:cs="Times New Roman"/>
          <w:sz w:val="21"/>
          <w:szCs w:val="21"/>
        </w:rPr>
        <w:t>附件11：</w:t>
      </w:r>
    </w:p>
    <w:p w14:paraId="5B1A2CD4">
      <w:pPr>
        <w:spacing w:line="440" w:lineRule="exact"/>
        <w:jc w:val="center"/>
        <w:rPr>
          <w:rFonts w:hint="eastAsia" w:ascii="宋体" w:hAnsi="宋体" w:eastAsia="宋体" w:cs="Times New Roman"/>
          <w:sz w:val="21"/>
          <w:szCs w:val="21"/>
        </w:rPr>
      </w:pPr>
    </w:p>
    <w:p w14:paraId="2F163821">
      <w:pPr>
        <w:spacing w:line="440" w:lineRule="exact"/>
        <w:jc w:val="center"/>
        <w:rPr>
          <w:rFonts w:hint="eastAsia" w:ascii="宋体" w:hAnsi="宋体" w:eastAsia="宋体" w:cs="Times New Roman"/>
          <w:sz w:val="21"/>
          <w:szCs w:val="21"/>
        </w:rPr>
      </w:pPr>
    </w:p>
    <w:p w14:paraId="1C7DC963">
      <w:pPr>
        <w:spacing w:line="440" w:lineRule="exact"/>
        <w:jc w:val="center"/>
        <w:rPr>
          <w:rFonts w:hint="eastAsia" w:ascii="宋体" w:hAnsi="宋体" w:eastAsia="宋体" w:cs="Times New Roman"/>
          <w:sz w:val="21"/>
          <w:szCs w:val="21"/>
        </w:rPr>
      </w:pPr>
    </w:p>
    <w:p w14:paraId="11EAE149">
      <w:pPr>
        <w:spacing w:line="440" w:lineRule="exact"/>
        <w:jc w:val="center"/>
        <w:rPr>
          <w:rFonts w:hint="eastAsia" w:ascii="宋体" w:hAnsi="宋体" w:eastAsia="宋体" w:cs="Times New Roman"/>
          <w:sz w:val="21"/>
          <w:szCs w:val="21"/>
        </w:rPr>
      </w:pPr>
    </w:p>
    <w:p w14:paraId="5301B346">
      <w:pPr>
        <w:spacing w:line="440" w:lineRule="exact"/>
        <w:jc w:val="center"/>
        <w:rPr>
          <w:rFonts w:hint="eastAsia" w:ascii="宋体" w:hAnsi="宋体" w:eastAsia="宋体" w:cs="Times New Roman"/>
          <w:sz w:val="21"/>
          <w:szCs w:val="21"/>
        </w:rPr>
      </w:pPr>
    </w:p>
    <w:p w14:paraId="2063643B">
      <w:pPr>
        <w:spacing w:line="440" w:lineRule="exact"/>
        <w:jc w:val="center"/>
        <w:rPr>
          <w:rFonts w:hint="eastAsia" w:ascii="宋体" w:hAnsi="宋体" w:eastAsia="宋体" w:cs="Times New Roman"/>
          <w:sz w:val="21"/>
          <w:szCs w:val="21"/>
        </w:rPr>
      </w:pPr>
    </w:p>
    <w:p w14:paraId="59754541">
      <w:pPr>
        <w:spacing w:line="440" w:lineRule="exact"/>
        <w:jc w:val="both"/>
        <w:rPr>
          <w:rFonts w:hint="eastAsia" w:ascii="宋体" w:hAnsi="宋体" w:eastAsia="宋体" w:cs="Times New Roman"/>
          <w:sz w:val="21"/>
          <w:szCs w:val="21"/>
        </w:rPr>
      </w:pPr>
    </w:p>
    <w:p w14:paraId="3103037E">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11-1：材料暂估价表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69E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8FC552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6393AA8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4D3514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4B542A7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6A2140B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3D28FC7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09756143">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83E7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65DBF33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57A82E52">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628D2FA9">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4CAEB5E4">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57FC157C">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260F862A">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552340F0">
            <w:pPr>
              <w:keepNext/>
              <w:spacing w:before="100" w:beforeAutospacing="1" w:line="440" w:lineRule="exact"/>
              <w:ind w:right="63"/>
              <w:jc w:val="center"/>
              <w:rPr>
                <w:rFonts w:ascii="宋体" w:hAnsi="宋体" w:eastAsia="宋体" w:cs="Times New Roman"/>
                <w:sz w:val="21"/>
                <w:szCs w:val="21"/>
              </w:rPr>
            </w:pPr>
          </w:p>
        </w:tc>
      </w:tr>
      <w:tr w14:paraId="0C05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7EDEA1A2">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18673C40">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465665FC">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1DA7B00F">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329B0AF">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7A98C6DD">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7B0AB627">
            <w:pPr>
              <w:keepNext/>
              <w:spacing w:before="100" w:beforeAutospacing="1" w:line="440" w:lineRule="exact"/>
              <w:ind w:right="63"/>
              <w:jc w:val="center"/>
              <w:rPr>
                <w:rFonts w:ascii="宋体" w:hAnsi="宋体" w:eastAsia="宋体" w:cs="Times New Roman"/>
                <w:sz w:val="21"/>
                <w:szCs w:val="21"/>
              </w:rPr>
            </w:pPr>
          </w:p>
        </w:tc>
      </w:tr>
      <w:tr w14:paraId="247AF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D1E1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489EF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002DE0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173CB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AD2B04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F9B82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FD994ED">
            <w:pPr>
              <w:keepNext/>
              <w:spacing w:before="100" w:beforeAutospacing="1" w:line="440" w:lineRule="exact"/>
              <w:ind w:right="63"/>
              <w:jc w:val="center"/>
              <w:rPr>
                <w:rFonts w:ascii="宋体" w:hAnsi="宋体" w:eastAsia="宋体" w:cs="Times New Roman"/>
                <w:sz w:val="21"/>
                <w:szCs w:val="21"/>
              </w:rPr>
            </w:pPr>
          </w:p>
        </w:tc>
      </w:tr>
      <w:tr w14:paraId="5FFC1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58EEB7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8BCCEB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061801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2F8FB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6DC1C0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536307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6D0A7D6">
            <w:pPr>
              <w:keepNext/>
              <w:spacing w:before="100" w:beforeAutospacing="1" w:line="440" w:lineRule="exact"/>
              <w:ind w:right="63"/>
              <w:jc w:val="center"/>
              <w:rPr>
                <w:rFonts w:ascii="宋体" w:hAnsi="宋体" w:eastAsia="宋体" w:cs="Times New Roman"/>
                <w:sz w:val="21"/>
                <w:szCs w:val="21"/>
              </w:rPr>
            </w:pPr>
          </w:p>
        </w:tc>
      </w:tr>
      <w:tr w14:paraId="28578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CED87C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E14E5D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B3FB6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9B1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63D6C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3E8A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D19F41">
            <w:pPr>
              <w:keepNext/>
              <w:spacing w:before="100" w:beforeAutospacing="1" w:line="440" w:lineRule="exact"/>
              <w:ind w:right="63"/>
              <w:jc w:val="center"/>
              <w:rPr>
                <w:rFonts w:ascii="宋体" w:hAnsi="宋体" w:eastAsia="宋体" w:cs="Times New Roman"/>
                <w:sz w:val="21"/>
                <w:szCs w:val="21"/>
              </w:rPr>
            </w:pPr>
          </w:p>
        </w:tc>
      </w:tr>
      <w:tr w14:paraId="67AED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D5175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547F97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B7986E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A00F50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3C4C71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0EA525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8A854CA">
            <w:pPr>
              <w:keepNext/>
              <w:spacing w:before="100" w:beforeAutospacing="1" w:line="440" w:lineRule="exact"/>
              <w:ind w:right="63"/>
              <w:jc w:val="center"/>
              <w:rPr>
                <w:rFonts w:ascii="宋体" w:hAnsi="宋体" w:eastAsia="宋体" w:cs="Times New Roman"/>
                <w:sz w:val="21"/>
                <w:szCs w:val="21"/>
              </w:rPr>
            </w:pPr>
          </w:p>
        </w:tc>
      </w:tr>
      <w:tr w14:paraId="1600C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FB92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3E48B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92AD6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8A164B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EB38E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D176D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73747C">
            <w:pPr>
              <w:keepNext/>
              <w:spacing w:before="100" w:beforeAutospacing="1" w:line="440" w:lineRule="exact"/>
              <w:ind w:right="63"/>
              <w:jc w:val="center"/>
              <w:rPr>
                <w:rFonts w:ascii="宋体" w:hAnsi="宋体" w:eastAsia="宋体" w:cs="Times New Roman"/>
                <w:sz w:val="21"/>
                <w:szCs w:val="21"/>
              </w:rPr>
            </w:pPr>
          </w:p>
        </w:tc>
      </w:tr>
      <w:tr w14:paraId="1B0DE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661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95231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4D301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79FF2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66349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E75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09877AF">
            <w:pPr>
              <w:keepNext/>
              <w:spacing w:before="100" w:beforeAutospacing="1" w:line="440" w:lineRule="exact"/>
              <w:ind w:right="63"/>
              <w:jc w:val="center"/>
              <w:rPr>
                <w:rFonts w:ascii="宋体" w:hAnsi="宋体" w:eastAsia="宋体" w:cs="Times New Roman"/>
                <w:sz w:val="21"/>
                <w:szCs w:val="21"/>
              </w:rPr>
            </w:pPr>
          </w:p>
        </w:tc>
      </w:tr>
      <w:tr w14:paraId="60398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430CB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2BDB79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15846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8F84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659FFE8">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E33CA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EC34676">
            <w:pPr>
              <w:keepNext/>
              <w:spacing w:before="100" w:beforeAutospacing="1" w:line="440" w:lineRule="exact"/>
              <w:ind w:right="63"/>
              <w:jc w:val="center"/>
              <w:rPr>
                <w:rFonts w:ascii="宋体" w:hAnsi="宋体" w:eastAsia="宋体" w:cs="Times New Roman"/>
                <w:sz w:val="21"/>
                <w:szCs w:val="21"/>
              </w:rPr>
            </w:pPr>
          </w:p>
        </w:tc>
      </w:tr>
      <w:tr w14:paraId="26977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193BC6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86CD14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85CE7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1EF2B1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80362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431DB4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AD4D043">
            <w:pPr>
              <w:keepNext/>
              <w:spacing w:before="100" w:beforeAutospacing="1" w:line="440" w:lineRule="exact"/>
              <w:ind w:right="63"/>
              <w:jc w:val="center"/>
              <w:rPr>
                <w:rFonts w:ascii="宋体" w:hAnsi="宋体" w:eastAsia="宋体" w:cs="Times New Roman"/>
                <w:sz w:val="21"/>
                <w:szCs w:val="21"/>
              </w:rPr>
            </w:pPr>
          </w:p>
        </w:tc>
      </w:tr>
      <w:tr w14:paraId="31412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1BDDF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0E0D9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F899AC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E05619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3A0210">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A88A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0D6F0F">
            <w:pPr>
              <w:keepNext/>
              <w:spacing w:before="100" w:beforeAutospacing="1" w:line="440" w:lineRule="exact"/>
              <w:ind w:right="63"/>
              <w:jc w:val="center"/>
              <w:rPr>
                <w:rFonts w:ascii="宋体" w:hAnsi="宋体" w:eastAsia="宋体" w:cs="Times New Roman"/>
                <w:sz w:val="21"/>
                <w:szCs w:val="21"/>
              </w:rPr>
            </w:pPr>
          </w:p>
        </w:tc>
      </w:tr>
      <w:tr w14:paraId="45FC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79CE7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774C79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268BE3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13275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8401B99">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584DA5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4769983">
            <w:pPr>
              <w:keepNext/>
              <w:spacing w:before="100" w:beforeAutospacing="1" w:line="440" w:lineRule="exact"/>
              <w:ind w:right="63"/>
              <w:jc w:val="center"/>
              <w:rPr>
                <w:rFonts w:ascii="宋体" w:hAnsi="宋体" w:eastAsia="宋体" w:cs="Times New Roman"/>
                <w:sz w:val="21"/>
                <w:szCs w:val="21"/>
              </w:rPr>
            </w:pPr>
          </w:p>
        </w:tc>
      </w:tr>
      <w:tr w14:paraId="4A19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75CA4C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9AF51F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D9E10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A21CF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F7A7F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6EE7FD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59782AD">
            <w:pPr>
              <w:keepNext/>
              <w:spacing w:before="100" w:beforeAutospacing="1" w:line="440" w:lineRule="exact"/>
              <w:ind w:right="63"/>
              <w:jc w:val="center"/>
              <w:rPr>
                <w:rFonts w:ascii="宋体" w:hAnsi="宋体" w:eastAsia="宋体" w:cs="Times New Roman"/>
                <w:sz w:val="21"/>
                <w:szCs w:val="21"/>
              </w:rPr>
            </w:pPr>
          </w:p>
        </w:tc>
      </w:tr>
      <w:tr w14:paraId="0654A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856D49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2212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C9812D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3B8823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ECE05F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10D80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BD412E6">
            <w:pPr>
              <w:keepNext/>
              <w:spacing w:before="100" w:beforeAutospacing="1" w:line="440" w:lineRule="exact"/>
              <w:ind w:right="63"/>
              <w:jc w:val="center"/>
              <w:rPr>
                <w:rFonts w:ascii="宋体" w:hAnsi="宋体" w:eastAsia="宋体" w:cs="Times New Roman"/>
                <w:sz w:val="21"/>
                <w:szCs w:val="21"/>
              </w:rPr>
            </w:pPr>
          </w:p>
        </w:tc>
      </w:tr>
      <w:tr w14:paraId="034B9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730E87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45FAC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CD1332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F2EB6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4EB44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8B5B8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AF4590">
            <w:pPr>
              <w:keepNext/>
              <w:spacing w:before="100" w:beforeAutospacing="1" w:line="440" w:lineRule="exact"/>
              <w:ind w:right="63"/>
              <w:jc w:val="center"/>
              <w:rPr>
                <w:rFonts w:ascii="宋体" w:hAnsi="宋体" w:eastAsia="宋体" w:cs="Times New Roman"/>
                <w:sz w:val="21"/>
                <w:szCs w:val="21"/>
              </w:rPr>
            </w:pPr>
          </w:p>
        </w:tc>
      </w:tr>
      <w:tr w14:paraId="3D9ED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48E37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268502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6191E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6C073E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7018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CEC4D4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1DD3B4">
            <w:pPr>
              <w:keepNext/>
              <w:spacing w:before="100" w:beforeAutospacing="1" w:line="440" w:lineRule="exact"/>
              <w:ind w:right="63"/>
              <w:jc w:val="center"/>
              <w:rPr>
                <w:rFonts w:ascii="宋体" w:hAnsi="宋体" w:eastAsia="宋体" w:cs="Times New Roman"/>
                <w:sz w:val="21"/>
                <w:szCs w:val="21"/>
              </w:rPr>
            </w:pPr>
          </w:p>
        </w:tc>
      </w:tr>
      <w:tr w14:paraId="20E9D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0BC2BF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47E9DD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5563A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B2811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4645A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F2602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15BB3E">
            <w:pPr>
              <w:keepNext/>
              <w:spacing w:before="100" w:beforeAutospacing="1" w:line="440" w:lineRule="exact"/>
              <w:ind w:right="63"/>
              <w:jc w:val="center"/>
              <w:rPr>
                <w:rFonts w:ascii="宋体" w:hAnsi="宋体" w:eastAsia="宋体" w:cs="Times New Roman"/>
                <w:sz w:val="21"/>
                <w:szCs w:val="21"/>
              </w:rPr>
            </w:pPr>
          </w:p>
        </w:tc>
      </w:tr>
      <w:tr w14:paraId="20ECC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EA3FB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A4CAF7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E1777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EB614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5C700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6A577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B2BB88C">
            <w:pPr>
              <w:keepNext/>
              <w:spacing w:before="100" w:beforeAutospacing="1" w:line="440" w:lineRule="exact"/>
              <w:ind w:right="63"/>
              <w:jc w:val="center"/>
              <w:rPr>
                <w:rFonts w:ascii="宋体" w:hAnsi="宋体" w:eastAsia="宋体" w:cs="Times New Roman"/>
                <w:sz w:val="21"/>
                <w:szCs w:val="21"/>
              </w:rPr>
            </w:pPr>
          </w:p>
        </w:tc>
      </w:tr>
      <w:tr w14:paraId="03D8F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F7658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4B8EE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DEBAAB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AACC3D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2F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E1F3893">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71AE527">
            <w:pPr>
              <w:keepNext/>
              <w:spacing w:before="100" w:beforeAutospacing="1" w:line="440" w:lineRule="exact"/>
              <w:ind w:right="63"/>
              <w:jc w:val="center"/>
              <w:rPr>
                <w:rFonts w:ascii="宋体" w:hAnsi="宋体" w:eastAsia="宋体" w:cs="Times New Roman"/>
                <w:sz w:val="21"/>
                <w:szCs w:val="21"/>
              </w:rPr>
            </w:pPr>
          </w:p>
        </w:tc>
      </w:tr>
      <w:tr w14:paraId="3124C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CE783D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1DFD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1C0EA3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7E1BE7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3E239F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4C9519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8DCF21C">
            <w:pPr>
              <w:keepNext/>
              <w:spacing w:before="100" w:beforeAutospacing="1" w:line="440" w:lineRule="exact"/>
              <w:ind w:right="63"/>
              <w:jc w:val="center"/>
              <w:rPr>
                <w:rFonts w:ascii="宋体" w:hAnsi="宋体" w:eastAsia="宋体" w:cs="Times New Roman"/>
                <w:sz w:val="21"/>
                <w:szCs w:val="21"/>
              </w:rPr>
            </w:pPr>
          </w:p>
        </w:tc>
      </w:tr>
      <w:tr w14:paraId="55728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8449E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FD18F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84A2D1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2451D5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E93D87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BEF2F9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2903BAE">
            <w:pPr>
              <w:keepNext/>
              <w:spacing w:before="100" w:beforeAutospacing="1" w:line="440" w:lineRule="exact"/>
              <w:ind w:right="63"/>
              <w:jc w:val="center"/>
              <w:rPr>
                <w:rFonts w:ascii="宋体" w:hAnsi="宋体" w:eastAsia="宋体" w:cs="Times New Roman"/>
                <w:sz w:val="21"/>
                <w:szCs w:val="21"/>
              </w:rPr>
            </w:pPr>
          </w:p>
        </w:tc>
      </w:tr>
      <w:tr w14:paraId="506C9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A3F54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55176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E38A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65EA9C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B1007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806DFC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B2BC09D">
            <w:pPr>
              <w:keepNext/>
              <w:spacing w:before="100" w:beforeAutospacing="1" w:line="440" w:lineRule="exact"/>
              <w:ind w:right="63"/>
              <w:jc w:val="center"/>
              <w:rPr>
                <w:rFonts w:ascii="宋体" w:hAnsi="宋体" w:eastAsia="宋体" w:cs="Times New Roman"/>
                <w:sz w:val="21"/>
                <w:szCs w:val="21"/>
              </w:rPr>
            </w:pPr>
          </w:p>
        </w:tc>
      </w:tr>
      <w:tr w14:paraId="09817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B26375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2FD26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918116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CF2A0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209888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8B872C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E4BE19">
            <w:pPr>
              <w:keepNext/>
              <w:spacing w:before="100" w:beforeAutospacing="1" w:line="440" w:lineRule="exact"/>
              <w:ind w:right="63"/>
              <w:jc w:val="center"/>
              <w:rPr>
                <w:rFonts w:ascii="宋体" w:hAnsi="宋体" w:eastAsia="宋体" w:cs="Times New Roman"/>
                <w:sz w:val="21"/>
                <w:szCs w:val="21"/>
              </w:rPr>
            </w:pPr>
          </w:p>
        </w:tc>
      </w:tr>
      <w:tr w14:paraId="016FA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BAAD8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F583EB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869732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2B5D28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50C86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FB4E09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42B51B">
            <w:pPr>
              <w:keepNext/>
              <w:spacing w:before="100" w:beforeAutospacing="1" w:line="440" w:lineRule="exact"/>
              <w:ind w:right="63"/>
              <w:jc w:val="center"/>
              <w:rPr>
                <w:rFonts w:ascii="宋体" w:hAnsi="宋体" w:eastAsia="宋体" w:cs="Times New Roman"/>
                <w:sz w:val="21"/>
                <w:szCs w:val="21"/>
              </w:rPr>
            </w:pPr>
          </w:p>
        </w:tc>
      </w:tr>
      <w:tr w14:paraId="1344A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F64190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40D61F2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4B7E46B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044E578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7718BBB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68B8945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28B6E348">
            <w:pPr>
              <w:keepNext/>
              <w:spacing w:before="100" w:beforeAutospacing="1" w:line="440" w:lineRule="exact"/>
              <w:ind w:right="63"/>
              <w:jc w:val="center"/>
              <w:rPr>
                <w:rFonts w:ascii="宋体" w:hAnsi="宋体" w:eastAsia="宋体" w:cs="Times New Roman"/>
                <w:sz w:val="21"/>
                <w:szCs w:val="21"/>
              </w:rPr>
            </w:pPr>
          </w:p>
        </w:tc>
      </w:tr>
    </w:tbl>
    <w:p w14:paraId="5108B238">
      <w:pPr>
        <w:rPr>
          <w:rFonts w:ascii="宋体" w:hAnsi="宋体" w:eastAsia="宋体" w:cs="Times New Roman"/>
          <w:sz w:val="21"/>
          <w:szCs w:val="21"/>
        </w:rPr>
      </w:pPr>
      <w:r>
        <w:rPr>
          <w:rFonts w:hint="eastAsia" w:ascii="宋体" w:hAnsi="宋体" w:eastAsia="宋体" w:cs="Times New Roman"/>
          <w:sz w:val="21"/>
          <w:szCs w:val="21"/>
        </w:rPr>
        <w:br w:type="page"/>
      </w:r>
    </w:p>
    <w:p w14:paraId="524E6488">
      <w:pPr>
        <w:spacing w:before="100" w:beforeAutospacing="1" w:after="120"/>
        <w:jc w:val="center"/>
        <w:rPr>
          <w:rFonts w:ascii="宋体" w:hAnsi="宋体" w:eastAsia="宋体" w:cs="Times New Roman"/>
          <w:sz w:val="21"/>
          <w:szCs w:val="21"/>
        </w:rPr>
      </w:pPr>
      <w:r>
        <w:rPr>
          <w:rFonts w:hint="eastAsia" w:ascii="宋体" w:hAnsi="宋体" w:eastAsia="宋体" w:cs="Times New Roman"/>
          <w:sz w:val="21"/>
          <w:szCs w:val="21"/>
        </w:rPr>
        <w:t>11-2：工程设备暂估价表</w:t>
      </w:r>
    </w:p>
    <w:tbl>
      <w:tblPr>
        <w:tblStyle w:val="65"/>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CF67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596000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FDDA39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5A53DFDE">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507CEBC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0E38DC12">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78133B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39D6F7A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66B8B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03A0590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4643CE71">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7C27E315">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26865E27">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4AE1C083">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0FAC8DE1">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0E1C5A9E">
            <w:pPr>
              <w:keepNext/>
              <w:spacing w:before="100" w:beforeAutospacing="1" w:line="440" w:lineRule="exact"/>
              <w:ind w:right="63"/>
              <w:jc w:val="center"/>
              <w:rPr>
                <w:rFonts w:ascii="宋体" w:hAnsi="宋体" w:eastAsia="宋体" w:cs="Times New Roman"/>
                <w:sz w:val="21"/>
                <w:szCs w:val="21"/>
              </w:rPr>
            </w:pPr>
          </w:p>
        </w:tc>
      </w:tr>
      <w:tr w14:paraId="73EBF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A42DB67">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4444F1A">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7FD11BA7">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2BD992BB">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4F63142">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491C5F97">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1C8CDA08">
            <w:pPr>
              <w:keepNext/>
              <w:spacing w:before="100" w:beforeAutospacing="1" w:line="440" w:lineRule="exact"/>
              <w:ind w:right="63"/>
              <w:jc w:val="center"/>
              <w:rPr>
                <w:rFonts w:ascii="宋体" w:hAnsi="宋体" w:eastAsia="宋体" w:cs="Times New Roman"/>
                <w:sz w:val="21"/>
                <w:szCs w:val="21"/>
              </w:rPr>
            </w:pPr>
          </w:p>
        </w:tc>
      </w:tr>
      <w:tr w14:paraId="5983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2792A0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096323">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B2B072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357294">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C5702F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D4A01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4E9AF8E">
            <w:pPr>
              <w:keepNext/>
              <w:spacing w:before="100" w:beforeAutospacing="1" w:line="440" w:lineRule="exact"/>
              <w:ind w:right="63"/>
              <w:jc w:val="center"/>
              <w:rPr>
                <w:rFonts w:ascii="宋体" w:hAnsi="宋体" w:eastAsia="宋体" w:cs="Times New Roman"/>
                <w:sz w:val="21"/>
                <w:szCs w:val="21"/>
              </w:rPr>
            </w:pPr>
          </w:p>
        </w:tc>
      </w:tr>
      <w:tr w14:paraId="2E079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21E89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F47560">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EE85AA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26BCC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F1E91E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5B8B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626C3CF">
            <w:pPr>
              <w:keepNext/>
              <w:spacing w:before="100" w:beforeAutospacing="1" w:line="440" w:lineRule="exact"/>
              <w:ind w:right="63"/>
              <w:jc w:val="center"/>
              <w:rPr>
                <w:rFonts w:ascii="宋体" w:hAnsi="宋体" w:eastAsia="宋体" w:cs="Times New Roman"/>
                <w:sz w:val="21"/>
                <w:szCs w:val="21"/>
              </w:rPr>
            </w:pPr>
          </w:p>
        </w:tc>
      </w:tr>
      <w:tr w14:paraId="4B08D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A9946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5FF5E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31DBD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9128DB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25ED7B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37A1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9D2E69">
            <w:pPr>
              <w:keepNext/>
              <w:spacing w:before="100" w:beforeAutospacing="1" w:line="440" w:lineRule="exact"/>
              <w:ind w:right="63"/>
              <w:jc w:val="center"/>
              <w:rPr>
                <w:rFonts w:ascii="宋体" w:hAnsi="宋体" w:eastAsia="宋体" w:cs="Times New Roman"/>
                <w:sz w:val="21"/>
                <w:szCs w:val="21"/>
              </w:rPr>
            </w:pPr>
          </w:p>
        </w:tc>
      </w:tr>
      <w:tr w14:paraId="13C7E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4B5FB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E3810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E79FD9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13ED3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E30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D07D68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03A4FB4">
            <w:pPr>
              <w:keepNext/>
              <w:spacing w:before="100" w:beforeAutospacing="1" w:line="440" w:lineRule="exact"/>
              <w:ind w:right="63"/>
              <w:jc w:val="center"/>
              <w:rPr>
                <w:rFonts w:ascii="宋体" w:hAnsi="宋体" w:eastAsia="宋体" w:cs="Times New Roman"/>
                <w:sz w:val="21"/>
                <w:szCs w:val="21"/>
              </w:rPr>
            </w:pPr>
          </w:p>
        </w:tc>
      </w:tr>
      <w:tr w14:paraId="2CAE0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E67C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0F746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4C994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AB23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3DB2AC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254D65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2A85D8">
            <w:pPr>
              <w:keepNext/>
              <w:spacing w:before="100" w:beforeAutospacing="1" w:line="440" w:lineRule="exact"/>
              <w:ind w:right="63"/>
              <w:jc w:val="center"/>
              <w:rPr>
                <w:rFonts w:ascii="宋体" w:hAnsi="宋体" w:eastAsia="宋体" w:cs="Times New Roman"/>
                <w:sz w:val="21"/>
                <w:szCs w:val="21"/>
              </w:rPr>
            </w:pPr>
          </w:p>
        </w:tc>
      </w:tr>
      <w:tr w14:paraId="0E400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FB65C9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C43946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39202A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75112A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3EFE9B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BF758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EDEDAE9">
            <w:pPr>
              <w:keepNext/>
              <w:spacing w:before="100" w:beforeAutospacing="1" w:line="440" w:lineRule="exact"/>
              <w:ind w:right="63"/>
              <w:jc w:val="center"/>
              <w:rPr>
                <w:rFonts w:ascii="宋体" w:hAnsi="宋体" w:eastAsia="宋体" w:cs="Times New Roman"/>
                <w:sz w:val="21"/>
                <w:szCs w:val="21"/>
              </w:rPr>
            </w:pPr>
          </w:p>
        </w:tc>
      </w:tr>
      <w:tr w14:paraId="10B2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69591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BDAE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1F256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60A36D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16C3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48F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5B6FAB0">
            <w:pPr>
              <w:keepNext/>
              <w:spacing w:before="100" w:beforeAutospacing="1" w:line="440" w:lineRule="exact"/>
              <w:ind w:right="63"/>
              <w:jc w:val="center"/>
              <w:rPr>
                <w:rFonts w:ascii="宋体" w:hAnsi="宋体" w:eastAsia="宋体" w:cs="Times New Roman"/>
                <w:sz w:val="21"/>
                <w:szCs w:val="21"/>
              </w:rPr>
            </w:pPr>
          </w:p>
        </w:tc>
      </w:tr>
      <w:tr w14:paraId="3FB7B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412F47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FF21A5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BB4983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204D71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F5E8F6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ABF095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DAD6740">
            <w:pPr>
              <w:keepNext/>
              <w:spacing w:before="100" w:beforeAutospacing="1" w:line="440" w:lineRule="exact"/>
              <w:ind w:right="63"/>
              <w:jc w:val="center"/>
              <w:rPr>
                <w:rFonts w:ascii="宋体" w:hAnsi="宋体" w:eastAsia="宋体" w:cs="Times New Roman"/>
                <w:sz w:val="21"/>
                <w:szCs w:val="21"/>
              </w:rPr>
            </w:pPr>
          </w:p>
        </w:tc>
      </w:tr>
      <w:tr w14:paraId="339D8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68B5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B9DE6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D9E1D3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E4DE939">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0D6C5C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72FC0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393E72E">
            <w:pPr>
              <w:keepNext/>
              <w:spacing w:before="100" w:beforeAutospacing="1" w:line="440" w:lineRule="exact"/>
              <w:ind w:right="63"/>
              <w:jc w:val="center"/>
              <w:rPr>
                <w:rFonts w:ascii="宋体" w:hAnsi="宋体" w:eastAsia="宋体" w:cs="Times New Roman"/>
                <w:sz w:val="21"/>
                <w:szCs w:val="21"/>
              </w:rPr>
            </w:pPr>
          </w:p>
        </w:tc>
      </w:tr>
      <w:tr w14:paraId="620BF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9051E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D5FE47B">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B0C6A2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D170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D4CB0C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C8F106">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04DE090">
            <w:pPr>
              <w:keepNext/>
              <w:spacing w:before="100" w:beforeAutospacing="1" w:line="440" w:lineRule="exact"/>
              <w:ind w:right="63"/>
              <w:jc w:val="center"/>
              <w:rPr>
                <w:rFonts w:ascii="宋体" w:hAnsi="宋体" w:eastAsia="宋体" w:cs="Times New Roman"/>
                <w:sz w:val="21"/>
                <w:szCs w:val="21"/>
              </w:rPr>
            </w:pPr>
          </w:p>
        </w:tc>
      </w:tr>
      <w:tr w14:paraId="47E9E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A561BC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2DDC3C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96B2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FF88E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2FB08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90B153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382BB8A">
            <w:pPr>
              <w:keepNext/>
              <w:spacing w:before="100" w:beforeAutospacing="1" w:line="440" w:lineRule="exact"/>
              <w:ind w:right="63"/>
              <w:jc w:val="center"/>
              <w:rPr>
                <w:rFonts w:ascii="宋体" w:hAnsi="宋体" w:eastAsia="宋体" w:cs="Times New Roman"/>
                <w:sz w:val="21"/>
                <w:szCs w:val="21"/>
              </w:rPr>
            </w:pPr>
          </w:p>
        </w:tc>
      </w:tr>
      <w:tr w14:paraId="0C7B8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7CB799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71E8B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A9A91A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20DD3C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D19A7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EFB382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F5B2492">
            <w:pPr>
              <w:keepNext/>
              <w:spacing w:before="100" w:beforeAutospacing="1" w:line="440" w:lineRule="exact"/>
              <w:ind w:right="63"/>
              <w:jc w:val="center"/>
              <w:rPr>
                <w:rFonts w:ascii="宋体" w:hAnsi="宋体" w:eastAsia="宋体" w:cs="Times New Roman"/>
                <w:sz w:val="21"/>
                <w:szCs w:val="21"/>
              </w:rPr>
            </w:pPr>
          </w:p>
        </w:tc>
      </w:tr>
      <w:tr w14:paraId="2B2A3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5066CF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53815A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5049DC0">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ECBF7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C4D2A6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CDA96F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1C13730">
            <w:pPr>
              <w:keepNext/>
              <w:spacing w:before="100" w:beforeAutospacing="1" w:line="440" w:lineRule="exact"/>
              <w:ind w:right="63"/>
              <w:jc w:val="center"/>
              <w:rPr>
                <w:rFonts w:ascii="宋体" w:hAnsi="宋体" w:eastAsia="宋体" w:cs="Times New Roman"/>
                <w:sz w:val="21"/>
                <w:szCs w:val="21"/>
              </w:rPr>
            </w:pPr>
          </w:p>
        </w:tc>
      </w:tr>
      <w:tr w14:paraId="1C96F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E56471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A83C9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D4D9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F25E34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3D96D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DA0D5D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6B48F1">
            <w:pPr>
              <w:keepNext/>
              <w:spacing w:before="100" w:beforeAutospacing="1" w:line="440" w:lineRule="exact"/>
              <w:ind w:right="63"/>
              <w:jc w:val="center"/>
              <w:rPr>
                <w:rFonts w:ascii="宋体" w:hAnsi="宋体" w:eastAsia="宋体" w:cs="Times New Roman"/>
                <w:sz w:val="21"/>
                <w:szCs w:val="21"/>
              </w:rPr>
            </w:pPr>
          </w:p>
        </w:tc>
      </w:tr>
      <w:tr w14:paraId="6472A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036FEE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EAA7C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6D67AD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9C9C32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376006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77E863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FC13797">
            <w:pPr>
              <w:keepNext/>
              <w:spacing w:before="100" w:beforeAutospacing="1" w:line="440" w:lineRule="exact"/>
              <w:ind w:right="63"/>
              <w:jc w:val="center"/>
              <w:rPr>
                <w:rFonts w:ascii="宋体" w:hAnsi="宋体" w:eastAsia="宋体" w:cs="Times New Roman"/>
                <w:sz w:val="21"/>
                <w:szCs w:val="21"/>
              </w:rPr>
            </w:pPr>
          </w:p>
        </w:tc>
      </w:tr>
      <w:tr w14:paraId="4942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E8C6D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95B8B6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5AB57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8E0B8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9C888C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68FA6D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349590">
            <w:pPr>
              <w:keepNext/>
              <w:spacing w:before="100" w:beforeAutospacing="1" w:line="440" w:lineRule="exact"/>
              <w:ind w:right="63"/>
              <w:jc w:val="center"/>
              <w:rPr>
                <w:rFonts w:ascii="宋体" w:hAnsi="宋体" w:eastAsia="宋体" w:cs="Times New Roman"/>
                <w:sz w:val="21"/>
                <w:szCs w:val="21"/>
              </w:rPr>
            </w:pPr>
          </w:p>
        </w:tc>
      </w:tr>
      <w:tr w14:paraId="62273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322154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EBEA8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CC21F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7C0BAF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8F55C7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F6C21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FAC0FD4">
            <w:pPr>
              <w:keepNext/>
              <w:spacing w:before="100" w:beforeAutospacing="1" w:line="440" w:lineRule="exact"/>
              <w:ind w:right="63"/>
              <w:jc w:val="center"/>
              <w:rPr>
                <w:rFonts w:ascii="宋体" w:hAnsi="宋体" w:eastAsia="宋体" w:cs="Times New Roman"/>
                <w:sz w:val="21"/>
                <w:szCs w:val="21"/>
              </w:rPr>
            </w:pPr>
          </w:p>
        </w:tc>
      </w:tr>
      <w:tr w14:paraId="544D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F06AFC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1ACF6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0F803F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B7444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F9574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099657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C1C416">
            <w:pPr>
              <w:keepNext/>
              <w:spacing w:before="100" w:beforeAutospacing="1" w:line="440" w:lineRule="exact"/>
              <w:ind w:right="63"/>
              <w:jc w:val="center"/>
              <w:rPr>
                <w:rFonts w:ascii="宋体" w:hAnsi="宋体" w:eastAsia="宋体" w:cs="Times New Roman"/>
                <w:sz w:val="21"/>
                <w:szCs w:val="21"/>
              </w:rPr>
            </w:pPr>
          </w:p>
        </w:tc>
      </w:tr>
      <w:tr w14:paraId="7A90C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AB4CD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6B07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7C55F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764A97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0E63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0B880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9E4B87C">
            <w:pPr>
              <w:keepNext/>
              <w:spacing w:before="100" w:beforeAutospacing="1" w:line="440" w:lineRule="exact"/>
              <w:ind w:right="63"/>
              <w:jc w:val="center"/>
              <w:rPr>
                <w:rFonts w:ascii="宋体" w:hAnsi="宋体" w:eastAsia="宋体" w:cs="Times New Roman"/>
                <w:sz w:val="21"/>
                <w:szCs w:val="21"/>
              </w:rPr>
            </w:pPr>
          </w:p>
        </w:tc>
      </w:tr>
      <w:tr w14:paraId="4B9BD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819AE8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FD4EC5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29950E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E76567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DEC9D9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B2130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710244">
            <w:pPr>
              <w:keepNext/>
              <w:spacing w:before="100" w:beforeAutospacing="1" w:line="440" w:lineRule="exact"/>
              <w:ind w:right="63"/>
              <w:jc w:val="center"/>
              <w:rPr>
                <w:rFonts w:ascii="宋体" w:hAnsi="宋体" w:eastAsia="宋体" w:cs="Times New Roman"/>
                <w:sz w:val="21"/>
                <w:szCs w:val="21"/>
              </w:rPr>
            </w:pPr>
          </w:p>
        </w:tc>
      </w:tr>
      <w:tr w14:paraId="068B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17B9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9B9114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43ADC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1F2065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BF3800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AC791B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16DC88D">
            <w:pPr>
              <w:keepNext/>
              <w:spacing w:before="100" w:beforeAutospacing="1" w:line="440" w:lineRule="exact"/>
              <w:ind w:right="63"/>
              <w:jc w:val="center"/>
              <w:rPr>
                <w:rFonts w:ascii="宋体" w:hAnsi="宋体" w:eastAsia="宋体" w:cs="Times New Roman"/>
                <w:sz w:val="21"/>
                <w:szCs w:val="21"/>
              </w:rPr>
            </w:pPr>
          </w:p>
        </w:tc>
      </w:tr>
      <w:tr w14:paraId="5461B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E00EA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CDEF12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84820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B32782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C4972E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15146B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3691AE">
            <w:pPr>
              <w:keepNext/>
              <w:spacing w:before="100" w:beforeAutospacing="1" w:line="440" w:lineRule="exact"/>
              <w:ind w:right="63"/>
              <w:jc w:val="center"/>
              <w:rPr>
                <w:rFonts w:ascii="宋体" w:hAnsi="宋体" w:eastAsia="宋体" w:cs="Times New Roman"/>
                <w:sz w:val="21"/>
                <w:szCs w:val="21"/>
              </w:rPr>
            </w:pPr>
          </w:p>
        </w:tc>
      </w:tr>
      <w:tr w14:paraId="0F438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3C0B6B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3F58FE1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66958D9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7140C19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03EB5D2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4FC28B47">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53F02F6F">
            <w:pPr>
              <w:keepNext/>
              <w:spacing w:before="100" w:beforeAutospacing="1" w:line="440" w:lineRule="exact"/>
              <w:ind w:right="63"/>
              <w:jc w:val="center"/>
              <w:rPr>
                <w:rFonts w:ascii="宋体" w:hAnsi="宋体" w:eastAsia="宋体" w:cs="Times New Roman"/>
                <w:sz w:val="21"/>
                <w:szCs w:val="21"/>
              </w:rPr>
            </w:pPr>
          </w:p>
        </w:tc>
      </w:tr>
    </w:tbl>
    <w:p w14:paraId="02FF23F9">
      <w:pPr>
        <w:spacing w:before="156" w:beforeLines="50" w:after="156" w:afterLines="50"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5A128D6">
      <w:pPr>
        <w:rPr>
          <w:rFonts w:ascii="宋体" w:hAnsi="宋体" w:eastAsia="宋体" w:cs="Times New Roman"/>
          <w:sz w:val="21"/>
          <w:szCs w:val="21"/>
        </w:rPr>
      </w:pPr>
      <w:r>
        <w:rPr>
          <w:rFonts w:hint="eastAsia" w:ascii="宋体" w:hAnsi="宋体" w:eastAsia="宋体" w:cs="Times New Roman"/>
          <w:sz w:val="21"/>
          <w:szCs w:val="21"/>
        </w:rPr>
        <w:br w:type="page"/>
      </w:r>
    </w:p>
    <w:p w14:paraId="48AFE346">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11-3：专业工程暂估价表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B7AC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tcPr>
          <w:p w14:paraId="0DE16BE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94EDAF4">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专业工程名称</w:t>
            </w:r>
          </w:p>
        </w:tc>
        <w:tc>
          <w:tcPr>
            <w:tcW w:w="4678" w:type="dxa"/>
            <w:tcBorders>
              <w:top w:val="single" w:color="auto" w:sz="12" w:space="0"/>
              <w:left w:val="single" w:color="auto" w:sz="6" w:space="0"/>
              <w:bottom w:val="double" w:color="auto" w:sz="2" w:space="0"/>
              <w:right w:val="single" w:color="auto" w:sz="6" w:space="0"/>
            </w:tcBorders>
          </w:tcPr>
          <w:p w14:paraId="325D3C9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工程内容</w:t>
            </w:r>
          </w:p>
        </w:tc>
        <w:tc>
          <w:tcPr>
            <w:tcW w:w="1276" w:type="dxa"/>
            <w:tcBorders>
              <w:top w:val="single" w:color="auto" w:sz="12" w:space="0"/>
              <w:left w:val="single" w:color="auto" w:sz="6" w:space="0"/>
              <w:bottom w:val="double" w:color="auto" w:sz="2" w:space="0"/>
              <w:right w:val="single" w:color="auto" w:sz="12" w:space="0"/>
            </w:tcBorders>
          </w:tcPr>
          <w:p w14:paraId="479A6F90">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金额</w:t>
            </w:r>
          </w:p>
        </w:tc>
      </w:tr>
      <w:tr w14:paraId="10782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tcPr>
          <w:p w14:paraId="2310A92B">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241EE6E8">
            <w:pPr>
              <w:keepNext/>
              <w:spacing w:before="100" w:beforeAutospacing="1" w:line="440" w:lineRule="exact"/>
              <w:ind w:right="63"/>
              <w:jc w:val="center"/>
              <w:rPr>
                <w:rFonts w:ascii="宋体" w:hAnsi="宋体" w:eastAsia="宋体" w:cs="Times New Roman"/>
                <w:sz w:val="21"/>
                <w:szCs w:val="21"/>
              </w:rPr>
            </w:pPr>
          </w:p>
        </w:tc>
        <w:tc>
          <w:tcPr>
            <w:tcW w:w="4678" w:type="dxa"/>
            <w:tcBorders>
              <w:top w:val="double" w:color="auto" w:sz="2" w:space="0"/>
              <w:left w:val="single" w:color="auto" w:sz="6" w:space="0"/>
              <w:bottom w:val="single" w:color="auto" w:sz="6" w:space="0"/>
              <w:right w:val="single" w:color="auto" w:sz="6" w:space="0"/>
            </w:tcBorders>
          </w:tcPr>
          <w:p w14:paraId="4D8084A9">
            <w:pPr>
              <w:keepNext/>
              <w:spacing w:before="100" w:beforeAutospacing="1" w:line="440" w:lineRule="exact"/>
              <w:ind w:right="63"/>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12" w:space="0"/>
            </w:tcBorders>
          </w:tcPr>
          <w:p w14:paraId="16900F1F">
            <w:pPr>
              <w:keepNext/>
              <w:spacing w:before="100" w:beforeAutospacing="1" w:line="440" w:lineRule="exact"/>
              <w:ind w:right="63"/>
              <w:jc w:val="center"/>
              <w:rPr>
                <w:rFonts w:ascii="宋体" w:hAnsi="宋体" w:eastAsia="宋体" w:cs="Times New Roman"/>
                <w:sz w:val="21"/>
                <w:szCs w:val="21"/>
              </w:rPr>
            </w:pPr>
          </w:p>
        </w:tc>
      </w:tr>
      <w:tr w14:paraId="432E3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0A6B9F33">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583E29D">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67860999">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2E6AE62D">
            <w:pPr>
              <w:keepNext/>
              <w:spacing w:before="100" w:beforeAutospacing="1" w:line="440" w:lineRule="exact"/>
              <w:ind w:right="63"/>
              <w:jc w:val="center"/>
              <w:rPr>
                <w:rFonts w:ascii="宋体" w:hAnsi="宋体" w:eastAsia="宋体" w:cs="Times New Roman"/>
                <w:sz w:val="21"/>
                <w:szCs w:val="21"/>
              </w:rPr>
            </w:pPr>
          </w:p>
        </w:tc>
      </w:tr>
      <w:tr w14:paraId="0D682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1D3C7FAA">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5EFF88D0">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1BBCE072">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7D1110DC">
            <w:pPr>
              <w:keepNext/>
              <w:spacing w:before="100" w:beforeAutospacing="1" w:line="440" w:lineRule="exact"/>
              <w:ind w:right="63"/>
              <w:jc w:val="center"/>
              <w:rPr>
                <w:rFonts w:ascii="宋体" w:hAnsi="宋体" w:eastAsia="宋体" w:cs="Times New Roman"/>
                <w:sz w:val="21"/>
                <w:szCs w:val="21"/>
              </w:rPr>
            </w:pPr>
          </w:p>
        </w:tc>
      </w:tr>
      <w:tr w14:paraId="29811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2844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D8FC372">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4329B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574CA0D9">
            <w:pPr>
              <w:keepNext/>
              <w:spacing w:before="100" w:beforeAutospacing="1" w:line="440" w:lineRule="exact"/>
              <w:ind w:right="63"/>
              <w:jc w:val="center"/>
              <w:rPr>
                <w:rFonts w:ascii="宋体" w:hAnsi="宋体" w:eastAsia="宋体" w:cs="Times New Roman"/>
                <w:sz w:val="21"/>
                <w:szCs w:val="21"/>
              </w:rPr>
            </w:pPr>
          </w:p>
        </w:tc>
      </w:tr>
      <w:tr w14:paraId="0A088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8FF896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FA53A">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262C88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24429447">
            <w:pPr>
              <w:keepNext/>
              <w:spacing w:before="100" w:beforeAutospacing="1" w:line="440" w:lineRule="exact"/>
              <w:ind w:right="63"/>
              <w:jc w:val="center"/>
              <w:rPr>
                <w:rFonts w:ascii="宋体" w:hAnsi="宋体" w:eastAsia="宋体" w:cs="Times New Roman"/>
                <w:sz w:val="21"/>
                <w:szCs w:val="21"/>
              </w:rPr>
            </w:pPr>
          </w:p>
        </w:tc>
      </w:tr>
      <w:tr w14:paraId="15827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7D9DEA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642AF6">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98CA175">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225B395">
            <w:pPr>
              <w:keepNext/>
              <w:spacing w:before="100" w:beforeAutospacing="1" w:line="440" w:lineRule="exact"/>
              <w:ind w:right="63"/>
              <w:jc w:val="center"/>
              <w:rPr>
                <w:rFonts w:ascii="宋体" w:hAnsi="宋体" w:eastAsia="宋体" w:cs="Times New Roman"/>
                <w:sz w:val="21"/>
                <w:szCs w:val="21"/>
              </w:rPr>
            </w:pPr>
          </w:p>
        </w:tc>
      </w:tr>
      <w:tr w14:paraId="15DD2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007C75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D793F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93700E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2C90024">
            <w:pPr>
              <w:keepNext/>
              <w:spacing w:before="100" w:beforeAutospacing="1" w:line="440" w:lineRule="exact"/>
              <w:ind w:right="63"/>
              <w:jc w:val="center"/>
              <w:rPr>
                <w:rFonts w:ascii="宋体" w:hAnsi="宋体" w:eastAsia="宋体" w:cs="Times New Roman"/>
                <w:sz w:val="21"/>
                <w:szCs w:val="21"/>
              </w:rPr>
            </w:pPr>
          </w:p>
        </w:tc>
      </w:tr>
      <w:tr w14:paraId="016EF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B9B5AC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02735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927EC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837FDC2">
            <w:pPr>
              <w:keepNext/>
              <w:spacing w:before="100" w:beforeAutospacing="1" w:line="440" w:lineRule="exact"/>
              <w:ind w:right="63"/>
              <w:jc w:val="center"/>
              <w:rPr>
                <w:rFonts w:ascii="宋体" w:hAnsi="宋体" w:eastAsia="宋体" w:cs="Times New Roman"/>
                <w:sz w:val="21"/>
                <w:szCs w:val="21"/>
              </w:rPr>
            </w:pPr>
          </w:p>
        </w:tc>
      </w:tr>
      <w:tr w14:paraId="014E3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8E121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69E9CA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F7438F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04C2F89">
            <w:pPr>
              <w:keepNext/>
              <w:spacing w:before="100" w:beforeAutospacing="1" w:line="440" w:lineRule="exact"/>
              <w:ind w:right="63"/>
              <w:jc w:val="center"/>
              <w:rPr>
                <w:rFonts w:ascii="宋体" w:hAnsi="宋体" w:eastAsia="宋体" w:cs="Times New Roman"/>
                <w:sz w:val="21"/>
                <w:szCs w:val="21"/>
              </w:rPr>
            </w:pPr>
          </w:p>
        </w:tc>
      </w:tr>
      <w:tr w14:paraId="60C5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06629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53756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33A26D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C8FF3F">
            <w:pPr>
              <w:keepNext/>
              <w:spacing w:before="100" w:beforeAutospacing="1" w:line="440" w:lineRule="exact"/>
              <w:ind w:right="63"/>
              <w:jc w:val="center"/>
              <w:rPr>
                <w:rFonts w:ascii="宋体" w:hAnsi="宋体" w:eastAsia="宋体" w:cs="Times New Roman"/>
                <w:sz w:val="21"/>
                <w:szCs w:val="21"/>
              </w:rPr>
            </w:pPr>
          </w:p>
        </w:tc>
      </w:tr>
      <w:tr w14:paraId="7FD10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DC8CBA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E64F4E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51130">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063F3E3">
            <w:pPr>
              <w:keepNext/>
              <w:spacing w:before="100" w:beforeAutospacing="1" w:line="440" w:lineRule="exact"/>
              <w:ind w:right="63"/>
              <w:jc w:val="center"/>
              <w:rPr>
                <w:rFonts w:ascii="宋体" w:hAnsi="宋体" w:eastAsia="宋体" w:cs="Times New Roman"/>
                <w:sz w:val="21"/>
                <w:szCs w:val="21"/>
              </w:rPr>
            </w:pPr>
          </w:p>
        </w:tc>
      </w:tr>
      <w:tr w14:paraId="20383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86AA66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CE312D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71EFC5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9D27744">
            <w:pPr>
              <w:keepNext/>
              <w:spacing w:before="100" w:beforeAutospacing="1" w:line="440" w:lineRule="exact"/>
              <w:ind w:right="63"/>
              <w:jc w:val="center"/>
              <w:rPr>
                <w:rFonts w:ascii="宋体" w:hAnsi="宋体" w:eastAsia="宋体" w:cs="Times New Roman"/>
                <w:sz w:val="21"/>
                <w:szCs w:val="21"/>
              </w:rPr>
            </w:pPr>
          </w:p>
        </w:tc>
      </w:tr>
      <w:tr w14:paraId="01B09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5D90C3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BDCA74B">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508DFE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5CCBE0">
            <w:pPr>
              <w:keepNext/>
              <w:spacing w:before="100" w:beforeAutospacing="1" w:line="440" w:lineRule="exact"/>
              <w:ind w:right="63"/>
              <w:jc w:val="center"/>
              <w:rPr>
                <w:rFonts w:ascii="宋体" w:hAnsi="宋体" w:eastAsia="宋体" w:cs="Times New Roman"/>
                <w:sz w:val="21"/>
                <w:szCs w:val="21"/>
              </w:rPr>
            </w:pPr>
          </w:p>
        </w:tc>
      </w:tr>
      <w:tr w14:paraId="39EE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491DBE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1A4C1C">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5E9491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9CBD15">
            <w:pPr>
              <w:keepNext/>
              <w:spacing w:before="100" w:beforeAutospacing="1" w:line="440" w:lineRule="exact"/>
              <w:ind w:right="63"/>
              <w:jc w:val="center"/>
              <w:rPr>
                <w:rFonts w:ascii="宋体" w:hAnsi="宋体" w:eastAsia="宋体" w:cs="Times New Roman"/>
                <w:sz w:val="21"/>
                <w:szCs w:val="21"/>
              </w:rPr>
            </w:pPr>
          </w:p>
        </w:tc>
      </w:tr>
      <w:tr w14:paraId="4AB7E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95472A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744DD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A0DA68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2FE0A9">
            <w:pPr>
              <w:keepNext/>
              <w:spacing w:before="100" w:beforeAutospacing="1" w:line="440" w:lineRule="exact"/>
              <w:ind w:right="63"/>
              <w:jc w:val="center"/>
              <w:rPr>
                <w:rFonts w:ascii="宋体" w:hAnsi="宋体" w:eastAsia="宋体" w:cs="Times New Roman"/>
                <w:sz w:val="21"/>
                <w:szCs w:val="21"/>
              </w:rPr>
            </w:pPr>
          </w:p>
        </w:tc>
      </w:tr>
      <w:tr w14:paraId="3D18E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649DF0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0A3A79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B9F2EFE">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C043E84">
            <w:pPr>
              <w:keepNext/>
              <w:spacing w:before="100" w:beforeAutospacing="1" w:line="440" w:lineRule="exact"/>
              <w:ind w:right="63"/>
              <w:jc w:val="center"/>
              <w:rPr>
                <w:rFonts w:ascii="宋体" w:hAnsi="宋体" w:eastAsia="宋体" w:cs="Times New Roman"/>
                <w:sz w:val="21"/>
                <w:szCs w:val="21"/>
              </w:rPr>
            </w:pPr>
          </w:p>
        </w:tc>
      </w:tr>
      <w:tr w14:paraId="54FE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186E85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C0CAEF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3A612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3B69C5">
            <w:pPr>
              <w:keepNext/>
              <w:spacing w:before="100" w:beforeAutospacing="1" w:line="440" w:lineRule="exact"/>
              <w:ind w:right="63"/>
              <w:jc w:val="center"/>
              <w:rPr>
                <w:rFonts w:ascii="宋体" w:hAnsi="宋体" w:eastAsia="宋体" w:cs="Times New Roman"/>
                <w:sz w:val="21"/>
                <w:szCs w:val="21"/>
              </w:rPr>
            </w:pPr>
          </w:p>
        </w:tc>
      </w:tr>
      <w:tr w14:paraId="40570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1C7BA6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640EDB3">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858FDA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4FB90CC">
            <w:pPr>
              <w:keepNext/>
              <w:spacing w:before="100" w:beforeAutospacing="1" w:line="440" w:lineRule="exact"/>
              <w:ind w:right="63"/>
              <w:jc w:val="center"/>
              <w:rPr>
                <w:rFonts w:ascii="宋体" w:hAnsi="宋体" w:eastAsia="宋体" w:cs="Times New Roman"/>
                <w:sz w:val="21"/>
                <w:szCs w:val="21"/>
              </w:rPr>
            </w:pPr>
          </w:p>
        </w:tc>
      </w:tr>
      <w:tr w14:paraId="19FFC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E10D49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3D991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4A843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E78C6AD">
            <w:pPr>
              <w:keepNext/>
              <w:spacing w:before="100" w:beforeAutospacing="1" w:line="440" w:lineRule="exact"/>
              <w:ind w:right="63"/>
              <w:jc w:val="center"/>
              <w:rPr>
                <w:rFonts w:ascii="宋体" w:hAnsi="宋体" w:eastAsia="宋体" w:cs="Times New Roman"/>
                <w:sz w:val="21"/>
                <w:szCs w:val="21"/>
              </w:rPr>
            </w:pPr>
          </w:p>
        </w:tc>
      </w:tr>
      <w:tr w14:paraId="73F80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19CDF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5CE78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273B5CCA">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092FF18">
            <w:pPr>
              <w:keepNext/>
              <w:spacing w:before="100" w:beforeAutospacing="1" w:line="440" w:lineRule="exact"/>
              <w:ind w:right="63"/>
              <w:jc w:val="center"/>
              <w:rPr>
                <w:rFonts w:ascii="宋体" w:hAnsi="宋体" w:eastAsia="宋体" w:cs="Times New Roman"/>
                <w:sz w:val="21"/>
                <w:szCs w:val="21"/>
              </w:rPr>
            </w:pPr>
          </w:p>
        </w:tc>
      </w:tr>
      <w:tr w14:paraId="63DB3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9EC5EE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7A6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BB37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FE157AD">
            <w:pPr>
              <w:keepNext/>
              <w:spacing w:before="100" w:beforeAutospacing="1" w:line="440" w:lineRule="exact"/>
              <w:ind w:right="63"/>
              <w:jc w:val="center"/>
              <w:rPr>
                <w:rFonts w:ascii="宋体" w:hAnsi="宋体" w:eastAsia="宋体" w:cs="Times New Roman"/>
                <w:sz w:val="21"/>
                <w:szCs w:val="21"/>
              </w:rPr>
            </w:pPr>
          </w:p>
        </w:tc>
      </w:tr>
      <w:tr w14:paraId="4A87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C878C9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178132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225855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760EF25">
            <w:pPr>
              <w:keepNext/>
              <w:spacing w:before="100" w:beforeAutospacing="1" w:line="440" w:lineRule="exact"/>
              <w:ind w:right="63"/>
              <w:jc w:val="center"/>
              <w:rPr>
                <w:rFonts w:ascii="宋体" w:hAnsi="宋体" w:eastAsia="宋体" w:cs="Times New Roman"/>
                <w:sz w:val="21"/>
                <w:szCs w:val="21"/>
              </w:rPr>
            </w:pPr>
          </w:p>
        </w:tc>
      </w:tr>
      <w:tr w14:paraId="118ED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F21012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4820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706FAA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884B03D">
            <w:pPr>
              <w:keepNext/>
              <w:spacing w:before="100" w:beforeAutospacing="1" w:line="440" w:lineRule="exact"/>
              <w:ind w:right="63"/>
              <w:jc w:val="center"/>
              <w:rPr>
                <w:rFonts w:ascii="宋体" w:hAnsi="宋体" w:eastAsia="宋体" w:cs="Times New Roman"/>
                <w:sz w:val="21"/>
                <w:szCs w:val="21"/>
              </w:rPr>
            </w:pPr>
          </w:p>
        </w:tc>
      </w:tr>
      <w:tr w14:paraId="356EE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D32A9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E4C51B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BEAC4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7CE18C9">
            <w:pPr>
              <w:keepNext/>
              <w:spacing w:before="100" w:beforeAutospacing="1" w:line="440" w:lineRule="exact"/>
              <w:ind w:right="63"/>
              <w:jc w:val="center"/>
              <w:rPr>
                <w:rFonts w:ascii="宋体" w:hAnsi="宋体" w:eastAsia="宋体" w:cs="Times New Roman"/>
                <w:sz w:val="21"/>
                <w:szCs w:val="21"/>
              </w:rPr>
            </w:pPr>
          </w:p>
        </w:tc>
      </w:tr>
      <w:tr w14:paraId="49825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CE6B75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B820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A60C5C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FA9CB3A">
            <w:pPr>
              <w:keepNext/>
              <w:spacing w:before="100" w:beforeAutospacing="1" w:line="440" w:lineRule="exact"/>
              <w:ind w:right="63"/>
              <w:jc w:val="center"/>
              <w:rPr>
                <w:rFonts w:ascii="宋体" w:hAnsi="宋体" w:eastAsia="宋体" w:cs="Times New Roman"/>
                <w:sz w:val="21"/>
                <w:szCs w:val="21"/>
              </w:rPr>
            </w:pPr>
          </w:p>
        </w:tc>
      </w:tr>
      <w:tr w14:paraId="316D7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A7BEF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2DE23B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06B303B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4F0472">
            <w:pPr>
              <w:keepNext/>
              <w:spacing w:before="100" w:beforeAutospacing="1" w:line="440" w:lineRule="exact"/>
              <w:ind w:right="63"/>
              <w:jc w:val="center"/>
              <w:rPr>
                <w:rFonts w:ascii="宋体" w:hAnsi="宋体" w:eastAsia="宋体" w:cs="Times New Roman"/>
                <w:sz w:val="21"/>
                <w:szCs w:val="21"/>
              </w:rPr>
            </w:pPr>
          </w:p>
        </w:tc>
      </w:tr>
      <w:tr w14:paraId="18B0E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tcPr>
          <w:p w14:paraId="25745648">
            <w:pPr>
              <w:keepNext/>
              <w:spacing w:before="100" w:beforeAutospacing="1" w:line="440" w:lineRule="exact"/>
              <w:ind w:right="63"/>
              <w:rPr>
                <w:rFonts w:ascii="宋体" w:hAnsi="宋体" w:eastAsia="宋体" w:cs="Times New Roman"/>
                <w:sz w:val="21"/>
                <w:szCs w:val="21"/>
              </w:rPr>
            </w:pPr>
            <w:r>
              <w:rPr>
                <w:rFonts w:hint="eastAsia" w:ascii="宋体" w:hAnsi="宋体" w:eastAsia="宋体" w:cs="Times New Roman"/>
                <w:sz w:val="21"/>
                <w:szCs w:val="21"/>
              </w:rPr>
              <w:t>小计：</w:t>
            </w:r>
          </w:p>
        </w:tc>
      </w:tr>
    </w:tbl>
    <w:p w14:paraId="0546109B">
      <w:pPr>
        <w:spacing w:line="240" w:lineRule="exact"/>
        <w:rPr>
          <w:rFonts w:ascii="Times New Roman" w:hAnsi="Times New Roman" w:eastAsia="宋体" w:cs="Times New Roman"/>
          <w:szCs w:val="21"/>
        </w:rPr>
      </w:pPr>
      <w:r>
        <w:rPr>
          <w:rFonts w:ascii="Times New Roman" w:hAnsi="Times New Roman" w:eastAsia="宋体" w:cs="Times New Roman"/>
          <w:szCs w:val="21"/>
        </w:rPr>
        <w:t xml:space="preserve"> </w:t>
      </w:r>
    </w:p>
    <w:p w14:paraId="78D35AE8">
      <w:pPr>
        <w:pStyle w:val="23"/>
        <w:rPr>
          <w:rFonts w:ascii="宋体" w:hAnsi="宋体" w:eastAsia="宋体" w:cs="宋体"/>
          <w:color w:val="auto"/>
          <w:sz w:val="20"/>
          <w:szCs w:val="20"/>
          <w:highlight w:val="none"/>
        </w:rPr>
      </w:pPr>
    </w:p>
    <w:p w14:paraId="165835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814" w:name="_Toc16476"/>
      <w:bookmarkStart w:id="1815" w:name="_Toc11092"/>
      <w:bookmarkStart w:id="1816" w:name="_Toc12986"/>
      <w:bookmarkStart w:id="1817" w:name="_Toc17708"/>
      <w:bookmarkStart w:id="1818" w:name="_Toc20957"/>
      <w:bookmarkStart w:id="1819" w:name="_Toc18332"/>
      <w:bookmarkStart w:id="1820" w:name="_Toc25170"/>
    </w:p>
    <w:p w14:paraId="2B1E28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C4ACD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第七篇  响应文件编制要求</w:t>
      </w:r>
      <w:bookmarkEnd w:id="1814"/>
      <w:bookmarkEnd w:id="1815"/>
      <w:bookmarkEnd w:id="1816"/>
      <w:bookmarkEnd w:id="1817"/>
      <w:bookmarkEnd w:id="1818"/>
      <w:bookmarkEnd w:id="1819"/>
      <w:bookmarkEnd w:id="1820"/>
    </w:p>
    <w:p w14:paraId="174F5553">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1" w:name="_Toc1051"/>
      <w:r>
        <w:rPr>
          <w:rFonts w:hint="eastAsia" w:ascii="宋体" w:hAnsi="宋体" w:cs="宋体"/>
          <w:color w:val="auto"/>
          <w:sz w:val="24"/>
          <w:szCs w:val="24"/>
          <w:highlight w:val="none"/>
        </w:rPr>
        <w:t>一、经济部分</w:t>
      </w:r>
      <w:bookmarkEnd w:id="1821"/>
    </w:p>
    <w:p w14:paraId="120D26B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6F86E72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2C5D5B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2" w:name="_Toc2320"/>
      <w:r>
        <w:rPr>
          <w:rFonts w:hint="eastAsia" w:ascii="宋体" w:hAnsi="宋体" w:cs="宋体"/>
          <w:color w:val="auto"/>
          <w:sz w:val="24"/>
          <w:szCs w:val="24"/>
          <w:highlight w:val="none"/>
        </w:rPr>
        <w:t>二、服务部分</w:t>
      </w:r>
      <w:bookmarkEnd w:id="1822"/>
    </w:p>
    <w:p w14:paraId="11450D6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4ECB5B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D6CF307">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3" w:name="_Toc14596"/>
      <w:r>
        <w:rPr>
          <w:rFonts w:hint="eastAsia" w:ascii="宋体" w:hAnsi="宋体" w:cs="宋体"/>
          <w:color w:val="auto"/>
          <w:sz w:val="24"/>
          <w:szCs w:val="24"/>
          <w:highlight w:val="none"/>
        </w:rPr>
        <w:t>三、商务部分</w:t>
      </w:r>
      <w:bookmarkEnd w:id="1823"/>
    </w:p>
    <w:p w14:paraId="5FCFFC2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6C85BFB">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p>
    <w:p w14:paraId="616463F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4" w:name="_Toc16806"/>
      <w:r>
        <w:rPr>
          <w:rFonts w:hint="eastAsia" w:ascii="宋体" w:hAnsi="宋体" w:cs="宋体"/>
          <w:color w:val="auto"/>
          <w:sz w:val="24"/>
          <w:szCs w:val="24"/>
          <w:highlight w:val="none"/>
        </w:rPr>
        <w:t>四、资格条件及其他</w:t>
      </w:r>
      <w:bookmarkEnd w:id="1824"/>
    </w:p>
    <w:p w14:paraId="3BD2133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B1C139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974F9A5">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6159D9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FBC0C7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4C0B3372">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5" w:name="_Toc8051"/>
      <w:r>
        <w:rPr>
          <w:rFonts w:hint="eastAsia" w:ascii="宋体" w:hAnsi="宋体" w:cs="宋体"/>
          <w:color w:val="auto"/>
          <w:sz w:val="24"/>
          <w:szCs w:val="24"/>
          <w:highlight w:val="none"/>
        </w:rPr>
        <w:t>五、其他资料</w:t>
      </w:r>
      <w:bookmarkEnd w:id="1825"/>
    </w:p>
    <w:p w14:paraId="1D98484B">
      <w:pPr>
        <w:keepNext w:val="0"/>
        <w:keepLines w:val="0"/>
        <w:pageBreakBefore w:val="0"/>
        <w:widowControl w:val="0"/>
        <w:kinsoku/>
        <w:wordWrap/>
        <w:topLinePunct w:val="0"/>
        <w:bidi w:val="0"/>
        <w:spacing w:line="400" w:lineRule="exact"/>
        <w:ind w:firstLine="960" w:firstLineChars="400"/>
        <w:textAlignment w:val="auto"/>
        <w:rPr>
          <w:rFonts w:hint="eastAsia" w:ascii="宋体" w:hAnsi="宋体" w:eastAsia="宋体" w:cs="宋体"/>
          <w:color w:val="auto"/>
          <w:sz w:val="24"/>
          <w:szCs w:val="24"/>
          <w:highlight w:val="none"/>
          <w:bdr w:val="single" w:color="auto" w:sz="4" w:space="0"/>
          <w:lang w:eastAsia="zh-CN"/>
        </w:rPr>
        <w:sectPr>
          <w:footerReference r:id="rId12" w:type="default"/>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r>
        <w:rPr>
          <w:rFonts w:hint="eastAsia" w:ascii="宋体" w:hAnsi="宋体" w:cs="宋体"/>
          <w:color w:val="auto"/>
          <w:sz w:val="24"/>
          <w:szCs w:val="24"/>
          <w:highlight w:val="none"/>
          <w:lang w:eastAsia="zh-CN"/>
        </w:rPr>
        <w:t>）</w:t>
      </w:r>
    </w:p>
    <w:p w14:paraId="1B27EE41">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30"/>
          <w:szCs w:val="30"/>
          <w:highlight w:val="none"/>
        </w:rPr>
      </w:pPr>
      <w:bookmarkStart w:id="1826" w:name="_Toc27759"/>
      <w:bookmarkStart w:id="1827" w:name="_Toc32301"/>
      <w:bookmarkStart w:id="1828" w:name="_Toc31455"/>
      <w:bookmarkStart w:id="1829" w:name="_Toc30801"/>
      <w:bookmarkStart w:id="1830" w:name="_Toc18885"/>
      <w:bookmarkStart w:id="1831" w:name="_Toc16224"/>
      <w:bookmarkStart w:id="1832" w:name="_Toc32046"/>
      <w:bookmarkStart w:id="1833" w:name="_Toc27684"/>
      <w:bookmarkStart w:id="1834" w:name="_Toc14916"/>
      <w:bookmarkStart w:id="1835" w:name="_Toc76462350"/>
      <w:bookmarkStart w:id="1836" w:name="_Toc313008356"/>
      <w:bookmarkStart w:id="1837" w:name="_Toc15773"/>
      <w:bookmarkStart w:id="1838" w:name="_Toc7006"/>
      <w:bookmarkStart w:id="1839" w:name="_Toc13221"/>
      <w:bookmarkStart w:id="1840" w:name="_Toc19492"/>
      <w:bookmarkStart w:id="1841" w:name="_Toc13366"/>
      <w:bookmarkStart w:id="1842" w:name="_Toc17915"/>
      <w:bookmarkStart w:id="1843" w:name="_Toc12292"/>
      <w:bookmarkStart w:id="1844" w:name="_Toc342913419"/>
      <w:bookmarkStart w:id="1845" w:name="_Toc5655"/>
      <w:bookmarkStart w:id="1846" w:name="_Toc21652"/>
      <w:bookmarkStart w:id="1847" w:name="_Toc313888360"/>
      <w:bookmarkStart w:id="1848" w:name="_Toc283382454"/>
      <w:bookmarkStart w:id="1849" w:name="_Toc12789073"/>
      <w:r>
        <w:rPr>
          <w:rFonts w:hint="eastAsia" w:ascii="宋体" w:hAnsi="宋体" w:cs="宋体"/>
          <w:color w:val="auto"/>
          <w:sz w:val="30"/>
          <w:szCs w:val="30"/>
          <w:highlight w:val="none"/>
        </w:rPr>
        <w:t>一、经济部分</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bookmarkEnd w:id="1848"/>
    <w:bookmarkEnd w:id="1849"/>
    <w:p w14:paraId="3991F516">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850" w:name="_Toc11576"/>
      <w:r>
        <w:rPr>
          <w:rFonts w:hint="eastAsia" w:ascii="宋体" w:hAnsi="宋体" w:cs="宋体"/>
          <w:color w:val="auto"/>
          <w:sz w:val="24"/>
          <w:szCs w:val="24"/>
          <w:highlight w:val="none"/>
        </w:rPr>
        <w:t>（一）报价函</w:t>
      </w:r>
    </w:p>
    <w:p w14:paraId="3B177EBB">
      <w:pPr>
        <w:keepNext w:val="0"/>
        <w:keepLines w:val="0"/>
        <w:pageBreakBefore w:val="0"/>
        <w:widowControl w:val="0"/>
        <w:kinsoku/>
        <w:wordWrap/>
        <w:topLinePunct w:val="0"/>
        <w:bidi w:val="0"/>
        <w:spacing w:line="400" w:lineRule="exact"/>
        <w:jc w:val="center"/>
        <w:textAlignment w:val="auto"/>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064E5D64">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eastAsia="宋体" w:cs="宋体"/>
          <w:color w:val="000000"/>
          <w:sz w:val="24"/>
          <w:szCs w:val="24"/>
          <w:highlight w:val="none"/>
          <w:u w:val="single"/>
        </w:rPr>
        <w:t>采购人名称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60C5A20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文件，经详细研究，决定参加该项目的</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w:t>
      </w:r>
    </w:p>
    <w:p w14:paraId="5854DB6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1.愿意按照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文件中的一切要求，</w:t>
      </w:r>
      <w:r>
        <w:rPr>
          <w:rFonts w:hint="eastAsia" w:ascii="宋体" w:hAnsi="宋体" w:cs="宋体"/>
          <w:color w:val="auto"/>
          <w:sz w:val="24"/>
          <w:szCs w:val="24"/>
          <w:highlight w:val="none"/>
          <w:lang w:eastAsia="zh-CN"/>
        </w:rPr>
        <w:t>提供本项目的</w:t>
      </w:r>
      <w:r>
        <w:rPr>
          <w:rFonts w:hint="eastAsia" w:ascii="宋体" w:hAnsi="宋体" w:cs="宋体"/>
          <w:color w:val="auto"/>
          <w:sz w:val="24"/>
          <w:szCs w:val="24"/>
          <w:highlight w:val="none"/>
          <w:lang w:val="en-US" w:eastAsia="zh-CN"/>
        </w:rPr>
        <w:t>包括并不限于的工程</w:t>
      </w:r>
      <w:r>
        <w:rPr>
          <w:rFonts w:hint="eastAsia" w:ascii="宋体" w:hAnsi="宋体" w:cs="宋体"/>
          <w:color w:val="auto"/>
          <w:sz w:val="24"/>
          <w:szCs w:val="24"/>
          <w:highlight w:val="none"/>
          <w:lang w:eastAsia="zh-CN"/>
        </w:rPr>
        <w:t>施工服</w:t>
      </w:r>
      <w:r>
        <w:rPr>
          <w:rFonts w:hint="eastAsia" w:asciiTheme="minorEastAsia" w:hAnsiTheme="minorEastAsia" w:eastAsiaTheme="minorEastAsia" w:cstheme="minorEastAsia"/>
          <w:color w:val="auto"/>
          <w:sz w:val="24"/>
          <w:szCs w:val="24"/>
          <w:highlight w:val="none"/>
          <w:lang w:eastAsia="zh-CN"/>
        </w:rPr>
        <w:t>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总报价为人民币（大写）：</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其中安全生产费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该工程的项目经理为：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（名称及身份证号码）；工期：</w:t>
      </w:r>
      <w:r>
        <w:rPr>
          <w:rFonts w:hint="eastAsia" w:asciiTheme="minorEastAsia" w:hAnsiTheme="minorEastAsia" w:eastAsiaTheme="minorEastAsia" w:cstheme="minorEastAsia"/>
          <w:i/>
          <w:i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日历天。</w:t>
      </w:r>
    </w:p>
    <w:p w14:paraId="1DC56C31">
      <w:pPr>
        <w:keepNext w:val="0"/>
        <w:keepLines w:val="0"/>
        <w:pageBreakBefore w:val="0"/>
        <w:widowControl w:val="0"/>
        <w:tabs>
          <w:tab w:val="left" w:pos="6300"/>
        </w:tabs>
        <w:kinsoku/>
        <w:wordWrap/>
        <w:topLinePunct w:val="0"/>
        <w:bidi w:val="0"/>
        <w:snapToGrid w:val="0"/>
        <w:spacing w:line="400" w:lineRule="exact"/>
        <w:ind w:left="476" w:leftChars="1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7B6A8C4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w:t>
      </w:r>
      <w:r>
        <w:rPr>
          <w:rFonts w:hint="eastAsia" w:ascii="宋体" w:hAnsi="宋体" w:cs="宋体"/>
          <w:color w:val="auto"/>
          <w:sz w:val="24"/>
          <w:szCs w:val="24"/>
          <w:highlight w:val="none"/>
          <w:lang w:val="en-US" w:eastAsia="zh-CN"/>
        </w:rPr>
        <w:t>竞争性比选</w:t>
      </w:r>
      <w:r>
        <w:rPr>
          <w:rFonts w:hint="eastAsia" w:ascii="宋体" w:hAnsi="宋体" w:cs="宋体"/>
          <w:color w:val="auto"/>
          <w:sz w:val="24"/>
          <w:szCs w:val="24"/>
          <w:highlight w:val="none"/>
        </w:rPr>
        <w:t>的有效期为提交响应文件截止时间起90天。</w:t>
      </w:r>
    </w:p>
    <w:p w14:paraId="5261C72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文件的一切规定和要求及评审办法。</w:t>
      </w:r>
    </w:p>
    <w:p w14:paraId="0263B71B">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5.在整个</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过程中，我方若有违规行为，接受按照重庆市政府采购规定给予惩罚。</w:t>
      </w:r>
    </w:p>
    <w:p w14:paraId="31010B39">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571A6ED5">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文件规定的采购代理服务费。</w:t>
      </w:r>
    </w:p>
    <w:p w14:paraId="29545CFA">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8.我方未为采购项目提供整体设计、规范编制或者项目管理、监理、检测等服务。</w:t>
      </w:r>
    </w:p>
    <w:p w14:paraId="6920F66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463CCDF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2412C4A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4860EA7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1EC2D33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8859FE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 xml:space="preserve">                                                  年   月   日</w:t>
      </w:r>
    </w:p>
    <w:bookmarkEnd w:id="1850"/>
    <w:p w14:paraId="348CD344">
      <w:pPr>
        <w:keepNext w:val="0"/>
        <w:keepLines w:val="0"/>
        <w:pageBreakBefore w:val="0"/>
        <w:widowControl w:val="0"/>
        <w:tabs>
          <w:tab w:val="left" w:pos="2895"/>
        </w:tabs>
        <w:kinsoku/>
        <w:wordWrap/>
        <w:topLinePunct w:val="0"/>
        <w:bidi w:val="0"/>
        <w:spacing w:line="400" w:lineRule="exact"/>
        <w:textAlignment w:val="auto"/>
        <w:outlineLvl w:val="9"/>
        <w:rPr>
          <w:rFonts w:hint="eastAsia" w:ascii="宋体" w:hAnsi="宋体" w:cs="宋体"/>
          <w:color w:val="auto"/>
          <w:sz w:val="24"/>
          <w:szCs w:val="24"/>
          <w:highlight w:val="none"/>
        </w:rPr>
      </w:pPr>
      <w:bookmarkStart w:id="1851" w:name="_Toc7522"/>
      <w:r>
        <w:rPr>
          <w:rFonts w:hint="eastAsia" w:ascii="宋体" w:hAnsi="宋体" w:cs="宋体"/>
          <w:color w:val="auto"/>
          <w:sz w:val="24"/>
          <w:szCs w:val="24"/>
          <w:highlight w:val="none"/>
        </w:rPr>
        <w:t>（二）明细报价表</w:t>
      </w:r>
      <w:bookmarkEnd w:id="1851"/>
    </w:p>
    <w:p w14:paraId="0AF388FD">
      <w:pPr>
        <w:pStyle w:val="39"/>
        <w:keepNext w:val="0"/>
        <w:keepLines w:val="0"/>
        <w:pageBreakBefore w:val="0"/>
        <w:widowControl w:val="0"/>
        <w:numPr>
          <w:ilvl w:val="0"/>
          <w:numId w:val="0"/>
        </w:numPr>
        <w:kinsoku/>
        <w:topLinePunct w:val="0"/>
        <w:bidi w:val="0"/>
        <w:spacing w:line="360" w:lineRule="auto"/>
        <w:ind w:left="753" w:leftChars="0"/>
        <w:jc w:val="center"/>
        <w:rPr>
          <w:rFonts w:hint="eastAsia" w:ascii="宋体" w:hAnsi="宋体" w:eastAsia="宋体" w:cs="宋体"/>
          <w:color w:val="auto"/>
          <w:kern w:val="2"/>
          <w:sz w:val="24"/>
          <w:szCs w:val="24"/>
          <w:highlight w:val="none"/>
          <w:lang w:val="en-US" w:eastAsia="zh-CN" w:bidi="ar-SA"/>
        </w:rPr>
      </w:pPr>
      <w:bookmarkStart w:id="1852" w:name="_Toc30668158"/>
      <w:bookmarkStart w:id="1853" w:name="_Toc21936039"/>
      <w:bookmarkStart w:id="1854" w:name="_Toc6818912"/>
      <w:bookmarkStart w:id="1855" w:name="_Toc29985638"/>
      <w:bookmarkStart w:id="1856" w:name="_Toc20656410"/>
      <w:bookmarkStart w:id="1857" w:name="_Toc433792170"/>
      <w:bookmarkStart w:id="1858" w:name="_Toc51660751"/>
      <w:bookmarkStart w:id="1859" w:name="_Toc23185487"/>
      <w:bookmarkStart w:id="1860" w:name="_Toc29582"/>
      <w:bookmarkStart w:id="1861" w:name="_Toc21397"/>
      <w:bookmarkStart w:id="1862" w:name="_Toc23625"/>
      <w:bookmarkStart w:id="1863" w:name="_Toc25494"/>
      <w:bookmarkStart w:id="1864" w:name="_Toc18490"/>
      <w:bookmarkStart w:id="1865" w:name="_Toc12788"/>
      <w:bookmarkStart w:id="1866" w:name="_Toc22313"/>
      <w:bookmarkStart w:id="1867" w:name="_Toc7071"/>
      <w:bookmarkStart w:id="1868" w:name="_Toc11754"/>
      <w:bookmarkStart w:id="1869" w:name="_Toc16376"/>
      <w:bookmarkStart w:id="1870" w:name="_Toc31255"/>
      <w:bookmarkStart w:id="1871" w:name="_Toc25493"/>
      <w:bookmarkStart w:id="1872" w:name="_Toc313888361"/>
      <w:bookmarkStart w:id="1873" w:name="_Toc4111"/>
      <w:bookmarkStart w:id="1874" w:name="_Toc28779"/>
      <w:bookmarkStart w:id="1875" w:name="_Toc313008357"/>
      <w:bookmarkStart w:id="1876" w:name="_Toc26593"/>
      <w:bookmarkStart w:id="1877" w:name="_Toc342913420"/>
      <w:bookmarkStart w:id="1878" w:name="_Toc76462351"/>
      <w:bookmarkStart w:id="1879" w:name="_Toc19994"/>
      <w:bookmarkStart w:id="1880" w:name="_Toc25411"/>
      <w:bookmarkStart w:id="1881" w:name="_Toc32746"/>
      <w:r>
        <w:rPr>
          <w:rFonts w:hint="eastAsia" w:ascii="宋体" w:hAnsi="宋体" w:eastAsia="宋体" w:cs="宋体"/>
          <w:color w:val="auto"/>
          <w:kern w:val="2"/>
          <w:sz w:val="24"/>
          <w:szCs w:val="24"/>
          <w:highlight w:val="none"/>
          <w:lang w:val="en-US" w:eastAsia="zh-CN" w:bidi="ar-SA"/>
        </w:rPr>
        <w:t>（供应商提供已标价工程量清单）</w:t>
      </w:r>
    </w:p>
    <w:p w14:paraId="3FA73720">
      <w:pPr>
        <w:keepNext w:val="0"/>
        <w:keepLines w:val="0"/>
        <w:pageBreakBefore w:val="0"/>
        <w:widowControl w:val="0"/>
        <w:kinsoku/>
        <w:topLinePunct w:val="0"/>
        <w:bidi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p>
    <w:bookmarkEnd w:id="1852"/>
    <w:bookmarkEnd w:id="1853"/>
    <w:bookmarkEnd w:id="1854"/>
    <w:bookmarkEnd w:id="1855"/>
    <w:bookmarkEnd w:id="1856"/>
    <w:bookmarkEnd w:id="1857"/>
    <w:bookmarkEnd w:id="1858"/>
    <w:bookmarkEnd w:id="1859"/>
    <w:p w14:paraId="158AE09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二、服务部分</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6CF4301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Cs w:val="24"/>
          <w:highlight w:val="none"/>
        </w:rPr>
      </w:pPr>
      <w:bookmarkStart w:id="1882" w:name="_Toc28182"/>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bookmarkEnd w:id="1882"/>
    </w:p>
    <w:p w14:paraId="26E169B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4067717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B07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91552B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3" w:name="_Toc13765"/>
            <w:r>
              <w:rPr>
                <w:rFonts w:hint="eastAsia" w:ascii="宋体" w:hAnsi="宋体" w:cs="宋体"/>
                <w:color w:val="auto"/>
                <w:sz w:val="21"/>
                <w:szCs w:val="21"/>
                <w:highlight w:val="none"/>
              </w:rPr>
              <w:t>序号</w:t>
            </w:r>
            <w:bookmarkEnd w:id="1883"/>
          </w:p>
        </w:tc>
        <w:tc>
          <w:tcPr>
            <w:tcW w:w="2967" w:type="dxa"/>
            <w:noWrap w:val="0"/>
            <w:vAlign w:val="center"/>
          </w:tcPr>
          <w:p w14:paraId="093380C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4" w:name="_Toc5459"/>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需求</w:t>
            </w:r>
            <w:bookmarkEnd w:id="1884"/>
          </w:p>
        </w:tc>
        <w:tc>
          <w:tcPr>
            <w:tcW w:w="3081" w:type="dxa"/>
            <w:noWrap w:val="0"/>
            <w:vAlign w:val="center"/>
          </w:tcPr>
          <w:p w14:paraId="6F35F3D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5" w:name="_Toc7749"/>
            <w:r>
              <w:rPr>
                <w:rFonts w:hint="eastAsia" w:ascii="宋体" w:hAnsi="宋体" w:cs="宋体"/>
                <w:color w:val="auto"/>
                <w:sz w:val="21"/>
                <w:szCs w:val="21"/>
                <w:highlight w:val="none"/>
              </w:rPr>
              <w:t>响应情况</w:t>
            </w:r>
            <w:bookmarkEnd w:id="1885"/>
          </w:p>
        </w:tc>
        <w:tc>
          <w:tcPr>
            <w:tcW w:w="2309" w:type="dxa"/>
            <w:noWrap w:val="0"/>
            <w:vAlign w:val="center"/>
          </w:tcPr>
          <w:p w14:paraId="1B4656F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6" w:name="_Toc27213"/>
            <w:r>
              <w:rPr>
                <w:rFonts w:hint="eastAsia" w:ascii="宋体" w:hAnsi="宋体" w:cs="宋体"/>
                <w:color w:val="auto"/>
                <w:sz w:val="21"/>
                <w:szCs w:val="21"/>
                <w:highlight w:val="none"/>
              </w:rPr>
              <w:t>差异说明</w:t>
            </w:r>
            <w:bookmarkEnd w:id="1886"/>
          </w:p>
        </w:tc>
      </w:tr>
      <w:tr w14:paraId="306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340B64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38C45C8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0744F5D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1"/>
                <w:highlight w:val="none"/>
              </w:rPr>
            </w:pPr>
          </w:p>
        </w:tc>
        <w:tc>
          <w:tcPr>
            <w:tcW w:w="2309" w:type="dxa"/>
            <w:noWrap w:val="0"/>
            <w:vAlign w:val="center"/>
          </w:tcPr>
          <w:p w14:paraId="30393DB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2E35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F33A57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1B9F2F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3B1FDC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1B6078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51EF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2787E5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488231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29262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6BEBB0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0D08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D31242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2284203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D77304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FCE40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3B48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6B487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B9E81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2DC2A96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73998C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4D2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C27F12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4D0C677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C25922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1E9B9AB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6114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637DC2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D38EB0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574741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A8CD70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12B0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43EEFC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13F777E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6EE542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AACE2A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2E5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601F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E49829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3C06F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2FA79EE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B91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8F99CD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0BF0BE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8A776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1137AF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bl>
    <w:p w14:paraId="0D9D0CEA">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C6F3A1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82EF6D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25D65AD">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B6B9EF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805969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5E759664">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1.本表即为对本项目“第二篇  项目</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需求”中所列条款进行比较和响应</w:t>
      </w:r>
      <w:r>
        <w:rPr>
          <w:rFonts w:hint="eastAsia" w:ascii="宋体" w:hAnsi="宋体" w:eastAsia="宋体" w:cs="宋体"/>
          <w:color w:val="auto"/>
          <w:sz w:val="24"/>
          <w:highlight w:val="none"/>
          <w:lang w:eastAsia="zh-CN"/>
        </w:rPr>
        <w:t>；</w:t>
      </w:r>
    </w:p>
    <w:p w14:paraId="1DAB9837">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344085AB">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3.可附相关技术（服务）支撑材料（格式自定）</w:t>
      </w:r>
      <w:r>
        <w:rPr>
          <w:rFonts w:hint="eastAsia" w:ascii="宋体" w:hAnsi="宋体" w:eastAsia="宋体" w:cs="宋体"/>
          <w:color w:val="auto"/>
          <w:sz w:val="24"/>
          <w:highlight w:val="none"/>
          <w:lang w:eastAsia="zh-CN"/>
        </w:rPr>
        <w:t>；</w:t>
      </w:r>
    </w:p>
    <w:p w14:paraId="5DBF1F00">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42D94FA0">
      <w:pPr>
        <w:keepNext w:val="0"/>
        <w:keepLines w:val="0"/>
        <w:pageBreakBefore w:val="0"/>
        <w:widowControl w:val="0"/>
        <w:tabs>
          <w:tab w:val="left" w:pos="6300"/>
        </w:tabs>
        <w:kinsoku/>
        <w:wordWrap/>
        <w:topLinePunct w:val="0"/>
        <w:bidi w:val="0"/>
        <w:snapToGrid w:val="0"/>
        <w:spacing w:line="400" w:lineRule="exact"/>
        <w:ind w:firstLine="560" w:firstLineChars="200"/>
        <w:textAlignment w:val="auto"/>
        <w:outlineLvl w:val="9"/>
        <w:rPr>
          <w:rFonts w:hint="eastAsia" w:ascii="宋体" w:hAnsi="宋体" w:cs="宋体"/>
          <w:color w:val="auto"/>
          <w:szCs w:val="24"/>
          <w:highlight w:val="none"/>
        </w:rPr>
      </w:pPr>
      <w:r>
        <w:rPr>
          <w:rFonts w:hint="eastAsia" w:ascii="宋体" w:hAnsi="宋体" w:cs="宋体"/>
          <w:color w:val="auto"/>
          <w:szCs w:val="24"/>
          <w:highlight w:val="none"/>
        </w:rPr>
        <w:br w:type="page"/>
      </w:r>
      <w:bookmarkStart w:id="1887" w:name="_Toc16878"/>
      <w:r>
        <w:rPr>
          <w:rFonts w:hint="eastAsia" w:ascii="宋体" w:hAnsi="宋体" w:cs="宋体"/>
          <w:color w:val="auto"/>
          <w:sz w:val="24"/>
          <w:szCs w:val="24"/>
          <w:highlight w:val="none"/>
        </w:rPr>
        <w:t>（二）其他资料（格式自定）</w:t>
      </w:r>
      <w:bookmarkEnd w:id="1887"/>
    </w:p>
    <w:p w14:paraId="66C500D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60E072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b/>
          <w:color w:val="auto"/>
          <w:highlight w:val="none"/>
        </w:rPr>
        <w:br w:type="page"/>
      </w:r>
      <w:bookmarkStart w:id="1888" w:name="_Toc26576"/>
      <w:bookmarkStart w:id="1889" w:name="_Toc573"/>
      <w:bookmarkStart w:id="1890" w:name="_Toc9093"/>
      <w:bookmarkStart w:id="1891" w:name="_Toc76462352"/>
      <w:bookmarkStart w:id="1892" w:name="_Toc28240"/>
      <w:bookmarkStart w:id="1893" w:name="_Toc342913421"/>
      <w:bookmarkStart w:id="1894" w:name="_Toc313008358"/>
      <w:bookmarkStart w:id="1895" w:name="_Toc28099"/>
      <w:bookmarkStart w:id="1896" w:name="_Toc19297"/>
      <w:bookmarkStart w:id="1897" w:name="_Toc21538"/>
      <w:bookmarkStart w:id="1898" w:name="_Toc520"/>
      <w:bookmarkStart w:id="1899" w:name="_Toc313888362"/>
      <w:bookmarkStart w:id="1900" w:name="_Toc6238"/>
      <w:bookmarkStart w:id="1901" w:name="_Toc9936"/>
      <w:bookmarkStart w:id="1902" w:name="_Toc21216"/>
      <w:bookmarkStart w:id="1903" w:name="_Toc29841"/>
      <w:bookmarkStart w:id="1904" w:name="_Toc29102"/>
      <w:bookmarkStart w:id="1905" w:name="_Toc2576"/>
      <w:bookmarkStart w:id="1906" w:name="_Toc26398"/>
      <w:bookmarkStart w:id="1907" w:name="_Toc22505"/>
      <w:bookmarkStart w:id="1908" w:name="_Toc29761"/>
      <w:bookmarkStart w:id="1909" w:name="_Toc26647"/>
      <w:r>
        <w:rPr>
          <w:rFonts w:hint="eastAsia" w:ascii="宋体" w:hAnsi="宋体" w:cs="宋体"/>
          <w:color w:val="auto"/>
          <w:sz w:val="24"/>
          <w:highlight w:val="none"/>
        </w:rPr>
        <w:t>三、商务部分</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76B62AC1">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0" w:name="_Toc5334"/>
      <w:r>
        <w:rPr>
          <w:rFonts w:hint="eastAsia" w:ascii="宋体" w:hAnsi="宋体" w:cs="宋体"/>
          <w:color w:val="auto"/>
          <w:sz w:val="24"/>
          <w:szCs w:val="24"/>
          <w:highlight w:val="none"/>
        </w:rPr>
        <w:t>（一）商务响应偏离表</w:t>
      </w:r>
      <w:bookmarkEnd w:id="1910"/>
    </w:p>
    <w:p w14:paraId="1A5FDD1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61695CAC">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tbl>
      <w:tblPr>
        <w:tblStyle w:val="6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68A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9E7498C">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noWrap w:val="0"/>
            <w:vAlign w:val="center"/>
          </w:tcPr>
          <w:p w14:paraId="61B4E78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1" w:name="_Toc945"/>
            <w:r>
              <w:rPr>
                <w:rFonts w:hint="eastAsia" w:ascii="宋体" w:hAnsi="宋体" w:cs="宋体"/>
                <w:color w:val="auto"/>
                <w:sz w:val="21"/>
                <w:szCs w:val="24"/>
                <w:highlight w:val="none"/>
              </w:rPr>
              <w:t>项目商务需求</w:t>
            </w:r>
            <w:bookmarkEnd w:id="1911"/>
          </w:p>
        </w:tc>
        <w:tc>
          <w:tcPr>
            <w:tcW w:w="2434" w:type="dxa"/>
            <w:noWrap w:val="0"/>
            <w:vAlign w:val="center"/>
          </w:tcPr>
          <w:p w14:paraId="3D3C918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2" w:name="_Toc8075"/>
            <w:r>
              <w:rPr>
                <w:rFonts w:hint="eastAsia" w:ascii="宋体" w:hAnsi="宋体" w:cs="宋体"/>
                <w:color w:val="auto"/>
                <w:sz w:val="21"/>
                <w:szCs w:val="24"/>
                <w:highlight w:val="none"/>
              </w:rPr>
              <w:t>响应情况</w:t>
            </w:r>
            <w:bookmarkEnd w:id="1912"/>
          </w:p>
        </w:tc>
        <w:tc>
          <w:tcPr>
            <w:tcW w:w="2355" w:type="dxa"/>
            <w:noWrap w:val="0"/>
            <w:vAlign w:val="center"/>
          </w:tcPr>
          <w:p w14:paraId="590D5BB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3" w:name="_Toc29743"/>
            <w:r>
              <w:rPr>
                <w:rFonts w:hint="eastAsia" w:ascii="宋体" w:hAnsi="宋体" w:cs="宋体"/>
                <w:color w:val="auto"/>
                <w:sz w:val="21"/>
                <w:szCs w:val="24"/>
                <w:highlight w:val="none"/>
              </w:rPr>
              <w:t>差异说明</w:t>
            </w:r>
            <w:bookmarkEnd w:id="1913"/>
          </w:p>
        </w:tc>
      </w:tr>
      <w:tr w14:paraId="0FB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4ED37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5A2A7D5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9ED862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4"/>
                <w:highlight w:val="none"/>
              </w:rPr>
            </w:pPr>
          </w:p>
        </w:tc>
        <w:tc>
          <w:tcPr>
            <w:tcW w:w="2355" w:type="dxa"/>
            <w:noWrap w:val="0"/>
            <w:vAlign w:val="center"/>
          </w:tcPr>
          <w:p w14:paraId="0686FD4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6A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B96F85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2621F5A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79ABFC6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3F4EBCD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91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4FAC2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053752C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7A8019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1ACC5A2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05A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1601A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40E52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36C0590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CE384B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4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7DF75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349417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114AAC4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448473F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2046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13C6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7F7EBE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29CD697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AEE6B9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bl>
    <w:p w14:paraId="073A2CC7">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p>
    <w:p w14:paraId="156B83C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44D35E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EF0485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739C2F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393C44D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579BF4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2570E9E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1.本表即为对本项目“第三篇 项目商务需求”中所列条款进行比较和响应；</w:t>
      </w:r>
    </w:p>
    <w:p w14:paraId="24CBA246">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71782239">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57F5912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sectPr>
          <w:headerReference r:id="rId13" w:type="default"/>
          <w:pgSz w:w="11907" w:h="16840"/>
          <w:pgMar w:top="1134" w:right="1191" w:bottom="1134" w:left="1304" w:header="851" w:footer="992" w:gutter="0"/>
          <w:pgNumType w:fmt="decimal"/>
          <w:cols w:space="720" w:num="1"/>
          <w:docGrid w:linePitch="380" w:charSpace="-5735"/>
        </w:sectPr>
      </w:pPr>
    </w:p>
    <w:p w14:paraId="59D65EEF">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4" w:name="_Toc11658"/>
      <w:bookmarkStart w:id="1915" w:name="_Toc283382459"/>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bookmarkEnd w:id="1914"/>
    </w:p>
    <w:p w14:paraId="40E0DDE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color w:val="auto"/>
          <w:sz w:val="24"/>
          <w:szCs w:val="24"/>
          <w:highlight w:val="none"/>
        </w:rPr>
        <w:br w:type="page"/>
      </w:r>
      <w:bookmarkEnd w:id="1915"/>
      <w:bookmarkStart w:id="1916" w:name="_Toc6829"/>
      <w:bookmarkStart w:id="1917" w:name="_Toc313008359"/>
      <w:bookmarkStart w:id="1918" w:name="_Toc4499"/>
      <w:bookmarkStart w:id="1919" w:name="_Toc25332"/>
      <w:bookmarkStart w:id="1920" w:name="_Toc6268"/>
      <w:bookmarkStart w:id="1921" w:name="_Toc22916"/>
      <w:bookmarkStart w:id="1922" w:name="_Toc1742"/>
      <w:bookmarkStart w:id="1923" w:name="_Toc9472"/>
      <w:bookmarkStart w:id="1924" w:name="_Toc10729"/>
      <w:bookmarkStart w:id="1925" w:name="_Toc342913422"/>
      <w:bookmarkStart w:id="1926" w:name="_Toc23426"/>
      <w:bookmarkStart w:id="1927" w:name="_Toc76462353"/>
      <w:bookmarkStart w:id="1928" w:name="_Toc313888363"/>
      <w:bookmarkStart w:id="1929" w:name="_Toc20384"/>
      <w:bookmarkStart w:id="1930" w:name="_Toc12319"/>
      <w:bookmarkStart w:id="1931" w:name="_Toc21368"/>
      <w:bookmarkStart w:id="1932" w:name="_Toc190"/>
      <w:bookmarkStart w:id="1933" w:name="_Toc10514"/>
      <w:bookmarkStart w:id="1934" w:name="_Toc19652"/>
      <w:bookmarkStart w:id="1935" w:name="_Toc28090"/>
      <w:bookmarkStart w:id="1936" w:name="_Toc14005"/>
      <w:bookmarkStart w:id="1937" w:name="_Toc24352"/>
      <w:r>
        <w:rPr>
          <w:rFonts w:hint="eastAsia" w:ascii="宋体" w:hAnsi="宋体" w:cs="宋体"/>
          <w:color w:val="auto"/>
          <w:sz w:val="24"/>
          <w:highlight w:val="none"/>
        </w:rPr>
        <w:t>四、资格条件</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Pr>
          <w:rFonts w:hint="eastAsia" w:ascii="宋体" w:hAnsi="宋体" w:cs="宋体"/>
          <w:color w:val="auto"/>
          <w:sz w:val="24"/>
          <w:highlight w:val="none"/>
        </w:rPr>
        <w:t>及其他</w:t>
      </w:r>
      <w:bookmarkEnd w:id="1935"/>
      <w:bookmarkEnd w:id="1936"/>
      <w:bookmarkEnd w:id="1937"/>
    </w:p>
    <w:p w14:paraId="0A3063F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1CBCDD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4821133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61B063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77EF0A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10AA6F2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53733906">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r>
        <w:rPr>
          <w:rFonts w:hint="eastAsia" w:ascii="宋体" w:hAnsi="宋体" w:cs="宋体"/>
          <w:color w:val="auto"/>
          <w:highlight w:val="none"/>
        </w:rPr>
        <w:br w:type="page"/>
      </w:r>
      <w:bookmarkStart w:id="1938" w:name="_Toc21583"/>
      <w:r>
        <w:rPr>
          <w:rFonts w:hint="eastAsia" w:ascii="宋体" w:hAnsi="宋体" w:cs="宋体"/>
          <w:color w:val="auto"/>
          <w:sz w:val="24"/>
          <w:szCs w:val="24"/>
          <w:highlight w:val="none"/>
        </w:rPr>
        <w:t>（二）法定代表人身份证明书（格式）</w:t>
      </w:r>
      <w:bookmarkEnd w:id="1938"/>
    </w:p>
    <w:p w14:paraId="5FFC571B">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047F9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802471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AFFAE8D">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378205F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1BFE50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9C6E5F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特此证明。</w:t>
      </w:r>
    </w:p>
    <w:p w14:paraId="42510DF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E101F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24CAB1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6100A41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71F45C9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037816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8AA9F5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1D84D86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5B7472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E631E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2FF228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58659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8E3A27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C7D8F2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1DC814">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bookmarkStart w:id="1939" w:name="_Toc6560"/>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bookmarkEnd w:id="1939"/>
    </w:p>
    <w:p w14:paraId="056DE27E">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F78D9B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040062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54138F">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2ECCFBB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、签约等具体工作，并签署全部有关文件、协议及合同。</w:t>
      </w:r>
    </w:p>
    <w:p w14:paraId="7C2A82B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109040E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8BD708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D19A0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DC425E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4AB6E2E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15D91E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p>
    <w:p w14:paraId="7FD10F0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1E456E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659AF8B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32E85DF">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2EE44B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306814AE">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（供应商公章）</w:t>
      </w:r>
    </w:p>
    <w:p w14:paraId="3BB28714">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年   月   日</w:t>
      </w:r>
    </w:p>
    <w:p w14:paraId="6C33C81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7822037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77C0F829">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5ED337BC">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bookmarkStart w:id="1940" w:name="_Toc21253"/>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bookmarkEnd w:id="1940"/>
    </w:p>
    <w:p w14:paraId="0EE23CD3">
      <w:pPr>
        <w:keepNext w:val="0"/>
        <w:keepLines w:val="0"/>
        <w:pageBreakBefore w:val="0"/>
        <w:widowControl w:val="0"/>
        <w:tabs>
          <w:tab w:val="left" w:pos="6300"/>
        </w:tabs>
        <w:kinsoku/>
        <w:wordWrap/>
        <w:topLinePunct w:val="0"/>
        <w:bidi w:val="0"/>
        <w:snapToGrid w:val="0"/>
        <w:spacing w:line="400" w:lineRule="exact"/>
        <w:ind w:firstLine="570"/>
        <w:jc w:val="center"/>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基本资格条件承诺函</w:t>
      </w:r>
    </w:p>
    <w:p w14:paraId="70D0FA9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p>
    <w:p w14:paraId="28F156E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szCs w:val="24"/>
          <w:highlight w:val="none"/>
        </w:rPr>
        <w:t>）：</w:t>
      </w:r>
    </w:p>
    <w:p w14:paraId="5DF8709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0A44A7D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6B6AA11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3C2CCE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5D5FB3E">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6FD5114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2DB5B835">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p>
    <w:p w14:paraId="294FB417">
      <w:pPr>
        <w:keepNext w:val="0"/>
        <w:keepLines w:val="0"/>
        <w:pageBreakBefore w:val="0"/>
        <w:widowControl w:val="0"/>
        <w:tabs>
          <w:tab w:val="left" w:pos="6300"/>
        </w:tabs>
        <w:kinsoku/>
        <w:wordWrap/>
        <w:topLinePunct w:val="0"/>
        <w:bidi w:val="0"/>
        <w:snapToGrid w:val="0"/>
        <w:spacing w:line="400" w:lineRule="exact"/>
        <w:ind w:right="424" w:firstLine="570"/>
        <w:jc w:val="righ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p w14:paraId="56E744DC">
      <w:pPr>
        <w:keepNext w:val="0"/>
        <w:keepLines w:val="0"/>
        <w:pageBreakBefore w:val="0"/>
        <w:widowControl w:val="0"/>
        <w:tabs>
          <w:tab w:val="left" w:pos="6300"/>
        </w:tabs>
        <w:kinsoku/>
        <w:wordWrap/>
        <w:topLinePunct w:val="0"/>
        <w:bidi w:val="0"/>
        <w:snapToGrid w:val="0"/>
        <w:spacing w:line="400" w:lineRule="exact"/>
        <w:ind w:firstLine="7442" w:firstLineChars="3101"/>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417E5CA3">
      <w:pPr>
        <w:keepNext w:val="0"/>
        <w:keepLines w:val="0"/>
        <w:pageBreakBefore w:val="0"/>
        <w:widowControl w:val="0"/>
        <w:numPr>
          <w:ilvl w:val="0"/>
          <w:numId w:val="19"/>
        </w:numPr>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highlight w:val="none"/>
        </w:rPr>
        <w:br w:type="page"/>
      </w:r>
      <w:bookmarkStart w:id="1941" w:name="_Toc25340"/>
      <w:r>
        <w:rPr>
          <w:rFonts w:hint="eastAsia" w:ascii="宋体" w:hAnsi="宋体" w:cs="宋体"/>
          <w:color w:val="auto"/>
          <w:sz w:val="24"/>
          <w:szCs w:val="24"/>
          <w:highlight w:val="none"/>
        </w:rPr>
        <w:t>特定资格条件</w:t>
      </w:r>
      <w:bookmarkEnd w:id="1941"/>
      <w:r>
        <w:rPr>
          <w:rFonts w:hint="eastAsia" w:ascii="宋体" w:hAnsi="宋体" w:cs="宋体"/>
          <w:color w:val="auto"/>
          <w:sz w:val="24"/>
          <w:szCs w:val="24"/>
          <w:highlight w:val="none"/>
          <w:lang w:val="en-US" w:eastAsia="zh-CN"/>
        </w:rPr>
        <w:t>证书或证明文件</w:t>
      </w:r>
    </w:p>
    <w:p w14:paraId="5AA3E5D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45C10D7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71E7D599">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A2E4406">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1B4624E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593A64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5D2DE68C">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E7307DB">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734322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6206CD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BAE2646">
      <w:pPr>
        <w:pStyle w:val="23"/>
        <w:rPr>
          <w:rFonts w:hint="default" w:ascii="宋体" w:hAnsi="宋体" w:cs="宋体"/>
          <w:color w:val="auto"/>
          <w:sz w:val="24"/>
          <w:szCs w:val="24"/>
          <w:highlight w:val="none"/>
          <w:lang w:val="en-US" w:eastAsia="zh-CN"/>
        </w:rPr>
      </w:pPr>
    </w:p>
    <w:p w14:paraId="48B61E81">
      <w:pPr>
        <w:rPr>
          <w:rFonts w:hint="default" w:ascii="宋体" w:hAnsi="宋体" w:cs="宋体"/>
          <w:color w:val="auto"/>
          <w:sz w:val="24"/>
          <w:szCs w:val="24"/>
          <w:highlight w:val="none"/>
          <w:lang w:val="en-US" w:eastAsia="zh-CN"/>
        </w:rPr>
      </w:pPr>
    </w:p>
    <w:p w14:paraId="0D537486">
      <w:pPr>
        <w:pStyle w:val="23"/>
        <w:rPr>
          <w:rFonts w:hint="default" w:ascii="宋体" w:hAnsi="宋体" w:cs="宋体"/>
          <w:color w:val="auto"/>
          <w:sz w:val="24"/>
          <w:szCs w:val="24"/>
          <w:highlight w:val="none"/>
          <w:lang w:val="en-US" w:eastAsia="zh-CN"/>
        </w:rPr>
      </w:pPr>
    </w:p>
    <w:p w14:paraId="1350AC67">
      <w:pPr>
        <w:rPr>
          <w:rFonts w:hint="default" w:ascii="宋体" w:hAnsi="宋体" w:cs="宋体"/>
          <w:color w:val="auto"/>
          <w:sz w:val="24"/>
          <w:szCs w:val="24"/>
          <w:highlight w:val="none"/>
          <w:lang w:val="en-US" w:eastAsia="zh-CN"/>
        </w:rPr>
      </w:pPr>
    </w:p>
    <w:p w14:paraId="61E55596">
      <w:pPr>
        <w:pStyle w:val="23"/>
        <w:rPr>
          <w:rFonts w:hint="default" w:ascii="宋体" w:hAnsi="宋体" w:cs="宋体"/>
          <w:color w:val="auto"/>
          <w:sz w:val="24"/>
          <w:szCs w:val="24"/>
          <w:highlight w:val="none"/>
          <w:lang w:val="en-US" w:eastAsia="zh-CN"/>
        </w:rPr>
      </w:pPr>
    </w:p>
    <w:p w14:paraId="4A6FDBAF">
      <w:pPr>
        <w:rPr>
          <w:rFonts w:hint="default" w:ascii="宋体" w:hAnsi="宋体" w:cs="宋体"/>
          <w:color w:val="auto"/>
          <w:sz w:val="24"/>
          <w:szCs w:val="24"/>
          <w:highlight w:val="none"/>
          <w:lang w:val="en-US" w:eastAsia="zh-CN"/>
        </w:rPr>
      </w:pPr>
    </w:p>
    <w:p w14:paraId="5BB362BD">
      <w:pPr>
        <w:pStyle w:val="23"/>
        <w:rPr>
          <w:rFonts w:hint="default" w:ascii="宋体" w:hAnsi="宋体" w:cs="宋体"/>
          <w:color w:val="auto"/>
          <w:sz w:val="24"/>
          <w:szCs w:val="24"/>
          <w:highlight w:val="none"/>
          <w:lang w:val="en-US" w:eastAsia="zh-CN"/>
        </w:rPr>
      </w:pPr>
    </w:p>
    <w:p w14:paraId="0E5B6585">
      <w:pPr>
        <w:rPr>
          <w:rFonts w:hint="default" w:ascii="宋体" w:hAnsi="宋体" w:cs="宋体"/>
          <w:color w:val="auto"/>
          <w:sz w:val="24"/>
          <w:szCs w:val="24"/>
          <w:highlight w:val="none"/>
          <w:lang w:val="en-US" w:eastAsia="zh-CN"/>
        </w:rPr>
      </w:pPr>
    </w:p>
    <w:p w14:paraId="5EFC3C5B">
      <w:pPr>
        <w:pStyle w:val="23"/>
        <w:rPr>
          <w:rFonts w:hint="default" w:ascii="宋体" w:hAnsi="宋体" w:cs="宋体"/>
          <w:color w:val="auto"/>
          <w:sz w:val="24"/>
          <w:szCs w:val="24"/>
          <w:highlight w:val="none"/>
          <w:lang w:val="en-US" w:eastAsia="zh-CN"/>
        </w:rPr>
      </w:pPr>
    </w:p>
    <w:p w14:paraId="56FBE058">
      <w:pPr>
        <w:rPr>
          <w:rFonts w:hint="default" w:ascii="宋体" w:hAnsi="宋体" w:cs="宋体"/>
          <w:color w:val="auto"/>
          <w:sz w:val="24"/>
          <w:szCs w:val="24"/>
          <w:highlight w:val="none"/>
          <w:lang w:val="en-US" w:eastAsia="zh-CN"/>
        </w:rPr>
      </w:pPr>
    </w:p>
    <w:p w14:paraId="1D37F692">
      <w:pPr>
        <w:pStyle w:val="23"/>
        <w:rPr>
          <w:rFonts w:hint="default" w:ascii="宋体" w:hAnsi="宋体" w:cs="宋体"/>
          <w:color w:val="auto"/>
          <w:sz w:val="24"/>
          <w:szCs w:val="24"/>
          <w:highlight w:val="none"/>
          <w:lang w:val="en-US" w:eastAsia="zh-CN"/>
        </w:rPr>
      </w:pPr>
    </w:p>
    <w:p w14:paraId="356FA87D">
      <w:pPr>
        <w:rPr>
          <w:rFonts w:hint="default" w:ascii="宋体" w:hAnsi="宋体" w:cs="宋体"/>
          <w:color w:val="auto"/>
          <w:sz w:val="24"/>
          <w:szCs w:val="24"/>
          <w:highlight w:val="none"/>
          <w:lang w:val="en-US" w:eastAsia="zh-CN"/>
        </w:rPr>
      </w:pPr>
    </w:p>
    <w:p w14:paraId="08EDA2FB">
      <w:pPr>
        <w:pStyle w:val="23"/>
        <w:rPr>
          <w:rFonts w:hint="default" w:ascii="宋体" w:hAnsi="宋体" w:cs="宋体"/>
          <w:color w:val="auto"/>
          <w:sz w:val="24"/>
          <w:szCs w:val="24"/>
          <w:highlight w:val="none"/>
          <w:lang w:val="en-US" w:eastAsia="zh-CN"/>
        </w:rPr>
      </w:pPr>
    </w:p>
    <w:p w14:paraId="1DAB132A">
      <w:pPr>
        <w:rPr>
          <w:rFonts w:hint="default" w:ascii="宋体" w:hAnsi="宋体" w:cs="宋体"/>
          <w:color w:val="auto"/>
          <w:sz w:val="24"/>
          <w:szCs w:val="24"/>
          <w:highlight w:val="none"/>
          <w:lang w:val="en-US" w:eastAsia="zh-CN"/>
        </w:rPr>
      </w:pPr>
    </w:p>
    <w:p w14:paraId="75D53CDB">
      <w:pPr>
        <w:pStyle w:val="23"/>
        <w:rPr>
          <w:rFonts w:hint="default" w:ascii="宋体" w:hAnsi="宋体" w:cs="宋体"/>
          <w:color w:val="auto"/>
          <w:sz w:val="24"/>
          <w:szCs w:val="24"/>
          <w:highlight w:val="none"/>
          <w:lang w:val="en-US" w:eastAsia="zh-CN"/>
        </w:rPr>
      </w:pPr>
    </w:p>
    <w:p w14:paraId="11FB95DD">
      <w:pPr>
        <w:rPr>
          <w:rFonts w:hint="default" w:ascii="宋体" w:hAnsi="宋体" w:cs="宋体"/>
          <w:color w:val="auto"/>
          <w:sz w:val="24"/>
          <w:szCs w:val="24"/>
          <w:highlight w:val="none"/>
          <w:lang w:val="en-US" w:eastAsia="zh-CN"/>
        </w:rPr>
      </w:pPr>
    </w:p>
    <w:p w14:paraId="6A7CE6BA">
      <w:pPr>
        <w:pStyle w:val="23"/>
        <w:rPr>
          <w:rFonts w:hint="default" w:ascii="宋体" w:hAnsi="宋体" w:cs="宋体"/>
          <w:color w:val="auto"/>
          <w:sz w:val="24"/>
          <w:szCs w:val="24"/>
          <w:highlight w:val="none"/>
          <w:lang w:val="en-US" w:eastAsia="zh-CN"/>
        </w:rPr>
      </w:pPr>
    </w:p>
    <w:p w14:paraId="0E5D01A5">
      <w:pPr>
        <w:rPr>
          <w:rFonts w:hint="default" w:ascii="宋体" w:hAnsi="宋体" w:cs="宋体"/>
          <w:color w:val="auto"/>
          <w:sz w:val="24"/>
          <w:szCs w:val="24"/>
          <w:highlight w:val="none"/>
          <w:lang w:val="en-US" w:eastAsia="zh-CN"/>
        </w:rPr>
      </w:pPr>
    </w:p>
    <w:p w14:paraId="0BD6F8FA">
      <w:pPr>
        <w:pStyle w:val="23"/>
        <w:rPr>
          <w:rFonts w:hint="default" w:ascii="宋体" w:hAnsi="宋体" w:cs="宋体"/>
          <w:color w:val="auto"/>
          <w:sz w:val="24"/>
          <w:szCs w:val="24"/>
          <w:highlight w:val="none"/>
          <w:lang w:val="en-US" w:eastAsia="zh-CN"/>
        </w:rPr>
      </w:pPr>
    </w:p>
    <w:p w14:paraId="44874BC5">
      <w:pPr>
        <w:rPr>
          <w:rFonts w:hint="default" w:ascii="宋体" w:hAnsi="宋体" w:cs="宋体"/>
          <w:color w:val="auto"/>
          <w:sz w:val="24"/>
          <w:szCs w:val="24"/>
          <w:highlight w:val="none"/>
          <w:lang w:val="en-US" w:eastAsia="zh-CN"/>
        </w:rPr>
      </w:pPr>
    </w:p>
    <w:p w14:paraId="47627FFA">
      <w:pPr>
        <w:pStyle w:val="23"/>
        <w:rPr>
          <w:rFonts w:hint="default" w:ascii="宋体" w:hAnsi="宋体" w:cs="宋体"/>
          <w:color w:val="auto"/>
          <w:sz w:val="24"/>
          <w:szCs w:val="24"/>
          <w:highlight w:val="none"/>
          <w:lang w:val="en-US" w:eastAsia="zh-CN"/>
        </w:rPr>
      </w:pPr>
    </w:p>
    <w:p w14:paraId="74AF94F5">
      <w:pPr>
        <w:rPr>
          <w:rFonts w:hint="default" w:ascii="宋体" w:hAnsi="宋体" w:cs="宋体"/>
          <w:color w:val="auto"/>
          <w:sz w:val="24"/>
          <w:szCs w:val="24"/>
          <w:highlight w:val="none"/>
          <w:lang w:val="en-US" w:eastAsia="zh-CN"/>
        </w:rPr>
      </w:pPr>
    </w:p>
    <w:p w14:paraId="0EF01C6B">
      <w:pPr>
        <w:pStyle w:val="23"/>
        <w:rPr>
          <w:rFonts w:hint="default" w:ascii="宋体" w:hAnsi="宋体" w:cs="宋体"/>
          <w:color w:val="auto"/>
          <w:sz w:val="24"/>
          <w:szCs w:val="24"/>
          <w:highlight w:val="none"/>
          <w:lang w:val="en-US" w:eastAsia="zh-CN"/>
        </w:rPr>
      </w:pPr>
    </w:p>
    <w:p w14:paraId="04ED5A19">
      <w:pPr>
        <w:rPr>
          <w:rFonts w:hint="default" w:ascii="宋体" w:hAnsi="宋体" w:cs="宋体"/>
          <w:color w:val="auto"/>
          <w:sz w:val="24"/>
          <w:szCs w:val="24"/>
          <w:highlight w:val="none"/>
          <w:lang w:val="en-US" w:eastAsia="zh-CN"/>
        </w:rPr>
      </w:pPr>
    </w:p>
    <w:p w14:paraId="200D7CCD">
      <w:pPr>
        <w:pStyle w:val="23"/>
        <w:rPr>
          <w:rFonts w:hint="default" w:ascii="宋体" w:hAnsi="宋体" w:cs="宋体"/>
          <w:color w:val="auto"/>
          <w:sz w:val="24"/>
          <w:szCs w:val="24"/>
          <w:highlight w:val="none"/>
          <w:lang w:val="en-US" w:eastAsia="zh-CN"/>
        </w:rPr>
      </w:pPr>
    </w:p>
    <w:p w14:paraId="05BB1E1B">
      <w:pPr>
        <w:rPr>
          <w:rFonts w:hint="default" w:ascii="宋体" w:hAnsi="宋体" w:cs="宋体"/>
          <w:color w:val="auto"/>
          <w:sz w:val="24"/>
          <w:szCs w:val="24"/>
          <w:highlight w:val="none"/>
          <w:lang w:val="en-US" w:eastAsia="zh-CN"/>
        </w:rPr>
      </w:pPr>
    </w:p>
    <w:p w14:paraId="7CDAC4C6">
      <w:pPr>
        <w:pStyle w:val="23"/>
        <w:rPr>
          <w:rFonts w:hint="default" w:ascii="宋体" w:hAnsi="宋体" w:cs="宋体"/>
          <w:color w:val="auto"/>
          <w:sz w:val="24"/>
          <w:szCs w:val="24"/>
          <w:highlight w:val="none"/>
          <w:lang w:val="en-US" w:eastAsia="zh-CN"/>
        </w:rPr>
      </w:pPr>
    </w:p>
    <w:p w14:paraId="0D26E33A">
      <w:pPr>
        <w:rPr>
          <w:rFonts w:hint="default" w:ascii="宋体" w:hAnsi="宋体" w:cs="宋体"/>
          <w:color w:val="auto"/>
          <w:sz w:val="24"/>
          <w:szCs w:val="24"/>
          <w:highlight w:val="none"/>
          <w:lang w:val="en-US" w:eastAsia="zh-CN"/>
        </w:rPr>
      </w:pPr>
    </w:p>
    <w:p w14:paraId="5C452CA9">
      <w:pPr>
        <w:pStyle w:val="23"/>
        <w:rPr>
          <w:rFonts w:hint="default" w:ascii="宋体" w:hAnsi="宋体" w:cs="宋体"/>
          <w:color w:val="auto"/>
          <w:sz w:val="24"/>
          <w:szCs w:val="24"/>
          <w:highlight w:val="none"/>
          <w:lang w:val="en-US" w:eastAsia="zh-CN"/>
        </w:rPr>
      </w:pPr>
    </w:p>
    <w:p w14:paraId="7C742971">
      <w:pPr>
        <w:rPr>
          <w:rFonts w:hint="default"/>
          <w:color w:val="auto"/>
          <w:highlight w:val="none"/>
          <w:lang w:val="en-US" w:eastAsia="zh-CN"/>
        </w:rPr>
      </w:pPr>
    </w:p>
    <w:p w14:paraId="3849102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ACC526C">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五、其他资料</w:t>
      </w:r>
    </w:p>
    <w:p w14:paraId="55600F88">
      <w:pPr>
        <w:keepNext w:val="0"/>
        <w:keepLines w:val="0"/>
        <w:pageBreakBefore w:val="0"/>
        <w:widowControl w:val="0"/>
        <w:kinsoku/>
        <w:wordWrap/>
        <w:topLinePunct w:val="0"/>
        <w:bidi w:val="0"/>
        <w:adjustRightInd w:val="0"/>
        <w:snapToGrid w:val="0"/>
        <w:spacing w:line="400" w:lineRule="exact"/>
        <w:ind w:firstLine="960" w:firstLineChars="4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p>
    <w:p w14:paraId="04D2900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5A214E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5AFC15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2BA3E8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0771C61">
      <w:pPr>
        <w:pStyle w:val="23"/>
        <w:keepNext w:val="0"/>
        <w:keepLines w:val="0"/>
        <w:pageBreakBefore w:val="0"/>
        <w:widowControl w:val="0"/>
        <w:kinsoku/>
        <w:wordWrap/>
        <w:topLinePunct w:val="0"/>
        <w:bidi w:val="0"/>
        <w:spacing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（结束）</w:t>
      </w:r>
    </w:p>
    <w:p w14:paraId="0DACFFBB">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AA04AF9">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314B87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1DACA1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1FFE3C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8DBBB4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A5125B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7BC3B4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4EF15D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B703D0B">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E21E44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5C55B9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FA4EE00">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4F2247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6F81C7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B9BD42E">
      <w:pPr>
        <w:pStyle w:val="23"/>
        <w:rPr>
          <w:rFonts w:hint="eastAsia" w:ascii="宋体" w:hAnsi="宋体" w:cs="宋体"/>
          <w:color w:val="auto"/>
          <w:sz w:val="24"/>
          <w:szCs w:val="24"/>
          <w:highlight w:val="none"/>
          <w:lang w:val="en-US" w:eastAsia="zh-CN"/>
        </w:rPr>
      </w:pPr>
    </w:p>
    <w:p w14:paraId="644720BD">
      <w:pPr>
        <w:rPr>
          <w:rFonts w:hint="eastAsia" w:ascii="宋体" w:hAnsi="宋体" w:cs="宋体"/>
          <w:color w:val="auto"/>
          <w:sz w:val="24"/>
          <w:szCs w:val="24"/>
          <w:highlight w:val="none"/>
          <w:lang w:val="en-US" w:eastAsia="zh-CN"/>
        </w:rPr>
      </w:pPr>
    </w:p>
    <w:p w14:paraId="15C8EC8A">
      <w:pPr>
        <w:pStyle w:val="23"/>
        <w:rPr>
          <w:rFonts w:hint="eastAsia" w:ascii="宋体" w:hAnsi="宋体" w:cs="宋体"/>
          <w:color w:val="auto"/>
          <w:sz w:val="24"/>
          <w:szCs w:val="24"/>
          <w:highlight w:val="none"/>
          <w:lang w:val="en-US" w:eastAsia="zh-CN"/>
        </w:rPr>
      </w:pPr>
    </w:p>
    <w:p w14:paraId="65EE9C1A">
      <w:pPr>
        <w:rPr>
          <w:rFonts w:hint="eastAsia" w:ascii="宋体" w:hAnsi="宋体" w:cs="宋体"/>
          <w:color w:val="auto"/>
          <w:sz w:val="24"/>
          <w:szCs w:val="24"/>
          <w:highlight w:val="none"/>
          <w:lang w:val="en-US" w:eastAsia="zh-CN"/>
        </w:rPr>
      </w:pPr>
    </w:p>
    <w:p w14:paraId="3F0D727A">
      <w:pPr>
        <w:pStyle w:val="23"/>
        <w:rPr>
          <w:rFonts w:hint="eastAsia" w:ascii="宋体" w:hAnsi="宋体" w:cs="宋体"/>
          <w:color w:val="auto"/>
          <w:sz w:val="24"/>
          <w:szCs w:val="24"/>
          <w:highlight w:val="none"/>
          <w:lang w:val="en-US" w:eastAsia="zh-CN"/>
        </w:rPr>
      </w:pPr>
    </w:p>
    <w:p w14:paraId="347F96C7">
      <w:pPr>
        <w:rPr>
          <w:rFonts w:hint="eastAsia" w:ascii="宋体" w:hAnsi="宋体" w:cs="宋体"/>
          <w:color w:val="auto"/>
          <w:sz w:val="24"/>
          <w:szCs w:val="24"/>
          <w:highlight w:val="none"/>
          <w:lang w:val="en-US" w:eastAsia="zh-CN"/>
        </w:rPr>
      </w:pPr>
    </w:p>
    <w:p w14:paraId="26B079C7">
      <w:pPr>
        <w:pStyle w:val="23"/>
        <w:rPr>
          <w:rFonts w:hint="eastAsia" w:ascii="宋体" w:hAnsi="宋体" w:cs="宋体"/>
          <w:color w:val="auto"/>
          <w:sz w:val="24"/>
          <w:szCs w:val="24"/>
          <w:highlight w:val="none"/>
          <w:lang w:val="en-US" w:eastAsia="zh-CN"/>
        </w:rPr>
      </w:pPr>
    </w:p>
    <w:p w14:paraId="1F38F46D">
      <w:pPr>
        <w:rPr>
          <w:rFonts w:hint="eastAsia" w:ascii="宋体" w:hAnsi="宋体" w:cs="宋体"/>
          <w:color w:val="auto"/>
          <w:sz w:val="24"/>
          <w:szCs w:val="24"/>
          <w:highlight w:val="none"/>
          <w:lang w:val="en-US" w:eastAsia="zh-CN"/>
        </w:rPr>
      </w:pPr>
    </w:p>
    <w:p w14:paraId="6967FBDD">
      <w:pPr>
        <w:pStyle w:val="23"/>
        <w:rPr>
          <w:rFonts w:hint="eastAsia" w:ascii="宋体" w:hAnsi="宋体" w:cs="宋体"/>
          <w:color w:val="auto"/>
          <w:sz w:val="24"/>
          <w:szCs w:val="24"/>
          <w:highlight w:val="none"/>
          <w:lang w:val="en-US" w:eastAsia="zh-CN"/>
        </w:rPr>
      </w:pPr>
    </w:p>
    <w:p w14:paraId="699C4273">
      <w:pPr>
        <w:rPr>
          <w:rFonts w:hint="eastAsia" w:ascii="宋体" w:hAnsi="宋体" w:cs="宋体"/>
          <w:color w:val="auto"/>
          <w:sz w:val="24"/>
          <w:szCs w:val="24"/>
          <w:highlight w:val="none"/>
          <w:lang w:val="en-US" w:eastAsia="zh-CN"/>
        </w:rPr>
      </w:pPr>
    </w:p>
    <w:p w14:paraId="78443C5D">
      <w:pPr>
        <w:pStyle w:val="23"/>
        <w:rPr>
          <w:rFonts w:hint="eastAsia" w:ascii="宋体" w:hAnsi="宋体" w:cs="宋体"/>
          <w:color w:val="auto"/>
          <w:sz w:val="24"/>
          <w:szCs w:val="24"/>
          <w:highlight w:val="none"/>
          <w:lang w:val="en-US" w:eastAsia="zh-CN"/>
        </w:rPr>
      </w:pPr>
    </w:p>
    <w:p w14:paraId="5C21C42E">
      <w:pPr>
        <w:rPr>
          <w:rFonts w:hint="eastAsia" w:ascii="宋体" w:hAnsi="宋体" w:cs="宋体"/>
          <w:color w:val="auto"/>
          <w:sz w:val="24"/>
          <w:szCs w:val="24"/>
          <w:highlight w:val="none"/>
          <w:lang w:val="en-US" w:eastAsia="zh-CN"/>
        </w:rPr>
      </w:pPr>
    </w:p>
    <w:p w14:paraId="3BD6808A">
      <w:pPr>
        <w:pStyle w:val="23"/>
        <w:rPr>
          <w:rFonts w:hint="eastAsia" w:ascii="宋体" w:hAnsi="宋体" w:cs="宋体"/>
          <w:color w:val="auto"/>
          <w:sz w:val="24"/>
          <w:szCs w:val="24"/>
          <w:highlight w:val="none"/>
          <w:lang w:val="en-US" w:eastAsia="zh-CN"/>
        </w:rPr>
      </w:pPr>
    </w:p>
    <w:p w14:paraId="2D4CDDDC">
      <w:pPr>
        <w:rPr>
          <w:rFonts w:hint="eastAsia" w:ascii="宋体" w:hAnsi="宋体" w:cs="宋体"/>
          <w:color w:val="auto"/>
          <w:sz w:val="24"/>
          <w:szCs w:val="24"/>
          <w:highlight w:val="none"/>
          <w:lang w:val="en-US" w:eastAsia="zh-CN"/>
        </w:rPr>
      </w:pPr>
    </w:p>
    <w:p w14:paraId="2B056B6B">
      <w:pPr>
        <w:pStyle w:val="23"/>
        <w:rPr>
          <w:rFonts w:hint="eastAsia" w:ascii="宋体" w:hAnsi="宋体" w:cs="宋体"/>
          <w:color w:val="auto"/>
          <w:sz w:val="24"/>
          <w:szCs w:val="24"/>
          <w:highlight w:val="none"/>
          <w:lang w:val="en-US" w:eastAsia="zh-CN"/>
        </w:rPr>
      </w:pPr>
    </w:p>
    <w:p w14:paraId="5C070704">
      <w:pPr>
        <w:pStyle w:val="378"/>
        <w:keepNext w:val="0"/>
        <w:keepLines w:val="0"/>
        <w:pageBreakBefore w:val="0"/>
        <w:widowControl w:val="0"/>
        <w:tabs>
          <w:tab w:val="right" w:leader="dot" w:pos="9402"/>
        </w:tabs>
        <w:kinsoku/>
        <w:wordWrap/>
        <w:topLinePunct w:val="0"/>
        <w:bidi w:val="0"/>
        <w:spacing w:line="400" w:lineRule="exact"/>
        <w:jc w:val="center"/>
        <w:textAlignment w:val="auto"/>
        <w:outlineLvl w:val="9"/>
        <w:rPr>
          <w:rFonts w:hint="eastAsia" w:ascii="宋体" w:hAnsi="宋体" w:eastAsia="宋体" w:cs="宋体"/>
          <w:color w:val="auto"/>
          <w:sz w:val="24"/>
          <w:szCs w:val="24"/>
          <w:highlight w:val="none"/>
        </w:rPr>
      </w:pPr>
      <w:bookmarkStart w:id="1942" w:name="_Toc2763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1942"/>
    </w:p>
    <w:p w14:paraId="0FFEF8A5">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3980063E">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p>
    <w:p w14:paraId="3A60E2F5">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476B992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159A98A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6E0DE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007443A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126E72">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0E30EC">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41A3676">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0FFF75F">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39857C35">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42A3BC48">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73E03576">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00BC3302">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6CF056EC">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A5E0FB0">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5452C48">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07E8BA5E">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46E9102E">
      <w:pPr>
        <w:keepNext w:val="0"/>
        <w:keepLines w:val="0"/>
        <w:pageBreakBefore w:val="0"/>
        <w:widowControl w:val="0"/>
        <w:kinsoku/>
        <w:wordWrap/>
        <w:topLinePunct w:val="0"/>
        <w:bidi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011A90E6">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5FB1904">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9734E4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E184C7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85BC41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94B15DC">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2C94172">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15886DD">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9B9568">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0B852A8B">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0833CC">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C5063B8">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1A9B4450">
      <w:pPr>
        <w:keepNext w:val="0"/>
        <w:keepLines w:val="0"/>
        <w:pageBreakBefore w:val="0"/>
        <w:widowControl w:val="0"/>
        <w:kinsoku/>
        <w:topLinePunct w:val="0"/>
        <w:bidi w:val="0"/>
        <w:rPr>
          <w:rFonts w:hint="eastAsia"/>
          <w:color w:val="auto"/>
          <w:highlight w:val="none"/>
          <w:lang w:val="en-US" w:eastAsia="zh-CN"/>
        </w:rPr>
      </w:pPr>
    </w:p>
    <w:p w14:paraId="50AEECE1">
      <w:pPr>
        <w:pStyle w:val="23"/>
        <w:keepNext w:val="0"/>
        <w:keepLines w:val="0"/>
        <w:pageBreakBefore w:val="0"/>
        <w:widowControl w:val="0"/>
        <w:kinsoku/>
        <w:topLinePunct w:val="0"/>
        <w:bidi w:val="0"/>
        <w:rPr>
          <w:rFonts w:hint="eastAsia"/>
          <w:color w:val="auto"/>
          <w:highlight w:val="none"/>
          <w:lang w:val="en-US" w:eastAsia="zh-CN"/>
        </w:rPr>
      </w:pPr>
    </w:p>
    <w:p w14:paraId="0A0F2A1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附件二：报名表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52CA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25A54B48">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381630F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2907C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4EFB4F2B">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650E620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53955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65376B3C">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1F1885F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0B3DE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6B70D70">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24F85DE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5F1C09E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674DEBF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0DC09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3FBCADE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6DAE70C6">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610160C2">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40EB7E1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FB0D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737692AE">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4113C55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6006C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7CC8E34">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7239517F">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bl>
    <w:p w14:paraId="4A5168CC">
      <w:pPr>
        <w:keepNext w:val="0"/>
        <w:keepLines w:val="0"/>
        <w:pageBreakBefore w:val="0"/>
        <w:widowControl w:val="0"/>
        <w:kinsoku/>
        <w:wordWrap/>
        <w:topLinePunct w:val="0"/>
        <w:bidi w:val="0"/>
        <w:spacing w:line="400" w:lineRule="exact"/>
        <w:ind w:right="-372" w:rightChars="-133"/>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重庆颢越工程管理有限公司</w:t>
      </w:r>
      <w:r>
        <w:rPr>
          <w:rFonts w:hint="eastAsia" w:ascii="宋体" w:hAnsi="宋体" w:eastAsia="宋体" w:cs="宋体"/>
          <w:color w:val="auto"/>
          <w:sz w:val="24"/>
          <w:szCs w:val="24"/>
          <w:highlight w:val="none"/>
          <w:lang w:val="en-US" w:eastAsia="zh-CN"/>
        </w:rPr>
        <w:t xml:space="preserve">  </w:t>
      </w:r>
    </w:p>
    <w:p w14:paraId="143851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6420D5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76BBDC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4"/>
          <w:szCs w:val="24"/>
          <w:highlight w:val="none"/>
          <w:lang w:val="en-US" w:eastAsia="zh-CN"/>
        </w:rPr>
      </w:pPr>
      <w:r>
        <w:rPr>
          <w:rFonts w:hint="default"/>
          <w:color w:val="auto"/>
          <w:highlight w:val="none"/>
          <w:lang w:val="en-US" w:eastAsia="zh-CN"/>
        </w:rPr>
        <w:drawing>
          <wp:anchor distT="0" distB="0" distL="114300" distR="114300" simplePos="0" relativeHeight="251659264" behindDoc="0" locked="0" layoutInCell="1" allowOverlap="1">
            <wp:simplePos x="0" y="0"/>
            <wp:positionH relativeFrom="column">
              <wp:posOffset>5034915</wp:posOffset>
            </wp:positionH>
            <wp:positionV relativeFrom="paragraph">
              <wp:posOffset>120015</wp:posOffset>
            </wp:positionV>
            <wp:extent cx="1151255" cy="1529080"/>
            <wp:effectExtent l="0" t="0" r="10795" b="13970"/>
            <wp:wrapSquare wrapText="bothSides"/>
            <wp:docPr id="9" name="图片 9" descr="f5fdce96df98fdedd658e470e4d6a5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5fdce96df98fdedd658e470e4d6a57e"/>
                    <pic:cNvPicPr>
                      <a:picLocks noChangeAspect="1"/>
                    </pic:cNvPicPr>
                  </pic:nvPicPr>
                  <pic:blipFill>
                    <a:blip r:embed="rId22"/>
                    <a:stretch>
                      <a:fillRect/>
                    </a:stretch>
                  </pic:blipFill>
                  <pic:spPr>
                    <a:xfrm>
                      <a:off x="0" y="0"/>
                      <a:ext cx="1151255" cy="1529080"/>
                    </a:xfrm>
                    <a:prstGeom prst="rect">
                      <a:avLst/>
                    </a:prstGeom>
                  </pic:spPr>
                </pic:pic>
              </a:graphicData>
            </a:graphic>
          </wp:anchor>
        </w:drawing>
      </w:r>
    </w:p>
    <w:p w14:paraId="57214D1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报名和采购文件发售期内，供应商将文件购买费转入下方二维码中，转账时需注明“供应商简称—</w:t>
      </w:r>
      <w:r>
        <w:rPr>
          <w:rFonts w:hint="eastAsia" w:ascii="宋体" w:hAnsi="宋体" w:cs="宋体"/>
          <w:color w:val="auto"/>
          <w:sz w:val="24"/>
          <w:szCs w:val="24"/>
          <w:highlight w:val="none"/>
          <w:lang w:val="en-US" w:eastAsia="zh-CN"/>
        </w:rPr>
        <w:t>CQHY-HC-20260522</w:t>
      </w:r>
      <w:r>
        <w:rPr>
          <w:rFonts w:hint="eastAsia" w:ascii="宋体" w:hAnsi="宋体" w:eastAsia="宋体" w:cs="宋体"/>
          <w:color w:val="auto"/>
          <w:sz w:val="24"/>
          <w:szCs w:val="24"/>
          <w:highlight w:val="none"/>
          <w:lang w:val="en-US" w:eastAsia="zh-CN"/>
        </w:rPr>
        <w:t>”，并报名表（格式详见附件）填写完整加盖供应商公章扫描后同文件购买费转账截图一起发送至指定邮箱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2606654674@qq.com</w:t>
      </w:r>
      <w:r>
        <w:rPr>
          <w:rFonts w:hint="eastAsia" w:ascii="宋体" w:hAnsi="宋体" w:eastAsia="宋体" w:cs="宋体"/>
          <w:color w:val="auto"/>
          <w:sz w:val="24"/>
          <w:szCs w:val="24"/>
          <w:highlight w:val="none"/>
          <w:lang w:val="en-US" w:eastAsia="zh-CN"/>
        </w:rPr>
        <w:t>，按要求发送邮箱后方才报名成功。</w:t>
      </w:r>
    </w:p>
    <w:p w14:paraId="1B475A62">
      <w:pPr>
        <w:keepNext w:val="0"/>
        <w:keepLines w:val="0"/>
        <w:pageBreakBefore w:val="0"/>
        <w:widowControl w:val="0"/>
        <w:kinsoku/>
        <w:wordWrap/>
        <w:topLinePunct w:val="0"/>
        <w:bidi w:val="0"/>
        <w:spacing w:line="400" w:lineRule="exact"/>
        <w:jc w:val="both"/>
        <w:textAlignment w:val="auto"/>
        <w:rPr>
          <w:rFonts w:hint="eastAsia" w:ascii="宋体" w:hAnsi="宋体" w:eastAsia="宋体" w:cs="宋体"/>
          <w:b w:val="0"/>
          <w:smallCaps w:val="0"/>
          <w:color w:val="auto"/>
          <w:kern w:val="2"/>
          <w:sz w:val="24"/>
          <w:szCs w:val="24"/>
          <w:highlight w:val="none"/>
          <w:lang w:val="en-US" w:eastAsia="zh-CN" w:bidi="ar-SA"/>
        </w:rPr>
      </w:pPr>
    </w:p>
    <w:p w14:paraId="65A7BAF1">
      <w:pPr>
        <w:keepNext w:val="0"/>
        <w:keepLines w:val="0"/>
        <w:pageBreakBefore w:val="0"/>
        <w:widowControl w:val="0"/>
        <w:kinsoku/>
        <w:wordWrap/>
        <w:topLinePunct w:val="0"/>
        <w:bidi w:val="0"/>
        <w:spacing w:line="240" w:lineRule="auto"/>
        <w:textAlignment w:val="auto"/>
        <w:rPr>
          <w:rFonts w:hint="default"/>
          <w:color w:val="auto"/>
          <w:highlight w:val="none"/>
          <w:lang w:val="en-US" w:eastAsia="zh-CN"/>
        </w:rPr>
      </w:pPr>
    </w:p>
    <w:p w14:paraId="590849D5">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E435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378A5E44">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6075930">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868CD1C">
      <w:pPr>
        <w:pStyle w:val="23"/>
        <w:rPr>
          <w:rFonts w:ascii="宋体" w:hAnsi="宋体" w:eastAsia="宋体" w:cs="宋体"/>
          <w:color w:val="auto"/>
          <w:sz w:val="20"/>
          <w:szCs w:val="20"/>
          <w:highlight w:val="none"/>
        </w:rPr>
      </w:pPr>
    </w:p>
    <w:p w14:paraId="405C6764">
      <w:pPr>
        <w:rPr>
          <w:rFonts w:ascii="宋体" w:hAnsi="宋体" w:eastAsia="宋体" w:cs="宋体"/>
          <w:color w:val="auto"/>
          <w:sz w:val="20"/>
          <w:szCs w:val="20"/>
          <w:highlight w:val="none"/>
        </w:rPr>
      </w:pPr>
    </w:p>
    <w:p w14:paraId="4A44F294">
      <w:pPr>
        <w:pStyle w:val="23"/>
        <w:rPr>
          <w:rFonts w:ascii="宋体" w:hAnsi="宋体" w:eastAsia="宋体" w:cs="宋体"/>
          <w:color w:val="auto"/>
          <w:sz w:val="20"/>
          <w:szCs w:val="20"/>
          <w:highlight w:val="none"/>
        </w:rPr>
      </w:pP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14:paraId="7FDA55A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bookmarkStart w:id="1943" w:name="bookmark258"/>
      <w:bookmarkEnd w:id="1943"/>
    </w:p>
    <w:sectPr>
      <w:headerReference r:id="rId14" w:type="default"/>
      <w:footerReference r:id="rId15" w:type="default"/>
      <w:pgSz w:w="11907" w:h="16840"/>
      <w:pgMar w:top="1440" w:right="1080" w:bottom="1440" w:left="1080"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Microsoft Sans Serif">
    <w:panose1 w:val="020B0604020202020204"/>
    <w:charset w:val="00"/>
    <w:family w:val="swiss"/>
    <w:pitch w:val="default"/>
    <w:sig w:usb0="E5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2D09">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400A">
    <w:pPr>
      <w:pStyle w:val="40"/>
      <w:tabs>
        <w:tab w:val="center" w:pos="4535"/>
        <w:tab w:val="left" w:pos="5646"/>
        <w:tab w:val="clear" w:pos="4153"/>
        <w:tab w:val="clear" w:pos="8306"/>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55F4">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08B3">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9408B3">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35E3">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453C">
    <w:pPr>
      <w:pStyle w:val="40"/>
      <w:tabs>
        <w:tab w:val="center" w:pos="4535"/>
        <w:tab w:val="left" w:pos="5646"/>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60CD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F60CD9">
                    <w:pPr>
                      <w:pStyle w:val="4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FDC0">
    <w:pPr>
      <w:pStyle w:val="4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F695">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CCF695">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4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9108B">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D69108B">
                    <w:pPr>
                      <w:pStyle w:val="40"/>
                    </w:pPr>
                    <w:r>
                      <w:fldChar w:fldCharType="begin"/>
                    </w:r>
                    <w:r>
                      <w:instrText xml:space="preserve"> PAGE  \* MERGEFORMAT </w:instrText>
                    </w:r>
                    <w:r>
                      <w:fldChar w:fldCharType="separate"/>
                    </w:r>
                    <w:r>
                      <w:t>1</w:t>
                    </w:r>
                    <w:r>
                      <w:fldChar w:fldCharType="end"/>
                    </w:r>
                  </w:p>
                </w:txbxContent>
              </v:textbox>
            </v:shape>
          </w:pict>
        </mc:Fallback>
      </mc:AlternateContent>
    </w:r>
  </w:p>
  <w:p w14:paraId="18EA977A">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1"/>
      <w:pBdr>
        <w:bottom w:val="none" w:color="auto" w:sz="0" w:space="1"/>
      </w:pBdr>
      <w:jc w:val="both"/>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2977">
    <w:pPr>
      <w:pStyle w:val="4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3D9C">
    <w:pPr>
      <w:pStyle w:val="4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3275A">
    <w:pPr>
      <w:pStyle w:val="41"/>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1"/>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9B1CF"/>
    <w:multiLevelType w:val="singleLevel"/>
    <w:tmpl w:val="B4C9B1CF"/>
    <w:lvl w:ilvl="0" w:tentative="0">
      <w:start w:val="5"/>
      <w:numFmt w:val="chineseCounting"/>
      <w:suff w:val="nothing"/>
      <w:lvlText w:val="（%1）"/>
      <w:lvlJc w:val="left"/>
      <w:rPr>
        <w:rFonts w:hint="eastAsia"/>
      </w:rPr>
    </w:lvl>
  </w:abstractNum>
  <w:abstractNum w:abstractNumId="1">
    <w:nsid w:val="BF0EC2E2"/>
    <w:multiLevelType w:val="singleLevel"/>
    <w:tmpl w:val="BF0EC2E2"/>
    <w:lvl w:ilvl="0" w:tentative="0">
      <w:start w:val="1"/>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2"/>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2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3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34"/>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7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5CC2599"/>
    <w:multiLevelType w:val="singleLevel"/>
    <w:tmpl w:val="05CC2599"/>
    <w:lvl w:ilvl="0" w:tentative="0">
      <w:start w:val="2"/>
      <w:numFmt w:val="decimal"/>
      <w:suff w:val="nothing"/>
      <w:lvlText w:val="%1、"/>
      <w:lvlJc w:val="left"/>
    </w:lvl>
  </w:abstractNum>
  <w:abstractNum w:abstractNumId="14">
    <w:nsid w:val="3BF13F35"/>
    <w:multiLevelType w:val="multilevel"/>
    <w:tmpl w:val="3BF13F35"/>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441A600C"/>
    <w:multiLevelType w:val="multilevel"/>
    <w:tmpl w:val="441A600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4F865DB"/>
    <w:multiLevelType w:val="multilevel"/>
    <w:tmpl w:val="54F865DB"/>
    <w:lvl w:ilvl="0" w:tentative="0">
      <w:start w:val="1"/>
      <w:numFmt w:val="upperLetter"/>
      <w:pStyle w:val="304"/>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7EE563B9"/>
    <w:multiLevelType w:val="multilevel"/>
    <w:tmpl w:val="7EE563B9"/>
    <w:lvl w:ilvl="0" w:tentative="0">
      <w:start w:val="1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7"/>
  </w:num>
  <w:num w:numId="9">
    <w:abstractNumId w:val="12"/>
  </w:num>
  <w:num w:numId="10">
    <w:abstractNumId w:val="8"/>
  </w:num>
  <w:num w:numId="11">
    <w:abstractNumId w:val="11"/>
  </w:num>
  <w:num w:numId="12">
    <w:abstractNumId w:val="6"/>
  </w:num>
  <w:num w:numId="13">
    <w:abstractNumId w:val="15"/>
  </w:num>
  <w:num w:numId="14">
    <w:abstractNumId w:val="1"/>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52DB"/>
    <w:rsid w:val="006A6BFA"/>
    <w:rsid w:val="006C1F82"/>
    <w:rsid w:val="006C2038"/>
    <w:rsid w:val="006F24CA"/>
    <w:rsid w:val="00700074"/>
    <w:rsid w:val="007232C2"/>
    <w:rsid w:val="00725EBC"/>
    <w:rsid w:val="007368C7"/>
    <w:rsid w:val="00743FFC"/>
    <w:rsid w:val="00762959"/>
    <w:rsid w:val="00771FD2"/>
    <w:rsid w:val="0078143C"/>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71A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0E14F5"/>
    <w:rsid w:val="011252A5"/>
    <w:rsid w:val="0120510D"/>
    <w:rsid w:val="01251184"/>
    <w:rsid w:val="0147153B"/>
    <w:rsid w:val="015D329E"/>
    <w:rsid w:val="016622FC"/>
    <w:rsid w:val="016C149F"/>
    <w:rsid w:val="016F4DA6"/>
    <w:rsid w:val="017C0E40"/>
    <w:rsid w:val="01897993"/>
    <w:rsid w:val="01914DAD"/>
    <w:rsid w:val="0193166C"/>
    <w:rsid w:val="01A66C10"/>
    <w:rsid w:val="01AD28EF"/>
    <w:rsid w:val="01B14C06"/>
    <w:rsid w:val="01B916AE"/>
    <w:rsid w:val="01CF7329"/>
    <w:rsid w:val="020967F0"/>
    <w:rsid w:val="02217FDE"/>
    <w:rsid w:val="0255229F"/>
    <w:rsid w:val="0275233D"/>
    <w:rsid w:val="028265A2"/>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17B69"/>
    <w:rsid w:val="032B082C"/>
    <w:rsid w:val="034B55DC"/>
    <w:rsid w:val="03804B57"/>
    <w:rsid w:val="03984DFB"/>
    <w:rsid w:val="03A013D6"/>
    <w:rsid w:val="03A16859"/>
    <w:rsid w:val="03C1660E"/>
    <w:rsid w:val="03CC434A"/>
    <w:rsid w:val="03DE21C1"/>
    <w:rsid w:val="043833BC"/>
    <w:rsid w:val="044031CE"/>
    <w:rsid w:val="0446618F"/>
    <w:rsid w:val="04471852"/>
    <w:rsid w:val="04775B53"/>
    <w:rsid w:val="047C6AF9"/>
    <w:rsid w:val="04A42800"/>
    <w:rsid w:val="04BA2023"/>
    <w:rsid w:val="04D05CEB"/>
    <w:rsid w:val="050B2A70"/>
    <w:rsid w:val="050E530B"/>
    <w:rsid w:val="052F2A11"/>
    <w:rsid w:val="05306B0B"/>
    <w:rsid w:val="05420D44"/>
    <w:rsid w:val="055C132D"/>
    <w:rsid w:val="056B70F6"/>
    <w:rsid w:val="057B0424"/>
    <w:rsid w:val="057D6F2B"/>
    <w:rsid w:val="05C945A2"/>
    <w:rsid w:val="05EF3F4F"/>
    <w:rsid w:val="05F25272"/>
    <w:rsid w:val="05F872A7"/>
    <w:rsid w:val="06071198"/>
    <w:rsid w:val="060D1105"/>
    <w:rsid w:val="06135E8F"/>
    <w:rsid w:val="06831F7D"/>
    <w:rsid w:val="068E19BA"/>
    <w:rsid w:val="069A1BF8"/>
    <w:rsid w:val="069A210C"/>
    <w:rsid w:val="06B449B9"/>
    <w:rsid w:val="06BE20C2"/>
    <w:rsid w:val="06D118A6"/>
    <w:rsid w:val="06E5236E"/>
    <w:rsid w:val="071445D6"/>
    <w:rsid w:val="07171649"/>
    <w:rsid w:val="07367D1C"/>
    <w:rsid w:val="0745490B"/>
    <w:rsid w:val="07A11279"/>
    <w:rsid w:val="07CD4764"/>
    <w:rsid w:val="07F12200"/>
    <w:rsid w:val="07F17F5D"/>
    <w:rsid w:val="080A4163"/>
    <w:rsid w:val="08314CF2"/>
    <w:rsid w:val="08341433"/>
    <w:rsid w:val="08600069"/>
    <w:rsid w:val="08713341"/>
    <w:rsid w:val="089352D4"/>
    <w:rsid w:val="08957B56"/>
    <w:rsid w:val="08960800"/>
    <w:rsid w:val="089C2F11"/>
    <w:rsid w:val="08A869F8"/>
    <w:rsid w:val="08B4685D"/>
    <w:rsid w:val="08C416C3"/>
    <w:rsid w:val="08CC67C9"/>
    <w:rsid w:val="08D93A2A"/>
    <w:rsid w:val="08DF64FD"/>
    <w:rsid w:val="08F31FA8"/>
    <w:rsid w:val="091066B6"/>
    <w:rsid w:val="09271C52"/>
    <w:rsid w:val="09287EA3"/>
    <w:rsid w:val="09333501"/>
    <w:rsid w:val="09451F87"/>
    <w:rsid w:val="095435C4"/>
    <w:rsid w:val="09677181"/>
    <w:rsid w:val="096B1B3E"/>
    <w:rsid w:val="096C6849"/>
    <w:rsid w:val="097012C6"/>
    <w:rsid w:val="09970B85"/>
    <w:rsid w:val="09BA7CD2"/>
    <w:rsid w:val="09C90306"/>
    <w:rsid w:val="09EF2623"/>
    <w:rsid w:val="0A0869AB"/>
    <w:rsid w:val="0A432ABB"/>
    <w:rsid w:val="0A661CB2"/>
    <w:rsid w:val="0A673DA7"/>
    <w:rsid w:val="0A696D2F"/>
    <w:rsid w:val="0A6F565E"/>
    <w:rsid w:val="0A826D85"/>
    <w:rsid w:val="0AB37C41"/>
    <w:rsid w:val="0AC91CF5"/>
    <w:rsid w:val="0ACA7CCE"/>
    <w:rsid w:val="0AD41965"/>
    <w:rsid w:val="0ADE52FB"/>
    <w:rsid w:val="0B21104E"/>
    <w:rsid w:val="0B440899"/>
    <w:rsid w:val="0B5A4560"/>
    <w:rsid w:val="0B5D0F23"/>
    <w:rsid w:val="0B636D50"/>
    <w:rsid w:val="0B725656"/>
    <w:rsid w:val="0B845139"/>
    <w:rsid w:val="0B863E1B"/>
    <w:rsid w:val="0B8D2240"/>
    <w:rsid w:val="0B996E37"/>
    <w:rsid w:val="0BB319DF"/>
    <w:rsid w:val="0BB83FB6"/>
    <w:rsid w:val="0BDB09C6"/>
    <w:rsid w:val="0BE300B2"/>
    <w:rsid w:val="0BE43E2A"/>
    <w:rsid w:val="0BE62571"/>
    <w:rsid w:val="0BE8618A"/>
    <w:rsid w:val="0BF84FAD"/>
    <w:rsid w:val="0C08040B"/>
    <w:rsid w:val="0C0C0F43"/>
    <w:rsid w:val="0C3A5E22"/>
    <w:rsid w:val="0C41127C"/>
    <w:rsid w:val="0C4F5747"/>
    <w:rsid w:val="0C5953CC"/>
    <w:rsid w:val="0C8344D6"/>
    <w:rsid w:val="0CA628FD"/>
    <w:rsid w:val="0CAA59E7"/>
    <w:rsid w:val="0CAD06C0"/>
    <w:rsid w:val="0CB55E9D"/>
    <w:rsid w:val="0CBF0B1F"/>
    <w:rsid w:val="0CD56232"/>
    <w:rsid w:val="0CEC23AD"/>
    <w:rsid w:val="0CF87E14"/>
    <w:rsid w:val="0CF956B3"/>
    <w:rsid w:val="0CFC0E63"/>
    <w:rsid w:val="0D057296"/>
    <w:rsid w:val="0D1F511A"/>
    <w:rsid w:val="0D344206"/>
    <w:rsid w:val="0D4234FE"/>
    <w:rsid w:val="0D5325AB"/>
    <w:rsid w:val="0D827C67"/>
    <w:rsid w:val="0D9F0822"/>
    <w:rsid w:val="0DAD4E1B"/>
    <w:rsid w:val="0DAE46EF"/>
    <w:rsid w:val="0DB1662B"/>
    <w:rsid w:val="0DC92BD9"/>
    <w:rsid w:val="0DED6FC6"/>
    <w:rsid w:val="0DFA7935"/>
    <w:rsid w:val="0E493C18"/>
    <w:rsid w:val="0E4D215A"/>
    <w:rsid w:val="0E8813E4"/>
    <w:rsid w:val="0E8A01E0"/>
    <w:rsid w:val="0E8B2881"/>
    <w:rsid w:val="0EC046DA"/>
    <w:rsid w:val="0EC341CA"/>
    <w:rsid w:val="0EC47A9B"/>
    <w:rsid w:val="0ECA4388"/>
    <w:rsid w:val="0EDE591C"/>
    <w:rsid w:val="0EEF1133"/>
    <w:rsid w:val="0F16254C"/>
    <w:rsid w:val="0F2033CB"/>
    <w:rsid w:val="0F4A3109"/>
    <w:rsid w:val="0F5D63CD"/>
    <w:rsid w:val="0F673371"/>
    <w:rsid w:val="0F7D4C2A"/>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521CAA"/>
    <w:rsid w:val="1053332C"/>
    <w:rsid w:val="106A6870"/>
    <w:rsid w:val="109C2F25"/>
    <w:rsid w:val="10AA73F0"/>
    <w:rsid w:val="10D64E3F"/>
    <w:rsid w:val="10D821AF"/>
    <w:rsid w:val="10E402D3"/>
    <w:rsid w:val="11195D33"/>
    <w:rsid w:val="11421D1E"/>
    <w:rsid w:val="1143454A"/>
    <w:rsid w:val="114478F3"/>
    <w:rsid w:val="11497791"/>
    <w:rsid w:val="114B275F"/>
    <w:rsid w:val="114C66F9"/>
    <w:rsid w:val="114F61E9"/>
    <w:rsid w:val="11625F1D"/>
    <w:rsid w:val="117619C8"/>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5B0E75"/>
    <w:rsid w:val="136832FB"/>
    <w:rsid w:val="136C13C9"/>
    <w:rsid w:val="137B1518"/>
    <w:rsid w:val="137D5290"/>
    <w:rsid w:val="1380268A"/>
    <w:rsid w:val="138A3509"/>
    <w:rsid w:val="139B3968"/>
    <w:rsid w:val="13D824C6"/>
    <w:rsid w:val="13ED12C8"/>
    <w:rsid w:val="1423361E"/>
    <w:rsid w:val="142414F0"/>
    <w:rsid w:val="14414227"/>
    <w:rsid w:val="148B71F2"/>
    <w:rsid w:val="14AC506E"/>
    <w:rsid w:val="14B758D9"/>
    <w:rsid w:val="14C17C2E"/>
    <w:rsid w:val="14CD18FF"/>
    <w:rsid w:val="14DC2624"/>
    <w:rsid w:val="14EC2D5C"/>
    <w:rsid w:val="14EC556C"/>
    <w:rsid w:val="14ED4C07"/>
    <w:rsid w:val="150A6C50"/>
    <w:rsid w:val="150E6FDB"/>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D13EE"/>
    <w:rsid w:val="16D2243E"/>
    <w:rsid w:val="16F13FCB"/>
    <w:rsid w:val="16F95C2F"/>
    <w:rsid w:val="173C2D6C"/>
    <w:rsid w:val="17553257"/>
    <w:rsid w:val="175F4DEF"/>
    <w:rsid w:val="17667DE9"/>
    <w:rsid w:val="176C3651"/>
    <w:rsid w:val="176D3360"/>
    <w:rsid w:val="177F29F5"/>
    <w:rsid w:val="1783602D"/>
    <w:rsid w:val="178960E8"/>
    <w:rsid w:val="178E7A6B"/>
    <w:rsid w:val="17A41BF6"/>
    <w:rsid w:val="17BE4FC6"/>
    <w:rsid w:val="17D71D32"/>
    <w:rsid w:val="17EE22B8"/>
    <w:rsid w:val="17F3777E"/>
    <w:rsid w:val="17FA5A9D"/>
    <w:rsid w:val="18056756"/>
    <w:rsid w:val="184053F5"/>
    <w:rsid w:val="185E4CC5"/>
    <w:rsid w:val="187A0187"/>
    <w:rsid w:val="18AD6299"/>
    <w:rsid w:val="18E51BB8"/>
    <w:rsid w:val="190074CB"/>
    <w:rsid w:val="19043EF9"/>
    <w:rsid w:val="1904741C"/>
    <w:rsid w:val="191A15F5"/>
    <w:rsid w:val="192D205B"/>
    <w:rsid w:val="19474DFF"/>
    <w:rsid w:val="1948712E"/>
    <w:rsid w:val="1976106E"/>
    <w:rsid w:val="19801636"/>
    <w:rsid w:val="19B54B1C"/>
    <w:rsid w:val="19DB6F92"/>
    <w:rsid w:val="19E8093A"/>
    <w:rsid w:val="19F03933"/>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092E5E"/>
    <w:rsid w:val="1B3C44E1"/>
    <w:rsid w:val="1B3C77DE"/>
    <w:rsid w:val="1B55319F"/>
    <w:rsid w:val="1B806CE9"/>
    <w:rsid w:val="1B83540D"/>
    <w:rsid w:val="1B9A3A81"/>
    <w:rsid w:val="1BA230F4"/>
    <w:rsid w:val="1BBB5839"/>
    <w:rsid w:val="1BBD7954"/>
    <w:rsid w:val="1BE90209"/>
    <w:rsid w:val="1BEA58FD"/>
    <w:rsid w:val="1BEE60E6"/>
    <w:rsid w:val="1BF04D31"/>
    <w:rsid w:val="1BFC4701"/>
    <w:rsid w:val="1C2D2DA0"/>
    <w:rsid w:val="1C5D17BA"/>
    <w:rsid w:val="1C67088B"/>
    <w:rsid w:val="1C766D20"/>
    <w:rsid w:val="1C9606E0"/>
    <w:rsid w:val="1CA83733"/>
    <w:rsid w:val="1CCB785F"/>
    <w:rsid w:val="1CE30315"/>
    <w:rsid w:val="1CF3211F"/>
    <w:rsid w:val="1D195886"/>
    <w:rsid w:val="1D2572EE"/>
    <w:rsid w:val="1D2E7027"/>
    <w:rsid w:val="1D4604A0"/>
    <w:rsid w:val="1D4D182F"/>
    <w:rsid w:val="1D69418F"/>
    <w:rsid w:val="1D8E1D40"/>
    <w:rsid w:val="1D9C4564"/>
    <w:rsid w:val="1DA90A2F"/>
    <w:rsid w:val="1DD97567"/>
    <w:rsid w:val="1DEF3AA5"/>
    <w:rsid w:val="1E1B5FBF"/>
    <w:rsid w:val="1E764DB5"/>
    <w:rsid w:val="1E7A4EA8"/>
    <w:rsid w:val="1E8705EE"/>
    <w:rsid w:val="1E935967"/>
    <w:rsid w:val="1EB839D8"/>
    <w:rsid w:val="1EBB4EBE"/>
    <w:rsid w:val="1ECD36FB"/>
    <w:rsid w:val="1ED40414"/>
    <w:rsid w:val="1EE75CB3"/>
    <w:rsid w:val="1EE81F68"/>
    <w:rsid w:val="1F036880"/>
    <w:rsid w:val="1F0C74C8"/>
    <w:rsid w:val="1F1A70F4"/>
    <w:rsid w:val="1F2A46BF"/>
    <w:rsid w:val="1F2B4AC3"/>
    <w:rsid w:val="1F4C5B16"/>
    <w:rsid w:val="1F4D3D68"/>
    <w:rsid w:val="1F7A1E98"/>
    <w:rsid w:val="1F9855E3"/>
    <w:rsid w:val="1F996C3D"/>
    <w:rsid w:val="1FA55A2E"/>
    <w:rsid w:val="1FB33A33"/>
    <w:rsid w:val="1FC649E7"/>
    <w:rsid w:val="1FDE2C12"/>
    <w:rsid w:val="1FE223E3"/>
    <w:rsid w:val="1FFC5694"/>
    <w:rsid w:val="1FFF695C"/>
    <w:rsid w:val="202B1BD0"/>
    <w:rsid w:val="20397D96"/>
    <w:rsid w:val="20477F87"/>
    <w:rsid w:val="204D1B46"/>
    <w:rsid w:val="20752BA2"/>
    <w:rsid w:val="207E61A3"/>
    <w:rsid w:val="208D41D2"/>
    <w:rsid w:val="209F2433"/>
    <w:rsid w:val="20B6593D"/>
    <w:rsid w:val="20DB35F6"/>
    <w:rsid w:val="20DB4653"/>
    <w:rsid w:val="20E51C8A"/>
    <w:rsid w:val="20E95D13"/>
    <w:rsid w:val="21350F58"/>
    <w:rsid w:val="213F215E"/>
    <w:rsid w:val="213F520D"/>
    <w:rsid w:val="214D3D79"/>
    <w:rsid w:val="216E1D7D"/>
    <w:rsid w:val="216E446A"/>
    <w:rsid w:val="21BF051D"/>
    <w:rsid w:val="21C65FE8"/>
    <w:rsid w:val="21EE3AEA"/>
    <w:rsid w:val="2214230E"/>
    <w:rsid w:val="221B014E"/>
    <w:rsid w:val="221B0E79"/>
    <w:rsid w:val="223167BE"/>
    <w:rsid w:val="224270DA"/>
    <w:rsid w:val="2282521A"/>
    <w:rsid w:val="22895006"/>
    <w:rsid w:val="22923AD3"/>
    <w:rsid w:val="22B67E76"/>
    <w:rsid w:val="22BC3B4B"/>
    <w:rsid w:val="22C45A5A"/>
    <w:rsid w:val="22C5067A"/>
    <w:rsid w:val="23103A2A"/>
    <w:rsid w:val="23113D47"/>
    <w:rsid w:val="231177A3"/>
    <w:rsid w:val="2341295B"/>
    <w:rsid w:val="23436FC0"/>
    <w:rsid w:val="23514CF6"/>
    <w:rsid w:val="235605DC"/>
    <w:rsid w:val="23720241"/>
    <w:rsid w:val="239E4995"/>
    <w:rsid w:val="23AC084C"/>
    <w:rsid w:val="23C640E9"/>
    <w:rsid w:val="23F0469B"/>
    <w:rsid w:val="23F073B8"/>
    <w:rsid w:val="23FD5146"/>
    <w:rsid w:val="24047B49"/>
    <w:rsid w:val="24181880"/>
    <w:rsid w:val="24257BFD"/>
    <w:rsid w:val="243F148B"/>
    <w:rsid w:val="24572F93"/>
    <w:rsid w:val="247D028C"/>
    <w:rsid w:val="248A0A3D"/>
    <w:rsid w:val="24B2657A"/>
    <w:rsid w:val="24C3625D"/>
    <w:rsid w:val="24D31D0B"/>
    <w:rsid w:val="24DD3C24"/>
    <w:rsid w:val="24FC62EF"/>
    <w:rsid w:val="250273A3"/>
    <w:rsid w:val="250451AE"/>
    <w:rsid w:val="25063B0E"/>
    <w:rsid w:val="25274F1B"/>
    <w:rsid w:val="25276704"/>
    <w:rsid w:val="252E2902"/>
    <w:rsid w:val="25435F18"/>
    <w:rsid w:val="2576348C"/>
    <w:rsid w:val="25801278"/>
    <w:rsid w:val="258778A8"/>
    <w:rsid w:val="25B3069D"/>
    <w:rsid w:val="25C358B5"/>
    <w:rsid w:val="25D028D1"/>
    <w:rsid w:val="25D961D0"/>
    <w:rsid w:val="25F018F1"/>
    <w:rsid w:val="25F24769"/>
    <w:rsid w:val="26020F30"/>
    <w:rsid w:val="261C26E6"/>
    <w:rsid w:val="26217CFD"/>
    <w:rsid w:val="26307DFC"/>
    <w:rsid w:val="266521B4"/>
    <w:rsid w:val="26B166FF"/>
    <w:rsid w:val="26CD7528"/>
    <w:rsid w:val="26D1527F"/>
    <w:rsid w:val="271617F6"/>
    <w:rsid w:val="27363334"/>
    <w:rsid w:val="27475541"/>
    <w:rsid w:val="27676AF8"/>
    <w:rsid w:val="27735A1F"/>
    <w:rsid w:val="27AC1848"/>
    <w:rsid w:val="27B20A9C"/>
    <w:rsid w:val="27C36786"/>
    <w:rsid w:val="27C43035"/>
    <w:rsid w:val="27CC0673"/>
    <w:rsid w:val="27F31225"/>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27387C"/>
    <w:rsid w:val="295470C2"/>
    <w:rsid w:val="295C30F4"/>
    <w:rsid w:val="296C74E1"/>
    <w:rsid w:val="2978504E"/>
    <w:rsid w:val="297A7E50"/>
    <w:rsid w:val="29954C89"/>
    <w:rsid w:val="299E4EE5"/>
    <w:rsid w:val="29B24674"/>
    <w:rsid w:val="29C61A3E"/>
    <w:rsid w:val="2A220A40"/>
    <w:rsid w:val="2A445EEB"/>
    <w:rsid w:val="2A5812C3"/>
    <w:rsid w:val="2A6B59EA"/>
    <w:rsid w:val="2A915D79"/>
    <w:rsid w:val="2AB718E1"/>
    <w:rsid w:val="2AB845D9"/>
    <w:rsid w:val="2AB9599B"/>
    <w:rsid w:val="2AB962FC"/>
    <w:rsid w:val="2AED4651"/>
    <w:rsid w:val="2AF459E0"/>
    <w:rsid w:val="2AFC6642"/>
    <w:rsid w:val="2AFE23BA"/>
    <w:rsid w:val="2B0674C1"/>
    <w:rsid w:val="2B0B4AD7"/>
    <w:rsid w:val="2B1D21E4"/>
    <w:rsid w:val="2B30453E"/>
    <w:rsid w:val="2B3B716B"/>
    <w:rsid w:val="2B481ECE"/>
    <w:rsid w:val="2B8F5708"/>
    <w:rsid w:val="2B9A4002"/>
    <w:rsid w:val="2B9E2D39"/>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67BAD"/>
    <w:rsid w:val="2D7C1CBC"/>
    <w:rsid w:val="2D863DFC"/>
    <w:rsid w:val="2DB11966"/>
    <w:rsid w:val="2DC446E8"/>
    <w:rsid w:val="2DCB1063"/>
    <w:rsid w:val="2DD34DB1"/>
    <w:rsid w:val="2DD37B2E"/>
    <w:rsid w:val="2DDA4C9A"/>
    <w:rsid w:val="2DFD3E6B"/>
    <w:rsid w:val="2E1819E5"/>
    <w:rsid w:val="2E187C37"/>
    <w:rsid w:val="2E1F0887"/>
    <w:rsid w:val="2E242797"/>
    <w:rsid w:val="2E3A138A"/>
    <w:rsid w:val="2E5642BC"/>
    <w:rsid w:val="2E9A75B6"/>
    <w:rsid w:val="2EA11A78"/>
    <w:rsid w:val="2EA8720D"/>
    <w:rsid w:val="2EA96AE1"/>
    <w:rsid w:val="2EC622A9"/>
    <w:rsid w:val="2EE542C4"/>
    <w:rsid w:val="2F083152"/>
    <w:rsid w:val="2F0E0EF2"/>
    <w:rsid w:val="2F103898"/>
    <w:rsid w:val="2F1C638E"/>
    <w:rsid w:val="2F1F5442"/>
    <w:rsid w:val="2F4F7689"/>
    <w:rsid w:val="2F7505E9"/>
    <w:rsid w:val="2F807568"/>
    <w:rsid w:val="2FAD18CF"/>
    <w:rsid w:val="2FCE4F9E"/>
    <w:rsid w:val="2FD23E16"/>
    <w:rsid w:val="2FDB1971"/>
    <w:rsid w:val="2FF41FDE"/>
    <w:rsid w:val="2FF65D56"/>
    <w:rsid w:val="301C78C6"/>
    <w:rsid w:val="3037083C"/>
    <w:rsid w:val="3038011D"/>
    <w:rsid w:val="30466CDD"/>
    <w:rsid w:val="30495DF7"/>
    <w:rsid w:val="309335A5"/>
    <w:rsid w:val="309D4424"/>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477518"/>
    <w:rsid w:val="32541BBF"/>
    <w:rsid w:val="32695F1B"/>
    <w:rsid w:val="326A5C72"/>
    <w:rsid w:val="327B7B6B"/>
    <w:rsid w:val="32851613"/>
    <w:rsid w:val="328865F4"/>
    <w:rsid w:val="328E07F0"/>
    <w:rsid w:val="329B0E37"/>
    <w:rsid w:val="32AB107A"/>
    <w:rsid w:val="32AD41D4"/>
    <w:rsid w:val="32FE5BCA"/>
    <w:rsid w:val="330811E7"/>
    <w:rsid w:val="331D0913"/>
    <w:rsid w:val="331D35FA"/>
    <w:rsid w:val="33242BDA"/>
    <w:rsid w:val="33356B95"/>
    <w:rsid w:val="33460500"/>
    <w:rsid w:val="336134F5"/>
    <w:rsid w:val="336E1E5D"/>
    <w:rsid w:val="3384518C"/>
    <w:rsid w:val="33890C8F"/>
    <w:rsid w:val="339A66C5"/>
    <w:rsid w:val="33A37FA3"/>
    <w:rsid w:val="33E95D1A"/>
    <w:rsid w:val="33F32DD8"/>
    <w:rsid w:val="33FF71DA"/>
    <w:rsid w:val="34012F1B"/>
    <w:rsid w:val="34043A46"/>
    <w:rsid w:val="340B58B2"/>
    <w:rsid w:val="341516C9"/>
    <w:rsid w:val="34382A36"/>
    <w:rsid w:val="344B78F6"/>
    <w:rsid w:val="34563E00"/>
    <w:rsid w:val="34677222"/>
    <w:rsid w:val="346E0638"/>
    <w:rsid w:val="34A27DAC"/>
    <w:rsid w:val="34AA5361"/>
    <w:rsid w:val="34AD033F"/>
    <w:rsid w:val="34AD165D"/>
    <w:rsid w:val="34CE091C"/>
    <w:rsid w:val="34E56399"/>
    <w:rsid w:val="34FC3E0F"/>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9E4A52"/>
    <w:rsid w:val="36AA33F6"/>
    <w:rsid w:val="36B95E63"/>
    <w:rsid w:val="36BD11DA"/>
    <w:rsid w:val="36CE3FBF"/>
    <w:rsid w:val="36E0150E"/>
    <w:rsid w:val="36EC2893"/>
    <w:rsid w:val="37023232"/>
    <w:rsid w:val="37176727"/>
    <w:rsid w:val="37270EEB"/>
    <w:rsid w:val="37296A11"/>
    <w:rsid w:val="37404D66"/>
    <w:rsid w:val="374750E9"/>
    <w:rsid w:val="374C137A"/>
    <w:rsid w:val="378400EB"/>
    <w:rsid w:val="379522F8"/>
    <w:rsid w:val="37C07B1C"/>
    <w:rsid w:val="37E312B6"/>
    <w:rsid w:val="37ED5899"/>
    <w:rsid w:val="37FB3D3C"/>
    <w:rsid w:val="382C6504"/>
    <w:rsid w:val="382E7B37"/>
    <w:rsid w:val="3848736B"/>
    <w:rsid w:val="38512329"/>
    <w:rsid w:val="386046B4"/>
    <w:rsid w:val="38763ED8"/>
    <w:rsid w:val="387C7014"/>
    <w:rsid w:val="38904F84"/>
    <w:rsid w:val="38A65E3F"/>
    <w:rsid w:val="38E321C8"/>
    <w:rsid w:val="38EB631B"/>
    <w:rsid w:val="38F372D7"/>
    <w:rsid w:val="38F566EC"/>
    <w:rsid w:val="391E1E7A"/>
    <w:rsid w:val="392A6A70"/>
    <w:rsid w:val="392E6561"/>
    <w:rsid w:val="39365BED"/>
    <w:rsid w:val="395732EF"/>
    <w:rsid w:val="396D2EF0"/>
    <w:rsid w:val="39895909"/>
    <w:rsid w:val="3995038E"/>
    <w:rsid w:val="39981C2C"/>
    <w:rsid w:val="39A4356C"/>
    <w:rsid w:val="39D55FF8"/>
    <w:rsid w:val="39FE4185"/>
    <w:rsid w:val="3A041A9A"/>
    <w:rsid w:val="3A1714B2"/>
    <w:rsid w:val="3A1944AD"/>
    <w:rsid w:val="3A235B6E"/>
    <w:rsid w:val="3A377697"/>
    <w:rsid w:val="3A3A5DC4"/>
    <w:rsid w:val="3A683CF4"/>
    <w:rsid w:val="3A695377"/>
    <w:rsid w:val="3A75715F"/>
    <w:rsid w:val="3A7E0E9C"/>
    <w:rsid w:val="3AA21D55"/>
    <w:rsid w:val="3AA42CDA"/>
    <w:rsid w:val="3ACC6031"/>
    <w:rsid w:val="3AD37316"/>
    <w:rsid w:val="3AEA6013"/>
    <w:rsid w:val="3AF6663D"/>
    <w:rsid w:val="3B176B54"/>
    <w:rsid w:val="3B1A3AF1"/>
    <w:rsid w:val="3B556027"/>
    <w:rsid w:val="3B6547D3"/>
    <w:rsid w:val="3BA548F3"/>
    <w:rsid w:val="3BAA2C3A"/>
    <w:rsid w:val="3BC44F5A"/>
    <w:rsid w:val="3BD4795A"/>
    <w:rsid w:val="3BFA549D"/>
    <w:rsid w:val="3BFB6994"/>
    <w:rsid w:val="3C1250CC"/>
    <w:rsid w:val="3C2854E9"/>
    <w:rsid w:val="3C2D124D"/>
    <w:rsid w:val="3C396808"/>
    <w:rsid w:val="3C4165AB"/>
    <w:rsid w:val="3C556055"/>
    <w:rsid w:val="3C830972"/>
    <w:rsid w:val="3C886C7E"/>
    <w:rsid w:val="3C973023"/>
    <w:rsid w:val="3CA52FDE"/>
    <w:rsid w:val="3CAC7CC8"/>
    <w:rsid w:val="3CAD324B"/>
    <w:rsid w:val="3CBE2F7F"/>
    <w:rsid w:val="3CC55133"/>
    <w:rsid w:val="3D2757A1"/>
    <w:rsid w:val="3D4D0D5E"/>
    <w:rsid w:val="3D5A3DC8"/>
    <w:rsid w:val="3D786894"/>
    <w:rsid w:val="3D7D263D"/>
    <w:rsid w:val="3D850B84"/>
    <w:rsid w:val="3D911337"/>
    <w:rsid w:val="3D932E36"/>
    <w:rsid w:val="3D9646D4"/>
    <w:rsid w:val="3DB80AEF"/>
    <w:rsid w:val="3DB9219A"/>
    <w:rsid w:val="3DBD311F"/>
    <w:rsid w:val="3DBE3F84"/>
    <w:rsid w:val="3DDB1067"/>
    <w:rsid w:val="3DE67F9A"/>
    <w:rsid w:val="3E534BC2"/>
    <w:rsid w:val="3E582C65"/>
    <w:rsid w:val="3E5E1696"/>
    <w:rsid w:val="3E683F2A"/>
    <w:rsid w:val="3E774506"/>
    <w:rsid w:val="3E904F2C"/>
    <w:rsid w:val="3E9055C8"/>
    <w:rsid w:val="3E911D3D"/>
    <w:rsid w:val="3EC61739"/>
    <w:rsid w:val="3ED41958"/>
    <w:rsid w:val="3EE719CC"/>
    <w:rsid w:val="3EED6576"/>
    <w:rsid w:val="3EFB14C6"/>
    <w:rsid w:val="3F062386"/>
    <w:rsid w:val="3F0A5895"/>
    <w:rsid w:val="3F1C1719"/>
    <w:rsid w:val="3F253F62"/>
    <w:rsid w:val="3F2C2D48"/>
    <w:rsid w:val="3F2D72BA"/>
    <w:rsid w:val="3F42776D"/>
    <w:rsid w:val="3F4E170B"/>
    <w:rsid w:val="3F6E3B5B"/>
    <w:rsid w:val="3F89006D"/>
    <w:rsid w:val="3FA66610"/>
    <w:rsid w:val="3FA96941"/>
    <w:rsid w:val="3FC47810"/>
    <w:rsid w:val="3FE1127E"/>
    <w:rsid w:val="3FF14667"/>
    <w:rsid w:val="4009481A"/>
    <w:rsid w:val="401E31BF"/>
    <w:rsid w:val="405C1A5F"/>
    <w:rsid w:val="409672FB"/>
    <w:rsid w:val="40AE762D"/>
    <w:rsid w:val="40C33F68"/>
    <w:rsid w:val="40C90B3F"/>
    <w:rsid w:val="40D914A8"/>
    <w:rsid w:val="40E90910"/>
    <w:rsid w:val="40EB6FE9"/>
    <w:rsid w:val="41313477"/>
    <w:rsid w:val="41410DFB"/>
    <w:rsid w:val="414A4DB7"/>
    <w:rsid w:val="41560B72"/>
    <w:rsid w:val="41571E7B"/>
    <w:rsid w:val="415B28B8"/>
    <w:rsid w:val="41801923"/>
    <w:rsid w:val="418D6647"/>
    <w:rsid w:val="41CB5A31"/>
    <w:rsid w:val="41FD2F74"/>
    <w:rsid w:val="41FF76F5"/>
    <w:rsid w:val="42072F7D"/>
    <w:rsid w:val="420C64FE"/>
    <w:rsid w:val="421107CE"/>
    <w:rsid w:val="421B6974"/>
    <w:rsid w:val="422229DB"/>
    <w:rsid w:val="42415965"/>
    <w:rsid w:val="42703746"/>
    <w:rsid w:val="42734B21"/>
    <w:rsid w:val="42843BD2"/>
    <w:rsid w:val="42997141"/>
    <w:rsid w:val="42B17904"/>
    <w:rsid w:val="42B51AA1"/>
    <w:rsid w:val="42CF2B62"/>
    <w:rsid w:val="42F75C15"/>
    <w:rsid w:val="42FA74B4"/>
    <w:rsid w:val="4300323D"/>
    <w:rsid w:val="43052F92"/>
    <w:rsid w:val="431C567C"/>
    <w:rsid w:val="434F77FF"/>
    <w:rsid w:val="43505313"/>
    <w:rsid w:val="43555FBF"/>
    <w:rsid w:val="437F2153"/>
    <w:rsid w:val="43AC15BA"/>
    <w:rsid w:val="43AD2778"/>
    <w:rsid w:val="43B05365"/>
    <w:rsid w:val="43C156DA"/>
    <w:rsid w:val="43D67F21"/>
    <w:rsid w:val="43E837B0"/>
    <w:rsid w:val="442778D7"/>
    <w:rsid w:val="442F6B74"/>
    <w:rsid w:val="444B56D1"/>
    <w:rsid w:val="444D132B"/>
    <w:rsid w:val="446763F9"/>
    <w:rsid w:val="447B48FF"/>
    <w:rsid w:val="44A40D42"/>
    <w:rsid w:val="44A92F3F"/>
    <w:rsid w:val="44BB52FF"/>
    <w:rsid w:val="44D658C9"/>
    <w:rsid w:val="44D9323B"/>
    <w:rsid w:val="44DF2E05"/>
    <w:rsid w:val="44FD5A52"/>
    <w:rsid w:val="45036AF3"/>
    <w:rsid w:val="45126D36"/>
    <w:rsid w:val="451F7738"/>
    <w:rsid w:val="45281C10"/>
    <w:rsid w:val="45367494"/>
    <w:rsid w:val="45375E5B"/>
    <w:rsid w:val="45592BB7"/>
    <w:rsid w:val="455B11FA"/>
    <w:rsid w:val="45682DFA"/>
    <w:rsid w:val="457847A0"/>
    <w:rsid w:val="457F34E4"/>
    <w:rsid w:val="45811A13"/>
    <w:rsid w:val="458D2861"/>
    <w:rsid w:val="45922779"/>
    <w:rsid w:val="45986A36"/>
    <w:rsid w:val="459D4DD2"/>
    <w:rsid w:val="45A353F2"/>
    <w:rsid w:val="45C20653"/>
    <w:rsid w:val="45EB4900"/>
    <w:rsid w:val="45FF47F0"/>
    <w:rsid w:val="460960BC"/>
    <w:rsid w:val="461940F5"/>
    <w:rsid w:val="46241A0F"/>
    <w:rsid w:val="462C3E28"/>
    <w:rsid w:val="46303A88"/>
    <w:rsid w:val="46342CDD"/>
    <w:rsid w:val="464253F9"/>
    <w:rsid w:val="464E0242"/>
    <w:rsid w:val="465A1C7B"/>
    <w:rsid w:val="465E6322"/>
    <w:rsid w:val="466C2476"/>
    <w:rsid w:val="467B7B0D"/>
    <w:rsid w:val="46BF14ED"/>
    <w:rsid w:val="46C64056"/>
    <w:rsid w:val="46D71FE6"/>
    <w:rsid w:val="46E22739"/>
    <w:rsid w:val="46E6575F"/>
    <w:rsid w:val="46E82445"/>
    <w:rsid w:val="46F74436"/>
    <w:rsid w:val="46FA2F17"/>
    <w:rsid w:val="46FC1253"/>
    <w:rsid w:val="4703102D"/>
    <w:rsid w:val="4723347D"/>
    <w:rsid w:val="47596E9F"/>
    <w:rsid w:val="475B1636"/>
    <w:rsid w:val="475B1642"/>
    <w:rsid w:val="47800ECE"/>
    <w:rsid w:val="479F2405"/>
    <w:rsid w:val="47BA5463"/>
    <w:rsid w:val="47D46525"/>
    <w:rsid w:val="48053C7E"/>
    <w:rsid w:val="480F57AF"/>
    <w:rsid w:val="48286871"/>
    <w:rsid w:val="486F19CC"/>
    <w:rsid w:val="48943F06"/>
    <w:rsid w:val="48BB7EDC"/>
    <w:rsid w:val="48BD345D"/>
    <w:rsid w:val="48BE1AC7"/>
    <w:rsid w:val="48C91E02"/>
    <w:rsid w:val="48CA19D1"/>
    <w:rsid w:val="48D16C6E"/>
    <w:rsid w:val="48E629B4"/>
    <w:rsid w:val="48E63F75"/>
    <w:rsid w:val="48F64540"/>
    <w:rsid w:val="49331BA1"/>
    <w:rsid w:val="495468E5"/>
    <w:rsid w:val="496F0653"/>
    <w:rsid w:val="497A134E"/>
    <w:rsid w:val="49EE4CC3"/>
    <w:rsid w:val="4A095D85"/>
    <w:rsid w:val="4A145D21"/>
    <w:rsid w:val="4A227A1C"/>
    <w:rsid w:val="4A3E2B7F"/>
    <w:rsid w:val="4A4C4A99"/>
    <w:rsid w:val="4A58790A"/>
    <w:rsid w:val="4A630FB1"/>
    <w:rsid w:val="4A7519D3"/>
    <w:rsid w:val="4A835FE1"/>
    <w:rsid w:val="4A875AD1"/>
    <w:rsid w:val="4AD7199F"/>
    <w:rsid w:val="4ADE279D"/>
    <w:rsid w:val="4AF76EC2"/>
    <w:rsid w:val="4AFB0936"/>
    <w:rsid w:val="4B014DB7"/>
    <w:rsid w:val="4B040FB2"/>
    <w:rsid w:val="4B06733D"/>
    <w:rsid w:val="4B107F25"/>
    <w:rsid w:val="4B517E8D"/>
    <w:rsid w:val="4B756271"/>
    <w:rsid w:val="4BA13982"/>
    <w:rsid w:val="4BA21E1A"/>
    <w:rsid w:val="4BB06DB8"/>
    <w:rsid w:val="4BBA4483"/>
    <w:rsid w:val="4BCC4733"/>
    <w:rsid w:val="4BD41354"/>
    <w:rsid w:val="4BD42F98"/>
    <w:rsid w:val="4BD50A14"/>
    <w:rsid w:val="4C101AF6"/>
    <w:rsid w:val="4C1F546B"/>
    <w:rsid w:val="4C32039C"/>
    <w:rsid w:val="4C4C2744"/>
    <w:rsid w:val="4C4E4E5E"/>
    <w:rsid w:val="4C4F6AC2"/>
    <w:rsid w:val="4C673E0C"/>
    <w:rsid w:val="4C681932"/>
    <w:rsid w:val="4C77281D"/>
    <w:rsid w:val="4C924171"/>
    <w:rsid w:val="4C9241D9"/>
    <w:rsid w:val="4C9269AF"/>
    <w:rsid w:val="4C934C01"/>
    <w:rsid w:val="4CAE2D8B"/>
    <w:rsid w:val="4CCA5657"/>
    <w:rsid w:val="4CD34FFD"/>
    <w:rsid w:val="4CDE4BDB"/>
    <w:rsid w:val="4CE076EB"/>
    <w:rsid w:val="4D0E4287"/>
    <w:rsid w:val="4D30575A"/>
    <w:rsid w:val="4D3B091F"/>
    <w:rsid w:val="4D3C7046"/>
    <w:rsid w:val="4D413338"/>
    <w:rsid w:val="4D675EDB"/>
    <w:rsid w:val="4D897DB2"/>
    <w:rsid w:val="4D924EB8"/>
    <w:rsid w:val="4DA61D05"/>
    <w:rsid w:val="4DAD3AA0"/>
    <w:rsid w:val="4DB41D5F"/>
    <w:rsid w:val="4DC96400"/>
    <w:rsid w:val="4DE4148C"/>
    <w:rsid w:val="4E015B9A"/>
    <w:rsid w:val="4E146D0E"/>
    <w:rsid w:val="4E152BE6"/>
    <w:rsid w:val="4E1C315D"/>
    <w:rsid w:val="4E203E45"/>
    <w:rsid w:val="4E224F4B"/>
    <w:rsid w:val="4E2D4CA9"/>
    <w:rsid w:val="4E424566"/>
    <w:rsid w:val="4E4812DB"/>
    <w:rsid w:val="4E4B5AA0"/>
    <w:rsid w:val="4E571C5E"/>
    <w:rsid w:val="4E5E2FEC"/>
    <w:rsid w:val="4E83512E"/>
    <w:rsid w:val="4EA02D52"/>
    <w:rsid w:val="4EB63F95"/>
    <w:rsid w:val="4EBF6917"/>
    <w:rsid w:val="4EC47B64"/>
    <w:rsid w:val="4EC72940"/>
    <w:rsid w:val="4ECC43FA"/>
    <w:rsid w:val="4ED603EE"/>
    <w:rsid w:val="4EDB0D1F"/>
    <w:rsid w:val="4EDB63EB"/>
    <w:rsid w:val="4EEC23A6"/>
    <w:rsid w:val="4F2A2ECF"/>
    <w:rsid w:val="4F2E29BF"/>
    <w:rsid w:val="4F3B50DC"/>
    <w:rsid w:val="4F495A4B"/>
    <w:rsid w:val="4F4F0A39"/>
    <w:rsid w:val="4F7C5E20"/>
    <w:rsid w:val="4F822D0B"/>
    <w:rsid w:val="4FD712A8"/>
    <w:rsid w:val="50025BF9"/>
    <w:rsid w:val="5012408F"/>
    <w:rsid w:val="502B6EFE"/>
    <w:rsid w:val="5030468B"/>
    <w:rsid w:val="503675D1"/>
    <w:rsid w:val="50384490"/>
    <w:rsid w:val="50540473"/>
    <w:rsid w:val="50697210"/>
    <w:rsid w:val="5079410E"/>
    <w:rsid w:val="508C359C"/>
    <w:rsid w:val="509F5F83"/>
    <w:rsid w:val="50A53155"/>
    <w:rsid w:val="50F46DCC"/>
    <w:rsid w:val="50FA5635"/>
    <w:rsid w:val="511856D5"/>
    <w:rsid w:val="511B51C5"/>
    <w:rsid w:val="511C2EB9"/>
    <w:rsid w:val="5124051D"/>
    <w:rsid w:val="51281690"/>
    <w:rsid w:val="512F2A1E"/>
    <w:rsid w:val="51391784"/>
    <w:rsid w:val="513D38B6"/>
    <w:rsid w:val="51581F75"/>
    <w:rsid w:val="51612A46"/>
    <w:rsid w:val="51772B2B"/>
    <w:rsid w:val="51AE18CA"/>
    <w:rsid w:val="51B75E38"/>
    <w:rsid w:val="51BC6678"/>
    <w:rsid w:val="51C5755B"/>
    <w:rsid w:val="51CE781B"/>
    <w:rsid w:val="51E657D3"/>
    <w:rsid w:val="52023C69"/>
    <w:rsid w:val="52612F1E"/>
    <w:rsid w:val="52AB2578"/>
    <w:rsid w:val="52BB415A"/>
    <w:rsid w:val="52DB3467"/>
    <w:rsid w:val="530E3233"/>
    <w:rsid w:val="532540D9"/>
    <w:rsid w:val="53281E1B"/>
    <w:rsid w:val="532D7B72"/>
    <w:rsid w:val="533B1B4E"/>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C043F"/>
    <w:rsid w:val="558E065B"/>
    <w:rsid w:val="558F1CDD"/>
    <w:rsid w:val="55A16DE2"/>
    <w:rsid w:val="55A33E57"/>
    <w:rsid w:val="55AC0AE1"/>
    <w:rsid w:val="55B6522E"/>
    <w:rsid w:val="55C0185C"/>
    <w:rsid w:val="55CC1183"/>
    <w:rsid w:val="55DD6EED"/>
    <w:rsid w:val="55E76AFC"/>
    <w:rsid w:val="55F5798E"/>
    <w:rsid w:val="56552EF1"/>
    <w:rsid w:val="56581F0E"/>
    <w:rsid w:val="56743027"/>
    <w:rsid w:val="5681005E"/>
    <w:rsid w:val="569577C7"/>
    <w:rsid w:val="569B45F1"/>
    <w:rsid w:val="56B040AF"/>
    <w:rsid w:val="56B94728"/>
    <w:rsid w:val="56D95906"/>
    <w:rsid w:val="56DF4C61"/>
    <w:rsid w:val="570B7A8A"/>
    <w:rsid w:val="57141815"/>
    <w:rsid w:val="571D488D"/>
    <w:rsid w:val="572C4367"/>
    <w:rsid w:val="57931F59"/>
    <w:rsid w:val="57947A7F"/>
    <w:rsid w:val="579B705F"/>
    <w:rsid w:val="57A2219C"/>
    <w:rsid w:val="57A8352A"/>
    <w:rsid w:val="57BF2D4E"/>
    <w:rsid w:val="57C42BD2"/>
    <w:rsid w:val="57CA6292"/>
    <w:rsid w:val="57D46B1C"/>
    <w:rsid w:val="57E83060"/>
    <w:rsid w:val="57EA3B43"/>
    <w:rsid w:val="57FB24AF"/>
    <w:rsid w:val="581A0D29"/>
    <w:rsid w:val="581F5768"/>
    <w:rsid w:val="583E0E16"/>
    <w:rsid w:val="58496ABB"/>
    <w:rsid w:val="58580FB7"/>
    <w:rsid w:val="58684AEE"/>
    <w:rsid w:val="587530F2"/>
    <w:rsid w:val="587C43CC"/>
    <w:rsid w:val="587D0513"/>
    <w:rsid w:val="588F375F"/>
    <w:rsid w:val="5898534D"/>
    <w:rsid w:val="58A40196"/>
    <w:rsid w:val="58C074B6"/>
    <w:rsid w:val="58DC16DE"/>
    <w:rsid w:val="58EE6FF9"/>
    <w:rsid w:val="5904145C"/>
    <w:rsid w:val="592554A0"/>
    <w:rsid w:val="592E180D"/>
    <w:rsid w:val="59387D46"/>
    <w:rsid w:val="5949081C"/>
    <w:rsid w:val="596B38A7"/>
    <w:rsid w:val="59771E25"/>
    <w:rsid w:val="598700A8"/>
    <w:rsid w:val="598B321A"/>
    <w:rsid w:val="59B47051"/>
    <w:rsid w:val="59C81C62"/>
    <w:rsid w:val="59CD5A4A"/>
    <w:rsid w:val="59E925D2"/>
    <w:rsid w:val="5A0C7DA1"/>
    <w:rsid w:val="5A162510"/>
    <w:rsid w:val="5A1F7AD4"/>
    <w:rsid w:val="5A696FA1"/>
    <w:rsid w:val="5ACE769D"/>
    <w:rsid w:val="5ADD2164"/>
    <w:rsid w:val="5B19774E"/>
    <w:rsid w:val="5B3F116D"/>
    <w:rsid w:val="5B527A35"/>
    <w:rsid w:val="5B781C73"/>
    <w:rsid w:val="5B7D784B"/>
    <w:rsid w:val="5B7F45A2"/>
    <w:rsid w:val="5BD248F1"/>
    <w:rsid w:val="5BF742CE"/>
    <w:rsid w:val="5C05719D"/>
    <w:rsid w:val="5C0C50F0"/>
    <w:rsid w:val="5C4A2E02"/>
    <w:rsid w:val="5C530746"/>
    <w:rsid w:val="5C594DF3"/>
    <w:rsid w:val="5C642116"/>
    <w:rsid w:val="5C6A7000"/>
    <w:rsid w:val="5C8059A1"/>
    <w:rsid w:val="5CC93A47"/>
    <w:rsid w:val="5CE07E1D"/>
    <w:rsid w:val="5CEC1141"/>
    <w:rsid w:val="5D0A0C24"/>
    <w:rsid w:val="5D3D17A2"/>
    <w:rsid w:val="5D621292"/>
    <w:rsid w:val="5D970460"/>
    <w:rsid w:val="5DA22E1F"/>
    <w:rsid w:val="5DC6517F"/>
    <w:rsid w:val="5DDE5652"/>
    <w:rsid w:val="5DFE3466"/>
    <w:rsid w:val="5E0C65C1"/>
    <w:rsid w:val="5E2002BE"/>
    <w:rsid w:val="5E3E4D98"/>
    <w:rsid w:val="5E4915C3"/>
    <w:rsid w:val="5E554AE4"/>
    <w:rsid w:val="5E7F1E4C"/>
    <w:rsid w:val="5EB05E08"/>
    <w:rsid w:val="5EE25574"/>
    <w:rsid w:val="5F0E6369"/>
    <w:rsid w:val="5F1C5490"/>
    <w:rsid w:val="5F2731DB"/>
    <w:rsid w:val="5F434264"/>
    <w:rsid w:val="5F50072F"/>
    <w:rsid w:val="5F751F44"/>
    <w:rsid w:val="5F9F1AF5"/>
    <w:rsid w:val="5FAA4E53"/>
    <w:rsid w:val="5FDE3F8D"/>
    <w:rsid w:val="5FE62E42"/>
    <w:rsid w:val="5FF145BC"/>
    <w:rsid w:val="5FFD535B"/>
    <w:rsid w:val="60026CA8"/>
    <w:rsid w:val="60340A02"/>
    <w:rsid w:val="603B7746"/>
    <w:rsid w:val="603D5158"/>
    <w:rsid w:val="6044205E"/>
    <w:rsid w:val="604638E0"/>
    <w:rsid w:val="6048560F"/>
    <w:rsid w:val="608363D1"/>
    <w:rsid w:val="60876579"/>
    <w:rsid w:val="6090729E"/>
    <w:rsid w:val="60980A56"/>
    <w:rsid w:val="60C60DF5"/>
    <w:rsid w:val="60E23609"/>
    <w:rsid w:val="60E3042B"/>
    <w:rsid w:val="61070F6D"/>
    <w:rsid w:val="612D5A66"/>
    <w:rsid w:val="6131633F"/>
    <w:rsid w:val="6146003C"/>
    <w:rsid w:val="61521DAB"/>
    <w:rsid w:val="6171504A"/>
    <w:rsid w:val="61811074"/>
    <w:rsid w:val="61860438"/>
    <w:rsid w:val="61907509"/>
    <w:rsid w:val="61962114"/>
    <w:rsid w:val="61AB1046"/>
    <w:rsid w:val="61AE2690"/>
    <w:rsid w:val="61CD465C"/>
    <w:rsid w:val="61EA4E6B"/>
    <w:rsid w:val="61F65E83"/>
    <w:rsid w:val="61F96E5C"/>
    <w:rsid w:val="62131E29"/>
    <w:rsid w:val="621C6FEF"/>
    <w:rsid w:val="622532E5"/>
    <w:rsid w:val="62302A18"/>
    <w:rsid w:val="62436329"/>
    <w:rsid w:val="62485429"/>
    <w:rsid w:val="625000DD"/>
    <w:rsid w:val="627729BD"/>
    <w:rsid w:val="627A5057"/>
    <w:rsid w:val="62A212A2"/>
    <w:rsid w:val="62A274F4"/>
    <w:rsid w:val="62C95C8A"/>
    <w:rsid w:val="62D56107"/>
    <w:rsid w:val="62D60F4C"/>
    <w:rsid w:val="62DD7F01"/>
    <w:rsid w:val="630B3168"/>
    <w:rsid w:val="633D147A"/>
    <w:rsid w:val="634B193A"/>
    <w:rsid w:val="634E7E04"/>
    <w:rsid w:val="635C295A"/>
    <w:rsid w:val="635D3BD6"/>
    <w:rsid w:val="6368271D"/>
    <w:rsid w:val="637013A0"/>
    <w:rsid w:val="637D1D0F"/>
    <w:rsid w:val="638853C9"/>
    <w:rsid w:val="638F2C01"/>
    <w:rsid w:val="63906262"/>
    <w:rsid w:val="63BC6393"/>
    <w:rsid w:val="63BF40D6"/>
    <w:rsid w:val="63CC1F45"/>
    <w:rsid w:val="63F465B9"/>
    <w:rsid w:val="641B0143"/>
    <w:rsid w:val="642A16AE"/>
    <w:rsid w:val="643A0529"/>
    <w:rsid w:val="6472739A"/>
    <w:rsid w:val="648F78A0"/>
    <w:rsid w:val="64910871"/>
    <w:rsid w:val="649965F2"/>
    <w:rsid w:val="64A20939"/>
    <w:rsid w:val="64B41760"/>
    <w:rsid w:val="64D67FEA"/>
    <w:rsid w:val="64EC4654"/>
    <w:rsid w:val="64F16511"/>
    <w:rsid w:val="65085608"/>
    <w:rsid w:val="65311CBD"/>
    <w:rsid w:val="653A1C66"/>
    <w:rsid w:val="653F727C"/>
    <w:rsid w:val="65607CAE"/>
    <w:rsid w:val="656D0202"/>
    <w:rsid w:val="65716E00"/>
    <w:rsid w:val="658166E9"/>
    <w:rsid w:val="65817895"/>
    <w:rsid w:val="6598479E"/>
    <w:rsid w:val="65A842A2"/>
    <w:rsid w:val="65B25CA0"/>
    <w:rsid w:val="65B85280"/>
    <w:rsid w:val="65D379C4"/>
    <w:rsid w:val="66306D14"/>
    <w:rsid w:val="664B1055"/>
    <w:rsid w:val="664F13E5"/>
    <w:rsid w:val="664F7DBA"/>
    <w:rsid w:val="665E7BD6"/>
    <w:rsid w:val="66612BA8"/>
    <w:rsid w:val="6695111E"/>
    <w:rsid w:val="66B5531C"/>
    <w:rsid w:val="66BF1B5F"/>
    <w:rsid w:val="66D81D68"/>
    <w:rsid w:val="66FE4F15"/>
    <w:rsid w:val="67112E9A"/>
    <w:rsid w:val="67154518"/>
    <w:rsid w:val="674C7A2E"/>
    <w:rsid w:val="678F3DBF"/>
    <w:rsid w:val="67957182"/>
    <w:rsid w:val="67CB00B6"/>
    <w:rsid w:val="67D7311C"/>
    <w:rsid w:val="67F31013"/>
    <w:rsid w:val="68097EB5"/>
    <w:rsid w:val="680B1697"/>
    <w:rsid w:val="6812125B"/>
    <w:rsid w:val="68262975"/>
    <w:rsid w:val="683E38D4"/>
    <w:rsid w:val="68425130"/>
    <w:rsid w:val="68464DC5"/>
    <w:rsid w:val="685257B7"/>
    <w:rsid w:val="686A1038"/>
    <w:rsid w:val="686E2A42"/>
    <w:rsid w:val="687A24AE"/>
    <w:rsid w:val="689C20DC"/>
    <w:rsid w:val="689C3E04"/>
    <w:rsid w:val="689F6BEB"/>
    <w:rsid w:val="68B0298D"/>
    <w:rsid w:val="68BC03CD"/>
    <w:rsid w:val="68CB0FAF"/>
    <w:rsid w:val="68D312F9"/>
    <w:rsid w:val="691602F4"/>
    <w:rsid w:val="692A062E"/>
    <w:rsid w:val="694A3FCB"/>
    <w:rsid w:val="69535ADA"/>
    <w:rsid w:val="695E1C9B"/>
    <w:rsid w:val="69707BA9"/>
    <w:rsid w:val="69900F8C"/>
    <w:rsid w:val="69977D10"/>
    <w:rsid w:val="69B34AB5"/>
    <w:rsid w:val="69BD1270"/>
    <w:rsid w:val="69DA16C4"/>
    <w:rsid w:val="69DC3A7E"/>
    <w:rsid w:val="69E568B5"/>
    <w:rsid w:val="69E71C90"/>
    <w:rsid w:val="69E80EAC"/>
    <w:rsid w:val="69FC427E"/>
    <w:rsid w:val="6A1B69D6"/>
    <w:rsid w:val="6A2E78BF"/>
    <w:rsid w:val="6A3C1FDC"/>
    <w:rsid w:val="6A462E5B"/>
    <w:rsid w:val="6A62349D"/>
    <w:rsid w:val="6A8A36D6"/>
    <w:rsid w:val="6ABC6BD6"/>
    <w:rsid w:val="6AC16985"/>
    <w:rsid w:val="6AC709BE"/>
    <w:rsid w:val="6B077BD1"/>
    <w:rsid w:val="6B1765A5"/>
    <w:rsid w:val="6B177FC7"/>
    <w:rsid w:val="6B19546A"/>
    <w:rsid w:val="6B317667"/>
    <w:rsid w:val="6B46267A"/>
    <w:rsid w:val="6B613F56"/>
    <w:rsid w:val="6B621F16"/>
    <w:rsid w:val="6B6978AC"/>
    <w:rsid w:val="6B824366"/>
    <w:rsid w:val="6BA0659B"/>
    <w:rsid w:val="6BB12556"/>
    <w:rsid w:val="6BB32155"/>
    <w:rsid w:val="6BB77467"/>
    <w:rsid w:val="6BE835A9"/>
    <w:rsid w:val="6C0407D9"/>
    <w:rsid w:val="6C223454"/>
    <w:rsid w:val="6C2471CC"/>
    <w:rsid w:val="6C54194D"/>
    <w:rsid w:val="6C6C12C5"/>
    <w:rsid w:val="6CEC57A5"/>
    <w:rsid w:val="6CFC710B"/>
    <w:rsid w:val="6D0A63C2"/>
    <w:rsid w:val="6D0D3AC3"/>
    <w:rsid w:val="6D0E2A1B"/>
    <w:rsid w:val="6D527D69"/>
    <w:rsid w:val="6D6526B8"/>
    <w:rsid w:val="6D986FCA"/>
    <w:rsid w:val="6DAD5461"/>
    <w:rsid w:val="6DBE0F5A"/>
    <w:rsid w:val="6DC5678C"/>
    <w:rsid w:val="6DF26DC9"/>
    <w:rsid w:val="6E0A7816"/>
    <w:rsid w:val="6E0E3C8F"/>
    <w:rsid w:val="6E1E6CF4"/>
    <w:rsid w:val="6E3909F4"/>
    <w:rsid w:val="6E3E054B"/>
    <w:rsid w:val="6E8C2E06"/>
    <w:rsid w:val="6EAD7350"/>
    <w:rsid w:val="6F097400"/>
    <w:rsid w:val="6F250433"/>
    <w:rsid w:val="6F6600C1"/>
    <w:rsid w:val="6F6A770B"/>
    <w:rsid w:val="6F6F723A"/>
    <w:rsid w:val="6F7E35BE"/>
    <w:rsid w:val="6F830FE7"/>
    <w:rsid w:val="6F9208F0"/>
    <w:rsid w:val="6F9D2906"/>
    <w:rsid w:val="6FA046F1"/>
    <w:rsid w:val="6FBB7D0C"/>
    <w:rsid w:val="6FBE7937"/>
    <w:rsid w:val="6FC50DC7"/>
    <w:rsid w:val="6FDC16BA"/>
    <w:rsid w:val="6FF27C19"/>
    <w:rsid w:val="700A3F6D"/>
    <w:rsid w:val="701C0B7D"/>
    <w:rsid w:val="70293003"/>
    <w:rsid w:val="706202C3"/>
    <w:rsid w:val="706F7915"/>
    <w:rsid w:val="707513EF"/>
    <w:rsid w:val="70A74260"/>
    <w:rsid w:val="70A93AEA"/>
    <w:rsid w:val="70AB790A"/>
    <w:rsid w:val="70B63C4E"/>
    <w:rsid w:val="70B7060E"/>
    <w:rsid w:val="70BA1EAD"/>
    <w:rsid w:val="70C43D1A"/>
    <w:rsid w:val="70CC0E40"/>
    <w:rsid w:val="70D23FCC"/>
    <w:rsid w:val="70EB4587"/>
    <w:rsid w:val="70EB50D1"/>
    <w:rsid w:val="71061F26"/>
    <w:rsid w:val="710B08D3"/>
    <w:rsid w:val="711202DA"/>
    <w:rsid w:val="712839BA"/>
    <w:rsid w:val="71287D44"/>
    <w:rsid w:val="71300AFA"/>
    <w:rsid w:val="714B6FA9"/>
    <w:rsid w:val="716562BC"/>
    <w:rsid w:val="716A5126"/>
    <w:rsid w:val="71796B75"/>
    <w:rsid w:val="717C3606"/>
    <w:rsid w:val="71866233"/>
    <w:rsid w:val="71881FAB"/>
    <w:rsid w:val="71944BCE"/>
    <w:rsid w:val="71964BB2"/>
    <w:rsid w:val="71A66149"/>
    <w:rsid w:val="71DC62F5"/>
    <w:rsid w:val="71DF3877"/>
    <w:rsid w:val="71F94C57"/>
    <w:rsid w:val="720D4729"/>
    <w:rsid w:val="72143A86"/>
    <w:rsid w:val="721E46BD"/>
    <w:rsid w:val="72294E91"/>
    <w:rsid w:val="72361A07"/>
    <w:rsid w:val="7249173A"/>
    <w:rsid w:val="725549C1"/>
    <w:rsid w:val="72563136"/>
    <w:rsid w:val="7257109D"/>
    <w:rsid w:val="726D1462"/>
    <w:rsid w:val="727E762B"/>
    <w:rsid w:val="72864AB1"/>
    <w:rsid w:val="72AE315C"/>
    <w:rsid w:val="72AF46AD"/>
    <w:rsid w:val="72BE0C98"/>
    <w:rsid w:val="72BF19FC"/>
    <w:rsid w:val="72EF6671"/>
    <w:rsid w:val="73326672"/>
    <w:rsid w:val="73660D5D"/>
    <w:rsid w:val="7372081D"/>
    <w:rsid w:val="73844A14"/>
    <w:rsid w:val="73877A65"/>
    <w:rsid w:val="73894DC1"/>
    <w:rsid w:val="739D4008"/>
    <w:rsid w:val="73A15439"/>
    <w:rsid w:val="73A429A0"/>
    <w:rsid w:val="73A806E2"/>
    <w:rsid w:val="73C53042"/>
    <w:rsid w:val="73C90867"/>
    <w:rsid w:val="73D22833"/>
    <w:rsid w:val="73E76CA0"/>
    <w:rsid w:val="744B3D4C"/>
    <w:rsid w:val="7467237E"/>
    <w:rsid w:val="746D4A6F"/>
    <w:rsid w:val="747F700B"/>
    <w:rsid w:val="74813359"/>
    <w:rsid w:val="749018A2"/>
    <w:rsid w:val="74B8390C"/>
    <w:rsid w:val="74BD58E3"/>
    <w:rsid w:val="74CA4688"/>
    <w:rsid w:val="750202C6"/>
    <w:rsid w:val="7546337F"/>
    <w:rsid w:val="75575F1C"/>
    <w:rsid w:val="7565081D"/>
    <w:rsid w:val="756B19C7"/>
    <w:rsid w:val="757A60AE"/>
    <w:rsid w:val="75902036"/>
    <w:rsid w:val="75983717"/>
    <w:rsid w:val="75AA0651"/>
    <w:rsid w:val="75AC1FED"/>
    <w:rsid w:val="75BA294F"/>
    <w:rsid w:val="75C65F01"/>
    <w:rsid w:val="75F41B02"/>
    <w:rsid w:val="760836BA"/>
    <w:rsid w:val="76290390"/>
    <w:rsid w:val="762C7EDF"/>
    <w:rsid w:val="763F6A80"/>
    <w:rsid w:val="76400D44"/>
    <w:rsid w:val="764014B5"/>
    <w:rsid w:val="765B285F"/>
    <w:rsid w:val="76654669"/>
    <w:rsid w:val="76860973"/>
    <w:rsid w:val="76966F18"/>
    <w:rsid w:val="76A01B45"/>
    <w:rsid w:val="76A9033B"/>
    <w:rsid w:val="76BD06C9"/>
    <w:rsid w:val="76BD4232"/>
    <w:rsid w:val="76E41157"/>
    <w:rsid w:val="7718792D"/>
    <w:rsid w:val="77291B3A"/>
    <w:rsid w:val="773301BF"/>
    <w:rsid w:val="774150D6"/>
    <w:rsid w:val="775C4879"/>
    <w:rsid w:val="77757724"/>
    <w:rsid w:val="778F6F79"/>
    <w:rsid w:val="77B708BA"/>
    <w:rsid w:val="77B764C5"/>
    <w:rsid w:val="77C17FC5"/>
    <w:rsid w:val="77E250AD"/>
    <w:rsid w:val="782C432F"/>
    <w:rsid w:val="78564BB1"/>
    <w:rsid w:val="7872306D"/>
    <w:rsid w:val="78760DAF"/>
    <w:rsid w:val="78A75E67"/>
    <w:rsid w:val="78BF024C"/>
    <w:rsid w:val="78CC11E9"/>
    <w:rsid w:val="78D350B2"/>
    <w:rsid w:val="78F93787"/>
    <w:rsid w:val="7931273F"/>
    <w:rsid w:val="79393B8B"/>
    <w:rsid w:val="793F73F3"/>
    <w:rsid w:val="7950681C"/>
    <w:rsid w:val="798526BF"/>
    <w:rsid w:val="79BB2FBE"/>
    <w:rsid w:val="79D00993"/>
    <w:rsid w:val="79D0629D"/>
    <w:rsid w:val="79F76A7E"/>
    <w:rsid w:val="7A0A5C53"/>
    <w:rsid w:val="7A432F13"/>
    <w:rsid w:val="7A601D17"/>
    <w:rsid w:val="7A684E53"/>
    <w:rsid w:val="7A78473D"/>
    <w:rsid w:val="7A8F26F0"/>
    <w:rsid w:val="7AB705A7"/>
    <w:rsid w:val="7ABA37B7"/>
    <w:rsid w:val="7B230961"/>
    <w:rsid w:val="7B31700F"/>
    <w:rsid w:val="7B350BB3"/>
    <w:rsid w:val="7B424F78"/>
    <w:rsid w:val="7B767318"/>
    <w:rsid w:val="7B863568"/>
    <w:rsid w:val="7B8707E1"/>
    <w:rsid w:val="7B9003DA"/>
    <w:rsid w:val="7BDA3A46"/>
    <w:rsid w:val="7BDD546D"/>
    <w:rsid w:val="7BF4022C"/>
    <w:rsid w:val="7C1C5187"/>
    <w:rsid w:val="7C240B22"/>
    <w:rsid w:val="7C5D4D89"/>
    <w:rsid w:val="7C63164A"/>
    <w:rsid w:val="7C8F68E3"/>
    <w:rsid w:val="7C923227"/>
    <w:rsid w:val="7C977546"/>
    <w:rsid w:val="7C9D3FBE"/>
    <w:rsid w:val="7CAF640A"/>
    <w:rsid w:val="7CB776DA"/>
    <w:rsid w:val="7CBF1EE2"/>
    <w:rsid w:val="7CD24A22"/>
    <w:rsid w:val="7CD32D5E"/>
    <w:rsid w:val="7CDC31AB"/>
    <w:rsid w:val="7CDC60CE"/>
    <w:rsid w:val="7CDE6741"/>
    <w:rsid w:val="7D0660BB"/>
    <w:rsid w:val="7D0C4147"/>
    <w:rsid w:val="7D21384A"/>
    <w:rsid w:val="7D8724A6"/>
    <w:rsid w:val="7D8A0E59"/>
    <w:rsid w:val="7D8A2C07"/>
    <w:rsid w:val="7DB008BF"/>
    <w:rsid w:val="7DE652B4"/>
    <w:rsid w:val="7DF4755D"/>
    <w:rsid w:val="7E0D4209"/>
    <w:rsid w:val="7E196BE2"/>
    <w:rsid w:val="7E4C3DC1"/>
    <w:rsid w:val="7E891110"/>
    <w:rsid w:val="7E8A7362"/>
    <w:rsid w:val="7E90249F"/>
    <w:rsid w:val="7E9B156F"/>
    <w:rsid w:val="7EA62E94"/>
    <w:rsid w:val="7EA73190"/>
    <w:rsid w:val="7EC02BB2"/>
    <w:rsid w:val="7ECD1661"/>
    <w:rsid w:val="7ED30C88"/>
    <w:rsid w:val="7F115983"/>
    <w:rsid w:val="7F2506AA"/>
    <w:rsid w:val="7F266502"/>
    <w:rsid w:val="7F41310A"/>
    <w:rsid w:val="7F473ACE"/>
    <w:rsid w:val="7F5370A1"/>
    <w:rsid w:val="7F5E7533"/>
    <w:rsid w:val="7F623E3B"/>
    <w:rsid w:val="7F6B4E3B"/>
    <w:rsid w:val="7F7138CD"/>
    <w:rsid w:val="7F767DA4"/>
    <w:rsid w:val="7F78637A"/>
    <w:rsid w:val="7F790A0F"/>
    <w:rsid w:val="7F9E0BEB"/>
    <w:rsid w:val="7FB63F96"/>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81"/>
    <w:qFormat/>
    <w:uiPriority w:val="0"/>
    <w:pPr>
      <w:keepNext/>
      <w:snapToGrid w:val="0"/>
      <w:spacing w:line="360" w:lineRule="atLeast"/>
      <w:outlineLvl w:val="0"/>
    </w:pPr>
    <w:rPr>
      <w:rFonts w:ascii="宋体"/>
    </w:rPr>
  </w:style>
  <w:style w:type="paragraph" w:styleId="3">
    <w:name w:val="heading 2"/>
    <w:basedOn w:val="1"/>
    <w:next w:val="1"/>
    <w:link w:val="8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8"/>
    <w:qFormat/>
    <w:uiPriority w:val="0"/>
    <w:pPr>
      <w:keepNext/>
      <w:keepLines/>
      <w:spacing w:before="200" w:after="200"/>
      <w:outlineLvl w:val="2"/>
    </w:pPr>
    <w:rPr>
      <w:rFonts w:ascii="Times New Roman" w:hAnsi="Times New Roman" w:eastAsia="宋体"/>
      <w:b/>
      <w:sz w:val="24"/>
      <w:szCs w:val="24"/>
    </w:rPr>
  </w:style>
  <w:style w:type="paragraph" w:styleId="5">
    <w:name w:val="heading 4"/>
    <w:basedOn w:val="1"/>
    <w:next w:val="1"/>
    <w:link w:val="83"/>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4"/>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5"/>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6"/>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7"/>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8"/>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table of authorities"/>
    <w:basedOn w:val="1"/>
    <w:next w:val="1"/>
    <w:qFormat/>
    <w:uiPriority w:val="0"/>
    <w:pPr>
      <w:ind w:left="420" w:leftChars="200"/>
    </w:p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161"/>
    <w:qFormat/>
    <w:uiPriority w:val="0"/>
    <w:pPr>
      <w:adjustRightInd w:val="0"/>
      <w:snapToGrid w:val="0"/>
      <w:spacing w:line="360" w:lineRule="auto"/>
      <w:ind w:firstLine="420"/>
    </w:pPr>
    <w:rPr>
      <w:rFonts w:ascii="Calibri" w:hAnsi="Calibri" w:cs="宋体"/>
      <w:sz w:val="24"/>
      <w:szCs w:val="2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91"/>
    <w:qFormat/>
    <w:uiPriority w:val="0"/>
    <w:pPr>
      <w:shd w:val="clear" w:color="auto" w:fill="000080"/>
    </w:pPr>
    <w:rPr>
      <w:rFonts w:ascii="Calibri" w:hAnsi="Calibri" w:cs="宋体"/>
      <w:szCs w:val="22"/>
    </w:r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87"/>
    <w:qFormat/>
    <w:uiPriority w:val="0"/>
    <w:pPr>
      <w:jc w:val="left"/>
    </w:pPr>
  </w:style>
  <w:style w:type="paragraph" w:styleId="21">
    <w:name w:val="Body Text 3"/>
    <w:basedOn w:val="1"/>
    <w:link w:val="94"/>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link w:val="130"/>
    <w:qFormat/>
    <w:uiPriority w:val="0"/>
    <w:rPr>
      <w:rFonts w:ascii="仿宋_GB2312" w:hAnsi="Calibri" w:eastAsia="仿宋_GB2312" w:cs="宋体"/>
      <w:sz w:val="32"/>
      <w:szCs w:val="22"/>
    </w:rPr>
  </w:style>
  <w:style w:type="paragraph" w:styleId="24">
    <w:name w:val="Body Text Indent"/>
    <w:basedOn w:val="1"/>
    <w:next w:val="25"/>
    <w:link w:val="176"/>
    <w:qFormat/>
    <w:uiPriority w:val="0"/>
    <w:pPr>
      <w:spacing w:after="120"/>
      <w:ind w:left="420" w:leftChars="200"/>
    </w:p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index 4"/>
    <w:basedOn w:val="1"/>
    <w:next w:val="1"/>
    <w:qFormat/>
    <w:uiPriority w:val="0"/>
    <w:pPr>
      <w:ind w:left="600" w:leftChars="600"/>
    </w:pPr>
    <w:rPr>
      <w:rFonts w:ascii="Calibri" w:hAnsi="Calibri"/>
      <w:sz w:val="21"/>
      <w:szCs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ind w:left="840" w:leftChars="400"/>
    </w:pPr>
  </w:style>
  <w:style w:type="paragraph" w:styleId="34">
    <w:name w:val="Plain Text"/>
    <w:basedOn w:val="1"/>
    <w:link w:val="164"/>
    <w:qFormat/>
    <w:uiPriority w:val="0"/>
    <w:rPr>
      <w:rFonts w:ascii="宋体" w:hAnsi="Courier New" w:cs="宋体"/>
      <w:sz w:val="21"/>
      <w:szCs w:val="22"/>
    </w:rPr>
  </w:style>
  <w:style w:type="paragraph" w:styleId="35">
    <w:name w:val="toc 8"/>
    <w:basedOn w:val="1"/>
    <w:next w:val="1"/>
    <w:qFormat/>
    <w:uiPriority w:val="39"/>
    <w:pPr>
      <w:ind w:left="2940" w:leftChars="1400"/>
    </w:pPr>
  </w:style>
  <w:style w:type="paragraph" w:styleId="36">
    <w:name w:val="Date"/>
    <w:basedOn w:val="1"/>
    <w:next w:val="1"/>
    <w:link w:val="115"/>
    <w:qFormat/>
    <w:uiPriority w:val="0"/>
    <w:rPr>
      <w:rFonts w:ascii="Calibri" w:hAnsi="Calibri" w:cs="宋体"/>
      <w:szCs w:val="22"/>
    </w:rPr>
  </w:style>
  <w:style w:type="paragraph" w:styleId="37">
    <w:name w:val="Body Text Indent 2"/>
    <w:basedOn w:val="1"/>
    <w:link w:val="154"/>
    <w:qFormat/>
    <w:uiPriority w:val="0"/>
    <w:pPr>
      <w:snapToGrid w:val="0"/>
      <w:spacing w:line="560" w:lineRule="atLeast"/>
      <w:ind w:firstLine="540"/>
    </w:pPr>
    <w:rPr>
      <w:rFonts w:ascii="Calibri" w:hAnsi="Calibri" w:cs="宋体"/>
      <w:szCs w:val="22"/>
    </w:rPr>
  </w:style>
  <w:style w:type="paragraph" w:styleId="38">
    <w:name w:val="endnote text"/>
    <w:basedOn w:val="1"/>
    <w:link w:val="169"/>
    <w:qFormat/>
    <w:uiPriority w:val="0"/>
    <w:pPr>
      <w:widowControl/>
      <w:snapToGrid w:val="0"/>
      <w:jc w:val="left"/>
    </w:pPr>
    <w:rPr>
      <w:rFonts w:ascii="Arial" w:hAnsi="Arial" w:cs="Arial"/>
      <w:sz w:val="21"/>
      <w:szCs w:val="24"/>
      <w:lang w:eastAsia="en-US"/>
    </w:rPr>
  </w:style>
  <w:style w:type="paragraph" w:styleId="39">
    <w:name w:val="Balloon Text"/>
    <w:basedOn w:val="1"/>
    <w:link w:val="99"/>
    <w:qFormat/>
    <w:uiPriority w:val="0"/>
    <w:rPr>
      <w:rFonts w:ascii="Calibri" w:hAnsi="Calibri" w:cs="宋体"/>
      <w:sz w:val="18"/>
      <w:szCs w:val="22"/>
    </w:rPr>
  </w:style>
  <w:style w:type="paragraph" w:styleId="40">
    <w:name w:val="footer"/>
    <w:basedOn w:val="1"/>
    <w:link w:val="168"/>
    <w:qFormat/>
    <w:uiPriority w:val="99"/>
    <w:pPr>
      <w:tabs>
        <w:tab w:val="center" w:pos="4153"/>
        <w:tab w:val="right" w:pos="8306"/>
      </w:tabs>
      <w:snapToGrid w:val="0"/>
      <w:jc w:val="left"/>
    </w:pPr>
    <w:rPr>
      <w:rFonts w:ascii="Calibri" w:hAnsi="Calibri" w:cs="宋体"/>
      <w:sz w:val="18"/>
      <w:szCs w:val="22"/>
    </w:rPr>
  </w:style>
  <w:style w:type="paragraph" w:styleId="41">
    <w:name w:val="header"/>
    <w:basedOn w:val="1"/>
    <w:link w:val="155"/>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2">
    <w:name w:val="toc 1"/>
    <w:basedOn w:val="1"/>
    <w:next w:val="1"/>
    <w:qFormat/>
    <w:uiPriority w:val="39"/>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39"/>
    <w:pPr>
      <w:ind w:left="1260" w:leftChars="600"/>
    </w:pPr>
  </w:style>
  <w:style w:type="paragraph" w:styleId="45">
    <w:name w:val="Subtitle"/>
    <w:basedOn w:val="1"/>
    <w:next w:val="1"/>
    <w:link w:val="152"/>
    <w:qFormat/>
    <w:uiPriority w:val="0"/>
    <w:pPr>
      <w:spacing w:before="240" w:after="60" w:line="312" w:lineRule="auto"/>
      <w:jc w:val="center"/>
      <w:outlineLvl w:val="1"/>
    </w:pPr>
    <w:rPr>
      <w:rFonts w:ascii="Cambria" w:hAnsi="Cambria" w:cs="宋体"/>
      <w:b/>
      <w:bCs/>
      <w:kern w:val="28"/>
      <w:sz w:val="32"/>
      <w:szCs w:val="32"/>
    </w:rPr>
  </w:style>
  <w:style w:type="paragraph" w:styleId="46">
    <w:name w:val="List"/>
    <w:basedOn w:val="1"/>
    <w:semiHidden/>
    <w:qFormat/>
    <w:uiPriority w:val="0"/>
    <w:pPr>
      <w:ind w:left="200" w:hanging="200" w:hangingChars="200"/>
    </w:pPr>
  </w:style>
  <w:style w:type="paragraph" w:styleId="47">
    <w:name w:val="footnote text"/>
    <w:basedOn w:val="1"/>
    <w:link w:val="95"/>
    <w:qFormat/>
    <w:uiPriority w:val="0"/>
    <w:pPr>
      <w:spacing w:line="360" w:lineRule="auto"/>
    </w:pPr>
    <w:rPr>
      <w:rFonts w:ascii="Calibri" w:hAnsi="Calibri" w:cs="宋体"/>
      <w:sz w:val="18"/>
      <w:szCs w:val="22"/>
    </w:rPr>
  </w:style>
  <w:style w:type="paragraph" w:styleId="48">
    <w:name w:val="toc 6"/>
    <w:basedOn w:val="1"/>
    <w:next w:val="1"/>
    <w:qFormat/>
    <w:uiPriority w:val="39"/>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link w:val="132"/>
    <w:qFormat/>
    <w:uiPriority w:val="0"/>
    <w:pPr>
      <w:spacing w:line="360" w:lineRule="auto"/>
      <w:ind w:firstLine="632"/>
    </w:pPr>
    <w:rPr>
      <w:rFonts w:ascii="黑体" w:hAnsi="Calibri" w:eastAsia="黑体" w:cs="宋体"/>
      <w:szCs w:val="22"/>
    </w:r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style>
  <w:style w:type="paragraph" w:styleId="54">
    <w:name w:val="Body Text 2"/>
    <w:basedOn w:val="1"/>
    <w:link w:val="184"/>
    <w:qFormat/>
    <w:uiPriority w:val="0"/>
    <w:pPr>
      <w:adjustRightInd w:val="0"/>
      <w:snapToGrid w:val="0"/>
      <w:spacing w:after="120" w:line="480" w:lineRule="auto"/>
    </w:pPr>
    <w:rPr>
      <w:sz w:val="24"/>
    </w:rPr>
  </w:style>
  <w:style w:type="paragraph" w:styleId="55">
    <w:name w:val="List 4"/>
    <w:basedOn w:val="1"/>
    <w:qFormat/>
    <w:uiPriority w:val="0"/>
    <w:pPr>
      <w:adjustRightInd w:val="0"/>
      <w:snapToGrid w:val="0"/>
      <w:spacing w:line="360" w:lineRule="auto"/>
      <w:ind w:left="100" w:leftChars="600" w:hanging="200" w:hangingChars="200"/>
    </w:pPr>
    <w:rPr>
      <w:sz w:val="24"/>
    </w:rPr>
  </w:style>
  <w:style w:type="paragraph" w:styleId="56">
    <w:name w:val="List Continue 2"/>
    <w:basedOn w:val="1"/>
    <w:qFormat/>
    <w:uiPriority w:val="0"/>
    <w:pPr>
      <w:adjustRightInd w:val="0"/>
      <w:snapToGrid w:val="0"/>
      <w:spacing w:after="120" w:line="360" w:lineRule="auto"/>
      <w:ind w:left="840" w:leftChars="400"/>
    </w:pPr>
    <w:rPr>
      <w:sz w:val="24"/>
    </w:rPr>
  </w:style>
  <w:style w:type="paragraph" w:styleId="57">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List Continue 3"/>
    <w:basedOn w:val="1"/>
    <w:qFormat/>
    <w:uiPriority w:val="0"/>
    <w:pPr>
      <w:adjustRightInd w:val="0"/>
      <w:snapToGrid w:val="0"/>
      <w:spacing w:after="120" w:line="360" w:lineRule="auto"/>
      <w:ind w:left="1260" w:leftChars="600"/>
    </w:pPr>
    <w:rPr>
      <w:sz w:val="24"/>
    </w:rPr>
  </w:style>
  <w:style w:type="paragraph" w:styleId="60">
    <w:name w:val="index 1"/>
    <w:basedOn w:val="1"/>
    <w:next w:val="1"/>
    <w:qFormat/>
    <w:uiPriority w:val="0"/>
    <w:pPr>
      <w:adjustRightInd w:val="0"/>
      <w:spacing w:line="240" w:lineRule="atLeast"/>
      <w:textAlignment w:val="baseline"/>
    </w:pPr>
    <w:rPr>
      <w:rFonts w:ascii="宋体"/>
      <w:kern w:val="0"/>
      <w:sz w:val="21"/>
    </w:rPr>
  </w:style>
  <w:style w:type="paragraph" w:styleId="61">
    <w:name w:val="Title"/>
    <w:basedOn w:val="1"/>
    <w:next w:val="1"/>
    <w:link w:val="129"/>
    <w:qFormat/>
    <w:uiPriority w:val="0"/>
    <w:pPr>
      <w:widowControl/>
      <w:spacing w:after="240" w:line="360" w:lineRule="auto"/>
      <w:jc w:val="center"/>
    </w:pPr>
    <w:rPr>
      <w:rFonts w:ascii="Arial" w:hAnsi="Arial" w:cs="宋体"/>
      <w:b/>
      <w:smallCaps/>
      <w:kern w:val="28"/>
      <w:sz w:val="36"/>
      <w:szCs w:val="22"/>
      <w:lang w:eastAsia="en-US"/>
    </w:rPr>
  </w:style>
  <w:style w:type="paragraph" w:styleId="62">
    <w:name w:val="annotation subject"/>
    <w:basedOn w:val="20"/>
    <w:next w:val="20"/>
    <w:link w:val="140"/>
    <w:qFormat/>
    <w:uiPriority w:val="0"/>
    <w:rPr>
      <w:rFonts w:ascii="Calibri" w:hAnsi="Calibri" w:cs="宋体"/>
      <w:sz w:val="24"/>
      <w:szCs w:val="22"/>
    </w:rPr>
  </w:style>
  <w:style w:type="paragraph" w:styleId="63">
    <w:name w:val="Body Text First Indent"/>
    <w:basedOn w:val="23"/>
    <w:link w:val="199"/>
    <w:qFormat/>
    <w:uiPriority w:val="0"/>
    <w:pPr>
      <w:spacing w:line="360" w:lineRule="auto"/>
      <w:ind w:firstLine="420"/>
    </w:pPr>
    <w:rPr>
      <w:rFonts w:ascii="宋体" w:hAnsi="宋体"/>
      <w:sz w:val="24"/>
    </w:rPr>
  </w:style>
  <w:style w:type="paragraph" w:styleId="64">
    <w:name w:val="Body Text First Indent 2"/>
    <w:basedOn w:val="24"/>
    <w:link w:val="121"/>
    <w:qFormat/>
    <w:uiPriority w:val="0"/>
    <w:pPr>
      <w:ind w:firstLine="420" w:firstLineChars="200"/>
    </w:pPr>
    <w:rPr>
      <w:rFonts w:ascii="Calibri" w:hAnsi="Calibri" w:cs="宋体"/>
      <w:sz w:val="44"/>
      <w:szCs w:val="22"/>
    </w:rPr>
  </w:style>
  <w:style w:type="table" w:styleId="66">
    <w:name w:val="Table Grid"/>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qFormat/>
    <w:uiPriority w:val="0"/>
    <w:rPr>
      <w:color w:val="800080"/>
      <w:u w:val="single"/>
    </w:rPr>
  </w:style>
  <w:style w:type="character" w:styleId="72">
    <w:name w:val="Emphasis"/>
    <w:qFormat/>
    <w:uiPriority w:val="0"/>
    <w:rPr>
      <w:i/>
    </w:rPr>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position w:val="6"/>
      <w:sz w:val="14"/>
      <w:vertAlign w:val="superscript"/>
    </w:rPr>
  </w:style>
  <w:style w:type="paragraph" w:customStyle="1" w:styleId="76">
    <w:name w:val="引用1"/>
    <w:basedOn w:val="1"/>
    <w:next w:val="1"/>
    <w:link w:val="105"/>
    <w:qFormat/>
    <w:uiPriority w:val="0"/>
    <w:rPr>
      <w:rFonts w:ascii="Calibri" w:hAnsi="Calibri" w:cs="宋体"/>
      <w:i/>
      <w:iCs/>
      <w:color w:val="000000"/>
      <w:sz w:val="21"/>
      <w:szCs w:val="22"/>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标题 3 Char"/>
    <w:basedOn w:val="67"/>
    <w:link w:val="4"/>
    <w:qFormat/>
    <w:uiPriority w:val="0"/>
    <w:rPr>
      <w:rFonts w:ascii="Times New Roman" w:hAnsi="Times New Roman" w:eastAsia="宋体"/>
      <w:b/>
      <w:kern w:val="2"/>
      <w:sz w:val="24"/>
      <w:szCs w:val="24"/>
    </w:rPr>
  </w:style>
  <w:style w:type="paragraph" w:customStyle="1" w:styleId="79">
    <w:name w:val="电建正文"/>
    <w:basedOn w:val="80"/>
    <w:qFormat/>
    <w:uiPriority w:val="0"/>
    <w:pPr>
      <w:tabs>
        <w:tab w:val="left" w:pos="720"/>
      </w:tabs>
      <w:spacing w:line="360" w:lineRule="auto"/>
      <w:ind w:firstLine="200" w:firstLineChars="200"/>
    </w:pPr>
    <w:rPr>
      <w:rFonts w:ascii="Tahoma" w:hAnsi="Tahoma"/>
      <w:sz w:val="24"/>
    </w:rPr>
  </w:style>
  <w:style w:type="paragraph" w:customStyle="1" w:styleId="80">
    <w:name w:val="List First"/>
    <w:basedOn w:val="46"/>
    <w:next w:val="4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1">
    <w:name w:val="标题 1 Char"/>
    <w:basedOn w:val="67"/>
    <w:link w:val="2"/>
    <w:qFormat/>
    <w:uiPriority w:val="0"/>
    <w:rPr>
      <w:rFonts w:ascii="宋体" w:hAnsi="Times New Roman" w:eastAsia="宋体" w:cs="Times New Roman"/>
      <w:sz w:val="28"/>
      <w:szCs w:val="20"/>
    </w:rPr>
  </w:style>
  <w:style w:type="character" w:customStyle="1" w:styleId="82">
    <w:name w:val="标题 2 Char"/>
    <w:basedOn w:val="67"/>
    <w:link w:val="3"/>
    <w:qFormat/>
    <w:uiPriority w:val="0"/>
    <w:rPr>
      <w:rFonts w:ascii="Arial" w:hAnsi="Arial" w:eastAsia="黑体" w:cs="Times New Roman"/>
      <w:b/>
      <w:sz w:val="32"/>
      <w:szCs w:val="20"/>
    </w:rPr>
  </w:style>
  <w:style w:type="character" w:customStyle="1" w:styleId="83">
    <w:name w:val="标题 4 Char"/>
    <w:basedOn w:val="67"/>
    <w:link w:val="5"/>
    <w:qFormat/>
    <w:uiPriority w:val="0"/>
    <w:rPr>
      <w:rFonts w:ascii="Arial" w:hAnsi="Arial" w:eastAsia="黑体" w:cs="Times New Roman"/>
      <w:b/>
      <w:sz w:val="28"/>
      <w:szCs w:val="20"/>
    </w:rPr>
  </w:style>
  <w:style w:type="character" w:customStyle="1" w:styleId="84">
    <w:name w:val="标题 5 Char"/>
    <w:basedOn w:val="67"/>
    <w:link w:val="6"/>
    <w:qFormat/>
    <w:uiPriority w:val="0"/>
    <w:rPr>
      <w:rFonts w:ascii="Times New Roman" w:hAnsi="Times New Roman" w:eastAsia="宋体" w:cs="Times New Roman"/>
      <w:b/>
      <w:sz w:val="28"/>
      <w:szCs w:val="20"/>
    </w:rPr>
  </w:style>
  <w:style w:type="character" w:customStyle="1" w:styleId="85">
    <w:name w:val="标题 6 Char"/>
    <w:basedOn w:val="67"/>
    <w:link w:val="7"/>
    <w:qFormat/>
    <w:uiPriority w:val="0"/>
    <w:rPr>
      <w:rFonts w:ascii="Arial" w:hAnsi="Arial" w:eastAsia="黑体" w:cs="Times New Roman"/>
      <w:b/>
      <w:sz w:val="24"/>
      <w:szCs w:val="20"/>
    </w:rPr>
  </w:style>
  <w:style w:type="character" w:customStyle="1" w:styleId="86">
    <w:name w:val="标题 7 Char"/>
    <w:basedOn w:val="67"/>
    <w:link w:val="8"/>
    <w:qFormat/>
    <w:uiPriority w:val="0"/>
    <w:rPr>
      <w:rFonts w:ascii="Arial" w:hAnsi="Arial" w:eastAsia="黑体" w:cs="Times New Roman"/>
      <w:b/>
      <w:sz w:val="24"/>
      <w:szCs w:val="20"/>
    </w:rPr>
  </w:style>
  <w:style w:type="character" w:customStyle="1" w:styleId="87">
    <w:name w:val="标题 8 Char"/>
    <w:basedOn w:val="67"/>
    <w:link w:val="9"/>
    <w:qFormat/>
    <w:uiPriority w:val="0"/>
    <w:rPr>
      <w:rFonts w:ascii="Arial" w:hAnsi="Arial" w:eastAsia="黑体" w:cs="Times New Roman"/>
      <w:b/>
      <w:sz w:val="24"/>
      <w:szCs w:val="20"/>
    </w:rPr>
  </w:style>
  <w:style w:type="character" w:customStyle="1" w:styleId="88">
    <w:name w:val="标题 9 Char"/>
    <w:basedOn w:val="67"/>
    <w:link w:val="10"/>
    <w:qFormat/>
    <w:uiPriority w:val="0"/>
    <w:rPr>
      <w:rFonts w:ascii="Arial" w:hAnsi="Arial" w:eastAsia="黑体" w:cs="Times New Roman"/>
      <w:b/>
      <w:sz w:val="24"/>
      <w:szCs w:val="20"/>
    </w:rPr>
  </w:style>
  <w:style w:type="character" w:customStyle="1" w:styleId="89">
    <w:name w:val="Table Text Char"/>
    <w:link w:val="90"/>
    <w:qFormat/>
    <w:uiPriority w:val="0"/>
    <w:rPr>
      <w:rFonts w:ascii="Arial" w:hAnsi="Arial"/>
      <w:sz w:val="18"/>
    </w:rPr>
  </w:style>
  <w:style w:type="paragraph" w:customStyle="1" w:styleId="90">
    <w:name w:val="Table Text"/>
    <w:link w:val="89"/>
    <w:qFormat/>
    <w:uiPriority w:val="0"/>
    <w:pPr>
      <w:snapToGrid w:val="0"/>
      <w:spacing w:before="80" w:after="80"/>
    </w:pPr>
    <w:rPr>
      <w:rFonts w:ascii="Arial" w:hAnsi="Arial" w:eastAsia="宋体" w:cs="宋体"/>
      <w:kern w:val="2"/>
      <w:sz w:val="18"/>
      <w:szCs w:val="22"/>
      <w:lang w:val="en-US" w:eastAsia="zh-CN" w:bidi="ar-SA"/>
    </w:rPr>
  </w:style>
  <w:style w:type="character" w:customStyle="1" w:styleId="91">
    <w:name w:val="文档结构图 Char"/>
    <w:link w:val="18"/>
    <w:qFormat/>
    <w:uiPriority w:val="0"/>
    <w:rPr>
      <w:sz w:val="28"/>
      <w:shd w:val="clear" w:color="auto" w:fill="000080"/>
    </w:rPr>
  </w:style>
  <w:style w:type="character" w:customStyle="1" w:styleId="92">
    <w:name w:val="批注文字 Char"/>
    <w:qFormat/>
    <w:uiPriority w:val="0"/>
    <w:rPr>
      <w:sz w:val="24"/>
    </w:rPr>
  </w:style>
  <w:style w:type="character" w:customStyle="1" w:styleId="93">
    <w:name w:val="14t1"/>
    <w:qFormat/>
    <w:uiPriority w:val="0"/>
    <w:rPr>
      <w:rFonts w:hint="eastAsia" w:ascii="宋体" w:hAnsi="宋体" w:eastAsia="宋体"/>
      <w:sz w:val="11"/>
      <w:szCs w:val="11"/>
    </w:rPr>
  </w:style>
  <w:style w:type="character" w:customStyle="1" w:styleId="94">
    <w:name w:val="正文文本 3 Char"/>
    <w:link w:val="21"/>
    <w:qFormat/>
    <w:uiPriority w:val="0"/>
    <w:rPr>
      <w:sz w:val="16"/>
    </w:rPr>
  </w:style>
  <w:style w:type="character" w:customStyle="1" w:styleId="95">
    <w:name w:val="脚注文本 Char"/>
    <w:link w:val="47"/>
    <w:qFormat/>
    <w:uiPriority w:val="0"/>
    <w:rPr>
      <w:sz w:val="18"/>
    </w:rPr>
  </w:style>
  <w:style w:type="character" w:customStyle="1" w:styleId="96">
    <w:name w:val="docpro"/>
    <w:qFormat/>
    <w:uiPriority w:val="0"/>
  </w:style>
  <w:style w:type="character" w:customStyle="1" w:styleId="97">
    <w:name w:val="正文缩进2格 Char"/>
    <w:link w:val="98"/>
    <w:qFormat/>
    <w:uiPriority w:val="99"/>
    <w:rPr>
      <w:rFonts w:ascii="仿宋_GB2312" w:hAnsi="宋体" w:eastAsia="仿宋_GB2312"/>
      <w:sz w:val="28"/>
    </w:rPr>
  </w:style>
  <w:style w:type="paragraph" w:customStyle="1" w:styleId="98">
    <w:name w:val="正文缩进2格"/>
    <w:basedOn w:val="1"/>
    <w:link w:val="97"/>
    <w:qFormat/>
    <w:uiPriority w:val="99"/>
    <w:pPr>
      <w:spacing w:line="600" w:lineRule="exact"/>
      <w:ind w:firstLine="639" w:firstLineChars="206"/>
    </w:pPr>
    <w:rPr>
      <w:rFonts w:ascii="仿宋_GB2312" w:hAnsi="宋体" w:eastAsia="仿宋_GB2312" w:cs="宋体"/>
      <w:szCs w:val="22"/>
    </w:rPr>
  </w:style>
  <w:style w:type="character" w:customStyle="1" w:styleId="99">
    <w:name w:val="批注框文本 Char"/>
    <w:link w:val="39"/>
    <w:qFormat/>
    <w:uiPriority w:val="0"/>
    <w:rPr>
      <w:sz w:val="18"/>
    </w:rPr>
  </w:style>
  <w:style w:type="character" w:customStyle="1" w:styleId="100">
    <w:name w:val="Table Text Char Char Char Char"/>
    <w:link w:val="101"/>
    <w:qFormat/>
    <w:uiPriority w:val="0"/>
    <w:rPr>
      <w:rFonts w:ascii="Arial" w:hAnsi="Arial"/>
      <w:sz w:val="18"/>
    </w:rPr>
  </w:style>
  <w:style w:type="paragraph" w:customStyle="1" w:styleId="101">
    <w:name w:val="Table Text Char Char Char"/>
    <w:link w:val="100"/>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2">
    <w:name w:val="font161"/>
    <w:qFormat/>
    <w:uiPriority w:val="0"/>
    <w:rPr>
      <w:b/>
      <w:bCs/>
      <w:sz w:val="32"/>
      <w:szCs w:val="32"/>
    </w:rPr>
  </w:style>
  <w:style w:type="character" w:customStyle="1" w:styleId="103">
    <w:name w:val="文字 Char"/>
    <w:link w:val="104"/>
    <w:qFormat/>
    <w:uiPriority w:val="0"/>
    <w:rPr>
      <w:rFonts w:ascii="宋体"/>
      <w:sz w:val="28"/>
    </w:rPr>
  </w:style>
  <w:style w:type="paragraph" w:customStyle="1" w:styleId="104">
    <w:name w:val="文字"/>
    <w:basedOn w:val="1"/>
    <w:link w:val="103"/>
    <w:qFormat/>
    <w:uiPriority w:val="0"/>
    <w:pPr>
      <w:tabs>
        <w:tab w:val="left" w:pos="8520"/>
      </w:tabs>
      <w:spacing w:line="312" w:lineRule="auto"/>
      <w:ind w:right="-210" w:firstLine="556"/>
    </w:pPr>
    <w:rPr>
      <w:rFonts w:ascii="宋体" w:hAnsi="Calibri" w:cs="宋体"/>
      <w:szCs w:val="22"/>
    </w:rPr>
  </w:style>
  <w:style w:type="character" w:customStyle="1" w:styleId="105">
    <w:name w:val="引用 Char"/>
    <w:link w:val="76"/>
    <w:qFormat/>
    <w:uiPriority w:val="0"/>
    <w:rPr>
      <w:i/>
      <w:iCs/>
      <w:color w:val="000000"/>
    </w:rPr>
  </w:style>
  <w:style w:type="character" w:customStyle="1" w:styleId="106">
    <w:name w:val="0d1471"/>
    <w:qFormat/>
    <w:uiPriority w:val="0"/>
    <w:rPr>
      <w:color w:val="000000"/>
      <w:sz w:val="11"/>
      <w:szCs w:val="11"/>
      <w:u w:val="none"/>
    </w:rPr>
  </w:style>
  <w:style w:type="character" w:customStyle="1" w:styleId="107">
    <w:name w:val="*正文 Char"/>
    <w:link w:val="108"/>
    <w:qFormat/>
    <w:uiPriority w:val="0"/>
    <w:rPr>
      <w:rFonts w:ascii="仿宋_GB2312" w:eastAsia="仿宋_GB2312"/>
      <w:sz w:val="24"/>
      <w:szCs w:val="28"/>
    </w:rPr>
  </w:style>
  <w:style w:type="paragraph" w:customStyle="1" w:styleId="108">
    <w:name w:val="*正文"/>
    <w:basedOn w:val="1"/>
    <w:link w:val="107"/>
    <w:qFormat/>
    <w:uiPriority w:val="0"/>
    <w:pPr>
      <w:widowControl/>
      <w:ind w:firstLine="200" w:firstLineChars="200"/>
    </w:pPr>
    <w:rPr>
      <w:rFonts w:ascii="仿宋_GB2312" w:hAnsi="Calibri" w:eastAsia="仿宋_GB2312" w:cs="宋体"/>
      <w:sz w:val="24"/>
      <w:szCs w:val="28"/>
    </w:rPr>
  </w:style>
  <w:style w:type="character" w:customStyle="1" w:styleId="109">
    <w:name w:val="intel3"/>
    <w:qFormat/>
    <w:uiPriority w:val="0"/>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标题5 Char Char"/>
    <w:link w:val="112"/>
    <w:qFormat/>
    <w:uiPriority w:val="0"/>
    <w:rPr>
      <w:rFonts w:ascii="宋体"/>
    </w:rPr>
  </w:style>
  <w:style w:type="paragraph" w:customStyle="1" w:styleId="112">
    <w:name w:val="标题5"/>
    <w:basedOn w:val="1"/>
    <w:link w:val="111"/>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3">
    <w:name w:val="main_tdbg_7601"/>
    <w:qFormat/>
    <w:uiPriority w:val="0"/>
    <w:rPr>
      <w:sz w:val="14"/>
      <w:szCs w:val="14"/>
    </w:rPr>
  </w:style>
  <w:style w:type="character" w:customStyle="1" w:styleId="114">
    <w:name w:val="font1"/>
    <w:qFormat/>
    <w:uiPriority w:val="0"/>
    <w:rPr>
      <w:color w:val="000000"/>
      <w:sz w:val="18"/>
    </w:rPr>
  </w:style>
  <w:style w:type="character" w:customStyle="1" w:styleId="115">
    <w:name w:val="日期 Char"/>
    <w:link w:val="36"/>
    <w:qFormat/>
    <w:uiPriority w:val="0"/>
    <w:rPr>
      <w:sz w:val="28"/>
    </w:rPr>
  </w:style>
  <w:style w:type="character" w:customStyle="1" w:styleId="116">
    <w:name w:val="Char Char6"/>
    <w:qFormat/>
    <w:uiPriority w:val="0"/>
    <w:rPr>
      <w:rFonts w:ascii="仿宋_GB2312" w:eastAsia="仿宋_GB2312"/>
      <w:kern w:val="2"/>
      <w:sz w:val="32"/>
    </w:rPr>
  </w:style>
  <w:style w:type="character" w:customStyle="1" w:styleId="117">
    <w:name w:val="title_emph1"/>
    <w:qFormat/>
    <w:uiPriority w:val="0"/>
    <w:rPr>
      <w:rFonts w:hint="default" w:ascii="Arial" w:hAnsi="Arial"/>
      <w:b/>
      <w:sz w:val="20"/>
    </w:rPr>
  </w:style>
  <w:style w:type="character" w:customStyle="1" w:styleId="118">
    <w:name w:val="未命名11"/>
    <w:qFormat/>
    <w:uiPriority w:val="0"/>
    <w:rPr>
      <w:color w:val="77FFFF"/>
      <w:sz w:val="24"/>
    </w:rPr>
  </w:style>
  <w:style w:type="character" w:customStyle="1" w:styleId="119">
    <w:name w:val="ca-141"/>
    <w:qFormat/>
    <w:uiPriority w:val="0"/>
    <w:rPr>
      <w:rFonts w:hint="eastAsia" w:ascii="仿宋_GB2312" w:eastAsia="仿宋_GB2312"/>
      <w:sz w:val="21"/>
      <w:szCs w:val="21"/>
    </w:rPr>
  </w:style>
  <w:style w:type="character" w:customStyle="1" w:styleId="120">
    <w:name w:val="Table Heading Char Char"/>
    <w:qFormat/>
    <w:uiPriority w:val="0"/>
    <w:rPr>
      <w:rFonts w:ascii="Arial" w:hAnsi="Arial" w:eastAsia="黑体"/>
      <w:kern w:val="2"/>
      <w:sz w:val="18"/>
      <w:lang w:val="en-US" w:eastAsia="zh-CN"/>
    </w:rPr>
  </w:style>
  <w:style w:type="character" w:customStyle="1" w:styleId="121">
    <w:name w:val="正文首行缩进 2 Char"/>
    <w:basedOn w:val="122"/>
    <w:link w:val="64"/>
    <w:qFormat/>
    <w:uiPriority w:val="0"/>
    <w:rPr>
      <w:kern w:val="2"/>
      <w:sz w:val="44"/>
    </w:rPr>
  </w:style>
  <w:style w:type="character" w:customStyle="1" w:styleId="122">
    <w:name w:val="正文文本缩进 Char"/>
    <w:qFormat/>
    <w:uiPriority w:val="0"/>
    <w:rPr>
      <w:kern w:val="2"/>
      <w:sz w:val="44"/>
    </w:rPr>
  </w:style>
  <w:style w:type="character" w:customStyle="1" w:styleId="123">
    <w:name w:val="l1"/>
    <w:qFormat/>
    <w:uiPriority w:val="0"/>
  </w:style>
  <w:style w:type="character" w:customStyle="1" w:styleId="124">
    <w:name w:val="标题4 Char Char"/>
    <w:link w:val="125"/>
    <w:qFormat/>
    <w:uiPriority w:val="0"/>
    <w:rPr>
      <w:rFonts w:ascii="Arial" w:hAnsi="Arial"/>
      <w:b/>
      <w:bCs/>
      <w:sz w:val="24"/>
      <w:szCs w:val="32"/>
    </w:rPr>
  </w:style>
  <w:style w:type="paragraph" w:customStyle="1" w:styleId="125">
    <w:name w:val="标题4"/>
    <w:basedOn w:val="3"/>
    <w:next w:val="31"/>
    <w:link w:val="124"/>
    <w:qFormat/>
    <w:uiPriority w:val="0"/>
    <w:rPr>
      <w:rFonts w:eastAsia="宋体" w:cs="宋体"/>
      <w:bCs/>
      <w:sz w:val="24"/>
      <w:szCs w:val="32"/>
    </w:rPr>
  </w:style>
  <w:style w:type="character" w:customStyle="1" w:styleId="126">
    <w:name w:val="HTML 预设格式 Char"/>
    <w:link w:val="57"/>
    <w:qFormat/>
    <w:uiPriority w:val="0"/>
    <w:rPr>
      <w:rFonts w:ascii="宋体" w:hAnsi="宋体" w:cs="宋体"/>
      <w:color w:val="000000"/>
      <w:sz w:val="24"/>
      <w:szCs w:val="24"/>
    </w:rPr>
  </w:style>
  <w:style w:type="character" w:customStyle="1" w:styleId="127">
    <w:name w:val="Char Char2"/>
    <w:qFormat/>
    <w:uiPriority w:val="0"/>
    <w:rPr>
      <w:rFonts w:eastAsia="宋体"/>
      <w:kern w:val="2"/>
      <w:sz w:val="18"/>
      <w:lang w:val="en-US" w:eastAsia="zh-CN"/>
    </w:rPr>
  </w:style>
  <w:style w:type="character" w:customStyle="1" w:styleId="128">
    <w:name w:val="ht1"/>
    <w:qFormat/>
    <w:uiPriority w:val="0"/>
    <w:rPr>
      <w:rFonts w:ascii="黑体" w:eastAsia="黑体"/>
      <w:b/>
      <w:bCs/>
    </w:rPr>
  </w:style>
  <w:style w:type="character" w:customStyle="1" w:styleId="129">
    <w:name w:val="标题 Char"/>
    <w:link w:val="61"/>
    <w:qFormat/>
    <w:uiPriority w:val="0"/>
    <w:rPr>
      <w:rFonts w:ascii="Arial" w:hAnsi="Arial"/>
      <w:b/>
      <w:smallCaps/>
      <w:kern w:val="28"/>
      <w:sz w:val="36"/>
      <w:lang w:eastAsia="en-US"/>
    </w:rPr>
  </w:style>
  <w:style w:type="character" w:customStyle="1" w:styleId="130">
    <w:name w:val="正文文本 Char"/>
    <w:link w:val="23"/>
    <w:qFormat/>
    <w:uiPriority w:val="0"/>
    <w:rPr>
      <w:rFonts w:ascii="仿宋_GB2312" w:eastAsia="仿宋_GB2312"/>
      <w:sz w:val="32"/>
    </w:rPr>
  </w:style>
  <w:style w:type="character" w:customStyle="1" w:styleId="131">
    <w:name w:val="Char Char11"/>
    <w:qFormat/>
    <w:uiPriority w:val="0"/>
    <w:rPr>
      <w:rFonts w:ascii="宋体"/>
      <w:kern w:val="2"/>
      <w:sz w:val="28"/>
    </w:rPr>
  </w:style>
  <w:style w:type="character" w:customStyle="1" w:styleId="132">
    <w:name w:val="正文文本缩进 3 Char"/>
    <w:link w:val="50"/>
    <w:qFormat/>
    <w:uiPriority w:val="0"/>
    <w:rPr>
      <w:rFonts w:ascii="黑体" w:eastAsia="黑体"/>
      <w:sz w:val="28"/>
    </w:rPr>
  </w:style>
  <w:style w:type="character" w:customStyle="1" w:styleId="133">
    <w:name w:val="Char Char111"/>
    <w:qFormat/>
    <w:uiPriority w:val="0"/>
    <w:rPr>
      <w:rFonts w:eastAsia="黑体"/>
      <w:kern w:val="2"/>
      <w:sz w:val="44"/>
      <w:szCs w:val="44"/>
      <w:lang w:val="en-US" w:eastAsia="zh-CN" w:bidi="ar-SA"/>
    </w:rPr>
  </w:style>
  <w:style w:type="character" w:customStyle="1" w:styleId="134">
    <w:name w:val="style31"/>
    <w:qFormat/>
    <w:uiPriority w:val="0"/>
    <w:rPr>
      <w:sz w:val="10"/>
      <w:szCs w:val="10"/>
    </w:rPr>
  </w:style>
  <w:style w:type="character" w:customStyle="1" w:styleId="135">
    <w:name w:val="top-det1"/>
    <w:qFormat/>
    <w:uiPriority w:val="0"/>
    <w:rPr>
      <w:b/>
      <w:color w:val="000000"/>
    </w:rPr>
  </w:style>
  <w:style w:type="character" w:customStyle="1" w:styleId="136">
    <w:name w:val="明显引用 Char"/>
    <w:link w:val="137"/>
    <w:qFormat/>
    <w:uiPriority w:val="0"/>
    <w:rPr>
      <w:b/>
      <w:bCs/>
      <w:i/>
      <w:iCs/>
      <w:color w:val="4F81BD"/>
    </w:rPr>
  </w:style>
  <w:style w:type="paragraph" w:customStyle="1" w:styleId="137">
    <w:name w:val="明显引用1"/>
    <w:basedOn w:val="1"/>
    <w:next w:val="1"/>
    <w:link w:val="136"/>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8">
    <w:name w:val="normaltext1"/>
    <w:qFormat/>
    <w:uiPriority w:val="0"/>
    <w:rPr>
      <w:rFonts w:hint="default" w:ascii="ˎ̥" w:hAnsi="ˎ̥"/>
      <w:sz w:val="9"/>
      <w:szCs w:val="9"/>
    </w:rPr>
  </w:style>
  <w:style w:type="character" w:customStyle="1" w:styleId="139">
    <w:name w:val="Char Char3"/>
    <w:qFormat/>
    <w:uiPriority w:val="0"/>
    <w:rPr>
      <w:rFonts w:eastAsia="宋体"/>
      <w:kern w:val="2"/>
      <w:sz w:val="18"/>
      <w:lang w:val="en-US" w:eastAsia="zh-CN"/>
    </w:rPr>
  </w:style>
  <w:style w:type="character" w:customStyle="1" w:styleId="140">
    <w:name w:val="批注主题 Char"/>
    <w:basedOn w:val="92"/>
    <w:link w:val="62"/>
    <w:qFormat/>
    <w:uiPriority w:val="0"/>
    <w:rPr>
      <w:sz w:val="24"/>
    </w:rPr>
  </w:style>
  <w:style w:type="character" w:customStyle="1" w:styleId="141">
    <w:name w:val="正文缩进 Char1"/>
    <w:qFormat/>
    <w:uiPriority w:val="99"/>
    <w:rPr>
      <w:rFonts w:ascii="Times New Roman" w:hAnsi="Times New Roman" w:eastAsia="仿宋_GB2312" w:cs="Times New Roman"/>
      <w:sz w:val="24"/>
      <w:szCs w:val="24"/>
    </w:rPr>
  </w:style>
  <w:style w:type="character" w:customStyle="1" w:styleId="142">
    <w:name w:val="HTML 预设格式 Char1"/>
    <w:qFormat/>
    <w:uiPriority w:val="0"/>
    <w:rPr>
      <w:rFonts w:ascii="Courier New" w:hAnsi="Courier New" w:cs="Courier New"/>
      <w:kern w:val="2"/>
    </w:rPr>
  </w:style>
  <w:style w:type="character" w:customStyle="1" w:styleId="143">
    <w:name w:val="Char Char"/>
    <w:qFormat/>
    <w:uiPriority w:val="0"/>
    <w:rPr>
      <w:rFonts w:ascii="宋体" w:hAnsi="宋体" w:eastAsia="宋体"/>
      <w:kern w:val="2"/>
      <w:sz w:val="24"/>
      <w:lang w:val="en-US" w:eastAsia="zh-CN" w:bidi="ar-SA"/>
    </w:rPr>
  </w:style>
  <w:style w:type="character" w:customStyle="1" w:styleId="144">
    <w:name w:val="v151"/>
    <w:qFormat/>
    <w:uiPriority w:val="0"/>
    <w:rPr>
      <w:sz w:val="18"/>
    </w:rPr>
  </w:style>
  <w:style w:type="character" w:customStyle="1" w:styleId="145">
    <w:name w:val="color_red1"/>
    <w:qFormat/>
    <w:uiPriority w:val="0"/>
    <w:rPr>
      <w:color w:val="FA0004"/>
    </w:rPr>
  </w:style>
  <w:style w:type="character" w:customStyle="1" w:styleId="146">
    <w:name w:val="1[858D7CFB-ED40-4347-BF05-701D383B685F]"/>
    <w:link w:val="147"/>
    <w:qFormat/>
    <w:uiPriority w:val="0"/>
    <w:rPr>
      <w:rFonts w:ascii="宋体" w:hAnsi="Courier New"/>
    </w:rPr>
  </w:style>
  <w:style w:type="paragraph" w:customStyle="1" w:styleId="147">
    <w:name w:val="1"/>
    <w:basedOn w:val="1"/>
    <w:next w:val="34"/>
    <w:link w:val="146"/>
    <w:qFormat/>
    <w:uiPriority w:val="0"/>
    <w:rPr>
      <w:rFonts w:ascii="宋体" w:hAnsi="Courier New" w:cs="宋体"/>
      <w:sz w:val="21"/>
      <w:szCs w:val="22"/>
    </w:rPr>
  </w:style>
  <w:style w:type="character" w:customStyle="1" w:styleId="148">
    <w:name w:val="尾注文本 Char1"/>
    <w:qFormat/>
    <w:uiPriority w:val="0"/>
    <w:rPr>
      <w:kern w:val="2"/>
      <w:sz w:val="28"/>
    </w:rPr>
  </w:style>
  <w:style w:type="character" w:customStyle="1" w:styleId="149">
    <w:name w:val="content-white1"/>
    <w:qFormat/>
    <w:uiPriority w:val="0"/>
    <w:rPr>
      <w:color w:val="auto"/>
      <w:sz w:val="18"/>
      <w:u w:val="none"/>
    </w:rPr>
  </w:style>
  <w:style w:type="character" w:customStyle="1" w:styleId="150">
    <w:name w:val="unnamed1"/>
    <w:qFormat/>
    <w:uiPriority w:val="0"/>
  </w:style>
  <w:style w:type="character" w:customStyle="1" w:styleId="151">
    <w:name w:val="批注主题 Char1"/>
    <w:qFormat/>
    <w:uiPriority w:val="0"/>
    <w:rPr>
      <w:rFonts w:eastAsia="宋体"/>
      <w:b/>
      <w:bCs/>
      <w:kern w:val="2"/>
      <w:sz w:val="21"/>
      <w:szCs w:val="24"/>
      <w:lang w:val="en-US" w:eastAsia="zh-CN" w:bidi="ar-SA"/>
    </w:rPr>
  </w:style>
  <w:style w:type="character" w:customStyle="1" w:styleId="152">
    <w:name w:val="副标题 Char"/>
    <w:link w:val="45"/>
    <w:qFormat/>
    <w:uiPriority w:val="0"/>
    <w:rPr>
      <w:rFonts w:ascii="Cambria" w:hAnsi="Cambria"/>
      <w:b/>
      <w:bCs/>
      <w:kern w:val="28"/>
      <w:sz w:val="32"/>
      <w:szCs w:val="32"/>
    </w:rPr>
  </w:style>
  <w:style w:type="character" w:customStyle="1" w:styleId="153">
    <w:name w:val="style161"/>
    <w:qFormat/>
    <w:uiPriority w:val="0"/>
    <w:rPr>
      <w:b/>
      <w:bCs/>
      <w:color w:val="333333"/>
    </w:rPr>
  </w:style>
  <w:style w:type="character" w:customStyle="1" w:styleId="154">
    <w:name w:val="正文文本缩进 2 Char"/>
    <w:link w:val="37"/>
    <w:qFormat/>
    <w:uiPriority w:val="0"/>
    <w:rPr>
      <w:sz w:val="28"/>
    </w:rPr>
  </w:style>
  <w:style w:type="character" w:customStyle="1" w:styleId="155">
    <w:name w:val="页眉 Char"/>
    <w:link w:val="41"/>
    <w:qFormat/>
    <w:uiPriority w:val="99"/>
    <w:rPr>
      <w:sz w:val="18"/>
    </w:rPr>
  </w:style>
  <w:style w:type="character" w:customStyle="1" w:styleId="156">
    <w:name w:val="样式 宋体"/>
    <w:qFormat/>
    <w:uiPriority w:val="0"/>
    <w:rPr>
      <w:rFonts w:ascii="宋体" w:hAnsi="宋体" w:eastAsia="宋体"/>
      <w:sz w:val="28"/>
    </w:rPr>
  </w:style>
  <w:style w:type="character" w:customStyle="1" w:styleId="157">
    <w:name w:val="小 Char"/>
    <w:qFormat/>
    <w:uiPriority w:val="0"/>
    <w:rPr>
      <w:rFonts w:ascii="宋体" w:hAnsi="Courier New" w:eastAsia="宋体"/>
      <w:kern w:val="2"/>
      <w:sz w:val="21"/>
      <w:lang w:val="en-US" w:eastAsia="zh-CN" w:bidi="ar-SA"/>
    </w:rPr>
  </w:style>
  <w:style w:type="character" w:customStyle="1" w:styleId="158">
    <w:name w:val="正文 + 三号 Char"/>
    <w:qFormat/>
    <w:uiPriority w:val="0"/>
    <w:rPr>
      <w:rFonts w:eastAsia="宋体"/>
      <w:kern w:val="2"/>
      <w:sz w:val="21"/>
      <w:lang w:val="en-US" w:eastAsia="zh-CN"/>
    </w:rPr>
  </w:style>
  <w:style w:type="character" w:customStyle="1" w:styleId="159">
    <w:name w:val="H2 Char"/>
    <w:qFormat/>
    <w:uiPriority w:val="0"/>
    <w:rPr>
      <w:rFonts w:ascii="Arial" w:hAnsi="Arial" w:eastAsia="宋体"/>
      <w:kern w:val="2"/>
      <w:sz w:val="28"/>
      <w:lang w:val="en-US" w:eastAsia="zh-CN"/>
    </w:rPr>
  </w:style>
  <w:style w:type="character" w:customStyle="1" w:styleId="160">
    <w:name w:val="副标题 Char1"/>
    <w:qFormat/>
    <w:uiPriority w:val="0"/>
    <w:rPr>
      <w:rFonts w:ascii="Calibri Light" w:hAnsi="Calibri Light" w:cs="Times New Roman"/>
      <w:b/>
      <w:bCs/>
      <w:kern w:val="28"/>
      <w:sz w:val="32"/>
      <w:szCs w:val="32"/>
    </w:rPr>
  </w:style>
  <w:style w:type="character" w:customStyle="1" w:styleId="161">
    <w:name w:val="正文缩进 Char"/>
    <w:link w:val="16"/>
    <w:qFormat/>
    <w:uiPriority w:val="0"/>
    <w:rPr>
      <w:sz w:val="24"/>
    </w:rPr>
  </w:style>
  <w:style w:type="character" w:customStyle="1" w:styleId="162">
    <w:name w:val="crowed11"/>
    <w:qFormat/>
    <w:uiPriority w:val="0"/>
    <w:rPr>
      <w:rFonts w:hint="default"/>
      <w:sz w:val="24"/>
    </w:rPr>
  </w:style>
  <w:style w:type="character" w:customStyle="1" w:styleId="163">
    <w:name w:val="title11"/>
    <w:qFormat/>
    <w:uiPriority w:val="0"/>
    <w:rPr>
      <w:b/>
      <w:bCs/>
      <w:color w:val="FFFFFF"/>
      <w:sz w:val="11"/>
      <w:szCs w:val="11"/>
    </w:rPr>
  </w:style>
  <w:style w:type="character" w:customStyle="1" w:styleId="164">
    <w:name w:val="纯文本 Char"/>
    <w:link w:val="34"/>
    <w:qFormat/>
    <w:uiPriority w:val="99"/>
    <w:rPr>
      <w:rFonts w:ascii="宋体" w:hAnsi="Courier New"/>
    </w:rPr>
  </w:style>
  <w:style w:type="character" w:customStyle="1" w:styleId="165">
    <w:name w:val="ss16"/>
    <w:qFormat/>
    <w:uiPriority w:val="0"/>
    <w:rPr>
      <w:rFonts w:hint="eastAsia" w:ascii="宋体" w:hAnsi="宋体" w:eastAsia="宋体"/>
      <w:color w:val="000000"/>
      <w:sz w:val="9"/>
      <w:szCs w:val="9"/>
    </w:rPr>
  </w:style>
  <w:style w:type="character" w:customStyle="1" w:styleId="166">
    <w:name w:val="Char Char7"/>
    <w:qFormat/>
    <w:uiPriority w:val="0"/>
    <w:rPr>
      <w:rFonts w:ascii="宋体" w:hAnsi="宋体" w:eastAsia="宋体"/>
      <w:kern w:val="2"/>
      <w:sz w:val="28"/>
    </w:rPr>
  </w:style>
  <w:style w:type="character" w:customStyle="1" w:styleId="167">
    <w:name w:val="Char Char5"/>
    <w:qFormat/>
    <w:uiPriority w:val="0"/>
    <w:rPr>
      <w:rFonts w:ascii="Arial" w:hAnsi="Arial" w:eastAsia="宋体"/>
      <w:b/>
      <w:smallCaps/>
      <w:kern w:val="28"/>
      <w:sz w:val="36"/>
      <w:lang w:val="en-US" w:eastAsia="en-US"/>
    </w:rPr>
  </w:style>
  <w:style w:type="character" w:customStyle="1" w:styleId="168">
    <w:name w:val="页脚 Char"/>
    <w:link w:val="40"/>
    <w:qFormat/>
    <w:uiPriority w:val="99"/>
    <w:rPr>
      <w:sz w:val="18"/>
    </w:rPr>
  </w:style>
  <w:style w:type="character" w:customStyle="1" w:styleId="169">
    <w:name w:val="尾注文本 Char"/>
    <w:link w:val="38"/>
    <w:qFormat/>
    <w:uiPriority w:val="0"/>
    <w:rPr>
      <w:rFonts w:ascii="Arial" w:hAnsi="Arial" w:cs="Arial"/>
      <w:szCs w:val="24"/>
      <w:lang w:eastAsia="en-US"/>
    </w:rPr>
  </w:style>
  <w:style w:type="character" w:customStyle="1" w:styleId="170">
    <w:name w:val="style21"/>
    <w:qFormat/>
    <w:uiPriority w:val="0"/>
    <w:rPr>
      <w:b/>
      <w:bCs/>
      <w:sz w:val="28"/>
      <w:szCs w:val="28"/>
    </w:rPr>
  </w:style>
  <w:style w:type="character" w:customStyle="1" w:styleId="171">
    <w:name w:val="标书正文:  0.74 厘米 Char1"/>
    <w:qFormat/>
    <w:uiPriority w:val="0"/>
    <w:rPr>
      <w:rFonts w:eastAsia="宋体"/>
      <w:kern w:val="2"/>
      <w:sz w:val="24"/>
      <w:lang w:val="en-US" w:eastAsia="zh-CN"/>
    </w:rPr>
  </w:style>
  <w:style w:type="character" w:customStyle="1" w:styleId="172">
    <w:name w:val="Char Char4"/>
    <w:qFormat/>
    <w:uiPriority w:val="0"/>
    <w:rPr>
      <w:rFonts w:eastAsia="宋体"/>
      <w:b/>
      <w:kern w:val="2"/>
      <w:sz w:val="21"/>
      <w:lang w:val="en-US" w:eastAsia="zh-CN"/>
    </w:rPr>
  </w:style>
  <w:style w:type="character" w:customStyle="1" w:styleId="173">
    <w:name w:val="style121"/>
    <w:qFormat/>
    <w:uiPriority w:val="0"/>
    <w:rPr>
      <w:rFonts w:hint="eastAsia" w:ascii="宋体" w:hAnsi="宋体" w:eastAsia="宋体"/>
      <w:sz w:val="18"/>
      <w:szCs w:val="18"/>
    </w:rPr>
  </w:style>
  <w:style w:type="character" w:customStyle="1" w:styleId="174">
    <w:name w:val="引用 Char1"/>
    <w:qFormat/>
    <w:uiPriority w:val="99"/>
    <w:rPr>
      <w:i/>
      <w:iCs/>
      <w:color w:val="404040"/>
      <w:kern w:val="2"/>
      <w:sz w:val="28"/>
    </w:rPr>
  </w:style>
  <w:style w:type="character" w:customStyle="1" w:styleId="175">
    <w:name w:val="明显引用 Char1"/>
    <w:qFormat/>
    <w:uiPriority w:val="99"/>
    <w:rPr>
      <w:i/>
      <w:iCs/>
      <w:color w:val="5B9BD5"/>
      <w:kern w:val="2"/>
      <w:sz w:val="28"/>
    </w:rPr>
  </w:style>
  <w:style w:type="character" w:customStyle="1" w:styleId="176">
    <w:name w:val="正文文本缩进 Char1"/>
    <w:basedOn w:val="67"/>
    <w:link w:val="24"/>
    <w:qFormat/>
    <w:uiPriority w:val="99"/>
    <w:rPr>
      <w:rFonts w:ascii="Times New Roman" w:hAnsi="Times New Roman" w:eastAsia="宋体" w:cs="Times New Roman"/>
      <w:sz w:val="28"/>
      <w:szCs w:val="20"/>
    </w:rPr>
  </w:style>
  <w:style w:type="character" w:customStyle="1" w:styleId="177">
    <w:name w:val="正文首行缩进 2 Char1"/>
    <w:basedOn w:val="176"/>
    <w:qFormat/>
    <w:uiPriority w:val="99"/>
    <w:rPr>
      <w:rFonts w:ascii="Times New Roman" w:hAnsi="Times New Roman" w:eastAsia="宋体" w:cs="Times New Roman"/>
      <w:sz w:val="28"/>
      <w:szCs w:val="20"/>
    </w:rPr>
  </w:style>
  <w:style w:type="character" w:customStyle="1" w:styleId="178">
    <w:name w:val="正文文本缩进 3 Char1"/>
    <w:basedOn w:val="67"/>
    <w:qFormat/>
    <w:uiPriority w:val="99"/>
    <w:rPr>
      <w:rFonts w:ascii="Times New Roman" w:hAnsi="Times New Roman" w:eastAsia="宋体" w:cs="Times New Roman"/>
      <w:sz w:val="16"/>
      <w:szCs w:val="16"/>
    </w:rPr>
  </w:style>
  <w:style w:type="character" w:customStyle="1" w:styleId="179">
    <w:name w:val="副标题 Char2"/>
    <w:basedOn w:val="67"/>
    <w:qFormat/>
    <w:uiPriority w:val="11"/>
    <w:rPr>
      <w:rFonts w:ascii="Calibri Light" w:hAnsi="Calibri Light" w:eastAsia="宋体" w:cs="宋体"/>
      <w:b/>
      <w:bCs/>
      <w:kern w:val="28"/>
      <w:sz w:val="32"/>
      <w:szCs w:val="32"/>
    </w:rPr>
  </w:style>
  <w:style w:type="paragraph" w:customStyle="1" w:styleId="18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2">
    <w:name w:val="页眉 Char1"/>
    <w:basedOn w:val="67"/>
    <w:qFormat/>
    <w:uiPriority w:val="99"/>
    <w:rPr>
      <w:rFonts w:ascii="Times New Roman" w:hAnsi="Times New Roman" w:eastAsia="宋体" w:cs="Times New Roman"/>
      <w:sz w:val="18"/>
      <w:szCs w:val="18"/>
    </w:rPr>
  </w:style>
  <w:style w:type="character" w:customStyle="1" w:styleId="183">
    <w:name w:val="标题 Char1"/>
    <w:basedOn w:val="67"/>
    <w:qFormat/>
    <w:uiPriority w:val="10"/>
    <w:rPr>
      <w:rFonts w:ascii="Calibri Light" w:hAnsi="Calibri Light" w:eastAsia="宋体" w:cs="宋体"/>
      <w:b/>
      <w:bCs/>
      <w:sz w:val="32"/>
      <w:szCs w:val="32"/>
    </w:rPr>
  </w:style>
  <w:style w:type="character" w:customStyle="1" w:styleId="184">
    <w:name w:val="正文文本 2 Char"/>
    <w:basedOn w:val="67"/>
    <w:link w:val="54"/>
    <w:qFormat/>
    <w:uiPriority w:val="0"/>
    <w:rPr>
      <w:rFonts w:ascii="Times New Roman" w:hAnsi="Times New Roman" w:eastAsia="宋体" w:cs="Times New Roman"/>
      <w:sz w:val="24"/>
      <w:szCs w:val="20"/>
    </w:rPr>
  </w:style>
  <w:style w:type="character" w:customStyle="1" w:styleId="185">
    <w:name w:val="日期 Char1"/>
    <w:basedOn w:val="67"/>
    <w:qFormat/>
    <w:uiPriority w:val="99"/>
    <w:rPr>
      <w:rFonts w:ascii="Times New Roman" w:hAnsi="Times New Roman" w:eastAsia="宋体" w:cs="Times New Roman"/>
      <w:sz w:val="28"/>
      <w:szCs w:val="20"/>
    </w:rPr>
  </w:style>
  <w:style w:type="paragraph" w:customStyle="1" w:styleId="186">
    <w:name w:val="正文字缩2字"/>
    <w:basedOn w:val="1"/>
    <w:qFormat/>
    <w:uiPriority w:val="0"/>
    <w:pPr>
      <w:spacing w:before="60" w:after="60" w:line="360" w:lineRule="auto"/>
      <w:ind w:left="200" w:leftChars="200" w:firstLine="200" w:firstLineChars="200"/>
    </w:pPr>
    <w:rPr>
      <w:sz w:val="24"/>
    </w:rPr>
  </w:style>
  <w:style w:type="character" w:customStyle="1" w:styleId="187">
    <w:name w:val="批注文字 Char1"/>
    <w:basedOn w:val="67"/>
    <w:link w:val="20"/>
    <w:qFormat/>
    <w:uiPriority w:val="99"/>
    <w:rPr>
      <w:rFonts w:ascii="Times New Roman" w:hAnsi="Times New Roman" w:eastAsia="宋体" w:cs="Times New Roman"/>
      <w:sz w:val="28"/>
      <w:szCs w:val="20"/>
    </w:rPr>
  </w:style>
  <w:style w:type="character" w:customStyle="1" w:styleId="188">
    <w:name w:val="批注主题 Char2"/>
    <w:basedOn w:val="187"/>
    <w:qFormat/>
    <w:uiPriority w:val="99"/>
    <w:rPr>
      <w:rFonts w:ascii="Times New Roman" w:hAnsi="Times New Roman" w:eastAsia="宋体" w:cs="Times New Roman"/>
      <w:b/>
      <w:bCs/>
      <w:sz w:val="28"/>
      <w:szCs w:val="20"/>
    </w:rPr>
  </w:style>
  <w:style w:type="character" w:customStyle="1" w:styleId="189">
    <w:name w:val="正文文本 Char1"/>
    <w:basedOn w:val="67"/>
    <w:qFormat/>
    <w:uiPriority w:val="99"/>
    <w:rPr>
      <w:rFonts w:ascii="Times New Roman" w:hAnsi="Times New Roman" w:eastAsia="宋体" w:cs="Times New Roman"/>
      <w:sz w:val="28"/>
      <w:szCs w:val="20"/>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character" w:customStyle="1" w:styleId="191">
    <w:name w:val="正文文本 3 Char1"/>
    <w:basedOn w:val="67"/>
    <w:qFormat/>
    <w:uiPriority w:val="99"/>
    <w:rPr>
      <w:rFonts w:ascii="Times New Roman" w:hAnsi="Times New Roman" w:eastAsia="宋体" w:cs="Times New Roman"/>
      <w:sz w:val="16"/>
      <w:szCs w:val="16"/>
    </w:rPr>
  </w:style>
  <w:style w:type="character" w:customStyle="1" w:styleId="192">
    <w:name w:val="文档结构图 Char1"/>
    <w:basedOn w:val="67"/>
    <w:qFormat/>
    <w:uiPriority w:val="99"/>
    <w:rPr>
      <w:rFonts w:ascii="Microsoft YaHei UI" w:hAnsi="Times New Roman" w:eastAsia="Microsoft YaHei UI" w:cs="Times New Roman"/>
      <w:sz w:val="18"/>
      <w:szCs w:val="18"/>
    </w:rPr>
  </w:style>
  <w:style w:type="paragraph" w:customStyle="1" w:styleId="193">
    <w:name w:val="表头样式"/>
    <w:basedOn w:val="1"/>
    <w:qFormat/>
    <w:uiPriority w:val="0"/>
    <w:pPr>
      <w:autoSpaceDE w:val="0"/>
      <w:autoSpaceDN w:val="0"/>
      <w:adjustRightInd w:val="0"/>
      <w:spacing w:line="360" w:lineRule="auto"/>
      <w:jc w:val="left"/>
    </w:pPr>
    <w:rPr>
      <w:b/>
      <w:kern w:val="0"/>
      <w:sz w:val="21"/>
    </w:rPr>
  </w:style>
  <w:style w:type="character" w:customStyle="1" w:styleId="194">
    <w:name w:val="纯文本 Char1"/>
    <w:basedOn w:val="67"/>
    <w:qFormat/>
    <w:uiPriority w:val="99"/>
    <w:rPr>
      <w:rFonts w:ascii="宋体" w:hAnsi="Courier New" w:eastAsia="宋体" w:cs="Courier New"/>
      <w:szCs w:val="21"/>
    </w:rPr>
  </w:style>
  <w:style w:type="character" w:customStyle="1" w:styleId="195">
    <w:name w:val="批注框文本 Char1"/>
    <w:basedOn w:val="67"/>
    <w:qFormat/>
    <w:uiPriority w:val="99"/>
    <w:rPr>
      <w:rFonts w:ascii="Times New Roman" w:hAnsi="Times New Roman" w:eastAsia="宋体" w:cs="Times New Roman"/>
      <w:sz w:val="18"/>
      <w:szCs w:val="18"/>
    </w:rPr>
  </w:style>
  <w:style w:type="paragraph" w:customStyle="1" w:styleId="196">
    <w:name w:val="WW-表格标题"/>
    <w:basedOn w:val="197"/>
    <w:qFormat/>
    <w:uiPriority w:val="0"/>
  </w:style>
  <w:style w:type="paragraph" w:customStyle="1" w:styleId="197">
    <w:name w:val="WW-表格内容"/>
    <w:basedOn w:val="1"/>
    <w:qFormat/>
    <w:uiPriority w:val="0"/>
    <w:pPr>
      <w:suppressLineNumbers/>
      <w:suppressAutoHyphens/>
    </w:pPr>
    <w:rPr>
      <w:rFonts w:ascii="Calibri" w:hAnsi="Calibri"/>
      <w:sz w:val="21"/>
      <w:szCs w:val="24"/>
    </w:rPr>
  </w:style>
  <w:style w:type="character" w:customStyle="1" w:styleId="198">
    <w:name w:val="正文文本缩进 2 Char1"/>
    <w:basedOn w:val="67"/>
    <w:qFormat/>
    <w:uiPriority w:val="99"/>
    <w:rPr>
      <w:rFonts w:ascii="Times New Roman" w:hAnsi="Times New Roman" w:eastAsia="宋体" w:cs="Times New Roman"/>
      <w:sz w:val="28"/>
      <w:szCs w:val="20"/>
    </w:rPr>
  </w:style>
  <w:style w:type="character" w:customStyle="1" w:styleId="199">
    <w:name w:val="正文首行缩进 Char"/>
    <w:basedOn w:val="189"/>
    <w:link w:val="63"/>
    <w:qFormat/>
    <w:uiPriority w:val="0"/>
    <w:rPr>
      <w:rFonts w:ascii="宋体" w:hAnsi="宋体" w:eastAsia="宋体" w:cs="Times New Roman"/>
      <w:sz w:val="24"/>
      <w:szCs w:val="20"/>
    </w:rPr>
  </w:style>
  <w:style w:type="paragraph" w:customStyle="1" w:styleId="200">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1">
    <w:name w:val="脚注文本 Char1"/>
    <w:basedOn w:val="67"/>
    <w:qFormat/>
    <w:uiPriority w:val="99"/>
    <w:rPr>
      <w:rFonts w:ascii="Times New Roman" w:hAnsi="Times New Roman" w:eastAsia="宋体" w:cs="Times New Roman"/>
      <w:sz w:val="18"/>
      <w:szCs w:val="18"/>
    </w:rPr>
  </w:style>
  <w:style w:type="character" w:customStyle="1" w:styleId="202">
    <w:name w:val="尾注文本 Char2"/>
    <w:basedOn w:val="67"/>
    <w:qFormat/>
    <w:uiPriority w:val="99"/>
    <w:rPr>
      <w:rFonts w:ascii="Times New Roman" w:hAnsi="Times New Roman" w:eastAsia="宋体" w:cs="Times New Roman"/>
      <w:sz w:val="28"/>
      <w:szCs w:val="20"/>
    </w:rPr>
  </w:style>
  <w:style w:type="character" w:customStyle="1" w:styleId="203">
    <w:name w:val="HTML 预设格式 Char2"/>
    <w:basedOn w:val="67"/>
    <w:qFormat/>
    <w:uiPriority w:val="99"/>
    <w:rPr>
      <w:rFonts w:ascii="Courier New" w:hAnsi="Courier New" w:eastAsia="宋体" w:cs="Courier New"/>
      <w:sz w:val="20"/>
      <w:szCs w:val="20"/>
    </w:rPr>
  </w:style>
  <w:style w:type="character" w:customStyle="1" w:styleId="204">
    <w:name w:val="页脚 Char1"/>
    <w:basedOn w:val="67"/>
    <w:qFormat/>
    <w:uiPriority w:val="99"/>
    <w:rPr>
      <w:rFonts w:ascii="Times New Roman" w:hAnsi="Times New Roman" w:eastAsia="宋体" w:cs="Times New Roman"/>
      <w:sz w:val="18"/>
      <w:szCs w:val="18"/>
    </w:rPr>
  </w:style>
  <w:style w:type="paragraph" w:customStyle="1" w:styleId="20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6">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07">
    <w:name w:val="表格标题"/>
    <w:basedOn w:val="208"/>
    <w:qFormat/>
    <w:uiPriority w:val="0"/>
  </w:style>
  <w:style w:type="paragraph" w:customStyle="1" w:styleId="208">
    <w:name w:val="表格内容"/>
    <w:basedOn w:val="1"/>
    <w:qFormat/>
    <w:uiPriority w:val="0"/>
    <w:pPr>
      <w:suppressLineNumbers/>
      <w:suppressAutoHyphens/>
    </w:pPr>
    <w:rPr>
      <w:rFonts w:ascii="Calibri" w:hAnsi="Calibri"/>
      <w:sz w:val="21"/>
      <w:szCs w:val="24"/>
    </w:rPr>
  </w:style>
  <w:style w:type="paragraph" w:customStyle="1" w:styleId="2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0">
    <w:name w:val="Title - Revision"/>
    <w:basedOn w:val="61"/>
    <w:qFormat/>
    <w:uiPriority w:val="0"/>
    <w:pPr>
      <w:spacing w:before="720"/>
    </w:pPr>
  </w:style>
  <w:style w:type="paragraph" w:customStyle="1" w:styleId="211">
    <w:name w:val="Char Char Char Char Char Char Char Char Char Char Char Char Char Char Char Char"/>
    <w:basedOn w:val="1"/>
    <w:qFormat/>
    <w:uiPriority w:val="0"/>
    <w:pPr>
      <w:tabs>
        <w:tab w:val="left" w:pos="360"/>
      </w:tabs>
    </w:pPr>
    <w:rPr>
      <w:sz w:val="24"/>
    </w:rPr>
  </w:style>
  <w:style w:type="paragraph" w:customStyle="1" w:styleId="21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1xz"/>
    <w:basedOn w:val="1"/>
    <w:qFormat/>
    <w:uiPriority w:val="0"/>
    <w:pPr>
      <w:tabs>
        <w:tab w:val="left" w:pos="1050"/>
        <w:tab w:val="right" w:leader="dot" w:pos="8296"/>
      </w:tabs>
    </w:pPr>
    <w:rPr>
      <w:caps/>
      <w:spacing w:val="20"/>
      <w:sz w:val="24"/>
    </w:rPr>
  </w:style>
  <w:style w:type="paragraph" w:customStyle="1" w:styleId="215">
    <w:name w:val="Char Char Char Char Char"/>
    <w:basedOn w:val="1"/>
    <w:qFormat/>
    <w:uiPriority w:val="0"/>
    <w:pPr>
      <w:tabs>
        <w:tab w:val="left" w:pos="425"/>
      </w:tabs>
      <w:ind w:left="1620" w:hanging="360"/>
    </w:pPr>
    <w:rPr>
      <w:rFonts w:ascii="Tahoma" w:hAnsi="Tahoma"/>
      <w:sz w:val="24"/>
    </w:rPr>
  </w:style>
  <w:style w:type="paragraph" w:customStyle="1" w:styleId="21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标准正文"/>
    <w:basedOn w:val="24"/>
    <w:qFormat/>
    <w:uiPriority w:val="0"/>
    <w:pPr>
      <w:spacing w:before="60" w:after="60" w:line="360" w:lineRule="auto"/>
      <w:ind w:left="0" w:leftChars="0" w:firstLine="482"/>
    </w:pPr>
    <w:rPr>
      <w:rFonts w:ascii="Arial" w:hAnsi="Arial"/>
      <w:sz w:val="24"/>
    </w:rPr>
  </w:style>
  <w:style w:type="paragraph" w:customStyle="1" w:styleId="219">
    <w:name w:val="样式 宋体 五号 行距: 单倍行距"/>
    <w:basedOn w:val="1"/>
    <w:qFormat/>
    <w:uiPriority w:val="0"/>
    <w:pPr>
      <w:adjustRightInd w:val="0"/>
      <w:jc w:val="left"/>
    </w:pPr>
    <w:rPr>
      <w:rFonts w:ascii="宋体" w:hAnsi="宋体"/>
      <w:kern w:val="0"/>
      <w:sz w:val="21"/>
    </w:rPr>
  </w:style>
  <w:style w:type="paragraph" w:customStyle="1" w:styleId="220">
    <w:name w:val="Char1 Char Char Char"/>
    <w:basedOn w:val="1"/>
    <w:qFormat/>
    <w:uiPriority w:val="0"/>
    <w:rPr>
      <w:rFonts w:ascii="Tahoma" w:hAnsi="Tahoma"/>
      <w:sz w:val="24"/>
    </w:rPr>
  </w:style>
  <w:style w:type="paragraph" w:customStyle="1" w:styleId="221">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2">
    <w:name w:val="段落正文"/>
    <w:basedOn w:val="1"/>
    <w:qFormat/>
    <w:uiPriority w:val="0"/>
    <w:pPr>
      <w:spacing w:before="156" w:beforeLines="50" w:line="360" w:lineRule="auto"/>
      <w:ind w:firstLine="200" w:firstLineChars="200"/>
    </w:pPr>
    <w:rPr>
      <w:spacing w:val="2"/>
      <w:sz w:val="24"/>
    </w:rPr>
  </w:style>
  <w:style w:type="paragraph" w:customStyle="1" w:styleId="223">
    <w:name w:val="Title - Date"/>
    <w:basedOn w:val="61"/>
    <w:next w:val="1"/>
    <w:qFormat/>
    <w:uiPriority w:val="0"/>
    <w:pPr>
      <w:spacing w:before="240" w:after="720"/>
    </w:pPr>
    <w:rPr>
      <w:sz w:val="28"/>
    </w:rPr>
  </w:style>
  <w:style w:type="paragraph" w:customStyle="1" w:styleId="224">
    <w:name w:val="00"/>
    <w:basedOn w:val="1"/>
    <w:qFormat/>
    <w:uiPriority w:val="0"/>
    <w:pPr>
      <w:autoSpaceDE w:val="0"/>
      <w:autoSpaceDN w:val="0"/>
      <w:adjustRightInd w:val="0"/>
      <w:jc w:val="left"/>
    </w:pPr>
    <w:rPr>
      <w:rFonts w:ascii="黑体" w:eastAsia="黑体"/>
      <w:b/>
      <w:kern w:val="0"/>
      <w:sz w:val="20"/>
    </w:rPr>
  </w:style>
  <w:style w:type="paragraph" w:customStyle="1" w:styleId="225">
    <w:name w:val="pa-27"/>
    <w:basedOn w:val="1"/>
    <w:qFormat/>
    <w:uiPriority w:val="0"/>
    <w:pPr>
      <w:widowControl/>
      <w:spacing w:line="360" w:lineRule="atLeast"/>
      <w:ind w:firstLine="420"/>
    </w:pPr>
    <w:rPr>
      <w:rFonts w:ascii="宋体" w:hAnsi="宋体" w:cs="宋体"/>
      <w:kern w:val="0"/>
      <w:sz w:val="24"/>
      <w:szCs w:val="24"/>
    </w:rPr>
  </w:style>
  <w:style w:type="paragraph" w:customStyle="1" w:styleId="226">
    <w:name w:val="正文4"/>
    <w:basedOn w:val="1"/>
    <w:qFormat/>
    <w:uiPriority w:val="0"/>
    <w:pPr>
      <w:tabs>
        <w:tab w:val="left" w:pos="1275"/>
      </w:tabs>
      <w:spacing w:before="60" w:after="60" w:line="360" w:lineRule="auto"/>
      <w:ind w:left="820" w:leftChars="400" w:hanging="705"/>
    </w:pPr>
    <w:rPr>
      <w:sz w:val="24"/>
    </w:rPr>
  </w:style>
  <w:style w:type="paragraph" w:customStyle="1" w:styleId="227">
    <w:name w:val="TOC Heading_628a5cda-1b0f-415f-b4e5-c21c51a3073f"/>
    <w:basedOn w:val="2"/>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8">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0">
    <w:name w:val="af"/>
    <w:basedOn w:val="1"/>
    <w:qFormat/>
    <w:uiPriority w:val="0"/>
    <w:pPr>
      <w:widowControl/>
      <w:spacing w:line="300" w:lineRule="atLeast"/>
      <w:jc w:val="left"/>
    </w:pPr>
    <w:rPr>
      <w:rFonts w:ascii="宋体" w:hAnsi="宋体"/>
      <w:kern w:val="0"/>
      <w:sz w:val="18"/>
    </w:rPr>
  </w:style>
  <w:style w:type="paragraph" w:customStyle="1" w:styleId="231">
    <w:name w:val="Table Contents"/>
    <w:basedOn w:val="23"/>
    <w:qFormat/>
    <w:uiPriority w:val="0"/>
    <w:pPr>
      <w:suppressAutoHyphens/>
      <w:jc w:val="left"/>
    </w:pPr>
    <w:rPr>
      <w:rFonts w:ascii="Times New Roman" w:eastAsia="Times New Roman"/>
      <w:kern w:val="0"/>
      <w:sz w:val="24"/>
    </w:rPr>
  </w:style>
  <w:style w:type="paragraph" w:customStyle="1" w:styleId="23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文本框样式1"/>
    <w:basedOn w:val="1"/>
    <w:qFormat/>
    <w:uiPriority w:val="0"/>
    <w:pPr>
      <w:adjustRightInd w:val="0"/>
      <w:snapToGrid w:val="0"/>
      <w:spacing w:before="60" w:line="180" w:lineRule="exact"/>
      <w:jc w:val="center"/>
    </w:pPr>
    <w:rPr>
      <w:sz w:val="21"/>
    </w:rPr>
  </w:style>
  <w:style w:type="paragraph" w:customStyle="1" w:styleId="235">
    <w:name w:val="正文表格"/>
    <w:basedOn w:val="1"/>
    <w:qFormat/>
    <w:uiPriority w:val="0"/>
    <w:pPr>
      <w:adjustRightInd w:val="0"/>
      <w:spacing w:before="40" w:after="40"/>
    </w:pPr>
    <w:rPr>
      <w:sz w:val="24"/>
    </w:rPr>
  </w:style>
  <w:style w:type="paragraph" w:customStyle="1" w:styleId="23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8">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9">
    <w:name w:val="样式1"/>
    <w:basedOn w:val="5"/>
    <w:qFormat/>
    <w:uiPriority w:val="0"/>
    <w:pPr>
      <w:tabs>
        <w:tab w:val="left" w:pos="720"/>
      </w:tabs>
      <w:spacing w:before="500" w:after="260" w:line="560" w:lineRule="atLeast"/>
      <w:ind w:left="420" w:hanging="420"/>
    </w:pPr>
  </w:style>
  <w:style w:type="paragraph" w:customStyle="1" w:styleId="240">
    <w:name w:val="Char Char Char Char Char Char Char"/>
    <w:basedOn w:val="18"/>
    <w:qFormat/>
    <w:uiPriority w:val="0"/>
    <w:rPr>
      <w:rFonts w:ascii="宋体" w:hAnsi="Tahoma"/>
    </w:rPr>
  </w:style>
  <w:style w:type="paragraph" w:customStyle="1" w:styleId="241">
    <w:name w:val="样式 正文文本缩进 + 左  0 字符"/>
    <w:basedOn w:val="1"/>
    <w:qFormat/>
    <w:uiPriority w:val="0"/>
    <w:pPr>
      <w:spacing w:line="360" w:lineRule="auto"/>
      <w:ind w:firstLine="250" w:firstLineChars="250"/>
    </w:pPr>
    <w:rPr>
      <w:rFonts w:cs="宋体"/>
      <w:sz w:val="24"/>
    </w:rPr>
  </w:style>
  <w:style w:type="paragraph" w:customStyle="1" w:styleId="242">
    <w:name w:val="首行缩进"/>
    <w:basedOn w:val="1"/>
    <w:qFormat/>
    <w:uiPriority w:val="0"/>
    <w:pPr>
      <w:numPr>
        <w:ilvl w:val="0"/>
        <w:numId w:val="7"/>
      </w:numPr>
      <w:spacing w:line="360" w:lineRule="auto"/>
    </w:pPr>
    <w:rPr>
      <w:rFonts w:eastAsia="仿宋_GB2312"/>
    </w:rPr>
  </w:style>
  <w:style w:type="paragraph" w:customStyle="1" w:styleId="243">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5">
    <w:name w:val="可研正文"/>
    <w:basedOn w:val="23"/>
    <w:qFormat/>
    <w:uiPriority w:val="0"/>
    <w:pPr>
      <w:adjustRightInd w:val="0"/>
      <w:snapToGrid w:val="0"/>
      <w:spacing w:line="440" w:lineRule="exact"/>
      <w:ind w:firstLine="567"/>
    </w:pPr>
    <w:rPr>
      <w:sz w:val="28"/>
    </w:rPr>
  </w:style>
  <w:style w:type="paragraph" w:customStyle="1" w:styleId="24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4">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6">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7">
    <w:name w:val="Note"/>
    <w:basedOn w:val="1"/>
    <w:qFormat/>
    <w:uiPriority w:val="0"/>
    <w:pPr>
      <w:pBdr>
        <w:top w:val="single" w:color="auto" w:sz="12" w:space="3"/>
        <w:bottom w:val="single" w:color="auto" w:sz="12" w:space="3"/>
      </w:pBdr>
      <w:spacing w:line="360" w:lineRule="auto"/>
    </w:pPr>
    <w:rPr>
      <w:sz w:val="24"/>
    </w:rPr>
  </w:style>
  <w:style w:type="paragraph" w:customStyle="1" w:styleId="25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列出段落1"/>
    <w:basedOn w:val="1"/>
    <w:qFormat/>
    <w:uiPriority w:val="34"/>
    <w:pPr>
      <w:ind w:firstLine="420" w:firstLineChars="200"/>
    </w:pPr>
    <w:rPr>
      <w:rFonts w:ascii="Calibri" w:hAnsi="Calibri"/>
      <w:sz w:val="21"/>
      <w:szCs w:val="24"/>
    </w:rPr>
  </w:style>
  <w:style w:type="paragraph" w:customStyle="1" w:styleId="261">
    <w:name w:val="样式 正文缩进正文（首行缩进两字）表正文正文非缩进特点标题4段1 + 首行缩进:  2 字符"/>
    <w:basedOn w:val="16"/>
    <w:qFormat/>
    <w:uiPriority w:val="0"/>
    <w:pPr>
      <w:ind w:firstLine="480" w:firstLineChars="200"/>
    </w:pPr>
  </w:style>
  <w:style w:type="paragraph" w:customStyle="1" w:styleId="262">
    <w:name w:val="Char Char 字元 字元 字元 Char Char Char Char"/>
    <w:basedOn w:val="1"/>
    <w:qFormat/>
    <w:uiPriority w:val="0"/>
    <w:pPr>
      <w:adjustRightInd w:val="0"/>
      <w:spacing w:line="360" w:lineRule="auto"/>
    </w:pPr>
    <w:rPr>
      <w:kern w:val="0"/>
      <w:sz w:val="24"/>
    </w:rPr>
  </w:style>
  <w:style w:type="paragraph" w:customStyle="1" w:styleId="263">
    <w:name w:val="表格"/>
    <w:basedOn w:val="1"/>
    <w:qFormat/>
    <w:uiPriority w:val="0"/>
    <w:pPr>
      <w:jc w:val="center"/>
      <w:textAlignment w:val="center"/>
    </w:pPr>
    <w:rPr>
      <w:rFonts w:ascii="华文细黑" w:hAnsi="华文细黑"/>
      <w:kern w:val="0"/>
      <w:sz w:val="21"/>
    </w:rPr>
  </w:style>
  <w:style w:type="paragraph" w:customStyle="1" w:styleId="26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7">
    <w:name w:val="标书正文:  0.74 厘米"/>
    <w:basedOn w:val="1"/>
    <w:qFormat/>
    <w:uiPriority w:val="0"/>
    <w:pPr>
      <w:snapToGrid w:val="0"/>
      <w:spacing w:line="360" w:lineRule="auto"/>
      <w:ind w:firstLine="420"/>
    </w:pPr>
    <w:rPr>
      <w:sz w:val="24"/>
    </w:rPr>
  </w:style>
  <w:style w:type="paragraph" w:customStyle="1" w:styleId="268">
    <w:name w:val="默认段落字体 Para Char Char Char Char Char Char Char"/>
    <w:basedOn w:val="1"/>
    <w:qFormat/>
    <w:uiPriority w:val="0"/>
    <w:rPr>
      <w:rFonts w:ascii="Tahoma" w:hAnsi="Tahoma"/>
      <w:sz w:val="24"/>
    </w:rPr>
  </w:style>
  <w:style w:type="paragraph" w:customStyle="1" w:styleId="269">
    <w:name w:val="Char"/>
    <w:basedOn w:val="1"/>
    <w:qFormat/>
    <w:uiPriority w:val="0"/>
    <w:pPr>
      <w:spacing w:line="240" w:lineRule="atLeast"/>
      <w:ind w:left="420" w:firstLine="420"/>
    </w:pPr>
    <w:rPr>
      <w:kern w:val="0"/>
      <w:sz w:val="21"/>
    </w:rPr>
  </w:style>
  <w:style w:type="paragraph" w:customStyle="1" w:styleId="2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1">
    <w:name w:val="一级条标题"/>
    <w:basedOn w:val="255"/>
    <w:next w:val="272"/>
    <w:qFormat/>
    <w:uiPriority w:val="0"/>
    <w:pPr>
      <w:numPr>
        <w:ilvl w:val="0"/>
        <w:numId w:val="0"/>
      </w:numPr>
      <w:spacing w:before="0" w:after="0"/>
      <w:ind w:left="525"/>
      <w:outlineLvl w:val="2"/>
    </w:pPr>
    <w:rPr>
      <w:sz w:val="21"/>
    </w:rPr>
  </w:style>
  <w:style w:type="paragraph" w:customStyle="1" w:styleId="2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3">
    <w:name w:val="p15"/>
    <w:basedOn w:val="1"/>
    <w:qFormat/>
    <w:uiPriority w:val="0"/>
    <w:pPr>
      <w:widowControl/>
      <w:spacing w:after="120"/>
    </w:pPr>
    <w:rPr>
      <w:rFonts w:ascii="Calibri" w:hAnsi="Calibri"/>
      <w:kern w:val="0"/>
      <w:sz w:val="21"/>
      <w:szCs w:val="21"/>
    </w:rPr>
  </w:style>
  <w:style w:type="paragraph" w:customStyle="1" w:styleId="274">
    <w:name w:val="表格文本"/>
    <w:qFormat/>
    <w:uiPriority w:val="0"/>
    <w:pPr>
      <w:tabs>
        <w:tab w:val="decimal" w:pos="0"/>
      </w:tabs>
    </w:pPr>
    <w:rPr>
      <w:rFonts w:ascii="Arial" w:hAnsi="Arial" w:eastAsia="宋体" w:cs="Times New Roman"/>
      <w:sz w:val="21"/>
      <w:lang w:val="en-US" w:eastAsia="zh-CN" w:bidi="ar-SA"/>
    </w:rPr>
  </w:style>
  <w:style w:type="paragraph" w:customStyle="1" w:styleId="275">
    <w:name w:val="样式2"/>
    <w:basedOn w:val="5"/>
    <w:qFormat/>
    <w:uiPriority w:val="0"/>
    <w:pPr>
      <w:numPr>
        <w:ilvl w:val="0"/>
        <w:numId w:val="9"/>
      </w:numPr>
      <w:spacing w:before="560" w:line="400" w:lineRule="exact"/>
      <w:jc w:val="center"/>
      <w:outlineLvl w:val="0"/>
    </w:pPr>
    <w:rPr>
      <w:b w:val="0"/>
      <w:sz w:val="44"/>
    </w:rPr>
  </w:style>
  <w:style w:type="paragraph" w:customStyle="1" w:styleId="27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首行缩进 1"/>
    <w:basedOn w:val="1"/>
    <w:qFormat/>
    <w:uiPriority w:val="0"/>
    <w:pPr>
      <w:spacing w:after="120" w:line="360" w:lineRule="auto"/>
      <w:ind w:firstLine="200" w:firstLineChars="200"/>
    </w:pPr>
    <w:rPr>
      <w:sz w:val="24"/>
    </w:rPr>
  </w:style>
  <w:style w:type="paragraph" w:customStyle="1" w:styleId="278">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0">
    <w:name w:val="二级列表"/>
    <w:basedOn w:val="222"/>
    <w:next w:val="222"/>
    <w:qFormat/>
    <w:uiPriority w:val="0"/>
    <w:pPr>
      <w:tabs>
        <w:tab w:val="left" w:pos="2120"/>
      </w:tabs>
      <w:ind w:firstLine="0" w:firstLineChars="0"/>
    </w:pPr>
    <w:rPr>
      <w:b/>
    </w:rPr>
  </w:style>
  <w:style w:type="paragraph" w:customStyle="1" w:styleId="2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2">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3">
    <w:name w:val="列表项目"/>
    <w:basedOn w:val="1"/>
    <w:qFormat/>
    <w:uiPriority w:val="0"/>
    <w:pPr>
      <w:tabs>
        <w:tab w:val="left" w:pos="420"/>
      </w:tabs>
      <w:spacing w:line="288" w:lineRule="auto"/>
      <w:ind w:left="840" w:leftChars="200" w:hanging="420" w:hangingChars="200"/>
    </w:pPr>
    <w:rPr>
      <w:sz w:val="21"/>
    </w:rPr>
  </w:style>
  <w:style w:type="paragraph" w:customStyle="1" w:styleId="284">
    <w:name w:val="Char Char14 Char Char"/>
    <w:basedOn w:val="1"/>
    <w:qFormat/>
    <w:uiPriority w:val="0"/>
    <w:rPr>
      <w:sz w:val="21"/>
      <w:szCs w:val="24"/>
    </w:rPr>
  </w:style>
  <w:style w:type="paragraph" w:customStyle="1" w:styleId="285">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7">
    <w:name w:val="表头文本"/>
    <w:qFormat/>
    <w:uiPriority w:val="0"/>
    <w:pPr>
      <w:jc w:val="center"/>
    </w:pPr>
    <w:rPr>
      <w:rFonts w:ascii="Arial" w:hAnsi="Arial" w:eastAsia="宋体" w:cs="Times New Roman"/>
      <w:b/>
      <w:sz w:val="21"/>
      <w:lang w:val="en-US" w:eastAsia="zh-CN" w:bidi="ar-SA"/>
    </w:rPr>
  </w:style>
  <w:style w:type="paragraph" w:customStyle="1" w:styleId="288">
    <w:name w:val="Char Char1 Char"/>
    <w:basedOn w:val="1"/>
    <w:qFormat/>
    <w:uiPriority w:val="0"/>
    <w:rPr>
      <w:rFonts w:ascii="Tahoma" w:hAnsi="Tahoma"/>
      <w:sz w:val="24"/>
      <w:szCs w:val="24"/>
    </w:rPr>
  </w:style>
  <w:style w:type="paragraph" w:customStyle="1" w:styleId="2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0">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1">
    <w:name w:val="表文字"/>
    <w:qFormat/>
    <w:uiPriority w:val="0"/>
    <w:rPr>
      <w:rFonts w:ascii="宋体" w:hAnsi="Times New Roman" w:eastAsia="宋体" w:cs="Times New Roman"/>
      <w:kern w:val="2"/>
      <w:lang w:val="en-US" w:eastAsia="zh-CN" w:bidi="ar-SA"/>
    </w:rPr>
  </w:style>
  <w:style w:type="paragraph" w:customStyle="1" w:styleId="2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3">
    <w:name w:val="关键词"/>
    <w:basedOn w:val="1"/>
    <w:next w:val="1"/>
    <w:qFormat/>
    <w:uiPriority w:val="0"/>
    <w:pPr>
      <w:spacing w:line="360" w:lineRule="auto"/>
    </w:pPr>
    <w:rPr>
      <w:rFonts w:eastAsia="黑体"/>
      <w:sz w:val="20"/>
    </w:rPr>
  </w:style>
  <w:style w:type="paragraph" w:customStyle="1" w:styleId="294">
    <w:name w:val="样式 标题 3 + (中文) 黑体 小四 非加粗 段前: 7.8 磅 段后: 0 磅 行距: 固定值 20 磅"/>
    <w:basedOn w:val="4"/>
    <w:next w:val="1"/>
    <w:qFormat/>
    <w:uiPriority w:val="0"/>
    <w:pPr>
      <w:spacing w:before="0" w:after="0" w:line="400" w:lineRule="exact"/>
    </w:pPr>
    <w:rPr>
      <w:rFonts w:ascii="Calibri" w:hAnsi="Calibri" w:eastAsia="黑体" w:cs="宋体"/>
      <w:b w:val="0"/>
    </w:rPr>
  </w:style>
  <w:style w:type="paragraph" w:customStyle="1" w:styleId="295">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297">
    <w:name w:val="1.正文"/>
    <w:basedOn w:val="1"/>
    <w:qFormat/>
    <w:uiPriority w:val="0"/>
    <w:pPr>
      <w:spacing w:line="360" w:lineRule="auto"/>
      <w:ind w:left="540" w:leftChars="225" w:firstLine="540" w:firstLineChars="225"/>
    </w:pPr>
    <w:rPr>
      <w:sz w:val="24"/>
    </w:rPr>
  </w:style>
  <w:style w:type="paragraph" w:customStyle="1" w:styleId="298">
    <w:name w:val="Char1 Char Char Char1"/>
    <w:basedOn w:val="1"/>
    <w:qFormat/>
    <w:uiPriority w:val="0"/>
    <w:rPr>
      <w:rFonts w:ascii="Tahoma" w:hAnsi="Tahoma"/>
      <w:sz w:val="30"/>
    </w:rPr>
  </w:style>
  <w:style w:type="paragraph" w:customStyle="1" w:styleId="29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30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3">
    <w:name w:val="p1"/>
    <w:basedOn w:val="1"/>
    <w:qFormat/>
    <w:uiPriority w:val="0"/>
    <w:pPr>
      <w:widowControl/>
      <w:jc w:val="left"/>
    </w:pPr>
    <w:rPr>
      <w:rFonts w:ascii="仿宋" w:hAnsi="仿宋" w:eastAsia="仿宋"/>
      <w:kern w:val="0"/>
      <w:sz w:val="21"/>
      <w:szCs w:val="21"/>
      <w:lang w:eastAsia="zh-TW"/>
    </w:rPr>
  </w:style>
  <w:style w:type="paragraph" w:customStyle="1" w:styleId="304">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5">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8">
    <w:name w:val="二级条标题"/>
    <w:basedOn w:val="271"/>
    <w:next w:val="272"/>
    <w:qFormat/>
    <w:uiPriority w:val="0"/>
    <w:pPr>
      <w:ind w:left="840"/>
      <w:outlineLvl w:val="3"/>
    </w:pPr>
  </w:style>
  <w:style w:type="paragraph" w:customStyle="1" w:styleId="30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0">
    <w:name w:val="列出段落21"/>
    <w:basedOn w:val="1"/>
    <w:qFormat/>
    <w:uiPriority w:val="34"/>
    <w:pPr>
      <w:spacing w:line="360" w:lineRule="auto"/>
      <w:ind w:firstLine="420" w:firstLineChars="200"/>
    </w:pPr>
    <w:rPr>
      <w:rFonts w:ascii="Calibri" w:hAnsi="Calibri"/>
      <w:sz w:val="21"/>
      <w:szCs w:val="22"/>
    </w:rPr>
  </w:style>
  <w:style w:type="paragraph" w:customStyle="1" w:styleId="311">
    <w:name w:val="正文（首行不缩进）"/>
    <w:basedOn w:val="1"/>
    <w:qFormat/>
    <w:uiPriority w:val="0"/>
    <w:pPr>
      <w:autoSpaceDE w:val="0"/>
      <w:autoSpaceDN w:val="0"/>
      <w:adjustRightInd w:val="0"/>
      <w:spacing w:line="360" w:lineRule="auto"/>
      <w:jc w:val="left"/>
    </w:pPr>
    <w:rPr>
      <w:kern w:val="0"/>
      <w:sz w:val="21"/>
    </w:rPr>
  </w:style>
  <w:style w:type="paragraph" w:customStyle="1" w:styleId="312">
    <w:name w:val="IN Feature"/>
    <w:next w:val="24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4">
    <w:name w:val="附录3"/>
    <w:basedOn w:val="1"/>
    <w:next w:val="1"/>
    <w:qFormat/>
    <w:uiPriority w:val="0"/>
    <w:pPr>
      <w:tabs>
        <w:tab w:val="left" w:pos="851"/>
      </w:tabs>
      <w:ind w:left="425" w:hanging="425"/>
      <w:outlineLvl w:val="2"/>
    </w:pPr>
    <w:rPr>
      <w:rFonts w:eastAsia="黑体"/>
      <w:b/>
      <w:sz w:val="32"/>
    </w:rPr>
  </w:style>
  <w:style w:type="paragraph" w:customStyle="1" w:styleId="315">
    <w:name w:val="Char2 Char Char Char Char Char Char"/>
    <w:basedOn w:val="1"/>
    <w:qFormat/>
    <w:uiPriority w:val="0"/>
    <w:rPr>
      <w:rFonts w:ascii="仿宋_GB2312"/>
      <w:b/>
      <w:sz w:val="30"/>
    </w:rPr>
  </w:style>
  <w:style w:type="character" w:customStyle="1" w:styleId="316">
    <w:name w:val="明显引用 Char2"/>
    <w:basedOn w:val="67"/>
    <w:qFormat/>
    <w:uiPriority w:val="30"/>
    <w:rPr>
      <w:rFonts w:ascii="Times New Roman" w:hAnsi="Times New Roman" w:eastAsia="宋体" w:cs="Times New Roman"/>
      <w:i/>
      <w:iCs/>
      <w:color w:val="5B9BD5"/>
      <w:sz w:val="28"/>
      <w:szCs w:val="20"/>
    </w:rPr>
  </w:style>
  <w:style w:type="paragraph" w:customStyle="1" w:styleId="3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8">
    <w:name w:val="图片文字"/>
    <w:basedOn w:val="1"/>
    <w:qFormat/>
    <w:uiPriority w:val="0"/>
    <w:pPr>
      <w:spacing w:line="240" w:lineRule="atLeast"/>
      <w:jc w:val="center"/>
    </w:pPr>
    <w:rPr>
      <w:sz w:val="21"/>
    </w:rPr>
  </w:style>
  <w:style w:type="paragraph" w:customStyle="1" w:styleId="319">
    <w:name w:val="Char2"/>
    <w:basedOn w:val="1"/>
    <w:qFormat/>
    <w:uiPriority w:val="0"/>
    <w:pPr>
      <w:spacing w:line="240" w:lineRule="atLeast"/>
      <w:ind w:left="420" w:firstLine="420"/>
    </w:pPr>
    <w:rPr>
      <w:kern w:val="0"/>
      <w:sz w:val="21"/>
    </w:rPr>
  </w:style>
  <w:style w:type="paragraph" w:customStyle="1" w:styleId="3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1">
    <w:name w:val="正文文本缩进 21"/>
    <w:basedOn w:val="1"/>
    <w:qFormat/>
    <w:uiPriority w:val="0"/>
    <w:pPr>
      <w:adjustRightInd w:val="0"/>
      <w:spacing w:before="120"/>
      <w:ind w:firstLine="420"/>
      <w:textAlignment w:val="baseline"/>
    </w:pPr>
    <w:rPr>
      <w:sz w:val="24"/>
    </w:rPr>
  </w:style>
  <w:style w:type="paragraph" w:customStyle="1" w:styleId="322">
    <w:name w:val="标题3——2"/>
    <w:basedOn w:val="4"/>
    <w:next w:val="63"/>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3">
    <w:name w:val="样式 首行缩进:  0.74 厘米"/>
    <w:basedOn w:val="1"/>
    <w:qFormat/>
    <w:uiPriority w:val="0"/>
    <w:pPr>
      <w:spacing w:line="360" w:lineRule="auto"/>
      <w:ind w:firstLine="420"/>
    </w:pPr>
    <w:rPr>
      <w:sz w:val="24"/>
    </w:rPr>
  </w:style>
  <w:style w:type="paragraph" w:customStyle="1" w:styleId="324">
    <w:name w:val="内容标题"/>
    <w:basedOn w:val="18"/>
    <w:qFormat/>
    <w:uiPriority w:val="0"/>
    <w:rPr>
      <w:rFonts w:ascii="Tahoma" w:hAnsi="Tahoma"/>
      <w:sz w:val="24"/>
    </w:rPr>
  </w:style>
  <w:style w:type="paragraph" w:customStyle="1" w:styleId="325">
    <w:name w:val="正文 + 三号"/>
    <w:basedOn w:val="1"/>
    <w:qFormat/>
    <w:uiPriority w:val="0"/>
    <w:rPr>
      <w:sz w:val="21"/>
    </w:rPr>
  </w:style>
  <w:style w:type="paragraph" w:customStyle="1" w:styleId="326">
    <w:name w:val="正文文本 21"/>
    <w:basedOn w:val="1"/>
    <w:qFormat/>
    <w:uiPriority w:val="0"/>
    <w:pPr>
      <w:adjustRightInd w:val="0"/>
      <w:spacing w:before="120" w:line="360" w:lineRule="auto"/>
      <w:ind w:firstLine="480"/>
      <w:textAlignment w:val="baseline"/>
    </w:pPr>
    <w:rPr>
      <w:sz w:val="24"/>
    </w:rPr>
  </w:style>
  <w:style w:type="paragraph" w:customStyle="1" w:styleId="327">
    <w:name w:val="标题无"/>
    <w:basedOn w:val="1"/>
    <w:qFormat/>
    <w:uiPriority w:val="0"/>
    <w:pPr>
      <w:spacing w:line="360" w:lineRule="auto"/>
    </w:pPr>
    <w:rPr>
      <w:sz w:val="24"/>
    </w:rPr>
  </w:style>
  <w:style w:type="paragraph" w:customStyle="1" w:styleId="328">
    <w:name w:val="摘要"/>
    <w:basedOn w:val="1"/>
    <w:next w:val="3"/>
    <w:qFormat/>
    <w:uiPriority w:val="0"/>
    <w:pPr>
      <w:spacing w:line="360" w:lineRule="auto"/>
    </w:pPr>
    <w:rPr>
      <w:rFonts w:eastAsia="黑体"/>
      <w:sz w:val="20"/>
    </w:rPr>
  </w:style>
  <w:style w:type="paragraph" w:customStyle="1" w:styleId="329">
    <w:name w:val="Char1"/>
    <w:basedOn w:val="1"/>
    <w:qFormat/>
    <w:uiPriority w:val="0"/>
    <w:rPr>
      <w:sz w:val="21"/>
    </w:rPr>
  </w:style>
  <w:style w:type="paragraph" w:customStyle="1" w:styleId="3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2">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没有缩进（为图形使用）"/>
    <w:basedOn w:val="1"/>
    <w:qFormat/>
    <w:uiPriority w:val="0"/>
    <w:pPr>
      <w:spacing w:before="120" w:after="120" w:line="360" w:lineRule="auto"/>
    </w:pPr>
    <w:rPr>
      <w:sz w:val="24"/>
    </w:rPr>
  </w:style>
  <w:style w:type="paragraph" w:customStyle="1" w:styleId="33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6">
    <w:name w:val="图例"/>
    <w:basedOn w:val="1"/>
    <w:qFormat/>
    <w:uiPriority w:val="0"/>
    <w:pPr>
      <w:spacing w:before="120" w:after="120" w:line="360" w:lineRule="auto"/>
      <w:jc w:val="center"/>
    </w:pPr>
    <w:rPr>
      <w:rFonts w:eastAsia="仿宋_GB2312"/>
      <w:b/>
      <w:sz w:val="24"/>
    </w:rPr>
  </w:style>
  <w:style w:type="paragraph" w:customStyle="1" w:styleId="33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9">
    <w:name w:val="Char Char Char Char Char Char Char1"/>
    <w:basedOn w:val="1"/>
    <w:qFormat/>
    <w:uiPriority w:val="0"/>
    <w:rPr>
      <w:rFonts w:ascii="Tahoma" w:hAnsi="Tahoma"/>
      <w:sz w:val="24"/>
    </w:rPr>
  </w:style>
  <w:style w:type="paragraph" w:customStyle="1" w:styleId="340">
    <w:name w:val="表格内文字"/>
    <w:basedOn w:val="34"/>
    <w:qFormat/>
    <w:uiPriority w:val="0"/>
    <w:pPr>
      <w:adjustRightInd w:val="0"/>
    </w:pPr>
    <w:rPr>
      <w:color w:val="000000"/>
      <w:lang w:val="en-GB"/>
    </w:rPr>
  </w:style>
  <w:style w:type="paragraph" w:customStyle="1" w:styleId="341">
    <w:name w:val="正文1"/>
    <w:basedOn w:val="1"/>
    <w:qFormat/>
    <w:uiPriority w:val="0"/>
    <w:pPr>
      <w:spacing w:line="300" w:lineRule="auto"/>
      <w:ind w:firstLine="200" w:firstLineChars="200"/>
    </w:pPr>
    <w:rPr>
      <w:sz w:val="24"/>
    </w:rPr>
  </w:style>
  <w:style w:type="paragraph" w:customStyle="1" w:styleId="3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3">
    <w:name w:val="默认段落字体 Para Char Char Char Char Char Char Char Char Char1 Char Char Char Char"/>
    <w:basedOn w:val="1"/>
    <w:qFormat/>
    <w:uiPriority w:val="0"/>
    <w:rPr>
      <w:rFonts w:ascii="Tahoma" w:hAnsi="Tahoma"/>
      <w:sz w:val="24"/>
    </w:rPr>
  </w:style>
  <w:style w:type="paragraph" w:customStyle="1" w:styleId="344">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5">
    <w:name w:val="样式 行距: 1.5 倍行距1"/>
    <w:basedOn w:val="1"/>
    <w:qFormat/>
    <w:uiPriority w:val="0"/>
    <w:pPr>
      <w:snapToGrid w:val="0"/>
    </w:pPr>
    <w:rPr>
      <w:sz w:val="21"/>
    </w:rPr>
  </w:style>
  <w:style w:type="paragraph" w:customStyle="1" w:styleId="346">
    <w:name w:val="样式4"/>
    <w:basedOn w:val="5"/>
    <w:qFormat/>
    <w:uiPriority w:val="0"/>
    <w:pPr>
      <w:adjustRightInd w:val="0"/>
      <w:snapToGrid w:val="0"/>
    </w:pPr>
  </w:style>
  <w:style w:type="paragraph" w:customStyle="1" w:styleId="3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8">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9">
    <w:name w:val="引用 Char2"/>
    <w:basedOn w:val="67"/>
    <w:qFormat/>
    <w:uiPriority w:val="29"/>
    <w:rPr>
      <w:rFonts w:ascii="Times New Roman" w:hAnsi="Times New Roman" w:eastAsia="宋体" w:cs="Times New Roman"/>
      <w:i/>
      <w:iCs/>
      <w:color w:val="3F3F3F"/>
      <w:sz w:val="28"/>
      <w:szCs w:val="20"/>
    </w:rPr>
  </w:style>
  <w:style w:type="paragraph" w:customStyle="1" w:styleId="3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2">
    <w:name w:val="文本1"/>
    <w:basedOn w:val="1"/>
    <w:qFormat/>
    <w:uiPriority w:val="0"/>
    <w:pPr>
      <w:adjustRightInd w:val="0"/>
      <w:spacing w:line="312" w:lineRule="atLeast"/>
      <w:jc w:val="center"/>
      <w:textAlignment w:val="baseline"/>
    </w:pPr>
    <w:rPr>
      <w:kern w:val="0"/>
      <w:sz w:val="18"/>
    </w:rPr>
  </w:style>
  <w:style w:type="paragraph" w:customStyle="1" w:styleId="3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5">
    <w:name w:val="Char Char Char"/>
    <w:basedOn w:val="1"/>
    <w:qFormat/>
    <w:uiPriority w:val="0"/>
    <w:rPr>
      <w:rFonts w:ascii="Tahoma" w:hAnsi="Tahoma"/>
      <w:sz w:val="24"/>
    </w:rPr>
  </w:style>
  <w:style w:type="paragraph" w:customStyle="1" w:styleId="356">
    <w:name w:val="自定样式1"/>
    <w:basedOn w:val="1"/>
    <w:qFormat/>
    <w:uiPriority w:val="0"/>
    <w:pPr>
      <w:suppressAutoHyphens/>
      <w:jc w:val="center"/>
    </w:pPr>
    <w:rPr>
      <w:rFonts w:ascii="宋体" w:hAnsi="宋体"/>
      <w:color w:val="000000"/>
      <w:sz w:val="18"/>
      <w:szCs w:val="24"/>
    </w:rPr>
  </w:style>
  <w:style w:type="paragraph" w:customStyle="1" w:styleId="35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35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9">
    <w:name w:val="样式 标题 1 + 黑体 三号 非加粗 居中 段前: 6 磅 段后: 6 磅 行距: 固定值 20 磅"/>
    <w:basedOn w:val="2"/>
    <w:qFormat/>
    <w:uiPriority w:val="0"/>
    <w:pPr>
      <w:keepLines/>
      <w:snapToGrid/>
      <w:spacing w:before="120" w:after="120" w:line="400" w:lineRule="exact"/>
      <w:jc w:val="center"/>
    </w:pPr>
    <w:rPr>
      <w:rFonts w:ascii="黑体" w:hAnsi="黑体" w:eastAsia="黑体" w:cs="宋体"/>
      <w:kern w:val="44"/>
      <w:sz w:val="32"/>
    </w:rPr>
  </w:style>
  <w:style w:type="paragraph" w:customStyle="1" w:styleId="360">
    <w:name w:val="简单回函地址"/>
    <w:basedOn w:val="1"/>
    <w:qFormat/>
    <w:uiPriority w:val="0"/>
    <w:pPr>
      <w:adjustRightInd w:val="0"/>
      <w:snapToGrid w:val="0"/>
      <w:spacing w:line="360" w:lineRule="auto"/>
    </w:pPr>
    <w:rPr>
      <w:sz w:val="24"/>
    </w:rPr>
  </w:style>
  <w:style w:type="paragraph" w:customStyle="1" w:styleId="36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2">
    <w:name w:val="Style Heading 3h3Heading 3 - oldLevel 3 HeadH3level_3PIM 3se..."/>
    <w:basedOn w:val="4"/>
    <w:qFormat/>
    <w:uiPriority w:val="0"/>
    <w:pPr>
      <w:numPr>
        <w:ilvl w:val="0"/>
        <w:numId w:val="12"/>
      </w:numPr>
      <w:tabs>
        <w:tab w:val="left" w:pos="709"/>
      </w:tabs>
    </w:pPr>
  </w:style>
  <w:style w:type="paragraph" w:customStyle="1" w:styleId="363">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4">
    <w:name w:val="编号正文"/>
    <w:basedOn w:val="335"/>
    <w:qFormat/>
    <w:uiPriority w:val="0"/>
    <w:pPr>
      <w:snapToGrid/>
      <w:spacing w:line="360" w:lineRule="auto"/>
      <w:ind w:left="1407" w:hanging="1047"/>
      <w:jc w:val="left"/>
    </w:pPr>
    <w:rPr>
      <w:rFonts w:eastAsia="仿宋_GB2312"/>
    </w:rPr>
  </w:style>
  <w:style w:type="paragraph" w:customStyle="1" w:styleId="365">
    <w:name w:val="标书正文1"/>
    <w:basedOn w:val="1"/>
    <w:qFormat/>
    <w:uiPriority w:val="0"/>
    <w:pPr>
      <w:spacing w:line="520" w:lineRule="exact"/>
      <w:ind w:firstLine="640" w:firstLineChars="200"/>
    </w:pPr>
  </w:style>
  <w:style w:type="paragraph" w:customStyle="1" w:styleId="366">
    <w:name w:val="无间隔1"/>
    <w:qFormat/>
    <w:uiPriority w:val="1"/>
    <w:pPr>
      <w:jc w:val="both"/>
    </w:pPr>
    <w:rPr>
      <w:rFonts w:ascii="Times New Roman" w:hAnsi="Times New Roman" w:eastAsia="Times New Roman" w:cs="Times New Roman"/>
      <w:lang w:val="en-US" w:eastAsia="zh-CN" w:bidi="ar-SA"/>
    </w:rPr>
  </w:style>
  <w:style w:type="paragraph" w:customStyle="1" w:styleId="367">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8">
    <w:name w:val="招标节"/>
    <w:basedOn w:val="1"/>
    <w:next w:val="1"/>
    <w:link w:val="372"/>
    <w:qFormat/>
    <w:uiPriority w:val="0"/>
    <w:pPr>
      <w:spacing w:before="156" w:beforeLines="50" w:after="156" w:afterLines="50"/>
      <w:outlineLvl w:val="1"/>
    </w:pPr>
    <w:rPr>
      <w:rFonts w:ascii="宋体" w:hAnsi="宋体"/>
      <w:b/>
      <w:sz w:val="24"/>
    </w:rPr>
  </w:style>
  <w:style w:type="paragraph" w:styleId="369">
    <w:name w:val="List Paragraph"/>
    <w:basedOn w:val="1"/>
    <w:qFormat/>
    <w:uiPriority w:val="99"/>
    <w:pPr>
      <w:ind w:firstLine="420" w:firstLineChars="200"/>
    </w:pPr>
  </w:style>
  <w:style w:type="character" w:customStyle="1" w:styleId="370">
    <w:name w:val="招标正文 Char"/>
    <w:basedOn w:val="67"/>
    <w:link w:val="371"/>
    <w:qFormat/>
    <w:uiPriority w:val="0"/>
    <w:rPr>
      <w:rFonts w:ascii="宋体" w:hAnsi="宋体"/>
      <w:kern w:val="2"/>
      <w:sz w:val="21"/>
      <w:szCs w:val="21"/>
    </w:rPr>
  </w:style>
  <w:style w:type="paragraph" w:customStyle="1" w:styleId="371">
    <w:name w:val="招标正文"/>
    <w:basedOn w:val="1"/>
    <w:link w:val="370"/>
    <w:qFormat/>
    <w:uiPriority w:val="0"/>
    <w:pPr>
      <w:spacing w:line="300" w:lineRule="auto"/>
      <w:ind w:firstLine="420" w:firstLineChars="200"/>
    </w:pPr>
    <w:rPr>
      <w:rFonts w:ascii="宋体" w:hAnsi="宋体"/>
      <w:sz w:val="21"/>
      <w:szCs w:val="21"/>
    </w:rPr>
  </w:style>
  <w:style w:type="character" w:customStyle="1" w:styleId="372">
    <w:name w:val="招标节 Char"/>
    <w:basedOn w:val="67"/>
    <w:link w:val="368"/>
    <w:qFormat/>
    <w:uiPriority w:val="0"/>
    <w:rPr>
      <w:rFonts w:ascii="宋体" w:hAnsi="宋体"/>
      <w:b/>
      <w:kern w:val="2"/>
      <w:sz w:val="24"/>
    </w:rPr>
  </w:style>
  <w:style w:type="character" w:customStyle="1" w:styleId="373">
    <w:name w:val="小标题 Char"/>
    <w:basedOn w:val="370"/>
    <w:link w:val="374"/>
    <w:qFormat/>
    <w:uiPriority w:val="0"/>
    <w:rPr>
      <w:rFonts w:ascii="宋体" w:hAnsi="宋体"/>
      <w:kern w:val="2"/>
      <w:sz w:val="21"/>
      <w:szCs w:val="21"/>
    </w:rPr>
  </w:style>
  <w:style w:type="paragraph" w:customStyle="1" w:styleId="374">
    <w:name w:val="小标题"/>
    <w:basedOn w:val="371"/>
    <w:next w:val="371"/>
    <w:link w:val="373"/>
    <w:qFormat/>
    <w:uiPriority w:val="0"/>
    <w:pPr>
      <w:outlineLvl w:val="2"/>
    </w:pPr>
  </w:style>
  <w:style w:type="character" w:customStyle="1" w:styleId="375">
    <w:name w:val="招标章 Char"/>
    <w:basedOn w:val="67"/>
    <w:link w:val="376"/>
    <w:qFormat/>
    <w:uiPriority w:val="0"/>
    <w:rPr>
      <w:rFonts w:eastAsia="黑体"/>
      <w:b/>
      <w:kern w:val="2"/>
      <w:sz w:val="32"/>
      <w:szCs w:val="24"/>
    </w:rPr>
  </w:style>
  <w:style w:type="paragraph" w:customStyle="1" w:styleId="376">
    <w:name w:val="招标章"/>
    <w:basedOn w:val="1"/>
    <w:link w:val="375"/>
    <w:qFormat/>
    <w:uiPriority w:val="0"/>
    <w:pPr>
      <w:spacing w:line="360" w:lineRule="auto"/>
      <w:jc w:val="center"/>
      <w:outlineLvl w:val="0"/>
    </w:pPr>
    <w:rPr>
      <w:rFonts w:eastAsia="黑体"/>
      <w:b/>
      <w:sz w:val="32"/>
      <w:szCs w:val="24"/>
    </w:rPr>
  </w:style>
  <w:style w:type="paragraph" w:customStyle="1" w:styleId="377">
    <w:name w:val="标准节"/>
    <w:basedOn w:val="368"/>
    <w:qFormat/>
    <w:uiPriority w:val="0"/>
    <w:pPr>
      <w:jc w:val="center"/>
    </w:pPr>
    <w:rPr>
      <w:rFonts w:ascii="Times New Roman" w:hAnsi="Times New Roman"/>
      <w:sz w:val="30"/>
      <w:szCs w:val="32"/>
    </w:rPr>
  </w:style>
  <w:style w:type="paragraph" w:customStyle="1" w:styleId="378">
    <w:name w:val="附件"/>
    <w:basedOn w:val="368"/>
    <w:next w:val="1"/>
    <w:qFormat/>
    <w:uiPriority w:val="0"/>
    <w:pPr>
      <w:spacing w:before="0" w:beforeLines="0" w:after="0" w:afterLines="0"/>
    </w:pPr>
    <w:rPr>
      <w:rFonts w:ascii="Times New Roman" w:hAnsi="Times New Roman" w:eastAsia="黑体"/>
      <w:szCs w:val="28"/>
    </w:rPr>
  </w:style>
  <w:style w:type="paragraph" w:customStyle="1" w:styleId="379">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1">
    <w:name w:val="16"/>
    <w:qFormat/>
    <w:uiPriority w:val="0"/>
    <w:rPr>
      <w:rFonts w:hint="eastAsia" w:ascii="宋体" w:hAnsi="宋体" w:eastAsia="Times New Roman"/>
      <w:spacing w:val="0"/>
      <w:sz w:val="20"/>
      <w:szCs w:val="20"/>
      <w:shd w:val="clear" w:color="auto" w:fill="FFFFFF"/>
    </w:rPr>
  </w:style>
  <w:style w:type="paragraph" w:customStyle="1" w:styleId="382">
    <w:name w:val="No Spacing"/>
    <w:basedOn w:val="1"/>
    <w:qFormat/>
    <w:uiPriority w:val="1"/>
    <w:pPr>
      <w:spacing w:line="400" w:lineRule="exact"/>
    </w:pPr>
    <w:rPr>
      <w:sz w:val="24"/>
      <w:szCs w:val="20"/>
    </w:rPr>
  </w:style>
  <w:style w:type="character" w:customStyle="1" w:styleId="383">
    <w:name w:val="NormalCharacter"/>
    <w:semiHidden/>
    <w:qFormat/>
    <w:uiPriority w:val="0"/>
  </w:style>
  <w:style w:type="paragraph" w:customStyle="1" w:styleId="384">
    <w:name w:val="标题 5（有编号）（绿盟科技）"/>
    <w:basedOn w:val="1"/>
    <w:next w:val="385"/>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7">
    <w:name w:val="正文（缩进）"/>
    <w:basedOn w:val="1"/>
    <w:qFormat/>
    <w:uiPriority w:val="0"/>
    <w:pPr>
      <w:spacing w:line="594" w:lineRule="exact"/>
      <w:ind w:firstLine="482"/>
    </w:pPr>
    <w:rPr>
      <w:rFonts w:eastAsia="方正仿宋_GBK"/>
      <w:sz w:val="32"/>
    </w:rPr>
  </w:style>
  <w:style w:type="paragraph" w:customStyle="1" w:styleId="388">
    <w:name w:val="WPSOffice手动目录 1"/>
    <w:qFormat/>
    <w:uiPriority w:val="0"/>
    <w:pPr>
      <w:ind w:leftChars="0"/>
    </w:pPr>
    <w:rPr>
      <w:rFonts w:ascii="Times New Roman" w:hAnsi="Times New Roman" w:eastAsia="宋体" w:cs="Times New Roman"/>
      <w:sz w:val="20"/>
      <w:szCs w:val="20"/>
    </w:rPr>
  </w:style>
  <w:style w:type="paragraph" w:customStyle="1" w:styleId="389">
    <w:name w:val="WPSOffice手动目录 2"/>
    <w:qFormat/>
    <w:uiPriority w:val="0"/>
    <w:pPr>
      <w:ind w:leftChars="200"/>
    </w:pPr>
    <w:rPr>
      <w:rFonts w:ascii="Times New Roman" w:hAnsi="Times New Roman" w:eastAsia="宋体" w:cs="Times New Roman"/>
      <w:sz w:val="20"/>
      <w:szCs w:val="20"/>
    </w:rPr>
  </w:style>
  <w:style w:type="paragraph" w:customStyle="1" w:styleId="39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142</Pages>
  <Words>21314</Words>
  <Characters>22308</Characters>
  <Lines>261</Lines>
  <Paragraphs>73</Paragraphs>
  <TotalTime>10</TotalTime>
  <ScaleCrop>false</ScaleCrop>
  <LinksUpToDate>false</LinksUpToDate>
  <CharactersWithSpaces>23478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谢宝宝</cp:lastModifiedBy>
  <cp:lastPrinted>2026-05-22T03:40:00Z</cp:lastPrinted>
  <dcterms:modified xsi:type="dcterms:W3CDTF">2026-05-25T01:33:13Z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C6B20B7841204CB0BF97B96098A075FD_13</vt:lpwstr>
  </property>
  <property fmtid="{D5CDD505-2E9C-101B-9397-08002B2CF9AE}" pid="4" name="KSOTemplateDocerSaveRecord">
    <vt:lpwstr>eyJoZGlkIjoiMjUzMzAxNTBhNWUzZGE4YmE4MWI4M2E1MTMzNzAyYzkiLCJ1c2VySWQiOiI1MjIxOTAzNjgifQ==</vt:lpwstr>
  </property>
</Properties>
</file>