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4F73FF">
      <w:pPr>
        <w:rPr>
          <w:color w:val="000000" w:themeColor="text1"/>
          <w:highlight w:val="none"/>
          <w14:textFill>
            <w14:solidFill>
              <w14:schemeClr w14:val="tx1"/>
            </w14:solidFill>
          </w14:textFill>
        </w:rPr>
      </w:pPr>
      <w:bookmarkStart w:id="0" w:name="_Toc370384617"/>
      <w:bookmarkStart w:id="1" w:name="_Toc338941623"/>
      <w:bookmarkStart w:id="2" w:name="_Toc419974233"/>
    </w:p>
    <w:p w14:paraId="37F7AEC0">
      <w:pPr>
        <w:pStyle w:val="41"/>
        <w:rPr>
          <w:color w:val="000000" w:themeColor="text1"/>
          <w:highlight w:val="none"/>
          <w14:textFill>
            <w14:solidFill>
              <w14:schemeClr w14:val="tx1"/>
            </w14:solidFill>
          </w14:textFill>
        </w:rPr>
      </w:pPr>
    </w:p>
    <w:p w14:paraId="561800B8">
      <w:pPr>
        <w:pStyle w:val="11"/>
        <w:rPr>
          <w:rFonts w:ascii="宋体" w:hAnsi="宋体" w:eastAsia="宋体" w:cs="宋体"/>
          <w:color w:val="000000" w:themeColor="text1"/>
          <w:spacing w:val="80"/>
          <w:sz w:val="72"/>
          <w:szCs w:val="72"/>
          <w:highlight w:val="none"/>
          <w14:textFill>
            <w14:solidFill>
              <w14:schemeClr w14:val="tx1"/>
            </w14:solidFill>
          </w14:textFill>
        </w:rPr>
      </w:pPr>
    </w:p>
    <w:p w14:paraId="0170E18E">
      <w:pPr>
        <w:pStyle w:val="11"/>
        <w:rPr>
          <w:rFonts w:ascii="宋体" w:hAnsi="宋体" w:eastAsia="宋体" w:cs="宋体"/>
          <w:color w:val="000000" w:themeColor="text1"/>
          <w:spacing w:val="80"/>
          <w:sz w:val="72"/>
          <w:szCs w:val="72"/>
          <w:highlight w:val="none"/>
          <w14:textFill>
            <w14:solidFill>
              <w14:schemeClr w14:val="tx1"/>
            </w14:solidFill>
          </w14:textFill>
        </w:rPr>
      </w:pPr>
    </w:p>
    <w:p w14:paraId="34026B5E">
      <w:pPr>
        <w:pStyle w:val="386"/>
        <w:ind w:left="0" w:firstLine="1680" w:firstLineChars="200"/>
        <w:jc w:val="both"/>
        <w:rPr>
          <w:rStyle w:val="66"/>
          <w:rFonts w:ascii="宋体" w:hAnsi="宋体" w:eastAsia="宋体" w:cs="宋体"/>
          <w:color w:val="000000" w:themeColor="text1"/>
          <w:sz w:val="84"/>
          <w:szCs w:val="84"/>
          <w:highlight w:val="none"/>
          <w14:textFill>
            <w14:solidFill>
              <w14:schemeClr w14:val="tx1"/>
            </w14:solidFill>
          </w14:textFill>
        </w:rPr>
      </w:pPr>
      <w:bookmarkStart w:id="3" w:name="_Toc7496"/>
      <w:bookmarkStart w:id="4" w:name="_Toc86934184"/>
      <w:bookmarkStart w:id="5" w:name="_Toc12114"/>
      <w:bookmarkStart w:id="6" w:name="_Toc23298"/>
      <w:r>
        <w:rPr>
          <w:rStyle w:val="66"/>
          <w:rFonts w:hint="eastAsia" w:ascii="宋体" w:hAnsi="宋体" w:eastAsia="宋体" w:cs="宋体"/>
          <w:color w:val="000000" w:themeColor="text1"/>
          <w:sz w:val="84"/>
          <w:szCs w:val="84"/>
          <w:highlight w:val="none"/>
          <w14:textFill>
            <w14:solidFill>
              <w14:schemeClr w14:val="tx1"/>
            </w14:solidFill>
          </w14:textFill>
        </w:rPr>
        <w:t>竞争性比选文件</w:t>
      </w:r>
      <w:bookmarkEnd w:id="3"/>
      <w:bookmarkEnd w:id="4"/>
    </w:p>
    <w:bookmarkEnd w:id="5"/>
    <w:bookmarkEnd w:id="6"/>
    <w:p w14:paraId="39D1EF34">
      <w:pPr>
        <w:spacing w:line="700" w:lineRule="exact"/>
        <w:ind w:left="630" w:leftChars="300"/>
        <w:rPr>
          <w:rFonts w:ascii="宋体" w:hAnsi="宋体" w:cs="宋体"/>
          <w:color w:val="000000" w:themeColor="text1"/>
          <w:sz w:val="36"/>
          <w:szCs w:val="30"/>
          <w:highlight w:val="none"/>
          <w14:textFill>
            <w14:solidFill>
              <w14:schemeClr w14:val="tx1"/>
            </w14:solidFill>
          </w14:textFill>
        </w:rPr>
      </w:pPr>
      <w:r>
        <w:rPr>
          <w:rFonts w:hint="eastAsia" w:ascii="宋体" w:hAnsi="宋体" w:cs="宋体"/>
          <w:color w:val="000000" w:themeColor="text1"/>
          <w:sz w:val="36"/>
          <w:szCs w:val="30"/>
          <w:highlight w:val="none"/>
          <w14:textFill>
            <w14:solidFill>
              <w14:schemeClr w14:val="tx1"/>
            </w14:solidFill>
          </w14:textFill>
        </w:rPr>
        <w:t xml:space="preserve">  </w:t>
      </w:r>
    </w:p>
    <w:p w14:paraId="66424401">
      <w:pPr>
        <w:spacing w:line="360" w:lineRule="auto"/>
        <w:jc w:val="center"/>
        <w:rPr>
          <w:rFonts w:ascii="宋体" w:hAnsi="宋体" w:cs="宋体"/>
          <w:b/>
          <w:bCs/>
          <w:color w:val="000000" w:themeColor="text1"/>
          <w:w w:val="90"/>
          <w:sz w:val="36"/>
          <w:szCs w:val="36"/>
          <w:highlight w:val="none"/>
          <w14:textFill>
            <w14:solidFill>
              <w14:schemeClr w14:val="tx1"/>
            </w14:solidFill>
          </w14:textFill>
        </w:rPr>
      </w:pPr>
    </w:p>
    <w:p w14:paraId="6B306740">
      <w:pPr>
        <w:pStyle w:val="11"/>
        <w:rPr>
          <w:rFonts w:ascii="宋体" w:hAnsi="宋体" w:eastAsia="宋体" w:cs="宋体"/>
          <w:b/>
          <w:bCs/>
          <w:color w:val="000000" w:themeColor="text1"/>
          <w:w w:val="90"/>
          <w:sz w:val="36"/>
          <w:szCs w:val="36"/>
          <w:highlight w:val="none"/>
          <w14:textFill>
            <w14:solidFill>
              <w14:schemeClr w14:val="tx1"/>
            </w14:solidFill>
          </w14:textFill>
        </w:rPr>
      </w:pPr>
    </w:p>
    <w:p w14:paraId="5066A721">
      <w:pPr>
        <w:pStyle w:val="11"/>
        <w:rPr>
          <w:rFonts w:ascii="宋体" w:hAnsi="宋体" w:eastAsia="宋体" w:cs="宋体"/>
          <w:b/>
          <w:bCs/>
          <w:color w:val="000000" w:themeColor="text1"/>
          <w:w w:val="90"/>
          <w:sz w:val="36"/>
          <w:szCs w:val="36"/>
          <w:highlight w:val="none"/>
          <w14:textFill>
            <w14:solidFill>
              <w14:schemeClr w14:val="tx1"/>
            </w14:solidFill>
          </w14:textFill>
        </w:rPr>
      </w:pPr>
    </w:p>
    <w:p w14:paraId="6FA04B93">
      <w:pPr>
        <w:spacing w:line="360" w:lineRule="auto"/>
        <w:rPr>
          <w:rFonts w:hint="eastAsia" w:ascii="宋体" w:hAnsi="宋体" w:eastAsia="宋体" w:cs="宋体"/>
          <w:b/>
          <w:bCs/>
          <w:color w:val="000000" w:themeColor="text1"/>
          <w:w w:val="90"/>
          <w:sz w:val="36"/>
          <w:szCs w:val="36"/>
          <w:highlight w:val="none"/>
          <w:lang w:val="en-US"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项目名称：</w:t>
      </w:r>
      <w:r>
        <w:rPr>
          <w:rFonts w:hint="eastAsia" w:ascii="宋体" w:hAnsi="宋体" w:cs="宋体"/>
          <w:b/>
          <w:bCs/>
          <w:color w:val="000000" w:themeColor="text1"/>
          <w:w w:val="90"/>
          <w:sz w:val="36"/>
          <w:szCs w:val="36"/>
          <w:highlight w:val="none"/>
          <w:lang w:eastAsia="zh-CN"/>
          <w14:textFill>
            <w14:solidFill>
              <w14:schemeClr w14:val="tx1"/>
            </w14:solidFill>
          </w14:textFill>
        </w:rPr>
        <w:t>重庆市大足区龙腾御锦24、25栋外墙维修工程（第二次）</w:t>
      </w:r>
    </w:p>
    <w:p w14:paraId="62B1E90B">
      <w:pPr>
        <w:spacing w:line="360" w:lineRule="auto"/>
        <w:rPr>
          <w:rFonts w:hint="default" w:ascii="宋体" w:hAnsi="宋体" w:cs="宋体"/>
          <w:b/>
          <w:bCs/>
          <w:color w:val="000000" w:themeColor="text1"/>
          <w:w w:val="90"/>
          <w:sz w:val="36"/>
          <w:szCs w:val="36"/>
          <w:highlight w:val="none"/>
          <w:lang w:val="en-US"/>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项</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目 </w:t>
      </w:r>
      <w:r>
        <w:rPr>
          <w:rFonts w:hint="eastAsia" w:ascii="宋体" w:hAnsi="宋体" w:cs="宋体"/>
          <w:b/>
          <w:bCs/>
          <w:color w:val="000000" w:themeColor="text1"/>
          <w:w w:val="90"/>
          <w:sz w:val="36"/>
          <w:szCs w:val="36"/>
          <w:highlight w:val="none"/>
          <w14:textFill>
            <w14:solidFill>
              <w14:schemeClr w14:val="tx1"/>
            </w14:solidFill>
          </w14:textFill>
        </w:rPr>
        <w:t>号：</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CQY</w:t>
      </w:r>
      <w:r>
        <w:rPr>
          <w:rFonts w:hint="default"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S</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【2025】第</w:t>
      </w:r>
      <w:r>
        <w:rPr>
          <w:rFonts w:hint="default"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4</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0</w:t>
      </w:r>
      <w:r>
        <w:rPr>
          <w:rFonts w:hint="default"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36"/>
          <w:szCs w:val="30"/>
          <w:highlight w:val="none"/>
          <w:lang w:val="en-US" w:eastAsia="zh-CN" w:bidi="ar-SA"/>
          <w14:textFill>
            <w14:solidFill>
              <w14:schemeClr w14:val="tx1"/>
            </w14:solidFill>
          </w14:textFill>
        </w:rPr>
        <w:t>号</w:t>
      </w:r>
    </w:p>
    <w:p w14:paraId="5E88B292">
      <w:pPr>
        <w:spacing w:line="360" w:lineRule="auto"/>
        <w:rPr>
          <w:rFonts w:hint="eastAsia" w:ascii="宋体" w:hAnsi="宋体" w:cs="宋体"/>
          <w:b/>
          <w:bCs/>
          <w:color w:val="000000" w:themeColor="text1"/>
          <w:w w:val="90"/>
          <w:sz w:val="36"/>
          <w:szCs w:val="36"/>
          <w:highlight w:val="none"/>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比</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w:t>
      </w:r>
      <w:r>
        <w:rPr>
          <w:rFonts w:hint="eastAsia" w:ascii="宋体" w:hAnsi="宋体" w:cs="宋体"/>
          <w:b/>
          <w:bCs/>
          <w:color w:val="000000" w:themeColor="text1"/>
          <w:w w:val="90"/>
          <w:sz w:val="36"/>
          <w:szCs w:val="36"/>
          <w:highlight w:val="none"/>
          <w14:textFill>
            <w14:solidFill>
              <w14:schemeClr w14:val="tx1"/>
            </w14:solidFill>
          </w14:textFill>
        </w:rPr>
        <w:t>选</w:t>
      </w:r>
      <w:r>
        <w:rPr>
          <w:rFonts w:hint="eastAsia" w:ascii="宋体" w:hAnsi="宋体" w:cs="宋体"/>
          <w:b/>
          <w:bCs/>
          <w:color w:val="000000" w:themeColor="text1"/>
          <w:w w:val="90"/>
          <w:sz w:val="36"/>
          <w:szCs w:val="36"/>
          <w:highlight w:val="none"/>
          <w:lang w:val="en-US" w:eastAsia="zh-CN"/>
          <w14:textFill>
            <w14:solidFill>
              <w14:schemeClr w14:val="tx1"/>
            </w14:solidFill>
          </w14:textFill>
        </w:rPr>
        <w:t xml:space="preserve"> </w:t>
      </w:r>
      <w:r>
        <w:rPr>
          <w:rFonts w:hint="eastAsia" w:ascii="宋体" w:hAnsi="宋体" w:cs="宋体"/>
          <w:b/>
          <w:bCs/>
          <w:color w:val="000000" w:themeColor="text1"/>
          <w:w w:val="90"/>
          <w:sz w:val="36"/>
          <w:szCs w:val="36"/>
          <w:highlight w:val="none"/>
          <w14:textFill>
            <w14:solidFill>
              <w14:schemeClr w14:val="tx1"/>
            </w14:solidFill>
          </w14:textFill>
        </w:rPr>
        <w:t>人：</w:t>
      </w:r>
      <w:r>
        <w:rPr>
          <w:rFonts w:hint="default" w:ascii="宋体" w:hAnsi="宋体" w:cs="宋体"/>
          <w:b/>
          <w:bCs/>
          <w:color w:val="000000" w:themeColor="text1"/>
          <w:w w:val="90"/>
          <w:sz w:val="36"/>
          <w:szCs w:val="36"/>
          <w:highlight w:val="none"/>
          <w:lang w:val="en-US" w:eastAsia="zh-CN"/>
          <w14:textFill>
            <w14:solidFill>
              <w14:schemeClr w14:val="tx1"/>
            </w14:solidFill>
          </w14:textFill>
        </w:rPr>
        <w:t>重庆互悦物业管理有限公司龙腾御锦分公司</w:t>
      </w:r>
      <w:r>
        <w:rPr>
          <w:rFonts w:hint="eastAsia" w:ascii="宋体" w:hAnsi="宋体" w:cs="宋体"/>
          <w:b/>
          <w:bCs/>
          <w:color w:val="000000" w:themeColor="text1"/>
          <w:w w:val="90"/>
          <w:sz w:val="36"/>
          <w:szCs w:val="36"/>
          <w:highlight w:val="none"/>
          <w14:textFill>
            <w14:solidFill>
              <w14:schemeClr w14:val="tx1"/>
            </w14:solidFill>
          </w14:textFill>
        </w:rPr>
        <w:t>（盖章）</w:t>
      </w:r>
    </w:p>
    <w:p w14:paraId="2FEFCA0B">
      <w:pPr>
        <w:spacing w:line="360" w:lineRule="auto"/>
        <w:rPr>
          <w:rFonts w:hint="eastAsia" w:ascii="宋体" w:hAnsi="宋体" w:eastAsia="宋体" w:cs="宋体"/>
          <w:b/>
          <w:bCs/>
          <w:color w:val="000000" w:themeColor="text1"/>
          <w:w w:val="90"/>
          <w:sz w:val="36"/>
          <w:szCs w:val="36"/>
          <w:highlight w:val="none"/>
          <w:lang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代理机构：</w:t>
      </w:r>
      <w:r>
        <w:rPr>
          <w:rFonts w:hint="default" w:ascii="宋体" w:hAnsi="宋体" w:cs="宋体"/>
          <w:b/>
          <w:bCs/>
          <w:color w:val="000000" w:themeColor="text1"/>
          <w:w w:val="90"/>
          <w:sz w:val="36"/>
          <w:szCs w:val="36"/>
          <w:highlight w:val="none"/>
          <w:lang w:val="en-US" w:eastAsia="zh-CN"/>
          <w14:textFill>
            <w14:solidFill>
              <w14:schemeClr w14:val="tx1"/>
            </w14:solidFill>
          </w14:textFill>
        </w:rPr>
        <w:t>重庆耀顺工程管理咨询有限公司</w:t>
      </w:r>
      <w:r>
        <w:rPr>
          <w:rFonts w:hint="eastAsia" w:ascii="宋体" w:hAnsi="宋体" w:cs="宋体"/>
          <w:b/>
          <w:bCs/>
          <w:color w:val="000000" w:themeColor="text1"/>
          <w:w w:val="90"/>
          <w:sz w:val="36"/>
          <w:szCs w:val="36"/>
          <w:highlight w:val="none"/>
          <w:lang w:eastAsia="zh-CN"/>
          <w14:textFill>
            <w14:solidFill>
              <w14:schemeClr w14:val="tx1"/>
            </w14:solidFill>
          </w14:textFill>
        </w:rPr>
        <w:t>（</w:t>
      </w:r>
      <w:r>
        <w:rPr>
          <w:rFonts w:hint="eastAsia" w:ascii="宋体" w:hAnsi="宋体" w:cs="宋体"/>
          <w:b/>
          <w:bCs/>
          <w:color w:val="000000" w:themeColor="text1"/>
          <w:w w:val="90"/>
          <w:sz w:val="36"/>
          <w:szCs w:val="36"/>
          <w:highlight w:val="none"/>
          <w:lang w:val="en-US" w:eastAsia="zh-CN"/>
          <w14:textFill>
            <w14:solidFill>
              <w14:schemeClr w14:val="tx1"/>
            </w14:solidFill>
          </w14:textFill>
        </w:rPr>
        <w:t>盖章</w:t>
      </w:r>
      <w:r>
        <w:rPr>
          <w:rFonts w:hint="eastAsia" w:ascii="宋体" w:hAnsi="宋体" w:cs="宋体"/>
          <w:b/>
          <w:bCs/>
          <w:color w:val="000000" w:themeColor="text1"/>
          <w:w w:val="90"/>
          <w:sz w:val="36"/>
          <w:szCs w:val="36"/>
          <w:highlight w:val="none"/>
          <w:lang w:eastAsia="zh-CN"/>
          <w14:textFill>
            <w14:solidFill>
              <w14:schemeClr w14:val="tx1"/>
            </w14:solidFill>
          </w14:textFill>
        </w:rPr>
        <w:t>）</w:t>
      </w:r>
    </w:p>
    <w:p w14:paraId="63CF6FCA">
      <w:pPr>
        <w:spacing w:line="360" w:lineRule="auto"/>
        <w:rPr>
          <w:rFonts w:hint="eastAsia" w:ascii="宋体" w:hAnsi="宋体" w:eastAsia="宋体" w:cs="宋体"/>
          <w:b/>
          <w:bCs/>
          <w:color w:val="000000" w:themeColor="text1"/>
          <w:w w:val="90"/>
          <w:sz w:val="36"/>
          <w:szCs w:val="36"/>
          <w:highlight w:val="none"/>
          <w:lang w:eastAsia="zh-CN"/>
          <w14:textFill>
            <w14:solidFill>
              <w14:schemeClr w14:val="tx1"/>
            </w14:solidFill>
          </w14:textFill>
        </w:rPr>
      </w:pPr>
      <w:r>
        <w:rPr>
          <w:rFonts w:hint="eastAsia" w:ascii="宋体" w:hAnsi="宋体" w:cs="宋体"/>
          <w:b/>
          <w:bCs/>
          <w:color w:val="000000" w:themeColor="text1"/>
          <w:w w:val="90"/>
          <w:sz w:val="36"/>
          <w:szCs w:val="36"/>
          <w:highlight w:val="none"/>
          <w14:textFill>
            <w14:solidFill>
              <w14:schemeClr w14:val="tx1"/>
            </w14:solidFill>
          </w14:textFill>
        </w:rPr>
        <w:t xml:space="preserve">   </w:t>
      </w:r>
    </w:p>
    <w:p w14:paraId="56F02507">
      <w:pPr>
        <w:spacing w:line="560" w:lineRule="exact"/>
        <w:rPr>
          <w:rFonts w:ascii="宋体" w:hAnsi="宋体" w:cs="宋体"/>
          <w:b/>
          <w:bCs/>
          <w:color w:val="000000" w:themeColor="text1"/>
          <w:sz w:val="44"/>
          <w:szCs w:val="44"/>
          <w:highlight w:val="none"/>
          <w14:textFill>
            <w14:solidFill>
              <w14:schemeClr w14:val="tx1"/>
            </w14:solidFill>
          </w14:textFill>
        </w:rPr>
      </w:pPr>
    </w:p>
    <w:p w14:paraId="0A0C5F08">
      <w:pPr>
        <w:pStyle w:val="81"/>
        <w:tabs>
          <w:tab w:val="right" w:leader="dot" w:pos="9033"/>
        </w:tabs>
        <w:spacing w:after="240" w:afterLines="100" w:line="36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202</w:t>
      </w:r>
      <w:r>
        <w:rPr>
          <w:rFonts w:hint="eastAsia" w:ascii="宋体" w:hAnsi="宋体" w:cs="宋体"/>
          <w:b/>
          <w:bCs/>
          <w:color w:val="000000" w:themeColor="text1"/>
          <w:sz w:val="44"/>
          <w:szCs w:val="44"/>
          <w:highlight w:val="none"/>
          <w:lang w:val="en-US" w:eastAsia="zh-CN"/>
          <w14:textFill>
            <w14:solidFill>
              <w14:schemeClr w14:val="tx1"/>
            </w14:solidFill>
          </w14:textFill>
        </w:rPr>
        <w:t>5</w:t>
      </w:r>
      <w:r>
        <w:rPr>
          <w:rFonts w:hint="eastAsia" w:ascii="宋体" w:hAnsi="宋体" w:cs="宋体"/>
          <w:b/>
          <w:bCs/>
          <w:color w:val="000000" w:themeColor="text1"/>
          <w:sz w:val="44"/>
          <w:szCs w:val="44"/>
          <w:highlight w:val="none"/>
          <w14:textFill>
            <w14:solidFill>
              <w14:schemeClr w14:val="tx1"/>
            </w14:solidFill>
          </w14:textFill>
        </w:rPr>
        <w:t>年</w:t>
      </w:r>
      <w:r>
        <w:rPr>
          <w:rFonts w:hint="eastAsia" w:ascii="宋体" w:hAnsi="宋体" w:cs="宋体"/>
          <w:b/>
          <w:bCs/>
          <w:color w:val="000000" w:themeColor="text1"/>
          <w:sz w:val="44"/>
          <w:szCs w:val="44"/>
          <w:highlight w:val="none"/>
          <w:lang w:val="en-US" w:eastAsia="zh-CN"/>
          <w14:textFill>
            <w14:solidFill>
              <w14:schemeClr w14:val="tx1"/>
            </w14:solidFill>
          </w14:textFill>
        </w:rPr>
        <w:t>06</w:t>
      </w:r>
      <w:r>
        <w:rPr>
          <w:rFonts w:hint="eastAsia" w:ascii="宋体" w:hAnsi="宋体" w:cs="宋体"/>
          <w:b/>
          <w:bCs/>
          <w:color w:val="000000" w:themeColor="text1"/>
          <w:sz w:val="44"/>
          <w:szCs w:val="44"/>
          <w:highlight w:val="none"/>
          <w14:textFill>
            <w14:solidFill>
              <w14:schemeClr w14:val="tx1"/>
            </w14:solidFill>
          </w14:textFill>
        </w:rPr>
        <w:t>月</w:t>
      </w:r>
    </w:p>
    <w:p w14:paraId="7221A185">
      <w:pPr>
        <w:pStyle w:val="81"/>
        <w:tabs>
          <w:tab w:val="right" w:leader="dot" w:pos="9033"/>
        </w:tabs>
        <w:spacing w:after="240" w:afterLines="100" w:line="360" w:lineRule="auto"/>
        <w:jc w:val="center"/>
        <w:rPr>
          <w:rFonts w:ascii="宋体" w:hAnsi="宋体" w:cs="宋体"/>
          <w:b/>
          <w:bCs/>
          <w:color w:val="000000" w:themeColor="text1"/>
          <w:sz w:val="40"/>
          <w:szCs w:val="40"/>
          <w:highlight w:val="none"/>
          <w14:textFill>
            <w14:solidFill>
              <w14:schemeClr w14:val="tx1"/>
            </w14:solidFill>
          </w14:textFill>
        </w:rPr>
      </w:pPr>
    </w:p>
    <w:p w14:paraId="0E01BF5E">
      <w:pPr>
        <w:pStyle w:val="41"/>
        <w:jc w:val="both"/>
        <w:rPr>
          <w:rFonts w:ascii="宋体" w:hAnsi="宋体" w:cs="宋体"/>
          <w:color w:val="000000" w:themeColor="text1"/>
          <w:highlight w:val="none"/>
          <w14:textFill>
            <w14:solidFill>
              <w14:schemeClr w14:val="tx1"/>
            </w14:solidFill>
          </w14:textFill>
        </w:rPr>
      </w:pPr>
    </w:p>
    <w:p w14:paraId="78A446B0">
      <w:pPr>
        <w:rPr>
          <w:rFonts w:ascii="宋体" w:hAnsi="宋体" w:cs="宋体"/>
          <w:color w:val="000000" w:themeColor="text1"/>
          <w:highlight w:val="none"/>
          <w14:textFill>
            <w14:solidFill>
              <w14:schemeClr w14:val="tx1"/>
            </w14:solidFill>
          </w14:textFill>
        </w:rPr>
      </w:pPr>
    </w:p>
    <w:p w14:paraId="7D4EE7E7">
      <w:pPr>
        <w:pStyle w:val="16"/>
        <w:rPr>
          <w:rFonts w:ascii="宋体" w:hAnsi="宋体" w:cs="宋体"/>
          <w:color w:val="000000" w:themeColor="text1"/>
          <w:highlight w:val="none"/>
          <w14:textFill>
            <w14:solidFill>
              <w14:schemeClr w14:val="tx1"/>
            </w14:solidFill>
          </w14:textFill>
        </w:rPr>
      </w:pPr>
    </w:p>
    <w:p w14:paraId="351270F1">
      <w:pPr>
        <w:pStyle w:val="81"/>
        <w:tabs>
          <w:tab w:val="right" w:leader="dot" w:pos="9033"/>
        </w:tabs>
        <w:spacing w:after="240" w:afterLines="100" w:line="380" w:lineRule="exact"/>
        <w:ind w:left="0"/>
        <w:jc w:val="both"/>
        <w:rPr>
          <w:rFonts w:ascii="宋体" w:hAnsi="宋体" w:cs="宋体"/>
          <w:b/>
          <w:color w:val="000000" w:themeColor="text1"/>
          <w:sz w:val="28"/>
          <w:szCs w:val="28"/>
          <w:highlight w:val="none"/>
          <w14:textFill>
            <w14:solidFill>
              <w14:schemeClr w14:val="tx1"/>
            </w14:solidFill>
          </w14:textFill>
        </w:rPr>
        <w:sectPr>
          <w:pgSz w:w="11907" w:h="16840"/>
          <w:pgMar w:top="1440" w:right="1080" w:bottom="1440" w:left="1080" w:header="851" w:footer="992" w:gutter="0"/>
          <w:pgNumType w:fmt="numberInDash"/>
          <w:cols w:space="720" w:num="1"/>
          <w:docGrid w:linePitch="380" w:charSpace="-5735"/>
        </w:sectPr>
      </w:pPr>
    </w:p>
    <w:p w14:paraId="26B8A632">
      <w:pPr>
        <w:pStyle w:val="81"/>
        <w:tabs>
          <w:tab w:val="right" w:leader="dot" w:pos="9033"/>
        </w:tabs>
        <w:spacing w:after="240" w:afterLines="100" w:line="240" w:lineRule="auto"/>
        <w:ind w:left="0"/>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目录</w:t>
      </w:r>
    </w:p>
    <w:p w14:paraId="1D271CB8">
      <w:pPr>
        <w:pStyle w:val="30"/>
        <w:tabs>
          <w:tab w:val="right" w:leader="dot" w:pos="9412"/>
        </w:tabs>
      </w:pPr>
      <w:bookmarkStart w:id="7" w:name="_Toc419974468"/>
      <w:r>
        <w:rPr>
          <w:rFonts w:hint="eastAsia" w:ascii="宋体" w:hAnsi="宋体" w:cs="宋体"/>
          <w:b/>
          <w:color w:val="000000" w:themeColor="text1"/>
          <w:sz w:val="28"/>
          <w:szCs w:val="28"/>
          <w:highlight w:val="none"/>
          <w14:textFill>
            <w14:solidFill>
              <w14:schemeClr w14:val="tx1"/>
            </w14:solidFill>
          </w14:textFill>
        </w:rPr>
        <w:fldChar w:fldCharType="begin"/>
      </w:r>
      <w:r>
        <w:rPr>
          <w:rFonts w:hint="eastAsia" w:ascii="宋体" w:hAnsi="宋体" w:cs="宋体"/>
          <w:b/>
          <w:color w:val="000000" w:themeColor="text1"/>
          <w:sz w:val="28"/>
          <w:szCs w:val="28"/>
          <w:highlight w:val="none"/>
          <w14:textFill>
            <w14:solidFill>
              <w14:schemeClr w14:val="tx1"/>
            </w14:solidFill>
          </w14:textFill>
        </w:rPr>
        <w:instrText xml:space="preserve"> TOC \o "1-3" \h \z \u </w:instrText>
      </w:r>
      <w:r>
        <w:rPr>
          <w:rFonts w:hint="eastAsia" w:ascii="宋体" w:hAnsi="宋体" w:cs="宋体"/>
          <w:b/>
          <w:color w:val="000000" w:themeColor="text1"/>
          <w:sz w:val="28"/>
          <w:szCs w:val="28"/>
          <w:highlight w:val="none"/>
          <w14:textFill>
            <w14:solidFill>
              <w14:schemeClr w14:val="tx1"/>
            </w14:solidFill>
          </w14:textFill>
        </w:rPr>
        <w:fldChar w:fldCharType="separate"/>
      </w:r>
    </w:p>
    <w:p w14:paraId="36A5F6DC">
      <w:pPr>
        <w:pStyle w:val="21"/>
        <w:tabs>
          <w:tab w:val="right" w:leader="dot" w:pos="9412"/>
        </w:tabs>
        <w:rPr>
          <w:rFonts w:hint="eastAsia" w:eastAsia="宋体"/>
          <w:lang w:val="en-US" w:eastAsia="zh-CN"/>
        </w:rPr>
      </w:pPr>
      <w:r>
        <w:rPr>
          <w:rFonts w:hint="eastAsia"/>
          <w:lang w:eastAsia="zh-CN"/>
        </w:rPr>
        <w:t>第一章比选公告</w:t>
      </w:r>
      <w:r>
        <w:tab/>
      </w:r>
      <w:r>
        <w:rPr>
          <w:rFonts w:hint="eastAsia"/>
          <w:lang w:val="en-US" w:eastAsia="zh-CN"/>
        </w:rPr>
        <w:t>3</w:t>
      </w:r>
    </w:p>
    <w:p w14:paraId="73CF68BF">
      <w:pPr>
        <w:pStyle w:val="21"/>
        <w:tabs>
          <w:tab w:val="right" w:leader="dot" w:pos="9412"/>
        </w:tabs>
      </w:pP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szCs w:val="28"/>
          <w:highlight w:val="none"/>
        </w:rPr>
        <w:instrText xml:space="preserve"> HYPERLINK \l _Toc15544 </w:instrText>
      </w:r>
      <w:r>
        <w:rPr>
          <w:rFonts w:hint="eastAsia" w:ascii="宋体" w:hAnsi="宋体" w:cs="宋体"/>
          <w:szCs w:val="28"/>
          <w:highlight w:val="none"/>
        </w:rPr>
        <w:fldChar w:fldCharType="separate"/>
      </w:r>
      <w:r>
        <w:rPr>
          <w:rFonts w:hint="eastAsia" w:ascii="宋体" w:hAnsi="宋体" w:eastAsia="宋体" w:cs="宋体"/>
          <w:highlight w:val="none"/>
        </w:rPr>
        <w:t>第二章 投标人须知</w:t>
      </w:r>
      <w:r>
        <w:tab/>
      </w:r>
      <w:r>
        <w:fldChar w:fldCharType="begin"/>
      </w:r>
      <w:r>
        <w:instrText xml:space="preserve"> PAGEREF _Toc15544 \h </w:instrText>
      </w:r>
      <w:r>
        <w:fldChar w:fldCharType="separate"/>
      </w:r>
      <w:r>
        <w:t>6</w:t>
      </w:r>
      <w: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2B1CFEB7">
      <w:pPr>
        <w:pStyle w:val="30"/>
        <w:tabs>
          <w:tab w:val="right" w:leader="dot" w:pos="9412"/>
        </w:tabs>
        <w:ind w:firstLine="840" w:firstLineChars="400"/>
      </w:pP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szCs w:val="28"/>
          <w:highlight w:val="none"/>
        </w:rPr>
        <w:instrText xml:space="preserve"> HYPERLINK \l _Toc15208 </w:instrText>
      </w:r>
      <w:r>
        <w:rPr>
          <w:rFonts w:hint="eastAsia" w:ascii="宋体" w:hAnsi="宋体" w:cs="宋体"/>
          <w:szCs w:val="28"/>
          <w:highlight w:val="none"/>
        </w:rPr>
        <w:fldChar w:fldCharType="separate"/>
      </w:r>
      <w:r>
        <w:rPr>
          <w:rFonts w:asciiTheme="minorEastAsia" w:hAnsiTheme="minorEastAsia" w:eastAsiaTheme="minorEastAsia"/>
          <w:snapToGrid w:val="0"/>
          <w:kern w:val="0"/>
          <w:highlight w:val="none"/>
        </w:rPr>
        <w:t xml:space="preserve">第三章 </w:t>
      </w:r>
      <w:r>
        <w:rPr>
          <w:rFonts w:hint="eastAsia" w:asciiTheme="minorEastAsia" w:hAnsiTheme="minorEastAsia" w:eastAsiaTheme="minorEastAsia"/>
          <w:snapToGrid w:val="0"/>
          <w:kern w:val="0"/>
          <w:highlight w:val="none"/>
        </w:rPr>
        <w:t xml:space="preserve"> </w:t>
      </w:r>
      <w:r>
        <w:rPr>
          <w:rFonts w:asciiTheme="minorEastAsia" w:hAnsiTheme="minorEastAsia" w:eastAsiaTheme="minorEastAsia"/>
          <w:snapToGrid w:val="0"/>
          <w:kern w:val="0"/>
          <w:highlight w:val="none"/>
        </w:rPr>
        <w:t>评标办法（</w:t>
      </w:r>
      <w:r>
        <w:rPr>
          <w:rFonts w:hint="eastAsia" w:asciiTheme="minorEastAsia" w:hAnsiTheme="minorEastAsia" w:eastAsiaTheme="minorEastAsia"/>
          <w:snapToGrid w:val="0"/>
          <w:kern w:val="0"/>
          <w:highlight w:val="none"/>
        </w:rPr>
        <w:t>经评审的最低投标价法</w:t>
      </w:r>
      <w:r>
        <w:rPr>
          <w:rFonts w:asciiTheme="minorEastAsia" w:hAnsiTheme="minorEastAsia" w:eastAsiaTheme="minorEastAsia"/>
          <w:snapToGrid w:val="0"/>
          <w:kern w:val="0"/>
          <w:highlight w:val="none"/>
        </w:rPr>
        <w:t>）</w:t>
      </w:r>
      <w:r>
        <w:tab/>
      </w:r>
      <w:r>
        <w:fldChar w:fldCharType="begin"/>
      </w:r>
      <w:r>
        <w:instrText xml:space="preserve"> PAGEREF _Toc15208 \h </w:instrText>
      </w:r>
      <w:r>
        <w:fldChar w:fldCharType="separate"/>
      </w:r>
      <w:r>
        <w:t>16</w:t>
      </w:r>
      <w: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1E9DB530">
      <w:pPr>
        <w:pStyle w:val="30"/>
        <w:tabs>
          <w:tab w:val="right" w:leader="dot" w:pos="9412"/>
        </w:tabs>
        <w:ind w:firstLine="840" w:firstLineChars="400"/>
      </w:pP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szCs w:val="28"/>
          <w:highlight w:val="none"/>
        </w:rPr>
        <w:instrText xml:space="preserve"> HYPERLINK \l _Toc15326 </w:instrText>
      </w:r>
      <w:r>
        <w:rPr>
          <w:rFonts w:hint="eastAsia" w:ascii="宋体" w:hAnsi="宋体" w:cs="宋体"/>
          <w:szCs w:val="28"/>
          <w:highlight w:val="none"/>
        </w:rPr>
        <w:fldChar w:fldCharType="separate"/>
      </w:r>
      <w:r>
        <w:rPr>
          <w:rFonts w:hint="eastAsia" w:asciiTheme="minorEastAsia" w:hAnsiTheme="minorEastAsia" w:eastAsiaTheme="minorEastAsia"/>
          <w:kern w:val="0"/>
          <w:highlight w:val="none"/>
        </w:rPr>
        <w:t>第四章  合同条款及格式</w:t>
      </w:r>
      <w:r>
        <w:tab/>
      </w:r>
      <w:r>
        <w:fldChar w:fldCharType="begin"/>
      </w:r>
      <w:r>
        <w:instrText xml:space="preserve"> PAGEREF _Toc15326 \h </w:instrText>
      </w:r>
      <w:r>
        <w:fldChar w:fldCharType="separate"/>
      </w:r>
      <w:r>
        <w:t>22</w:t>
      </w:r>
      <w: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632F6F12">
      <w:pPr>
        <w:pStyle w:val="21"/>
        <w:tabs>
          <w:tab w:val="right" w:leader="dot" w:pos="9412"/>
        </w:tabs>
      </w:pPr>
      <w:r>
        <w:rPr>
          <w:rFonts w:hint="eastAsia" w:ascii="宋体" w:hAnsi="宋体" w:cs="宋体"/>
          <w:color w:val="000000" w:themeColor="text1"/>
          <w:szCs w:val="28"/>
          <w:highlight w:val="none"/>
          <w14:textFill>
            <w14:solidFill>
              <w14:schemeClr w14:val="tx1"/>
            </w14:solidFill>
          </w14:textFill>
        </w:rPr>
        <w:fldChar w:fldCharType="begin"/>
      </w:r>
      <w:r>
        <w:rPr>
          <w:rFonts w:hint="eastAsia" w:ascii="宋体" w:hAnsi="宋体" w:cs="宋体"/>
          <w:szCs w:val="28"/>
          <w:highlight w:val="none"/>
        </w:rPr>
        <w:instrText xml:space="preserve"> HYPERLINK \l _Toc10095 </w:instrText>
      </w:r>
      <w:r>
        <w:rPr>
          <w:rFonts w:hint="eastAsia" w:ascii="宋体" w:hAnsi="宋体" w:cs="宋体"/>
          <w:szCs w:val="28"/>
          <w:highlight w:val="none"/>
        </w:rPr>
        <w:fldChar w:fldCharType="separate"/>
      </w:r>
      <w:r>
        <w:rPr>
          <w:rFonts w:hint="eastAsia" w:ascii="宋体" w:hAnsi="宋体" w:eastAsia="宋体" w:cs="宋体"/>
          <w:bCs/>
          <w:szCs w:val="32"/>
          <w:highlight w:val="none"/>
        </w:rPr>
        <w:t>第</w:t>
      </w:r>
      <w:r>
        <w:rPr>
          <w:rFonts w:hint="eastAsia" w:ascii="宋体" w:hAnsi="宋体" w:cs="宋体"/>
          <w:bCs/>
          <w:szCs w:val="32"/>
          <w:highlight w:val="none"/>
          <w:lang w:eastAsia="zh-CN"/>
        </w:rPr>
        <w:t>五</w:t>
      </w:r>
      <w:r>
        <w:rPr>
          <w:rFonts w:hint="eastAsia" w:ascii="宋体" w:hAnsi="宋体" w:eastAsia="宋体" w:cs="宋体"/>
          <w:bCs/>
          <w:szCs w:val="32"/>
          <w:highlight w:val="none"/>
        </w:rPr>
        <w:t xml:space="preserve">章 </w:t>
      </w:r>
      <w:r>
        <w:rPr>
          <w:rFonts w:hint="eastAsia" w:ascii="宋体" w:hAnsi="宋体" w:eastAsia="宋体" w:cs="宋体"/>
          <w:szCs w:val="32"/>
          <w:highlight w:val="none"/>
        </w:rPr>
        <w:t>投标文件格式</w:t>
      </w:r>
      <w:r>
        <w:tab/>
      </w:r>
      <w:r>
        <w:fldChar w:fldCharType="begin"/>
      </w:r>
      <w:r>
        <w:instrText xml:space="preserve"> PAGEREF _Toc10095 \h </w:instrText>
      </w:r>
      <w:r>
        <w:fldChar w:fldCharType="separate"/>
      </w:r>
      <w:r>
        <w:t>33</w:t>
      </w:r>
      <w:r>
        <w:fldChar w:fldCharType="end"/>
      </w:r>
      <w:r>
        <w:rPr>
          <w:rFonts w:hint="eastAsia" w:ascii="宋体" w:hAnsi="宋体" w:cs="宋体"/>
          <w:color w:val="000000" w:themeColor="text1"/>
          <w:szCs w:val="28"/>
          <w:highlight w:val="none"/>
          <w14:textFill>
            <w14:solidFill>
              <w14:schemeClr w14:val="tx1"/>
            </w14:solidFill>
          </w14:textFill>
        </w:rPr>
        <w:fldChar w:fldCharType="end"/>
      </w:r>
    </w:p>
    <w:p w14:paraId="24327AF8">
      <w:pPr>
        <w:pStyle w:val="21"/>
        <w:tabs>
          <w:tab w:val="right" w:leader="dot" w:pos="9412"/>
        </w:tabs>
      </w:pPr>
    </w:p>
    <w:p w14:paraId="02349AE0">
      <w:pPr>
        <w:pStyle w:val="81"/>
        <w:tabs>
          <w:tab w:val="right" w:leader="dot" w:pos="9033"/>
        </w:tabs>
        <w:spacing w:line="240" w:lineRule="auto"/>
        <w:rPr>
          <w:rStyle w:val="66"/>
          <w:rFonts w:hint="eastAsia"/>
        </w:rPr>
      </w:pPr>
      <w:r>
        <w:rPr>
          <w:rFonts w:hint="eastAsia" w:ascii="宋体" w:hAnsi="宋体" w:cs="宋体"/>
          <w:color w:val="000000" w:themeColor="text1"/>
          <w:szCs w:val="28"/>
          <w:highlight w:val="none"/>
          <w14:textFill>
            <w14:solidFill>
              <w14:schemeClr w14:val="tx1"/>
            </w14:solidFill>
          </w14:textFill>
        </w:rPr>
        <w:fldChar w:fldCharType="end"/>
      </w:r>
      <w:r>
        <w:rPr>
          <w:rFonts w:hint="eastAsia" w:ascii="宋体" w:hAnsi="宋体" w:eastAsia="宋体" w:cs="宋体"/>
          <w:b w:val="0"/>
          <w:color w:val="000000" w:themeColor="text1"/>
          <w:kern w:val="2"/>
          <w:sz w:val="28"/>
          <w:szCs w:val="28"/>
          <w:highlight w:val="none"/>
          <w14:textFill>
            <w14:solidFill>
              <w14:schemeClr w14:val="tx1"/>
            </w14:solidFill>
          </w14:textFill>
        </w:rPr>
        <w:br w:type="page"/>
      </w:r>
      <w:bookmarkStart w:id="8" w:name="_Toc419977252"/>
      <w:bookmarkStart w:id="9" w:name="_Toc428518711"/>
      <w:bookmarkStart w:id="10" w:name="_Toc430184662"/>
      <w:bookmarkStart w:id="11" w:name="_Toc428172715"/>
      <w:bookmarkStart w:id="12" w:name="_Toc430185946"/>
      <w:bookmarkStart w:id="13" w:name="_Toc86934185"/>
      <w:r>
        <w:rPr>
          <w:rFonts w:hint="eastAsia" w:ascii="宋体" w:hAnsi="宋体" w:eastAsia="宋体" w:cs="宋体"/>
          <w:b w:val="0"/>
          <w:color w:val="000000" w:themeColor="text1"/>
          <w:kern w:val="2"/>
          <w:sz w:val="28"/>
          <w:szCs w:val="28"/>
          <w:highlight w:val="none"/>
          <w14:textFill>
            <w14:solidFill>
              <w14:schemeClr w14:val="tx1"/>
            </w14:solidFill>
          </w14:textFill>
        </w:rPr>
        <w:t xml:space="preserve">                    </w:t>
      </w:r>
      <w:r>
        <w:rPr>
          <w:rStyle w:val="66"/>
          <w:rFonts w:hint="eastAsia"/>
        </w:rPr>
        <w:t xml:space="preserve"> 第一章  </w:t>
      </w:r>
      <w:bookmarkEnd w:id="0"/>
      <w:bookmarkEnd w:id="1"/>
      <w:bookmarkEnd w:id="2"/>
      <w:bookmarkEnd w:id="7"/>
      <w:bookmarkEnd w:id="8"/>
      <w:bookmarkEnd w:id="9"/>
      <w:bookmarkEnd w:id="10"/>
      <w:bookmarkEnd w:id="11"/>
      <w:bookmarkEnd w:id="12"/>
      <w:r>
        <w:rPr>
          <w:rStyle w:val="66"/>
          <w:rFonts w:hint="eastAsia"/>
        </w:rPr>
        <w:t>比选公告</w:t>
      </w:r>
      <w:bookmarkEnd w:id="13"/>
    </w:p>
    <w:p w14:paraId="0698C9F8"/>
    <w:p w14:paraId="158E5127">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28"/>
          <w:szCs w:val="28"/>
          <w:highlight w:val="none"/>
          <w:lang w:eastAsia="zh-CN"/>
          <w14:textFill>
            <w14:solidFill>
              <w14:schemeClr w14:val="tx1"/>
            </w14:solidFill>
          </w14:textFill>
        </w:rPr>
      </w:pPr>
      <w:bookmarkStart w:id="14" w:name="_Toc338941629"/>
      <w:bookmarkStart w:id="15" w:name="_Toc370384623"/>
      <w:bookmarkStart w:id="16" w:name="_Toc428518719"/>
      <w:bookmarkStart w:id="17" w:name="_Toc419974234"/>
      <w:bookmarkStart w:id="18" w:name="_Toc430184670"/>
      <w:bookmarkStart w:id="19" w:name="_Toc428172723"/>
      <w:bookmarkStart w:id="20" w:name="_Toc419977260"/>
      <w:bookmarkStart w:id="21" w:name="_Toc419974476"/>
      <w:bookmarkStart w:id="22" w:name="_Toc430185954"/>
      <w:r>
        <w:rPr>
          <w:rFonts w:hint="eastAsia" w:ascii="宋体" w:hAnsi="宋体" w:cs="宋体"/>
          <w:b/>
          <w:snapToGrid w:val="0"/>
          <w:color w:val="000000" w:themeColor="text1"/>
          <w:w w:val="99"/>
          <w:kern w:val="0"/>
          <w:sz w:val="28"/>
          <w:szCs w:val="28"/>
          <w:highlight w:val="none"/>
          <w:lang w:eastAsia="zh-CN"/>
          <w14:textFill>
            <w14:solidFill>
              <w14:schemeClr w14:val="tx1"/>
            </w14:solidFill>
          </w14:textFill>
        </w:rPr>
        <w:t>重庆市大足区龙腾御锦24、25栋外墙维修工程（第二次）</w:t>
      </w:r>
    </w:p>
    <w:p w14:paraId="284168CA">
      <w:pPr>
        <w:autoSpaceDE w:val="0"/>
        <w:autoSpaceDN w:val="0"/>
        <w:adjustRightInd w:val="0"/>
        <w:snapToGrid w:val="0"/>
        <w:spacing w:line="360" w:lineRule="auto"/>
        <w:jc w:val="center"/>
        <w:rPr>
          <w:rFonts w:ascii="宋体" w:hAnsi="宋体" w:cs="宋体"/>
          <w:b/>
          <w:snapToGrid w:val="0"/>
          <w:color w:val="000000" w:themeColor="text1"/>
          <w:w w:val="99"/>
          <w:kern w:val="0"/>
          <w:sz w:val="28"/>
          <w:szCs w:val="28"/>
          <w:highlight w:val="none"/>
          <w14:textFill>
            <w14:solidFill>
              <w14:schemeClr w14:val="tx1"/>
            </w14:solidFill>
          </w14:textFill>
        </w:rPr>
      </w:pPr>
      <w:r>
        <w:rPr>
          <w:rFonts w:hint="eastAsia" w:ascii="宋体" w:hAnsi="宋体" w:cs="宋体"/>
          <w:b/>
          <w:snapToGrid w:val="0"/>
          <w:color w:val="000000" w:themeColor="text1"/>
          <w:w w:val="99"/>
          <w:kern w:val="0"/>
          <w:sz w:val="28"/>
          <w:szCs w:val="28"/>
          <w:highlight w:val="none"/>
          <w14:textFill>
            <w14:solidFill>
              <w14:schemeClr w14:val="tx1"/>
            </w14:solidFill>
          </w14:textFill>
        </w:rPr>
        <w:t>竞争性比选公告</w:t>
      </w:r>
    </w:p>
    <w:p w14:paraId="191C2E73">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3" w:name="_Toc7278"/>
      <w:bookmarkStart w:id="24" w:name="_Toc86934186"/>
      <w:bookmarkStart w:id="25" w:name="_Toc28965251"/>
      <w:r>
        <w:rPr>
          <w:rFonts w:hint="eastAsia" w:ascii="宋体" w:hAnsi="宋体" w:eastAsia="宋体" w:cs="宋体"/>
          <w:snapToGrid w:val="0"/>
          <w:color w:val="000000" w:themeColor="text1"/>
          <w:sz w:val="21"/>
          <w:szCs w:val="21"/>
          <w:highlight w:val="none"/>
          <w14:textFill>
            <w14:solidFill>
              <w14:schemeClr w14:val="tx1"/>
            </w14:solidFill>
          </w14:textFill>
        </w:rPr>
        <w:t>1. 比选条件</w:t>
      </w:r>
      <w:bookmarkEnd w:id="23"/>
      <w:bookmarkEnd w:id="24"/>
      <w:bookmarkEnd w:id="25"/>
    </w:p>
    <w:p w14:paraId="22BB9BC9">
      <w:pPr>
        <w:spacing w:line="360" w:lineRule="auto"/>
        <w:ind w:firstLine="420" w:firstLineChars="200"/>
        <w:rPr>
          <w:rFonts w:ascii="宋体" w:hAnsi="宋体" w:cs="宋体"/>
          <w:color w:val="000000" w:themeColor="text1"/>
          <w:highlight w:val="none"/>
          <w14:textFill>
            <w14:solidFill>
              <w14:schemeClr w14:val="tx1"/>
            </w14:solidFill>
          </w14:textFill>
        </w:rPr>
      </w:pPr>
      <w:bookmarkStart w:id="26" w:name="_Toc440472360"/>
      <w:bookmarkStart w:id="27" w:name="_Toc375038774"/>
      <w:r>
        <w:rPr>
          <w:rFonts w:hint="eastAsia" w:ascii="宋体" w:hAnsi="宋体" w:cs="宋体"/>
          <w:color w:val="000000" w:themeColor="text1"/>
          <w:highlight w:val="none"/>
          <w14:textFill>
            <w14:solidFill>
              <w14:schemeClr w14:val="tx1"/>
            </w14:solidFill>
          </w14:textFill>
        </w:rPr>
        <w:t>本招标项目</w:t>
      </w:r>
      <w:r>
        <w:rPr>
          <w:rFonts w:hint="eastAsia" w:ascii="宋体" w:hAnsi="宋体" w:cs="宋体"/>
          <w:color w:val="000000" w:themeColor="text1"/>
          <w:highlight w:val="none"/>
          <w:u w:val="single"/>
          <w:lang w:val="en-US" w:eastAsia="zh-CN"/>
          <w14:textFill>
            <w14:solidFill>
              <w14:schemeClr w14:val="tx1"/>
            </w14:solidFill>
          </w14:textFill>
        </w:rPr>
        <w:t xml:space="preserve"> 重庆市大足区龙腾御锦24、25栋外墙维修工程（第二次） </w:t>
      </w:r>
      <w:r>
        <w:rPr>
          <w:rFonts w:hint="eastAsia" w:ascii="宋体" w:hAnsi="宋体" w:cs="宋体"/>
          <w:color w:val="000000" w:themeColor="text1"/>
          <w:highlight w:val="none"/>
          <w14:textFill>
            <w14:solidFill>
              <w14:schemeClr w14:val="tx1"/>
            </w14:solidFill>
          </w14:textFill>
        </w:rPr>
        <w:t>已由</w:t>
      </w:r>
      <w:r>
        <w:rPr>
          <w:rFonts w:hint="default" w:ascii="宋体" w:hAnsi="宋体" w:cs="宋体"/>
          <w:color w:val="000000" w:themeColor="text1"/>
          <w:highlight w:val="none"/>
          <w:lang w:val="en-US" w:eastAsia="zh-CN"/>
          <w14:textFill>
            <w14:solidFill>
              <w14:schemeClr w14:val="tx1"/>
            </w14:solidFill>
          </w14:textFill>
        </w:rPr>
        <w:t>重庆互悦物业管理有限公司龙腾御锦分公司</w:t>
      </w:r>
      <w:r>
        <w:rPr>
          <w:rFonts w:hint="eastAsia" w:ascii="宋体" w:hAnsi="宋体" w:cs="宋体"/>
          <w:color w:val="000000" w:themeColor="text1"/>
          <w:highlight w:val="none"/>
          <w14:textFill>
            <w14:solidFill>
              <w14:schemeClr w14:val="tx1"/>
            </w14:solidFill>
          </w14:textFill>
        </w:rPr>
        <w:t>批准实施比选，比选人为</w:t>
      </w:r>
      <w:r>
        <w:rPr>
          <w:rFonts w:hint="default" w:ascii="宋体" w:hAnsi="宋体" w:cs="宋体"/>
          <w:color w:val="000000" w:themeColor="text1"/>
          <w:highlight w:val="none"/>
          <w:lang w:val="en-US" w:eastAsia="zh-CN"/>
          <w14:textFill>
            <w14:solidFill>
              <w14:schemeClr w14:val="tx1"/>
            </w14:solidFill>
          </w14:textFill>
        </w:rPr>
        <w:t>重庆互悦物业管理有限公司龙腾御锦分公司</w:t>
      </w:r>
      <w:r>
        <w:rPr>
          <w:rFonts w:hint="eastAsia" w:ascii="宋体" w:hAnsi="宋体" w:cs="宋体"/>
          <w:color w:val="000000" w:themeColor="text1"/>
          <w:highlight w:val="none"/>
          <w14:textFill>
            <w14:solidFill>
              <w14:schemeClr w14:val="tx1"/>
            </w14:solidFill>
          </w14:textFill>
        </w:rPr>
        <w:t>，资金来源为</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snapToGrid w:val="0"/>
          <w:color w:val="000000" w:themeColor="text1"/>
          <w:kern w:val="0"/>
          <w:szCs w:val="21"/>
          <w:highlight w:val="none"/>
          <w:u w:val="single"/>
          <w:lang w:eastAsia="zh-CN"/>
          <w14:textFill>
            <w14:solidFill>
              <w14:schemeClr w14:val="tx1"/>
            </w14:solidFill>
          </w14:textFill>
        </w:rPr>
        <w:t>自筹资金</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。项目已具备招标条件，现比选人决定对该项目进行</w:t>
      </w:r>
      <w:r>
        <w:rPr>
          <w:rFonts w:hint="eastAsia" w:ascii="宋体" w:hAnsi="宋体" w:cs="宋体"/>
          <w:color w:val="000000" w:themeColor="text1"/>
          <w:highlight w:val="none"/>
          <w:lang w:eastAsia="zh-CN"/>
          <w14:textFill>
            <w14:solidFill>
              <w14:schemeClr w14:val="tx1"/>
            </w14:solidFill>
          </w14:textFill>
        </w:rPr>
        <w:t>竞争性</w:t>
      </w:r>
      <w:r>
        <w:rPr>
          <w:rFonts w:hint="eastAsia" w:ascii="宋体" w:hAnsi="宋体" w:cs="宋体"/>
          <w:color w:val="000000" w:themeColor="text1"/>
          <w:highlight w:val="none"/>
          <w14:textFill>
            <w14:solidFill>
              <w14:schemeClr w14:val="tx1"/>
            </w14:solidFill>
          </w14:textFill>
        </w:rPr>
        <w:t>比选，特邀请有兴趣的潜在投标人参与投标。</w:t>
      </w:r>
      <w:bookmarkStart w:id="28" w:name="_Toc28965252"/>
    </w:p>
    <w:p w14:paraId="6B26BA07">
      <w:pPr>
        <w:pStyle w:val="2"/>
        <w:snapToGrid w:val="0"/>
        <w:spacing w:before="0" w:line="360" w:lineRule="auto"/>
        <w:rPr>
          <w:rFonts w:hint="default" w:ascii="宋体" w:hAnsi="宋体" w:eastAsia="宋体" w:cs="宋体"/>
          <w:snapToGrid w:val="0"/>
          <w:color w:val="000000" w:themeColor="text1"/>
          <w:sz w:val="21"/>
          <w:szCs w:val="21"/>
          <w:highlight w:val="none"/>
          <w:lang w:val="en-US" w:eastAsia="zh-CN"/>
          <w14:textFill>
            <w14:solidFill>
              <w14:schemeClr w14:val="tx1"/>
            </w14:solidFill>
          </w14:textFill>
        </w:rPr>
      </w:pPr>
      <w:bookmarkStart w:id="29" w:name="_Toc86934187"/>
      <w:bookmarkStart w:id="30" w:name="_Toc8381"/>
      <w:r>
        <w:rPr>
          <w:rFonts w:hint="eastAsia" w:ascii="宋体" w:hAnsi="宋体" w:eastAsia="宋体" w:cs="宋体"/>
          <w:snapToGrid w:val="0"/>
          <w:color w:val="000000" w:themeColor="text1"/>
          <w:sz w:val="21"/>
          <w:szCs w:val="21"/>
          <w:highlight w:val="none"/>
          <w14:textFill>
            <w14:solidFill>
              <w14:schemeClr w14:val="tx1"/>
            </w14:solidFill>
          </w14:textFill>
        </w:rPr>
        <w:t>2. 项目概况与比选范围</w:t>
      </w:r>
      <w:bookmarkEnd w:id="26"/>
      <w:bookmarkEnd w:id="27"/>
      <w:bookmarkEnd w:id="28"/>
      <w:bookmarkEnd w:id="29"/>
      <w:bookmarkEnd w:id="30"/>
      <w:bookmarkStart w:id="31" w:name="_Toc441046572"/>
      <w:bookmarkStart w:id="32" w:name="_Toc375038775"/>
      <w:bookmarkStart w:id="33" w:name="_Toc28965253"/>
    </w:p>
    <w:p w14:paraId="2BAEFCB1">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（1）实施地点：</w:t>
      </w:r>
      <w:r>
        <w:rPr>
          <w:rFonts w:hint="eastAsia" w:ascii="宋体" w:hAnsi="宋体" w:cs="宋体"/>
          <w:color w:val="000000" w:themeColor="text1"/>
          <w:highlight w:val="none"/>
          <w:lang w:eastAsia="zh-CN"/>
          <w14:textFill>
            <w14:solidFill>
              <w14:schemeClr w14:val="tx1"/>
            </w14:solidFill>
          </w14:textFill>
        </w:rPr>
        <w:t xml:space="preserve">重庆市大足区龙腾御锦 </w:t>
      </w:r>
    </w:p>
    <w:p w14:paraId="528CF658">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（2）项目名称：</w:t>
      </w:r>
      <w:r>
        <w:rPr>
          <w:rFonts w:hint="eastAsia" w:ascii="宋体" w:hAnsi="宋体" w:cs="宋体"/>
          <w:color w:val="000000" w:themeColor="text1"/>
          <w:highlight w:val="none"/>
          <w:lang w:eastAsia="zh-CN"/>
          <w14:textFill>
            <w14:solidFill>
              <w14:schemeClr w14:val="tx1"/>
            </w14:solidFill>
          </w14:textFill>
        </w:rPr>
        <w:t>重庆市大足区龙腾御锦24、25栋外墙维修工程（第二次）</w:t>
      </w:r>
    </w:p>
    <w:p w14:paraId="3A2E450F">
      <w:pPr>
        <w:tabs>
          <w:tab w:val="left" w:pos="3840"/>
          <w:tab w:val="left" w:pos="5300"/>
        </w:tabs>
        <w:autoSpaceDE w:val="0"/>
        <w:autoSpaceDN w:val="0"/>
        <w:adjustRightInd w:val="0"/>
        <w:snapToGrid w:val="0"/>
        <w:spacing w:line="460" w:lineRule="exact"/>
        <w:ind w:firstLine="420" w:firstLineChars="200"/>
        <w:jc w:val="left"/>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工程概况：</w:t>
      </w: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①对墙面开裂空鼓的地方用切割机进行剔除；</w:t>
      </w:r>
    </w:p>
    <w:p w14:paraId="50C4F130">
      <w:pPr>
        <w:pStyle w:val="2"/>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pP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②对切除部分用抹灰或抗裂砂浆恢复找平挂钢丝网;</w:t>
      </w:r>
    </w:p>
    <w:p w14:paraId="634D45AB">
      <w:pP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pP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③对切除部分用防水涂料底漆涂刷，增强附着力，涂刷干燥后再涂第二层防水涂料。</w:t>
      </w:r>
    </w:p>
    <w:p w14:paraId="387F89D8">
      <w:pPr>
        <w:pStyle w:val="2"/>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pP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④对整改部分进行外墙刷漆2遍；</w:t>
      </w:r>
    </w:p>
    <w:p w14:paraId="79A288D0">
      <w:pPr>
        <w:rPr>
          <w:rFonts w:hint="default"/>
          <w:lang w:val="en-US"/>
        </w:rPr>
      </w:pP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在整改的区域进行安全警戒，并布置防护网靠墙安全设施，保证业主生命财产安全。施工范围包括完成本项目相关的所有施工内容，具体施工内容以项目业主根据施工现场情况确定。具体详见工程量清单。</w:t>
      </w:r>
    </w:p>
    <w:p w14:paraId="231B1D8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（4）计划工期：签订合同后</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日历天内完成。</w:t>
      </w:r>
    </w:p>
    <w:p w14:paraId="7131871B">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4" w:name="_Toc9927"/>
      <w:bookmarkStart w:id="35" w:name="_Toc86934188"/>
      <w:r>
        <w:rPr>
          <w:rFonts w:hint="eastAsia" w:ascii="宋体" w:hAnsi="宋体" w:eastAsia="宋体" w:cs="宋体"/>
          <w:snapToGrid w:val="0"/>
          <w:color w:val="000000" w:themeColor="text1"/>
          <w:sz w:val="21"/>
          <w:szCs w:val="21"/>
          <w:highlight w:val="none"/>
          <w14:textFill>
            <w14:solidFill>
              <w14:schemeClr w14:val="tx1"/>
            </w14:solidFill>
          </w14:textFill>
        </w:rPr>
        <w:t>3.资格</w:t>
      </w:r>
      <w:bookmarkEnd w:id="31"/>
      <w:bookmarkEnd w:id="32"/>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33"/>
      <w:bookmarkEnd w:id="34"/>
      <w:bookmarkEnd w:id="35"/>
    </w:p>
    <w:p w14:paraId="1342509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3.1.本次招标实行资格后审，要求投标人应满足下列条件：</w:t>
      </w:r>
    </w:p>
    <w:p w14:paraId="4D34A46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（1）投标人必须具有独立法人资格。（提供营业执照副本复印件加盖投标人公章）</w:t>
      </w:r>
    </w:p>
    <w:p w14:paraId="4FF1EAEC">
      <w:pPr>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须</w:t>
      </w:r>
      <w:r>
        <w:rPr>
          <w:rFonts w:hint="eastAsia" w:ascii="宋体" w:hAnsi="宋体" w:cs="宋体"/>
          <w:snapToGrid w:val="0"/>
          <w:color w:val="000000" w:themeColor="text1"/>
          <w:kern w:val="0"/>
          <w:szCs w:val="21"/>
          <w:highlight w:val="none"/>
          <w:u w:val="none"/>
          <w14:textFill>
            <w14:solidFill>
              <w14:schemeClr w14:val="tx1"/>
            </w14:solidFill>
          </w14:textFill>
        </w:rPr>
        <w:t>具备</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建设行政主管部门颁发的有效的建筑工程施工</w:t>
      </w:r>
      <w:r>
        <w:rPr>
          <w:rFonts w:hint="eastAsia" w:asciiTheme="minorEastAsia" w:hAnsiTheme="minorEastAsia" w:eastAsiaTheme="minorEastAsia"/>
          <w:snapToGrid w:val="0"/>
          <w:color w:val="000000" w:themeColor="text1"/>
          <w:kern w:val="0"/>
          <w:szCs w:val="21"/>
          <w:highlight w:val="none"/>
          <w:u w:val="single"/>
          <w:lang w:eastAsia="zh-CN"/>
          <w14:textFill>
            <w14:solidFill>
              <w14:schemeClr w14:val="tx1"/>
            </w14:solidFill>
          </w14:textFill>
        </w:rPr>
        <w:t>总承包</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叁级及以上资质</w:t>
      </w:r>
      <w:r>
        <w:rPr>
          <w:rFonts w:hint="eastAsia" w:ascii="宋体" w:hAnsi="宋体" w:cs="宋体"/>
          <w:snapToGrid w:val="0"/>
          <w:color w:val="000000" w:themeColor="text1"/>
          <w:kern w:val="0"/>
          <w:szCs w:val="21"/>
          <w:highlight w:val="none"/>
          <w:u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（提供有效的资质证书副本复印件加盖投标人公章）</w:t>
      </w:r>
    </w:p>
    <w:p w14:paraId="0A580812">
      <w:pPr>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须具备建设行政主管部门颁发的有效的安全生产许可证。（提供有效的安全生产许可证副本复印件加盖投标人公章）</w:t>
      </w:r>
    </w:p>
    <w:p w14:paraId="78C2A4C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）投标人在“信用中国”（www.creditchina.gov.cn）网站中未被列入失信被执行人。（以发布公告之后查询结果为准，打印查询页面并加盖投标人公章）</w:t>
      </w:r>
    </w:p>
    <w:p w14:paraId="313E598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3.2.本项目不接受联合体投标。</w:t>
      </w:r>
    </w:p>
    <w:p w14:paraId="1254196D">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6" w:name="_Toc86934189"/>
      <w:bookmarkStart w:id="37" w:name="_Toc21943"/>
      <w:r>
        <w:rPr>
          <w:rFonts w:hint="eastAsia" w:ascii="宋体" w:hAnsi="宋体" w:eastAsia="宋体" w:cs="宋体"/>
          <w:snapToGrid w:val="0"/>
          <w:color w:val="000000" w:themeColor="text1"/>
          <w:sz w:val="21"/>
          <w:szCs w:val="21"/>
          <w:highlight w:val="none"/>
          <w14:textFill>
            <w14:solidFill>
              <w14:schemeClr w14:val="tx1"/>
            </w14:solidFill>
          </w14:textFill>
        </w:rPr>
        <w:t>4. 比选文件的获取</w:t>
      </w:r>
      <w:bookmarkEnd w:id="36"/>
      <w:bookmarkEnd w:id="37"/>
    </w:p>
    <w:p w14:paraId="19F2D23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凡有意参加投标者，从比选公告发布之日起至投标截止之时前，投标人可登录行采家（https://www.gec123.com/）直接下载获取比选文件（包括工程需求、答疑、补遗及通知）等开标前的有关资料，不管投标人是否下载，均视为已知晓比选文件的全部内容和有关事宜。</w:t>
      </w:r>
    </w:p>
    <w:p w14:paraId="3FF4683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（2）在公告期间，各投标单位应随时关注行采家（https://www.gec123.com/）网上发布的比选文件及相关修改、补遗等内容。</w:t>
      </w:r>
    </w:p>
    <w:p w14:paraId="5AEC81AD">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8" w:name="_Toc375038776"/>
      <w:bookmarkStart w:id="39" w:name="_Toc27136646"/>
      <w:bookmarkStart w:id="40" w:name="_Toc441046573"/>
      <w:bookmarkStart w:id="41" w:name="_Toc86934190"/>
      <w:bookmarkStart w:id="42" w:name="_Toc22508"/>
      <w:r>
        <w:rPr>
          <w:rFonts w:hint="eastAsia" w:ascii="宋体" w:hAnsi="宋体" w:eastAsia="宋体" w:cs="宋体"/>
          <w:snapToGrid w:val="0"/>
          <w:color w:val="000000" w:themeColor="text1"/>
          <w:sz w:val="21"/>
          <w:szCs w:val="21"/>
          <w:highlight w:val="none"/>
          <w14:textFill>
            <w14:solidFill>
              <w14:schemeClr w14:val="tx1"/>
            </w14:solidFill>
          </w14:textFill>
        </w:rPr>
        <w:t xml:space="preserve">5. </w:t>
      </w:r>
      <w:bookmarkEnd w:id="38"/>
      <w:bookmarkEnd w:id="39"/>
      <w:bookmarkEnd w:id="40"/>
      <w:bookmarkStart w:id="43" w:name="_Toc440472363"/>
      <w:bookmarkStart w:id="44" w:name="_Toc375038777"/>
      <w:r>
        <w:rPr>
          <w:rFonts w:hint="eastAsia" w:ascii="宋体" w:hAnsi="宋体" w:eastAsia="宋体" w:cs="宋体"/>
          <w:snapToGrid w:val="0"/>
          <w:color w:val="000000" w:themeColor="text1"/>
          <w:sz w:val="21"/>
          <w:szCs w:val="21"/>
          <w:highlight w:val="none"/>
          <w14:textFill>
            <w14:solidFill>
              <w14:schemeClr w14:val="tx1"/>
            </w14:solidFill>
          </w14:textFill>
        </w:rPr>
        <w:t>报名和递交投标文件时间、地点</w:t>
      </w:r>
      <w:bookmarkEnd w:id="41"/>
      <w:bookmarkEnd w:id="42"/>
    </w:p>
    <w:p w14:paraId="702F97C7">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（1）报名和采购文件发售期：202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cs="宋体"/>
          <w:color w:val="000000" w:themeColor="text1"/>
          <w:highlight w:val="none"/>
          <w14:textFill>
            <w14:solidFill>
              <w14:schemeClr w14:val="tx1"/>
            </w14:solidFill>
          </w14:textFill>
        </w:rPr>
        <w:t>月</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18</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日至202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cs="宋体"/>
          <w:color w:val="000000" w:themeColor="text1"/>
          <w:highlight w:val="none"/>
          <w14:textFill>
            <w14:solidFill>
              <w14:schemeClr w14:val="tx1"/>
            </w14:solidFill>
          </w14:textFill>
        </w:rPr>
        <w:t>月</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24</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日17：00（工作时间）。</w:t>
      </w:r>
    </w:p>
    <w:p w14:paraId="17B55C74">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（2）比选文件售价：人民币</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00元/份（售后不退）。</w:t>
      </w:r>
    </w:p>
    <w:p w14:paraId="05E16165">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（3）报名及</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文件购买方式：在报名和</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文件发售期内，到</w:t>
      </w:r>
      <w:r>
        <w:rPr>
          <w:rFonts w:hint="default" w:ascii="宋体" w:hAnsi="宋体" w:cs="宋体"/>
          <w:color w:val="000000" w:themeColor="text1"/>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重庆市重庆市大足区五星社区四楼 ）</w:t>
      </w:r>
      <w:r>
        <w:rPr>
          <w:rFonts w:hint="eastAsia" w:ascii="宋体" w:hAnsi="宋体" w:cs="宋体"/>
          <w:color w:val="000000" w:themeColor="text1"/>
          <w:highlight w:val="none"/>
          <w14:textFill>
            <w14:solidFill>
              <w14:schemeClr w14:val="tx1"/>
            </w14:solidFill>
          </w14:textFill>
        </w:rPr>
        <w:t>，登记递交了《</w:t>
      </w:r>
      <w:r>
        <w:rPr>
          <w:rFonts w:hint="default" w:ascii="宋体" w:hAnsi="宋体" w:cs="宋体"/>
          <w:color w:val="000000" w:themeColor="text1"/>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文件发售登记表》（格式详见附件）并购买</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文件的供应商，其报名才被接收</w:t>
      </w:r>
      <w:r>
        <w:rPr>
          <w:rFonts w:hint="eastAsia" w:ascii="宋体" w:hAnsi="宋体" w:cs="宋体"/>
          <w:color w:val="000000" w:themeColor="text1"/>
          <w:highlight w:val="none"/>
          <w:lang w:val="en-US" w:eastAsia="zh-CN"/>
          <w14:textFill>
            <w14:solidFill>
              <w14:schemeClr w14:val="tx1"/>
            </w14:solidFill>
          </w14:textFill>
        </w:rPr>
        <w:t>（参与项目的供应商须在投标/报价时间范围内登录行采家平台进行在线投标/报价，如未参与在线投标/报价的供应商将视作响应无效）</w:t>
      </w:r>
      <w:r>
        <w:rPr>
          <w:rFonts w:hint="eastAsia" w:ascii="宋体" w:hAnsi="宋体" w:cs="宋体"/>
          <w:color w:val="000000" w:themeColor="text1"/>
          <w:highlight w:val="none"/>
          <w14:textFill>
            <w14:solidFill>
              <w14:schemeClr w14:val="tx1"/>
            </w14:solidFill>
          </w14:textFill>
        </w:rPr>
        <w:t>。</w:t>
      </w:r>
    </w:p>
    <w:p w14:paraId="745E03F6">
      <w:pPr>
        <w:widowControl/>
        <w:wordWrap w:val="0"/>
        <w:spacing w:line="400" w:lineRule="exact"/>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（4）递交投标文件开始时间：202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cs="宋体"/>
          <w:color w:val="000000" w:themeColor="text1"/>
          <w:highlight w:val="none"/>
          <w14:textFill>
            <w14:solidFill>
              <w14:schemeClr w14:val="tx1"/>
            </w14:solidFill>
          </w14:textFill>
        </w:rPr>
        <w:t>月</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25</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09</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0时（北京时间）</w:t>
      </w:r>
    </w:p>
    <w:p w14:paraId="245DF2A2">
      <w:pPr>
        <w:widowControl/>
        <w:wordWrap w:val="0"/>
        <w:spacing w:line="400" w:lineRule="exact"/>
        <w:ind w:firstLine="1050" w:firstLine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递交投标文件截止时间：202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cs="宋体"/>
          <w:color w:val="000000" w:themeColor="text1"/>
          <w:highlight w:val="none"/>
          <w14:textFill>
            <w14:solidFill>
              <w14:schemeClr w14:val="tx1"/>
            </w14:solidFill>
          </w14:textFill>
        </w:rPr>
        <w:t>月</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25</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0时（北京时间），逾期不予受理。</w:t>
      </w:r>
    </w:p>
    <w:p w14:paraId="4AC09587">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（5）开标时间：202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07</w:t>
      </w:r>
      <w:r>
        <w:rPr>
          <w:rFonts w:hint="eastAsia" w:ascii="宋体" w:hAnsi="宋体" w:cs="宋体"/>
          <w:color w:val="000000" w:themeColor="text1"/>
          <w:highlight w:val="none"/>
          <w14:textFill>
            <w14:solidFill>
              <w14:schemeClr w14:val="tx1"/>
            </w14:solidFill>
          </w14:textFill>
        </w:rPr>
        <w:t>月</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25</w:t>
      </w:r>
      <w:r>
        <w:rPr>
          <w:rFonts w:hint="default"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日1</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0时（北京时间）。</w:t>
      </w:r>
    </w:p>
    <w:p w14:paraId="33429A6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（6）投标和开标地点：</w:t>
      </w:r>
      <w:r>
        <w:rPr>
          <w:rFonts w:hint="eastAsia" w:ascii="宋体" w:hAnsi="宋体" w:cs="宋体"/>
          <w:color w:val="000000" w:themeColor="text1"/>
          <w:highlight w:val="none"/>
          <w:lang w:val="en-US" w:eastAsia="zh-CN"/>
          <w14:textFill>
            <w14:solidFill>
              <w14:schemeClr w14:val="tx1"/>
            </w14:solidFill>
          </w14:textFill>
        </w:rPr>
        <w:t>重庆市大足区龙腾御锦物业会议室</w:t>
      </w:r>
    </w:p>
    <w:p w14:paraId="7CCCFC53">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（7）逾期送达的、未送达指定地点的或者不按照</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文件要求密封的投标文件，比选人将予以拒收。</w:t>
      </w:r>
    </w:p>
    <w:p w14:paraId="4567F05C">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45" w:name="_Toc86934191"/>
      <w:bookmarkStart w:id="46" w:name="_Toc28081"/>
      <w:r>
        <w:rPr>
          <w:rFonts w:hint="eastAsia" w:ascii="宋体" w:hAnsi="宋体" w:eastAsia="宋体" w:cs="宋体"/>
          <w:snapToGrid w:val="0"/>
          <w:color w:val="000000" w:themeColor="text1"/>
          <w:sz w:val="21"/>
          <w:szCs w:val="21"/>
          <w:highlight w:val="none"/>
          <w14:textFill>
            <w14:solidFill>
              <w14:schemeClr w14:val="tx1"/>
            </w14:solidFill>
          </w14:textFill>
        </w:rPr>
        <w:t>6.发布公告的媒介</w:t>
      </w:r>
      <w:bookmarkEnd w:id="45"/>
      <w:bookmarkEnd w:id="46"/>
    </w:p>
    <w:bookmarkEnd w:id="43"/>
    <w:bookmarkEnd w:id="44"/>
    <w:p w14:paraId="533BA1BA">
      <w:pPr>
        <w:spacing w:line="360" w:lineRule="auto"/>
        <w:ind w:firstLine="420" w:firstLineChars="200"/>
        <w:rPr>
          <w:rFonts w:ascii="宋体" w:hAnsi="宋体" w:cs="宋体"/>
          <w:color w:val="000000" w:themeColor="text1"/>
          <w:highlight w:val="none"/>
          <w14:textFill>
            <w14:solidFill>
              <w14:schemeClr w14:val="tx1"/>
            </w14:solidFill>
          </w14:textFill>
        </w:rPr>
      </w:pPr>
      <w:bookmarkStart w:id="47" w:name="_Toc440472365"/>
      <w:bookmarkStart w:id="48" w:name="_Toc375038779"/>
      <w:r>
        <w:rPr>
          <w:rFonts w:hint="eastAsia" w:ascii="宋体" w:hAnsi="宋体" w:cs="宋体"/>
          <w:color w:val="000000" w:themeColor="text1"/>
          <w:highlight w:val="none"/>
          <w14:textFill>
            <w14:solidFill>
              <w14:schemeClr w14:val="tx1"/>
            </w14:solidFill>
          </w14:textFill>
        </w:rPr>
        <w:t>本招标公告在行采家（https://www.gec123.com/）上发布。</w:t>
      </w:r>
    </w:p>
    <w:bookmarkEnd w:id="47"/>
    <w:bookmarkEnd w:id="48"/>
    <w:p w14:paraId="3F6022AC">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49" w:name="_Toc15076"/>
      <w:bookmarkStart w:id="50" w:name="_Toc86934192"/>
      <w:bookmarkStart w:id="51" w:name="_Toc27136649"/>
      <w:r>
        <w:rPr>
          <w:rFonts w:hint="eastAsia" w:ascii="宋体" w:hAnsi="宋体" w:eastAsia="宋体" w:cs="宋体"/>
          <w:snapToGrid w:val="0"/>
          <w:color w:val="000000" w:themeColor="text1"/>
          <w:sz w:val="21"/>
          <w:szCs w:val="21"/>
          <w:highlight w:val="none"/>
          <w14:textFill>
            <w14:solidFill>
              <w14:schemeClr w14:val="tx1"/>
            </w14:solidFill>
          </w14:textFill>
        </w:rPr>
        <w:t>7.联系方式</w:t>
      </w:r>
      <w:bookmarkEnd w:id="49"/>
      <w:bookmarkEnd w:id="50"/>
      <w:bookmarkEnd w:id="51"/>
    </w:p>
    <w:p w14:paraId="3465898B">
      <w:pPr>
        <w:wordWrap w:val="0"/>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比选人：</w:t>
      </w:r>
      <w:r>
        <w:rPr>
          <w:rFonts w:hint="default" w:ascii="宋体" w:hAnsi="宋体" w:cs="宋体"/>
          <w:color w:val="000000" w:themeColor="text1"/>
          <w:highlight w:val="none"/>
          <w:lang w:val="en-US" w:eastAsia="zh-CN"/>
          <w14:textFill>
            <w14:solidFill>
              <w14:schemeClr w14:val="tx1"/>
            </w14:solidFill>
          </w14:textFill>
        </w:rPr>
        <w:t>重庆互悦物业管理有限公司龙腾御锦分公司</w:t>
      </w:r>
    </w:p>
    <w:p w14:paraId="16E63D4D">
      <w:pPr>
        <w:wordWrap w:val="0"/>
        <w:spacing w:line="360" w:lineRule="auto"/>
        <w:ind w:firstLine="420" w:firstLineChars="200"/>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 马老师</w:t>
      </w:r>
    </w:p>
    <w:p w14:paraId="052DB0D8">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13251325134 </w:t>
      </w:r>
    </w:p>
    <w:p w14:paraId="7F76DBF9">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 重庆市大足区龙腾御锦 </w:t>
      </w:r>
    </w:p>
    <w:p w14:paraId="19CC86D8">
      <w:pPr>
        <w:rPr>
          <w:rFonts w:ascii="宋体" w:hAnsi="宋体" w:cs="宋体"/>
          <w:color w:val="000000" w:themeColor="text1"/>
          <w:highlight w:val="none"/>
          <w14:textFill>
            <w14:solidFill>
              <w14:schemeClr w14:val="tx1"/>
            </w14:solidFill>
          </w14:textFill>
        </w:rPr>
      </w:pPr>
    </w:p>
    <w:p w14:paraId="6F3018F3">
      <w:pPr>
        <w:spacing w:line="360" w:lineRule="auto"/>
        <w:ind w:firstLine="420" w:firstLineChars="200"/>
        <w:rPr>
          <w:rFonts w:hint="eastAsia" w:ascii="宋体" w:hAnsi="宋体" w:cs="宋体"/>
          <w:color w:val="000000" w:themeColor="text1"/>
          <w:highlight w:val="none"/>
          <w14:textFill>
            <w14:solidFill>
              <w14:schemeClr w14:val="tx1"/>
            </w14:solidFill>
          </w14:textFill>
        </w:rPr>
      </w:pPr>
    </w:p>
    <w:p w14:paraId="2F9E457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采购代理机构：</w:t>
      </w:r>
      <w:r>
        <w:rPr>
          <w:rFonts w:hint="default" w:ascii="宋体" w:hAnsi="宋体" w:cs="宋体"/>
          <w:color w:val="000000" w:themeColor="text1"/>
          <w:highlight w:val="none"/>
          <w:lang w:val="en-US" w:eastAsia="zh-CN"/>
          <w14:textFill>
            <w14:solidFill>
              <w14:schemeClr w14:val="tx1"/>
            </w14:solidFill>
          </w14:textFill>
        </w:rPr>
        <w:t>重庆耀顺工程管理咨询有限公司</w:t>
      </w:r>
    </w:p>
    <w:p w14:paraId="15FA614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  系 人：</w:t>
      </w:r>
      <w:r>
        <w:rPr>
          <w:rFonts w:hint="eastAsia" w:ascii="宋体" w:hAnsi="宋体" w:cs="宋体"/>
          <w:color w:val="000000" w:themeColor="text1"/>
          <w:highlight w:val="none"/>
          <w:lang w:val="en-US" w:eastAsia="zh-CN"/>
          <w14:textFill>
            <w14:solidFill>
              <w14:schemeClr w14:val="tx1"/>
            </w14:solidFill>
          </w14:textFill>
        </w:rPr>
        <w:t>陈</w:t>
      </w:r>
      <w:r>
        <w:rPr>
          <w:rFonts w:hint="eastAsia" w:ascii="宋体" w:hAnsi="宋体" w:cs="宋体"/>
          <w:color w:val="000000" w:themeColor="text1"/>
          <w:highlight w:val="none"/>
          <w14:textFill>
            <w14:solidFill>
              <w14:schemeClr w14:val="tx1"/>
            </w14:solidFill>
          </w14:textFill>
        </w:rPr>
        <w:t>老师</w:t>
      </w:r>
    </w:p>
    <w:p w14:paraId="4EC66FD0">
      <w:pPr>
        <w:spacing w:line="360" w:lineRule="auto"/>
        <w:ind w:firstLine="42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    话：</w:t>
      </w:r>
      <w:r>
        <w:rPr>
          <w:rFonts w:hint="eastAsia" w:ascii="宋体" w:hAnsi="宋体" w:cs="宋体"/>
          <w:color w:val="000000" w:themeColor="text1"/>
          <w:highlight w:val="none"/>
          <w:lang w:val="en-US" w:eastAsia="zh-CN"/>
          <w14:textFill>
            <w14:solidFill>
              <w14:schemeClr w14:val="tx1"/>
            </w14:solidFill>
          </w14:textFill>
        </w:rPr>
        <w:t>15823021198</w:t>
      </w:r>
    </w:p>
    <w:p w14:paraId="64EA96C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    址：</w:t>
      </w:r>
      <w:r>
        <w:rPr>
          <w:rFonts w:hint="eastAsia" w:ascii="宋体" w:hAnsi="宋体" w:cs="宋体"/>
          <w:color w:val="000000" w:themeColor="text1"/>
          <w:highlight w:val="none"/>
          <w:lang w:val="en-US" w:eastAsia="zh-CN"/>
          <w14:textFill>
            <w14:solidFill>
              <w14:schemeClr w14:val="tx1"/>
            </w14:solidFill>
          </w14:textFill>
        </w:rPr>
        <w:t xml:space="preserve">重庆市大足区五星社区四楼 </w:t>
      </w:r>
    </w:p>
    <w:p w14:paraId="5F190EE4">
      <w:pPr>
        <w:rPr>
          <w:rFonts w:ascii="宋体" w:hAnsi="宋体" w:cs="宋体"/>
          <w:color w:val="000000" w:themeColor="text1"/>
          <w:highlight w:val="none"/>
          <w14:textFill>
            <w14:solidFill>
              <w14:schemeClr w14:val="tx1"/>
            </w14:solidFill>
          </w14:textFill>
        </w:rPr>
      </w:pPr>
    </w:p>
    <w:p w14:paraId="2BC90ECA">
      <w:pPr>
        <w:pStyle w:val="16"/>
        <w:rPr>
          <w:rFonts w:ascii="宋体" w:hAnsi="宋体" w:cs="宋体"/>
          <w:color w:val="000000" w:themeColor="text1"/>
          <w:highlight w:val="none"/>
          <w14:textFill>
            <w14:solidFill>
              <w14:schemeClr w14:val="tx1"/>
            </w14:solidFill>
          </w14:textFill>
        </w:rPr>
      </w:pPr>
    </w:p>
    <w:p w14:paraId="52A21C67">
      <w:pPr>
        <w:pStyle w:val="28"/>
        <w:rPr>
          <w:rFonts w:ascii="宋体" w:hAnsi="宋体" w:cs="宋体"/>
          <w:color w:val="000000" w:themeColor="text1"/>
          <w:highlight w:val="none"/>
          <w14:textFill>
            <w14:solidFill>
              <w14:schemeClr w14:val="tx1"/>
            </w14:solidFill>
          </w14:textFill>
        </w:rPr>
      </w:pPr>
    </w:p>
    <w:p w14:paraId="77659F4F">
      <w:pPr>
        <w:rPr>
          <w:rFonts w:ascii="宋体" w:hAnsi="宋体" w:cs="宋体"/>
          <w:color w:val="000000" w:themeColor="text1"/>
          <w:highlight w:val="none"/>
          <w14:textFill>
            <w14:solidFill>
              <w14:schemeClr w14:val="tx1"/>
            </w14:solidFill>
          </w14:textFill>
        </w:rPr>
      </w:pPr>
    </w:p>
    <w:p w14:paraId="0B2AF5A5">
      <w:pPr>
        <w:spacing w:line="380" w:lineRule="exact"/>
        <w:rPr>
          <w:rFonts w:ascii="宋体" w:hAnsi="宋体" w:cs="宋体"/>
          <w:b/>
          <w:bCs/>
          <w:color w:val="000000" w:themeColor="text1"/>
          <w:sz w:val="32"/>
          <w:szCs w:val="32"/>
          <w:highlight w:val="none"/>
          <w14:textFill>
            <w14:solidFill>
              <w14:schemeClr w14:val="tx1"/>
            </w14:solidFill>
          </w14:textFill>
        </w:rPr>
      </w:pPr>
    </w:p>
    <w:p w14:paraId="132DEFEF">
      <w:pPr>
        <w:pStyle w:val="2"/>
        <w:rPr>
          <w:rFonts w:ascii="宋体" w:hAnsi="宋体" w:eastAsia="宋体" w:cs="宋体"/>
          <w:bCs/>
          <w:color w:val="000000" w:themeColor="text1"/>
          <w:sz w:val="32"/>
          <w:szCs w:val="32"/>
          <w:highlight w:val="none"/>
          <w14:textFill>
            <w14:solidFill>
              <w14:schemeClr w14:val="tx1"/>
            </w14:solidFill>
          </w14:textFill>
        </w:rPr>
      </w:pPr>
    </w:p>
    <w:p w14:paraId="38175A16">
      <w:pPr>
        <w:rPr>
          <w:color w:val="000000" w:themeColor="text1"/>
          <w:highlight w:val="none"/>
          <w14:textFill>
            <w14:solidFill>
              <w14:schemeClr w14:val="tx1"/>
            </w14:solidFill>
          </w14:textFill>
        </w:rPr>
      </w:pPr>
    </w:p>
    <w:p w14:paraId="151DBDCA">
      <w:pPr>
        <w:rPr>
          <w:color w:val="000000" w:themeColor="text1"/>
          <w:highlight w:val="none"/>
          <w14:textFill>
            <w14:solidFill>
              <w14:schemeClr w14:val="tx1"/>
            </w14:solidFill>
          </w14:textFill>
        </w:rPr>
      </w:pPr>
    </w:p>
    <w:p w14:paraId="19D1A466">
      <w:pPr>
        <w:rPr>
          <w:rStyle w:val="66"/>
          <w:rFonts w:hint="eastAsia" w:ascii="宋体" w:hAnsi="宋体" w:eastAsia="宋体" w:cs="宋体"/>
          <w:color w:val="000000" w:themeColor="text1"/>
          <w:sz w:val="32"/>
          <w:highlight w:val="none"/>
          <w14:textFill>
            <w14:solidFill>
              <w14:schemeClr w14:val="tx1"/>
            </w14:solidFill>
          </w14:textFill>
        </w:rPr>
      </w:pPr>
      <w:bookmarkStart w:id="52" w:name="_Toc86934193"/>
      <w:r>
        <w:rPr>
          <w:rStyle w:val="66"/>
          <w:rFonts w:hint="eastAsia" w:ascii="宋体" w:hAnsi="宋体" w:eastAsia="宋体" w:cs="宋体"/>
          <w:color w:val="000000" w:themeColor="text1"/>
          <w:sz w:val="32"/>
          <w:highlight w:val="none"/>
          <w14:textFill>
            <w14:solidFill>
              <w14:schemeClr w14:val="tx1"/>
            </w14:solidFill>
          </w14:textFill>
        </w:rPr>
        <w:br w:type="page"/>
      </w:r>
    </w:p>
    <w:p w14:paraId="4FDA6B47">
      <w:pPr>
        <w:pStyle w:val="2"/>
        <w:spacing w:before="0" w:after="240" w:afterLines="100" w:line="360" w:lineRule="auto"/>
        <w:jc w:val="center"/>
        <w:rPr>
          <w:rStyle w:val="66"/>
          <w:rFonts w:ascii="宋体" w:hAnsi="宋体" w:eastAsia="宋体" w:cs="宋体"/>
          <w:color w:val="000000" w:themeColor="text1"/>
          <w:sz w:val="32"/>
          <w:highlight w:val="none"/>
          <w14:textFill>
            <w14:solidFill>
              <w14:schemeClr w14:val="tx1"/>
            </w14:solidFill>
          </w14:textFill>
        </w:rPr>
      </w:pPr>
      <w:bookmarkStart w:id="53" w:name="_Toc15544"/>
      <w:r>
        <w:rPr>
          <w:rStyle w:val="66"/>
          <w:rFonts w:hint="eastAsia" w:ascii="宋体" w:hAnsi="宋体" w:eastAsia="宋体" w:cs="宋体"/>
          <w:color w:val="000000" w:themeColor="text1"/>
          <w:sz w:val="32"/>
          <w:highlight w:val="none"/>
          <w14:textFill>
            <w14:solidFill>
              <w14:schemeClr w14:val="tx1"/>
            </w14:solidFill>
          </w14:textFill>
        </w:rPr>
        <w:t>第二章 投标人须知</w:t>
      </w:r>
      <w:bookmarkEnd w:id="14"/>
      <w:bookmarkEnd w:id="15"/>
      <w:bookmarkEnd w:id="16"/>
      <w:bookmarkEnd w:id="17"/>
      <w:bookmarkEnd w:id="18"/>
      <w:bookmarkEnd w:id="19"/>
      <w:bookmarkEnd w:id="20"/>
      <w:bookmarkEnd w:id="21"/>
      <w:bookmarkEnd w:id="22"/>
      <w:bookmarkEnd w:id="52"/>
      <w:bookmarkEnd w:id="53"/>
    </w:p>
    <w:p w14:paraId="69A82499">
      <w:pPr>
        <w:pStyle w:val="2"/>
        <w:spacing w:line="360" w:lineRule="auto"/>
        <w:rPr>
          <w:rFonts w:ascii="宋体" w:hAnsi="宋体" w:eastAsia="宋体" w:cs="宋体"/>
          <w:color w:val="000000" w:themeColor="text1"/>
          <w:sz w:val="30"/>
          <w:szCs w:val="30"/>
          <w:highlight w:val="none"/>
          <w14:textFill>
            <w14:solidFill>
              <w14:schemeClr w14:val="tx1"/>
            </w14:solidFill>
          </w14:textFill>
        </w:rPr>
      </w:pPr>
      <w:bookmarkStart w:id="54" w:name="_Toc428172724"/>
      <w:bookmarkStart w:id="55" w:name="_Toc428518720"/>
      <w:bookmarkStart w:id="56" w:name="_Toc31777"/>
      <w:bookmarkStart w:id="57" w:name="_Toc338941630"/>
      <w:bookmarkStart w:id="58" w:name="_Toc370384624"/>
      <w:bookmarkStart w:id="59" w:name="_Toc419977261"/>
      <w:bookmarkStart w:id="60" w:name="_Toc419974235"/>
      <w:bookmarkStart w:id="61" w:name="_Toc86934194"/>
      <w:bookmarkStart w:id="62" w:name="_Toc430184671"/>
      <w:bookmarkStart w:id="63" w:name="_Toc419974477"/>
      <w:bookmarkStart w:id="64" w:name="_Toc430185955"/>
      <w:r>
        <w:rPr>
          <w:rFonts w:hint="eastAsia" w:ascii="宋体" w:hAnsi="宋体" w:eastAsia="宋体" w:cs="宋体"/>
          <w:color w:val="000000" w:themeColor="text1"/>
          <w:sz w:val="30"/>
          <w:szCs w:val="30"/>
          <w:highlight w:val="none"/>
          <w14:textFill>
            <w14:solidFill>
              <w14:schemeClr w14:val="tx1"/>
            </w14:solidFill>
          </w14:textFill>
        </w:rPr>
        <w:t>投标人须知前附表</w:t>
      </w:r>
      <w:bookmarkEnd w:id="54"/>
      <w:bookmarkEnd w:id="55"/>
      <w:bookmarkEnd w:id="56"/>
      <w:bookmarkEnd w:id="57"/>
      <w:bookmarkEnd w:id="58"/>
      <w:bookmarkEnd w:id="59"/>
      <w:bookmarkEnd w:id="60"/>
      <w:bookmarkEnd w:id="61"/>
      <w:bookmarkEnd w:id="62"/>
      <w:bookmarkEnd w:id="63"/>
      <w:bookmarkEnd w:id="64"/>
    </w:p>
    <w:tbl>
      <w:tblPr>
        <w:tblStyle w:val="44"/>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828"/>
        <w:gridCol w:w="7074"/>
      </w:tblGrid>
      <w:tr w14:paraId="3E88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075" w:type="dxa"/>
            <w:vAlign w:val="center"/>
          </w:tcPr>
          <w:p w14:paraId="7B188504">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条款号</w:t>
            </w:r>
          </w:p>
        </w:tc>
        <w:tc>
          <w:tcPr>
            <w:tcW w:w="1828" w:type="dxa"/>
            <w:vAlign w:val="center"/>
          </w:tcPr>
          <w:p w14:paraId="44B8D564">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7074" w:type="dxa"/>
            <w:vAlign w:val="center"/>
          </w:tcPr>
          <w:p w14:paraId="66631FA5">
            <w:pPr>
              <w:snapToGrid w:val="0"/>
              <w:spacing w:line="360" w:lineRule="auto"/>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7C32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075" w:type="dxa"/>
            <w:vAlign w:val="center"/>
          </w:tcPr>
          <w:p w14:paraId="3B4A5239">
            <w:pPr>
              <w:snapToGrid w:val="0"/>
              <w:spacing w:line="400" w:lineRule="exact"/>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r>
              <w:rPr>
                <w:rFonts w:hint="eastAsia" w:ascii="宋体" w:hAnsi="宋体" w:cs="宋体"/>
                <w:color w:val="000000" w:themeColor="text1"/>
                <w:kern w:val="0"/>
                <w:szCs w:val="21"/>
                <w:highlight w:val="none"/>
                <w:lang w:val="en-US" w:eastAsia="zh-CN"/>
                <w14:textFill>
                  <w14:solidFill>
                    <w14:schemeClr w14:val="tx1"/>
                  </w14:solidFill>
                </w14:textFill>
              </w:rPr>
              <w:t>1</w:t>
            </w:r>
          </w:p>
        </w:tc>
        <w:tc>
          <w:tcPr>
            <w:tcW w:w="1828" w:type="dxa"/>
            <w:vAlign w:val="center"/>
          </w:tcPr>
          <w:p w14:paraId="7DACC2D1">
            <w:pPr>
              <w:pStyle w:val="336"/>
              <w:spacing w:line="40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比选人</w:t>
            </w:r>
          </w:p>
        </w:tc>
        <w:tc>
          <w:tcPr>
            <w:tcW w:w="7074" w:type="dxa"/>
            <w:vAlign w:val="center"/>
          </w:tcPr>
          <w:p w14:paraId="2DFB2076">
            <w:pPr>
              <w:pStyle w:val="336"/>
              <w:spacing w:line="400" w:lineRule="exact"/>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比选人：</w:t>
            </w:r>
            <w:r>
              <w:rPr>
                <w:rFonts w:hint="default" w:ascii="宋体" w:hAnsi="宋体" w:cs="宋体"/>
                <w:color w:val="000000" w:themeColor="text1"/>
                <w:sz w:val="21"/>
                <w:szCs w:val="21"/>
                <w:highlight w:val="none"/>
                <w:lang w:val="en-US" w:eastAsia="zh-CN"/>
                <w14:textFill>
                  <w14:solidFill>
                    <w14:schemeClr w14:val="tx1"/>
                  </w14:solidFill>
                </w14:textFill>
              </w:rPr>
              <w:t>重庆互悦物业管理有限公司龙腾御锦分公司</w:t>
            </w:r>
          </w:p>
          <w:p w14:paraId="1DF981C3">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马老师</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14:paraId="56F0610B">
            <w:pPr>
              <w:wordWrap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cs="宋体" w:asciiTheme="minorEastAsia" w:hAnsiTheme="minorEastAsia" w:eastAsiaTheme="minorEastAsia"/>
                <w:snapToGrid w:val="0"/>
                <w:color w:val="000000" w:themeColor="text1"/>
                <w:kern w:val="0"/>
                <w:szCs w:val="21"/>
                <w:highlight w:val="none"/>
                <w:u w:val="single"/>
                <w:lang w:val="en-US" w:eastAsia="zh-CN"/>
                <w14:textFill>
                  <w14:solidFill>
                    <w14:schemeClr w14:val="tx1"/>
                  </w14:solidFill>
                </w14:textFill>
              </w:rPr>
              <w:t xml:space="preserve">13251325134 </w:t>
            </w:r>
          </w:p>
          <w:p w14:paraId="6F35C5DA">
            <w:pPr>
              <w:pStyle w:val="336"/>
              <w:spacing w:line="400" w:lineRule="exact"/>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lang w:val="en-US" w:eastAsia="zh-CN"/>
                <w14:textFill>
                  <w14:solidFill>
                    <w14:schemeClr w14:val="tx1"/>
                  </w14:solidFill>
                </w14:textFill>
              </w:rPr>
              <w:t xml:space="preserve"> 重庆市大足区龙腾御锦 </w:t>
            </w:r>
          </w:p>
        </w:tc>
      </w:tr>
      <w:tr w14:paraId="0E9C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75" w:type="dxa"/>
            <w:vAlign w:val="center"/>
          </w:tcPr>
          <w:p w14:paraId="74AF59AD">
            <w:pPr>
              <w:snapToGrid w:val="0"/>
              <w:spacing w:line="400" w:lineRule="exac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1.1.2</w:t>
            </w:r>
          </w:p>
        </w:tc>
        <w:tc>
          <w:tcPr>
            <w:tcW w:w="1828" w:type="dxa"/>
            <w:vAlign w:val="center"/>
          </w:tcPr>
          <w:p w14:paraId="7177AE3A">
            <w:pPr>
              <w:pStyle w:val="336"/>
              <w:spacing w:line="40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采购代理机构</w:t>
            </w:r>
          </w:p>
        </w:tc>
        <w:tc>
          <w:tcPr>
            <w:tcW w:w="7074" w:type="dxa"/>
            <w:vAlign w:val="center"/>
          </w:tcPr>
          <w:p w14:paraId="07090D73">
            <w:pPr>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采购代理机构：</w:t>
            </w:r>
            <w:r>
              <w:rPr>
                <w:rFonts w:hint="default" w:ascii="宋体" w:hAnsi="宋体" w:cs="宋体"/>
                <w:color w:val="000000" w:themeColor="text1"/>
                <w:kern w:val="0"/>
                <w:sz w:val="21"/>
                <w:szCs w:val="21"/>
                <w:highlight w:val="none"/>
                <w:lang w:val="en-US" w:eastAsia="zh-CN" w:bidi="ar-SA"/>
                <w14:textFill>
                  <w14:solidFill>
                    <w14:schemeClr w14:val="tx1"/>
                  </w14:solidFill>
                </w14:textFill>
              </w:rPr>
              <w:t>重庆耀顺工程管理咨询有限公司</w:t>
            </w:r>
          </w:p>
          <w:p w14:paraId="75536CBE">
            <w:pPr>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联系人：</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陈</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老师</w:t>
            </w:r>
          </w:p>
          <w:p w14:paraId="7077785E">
            <w:pPr>
              <w:spacing w:line="360" w:lineRule="auto"/>
              <w:ind w:firstLine="420" w:firstLineChars="200"/>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电  话：1</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5823021198</w:t>
            </w:r>
          </w:p>
          <w:p w14:paraId="117FC4C9">
            <w:pPr>
              <w:pStyle w:val="336"/>
              <w:spacing w:line="400" w:lineRule="exact"/>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地  址：</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 xml:space="preserve">重庆市大足区五星社区四楼 </w:t>
            </w:r>
          </w:p>
        </w:tc>
      </w:tr>
      <w:tr w14:paraId="60F7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20693696">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828" w:type="dxa"/>
            <w:vAlign w:val="center"/>
          </w:tcPr>
          <w:p w14:paraId="31D893B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7074" w:type="dxa"/>
            <w:vAlign w:val="center"/>
          </w:tcPr>
          <w:p w14:paraId="43BE88A6">
            <w:pPr>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重庆市大足区龙腾御锦24、25栋外墙维修工程（第二次）</w:t>
            </w:r>
          </w:p>
        </w:tc>
      </w:tr>
      <w:tr w14:paraId="1B4D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75" w:type="dxa"/>
            <w:vAlign w:val="center"/>
          </w:tcPr>
          <w:p w14:paraId="6645926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828" w:type="dxa"/>
            <w:vAlign w:val="center"/>
          </w:tcPr>
          <w:p w14:paraId="1DB3FB7B">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7074" w:type="dxa"/>
            <w:vAlign w:val="center"/>
          </w:tcPr>
          <w:p w14:paraId="6D01404B">
            <w:pPr>
              <w:pStyle w:val="364"/>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 xml:space="preserve">重庆市大足区龙腾御锦 </w:t>
            </w:r>
          </w:p>
        </w:tc>
      </w:tr>
      <w:tr w14:paraId="0B72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0D7C168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828" w:type="dxa"/>
            <w:vAlign w:val="center"/>
          </w:tcPr>
          <w:p w14:paraId="152AA65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建设规模</w:t>
            </w:r>
          </w:p>
        </w:tc>
        <w:tc>
          <w:tcPr>
            <w:tcW w:w="7074" w:type="dxa"/>
            <w:vAlign w:val="center"/>
          </w:tcPr>
          <w:p w14:paraId="4AF0B3F4">
            <w:pPr>
              <w:keepNext/>
              <w:adjustRightInd w:val="0"/>
              <w:snapToGrid w:val="0"/>
              <w:spacing w:line="400" w:lineRule="exact"/>
              <w:ind w:firstLine="420" w:firstLineChars="200"/>
              <w:jc w:val="left"/>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pP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①对墙面开裂空鼓的地方用切割机进行剔除；</w:t>
            </w:r>
          </w:p>
          <w:p w14:paraId="3B584D14">
            <w:pPr>
              <w:keepNext/>
              <w:adjustRightInd w:val="0"/>
              <w:snapToGrid w:val="0"/>
              <w:spacing w:line="400" w:lineRule="exact"/>
              <w:ind w:firstLine="420" w:firstLineChars="200"/>
              <w:jc w:val="left"/>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pP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②对切除部分用抹灰或抗裂砂浆恢复找平挂钢丝网;</w:t>
            </w:r>
          </w:p>
          <w:p w14:paraId="69EA9746">
            <w:pPr>
              <w:keepNext/>
              <w:adjustRightInd w:val="0"/>
              <w:snapToGrid w:val="0"/>
              <w:spacing w:line="400" w:lineRule="exact"/>
              <w:ind w:firstLine="420" w:firstLineChars="200"/>
              <w:jc w:val="left"/>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pP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③对切除部分用防水涂料底漆涂刷 ，增强附着力，涂刷干燥后再涂第二层防水涂料。</w:t>
            </w:r>
          </w:p>
          <w:p w14:paraId="14C9FD87">
            <w:pPr>
              <w:keepNext/>
              <w:adjustRightInd w:val="0"/>
              <w:snapToGrid w:val="0"/>
              <w:spacing w:line="400" w:lineRule="exact"/>
              <w:ind w:firstLine="420" w:firstLineChars="200"/>
              <w:jc w:val="left"/>
              <w:rPr>
                <w:rFonts w:hint="default"/>
                <w:lang w:val="en-US"/>
              </w:rPr>
            </w:pPr>
            <w:r>
              <w:rPr>
                <w:rFonts w:hint="default" w:asciiTheme="minorEastAsia" w:hAnsiTheme="minorEastAsia" w:eastAsiaTheme="minorEastAsia"/>
                <w:snapToGrid w:val="0"/>
                <w:color w:val="000000" w:themeColor="text1"/>
                <w:kern w:val="0"/>
                <w:szCs w:val="21"/>
                <w:highlight w:val="none"/>
                <w:u w:val="none"/>
                <w:lang w:val="en-US" w:eastAsia="zh-CN"/>
                <w14:textFill>
                  <w14:solidFill>
                    <w14:schemeClr w14:val="tx1"/>
                  </w14:solidFill>
                </w14:textFill>
              </w:rPr>
              <w:t>④对整改部分进行外墙刷漆2遍；在整改的区域进行安全警戒，并布置防护网靠墙安全设施，保证业主生命财产安全。施工范围包括完成本项目相关的所有施工内容，具体施工内容以项目业主根据施工现场情况确定。具体详见工程量清单。</w:t>
            </w:r>
          </w:p>
        </w:tc>
      </w:tr>
      <w:tr w14:paraId="09BF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5" w:type="dxa"/>
            <w:vAlign w:val="center"/>
          </w:tcPr>
          <w:p w14:paraId="2FDDB38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828" w:type="dxa"/>
            <w:vAlign w:val="center"/>
          </w:tcPr>
          <w:p w14:paraId="1FB9AF44">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7074" w:type="dxa"/>
            <w:vAlign w:val="center"/>
          </w:tcPr>
          <w:p w14:paraId="00BAC208">
            <w:pPr>
              <w:pStyle w:val="364"/>
              <w:spacing w:line="400" w:lineRule="exact"/>
              <w:ind w:firstLine="420" w:firstLineChars="200"/>
              <w:rPr>
                <w:rFonts w:hint="default"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自筹资金</w:t>
            </w:r>
          </w:p>
        </w:tc>
      </w:tr>
      <w:tr w14:paraId="5DD8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30A4B48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828" w:type="dxa"/>
            <w:vAlign w:val="center"/>
          </w:tcPr>
          <w:p w14:paraId="692468B5">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7074" w:type="dxa"/>
            <w:vAlign w:val="center"/>
          </w:tcPr>
          <w:p w14:paraId="44A3E885">
            <w:pPr>
              <w:autoSpaceDE w:val="0"/>
              <w:autoSpaceDN w:val="0"/>
              <w:adjustRightInd w:val="0"/>
              <w:snapToGrid w:val="0"/>
              <w:spacing w:line="40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100%</w:t>
            </w:r>
          </w:p>
        </w:tc>
      </w:tr>
      <w:tr w14:paraId="3EE4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6B44337D">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828" w:type="dxa"/>
            <w:vAlign w:val="center"/>
          </w:tcPr>
          <w:p w14:paraId="18E1DD6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7074" w:type="dxa"/>
            <w:vAlign w:val="center"/>
          </w:tcPr>
          <w:p w14:paraId="09D6D706">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themeFill="background1"/>
                <w14:textFill>
                  <w14:solidFill>
                    <w14:schemeClr w14:val="tx1"/>
                  </w14:solidFill>
                </w14:textFill>
              </w:rPr>
              <w:t>已落实</w:t>
            </w:r>
          </w:p>
        </w:tc>
      </w:tr>
      <w:tr w14:paraId="4B9D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5" w:type="dxa"/>
            <w:vAlign w:val="center"/>
          </w:tcPr>
          <w:p w14:paraId="207D1A66">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828" w:type="dxa"/>
            <w:vAlign w:val="center"/>
          </w:tcPr>
          <w:p w14:paraId="2A752D4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7074" w:type="dxa"/>
            <w:vAlign w:val="center"/>
          </w:tcPr>
          <w:p w14:paraId="23B4AE07">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比选文件及补答疑所包含的所有内容（具体详见工程量清单）。</w:t>
            </w:r>
          </w:p>
        </w:tc>
      </w:tr>
      <w:tr w14:paraId="36C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4E8D7C6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828" w:type="dxa"/>
            <w:vAlign w:val="center"/>
          </w:tcPr>
          <w:p w14:paraId="6FB0EBD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计划工期</w:t>
            </w:r>
          </w:p>
        </w:tc>
        <w:tc>
          <w:tcPr>
            <w:tcW w:w="7074" w:type="dxa"/>
            <w:vAlign w:val="center"/>
          </w:tcPr>
          <w:p w14:paraId="5AD47E0D">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签订合同后</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0日历天内完成</w:t>
            </w:r>
            <w:r>
              <w:rPr>
                <w:rFonts w:hint="eastAsia" w:ascii="宋体" w:hAnsi="宋体" w:cs="宋体"/>
                <w:color w:val="000000" w:themeColor="text1"/>
                <w:szCs w:val="21"/>
                <w:highlight w:val="none"/>
                <w:lang w:eastAsia="zh-CN"/>
                <w14:textFill>
                  <w14:solidFill>
                    <w14:schemeClr w14:val="tx1"/>
                  </w14:solidFill>
                </w14:textFill>
              </w:rPr>
              <w:t>。</w:t>
            </w:r>
          </w:p>
        </w:tc>
      </w:tr>
      <w:tr w14:paraId="73A9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831595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1.3.3</w:t>
            </w:r>
          </w:p>
        </w:tc>
        <w:tc>
          <w:tcPr>
            <w:tcW w:w="1828" w:type="dxa"/>
            <w:vAlign w:val="center"/>
          </w:tcPr>
          <w:p w14:paraId="7666F25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7074" w:type="dxa"/>
            <w:vAlign w:val="center"/>
          </w:tcPr>
          <w:p w14:paraId="7A308DD8">
            <w:pPr>
              <w:autoSpaceDE w:val="0"/>
              <w:autoSpaceDN w:val="0"/>
              <w:adjustRightInd w:val="0"/>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工程质量符合国家和重庆市现行有关施工质量验收规范和标准要求，并达到</w:t>
            </w:r>
            <w:r>
              <w:rPr>
                <w:rFonts w:hint="eastAsia" w:ascii="宋体" w:hAnsi="宋体" w:cs="宋体"/>
                <w:color w:val="000000" w:themeColor="text1"/>
                <w:kern w:val="0"/>
                <w:szCs w:val="21"/>
                <w:highlight w:val="none"/>
                <w:u w:val="single"/>
                <w14:textFill>
                  <w14:solidFill>
                    <w14:schemeClr w14:val="tx1"/>
                  </w14:solidFill>
                </w14:textFill>
              </w:rPr>
              <w:t>合格</w:t>
            </w:r>
            <w:r>
              <w:rPr>
                <w:rFonts w:hint="eastAsia" w:ascii="宋体" w:hAnsi="宋体" w:cs="宋体"/>
                <w:color w:val="000000" w:themeColor="text1"/>
                <w:kern w:val="0"/>
                <w:szCs w:val="21"/>
                <w:highlight w:val="none"/>
                <w14:textFill>
                  <w14:solidFill>
                    <w14:schemeClr w14:val="tx1"/>
                  </w14:solidFill>
                </w14:textFill>
              </w:rPr>
              <w:t>标准。</w:t>
            </w:r>
          </w:p>
        </w:tc>
      </w:tr>
      <w:tr w14:paraId="2B5B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F5D942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0EF7FAA0">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3FA14AA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p>
          <w:p w14:paraId="52DB1799">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tc>
        <w:tc>
          <w:tcPr>
            <w:tcW w:w="1828" w:type="dxa"/>
            <w:vAlign w:val="center"/>
          </w:tcPr>
          <w:p w14:paraId="1A4E8B0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投标人资质条件</w:t>
            </w:r>
          </w:p>
        </w:tc>
        <w:tc>
          <w:tcPr>
            <w:tcW w:w="7074" w:type="dxa"/>
            <w:vAlign w:val="center"/>
          </w:tcPr>
          <w:p w14:paraId="19D74398">
            <w:pPr>
              <w:keepNext/>
              <w:adjustRightInd w:val="0"/>
              <w:snapToGrid w:val="0"/>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1.本次招标实行资格后审，要求投标人应满足下列条件：</w:t>
            </w:r>
          </w:p>
          <w:p w14:paraId="4277869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（1）投标人必须具有独立法人资格。（提供营业执照副本复印件加盖投标人公章）</w:t>
            </w:r>
          </w:p>
          <w:p w14:paraId="307B6BFE">
            <w:pPr>
              <w:spacing w:line="360" w:lineRule="auto"/>
              <w:ind w:firstLine="420" w:firstLineChars="200"/>
              <w:rPr>
                <w:color w:val="000000" w:themeColor="text1"/>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须具备</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建设行政主管部门颁发的有效的建筑工程施工</w:t>
            </w:r>
            <w:r>
              <w:rPr>
                <w:rFonts w:hint="eastAsia" w:asciiTheme="minorEastAsia" w:hAnsiTheme="minorEastAsia" w:eastAsiaTheme="minorEastAsia"/>
                <w:snapToGrid w:val="0"/>
                <w:color w:val="000000" w:themeColor="text1"/>
                <w:kern w:val="0"/>
                <w:szCs w:val="21"/>
                <w:highlight w:val="none"/>
                <w:u w:val="single"/>
                <w:lang w:eastAsia="zh-CN"/>
                <w14:textFill>
                  <w14:solidFill>
                    <w14:schemeClr w14:val="tx1"/>
                  </w14:solidFill>
                </w14:textFill>
              </w:rPr>
              <w:t>总承包</w:t>
            </w:r>
            <w:r>
              <w:rPr>
                <w:rFonts w:hint="eastAsia" w:asciiTheme="minorEastAsia" w:hAnsiTheme="minorEastAsia" w:eastAsiaTheme="minorEastAsia"/>
                <w:snapToGrid w:val="0"/>
                <w:color w:val="000000" w:themeColor="text1"/>
                <w:kern w:val="0"/>
                <w:szCs w:val="21"/>
                <w:highlight w:val="none"/>
                <w:u w:val="single"/>
                <w14:textFill>
                  <w14:solidFill>
                    <w14:schemeClr w14:val="tx1"/>
                  </w14:solidFill>
                </w14:textFill>
              </w:rPr>
              <w:t>叁级及以上资质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（提供有效的资质证书副本</w:t>
            </w:r>
            <w:r>
              <w:rPr>
                <w:rFonts w:hint="eastAsia"/>
                <w:color w:val="000000" w:themeColor="text1"/>
                <w14:textFill>
                  <w14:solidFill>
                    <w14:schemeClr w14:val="tx1"/>
                  </w14:solidFill>
                </w14:textFill>
              </w:rPr>
              <w:t>复印件加盖投标人公章）</w:t>
            </w:r>
          </w:p>
          <w:p w14:paraId="07F26EFE">
            <w:pPr>
              <w:spacing w:line="360" w:lineRule="auto"/>
              <w:ind w:firstLine="420" w:firstLineChars="200"/>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须具备建设行政主管部门颁发的有效的安全生产许可证。（提供有效的安全生产许可证副本复印件加盖投标人公章）</w:t>
            </w:r>
          </w:p>
          <w:p w14:paraId="279E6F0B">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）投标人在“信用中国”（www.creditchina.gov.cn）网站中未被列入失信被执行人。（以发布公告之后查询结果为准，打印查询页面并加盖投标人公章）</w:t>
            </w:r>
          </w:p>
          <w:p w14:paraId="5FA9A2D9">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2.本项目不接受联合体投标。</w:t>
            </w:r>
          </w:p>
          <w:p w14:paraId="01C19E84">
            <w:pPr>
              <w:spacing w:line="360" w:lineRule="auto"/>
              <w:ind w:firstLine="422"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lang w:val="en-US" w:eastAsia="zh-CN"/>
                <w14:textFill>
                  <w14:solidFill>
                    <w14:schemeClr w14:val="tx1"/>
                  </w14:solidFill>
                </w14:textFill>
              </w:rPr>
              <w:t xml:space="preserve">.其他要求 </w:t>
            </w:r>
            <w:r>
              <w:rPr>
                <w:rFonts w:hint="eastAsia" w:ascii="宋体" w:hAnsi="宋体" w:eastAsia="宋体" w:cs="宋体"/>
                <w:color w:val="000000" w:themeColor="text1"/>
                <w:lang w:val="en-US" w:eastAsia="zh-CN"/>
                <w14:textFill>
                  <w14:solidFill>
                    <w14:schemeClr w14:val="tx1"/>
                  </w14:solidFill>
                </w14:textFill>
              </w:rPr>
              <w:t xml:space="preserve"> </w:t>
            </w:r>
          </w:p>
          <w:p w14:paraId="0C082852">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造成损失的，投标人依法承担违约赔偿责任。 </w:t>
            </w:r>
          </w:p>
          <w:p w14:paraId="1B979E28">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投标人须在投标文件资格审查部分提供承诺（承诺格式见第</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lang w:val="en-US" w:eastAsia="zh-CN"/>
                <w14:textFill>
                  <w14:solidFill>
                    <w14:schemeClr w14:val="tx1"/>
                  </w14:solidFill>
                </w14:textFill>
              </w:rPr>
              <w:t>章投标文件格式）。</w:t>
            </w:r>
          </w:p>
          <w:p w14:paraId="676FE88E">
            <w:pPr>
              <w:spacing w:line="360" w:lineRule="auto"/>
              <w:ind w:firstLine="422" w:firstLineChars="200"/>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 xml:space="preserve">特别说明： </w:t>
            </w:r>
          </w:p>
          <w:p w14:paraId="41352F77">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（1）上述</w:t>
            </w:r>
            <w:r>
              <w:rPr>
                <w:rFonts w:hint="eastAsia" w:ascii="宋体" w:hAnsi="宋体" w:cs="宋体"/>
                <w:color w:val="000000" w:themeColor="text1"/>
                <w:lang w:val="en-US" w:eastAsia="zh-CN"/>
                <w14:textFill>
                  <w14:solidFill>
                    <w14:schemeClr w14:val="tx1"/>
                  </w14:solidFill>
                </w14:textFill>
              </w:rPr>
              <w:t>其他要求中</w:t>
            </w:r>
            <w:r>
              <w:rPr>
                <w:rFonts w:hint="eastAsia" w:ascii="宋体" w:hAnsi="宋体" w:eastAsia="宋体" w:cs="宋体"/>
                <w:color w:val="000000" w:themeColor="text1"/>
                <w:lang w:val="en-US" w:eastAsia="zh-CN"/>
                <w14:textFill>
                  <w14:solidFill>
                    <w14:schemeClr w14:val="tx1"/>
                  </w14:solidFill>
                </w14:textFill>
              </w:rPr>
              <w:t>所须提交的相关证明材料均为扫描件（扫描件须清晰可辨），且均应加盖投标人合法的电子印章并编入投标文件资格审查部分中，</w:t>
            </w:r>
            <w:r>
              <w:rPr>
                <w:rFonts w:hint="eastAsia" w:ascii="宋体" w:hAnsi="宋体" w:cs="宋体"/>
                <w:color w:val="000000" w:themeColor="text1"/>
                <w:lang w:val="en-US" w:eastAsia="zh-CN"/>
                <w14:textFill>
                  <w14:solidFill>
                    <w14:schemeClr w14:val="tx1"/>
                  </w14:solidFill>
                </w14:textFill>
              </w:rPr>
              <w:t>其他要求中</w:t>
            </w:r>
            <w:r>
              <w:rPr>
                <w:rFonts w:hint="eastAsia" w:ascii="宋体" w:hAnsi="宋体" w:eastAsia="宋体" w:cs="宋体"/>
                <w:color w:val="000000" w:themeColor="text1"/>
                <w:lang w:val="en-US" w:eastAsia="zh-CN"/>
                <w14:textFill>
                  <w14:solidFill>
                    <w14:schemeClr w14:val="tx1"/>
                  </w14:solidFill>
                </w14:textFill>
              </w:rPr>
              <w:t xml:space="preserve">有一条不满足则投标文件由评标委员会作否决投标处理。 </w:t>
            </w:r>
          </w:p>
          <w:p w14:paraId="5B5B604B">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（2）投标人须自行承诺其提供的上述相关证明材料真实有效，不存在弄虚作假情形（格式见第</w:t>
            </w:r>
            <w:r>
              <w:rPr>
                <w:rFonts w:hint="eastAsia" w:ascii="宋体" w:hAnsi="宋体" w:cs="宋体"/>
                <w:color w:val="000000" w:themeColor="text1"/>
                <w:lang w:val="en-US" w:eastAsia="zh-CN"/>
                <w14:textFill>
                  <w14:solidFill>
                    <w14:schemeClr w14:val="tx1"/>
                  </w14:solidFill>
                </w14:textFill>
              </w:rPr>
              <w:t>七</w:t>
            </w:r>
            <w:r>
              <w:rPr>
                <w:rFonts w:hint="eastAsia" w:ascii="宋体" w:hAnsi="宋体" w:eastAsia="宋体" w:cs="宋体"/>
                <w:color w:val="000000" w:themeColor="text1"/>
                <w:lang w:val="en-US" w:eastAsia="zh-CN"/>
                <w14:textFill>
                  <w14:solidFill>
                    <w14:schemeClr w14:val="tx1"/>
                  </w14:solidFill>
                </w14:textFill>
              </w:rPr>
              <w:t xml:space="preserve">章投标文件格式）。在合同签订前均有权对投标人提供的资料（如业绩截图信息等相关证明材料）进行核实，若发现弄虚作假，取消其中标资格，并按相关法律法规报招标投标监督部门处理，其投标保证金不予退还，投标人承担因此造成的相关责任并赔偿相应损失。 </w:t>
            </w:r>
          </w:p>
          <w:p w14:paraId="670AA372">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（3）本招标文件中所要求的人员养老保险证明要求如下： </w:t>
            </w:r>
          </w:p>
          <w:p w14:paraId="7F82D007">
            <w:pPr>
              <w:spacing w:line="360" w:lineRule="auto"/>
              <w:ind w:firstLine="420" w:firstLine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①社会单位提供养老保险证明，事业单位提供养老保险证明或行政主管部门在编证明。 </w:t>
            </w:r>
          </w:p>
          <w:p w14:paraId="33B4D95B">
            <w:pPr>
              <w:spacing w:line="360" w:lineRule="auto"/>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②项目管理人员的养老保险证明期限为 2024 年</w:t>
            </w:r>
            <w:r>
              <w:rPr>
                <w:rFonts w:hint="eastAsia" w:ascii="宋体" w:hAnsi="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lang w:val="en-US" w:eastAsia="zh-CN"/>
                <w14:textFill>
                  <w14:solidFill>
                    <w14:schemeClr w14:val="tx1"/>
                  </w14:solidFill>
                </w14:textFill>
              </w:rPr>
              <w:t xml:space="preserve"> 月至 2025 年 </w:t>
            </w:r>
            <w:r>
              <w:rPr>
                <w:rFonts w:hint="eastAsia" w:ascii="宋体" w:hAnsi="宋体" w:cs="宋体"/>
                <w:color w:val="000000" w:themeColor="text1"/>
                <w:lang w:val="en-US" w:eastAsia="zh-CN"/>
                <w14:textFill>
                  <w14:solidFill>
                    <w14:schemeClr w14:val="tx1"/>
                  </w14:solidFill>
                </w14:textFill>
              </w:rPr>
              <w:t>06</w:t>
            </w:r>
            <w:r>
              <w:rPr>
                <w:rFonts w:hint="eastAsia" w:ascii="宋体" w:hAnsi="宋体" w:eastAsia="宋体" w:cs="宋体"/>
                <w:color w:val="000000" w:themeColor="text1"/>
                <w:lang w:val="en-US" w:eastAsia="zh-CN"/>
                <w14:textFill>
                  <w14:solidFill>
                    <w14:schemeClr w14:val="tx1"/>
                  </w14:solidFill>
                </w14:textFill>
              </w:rPr>
              <w:t>月的连续养老保险。提供的养老保险参保证明（个人），必须包含身份证号（或社保号）和参保基本情况、参保缴费明细（养老保险），并带有社保部门公章或社保部门的有效电子印章。</w:t>
            </w:r>
          </w:p>
        </w:tc>
      </w:tr>
      <w:tr w14:paraId="0FBD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E33EC27">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828" w:type="dxa"/>
            <w:vAlign w:val="center"/>
          </w:tcPr>
          <w:p w14:paraId="282E0847">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是否接受联合体投标</w:t>
            </w:r>
          </w:p>
        </w:tc>
        <w:tc>
          <w:tcPr>
            <w:tcW w:w="7074" w:type="dxa"/>
            <w:vAlign w:val="center"/>
          </w:tcPr>
          <w:p w14:paraId="2DD8D06C">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不接受。</w:t>
            </w:r>
          </w:p>
        </w:tc>
      </w:tr>
      <w:tr w14:paraId="0396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75" w:type="dxa"/>
            <w:vAlign w:val="center"/>
          </w:tcPr>
          <w:p w14:paraId="04754E2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828" w:type="dxa"/>
            <w:vAlign w:val="center"/>
          </w:tcPr>
          <w:p w14:paraId="50BD5442">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7074" w:type="dxa"/>
            <w:vAlign w:val="center"/>
          </w:tcPr>
          <w:p w14:paraId="00C697BD">
            <w:pPr>
              <w:snapToGrid w:val="0"/>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tc>
      </w:tr>
      <w:tr w14:paraId="5B05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75" w:type="dxa"/>
            <w:vAlign w:val="center"/>
          </w:tcPr>
          <w:p w14:paraId="297CA5B4">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828" w:type="dxa"/>
            <w:vAlign w:val="center"/>
          </w:tcPr>
          <w:p w14:paraId="6016AB29">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投标预备会</w:t>
            </w:r>
          </w:p>
        </w:tc>
        <w:tc>
          <w:tcPr>
            <w:tcW w:w="7074" w:type="dxa"/>
            <w:vAlign w:val="center"/>
          </w:tcPr>
          <w:p w14:paraId="5AF5D68E">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不召开。</w:t>
            </w:r>
          </w:p>
        </w:tc>
      </w:tr>
      <w:tr w14:paraId="28F7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4B5C997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828" w:type="dxa"/>
            <w:vAlign w:val="center"/>
          </w:tcPr>
          <w:p w14:paraId="54D7071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7074" w:type="dxa"/>
            <w:vAlign w:val="center"/>
          </w:tcPr>
          <w:p w14:paraId="6253073E">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tc>
      </w:tr>
      <w:tr w14:paraId="1718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5" w:type="dxa"/>
            <w:vAlign w:val="center"/>
          </w:tcPr>
          <w:p w14:paraId="69BF7BF6">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1.12</w:t>
            </w:r>
          </w:p>
        </w:tc>
        <w:tc>
          <w:tcPr>
            <w:tcW w:w="1828" w:type="dxa"/>
            <w:vAlign w:val="center"/>
          </w:tcPr>
          <w:p w14:paraId="640A7D85">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允许投标文件偏离范围和幅度</w:t>
            </w:r>
          </w:p>
        </w:tc>
        <w:tc>
          <w:tcPr>
            <w:tcW w:w="7074" w:type="dxa"/>
            <w:vAlign w:val="center"/>
          </w:tcPr>
          <w:p w14:paraId="3DA23A2C">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不允许。</w:t>
            </w:r>
          </w:p>
        </w:tc>
      </w:tr>
      <w:tr w14:paraId="4489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75" w:type="dxa"/>
            <w:vAlign w:val="center"/>
          </w:tcPr>
          <w:p w14:paraId="575D68CF">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w:t>
            </w:r>
          </w:p>
        </w:tc>
        <w:tc>
          <w:tcPr>
            <w:tcW w:w="1828" w:type="dxa"/>
            <w:vAlign w:val="center"/>
          </w:tcPr>
          <w:p w14:paraId="2AF2D77E">
            <w:pPr>
              <w:spacing w:line="3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比选文件的组成</w:t>
            </w:r>
          </w:p>
        </w:tc>
        <w:tc>
          <w:tcPr>
            <w:tcW w:w="7074" w:type="dxa"/>
            <w:vAlign w:val="center"/>
          </w:tcPr>
          <w:p w14:paraId="4FC11023">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第一章 比选公告</w:t>
            </w:r>
          </w:p>
          <w:p w14:paraId="06779D8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第二章 投标人须知</w:t>
            </w:r>
          </w:p>
          <w:p w14:paraId="53BEA611">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第三章 评标办法</w:t>
            </w:r>
          </w:p>
          <w:p w14:paraId="68C530A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第四章 合同条款及格式</w:t>
            </w:r>
          </w:p>
          <w:p w14:paraId="1B3FE420">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第五章 技术要求</w:t>
            </w:r>
          </w:p>
          <w:p w14:paraId="6EC391B5">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商务需求</w:t>
            </w:r>
          </w:p>
          <w:p w14:paraId="676081F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第七章 投标文件格式</w:t>
            </w:r>
          </w:p>
        </w:tc>
      </w:tr>
      <w:tr w14:paraId="7FE2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075" w:type="dxa"/>
            <w:vAlign w:val="center"/>
          </w:tcPr>
          <w:p w14:paraId="243B65FC">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w:t>
            </w:r>
          </w:p>
        </w:tc>
        <w:tc>
          <w:tcPr>
            <w:tcW w:w="1828" w:type="dxa"/>
            <w:vAlign w:val="center"/>
          </w:tcPr>
          <w:p w14:paraId="537D9F0E">
            <w:pPr>
              <w:spacing w:line="3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比选文件的澄清和修改</w:t>
            </w:r>
          </w:p>
        </w:tc>
        <w:tc>
          <w:tcPr>
            <w:tcW w:w="7074" w:type="dxa"/>
            <w:vAlign w:val="center"/>
          </w:tcPr>
          <w:p w14:paraId="6708A507">
            <w:pPr>
              <w:pStyle w:val="16"/>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投标人在下载比选文件后，若对本比选文件有疑问需要进行澄清时，请书面通知比选人，截止时间202</w:t>
            </w:r>
            <w:r>
              <w:rPr>
                <w:rFonts w:hint="eastAsia" w:ascii="宋体" w:hAnsi="宋体" w:cs="宋体"/>
                <w:color w:val="000000" w:themeColor="text1"/>
                <w:sz w:val="21"/>
                <w:highlight w:val="none"/>
                <w:lang w:val="en-US" w:eastAsia="zh-CN"/>
                <w14:textFill>
                  <w14:solidFill>
                    <w14:schemeClr w14:val="tx1"/>
                  </w14:solidFill>
                </w14:textFill>
              </w:rPr>
              <w:t>5</w:t>
            </w:r>
            <w:r>
              <w:rPr>
                <w:rFonts w:hint="eastAsia" w:ascii="宋体" w:hAnsi="宋体" w:cs="宋体"/>
                <w:color w:val="000000" w:themeColor="text1"/>
                <w:sz w:val="21"/>
                <w:highlight w:val="none"/>
                <w14:textFill>
                  <w14:solidFill>
                    <w14:schemeClr w14:val="tx1"/>
                  </w14:solidFill>
                </w14:textFill>
              </w:rPr>
              <w:t>年</w:t>
            </w:r>
            <w:r>
              <w:rPr>
                <w:rFonts w:hint="eastAsia" w:ascii="宋体" w:hAnsi="宋体" w:cs="宋体"/>
                <w:color w:val="000000" w:themeColor="text1"/>
                <w:sz w:val="21"/>
                <w:highlight w:val="none"/>
                <w:lang w:val="en-US" w:eastAsia="zh-CN"/>
                <w14:textFill>
                  <w14:solidFill>
                    <w14:schemeClr w14:val="tx1"/>
                  </w14:solidFill>
                </w14:textFill>
              </w:rPr>
              <w:t>07</w:t>
            </w:r>
            <w:r>
              <w:rPr>
                <w:rFonts w:hint="eastAsia" w:ascii="宋体" w:hAnsi="宋体" w:cs="宋体"/>
                <w:color w:val="000000" w:themeColor="text1"/>
                <w:sz w:val="21"/>
                <w:highlight w:val="none"/>
                <w14:textFill>
                  <w14:solidFill>
                    <w14:schemeClr w14:val="tx1"/>
                  </w14:solidFill>
                </w14:textFill>
              </w:rPr>
              <w:t>月</w:t>
            </w:r>
            <w:r>
              <w:rPr>
                <w:rFonts w:hint="eastAsia" w:ascii="宋体" w:hAnsi="宋体" w:cs="宋体"/>
                <w:color w:val="000000" w:themeColor="text1"/>
                <w:sz w:val="21"/>
                <w:highlight w:val="none"/>
                <w:lang w:val="en-US" w:eastAsia="zh-CN"/>
                <w14:textFill>
                  <w14:solidFill>
                    <w14:schemeClr w14:val="tx1"/>
                  </w14:solidFill>
                </w14:textFill>
              </w:rPr>
              <w:t>23</w:t>
            </w:r>
            <w:r>
              <w:rPr>
                <w:rFonts w:hint="eastAsia" w:ascii="宋体" w:hAnsi="宋体" w:cs="宋体"/>
                <w:color w:val="000000" w:themeColor="text1"/>
                <w:sz w:val="21"/>
                <w:highlight w:val="none"/>
                <w14:textFill>
                  <w14:solidFill>
                    <w14:schemeClr w14:val="tx1"/>
                  </w14:solidFill>
                </w14:textFill>
              </w:rPr>
              <w:t>日1</w:t>
            </w:r>
            <w:r>
              <w:rPr>
                <w:rFonts w:hint="eastAsia" w:ascii="宋体" w:hAnsi="宋体" w:cs="宋体"/>
                <w:color w:val="000000" w:themeColor="text1"/>
                <w:sz w:val="21"/>
                <w:highlight w:val="none"/>
                <w:lang w:val="en-US" w:eastAsia="zh-CN"/>
                <w14:textFill>
                  <w14:solidFill>
                    <w14:schemeClr w14:val="tx1"/>
                  </w14:solidFill>
                </w14:textFill>
              </w:rPr>
              <w:t>2</w:t>
            </w:r>
            <w:r>
              <w:rPr>
                <w:rFonts w:hint="eastAsia" w:ascii="宋体" w:hAnsi="宋体" w:cs="宋体"/>
                <w:color w:val="000000" w:themeColor="text1"/>
                <w:sz w:val="21"/>
                <w:highlight w:val="none"/>
                <w14:textFill>
                  <w14:solidFill>
                    <w14:schemeClr w14:val="tx1"/>
                  </w14:solidFill>
                </w14:textFill>
              </w:rPr>
              <w:t>时00分前。比选人在认为有必要对投标人所提问题进行答复时或对比选文件进行补充时，应在行采家（https://www.gec123.com/）网上作出答复，并将答复内容和补充内容作为比选文件的补充部分，答疑截止时间202</w:t>
            </w:r>
            <w:r>
              <w:rPr>
                <w:rFonts w:hint="eastAsia" w:ascii="宋体" w:hAnsi="宋体" w:cs="宋体"/>
                <w:color w:val="000000" w:themeColor="text1"/>
                <w:sz w:val="21"/>
                <w:highlight w:val="none"/>
                <w:lang w:val="en-US" w:eastAsia="zh-CN"/>
                <w14:textFill>
                  <w14:solidFill>
                    <w14:schemeClr w14:val="tx1"/>
                  </w14:solidFill>
                </w14:textFill>
              </w:rPr>
              <w:t>5</w:t>
            </w:r>
            <w:r>
              <w:rPr>
                <w:rFonts w:hint="eastAsia" w:ascii="宋体" w:hAnsi="宋体" w:cs="宋体"/>
                <w:color w:val="000000" w:themeColor="text1"/>
                <w:sz w:val="21"/>
                <w:highlight w:val="none"/>
                <w14:textFill>
                  <w14:solidFill>
                    <w14:schemeClr w14:val="tx1"/>
                  </w14:solidFill>
                </w14:textFill>
              </w:rPr>
              <w:t>年</w:t>
            </w:r>
            <w:r>
              <w:rPr>
                <w:rFonts w:hint="eastAsia" w:ascii="宋体" w:hAnsi="宋体" w:cs="宋体"/>
                <w:color w:val="000000" w:themeColor="text1"/>
                <w:sz w:val="21"/>
                <w:highlight w:val="none"/>
                <w:lang w:val="en-US" w:eastAsia="zh-CN"/>
                <w14:textFill>
                  <w14:solidFill>
                    <w14:schemeClr w14:val="tx1"/>
                  </w14:solidFill>
                </w14:textFill>
              </w:rPr>
              <w:t>07</w:t>
            </w:r>
            <w:r>
              <w:rPr>
                <w:rFonts w:hint="eastAsia" w:ascii="宋体" w:hAnsi="宋体" w:cs="宋体"/>
                <w:color w:val="000000" w:themeColor="text1"/>
                <w:sz w:val="21"/>
                <w:highlight w:val="none"/>
                <w14:textFill>
                  <w14:solidFill>
                    <w14:schemeClr w14:val="tx1"/>
                  </w14:solidFill>
                </w14:textFill>
              </w:rPr>
              <w:t>月</w:t>
            </w:r>
            <w:r>
              <w:rPr>
                <w:rFonts w:hint="eastAsia" w:ascii="宋体" w:hAnsi="宋体" w:cs="宋体"/>
                <w:color w:val="000000" w:themeColor="text1"/>
                <w:sz w:val="21"/>
                <w:highlight w:val="none"/>
                <w:lang w:val="en-US" w:eastAsia="zh-CN"/>
                <w14:textFill>
                  <w14:solidFill>
                    <w14:schemeClr w14:val="tx1"/>
                  </w14:solidFill>
                </w14:textFill>
              </w:rPr>
              <w:t>24</w:t>
            </w:r>
            <w:r>
              <w:rPr>
                <w:rFonts w:hint="eastAsia" w:ascii="宋体" w:hAnsi="宋体" w:cs="宋体"/>
                <w:color w:val="000000" w:themeColor="text1"/>
                <w:sz w:val="21"/>
                <w:highlight w:val="none"/>
                <w14:textFill>
                  <w14:solidFill>
                    <w14:schemeClr w14:val="tx1"/>
                  </w14:solidFill>
                </w14:textFill>
              </w:rPr>
              <w:t>日17时00分前。无论投标人是否在行采家（https://www.gec123.com/）网上下载比选文件答疑内容和补充内容，比选人视为投标人收到比选文件全部答疑内容和补充内容，由此产生的一切后果均由投标人自负。</w:t>
            </w:r>
          </w:p>
        </w:tc>
      </w:tr>
      <w:tr w14:paraId="130E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75" w:type="dxa"/>
            <w:vAlign w:val="center"/>
          </w:tcPr>
          <w:p w14:paraId="35F9EEB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bookmarkStart w:id="65" w:name="_Hlt227984024"/>
            <w:bookmarkEnd w:id="65"/>
            <w:r>
              <w:rPr>
                <w:rFonts w:hint="eastAsia" w:ascii="宋体" w:hAnsi="宋体" w:cs="宋体"/>
                <w:color w:val="000000" w:themeColor="text1"/>
                <w:kern w:val="0"/>
                <w:szCs w:val="21"/>
                <w:highlight w:val="none"/>
                <w14:textFill>
                  <w14:solidFill>
                    <w14:schemeClr w14:val="tx1"/>
                  </w14:solidFill>
                </w14:textFill>
              </w:rPr>
              <w:t>3.1</w:t>
            </w:r>
            <w:bookmarkStart w:id="66" w:name="_Hlt227983889"/>
            <w:bookmarkEnd w:id="66"/>
            <w:bookmarkStart w:id="67" w:name="_Hlt227983924"/>
            <w:bookmarkEnd w:id="67"/>
          </w:p>
        </w:tc>
        <w:tc>
          <w:tcPr>
            <w:tcW w:w="1828" w:type="dxa"/>
            <w:vAlign w:val="center"/>
          </w:tcPr>
          <w:p w14:paraId="6F334744">
            <w:pPr>
              <w:autoSpaceDE w:val="0"/>
              <w:autoSpaceDN w:val="0"/>
              <w:adjustRightInd w:val="0"/>
              <w:spacing w:before="73" w:line="360" w:lineRule="exact"/>
              <w:ind w:right="-2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构成投标文件的其他材料</w:t>
            </w:r>
          </w:p>
        </w:tc>
        <w:tc>
          <w:tcPr>
            <w:tcW w:w="7074" w:type="dxa"/>
            <w:vAlign w:val="center"/>
          </w:tcPr>
          <w:p w14:paraId="202BE68B">
            <w:pPr>
              <w:autoSpaceDE w:val="0"/>
              <w:autoSpaceDN w:val="0"/>
              <w:adjustRightIn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比选文件规定的和投标人认为应该提供的所有材料。</w:t>
            </w:r>
          </w:p>
        </w:tc>
      </w:tr>
      <w:tr w14:paraId="4DA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3A517BC">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w:t>
            </w:r>
          </w:p>
        </w:tc>
        <w:tc>
          <w:tcPr>
            <w:tcW w:w="1828" w:type="dxa"/>
            <w:vAlign w:val="center"/>
          </w:tcPr>
          <w:p w14:paraId="6C3DAB19">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投标报价</w:t>
            </w:r>
          </w:p>
        </w:tc>
        <w:tc>
          <w:tcPr>
            <w:tcW w:w="7074" w:type="dxa"/>
            <w:vAlign w:val="center"/>
          </w:tcPr>
          <w:p w14:paraId="63181061">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1.投标人的投标报价应是本章投标人须知前附表1.3.1项中所述的</w:t>
            </w:r>
            <w:r>
              <w:rPr>
                <w:rFonts w:hint="eastAsia" w:ascii="宋体" w:hAnsi="宋体" w:cs="宋体"/>
                <w:color w:val="000000" w:themeColor="text1"/>
                <w:kern w:val="0"/>
                <w:szCs w:val="21"/>
                <w:highlight w:val="none"/>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范围内的全部工程的投标报价，并以投标人在工程量清单中提出的单价或总价为依据。</w:t>
            </w:r>
          </w:p>
          <w:p w14:paraId="005581C5">
            <w:pPr>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投标人竞争性比选报价函中的总报价必须与工程量清单总报价一致。</w:t>
            </w:r>
          </w:p>
          <w:p w14:paraId="3907E574">
            <w:pPr>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3.本工程竞争性比选将设置最高限价，</w:t>
            </w:r>
            <w:r>
              <w:rPr>
                <w:rFonts w:hint="eastAsia" w:ascii="宋体" w:hAnsi="宋体" w:cs="宋体"/>
                <w:b/>
                <w:bCs/>
                <w:color w:val="000000" w:themeColor="text1"/>
                <w:szCs w:val="21"/>
                <w:highlight w:val="none"/>
                <w14:textFill>
                  <w14:solidFill>
                    <w14:schemeClr w14:val="tx1"/>
                  </w14:solidFill>
                </w14:textFill>
              </w:rPr>
              <w:t>最高限价为：</w:t>
            </w:r>
            <w:r>
              <w:rPr>
                <w:rFonts w:hint="eastAsia" w:ascii="宋体" w:hAnsi="宋体" w:cs="宋体"/>
                <w:b/>
                <w:bCs/>
                <w:color w:val="000000" w:themeColor="text1"/>
                <w:szCs w:val="21"/>
                <w:highlight w:val="none"/>
                <w:lang w:val="en-US" w:eastAsia="zh-CN"/>
                <w14:textFill>
                  <w14:solidFill>
                    <w14:schemeClr w14:val="tx1"/>
                  </w14:solidFill>
                </w14:textFill>
              </w:rPr>
              <w:t>402,584.00</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大写：</w:t>
            </w:r>
            <w:r>
              <w:rPr>
                <w:rFonts w:hint="eastAsia" w:ascii="宋体" w:hAnsi="宋体" w:cs="宋体"/>
                <w:b/>
                <w:color w:val="000000" w:themeColor="text1"/>
                <w:szCs w:val="21"/>
                <w:highlight w:val="none"/>
                <w:lang w:val="en-US" w:eastAsia="zh-CN"/>
                <w14:textFill>
                  <w14:solidFill>
                    <w14:schemeClr w14:val="tx1"/>
                  </w14:solidFill>
                </w14:textFill>
              </w:rPr>
              <w:t>肆拾万零贰仟伍佰捌拾肆元整</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最高综合单价为：130元，</w:t>
            </w:r>
            <w:r>
              <w:rPr>
                <w:rFonts w:hint="eastAsia" w:ascii="宋体" w:hAnsi="宋体" w:cs="宋体"/>
                <w:color w:val="000000" w:themeColor="text1"/>
                <w:szCs w:val="21"/>
                <w:highlight w:val="none"/>
                <w14:textFill>
                  <w14:solidFill>
                    <w14:schemeClr w14:val="tx1"/>
                  </w14:solidFill>
                </w14:textFill>
              </w:rPr>
              <w:t>投标总</w:t>
            </w:r>
            <w:r>
              <w:rPr>
                <w:rFonts w:hint="eastAsia" w:ascii="宋体" w:hAnsi="宋体" w:cs="宋体"/>
                <w:color w:val="000000" w:themeColor="text1"/>
                <w:szCs w:val="21"/>
                <w:highlight w:val="none"/>
                <w:lang w:val="en-US" w:eastAsia="zh-CN"/>
                <w14:textFill>
                  <w14:solidFill>
                    <w14:schemeClr w14:val="tx1"/>
                  </w14:solidFill>
                </w14:textFill>
              </w:rPr>
              <w:t>价</w:t>
            </w:r>
            <w:r>
              <w:rPr>
                <w:rFonts w:hint="eastAsia" w:ascii="宋体" w:hAnsi="宋体" w:cs="宋体"/>
                <w:color w:val="000000" w:themeColor="text1"/>
                <w:szCs w:val="21"/>
                <w:highlight w:val="none"/>
                <w14:textFill>
                  <w14:solidFill>
                    <w14:schemeClr w14:val="tx1"/>
                  </w14:solidFill>
                </w14:textFill>
              </w:rPr>
              <w:t>超过此最高限价</w:t>
            </w:r>
            <w:r>
              <w:rPr>
                <w:rFonts w:hint="eastAsia" w:ascii="宋体" w:hAnsi="宋体" w:cs="宋体"/>
                <w:color w:val="000000" w:themeColor="text1"/>
                <w:szCs w:val="21"/>
                <w:highlight w:val="none"/>
                <w:lang w:val="en-US" w:eastAsia="zh-CN"/>
                <w14:textFill>
                  <w14:solidFill>
                    <w14:schemeClr w14:val="tx1"/>
                  </w14:solidFill>
                </w14:textFill>
              </w:rPr>
              <w:t>及综合单价</w:t>
            </w:r>
            <w:r>
              <w:rPr>
                <w:rFonts w:hint="eastAsia" w:ascii="宋体" w:hAnsi="宋体" w:cs="宋体"/>
                <w:color w:val="000000" w:themeColor="text1"/>
                <w:szCs w:val="21"/>
                <w:highlight w:val="none"/>
                <w14:textFill>
                  <w14:solidFill>
                    <w14:schemeClr w14:val="tx1"/>
                  </w14:solidFill>
                </w14:textFill>
              </w:rPr>
              <w:t>的投标文件为无效投标。</w:t>
            </w:r>
          </w:p>
          <w:p w14:paraId="4EC976CB">
            <w:pPr>
              <w:spacing w:line="360" w:lineRule="exact"/>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注：本工程外墙修复面积暂估约3096.8个平方米（具休面积以实际维修实测数据为准）</w:t>
            </w:r>
          </w:p>
        </w:tc>
      </w:tr>
      <w:tr w14:paraId="2554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75" w:type="dxa"/>
            <w:vAlign w:val="center"/>
          </w:tcPr>
          <w:p w14:paraId="450EBBF0">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828" w:type="dxa"/>
            <w:vAlign w:val="center"/>
          </w:tcPr>
          <w:p w14:paraId="2E51B6BE">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7074" w:type="dxa"/>
            <w:vAlign w:val="center"/>
          </w:tcPr>
          <w:p w14:paraId="243C9367">
            <w:pPr>
              <w:pStyle w:val="336"/>
              <w:spacing w:line="40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投标截止日期后90天。</w:t>
            </w:r>
          </w:p>
        </w:tc>
      </w:tr>
      <w:tr w14:paraId="1CB5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75" w:type="dxa"/>
            <w:vAlign w:val="center"/>
          </w:tcPr>
          <w:p w14:paraId="10257BBF">
            <w:pPr>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3.4.1</w:t>
            </w:r>
          </w:p>
        </w:tc>
        <w:tc>
          <w:tcPr>
            <w:tcW w:w="1828" w:type="dxa"/>
            <w:vAlign w:val="center"/>
          </w:tcPr>
          <w:p w14:paraId="1C2C3D55">
            <w:pPr>
              <w:spacing w:line="36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w:t>
            </w:r>
          </w:p>
        </w:tc>
        <w:tc>
          <w:tcPr>
            <w:tcW w:w="7074" w:type="dxa"/>
            <w:vAlign w:val="center"/>
          </w:tcPr>
          <w:p w14:paraId="662715E2">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1.缴纳金额：</w:t>
            </w:r>
            <w:r>
              <w:rPr>
                <w:rFonts w:hint="eastAsia" w:ascii="宋体" w:hAnsi="宋体" w:cs="宋体"/>
                <w:color w:val="auto"/>
                <w:highlight w:val="none"/>
                <w:u w:val="single"/>
                <w:lang w:val="en-US" w:eastAsia="zh-CN"/>
              </w:rPr>
              <w:t xml:space="preserve"> 4</w:t>
            </w:r>
            <w:r>
              <w:rPr>
                <w:rFonts w:hint="eastAsia" w:ascii="宋体" w:hAnsi="宋体" w:cs="宋体"/>
                <w:color w:val="auto"/>
                <w:highlight w:val="none"/>
                <w:u w:val="single"/>
              </w:rPr>
              <w:t>000.00</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u w:val="single"/>
                <w:lang w:val="en-US" w:eastAsia="zh-CN"/>
              </w:rPr>
              <w:t>肆</w:t>
            </w:r>
            <w:r>
              <w:rPr>
                <w:rFonts w:hint="eastAsia" w:ascii="宋体" w:hAnsi="宋体" w:cs="宋体"/>
                <w:color w:val="auto"/>
                <w:highlight w:val="none"/>
                <w:u w:val="single"/>
              </w:rPr>
              <w:t>仟元整</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1A30ABF8">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2.缴纳方式：由供应商从其账户将投标保证金汇至以下指定账户：</w:t>
            </w:r>
          </w:p>
          <w:p w14:paraId="7D0D49AB">
            <w:pPr>
              <w:widowControl/>
              <w:wordWrap w:val="0"/>
              <w:spacing w:line="4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账户名称:重庆耀顺工程管理咨询有限公司</w:t>
            </w:r>
          </w:p>
          <w:p w14:paraId="67097E56">
            <w:pPr>
              <w:widowControl/>
              <w:wordWrap w:val="0"/>
              <w:spacing w:line="400" w:lineRule="exact"/>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账户号码:3100 0960 0920 0108 321</w:t>
            </w:r>
          </w:p>
          <w:p w14:paraId="0B7D921A">
            <w:pPr>
              <w:widowControl/>
              <w:wordWrap w:val="0"/>
              <w:spacing w:line="400" w:lineRule="exact"/>
              <w:ind w:firstLine="480"/>
              <w:rPr>
                <w:rFonts w:hint="eastAsia"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开户银行:中国工商银行股份有限公司重庆大足营业室</w:t>
            </w:r>
          </w:p>
          <w:p w14:paraId="27BAFFC3">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保证金到账时间及备注填写要求</w:t>
            </w:r>
          </w:p>
          <w:p w14:paraId="6FB3C22C">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（1）到账时间要求</w:t>
            </w:r>
          </w:p>
          <w:p w14:paraId="71D27044">
            <w:pPr>
              <w:widowControl/>
              <w:wordWrap w:val="0"/>
              <w:spacing w:line="400" w:lineRule="exact"/>
              <w:ind w:firstLine="480"/>
              <w:rPr>
                <w:rFonts w:ascii="宋体" w:hAnsi="宋体" w:cs="宋体"/>
                <w:color w:val="auto"/>
                <w:highlight w:val="none"/>
              </w:rPr>
            </w:pPr>
            <w:r>
              <w:rPr>
                <w:rFonts w:hint="eastAsia" w:ascii="宋体" w:hAnsi="宋体" w:cs="宋体"/>
                <w:b/>
                <w:bCs/>
                <w:color w:val="auto"/>
                <w:highlight w:val="none"/>
              </w:rPr>
              <w:t>本项目投标保证金的到账截止时间为投标前一天中午12：00</w:t>
            </w:r>
            <w:r>
              <w:rPr>
                <w:rFonts w:hint="eastAsia" w:ascii="宋体" w:hAnsi="宋体" w:cs="宋体"/>
                <w:color w:val="auto"/>
                <w:highlight w:val="none"/>
              </w:rPr>
              <w:t>（投标人在银行转账汇款时，须充分考虑转账汇款的时间差风险，如同城转账、异地转账或汇款、跨行转账或电汇的时间要求）。</w:t>
            </w:r>
          </w:p>
          <w:p w14:paraId="372D84B4">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（2）备注填写要求</w:t>
            </w:r>
          </w:p>
          <w:p w14:paraId="24C411E0">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投标人应在银行转账（汇款）凭证备注栏中注明“</w:t>
            </w:r>
            <w:r>
              <w:rPr>
                <w:rFonts w:hint="eastAsia" w:ascii="宋体" w:hAnsi="宋体" w:cs="宋体"/>
                <w:color w:val="auto"/>
                <w:highlight w:val="none"/>
                <w:lang w:eastAsia="zh-CN"/>
              </w:rPr>
              <w:t>龙腾御锦24、25栋外墙维修工程</w:t>
            </w:r>
            <w:r>
              <w:rPr>
                <w:rFonts w:hint="eastAsia" w:ascii="宋体" w:hAnsi="宋体" w:cs="宋体"/>
                <w:b/>
                <w:bCs/>
                <w:color w:val="auto"/>
                <w:highlight w:val="none"/>
                <w:lang w:val="en-US" w:eastAsia="zh-CN"/>
              </w:rPr>
              <w:t>-</w:t>
            </w:r>
            <w:r>
              <w:rPr>
                <w:rFonts w:hint="eastAsia" w:ascii="宋体" w:hAnsi="宋体" w:eastAsia="宋体" w:cs="宋体"/>
                <w:color w:val="auto"/>
                <w:highlight w:val="none"/>
              </w:rPr>
              <w:t>投标保证金</w:t>
            </w:r>
            <w:r>
              <w:rPr>
                <w:rFonts w:hint="eastAsia" w:ascii="宋体" w:hAnsi="宋体" w:cs="宋体"/>
                <w:color w:val="auto"/>
                <w:highlight w:val="none"/>
              </w:rPr>
              <w:t>”，</w:t>
            </w:r>
            <w:bookmarkStart w:id="68" w:name="OLE_LINK2"/>
            <w:r>
              <w:rPr>
                <w:rFonts w:hint="eastAsia" w:ascii="宋体" w:hAnsi="宋体" w:cs="宋体"/>
                <w:color w:val="auto"/>
                <w:highlight w:val="none"/>
              </w:rPr>
              <w:t>不按要求填写备注和缴纳保证金入指定账户的，投标现场不予接收投标文件，由投标人自行承担后果</w:t>
            </w:r>
            <w:bookmarkEnd w:id="68"/>
            <w:r>
              <w:rPr>
                <w:rFonts w:hint="eastAsia" w:ascii="宋体" w:hAnsi="宋体" w:cs="宋体"/>
                <w:color w:val="auto"/>
                <w:highlight w:val="none"/>
              </w:rPr>
              <w:t>。</w:t>
            </w:r>
          </w:p>
          <w:p w14:paraId="7C19F012">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4.保证金退还方式</w:t>
            </w:r>
          </w:p>
          <w:p w14:paraId="15EDF28D">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（1）未中标投标人的投标保证金，在中标通知书发出后，</w:t>
            </w:r>
            <w:r>
              <w:rPr>
                <w:rFonts w:hint="eastAsia" w:ascii="宋体" w:hAnsi="宋体" w:cs="宋体"/>
                <w:color w:val="auto"/>
                <w:highlight w:val="none"/>
                <w:lang w:val="en-US" w:eastAsia="zh-CN"/>
              </w:rPr>
              <w:t>重庆耀顺工程管理咨询有限公司</w:t>
            </w:r>
            <w:r>
              <w:rPr>
                <w:rFonts w:hint="eastAsia" w:ascii="宋体" w:hAnsi="宋体" w:cs="宋体"/>
                <w:color w:val="auto"/>
                <w:highlight w:val="none"/>
              </w:rPr>
              <w:t>在五个工作日内按来款渠道直接退还。</w:t>
            </w:r>
          </w:p>
          <w:p w14:paraId="294B55A7">
            <w:pPr>
              <w:widowControl/>
              <w:wordWrap w:val="0"/>
              <w:spacing w:line="400" w:lineRule="exact"/>
              <w:ind w:firstLine="480"/>
              <w:rPr>
                <w:rFonts w:ascii="宋体" w:hAnsi="宋体" w:cs="宋体"/>
                <w:color w:val="auto"/>
                <w:highlight w:val="none"/>
              </w:rPr>
            </w:pPr>
            <w:r>
              <w:rPr>
                <w:rFonts w:hint="eastAsia" w:ascii="宋体" w:hAnsi="宋体" w:cs="宋体"/>
                <w:color w:val="auto"/>
                <w:highlight w:val="none"/>
              </w:rPr>
              <w:t>（2）中标人的投标保证金，在中标人与比选人将签订的合同送达</w:t>
            </w:r>
            <w:r>
              <w:rPr>
                <w:rFonts w:hint="eastAsia" w:ascii="宋体" w:hAnsi="宋体" w:cs="宋体"/>
                <w:color w:val="auto"/>
                <w:highlight w:val="none"/>
                <w:lang w:val="en-US" w:eastAsia="zh-CN"/>
              </w:rPr>
              <w:t>重庆耀顺工程管理咨询有限公司</w:t>
            </w:r>
            <w:r>
              <w:rPr>
                <w:rFonts w:hint="eastAsia" w:ascii="宋体" w:hAnsi="宋体" w:cs="宋体"/>
                <w:color w:val="auto"/>
                <w:highlight w:val="none"/>
              </w:rPr>
              <w:t>后，五个工作日内按资金来款渠道直接退还。</w:t>
            </w:r>
          </w:p>
          <w:p w14:paraId="4FEAB907">
            <w:pPr>
              <w:pageBreakBefore w:val="0"/>
              <w:kinsoku/>
              <w:wordWrap/>
              <w:overflowPunct/>
              <w:topLinePunct w:val="0"/>
              <w:autoSpaceDE/>
              <w:autoSpaceDN/>
              <w:bidi w:val="0"/>
              <w:spacing w:line="400" w:lineRule="exact"/>
              <w:ind w:firstLine="422"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auto"/>
                <w:highlight w:val="none"/>
              </w:rPr>
              <w:t>特别提醒：为确保保证金按规定时间退还，自政府采购合同签订之日起2个工作日内，成交供应商应将合同原件送达</w:t>
            </w:r>
            <w:r>
              <w:rPr>
                <w:rFonts w:hint="eastAsia" w:ascii="宋体" w:hAnsi="宋体" w:cs="宋体"/>
                <w:b/>
                <w:bCs/>
                <w:color w:val="auto"/>
                <w:highlight w:val="none"/>
                <w:lang w:val="en-US" w:eastAsia="zh-CN"/>
              </w:rPr>
              <w:t>重庆耀顺工程管理咨询有限公司</w:t>
            </w:r>
            <w:r>
              <w:rPr>
                <w:rFonts w:hint="eastAsia" w:ascii="宋体" w:hAnsi="宋体" w:cs="宋体"/>
                <w:b/>
                <w:bCs/>
                <w:color w:val="auto"/>
                <w:highlight w:val="none"/>
              </w:rPr>
              <w:t>。否则，造成保证金延迟退还，责任自负。</w:t>
            </w:r>
          </w:p>
        </w:tc>
      </w:tr>
      <w:tr w14:paraId="1ADF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78A07CE3">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828" w:type="dxa"/>
            <w:vAlign w:val="center"/>
          </w:tcPr>
          <w:p w14:paraId="2A1606FD">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539440DA">
            <w:pPr>
              <w:snapToGrid w:val="0"/>
              <w:spacing w:after="72" w:afterLines="30"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备选投标方案</w:t>
            </w:r>
          </w:p>
        </w:tc>
        <w:tc>
          <w:tcPr>
            <w:tcW w:w="7074" w:type="dxa"/>
            <w:vAlign w:val="center"/>
          </w:tcPr>
          <w:p w14:paraId="090345DA">
            <w:pPr>
              <w:autoSpaceDE w:val="0"/>
              <w:autoSpaceDN w:val="0"/>
              <w:adjustRightInd w:val="0"/>
              <w:spacing w:line="3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不允许</w:t>
            </w:r>
          </w:p>
        </w:tc>
      </w:tr>
      <w:tr w14:paraId="6B27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6300CBF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3.7.1</w:t>
            </w:r>
          </w:p>
        </w:tc>
        <w:tc>
          <w:tcPr>
            <w:tcW w:w="1828" w:type="dxa"/>
            <w:vAlign w:val="center"/>
          </w:tcPr>
          <w:p w14:paraId="087A0831">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投标文件签字或盖章要求</w:t>
            </w:r>
          </w:p>
        </w:tc>
        <w:tc>
          <w:tcPr>
            <w:tcW w:w="7074" w:type="dxa"/>
            <w:vAlign w:val="center"/>
          </w:tcPr>
          <w:p w14:paraId="59DAACD0">
            <w:pPr>
              <w:spacing w:line="3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投标文件的正本和副本应由投标人的法定代表人或经正式授权并对投标人有约束力的代表签字并盖章。由授权代表签字时，须在投标文件中提供“法定代表人授权书”，其格式应符合比选文件中的规定。</w:t>
            </w:r>
          </w:p>
          <w:p w14:paraId="7F7E2E03">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除投标人对错漏之处做必要修改或补充外，投标文件中不得有随意的行间插字、涂改和增删。如确有错漏之处确需要手工修改或补充，投标文件的修改必须由投标人的法定代表人或其授权代表在修改或补充之处签字并加盖投标人公章。</w:t>
            </w:r>
          </w:p>
        </w:tc>
      </w:tr>
      <w:tr w14:paraId="0758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03343415">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3.7.2</w:t>
            </w:r>
          </w:p>
        </w:tc>
        <w:tc>
          <w:tcPr>
            <w:tcW w:w="1828" w:type="dxa"/>
            <w:vAlign w:val="center"/>
          </w:tcPr>
          <w:p w14:paraId="614964DF">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投标文件份数</w:t>
            </w:r>
          </w:p>
        </w:tc>
        <w:tc>
          <w:tcPr>
            <w:tcW w:w="7074" w:type="dxa"/>
            <w:vAlign w:val="center"/>
          </w:tcPr>
          <w:p w14:paraId="4EAC4196">
            <w:pPr>
              <w:spacing w:line="320" w:lineRule="exact"/>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投标文件正本：1份</w:t>
            </w:r>
          </w:p>
          <w:p w14:paraId="1AE763B7">
            <w:pPr>
              <w:tabs>
                <w:tab w:val="left" w:pos="4050"/>
              </w:tabs>
              <w:spacing w:line="320" w:lineRule="exact"/>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投标文件副本：</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份</w:t>
            </w:r>
          </w:p>
          <w:p w14:paraId="7CF78768">
            <w:pPr>
              <w:tabs>
                <w:tab w:val="left" w:pos="4050"/>
              </w:tabs>
              <w:spacing w:line="320" w:lineRule="exact"/>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电子文档：1份</w:t>
            </w:r>
          </w:p>
        </w:tc>
      </w:tr>
      <w:tr w14:paraId="4DB9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FC996B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828" w:type="dxa"/>
            <w:vAlign w:val="center"/>
          </w:tcPr>
          <w:p w14:paraId="16CF737A">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投标文件装订要求</w:t>
            </w:r>
          </w:p>
        </w:tc>
        <w:tc>
          <w:tcPr>
            <w:tcW w:w="7074" w:type="dxa"/>
            <w:vAlign w:val="center"/>
          </w:tcPr>
          <w:p w14:paraId="14031767">
            <w:pPr>
              <w:spacing w:line="32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1、投标文件的正本和副本均采用A4纸、使用不能轻易擦去且不易褪色的打印机打印，副本可以是正本的复印件。</w:t>
            </w:r>
          </w:p>
          <w:p w14:paraId="67AE5502">
            <w:pPr>
              <w:pStyle w:val="336"/>
              <w:spacing w:line="32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2、正本和副本都应装订成册，编制目录。投标文件禁止使用活页装订，否则视为无效投标。</w:t>
            </w:r>
          </w:p>
        </w:tc>
      </w:tr>
      <w:tr w14:paraId="75CE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96A9411">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828" w:type="dxa"/>
            <w:vAlign w:val="center"/>
          </w:tcPr>
          <w:p w14:paraId="00FC1625">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投标文件的密封</w:t>
            </w:r>
            <w:r>
              <w:rPr>
                <w:rFonts w:hint="eastAsia" w:ascii="宋体" w:hAnsi="宋体" w:cs="宋体"/>
                <w:color w:val="000000" w:themeColor="text1"/>
                <w:szCs w:val="21"/>
                <w:highlight w:val="none"/>
                <w14:textFill>
                  <w14:solidFill>
                    <w14:schemeClr w14:val="tx1"/>
                  </w14:solidFill>
                </w14:textFill>
              </w:rPr>
              <w:t>和装袋</w:t>
            </w:r>
          </w:p>
        </w:tc>
        <w:tc>
          <w:tcPr>
            <w:tcW w:w="7074" w:type="dxa"/>
            <w:vAlign w:val="center"/>
          </w:tcPr>
          <w:p w14:paraId="7DEBBA14">
            <w:pPr>
              <w:ind w:firstLine="420" w:firstLineChars="200"/>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投标人应将投标文件装入一个或多个外层包装(大口袋或包装箱)中，外层包装应密封并加盖投标人公章。</w:t>
            </w:r>
          </w:p>
        </w:tc>
      </w:tr>
      <w:tr w14:paraId="5964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75" w:type="dxa"/>
            <w:vAlign w:val="center"/>
          </w:tcPr>
          <w:p w14:paraId="6E638CB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828" w:type="dxa"/>
            <w:vAlign w:val="center"/>
          </w:tcPr>
          <w:p w14:paraId="01209E8C">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投标文件外封套上写明</w:t>
            </w:r>
          </w:p>
        </w:tc>
        <w:tc>
          <w:tcPr>
            <w:tcW w:w="7074" w:type="dxa"/>
            <w:vAlign w:val="center"/>
          </w:tcPr>
          <w:p w14:paraId="7FC03786">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投标人名称：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B7971CA">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投标人的地址：</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773C6F8">
            <w:pPr>
              <w:pStyle w:val="336"/>
              <w:spacing w:line="360" w:lineRule="exact"/>
              <w:ind w:firstLine="420" w:firstLineChars="200"/>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p>
          <w:p w14:paraId="3EDA35F8">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投标文件在投标截止时间（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时）前不得开启 </w:t>
            </w:r>
          </w:p>
        </w:tc>
      </w:tr>
      <w:tr w14:paraId="40E3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75" w:type="dxa"/>
            <w:vAlign w:val="center"/>
          </w:tcPr>
          <w:p w14:paraId="5CF1CB28">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w:t>
            </w:r>
          </w:p>
        </w:tc>
        <w:tc>
          <w:tcPr>
            <w:tcW w:w="1828" w:type="dxa"/>
            <w:vAlign w:val="center"/>
          </w:tcPr>
          <w:p w14:paraId="0B3B5AC2">
            <w:pPr>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投标人投标及投标截止时间</w:t>
            </w:r>
          </w:p>
        </w:tc>
        <w:tc>
          <w:tcPr>
            <w:tcW w:w="7074" w:type="dxa"/>
            <w:vAlign w:val="center"/>
          </w:tcPr>
          <w:p w14:paraId="0E315647">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递交投标文件开始时间：202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年</w:t>
            </w:r>
            <w:r>
              <w:rPr>
                <w:rFonts w:hint="default"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default"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日1</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0时（北京时间）</w:t>
            </w:r>
          </w:p>
          <w:p w14:paraId="0BCACC64">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递交投标文件截止时间：202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年</w:t>
            </w:r>
            <w:r>
              <w:rPr>
                <w:rFonts w:hint="default"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default"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日1</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14:textFill>
                  <w14:solidFill>
                    <w14:schemeClr w14:val="tx1"/>
                  </w14:solidFill>
                </w14:textFill>
              </w:rPr>
              <w:t>0时（北京时间）</w:t>
            </w:r>
          </w:p>
        </w:tc>
      </w:tr>
      <w:tr w14:paraId="758C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75" w:type="dxa"/>
            <w:vAlign w:val="center"/>
          </w:tcPr>
          <w:p w14:paraId="15510434">
            <w:pPr>
              <w:pStyle w:val="336"/>
              <w:spacing w:line="32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4.2.2</w:t>
            </w:r>
          </w:p>
        </w:tc>
        <w:tc>
          <w:tcPr>
            <w:tcW w:w="1828" w:type="dxa"/>
            <w:vAlign w:val="center"/>
          </w:tcPr>
          <w:p w14:paraId="723257BA">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递交投标文件地点</w:t>
            </w:r>
          </w:p>
        </w:tc>
        <w:tc>
          <w:tcPr>
            <w:tcW w:w="7074" w:type="dxa"/>
            <w:vAlign w:val="center"/>
          </w:tcPr>
          <w:p w14:paraId="52735D26">
            <w:pPr>
              <w:pStyle w:val="364"/>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重庆市大足区龙腾御锦物业会议室</w:t>
            </w:r>
            <w:r>
              <w:rPr>
                <w:rFonts w:hint="eastAsia" w:ascii="宋体" w:hAnsi="宋体" w:cs="宋体"/>
                <w:color w:val="000000" w:themeColor="text1"/>
                <w:kern w:val="0"/>
                <w:szCs w:val="21"/>
                <w:highlight w:val="none"/>
                <w:lang w:val="en-US" w:eastAsia="zh-CN"/>
                <w14:textFill>
                  <w14:solidFill>
                    <w14:schemeClr w14:val="tx1"/>
                  </w14:solidFill>
                </w14:textFill>
              </w:rPr>
              <w:t xml:space="preserve"> </w:t>
            </w:r>
          </w:p>
        </w:tc>
      </w:tr>
      <w:tr w14:paraId="08F3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75" w:type="dxa"/>
            <w:vAlign w:val="center"/>
          </w:tcPr>
          <w:p w14:paraId="5DBB104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828" w:type="dxa"/>
            <w:vAlign w:val="center"/>
          </w:tcPr>
          <w:p w14:paraId="474E85AA">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是否退还投标文件</w:t>
            </w:r>
          </w:p>
        </w:tc>
        <w:tc>
          <w:tcPr>
            <w:tcW w:w="7074" w:type="dxa"/>
            <w:vAlign w:val="center"/>
          </w:tcPr>
          <w:p w14:paraId="760A41E3">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不退还投标文件</w:t>
            </w:r>
          </w:p>
        </w:tc>
      </w:tr>
      <w:tr w14:paraId="3EC1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5" w:type="dxa"/>
            <w:vAlign w:val="center"/>
          </w:tcPr>
          <w:p w14:paraId="523ACF96">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w:t>
            </w:r>
          </w:p>
        </w:tc>
        <w:tc>
          <w:tcPr>
            <w:tcW w:w="1828" w:type="dxa"/>
            <w:vAlign w:val="center"/>
          </w:tcPr>
          <w:p w14:paraId="0354156F">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开标时间和地点</w:t>
            </w:r>
          </w:p>
        </w:tc>
        <w:tc>
          <w:tcPr>
            <w:tcW w:w="7074" w:type="dxa"/>
            <w:vAlign w:val="center"/>
          </w:tcPr>
          <w:p w14:paraId="3D4EBFE9">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w:t>
            </w:r>
            <w:r>
              <w:rPr>
                <w:rFonts w:hint="eastAsia" w:ascii="宋体" w:hAnsi="宋体" w:cs="宋体"/>
                <w:color w:val="000000" w:themeColor="text1"/>
                <w:szCs w:val="21"/>
                <w:highlight w:val="none"/>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default"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default" w:ascii="宋体" w:hAnsi="宋体" w:cs="宋体"/>
                <w:color w:val="000000" w:themeColor="text1"/>
                <w:szCs w:val="21"/>
                <w:highlight w:val="none"/>
                <w:lang w:val="en-US"/>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lang w:val="en-US" w:eastAsia="zh-CN"/>
                <w14:textFill>
                  <w14:solidFill>
                    <w14:schemeClr w14:val="tx1"/>
                  </w14:solidFill>
                </w14:textFill>
              </w:rPr>
              <w:t>15:00</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highlight w:val="none"/>
                <w14:textFill>
                  <w14:solidFill>
                    <w14:schemeClr w14:val="tx1"/>
                  </w14:solidFill>
                </w14:textFill>
              </w:rPr>
              <w:t>（北京时间）</w:t>
            </w:r>
          </w:p>
          <w:p w14:paraId="471481FD">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开标地点：</w:t>
            </w:r>
            <w:r>
              <w:rPr>
                <w:rFonts w:hint="eastAsia" w:ascii="宋体" w:hAnsi="宋体" w:cs="宋体"/>
                <w:color w:val="000000" w:themeColor="text1"/>
                <w:highlight w:val="none"/>
                <w:lang w:val="en-US" w:eastAsia="zh-CN"/>
                <w14:textFill>
                  <w14:solidFill>
                    <w14:schemeClr w14:val="tx1"/>
                  </w14:solidFill>
                </w14:textFill>
              </w:rPr>
              <w:t>重庆市大足区龙腾御锦物业会议室</w:t>
            </w:r>
          </w:p>
        </w:tc>
      </w:tr>
      <w:tr w14:paraId="7DB5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75" w:type="dxa"/>
            <w:vAlign w:val="center"/>
          </w:tcPr>
          <w:p w14:paraId="6C6AB183">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w:t>
            </w:r>
          </w:p>
        </w:tc>
        <w:tc>
          <w:tcPr>
            <w:tcW w:w="1828" w:type="dxa"/>
            <w:vAlign w:val="center"/>
          </w:tcPr>
          <w:p w14:paraId="1295582C">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评标委员</w:t>
            </w:r>
          </w:p>
          <w:p w14:paraId="0FC35BB1">
            <w:pPr>
              <w:snapToGrid w:val="0"/>
              <w:spacing w:line="3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会的组建</w:t>
            </w:r>
          </w:p>
        </w:tc>
        <w:tc>
          <w:tcPr>
            <w:tcW w:w="7074" w:type="dxa"/>
            <w:vAlign w:val="center"/>
          </w:tcPr>
          <w:p w14:paraId="7ED2D48A">
            <w:pPr>
              <w:autoSpaceDE w:val="0"/>
              <w:autoSpaceDN w:val="0"/>
              <w:adjustRightInd w:val="0"/>
              <w:snapToGrid w:val="0"/>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评标专家组依法组建。</w:t>
            </w:r>
          </w:p>
        </w:tc>
      </w:tr>
      <w:tr w14:paraId="7E7A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75" w:type="dxa"/>
            <w:vAlign w:val="center"/>
          </w:tcPr>
          <w:p w14:paraId="56F272D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828" w:type="dxa"/>
            <w:vAlign w:val="center"/>
          </w:tcPr>
          <w:p w14:paraId="0953339D">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是否授权评标委员会确定中标人</w:t>
            </w:r>
          </w:p>
        </w:tc>
        <w:tc>
          <w:tcPr>
            <w:tcW w:w="7074" w:type="dxa"/>
            <w:vAlign w:val="center"/>
          </w:tcPr>
          <w:p w14:paraId="3438063E">
            <w:pPr>
              <w:pStyle w:val="336"/>
              <w:spacing w:line="360"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评标委员会推荐中标候选人1-3名</w:t>
            </w:r>
          </w:p>
        </w:tc>
      </w:tr>
      <w:tr w14:paraId="4C99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75" w:type="dxa"/>
            <w:vAlign w:val="center"/>
          </w:tcPr>
          <w:p w14:paraId="59506BD4">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828" w:type="dxa"/>
            <w:vAlign w:val="center"/>
          </w:tcPr>
          <w:p w14:paraId="264FA54F">
            <w:pPr>
              <w:pStyle w:val="336"/>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付款方式</w:t>
            </w:r>
          </w:p>
        </w:tc>
        <w:tc>
          <w:tcPr>
            <w:tcW w:w="7074" w:type="dxa"/>
            <w:vAlign w:val="center"/>
          </w:tcPr>
          <w:p w14:paraId="111681ED">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lang w:val="en-US" w:eastAsia="zh-CN"/>
                <w14:textFill>
                  <w14:solidFill>
                    <w14:schemeClr w14:val="tx1"/>
                  </w14:solidFill>
                </w14:textFill>
              </w:rPr>
              <w:t>发包人以转账汇款方式支付工程款（进度款）：（1）项目完工验收合格后，审计完成由建委大修基金一次性支付</w:t>
            </w:r>
            <w:r>
              <w:rPr>
                <w:rFonts w:hint="default" w:asciiTheme="minorEastAsia" w:hAnsiTheme="minorEastAsia" w:eastAsiaTheme="minorEastAsia"/>
                <w:color w:val="000000" w:themeColor="text1"/>
                <w:kern w:val="0"/>
                <w:szCs w:val="21"/>
                <w:highlight w:val="none"/>
                <w:lang w:val="en-US" w:eastAsia="zh-CN"/>
                <w14:textFill>
                  <w14:solidFill>
                    <w14:schemeClr w14:val="tx1"/>
                  </w14:solidFill>
                </w14:textFill>
              </w:rPr>
              <w:t>.</w:t>
            </w:r>
          </w:p>
        </w:tc>
      </w:tr>
      <w:tr w14:paraId="0DA7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7B0FD54A">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8.2</w:t>
            </w:r>
          </w:p>
        </w:tc>
        <w:tc>
          <w:tcPr>
            <w:tcW w:w="1828" w:type="dxa"/>
            <w:vAlign w:val="center"/>
          </w:tcPr>
          <w:p w14:paraId="06FED5DF">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履约保证金</w:t>
            </w:r>
          </w:p>
        </w:tc>
        <w:tc>
          <w:tcPr>
            <w:tcW w:w="7074" w:type="dxa"/>
            <w:vAlign w:val="center"/>
          </w:tcPr>
          <w:p w14:paraId="3ED12F04">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1.履约担保的形式：现金转账、银行支票、银行保函或担保公司保函等形式均可。其中以银行转账形式提交的应当从</w:t>
            </w:r>
            <w:r>
              <w:rPr>
                <w:rFonts w:hint="eastAsia" w:ascii="宋体" w:hAnsi="宋体" w:cs="宋体"/>
                <w:color w:val="000000" w:themeColor="text1"/>
                <w:kern w:val="0"/>
                <w:szCs w:val="21"/>
                <w:highlight w:val="none"/>
                <w:lang w:eastAsia="zh-CN"/>
                <w14:textFill>
                  <w14:solidFill>
                    <w14:schemeClr w14:val="tx1"/>
                  </w14:solidFill>
                </w14:textFill>
              </w:rPr>
              <w:t>承揽</w:t>
            </w:r>
            <w:r>
              <w:rPr>
                <w:rFonts w:hint="eastAsia" w:ascii="宋体" w:hAnsi="宋体" w:cs="宋体"/>
                <w:color w:val="000000" w:themeColor="text1"/>
                <w:kern w:val="0"/>
                <w:szCs w:val="21"/>
                <w:highlight w:val="none"/>
                <w14:textFill>
                  <w14:solidFill>
                    <w14:schemeClr w14:val="tx1"/>
                  </w14:solidFill>
                </w14:textFill>
              </w:rPr>
              <w:t>商基本账户转出；采用专业担保公司保函的，推行本辖区内的区属国有担保公司给予的担保。</w:t>
            </w:r>
          </w:p>
          <w:p w14:paraId="68CA200A">
            <w:pPr>
              <w:snapToGrid w:val="0"/>
              <w:spacing w:line="400" w:lineRule="exact"/>
              <w:ind w:firstLine="420" w:firstLineChars="2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2.履约担保的金额：</w:t>
            </w:r>
            <w:r>
              <w:rPr>
                <w:rFonts w:hint="eastAsia" w:ascii="宋体" w:hAnsi="宋体" w:cs="宋体"/>
                <w:b/>
                <w:bCs/>
                <w:color w:val="000000" w:themeColor="text1"/>
                <w:kern w:val="0"/>
                <w:szCs w:val="21"/>
                <w:highlight w:val="none"/>
                <w:u w:val="single"/>
                <w14:textFill>
                  <w14:solidFill>
                    <w14:schemeClr w14:val="tx1"/>
                  </w14:solidFill>
                </w14:textFill>
              </w:rPr>
              <w:t>中标合同金额的</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10</w:t>
            </w:r>
            <w:r>
              <w:rPr>
                <w:rFonts w:hint="eastAsia" w:ascii="宋体" w:hAnsi="宋体" w:cs="宋体"/>
                <w:b/>
                <w:bCs/>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14:paraId="5588750A">
            <w:pPr>
              <w:snapToGrid w:val="0"/>
              <w:spacing w:after="48" w:afterLines="2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3.提交时间：中标人领取中标通知书之日起10个工作日内，并作为签订施工合同的必备条件。</w:t>
            </w:r>
          </w:p>
          <w:p w14:paraId="6378715B">
            <w:pPr>
              <w:pStyle w:val="39"/>
              <w:spacing w:before="0" w:beforeAutospacing="0" w:after="196" w:afterAutospacing="0" w:line="340" w:lineRule="exact"/>
              <w:ind w:firstLine="63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 xml:space="preserve">其中：采用银行保函的，要求出具保函的银行须为项目所在地或中标人企业注册地银行或中标人基本账户开户行，保函必须为不可撤销且见索即付；采用专业担保公司保函的，推行本辖区内的区属国有担保公司给予的担保；履约担保为银行现金转帐的，中标人须从其企业基本账户将履约保证金转比选人指定账户。      </w:t>
            </w:r>
          </w:p>
          <w:p w14:paraId="45EA312C">
            <w:pPr>
              <w:pStyle w:val="39"/>
              <w:shd w:val="clear" w:color="auto" w:fill="FFFFFF"/>
              <w:spacing w:before="0" w:beforeAutospacing="0" w:after="0" w:afterAutospacing="0" w:line="315" w:lineRule="atLeast"/>
              <w:ind w:right="-483" w:firstLine="420" w:firstLineChars="200"/>
              <w:jc w:val="both"/>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4.退还时间：</w:t>
            </w:r>
            <w:r>
              <w:rPr>
                <w:rFonts w:hint="eastAsia" w:ascii="宋体" w:hAnsi="宋体" w:cs="宋体"/>
                <w:color w:val="000000" w:themeColor="text1"/>
                <w:sz w:val="21"/>
                <w:szCs w:val="21"/>
                <w:highlight w:val="none"/>
                <w:shd w:val="clear" w:color="auto" w:fill="FFFFFF"/>
                <w14:textFill>
                  <w14:solidFill>
                    <w14:schemeClr w14:val="tx1"/>
                  </w14:solidFill>
                </w14:textFill>
              </w:rPr>
              <w:t>工程验收合格后14日内退还履约保证金（履约保证金的</w:t>
            </w:r>
          </w:p>
          <w:p w14:paraId="68174CA3">
            <w:pPr>
              <w:pStyle w:val="39"/>
              <w:shd w:val="clear" w:color="auto" w:fill="FFFFFF"/>
              <w:spacing w:before="0" w:beforeAutospacing="0" w:after="0" w:afterAutospacing="0" w:line="315" w:lineRule="atLeast"/>
              <w:ind w:right="-483"/>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退还不计利息）。</w:t>
            </w:r>
          </w:p>
          <w:p w14:paraId="20686568">
            <w:pPr>
              <w:snapToGrid w:val="0"/>
              <w:spacing w:after="48" w:afterLines="2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 贯彻落实上级文件精神，进一步减轻企业负担，主要推行以保函方式缴纳。在招投标活动中，由中标人根据自身情况自行选择缴纳方式。</w:t>
            </w:r>
          </w:p>
          <w:p w14:paraId="272C6D65">
            <w:pPr>
              <w:adjustRightInd w:val="0"/>
              <w:snapToGrid w:val="0"/>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6.中标人提供虚假银行保函的，</w:t>
            </w:r>
            <w:r>
              <w:rPr>
                <w:rFonts w:hint="eastAsia" w:ascii="宋体" w:hAnsi="宋体" w:cs="宋体"/>
                <w:color w:val="000000" w:themeColor="text1"/>
                <w:kern w:val="0"/>
                <w:szCs w:val="21"/>
                <w:highlight w:val="none"/>
                <w:lang w:val="en-US"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人取消其中标资格，投标保证金不予退还，</w:t>
            </w:r>
            <w:r>
              <w:rPr>
                <w:rFonts w:hint="eastAsia" w:ascii="宋体" w:hAnsi="宋体" w:cs="宋体"/>
                <w:color w:val="000000" w:themeColor="text1"/>
                <w:kern w:val="0"/>
                <w:szCs w:val="21"/>
                <w:highlight w:val="none"/>
                <w:lang w:val="en-US"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人可以根据评标委员会推荐的中标候选人顺序依次确定中标人，同时招标投标行政监督部门按照信用管理办法的规定，对中标人的不良行为直接记12分，纳入黑名单。</w:t>
            </w:r>
          </w:p>
          <w:p w14:paraId="17B5A2EF">
            <w:pPr>
              <w:pStyle w:val="16"/>
              <w:spacing w:line="360" w:lineRule="auto"/>
              <w:ind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7.比选人自中标通知书发出之日起30日内，依法与中标人签订书面合同。如果中标人未能按要求或在法定时限内缴纳履约担保金并签订书面合同的，比选人有权取消其中标资格并没收其投标保证金。</w:t>
            </w:r>
          </w:p>
          <w:p w14:paraId="673972BB">
            <w:pPr>
              <w:widowControl/>
              <w:wordWrap w:val="0"/>
              <w:spacing w:line="400" w:lineRule="exact"/>
              <w:ind w:firstLine="480"/>
              <w:rPr>
                <w:rFonts w:ascii="宋体" w:hAnsi="宋体" w:cs="宋体"/>
                <w:strike/>
                <w:color w:val="000000" w:themeColor="text1"/>
                <w:kern w:val="0"/>
                <w:szCs w:val="21"/>
                <w:highlight w:val="none"/>
                <w14:textFill>
                  <w14:solidFill>
                    <w14:schemeClr w14:val="tx1"/>
                  </w14:solidFill>
                </w14:textFill>
              </w:rPr>
            </w:pPr>
          </w:p>
        </w:tc>
      </w:tr>
      <w:tr w14:paraId="040D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13121F07">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8.3</w:t>
            </w:r>
          </w:p>
        </w:tc>
        <w:tc>
          <w:tcPr>
            <w:tcW w:w="1828" w:type="dxa"/>
            <w:vAlign w:val="center"/>
          </w:tcPr>
          <w:p w14:paraId="5E94598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农民工工资保证金</w:t>
            </w:r>
          </w:p>
        </w:tc>
        <w:tc>
          <w:tcPr>
            <w:tcW w:w="7074" w:type="dxa"/>
            <w:vAlign w:val="center"/>
          </w:tcPr>
          <w:p w14:paraId="409A40B0">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1.农民工工资保证金的形式：现金转账、银行支票、银行保函或担保公司保函等形式均可。其中以银行转账形式提交的应当从</w:t>
            </w:r>
            <w:r>
              <w:rPr>
                <w:rFonts w:hint="eastAsia" w:ascii="宋体" w:hAnsi="宋体" w:cs="宋体"/>
                <w:color w:val="000000" w:themeColor="text1"/>
                <w:kern w:val="0"/>
                <w:szCs w:val="21"/>
                <w:highlight w:val="none"/>
                <w:lang w:eastAsia="zh-CN"/>
                <w14:textFill>
                  <w14:solidFill>
                    <w14:schemeClr w14:val="tx1"/>
                  </w14:solidFill>
                </w14:textFill>
              </w:rPr>
              <w:t>承揽</w:t>
            </w:r>
            <w:r>
              <w:rPr>
                <w:rFonts w:hint="eastAsia" w:ascii="宋体" w:hAnsi="宋体" w:cs="宋体"/>
                <w:color w:val="000000" w:themeColor="text1"/>
                <w:kern w:val="0"/>
                <w:szCs w:val="21"/>
                <w:highlight w:val="none"/>
                <w14:textFill>
                  <w14:solidFill>
                    <w14:schemeClr w14:val="tx1"/>
                  </w14:solidFill>
                </w14:textFill>
              </w:rPr>
              <w:t>商基本账户转出；采用专业担保公司保函的，推行本辖区内的区属国有担保公司给予的担保。</w:t>
            </w:r>
          </w:p>
          <w:p w14:paraId="14FDC769">
            <w:pPr>
              <w:snapToGrid w:val="0"/>
              <w:spacing w:line="400" w:lineRule="exact"/>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2.农民工工资保证金的金额：</w:t>
            </w:r>
            <w:r>
              <w:rPr>
                <w:rFonts w:hint="eastAsia" w:ascii="宋体" w:hAnsi="宋体" w:cs="宋体"/>
                <w:b/>
                <w:bCs/>
                <w:color w:val="000000" w:themeColor="text1"/>
                <w:kern w:val="0"/>
                <w:szCs w:val="21"/>
                <w:highlight w:val="none"/>
                <w:u w:val="single"/>
                <w14:textFill>
                  <w14:solidFill>
                    <w14:schemeClr w14:val="tx1"/>
                  </w14:solidFill>
                </w14:textFill>
              </w:rPr>
              <w:t>中标合同金额的</w:t>
            </w:r>
            <w:r>
              <w:rPr>
                <w:rFonts w:hint="eastAsia" w:ascii="宋体" w:hAnsi="宋体" w:cs="宋体"/>
                <w:b/>
                <w:bCs/>
                <w:color w:val="000000" w:themeColor="text1"/>
                <w:kern w:val="0"/>
                <w:szCs w:val="21"/>
                <w:highlight w:val="none"/>
                <w:u w:val="single"/>
                <w:lang w:val="en-US" w:eastAsia="zh-CN"/>
                <w14:textFill>
                  <w14:solidFill>
                    <w14:schemeClr w14:val="tx1"/>
                  </w14:solidFill>
                </w14:textFill>
              </w:rPr>
              <w:t>2</w:t>
            </w:r>
            <w:r>
              <w:rPr>
                <w:rFonts w:hint="eastAsia" w:ascii="宋体" w:hAnsi="宋体" w:cs="宋体"/>
                <w:b/>
                <w:bCs/>
                <w:color w:val="000000" w:themeColor="text1"/>
                <w:kern w:val="0"/>
                <w:szCs w:val="21"/>
                <w:highlight w:val="none"/>
                <w:u w:val="singl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p>
          <w:p w14:paraId="34F9F0EB">
            <w:pPr>
              <w:snapToGrid w:val="0"/>
              <w:spacing w:after="48" w:afterLines="2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3.提交时间：中标人领取中标通知书之日起10个工作日内，并作为签订施工合同的必备条件。</w:t>
            </w:r>
          </w:p>
          <w:p w14:paraId="5006AAE0">
            <w:pPr>
              <w:pStyle w:val="39"/>
              <w:spacing w:before="0" w:beforeAutospacing="0" w:after="196" w:afterAutospacing="0" w:line="340" w:lineRule="exact"/>
              <w:ind w:firstLine="630"/>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中：采用银行保函的，要求出具保函的银行须为项目所在地或中标人企业注册地银行或中标人基本账户开户行，保函必须为不可撤销且见索即付；采用专业担保公司保函的，推行本辖区内的区属国有担保公司给予的担保；农民工工资保证金为银行现金转帐的，中标人须从其企业基本账户将农民工工资保证金转</w:t>
            </w:r>
            <w:r>
              <w:rPr>
                <w:rFonts w:hint="eastAsia" w:ascii="宋体" w:hAnsi="宋体" w:cs="宋体"/>
                <w:color w:val="000000" w:themeColor="text1"/>
                <w:sz w:val="21"/>
                <w:szCs w:val="21"/>
                <w:highlight w:val="none"/>
                <w:lang w:eastAsia="zh-CN"/>
                <w14:textFill>
                  <w14:solidFill>
                    <w14:schemeClr w14:val="tx1"/>
                  </w14:solidFill>
                </w14:textFill>
              </w:rPr>
              <w:t>比选人</w:t>
            </w:r>
            <w:r>
              <w:rPr>
                <w:rFonts w:hint="eastAsia" w:ascii="宋体" w:hAnsi="宋体" w:cs="宋体"/>
                <w:color w:val="000000" w:themeColor="text1"/>
                <w:sz w:val="21"/>
                <w:szCs w:val="21"/>
                <w:highlight w:val="none"/>
                <w14:textFill>
                  <w14:solidFill>
                    <w14:schemeClr w14:val="tx1"/>
                  </w14:solidFill>
                </w14:textFill>
              </w:rPr>
              <w:t xml:space="preserve">指定账户。      </w:t>
            </w:r>
          </w:p>
          <w:p w14:paraId="5EE6788C">
            <w:pPr>
              <w:pStyle w:val="39"/>
              <w:numPr>
                <w:ilvl w:val="0"/>
                <w:numId w:val="0"/>
              </w:numPr>
              <w:spacing w:before="0" w:beforeAutospacing="0" w:after="196" w:afterAutospacing="0" w:line="340" w:lineRule="exact"/>
              <w:ind w:firstLine="420" w:firstLineChars="200"/>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退还时间：工程验收合格后，在工地和政府公示栏公示一个月后，无拖欠农民工工资纠纷，则14日内退还农民工工资保证金（农民工工资保证金的退还不计利息）。</w:t>
            </w:r>
          </w:p>
        </w:tc>
      </w:tr>
      <w:tr w14:paraId="47BE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075" w:type="dxa"/>
            <w:vAlign w:val="center"/>
          </w:tcPr>
          <w:p w14:paraId="3F9D7A7D">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bookmarkStart w:id="69" w:name="_Toc419974478"/>
            <w:bookmarkStart w:id="70" w:name="_Toc428172725"/>
            <w:bookmarkStart w:id="71" w:name="_Toc338941631"/>
            <w:bookmarkStart w:id="72" w:name="_Toc200513126"/>
            <w:bookmarkStart w:id="73" w:name="_Toc419974236"/>
            <w:bookmarkStart w:id="74" w:name="_Toc370384625"/>
            <w:bookmarkStart w:id="75" w:name="_Toc428518721"/>
            <w:bookmarkStart w:id="76" w:name="_Toc430185956"/>
            <w:bookmarkStart w:id="77" w:name="_Toc419977262"/>
            <w:bookmarkStart w:id="78" w:name="_Toc430184672"/>
            <w:r>
              <w:rPr>
                <w:rFonts w:hint="eastAsia" w:ascii="宋体" w:hAnsi="宋体" w:cs="宋体"/>
                <w:color w:val="000000" w:themeColor="text1"/>
                <w:kern w:val="0"/>
                <w:szCs w:val="21"/>
                <w:highlight w:val="none"/>
                <w14:textFill>
                  <w14:solidFill>
                    <w14:schemeClr w14:val="tx1"/>
                  </w14:solidFill>
                </w14:textFill>
              </w:rPr>
              <w:t>8.4</w:t>
            </w:r>
          </w:p>
        </w:tc>
        <w:tc>
          <w:tcPr>
            <w:tcW w:w="1828" w:type="dxa"/>
            <w:vAlign w:val="center"/>
          </w:tcPr>
          <w:p w14:paraId="23DE5B8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代理服务费</w:t>
            </w:r>
          </w:p>
        </w:tc>
        <w:tc>
          <w:tcPr>
            <w:tcW w:w="7074" w:type="dxa"/>
            <w:vAlign w:val="center"/>
          </w:tcPr>
          <w:p w14:paraId="09F79041">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成交供应商领取中标通知书时提交相关资料并按以下程序办理：</w:t>
            </w:r>
          </w:p>
          <w:p w14:paraId="1176A1C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（1）缴纳代理服务费</w:t>
            </w:r>
          </w:p>
          <w:p w14:paraId="39767F34">
            <w:pPr>
              <w:widowControl/>
              <w:wordWrap w:val="0"/>
              <w:spacing w:line="400" w:lineRule="exact"/>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1.参照国家发展计划委员会“计价格[2002]第1980号”文件，根据招标人和招标代理机构签订的合同，代理服务费由中标人在领取中标通知书时支付。</w:t>
            </w:r>
          </w:p>
        </w:tc>
      </w:tr>
      <w:tr w14:paraId="2BA2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75" w:type="dxa"/>
            <w:vAlign w:val="center"/>
          </w:tcPr>
          <w:p w14:paraId="09A0AFF7">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9.1</w:t>
            </w:r>
          </w:p>
        </w:tc>
        <w:tc>
          <w:tcPr>
            <w:tcW w:w="1828" w:type="dxa"/>
            <w:vAlign w:val="center"/>
          </w:tcPr>
          <w:p w14:paraId="743EC3E1">
            <w:pPr>
              <w:snapToGrid w:val="0"/>
              <w:spacing w:line="40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投标程序</w:t>
            </w:r>
          </w:p>
        </w:tc>
        <w:tc>
          <w:tcPr>
            <w:tcW w:w="7074" w:type="dxa"/>
            <w:vAlign w:val="center"/>
          </w:tcPr>
          <w:p w14:paraId="7FF56B4A">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（1）提交</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文件购买费缴纳凭据复印件，加盖供应商公章；</w:t>
            </w:r>
          </w:p>
          <w:p w14:paraId="092EA0A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（2）提交投标保证金银行转账凭据，加盖供应商公章；</w:t>
            </w:r>
          </w:p>
          <w:p w14:paraId="4CDAAF0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（3）递交供应商银行“基本账户信息”或“开户许可证”复印件，加盖供应商公章；</w:t>
            </w:r>
          </w:p>
          <w:p w14:paraId="43EBB558">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（4）递交</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文件发售登记表，加盖供应商公章；</w:t>
            </w:r>
          </w:p>
          <w:p w14:paraId="1BCB338B">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（5）按规定递交投标文件。</w:t>
            </w:r>
          </w:p>
          <w:p w14:paraId="30EEDC3D">
            <w:pPr>
              <w:widowControl/>
              <w:wordWrap w:val="0"/>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说明：相关原件递交起止时间：如果</w:t>
            </w:r>
            <w:r>
              <w:rPr>
                <w:rFonts w:hint="eastAsia" w:ascii="宋体" w:hAnsi="宋体" w:cs="宋体"/>
                <w:color w:val="000000" w:themeColor="text1"/>
                <w:highlight w:val="none"/>
                <w:lang w:val="en-US"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文件要求必须提交的相关原件，其递交时间与投标文件递交时间一致（逾期不予受理）。</w:t>
            </w:r>
          </w:p>
        </w:tc>
      </w:tr>
      <w:tr w14:paraId="0478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977" w:type="dxa"/>
            <w:gridSpan w:val="3"/>
            <w:vAlign w:val="center"/>
          </w:tcPr>
          <w:p w14:paraId="3C4A4E1B">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投标人须知前附表与投标人须知正文不一致的以投标人须知前附表内容为准。</w:t>
            </w:r>
          </w:p>
        </w:tc>
      </w:tr>
    </w:tbl>
    <w:p w14:paraId="11CD34BD">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79" w:name="_Toc86934195"/>
    </w:p>
    <w:p w14:paraId="68CB5419">
      <w:pPr>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br w:type="page"/>
      </w:r>
    </w:p>
    <w:p w14:paraId="10DF568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80" w:name="_Toc11177"/>
      <w:r>
        <w:rPr>
          <w:rFonts w:hint="eastAsia" w:ascii="宋体" w:hAnsi="宋体" w:eastAsia="宋体" w:cs="宋体"/>
          <w:snapToGrid w:val="0"/>
          <w:color w:val="000000" w:themeColor="text1"/>
          <w:sz w:val="21"/>
          <w:szCs w:val="21"/>
          <w:highlight w:val="none"/>
          <w14:textFill>
            <w14:solidFill>
              <w14:schemeClr w14:val="tx1"/>
            </w14:solidFill>
          </w14:textFill>
        </w:rPr>
        <w:t>1.  总则</w:t>
      </w:r>
      <w:bookmarkEnd w:id="69"/>
      <w:bookmarkEnd w:id="70"/>
      <w:bookmarkEnd w:id="71"/>
      <w:bookmarkEnd w:id="72"/>
      <w:bookmarkEnd w:id="73"/>
      <w:bookmarkEnd w:id="74"/>
      <w:bookmarkEnd w:id="75"/>
      <w:bookmarkEnd w:id="76"/>
      <w:bookmarkEnd w:id="77"/>
      <w:bookmarkEnd w:id="78"/>
      <w:bookmarkEnd w:id="79"/>
      <w:bookmarkEnd w:id="80"/>
    </w:p>
    <w:p w14:paraId="27ACE3C3">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81" w:name="_Toc428518722"/>
      <w:bookmarkStart w:id="82" w:name="_Toc430184673"/>
      <w:bookmarkStart w:id="83" w:name="_Toc419977263"/>
      <w:bookmarkStart w:id="84" w:name="_Toc428172726"/>
      <w:bookmarkStart w:id="85" w:name="_Toc419974237"/>
      <w:bookmarkStart w:id="86" w:name="_Toc419974479"/>
      <w:bookmarkStart w:id="87" w:name="_Toc86934196"/>
      <w:bookmarkStart w:id="88" w:name="_Toc338941632"/>
      <w:bookmarkStart w:id="89" w:name="_Toc200513127"/>
      <w:bookmarkStart w:id="90" w:name="_Toc370384626"/>
      <w:bookmarkStart w:id="91" w:name="_Toc24183"/>
      <w:bookmarkStart w:id="92" w:name="_Toc430185957"/>
      <w:r>
        <w:rPr>
          <w:rFonts w:hint="eastAsia" w:ascii="宋体" w:hAnsi="宋体" w:eastAsia="宋体" w:cs="宋体"/>
          <w:snapToGrid w:val="0"/>
          <w:color w:val="000000" w:themeColor="text1"/>
          <w:sz w:val="21"/>
          <w:szCs w:val="21"/>
          <w:highlight w:val="none"/>
          <w14:textFill>
            <w14:solidFill>
              <w14:schemeClr w14:val="tx1"/>
            </w14:solidFill>
          </w14:textFill>
        </w:rPr>
        <w:t>1.1  项目概况</w:t>
      </w:r>
      <w:bookmarkEnd w:id="81"/>
      <w:bookmarkEnd w:id="82"/>
      <w:bookmarkEnd w:id="83"/>
      <w:bookmarkEnd w:id="84"/>
      <w:bookmarkEnd w:id="85"/>
      <w:bookmarkEnd w:id="86"/>
      <w:bookmarkEnd w:id="87"/>
      <w:bookmarkEnd w:id="88"/>
      <w:bookmarkEnd w:id="89"/>
      <w:bookmarkEnd w:id="90"/>
      <w:bookmarkEnd w:id="91"/>
      <w:bookmarkEnd w:id="92"/>
    </w:p>
    <w:p w14:paraId="66AD0DFE">
      <w:pPr>
        <w:pStyle w:val="39"/>
        <w:spacing w:before="0" w:beforeAutospacing="0" w:after="0" w:afterAutospacing="0" w:line="360" w:lineRule="auto"/>
        <w:ind w:firstLine="420" w:firstLineChars="200"/>
        <w:jc w:val="both"/>
        <w:rPr>
          <w:rFonts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1.1.1  根据《中华人民共和国招标投标法》等有关法律、法规和规章的规定，本比选项目已具备比选条件，现对本项目施工进行公开比选。</w:t>
      </w:r>
    </w:p>
    <w:p w14:paraId="22291760">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93" w:name="_Toc200513132"/>
      <w:bookmarkStart w:id="94" w:name="_Toc338941636"/>
      <w:bookmarkStart w:id="95" w:name="_Toc419977267"/>
      <w:bookmarkStart w:id="96" w:name="_Toc8647"/>
      <w:bookmarkStart w:id="97" w:name="_Toc419974241"/>
      <w:bookmarkStart w:id="98" w:name="_Toc430184677"/>
      <w:bookmarkStart w:id="99" w:name="_Toc370384630"/>
      <w:bookmarkStart w:id="100" w:name="_Toc430185961"/>
      <w:bookmarkStart w:id="101" w:name="_Toc428172730"/>
      <w:bookmarkStart w:id="102" w:name="_Toc419974483"/>
      <w:bookmarkStart w:id="103" w:name="_Toc428518726"/>
      <w:bookmarkStart w:id="104" w:name="_Toc86934197"/>
      <w:r>
        <w:rPr>
          <w:rFonts w:hint="eastAsia" w:ascii="宋体" w:hAnsi="宋体" w:eastAsia="宋体" w:cs="宋体"/>
          <w:snapToGrid w:val="0"/>
          <w:color w:val="000000" w:themeColor="text1"/>
          <w:sz w:val="21"/>
          <w:szCs w:val="21"/>
          <w:highlight w:val="none"/>
          <w14:textFill>
            <w14:solidFill>
              <w14:schemeClr w14:val="tx1"/>
            </w14:solidFill>
          </w14:textFill>
        </w:rPr>
        <w:t>1.5  费用承担</w:t>
      </w:r>
      <w:bookmarkEnd w:id="93"/>
      <w:bookmarkEnd w:id="94"/>
      <w:bookmarkEnd w:id="95"/>
      <w:bookmarkEnd w:id="96"/>
      <w:bookmarkEnd w:id="97"/>
      <w:bookmarkEnd w:id="98"/>
      <w:bookmarkEnd w:id="99"/>
      <w:bookmarkEnd w:id="100"/>
      <w:bookmarkEnd w:id="101"/>
      <w:bookmarkEnd w:id="102"/>
      <w:bookmarkEnd w:id="103"/>
      <w:bookmarkEnd w:id="104"/>
      <w:r>
        <w:rPr>
          <w:rFonts w:hint="eastAsia" w:ascii="宋体" w:hAnsi="宋体" w:eastAsia="宋体" w:cs="宋体"/>
          <w:snapToGrid w:val="0"/>
          <w:color w:val="000000" w:themeColor="text1"/>
          <w:sz w:val="21"/>
          <w:szCs w:val="21"/>
          <w:highlight w:val="none"/>
          <w14:textFill>
            <w14:solidFill>
              <w14:schemeClr w14:val="tx1"/>
            </w14:solidFill>
          </w14:textFill>
        </w:rPr>
        <w:tab/>
      </w:r>
    </w:p>
    <w:p w14:paraId="3768EDC5">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投标人准备和参加比选活动发生的费用自理。</w:t>
      </w:r>
    </w:p>
    <w:p w14:paraId="22BFC354">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05" w:name="_Toc9433"/>
      <w:bookmarkStart w:id="106" w:name="_Toc419974484"/>
      <w:bookmarkStart w:id="107" w:name="_Toc428518727"/>
      <w:bookmarkStart w:id="108" w:name="_Toc338941637"/>
      <w:bookmarkStart w:id="109" w:name="_Toc86934198"/>
      <w:bookmarkStart w:id="110" w:name="_Toc200513133"/>
      <w:bookmarkStart w:id="111" w:name="_Toc526309961"/>
      <w:bookmarkStart w:id="112" w:name="_Toc370384631"/>
      <w:bookmarkStart w:id="113" w:name="_Toc419977268"/>
      <w:bookmarkStart w:id="114" w:name="_Toc419974242"/>
      <w:bookmarkStart w:id="115" w:name="_Toc430184678"/>
      <w:bookmarkStart w:id="116" w:name="_Toc428172731"/>
      <w:bookmarkStart w:id="117" w:name="_Toc430185962"/>
      <w:r>
        <w:rPr>
          <w:rFonts w:hint="eastAsia" w:ascii="宋体" w:hAnsi="宋体" w:eastAsia="宋体" w:cs="宋体"/>
          <w:snapToGrid w:val="0"/>
          <w:color w:val="000000" w:themeColor="text1"/>
          <w:sz w:val="21"/>
          <w:szCs w:val="21"/>
          <w:highlight w:val="none"/>
          <w14:textFill>
            <w14:solidFill>
              <w14:schemeClr w14:val="tx1"/>
            </w14:solidFill>
          </w14:textFill>
        </w:rPr>
        <w:t>1.6 保密</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37A0FD7D">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参与比选活动的各方应对比选文件和投标文件中的商业和技术等秘密保密，违者应对由此造成的后果承担法律责任。</w:t>
      </w:r>
    </w:p>
    <w:p w14:paraId="4A5643DB">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18" w:name="_Toc526309962"/>
      <w:bookmarkStart w:id="119" w:name="_Toc428172732"/>
      <w:bookmarkStart w:id="120" w:name="_Toc338941638"/>
      <w:bookmarkStart w:id="121" w:name="_Toc419977269"/>
      <w:bookmarkStart w:id="122" w:name="_Toc419974485"/>
      <w:bookmarkStart w:id="123" w:name="_Toc21520"/>
      <w:bookmarkStart w:id="124" w:name="_Toc370384632"/>
      <w:bookmarkStart w:id="125" w:name="_Toc86934199"/>
      <w:bookmarkStart w:id="126" w:name="_Toc428518728"/>
      <w:bookmarkStart w:id="127" w:name="_Toc430184679"/>
      <w:bookmarkStart w:id="128" w:name="_Toc430185963"/>
      <w:bookmarkStart w:id="129" w:name="_Toc200513134"/>
      <w:bookmarkStart w:id="130" w:name="_Toc419974243"/>
      <w:r>
        <w:rPr>
          <w:rFonts w:hint="eastAsia" w:ascii="宋体" w:hAnsi="宋体" w:eastAsia="宋体" w:cs="宋体"/>
          <w:snapToGrid w:val="0"/>
          <w:color w:val="000000" w:themeColor="text1"/>
          <w:sz w:val="21"/>
          <w:szCs w:val="21"/>
          <w:highlight w:val="none"/>
          <w14:textFill>
            <w14:solidFill>
              <w14:schemeClr w14:val="tx1"/>
            </w14:solidFill>
          </w14:textFill>
        </w:rPr>
        <w:t>1.7 语言文字</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0B5CDF96">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14:paraId="0DCBBA54">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31" w:name="_Toc430184680"/>
      <w:bookmarkStart w:id="132" w:name="_Toc200513135"/>
      <w:bookmarkStart w:id="133" w:name="_Toc419977270"/>
      <w:bookmarkStart w:id="134" w:name="_Toc428518729"/>
      <w:bookmarkStart w:id="135" w:name="_Toc428172733"/>
      <w:bookmarkStart w:id="136" w:name="_Toc526309963"/>
      <w:bookmarkStart w:id="137" w:name="_Toc419974486"/>
      <w:bookmarkStart w:id="138" w:name="_Toc419974244"/>
      <w:bookmarkStart w:id="139" w:name="_Toc338941639"/>
      <w:bookmarkStart w:id="140" w:name="_Toc86934200"/>
      <w:bookmarkStart w:id="141" w:name="_Toc430185964"/>
      <w:bookmarkStart w:id="142" w:name="_Toc370384633"/>
      <w:bookmarkStart w:id="143" w:name="_Toc32470"/>
      <w:r>
        <w:rPr>
          <w:rFonts w:hint="eastAsia" w:ascii="宋体" w:hAnsi="宋体" w:eastAsia="宋体" w:cs="宋体"/>
          <w:snapToGrid w:val="0"/>
          <w:color w:val="000000" w:themeColor="text1"/>
          <w:sz w:val="21"/>
          <w:szCs w:val="21"/>
          <w:highlight w:val="none"/>
          <w14:textFill>
            <w14:solidFill>
              <w14:schemeClr w14:val="tx1"/>
            </w14:solidFill>
          </w14:textFill>
        </w:rPr>
        <w:t>1.8  计量单位</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70C3F009">
      <w:pPr>
        <w:autoSpaceDE w:val="0"/>
        <w:autoSpaceDN w:val="0"/>
        <w:adjustRightInd w:val="0"/>
        <w:snapToGrid w:val="0"/>
        <w:spacing w:line="360" w:lineRule="auto"/>
        <w:ind w:firstLine="424" w:firstLineChars="202"/>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3E37EC5E">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44" w:name="_Toc419977281"/>
      <w:bookmarkStart w:id="145" w:name="_Toc86934201"/>
      <w:bookmarkStart w:id="146" w:name="_Toc28726"/>
      <w:bookmarkStart w:id="147" w:name="_Toc419974255"/>
      <w:bookmarkStart w:id="148" w:name="_Toc430185975"/>
      <w:bookmarkStart w:id="149" w:name="_Toc430184691"/>
      <w:bookmarkStart w:id="150" w:name="_Toc428172744"/>
      <w:bookmarkStart w:id="151" w:name="_Toc419974497"/>
      <w:bookmarkStart w:id="152" w:name="_Toc338941650"/>
      <w:bookmarkStart w:id="153" w:name="_Toc370384644"/>
      <w:bookmarkStart w:id="154" w:name="_Toc428518740"/>
      <w:bookmarkStart w:id="155" w:name="_Toc200513148"/>
      <w:r>
        <w:rPr>
          <w:rFonts w:hint="eastAsia" w:ascii="宋体" w:hAnsi="宋体" w:eastAsia="宋体" w:cs="宋体"/>
          <w:snapToGrid w:val="0"/>
          <w:color w:val="000000" w:themeColor="text1"/>
          <w:sz w:val="21"/>
          <w:szCs w:val="21"/>
          <w:highlight w:val="none"/>
          <w14:textFill>
            <w14:solidFill>
              <w14:schemeClr w14:val="tx1"/>
            </w14:solidFill>
          </w14:textFill>
        </w:rPr>
        <w:t>3.3  投标有效期</w:t>
      </w:r>
      <w:bookmarkEnd w:id="144"/>
      <w:bookmarkEnd w:id="145"/>
      <w:bookmarkEnd w:id="146"/>
      <w:bookmarkEnd w:id="147"/>
      <w:bookmarkEnd w:id="148"/>
      <w:bookmarkEnd w:id="149"/>
      <w:bookmarkEnd w:id="150"/>
      <w:bookmarkEnd w:id="151"/>
      <w:bookmarkEnd w:id="152"/>
      <w:bookmarkEnd w:id="153"/>
      <w:bookmarkEnd w:id="154"/>
    </w:p>
    <w:p w14:paraId="24EA55DD">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3.3.1  在投标人须知前附表规定的投标有效期内，投标人不得要求撤销或修改其投标文件。</w:t>
      </w:r>
    </w:p>
    <w:p w14:paraId="6DC93ADC">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3.3.2  出现特殊情况需要延长投标有效期的，比选人应以书面形式通知所有投标人延长投标有效期。投标人同意延长的，应相应延长其投标保证金的有效期，但不得要求或被允许修改或撤销其投标文件；投标人拒绝延长的，其投标失效，但投标人有权收回其投标保证金。</w:t>
      </w:r>
    </w:p>
    <w:bookmarkEnd w:id="155"/>
    <w:p w14:paraId="0578DC55">
      <w:pPr>
        <w:snapToGrid w:val="0"/>
        <w:spacing w:line="360" w:lineRule="auto"/>
        <w:ind w:right="-109"/>
        <w:rPr>
          <w:rFonts w:ascii="宋体" w:hAnsi="宋体" w:cs="宋体"/>
          <w:snapToGrid w:val="0"/>
          <w:color w:val="000000" w:themeColor="text1"/>
          <w:szCs w:val="21"/>
          <w:highlight w:val="none"/>
          <w14:textFill>
            <w14:solidFill>
              <w14:schemeClr w14:val="tx1"/>
            </w14:solidFill>
          </w14:textFill>
        </w:rPr>
      </w:pPr>
      <w:bookmarkStart w:id="156" w:name="_Toc224103343"/>
      <w:bookmarkStart w:id="157" w:name="_Toc381112795"/>
      <w:bookmarkStart w:id="158" w:name="_Toc467163746"/>
      <w:bookmarkStart w:id="159" w:name="_Toc283211704"/>
      <w:bookmarkStart w:id="160" w:name="_Toc377562417"/>
      <w:bookmarkStart w:id="161" w:name="_Toc86934203"/>
      <w:bookmarkStart w:id="162" w:name="_Toc381195127"/>
      <w:bookmarkStart w:id="163" w:name="_Toc200513152"/>
      <w:bookmarkStart w:id="164" w:name="_Toc381113475"/>
      <w:r>
        <w:rPr>
          <w:rFonts w:hint="eastAsia" w:ascii="宋体" w:hAnsi="宋体" w:cs="宋体"/>
          <w:b/>
          <w:snapToGrid w:val="0"/>
          <w:color w:val="000000" w:themeColor="text1"/>
          <w:kern w:val="0"/>
          <w:szCs w:val="21"/>
          <w:highlight w:val="none"/>
          <w14:textFill>
            <w14:solidFill>
              <w14:schemeClr w14:val="tx1"/>
            </w14:solidFill>
          </w14:textFill>
        </w:rPr>
        <w:t>3.7  投标文件的编制</w:t>
      </w:r>
      <w:bookmarkEnd w:id="156"/>
      <w:bookmarkEnd w:id="157"/>
      <w:bookmarkEnd w:id="158"/>
      <w:bookmarkEnd w:id="159"/>
      <w:bookmarkEnd w:id="160"/>
      <w:bookmarkEnd w:id="161"/>
      <w:bookmarkEnd w:id="162"/>
      <w:bookmarkEnd w:id="163"/>
      <w:bookmarkEnd w:id="164"/>
    </w:p>
    <w:p w14:paraId="67FC6BA4">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3.7.1投标文件应按比选文件“投标文件格式”进行编写，如有必要，可以增加附页，作为投标文件的组成部分。</w:t>
      </w:r>
    </w:p>
    <w:p w14:paraId="46BB19F4">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 投标文件应当对招标文件有关工期、投标有效期、质量要求、技术标准和要求、招标范围等实质性内容作出响应。</w:t>
      </w:r>
    </w:p>
    <w:p w14:paraId="4E185B2B">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3.7.3投标文件应用不褪色的材料书写或打印，并由投标人的法定代表人或其委托代理人签字或加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 </w:t>
      </w:r>
    </w:p>
    <w:p w14:paraId="2D9793A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3.7.4 投标文件正本一份 , 副本</w:t>
      </w:r>
      <w:r>
        <w:rPr>
          <w:rFonts w:hint="eastAsia" w:ascii="宋体" w:hAnsi="宋体" w:cs="宋体"/>
          <w:color w:val="000000" w:themeColor="text1"/>
          <w:szCs w:val="21"/>
          <w:highlight w:val="none"/>
          <w:lang w:eastAsia="zh-CN"/>
          <w14:textFill>
            <w14:solidFill>
              <w14:schemeClr w14:val="tx1"/>
            </w14:solidFill>
          </w14:textFill>
        </w:rPr>
        <w:t>两</w:t>
      </w:r>
      <w:r>
        <w:rPr>
          <w:rFonts w:hint="eastAsia" w:ascii="宋体" w:hAnsi="宋体" w:cs="宋体"/>
          <w:color w:val="000000" w:themeColor="text1"/>
          <w:szCs w:val="21"/>
          <w:highlight w:val="none"/>
          <w14:textFill>
            <w14:solidFill>
              <w14:schemeClr w14:val="tx1"/>
            </w14:solidFill>
          </w14:textFill>
        </w:rPr>
        <w:t xml:space="preserve">份，见投标人须知前附表。正本和副本的封面上应清楚地标记“正本”或“副本”的字样。当副本和正本不一致时，以正本为准。 </w:t>
      </w:r>
    </w:p>
    <w:p w14:paraId="7FDDB54A">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3.7.5 投标文件的正本与副本应分别装订成册，并编制目录，具体装订要求见投标人须知前附表规定。 </w:t>
      </w:r>
    </w:p>
    <w:p w14:paraId="7AF297C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65" w:name="_Toc200513153"/>
      <w:bookmarkStart w:id="166" w:name="_Toc13870"/>
      <w:bookmarkStart w:id="167" w:name="_Toc419974500"/>
      <w:bookmarkStart w:id="168" w:name="_Toc419974258"/>
      <w:bookmarkStart w:id="169" w:name="_Toc430185978"/>
      <w:bookmarkStart w:id="170" w:name="_Toc370384647"/>
      <w:bookmarkStart w:id="171" w:name="_Toc419977284"/>
      <w:bookmarkStart w:id="172" w:name="_Toc430184694"/>
      <w:bookmarkStart w:id="173" w:name="_Toc428518743"/>
      <w:bookmarkStart w:id="174" w:name="_Toc86934204"/>
      <w:bookmarkStart w:id="175" w:name="_Toc338941653"/>
      <w:bookmarkStart w:id="176" w:name="_Toc428172747"/>
      <w:r>
        <w:rPr>
          <w:rFonts w:hint="eastAsia" w:ascii="宋体" w:hAnsi="宋体" w:eastAsia="宋体" w:cs="宋体"/>
          <w:snapToGrid w:val="0"/>
          <w:color w:val="000000" w:themeColor="text1"/>
          <w:sz w:val="21"/>
          <w:szCs w:val="21"/>
          <w:highlight w:val="none"/>
          <w14:textFill>
            <w14:solidFill>
              <w14:schemeClr w14:val="tx1"/>
            </w14:solidFill>
          </w14:textFill>
        </w:rPr>
        <w:t xml:space="preserve">4.  </w:t>
      </w:r>
      <w:bookmarkEnd w:id="165"/>
      <w:r>
        <w:rPr>
          <w:rFonts w:hint="eastAsia" w:ascii="宋体" w:hAnsi="宋体" w:eastAsia="宋体" w:cs="宋体"/>
          <w:snapToGrid w:val="0"/>
          <w:color w:val="000000" w:themeColor="text1"/>
          <w:sz w:val="21"/>
          <w:szCs w:val="21"/>
          <w:highlight w:val="none"/>
          <w14:textFill>
            <w14:solidFill>
              <w14:schemeClr w14:val="tx1"/>
            </w14:solidFill>
          </w14:textFill>
        </w:rPr>
        <w:t>投标文件</w:t>
      </w:r>
      <w:bookmarkEnd w:id="166"/>
      <w:bookmarkEnd w:id="167"/>
      <w:bookmarkEnd w:id="168"/>
      <w:bookmarkEnd w:id="169"/>
      <w:bookmarkEnd w:id="170"/>
      <w:bookmarkEnd w:id="171"/>
      <w:bookmarkEnd w:id="172"/>
      <w:bookmarkEnd w:id="173"/>
      <w:bookmarkEnd w:id="174"/>
      <w:bookmarkEnd w:id="175"/>
      <w:bookmarkEnd w:id="176"/>
    </w:p>
    <w:p w14:paraId="24AFBEF5">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77" w:name="_Toc86934205"/>
      <w:bookmarkStart w:id="178" w:name="_Toc370384648"/>
      <w:bookmarkStart w:id="179" w:name="_Toc419977285"/>
      <w:bookmarkStart w:id="180" w:name="_Toc2153"/>
      <w:bookmarkStart w:id="181" w:name="_Toc430184695"/>
      <w:bookmarkStart w:id="182" w:name="_Toc200513154"/>
      <w:bookmarkStart w:id="183" w:name="_Toc419974501"/>
      <w:bookmarkStart w:id="184" w:name="_Toc419974259"/>
      <w:bookmarkStart w:id="185" w:name="_Toc428518744"/>
      <w:bookmarkStart w:id="186" w:name="_Toc430185979"/>
      <w:bookmarkStart w:id="187" w:name="_Toc338941654"/>
      <w:bookmarkStart w:id="188" w:name="_Toc428172748"/>
      <w:r>
        <w:rPr>
          <w:rFonts w:hint="eastAsia" w:ascii="宋体" w:hAnsi="宋体" w:eastAsia="宋体" w:cs="宋体"/>
          <w:snapToGrid w:val="0"/>
          <w:color w:val="000000" w:themeColor="text1"/>
          <w:sz w:val="21"/>
          <w:szCs w:val="21"/>
          <w:highlight w:val="none"/>
          <w14:textFill>
            <w14:solidFill>
              <w14:schemeClr w14:val="tx1"/>
            </w14:solidFill>
          </w14:textFill>
        </w:rPr>
        <w:t>4.1  投标文件的密封和标记</w:t>
      </w:r>
      <w:bookmarkEnd w:id="177"/>
      <w:bookmarkEnd w:id="178"/>
      <w:bookmarkEnd w:id="179"/>
      <w:bookmarkEnd w:id="180"/>
      <w:bookmarkEnd w:id="181"/>
      <w:bookmarkEnd w:id="182"/>
      <w:bookmarkEnd w:id="183"/>
      <w:bookmarkEnd w:id="184"/>
      <w:bookmarkEnd w:id="185"/>
      <w:bookmarkEnd w:id="186"/>
      <w:bookmarkEnd w:id="187"/>
      <w:bookmarkEnd w:id="188"/>
    </w:p>
    <w:p w14:paraId="315E118D">
      <w:pPr>
        <w:autoSpaceDE w:val="0"/>
        <w:autoSpaceDN w:val="0"/>
        <w:adjustRightInd w:val="0"/>
        <w:snapToGrid w:val="0"/>
        <w:spacing w:line="360" w:lineRule="auto"/>
        <w:ind w:left="13" w:leftChars="6" w:firstLine="344" w:firstLineChars="164"/>
        <w:jc w:val="left"/>
        <w:rPr>
          <w:rFonts w:ascii="宋体" w:hAnsi="宋体" w:cs="宋体"/>
          <w:snapToGrid w:val="0"/>
          <w:color w:val="000000" w:themeColor="text1"/>
          <w:kern w:val="0"/>
          <w:szCs w:val="21"/>
          <w:highlight w:val="none"/>
          <w14:textFill>
            <w14:solidFill>
              <w14:schemeClr w14:val="tx1"/>
            </w14:solidFill>
          </w14:textFill>
        </w:rPr>
      </w:pPr>
      <w:bookmarkStart w:id="189" w:name="_Toc200513155"/>
      <w:r>
        <w:rPr>
          <w:rFonts w:hint="eastAsia" w:ascii="宋体" w:hAnsi="宋体" w:cs="宋体"/>
          <w:snapToGrid w:val="0"/>
          <w:color w:val="000000" w:themeColor="text1"/>
          <w:kern w:val="0"/>
          <w:szCs w:val="21"/>
          <w:highlight w:val="none"/>
          <w14:textFill>
            <w14:solidFill>
              <w14:schemeClr w14:val="tx1"/>
            </w14:solidFill>
          </w14:textFill>
        </w:rPr>
        <w:t>4.1.1  投标文件的正本与副本密封见投标人须知前附表。</w:t>
      </w:r>
    </w:p>
    <w:p w14:paraId="3C7934E9">
      <w:pPr>
        <w:autoSpaceDE w:val="0"/>
        <w:autoSpaceDN w:val="0"/>
        <w:adjustRightInd w:val="0"/>
        <w:snapToGrid w:val="0"/>
        <w:spacing w:line="360" w:lineRule="auto"/>
        <w:ind w:left="13" w:leftChars="6" w:firstLine="344" w:firstLineChars="164"/>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投标文件的封套上应写明的内容见投标人须知前附表。</w:t>
      </w:r>
    </w:p>
    <w:p w14:paraId="654C9F9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190" w:name="_Toc338941655"/>
      <w:bookmarkStart w:id="191" w:name="_Toc3586"/>
      <w:bookmarkStart w:id="192" w:name="_Toc428172749"/>
      <w:bookmarkStart w:id="193" w:name="_Toc430184696"/>
      <w:bookmarkStart w:id="194" w:name="_Toc370384649"/>
      <w:bookmarkStart w:id="195" w:name="_Toc86934206"/>
      <w:bookmarkStart w:id="196" w:name="_Toc428518745"/>
      <w:bookmarkStart w:id="197" w:name="_Toc419977286"/>
      <w:bookmarkStart w:id="198" w:name="_Toc419974260"/>
      <w:bookmarkStart w:id="199" w:name="_Toc419974502"/>
      <w:bookmarkStart w:id="200" w:name="_Toc430185980"/>
      <w:r>
        <w:rPr>
          <w:rFonts w:hint="eastAsia" w:ascii="宋体" w:hAnsi="宋体" w:eastAsia="宋体" w:cs="宋体"/>
          <w:snapToGrid w:val="0"/>
          <w:color w:val="000000" w:themeColor="text1"/>
          <w:sz w:val="21"/>
          <w:szCs w:val="21"/>
          <w:highlight w:val="none"/>
          <w14:textFill>
            <w14:solidFill>
              <w14:schemeClr w14:val="tx1"/>
            </w14:solidFill>
          </w14:textFill>
        </w:rPr>
        <w:t>4.2  投标文件的递交</w:t>
      </w:r>
      <w:bookmarkEnd w:id="189"/>
      <w:bookmarkEnd w:id="190"/>
      <w:bookmarkEnd w:id="191"/>
      <w:bookmarkEnd w:id="192"/>
      <w:bookmarkEnd w:id="193"/>
      <w:bookmarkEnd w:id="194"/>
      <w:bookmarkEnd w:id="195"/>
      <w:bookmarkEnd w:id="196"/>
      <w:bookmarkEnd w:id="197"/>
      <w:bookmarkEnd w:id="198"/>
      <w:bookmarkEnd w:id="199"/>
      <w:bookmarkEnd w:id="200"/>
    </w:p>
    <w:p w14:paraId="5F2F6D13">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投标人应在投标人须知前附表规定的投标截止时间前递交投标文件。</w:t>
      </w:r>
    </w:p>
    <w:p w14:paraId="5E7EB133">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投标人递交投标文件的地点：见投标人须知前附表。</w:t>
      </w:r>
    </w:p>
    <w:p w14:paraId="61D7867C">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除投标人须知前附表另有规定外，投标人所递交的投标文件不予退还。</w:t>
      </w:r>
    </w:p>
    <w:p w14:paraId="67DBA35F">
      <w:pPr>
        <w:autoSpaceDE w:val="0"/>
        <w:autoSpaceDN w:val="0"/>
        <w:adjustRightInd w:val="0"/>
        <w:snapToGrid w:val="0"/>
        <w:spacing w:line="360" w:lineRule="auto"/>
        <w:ind w:left="359" w:leftChars="171"/>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逾期送达的或者未送达指定地点的投标文件，比选人不予受理。</w:t>
      </w:r>
    </w:p>
    <w:p w14:paraId="398E5791">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01" w:name="_Toc430530465"/>
      <w:bookmarkStart w:id="202" w:name="_Toc33715781"/>
      <w:bookmarkStart w:id="203" w:name="_Toc86934207"/>
      <w:bookmarkStart w:id="204" w:name="_Toc509218740"/>
      <w:bookmarkStart w:id="205" w:name="_Toc200513156"/>
      <w:bookmarkStart w:id="206" w:name="_Toc277082582"/>
      <w:bookmarkStart w:id="207" w:name="_Toc287620715"/>
      <w:bookmarkStart w:id="208" w:name="_Toc3661"/>
      <w:bookmarkStart w:id="209" w:name="_Toc224103347"/>
      <w:bookmarkStart w:id="210" w:name="_Toc287607776"/>
      <w:r>
        <w:rPr>
          <w:rFonts w:hint="eastAsia" w:ascii="宋体" w:hAnsi="宋体" w:eastAsia="宋体" w:cs="宋体"/>
          <w:snapToGrid w:val="0"/>
          <w:color w:val="000000" w:themeColor="text1"/>
          <w:sz w:val="21"/>
          <w:szCs w:val="21"/>
          <w:highlight w:val="none"/>
          <w14:textFill>
            <w14:solidFill>
              <w14:schemeClr w14:val="tx1"/>
            </w14:solidFill>
          </w14:textFill>
        </w:rPr>
        <w:t>4.3  投标文件的修改与撤回</w:t>
      </w:r>
      <w:bookmarkEnd w:id="201"/>
      <w:bookmarkEnd w:id="202"/>
      <w:bookmarkEnd w:id="203"/>
      <w:bookmarkEnd w:id="204"/>
      <w:bookmarkEnd w:id="205"/>
      <w:bookmarkEnd w:id="206"/>
      <w:bookmarkEnd w:id="207"/>
      <w:bookmarkEnd w:id="208"/>
      <w:bookmarkEnd w:id="209"/>
      <w:bookmarkEnd w:id="210"/>
    </w:p>
    <w:p w14:paraId="42547CE9">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在投标人须知前附表规定的投标截止时间前，投标人可以修改或撤回已递交的投标文件，但应以书面形式通知比选人。</w:t>
      </w:r>
    </w:p>
    <w:p w14:paraId="7E9A36BA">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投标人修改或撤回已递交投标文件的书面通知应按照本章第3.7.3项的要求签字或盖章。比选人收到书面通知后，向投标人出具签收凭证。</w:t>
      </w:r>
    </w:p>
    <w:p w14:paraId="6EE28A07">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修改的内容为投标文件的组成部分。修改的投标文件应按照本章规定进行编制、密封、标记和递交，并标明“修改”字样。</w:t>
      </w:r>
    </w:p>
    <w:p w14:paraId="5396271A">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11" w:name="_Toc419974503"/>
      <w:bookmarkStart w:id="212" w:name="_Toc370384650"/>
      <w:bookmarkStart w:id="213" w:name="_Toc419974261"/>
      <w:bookmarkStart w:id="214" w:name="_Toc200513157"/>
      <w:bookmarkStart w:id="215" w:name="_Toc338941656"/>
      <w:bookmarkStart w:id="216" w:name="_Toc428172750"/>
      <w:bookmarkStart w:id="217" w:name="_Toc428518746"/>
      <w:bookmarkStart w:id="218" w:name="_Toc2138"/>
      <w:bookmarkStart w:id="219" w:name="_Toc430185981"/>
      <w:bookmarkStart w:id="220" w:name="_Toc430184697"/>
      <w:bookmarkStart w:id="221" w:name="_Toc86934208"/>
      <w:bookmarkStart w:id="222" w:name="_Toc419977287"/>
      <w:r>
        <w:rPr>
          <w:rFonts w:hint="eastAsia" w:ascii="宋体" w:hAnsi="宋体" w:eastAsia="宋体" w:cs="宋体"/>
          <w:snapToGrid w:val="0"/>
          <w:color w:val="000000" w:themeColor="text1"/>
          <w:sz w:val="21"/>
          <w:szCs w:val="21"/>
          <w:highlight w:val="none"/>
          <w14:textFill>
            <w14:solidFill>
              <w14:schemeClr w14:val="tx1"/>
            </w14:solidFill>
          </w14:textFill>
        </w:rPr>
        <w:t xml:space="preserve">5.  </w:t>
      </w:r>
      <w:bookmarkEnd w:id="211"/>
      <w:bookmarkEnd w:id="212"/>
      <w:bookmarkEnd w:id="213"/>
      <w:bookmarkEnd w:id="214"/>
      <w:bookmarkEnd w:id="215"/>
      <w:r>
        <w:rPr>
          <w:rFonts w:hint="eastAsia" w:ascii="宋体" w:hAnsi="宋体" w:eastAsia="宋体" w:cs="宋体"/>
          <w:snapToGrid w:val="0"/>
          <w:color w:val="000000" w:themeColor="text1"/>
          <w:sz w:val="21"/>
          <w:szCs w:val="21"/>
          <w:highlight w:val="none"/>
          <w14:textFill>
            <w14:solidFill>
              <w14:schemeClr w14:val="tx1"/>
            </w14:solidFill>
          </w14:textFill>
        </w:rPr>
        <w:t>开标</w:t>
      </w:r>
      <w:bookmarkEnd w:id="216"/>
      <w:bookmarkEnd w:id="217"/>
      <w:bookmarkEnd w:id="218"/>
      <w:bookmarkEnd w:id="219"/>
      <w:bookmarkEnd w:id="220"/>
      <w:bookmarkEnd w:id="221"/>
      <w:bookmarkEnd w:id="222"/>
    </w:p>
    <w:p w14:paraId="6CC56E17">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23" w:name="_Toc200513158"/>
      <w:bookmarkStart w:id="224" w:name="_Toc428172751"/>
      <w:bookmarkStart w:id="225" w:name="_Toc370384651"/>
      <w:bookmarkStart w:id="226" w:name="_Toc338941657"/>
      <w:bookmarkStart w:id="227" w:name="_Toc430184698"/>
      <w:bookmarkStart w:id="228" w:name="_Toc419974504"/>
      <w:bookmarkStart w:id="229" w:name="_Toc24280"/>
      <w:bookmarkStart w:id="230" w:name="_Toc419977288"/>
      <w:bookmarkStart w:id="231" w:name="_Toc419974262"/>
      <w:bookmarkStart w:id="232" w:name="_Toc428518747"/>
      <w:bookmarkStart w:id="233" w:name="_Toc86934209"/>
      <w:bookmarkStart w:id="234" w:name="_Toc430185982"/>
      <w:r>
        <w:rPr>
          <w:rFonts w:hint="eastAsia" w:ascii="宋体" w:hAnsi="宋体" w:eastAsia="宋体" w:cs="宋体"/>
          <w:snapToGrid w:val="0"/>
          <w:color w:val="000000" w:themeColor="text1"/>
          <w:sz w:val="21"/>
          <w:szCs w:val="21"/>
          <w:highlight w:val="none"/>
          <w14:textFill>
            <w14:solidFill>
              <w14:schemeClr w14:val="tx1"/>
            </w14:solidFill>
          </w14:textFill>
        </w:rPr>
        <w:t>5.1  开标时间和地点</w:t>
      </w:r>
      <w:bookmarkEnd w:id="223"/>
      <w:bookmarkEnd w:id="224"/>
      <w:bookmarkEnd w:id="225"/>
      <w:bookmarkEnd w:id="226"/>
      <w:bookmarkEnd w:id="227"/>
      <w:bookmarkEnd w:id="228"/>
      <w:bookmarkEnd w:id="229"/>
      <w:bookmarkEnd w:id="230"/>
      <w:bookmarkEnd w:id="231"/>
      <w:bookmarkEnd w:id="232"/>
      <w:bookmarkEnd w:id="233"/>
      <w:bookmarkEnd w:id="234"/>
    </w:p>
    <w:p w14:paraId="2FDC81DB">
      <w:pPr>
        <w:autoSpaceDE w:val="0"/>
        <w:autoSpaceDN w:val="0"/>
        <w:adjustRightInd w:val="0"/>
        <w:snapToGrid w:val="0"/>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比选人在本章规定的比选截止时间和投标人须知前附表规定的地点公开比选，并邀请所有投标人的法定代表人或其委托代理人准时参加。</w:t>
      </w:r>
    </w:p>
    <w:p w14:paraId="1AF9821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35" w:name="_Toc200513160"/>
      <w:bookmarkStart w:id="236" w:name="_Toc430184700"/>
      <w:bookmarkStart w:id="237" w:name="_Toc370384653"/>
      <w:bookmarkStart w:id="238" w:name="_Toc430185984"/>
      <w:bookmarkStart w:id="239" w:name="_Toc428518749"/>
      <w:bookmarkStart w:id="240" w:name="_Toc86934210"/>
      <w:bookmarkStart w:id="241" w:name="_Toc11553"/>
      <w:bookmarkStart w:id="242" w:name="_Toc338941659"/>
      <w:bookmarkStart w:id="243" w:name="_Toc428172753"/>
      <w:bookmarkStart w:id="244" w:name="_Toc419977290"/>
      <w:bookmarkStart w:id="245" w:name="_Toc419974264"/>
      <w:bookmarkStart w:id="246" w:name="_Toc419974506"/>
      <w:r>
        <w:rPr>
          <w:rFonts w:hint="eastAsia" w:ascii="宋体" w:hAnsi="宋体" w:eastAsia="宋体" w:cs="宋体"/>
          <w:snapToGrid w:val="0"/>
          <w:color w:val="000000" w:themeColor="text1"/>
          <w:sz w:val="21"/>
          <w:szCs w:val="21"/>
          <w:highlight w:val="none"/>
          <w14:textFill>
            <w14:solidFill>
              <w14:schemeClr w14:val="tx1"/>
            </w14:solidFill>
          </w14:textFill>
        </w:rPr>
        <w:t>6.  评</w:t>
      </w:r>
      <w:bookmarkEnd w:id="235"/>
      <w:r>
        <w:rPr>
          <w:rFonts w:hint="eastAsia" w:ascii="宋体" w:hAnsi="宋体" w:eastAsia="宋体" w:cs="宋体"/>
          <w:snapToGrid w:val="0"/>
          <w:color w:val="000000" w:themeColor="text1"/>
          <w:sz w:val="21"/>
          <w:szCs w:val="21"/>
          <w:highlight w:val="none"/>
          <w14:textFill>
            <w14:solidFill>
              <w14:schemeClr w14:val="tx1"/>
            </w14:solidFill>
          </w14:textFill>
        </w:rPr>
        <w:t>审</w:t>
      </w:r>
      <w:bookmarkEnd w:id="236"/>
      <w:bookmarkEnd w:id="237"/>
      <w:bookmarkEnd w:id="238"/>
      <w:bookmarkEnd w:id="239"/>
      <w:bookmarkEnd w:id="240"/>
      <w:bookmarkEnd w:id="241"/>
      <w:bookmarkEnd w:id="242"/>
      <w:bookmarkEnd w:id="243"/>
      <w:bookmarkEnd w:id="244"/>
      <w:bookmarkEnd w:id="245"/>
      <w:bookmarkEnd w:id="246"/>
    </w:p>
    <w:p w14:paraId="66CBC676">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47" w:name="_Toc86934211"/>
      <w:bookmarkStart w:id="248" w:name="_Toc338941660"/>
      <w:bookmarkStart w:id="249" w:name="_Toc200513161"/>
      <w:bookmarkStart w:id="250" w:name="_Toc419977291"/>
      <w:bookmarkStart w:id="251" w:name="_Toc430184701"/>
      <w:bookmarkStart w:id="252" w:name="_Toc428518750"/>
      <w:bookmarkStart w:id="253" w:name="_Toc11756"/>
      <w:bookmarkStart w:id="254" w:name="_Toc430185985"/>
      <w:bookmarkStart w:id="255" w:name="_Toc419974507"/>
      <w:bookmarkStart w:id="256" w:name="_Toc370384654"/>
      <w:bookmarkStart w:id="257" w:name="_Toc428172754"/>
      <w:bookmarkStart w:id="258" w:name="_Toc419974265"/>
      <w:r>
        <w:rPr>
          <w:rFonts w:hint="eastAsia" w:ascii="宋体" w:hAnsi="宋体" w:eastAsia="宋体" w:cs="宋体"/>
          <w:snapToGrid w:val="0"/>
          <w:color w:val="000000" w:themeColor="text1"/>
          <w:sz w:val="21"/>
          <w:szCs w:val="21"/>
          <w:highlight w:val="none"/>
          <w14:textFill>
            <w14:solidFill>
              <w14:schemeClr w14:val="tx1"/>
            </w14:solidFill>
          </w14:textFill>
        </w:rPr>
        <w:t>6.1  评审委员会</w:t>
      </w:r>
      <w:bookmarkEnd w:id="247"/>
      <w:bookmarkEnd w:id="248"/>
      <w:bookmarkEnd w:id="249"/>
      <w:bookmarkEnd w:id="250"/>
      <w:bookmarkEnd w:id="251"/>
      <w:bookmarkEnd w:id="252"/>
      <w:bookmarkEnd w:id="253"/>
      <w:bookmarkEnd w:id="254"/>
      <w:bookmarkEnd w:id="255"/>
      <w:bookmarkEnd w:id="256"/>
      <w:bookmarkEnd w:id="257"/>
      <w:bookmarkEnd w:id="258"/>
    </w:p>
    <w:p w14:paraId="1CF4B14A">
      <w:pPr>
        <w:widowControl/>
        <w:spacing w:line="360" w:lineRule="auto"/>
        <w:ind w:firstLine="420" w:firstLineChars="200"/>
        <w:jc w:val="left"/>
        <w:rPr>
          <w:rFonts w:ascii="宋体" w:hAnsi="宋体" w:cs="宋体"/>
          <w:b/>
          <w:snapToGrid w:val="0"/>
          <w:color w:val="000000" w:themeColor="text1"/>
          <w:kern w:val="0"/>
          <w:szCs w:val="21"/>
          <w:highlight w:val="none"/>
          <w14:textFill>
            <w14:solidFill>
              <w14:schemeClr w14:val="tx1"/>
            </w14:solidFill>
          </w14:textFill>
        </w:rPr>
      </w:pPr>
      <w:bookmarkStart w:id="259" w:name="_Toc200513162"/>
      <w:r>
        <w:rPr>
          <w:rFonts w:hint="eastAsia" w:ascii="宋体" w:hAnsi="宋体" w:cs="宋体"/>
          <w:snapToGrid w:val="0"/>
          <w:color w:val="000000" w:themeColor="text1"/>
          <w:kern w:val="0"/>
          <w:szCs w:val="21"/>
          <w:highlight w:val="none"/>
          <w14:textFill>
            <w14:solidFill>
              <w14:schemeClr w14:val="tx1"/>
            </w14:solidFill>
          </w14:textFill>
        </w:rPr>
        <w:t>6.1.1  依法组建评审委员会。</w:t>
      </w:r>
    </w:p>
    <w:p w14:paraId="16DE7D9B">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评审委员会成员有下列情形之一的，应当回避：</w:t>
      </w:r>
    </w:p>
    <w:p w14:paraId="40065133">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（1）投标人或投标人的主要负责人的近亲属；</w:t>
      </w:r>
    </w:p>
    <w:p w14:paraId="05CC01CA">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14:paraId="085D08DD">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（3）与投标人有利害关系，可能影响对投标公正评审的；</w:t>
      </w:r>
    </w:p>
    <w:p w14:paraId="37463A5C">
      <w:pPr>
        <w:widowControl/>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cs="宋体"/>
          <w:color w:val="000000" w:themeColor="text1"/>
          <w:kern w:val="0"/>
          <w:szCs w:val="21"/>
          <w:highlight w:val="none"/>
          <w14:textFill>
            <w14:solidFill>
              <w14:schemeClr w14:val="tx1"/>
            </w14:solidFill>
          </w14:textFill>
        </w:rPr>
        <w:t>。</w:t>
      </w:r>
    </w:p>
    <w:p w14:paraId="419202B8">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60" w:name="_Toc430185986"/>
      <w:bookmarkStart w:id="261" w:name="_Toc86934212"/>
      <w:bookmarkStart w:id="262" w:name="_Toc338941661"/>
      <w:bookmarkStart w:id="263" w:name="_Toc419974266"/>
      <w:bookmarkStart w:id="264" w:name="_Toc419974508"/>
      <w:bookmarkStart w:id="265" w:name="_Toc428172755"/>
      <w:bookmarkStart w:id="266" w:name="_Toc430184702"/>
      <w:bookmarkStart w:id="267" w:name="_Toc370384655"/>
      <w:bookmarkStart w:id="268" w:name="_Toc419977292"/>
      <w:bookmarkStart w:id="269" w:name="_Toc1481"/>
      <w:bookmarkStart w:id="270" w:name="_Toc428518751"/>
      <w:r>
        <w:rPr>
          <w:rFonts w:hint="eastAsia" w:ascii="宋体" w:hAnsi="宋体" w:eastAsia="宋体" w:cs="宋体"/>
          <w:snapToGrid w:val="0"/>
          <w:color w:val="000000" w:themeColor="text1"/>
          <w:sz w:val="21"/>
          <w:szCs w:val="21"/>
          <w:highlight w:val="none"/>
          <w14:textFill>
            <w14:solidFill>
              <w14:schemeClr w14:val="tx1"/>
            </w14:solidFill>
          </w14:textFill>
        </w:rPr>
        <w:t>6.2  评审原则</w:t>
      </w:r>
      <w:bookmarkEnd w:id="259"/>
      <w:bookmarkEnd w:id="260"/>
      <w:bookmarkEnd w:id="261"/>
      <w:bookmarkEnd w:id="262"/>
      <w:bookmarkEnd w:id="263"/>
      <w:bookmarkEnd w:id="264"/>
      <w:bookmarkEnd w:id="265"/>
      <w:bookmarkEnd w:id="266"/>
      <w:bookmarkEnd w:id="267"/>
      <w:bookmarkEnd w:id="268"/>
      <w:bookmarkEnd w:id="269"/>
      <w:bookmarkEnd w:id="270"/>
    </w:p>
    <w:p w14:paraId="740F97E3">
      <w:pPr>
        <w:autoSpaceDE w:val="0"/>
        <w:autoSpaceDN w:val="0"/>
        <w:adjustRightInd w:val="0"/>
        <w:snapToGrid w:val="0"/>
        <w:spacing w:line="360" w:lineRule="auto"/>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评标活动遵循公平、公正、科学和择优的原则。</w:t>
      </w:r>
    </w:p>
    <w:p w14:paraId="7F4569CE">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71" w:name="_Toc200513163"/>
      <w:bookmarkStart w:id="272" w:name="_Toc428172756"/>
      <w:bookmarkStart w:id="273" w:name="_Toc428518752"/>
      <w:bookmarkStart w:id="274" w:name="_Toc86934213"/>
      <w:bookmarkStart w:id="275" w:name="_Toc22500"/>
      <w:bookmarkStart w:id="276" w:name="_Toc430184703"/>
      <w:bookmarkStart w:id="277" w:name="_Toc338941662"/>
      <w:bookmarkStart w:id="278" w:name="_Toc430185987"/>
      <w:bookmarkStart w:id="279" w:name="_Toc419974509"/>
      <w:bookmarkStart w:id="280" w:name="_Toc419974267"/>
      <w:bookmarkStart w:id="281" w:name="_Toc370384656"/>
      <w:bookmarkStart w:id="282" w:name="_Toc419977293"/>
      <w:r>
        <w:rPr>
          <w:rFonts w:hint="eastAsia" w:ascii="宋体" w:hAnsi="宋体" w:eastAsia="宋体" w:cs="宋体"/>
          <w:snapToGrid w:val="0"/>
          <w:color w:val="000000" w:themeColor="text1"/>
          <w:sz w:val="21"/>
          <w:szCs w:val="21"/>
          <w:highlight w:val="none"/>
          <w14:textFill>
            <w14:solidFill>
              <w14:schemeClr w14:val="tx1"/>
            </w14:solidFill>
          </w14:textFill>
        </w:rPr>
        <w:t>6.3  评</w:t>
      </w:r>
      <w:bookmarkEnd w:id="271"/>
      <w:r>
        <w:rPr>
          <w:rFonts w:hint="eastAsia" w:ascii="宋体" w:hAnsi="宋体" w:eastAsia="宋体" w:cs="宋体"/>
          <w:snapToGrid w:val="0"/>
          <w:color w:val="000000" w:themeColor="text1"/>
          <w:sz w:val="21"/>
          <w:szCs w:val="21"/>
          <w:highlight w:val="none"/>
          <w14:textFill>
            <w14:solidFill>
              <w14:schemeClr w14:val="tx1"/>
            </w14:solidFill>
          </w14:textFill>
        </w:rPr>
        <w:t>审</w:t>
      </w:r>
      <w:bookmarkEnd w:id="272"/>
      <w:bookmarkEnd w:id="273"/>
      <w:bookmarkEnd w:id="274"/>
      <w:bookmarkEnd w:id="275"/>
      <w:bookmarkEnd w:id="276"/>
      <w:bookmarkEnd w:id="277"/>
      <w:bookmarkEnd w:id="278"/>
      <w:bookmarkEnd w:id="279"/>
      <w:bookmarkEnd w:id="280"/>
      <w:bookmarkEnd w:id="281"/>
      <w:bookmarkEnd w:id="282"/>
    </w:p>
    <w:p w14:paraId="171C7FD6">
      <w:pPr>
        <w:autoSpaceDE w:val="0"/>
        <w:autoSpaceDN w:val="0"/>
        <w:adjustRightInd w:val="0"/>
        <w:snapToGrid w:val="0"/>
        <w:spacing w:line="360" w:lineRule="auto"/>
        <w:ind w:firstLine="420"/>
        <w:jc w:val="left"/>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评审委员会按照第三章“评标办法”规定的方法、评审因素、标准和程序对投标文件进行评审。第三章“评标办法”没有规定的方法、评审因素和标准，不作为评审依据。</w:t>
      </w:r>
      <w:bookmarkStart w:id="283" w:name="_Toc419974268"/>
      <w:bookmarkStart w:id="284" w:name="_Toc419974510"/>
      <w:bookmarkStart w:id="285" w:name="_Toc338941663"/>
      <w:bookmarkStart w:id="286" w:name="_Toc428172757"/>
      <w:bookmarkStart w:id="287" w:name="_Toc419977294"/>
      <w:bookmarkStart w:id="288" w:name="_Toc370384657"/>
      <w:bookmarkStart w:id="289" w:name="_Toc200513164"/>
    </w:p>
    <w:p w14:paraId="2E021CE8">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90" w:name="_Toc428518753"/>
      <w:bookmarkStart w:id="291" w:name="_Toc23342"/>
      <w:bookmarkStart w:id="292" w:name="_Toc430184704"/>
      <w:bookmarkStart w:id="293" w:name="_Toc86934214"/>
      <w:bookmarkStart w:id="294" w:name="_Toc430185988"/>
      <w:r>
        <w:rPr>
          <w:rFonts w:hint="eastAsia" w:ascii="宋体" w:hAnsi="宋体" w:eastAsia="宋体" w:cs="宋体"/>
          <w:snapToGrid w:val="0"/>
          <w:color w:val="000000" w:themeColor="text1"/>
          <w:sz w:val="21"/>
          <w:szCs w:val="21"/>
          <w:highlight w:val="none"/>
          <w14:textFill>
            <w14:solidFill>
              <w14:schemeClr w14:val="tx1"/>
            </w14:solidFill>
          </w14:textFill>
        </w:rPr>
        <w:t>7.  合同授予</w:t>
      </w:r>
      <w:bookmarkEnd w:id="283"/>
      <w:bookmarkEnd w:id="284"/>
      <w:bookmarkEnd w:id="285"/>
      <w:bookmarkEnd w:id="286"/>
      <w:bookmarkEnd w:id="287"/>
      <w:bookmarkEnd w:id="288"/>
      <w:bookmarkEnd w:id="289"/>
      <w:bookmarkEnd w:id="290"/>
      <w:bookmarkEnd w:id="291"/>
      <w:bookmarkEnd w:id="292"/>
      <w:bookmarkEnd w:id="293"/>
      <w:bookmarkEnd w:id="294"/>
    </w:p>
    <w:p w14:paraId="128D5652">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295" w:name="_Toc370384658"/>
      <w:bookmarkStart w:id="296" w:name="_Toc338941664"/>
      <w:bookmarkStart w:id="297" w:name="_Toc200513165"/>
      <w:bookmarkStart w:id="298" w:name="_Toc4209"/>
      <w:bookmarkStart w:id="299" w:name="_Toc428172758"/>
      <w:bookmarkStart w:id="300" w:name="_Toc86934215"/>
      <w:bookmarkStart w:id="301" w:name="_Toc419974511"/>
      <w:bookmarkStart w:id="302" w:name="_Toc430184705"/>
      <w:bookmarkStart w:id="303" w:name="_Toc428518754"/>
      <w:bookmarkStart w:id="304" w:name="_Toc419977295"/>
      <w:bookmarkStart w:id="305" w:name="_Toc419974269"/>
      <w:bookmarkStart w:id="306" w:name="_Toc430185989"/>
      <w:r>
        <w:rPr>
          <w:rFonts w:hint="eastAsia" w:ascii="宋体" w:hAnsi="宋体" w:eastAsia="宋体" w:cs="宋体"/>
          <w:snapToGrid w:val="0"/>
          <w:color w:val="000000" w:themeColor="text1"/>
          <w:sz w:val="21"/>
          <w:szCs w:val="21"/>
          <w:highlight w:val="none"/>
          <w14:textFill>
            <w14:solidFill>
              <w14:schemeClr w14:val="tx1"/>
            </w14:solidFill>
          </w14:textFill>
        </w:rPr>
        <w:t>7.1  定标方式</w:t>
      </w:r>
      <w:bookmarkEnd w:id="295"/>
      <w:bookmarkEnd w:id="296"/>
      <w:bookmarkEnd w:id="297"/>
      <w:bookmarkEnd w:id="298"/>
      <w:bookmarkEnd w:id="299"/>
      <w:bookmarkEnd w:id="300"/>
      <w:bookmarkEnd w:id="301"/>
      <w:bookmarkEnd w:id="302"/>
      <w:bookmarkEnd w:id="303"/>
      <w:bookmarkEnd w:id="304"/>
      <w:bookmarkEnd w:id="305"/>
      <w:bookmarkEnd w:id="306"/>
    </w:p>
    <w:p w14:paraId="5616E024">
      <w:pPr>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应当确定排名第一的中标候选人为中标人，排名第一的中标候选人放弃中标、因不可抗力不能履行合同，或者被查实存在影响中标结果的违法行为等情形，不符合中标条件的，比选人可以按照评标委员会提出的中标候选人名单排序依次确定其他中标候选人为中标人，也可以重新招标。</w:t>
      </w:r>
    </w:p>
    <w:p w14:paraId="2648C8FD">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评标委员会推荐中标候选人的人数见投标人须知前附表。</w:t>
      </w:r>
    </w:p>
    <w:p w14:paraId="00A09248">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07" w:name="_Toc419974270"/>
      <w:bookmarkStart w:id="308" w:name="_Toc200513166"/>
      <w:bookmarkStart w:id="309" w:name="_Toc419977296"/>
      <w:bookmarkStart w:id="310" w:name="_Toc86934216"/>
      <w:bookmarkStart w:id="311" w:name="_Toc430184706"/>
      <w:bookmarkStart w:id="312" w:name="_Toc28531"/>
      <w:bookmarkStart w:id="313" w:name="_Toc428172759"/>
      <w:bookmarkStart w:id="314" w:name="_Toc428518755"/>
      <w:bookmarkStart w:id="315" w:name="_Toc430185990"/>
      <w:bookmarkStart w:id="316" w:name="_Toc370384659"/>
      <w:bookmarkStart w:id="317" w:name="_Toc419974512"/>
      <w:bookmarkStart w:id="318" w:name="_Toc338941665"/>
      <w:r>
        <w:rPr>
          <w:rFonts w:hint="eastAsia" w:ascii="宋体" w:hAnsi="宋体" w:eastAsia="宋体" w:cs="宋体"/>
          <w:snapToGrid w:val="0"/>
          <w:color w:val="000000" w:themeColor="text1"/>
          <w:sz w:val="21"/>
          <w:szCs w:val="21"/>
          <w:highlight w:val="none"/>
          <w14:textFill>
            <w14:solidFill>
              <w14:schemeClr w14:val="tx1"/>
            </w14:solidFill>
          </w14:textFill>
        </w:rPr>
        <w:t>7.2  中标通知</w:t>
      </w:r>
      <w:bookmarkEnd w:id="307"/>
      <w:bookmarkEnd w:id="308"/>
      <w:bookmarkEnd w:id="309"/>
      <w:bookmarkEnd w:id="310"/>
      <w:bookmarkEnd w:id="311"/>
      <w:bookmarkEnd w:id="312"/>
      <w:bookmarkEnd w:id="313"/>
      <w:bookmarkEnd w:id="314"/>
      <w:bookmarkEnd w:id="315"/>
      <w:bookmarkEnd w:id="316"/>
      <w:bookmarkEnd w:id="317"/>
      <w:bookmarkEnd w:id="318"/>
    </w:p>
    <w:p w14:paraId="194E8F34">
      <w:pPr>
        <w:autoSpaceDE w:val="0"/>
        <w:autoSpaceDN w:val="0"/>
        <w:adjustRightInd w:val="0"/>
        <w:snapToGrid w:val="0"/>
        <w:spacing w:line="360" w:lineRule="auto"/>
        <w:ind w:firstLine="42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比选人以书面形式向中标人发出中标通知书，同时将中标结果通知未中标的投标人。</w:t>
      </w:r>
    </w:p>
    <w:p w14:paraId="7C7764A1">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19" w:name="_Toc428172761"/>
      <w:bookmarkStart w:id="320" w:name="_Toc419974272"/>
      <w:bookmarkStart w:id="321" w:name="_Toc428518757"/>
      <w:bookmarkStart w:id="322" w:name="_Toc419977298"/>
      <w:bookmarkStart w:id="323" w:name="_Toc419974514"/>
      <w:bookmarkStart w:id="324" w:name="_Toc200513168"/>
      <w:bookmarkStart w:id="325" w:name="_Toc338941667"/>
      <w:bookmarkStart w:id="326" w:name="_Toc24955"/>
      <w:bookmarkStart w:id="327" w:name="_Toc370384661"/>
      <w:bookmarkStart w:id="328" w:name="_Toc86934217"/>
      <w:bookmarkStart w:id="329" w:name="_Toc430185992"/>
      <w:bookmarkStart w:id="330" w:name="_Toc430184708"/>
      <w:r>
        <w:rPr>
          <w:rFonts w:hint="eastAsia" w:ascii="宋体" w:hAnsi="宋体" w:eastAsia="宋体" w:cs="宋体"/>
          <w:snapToGrid w:val="0"/>
          <w:color w:val="000000" w:themeColor="text1"/>
          <w:sz w:val="21"/>
          <w:szCs w:val="21"/>
          <w:highlight w:val="none"/>
          <w14:textFill>
            <w14:solidFill>
              <w14:schemeClr w14:val="tx1"/>
            </w14:solidFill>
          </w14:textFill>
        </w:rPr>
        <w:t>7.4  签订合同</w:t>
      </w:r>
      <w:bookmarkEnd w:id="319"/>
      <w:bookmarkEnd w:id="320"/>
      <w:bookmarkEnd w:id="321"/>
      <w:bookmarkEnd w:id="322"/>
      <w:bookmarkEnd w:id="323"/>
      <w:bookmarkEnd w:id="324"/>
      <w:bookmarkEnd w:id="325"/>
      <w:bookmarkEnd w:id="326"/>
      <w:bookmarkEnd w:id="327"/>
      <w:bookmarkEnd w:id="328"/>
      <w:bookmarkEnd w:id="329"/>
      <w:bookmarkEnd w:id="330"/>
    </w:p>
    <w:p w14:paraId="3B07AA34">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比选人和中标人应当自中标通知书发出之日起</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30日</w:t>
      </w:r>
      <w:r>
        <w:rPr>
          <w:rFonts w:hint="eastAsia" w:ascii="宋体" w:hAnsi="宋体" w:cs="宋体"/>
          <w:snapToGrid w:val="0"/>
          <w:color w:val="000000" w:themeColor="text1"/>
          <w:kern w:val="0"/>
          <w:szCs w:val="21"/>
          <w:highlight w:val="none"/>
          <w14:textFill>
            <w14:solidFill>
              <w14:schemeClr w14:val="tx1"/>
            </w14:solidFill>
          </w14:textFill>
        </w:rPr>
        <w:t>内，根据比选文件和中标人的投标文件订立书面合同。中标人无正当理由拒签合同的，比选人取消其中标资格，其投标保证金不予退还；给比选人造成的损失超过投标保证金数额的，中标人还应当对超过部分予以赔偿。</w:t>
      </w:r>
    </w:p>
    <w:p w14:paraId="6504C6D3">
      <w:pPr>
        <w:widowControl/>
        <w:spacing w:line="360" w:lineRule="auto"/>
        <w:ind w:firstLine="420" w:firstLineChars="200"/>
        <w:jc w:val="left"/>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发出中标通知书后，比选人无正当理由拒签合同的，比选人向中标人退还投标保证金；给中标人造成损失的，还应当赔偿损失。</w:t>
      </w:r>
    </w:p>
    <w:p w14:paraId="157F2061">
      <w:pPr>
        <w:pStyle w:val="2"/>
        <w:snapToGrid w:val="0"/>
        <w:spacing w:before="0" w:line="360" w:lineRule="auto"/>
        <w:rPr>
          <w:rFonts w:ascii="宋体" w:hAnsi="宋体" w:eastAsia="宋体" w:cs="宋体"/>
          <w:snapToGrid w:val="0"/>
          <w:color w:val="000000" w:themeColor="text1"/>
          <w:sz w:val="21"/>
          <w:szCs w:val="21"/>
          <w:highlight w:val="none"/>
          <w14:textFill>
            <w14:solidFill>
              <w14:schemeClr w14:val="tx1"/>
            </w14:solidFill>
          </w14:textFill>
        </w:rPr>
      </w:pPr>
      <w:bookmarkStart w:id="331" w:name="_Toc10258"/>
      <w:bookmarkStart w:id="332" w:name="_Toc21467"/>
      <w:bookmarkStart w:id="333" w:name="_Toc27165"/>
      <w:bookmarkStart w:id="334" w:name="_Toc14094206"/>
      <w:bookmarkStart w:id="335" w:name="_Toc7360"/>
      <w:bookmarkStart w:id="336" w:name="_Toc5963"/>
      <w:bookmarkStart w:id="337" w:name="_Toc86934218"/>
      <w:bookmarkStart w:id="338" w:name="_Toc255759369"/>
      <w:bookmarkStart w:id="339" w:name="_Toc29212973"/>
      <w:bookmarkStart w:id="340" w:name="_Toc18266"/>
      <w:bookmarkStart w:id="341" w:name="_Toc31727"/>
      <w:bookmarkStart w:id="342" w:name="_Toc10366"/>
      <w:bookmarkStart w:id="343" w:name="_Toc13894"/>
      <w:bookmarkStart w:id="344" w:name="_Toc10650"/>
      <w:bookmarkStart w:id="345" w:name="_Toc17406"/>
      <w:bookmarkStart w:id="346" w:name="_Toc257799458"/>
      <w:bookmarkStart w:id="347" w:name="_Toc22970"/>
      <w:bookmarkStart w:id="348" w:name="_Toc200513172"/>
      <w:r>
        <w:rPr>
          <w:rFonts w:hint="eastAsia" w:ascii="宋体" w:hAnsi="宋体" w:eastAsia="宋体" w:cs="宋体"/>
          <w:snapToGrid w:val="0"/>
          <w:color w:val="000000" w:themeColor="text1"/>
          <w:sz w:val="21"/>
          <w:szCs w:val="21"/>
          <w:highlight w:val="none"/>
          <w14:textFill>
            <w14:solidFill>
              <w14:schemeClr w14:val="tx1"/>
            </w14:solidFill>
          </w14:textFill>
        </w:rPr>
        <w:t>8. 重新招标和不再招标</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ascii="宋体" w:hAnsi="宋体" w:eastAsia="宋体" w:cs="宋体"/>
          <w:snapToGrid w:val="0"/>
          <w:color w:val="000000" w:themeColor="text1"/>
          <w:sz w:val="21"/>
          <w:szCs w:val="21"/>
          <w:highlight w:val="none"/>
          <w14:textFill>
            <w14:solidFill>
              <w14:schemeClr w14:val="tx1"/>
            </w14:solidFill>
          </w14:textFill>
        </w:rPr>
        <w:t xml:space="preserve"> </w:t>
      </w:r>
    </w:p>
    <w:p w14:paraId="2D90F883">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8.1 重新招标</w:t>
      </w:r>
    </w:p>
    <w:p w14:paraId="48E9E5F7">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有下列情形之一的，比选人将重新招标：</w:t>
      </w:r>
    </w:p>
    <w:p w14:paraId="36338FB5">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（1）投标截止时间止，投标人少于3个的；</w:t>
      </w:r>
    </w:p>
    <w:p w14:paraId="4D9766F1">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（2）合格投标人少于3个并且不具有竞争性；</w:t>
      </w:r>
    </w:p>
    <w:p w14:paraId="512391FD">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（3）经评标委员会评审后否决所有投标的。</w:t>
      </w:r>
    </w:p>
    <w:p w14:paraId="2A76A71F">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8.2 不再招标和继续评标</w:t>
      </w:r>
    </w:p>
    <w:p w14:paraId="1A40CC15">
      <w:pPr>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重新招标后合格投标人仍少于 3个并且不具有竞争性或所有投标被否决的，属于必须审批或核准的工程建设项目，经原审批或核准部门批准后可以不再进行招标；重新招标后合格投标人仍少于 3个，经评委会认定具有竞争性的按正常程序继续进行评标定标。</w:t>
      </w:r>
    </w:p>
    <w:p w14:paraId="682C839F">
      <w:pPr>
        <w:pStyle w:val="2"/>
        <w:snapToGrid w:val="0"/>
        <w:spacing w:before="0" w:line="360" w:lineRule="auto"/>
        <w:rPr>
          <w:rFonts w:ascii="宋体" w:hAnsi="宋体" w:eastAsia="宋体" w:cs="宋体"/>
          <w:color w:val="000000" w:themeColor="text1"/>
          <w:sz w:val="21"/>
          <w:szCs w:val="21"/>
          <w:highlight w:val="none"/>
          <w14:textFill>
            <w14:solidFill>
              <w14:schemeClr w14:val="tx1"/>
            </w14:solidFill>
          </w14:textFill>
        </w:rPr>
      </w:pPr>
      <w:bookmarkStart w:id="349" w:name="_Toc7307"/>
      <w:bookmarkStart w:id="350" w:name="_Toc24261"/>
      <w:bookmarkStart w:id="351" w:name="_Toc22447"/>
      <w:bookmarkStart w:id="352" w:name="_Toc29212974"/>
      <w:bookmarkStart w:id="353" w:name="_Toc8547"/>
      <w:bookmarkStart w:id="354" w:name="_Toc5989"/>
      <w:bookmarkStart w:id="355" w:name="_Toc16860"/>
      <w:bookmarkStart w:id="356" w:name="_Toc2285"/>
      <w:bookmarkStart w:id="357" w:name="_Toc16834"/>
      <w:bookmarkStart w:id="358" w:name="_Toc22256"/>
      <w:bookmarkStart w:id="359" w:name="_Toc29942"/>
      <w:bookmarkStart w:id="360" w:name="_Toc14094207"/>
      <w:bookmarkStart w:id="361" w:name="_Toc14901"/>
      <w:bookmarkStart w:id="362" w:name="_Toc16560"/>
      <w:bookmarkStart w:id="363" w:name="_Toc86934219"/>
      <w:r>
        <w:rPr>
          <w:rFonts w:hint="eastAsia" w:ascii="宋体" w:hAnsi="宋体" w:eastAsia="宋体" w:cs="宋体"/>
          <w:snapToGrid w:val="0"/>
          <w:color w:val="000000" w:themeColor="text1"/>
          <w:sz w:val="21"/>
          <w:szCs w:val="21"/>
          <w:highlight w:val="none"/>
          <w14:textFill>
            <w14:solidFill>
              <w14:schemeClr w14:val="tx1"/>
            </w14:solidFill>
          </w14:textFill>
        </w:rPr>
        <w:t>9. 纪律和监督</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19135D91">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9.1 对比选人的纪律要求</w:t>
      </w:r>
    </w:p>
    <w:p w14:paraId="4A295E49">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比选人不得泄漏招标投标活动中应当保密的情况和资料，不得与投标人串通损害国家利益、社会公共利益或者他人合法权益。</w:t>
      </w:r>
    </w:p>
    <w:p w14:paraId="586B7D19">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9.2 对投标人的纪律要求</w:t>
      </w:r>
    </w:p>
    <w:p w14:paraId="11541C7D">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投标人不得相互串通投标或者与比选人串通投标，不得向比选人或者评标委员会成员行贿谋取中标，不得以他人名义投标或者以其他方式弄虚作假骗取中标；投标人不得以任何方式干扰、影响评标工作。</w:t>
      </w:r>
    </w:p>
    <w:p w14:paraId="1FAF268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9.3 对评标委员会成员的纪律要求</w:t>
      </w:r>
    </w:p>
    <w:p w14:paraId="39E6CC3B">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2805AE8F">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9.4 对与评标活动有关的工作人员的纪律要求</w:t>
      </w:r>
    </w:p>
    <w:p w14:paraId="3436416C">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14B3EFF3">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9.5 投诉</w:t>
      </w:r>
    </w:p>
    <w:p w14:paraId="3C8A9820">
      <w:pPr>
        <w:spacing w:line="5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投标人和其他利害关系人认为本次招标活动违反法律、法规规定的，有权向有关行政监督部门投诉。 </w:t>
      </w:r>
    </w:p>
    <w:bookmarkEnd w:id="348"/>
    <w:p w14:paraId="26F6B337">
      <w:pPr>
        <w:spacing w:after="120" w:afterLines="50" w:line="360" w:lineRule="auto"/>
        <w:rPr>
          <w:rFonts w:ascii="宋体" w:hAnsi="宋体" w:cs="宋体"/>
          <w:bCs/>
          <w:color w:val="000000" w:themeColor="text1"/>
          <w:sz w:val="32"/>
          <w:szCs w:val="32"/>
          <w:highlight w:val="none"/>
          <w14:textFill>
            <w14:solidFill>
              <w14:schemeClr w14:val="tx1"/>
            </w14:solidFill>
          </w14:textFill>
        </w:rPr>
      </w:pPr>
      <w:bookmarkStart w:id="364" w:name="_Toc428172768"/>
      <w:bookmarkStart w:id="365" w:name="_Toc430185999"/>
      <w:bookmarkStart w:id="366" w:name="_Toc338941674"/>
      <w:bookmarkStart w:id="367" w:name="_Toc428518764"/>
      <w:bookmarkStart w:id="368" w:name="_Toc370384668"/>
      <w:bookmarkStart w:id="369" w:name="_Toc430184715"/>
      <w:bookmarkStart w:id="370" w:name="_Toc419974521"/>
      <w:bookmarkStart w:id="371" w:name="_Toc419977305"/>
      <w:bookmarkStart w:id="372" w:name="_Toc419974279"/>
    </w:p>
    <w:p w14:paraId="5C344F9F">
      <w:pPr>
        <w:pStyle w:val="16"/>
        <w:rPr>
          <w:rFonts w:ascii="宋体" w:hAnsi="宋体" w:cs="宋体"/>
          <w:bCs/>
          <w:color w:val="000000" w:themeColor="text1"/>
          <w:sz w:val="32"/>
          <w:szCs w:val="32"/>
          <w:highlight w:val="none"/>
          <w14:textFill>
            <w14:solidFill>
              <w14:schemeClr w14:val="tx1"/>
            </w14:solidFill>
          </w14:textFill>
        </w:rPr>
      </w:pPr>
    </w:p>
    <w:p w14:paraId="35589F1B">
      <w:pPr>
        <w:rPr>
          <w:rFonts w:ascii="宋体" w:hAnsi="宋体" w:cs="宋体"/>
          <w:bCs/>
          <w:color w:val="000000" w:themeColor="text1"/>
          <w:sz w:val="32"/>
          <w:szCs w:val="32"/>
          <w:highlight w:val="none"/>
          <w14:textFill>
            <w14:solidFill>
              <w14:schemeClr w14:val="tx1"/>
            </w14:solidFill>
          </w14:textFill>
        </w:rPr>
      </w:pPr>
    </w:p>
    <w:p w14:paraId="7564E009">
      <w:pPr>
        <w:pStyle w:val="16"/>
        <w:rPr>
          <w:rFonts w:ascii="宋体" w:hAnsi="宋体" w:cs="宋体"/>
          <w:bCs/>
          <w:color w:val="000000" w:themeColor="text1"/>
          <w:sz w:val="32"/>
          <w:szCs w:val="32"/>
          <w:highlight w:val="none"/>
          <w14:textFill>
            <w14:solidFill>
              <w14:schemeClr w14:val="tx1"/>
            </w14:solidFill>
          </w14:textFill>
        </w:rPr>
      </w:pPr>
    </w:p>
    <w:p w14:paraId="13BE7089">
      <w:pPr>
        <w:rPr>
          <w:rFonts w:ascii="宋体" w:hAnsi="宋体" w:cs="宋体"/>
          <w:bCs/>
          <w:color w:val="000000" w:themeColor="text1"/>
          <w:sz w:val="32"/>
          <w:szCs w:val="32"/>
          <w:highlight w:val="none"/>
          <w14:textFill>
            <w14:solidFill>
              <w14:schemeClr w14:val="tx1"/>
            </w14:solidFill>
          </w14:textFill>
        </w:rPr>
      </w:pPr>
    </w:p>
    <w:p w14:paraId="4B7F5510">
      <w:pPr>
        <w:pStyle w:val="16"/>
        <w:rPr>
          <w:rFonts w:ascii="宋体" w:hAnsi="宋体" w:cs="宋体"/>
          <w:bCs/>
          <w:color w:val="000000" w:themeColor="text1"/>
          <w:sz w:val="32"/>
          <w:szCs w:val="32"/>
          <w:highlight w:val="none"/>
          <w14:textFill>
            <w14:solidFill>
              <w14:schemeClr w14:val="tx1"/>
            </w14:solidFill>
          </w14:textFill>
        </w:rPr>
      </w:pPr>
    </w:p>
    <w:p w14:paraId="2B28031D">
      <w:pPr>
        <w:pStyle w:val="2"/>
        <w:rPr>
          <w:color w:val="000000" w:themeColor="text1"/>
          <w:highlight w:val="none"/>
          <w14:textFill>
            <w14:solidFill>
              <w14:schemeClr w14:val="tx1"/>
            </w14:solidFill>
          </w14:textFill>
        </w:rPr>
      </w:pPr>
      <w:bookmarkStart w:id="373" w:name="_Toc86934220"/>
    </w:p>
    <w:p w14:paraId="45A783BA">
      <w:pP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br w:type="page"/>
      </w:r>
    </w:p>
    <w:bookmarkEnd w:id="364"/>
    <w:bookmarkEnd w:id="365"/>
    <w:bookmarkEnd w:id="366"/>
    <w:bookmarkEnd w:id="367"/>
    <w:bookmarkEnd w:id="368"/>
    <w:bookmarkEnd w:id="369"/>
    <w:bookmarkEnd w:id="370"/>
    <w:bookmarkEnd w:id="371"/>
    <w:bookmarkEnd w:id="372"/>
    <w:bookmarkEnd w:id="373"/>
    <w:p w14:paraId="31A313AD">
      <w:pPr>
        <w:pStyle w:val="3"/>
        <w:spacing w:line="360" w:lineRule="auto"/>
        <w:ind w:left="0" w:leftChars="0" w:firstLine="0" w:firstLineChars="0"/>
        <w:jc w:val="both"/>
        <w:rPr>
          <w:rFonts w:asciiTheme="minorEastAsia" w:hAnsiTheme="minorEastAsia" w:eastAsiaTheme="minorEastAsia"/>
          <w:snapToGrid w:val="0"/>
          <w:color w:val="000000" w:themeColor="text1"/>
          <w:kern w:val="0"/>
          <w:highlight w:val="none"/>
          <w14:textFill>
            <w14:solidFill>
              <w14:schemeClr w14:val="tx1"/>
            </w14:solidFill>
          </w14:textFill>
        </w:rPr>
      </w:pPr>
      <w:bookmarkStart w:id="374" w:name="_Toc20466"/>
      <w:bookmarkStart w:id="375" w:name="_Toc6337"/>
      <w:bookmarkStart w:id="376" w:name="_Toc15208"/>
      <w:bookmarkStart w:id="377" w:name="_Toc351203494"/>
      <w:bookmarkStart w:id="378" w:name="_Toc509218786"/>
      <w:bookmarkStart w:id="379" w:name="_Toc534185765"/>
      <w:bookmarkStart w:id="380" w:name="_Toc12845"/>
      <w:bookmarkStart w:id="381" w:name="_Toc57905907"/>
      <w:bookmarkStart w:id="382" w:name="_Toc428172774"/>
      <w:bookmarkStart w:id="383" w:name="_Toc370384673"/>
      <w:bookmarkStart w:id="384" w:name="_Toc338941679"/>
      <w:bookmarkStart w:id="385" w:name="_Toc428518770"/>
      <w:bookmarkStart w:id="386" w:name="_Toc419974526"/>
      <w:bookmarkStart w:id="387" w:name="_Toc419974284"/>
      <w:bookmarkStart w:id="388" w:name="_Toc419977311"/>
      <w:bookmarkStart w:id="389" w:name="_Toc430184720"/>
      <w:bookmarkStart w:id="390" w:name="_Toc430186004"/>
      <w:r>
        <w:rPr>
          <w:rFonts w:asciiTheme="minorEastAsia" w:hAnsiTheme="minorEastAsia" w:eastAsiaTheme="minorEastAsia"/>
          <w:snapToGrid w:val="0"/>
          <w:color w:val="000000" w:themeColor="text1"/>
          <w:kern w:val="0"/>
          <w:highlight w:val="none"/>
          <w14:textFill>
            <w14:solidFill>
              <w14:schemeClr w14:val="tx1"/>
            </w14:solidFill>
          </w14:textFill>
        </w:rPr>
        <w:t xml:space="preserve">第三章 </w:t>
      </w:r>
      <w:r>
        <w:rPr>
          <w:rFonts w:hint="eastAsia" w:asciiTheme="minorEastAsia" w:hAnsiTheme="minorEastAsia" w:eastAsiaTheme="minorEastAsia"/>
          <w:snapToGrid w:val="0"/>
          <w:color w:val="000000" w:themeColor="text1"/>
          <w:kern w:val="0"/>
          <w:highlight w:val="none"/>
          <w14:textFill>
            <w14:solidFill>
              <w14:schemeClr w14:val="tx1"/>
            </w14:solidFill>
          </w14:textFill>
        </w:rPr>
        <w:t xml:space="preserve"> </w:t>
      </w:r>
      <w:r>
        <w:rPr>
          <w:rFonts w:asciiTheme="minorEastAsia" w:hAnsiTheme="minorEastAsia" w:eastAsiaTheme="minorEastAsia"/>
          <w:snapToGrid w:val="0"/>
          <w:color w:val="000000" w:themeColor="text1"/>
          <w:kern w:val="0"/>
          <w:highlight w:val="none"/>
          <w14:textFill>
            <w14:solidFill>
              <w14:schemeClr w14:val="tx1"/>
            </w14:solidFill>
          </w14:textFill>
        </w:rPr>
        <w:t>评标办法（</w:t>
      </w:r>
      <w:r>
        <w:rPr>
          <w:rFonts w:hint="eastAsia" w:asciiTheme="minorEastAsia" w:hAnsiTheme="minorEastAsia" w:eastAsiaTheme="minorEastAsia"/>
          <w:snapToGrid w:val="0"/>
          <w:color w:val="000000" w:themeColor="text1"/>
          <w:kern w:val="0"/>
          <w:highlight w:val="none"/>
          <w14:textFill>
            <w14:solidFill>
              <w14:schemeClr w14:val="tx1"/>
            </w14:solidFill>
          </w14:textFill>
        </w:rPr>
        <w:t>经评审的最低投标价法</w:t>
      </w:r>
      <w:r>
        <w:rPr>
          <w:rFonts w:asciiTheme="minorEastAsia" w:hAnsiTheme="minorEastAsia" w:eastAsiaTheme="minorEastAsia"/>
          <w:snapToGrid w:val="0"/>
          <w:color w:val="000000" w:themeColor="text1"/>
          <w:kern w:val="0"/>
          <w:highlight w:val="none"/>
          <w14:textFill>
            <w14:solidFill>
              <w14:schemeClr w14:val="tx1"/>
            </w14:solidFill>
          </w14:textFill>
        </w:rPr>
        <w:t>）</w:t>
      </w:r>
      <w:bookmarkEnd w:id="374"/>
      <w:bookmarkEnd w:id="375"/>
      <w:bookmarkEnd w:id="376"/>
    </w:p>
    <w:p w14:paraId="07C28D15">
      <w:pPr>
        <w:keepNext/>
        <w:keepLines/>
        <w:spacing w:before="100" w:after="100" w:line="360" w:lineRule="auto"/>
        <w:outlineLvl w:val="1"/>
        <w:rPr>
          <w:rFonts w:asciiTheme="minorEastAsia" w:hAnsiTheme="minorEastAsia" w:eastAsiaTheme="minorEastAsia"/>
          <w:b/>
          <w:color w:val="000000" w:themeColor="text1"/>
          <w:sz w:val="32"/>
          <w:szCs w:val="32"/>
          <w:highlight w:val="none"/>
          <w14:textFill>
            <w14:solidFill>
              <w14:schemeClr w14:val="tx1"/>
            </w14:solidFill>
          </w14:textFill>
        </w:rPr>
      </w:pPr>
      <w:bookmarkStart w:id="391" w:name="_Toc14792"/>
      <w:bookmarkStart w:id="392" w:name="_Toc32583"/>
      <w:bookmarkStart w:id="393" w:name="_Toc2870"/>
      <w:r>
        <w:rPr>
          <w:rFonts w:hint="eastAsia" w:asciiTheme="minorEastAsia" w:hAnsiTheme="minorEastAsia" w:eastAsiaTheme="minorEastAsia"/>
          <w:b/>
          <w:color w:val="000000" w:themeColor="text1"/>
          <w:sz w:val="32"/>
          <w:szCs w:val="32"/>
          <w:highlight w:val="none"/>
          <w14:textFill>
            <w14:solidFill>
              <w14:schemeClr w14:val="tx1"/>
            </w14:solidFill>
          </w14:textFill>
        </w:rPr>
        <w:t>评标办法前附表</w:t>
      </w:r>
      <w:bookmarkEnd w:id="391"/>
      <w:bookmarkEnd w:id="392"/>
      <w:bookmarkEnd w:id="393"/>
    </w:p>
    <w:p w14:paraId="0C0F4B72">
      <w:pPr>
        <w:spacing w:line="400" w:lineRule="exact"/>
        <w:ind w:firstLine="427" w:firstLineChars="196"/>
        <w:rPr>
          <w:rFonts w:asciiTheme="minorEastAsia" w:hAnsiTheme="minorEastAsia" w:eastAsiaTheme="minorEastAsia"/>
          <w:color w:val="000000" w:themeColor="text1"/>
          <w:spacing w:val="4"/>
          <w:kern w:val="0"/>
          <w:szCs w:val="21"/>
          <w:highlight w:val="none"/>
          <w14:textFill>
            <w14:solidFill>
              <w14:schemeClr w14:val="tx1"/>
            </w14:solidFill>
          </w14:textFill>
        </w:rPr>
      </w:pPr>
      <w:bookmarkStart w:id="394" w:name="_Toc13210726"/>
      <w:r>
        <w:rPr>
          <w:rFonts w:asciiTheme="minorEastAsia" w:hAnsiTheme="minorEastAsia" w:eastAsiaTheme="minorEastAsia"/>
          <w:color w:val="000000" w:themeColor="text1"/>
          <w:spacing w:val="4"/>
          <w:kern w:val="0"/>
          <w:szCs w:val="21"/>
          <w:highlight w:val="none"/>
          <w14:textFill>
            <w14:solidFill>
              <w14:schemeClr w14:val="tx1"/>
            </w14:solidFill>
          </w14:textFill>
        </w:rPr>
        <w:t>评标办法前附表中的评审内容必须和</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比选申请人</w:t>
      </w:r>
      <w:r>
        <w:rPr>
          <w:rFonts w:asciiTheme="minorEastAsia" w:hAnsiTheme="minorEastAsia" w:eastAsiaTheme="minorEastAsia"/>
          <w:color w:val="000000" w:themeColor="text1"/>
          <w:spacing w:val="4"/>
          <w:kern w:val="0"/>
          <w:szCs w:val="21"/>
          <w:highlight w:val="none"/>
          <w14:textFill>
            <w14:solidFill>
              <w14:schemeClr w14:val="tx1"/>
            </w14:solidFill>
          </w14:textFill>
        </w:rPr>
        <w:t>须知前附表中的对应内容一致，若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比选申请人</w:t>
      </w:r>
      <w:r>
        <w:rPr>
          <w:rFonts w:asciiTheme="minorEastAsia" w:hAnsiTheme="minorEastAsia" w:eastAsiaTheme="minorEastAsia"/>
          <w:color w:val="000000" w:themeColor="text1"/>
          <w:spacing w:val="4"/>
          <w:kern w:val="0"/>
          <w:szCs w:val="21"/>
          <w:highlight w:val="none"/>
          <w14:textFill>
            <w14:solidFill>
              <w14:schemeClr w14:val="tx1"/>
            </w14:solidFill>
          </w14:textFill>
        </w:rPr>
        <w:t>须知前附表中未作要求的内容，不得列入评标办法前附表作为评定依据。</w:t>
      </w:r>
      <w:bookmarkEnd w:id="394"/>
    </w:p>
    <w:tbl>
      <w:tblPr>
        <w:tblStyle w:val="44"/>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383"/>
        <w:gridCol w:w="2444"/>
        <w:gridCol w:w="4615"/>
      </w:tblGrid>
      <w:tr w14:paraId="4B955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5A26DA94">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条款号</w:t>
            </w:r>
          </w:p>
        </w:tc>
        <w:tc>
          <w:tcPr>
            <w:tcW w:w="1383" w:type="dxa"/>
            <w:tcBorders>
              <w:left w:val="single" w:color="auto" w:sz="4" w:space="0"/>
            </w:tcBorders>
            <w:vAlign w:val="center"/>
          </w:tcPr>
          <w:p w14:paraId="65EFF231">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评审因素</w:t>
            </w:r>
          </w:p>
        </w:tc>
        <w:tc>
          <w:tcPr>
            <w:tcW w:w="7059" w:type="dxa"/>
            <w:gridSpan w:val="2"/>
            <w:vAlign w:val="center"/>
          </w:tcPr>
          <w:p w14:paraId="51C1A24D">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r>
              <w:rPr>
                <w:rFonts w:asciiTheme="minorEastAsia" w:hAnsiTheme="minorEastAsia" w:eastAsiaTheme="minorEastAsia"/>
                <w:b/>
                <w:color w:val="000000" w:themeColor="text1"/>
                <w:kern w:val="0"/>
                <w:highlight w:val="none"/>
                <w14:textFill>
                  <w14:solidFill>
                    <w14:schemeClr w14:val="tx1"/>
                  </w14:solidFill>
                </w14:textFill>
              </w:rPr>
              <w:t>评审标准</w:t>
            </w:r>
          </w:p>
        </w:tc>
      </w:tr>
      <w:tr w14:paraId="521A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712D7BE7">
            <w:pPr>
              <w:pStyle w:val="375"/>
              <w:spacing w:line="400" w:lineRule="exact"/>
              <w:ind w:firstLine="42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p>
        </w:tc>
        <w:tc>
          <w:tcPr>
            <w:tcW w:w="1383" w:type="dxa"/>
            <w:tcBorders>
              <w:left w:val="single" w:color="auto" w:sz="4" w:space="0"/>
            </w:tcBorders>
            <w:vAlign w:val="center"/>
          </w:tcPr>
          <w:p w14:paraId="53025BB0">
            <w:pPr>
              <w:pStyle w:val="375"/>
              <w:spacing w:line="400" w:lineRule="exact"/>
              <w:ind w:firstLine="0" w:firstLineChars="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评标办法</w:t>
            </w:r>
          </w:p>
        </w:tc>
        <w:tc>
          <w:tcPr>
            <w:tcW w:w="7059" w:type="dxa"/>
            <w:gridSpan w:val="2"/>
            <w:vAlign w:val="center"/>
          </w:tcPr>
          <w:p w14:paraId="7AFC602F">
            <w:pPr>
              <w:spacing w:line="400" w:lineRule="exact"/>
              <w:ind w:firstLine="436" w:firstLineChars="200"/>
              <w:rPr>
                <w:rFonts w:asciiTheme="minorEastAsia" w:hAnsiTheme="minorEastAsia" w:eastAsiaTheme="minorEastAsia"/>
                <w:color w:val="000000" w:themeColor="text1"/>
                <w:spacing w:val="4"/>
                <w:kern w:val="0"/>
                <w:szCs w:val="21"/>
                <w:highlight w:val="none"/>
                <w14:textFill>
                  <w14:solidFill>
                    <w14:schemeClr w14:val="tx1"/>
                  </w14:solidFill>
                </w14:textFill>
              </w:rPr>
            </w:pP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本次评标采用经评审的最低投标价法，评标委员会按照本章第2.1款进行报价排序，按照本章第2.2款进行符合性审查，符合性审查合格的比选申请人中按报价由低到高推荐中选候选人，或根据比选人授权直接确定中选人。</w:t>
            </w:r>
          </w:p>
          <w:p w14:paraId="07C77E90">
            <w:pPr>
              <w:spacing w:line="400" w:lineRule="exact"/>
              <w:ind w:firstLine="436" w:firstLineChars="200"/>
              <w:rPr>
                <w:rFonts w:hint="eastAsia" w:asciiTheme="minorEastAsia" w:hAnsiTheme="minorEastAsia" w:eastAsiaTheme="minorEastAsia"/>
                <w:color w:val="000000" w:themeColor="text1"/>
                <w:spacing w:val="4"/>
                <w:kern w:val="0"/>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4"/>
                <w:kern w:val="0"/>
                <w:szCs w:val="21"/>
                <w:highlight w:val="none"/>
                <w:lang w:eastAsia="zh-CN"/>
                <w14:textFill>
                  <w14:solidFill>
                    <w14:schemeClr w14:val="tx1"/>
                  </w14:solidFill>
                </w14:textFill>
              </w:rPr>
              <w:t xml:space="preserve">若出现比选申请人投标报价相同的，以比选申请人是否属于红名单，以开标环节信用状况查询结果为准；比选申请人均在红名单中或均不在红名单中的由比选人采取抽签方式，确定比选申请人的排名，方式为两次抽签，第一次抽出企业顺序号，第二次抽签为排名的先后顺序。 </w:t>
            </w:r>
          </w:p>
        </w:tc>
      </w:tr>
      <w:tr w14:paraId="1B8E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869F32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2.1</w:t>
            </w:r>
          </w:p>
        </w:tc>
        <w:tc>
          <w:tcPr>
            <w:tcW w:w="1383" w:type="dxa"/>
            <w:tcBorders>
              <w:left w:val="single" w:color="auto" w:sz="4" w:space="0"/>
              <w:right w:val="single" w:color="auto" w:sz="4" w:space="0"/>
            </w:tcBorders>
            <w:vAlign w:val="center"/>
          </w:tcPr>
          <w:p w14:paraId="591286B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asciiTheme="minorEastAsia" w:hAnsiTheme="minorEastAsia" w:eastAsiaTheme="minorEastAsia"/>
                <w:color w:val="000000" w:themeColor="text1"/>
                <w:kern w:val="0"/>
                <w:highlight w:val="none"/>
                <w14:textFill>
                  <w14:solidFill>
                    <w14:schemeClr w14:val="tx1"/>
                  </w14:solidFill>
                </w14:textFill>
              </w:rPr>
              <w:t>报价</w:t>
            </w:r>
            <w:r>
              <w:rPr>
                <w:rFonts w:hint="eastAsia" w:asciiTheme="minorEastAsia" w:hAnsiTheme="minorEastAsia" w:eastAsiaTheme="minorEastAsia"/>
                <w:color w:val="000000" w:themeColor="text1"/>
                <w:kern w:val="0"/>
                <w:highlight w:val="none"/>
                <w14:textFill>
                  <w14:solidFill>
                    <w14:schemeClr w14:val="tx1"/>
                  </w14:solidFill>
                </w14:textFill>
              </w:rPr>
              <w:t>排序</w:t>
            </w:r>
          </w:p>
        </w:tc>
        <w:tc>
          <w:tcPr>
            <w:tcW w:w="7059" w:type="dxa"/>
            <w:gridSpan w:val="2"/>
            <w:tcBorders>
              <w:left w:val="single" w:color="auto" w:sz="4" w:space="0"/>
            </w:tcBorders>
            <w:vAlign w:val="center"/>
          </w:tcPr>
          <w:p w14:paraId="06E2AA86">
            <w:pPr>
              <w:spacing w:line="400" w:lineRule="exact"/>
              <w:ind w:firstLine="420" w:firstLineChars="200"/>
              <w:jc w:val="left"/>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对报价不高于最高限价的所有比选申请人的比选申请文件，按照报价由低到高的顺序排列。</w:t>
            </w:r>
          </w:p>
        </w:tc>
      </w:tr>
      <w:tr w14:paraId="3DBF4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AF8E164">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2.2</w:t>
            </w:r>
          </w:p>
        </w:tc>
        <w:tc>
          <w:tcPr>
            <w:tcW w:w="1383" w:type="dxa"/>
            <w:tcBorders>
              <w:left w:val="single" w:color="auto" w:sz="4" w:space="0"/>
              <w:right w:val="single" w:color="auto" w:sz="4" w:space="0"/>
            </w:tcBorders>
            <w:vAlign w:val="center"/>
          </w:tcPr>
          <w:p w14:paraId="11E31707">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符合性审查</w:t>
            </w:r>
          </w:p>
        </w:tc>
        <w:tc>
          <w:tcPr>
            <w:tcW w:w="7059" w:type="dxa"/>
            <w:gridSpan w:val="2"/>
            <w:tcBorders>
              <w:left w:val="single" w:color="auto" w:sz="4" w:space="0"/>
            </w:tcBorders>
            <w:vAlign w:val="center"/>
          </w:tcPr>
          <w:p w14:paraId="5C764718">
            <w:pPr>
              <w:spacing w:line="400" w:lineRule="exact"/>
              <w:ind w:firstLine="420" w:firstLineChars="200"/>
              <w:jc w:val="left"/>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取报价排序前5名（若实际比选申请人数量小于勾选数量，</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则全部纳入）进行符合性审查。符合性审查内容：资格评审、形式评审、响应性评审。符合性审查</w:t>
            </w:r>
            <w:r>
              <w:rPr>
                <w:rFonts w:hint="eastAsia" w:asciiTheme="minorEastAsia" w:hAnsiTheme="minorEastAsia" w:eastAsiaTheme="minorEastAsia"/>
                <w:color w:val="000000" w:themeColor="text1"/>
                <w:kern w:val="0"/>
                <w:highlight w:val="none"/>
                <w14:textFill>
                  <w14:solidFill>
                    <w14:schemeClr w14:val="tx1"/>
                  </w14:solidFill>
                </w14:textFill>
              </w:rPr>
              <w:t>合格的比选申请人中，报价最低的成为第一中选候选人，报价次低的成为第二中选候选人，依次类推。</w:t>
            </w:r>
          </w:p>
        </w:tc>
      </w:tr>
      <w:tr w14:paraId="11935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532945E5">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2.2.2</w:t>
            </w:r>
          </w:p>
        </w:tc>
        <w:tc>
          <w:tcPr>
            <w:tcW w:w="1383" w:type="dxa"/>
            <w:vMerge w:val="restart"/>
            <w:tcBorders>
              <w:left w:val="single" w:color="auto" w:sz="4" w:space="0"/>
              <w:right w:val="single" w:color="auto" w:sz="4" w:space="0"/>
            </w:tcBorders>
            <w:vAlign w:val="center"/>
          </w:tcPr>
          <w:p w14:paraId="24F5BAD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资格评审标准</w:t>
            </w:r>
          </w:p>
        </w:tc>
        <w:tc>
          <w:tcPr>
            <w:tcW w:w="2444" w:type="dxa"/>
            <w:tcBorders>
              <w:top w:val="single" w:color="auto" w:sz="4" w:space="0"/>
              <w:left w:val="single" w:color="auto" w:sz="4" w:space="0"/>
              <w:right w:val="single" w:color="auto" w:sz="4" w:space="0"/>
            </w:tcBorders>
            <w:vAlign w:val="center"/>
          </w:tcPr>
          <w:p w14:paraId="2596701E">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资质条件</w:t>
            </w:r>
          </w:p>
        </w:tc>
        <w:tc>
          <w:tcPr>
            <w:tcW w:w="4615" w:type="dxa"/>
            <w:tcBorders>
              <w:top w:val="single" w:color="auto" w:sz="4" w:space="0"/>
              <w:left w:val="single" w:color="auto" w:sz="4" w:space="0"/>
            </w:tcBorders>
            <w:vAlign w:val="center"/>
          </w:tcPr>
          <w:p w14:paraId="030A71E8">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42F0C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5C5B76F">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75AB558F">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56B9650A">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营业执照</w:t>
            </w:r>
          </w:p>
        </w:tc>
        <w:tc>
          <w:tcPr>
            <w:tcW w:w="4615" w:type="dxa"/>
            <w:tcBorders>
              <w:top w:val="single" w:color="auto" w:sz="4" w:space="0"/>
              <w:left w:val="single" w:color="auto" w:sz="4" w:space="0"/>
            </w:tcBorders>
            <w:vAlign w:val="center"/>
          </w:tcPr>
          <w:p w14:paraId="5DB0EF55">
            <w:pPr>
              <w:snapToGrid w:val="0"/>
              <w:spacing w:afterLines="25"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0D42D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00EE746">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2B223A41">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18DD6930">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安全生产条件</w:t>
            </w:r>
          </w:p>
        </w:tc>
        <w:tc>
          <w:tcPr>
            <w:tcW w:w="4615" w:type="dxa"/>
            <w:tcBorders>
              <w:top w:val="single" w:color="auto" w:sz="4" w:space="0"/>
              <w:left w:val="single" w:color="auto" w:sz="4" w:space="0"/>
            </w:tcBorders>
            <w:vAlign w:val="center"/>
          </w:tcPr>
          <w:p w14:paraId="5F293090">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4078A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497D94A7">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1B8AF92F">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131EFFCB">
            <w:pPr>
              <w:snapToGrid w:val="0"/>
              <w:spacing w:afterLines="25"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投标截止日投标资格情况</w:t>
            </w:r>
          </w:p>
        </w:tc>
        <w:tc>
          <w:tcPr>
            <w:tcW w:w="4615" w:type="dxa"/>
            <w:tcBorders>
              <w:top w:val="single" w:color="auto" w:sz="4" w:space="0"/>
              <w:left w:val="single" w:color="auto" w:sz="4" w:space="0"/>
            </w:tcBorders>
            <w:vAlign w:val="center"/>
          </w:tcPr>
          <w:p w14:paraId="714C7DC4">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3CCF0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243" w:type="dxa"/>
            <w:vMerge w:val="continue"/>
            <w:tcBorders>
              <w:right w:val="single" w:color="auto" w:sz="4" w:space="0"/>
            </w:tcBorders>
            <w:vAlign w:val="center"/>
          </w:tcPr>
          <w:p w14:paraId="5C94FBB1">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0EA6C971">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47485F9B">
            <w:pPr>
              <w:snapToGrid w:val="0"/>
              <w:spacing w:line="400" w:lineRule="exact"/>
              <w:jc w:val="left"/>
              <w:rPr>
                <w:rFonts w:hint="eastAsia" w:cs="宋体" w:asciiTheme="minorEastAsia" w:hAnsiTheme="minorEastAsia" w:eastAsiaTheme="minorEastAsia"/>
                <w:color w:val="000000" w:themeColor="text1"/>
                <w:kern w:val="0"/>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项目经理资格要求</w:t>
            </w:r>
          </w:p>
        </w:tc>
        <w:tc>
          <w:tcPr>
            <w:tcW w:w="4615" w:type="dxa"/>
            <w:tcBorders>
              <w:top w:val="single" w:color="auto" w:sz="4" w:space="0"/>
              <w:left w:val="single" w:color="auto" w:sz="4" w:space="0"/>
            </w:tcBorders>
            <w:vAlign w:val="center"/>
          </w:tcPr>
          <w:p w14:paraId="040FD31D">
            <w:pPr>
              <w:snapToGrid w:val="0"/>
              <w:spacing w:line="400" w:lineRule="exact"/>
              <w:rPr>
                <w:rFonts w:hint="eastAsia" w:cs="宋体" w:asciiTheme="minorEastAsia" w:hAnsiTheme="minorEastAsia" w:eastAsiaTheme="minorEastAsia"/>
                <w:color w:val="000000" w:themeColor="text1"/>
                <w:kern w:val="0"/>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096CA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1243" w:type="dxa"/>
            <w:vMerge w:val="continue"/>
            <w:tcBorders>
              <w:right w:val="single" w:color="auto" w:sz="4" w:space="0"/>
            </w:tcBorders>
            <w:vAlign w:val="center"/>
          </w:tcPr>
          <w:p w14:paraId="7F1ADF03">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p>
        </w:tc>
        <w:tc>
          <w:tcPr>
            <w:tcW w:w="1383" w:type="dxa"/>
            <w:vMerge w:val="continue"/>
            <w:tcBorders>
              <w:left w:val="single" w:color="auto" w:sz="4" w:space="0"/>
              <w:right w:val="single" w:color="auto" w:sz="4" w:space="0"/>
            </w:tcBorders>
            <w:vAlign w:val="center"/>
          </w:tcPr>
          <w:p w14:paraId="39C61C2D">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top w:val="single" w:color="auto" w:sz="4" w:space="0"/>
              <w:left w:val="single" w:color="auto" w:sz="4" w:space="0"/>
              <w:right w:val="single" w:color="auto" w:sz="4" w:space="0"/>
            </w:tcBorders>
            <w:vAlign w:val="center"/>
          </w:tcPr>
          <w:p w14:paraId="77A59224">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其他要求</w:t>
            </w:r>
          </w:p>
        </w:tc>
        <w:tc>
          <w:tcPr>
            <w:tcW w:w="4615" w:type="dxa"/>
            <w:tcBorders>
              <w:top w:val="single" w:color="auto" w:sz="4" w:space="0"/>
              <w:left w:val="single" w:color="auto" w:sz="4" w:space="0"/>
            </w:tcBorders>
            <w:vAlign w:val="center"/>
          </w:tcPr>
          <w:p w14:paraId="50A9797B">
            <w:pPr>
              <w:snapToGrid w:val="0"/>
              <w:spacing w:line="400" w:lineRule="exact"/>
              <w:rPr>
                <w:rFonts w:cs="宋体" w:asciiTheme="minorEastAsia" w:hAnsiTheme="minorEastAsia" w:eastAsiaTheme="minorEastAsia"/>
                <w:color w:val="000000" w:themeColor="text1"/>
                <w:kern w:val="0"/>
                <w:highlight w:val="none"/>
                <w:u w:val="singl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符合第二章“比选申请人须知”第1.4.1项规定</w:t>
            </w:r>
          </w:p>
        </w:tc>
      </w:tr>
      <w:tr w14:paraId="2D463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0BB305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asciiTheme="minorEastAsia" w:hAnsiTheme="minorEastAsia" w:eastAsiaTheme="minorEastAsia"/>
                <w:color w:val="000000" w:themeColor="text1"/>
                <w:kern w:val="0"/>
                <w:highlight w:val="none"/>
                <w14:textFill>
                  <w14:solidFill>
                    <w14:schemeClr w14:val="tx1"/>
                  </w14:solidFill>
                </w14:textFill>
              </w:rPr>
              <w:t>2.</w:t>
            </w:r>
            <w:r>
              <w:rPr>
                <w:rFonts w:hint="eastAsia" w:asciiTheme="minorEastAsia" w:hAnsiTheme="minorEastAsia" w:eastAsiaTheme="minorEastAsia"/>
                <w:color w:val="000000" w:themeColor="text1"/>
                <w:kern w:val="0"/>
                <w:highlight w:val="none"/>
                <w14:textFill>
                  <w14:solidFill>
                    <w14:schemeClr w14:val="tx1"/>
                  </w14:solidFill>
                </w14:textFill>
              </w:rPr>
              <w:t>2</w:t>
            </w:r>
            <w:r>
              <w:rPr>
                <w:rFonts w:asciiTheme="minorEastAsia" w:hAnsiTheme="minorEastAsia" w:eastAsiaTheme="minorEastAsia"/>
                <w:color w:val="000000" w:themeColor="text1"/>
                <w:kern w:val="0"/>
                <w:highlight w:val="none"/>
                <w14:textFill>
                  <w14:solidFill>
                    <w14:schemeClr w14:val="tx1"/>
                  </w14:solidFill>
                </w14:textFill>
              </w:rPr>
              <w:t>.</w:t>
            </w:r>
            <w:r>
              <w:rPr>
                <w:rFonts w:hint="eastAsia" w:asciiTheme="minorEastAsia" w:hAnsiTheme="minorEastAsia" w:eastAsiaTheme="minorEastAsia"/>
                <w:color w:val="000000" w:themeColor="text1"/>
                <w:kern w:val="0"/>
                <w:highlight w:val="none"/>
                <w14:textFill>
                  <w14:solidFill>
                    <w14:schemeClr w14:val="tx1"/>
                  </w14:solidFill>
                </w14:textFill>
              </w:rPr>
              <w:t>3</w:t>
            </w:r>
          </w:p>
        </w:tc>
        <w:tc>
          <w:tcPr>
            <w:tcW w:w="1383" w:type="dxa"/>
            <w:vMerge w:val="restart"/>
            <w:tcBorders>
              <w:left w:val="single" w:color="auto" w:sz="4" w:space="0"/>
            </w:tcBorders>
            <w:vAlign w:val="center"/>
          </w:tcPr>
          <w:p w14:paraId="4765AD7B">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形式评审标准</w:t>
            </w:r>
          </w:p>
        </w:tc>
        <w:tc>
          <w:tcPr>
            <w:tcW w:w="2444" w:type="dxa"/>
            <w:tcBorders>
              <w:right w:val="single" w:color="auto" w:sz="4" w:space="0"/>
            </w:tcBorders>
            <w:vAlign w:val="center"/>
          </w:tcPr>
          <w:p w14:paraId="40B78FF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比选申请人名称</w:t>
            </w:r>
          </w:p>
        </w:tc>
        <w:tc>
          <w:tcPr>
            <w:tcW w:w="4615" w:type="dxa"/>
            <w:tcBorders>
              <w:left w:val="single" w:color="auto" w:sz="4" w:space="0"/>
            </w:tcBorders>
            <w:vAlign w:val="center"/>
          </w:tcPr>
          <w:p w14:paraId="29BD4532">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与营业执照、资质证书、安全生产许可证一致，依法变更名称的应提交相应证明材料。</w:t>
            </w:r>
          </w:p>
        </w:tc>
      </w:tr>
      <w:tr w14:paraId="4A58A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E8E1AFB">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0DDCF806">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31BE77FC">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投标函签字盖章</w:t>
            </w:r>
          </w:p>
        </w:tc>
        <w:tc>
          <w:tcPr>
            <w:tcW w:w="4615" w:type="dxa"/>
            <w:tcBorders>
              <w:left w:val="single" w:color="auto" w:sz="4" w:space="0"/>
            </w:tcBorders>
            <w:vAlign w:val="center"/>
          </w:tcPr>
          <w:p w14:paraId="6F32DEE0">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投标函格式规定签字、盖章的位置有法定代表人或其</w:t>
            </w:r>
            <w:bookmarkStart w:id="563" w:name="_GoBack"/>
            <w:r>
              <w:rPr>
                <w:rFonts w:hint="eastAsia" w:cs="宋体" w:asciiTheme="minorEastAsia" w:hAnsiTheme="minorEastAsia" w:eastAsiaTheme="minorEastAsia"/>
                <w:color w:val="000000" w:themeColor="text1"/>
                <w:kern w:val="0"/>
                <w:highlight w:val="none"/>
                <w14:textFill>
                  <w14:solidFill>
                    <w14:schemeClr w14:val="tx1"/>
                  </w14:solidFill>
                </w14:textFill>
              </w:rPr>
              <w:t>委托</w:t>
            </w:r>
            <w:bookmarkEnd w:id="563"/>
            <w:r>
              <w:rPr>
                <w:rFonts w:hint="eastAsia" w:cs="宋体" w:asciiTheme="minorEastAsia" w:hAnsiTheme="minorEastAsia" w:eastAsiaTheme="minorEastAsia"/>
                <w:color w:val="000000" w:themeColor="text1"/>
                <w:kern w:val="0"/>
                <w:highlight w:val="none"/>
                <w14:textFill>
                  <w14:solidFill>
                    <w14:schemeClr w14:val="tx1"/>
                  </w14:solidFill>
                </w14:textFill>
              </w:rPr>
              <w:t>代理人签字（或盖章）、加盖单位法人章。</w:t>
            </w:r>
          </w:p>
        </w:tc>
      </w:tr>
      <w:tr w14:paraId="23FBB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243" w:type="dxa"/>
            <w:vMerge w:val="continue"/>
            <w:tcBorders>
              <w:right w:val="single" w:color="auto" w:sz="4" w:space="0"/>
            </w:tcBorders>
            <w:vAlign w:val="center"/>
          </w:tcPr>
          <w:p w14:paraId="28FC53E1">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0A1A129">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45AE39F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比选申请文件格式</w:t>
            </w:r>
          </w:p>
        </w:tc>
        <w:tc>
          <w:tcPr>
            <w:tcW w:w="4615" w:type="dxa"/>
            <w:tcBorders>
              <w:left w:val="single" w:color="auto" w:sz="4" w:space="0"/>
            </w:tcBorders>
            <w:vAlign w:val="center"/>
          </w:tcPr>
          <w:p w14:paraId="1A7A60E6">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符合第二章“比选申请人须知”第3.7款的要求。</w:t>
            </w:r>
          </w:p>
        </w:tc>
      </w:tr>
      <w:tr w14:paraId="0F8B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243" w:type="dxa"/>
            <w:vMerge w:val="continue"/>
            <w:tcBorders>
              <w:right w:val="single" w:color="auto" w:sz="4" w:space="0"/>
            </w:tcBorders>
            <w:vAlign w:val="center"/>
          </w:tcPr>
          <w:p w14:paraId="7B6AE202">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2B74334A">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176FBB68">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比选申请文件份数</w:t>
            </w:r>
          </w:p>
        </w:tc>
        <w:tc>
          <w:tcPr>
            <w:tcW w:w="4615" w:type="dxa"/>
            <w:tcBorders>
              <w:left w:val="single" w:color="auto" w:sz="4" w:space="0"/>
            </w:tcBorders>
            <w:vAlign w:val="center"/>
          </w:tcPr>
          <w:p w14:paraId="5DBFD78B">
            <w:pPr>
              <w:snapToGrid w:val="0"/>
              <w:spacing w:line="400" w:lineRule="exac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知”第3.7.</w:t>
            </w:r>
            <w:r>
              <w:rPr>
                <w:rFonts w:hint="eastAsia" w:cs="宋体" w:asciiTheme="minorEastAsia" w:hAnsiTheme="minorEastAsia" w:eastAsiaTheme="minorEastAsia"/>
                <w:color w:val="000000" w:themeColor="text1"/>
                <w:kern w:val="0"/>
                <w:highlight w:val="none"/>
                <w:shd w:val="clear"/>
                <w:lang w:val="en-US" w:eastAsia="zh-CN"/>
                <w14:textFill>
                  <w14:solidFill>
                    <w14:schemeClr w14:val="tx1"/>
                  </w14:solidFill>
                </w14:textFill>
              </w:rPr>
              <w:t>2</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项规</w:t>
            </w:r>
            <w:r>
              <w:rPr>
                <w:rFonts w:hint="eastAsia" w:cs="宋体" w:asciiTheme="minorEastAsia" w:hAnsiTheme="minorEastAsia" w:eastAsiaTheme="minorEastAsia"/>
                <w:color w:val="000000" w:themeColor="text1"/>
                <w:kern w:val="0"/>
                <w:highlight w:val="none"/>
                <w14:textFill>
                  <w14:solidFill>
                    <w14:schemeClr w14:val="tx1"/>
                  </w14:solidFill>
                </w14:textFill>
              </w:rPr>
              <w:t>定。</w:t>
            </w:r>
          </w:p>
        </w:tc>
      </w:tr>
      <w:tr w14:paraId="094E0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0E2F522">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77C5C169">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3E2443C2">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报价唯一</w:t>
            </w:r>
          </w:p>
        </w:tc>
        <w:tc>
          <w:tcPr>
            <w:tcW w:w="4615" w:type="dxa"/>
            <w:tcBorders>
              <w:left w:val="single" w:color="auto" w:sz="4" w:space="0"/>
            </w:tcBorders>
            <w:vAlign w:val="center"/>
          </w:tcPr>
          <w:p w14:paraId="121E0939">
            <w:pPr>
              <w:snapToGrid w:val="0"/>
              <w:spacing w:afterLines="10"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只能有一个有效报价。在竞争性比选文件没有规定的情况下，不得提交选择性报价。</w:t>
            </w:r>
          </w:p>
        </w:tc>
      </w:tr>
      <w:tr w14:paraId="2921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135ABC4">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3266080E">
            <w:pPr>
              <w:spacing w:line="400" w:lineRule="exact"/>
              <w:jc w:val="center"/>
              <w:rPr>
                <w:rFonts w:asciiTheme="minorEastAsia" w:hAnsiTheme="minorEastAsia" w:eastAsiaTheme="minorEastAsia"/>
                <w:b/>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2430AC2">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比选申请文件的签署</w:t>
            </w:r>
          </w:p>
        </w:tc>
        <w:tc>
          <w:tcPr>
            <w:tcW w:w="4615" w:type="dxa"/>
            <w:tcBorders>
              <w:left w:val="single" w:color="auto" w:sz="4" w:space="0"/>
            </w:tcBorders>
            <w:vAlign w:val="center"/>
          </w:tcPr>
          <w:p w14:paraId="09C331F0">
            <w:pPr>
              <w:autoSpaceDE w:val="0"/>
              <w:autoSpaceDN w:val="0"/>
              <w:adjustRightInd w:val="0"/>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第</w:t>
            </w:r>
            <w:r>
              <w:rPr>
                <w:rFonts w:hint="eastAsia" w:cs="宋体" w:asciiTheme="minorEastAsia" w:hAnsiTheme="minorEastAsia" w:eastAsiaTheme="minorEastAsia"/>
                <w:color w:val="000000" w:themeColor="text1"/>
                <w:kern w:val="0"/>
                <w:highlight w:val="none"/>
                <w:lang w:val="en-US" w:eastAsia="zh-CN"/>
                <w14:textFill>
                  <w14:solidFill>
                    <w14:schemeClr w14:val="tx1"/>
                  </w14:solidFill>
                </w14:textFill>
              </w:rPr>
              <w:t>五</w:t>
            </w:r>
            <w:r>
              <w:rPr>
                <w:rFonts w:hint="eastAsia" w:cs="宋体" w:asciiTheme="minorEastAsia" w:hAnsiTheme="minorEastAsia" w:eastAsiaTheme="minorEastAsia"/>
                <w:color w:val="000000" w:themeColor="text1"/>
                <w:kern w:val="0"/>
                <w:highlight w:val="none"/>
                <w14:textFill>
                  <w14:solidFill>
                    <w14:schemeClr w14:val="tx1"/>
                  </w14:solidFill>
                </w14:textFill>
              </w:rPr>
              <w:t>章 比选申请文件格式要求法定代表人或其委托代理人签字（或盖章）的须齐全。</w:t>
            </w:r>
          </w:p>
        </w:tc>
      </w:tr>
      <w:tr w14:paraId="133A5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5B584532">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2.2.4</w:t>
            </w:r>
          </w:p>
        </w:tc>
        <w:tc>
          <w:tcPr>
            <w:tcW w:w="1383" w:type="dxa"/>
            <w:vMerge w:val="restart"/>
            <w:tcBorders>
              <w:left w:val="single" w:color="auto" w:sz="4" w:space="0"/>
            </w:tcBorders>
            <w:vAlign w:val="center"/>
          </w:tcPr>
          <w:p w14:paraId="758318F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r>
              <w:rPr>
                <w:rFonts w:hint="eastAsia" w:asciiTheme="minorEastAsia" w:hAnsiTheme="minorEastAsia" w:eastAsiaTheme="minorEastAsia"/>
                <w:color w:val="000000" w:themeColor="text1"/>
                <w:kern w:val="0"/>
                <w:highlight w:val="none"/>
                <w14:textFill>
                  <w14:solidFill>
                    <w14:schemeClr w14:val="tx1"/>
                  </w14:solidFill>
                </w14:textFill>
              </w:rPr>
              <w:t>响应性评审标准</w:t>
            </w:r>
          </w:p>
        </w:tc>
        <w:tc>
          <w:tcPr>
            <w:tcW w:w="2444" w:type="dxa"/>
            <w:tcBorders>
              <w:right w:val="single" w:color="auto" w:sz="4" w:space="0"/>
            </w:tcBorders>
            <w:vAlign w:val="center"/>
          </w:tcPr>
          <w:p w14:paraId="4D32E16F">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投标报价</w:t>
            </w:r>
          </w:p>
        </w:tc>
        <w:tc>
          <w:tcPr>
            <w:tcW w:w="4615" w:type="dxa"/>
            <w:tcBorders>
              <w:left w:val="single" w:color="auto" w:sz="4" w:space="0"/>
            </w:tcBorders>
            <w:vAlign w:val="center"/>
          </w:tcPr>
          <w:p w14:paraId="683B4A82">
            <w:pPr>
              <w:snapToGrid w:val="0"/>
              <w:spacing w:line="400" w:lineRule="exact"/>
              <w:ind w:firstLine="420" w:firstLineChars="200"/>
              <w:rPr>
                <w:rFonts w:cs="宋体" w:asciiTheme="minorEastAsia" w:hAnsiTheme="minorEastAsia" w:eastAsiaTheme="minorEastAsia"/>
                <w:bCs/>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投标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cs="宋体" w:asciiTheme="minorEastAsia" w:hAnsiTheme="minorEastAsia" w:eastAsiaTheme="minorEastAsia"/>
                <w:color w:val="000000" w:themeColor="text1"/>
                <w:szCs w:val="21"/>
                <w:highlight w:val="none"/>
                <w14:textFill>
                  <w14:solidFill>
                    <w14:schemeClr w14:val="tx1"/>
                  </w14:solidFill>
                </w14:textFill>
              </w:rPr>
              <w:t>报价不得高于比选人公布的投标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cs="宋体" w:asciiTheme="minorEastAsia" w:hAnsiTheme="minorEastAsia" w:eastAsiaTheme="minorEastAsia"/>
                <w:color w:val="000000" w:themeColor="text1"/>
                <w:szCs w:val="21"/>
                <w:highlight w:val="none"/>
                <w14:textFill>
                  <w14:solidFill>
                    <w14:schemeClr w14:val="tx1"/>
                  </w14:solidFill>
                </w14:textFill>
              </w:rPr>
              <w:t>最高限价。</w:t>
            </w:r>
          </w:p>
        </w:tc>
      </w:tr>
      <w:tr w14:paraId="31B5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054526C">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1E6DAAB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6CA96A80">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投标内容</w:t>
            </w:r>
          </w:p>
        </w:tc>
        <w:tc>
          <w:tcPr>
            <w:tcW w:w="4615" w:type="dxa"/>
            <w:tcBorders>
              <w:left w:val="single" w:color="auto" w:sz="4" w:space="0"/>
            </w:tcBorders>
            <w:vAlign w:val="center"/>
          </w:tcPr>
          <w:p w14:paraId="1FBB989D">
            <w:pPr>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符合第二章“比选申请人须知”第1.3.1项规定</w:t>
            </w:r>
          </w:p>
        </w:tc>
      </w:tr>
      <w:tr w14:paraId="64D1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90D4C15">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7E700C09">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6ABAECFC">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工期</w:t>
            </w:r>
          </w:p>
        </w:tc>
        <w:tc>
          <w:tcPr>
            <w:tcW w:w="4615" w:type="dxa"/>
            <w:tcBorders>
              <w:left w:val="single" w:color="auto" w:sz="4" w:space="0"/>
            </w:tcBorders>
            <w:vAlign w:val="center"/>
          </w:tcPr>
          <w:p w14:paraId="2637630C">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符合第二章“比选申请人须知”第1.3.2项规定</w:t>
            </w:r>
          </w:p>
        </w:tc>
      </w:tr>
      <w:tr w14:paraId="2C4DB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1513B3E">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550A2F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9C7A403">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工程质量</w:t>
            </w:r>
          </w:p>
        </w:tc>
        <w:tc>
          <w:tcPr>
            <w:tcW w:w="4615" w:type="dxa"/>
            <w:tcBorders>
              <w:left w:val="single" w:color="auto" w:sz="4" w:space="0"/>
            </w:tcBorders>
            <w:vAlign w:val="center"/>
          </w:tcPr>
          <w:p w14:paraId="2E6F0069">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符合第二章“比选申请人须知”第1.3.3项规定</w:t>
            </w:r>
          </w:p>
        </w:tc>
      </w:tr>
      <w:tr w14:paraId="55C15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C8DBA87">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0130554">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54034258">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投标有效期</w:t>
            </w:r>
          </w:p>
        </w:tc>
        <w:tc>
          <w:tcPr>
            <w:tcW w:w="4615" w:type="dxa"/>
            <w:tcBorders>
              <w:left w:val="single" w:color="auto" w:sz="4" w:space="0"/>
            </w:tcBorders>
            <w:vAlign w:val="center"/>
          </w:tcPr>
          <w:p w14:paraId="39FA489F">
            <w:pPr>
              <w:snapToGrid w:val="0"/>
              <w:spacing w:line="40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符合第二章“比选申请人须知”第3.3.1项规定</w:t>
            </w:r>
          </w:p>
        </w:tc>
      </w:tr>
      <w:tr w14:paraId="04A9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0CD89DA">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62B62028">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7ED228E5">
            <w:pPr>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投标保证金</w:t>
            </w:r>
          </w:p>
        </w:tc>
        <w:tc>
          <w:tcPr>
            <w:tcW w:w="4615" w:type="dxa"/>
            <w:tcBorders>
              <w:left w:val="single" w:color="auto" w:sz="4" w:space="0"/>
            </w:tcBorders>
            <w:vAlign w:val="center"/>
          </w:tcPr>
          <w:p w14:paraId="2FFCBD3D">
            <w:pPr>
              <w:tabs>
                <w:tab w:val="left" w:pos="611"/>
                <w:tab w:val="left" w:pos="669"/>
              </w:tabs>
              <w:snapToGrid w:val="0"/>
              <w:spacing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符合第二章“比选申请人须知前附表”第3.4项规定。</w:t>
            </w:r>
          </w:p>
        </w:tc>
      </w:tr>
      <w:tr w14:paraId="19159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686C473">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1383" w:type="dxa"/>
            <w:vMerge w:val="continue"/>
            <w:tcBorders>
              <w:left w:val="single" w:color="auto" w:sz="4" w:space="0"/>
            </w:tcBorders>
            <w:vAlign w:val="center"/>
          </w:tcPr>
          <w:p w14:paraId="592CBAFE">
            <w:pPr>
              <w:spacing w:line="400" w:lineRule="exact"/>
              <w:jc w:val="center"/>
              <w:rPr>
                <w:rFonts w:asciiTheme="minorEastAsia" w:hAnsiTheme="minorEastAsia" w:eastAsiaTheme="minorEastAsia"/>
                <w:color w:val="000000" w:themeColor="text1"/>
                <w:kern w:val="0"/>
                <w:highlight w:val="none"/>
                <w14:textFill>
                  <w14:solidFill>
                    <w14:schemeClr w14:val="tx1"/>
                  </w14:solidFill>
                </w14:textFill>
              </w:rPr>
            </w:pPr>
          </w:p>
        </w:tc>
        <w:tc>
          <w:tcPr>
            <w:tcW w:w="2444" w:type="dxa"/>
            <w:tcBorders>
              <w:right w:val="single" w:color="auto" w:sz="4" w:space="0"/>
            </w:tcBorders>
            <w:vAlign w:val="center"/>
          </w:tcPr>
          <w:p w14:paraId="1A3412B6">
            <w:pPr>
              <w:snapToGrid w:val="0"/>
              <w:spacing w:line="400" w:lineRule="exact"/>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实质性要求</w:t>
            </w:r>
          </w:p>
        </w:tc>
        <w:tc>
          <w:tcPr>
            <w:tcW w:w="4615" w:type="dxa"/>
            <w:tcBorders>
              <w:left w:val="single" w:color="auto" w:sz="4" w:space="0"/>
            </w:tcBorders>
            <w:vAlign w:val="center"/>
          </w:tcPr>
          <w:p w14:paraId="72FBFE4A">
            <w:pPr>
              <w:shd w:val="clear"/>
              <w:snapToGrid w:val="0"/>
              <w:spacing w:afterLines="10" w:line="40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符合招标文件中规定的其他实质性要求。</w:t>
            </w:r>
          </w:p>
        </w:tc>
      </w:tr>
      <w:tr w14:paraId="3261F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1267FDE">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3</w:t>
            </w:r>
          </w:p>
        </w:tc>
        <w:tc>
          <w:tcPr>
            <w:tcW w:w="1383" w:type="dxa"/>
            <w:tcBorders>
              <w:left w:val="single" w:color="auto" w:sz="4" w:space="0"/>
              <w:right w:val="single" w:color="auto" w:sz="4" w:space="0"/>
            </w:tcBorders>
            <w:vAlign w:val="center"/>
          </w:tcPr>
          <w:p w14:paraId="1338D485">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评标程序</w:t>
            </w:r>
          </w:p>
        </w:tc>
        <w:tc>
          <w:tcPr>
            <w:tcW w:w="7059" w:type="dxa"/>
            <w:gridSpan w:val="2"/>
            <w:tcBorders>
              <w:left w:val="single" w:color="auto" w:sz="4" w:space="0"/>
            </w:tcBorders>
            <w:vAlign w:val="center"/>
          </w:tcPr>
          <w:p w14:paraId="2DF1418E">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1.对报价不高于最高限价的所有比选申请人的比选申请文件，按照报价由低到高的顺序排序。</w:t>
            </w:r>
          </w:p>
          <w:p w14:paraId="06D6F560">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2.根据本章第2.2款约定进行符合性审查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。符合性审查</w:t>
            </w:r>
            <w:r>
              <w:rPr>
                <w:rFonts w:hint="eastAsia" w:asciiTheme="minorEastAsia" w:hAnsiTheme="minorEastAsia" w:eastAsiaTheme="minorEastAsia"/>
                <w:color w:val="000000" w:themeColor="text1"/>
                <w:kern w:val="0"/>
                <w:szCs w:val="21"/>
                <w:highlight w:val="none"/>
                <w14:textFill>
                  <w14:solidFill>
                    <w14:schemeClr w14:val="tx1"/>
                  </w14:solidFill>
                </w14:textFill>
              </w:rPr>
              <w:t>合格的比选申请人中，报价最低的成为第一中选候选人，报价次低的成为第二中选候选人，依次类推。</w:t>
            </w:r>
          </w:p>
          <w:p w14:paraId="7CAD90E5">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3.</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若上述程序未能评出三名中选候选人</w:t>
            </w:r>
            <w:r>
              <w:rPr>
                <w:rFonts w:hint="eastAsia" w:asciiTheme="minorEastAsia" w:hAnsiTheme="minorEastAsia" w:eastAsiaTheme="minorEastAsia"/>
                <w:color w:val="000000" w:themeColor="text1"/>
                <w:kern w:val="0"/>
                <w:szCs w:val="21"/>
                <w:highlight w:val="none"/>
                <w14:textFill>
                  <w14:solidFill>
                    <w14:schemeClr w14:val="tx1"/>
                  </w14:solidFill>
                </w14:textFill>
              </w:rPr>
              <w:t>，则评标委员会对剩余比选申请文件继续按上述第2条进行评审，直至评出三名中选候选人，或者评审完所有比选申请文件。</w:t>
            </w:r>
          </w:p>
          <w:p w14:paraId="09E98CF1">
            <w:pPr>
              <w:spacing w:afterLines="10" w:line="400" w:lineRule="exact"/>
              <w:ind w:firstLine="420" w:firstLineChars="20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4.</w:t>
            </w: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kern w:val="0"/>
                <w:szCs w:val="21"/>
                <w:highlight w:val="none"/>
                <w14:textFill>
                  <w14:solidFill>
                    <w14:schemeClr w14:val="tx1"/>
                  </w14:solidFill>
                </w14:textFill>
              </w:rPr>
              <w:t>因评标委员会作否决投标处理，导致有效比选申请人不足三个的，评标委员会应当否决所有投标。但是有效比选申请人的经济、技术等指标仍然具有市场竞争力，并满足竞争性比选文件要求的，评标委员会可以继续评标并确定中选候选人。</w:t>
            </w:r>
          </w:p>
          <w:p w14:paraId="5EE84EE1">
            <w:pPr>
              <w:spacing w:line="400" w:lineRule="exact"/>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若出现比选申请人投标报价相同的，以比选申请人是否属于红名单，以开标环节信用状况查询结果为准；比选申请人均在红名单中或均不在红名单中的由比选人采取抽签方式，确定比选申请人的排名，方式为两次抽签，第一次抽出企业顺序号，第二次抽签为排名的先后顺序。 </w:t>
            </w:r>
          </w:p>
        </w:tc>
      </w:tr>
      <w:tr w14:paraId="036C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115C3642">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3.4</w:t>
            </w:r>
          </w:p>
        </w:tc>
        <w:tc>
          <w:tcPr>
            <w:tcW w:w="1383" w:type="dxa"/>
            <w:tcBorders>
              <w:left w:val="single" w:color="auto" w:sz="4" w:space="0"/>
              <w:right w:val="single" w:color="auto" w:sz="4" w:space="0"/>
            </w:tcBorders>
            <w:vAlign w:val="center"/>
          </w:tcPr>
          <w:p w14:paraId="4BD47168">
            <w:pPr>
              <w:spacing w:line="400" w:lineRule="exact"/>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评标结果</w:t>
            </w:r>
          </w:p>
        </w:tc>
        <w:tc>
          <w:tcPr>
            <w:tcW w:w="7059" w:type="dxa"/>
            <w:gridSpan w:val="2"/>
            <w:tcBorders>
              <w:left w:val="single" w:color="auto" w:sz="4" w:space="0"/>
            </w:tcBorders>
            <w:vAlign w:val="center"/>
          </w:tcPr>
          <w:p w14:paraId="2371977A">
            <w:pPr>
              <w:autoSpaceDE w:val="0"/>
              <w:autoSpaceDN w:val="0"/>
              <w:adjustRightInd w:val="0"/>
              <w:snapToGrid w:val="0"/>
              <w:spacing w:line="400" w:lineRule="exact"/>
              <w:ind w:firstLine="420"/>
              <w:jc w:val="left"/>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3.</w:t>
            </w:r>
            <w:r>
              <w:rPr>
                <w:rFonts w:asciiTheme="minorEastAsia" w:hAnsiTheme="minorEastAsia" w:eastAsiaTheme="minorEastAsia"/>
                <w:color w:val="000000" w:themeColor="text1"/>
                <w:spacing w:val="-1"/>
                <w:kern w:val="0"/>
                <w:szCs w:val="21"/>
                <w:highlight w:val="none"/>
                <w14:textFill>
                  <w14:solidFill>
                    <w14:schemeClr w14:val="tx1"/>
                  </w14:solidFill>
                </w14:textFill>
              </w:rPr>
              <w:t>4</w:t>
            </w:r>
            <w:r>
              <w:rPr>
                <w:rFonts w:asciiTheme="minorEastAsia" w:hAnsiTheme="minorEastAsia" w:eastAsia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 </w:t>
            </w:r>
            <w:r>
              <w:rPr>
                <w:rFonts w:asciiTheme="minorEastAsia" w:hAnsiTheme="minorEastAsia" w:eastAsiaTheme="minorEastAsia"/>
                <w:color w:val="000000" w:themeColor="text1"/>
                <w:kern w:val="0"/>
                <w:szCs w:val="21"/>
                <w:highlight w:val="none"/>
                <w14:textFill>
                  <w14:solidFill>
                    <w14:schemeClr w14:val="tx1"/>
                  </w14:solidFill>
                </w14:textFill>
              </w:rPr>
              <w:t>除第二章“</w:t>
            </w:r>
            <w:r>
              <w:rPr>
                <w:rFonts w:hint="eastAsia" w:asciiTheme="minorEastAsia" w:hAnsiTheme="minorEastAsia" w:eastAsiaTheme="minorEastAsia"/>
                <w:color w:val="000000" w:themeColor="text1"/>
                <w:kern w:val="0"/>
                <w:szCs w:val="21"/>
                <w:highlight w:val="none"/>
                <w14:textFill>
                  <w14:solidFill>
                    <w14:schemeClr w14:val="tx1"/>
                  </w14:solidFill>
                </w14:textFill>
              </w:rPr>
              <w:t>比选申请人</w:t>
            </w:r>
            <w:r>
              <w:rPr>
                <w:rFonts w:asciiTheme="minorEastAsia" w:hAnsiTheme="minorEastAsia" w:eastAsiaTheme="minorEastAsia"/>
                <w:color w:val="000000" w:themeColor="text1"/>
                <w:kern w:val="0"/>
                <w:szCs w:val="21"/>
                <w:highlight w:val="none"/>
                <w14:textFill>
                  <w14:solidFill>
                    <w14:schemeClr w14:val="tx1"/>
                  </w14:solidFill>
                </w14:textFill>
              </w:rPr>
              <w:t>须知”前</w:t>
            </w:r>
            <w:r>
              <w:rPr>
                <w:rFonts w:asciiTheme="minorEastAsia" w:hAnsiTheme="minorEastAsia" w:eastAsiaTheme="minorEastAsia"/>
                <w:color w:val="000000" w:themeColor="text1"/>
                <w:spacing w:val="1"/>
                <w:kern w:val="0"/>
                <w:szCs w:val="21"/>
                <w:highlight w:val="none"/>
                <w14:textFill>
                  <w14:solidFill>
                    <w14:schemeClr w14:val="tx1"/>
                  </w14:solidFill>
                </w14:textFill>
              </w:rPr>
              <w:t>附</w:t>
            </w:r>
            <w:r>
              <w:rPr>
                <w:rFonts w:asciiTheme="minorEastAsia" w:hAnsiTheme="minorEastAsia" w:eastAsiaTheme="minorEastAsia"/>
                <w:color w:val="000000" w:themeColor="text1"/>
                <w:kern w:val="0"/>
                <w:szCs w:val="21"/>
                <w:highlight w:val="none"/>
                <w14:textFill>
                  <w14:solidFill>
                    <w14:schemeClr w14:val="tx1"/>
                  </w14:solidFill>
                </w14:textFill>
              </w:rPr>
              <w:t>表授权直</w:t>
            </w:r>
            <w:r>
              <w:rPr>
                <w:rFonts w:asciiTheme="minorEastAsia" w:hAnsiTheme="minorEastAsia" w:eastAsiaTheme="minorEastAsia"/>
                <w:color w:val="000000" w:themeColor="text1"/>
                <w:spacing w:val="1"/>
                <w:kern w:val="0"/>
                <w:szCs w:val="21"/>
                <w:highlight w:val="none"/>
                <w14:textFill>
                  <w14:solidFill>
                    <w14:schemeClr w14:val="tx1"/>
                  </w14:solidFill>
                </w14:textFill>
              </w:rPr>
              <w:t>接</w:t>
            </w:r>
            <w:r>
              <w:rPr>
                <w:rFonts w:asciiTheme="minorEastAsia" w:hAnsiTheme="minorEastAsia" w:eastAsiaTheme="minorEastAsia"/>
                <w:color w:val="000000" w:themeColor="text1"/>
                <w:kern w:val="0"/>
                <w:szCs w:val="21"/>
                <w:highlight w:val="none"/>
                <w14:textFill>
                  <w14:solidFill>
                    <w14:schemeClr w14:val="tx1"/>
                  </w14:solidFill>
                </w14:textFill>
              </w:rPr>
              <w:t>确定</w:t>
            </w:r>
            <w:r>
              <w:rPr>
                <w:rFonts w:hint="eastAsia" w:asciiTheme="minorEastAsia" w:hAnsiTheme="minorEastAsia" w:eastAsiaTheme="minorEastAsia"/>
                <w:color w:val="000000" w:themeColor="text1"/>
                <w:kern w:val="0"/>
                <w:szCs w:val="21"/>
                <w:highlight w:val="none"/>
                <w14:textFill>
                  <w14:solidFill>
                    <w14:schemeClr w14:val="tx1"/>
                  </w14:solidFill>
                </w14:textFill>
              </w:rPr>
              <w:t>中选</w:t>
            </w:r>
            <w:r>
              <w:rPr>
                <w:rFonts w:asciiTheme="minorEastAsia" w:hAnsiTheme="minorEastAsia" w:eastAsiaTheme="minorEastAsia"/>
                <w:color w:val="000000" w:themeColor="text1"/>
                <w:spacing w:val="1"/>
                <w:kern w:val="0"/>
                <w:szCs w:val="21"/>
                <w:highlight w:val="none"/>
                <w14:textFill>
                  <w14:solidFill>
                    <w14:schemeClr w14:val="tx1"/>
                  </w14:solidFill>
                </w14:textFill>
              </w:rPr>
              <w:t>人</w:t>
            </w:r>
            <w:r>
              <w:rPr>
                <w:rFonts w:asciiTheme="minorEastAsia" w:hAnsiTheme="minorEastAsia" w:eastAsiaTheme="minorEastAsia"/>
                <w:color w:val="000000" w:themeColor="text1"/>
                <w:kern w:val="0"/>
                <w:szCs w:val="21"/>
                <w:highlight w:val="none"/>
                <w14:textFill>
                  <w14:solidFill>
                    <w14:schemeClr w14:val="tx1"/>
                  </w14:solidFill>
                </w14:textFill>
              </w:rPr>
              <w:t>外，评标</w:t>
            </w:r>
            <w:r>
              <w:rPr>
                <w:rFonts w:asciiTheme="minorEastAsia" w:hAnsiTheme="minorEastAsia" w:eastAsiaTheme="minorEastAsia"/>
                <w:color w:val="000000" w:themeColor="text1"/>
                <w:spacing w:val="1"/>
                <w:kern w:val="0"/>
                <w:szCs w:val="21"/>
                <w:highlight w:val="none"/>
                <w14:textFill>
                  <w14:solidFill>
                    <w14:schemeClr w14:val="tx1"/>
                  </w14:solidFill>
                </w14:textFill>
              </w:rPr>
              <w:t>委</w:t>
            </w:r>
            <w:r>
              <w:rPr>
                <w:rFonts w:asciiTheme="minorEastAsia" w:hAnsiTheme="minorEastAsia" w:eastAsiaTheme="minorEastAsia"/>
                <w:color w:val="000000" w:themeColor="text1"/>
                <w:kern w:val="0"/>
                <w:szCs w:val="21"/>
                <w:highlight w:val="none"/>
                <w14:textFill>
                  <w14:solidFill>
                    <w14:schemeClr w14:val="tx1"/>
                  </w14:solidFill>
                </w14:textFill>
              </w:rPr>
              <w:t>员会</w:t>
            </w:r>
            <w:r>
              <w:rPr>
                <w:rFonts w:hint="eastAsia" w:asciiTheme="minorEastAsia" w:hAnsiTheme="minorEastAsia" w:eastAsiaTheme="minorEastAsia"/>
                <w:color w:val="000000" w:themeColor="text1"/>
                <w:kern w:val="0"/>
                <w:szCs w:val="21"/>
                <w:highlight w:val="none"/>
                <w14:textFill>
                  <w14:solidFill>
                    <w14:schemeClr w14:val="tx1"/>
                  </w14:solidFill>
                </w14:textFill>
              </w:rPr>
              <w:t>按经评审的最低投标价法</w:t>
            </w:r>
            <w:r>
              <w:rPr>
                <w:rFonts w:asciiTheme="minorEastAsia" w:hAnsiTheme="minorEastAsia" w:eastAsiaTheme="minorEastAsia"/>
                <w:color w:val="000000" w:themeColor="text1"/>
                <w:kern w:val="0"/>
                <w:szCs w:val="21"/>
                <w:highlight w:val="none"/>
                <w14:textFill>
                  <w14:solidFill>
                    <w14:schemeClr w14:val="tx1"/>
                  </w14:solidFill>
                </w14:textFill>
              </w:rPr>
              <w:t>推荐</w:t>
            </w:r>
            <w:r>
              <w:rPr>
                <w:rFonts w:hint="eastAsia" w:asciiTheme="minorEastAsia" w:hAnsiTheme="minorEastAsia" w:eastAsiaTheme="minorEastAsia"/>
                <w:color w:val="000000" w:themeColor="text1"/>
                <w:kern w:val="0"/>
                <w:szCs w:val="21"/>
                <w:highlight w:val="none"/>
                <w14:textFill>
                  <w14:solidFill>
                    <w14:schemeClr w14:val="tx1"/>
                  </w14:solidFill>
                </w14:textFill>
              </w:rPr>
              <w:t>中选</w:t>
            </w:r>
            <w:r>
              <w:rPr>
                <w:rFonts w:asciiTheme="minorEastAsia" w:hAnsiTheme="minorEastAsia" w:eastAsiaTheme="minorEastAsia"/>
                <w:color w:val="000000" w:themeColor="text1"/>
                <w:kern w:val="0"/>
                <w:szCs w:val="21"/>
                <w:highlight w:val="none"/>
                <w14:textFill>
                  <w14:solidFill>
                    <w14:schemeClr w14:val="tx1"/>
                  </w14:solidFill>
                </w14:textFill>
              </w:rPr>
              <w:t>候选人。</w:t>
            </w:r>
          </w:p>
          <w:p w14:paraId="198376AA">
            <w:pPr>
              <w:spacing w:line="400" w:lineRule="exact"/>
              <w:ind w:firstLine="424"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1"/>
                <w:kern w:val="0"/>
                <w:szCs w:val="21"/>
                <w:highlight w:val="none"/>
                <w14:textFill>
                  <w14:solidFill>
                    <w14:schemeClr w14:val="tx1"/>
                  </w14:solidFill>
                </w14:textFill>
              </w:rPr>
              <w:t>3</w:t>
            </w:r>
            <w:r>
              <w:rPr>
                <w:rFonts w:asciiTheme="minorEastAsia" w:hAnsiTheme="minorEastAsia" w:eastAsiaTheme="minorEastAsia"/>
                <w:color w:val="000000" w:themeColor="text1"/>
                <w:kern w:val="0"/>
                <w:szCs w:val="21"/>
                <w:highlight w:val="none"/>
                <w14:textFill>
                  <w14:solidFill>
                    <w14:schemeClr w14:val="tx1"/>
                  </w14:solidFill>
                </w14:textFill>
              </w:rPr>
              <w:t>.4.2</w:t>
            </w:r>
            <w:r>
              <w:rPr>
                <w:rFonts w:hint="eastAsia" w:asciiTheme="minorEastAsia" w:hAnsiTheme="minorEastAsia" w:eastAsiaTheme="minorEastAsia"/>
                <w:color w:val="000000" w:themeColor="text1"/>
                <w:kern w:val="0"/>
                <w:szCs w:val="21"/>
                <w:highlight w:val="none"/>
                <w14:textFill>
                  <w14:solidFill>
                    <w14:schemeClr w14:val="tx1"/>
                  </w14:solidFill>
                </w14:textFill>
              </w:rPr>
              <w:t xml:space="preserve"> </w:t>
            </w:r>
            <w:r>
              <w:rPr>
                <w:rFonts w:asciiTheme="minorEastAsia" w:hAnsiTheme="minorEastAsia" w:eastAsiaTheme="minorEastAsia"/>
                <w:color w:val="000000" w:themeColor="text1"/>
                <w:kern w:val="0"/>
                <w:szCs w:val="21"/>
                <w:highlight w:val="none"/>
                <w14:textFill>
                  <w14:solidFill>
                    <w14:schemeClr w14:val="tx1"/>
                  </w14:solidFill>
                </w14:textFill>
              </w:rPr>
              <w:t>评标</w:t>
            </w:r>
            <w:r>
              <w:rPr>
                <w:rFonts w:asciiTheme="minorEastAsia" w:hAnsiTheme="minorEastAsia" w:eastAsiaTheme="minorEastAsia"/>
                <w:color w:val="000000" w:themeColor="text1"/>
                <w:spacing w:val="-1"/>
                <w:kern w:val="0"/>
                <w:szCs w:val="21"/>
                <w:highlight w:val="none"/>
                <w14:textFill>
                  <w14:solidFill>
                    <w14:schemeClr w14:val="tx1"/>
                  </w14:solidFill>
                </w14:textFill>
              </w:rPr>
              <w:t>委</w:t>
            </w:r>
            <w:r>
              <w:rPr>
                <w:rFonts w:asciiTheme="minorEastAsia" w:hAnsiTheme="minorEastAsia" w:eastAsiaTheme="minorEastAsia"/>
                <w:color w:val="000000" w:themeColor="text1"/>
                <w:kern w:val="0"/>
                <w:szCs w:val="21"/>
                <w:highlight w:val="none"/>
                <w14:textFill>
                  <w14:solidFill>
                    <w14:schemeClr w14:val="tx1"/>
                  </w14:solidFill>
                </w14:textFill>
              </w:rPr>
              <w:t>员会完成评标后，应当向</w:t>
            </w:r>
            <w:r>
              <w:rPr>
                <w:rFonts w:hint="eastAsia" w:asciiTheme="minorEastAsia" w:hAnsiTheme="minorEastAsia" w:eastAsiaTheme="minorEastAsia"/>
                <w:color w:val="000000" w:themeColor="text1"/>
                <w:kern w:val="0"/>
                <w:szCs w:val="21"/>
                <w:highlight w:val="none"/>
                <w14:textFill>
                  <w14:solidFill>
                    <w14:schemeClr w14:val="tx1"/>
                  </w14:solidFill>
                </w14:textFill>
              </w:rPr>
              <w:t>比选人</w:t>
            </w:r>
            <w:r>
              <w:rPr>
                <w:rFonts w:asciiTheme="minorEastAsia" w:hAnsiTheme="minorEastAsia" w:eastAsiaTheme="minorEastAsia"/>
                <w:color w:val="000000" w:themeColor="text1"/>
                <w:kern w:val="0"/>
                <w:szCs w:val="21"/>
                <w:highlight w:val="none"/>
                <w14:textFill>
                  <w14:solidFill>
                    <w14:schemeClr w14:val="tx1"/>
                  </w14:solidFill>
                </w14:textFill>
              </w:rPr>
              <w:t>提交书面评标报告。</w:t>
            </w:r>
          </w:p>
        </w:tc>
      </w:tr>
    </w:tbl>
    <w:p w14:paraId="766FA6C3">
      <w:pPr>
        <w:pStyle w:val="4"/>
        <w:spacing w:before="0" w:after="0" w:line="360" w:lineRule="auto"/>
        <w:rPr>
          <w:rFonts w:asciiTheme="minorEastAsia" w:hAnsiTheme="minorEastAsia" w:eastAsiaTheme="minorEastAsia"/>
          <w:bCs w:val="0"/>
          <w:snapToGrid w:val="0"/>
          <w:color w:val="000000" w:themeColor="text1"/>
          <w:highlight w:val="none"/>
          <w14:textFill>
            <w14:solidFill>
              <w14:schemeClr w14:val="tx1"/>
            </w14:solidFill>
          </w14:textFill>
        </w:rPr>
      </w:pPr>
      <w:r>
        <w:rPr>
          <w:rFonts w:asciiTheme="minorEastAsia" w:hAnsiTheme="minorEastAsia" w:eastAsiaTheme="minorEastAsia"/>
          <w:bCs w:val="0"/>
          <w:snapToGrid w:val="0"/>
          <w:color w:val="000000" w:themeColor="text1"/>
          <w:highlight w:val="none"/>
          <w14:textFill>
            <w14:solidFill>
              <w14:schemeClr w14:val="tx1"/>
            </w14:solidFill>
          </w14:textFill>
        </w:rPr>
        <w:br w:type="page"/>
      </w:r>
      <w:bookmarkStart w:id="395" w:name="_Toc19239"/>
      <w:bookmarkStart w:id="396" w:name="_Toc27750"/>
      <w:bookmarkStart w:id="397" w:name="_Toc27686"/>
      <w:r>
        <w:rPr>
          <w:rFonts w:asciiTheme="minorEastAsia" w:hAnsiTheme="minorEastAsia" w:eastAsiaTheme="minorEastAsia"/>
          <w:b w:val="0"/>
          <w:snapToGrid w:val="0"/>
          <w:color w:val="000000" w:themeColor="text1"/>
          <w:highlight w:val="none"/>
          <w14:textFill>
            <w14:solidFill>
              <w14:schemeClr w14:val="tx1"/>
            </w14:solidFill>
          </w14:textFill>
        </w:rPr>
        <w:t>1.  评标方法</w:t>
      </w:r>
      <w:bookmarkEnd w:id="395"/>
      <w:bookmarkEnd w:id="396"/>
      <w:bookmarkEnd w:id="397"/>
    </w:p>
    <w:p w14:paraId="5D9D02D7">
      <w:pPr>
        <w:spacing w:line="360" w:lineRule="auto"/>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本次评标采用经评审的最低投标价法，评标委员会按照本章第2.1款进行报价排序，按照本章第2.2款进行符合性审查，符合性审查合格的比选申请人中按报价由低到高推荐中选候选人，或根据比选人授权直接确定中选人。若出现比选申请人投标报价相同的，以评标办法前附表约定的原则确定排序。</w:t>
      </w:r>
    </w:p>
    <w:p w14:paraId="0DC489B7">
      <w:pPr>
        <w:pStyle w:val="4"/>
        <w:spacing w:before="0" w:after="0" w:line="360" w:lineRule="auto"/>
        <w:rPr>
          <w:rFonts w:asciiTheme="minorEastAsia" w:hAnsiTheme="minorEastAsia" w:eastAsiaTheme="minorEastAsia"/>
          <w:b w:val="0"/>
          <w:snapToGrid w:val="0"/>
          <w:color w:val="000000" w:themeColor="text1"/>
          <w:highlight w:val="none"/>
          <w14:textFill>
            <w14:solidFill>
              <w14:schemeClr w14:val="tx1"/>
            </w14:solidFill>
          </w14:textFill>
        </w:rPr>
      </w:pPr>
      <w:bookmarkStart w:id="398" w:name="_Toc20516"/>
      <w:bookmarkStart w:id="399" w:name="_Toc3890"/>
      <w:bookmarkStart w:id="400" w:name="_Toc20502"/>
      <w:r>
        <w:rPr>
          <w:rFonts w:asciiTheme="minorEastAsia" w:hAnsiTheme="minorEastAsia" w:eastAsiaTheme="minorEastAsia"/>
          <w:b w:val="0"/>
          <w:snapToGrid w:val="0"/>
          <w:color w:val="000000" w:themeColor="text1"/>
          <w:highlight w:val="none"/>
          <w14:textFill>
            <w14:solidFill>
              <w14:schemeClr w14:val="tx1"/>
            </w14:solidFill>
          </w14:textFill>
        </w:rPr>
        <w:t>2.  评审标准</w:t>
      </w:r>
      <w:bookmarkEnd w:id="398"/>
      <w:bookmarkEnd w:id="399"/>
      <w:bookmarkEnd w:id="400"/>
    </w:p>
    <w:p w14:paraId="3790586A">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01" w:name="_Toc3739"/>
      <w:bookmarkStart w:id="402" w:name="_Toc16525"/>
      <w:bookmarkStart w:id="403" w:name="_Toc16812"/>
      <w:r>
        <w:rPr>
          <w:rFonts w:cs="宋体" w:asciiTheme="minorEastAsia" w:hAnsiTheme="minorEastAsia" w:eastAsiaTheme="minorEastAsia"/>
          <w:color w:val="000000" w:themeColor="text1"/>
          <w:sz w:val="21"/>
          <w:szCs w:val="21"/>
          <w:highlight w:val="none"/>
          <w14:textFill>
            <w14:solidFill>
              <w14:schemeClr w14:val="tx1"/>
            </w14:solidFill>
          </w14:textFill>
        </w:rPr>
        <w:t>2.1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报价</w:t>
      </w:r>
      <w:r>
        <w:rPr>
          <w:rFonts w:cs="宋体" w:asciiTheme="minorEastAsia" w:hAnsiTheme="minorEastAsia" w:eastAsiaTheme="minorEastAsia"/>
          <w:color w:val="000000" w:themeColor="text1"/>
          <w:sz w:val="21"/>
          <w:szCs w:val="21"/>
          <w:highlight w:val="none"/>
          <w14:textFill>
            <w14:solidFill>
              <w14:schemeClr w14:val="tx1"/>
            </w14:solidFill>
          </w14:textFill>
        </w:rPr>
        <w:t>排序</w:t>
      </w:r>
      <w:bookmarkEnd w:id="401"/>
      <w:r>
        <w:rPr>
          <w:rFonts w:hint="eastAsia" w:cs="宋体" w:asciiTheme="minorEastAsia" w:hAnsiTheme="minorEastAsia" w:eastAsiaTheme="minorEastAsia"/>
          <w:color w:val="000000" w:themeColor="text1"/>
          <w:sz w:val="21"/>
          <w:szCs w:val="21"/>
          <w:highlight w:val="none"/>
          <w14:textFill>
            <w14:solidFill>
              <w14:schemeClr w14:val="tx1"/>
            </w14:solidFill>
          </w14:textFill>
        </w:rPr>
        <w:t>标准</w:t>
      </w:r>
      <w:bookmarkEnd w:id="402"/>
      <w:bookmarkEnd w:id="403"/>
    </w:p>
    <w:p w14:paraId="6E55BAED">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见评标办法前附表。</w:t>
      </w:r>
    </w:p>
    <w:p w14:paraId="1303BAC6">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04" w:name="_Toc16832"/>
      <w:bookmarkStart w:id="405" w:name="_Toc1428"/>
      <w:bookmarkStart w:id="406" w:name="_Toc20447"/>
      <w:r>
        <w:rPr>
          <w:rFonts w:cs="宋体" w:asciiTheme="minorEastAsia" w:hAnsiTheme="minorEastAsia" w:eastAsiaTheme="minorEastAsia"/>
          <w:color w:val="000000" w:themeColor="text1"/>
          <w:sz w:val="21"/>
          <w:szCs w:val="21"/>
          <w:highlight w:val="none"/>
          <w14:textFill>
            <w14:solidFill>
              <w14:schemeClr w14:val="tx1"/>
            </w14:solidFill>
          </w14:textFill>
        </w:rPr>
        <w:t>2.</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2符合性审查</w:t>
      </w:r>
      <w:bookmarkEnd w:id="404"/>
      <w:r>
        <w:rPr>
          <w:rFonts w:hint="eastAsia" w:cs="宋体" w:asciiTheme="minorEastAsia" w:hAnsiTheme="minorEastAsia" w:eastAsiaTheme="minorEastAsia"/>
          <w:color w:val="000000" w:themeColor="text1"/>
          <w:sz w:val="21"/>
          <w:szCs w:val="21"/>
          <w:highlight w:val="none"/>
          <w14:textFill>
            <w14:solidFill>
              <w14:schemeClr w14:val="tx1"/>
            </w14:solidFill>
          </w14:textFill>
        </w:rPr>
        <w:t>标准</w:t>
      </w:r>
      <w:bookmarkEnd w:id="405"/>
      <w:bookmarkEnd w:id="406"/>
    </w:p>
    <w:p w14:paraId="635CF486">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按评标办法前附表约定的投标单位报价排序数量进行符合性审查</w:t>
      </w:r>
      <w:r>
        <w:rPr>
          <w:rFonts w:hint="eastAsia" w:asciiTheme="minorEastAsia" w:hAnsiTheme="minorEastAsia" w:eastAsiaTheme="minorEastAsia"/>
          <w:color w:val="000000" w:themeColor="text1"/>
          <w:spacing w:val="4"/>
          <w:kern w:val="0"/>
          <w:szCs w:val="21"/>
          <w:highlight w:val="none"/>
          <w14:textFill>
            <w14:solidFill>
              <w14:schemeClr w14:val="tx1"/>
            </w14:solidFill>
          </w14:textFill>
        </w:rPr>
        <w:t>。符合性审查内容：资格评审、形式评审、响应性评审。</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w:t>
      </w:r>
    </w:p>
    <w:p w14:paraId="39A5F3F3">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A  资格评审标准：见资格预审文件第三章“资格审查办法”详细审查标准（适用于已进行资格预审的）。</w:t>
      </w:r>
    </w:p>
    <w:p w14:paraId="7ABA1B34">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B  资格评审标准：见评标办法前附表（适用于未进行资格预审的）。</w:t>
      </w:r>
    </w:p>
    <w:p w14:paraId="7A81DCA8">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形式评审标准：见评标办法前附表。</w:t>
      </w:r>
    </w:p>
    <w:p w14:paraId="777486F8">
      <w:pPr>
        <w:autoSpaceDE w:val="0"/>
        <w:autoSpaceDN w:val="0"/>
        <w:adjustRightInd w:val="0"/>
        <w:snapToGrid w:val="0"/>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响应性评审标准：见评标办法前附表。</w:t>
      </w:r>
    </w:p>
    <w:p w14:paraId="3512F28D">
      <w:pPr>
        <w:pStyle w:val="4"/>
        <w:spacing w:before="0" w:after="0" w:line="360" w:lineRule="auto"/>
        <w:rPr>
          <w:rFonts w:asciiTheme="minorEastAsia" w:hAnsiTheme="minorEastAsia" w:eastAsiaTheme="minorEastAsia"/>
          <w:b w:val="0"/>
          <w:snapToGrid w:val="0"/>
          <w:color w:val="000000" w:themeColor="text1"/>
          <w:highlight w:val="none"/>
          <w14:textFill>
            <w14:solidFill>
              <w14:schemeClr w14:val="tx1"/>
            </w14:solidFill>
          </w14:textFill>
        </w:rPr>
      </w:pPr>
      <w:bookmarkStart w:id="407" w:name="_Toc29028"/>
      <w:bookmarkStart w:id="408" w:name="_Toc6630"/>
      <w:bookmarkStart w:id="409" w:name="_Toc4110"/>
      <w:r>
        <w:rPr>
          <w:rFonts w:asciiTheme="minorEastAsia" w:hAnsiTheme="minorEastAsia" w:eastAsiaTheme="minorEastAsia"/>
          <w:b w:val="0"/>
          <w:snapToGrid w:val="0"/>
          <w:color w:val="000000" w:themeColor="text1"/>
          <w:highlight w:val="none"/>
          <w14:textFill>
            <w14:solidFill>
              <w14:schemeClr w14:val="tx1"/>
            </w14:solidFill>
          </w14:textFill>
        </w:rPr>
        <w:t>3.  评标程序</w:t>
      </w:r>
      <w:bookmarkEnd w:id="407"/>
      <w:bookmarkEnd w:id="408"/>
      <w:bookmarkEnd w:id="409"/>
    </w:p>
    <w:p w14:paraId="331D0434">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10" w:name="_Toc17462"/>
      <w:bookmarkStart w:id="411" w:name="_Toc17317"/>
      <w:bookmarkStart w:id="412" w:name="_Toc15391"/>
      <w:r>
        <w:rPr>
          <w:rFonts w:cs="宋体" w:asciiTheme="minorEastAsia" w:hAnsiTheme="minorEastAsia" w:eastAsiaTheme="minorEastAsia"/>
          <w:color w:val="000000" w:themeColor="text1"/>
          <w:sz w:val="21"/>
          <w:szCs w:val="21"/>
          <w:highlight w:val="none"/>
          <w14:textFill>
            <w14:solidFill>
              <w14:schemeClr w14:val="tx1"/>
            </w14:solidFill>
          </w14:textFill>
        </w:rPr>
        <w:t>3.1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报价排序</w:t>
      </w:r>
      <w:bookmarkEnd w:id="410"/>
      <w:bookmarkEnd w:id="411"/>
      <w:bookmarkEnd w:id="412"/>
    </w:p>
    <w:p w14:paraId="652BD9B7">
      <w:pPr>
        <w:spacing w:line="360" w:lineRule="auto"/>
        <w:ind w:firstLine="413" w:firstLineChars="197"/>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对报价不高于最高限价的所有比选申请人的比选申请文件，按照报价由低到高的顺序排序。</w:t>
      </w:r>
    </w:p>
    <w:p w14:paraId="6A7947BC">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13" w:name="_Toc23300"/>
      <w:bookmarkStart w:id="414" w:name="_Toc29741"/>
      <w:bookmarkStart w:id="415" w:name="_Toc11078"/>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2符合性审查</w:t>
      </w:r>
      <w:bookmarkEnd w:id="413"/>
      <w:bookmarkEnd w:id="414"/>
      <w:bookmarkEnd w:id="415"/>
    </w:p>
    <w:p w14:paraId="72945660">
      <w:pPr>
        <w:spacing w:line="360" w:lineRule="auto"/>
        <w:ind w:firstLine="413" w:firstLineChars="197"/>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.1评标委员会依据本章第2.</w:t>
      </w: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款规定的标准对比选申请文件进行符合性审查。符合性审查顺序：资格评审、形式评审、响应性评审。</w:t>
      </w:r>
    </w:p>
    <w:p w14:paraId="357D290B">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16" w:name="_Toc26995"/>
      <w:bookmarkStart w:id="417" w:name="_Toc5505"/>
      <w:bookmarkStart w:id="418" w:name="_Toc6193"/>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r>
        <w:rPr>
          <w:rFonts w:cs="宋体"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比选申请文件的澄清和补正</w:t>
      </w:r>
      <w:bookmarkEnd w:id="416"/>
      <w:bookmarkEnd w:id="417"/>
      <w:bookmarkEnd w:id="418"/>
    </w:p>
    <w:p w14:paraId="201356C8">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.1 </w:t>
      </w:r>
      <w:r>
        <w:rPr>
          <w:rFonts w:hint="eastAsia" w:cs="宋体" w:asciiTheme="minorEastAsia" w:hAnsiTheme="minorEastAsia" w:eastAsiaTheme="minorEastAsia"/>
          <w:color w:val="000000" w:themeColor="text1"/>
          <w:szCs w:val="21"/>
          <w:highlight w:val="none"/>
          <w14:textFill>
            <w14:solidFill>
              <w14:schemeClr w14:val="tx1"/>
            </w14:solidFill>
          </w14:textFill>
        </w:rPr>
        <w:t>在评标过程中，评标委员会可以书面形式要求比选申请人对所提交比选申请文件中不明确的内容进行书面澄清或说明，或者对细微偏差进行补正。评标委员会不接受比选申请人主动提出的澄清、说明或补正。</w:t>
      </w:r>
    </w:p>
    <w:p w14:paraId="4AE945F3">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.2 </w:t>
      </w:r>
      <w:r>
        <w:rPr>
          <w:rFonts w:hint="eastAsia" w:cs="宋体" w:asciiTheme="minorEastAsia" w:hAnsiTheme="minorEastAsia" w:eastAsiaTheme="minorEastAsia"/>
          <w:color w:val="000000" w:themeColor="text1"/>
          <w:szCs w:val="21"/>
          <w:highlight w:val="none"/>
          <w14:textFill>
            <w14:solidFill>
              <w14:schemeClr w14:val="tx1"/>
            </w14:solidFill>
          </w14:textFill>
        </w:rPr>
        <w:t>澄清、说明和补正不得改变比选申请文件的实质性内容（算术性错误修正的除外）。比选申请人的书面澄清、说明和补正属于比选申请文件的组成部分。</w:t>
      </w:r>
    </w:p>
    <w:p w14:paraId="23670C98">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cs="宋体" w:asciiTheme="minorEastAsia" w:hAnsiTheme="minorEastAsia" w:eastAsiaTheme="minorEastAsia"/>
          <w:color w:val="000000" w:themeColor="text1"/>
          <w:szCs w:val="21"/>
          <w:highlight w:val="none"/>
          <w14:textFill>
            <w14:solidFill>
              <w14:schemeClr w14:val="tx1"/>
            </w14:solidFill>
          </w14:textFill>
        </w:rPr>
        <w:t xml:space="preserve">.3 </w:t>
      </w:r>
      <w:r>
        <w:rPr>
          <w:rFonts w:hint="eastAsia" w:cs="宋体" w:asciiTheme="minorEastAsia" w:hAnsiTheme="minorEastAsia" w:eastAsiaTheme="minorEastAsia"/>
          <w:color w:val="000000" w:themeColor="text1"/>
          <w:szCs w:val="21"/>
          <w:highlight w:val="none"/>
          <w14:textFill>
            <w14:solidFill>
              <w14:schemeClr w14:val="tx1"/>
            </w14:solidFill>
          </w14:textFill>
        </w:rPr>
        <w:t>评标委员会对比选申请人提交的澄清、说明或补正有疑问的，可以要求比选申请人进一步澄清、说明或补正，直至满足评标委员会的要求。</w:t>
      </w:r>
    </w:p>
    <w:p w14:paraId="43D10C44">
      <w:pPr>
        <w:pStyle w:val="2"/>
        <w:spacing w:before="0" w:after="0"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bookmarkStart w:id="419" w:name="_Toc9470"/>
      <w:bookmarkStart w:id="420" w:name="_Toc484465184"/>
      <w:bookmarkStart w:id="421" w:name="_Toc26860"/>
      <w:bookmarkStart w:id="422" w:name="_Toc479262406"/>
      <w:bookmarkStart w:id="423" w:name="_Toc16085"/>
      <w:r>
        <w:rPr>
          <w:rFonts w:cs="宋体" w:asciiTheme="minorEastAsia" w:hAnsiTheme="minorEastAsia" w:eastAsiaTheme="minorEastAsia"/>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w:t>
      </w:r>
      <w:r>
        <w:rPr>
          <w:rFonts w:cs="宋体"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评标结果</w:t>
      </w:r>
      <w:bookmarkEnd w:id="419"/>
      <w:bookmarkEnd w:id="420"/>
      <w:bookmarkEnd w:id="421"/>
      <w:bookmarkEnd w:id="422"/>
      <w:bookmarkEnd w:id="423"/>
    </w:p>
    <w:p w14:paraId="6A4E9823">
      <w:pPr>
        <w:autoSpaceDE w:val="0"/>
        <w:autoSpaceDN w:val="0"/>
        <w:adjustRightInd w:val="0"/>
        <w:spacing w:line="360" w:lineRule="auto"/>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4</w:t>
      </w:r>
      <w:r>
        <w:rPr>
          <w:rFonts w:cs="宋体" w:asciiTheme="minorEastAsia" w:hAnsiTheme="minorEastAsia" w:eastAsiaTheme="minorEastAsia"/>
          <w:color w:val="000000" w:themeColor="text1"/>
          <w:szCs w:val="21"/>
          <w:highlight w:val="none"/>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除第二章“比选申请人须知”前附表授权直接确定中选人外，评标委员会按经评审的最低投标价法推荐中选候选人。</w:t>
      </w:r>
    </w:p>
    <w:p w14:paraId="0B2CA3BE">
      <w:pPr>
        <w:spacing w:line="360"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4</w:t>
      </w:r>
      <w:r>
        <w:rPr>
          <w:rFonts w:cs="宋体" w:asciiTheme="minorEastAsia" w:hAnsiTheme="minorEastAsia" w:eastAsiaTheme="minorEastAsia"/>
          <w:color w:val="000000" w:themeColor="text1"/>
          <w:szCs w:val="21"/>
          <w:highlight w:val="none"/>
          <w14:textFill>
            <w14:solidFill>
              <w14:schemeClr w14:val="tx1"/>
            </w14:solidFill>
          </w14:textFill>
        </w:rPr>
        <w:t>.2</w:t>
      </w: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评标委员会完成评标后，应当向比选人提交书面评标报告和中选候选人名单。</w:t>
      </w:r>
    </w:p>
    <w:p w14:paraId="7251A5E1">
      <w:pPr>
        <w:pStyle w:val="32"/>
        <w:spacing w:line="360" w:lineRule="auto"/>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pPr>
      <w:r>
        <w:rPr>
          <w:rFonts w:cs="宋体" w:asciiTheme="minorEastAsia" w:hAnsiTheme="minorEastAsia" w:eastAsiaTheme="minorEastAsia"/>
          <w:color w:val="000000" w:themeColor="text1"/>
          <w:szCs w:val="21"/>
          <w:highlight w:val="none"/>
          <w:lang w:eastAsia="zh-CN"/>
          <w14:textFill>
            <w14:solidFill>
              <w14:schemeClr w14:val="tx1"/>
            </w14:solidFill>
          </w14:textFill>
        </w:rPr>
        <w:br w:type="page"/>
      </w:r>
      <w:r>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t>附件A：</w:t>
      </w:r>
      <w:r>
        <w:rPr>
          <w:rFonts w:hint="eastAsia" w:asciiTheme="minorEastAsia" w:hAnsiTheme="minorEastAsia" w:eastAsiaTheme="minorEastAsia"/>
          <w:b/>
          <w:color w:val="000000" w:themeColor="text1"/>
          <w:sz w:val="28"/>
          <w:szCs w:val="28"/>
          <w:highlight w:val="none"/>
          <w:u w:val="none"/>
          <w:lang w:eastAsia="zh-CN"/>
          <w14:textFill>
            <w14:solidFill>
              <w14:schemeClr w14:val="tx1"/>
            </w14:solidFill>
          </w14:textFill>
        </w:rPr>
        <w:t>经评审的最低投标价法</w:t>
      </w:r>
      <w:r>
        <w:rPr>
          <w:rFonts w:asciiTheme="minorEastAsia" w:hAnsiTheme="minorEastAsia" w:eastAsiaTheme="minorEastAsia"/>
          <w:b/>
          <w:color w:val="000000" w:themeColor="text1"/>
          <w:sz w:val="28"/>
          <w:szCs w:val="28"/>
          <w:highlight w:val="none"/>
          <w:u w:val="none"/>
          <w:lang w:eastAsia="zh-CN"/>
          <w14:textFill>
            <w14:solidFill>
              <w14:schemeClr w14:val="tx1"/>
            </w14:solidFill>
          </w14:textFill>
        </w:rPr>
        <w:t>否决投标情况一览表</w:t>
      </w:r>
    </w:p>
    <w:p w14:paraId="122AD315">
      <w:pPr>
        <w:pStyle w:val="32"/>
        <w:spacing w:line="360" w:lineRule="auto"/>
        <w:ind w:firstLine="420" w:firstLineChars="200"/>
        <w:jc w:val="both"/>
        <w:rPr>
          <w:rFonts w:asciiTheme="minorEastAsia" w:hAnsiTheme="minorEastAsia" w:eastAsiaTheme="minorEastAsia"/>
          <w:color w:val="000000" w:themeColor="text1"/>
          <w:sz w:val="21"/>
          <w:szCs w:val="21"/>
          <w:highlight w:val="none"/>
          <w:u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u w:val="none"/>
          <w:lang w:eastAsia="zh-CN"/>
          <w14:textFill>
            <w14:solidFill>
              <w14:schemeClr w14:val="tx1"/>
            </w14:solidFill>
          </w14:textFill>
        </w:rPr>
        <w:t>比选申请文件存在本一览表下列情形之一的，比选申请文件视为重大偏差并作否决投标处理，否则，评标委员会不得视为重大偏差而否决比选申请人的比选申请文件</w:t>
      </w:r>
      <w:r>
        <w:rPr>
          <w:rFonts w:asciiTheme="minorEastAsia" w:hAnsiTheme="minorEastAsia" w:eastAsiaTheme="minorEastAsia"/>
          <w:color w:val="000000" w:themeColor="text1"/>
          <w:sz w:val="21"/>
          <w:szCs w:val="21"/>
          <w:highlight w:val="none"/>
          <w:u w:val="none"/>
          <w:lang w:eastAsia="zh-CN"/>
          <w14:textFill>
            <w14:solidFill>
              <w14:schemeClr w14:val="tx1"/>
            </w14:solidFill>
          </w14:textFill>
        </w:rPr>
        <w:t>。</w:t>
      </w:r>
    </w:p>
    <w:tbl>
      <w:tblPr>
        <w:tblStyle w:val="4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1FBDE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2FB267B">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章节号</w:t>
            </w:r>
          </w:p>
        </w:tc>
        <w:tc>
          <w:tcPr>
            <w:tcW w:w="1899" w:type="dxa"/>
            <w:vAlign w:val="center"/>
          </w:tcPr>
          <w:p w14:paraId="0630584D">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条款名称</w:t>
            </w:r>
          </w:p>
        </w:tc>
        <w:tc>
          <w:tcPr>
            <w:tcW w:w="6333" w:type="dxa"/>
            <w:vAlign w:val="center"/>
          </w:tcPr>
          <w:p w14:paraId="268A77E8">
            <w:pPr>
              <w:spacing w:line="400" w:lineRule="exact"/>
              <w:jc w:val="center"/>
              <w:rPr>
                <w:rFonts w:asciiTheme="minorEastAsia" w:hAnsiTheme="minorEastAsia" w:eastAsiaTheme="minorEastAsia"/>
                <w:b/>
                <w:color w:val="000000" w:themeColor="text1"/>
                <w:szCs w:val="21"/>
                <w:highlight w:val="none"/>
                <w14:textFill>
                  <w14:solidFill>
                    <w14:schemeClr w14:val="tx1"/>
                  </w14:solidFill>
                </w14:textFill>
              </w:rPr>
            </w:pPr>
            <w:r>
              <w:rPr>
                <w:rFonts w:asciiTheme="minorEastAsia" w:hAnsiTheme="minorEastAsia" w:eastAsiaTheme="minorEastAsia"/>
                <w:b/>
                <w:color w:val="000000" w:themeColor="text1"/>
                <w:szCs w:val="21"/>
                <w:highlight w:val="none"/>
                <w14:textFill>
                  <w14:solidFill>
                    <w14:schemeClr w14:val="tx1"/>
                  </w14:solidFill>
                </w14:textFill>
              </w:rPr>
              <w:t>否决投标条件</w:t>
            </w:r>
          </w:p>
        </w:tc>
      </w:tr>
      <w:tr w14:paraId="28F798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3B54891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restart"/>
            <w:vAlign w:val="center"/>
          </w:tcPr>
          <w:p w14:paraId="49F1F6F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资格评审</w:t>
            </w:r>
          </w:p>
        </w:tc>
        <w:tc>
          <w:tcPr>
            <w:tcW w:w="6333" w:type="dxa"/>
            <w:vAlign w:val="center"/>
          </w:tcPr>
          <w:p w14:paraId="4E89E7BF">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比选申请人的资质条件、营业执照及安全生产条件须满足比选申请人须知前附表第1.4.1项第1条的要求，否则由评标委员会作否决投标处理。</w:t>
            </w:r>
          </w:p>
        </w:tc>
      </w:tr>
      <w:tr w14:paraId="36F63A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5535B3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AF5A18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7245FCEA">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比选申请人的财务须满足比选申请人须知前附表第1.4.1项第2条的要求，否则由评标委员会作否决投标处理（如有）。</w:t>
            </w:r>
          </w:p>
        </w:tc>
      </w:tr>
      <w:tr w14:paraId="401032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51486CC">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C5E478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2BC2EB7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比选申请人的业绩须满足比选申请人须知前附表第1.4.1项第3条的要求，否则由评标委员会作否决投标处理（如有）。</w:t>
            </w:r>
          </w:p>
        </w:tc>
      </w:tr>
      <w:tr w14:paraId="57F5D7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B25B809">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0F3976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7C2A2A9B">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比选申请人的投标截止日投标资格情况须满足比选申请人须知前附表1.4.1项第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p>
        </w:tc>
      </w:tr>
      <w:tr w14:paraId="1ED9A4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C104A42">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48D7081">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16788504">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比选申请人的项目经理资格须满足比选申请人须知前附表第1.4.1项第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1CB29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335B13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1F80C2C4">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337E7123">
            <w:pPr>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A-7比选申请人的其他要求须满足比选申请人须知前附表第1.4.1项第</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条的要求，否则由评标委员会作否决投标处理。</w:t>
            </w:r>
          </w:p>
        </w:tc>
      </w:tr>
      <w:tr w14:paraId="788831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B91832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4195AD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130A8BC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若有联合体比选申请人，则：</w:t>
            </w:r>
          </w:p>
          <w:p w14:paraId="4D8A1B59">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（1）联合体各方应按照竞争性比选文件提供的格式签订联合体协议书，明确联合体牵头人和各方权利义务；</w:t>
            </w:r>
          </w:p>
          <w:p w14:paraId="30AF189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（2）联合体各方均应当具备承担比选项目的相应能力，联合体协议约定同一专业分工由两个及以上单位共同承担的，按照资质等级较低的单位确定资质等级；</w:t>
            </w:r>
          </w:p>
          <w:p w14:paraId="6743D2A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（3）联合体各方不得再以自己名义单独或参加其他联合体在同一标段中投标。</w:t>
            </w:r>
          </w:p>
          <w:p w14:paraId="154033E2">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否则由评标委员会作否决投标处理。</w:t>
            </w:r>
          </w:p>
        </w:tc>
      </w:tr>
      <w:tr w14:paraId="4BD429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7B71E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restart"/>
            <w:vAlign w:val="center"/>
          </w:tcPr>
          <w:p w14:paraId="16E7B45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形式评审</w:t>
            </w:r>
          </w:p>
        </w:tc>
        <w:tc>
          <w:tcPr>
            <w:tcW w:w="6333" w:type="dxa"/>
          </w:tcPr>
          <w:p w14:paraId="2FCC7392">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比选申请人名称必须与营业执照、资质证书、安全生产许可证一致，依法变更名称的应提交相应证明材料，</w:t>
            </w:r>
            <w:r>
              <w:rPr>
                <w:rFonts w:asciiTheme="minorEastAsia" w:hAnsiTheme="minorEastAsia" w:eastAsiaTheme="minorEastAsia"/>
                <w:color w:val="000000" w:themeColor="text1"/>
                <w:szCs w:val="21"/>
                <w:highlight w:val="none"/>
                <w14:textFill>
                  <w14:solidFill>
                    <w14:schemeClr w14:val="tx1"/>
                  </w14:solidFill>
                </w14:textFill>
              </w:rPr>
              <w:t>否则</w:t>
            </w:r>
            <w:r>
              <w:rPr>
                <w:rFonts w:hint="eastAsia" w:asciiTheme="minorEastAsia" w:hAnsiTheme="minorEastAsia" w:eastAsiaTheme="minorEastAsia"/>
                <w:color w:val="000000" w:themeColor="text1"/>
                <w:szCs w:val="21"/>
                <w:highlight w:val="none"/>
                <w14:textFill>
                  <w14:solidFill>
                    <w14:schemeClr w14:val="tx1"/>
                  </w14:solidFill>
                </w14:textFill>
              </w:rPr>
              <w:t>由评标委员会</w:t>
            </w:r>
            <w:r>
              <w:rPr>
                <w:rFonts w:asciiTheme="minorEastAsia" w:hAnsiTheme="minorEastAsia" w:eastAsiaTheme="minorEastAsia"/>
                <w:color w:val="000000" w:themeColor="text1"/>
                <w:szCs w:val="21"/>
                <w:highlight w:val="none"/>
                <w14:textFill>
                  <w14:solidFill>
                    <w14:schemeClr w14:val="tx1"/>
                  </w14:solidFill>
                </w14:textFill>
              </w:rPr>
              <w:t>作否决投标处理。</w:t>
            </w:r>
          </w:p>
        </w:tc>
      </w:tr>
      <w:tr w14:paraId="6CA933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E5AE02E">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07657065">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2204AD4F">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投标函格式规定签字、盖章的位置有法定代表人或其委托代理人签字（或盖章）、加盖单位法人章，否则由评标委员会作否决投标处理。</w:t>
            </w:r>
          </w:p>
        </w:tc>
      </w:tr>
      <w:tr w14:paraId="172D0D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0EFB70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0D88FD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0FAAE3F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比选申请文件格式符合第二章“比选申请人须知”第3.7款的要求，否则由评标委员会作否决投标处理。</w:t>
            </w:r>
          </w:p>
          <w:p w14:paraId="453ADC4A">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shd w:val="clear"/>
                <w14:textFill>
                  <w14:solidFill>
                    <w14:schemeClr w14:val="tx1"/>
                  </w14:solidFill>
                </w14:textFill>
              </w:rPr>
              <w:t>编制比选申请文件时不得对第</w:t>
            </w:r>
            <w:r>
              <w:rPr>
                <w:rFonts w:hint="eastAsia" w:asciiTheme="minorEastAsia" w:hAnsiTheme="minorEastAsia" w:eastAsiaTheme="minorEastAsia"/>
                <w:color w:val="000000" w:themeColor="text1"/>
                <w:kern w:val="0"/>
                <w:szCs w:val="21"/>
                <w:highlight w:val="none"/>
                <w:shd w:val="clear"/>
                <w:lang w:val="en-US" w:eastAsia="zh-CN"/>
                <w14:textFill>
                  <w14:solidFill>
                    <w14:schemeClr w14:val="tx1"/>
                  </w14:solidFill>
                </w14:textFill>
              </w:rPr>
              <w:t>五</w:t>
            </w:r>
            <w:r>
              <w:rPr>
                <w:rFonts w:hint="eastAsia" w:asciiTheme="minorEastAsia" w:hAnsiTheme="minorEastAsia" w:eastAsiaTheme="minorEastAsia"/>
                <w:color w:val="000000" w:themeColor="text1"/>
                <w:kern w:val="0"/>
                <w:szCs w:val="21"/>
                <w:highlight w:val="none"/>
                <w:shd w:val="clear"/>
                <w14:textFill>
                  <w14:solidFill>
                    <w14:schemeClr w14:val="tx1"/>
                  </w14:solidFill>
                </w14:textFill>
              </w:rPr>
              <w:t>章“比选申请文件格式”的相应要素作实质性修改，否则由评标委员会作否决投标处理。</w:t>
            </w:r>
          </w:p>
        </w:tc>
      </w:tr>
      <w:tr w14:paraId="6CC83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28FF7D5">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0DF5276">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425847C7">
            <w:pPr>
              <w:autoSpaceDE w:val="0"/>
              <w:autoSpaceDN w:val="0"/>
              <w:adjustRightInd w:val="0"/>
              <w:snapToGrid w:val="0"/>
              <w:spacing w:line="400" w:lineRule="exact"/>
              <w:ind w:firstLine="420" w:firstLineChars="200"/>
              <w:rPr>
                <w:rFonts w:asciiTheme="minorEastAsia" w:hAnsiTheme="minorEastAsia" w:eastAsiaTheme="minorEastAsia"/>
                <w:i/>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比选申请文件份数符合第二章“比选申请人须知”第3.7.</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项的规定，</w:t>
            </w:r>
            <w:r>
              <w:rPr>
                <w:rFonts w:hint="eastAsia" w:asciiTheme="minorEastAsia" w:hAnsiTheme="minorEastAsia" w:eastAsiaTheme="minorEastAsia"/>
                <w:color w:val="000000" w:themeColor="text1"/>
                <w:kern w:val="0"/>
                <w:szCs w:val="21"/>
                <w:highlight w:val="none"/>
                <w14:textFill>
                  <w14:solidFill>
                    <w14:schemeClr w14:val="tx1"/>
                  </w14:solidFill>
                </w14:textFill>
              </w:rPr>
              <w:t>否则由评标委员会作否决投标处理。</w:t>
            </w:r>
          </w:p>
        </w:tc>
      </w:tr>
      <w:tr w14:paraId="02A1E8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37" w:type="dxa"/>
            <w:vMerge w:val="continue"/>
            <w:vAlign w:val="center"/>
          </w:tcPr>
          <w:p w14:paraId="20AF529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5E605B4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7C1B7F9D">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联合体参与投标的应提交联合体协议书，并明确联合体牵头人。在联合体协议中须明确由联合体牵头人委派委托代理人，否则由评标委员会作否决投标处理</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w:t>
            </w:r>
          </w:p>
        </w:tc>
      </w:tr>
      <w:tr w14:paraId="133EFC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1DC86D">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482CFD6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03CE2E77">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只能有一个有效报价。在竞争性比选文件没有规定的情况下，不得提交选择性报价，否则由评标委员会作否决投标处理。</w:t>
            </w:r>
          </w:p>
        </w:tc>
      </w:tr>
      <w:tr w14:paraId="62004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9535AE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1E6CDFA1">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24B4CE78">
            <w:pPr>
              <w:autoSpaceDE w:val="0"/>
              <w:autoSpaceDN w:val="0"/>
              <w:adjustRightInd w:val="0"/>
              <w:snapToGrid w:val="0"/>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shd w:val="clear"/>
                <w14:textFill>
                  <w14:solidFill>
                    <w14:schemeClr w14:val="tx1"/>
                  </w14:solidFill>
                </w14:textFill>
              </w:rPr>
              <w:t>A-1</w:t>
            </w:r>
            <w:r>
              <w:rPr>
                <w:rFonts w:hint="eastAsia" w:asciiTheme="minorEastAsia" w:hAnsiTheme="minorEastAsia" w:eastAsiaTheme="minorEastAsia"/>
                <w:color w:val="000000" w:themeColor="text1"/>
                <w:szCs w:val="21"/>
                <w:highlight w:val="none"/>
                <w:shd w:val="clear"/>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第</w:t>
            </w:r>
            <w:r>
              <w:rPr>
                <w:rFonts w:hint="eastAsia" w:cs="宋体" w:asciiTheme="minorEastAsia" w:hAnsiTheme="minorEastAsia" w:eastAsiaTheme="minorEastAsia"/>
                <w:color w:val="000000" w:themeColor="text1"/>
                <w:kern w:val="0"/>
                <w:highlight w:val="none"/>
                <w:shd w:val="clear"/>
                <w:lang w:val="en-US" w:eastAsia="zh-CN"/>
                <w14:textFill>
                  <w14:solidFill>
                    <w14:schemeClr w14:val="tx1"/>
                  </w14:solidFill>
                </w14:textFill>
              </w:rPr>
              <w:t>五</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章 比选申请文件格式要求法定代表人或其委托代理人签字（或盖章）的须齐全。</w:t>
            </w:r>
            <w:r>
              <w:rPr>
                <w:rFonts w:hint="eastAsia" w:cs="宋体" w:asciiTheme="minorEastAsia" w:hAnsiTheme="minorEastAsia" w:eastAsiaTheme="minorEastAsia"/>
                <w:snapToGrid w:val="0"/>
                <w:color w:val="000000" w:themeColor="text1"/>
                <w:kern w:val="0"/>
                <w:szCs w:val="21"/>
                <w:highlight w:val="none"/>
                <w:shd w:val="clear"/>
                <w14:textFill>
                  <w14:solidFill>
                    <w14:schemeClr w14:val="tx1"/>
                  </w14:solidFill>
                </w14:textFill>
              </w:rPr>
              <w:t>若投标单位为联合体，则联合体协议书中各联合体各成员单位签字（或盖章）须齐全，联合体协议书以外的</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比选申请文件格式中，要求</w:t>
            </w:r>
            <w:r>
              <w:rPr>
                <w:rFonts w:hint="eastAsia" w:cs="宋体" w:asciiTheme="minorEastAsia" w:hAnsiTheme="minorEastAsia" w:eastAsiaTheme="minorEastAsia"/>
                <w:snapToGrid w:val="0"/>
                <w:color w:val="000000" w:themeColor="text1"/>
                <w:kern w:val="0"/>
                <w:szCs w:val="21"/>
                <w:highlight w:val="none"/>
                <w:shd w:val="clear"/>
                <w14:textFill>
                  <w14:solidFill>
                    <w14:schemeClr w14:val="tx1"/>
                  </w14:solidFill>
                </w14:textFill>
              </w:rPr>
              <w:t>联合体牵头人</w:t>
            </w:r>
            <w:r>
              <w:rPr>
                <w:rFonts w:hint="eastAsia" w:cs="宋体" w:asciiTheme="minorEastAsia" w:hAnsiTheme="minorEastAsia" w:eastAsiaTheme="minorEastAsia"/>
                <w:color w:val="000000" w:themeColor="text1"/>
                <w:kern w:val="0"/>
                <w:highlight w:val="none"/>
                <w:shd w:val="clear"/>
                <w14:textFill>
                  <w14:solidFill>
                    <w14:schemeClr w14:val="tx1"/>
                  </w14:solidFill>
                </w14:textFill>
              </w:rPr>
              <w:t>法定代表人或其委托代理人签字（或盖章）的须齐全</w:t>
            </w:r>
            <w:r>
              <w:rPr>
                <w:rFonts w:hint="eastAsia" w:asciiTheme="minorEastAsia" w:hAnsiTheme="minorEastAsia" w:eastAsiaTheme="minorEastAsia"/>
                <w:color w:val="000000" w:themeColor="text1"/>
                <w:szCs w:val="21"/>
                <w:highlight w:val="none"/>
                <w:shd w:val="clear"/>
                <w14:textFill>
                  <w14:solidFill>
                    <w14:schemeClr w14:val="tx1"/>
                  </w14:solidFill>
                </w14:textFill>
              </w:rPr>
              <w:t>，否则由评标委员会作否决投标处理。</w:t>
            </w:r>
          </w:p>
        </w:tc>
      </w:tr>
      <w:tr w14:paraId="09F863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B8F3B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08158E60">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609CB4C4">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A-1</w:t>
            </w:r>
            <w: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投标</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asciiTheme="minorEastAsia" w:hAnsiTheme="minorEastAsia" w:eastAsiaTheme="minorEastAsia"/>
                <w:color w:val="000000" w:themeColor="text1"/>
                <w:szCs w:val="21"/>
                <w:highlight w:val="none"/>
                <w14:textFill>
                  <w14:solidFill>
                    <w14:schemeClr w14:val="tx1"/>
                  </w14:solidFill>
                </w14:textFill>
              </w:rPr>
              <w:t>报价不得高于比选人公布的投标</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综合单价</w:t>
            </w:r>
            <w:r>
              <w:rPr>
                <w:rFonts w:hint="eastAsia" w:asciiTheme="minorEastAsia" w:hAnsiTheme="minorEastAsia" w:eastAsiaTheme="minorEastAsia"/>
                <w:color w:val="000000" w:themeColor="text1"/>
                <w:szCs w:val="21"/>
                <w:highlight w:val="none"/>
                <w14:textFill>
                  <w14:solidFill>
                    <w14:schemeClr w14:val="tx1"/>
                  </w14:solidFill>
                </w14:textFill>
              </w:rPr>
              <w:t>报价最高限价，否则由评标委员会作否决投标处理。</w:t>
            </w:r>
          </w:p>
        </w:tc>
      </w:tr>
      <w:tr w14:paraId="57385E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1D1B98">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6A161EF3">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345C07F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投标内容符合第二章“比选申请人须知”第1.3.1项规定，否则由评标委员会作否决投标处理。</w:t>
            </w:r>
          </w:p>
        </w:tc>
      </w:tr>
      <w:tr w14:paraId="2858F1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03FEAC7">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3FDE0927">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2B86608C">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工期符合第二章“比选申请人须知”第1.3.2项规定，否则由评标委员会作否决投标处理。</w:t>
            </w:r>
          </w:p>
        </w:tc>
      </w:tr>
      <w:tr w14:paraId="47D8F6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159B09F">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6D1B39C">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416ED97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工程质量符合第二章“比选申请人须知”第1.3.3项规定，否则由评标委员会作否决投标处理。</w:t>
            </w:r>
          </w:p>
        </w:tc>
      </w:tr>
      <w:tr w14:paraId="6A4D21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133407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606F9C14">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05A8DCA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1</w:t>
            </w:r>
            <w: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投标有效期符合第二章“比选申请人须知”第3.3.1项规定，否则由评标委员会作否决投标处理。</w:t>
            </w:r>
          </w:p>
        </w:tc>
      </w:tr>
      <w:tr w14:paraId="7CF773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2B407E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770F7C7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46B23450">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A-</w:t>
            </w:r>
            <w:r>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t>19</w:t>
            </w:r>
            <w:r>
              <w:rPr>
                <w:rFonts w:hint="eastAsia" w:asciiTheme="minorEastAsia" w:hAnsiTheme="minorEastAsia" w:eastAsiaTheme="minorEastAsia"/>
                <w:color w:val="000000" w:themeColor="text1"/>
                <w:szCs w:val="21"/>
                <w:highlight w:val="none"/>
                <w14:textFill>
                  <w14:solidFill>
                    <w14:schemeClr w14:val="tx1"/>
                  </w14:solidFill>
                </w14:textFill>
              </w:rPr>
              <w:t>比选申请人</w:t>
            </w:r>
            <w:r>
              <w:rPr>
                <w:rFonts w:asciiTheme="minorEastAsia" w:hAnsiTheme="minorEastAsia" w:eastAsiaTheme="minorEastAsia"/>
                <w:color w:val="000000" w:themeColor="text1"/>
                <w:szCs w:val="21"/>
                <w:highlight w:val="none"/>
                <w14:textFill>
                  <w14:solidFill>
                    <w14:schemeClr w14:val="tx1"/>
                  </w14:solidFill>
                </w14:textFill>
              </w:rPr>
              <w:t>应按</w:t>
            </w:r>
            <w:r>
              <w:rPr>
                <w:rFonts w:hint="eastAsia" w:asciiTheme="minorEastAsia" w:hAnsiTheme="minorEastAsia" w:eastAsiaTheme="minorEastAsia"/>
                <w:color w:val="000000" w:themeColor="text1"/>
                <w:szCs w:val="21"/>
                <w:highlight w:val="none"/>
                <w14:textFill>
                  <w14:solidFill>
                    <w14:schemeClr w14:val="tx1"/>
                  </w14:solidFill>
                </w14:textFill>
              </w:rPr>
              <w:t>比选申请人</w:t>
            </w:r>
            <w:r>
              <w:rPr>
                <w:rFonts w:asciiTheme="minorEastAsia" w:hAnsiTheme="minorEastAsia" w:eastAsiaTheme="minorEastAsia"/>
                <w:color w:val="000000" w:themeColor="text1"/>
                <w:szCs w:val="21"/>
                <w:highlight w:val="none"/>
                <w14:textFill>
                  <w14:solidFill>
                    <w14:schemeClr w14:val="tx1"/>
                  </w14:solidFill>
                </w14:textFill>
              </w:rPr>
              <w:t>须知前附表</w:t>
            </w:r>
            <w:r>
              <w:rPr>
                <w:rFonts w:hint="eastAsia" w:asciiTheme="minorEastAsia" w:hAnsiTheme="minorEastAsia" w:eastAsiaTheme="minorEastAsia"/>
                <w:color w:val="000000" w:themeColor="text1"/>
                <w:szCs w:val="21"/>
                <w:highlight w:val="none"/>
                <w14:textFill>
                  <w14:solidFill>
                    <w14:schemeClr w14:val="tx1"/>
                  </w14:solidFill>
                </w14:textFill>
              </w:rPr>
              <w:t>第3.4款的</w:t>
            </w:r>
            <w:r>
              <w:rPr>
                <w:rFonts w:asciiTheme="minorEastAsia" w:hAnsiTheme="minorEastAsia" w:eastAsiaTheme="minorEastAsia"/>
                <w:color w:val="000000" w:themeColor="text1"/>
                <w:szCs w:val="21"/>
                <w:highlight w:val="none"/>
                <w14:textFill>
                  <w14:solidFill>
                    <w14:schemeClr w14:val="tx1"/>
                  </w14:solidFill>
                </w14:textFill>
              </w:rPr>
              <w:t>规定递交投标保证金，并作为其</w:t>
            </w:r>
            <w:r>
              <w:rPr>
                <w:rFonts w:hint="eastAsia" w:asciiTheme="minorEastAsia" w:hAnsiTheme="minorEastAsia" w:eastAsiaTheme="minorEastAsia"/>
                <w:color w:val="000000" w:themeColor="text1"/>
                <w:szCs w:val="21"/>
                <w:highlight w:val="none"/>
                <w14:textFill>
                  <w14:solidFill>
                    <w14:schemeClr w14:val="tx1"/>
                  </w14:solidFill>
                </w14:textFill>
              </w:rPr>
              <w:t>比选申请文件</w:t>
            </w:r>
            <w:r>
              <w:rPr>
                <w:rFonts w:asciiTheme="minorEastAsia" w:hAnsiTheme="minorEastAsia" w:eastAsiaTheme="minorEastAsia"/>
                <w:color w:val="000000" w:themeColor="text1"/>
                <w:szCs w:val="21"/>
                <w:highlight w:val="none"/>
                <w14:textFill>
                  <w14:solidFill>
                    <w14:schemeClr w14:val="tx1"/>
                  </w14:solidFill>
                </w14:textFill>
              </w:rPr>
              <w:t>的组成部分</w:t>
            </w: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否则</w:t>
            </w:r>
            <w:r>
              <w:rPr>
                <w:rFonts w:hint="eastAsia" w:asciiTheme="minorEastAsia" w:hAnsiTheme="minorEastAsia" w:eastAsiaTheme="minorEastAsia"/>
                <w:color w:val="000000" w:themeColor="text1"/>
                <w:szCs w:val="21"/>
                <w:highlight w:val="none"/>
                <w14:textFill>
                  <w14:solidFill>
                    <w14:schemeClr w14:val="tx1"/>
                  </w14:solidFill>
                </w14:textFill>
              </w:rPr>
              <w:t>由评标委员会</w:t>
            </w:r>
            <w:r>
              <w:rPr>
                <w:rFonts w:asciiTheme="minorEastAsia" w:hAnsiTheme="minorEastAsia" w:eastAsiaTheme="minorEastAsia"/>
                <w:color w:val="000000" w:themeColor="text1"/>
                <w:szCs w:val="21"/>
                <w:highlight w:val="none"/>
                <w14:textFill>
                  <w14:solidFill>
                    <w14:schemeClr w14:val="tx1"/>
                  </w14:solidFill>
                </w14:textFill>
              </w:rPr>
              <w:t>作否决投标处理。</w:t>
            </w:r>
          </w:p>
        </w:tc>
      </w:tr>
      <w:tr w14:paraId="4C585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F700F9">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899" w:type="dxa"/>
            <w:vMerge w:val="continue"/>
            <w:vAlign w:val="center"/>
          </w:tcPr>
          <w:p w14:paraId="2B1B07CB">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vAlign w:val="center"/>
          </w:tcPr>
          <w:p w14:paraId="07F7BB5A">
            <w:pPr>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shd w:val="clear"/>
                <w14:textFill>
                  <w14:solidFill>
                    <w14:schemeClr w14:val="tx1"/>
                  </w14:solidFill>
                </w14:textFill>
              </w:rPr>
              <w:t>A-2</w:t>
            </w:r>
            <w:r>
              <w:rPr>
                <w:rFonts w:hint="default" w:asciiTheme="minorEastAsia" w:hAnsiTheme="minorEastAsia" w:eastAsiaTheme="minorEastAsia"/>
                <w:color w:val="000000" w:themeColor="text1"/>
                <w:szCs w:val="21"/>
                <w:highlight w:val="none"/>
                <w:shd w:val="clear"/>
                <w:lang w:val="en-US" w:eastAsia="zh-CN"/>
                <w14:textFill>
                  <w14:solidFill>
                    <w14:schemeClr w14:val="tx1"/>
                  </w14:solidFill>
                </w14:textFill>
              </w:rPr>
              <w:t>0</w:t>
            </w:r>
            <w:r>
              <w:rPr>
                <w:rFonts w:hint="eastAsia" w:asciiTheme="minorEastAsia" w:hAnsiTheme="minorEastAsia" w:eastAsiaTheme="minorEastAsia"/>
                <w:color w:val="000000" w:themeColor="text1"/>
                <w:szCs w:val="21"/>
                <w:highlight w:val="none"/>
                <w:shd w:val="clear"/>
                <w14:textFill>
                  <w14:solidFill>
                    <w14:schemeClr w14:val="tx1"/>
                  </w14:solidFill>
                </w14:textFill>
              </w:rPr>
              <w:t>符合第四章“合同条款及格式”规定，比选申请文件不应附有比选人不能接受的条件，否则由评标委员会作否决投标处理。（由比选申请人承诺，承诺书格式详见第</w:t>
            </w:r>
            <w:r>
              <w:rPr>
                <w:rFonts w:hint="eastAsia" w:asciiTheme="minorEastAsia" w:hAnsiTheme="minorEastAsia" w:eastAsiaTheme="minorEastAsia"/>
                <w:color w:val="000000" w:themeColor="text1"/>
                <w:szCs w:val="21"/>
                <w:highlight w:val="none"/>
                <w:shd w:val="clear"/>
                <w:lang w:val="en-US" w:eastAsia="zh-CN"/>
                <w14:textFill>
                  <w14:solidFill>
                    <w14:schemeClr w14:val="tx1"/>
                  </w14:solidFill>
                </w14:textFill>
              </w:rPr>
              <w:t>五</w:t>
            </w:r>
            <w:r>
              <w:rPr>
                <w:rFonts w:hint="eastAsia" w:asciiTheme="minorEastAsia" w:hAnsiTheme="minorEastAsia" w:eastAsiaTheme="minorEastAsia"/>
                <w:color w:val="000000" w:themeColor="text1"/>
                <w:szCs w:val="21"/>
                <w:highlight w:val="none"/>
                <w:shd w:val="clear"/>
                <w14:textFill>
                  <w14:solidFill>
                    <w14:schemeClr w14:val="tx1"/>
                  </w14:solidFill>
                </w14:textFill>
              </w:rPr>
              <w:t>章比选申请文件格式。）</w:t>
            </w:r>
          </w:p>
        </w:tc>
      </w:tr>
      <w:tr w14:paraId="4AC4A8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484FD0B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其他</w:t>
            </w:r>
          </w:p>
        </w:tc>
        <w:tc>
          <w:tcPr>
            <w:tcW w:w="1899" w:type="dxa"/>
            <w:vAlign w:val="center"/>
          </w:tcPr>
          <w:p w14:paraId="7C4AB29A">
            <w:pPr>
              <w:spacing w:line="400" w:lineRule="exact"/>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6333" w:type="dxa"/>
          </w:tcPr>
          <w:p w14:paraId="514C2B6C">
            <w:pPr>
              <w:spacing w:line="400" w:lineRule="exact"/>
              <w:ind w:firstLine="420" w:firstLineChars="200"/>
              <w:rPr>
                <w:rFonts w:asciiTheme="minorEastAsia" w:hAnsiTheme="minorEastAsia" w:eastAsiaTheme="minorEastAsia"/>
                <w:i/>
                <w:color w:val="000000" w:themeColor="text1"/>
                <w:szCs w:val="21"/>
                <w:highlight w:val="none"/>
                <w14:textFill>
                  <w14:solidFill>
                    <w14:schemeClr w14:val="tx1"/>
                  </w14:solidFill>
                </w14:textFill>
              </w:rPr>
            </w:pPr>
            <w:r>
              <w:rPr>
                <w:rFonts w:hint="eastAsia" w:asciiTheme="minorEastAsia" w:hAnsiTheme="minorEastAsia" w:eastAsiaTheme="minorEastAsia"/>
                <w:i/>
                <w:color w:val="000000" w:themeColor="text1"/>
                <w:szCs w:val="21"/>
                <w:highlight w:val="none"/>
                <w14:textFill>
                  <w14:solidFill>
                    <w14:schemeClr w14:val="tx1"/>
                  </w14:solidFill>
                </w14:textFill>
              </w:rPr>
              <w:t>/</w:t>
            </w:r>
          </w:p>
        </w:tc>
      </w:tr>
      <w:bookmarkEnd w:id="377"/>
      <w:bookmarkEnd w:id="378"/>
      <w:bookmarkEnd w:id="379"/>
      <w:bookmarkEnd w:id="380"/>
      <w:bookmarkEnd w:id="381"/>
    </w:tbl>
    <w:p w14:paraId="3C052B1A">
      <w:pPr>
        <w:pStyle w:val="3"/>
        <w:spacing w:line="360" w:lineRule="auto"/>
        <w:jc w:val="center"/>
        <w:rPr>
          <w:rFonts w:hint="eastAsia" w:asciiTheme="minorEastAsia" w:hAnsiTheme="minorEastAsia" w:eastAsiaTheme="minorEastAsia"/>
          <w:color w:val="000000" w:themeColor="text1"/>
          <w:kern w:val="0"/>
          <w:highlight w:val="none"/>
          <w14:textFill>
            <w14:solidFill>
              <w14:schemeClr w14:val="tx1"/>
            </w14:solidFill>
          </w14:textFill>
        </w:rPr>
      </w:pPr>
      <w:bookmarkStart w:id="424" w:name="_Toc430530509"/>
      <w:bookmarkStart w:id="425" w:name="_Toc8427"/>
      <w:bookmarkStart w:id="426" w:name="_Toc509218785"/>
      <w:bookmarkStart w:id="427" w:name="_Toc4355"/>
    </w:p>
    <w:p w14:paraId="3FDEF031">
      <w:pPr>
        <w:pStyle w:val="3"/>
        <w:spacing w:line="360" w:lineRule="auto"/>
        <w:jc w:val="center"/>
        <w:rPr>
          <w:rFonts w:asciiTheme="minorEastAsia" w:hAnsiTheme="minorEastAsia" w:eastAsiaTheme="minorEastAsia"/>
          <w:color w:val="000000" w:themeColor="text1"/>
          <w:kern w:val="0"/>
          <w:highlight w:val="none"/>
          <w14:textFill>
            <w14:solidFill>
              <w14:schemeClr w14:val="tx1"/>
            </w14:solidFill>
          </w14:textFill>
        </w:rPr>
      </w:pPr>
      <w:bookmarkStart w:id="428" w:name="_Toc15326"/>
      <w:r>
        <w:rPr>
          <w:rFonts w:hint="eastAsia" w:asciiTheme="minorEastAsia" w:hAnsiTheme="minorEastAsia" w:eastAsiaTheme="minorEastAsia"/>
          <w:color w:val="000000" w:themeColor="text1"/>
          <w:kern w:val="0"/>
          <w:highlight w:val="none"/>
          <w14:textFill>
            <w14:solidFill>
              <w14:schemeClr w14:val="tx1"/>
            </w14:solidFill>
          </w14:textFill>
        </w:rPr>
        <w:t>第四章  合同条款及格式</w:t>
      </w:r>
      <w:bookmarkEnd w:id="424"/>
      <w:bookmarkEnd w:id="425"/>
      <w:bookmarkEnd w:id="426"/>
      <w:bookmarkEnd w:id="427"/>
      <w:bookmarkEnd w:id="428"/>
    </w:p>
    <w:p w14:paraId="35C5929C">
      <w:pPr>
        <w:rPr>
          <w:rFonts w:asciiTheme="minorEastAsia" w:hAnsiTheme="minorEastAsia" w:eastAsiaTheme="minorEastAsia"/>
          <w:color w:val="000000" w:themeColor="text1"/>
          <w:sz w:val="44"/>
          <w:szCs w:val="44"/>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br w:type="page"/>
      </w:r>
    </w:p>
    <w:p w14:paraId="2101D78C">
      <w:pPr>
        <w:pStyle w:val="3"/>
        <w:ind w:left="0" w:leftChars="0" w:firstLine="0" w:firstLineChars="0"/>
        <w:jc w:val="center"/>
        <w:rPr>
          <w:rFonts w:hint="eastAsia" w:ascii="宋体" w:hAnsi="宋体" w:cs="宋体"/>
          <w:bCs w:val="0"/>
          <w:color w:val="000000" w:themeColor="text1"/>
          <w:sz w:val="52"/>
          <w:szCs w:val="52"/>
          <w14:textFill>
            <w14:solidFill>
              <w14:schemeClr w14:val="tx1"/>
            </w14:solidFill>
          </w14:textFill>
        </w:rPr>
      </w:pPr>
      <w:bookmarkStart w:id="429" w:name="_Toc16194"/>
      <w:bookmarkStart w:id="430" w:name="_Toc9057"/>
      <w:bookmarkStart w:id="431" w:name="_Toc287620797"/>
      <w:bookmarkStart w:id="432" w:name="_Toc430530513"/>
      <w:bookmarkStart w:id="433" w:name="_Toc287607855"/>
      <w:bookmarkStart w:id="434" w:name="_Toc534185822"/>
      <w:bookmarkStart w:id="435" w:name="_Toc509218843"/>
    </w:p>
    <w:p w14:paraId="7C901C3F">
      <w:pPr>
        <w:pStyle w:val="3"/>
        <w:ind w:left="0" w:leftChars="0" w:firstLine="0" w:firstLineChars="0"/>
        <w:jc w:val="center"/>
        <w:rPr>
          <w:rFonts w:hint="eastAsia" w:ascii="宋体" w:hAnsi="宋体" w:cs="宋体"/>
          <w:bCs w:val="0"/>
          <w:color w:val="000000" w:themeColor="text1"/>
          <w:sz w:val="52"/>
          <w:szCs w:val="52"/>
          <w14:textFill>
            <w14:solidFill>
              <w14:schemeClr w14:val="tx1"/>
            </w14:solidFill>
          </w14:textFill>
        </w:rPr>
      </w:pPr>
    </w:p>
    <w:p w14:paraId="1DAD9318">
      <w:pPr>
        <w:pStyle w:val="3"/>
        <w:ind w:left="0" w:leftChars="0" w:firstLine="0" w:firstLineChars="0"/>
        <w:jc w:val="center"/>
        <w:rPr>
          <w:rFonts w:hint="eastAsia" w:ascii="宋体" w:hAnsi="宋体" w:cs="宋体"/>
          <w:color w:val="000000" w:themeColor="text1"/>
          <w:sz w:val="52"/>
          <w:szCs w:val="52"/>
          <w14:textFill>
            <w14:solidFill>
              <w14:schemeClr w14:val="tx1"/>
            </w14:solidFill>
          </w14:textFill>
        </w:rPr>
      </w:pPr>
      <w:bookmarkStart w:id="436" w:name="_Toc22420"/>
      <w:r>
        <w:rPr>
          <w:rFonts w:hint="eastAsia" w:ascii="宋体" w:hAnsi="宋体" w:cs="宋体"/>
          <w:bCs w:val="0"/>
          <w:color w:val="000000" w:themeColor="text1"/>
          <w:sz w:val="52"/>
          <w:szCs w:val="52"/>
          <w14:textFill>
            <w14:solidFill>
              <w14:schemeClr w14:val="tx1"/>
            </w14:solidFill>
          </w14:textFill>
        </w:rPr>
        <w:t>建设工程项目施工合同</w:t>
      </w:r>
      <w:bookmarkEnd w:id="436"/>
    </w:p>
    <w:p w14:paraId="0DB498FD">
      <w:pPr>
        <w:jc w:val="center"/>
        <w:rPr>
          <w:rFonts w:hint="eastAsia" w:ascii="宋体" w:hAnsi="宋体" w:cs="宋体"/>
          <w:b/>
          <w:color w:val="000000" w:themeColor="text1"/>
          <w:sz w:val="28"/>
          <w:szCs w:val="28"/>
          <w14:textFill>
            <w14:solidFill>
              <w14:schemeClr w14:val="tx1"/>
            </w14:solidFill>
          </w14:textFill>
        </w:rPr>
      </w:pPr>
    </w:p>
    <w:p w14:paraId="289D11D8">
      <w:pPr>
        <w:jc w:val="center"/>
        <w:rPr>
          <w:rFonts w:hint="eastAsia" w:ascii="宋体" w:hAnsi="宋体" w:cs="宋体"/>
          <w:b/>
          <w:color w:val="000000" w:themeColor="text1"/>
          <w:sz w:val="28"/>
          <w:szCs w:val="28"/>
          <w14:textFill>
            <w14:solidFill>
              <w14:schemeClr w14:val="tx1"/>
            </w14:solidFill>
          </w14:textFill>
        </w:rPr>
      </w:pPr>
    </w:p>
    <w:p w14:paraId="72898049">
      <w:pPr>
        <w:jc w:val="center"/>
        <w:rPr>
          <w:rFonts w:hint="eastAsia" w:ascii="宋体" w:hAnsi="宋体" w:cs="宋体"/>
          <w:b/>
          <w:color w:val="000000" w:themeColor="text1"/>
          <w:sz w:val="28"/>
          <w:szCs w:val="28"/>
          <w14:textFill>
            <w14:solidFill>
              <w14:schemeClr w14:val="tx1"/>
            </w14:solidFill>
          </w14:textFill>
        </w:rPr>
      </w:pPr>
    </w:p>
    <w:p w14:paraId="1EF75024">
      <w:pPr>
        <w:jc w:val="center"/>
        <w:rPr>
          <w:rFonts w:hint="eastAsia" w:ascii="宋体" w:hAnsi="宋体" w:cs="宋体"/>
          <w:b/>
          <w:color w:val="000000" w:themeColor="text1"/>
          <w:sz w:val="28"/>
          <w:szCs w:val="28"/>
          <w14:textFill>
            <w14:solidFill>
              <w14:schemeClr w14:val="tx1"/>
            </w14:solidFill>
          </w14:textFill>
        </w:rPr>
      </w:pPr>
    </w:p>
    <w:p w14:paraId="2F6A28F7">
      <w:pPr>
        <w:rPr>
          <w:rFonts w:hint="eastAsia" w:ascii="宋体" w:hAnsi="宋体" w:cs="宋体"/>
          <w:b/>
          <w:color w:val="000000" w:themeColor="text1"/>
          <w:sz w:val="28"/>
          <w:szCs w:val="28"/>
          <w14:textFill>
            <w14:solidFill>
              <w14:schemeClr w14:val="tx1"/>
            </w14:solidFill>
          </w14:textFill>
        </w:rPr>
      </w:pPr>
    </w:p>
    <w:p w14:paraId="70C3F46F">
      <w:pPr>
        <w:rPr>
          <w:rFonts w:hint="eastAsia" w:ascii="宋体" w:hAnsi="宋体" w:cs="宋体"/>
          <w:b/>
          <w:color w:val="000000" w:themeColor="text1"/>
          <w:sz w:val="28"/>
          <w:szCs w:val="28"/>
          <w14:textFill>
            <w14:solidFill>
              <w14:schemeClr w14:val="tx1"/>
            </w14:solidFill>
          </w14:textFill>
        </w:rPr>
      </w:pPr>
    </w:p>
    <w:p w14:paraId="472FC296">
      <w:pPr>
        <w:rPr>
          <w:rFonts w:hint="eastAsia" w:ascii="宋体" w:hAnsi="宋体" w:cs="宋体"/>
          <w:b/>
          <w:color w:val="000000" w:themeColor="text1"/>
          <w:sz w:val="28"/>
          <w:szCs w:val="28"/>
          <w14:textFill>
            <w14:solidFill>
              <w14:schemeClr w14:val="tx1"/>
            </w14:solidFill>
          </w14:textFill>
        </w:rPr>
      </w:pPr>
    </w:p>
    <w:p w14:paraId="319A4D9F">
      <w:pPr>
        <w:rPr>
          <w:rFonts w:hint="eastAsia" w:ascii="宋体" w:hAnsi="宋体" w:cs="宋体"/>
          <w:b/>
          <w:color w:val="000000" w:themeColor="text1"/>
          <w:sz w:val="28"/>
          <w:szCs w:val="28"/>
          <w14:textFill>
            <w14:solidFill>
              <w14:schemeClr w14:val="tx1"/>
            </w14:solidFill>
          </w14:textFill>
        </w:rPr>
      </w:pPr>
    </w:p>
    <w:p w14:paraId="37ABEF7F">
      <w:pPr>
        <w:rPr>
          <w:rFonts w:hint="eastAsia" w:ascii="宋体" w:hAnsi="宋体" w:cs="宋体"/>
          <w:b/>
          <w:color w:val="000000" w:themeColor="text1"/>
          <w:sz w:val="28"/>
          <w:szCs w:val="28"/>
          <w14:textFill>
            <w14:solidFill>
              <w14:schemeClr w14:val="tx1"/>
            </w14:solidFill>
          </w14:textFill>
        </w:rPr>
      </w:pPr>
    </w:p>
    <w:p w14:paraId="3312C69E">
      <w:pPr>
        <w:rPr>
          <w:rFonts w:hint="eastAsia" w:ascii="宋体" w:hAnsi="宋体" w:cs="宋体"/>
          <w:b/>
          <w:color w:val="000000" w:themeColor="text1"/>
          <w:sz w:val="28"/>
          <w:szCs w:val="28"/>
          <w14:textFill>
            <w14:solidFill>
              <w14:schemeClr w14:val="tx1"/>
            </w14:solidFill>
          </w14:textFill>
        </w:rPr>
      </w:pPr>
    </w:p>
    <w:p w14:paraId="2ABD6616">
      <w:pPr>
        <w:rPr>
          <w:rFonts w:hint="eastAsia" w:ascii="宋体" w:hAnsi="宋体" w:cs="宋体"/>
          <w:b/>
          <w:color w:val="000000" w:themeColor="text1"/>
          <w:sz w:val="28"/>
          <w:szCs w:val="28"/>
          <w14:textFill>
            <w14:solidFill>
              <w14:schemeClr w14:val="tx1"/>
            </w14:solidFill>
          </w14:textFill>
        </w:rPr>
      </w:pPr>
    </w:p>
    <w:p w14:paraId="3053F209">
      <w:pPr>
        <w:rPr>
          <w:rFonts w:hint="eastAsia" w:ascii="宋体" w:hAnsi="宋体" w:cs="宋体"/>
          <w:b/>
          <w:color w:val="000000" w:themeColor="text1"/>
          <w:sz w:val="28"/>
          <w:szCs w:val="28"/>
          <w14:textFill>
            <w14:solidFill>
              <w14:schemeClr w14:val="tx1"/>
            </w14:solidFill>
          </w14:textFill>
        </w:rPr>
      </w:pPr>
    </w:p>
    <w:p w14:paraId="649CA540">
      <w:pPr>
        <w:rPr>
          <w:rFonts w:hint="eastAsia" w:ascii="宋体" w:hAnsi="宋体" w:cs="宋体"/>
          <w:b/>
          <w:color w:val="000000" w:themeColor="text1"/>
          <w:sz w:val="28"/>
          <w:szCs w:val="28"/>
          <w14:textFill>
            <w14:solidFill>
              <w14:schemeClr w14:val="tx1"/>
            </w14:solidFill>
          </w14:textFill>
        </w:rPr>
      </w:pPr>
    </w:p>
    <w:p w14:paraId="026FD749">
      <w:pPr>
        <w:rPr>
          <w:rFonts w:hint="eastAsia" w:ascii="宋体" w:hAnsi="宋体" w:cs="宋体"/>
          <w:b/>
          <w:color w:val="000000" w:themeColor="text1"/>
          <w:sz w:val="28"/>
          <w:szCs w:val="28"/>
          <w14:textFill>
            <w14:solidFill>
              <w14:schemeClr w14:val="tx1"/>
            </w14:solidFill>
          </w14:textFill>
        </w:rPr>
      </w:pPr>
    </w:p>
    <w:p w14:paraId="216793A1">
      <w:pPr>
        <w:rPr>
          <w:rFonts w:hint="eastAsia" w:ascii="宋体" w:hAnsi="宋体" w:cs="宋体"/>
          <w:b/>
          <w:color w:val="000000" w:themeColor="text1"/>
          <w:sz w:val="28"/>
          <w:szCs w:val="28"/>
          <w14:textFill>
            <w14:solidFill>
              <w14:schemeClr w14:val="tx1"/>
            </w14:solidFill>
          </w14:textFill>
        </w:rPr>
      </w:pPr>
    </w:p>
    <w:p w14:paraId="3A38B087">
      <w:pPr>
        <w:rPr>
          <w:rFonts w:hint="eastAsia" w:ascii="宋体" w:hAnsi="宋体" w:cs="宋体"/>
          <w:b/>
          <w:color w:val="000000" w:themeColor="text1"/>
          <w:sz w:val="28"/>
          <w:szCs w:val="28"/>
          <w14:textFill>
            <w14:solidFill>
              <w14:schemeClr w14:val="tx1"/>
            </w14:solidFill>
          </w14:textFill>
        </w:rPr>
      </w:pPr>
    </w:p>
    <w:p w14:paraId="47771FF4">
      <w:pPr>
        <w:rPr>
          <w:rFonts w:hint="eastAsia" w:ascii="宋体" w:hAnsi="宋体" w:cs="宋体"/>
          <w:b/>
          <w:color w:val="000000" w:themeColor="text1"/>
          <w:sz w:val="28"/>
          <w:szCs w:val="28"/>
          <w14:textFill>
            <w14:solidFill>
              <w14:schemeClr w14:val="tx1"/>
            </w14:solidFill>
          </w14:textFill>
        </w:rPr>
      </w:pPr>
    </w:p>
    <w:p w14:paraId="713A0067">
      <w:pPr>
        <w:rPr>
          <w:rFonts w:hint="eastAsia" w:ascii="宋体" w:hAnsi="宋体" w:cs="宋体"/>
          <w:b/>
          <w:color w:val="000000" w:themeColor="text1"/>
          <w:sz w:val="28"/>
          <w:szCs w:val="28"/>
          <w14:textFill>
            <w14:solidFill>
              <w14:schemeClr w14:val="tx1"/>
            </w14:solidFill>
          </w14:textFill>
        </w:rPr>
      </w:pPr>
    </w:p>
    <w:p w14:paraId="54E15DEB">
      <w:pPr>
        <w:rPr>
          <w:rFonts w:hint="eastAsia" w:ascii="宋体" w:hAnsi="宋体" w:cs="宋体"/>
          <w:b/>
          <w:color w:val="000000" w:themeColor="text1"/>
          <w:sz w:val="28"/>
          <w:szCs w:val="28"/>
          <w14:textFill>
            <w14:solidFill>
              <w14:schemeClr w14:val="tx1"/>
            </w14:solidFill>
          </w14:textFill>
        </w:rPr>
      </w:pPr>
    </w:p>
    <w:p w14:paraId="262F771F">
      <w:pPr>
        <w:rPr>
          <w:rFonts w:hint="eastAsia" w:ascii="宋体" w:hAnsi="宋体" w:cs="宋体"/>
          <w:b/>
          <w:color w:val="000000" w:themeColor="text1"/>
          <w:sz w:val="28"/>
          <w:szCs w:val="28"/>
          <w14:textFill>
            <w14:solidFill>
              <w14:schemeClr w14:val="tx1"/>
            </w14:solidFill>
          </w14:textFill>
        </w:rPr>
      </w:pPr>
    </w:p>
    <w:p w14:paraId="478F3161">
      <w:pPr>
        <w:jc w:val="center"/>
        <w:rPr>
          <w:rFonts w:hint="eastAsia" w:ascii="宋体" w:hAnsi="宋体" w:cs="宋体"/>
          <w:b/>
          <w:color w:val="000000" w:themeColor="text1"/>
          <w:sz w:val="28"/>
          <w:szCs w:val="28"/>
          <w14:textFill>
            <w14:solidFill>
              <w14:schemeClr w14:val="tx1"/>
            </w14:solidFill>
          </w14:textFill>
        </w:rPr>
      </w:pPr>
    </w:p>
    <w:p w14:paraId="0EB54B12">
      <w:pPr>
        <w:spacing w:line="320" w:lineRule="atLeast"/>
        <w:textAlignment w:val="center"/>
        <w:rPr>
          <w:rFonts w:hint="eastAsia" w:ascii="宋体" w:hAnsi="宋体" w:cs="宋体"/>
          <w:color w:val="000000" w:themeColor="text1"/>
          <w:spacing w:val="-20"/>
          <w:kern w:val="10"/>
          <w:sz w:val="28"/>
          <w:szCs w:val="28"/>
          <w14:textFill>
            <w14:solidFill>
              <w14:schemeClr w14:val="tx1"/>
            </w14:solidFill>
          </w14:textFill>
        </w:rPr>
      </w:pPr>
    </w:p>
    <w:p w14:paraId="5CE25128">
      <w:pPr>
        <w:spacing w:line="320" w:lineRule="atLeast"/>
        <w:textAlignment w:val="center"/>
        <w:rPr>
          <w:rFonts w:hint="eastAsia" w:ascii="宋体" w:hAnsi="宋体" w:cs="宋体"/>
          <w:color w:val="000000" w:themeColor="text1"/>
          <w:spacing w:val="-20"/>
          <w:kern w:val="10"/>
          <w:sz w:val="28"/>
          <w:szCs w:val="28"/>
          <w14:textFill>
            <w14:solidFill>
              <w14:schemeClr w14:val="tx1"/>
            </w14:solidFill>
          </w14:textFill>
        </w:rPr>
      </w:pPr>
    </w:p>
    <w:p w14:paraId="1CE9F85A">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中华人民共和国建设部　　</w:t>
      </w:r>
    </w:p>
    <w:p w14:paraId="4C598322">
      <w:pPr>
        <w:spacing w:line="320" w:lineRule="atLeast"/>
        <w:jc w:val="center"/>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制定</w:t>
      </w:r>
    </w:p>
    <w:p w14:paraId="64978363">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r>
        <w:rPr>
          <w:rFonts w:hint="eastAsia" w:ascii="宋体" w:hAnsi="宋体" w:cs="宋体"/>
          <w:b/>
          <w:color w:val="000000" w:themeColor="text1"/>
          <w:spacing w:val="-20"/>
          <w:kern w:val="10"/>
          <w:sz w:val="32"/>
          <w:szCs w:val="32"/>
          <w14:textFill>
            <w14:solidFill>
              <w14:schemeClr w14:val="tx1"/>
            </w14:solidFill>
          </w14:textFill>
        </w:rPr>
        <w:t xml:space="preserve">                         国家工商行政管理总局 </w:t>
      </w:r>
    </w:p>
    <w:p w14:paraId="25AAE65F">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02223CDD">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5AEAD0BA">
      <w:pPr>
        <w:spacing w:line="320" w:lineRule="atLeast"/>
        <w:textAlignment w:val="center"/>
        <w:rPr>
          <w:rFonts w:hint="eastAsia" w:ascii="宋体" w:hAnsi="宋体" w:cs="宋体"/>
          <w:b/>
          <w:color w:val="000000" w:themeColor="text1"/>
          <w:spacing w:val="-20"/>
          <w:kern w:val="10"/>
          <w:sz w:val="32"/>
          <w:szCs w:val="32"/>
          <w14:textFill>
            <w14:solidFill>
              <w14:schemeClr w14:val="tx1"/>
            </w14:solidFill>
          </w14:textFill>
        </w:rPr>
      </w:pPr>
    </w:p>
    <w:p w14:paraId="71D3C94C">
      <w:pPr>
        <w:pStyle w:val="2"/>
        <w:suppressLineNumbers/>
        <w:jc w:val="both"/>
        <w:rPr>
          <w:rFonts w:hint="eastAsia" w:ascii="宋体" w:cs="宋体"/>
          <w:color w:val="000000" w:themeColor="text1"/>
          <w:sz w:val="36"/>
          <w:szCs w:val="36"/>
          <w14:textFill>
            <w14:solidFill>
              <w14:schemeClr w14:val="tx1"/>
            </w14:solidFill>
          </w14:textFill>
        </w:rPr>
      </w:pPr>
    </w:p>
    <w:bookmarkEnd w:id="429"/>
    <w:bookmarkEnd w:id="430"/>
    <w:bookmarkEnd w:id="431"/>
    <w:bookmarkEnd w:id="432"/>
    <w:bookmarkEnd w:id="433"/>
    <w:bookmarkEnd w:id="434"/>
    <w:bookmarkEnd w:id="435"/>
    <w:p w14:paraId="0964D4F9">
      <w:pPr>
        <w:pStyle w:val="4"/>
        <w:jc w:val="center"/>
        <w:rPr>
          <w:rFonts w:hint="eastAsia" w:ascii="宋体" w:hAnsi="宋体" w:cs="宋体"/>
          <w:color w:val="000000" w:themeColor="text1"/>
          <w:sz w:val="18"/>
          <w:szCs w:val="18"/>
          <w14:textFill>
            <w14:solidFill>
              <w14:schemeClr w14:val="tx1"/>
            </w14:solidFill>
          </w14:textFill>
        </w:rPr>
      </w:pPr>
      <w:bookmarkStart w:id="437" w:name="_Toc23262"/>
      <w:r>
        <w:rPr>
          <w:rFonts w:hint="eastAsia"/>
          <w:color w:val="000000" w:themeColor="text1"/>
          <w:lang w:val="en-US" w:eastAsia="zh-CN"/>
          <w14:textFill>
            <w14:solidFill>
              <w14:schemeClr w14:val="tx1"/>
            </w14:solidFill>
          </w14:textFill>
        </w:rPr>
        <w:t>建设工程施工承揽</w:t>
      </w:r>
      <w:r>
        <w:rPr>
          <w:rFonts w:hint="eastAsia"/>
          <w:color w:val="000000" w:themeColor="text1"/>
          <w14:textFill>
            <w14:solidFill>
              <w14:schemeClr w14:val="tx1"/>
            </w14:solidFill>
          </w14:textFill>
        </w:rPr>
        <w:t>合同书</w:t>
      </w:r>
      <w:bookmarkEnd w:id="437"/>
    </w:p>
    <w:p w14:paraId="5FE841F2">
      <w:pPr>
        <w:autoSpaceDE w:val="0"/>
        <w:autoSpaceDN w:val="0"/>
        <w:adjustRightInd w:val="0"/>
        <w:spacing w:line="192" w:lineRule="atLeast"/>
        <w:jc w:val="left"/>
        <w:rPr>
          <w:rFonts w:hint="eastAsia" w:ascii="宋体" w:hAnsi="Calibri" w:eastAsia="宋体" w:cs="宋体"/>
          <w:b/>
          <w:bCs/>
          <w:color w:val="000000" w:themeColor="text1"/>
          <w:kern w:val="0"/>
          <w:sz w:val="24"/>
          <w:szCs w:val="24"/>
          <w:lang w:val="en-US" w:eastAsia="zh-CN"/>
          <w14:textFill>
            <w14:solidFill>
              <w14:schemeClr w14:val="tx1"/>
            </w14:solidFill>
          </w14:textFill>
        </w:rPr>
      </w:pPr>
      <w:r>
        <w:rPr>
          <w:rFonts w:hint="eastAsia" w:ascii="宋体" w:hAnsi="Calibri" w:cs="宋体"/>
          <w:color w:val="000000" w:themeColor="text1"/>
          <w:kern w:val="0"/>
          <w:sz w:val="24"/>
          <w:szCs w:val="24"/>
          <w:lang w:val="zh-CN"/>
          <w14:textFill>
            <w14:solidFill>
              <w14:schemeClr w14:val="tx1"/>
            </w14:solidFill>
          </w14:textFill>
        </w:rPr>
        <w:t>甲方：</w:t>
      </w:r>
      <w:r>
        <w:rPr>
          <w:rFonts w:hint="eastAsia" w:ascii="宋体" w:hAnsi="Calibri" w:cs="宋体"/>
          <w:b/>
          <w:bCs/>
          <w:color w:val="000000" w:themeColor="text1"/>
          <w:kern w:val="0"/>
          <w:sz w:val="24"/>
          <w:szCs w:val="24"/>
          <w:lang w:val="zh-CN"/>
          <w14:textFill>
            <w14:solidFill>
              <w14:schemeClr w14:val="tx1"/>
            </w14:solidFill>
          </w14:textFill>
        </w:rPr>
        <w:t>建设单位（</w:t>
      </w:r>
      <w:r>
        <w:rPr>
          <w:rFonts w:hint="eastAsia" w:ascii="宋体" w:hAnsi="Calibri" w:cs="宋体"/>
          <w:b/>
          <w:bCs/>
          <w:color w:val="000000" w:themeColor="text1"/>
          <w:kern w:val="0"/>
          <w:sz w:val="24"/>
          <w:szCs w:val="24"/>
          <w:lang w:val="en-US" w:eastAsia="zh-CN"/>
          <w14:textFill>
            <w14:solidFill>
              <w14:schemeClr w14:val="tx1"/>
            </w14:solidFill>
          </w14:textFill>
        </w:rPr>
        <w:t>发包人</w:t>
      </w:r>
      <w:r>
        <w:rPr>
          <w:rFonts w:hint="eastAsia" w:ascii="宋体" w:hAnsi="Calibri" w:cs="宋体"/>
          <w:b/>
          <w:bCs/>
          <w:color w:val="000000" w:themeColor="text1"/>
          <w:kern w:val="0"/>
          <w:sz w:val="24"/>
          <w:szCs w:val="24"/>
          <w:lang w:val="zh-CN"/>
          <w14:textFill>
            <w14:solidFill>
              <w14:schemeClr w14:val="tx1"/>
            </w14:solidFill>
          </w14:textFill>
        </w:rPr>
        <w:t>）：</w:t>
      </w:r>
      <w:r>
        <w:rPr>
          <w:rFonts w:hint="eastAsia" w:ascii="宋体" w:hAnsi="Calibri" w:cs="宋体"/>
          <w:b/>
          <w:bCs/>
          <w:color w:val="000000" w:themeColor="text1"/>
          <w:kern w:val="0"/>
          <w:sz w:val="24"/>
          <w:szCs w:val="24"/>
          <w:u w:val="single"/>
          <w:lang w:val="en-US" w:eastAsia="zh-CN"/>
          <w14:textFill>
            <w14:solidFill>
              <w14:schemeClr w14:val="tx1"/>
            </w14:solidFill>
          </w14:textFill>
        </w:rPr>
        <w:t xml:space="preserve">                            </w:t>
      </w:r>
      <w:r>
        <w:rPr>
          <w:rFonts w:hint="eastAsia" w:ascii="宋体" w:hAnsi="Calibri" w:cs="宋体"/>
          <w:b/>
          <w:bCs/>
          <w:color w:val="000000" w:themeColor="text1"/>
          <w:kern w:val="0"/>
          <w:sz w:val="24"/>
          <w:szCs w:val="24"/>
          <w:lang w:val="zh-CN"/>
          <w14:textFill>
            <w14:solidFill>
              <w14:schemeClr w14:val="tx1"/>
            </w14:solidFill>
          </w14:textFill>
        </w:rPr>
        <w:t xml:space="preserve"> </w:t>
      </w:r>
      <w:r>
        <w:rPr>
          <w:rFonts w:hint="eastAsia" w:ascii="宋体" w:hAnsi="Calibri" w:cs="宋体"/>
          <w:color w:val="000000" w:themeColor="text1"/>
          <w:kern w:val="0"/>
          <w:szCs w:val="21"/>
          <w:lang w:val="zh-CN"/>
          <w14:textFill>
            <w14:solidFill>
              <w14:schemeClr w14:val="tx1"/>
            </w14:solidFill>
          </w14:textFill>
        </w:rPr>
        <w:t>（以下简称</w:t>
      </w:r>
      <w:r>
        <w:rPr>
          <w:rFonts w:hint="eastAsia" w:ascii="宋体" w:hAnsi="Calibri" w:cs="宋体"/>
          <w:b/>
          <w:bCs/>
          <w:color w:val="000000" w:themeColor="text1"/>
          <w:kern w:val="0"/>
          <w:sz w:val="24"/>
          <w:szCs w:val="24"/>
          <w:lang w:val="en-US" w:eastAsia="zh-CN"/>
          <w14:textFill>
            <w14:solidFill>
              <w14:schemeClr w14:val="tx1"/>
            </w14:solidFill>
          </w14:textFill>
        </w:rPr>
        <w:t>发包人</w:t>
      </w:r>
      <w:r>
        <w:rPr>
          <w:rFonts w:hint="eastAsia" w:ascii="宋体" w:hAnsi="Calibri" w:cs="宋体"/>
          <w:color w:val="000000" w:themeColor="text1"/>
          <w:kern w:val="0"/>
          <w:szCs w:val="21"/>
          <w:lang w:val="zh-CN"/>
          <w14:textFill>
            <w14:solidFill>
              <w14:schemeClr w14:val="tx1"/>
            </w14:solidFill>
          </w14:textFill>
        </w:rPr>
        <w:t>）</w:t>
      </w:r>
      <w:r>
        <w:rPr>
          <w:rFonts w:hint="eastAsia" w:ascii="宋体" w:hAnsi="Calibri" w:cs="宋体"/>
          <w:b/>
          <w:bCs/>
          <w:color w:val="000000" w:themeColor="text1"/>
          <w:kern w:val="0"/>
          <w:sz w:val="24"/>
          <w:szCs w:val="24"/>
          <w:lang w:val="en-US" w:eastAsia="zh-CN"/>
          <w14:textFill>
            <w14:solidFill>
              <w14:schemeClr w14:val="tx1"/>
            </w14:solidFill>
          </w14:textFill>
        </w:rPr>
        <w:t xml:space="preserve"> </w:t>
      </w:r>
    </w:p>
    <w:p w14:paraId="4824E5C2">
      <w:pPr>
        <w:tabs>
          <w:tab w:val="left" w:pos="1265"/>
        </w:tabs>
        <w:autoSpaceDE w:val="0"/>
        <w:autoSpaceDN w:val="0"/>
        <w:adjustRightInd w:val="0"/>
        <w:spacing w:line="192" w:lineRule="atLeast"/>
        <w:ind w:firstLine="1205" w:firstLineChars="500"/>
        <w:jc w:val="left"/>
        <w:rPr>
          <w:rFonts w:hint="eastAsia" w:ascii="Calibri" w:hAnsi="Calibri" w:cs="Calibri"/>
          <w:b/>
          <w:bCs/>
          <w:color w:val="000000" w:themeColor="text1"/>
          <w:kern w:val="0"/>
          <w:sz w:val="24"/>
          <w:szCs w:val="24"/>
          <w:u w:val="single"/>
          <w:lang w:val="en-US" w:eastAsia="zh-CN"/>
          <w14:textFill>
            <w14:solidFill>
              <w14:schemeClr w14:val="tx1"/>
            </w14:solidFill>
          </w14:textFill>
        </w:rPr>
      </w:pPr>
    </w:p>
    <w:p w14:paraId="429C0BE8">
      <w:pPr>
        <w:autoSpaceDE w:val="0"/>
        <w:autoSpaceDN w:val="0"/>
        <w:adjustRightInd w:val="0"/>
        <w:spacing w:line="192" w:lineRule="atLeast"/>
        <w:jc w:val="left"/>
        <w:rPr>
          <w:rFonts w:hint="eastAsia"/>
          <w:color w:val="000000" w:themeColor="text1"/>
          <w14:textFill>
            <w14:solidFill>
              <w14:schemeClr w14:val="tx1"/>
            </w14:solidFill>
          </w14:textFill>
        </w:rPr>
      </w:pPr>
      <w:r>
        <w:rPr>
          <w:rFonts w:hint="eastAsia" w:ascii="宋体" w:hAnsi="Calibri" w:cs="宋体"/>
          <w:color w:val="000000" w:themeColor="text1"/>
          <w:kern w:val="0"/>
          <w:sz w:val="24"/>
          <w:szCs w:val="24"/>
          <w:lang w:val="zh-CN"/>
          <w14:textFill>
            <w14:solidFill>
              <w14:schemeClr w14:val="tx1"/>
            </w14:solidFill>
          </w14:textFill>
        </w:rPr>
        <w:t>乙方：</w:t>
      </w:r>
      <w:r>
        <w:rPr>
          <w:rFonts w:hint="eastAsia" w:ascii="宋体" w:hAnsi="Calibri" w:cs="宋体"/>
          <w:b/>
          <w:bCs/>
          <w:color w:val="000000" w:themeColor="text1"/>
          <w:kern w:val="0"/>
          <w:sz w:val="24"/>
          <w:szCs w:val="24"/>
          <w:lang w:val="zh-CN"/>
          <w14:textFill>
            <w14:solidFill>
              <w14:schemeClr w14:val="tx1"/>
            </w14:solidFill>
          </w14:textFill>
        </w:rPr>
        <w:t>施工单位（</w:t>
      </w:r>
      <w:r>
        <w:rPr>
          <w:rFonts w:hint="eastAsia" w:ascii="宋体" w:hAnsi="Calibri" w:cs="宋体"/>
          <w:b/>
          <w:bCs/>
          <w:color w:val="000000" w:themeColor="text1"/>
          <w:kern w:val="0"/>
          <w:sz w:val="24"/>
          <w:szCs w:val="24"/>
          <w:lang w:val="en-US" w:eastAsia="zh-CN"/>
          <w14:textFill>
            <w14:solidFill>
              <w14:schemeClr w14:val="tx1"/>
            </w14:solidFill>
          </w14:textFill>
        </w:rPr>
        <w:t>承揽人</w:t>
      </w:r>
      <w:r>
        <w:rPr>
          <w:rFonts w:hint="eastAsia" w:ascii="宋体" w:hAnsi="Calibri" w:cs="宋体"/>
          <w:b/>
          <w:bCs/>
          <w:color w:val="000000" w:themeColor="text1"/>
          <w:kern w:val="0"/>
          <w:sz w:val="24"/>
          <w:szCs w:val="24"/>
          <w:lang w:val="zh-CN"/>
          <w14:textFill>
            <w14:solidFill>
              <w14:schemeClr w14:val="tx1"/>
            </w14:solidFill>
          </w14:textFill>
        </w:rPr>
        <w:t>）：</w:t>
      </w:r>
      <w:r>
        <w:rPr>
          <w:rFonts w:hint="eastAsia" w:ascii="宋体" w:hAnsi="Calibri" w:cs="宋体"/>
          <w:b/>
          <w:bCs/>
          <w:color w:val="000000" w:themeColor="text1"/>
          <w:kern w:val="0"/>
          <w:sz w:val="24"/>
          <w:szCs w:val="24"/>
          <w:u w:val="single"/>
          <w:lang w:val="en-US" w:eastAsia="zh-CN"/>
          <w14:textFill>
            <w14:solidFill>
              <w14:schemeClr w14:val="tx1"/>
            </w14:solidFill>
          </w14:textFill>
        </w:rPr>
        <w:t xml:space="preserve">                          </w:t>
      </w:r>
      <w:r>
        <w:rPr>
          <w:rFonts w:hint="eastAsia" w:ascii="Calibri" w:hAnsi="Calibri" w:cs="Calibri"/>
          <w:b/>
          <w:bCs/>
          <w:color w:val="000000" w:themeColor="text1"/>
          <w:kern w:val="0"/>
          <w:szCs w:val="21"/>
          <w:u w:val="single"/>
          <w:lang w:val="en-US" w:eastAsia="zh-CN"/>
          <w14:textFill>
            <w14:solidFill>
              <w14:schemeClr w14:val="tx1"/>
            </w14:solidFill>
          </w14:textFill>
        </w:rPr>
        <w:t xml:space="preserve"> </w:t>
      </w:r>
      <w:r>
        <w:rPr>
          <w:rFonts w:ascii="Calibri" w:hAnsi="Calibri" w:cs="Calibri"/>
          <w:b/>
          <w:bCs/>
          <w:color w:val="000000" w:themeColor="text1"/>
          <w:kern w:val="0"/>
          <w:szCs w:val="21"/>
          <w14:textFill>
            <w14:solidFill>
              <w14:schemeClr w14:val="tx1"/>
            </w14:solidFill>
          </w14:textFill>
        </w:rPr>
        <w:t xml:space="preserve">  </w:t>
      </w:r>
      <w:r>
        <w:rPr>
          <w:rFonts w:hint="eastAsia" w:ascii="宋体" w:hAnsi="Calibri" w:cs="宋体"/>
          <w:color w:val="000000" w:themeColor="text1"/>
          <w:kern w:val="0"/>
          <w:szCs w:val="21"/>
          <w:lang w:val="zh-CN"/>
          <w14:textFill>
            <w14:solidFill>
              <w14:schemeClr w14:val="tx1"/>
            </w14:solidFill>
          </w14:textFill>
        </w:rPr>
        <w:t>（以下简称</w:t>
      </w:r>
      <w:r>
        <w:rPr>
          <w:rFonts w:hint="eastAsia" w:ascii="宋体" w:hAnsi="Calibri" w:cs="宋体"/>
          <w:b/>
          <w:bCs/>
          <w:color w:val="000000" w:themeColor="text1"/>
          <w:kern w:val="0"/>
          <w:sz w:val="24"/>
          <w:szCs w:val="24"/>
          <w:lang w:val="en-US" w:eastAsia="zh-CN"/>
          <w14:textFill>
            <w14:solidFill>
              <w14:schemeClr w14:val="tx1"/>
            </w14:solidFill>
          </w14:textFill>
        </w:rPr>
        <w:t>承揽人</w:t>
      </w:r>
      <w:r>
        <w:rPr>
          <w:rFonts w:hint="eastAsia" w:ascii="宋体" w:hAnsi="Calibri" w:cs="宋体"/>
          <w:color w:val="000000" w:themeColor="text1"/>
          <w:kern w:val="0"/>
          <w:szCs w:val="21"/>
          <w:lang w:val="zh-CN"/>
          <w14:textFill>
            <w14:solidFill>
              <w14:schemeClr w14:val="tx1"/>
            </w14:solidFill>
          </w14:textFill>
        </w:rPr>
        <w:t>）</w:t>
      </w:r>
    </w:p>
    <w:p w14:paraId="79DB8703">
      <w:pPr>
        <w:spacing w:line="480" w:lineRule="exact"/>
        <w:ind w:firstLine="420" w:firstLineChars="2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w:t>
      </w:r>
      <w:r>
        <w:rPr>
          <w:rFonts w:hint="eastAsia" w:ascii="宋体" w:hAnsi="宋体" w:cs="宋体"/>
          <w:color w:val="000000" w:themeColor="text1"/>
          <w:szCs w:val="21"/>
          <w:lang w:val="en-US" w:eastAsia="zh-CN"/>
          <w14:textFill>
            <w14:solidFill>
              <w14:schemeClr w14:val="tx1"/>
            </w14:solidFill>
          </w14:textFill>
        </w:rPr>
        <w:t>民法典</w:t>
      </w:r>
      <w:r>
        <w:rPr>
          <w:rFonts w:hint="eastAsia" w:ascii="宋体" w:hAnsi="宋体" w:cs="宋体"/>
          <w:color w:val="000000" w:themeColor="text1"/>
          <w:szCs w:val="21"/>
          <w14:textFill>
            <w14:solidFill>
              <w14:schemeClr w14:val="tx1"/>
            </w14:solidFill>
          </w14:textFill>
        </w:rPr>
        <w:t>》及有关法律规定，遵循平等、自愿、公平和诚实信用的原则，双方就</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施工及有关事项协商一致，共同达成如下协议：</w:t>
      </w:r>
    </w:p>
    <w:p w14:paraId="1124E8D6">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 xml:space="preserve"> 一、工程概况</w:t>
      </w:r>
    </w:p>
    <w:p w14:paraId="42BA9A02">
      <w:pPr>
        <w:spacing w:line="480" w:lineRule="exact"/>
        <w:ind w:firstLine="411" w:firstLineChars="196"/>
        <w:rPr>
          <w:rFonts w:hint="eastAsia" w:ascii="宋体" w:hAnsi="宋体" w:cs="宋体"/>
          <w:color w:val="000000" w:themeColor="text1"/>
          <w:szCs w:val="21"/>
          <w:u w:val="single"/>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1.工程名称</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p>
    <w:p w14:paraId="514786F8">
      <w:pPr>
        <w:spacing w:line="480" w:lineRule="exact"/>
        <w:ind w:firstLine="411" w:firstLineChars="196"/>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2.工程地点：</w:t>
      </w:r>
      <w:r>
        <w:rPr>
          <w:rFonts w:hint="eastAsia" w:ascii="宋体" w:hAnsi="宋体" w:cs="宋体"/>
          <w:snapToGrid w:val="0"/>
          <w:color w:val="000000" w:themeColor="text1"/>
          <w:kern w:val="0"/>
          <w:szCs w:val="21"/>
          <w:u w:val="single"/>
          <w14:textFill>
            <w14:solidFill>
              <w14:schemeClr w14:val="tx1"/>
            </w14:solidFill>
          </w14:textFill>
        </w:rPr>
        <w:t xml:space="preserve">  </w:t>
      </w:r>
      <w:r>
        <w:rPr>
          <w:rFonts w:hint="eastAsia" w:ascii="宋体" w:hAnsi="宋体" w:cs="宋体"/>
          <w:snapToGrid w:val="0"/>
          <w:color w:val="000000" w:themeColor="text1"/>
          <w:kern w:val="0"/>
          <w:szCs w:val="21"/>
          <w:u w:val="single"/>
          <w:lang w:val="en-US" w:eastAsia="zh-CN"/>
          <w14:textFill>
            <w14:solidFill>
              <w14:schemeClr w14:val="tx1"/>
            </w14:solidFill>
          </w14:textFill>
        </w:rPr>
        <w:t>重庆市大足区</w:t>
      </w:r>
      <w:r>
        <w:rPr>
          <w:rFonts w:hint="eastAsia" w:ascii="宋体" w:hAnsi="宋体" w:cs="宋体"/>
          <w:snapToGrid w:val="0"/>
          <w:color w:val="000000" w:themeColor="text1"/>
          <w:kern w:val="0"/>
          <w:szCs w:val="21"/>
          <w:u w:val="single"/>
          <w14:textFill>
            <w14:solidFill>
              <w14:schemeClr w14:val="tx1"/>
            </w14:solidFill>
          </w14:textFill>
        </w:rPr>
        <w:tab/>
      </w:r>
    </w:p>
    <w:p w14:paraId="0D5D2C9B">
      <w:pPr>
        <w:spacing w:line="480" w:lineRule="exact"/>
        <w:ind w:firstLine="411" w:firstLineChars="196"/>
        <w:rPr>
          <w:rFonts w:hint="eastAsia"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r>
        <w:rPr>
          <w:rFonts w:hint="eastAsia" w:ascii="宋体" w:hAnsi="宋体" w:cs="宋体"/>
          <w:snapToGrid w:val="0"/>
          <w:color w:val="000000" w:themeColor="text1"/>
          <w:kern w:val="0"/>
          <w:szCs w:val="21"/>
          <w:lang w:eastAsia="zh-CN"/>
          <w14:textFill>
            <w14:solidFill>
              <w14:schemeClr w14:val="tx1"/>
            </w14:solidFill>
          </w14:textFill>
        </w:rPr>
        <w:t>承揽</w:t>
      </w:r>
      <w:r>
        <w:rPr>
          <w:rFonts w:hint="eastAsia" w:ascii="宋体" w:hAnsi="宋体" w:cs="宋体"/>
          <w:snapToGrid w:val="0"/>
          <w:color w:val="000000" w:themeColor="text1"/>
          <w:kern w:val="0"/>
          <w:szCs w:val="21"/>
          <w14:textFill>
            <w14:solidFill>
              <w14:schemeClr w14:val="tx1"/>
            </w14:solidFill>
          </w14:textFill>
        </w:rPr>
        <w:t>方式：</w:t>
      </w:r>
      <w:r>
        <w:rPr>
          <w:rFonts w:hint="eastAsia" w:ascii="宋体" w:hAnsi="宋体" w:cs="宋体"/>
          <w:snapToGrid w:val="0"/>
          <w:color w:val="000000" w:themeColor="text1"/>
          <w:kern w:val="0"/>
          <w:szCs w:val="21"/>
          <w:u w:val="single"/>
          <w14:textFill>
            <w14:solidFill>
              <w14:schemeClr w14:val="tx1"/>
            </w14:solidFill>
          </w14:textFill>
        </w:rPr>
        <w:t xml:space="preserve"> </w:t>
      </w:r>
      <w:r>
        <w:rPr>
          <w:rFonts w:hint="eastAsia" w:ascii="宋体" w:hAnsi="宋体" w:cs="宋体"/>
          <w:snapToGrid w:val="0"/>
          <w:color w:val="000000" w:themeColor="text1"/>
          <w:kern w:val="0"/>
          <w:szCs w:val="21"/>
          <w:u w:val="single"/>
          <w:lang w:val="en-US" w:eastAsia="zh-CN"/>
          <w14:textFill>
            <w14:solidFill>
              <w14:schemeClr w14:val="tx1"/>
            </w14:solidFill>
          </w14:textFill>
        </w:rPr>
        <w:t xml:space="preserve">           </w:t>
      </w:r>
      <w:r>
        <w:rPr>
          <w:rFonts w:hint="eastAsia" w:ascii="宋体" w:hAnsi="宋体" w:cs="宋体"/>
          <w:snapToGrid w:val="0"/>
          <w:color w:val="000000" w:themeColor="text1"/>
          <w:kern w:val="0"/>
          <w:szCs w:val="21"/>
          <w:u w:val="single"/>
          <w14:textFill>
            <w14:solidFill>
              <w14:schemeClr w14:val="tx1"/>
            </w14:solidFill>
          </w14:textFill>
        </w:rPr>
        <w:t xml:space="preserve">    </w:t>
      </w:r>
    </w:p>
    <w:p w14:paraId="4855C6D7">
      <w:pPr>
        <w:spacing w:line="480" w:lineRule="exact"/>
        <w:ind w:firstLine="411" w:firstLineChars="196"/>
        <w:rPr>
          <w:rFonts w:hint="default" w:ascii="宋体" w:hAnsi="宋体" w:cs="宋体"/>
          <w:bCs/>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4.工程</w:t>
      </w:r>
      <w:r>
        <w:rPr>
          <w:rFonts w:hint="eastAsia" w:ascii="宋体" w:hAnsi="宋体" w:cs="宋体"/>
          <w:bCs/>
          <w:color w:val="000000" w:themeColor="text1"/>
          <w:szCs w:val="21"/>
          <w:lang w:eastAsia="zh-CN"/>
          <w14:textFill>
            <w14:solidFill>
              <w14:schemeClr w14:val="tx1"/>
            </w14:solidFill>
          </w14:textFill>
        </w:rPr>
        <w:t>承揽</w:t>
      </w:r>
      <w:r>
        <w:rPr>
          <w:rFonts w:hint="eastAsia" w:ascii="宋体" w:hAnsi="宋体" w:cs="宋体"/>
          <w:bCs/>
          <w:color w:val="000000" w:themeColor="text1"/>
          <w:szCs w:val="21"/>
          <w14:textFill>
            <w14:solidFill>
              <w14:schemeClr w14:val="tx1"/>
            </w14:solidFill>
          </w14:textFill>
        </w:rPr>
        <w:t>范围：</w:t>
      </w:r>
      <w:r>
        <w:rPr>
          <w:rFonts w:hint="default" w:ascii="宋体" w:hAnsi="宋体" w:cs="宋体"/>
          <w:bCs/>
          <w:color w:val="000000" w:themeColor="text1"/>
          <w:szCs w:val="21"/>
          <w:lang w:val="en-US" w:eastAsia="zh-CN"/>
          <w14:textFill>
            <w14:solidFill>
              <w14:schemeClr w14:val="tx1"/>
            </w14:solidFill>
          </w14:textFill>
        </w:rPr>
        <w:t>①对墙面开裂空鼓的地方用切割机进行剔除；</w:t>
      </w:r>
    </w:p>
    <w:p w14:paraId="0C5D7531">
      <w:pPr>
        <w:rPr>
          <w:rFonts w:hint="default" w:ascii="宋体" w:hAnsi="宋体" w:cs="宋体"/>
          <w:bCs/>
          <w:color w:val="000000" w:themeColor="text1"/>
          <w:szCs w:val="21"/>
          <w:lang w:val="en-US" w:eastAsia="zh-CN"/>
          <w14:textFill>
            <w14:solidFill>
              <w14:schemeClr w14:val="tx1"/>
            </w14:solidFill>
          </w14:textFill>
        </w:rPr>
      </w:pPr>
      <w:r>
        <w:rPr>
          <w:rFonts w:hint="default" w:ascii="宋体" w:hAnsi="宋体" w:cs="宋体"/>
          <w:bCs/>
          <w:color w:val="000000" w:themeColor="text1"/>
          <w:szCs w:val="21"/>
          <w:lang w:val="en-US" w:eastAsia="zh-CN"/>
          <w14:textFill>
            <w14:solidFill>
              <w14:schemeClr w14:val="tx1"/>
            </w14:solidFill>
          </w14:textFill>
        </w:rPr>
        <w:t>②对切除部分用抹灰或抗裂砂浆恢复找平挂钢丝网;</w:t>
      </w:r>
    </w:p>
    <w:p w14:paraId="02C1EF09">
      <w:pPr>
        <w:rPr>
          <w:rFonts w:hint="default" w:ascii="宋体" w:hAnsi="宋体" w:cs="宋体"/>
          <w:bCs/>
          <w:color w:val="000000" w:themeColor="text1"/>
          <w:szCs w:val="21"/>
          <w:lang w:val="en-US" w:eastAsia="zh-CN"/>
          <w14:textFill>
            <w14:solidFill>
              <w14:schemeClr w14:val="tx1"/>
            </w14:solidFill>
          </w14:textFill>
        </w:rPr>
      </w:pPr>
      <w:r>
        <w:rPr>
          <w:rFonts w:hint="default" w:ascii="宋体" w:hAnsi="宋体" w:cs="宋体"/>
          <w:bCs/>
          <w:color w:val="000000" w:themeColor="text1"/>
          <w:szCs w:val="21"/>
          <w:lang w:val="en-US" w:eastAsia="zh-CN"/>
          <w14:textFill>
            <w14:solidFill>
              <w14:schemeClr w14:val="tx1"/>
            </w14:solidFill>
          </w14:textFill>
        </w:rPr>
        <w:t>③对切除部分用防水涂料底漆涂刷 ，增强附着力，涂刷干燥后再涂第二层防水涂料。</w:t>
      </w:r>
    </w:p>
    <w:p w14:paraId="64F5168D">
      <w:pPr>
        <w:rPr>
          <w:rFonts w:hint="default"/>
          <w:lang w:val="en-US" w:eastAsia="zh-CN"/>
        </w:rPr>
      </w:pPr>
      <w:r>
        <w:rPr>
          <w:rFonts w:hint="default" w:ascii="宋体" w:hAnsi="宋体" w:cs="宋体"/>
          <w:bCs/>
          <w:color w:val="000000" w:themeColor="text1"/>
          <w:szCs w:val="21"/>
          <w:lang w:val="en-US" w:eastAsia="zh-CN"/>
          <w14:textFill>
            <w14:solidFill>
              <w14:schemeClr w14:val="tx1"/>
            </w14:solidFill>
          </w14:textFill>
        </w:rPr>
        <w:t>④对整改部分进行外墙刷漆2遍；在整改的区域进行安全警戒，并布置防护网靠墙安全设施，保证业主生命财产安全。施工范围包括完成本项目相关的所有施工内容，具体施工内容以项目业主根据施工现场情况确定。具体详见工程量清单。</w:t>
      </w:r>
    </w:p>
    <w:p w14:paraId="059046B3">
      <w:pPr>
        <w:pStyle w:val="5"/>
        <w:spacing w:before="4" w:after="4" w:line="480" w:lineRule="exact"/>
        <w:jc w:val="left"/>
        <w:rPr>
          <w:rFonts w:hint="eastAsia" w:ascii="宋体" w:hAnsi="宋体" w:cs="宋体"/>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二、合同工期</w:t>
      </w:r>
      <w:r>
        <w:rPr>
          <w:rFonts w:hint="eastAsia" w:cs="宋体"/>
          <w:b w:val="0"/>
          <w:bCs/>
          <w:color w:val="000000" w:themeColor="text1"/>
          <w:szCs w:val="21"/>
          <w:lang w:eastAsia="zh-CN"/>
          <w14:textFill>
            <w14:solidFill>
              <w14:schemeClr w14:val="tx1"/>
            </w14:solidFill>
          </w14:textFill>
        </w:rPr>
        <w:t>：</w:t>
      </w:r>
      <w:r>
        <w:rPr>
          <w:rFonts w:hint="eastAsia" w:cs="宋体"/>
          <w:b w:val="0"/>
          <w:bCs/>
          <w:color w:val="000000" w:themeColor="text1"/>
          <w:szCs w:val="21"/>
          <w:highlight w:val="none"/>
          <w:u w:val="single"/>
          <w:lang w:val="en-US" w:eastAsia="zh-CN"/>
          <w14:textFill>
            <w14:solidFill>
              <w14:schemeClr w14:val="tx1"/>
            </w14:solidFill>
          </w14:textFill>
        </w:rPr>
        <w:t xml:space="preserve">    </w:t>
      </w:r>
      <w:r>
        <w:rPr>
          <w:rFonts w:hint="eastAsia" w:cs="宋体"/>
          <w:b w:val="0"/>
          <w:bCs/>
          <w:color w:val="000000" w:themeColor="text1"/>
          <w:szCs w:val="21"/>
          <w:lang w:val="en-US" w:eastAsia="zh-CN"/>
          <w14:textFill>
            <w14:solidFill>
              <w14:schemeClr w14:val="tx1"/>
            </w14:solidFill>
          </w14:textFill>
        </w:rPr>
        <w:t>日历天</w:t>
      </w:r>
      <w:r>
        <w:rPr>
          <w:rFonts w:hint="eastAsia" w:ascii="宋体" w:hAnsi="宋体" w:cs="宋体"/>
          <w:color w:val="000000" w:themeColor="text1"/>
          <w:szCs w:val="21"/>
          <w14:textFill>
            <w14:solidFill>
              <w14:schemeClr w14:val="tx1"/>
            </w14:solidFill>
          </w14:textFill>
        </w:rPr>
        <w:t>。</w:t>
      </w:r>
    </w:p>
    <w:p w14:paraId="147B1396">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三、质量标准</w:t>
      </w:r>
    </w:p>
    <w:p w14:paraId="2CE982E7">
      <w:pPr>
        <w:spacing w:line="480" w:lineRule="exact"/>
        <w:ind w:firstLine="459"/>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工程质量标准：达到国家现行有关施工质量验收规范要求，并达到合格标准。</w:t>
      </w:r>
    </w:p>
    <w:p w14:paraId="425A7783">
      <w:pPr>
        <w:pStyle w:val="5"/>
        <w:spacing w:before="4" w:after="4" w:line="480" w:lineRule="exact"/>
        <w:jc w:val="left"/>
        <w:rPr>
          <w:rFonts w:hint="eastAsia" w:cs="宋体"/>
          <w:b w:val="0"/>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 xml:space="preserve"> 四、签约合同价与合同价格形式</w:t>
      </w:r>
    </w:p>
    <w:p w14:paraId="07CF35A1">
      <w:pPr>
        <w:widowControl/>
        <w:tabs>
          <w:tab w:val="left" w:pos="0"/>
        </w:tabs>
        <w:spacing w:before="48" w:beforeLines="20" w:after="48" w:afterLines="20" w:line="400" w:lineRule="exact"/>
        <w:textAlignment w:val="top"/>
        <w:outlineLvl w:val="3"/>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1.签约合同价为：</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w:t>
      </w:r>
    </w:p>
    <w:p w14:paraId="13C720B8">
      <w:pPr>
        <w:widowControl/>
        <w:tabs>
          <w:tab w:val="left" w:pos="0"/>
        </w:tabs>
        <w:spacing w:before="48" w:beforeLines="20" w:after="48" w:afterLines="20" w:line="400" w:lineRule="exact"/>
        <w:textAlignment w:val="top"/>
        <w:outlineLvl w:val="3"/>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2.合同价格形式：单价合同。</w:t>
      </w:r>
    </w:p>
    <w:p w14:paraId="5A266DA7">
      <w:pPr>
        <w:numPr>
          <w:ilvl w:val="0"/>
          <w:numId w:val="0"/>
        </w:numPr>
        <w:wordWrap w:val="0"/>
        <w:spacing w:line="5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3.结算原则：</w:t>
      </w:r>
    </w:p>
    <w:p w14:paraId="40C81F59">
      <w:pPr>
        <w:numPr>
          <w:ilvl w:val="0"/>
          <w:numId w:val="0"/>
        </w:numPr>
        <w:wordWrap w:val="0"/>
        <w:spacing w:line="520" w:lineRule="exact"/>
        <w:ind w:left="1000" w:leftChars="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1.1承揽人以实际完成工程量编制发包人要求的结算清单，并绘制竣工图（如有）。</w:t>
      </w:r>
    </w:p>
    <w:p w14:paraId="7863F4DC">
      <w:pPr>
        <w:numPr>
          <w:ilvl w:val="0"/>
          <w:numId w:val="0"/>
        </w:numPr>
        <w:wordWrap w:val="0"/>
        <w:spacing w:line="520" w:lineRule="exact"/>
        <w:ind w:left="1000" w:leftChars="0"/>
        <w:rPr>
          <w:rFonts w:hint="default" w:ascii="宋体" w:hAnsi="宋体"/>
          <w:color w:val="000000" w:themeColor="text1"/>
          <w:kern w:val="0"/>
          <w:sz w:val="44"/>
          <w:szCs w:val="44"/>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1.2发包人以承揽人提供的竣工结算资料报送相关审计单位，以最终审计结果为结算依据。</w:t>
      </w:r>
    </w:p>
    <w:p w14:paraId="3B8630E1">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lang w:eastAsia="zh-CN"/>
          <w14:textFill>
            <w14:solidFill>
              <w14:schemeClr w14:val="tx1"/>
            </w14:solidFill>
          </w14:textFill>
        </w:rPr>
        <w:t>. 合同约定其他费用：</w:t>
      </w:r>
    </w:p>
    <w:p w14:paraId="1690E0A2">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1）发包人要求承揽人完成合同以外施工范围内或施工范围外但与本施工项目有密切关系的零星项目，承揽人应接受发包人施工要求，并在施工前14天内就用工数量和单价、机械台班数量和单价、使用材料和金额等向发包人提出</w:t>
      </w:r>
      <w:r>
        <w:rPr>
          <w:rFonts w:hint="eastAsia" w:ascii="宋体" w:hAnsi="宋体"/>
          <w:color w:val="000000" w:themeColor="text1"/>
          <w:kern w:val="0"/>
          <w:szCs w:val="21"/>
          <w:lang w:val="en-US" w:eastAsia="zh-CN"/>
          <w14:textFill>
            <w14:solidFill>
              <w14:schemeClr w14:val="tx1"/>
            </w14:solidFill>
          </w14:textFill>
        </w:rPr>
        <w:t>书面</w:t>
      </w:r>
      <w:r>
        <w:rPr>
          <w:rFonts w:hint="eastAsia" w:ascii="宋体" w:hAnsi="宋体"/>
          <w:color w:val="000000" w:themeColor="text1"/>
          <w:kern w:val="0"/>
          <w:szCs w:val="21"/>
          <w:lang w:eastAsia="zh-CN"/>
          <w14:textFill>
            <w14:solidFill>
              <w14:schemeClr w14:val="tx1"/>
            </w14:solidFill>
          </w14:textFill>
        </w:rPr>
        <w:t>施工</w:t>
      </w:r>
      <w:r>
        <w:rPr>
          <w:rFonts w:hint="eastAsia" w:ascii="宋体" w:hAnsi="宋体"/>
          <w:color w:val="000000" w:themeColor="text1"/>
          <w:kern w:val="0"/>
          <w:szCs w:val="21"/>
          <w:lang w:val="en-US" w:eastAsia="zh-CN"/>
          <w14:textFill>
            <w14:solidFill>
              <w14:schemeClr w14:val="tx1"/>
            </w14:solidFill>
          </w14:textFill>
        </w:rPr>
        <w:t>要求</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经</w:t>
      </w:r>
      <w:r>
        <w:rPr>
          <w:rFonts w:hint="eastAsia" w:ascii="宋体" w:hAnsi="宋体"/>
          <w:color w:val="000000" w:themeColor="text1"/>
          <w:kern w:val="0"/>
          <w:szCs w:val="21"/>
          <w:lang w:eastAsia="zh-CN"/>
          <w14:textFill>
            <w14:solidFill>
              <w14:schemeClr w14:val="tx1"/>
            </w14:solidFill>
          </w14:textFill>
        </w:rPr>
        <w:t>发包人</w:t>
      </w:r>
      <w:r>
        <w:rPr>
          <w:rFonts w:hint="eastAsia" w:ascii="宋体" w:hAnsi="宋体"/>
          <w:color w:val="000000" w:themeColor="text1"/>
          <w:kern w:val="0"/>
          <w:szCs w:val="21"/>
          <w:lang w:val="en-US" w:eastAsia="zh-CN"/>
          <w14:textFill>
            <w14:solidFill>
              <w14:schemeClr w14:val="tx1"/>
            </w14:solidFill>
          </w14:textFill>
        </w:rPr>
        <w:t>同意后承揽人方可</w:t>
      </w:r>
      <w:r>
        <w:rPr>
          <w:rFonts w:hint="eastAsia" w:ascii="宋体" w:hAnsi="宋体"/>
          <w:color w:val="000000" w:themeColor="text1"/>
          <w:kern w:val="0"/>
          <w:szCs w:val="21"/>
          <w:lang w:eastAsia="zh-CN"/>
          <w14:textFill>
            <w14:solidFill>
              <w14:schemeClr w14:val="tx1"/>
            </w14:solidFill>
          </w14:textFill>
        </w:rPr>
        <w:t>施工。如发包人未</w:t>
      </w:r>
      <w:r>
        <w:rPr>
          <w:rFonts w:hint="eastAsia" w:ascii="宋体" w:hAnsi="宋体"/>
          <w:color w:val="000000" w:themeColor="text1"/>
          <w:kern w:val="0"/>
          <w:szCs w:val="21"/>
          <w:lang w:val="en-US" w:eastAsia="zh-CN"/>
          <w14:textFill>
            <w14:solidFill>
              <w14:schemeClr w14:val="tx1"/>
            </w14:solidFill>
          </w14:textFill>
        </w:rPr>
        <w:t>同意</w:t>
      </w:r>
      <w:r>
        <w:rPr>
          <w:rFonts w:hint="eastAsia" w:ascii="宋体" w:hAnsi="宋体"/>
          <w:color w:val="000000" w:themeColor="text1"/>
          <w:kern w:val="0"/>
          <w:szCs w:val="21"/>
          <w:lang w:eastAsia="zh-CN"/>
          <w14:textFill>
            <w14:solidFill>
              <w14:schemeClr w14:val="tx1"/>
            </w14:solidFill>
          </w14:textFill>
        </w:rPr>
        <w:t>，承揽人自行施工后，</w:t>
      </w:r>
      <w:r>
        <w:rPr>
          <w:rFonts w:hint="eastAsia" w:ascii="宋体" w:hAnsi="宋体"/>
          <w:color w:val="000000" w:themeColor="text1"/>
          <w:kern w:val="0"/>
          <w:szCs w:val="21"/>
          <w:lang w:val="en-US" w:eastAsia="zh-CN"/>
          <w14:textFill>
            <w14:solidFill>
              <w14:schemeClr w14:val="tx1"/>
            </w14:solidFill>
          </w14:textFill>
        </w:rPr>
        <w:t>产生的费用</w:t>
      </w:r>
      <w:r>
        <w:rPr>
          <w:rFonts w:hint="eastAsia" w:ascii="宋体" w:hAnsi="宋体"/>
          <w:color w:val="000000" w:themeColor="text1"/>
          <w:kern w:val="0"/>
          <w:szCs w:val="21"/>
          <w:lang w:eastAsia="zh-CN"/>
          <w14:textFill>
            <w14:solidFill>
              <w14:schemeClr w14:val="tx1"/>
            </w14:solidFill>
          </w14:textFill>
        </w:rPr>
        <w:t>由承揽人</w:t>
      </w:r>
      <w:r>
        <w:rPr>
          <w:rFonts w:hint="eastAsia" w:ascii="宋体" w:hAnsi="宋体"/>
          <w:color w:val="000000" w:themeColor="text1"/>
          <w:kern w:val="0"/>
          <w:szCs w:val="21"/>
          <w:lang w:val="en-US" w:eastAsia="zh-CN"/>
          <w14:textFill>
            <w14:solidFill>
              <w14:schemeClr w14:val="tx1"/>
            </w14:solidFill>
          </w14:textFill>
        </w:rPr>
        <w:t>承担</w:t>
      </w:r>
      <w:r>
        <w:rPr>
          <w:rFonts w:hint="eastAsia" w:ascii="宋体" w:hAnsi="宋体"/>
          <w:color w:val="000000" w:themeColor="text1"/>
          <w:kern w:val="0"/>
          <w:szCs w:val="21"/>
          <w:lang w:eastAsia="zh-CN"/>
          <w14:textFill>
            <w14:solidFill>
              <w14:schemeClr w14:val="tx1"/>
            </w14:solidFill>
          </w14:textFill>
        </w:rPr>
        <w:t>。</w:t>
      </w:r>
    </w:p>
    <w:p w14:paraId="66D500B6">
      <w:pPr>
        <w:widowControl/>
        <w:tabs>
          <w:tab w:val="left" w:pos="0"/>
        </w:tabs>
        <w:spacing w:before="48" w:beforeLines="20" w:after="48" w:afterLines="20" w:line="400" w:lineRule="exact"/>
        <w:textAlignment w:val="top"/>
        <w:outlineLvl w:val="3"/>
        <w:rPr>
          <w:rFonts w:hint="eastAsia" w:ascii="宋体" w:hAnsi="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lang w:eastAsia="zh-CN"/>
          <w14:textFill>
            <w14:solidFill>
              <w14:schemeClr w14:val="tx1"/>
            </w14:solidFill>
          </w14:textFill>
        </w:rPr>
        <w:t>（2）未纳入本次招标范围内的工程内容承揽人须提供相应的施工配合，其配合费用按有关文件规定执行。</w:t>
      </w:r>
    </w:p>
    <w:p w14:paraId="49B408B5">
      <w:pPr>
        <w:widowControl/>
        <w:tabs>
          <w:tab w:val="left" w:pos="0"/>
        </w:tabs>
        <w:spacing w:line="400" w:lineRule="exact"/>
        <w:textAlignment w:val="top"/>
        <w:rPr>
          <w:rFonts w:hint="default"/>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highlight w:val="none"/>
          <w:lang w:val="en-US" w:eastAsia="zh-CN"/>
          <w14:textFill>
            <w14:solidFill>
              <w14:schemeClr w14:val="tx1"/>
            </w14:solidFill>
          </w14:textFill>
        </w:rPr>
        <w:t>5、本项目工程款支付方式：竣工验收合格，审计完成后由大修基金管理单位直接向乙方支付。</w:t>
      </w:r>
    </w:p>
    <w:p w14:paraId="38026184">
      <w:pPr>
        <w:widowControl/>
        <w:tabs>
          <w:tab w:val="left" w:pos="0"/>
        </w:tabs>
        <w:spacing w:before="48" w:beforeLines="20" w:after="48" w:afterLines="20" w:line="400" w:lineRule="exact"/>
        <w:textAlignment w:val="top"/>
        <w:outlineLvl w:val="3"/>
        <w:rPr>
          <w:rFonts w:hint="eastAsia" w:ascii="宋体" w:hAnsi="宋体" w:cs="宋体"/>
          <w:bCs/>
          <w:color w:val="000000" w:themeColor="text1"/>
          <w:kern w:val="0"/>
          <w:szCs w:val="21"/>
          <w14:textFill>
            <w14:solidFill>
              <w14:schemeClr w14:val="tx1"/>
            </w14:solidFill>
          </w14:textFill>
        </w:rPr>
      </w:pPr>
      <w:r>
        <w:rPr>
          <w:rFonts w:hint="eastAsia" w:cs="宋体"/>
          <w:bCs/>
          <w:color w:val="000000" w:themeColor="text1"/>
          <w:szCs w:val="21"/>
          <w:lang w:eastAsia="zh-CN"/>
          <w14:textFill>
            <w14:solidFill>
              <w14:schemeClr w14:val="tx1"/>
            </w14:solidFill>
          </w14:textFill>
        </w:rPr>
        <w:t>五</w:t>
      </w:r>
      <w:r>
        <w:rPr>
          <w:rFonts w:hint="eastAsia" w:cs="宋体"/>
          <w:bCs/>
          <w:color w:val="000000" w:themeColor="text1"/>
          <w:szCs w:val="21"/>
          <w14:textFill>
            <w14:solidFill>
              <w14:schemeClr w14:val="tx1"/>
            </w14:solidFill>
          </w14:textFill>
        </w:rPr>
        <w:t>、</w:t>
      </w:r>
      <w:r>
        <w:rPr>
          <w:rFonts w:hint="eastAsia" w:ascii="宋体" w:hAnsi="宋体" w:cs="宋体"/>
          <w:bCs/>
          <w:color w:val="000000" w:themeColor="text1"/>
          <w:kern w:val="0"/>
          <w:szCs w:val="21"/>
          <w:lang w:eastAsia="zh-CN"/>
          <w14:textFill>
            <w14:solidFill>
              <w14:schemeClr w14:val="tx1"/>
            </w14:solidFill>
          </w14:textFill>
        </w:rPr>
        <w:t>承揽</w:t>
      </w:r>
      <w:r>
        <w:rPr>
          <w:rFonts w:hint="eastAsia" w:ascii="宋体" w:hAnsi="宋体" w:cs="宋体"/>
          <w:bCs/>
          <w:color w:val="000000" w:themeColor="text1"/>
          <w:kern w:val="0"/>
          <w:szCs w:val="21"/>
          <w:lang w:val="en-US" w:eastAsia="zh-CN"/>
          <w14:textFill>
            <w14:solidFill>
              <w14:schemeClr w14:val="tx1"/>
            </w14:solidFill>
          </w14:textFill>
        </w:rPr>
        <w:t>人</w:t>
      </w:r>
      <w:r>
        <w:rPr>
          <w:rFonts w:hint="eastAsia" w:ascii="宋体" w:hAnsi="宋体" w:cs="宋体"/>
          <w:bCs/>
          <w:color w:val="000000" w:themeColor="text1"/>
          <w:kern w:val="0"/>
          <w:szCs w:val="21"/>
          <w14:textFill>
            <w14:solidFill>
              <w14:schemeClr w14:val="tx1"/>
            </w14:solidFill>
          </w14:textFill>
        </w:rPr>
        <w:t>义务</w:t>
      </w:r>
    </w:p>
    <w:p w14:paraId="60818DA0">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按国家安全生产相关法律法规要求</w:t>
      </w:r>
      <w:r>
        <w:rPr>
          <w:rFonts w:hint="eastAsia" w:ascii="宋体" w:hAnsi="宋体" w:cs="宋体"/>
          <w:color w:val="000000" w:themeColor="text1"/>
          <w:kern w:val="0"/>
          <w:szCs w:val="21"/>
          <w14:textFill>
            <w14:solidFill>
              <w14:schemeClr w14:val="tx1"/>
            </w14:solidFill>
          </w14:textFill>
        </w:rPr>
        <w:t>确保安全生产，文明施工，派驻现场的主要施工管理人员必须到位。</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人必须在现场设置质量、安全管理机构并配置足够的管理人员。</w:t>
      </w:r>
      <w:r>
        <w:rPr>
          <w:rFonts w:hint="eastAsia" w:ascii="宋体" w:hAnsi="宋体" w:cs="宋体"/>
          <w:color w:val="000000" w:themeColor="text1"/>
          <w:kern w:val="0"/>
          <w:szCs w:val="21"/>
          <w:lang w:val="en-US" w:eastAsia="zh-CN"/>
          <w14:textFill>
            <w14:solidFill>
              <w14:schemeClr w14:val="tx1"/>
            </w14:solidFill>
          </w14:textFill>
        </w:rPr>
        <w:t>因上述原因导致的法律责任由承揽人承担，若因此导致由发包人承担相应责任的，发包人承担责任后可向承揽人追偿。</w:t>
      </w:r>
    </w:p>
    <w:p w14:paraId="06F4B00F">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2、承担施工安全保卫工作及夜间施工照明的责任和要求：</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应按建设行政管理部门和相关部门的要求，自费承担和提供相应设施以保护公共安全，并提供方便。负责施工现场所有进场材料的保管、进场人员的安全（包括各种专业分包），并完全承担由此产生的所有费用。</w:t>
      </w:r>
    </w:p>
    <w:p w14:paraId="04D6F208">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人提供的办公和生活房屋及设施的要求：费用已含在合同总价内。</w:t>
      </w:r>
    </w:p>
    <w:p w14:paraId="66A8D813">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val="en-US" w:eastAsia="zh-CN"/>
          <w14:textFill>
            <w14:solidFill>
              <w14:schemeClr w14:val="tx1"/>
            </w14:solidFill>
          </w14:textFill>
        </w:rPr>
        <w:t>由</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人办理有关</w:t>
      </w:r>
      <w:r>
        <w:rPr>
          <w:rFonts w:hint="eastAsia" w:ascii="宋体" w:hAnsi="宋体" w:cs="宋体"/>
          <w:color w:val="000000" w:themeColor="text1"/>
          <w:kern w:val="0"/>
          <w:szCs w:val="21"/>
          <w:lang w:val="en-US" w:eastAsia="zh-CN"/>
          <w14:textFill>
            <w14:solidFill>
              <w14:schemeClr w14:val="tx1"/>
            </w14:solidFill>
          </w14:textFill>
        </w:rPr>
        <w:t>工程审批、</w:t>
      </w:r>
      <w:r>
        <w:rPr>
          <w:rFonts w:hint="eastAsia" w:ascii="宋体" w:hAnsi="宋体" w:cs="宋体"/>
          <w:color w:val="000000" w:themeColor="text1"/>
          <w:kern w:val="0"/>
          <w:szCs w:val="21"/>
          <w14:textFill>
            <w14:solidFill>
              <w14:schemeClr w14:val="tx1"/>
            </w14:solidFill>
          </w14:textFill>
        </w:rPr>
        <w:t>施工场地交通、环卫和施工噪音管理手续</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遵守政府有关主管部门对施工场地交通、环保、施工噪音、卫生以及和安全生产有关的管理规定，根据当地规定向有关部门申报、办理相关手续</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w:t>
      </w:r>
    </w:p>
    <w:p w14:paraId="784E70F6">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5、已完工程成品的特殊要求及费用承担：在整个工程竣工验收并移交给发包人之前，毁损、火灾、丢失等风险由</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人承担，保护期间如发生损坏、失窃，</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人无偿予以修复</w:t>
      </w:r>
      <w:r>
        <w:rPr>
          <w:rFonts w:hint="eastAsia" w:ascii="宋体" w:hAnsi="宋体" w:cs="宋体"/>
          <w:color w:val="000000" w:themeColor="text1"/>
          <w:kern w:val="0"/>
          <w:szCs w:val="21"/>
          <w:lang w:val="en-US" w:eastAsia="zh-CN"/>
          <w14:textFill>
            <w14:solidFill>
              <w14:schemeClr w14:val="tx1"/>
            </w14:solidFill>
          </w14:textFill>
        </w:rPr>
        <w:t>或赔偿</w:t>
      </w:r>
      <w:r>
        <w:rPr>
          <w:rFonts w:hint="eastAsia" w:ascii="宋体" w:hAnsi="宋体" w:cs="宋体"/>
          <w:color w:val="000000" w:themeColor="text1"/>
          <w:kern w:val="0"/>
          <w:szCs w:val="21"/>
          <w14:textFill>
            <w14:solidFill>
              <w14:schemeClr w14:val="tx1"/>
            </w14:solidFill>
          </w14:textFill>
        </w:rPr>
        <w:t>。</w:t>
      </w:r>
    </w:p>
    <w:p w14:paraId="62BF908F">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6、施工场地周围地下管线和临近建筑物、构筑物（含文物保护建筑）、古树名木的保护要求及费用承担：在施工过程中发现文物和有价值的物品时，</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人在采取防止损坏措施的同时，应立即知会发包人、文物局和公安局，否则责任自负。如果在现场挖掘土方工作的过程中，发现电线、水管管道，或者其他公共设施，</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人应立即停止挖掘工作，并及时报告发包人或专门机构。</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人根据有关指示，负责修理被破坏的公共设施，并恢复原状，费用由破坏方承担。</w:t>
      </w:r>
    </w:p>
    <w:p w14:paraId="7E92D41D">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7、施工场地清洁卫生的要求：施工期间</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人应按规定做好施工场地清洁卫生工作，积极配合发包人要求的施工场地清洁工作。竣工后剩余的任何材料和物品除属于发包人的外，</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人均应迅速撤除。竣工验收后，工程移交之前，</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人仍须承担成品保护、保洁、安全等工作，此类费用由</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人承担。在施工过程中做到工完场清。工程交付前需完成对全部内容的清洁工作。如未在要求时间内清理完成或不清理的，发包人有权委托其他单位或自行组织清理或凿除，费用在结算中扣除。</w:t>
      </w:r>
    </w:p>
    <w:p w14:paraId="53525292">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8、根据国家现行规范负责完成对工程活动中的各项检测和试验，费用由</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人自行承担。</w:t>
      </w:r>
    </w:p>
    <w:p w14:paraId="09E504B4">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9、遵守有关法律和规定，接受发包人的指令，按照施工合同、施工图纸、设计变更单、图纸会审纪要、施工及验收规范进行文明施工。</w:t>
      </w:r>
    </w:p>
    <w:p w14:paraId="4C81B66C">
      <w:pPr>
        <w:widowControl/>
        <w:tabs>
          <w:tab w:val="left" w:pos="0"/>
        </w:tabs>
        <w:spacing w:line="400" w:lineRule="exact"/>
        <w:ind w:firstLine="420" w:firstLineChars="200"/>
        <w:textAlignment w:val="top"/>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人必须按本施工合同进行组织施工，接受发包人指令。</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人项目部所有管理人员在所辖工程或分项工程施工期间（包括准备和收尾阶段），均须专职在岗，不得兼任其他项目任何职务。</w:t>
      </w:r>
      <w:r>
        <w:rPr>
          <w:rFonts w:hint="eastAsia" w:ascii="宋体" w:hAnsi="宋体" w:cs="宋体"/>
          <w:color w:val="000000" w:themeColor="text1"/>
          <w:kern w:val="0"/>
          <w:szCs w:val="21"/>
          <w:lang w:val="en-US" w:eastAsia="zh-CN"/>
          <w14:textFill>
            <w14:solidFill>
              <w14:schemeClr w14:val="tx1"/>
            </w14:solidFill>
          </w14:textFill>
        </w:rPr>
        <w:t>项目施工人员需取得与其工作相应的资质及资格证书。项目施工人员与承揽人基于劳动（劳务）关系产生权利和义务及造成第三方人身或财产损失产生的法律责任由承揽人享有和承担，若因此导致由发包人承担相应责任的，发包人承担责任后可向承揽人追偿。</w:t>
      </w:r>
    </w:p>
    <w:p w14:paraId="224EF0A7">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人进场后，发包人应将发包人的管理制度和流程对</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人进行交底。</w:t>
      </w:r>
      <w:r>
        <w:rPr>
          <w:rFonts w:hint="eastAsia" w:ascii="宋体" w:hAnsi="宋体" w:cs="宋体"/>
          <w:color w:val="000000" w:themeColor="text1"/>
          <w:kern w:val="0"/>
          <w:szCs w:val="21"/>
          <w:lang w:eastAsia="zh-CN"/>
          <w14:textFill>
            <w14:solidFill>
              <w14:schemeClr w14:val="tx1"/>
            </w14:solidFill>
          </w14:textFill>
        </w:rPr>
        <w:t>承揽</w:t>
      </w:r>
      <w:r>
        <w:rPr>
          <w:rFonts w:hint="eastAsia" w:ascii="宋体" w:hAnsi="宋体" w:cs="宋体"/>
          <w:color w:val="000000" w:themeColor="text1"/>
          <w:kern w:val="0"/>
          <w:szCs w:val="21"/>
          <w14:textFill>
            <w14:solidFill>
              <w14:schemeClr w14:val="tx1"/>
            </w14:solidFill>
          </w14:textFill>
        </w:rPr>
        <w:t>人应根据发包人的管理制度及流程开展相应的各项工作，并无条件配合根据发包人管理要求而应履行的特殊事项。</w:t>
      </w:r>
    </w:p>
    <w:p w14:paraId="210BD683">
      <w:pPr>
        <w:widowControl/>
        <w:tabs>
          <w:tab w:val="left" w:pos="0"/>
        </w:tabs>
        <w:spacing w:line="400" w:lineRule="exact"/>
        <w:ind w:firstLine="420" w:firstLineChars="200"/>
        <w:textAlignment w:val="top"/>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12、承揽人在施工期间（含施工前预备准备期间、施工期间、工程完工收尾期间）应对施工区域进行封闭，悬挂安全警示标志，为施工人员提供安全保护用品和提供安全保护措施。确保施工安全。</w:t>
      </w:r>
    </w:p>
    <w:p w14:paraId="0C399FF6">
      <w:pPr>
        <w:widowControl/>
        <w:tabs>
          <w:tab w:val="left" w:pos="0"/>
        </w:tabs>
        <w:spacing w:line="400" w:lineRule="exact"/>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六</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发包人义务</w:t>
      </w:r>
    </w:p>
    <w:p w14:paraId="0D04FD0A">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1、提供施工现场</w:t>
      </w:r>
    </w:p>
    <w:p w14:paraId="305F293D">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关于发包人移交施工现场的期限要求：</w:t>
      </w:r>
      <w:r>
        <w:rPr>
          <w:rFonts w:hint="eastAsia" w:ascii="宋体" w:hAnsi="宋体" w:cs="宋体"/>
          <w:color w:val="000000" w:themeColor="text1"/>
          <w:szCs w:val="21"/>
          <w:u w:val="single"/>
          <w14:textFill>
            <w14:solidFill>
              <w14:schemeClr w14:val="tx1"/>
            </w14:solidFill>
          </w14:textFill>
        </w:rPr>
        <w:t>开工前5个工作日内</w:t>
      </w:r>
      <w:r>
        <w:rPr>
          <w:rFonts w:hint="eastAsia" w:ascii="宋体" w:hAnsi="宋体" w:cs="宋体"/>
          <w:color w:val="000000" w:themeColor="text1"/>
          <w:kern w:val="0"/>
          <w:szCs w:val="21"/>
          <w14:textFill>
            <w14:solidFill>
              <w14:schemeClr w14:val="tx1"/>
            </w14:solidFill>
          </w14:textFill>
        </w:rPr>
        <w:t>。</w:t>
      </w:r>
    </w:p>
    <w:p w14:paraId="3B535595">
      <w:pPr>
        <w:widowControl/>
        <w:tabs>
          <w:tab w:val="left" w:pos="0"/>
        </w:tabs>
        <w:spacing w:line="400" w:lineRule="exact"/>
        <w:ind w:firstLine="420" w:firstLineChars="200"/>
        <w:textAlignment w:val="top"/>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2、提供施工条件</w:t>
      </w:r>
    </w:p>
    <w:p w14:paraId="43162089">
      <w:pPr>
        <w:tabs>
          <w:tab w:val="left" w:pos="0"/>
        </w:tabs>
        <w:spacing w:line="400" w:lineRule="exact"/>
        <w:ind w:firstLine="42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关于发包人应负责提供施工所需要的条件，包括：</w:t>
      </w:r>
    </w:p>
    <w:p w14:paraId="4855C24A">
      <w:pPr>
        <w:tabs>
          <w:tab w:val="left" w:pos="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（1）施工场地具备施工条件的要求及完成的时间：</w:t>
      </w:r>
      <w:r>
        <w:rPr>
          <w:rFonts w:hint="eastAsia" w:ascii="宋体" w:hAnsi="宋体" w:cs="宋体"/>
          <w:color w:val="000000" w:themeColor="text1"/>
          <w:szCs w:val="21"/>
          <w:u w:val="single"/>
          <w:lang w:val="en-US" w:eastAsia="zh-CN"/>
          <w14:textFill>
            <w14:solidFill>
              <w14:schemeClr w14:val="tx1"/>
            </w14:solidFill>
          </w14:textFill>
        </w:rPr>
        <w:t>经乙方确认</w:t>
      </w:r>
      <w:r>
        <w:rPr>
          <w:rFonts w:hint="eastAsia" w:ascii="宋体" w:hAnsi="宋体" w:cs="宋体"/>
          <w:color w:val="000000" w:themeColor="text1"/>
          <w:szCs w:val="21"/>
          <w:u w:val="single"/>
          <w14:textFill>
            <w14:solidFill>
              <w14:schemeClr w14:val="tx1"/>
            </w14:solidFill>
          </w14:textFill>
        </w:rPr>
        <w:t>已具备</w:t>
      </w:r>
      <w:r>
        <w:rPr>
          <w:rFonts w:hint="eastAsia" w:ascii="宋体" w:hAnsi="宋体" w:cs="宋体"/>
          <w:color w:val="000000" w:themeColor="text1"/>
          <w:szCs w:val="21"/>
          <w:u w:val="single"/>
          <w:lang w:val="en-US" w:eastAsia="zh-CN"/>
          <w14:textFill>
            <w14:solidFill>
              <w14:schemeClr w14:val="tx1"/>
            </w14:solidFill>
          </w14:textFill>
        </w:rPr>
        <w:t>施工条件</w:t>
      </w:r>
      <w:r>
        <w:rPr>
          <w:rFonts w:hint="eastAsia" w:ascii="宋体" w:hAnsi="宋体" w:cs="宋体"/>
          <w:color w:val="000000" w:themeColor="text1"/>
          <w:szCs w:val="21"/>
          <w:u w:val="single"/>
          <w14:textFill>
            <w14:solidFill>
              <w14:schemeClr w14:val="tx1"/>
            </w14:solidFill>
          </w14:textFill>
        </w:rPr>
        <w:t>。</w:t>
      </w:r>
    </w:p>
    <w:p w14:paraId="2AF12CBD">
      <w:pPr>
        <w:tabs>
          <w:tab w:val="left" w:pos="0"/>
        </w:tabs>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（2）将施工所需的水、电接至施工场地的时间、地点和供应要求：</w:t>
      </w:r>
      <w:r>
        <w:rPr>
          <w:rFonts w:hint="eastAsia" w:ascii="宋体" w:hAnsi="宋体" w:cs="宋体"/>
          <w:color w:val="000000" w:themeColor="text1"/>
          <w:szCs w:val="21"/>
          <w:u w:val="single"/>
          <w14:textFill>
            <w14:solidFill>
              <w14:schemeClr w14:val="tx1"/>
            </w14:solidFill>
          </w14:textFill>
        </w:rPr>
        <w:t>施工用水、用电及接至施工现场内及进入施工现场的交通条件由</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人自行解决，费用由</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人自理已包含在合同总价中。</w:t>
      </w:r>
    </w:p>
    <w:p w14:paraId="0E041DEA">
      <w:pPr>
        <w:tabs>
          <w:tab w:val="left" w:pos="0"/>
        </w:tabs>
        <w:spacing w:line="400" w:lineRule="exact"/>
        <w:ind w:firstLine="525" w:firstLineChars="25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（3）施工场地与公共道路的通道开通时间和要求</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已开通并经乙方确认具备施工条件</w:t>
      </w:r>
    </w:p>
    <w:p w14:paraId="2FFC1FD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（4）工程地质和地下管线资料的提供时间：</w:t>
      </w:r>
      <w:r>
        <w:rPr>
          <w:rFonts w:hint="eastAsia" w:ascii="宋体" w:hAnsi="宋体" w:cs="宋体"/>
          <w:color w:val="000000" w:themeColor="text1"/>
          <w:szCs w:val="21"/>
          <w:u w:val="single"/>
          <w14:textFill>
            <w14:solidFill>
              <w14:schemeClr w14:val="tx1"/>
            </w14:solidFill>
          </w14:textFill>
        </w:rPr>
        <w:t>工程开工前提供现有资料。</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人应结合现场情况对其准确性进行复核，并对复核结果负责。</w:t>
      </w:r>
    </w:p>
    <w:p w14:paraId="6FA0D9AF">
      <w:pPr>
        <w:tabs>
          <w:tab w:val="left" w:pos="0"/>
        </w:tabs>
        <w:spacing w:line="400" w:lineRule="exact"/>
        <w:ind w:firstLine="525" w:firstLineChars="25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（5）由发包人办理的施工所需证件、批件的名称和完成时间：</w:t>
      </w:r>
      <w:r>
        <w:rPr>
          <w:rFonts w:hint="eastAsia" w:ascii="宋体" w:hAnsi="宋体" w:cs="宋体"/>
          <w:color w:val="000000" w:themeColor="text1"/>
          <w:sz w:val="24"/>
          <w:szCs w:val="24"/>
          <w:u w:val="single"/>
          <w:lang w:val="en-US" w:eastAsia="zh-CN"/>
          <w14:textFill>
            <w14:solidFill>
              <w14:schemeClr w14:val="tx1"/>
            </w14:solidFill>
          </w14:textFill>
        </w:rPr>
        <w:t>本工程所需</w:t>
      </w:r>
      <w:r>
        <w:rPr>
          <w:rFonts w:hint="eastAsia" w:ascii="宋体" w:hAnsi="宋体" w:cs="宋体"/>
          <w:color w:val="000000" w:themeColor="text1"/>
          <w:szCs w:val="21"/>
          <w:u w:val="single"/>
          <w14:textFill>
            <w14:solidFill>
              <w14:schemeClr w14:val="tx1"/>
            </w14:solidFill>
          </w14:textFill>
        </w:rPr>
        <w:t>证件</w:t>
      </w:r>
      <w:r>
        <w:rPr>
          <w:rFonts w:hint="eastAsia" w:ascii="宋体" w:hAnsi="宋体" w:cs="宋体"/>
          <w:color w:val="000000" w:themeColor="text1"/>
          <w:szCs w:val="21"/>
          <w:u w:val="single"/>
          <w:lang w:val="en-US" w:eastAsia="zh-CN"/>
          <w14:textFill>
            <w14:solidFill>
              <w14:schemeClr w14:val="tx1"/>
            </w14:solidFill>
          </w14:textFill>
        </w:rPr>
        <w:t>及施工审批手续</w:t>
      </w:r>
      <w:r>
        <w:rPr>
          <w:rFonts w:hint="eastAsia" w:ascii="宋体" w:hAnsi="宋体" w:cs="宋体"/>
          <w:color w:val="000000" w:themeColor="text1"/>
          <w:szCs w:val="21"/>
          <w:u w:val="single"/>
          <w14:textFill>
            <w14:solidFill>
              <w14:schemeClr w14:val="tx1"/>
            </w14:solidFill>
          </w14:textFill>
        </w:rPr>
        <w:t>由</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人办理，以</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人为主，发包人仅进行协助。</w:t>
      </w:r>
    </w:p>
    <w:p w14:paraId="57AC8DD5">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38" w:name="_Toc351203647"/>
      <w:bookmarkStart w:id="439" w:name="_Toc408954376"/>
      <w:bookmarkStart w:id="440" w:name="_Toc409646794"/>
      <w:bookmarkStart w:id="441" w:name="_Hlk4784917"/>
      <w:r>
        <w:rPr>
          <w:rFonts w:hint="eastAsia" w:ascii="宋体" w:hAnsi="宋体" w:cs="宋体"/>
          <w:bCs/>
          <w:color w:val="000000" w:themeColor="text1"/>
          <w:szCs w:val="21"/>
          <w:lang w:eastAsia="zh-CN"/>
          <w14:textFill>
            <w14:solidFill>
              <w14:schemeClr w14:val="tx1"/>
            </w14:solidFill>
          </w14:textFill>
        </w:rPr>
        <w:t>七</w:t>
      </w:r>
      <w:r>
        <w:rPr>
          <w:rFonts w:hint="eastAsia" w:ascii="宋体" w:hAnsi="宋体" w:cs="宋体"/>
          <w:bCs/>
          <w:color w:val="000000" w:themeColor="text1"/>
          <w:szCs w:val="21"/>
          <w14:textFill>
            <w14:solidFill>
              <w14:schemeClr w14:val="tx1"/>
            </w14:solidFill>
          </w14:textFill>
        </w:rPr>
        <w:t xml:space="preserve">. </w:t>
      </w:r>
      <w:bookmarkEnd w:id="438"/>
      <w:r>
        <w:rPr>
          <w:rFonts w:hint="eastAsia" w:ascii="宋体" w:hAnsi="宋体" w:cs="宋体"/>
          <w:bCs/>
          <w:color w:val="000000" w:themeColor="text1"/>
          <w:szCs w:val="21"/>
          <w:lang w:val="en-US" w:eastAsia="zh-CN"/>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责任期与保修</w:t>
      </w:r>
      <w:bookmarkEnd w:id="439"/>
      <w:bookmarkEnd w:id="440"/>
    </w:p>
    <w:p w14:paraId="2116DD8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42" w:name="_Toc408954377"/>
      <w:bookmarkStart w:id="443" w:name="_Toc409646795"/>
      <w:r>
        <w:rPr>
          <w:rFonts w:hint="eastAsia"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lang w:val="en-US" w:eastAsia="zh-CN"/>
          <w14:textFill>
            <w14:solidFill>
              <w14:schemeClr w14:val="tx1"/>
            </w14:solidFill>
          </w14:textFill>
        </w:rPr>
        <w:t>质保</w:t>
      </w:r>
      <w:r>
        <w:rPr>
          <w:rFonts w:hint="eastAsia" w:ascii="宋体" w:hAnsi="宋体" w:cs="宋体"/>
          <w:bCs/>
          <w:color w:val="000000" w:themeColor="text1"/>
          <w:szCs w:val="21"/>
          <w14:textFill>
            <w14:solidFill>
              <w14:schemeClr w14:val="tx1"/>
            </w14:solidFill>
          </w14:textFill>
        </w:rPr>
        <w:t>责任期</w:t>
      </w:r>
      <w:bookmarkEnd w:id="442"/>
      <w:bookmarkEnd w:id="443"/>
    </w:p>
    <w:p w14:paraId="4453DC7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质保</w:t>
      </w:r>
      <w:r>
        <w:rPr>
          <w:rFonts w:hint="eastAsia" w:ascii="宋体" w:hAnsi="宋体" w:cs="宋体"/>
          <w:color w:val="000000" w:themeColor="text1"/>
          <w:szCs w:val="21"/>
          <w14:textFill>
            <w14:solidFill>
              <w14:schemeClr w14:val="tx1"/>
            </w14:solidFill>
          </w14:textFill>
        </w:rPr>
        <w:t>责任期的具体期限：</w:t>
      </w:r>
      <w:r>
        <w:rPr>
          <w:rFonts w:hint="eastAsia" w:ascii="宋体" w:hAnsi="宋体" w:cs="宋体"/>
          <w:color w:val="000000" w:themeColor="text1"/>
          <w:szCs w:val="21"/>
          <w:u w:val="single"/>
          <w:lang w:val="en-US" w:eastAsia="zh-CN"/>
          <w14:textFill>
            <w14:solidFill>
              <w14:schemeClr w14:val="tx1"/>
            </w14:solidFill>
          </w14:textFill>
        </w:rPr>
        <w:t>工程竣工验收合格之日起</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u w:val="single"/>
          <w14:textFill>
            <w14:solidFill>
              <w14:schemeClr w14:val="tx1"/>
            </w14:solidFill>
          </w14:textFill>
        </w:rPr>
        <w:t>个月</w:t>
      </w:r>
      <w:r>
        <w:rPr>
          <w:rFonts w:hint="eastAsia" w:ascii="宋体" w:hAnsi="宋体" w:cs="宋体"/>
          <w:color w:val="000000" w:themeColor="text1"/>
          <w:szCs w:val="21"/>
          <w14:textFill>
            <w14:solidFill>
              <w14:schemeClr w14:val="tx1"/>
            </w14:solidFill>
          </w14:textFill>
        </w:rPr>
        <w:t>。</w:t>
      </w:r>
    </w:p>
    <w:p w14:paraId="373F45F1">
      <w:pPr>
        <w:tabs>
          <w:tab w:val="left" w:pos="0"/>
        </w:tabs>
        <w:spacing w:line="400" w:lineRule="exact"/>
        <w:ind w:firstLine="525" w:firstLineChars="250"/>
        <w:rPr>
          <w:rFonts w:hint="eastAsia"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工程因设计、施工存在的缺陷责任期：</w:t>
      </w:r>
      <w:r>
        <w:rPr>
          <w:rFonts w:hint="eastAsia" w:ascii="宋体" w:hAnsi="宋体" w:cs="宋体"/>
          <w:color w:val="000000" w:themeColor="text1"/>
          <w:szCs w:val="21"/>
          <w:u w:val="single"/>
          <w:lang w:val="en-US" w:eastAsia="zh-CN"/>
          <w14:textFill>
            <w14:solidFill>
              <w14:schemeClr w14:val="tx1"/>
            </w14:solidFill>
          </w14:textFill>
        </w:rPr>
        <w:t>自发现之日起24个月</w:t>
      </w:r>
    </w:p>
    <w:p w14:paraId="27423F72">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44" w:name="_Toc409646796"/>
      <w:bookmarkStart w:id="445" w:name="_Toc408954378"/>
      <w:r>
        <w:rPr>
          <w:rFonts w:hint="eastAsia" w:ascii="宋体" w:hAnsi="宋体" w:cs="宋体"/>
          <w:bCs/>
          <w:color w:val="000000" w:themeColor="text1"/>
          <w:szCs w:val="21"/>
          <w14:textFill>
            <w14:solidFill>
              <w14:schemeClr w14:val="tx1"/>
            </w14:solidFill>
          </w14:textFill>
        </w:rPr>
        <w:t>2、质量保证金</w:t>
      </w:r>
      <w:bookmarkEnd w:id="444"/>
      <w:bookmarkEnd w:id="445"/>
    </w:p>
    <w:p w14:paraId="127A898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关于是否扣留质量保证金的约定：</w:t>
      </w:r>
      <w:r>
        <w:rPr>
          <w:rFonts w:hint="eastAsia" w:ascii="宋体" w:hAnsi="宋体" w:cs="宋体"/>
          <w:color w:val="000000" w:themeColor="text1"/>
          <w:szCs w:val="21"/>
          <w:u w:val="single"/>
          <w:lang w:val="en-US" w:eastAsia="zh-CN"/>
          <w14:textFill>
            <w14:solidFill>
              <w14:schemeClr w14:val="tx1"/>
            </w14:solidFill>
          </w14:textFill>
        </w:rPr>
        <w:t>工程总额的</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w:t>
      </w:r>
    </w:p>
    <w:p w14:paraId="6B09393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人提供质量保证金的方式</w:t>
      </w:r>
    </w:p>
    <w:p w14:paraId="4B0FD64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质量保证金采用以下第</w:t>
      </w:r>
      <w:r>
        <w:rPr>
          <w:rFonts w:hint="eastAsia" w:ascii="宋体" w:hAnsi="宋体" w:cs="宋体"/>
          <w:color w:val="000000" w:themeColor="text1"/>
          <w:szCs w:val="21"/>
          <w:u w:val="single"/>
          <w:lang w:val="en-US" w:eastAsia="zh-CN"/>
          <w14:textFill>
            <w14:solidFill>
              <w14:schemeClr w14:val="tx1"/>
            </w14:solidFill>
          </w14:textFill>
        </w:rPr>
        <w:t xml:space="preserve"> 2</w:t>
      </w:r>
      <w:r>
        <w:rPr>
          <w:rFonts w:hint="eastAsia" w:ascii="宋体" w:hAnsi="宋体" w:cs="宋体"/>
          <w:color w:val="000000" w:themeColor="text1"/>
          <w:szCs w:val="21"/>
          <w14:textFill>
            <w14:solidFill>
              <w14:schemeClr w14:val="tx1"/>
            </w14:solidFill>
          </w14:textFill>
        </w:rPr>
        <w:t>种方式：</w:t>
      </w:r>
    </w:p>
    <w:p w14:paraId="4E818A7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（1）质量保证金保函，保证金额为：</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291209C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u w:val="none"/>
          <w:lang w:val="en-US" w:eastAsia="zh-CN"/>
          <w14:textFill>
            <w14:solidFill>
              <w14:schemeClr w14:val="tx1"/>
            </w14:solidFill>
          </w14:textFill>
        </w:rPr>
        <w:t>工程总额的</w:t>
      </w:r>
      <w:r>
        <w:rPr>
          <w:rFonts w:hint="eastAsia" w:ascii="宋体" w:hAnsi="宋体" w:cs="宋体"/>
          <w:color w:val="000000" w:themeColor="text1"/>
          <w:szCs w:val="21"/>
          <w14:textFill>
            <w14:solidFill>
              <w14:schemeClr w14:val="tx1"/>
            </w14:solidFill>
          </w14:textFill>
        </w:rPr>
        <w:t>3%的工程款；</w:t>
      </w:r>
    </w:p>
    <w:p w14:paraId="67381BE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（3）其他方式:</w:t>
      </w:r>
      <w:r>
        <w:rPr>
          <w:rFonts w:hint="eastAsia" w:ascii="宋体" w:hAnsi="宋体" w:cs="宋体"/>
          <w:color w:val="000000" w:themeColor="text1"/>
          <w:szCs w:val="21"/>
          <w:u w:val="single"/>
          <w14:textFill>
            <w14:solidFill>
              <w14:schemeClr w14:val="tx1"/>
            </w14:solidFill>
          </w14:textFill>
        </w:rPr>
        <w:t>/</w:t>
      </w:r>
    </w:p>
    <w:p w14:paraId="5CCFB36D">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2.2、 质量保证金的扣留 </w:t>
      </w:r>
    </w:p>
    <w:p w14:paraId="5A11920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质量保证金的扣留采取以下第</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cs="宋体"/>
          <w:color w:val="000000" w:themeColor="text1"/>
          <w:szCs w:val="21"/>
          <w14:textFill>
            <w14:solidFill>
              <w14:schemeClr w14:val="tx1"/>
            </w14:solidFill>
          </w14:textFill>
        </w:rPr>
        <w:t>种方式：</w:t>
      </w:r>
    </w:p>
    <w:p w14:paraId="42CF488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17F46A3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）进场时一次性缴纳质量保证金</w:t>
      </w:r>
      <w:r>
        <w:rPr>
          <w:rFonts w:hint="eastAsia" w:ascii="宋体" w:hAnsi="宋体" w:cs="宋体"/>
          <w:color w:val="000000" w:themeColor="text1"/>
          <w:szCs w:val="21"/>
          <w14:textFill>
            <w14:solidFill>
              <w14:schemeClr w14:val="tx1"/>
            </w14:solidFill>
          </w14:textFill>
        </w:rPr>
        <w:t>；</w:t>
      </w:r>
    </w:p>
    <w:p w14:paraId="3B95EF8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（3）其他扣留方式:</w:t>
      </w:r>
      <w:r>
        <w:rPr>
          <w:rFonts w:hint="eastAsia" w:ascii="宋体" w:hAnsi="宋体" w:cs="宋体"/>
          <w:color w:val="000000" w:themeColor="text1"/>
          <w:szCs w:val="21"/>
          <w:u w:val="single"/>
          <w14:textFill>
            <w14:solidFill>
              <w14:schemeClr w14:val="tx1"/>
            </w14:solidFill>
          </w14:textFill>
        </w:rPr>
        <w:t>/</w:t>
      </w:r>
    </w:p>
    <w:p w14:paraId="43BF49D8">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关于质量保证金的补充约定：</w:t>
      </w:r>
      <w:r>
        <w:rPr>
          <w:rFonts w:hint="eastAsia" w:ascii="宋体" w:hAnsi="宋体" w:cs="宋体"/>
          <w:color w:val="000000" w:themeColor="text1"/>
          <w:szCs w:val="21"/>
          <w:u w:val="single"/>
          <w:lang w:eastAsia="zh-CN"/>
          <w14:textFill>
            <w14:solidFill>
              <w14:schemeClr w14:val="tx1"/>
            </w14:solidFill>
          </w14:textFill>
        </w:rPr>
        <w:t>缺陷责任期满后一次性无息退还</w:t>
      </w:r>
      <w:r>
        <w:rPr>
          <w:rFonts w:hint="eastAsia" w:ascii="宋体" w:hAnsi="宋体" w:cs="宋体"/>
          <w:color w:val="000000" w:themeColor="text1"/>
          <w:szCs w:val="21"/>
          <w:u w:val="single"/>
          <w14:textFill>
            <w14:solidFill>
              <w14:schemeClr w14:val="tx1"/>
            </w14:solidFill>
          </w14:textFill>
        </w:rPr>
        <w:t>。</w:t>
      </w:r>
    </w:p>
    <w:p w14:paraId="048B4FFF">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46" w:name="_Toc409646797"/>
      <w:bookmarkStart w:id="447" w:name="_Toc408954379"/>
      <w:r>
        <w:rPr>
          <w:rFonts w:hint="eastAsia" w:ascii="宋体" w:hAnsi="宋体" w:cs="宋体"/>
          <w:bCs/>
          <w:color w:val="000000" w:themeColor="text1"/>
          <w:szCs w:val="21"/>
          <w14:textFill>
            <w14:solidFill>
              <w14:schemeClr w14:val="tx1"/>
            </w14:solidFill>
          </w14:textFill>
        </w:rPr>
        <w:t>3、保修</w:t>
      </w:r>
      <w:bookmarkEnd w:id="446"/>
      <w:bookmarkEnd w:id="447"/>
    </w:p>
    <w:p w14:paraId="4472357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 保修责任</w:t>
      </w:r>
    </w:p>
    <w:p w14:paraId="6379FE1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工程保修期为：</w:t>
      </w:r>
      <w:r>
        <w:rPr>
          <w:rFonts w:hint="eastAsia" w:ascii="宋体" w:hAnsi="宋体" w:cs="宋体"/>
          <w:color w:val="000000" w:themeColor="text1"/>
          <w:szCs w:val="21"/>
          <w:u w:val="single"/>
          <w:lang w:val="en-US" w:eastAsia="zh-CN"/>
          <w14:textFill>
            <w14:solidFill>
              <w14:schemeClr w14:val="tx1"/>
            </w14:solidFill>
          </w14:textFill>
        </w:rPr>
        <w:t xml:space="preserve"> 工程竣工验收合格之日起</w:t>
      </w:r>
      <w:r>
        <w:rPr>
          <w:rFonts w:hint="eastAsia" w:ascii="宋体" w:hAnsi="宋体" w:cs="宋体"/>
          <w:color w:val="000000" w:themeColor="text1"/>
          <w:szCs w:val="21"/>
          <w:highlight w:val="none"/>
          <w:u w:val="single"/>
          <w:lang w:val="en-US" w:eastAsia="zh-CN"/>
          <w14:textFill>
            <w14:solidFill>
              <w14:schemeClr w14:val="tx1"/>
            </w14:solidFill>
          </w14:textFill>
        </w:rPr>
        <w:t>24</w:t>
      </w:r>
      <w:r>
        <w:rPr>
          <w:rFonts w:hint="eastAsia" w:ascii="宋体" w:hAnsi="宋体" w:cs="宋体"/>
          <w:color w:val="000000" w:themeColor="text1"/>
          <w:szCs w:val="21"/>
          <w:u w:val="single"/>
          <w14:textFill>
            <w14:solidFill>
              <w14:schemeClr w14:val="tx1"/>
            </w14:solidFill>
          </w14:textFill>
        </w:rPr>
        <w:t>个月</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p>
    <w:p w14:paraId="7C63D40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 修复通知</w:t>
      </w:r>
    </w:p>
    <w:p w14:paraId="0BFF4B5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人收到保修通知并到达工程现场的合理时间：</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天内</w:t>
      </w:r>
      <w:r>
        <w:rPr>
          <w:rFonts w:hint="eastAsia" w:ascii="宋体" w:hAnsi="宋体" w:cs="宋体"/>
          <w:color w:val="000000" w:themeColor="text1"/>
          <w:szCs w:val="21"/>
          <w14:textFill>
            <w14:solidFill>
              <w14:schemeClr w14:val="tx1"/>
            </w14:solidFill>
          </w14:textFill>
        </w:rPr>
        <w:t>。</w:t>
      </w:r>
    </w:p>
    <w:p w14:paraId="69059DD4">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48" w:name="_Toc280868717"/>
      <w:bookmarkEnd w:id="448"/>
      <w:bookmarkStart w:id="449" w:name="_Toc280868718"/>
      <w:bookmarkEnd w:id="449"/>
      <w:bookmarkStart w:id="450" w:name="_Toc351203648"/>
      <w:bookmarkStart w:id="451" w:name="_Toc408954380"/>
      <w:bookmarkStart w:id="452" w:name="_Toc409646798"/>
      <w:r>
        <w:rPr>
          <w:rFonts w:hint="eastAsia" w:ascii="宋体" w:hAnsi="宋体" w:cs="宋体"/>
          <w:bCs/>
          <w:color w:val="000000" w:themeColor="text1"/>
          <w:szCs w:val="21"/>
          <w:lang w:eastAsia="zh-CN"/>
          <w14:textFill>
            <w14:solidFill>
              <w14:schemeClr w14:val="tx1"/>
            </w14:solidFill>
          </w14:textFill>
        </w:rPr>
        <w:t>八</w:t>
      </w:r>
      <w:r>
        <w:rPr>
          <w:rFonts w:hint="eastAsia" w:ascii="宋体" w:hAnsi="宋体" w:cs="宋体"/>
          <w:bCs/>
          <w:color w:val="000000" w:themeColor="text1"/>
          <w:szCs w:val="21"/>
          <w14:textFill>
            <w14:solidFill>
              <w14:schemeClr w14:val="tx1"/>
            </w14:solidFill>
          </w14:textFill>
        </w:rPr>
        <w:t xml:space="preserve">. </w:t>
      </w:r>
      <w:bookmarkEnd w:id="450"/>
      <w:r>
        <w:rPr>
          <w:rFonts w:hint="eastAsia" w:ascii="宋体" w:hAnsi="宋体" w:cs="宋体"/>
          <w:bCs/>
          <w:color w:val="000000" w:themeColor="text1"/>
          <w:szCs w:val="21"/>
          <w14:textFill>
            <w14:solidFill>
              <w14:schemeClr w14:val="tx1"/>
            </w14:solidFill>
          </w14:textFill>
        </w:rPr>
        <w:t>违约</w:t>
      </w:r>
      <w:bookmarkEnd w:id="451"/>
      <w:bookmarkEnd w:id="452"/>
    </w:p>
    <w:p w14:paraId="3C5B0C35">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53" w:name="_Toc409646799"/>
      <w:bookmarkStart w:id="454" w:name="_Toc408954381"/>
      <w:r>
        <w:rPr>
          <w:rFonts w:hint="eastAsia" w:ascii="宋体" w:hAnsi="宋体" w:cs="宋体"/>
          <w:bCs/>
          <w:color w:val="000000" w:themeColor="text1"/>
          <w:szCs w:val="21"/>
          <w14:textFill>
            <w14:solidFill>
              <w14:schemeClr w14:val="tx1"/>
            </w14:solidFill>
          </w14:textFill>
        </w:rPr>
        <w:t>1 、发包人违约</w:t>
      </w:r>
      <w:bookmarkEnd w:id="453"/>
      <w:bookmarkEnd w:id="454"/>
    </w:p>
    <w:p w14:paraId="6678CAF4">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1.1发包人违约的情形</w:t>
      </w:r>
    </w:p>
    <w:p w14:paraId="69FF989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发包人违约的其他情形：</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3AD5E5DB">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 发包人违约的责任</w:t>
      </w:r>
    </w:p>
    <w:p w14:paraId="183EA16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发包人违约责任的承担方式和计算方法：</w:t>
      </w:r>
    </w:p>
    <w:p w14:paraId="762B0492">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（1）因发包人原因未能在计划开工日期前7日内下达开工通知的违约责任：</w:t>
      </w:r>
      <w:r>
        <w:rPr>
          <w:rFonts w:hint="eastAsia" w:ascii="宋体" w:hAnsi="宋体" w:cs="宋体"/>
          <w:color w:val="000000" w:themeColor="text1"/>
          <w:szCs w:val="21"/>
          <w:u w:val="single"/>
          <w14:textFill>
            <w14:solidFill>
              <w14:schemeClr w14:val="tx1"/>
            </w14:solidFill>
          </w14:textFill>
        </w:rPr>
        <w:t>/</w:t>
      </w:r>
    </w:p>
    <w:p w14:paraId="7CD05F47">
      <w:pPr>
        <w:tabs>
          <w:tab w:val="left" w:pos="0"/>
        </w:tabs>
        <w:spacing w:line="400" w:lineRule="exact"/>
        <w:ind w:firstLine="525" w:firstLineChars="25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（2）因发包人原因未能按合同约定支付合同价款的违约责任：</w:t>
      </w:r>
      <w:r>
        <w:rPr>
          <w:rFonts w:hint="eastAsia" w:ascii="宋体" w:hAnsi="宋体" w:cs="宋体"/>
          <w:color w:val="000000" w:themeColor="text1"/>
          <w:szCs w:val="21"/>
          <w:u w:val="single"/>
          <w14:textFill>
            <w14:solidFill>
              <w14:schemeClr w14:val="tx1"/>
            </w14:solidFill>
          </w14:textFill>
        </w:rPr>
        <w:t>按应支付未付款金额承担银行</w:t>
      </w:r>
      <w:r>
        <w:rPr>
          <w:rFonts w:hint="eastAsia" w:ascii="宋体" w:hAnsi="宋体" w:cs="宋体"/>
          <w:color w:val="000000" w:themeColor="text1"/>
          <w:szCs w:val="21"/>
          <w:u w:val="single"/>
          <w:lang w:val="en-US" w:eastAsia="zh-CN"/>
          <w14:textFill>
            <w14:solidFill>
              <w14:schemeClr w14:val="tx1"/>
            </w14:solidFill>
          </w14:textFill>
        </w:rPr>
        <w:t>当年</w:t>
      </w:r>
      <w:r>
        <w:rPr>
          <w:rFonts w:hint="eastAsia" w:ascii="宋体" w:hAnsi="宋体" w:cs="宋体"/>
          <w:color w:val="000000" w:themeColor="text1"/>
          <w:szCs w:val="21"/>
          <w:u w:val="single"/>
          <w14:textFill>
            <w14:solidFill>
              <w14:schemeClr w14:val="tx1"/>
            </w14:solidFill>
          </w14:textFill>
        </w:rPr>
        <w:t>同期贷款</w:t>
      </w:r>
      <w:r>
        <w:rPr>
          <w:rFonts w:hint="eastAsia" w:ascii="宋体" w:hAnsi="宋体" w:cs="宋体"/>
          <w:color w:val="000000" w:themeColor="text1"/>
          <w:szCs w:val="21"/>
          <w:u w:val="single"/>
          <w:lang w:val="en-US" w:eastAsia="zh-CN"/>
          <w14:textFill>
            <w14:solidFill>
              <w14:schemeClr w14:val="tx1"/>
            </w14:solidFill>
          </w14:textFill>
        </w:rPr>
        <w:t>利率</w:t>
      </w:r>
      <w:r>
        <w:rPr>
          <w:rFonts w:hint="eastAsia" w:ascii="宋体" w:hAnsi="宋体" w:cs="宋体"/>
          <w:color w:val="000000" w:themeColor="text1"/>
          <w:szCs w:val="21"/>
          <w:u w:val="single"/>
          <w:lang w:eastAsia="zh-CN"/>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即LPR</w:t>
      </w:r>
      <w:r>
        <w:rPr>
          <w:rFonts w:hint="eastAsia" w:ascii="宋体" w:hAnsi="宋体" w:cs="宋体"/>
          <w:color w:val="000000" w:themeColor="text1"/>
          <w:szCs w:val="21"/>
          <w:u w:val="single"/>
          <w:lang w:eastAsia="zh-CN"/>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计算</w:t>
      </w:r>
      <w:r>
        <w:rPr>
          <w:rFonts w:hint="eastAsia" w:ascii="宋体" w:hAnsi="宋体" w:cs="宋体"/>
          <w:color w:val="000000" w:themeColor="text1"/>
          <w:szCs w:val="21"/>
          <w:u w:val="single"/>
          <w14:textFill>
            <w14:solidFill>
              <w14:schemeClr w14:val="tx1"/>
            </w14:solidFill>
          </w14:textFill>
        </w:rPr>
        <w:t>利息。</w:t>
      </w:r>
    </w:p>
    <w:p w14:paraId="5ACB870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（3）发包人提供的材料、工程设备的规格、数量或质量不符合合同约定，或因发包人原因导致交货日期延误或交货地点变更等情况的违约责任：。</w:t>
      </w:r>
    </w:p>
    <w:p w14:paraId="0B7D886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）其他：</w:t>
      </w:r>
      <w:r>
        <w:rPr>
          <w:rFonts w:hint="eastAsia" w:ascii="宋体" w:hAnsi="宋体" w:cs="宋体"/>
          <w:color w:val="000000" w:themeColor="text1"/>
          <w:szCs w:val="21"/>
          <w:u w:val="single"/>
          <w14:textFill>
            <w14:solidFill>
              <w14:schemeClr w14:val="tx1"/>
            </w14:solidFill>
          </w14:textFill>
        </w:rPr>
        <w:t>/</w:t>
      </w:r>
    </w:p>
    <w:p w14:paraId="41C7851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 因发包人违约解除合同</w:t>
      </w:r>
    </w:p>
    <w:p w14:paraId="0AC56F2E">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人按1.1项〔发包人违约的情形〕约定暂停施工满</w:t>
      </w:r>
      <w:r>
        <w:rPr>
          <w:rFonts w:hint="eastAsia" w:ascii="宋体" w:hAnsi="宋体" w:cs="宋体"/>
          <w:color w:val="000000" w:themeColor="text1"/>
          <w:szCs w:val="21"/>
          <w:u w:val="single"/>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日后发包人仍不纠正其违约行为并致使合同目的不能实现的，</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人有权解除合同。</w:t>
      </w:r>
    </w:p>
    <w:p w14:paraId="25EF66B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55" w:name="_Toc408954382"/>
      <w:bookmarkStart w:id="456" w:name="_Toc409646800"/>
      <w:r>
        <w:rPr>
          <w:rFonts w:hint="eastAsia" w:ascii="宋体" w:hAnsi="宋体" w:cs="宋体"/>
          <w:bCs/>
          <w:color w:val="000000" w:themeColor="text1"/>
          <w:szCs w:val="21"/>
          <w14:textFill>
            <w14:solidFill>
              <w14:schemeClr w14:val="tx1"/>
            </w14:solidFill>
          </w14:textFill>
        </w:rPr>
        <w:t>2 、</w:t>
      </w:r>
      <w:r>
        <w:rPr>
          <w:rFonts w:hint="eastAsia" w:ascii="宋体" w:hAnsi="宋体" w:cs="宋体"/>
          <w:bCs/>
          <w:color w:val="000000" w:themeColor="text1"/>
          <w:szCs w:val="21"/>
          <w:lang w:eastAsia="zh-CN"/>
          <w14:textFill>
            <w14:solidFill>
              <w14:schemeClr w14:val="tx1"/>
            </w14:solidFill>
          </w14:textFill>
        </w:rPr>
        <w:t>承揽</w:t>
      </w:r>
      <w:r>
        <w:rPr>
          <w:rFonts w:hint="eastAsia" w:ascii="宋体" w:hAnsi="宋体" w:cs="宋体"/>
          <w:bCs/>
          <w:color w:val="000000" w:themeColor="text1"/>
          <w:szCs w:val="21"/>
          <w14:textFill>
            <w14:solidFill>
              <w14:schemeClr w14:val="tx1"/>
            </w14:solidFill>
          </w14:textFill>
        </w:rPr>
        <w:t>人违约</w:t>
      </w:r>
      <w:bookmarkEnd w:id="455"/>
      <w:bookmarkEnd w:id="456"/>
    </w:p>
    <w:p w14:paraId="29CE525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 </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人违约的情形</w:t>
      </w:r>
    </w:p>
    <w:p w14:paraId="48F9C3D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人违约的其他情形：</w:t>
      </w:r>
    </w:p>
    <w:p w14:paraId="0A05BFCF">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(1)由于</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人不按施工及验收规范施工，工程施工质量不符合要求，或使用</w:t>
      </w:r>
      <w:r>
        <w:rPr>
          <w:rFonts w:hint="eastAsia" w:ascii="宋体" w:hAnsi="宋体" w:cs="宋体"/>
          <w:color w:val="000000" w:themeColor="text1"/>
          <w:szCs w:val="21"/>
          <w:lang w:val="en-US" w:eastAsia="zh-CN"/>
          <w14:textFill>
            <w14:solidFill>
              <w14:schemeClr w14:val="tx1"/>
            </w14:solidFill>
          </w14:textFill>
        </w:rPr>
        <w:t>产品质量不合格或</w:t>
      </w:r>
      <w:r>
        <w:rPr>
          <w:rFonts w:hint="eastAsia" w:ascii="宋体" w:hAnsi="宋体" w:cs="宋体"/>
          <w:color w:val="000000" w:themeColor="text1"/>
          <w:szCs w:val="21"/>
          <w14:textFill>
            <w14:solidFill>
              <w14:schemeClr w14:val="tx1"/>
            </w14:solidFill>
          </w14:textFill>
        </w:rPr>
        <w:t>不符合本合同约定的材料，不听从发包人的指令；</w:t>
      </w:r>
    </w:p>
    <w:p w14:paraId="386C397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人现场管理混乱，工程工期不满足要求，且不服从发包人的管理、协调；</w:t>
      </w:r>
    </w:p>
    <w:p w14:paraId="1C5DE416">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 xml:space="preserve">人不按有关安全文明施工的要求和规定施工等。 </w:t>
      </w:r>
    </w:p>
    <w:p w14:paraId="41CE9158">
      <w:pPr>
        <w:tabs>
          <w:tab w:val="left" w:pos="0"/>
        </w:tabs>
        <w:spacing w:line="400" w:lineRule="exact"/>
        <w:ind w:firstLine="525" w:firstLineChars="250"/>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其他违反法律、行政法规及本合同约定的行为。</w:t>
      </w:r>
    </w:p>
    <w:p w14:paraId="2855ECB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人违约的责任</w:t>
      </w:r>
    </w:p>
    <w:p w14:paraId="09F329EC">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人违约责任的承担方式和计算方法：</w:t>
      </w:r>
    </w:p>
    <w:p w14:paraId="383DE73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人施工中对各工序施工质量自检后，经发包人或质检站复查，发现还有分项、分部工程不符合《建筑工程施工质量验收统一标准》及有关的施工验收规范的有关规定，每发生一次罚款500元。</w:t>
      </w:r>
    </w:p>
    <w:p w14:paraId="05A74E94">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人必须遵从发包人在项目实施过程中的相关管理规定及管理制度，并遵从发包人对现场总平面布置的控制，进行相应的施工平面布置，违反总平面规划将受到处罚，根据工程进度的需要，发包人有权指令</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人在规定时间内拆除相应临设或让出场地，发包人有权采取一切有效措施，保证各工种施工正常进行，由此造成</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人的一切损失由</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人负责。</w:t>
      </w:r>
    </w:p>
    <w:p w14:paraId="543BDC4E">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 因</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人违约解除合同</w:t>
      </w:r>
    </w:p>
    <w:p w14:paraId="3A76BC91">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人违约解除合同的特别约定：</w:t>
      </w:r>
      <w:r>
        <w:rPr>
          <w:rFonts w:hint="eastAsia" w:ascii="宋体" w:hAnsi="宋体" w:cs="宋体"/>
          <w:color w:val="000000" w:themeColor="text1"/>
          <w:szCs w:val="21"/>
          <w:u w:val="single"/>
          <w14:textFill>
            <w14:solidFill>
              <w14:schemeClr w14:val="tx1"/>
            </w14:solidFill>
          </w14:textFill>
        </w:rPr>
        <w:t>按</w:t>
      </w:r>
      <w:r>
        <w:rPr>
          <w:rFonts w:hint="eastAsia" w:ascii="宋体" w:hAnsi="宋体" w:cs="宋体"/>
          <w:color w:val="000000" w:themeColor="text1"/>
          <w:szCs w:val="21"/>
          <w:u w:val="single"/>
          <w:lang w:eastAsia="zh-CN"/>
          <w14:textFill>
            <w14:solidFill>
              <w14:schemeClr w14:val="tx1"/>
            </w14:solidFill>
          </w14:textFill>
        </w:rPr>
        <w:t>国家有关</w:t>
      </w:r>
      <w:r>
        <w:rPr>
          <w:rFonts w:hint="eastAsia" w:ascii="宋体" w:hAnsi="宋体" w:cs="宋体"/>
          <w:color w:val="000000" w:themeColor="text1"/>
          <w:szCs w:val="21"/>
          <w:u w:val="single"/>
          <w:lang w:val="en-US" w:eastAsia="zh-CN"/>
          <w14:textFill>
            <w14:solidFill>
              <w14:schemeClr w14:val="tx1"/>
            </w14:solidFill>
          </w14:textFill>
        </w:rPr>
        <w:t>法律法规</w:t>
      </w:r>
      <w:r>
        <w:rPr>
          <w:rFonts w:hint="eastAsia" w:ascii="宋体" w:hAnsi="宋体" w:cs="宋体"/>
          <w:color w:val="000000" w:themeColor="text1"/>
          <w:szCs w:val="21"/>
          <w:u w:val="single"/>
          <w:lang w:eastAsia="zh-CN"/>
          <w14:textFill>
            <w14:solidFill>
              <w14:schemeClr w14:val="tx1"/>
            </w14:solidFill>
          </w14:textFill>
        </w:rPr>
        <w:t>规定执行</w:t>
      </w:r>
      <w:r>
        <w:rPr>
          <w:rFonts w:hint="eastAsia" w:ascii="宋体" w:hAnsi="宋体" w:cs="宋体"/>
          <w:color w:val="000000" w:themeColor="text1"/>
          <w:szCs w:val="21"/>
          <w14:textFill>
            <w14:solidFill>
              <w14:schemeClr w14:val="tx1"/>
            </w14:solidFill>
          </w14:textFill>
        </w:rPr>
        <w:t>。</w:t>
      </w:r>
    </w:p>
    <w:p w14:paraId="11D56168">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bookmarkStart w:id="457" w:name="_Toc409646801"/>
      <w:bookmarkStart w:id="458" w:name="_Toc408954383"/>
      <w:r>
        <w:rPr>
          <w:rFonts w:hint="eastAsia" w:ascii="宋体" w:hAnsi="宋体" w:cs="宋体"/>
          <w:color w:val="000000" w:themeColor="text1"/>
          <w:szCs w:val="21"/>
          <w14:textFill>
            <w14:solidFill>
              <w14:schemeClr w14:val="tx1"/>
            </w14:solidFill>
          </w14:textFill>
        </w:rPr>
        <w:t>发包人继续使用</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人在施工现场的材料、设备、临时工程、</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人文件和由</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人或以其名义编制的其他文件的费用承担方式：双方另行协商。</w:t>
      </w:r>
      <w:bookmarkEnd w:id="457"/>
      <w:bookmarkEnd w:id="458"/>
    </w:p>
    <w:p w14:paraId="6788716B">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59" w:name="_Toc351203649"/>
      <w:bookmarkStart w:id="460" w:name="_Toc409646802"/>
      <w:bookmarkStart w:id="461" w:name="_Toc408954384"/>
      <w:r>
        <w:rPr>
          <w:rFonts w:hint="eastAsia" w:ascii="宋体" w:hAnsi="宋体" w:cs="宋体"/>
          <w:bCs/>
          <w:color w:val="000000" w:themeColor="text1"/>
          <w:szCs w:val="21"/>
          <w:lang w:eastAsia="zh-CN"/>
          <w14:textFill>
            <w14:solidFill>
              <w14:schemeClr w14:val="tx1"/>
            </w14:solidFill>
          </w14:textFill>
        </w:rPr>
        <w:t>九</w:t>
      </w:r>
      <w:r>
        <w:rPr>
          <w:rFonts w:hint="eastAsia" w:ascii="宋体" w:hAnsi="宋体" w:cs="宋体"/>
          <w:bCs/>
          <w:color w:val="000000" w:themeColor="text1"/>
          <w:szCs w:val="21"/>
          <w14:textFill>
            <w14:solidFill>
              <w14:schemeClr w14:val="tx1"/>
            </w14:solidFill>
          </w14:textFill>
        </w:rPr>
        <w:t xml:space="preserve">. </w:t>
      </w:r>
      <w:bookmarkEnd w:id="459"/>
      <w:r>
        <w:rPr>
          <w:rFonts w:hint="eastAsia" w:ascii="宋体" w:hAnsi="宋体" w:cs="宋体"/>
          <w:bCs/>
          <w:color w:val="000000" w:themeColor="text1"/>
          <w:szCs w:val="21"/>
          <w14:textFill>
            <w14:solidFill>
              <w14:schemeClr w14:val="tx1"/>
            </w14:solidFill>
          </w14:textFill>
        </w:rPr>
        <w:t>不可抗力</w:t>
      </w:r>
      <w:bookmarkEnd w:id="460"/>
      <w:bookmarkEnd w:id="461"/>
    </w:p>
    <w:p w14:paraId="3148D349">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62" w:name="_Toc408954385"/>
      <w:bookmarkStart w:id="463" w:name="_Toc409646803"/>
      <w:r>
        <w:rPr>
          <w:rFonts w:hint="eastAsia" w:ascii="宋体" w:hAnsi="宋体" w:cs="宋体"/>
          <w:bCs/>
          <w:color w:val="000000" w:themeColor="text1"/>
          <w:szCs w:val="21"/>
          <w14:textFill>
            <w14:solidFill>
              <w14:schemeClr w14:val="tx1"/>
            </w14:solidFill>
          </w14:textFill>
        </w:rPr>
        <w:t>1 、不可抗力的确认</w:t>
      </w:r>
      <w:bookmarkEnd w:id="462"/>
      <w:bookmarkEnd w:id="463"/>
    </w:p>
    <w:p w14:paraId="068F733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cs="宋体"/>
          <w:color w:val="000000" w:themeColor="text1"/>
          <w:szCs w:val="21"/>
          <w:u w:val="single"/>
          <w14:textFill>
            <w14:solidFill>
              <w14:schemeClr w14:val="tx1"/>
            </w14:solidFill>
          </w14:textFill>
        </w:rPr>
        <w:t>按国家有关规定执行</w:t>
      </w:r>
      <w:r>
        <w:rPr>
          <w:rFonts w:hint="eastAsia" w:ascii="宋体" w:hAnsi="宋体" w:cs="宋体"/>
          <w:color w:val="000000" w:themeColor="text1"/>
          <w:szCs w:val="21"/>
          <w14:textFill>
            <w14:solidFill>
              <w14:schemeClr w14:val="tx1"/>
            </w14:solidFill>
          </w14:textFill>
        </w:rPr>
        <w:t>。</w:t>
      </w:r>
    </w:p>
    <w:p w14:paraId="4FAAFCC1">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64" w:name="_Toc409646804"/>
      <w:bookmarkStart w:id="465" w:name="_Toc408954386"/>
      <w:r>
        <w:rPr>
          <w:rFonts w:hint="eastAsia" w:ascii="宋体" w:hAnsi="宋体" w:cs="宋体"/>
          <w:bCs/>
          <w:color w:val="000000" w:themeColor="text1"/>
          <w:szCs w:val="21"/>
          <w14:textFill>
            <w14:solidFill>
              <w14:schemeClr w14:val="tx1"/>
            </w14:solidFill>
          </w14:textFill>
        </w:rPr>
        <w:t>2、 因不可抗力解除合同</w:t>
      </w:r>
      <w:bookmarkEnd w:id="464"/>
      <w:bookmarkEnd w:id="465"/>
    </w:p>
    <w:p w14:paraId="718C85D0">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合同解除后，发包人应在</w:t>
      </w:r>
      <w:r>
        <w:rPr>
          <w:rFonts w:hint="eastAsia" w:ascii="宋体" w:hAnsi="宋体" w:cs="宋体"/>
          <w:color w:val="000000" w:themeColor="text1"/>
          <w:szCs w:val="21"/>
          <w:lang w:val="en-US" w:eastAsia="zh-CN"/>
          <w14:textFill>
            <w14:solidFill>
              <w14:schemeClr w14:val="tx1"/>
            </w14:solidFill>
          </w14:textFill>
        </w:rPr>
        <w:t>结算后提交相关材料由大修基金管理部门审核后向承揽人支付工程款。</w:t>
      </w:r>
    </w:p>
    <w:p w14:paraId="0053AFC9">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66" w:name="_Toc351203650"/>
      <w:bookmarkStart w:id="467" w:name="_Toc409646805"/>
      <w:bookmarkStart w:id="468" w:name="_Toc408954387"/>
      <w:r>
        <w:rPr>
          <w:rFonts w:hint="eastAsia" w:ascii="宋体" w:hAnsi="宋体" w:cs="宋体"/>
          <w:bCs/>
          <w:color w:val="000000" w:themeColor="text1"/>
          <w:szCs w:val="21"/>
          <w14:textFill>
            <w14:solidFill>
              <w14:schemeClr w14:val="tx1"/>
            </w14:solidFill>
          </w14:textFill>
        </w:rPr>
        <w:t xml:space="preserve">十 </w:t>
      </w:r>
      <w:bookmarkEnd w:id="466"/>
      <w:r>
        <w:rPr>
          <w:rFonts w:hint="eastAsia" w:ascii="宋体" w:hAnsi="宋体" w:cs="宋体"/>
          <w:bCs/>
          <w:color w:val="000000" w:themeColor="text1"/>
          <w:szCs w:val="21"/>
          <w14:textFill>
            <w14:solidFill>
              <w14:schemeClr w14:val="tx1"/>
            </w14:solidFill>
          </w14:textFill>
        </w:rPr>
        <w:t>保险</w:t>
      </w:r>
      <w:bookmarkEnd w:id="467"/>
      <w:bookmarkEnd w:id="468"/>
    </w:p>
    <w:p w14:paraId="2CC5BA58">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69" w:name="_Toc408954388"/>
      <w:bookmarkStart w:id="470" w:name="_Toc409646806"/>
      <w:r>
        <w:rPr>
          <w:rFonts w:hint="eastAsia" w:ascii="宋体" w:hAnsi="宋体" w:cs="宋体"/>
          <w:bCs/>
          <w:color w:val="000000" w:themeColor="text1"/>
          <w:szCs w:val="21"/>
          <w14:textFill>
            <w14:solidFill>
              <w14:schemeClr w14:val="tx1"/>
            </w14:solidFill>
          </w14:textFill>
        </w:rPr>
        <w:t>1 、工程保险</w:t>
      </w:r>
      <w:bookmarkEnd w:id="469"/>
      <w:bookmarkEnd w:id="470"/>
    </w:p>
    <w:p w14:paraId="4F233D12">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关于工程保险的特别约定：</w:t>
      </w:r>
    </w:p>
    <w:p w14:paraId="61878B8A">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由承揽人</w:t>
      </w:r>
      <w:r>
        <w:rPr>
          <w:rFonts w:hint="eastAsia" w:ascii="宋体" w:hAnsi="宋体" w:cs="宋体"/>
          <w:color w:val="000000" w:themeColor="text1"/>
          <w:szCs w:val="21"/>
          <w:u w:val="single"/>
          <w14:textFill>
            <w14:solidFill>
              <w14:schemeClr w14:val="tx1"/>
            </w14:solidFill>
          </w14:textFill>
        </w:rPr>
        <w:t>按规定办理施工人员意外伤害保险并承担该项保险的一切费用。其他有关部门规定必须办理或要求办理的各类强制保险、劳动保险和</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人认为需投保的等由</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人自己负责办理并承担一切费用。</w:t>
      </w:r>
    </w:p>
    <w:p w14:paraId="4D5A1C17">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71" w:name="_Toc408954389"/>
      <w:bookmarkStart w:id="472" w:name="_Toc409646807"/>
      <w:r>
        <w:rPr>
          <w:rFonts w:hint="eastAsia" w:ascii="宋体" w:hAnsi="宋体" w:cs="宋体"/>
          <w:bCs/>
          <w:color w:val="000000" w:themeColor="text1"/>
          <w:szCs w:val="21"/>
          <w14:textFill>
            <w14:solidFill>
              <w14:schemeClr w14:val="tx1"/>
            </w14:solidFill>
          </w14:textFill>
        </w:rPr>
        <w:t>2、 其他保险</w:t>
      </w:r>
      <w:bookmarkEnd w:id="471"/>
      <w:bookmarkEnd w:id="472"/>
    </w:p>
    <w:p w14:paraId="1F20CE6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关于其他保险的约定：</w:t>
      </w:r>
      <w:r>
        <w:rPr>
          <w:rFonts w:hint="eastAsia" w:ascii="宋体" w:hAnsi="宋体" w:cs="宋体"/>
          <w:color w:val="000000" w:themeColor="text1"/>
          <w:szCs w:val="21"/>
          <w:u w:val="single"/>
          <w:lang w:eastAsia="zh-CN"/>
          <w14:textFill>
            <w14:solidFill>
              <w14:schemeClr w14:val="tx1"/>
            </w14:solidFill>
          </w14:textFill>
        </w:rPr>
        <w:t>承揽</w:t>
      </w:r>
      <w:r>
        <w:rPr>
          <w:rFonts w:hint="eastAsia" w:ascii="宋体" w:hAnsi="宋体" w:cs="宋体"/>
          <w:color w:val="000000" w:themeColor="text1"/>
          <w:szCs w:val="21"/>
          <w:u w:val="single"/>
          <w14:textFill>
            <w14:solidFill>
              <w14:schemeClr w14:val="tx1"/>
            </w14:solidFill>
          </w14:textFill>
        </w:rPr>
        <w:t>人必须按照法律规定参保</w:t>
      </w:r>
      <w:r>
        <w:rPr>
          <w:rFonts w:hint="eastAsia" w:ascii="宋体" w:hAnsi="宋体" w:cs="宋体"/>
          <w:color w:val="000000" w:themeColor="text1"/>
          <w:szCs w:val="21"/>
          <w14:textFill>
            <w14:solidFill>
              <w14:schemeClr w14:val="tx1"/>
            </w14:solidFill>
          </w14:textFill>
        </w:rPr>
        <w:t>。</w:t>
      </w:r>
    </w:p>
    <w:p w14:paraId="422EF335">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人是否应为其施工设备等办理财产保险：</w:t>
      </w:r>
      <w:r>
        <w:rPr>
          <w:rFonts w:hint="eastAsia" w:ascii="宋体" w:hAnsi="宋体" w:cs="宋体"/>
          <w:color w:val="000000" w:themeColor="text1"/>
          <w:szCs w:val="21"/>
          <w:u w:val="single"/>
          <w14:textFill>
            <w14:solidFill>
              <w14:schemeClr w14:val="tx1"/>
            </w14:solidFill>
          </w14:textFill>
        </w:rPr>
        <w:t>执行</w:t>
      </w:r>
      <w:r>
        <w:rPr>
          <w:rFonts w:hint="eastAsia" w:ascii="宋体" w:hAnsi="宋体" w:cs="宋体"/>
          <w:color w:val="000000" w:themeColor="text1"/>
          <w:szCs w:val="21"/>
          <w:u w:val="single"/>
          <w:lang w:eastAsia="zh-CN"/>
          <w14:textFill>
            <w14:solidFill>
              <w14:schemeClr w14:val="tx1"/>
            </w14:solidFill>
          </w14:textFill>
        </w:rPr>
        <w:t>国家有关规定</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115456D9">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73" w:name="_Toc409646808"/>
      <w:bookmarkStart w:id="474" w:name="_Toc408954390"/>
      <w:r>
        <w:rPr>
          <w:rFonts w:hint="eastAsia" w:ascii="宋体" w:hAnsi="宋体" w:cs="宋体"/>
          <w:bCs/>
          <w:color w:val="000000" w:themeColor="text1"/>
          <w:szCs w:val="21"/>
          <w14:textFill>
            <w14:solidFill>
              <w14:schemeClr w14:val="tx1"/>
            </w14:solidFill>
          </w14:textFill>
        </w:rPr>
        <w:t>3、 通知义务</w:t>
      </w:r>
      <w:bookmarkEnd w:id="473"/>
      <w:bookmarkEnd w:id="474"/>
    </w:p>
    <w:p w14:paraId="0C852F63">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关于变更保险合同时的通知义务的约定：</w:t>
      </w:r>
      <w:r>
        <w:rPr>
          <w:rFonts w:hint="eastAsia" w:ascii="宋体" w:hAnsi="宋体" w:cs="宋体"/>
          <w:color w:val="000000" w:themeColor="text1"/>
          <w:szCs w:val="21"/>
          <w:u w:val="single"/>
          <w14:textFill>
            <w14:solidFill>
              <w14:schemeClr w14:val="tx1"/>
            </w14:solidFill>
          </w14:textFill>
        </w:rPr>
        <w:t>执行</w:t>
      </w:r>
      <w:r>
        <w:rPr>
          <w:rFonts w:hint="eastAsia" w:ascii="宋体" w:hAnsi="宋体" w:cs="宋体"/>
          <w:color w:val="000000" w:themeColor="text1"/>
          <w:szCs w:val="21"/>
          <w:u w:val="single"/>
          <w:lang w:eastAsia="zh-CN"/>
          <w14:textFill>
            <w14:solidFill>
              <w14:schemeClr w14:val="tx1"/>
            </w14:solidFill>
          </w14:textFill>
        </w:rPr>
        <w:t>国家有关规定</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74828418">
      <w:pPr>
        <w:tabs>
          <w:tab w:val="left" w:pos="0"/>
        </w:tabs>
        <w:spacing w:line="400" w:lineRule="exact"/>
        <w:rPr>
          <w:rFonts w:hint="eastAsia" w:ascii="宋体" w:hAnsi="宋体" w:cs="宋体"/>
          <w:bCs/>
          <w:color w:val="000000" w:themeColor="text1"/>
          <w:szCs w:val="21"/>
          <w14:textFill>
            <w14:solidFill>
              <w14:schemeClr w14:val="tx1"/>
            </w14:solidFill>
          </w14:textFill>
        </w:rPr>
      </w:pPr>
      <w:bookmarkStart w:id="475" w:name="_Toc351203651"/>
      <w:bookmarkStart w:id="476" w:name="_Toc408954391"/>
      <w:bookmarkStart w:id="477" w:name="_Toc409646809"/>
      <w:r>
        <w:rPr>
          <w:rFonts w:hint="eastAsia" w:ascii="宋体" w:hAnsi="宋体" w:cs="宋体"/>
          <w:bCs/>
          <w:color w:val="000000" w:themeColor="text1"/>
          <w:szCs w:val="21"/>
          <w14:textFill>
            <w14:solidFill>
              <w14:schemeClr w14:val="tx1"/>
            </w14:solidFill>
          </w14:textFill>
        </w:rPr>
        <w:t>十</w:t>
      </w:r>
      <w:r>
        <w:rPr>
          <w:rFonts w:hint="eastAsia" w:ascii="宋体" w:hAnsi="宋体" w:cs="宋体"/>
          <w:bCs/>
          <w:color w:val="000000" w:themeColor="text1"/>
          <w:szCs w:val="21"/>
          <w:lang w:eastAsia="zh-CN"/>
          <w14:textFill>
            <w14:solidFill>
              <w14:schemeClr w14:val="tx1"/>
            </w14:solidFill>
          </w14:textFill>
        </w:rPr>
        <w:t>一</w:t>
      </w:r>
      <w:r>
        <w:rPr>
          <w:rFonts w:hint="eastAsia" w:ascii="宋体" w:hAnsi="宋体" w:cs="宋体"/>
          <w:bCs/>
          <w:color w:val="000000" w:themeColor="text1"/>
          <w:szCs w:val="21"/>
          <w14:textFill>
            <w14:solidFill>
              <w14:schemeClr w14:val="tx1"/>
            </w14:solidFill>
          </w14:textFill>
        </w:rPr>
        <w:t xml:space="preserve">. </w:t>
      </w:r>
      <w:bookmarkEnd w:id="475"/>
      <w:r>
        <w:rPr>
          <w:rFonts w:hint="eastAsia" w:ascii="宋体" w:hAnsi="宋体" w:cs="宋体"/>
          <w:bCs/>
          <w:color w:val="000000" w:themeColor="text1"/>
          <w:szCs w:val="21"/>
          <w14:textFill>
            <w14:solidFill>
              <w14:schemeClr w14:val="tx1"/>
            </w14:solidFill>
          </w14:textFill>
        </w:rPr>
        <w:t>争议解决</w:t>
      </w:r>
      <w:bookmarkEnd w:id="476"/>
      <w:bookmarkEnd w:id="477"/>
    </w:p>
    <w:p w14:paraId="20551363">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78" w:name="_Toc408954392"/>
      <w:bookmarkStart w:id="479" w:name="_Toc409646810"/>
      <w:r>
        <w:rPr>
          <w:rFonts w:hint="eastAsia" w:ascii="宋体" w:hAnsi="宋体" w:cs="宋体"/>
          <w:bCs/>
          <w:color w:val="000000" w:themeColor="text1"/>
          <w:szCs w:val="21"/>
          <w14:textFill>
            <w14:solidFill>
              <w14:schemeClr w14:val="tx1"/>
            </w14:solidFill>
          </w14:textFill>
        </w:rPr>
        <w:t>1、 争议评审</w:t>
      </w:r>
      <w:bookmarkEnd w:id="478"/>
      <w:bookmarkEnd w:id="479"/>
    </w:p>
    <w:p w14:paraId="5811948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合同当事人是否同意将工程争议提交争议评审小组决定：</w:t>
      </w:r>
      <w:r>
        <w:rPr>
          <w:rFonts w:hint="eastAsia" w:ascii="宋体" w:hAnsi="宋体" w:cs="宋体"/>
          <w:color w:val="000000" w:themeColor="text1"/>
          <w:szCs w:val="21"/>
          <w:u w:val="single"/>
          <w14:textFill>
            <w14:solidFill>
              <w14:schemeClr w14:val="tx1"/>
            </w14:solidFill>
          </w14:textFill>
        </w:rPr>
        <w:t>否</w:t>
      </w:r>
      <w:r>
        <w:rPr>
          <w:rFonts w:hint="eastAsia" w:ascii="宋体" w:hAnsi="宋体" w:cs="宋体"/>
          <w:color w:val="000000" w:themeColor="text1"/>
          <w:szCs w:val="21"/>
          <w14:textFill>
            <w14:solidFill>
              <w14:schemeClr w14:val="tx1"/>
            </w14:solidFill>
          </w14:textFill>
        </w:rPr>
        <w:t xml:space="preserve">。 </w:t>
      </w:r>
    </w:p>
    <w:p w14:paraId="24694BF0">
      <w:pPr>
        <w:tabs>
          <w:tab w:val="left" w:pos="0"/>
        </w:tabs>
        <w:spacing w:line="400" w:lineRule="exact"/>
        <w:ind w:firstLine="525" w:firstLineChars="250"/>
        <w:rPr>
          <w:rFonts w:hint="eastAsia" w:ascii="宋体" w:hAnsi="宋体" w:cs="宋体"/>
          <w:bCs/>
          <w:color w:val="000000" w:themeColor="text1"/>
          <w:szCs w:val="21"/>
          <w14:textFill>
            <w14:solidFill>
              <w14:schemeClr w14:val="tx1"/>
            </w14:solidFill>
          </w14:textFill>
        </w:rPr>
      </w:pPr>
      <w:bookmarkStart w:id="480" w:name="_Toc409646811"/>
      <w:bookmarkStart w:id="481" w:name="_Toc408954393"/>
      <w:r>
        <w:rPr>
          <w:rFonts w:hint="eastAsia" w:ascii="宋体" w:hAnsi="宋体" w:cs="宋体"/>
          <w:bCs/>
          <w:color w:val="000000" w:themeColor="text1"/>
          <w:szCs w:val="21"/>
          <w14:textFill>
            <w14:solidFill>
              <w14:schemeClr w14:val="tx1"/>
            </w14:solidFill>
          </w14:textFill>
        </w:rPr>
        <w:t>2、仲裁或诉讼</w:t>
      </w:r>
      <w:bookmarkEnd w:id="480"/>
      <w:bookmarkEnd w:id="481"/>
    </w:p>
    <w:p w14:paraId="2DB99E29">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因合同及合同有关事项发生的争议，按下列第</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种方式解决：</w:t>
      </w:r>
    </w:p>
    <w:p w14:paraId="36E5219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（1）向</w:t>
      </w:r>
      <w:r>
        <w:rPr>
          <w:rFonts w:hint="eastAsia" w:ascii="宋体" w:hAnsi="宋体" w:cs="宋体"/>
          <w:color w:val="000000" w:themeColor="text1"/>
          <w:szCs w:val="21"/>
          <w:u w:val="single"/>
          <w:lang w:val="en-US" w:eastAsia="zh-CN"/>
          <w14:textFill>
            <w14:solidFill>
              <w14:schemeClr w14:val="tx1"/>
            </w14:solidFill>
          </w14:textFill>
        </w:rPr>
        <w:t>大足</w:t>
      </w:r>
      <w:r>
        <w:rPr>
          <w:rFonts w:hint="eastAsia" w:ascii="宋体" w:hAnsi="宋体" w:cs="宋体"/>
          <w:color w:val="000000" w:themeColor="text1"/>
          <w:szCs w:val="21"/>
          <w:u w:val="single"/>
          <w14:textFill>
            <w14:solidFill>
              <w14:schemeClr w14:val="tx1"/>
            </w14:solidFill>
          </w14:textFill>
        </w:rPr>
        <w:t>仲裁委员会</w:t>
      </w:r>
      <w:r>
        <w:rPr>
          <w:rFonts w:hint="eastAsia" w:ascii="宋体" w:hAnsi="宋体" w:cs="宋体"/>
          <w:color w:val="000000" w:themeColor="text1"/>
          <w:szCs w:val="21"/>
          <w14:textFill>
            <w14:solidFill>
              <w14:schemeClr w14:val="tx1"/>
            </w14:solidFill>
          </w14:textFill>
        </w:rPr>
        <w:t>申请仲裁；</w:t>
      </w:r>
    </w:p>
    <w:p w14:paraId="16D91657">
      <w:pPr>
        <w:tabs>
          <w:tab w:val="left" w:pos="0"/>
        </w:tabs>
        <w:spacing w:line="400" w:lineRule="exact"/>
        <w:ind w:firstLine="525" w:firstLineChars="2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（2）向</w:t>
      </w:r>
      <w:r>
        <w:rPr>
          <w:rFonts w:hint="eastAsia" w:ascii="宋体" w:hAnsi="宋体" w:cs="宋体"/>
          <w:color w:val="000000" w:themeColor="text1"/>
          <w:szCs w:val="21"/>
          <w:u w:val="single"/>
          <w14:textFill>
            <w14:solidFill>
              <w14:schemeClr w14:val="tx1"/>
            </w14:solidFill>
          </w14:textFill>
        </w:rPr>
        <w:t>大足区人民法院</w:t>
      </w:r>
      <w:r>
        <w:rPr>
          <w:rFonts w:hint="eastAsia" w:ascii="宋体" w:hAnsi="宋体" w:cs="宋体"/>
          <w:color w:val="000000" w:themeColor="text1"/>
          <w:szCs w:val="21"/>
          <w14:textFill>
            <w14:solidFill>
              <w14:schemeClr w14:val="tx1"/>
            </w14:solidFill>
          </w14:textFill>
        </w:rPr>
        <w:t>起诉。</w:t>
      </w:r>
      <w:bookmarkEnd w:id="441"/>
    </w:p>
    <w:p w14:paraId="730CFF3F">
      <w:pPr>
        <w:pStyle w:val="16"/>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3、守约方因主张权益产生的费用（包括但不限于律师费、诉讼费、保全费、执行费、评估费、鉴定费、拍卖费、差旅费等）由违约方承担。</w:t>
      </w:r>
    </w:p>
    <w:p w14:paraId="37D687B8">
      <w:pPr>
        <w:rPr>
          <w:rFonts w:hint="default"/>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4、本合同双方载明的通信信息为双方履行本合同过程双方送达文件及产生争议时司法、行政机关或其他相关机构送达司法文书或文件的送达地址。</w:t>
      </w:r>
    </w:p>
    <w:p w14:paraId="7D7AA6E6">
      <w:pPr>
        <w:tabs>
          <w:tab w:val="left" w:pos="0"/>
        </w:tabs>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w:t>
      </w:r>
      <w:r>
        <w:rPr>
          <w:rFonts w:hint="eastAsia" w:ascii="宋体" w:hAnsi="宋体" w:cs="宋体"/>
          <w:color w:val="000000" w:themeColor="text1"/>
          <w:szCs w:val="21"/>
          <w:lang w:eastAsia="zh-CN"/>
          <w14:textFill>
            <w14:solidFill>
              <w14:schemeClr w14:val="tx1"/>
            </w14:solidFill>
          </w14:textFill>
        </w:rPr>
        <w:t>二</w:t>
      </w:r>
      <w:r>
        <w:rPr>
          <w:rFonts w:hint="eastAsia" w:cs="宋体"/>
          <w:bCs/>
          <w:color w:val="000000" w:themeColor="text1"/>
          <w:szCs w:val="21"/>
          <w14:textFill>
            <w14:solidFill>
              <w14:schemeClr w14:val="tx1"/>
            </w14:solidFill>
          </w14:textFill>
        </w:rPr>
        <w:t>、承诺</w:t>
      </w:r>
    </w:p>
    <w:p w14:paraId="4DF1ACB3">
      <w:pPr>
        <w:spacing w:line="480" w:lineRule="exact"/>
        <w:ind w:firstLine="420" w:firstLineChars="200"/>
        <w:rPr>
          <w:rFonts w:hint="eastAsia" w:ascii="宋体" w:hAnsi="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1.发包人承诺按照法律规定及合同约定履行项目审批手续</w:t>
      </w:r>
      <w:r>
        <w:rPr>
          <w:rFonts w:hint="eastAsia" w:ascii="宋体" w:hAnsi="宋体" w:cs="宋体"/>
          <w:bCs/>
          <w:color w:val="000000" w:themeColor="text1"/>
          <w:szCs w:val="21"/>
          <w:lang w:eastAsia="zh-CN"/>
          <w14:textFill>
            <w14:solidFill>
              <w14:schemeClr w14:val="tx1"/>
            </w14:solidFill>
          </w14:textFill>
        </w:rPr>
        <w:t>，审计完成后由大修基金管理单位直接向承担人支付。</w:t>
      </w:r>
    </w:p>
    <w:p w14:paraId="261D0E49">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lang w:eastAsia="zh-CN"/>
          <w14:textFill>
            <w14:solidFill>
              <w14:schemeClr w14:val="tx1"/>
            </w14:solidFill>
          </w14:textFill>
        </w:rPr>
        <w:t>承揽</w:t>
      </w:r>
      <w:r>
        <w:rPr>
          <w:rFonts w:hint="eastAsia" w:ascii="宋体" w:hAnsi="宋体" w:cs="宋体"/>
          <w:bCs/>
          <w:color w:val="000000" w:themeColor="text1"/>
          <w:szCs w:val="21"/>
          <w14:textFill>
            <w14:solidFill>
              <w14:schemeClr w14:val="tx1"/>
            </w14:solidFill>
          </w14:textFill>
        </w:rPr>
        <w:t>人承诺按照法律规定及合同约定组织完成工程施工，确保工程质量和安全，不进行</w:t>
      </w:r>
      <w:r>
        <w:rPr>
          <w:rFonts w:hint="eastAsia" w:ascii="宋体" w:hAnsi="宋体" w:cs="宋体"/>
          <w:bCs/>
          <w:color w:val="000000" w:themeColor="text1"/>
          <w:szCs w:val="21"/>
          <w:lang w:val="en-US" w:eastAsia="zh-CN"/>
          <w14:textFill>
            <w14:solidFill>
              <w14:schemeClr w14:val="tx1"/>
            </w14:solidFill>
          </w14:textFill>
        </w:rPr>
        <w:t>任何形式</w:t>
      </w:r>
      <w:r>
        <w:rPr>
          <w:rFonts w:hint="eastAsia" w:ascii="宋体" w:hAnsi="宋体" w:cs="宋体"/>
          <w:bCs/>
          <w:color w:val="000000" w:themeColor="text1"/>
          <w:szCs w:val="21"/>
          <w14:textFill>
            <w14:solidFill>
              <w14:schemeClr w14:val="tx1"/>
            </w14:solidFill>
          </w14:textFill>
        </w:rPr>
        <w:t>转包及违法分包。</w:t>
      </w:r>
    </w:p>
    <w:p w14:paraId="0E70DAE2">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三</w:t>
      </w:r>
      <w:r>
        <w:rPr>
          <w:rFonts w:hint="eastAsia" w:cs="宋体"/>
          <w:b w:val="0"/>
          <w:bCs/>
          <w:color w:val="000000" w:themeColor="text1"/>
          <w:szCs w:val="21"/>
          <w14:textFill>
            <w14:solidFill>
              <w14:schemeClr w14:val="tx1"/>
            </w14:solidFill>
          </w14:textFill>
        </w:rPr>
        <w:t>、签订时间和签订地点</w:t>
      </w:r>
    </w:p>
    <w:p w14:paraId="4AF159AC">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本合同于</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年</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月</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日在</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签订。</w:t>
      </w:r>
    </w:p>
    <w:p w14:paraId="0187A02B">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四</w:t>
      </w:r>
      <w:r>
        <w:rPr>
          <w:rFonts w:hint="eastAsia" w:cs="宋体"/>
          <w:b w:val="0"/>
          <w:bCs/>
          <w:color w:val="000000" w:themeColor="text1"/>
          <w:szCs w:val="21"/>
          <w14:textFill>
            <w14:solidFill>
              <w14:schemeClr w14:val="tx1"/>
            </w14:solidFill>
          </w14:textFill>
        </w:rPr>
        <w:t>、补充协议</w:t>
      </w:r>
    </w:p>
    <w:p w14:paraId="22369975">
      <w:pPr>
        <w:spacing w:line="48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合同未尽事宜，合同当事人另行签订补充协议，补充协议是合同的组成部分。</w:t>
      </w:r>
    </w:p>
    <w:p w14:paraId="4A560791">
      <w:pPr>
        <w:pStyle w:val="5"/>
        <w:spacing w:before="4" w:after="4" w:line="480" w:lineRule="exact"/>
        <w:jc w:val="left"/>
        <w:rPr>
          <w:rFonts w:hint="eastAsia" w:cs="宋体"/>
          <w:b w:val="0"/>
          <w:bCs/>
          <w:color w:val="000000" w:themeColor="text1"/>
          <w:szCs w:val="21"/>
          <w14:textFill>
            <w14:solidFill>
              <w14:schemeClr w14:val="tx1"/>
            </w14:solidFill>
          </w14:textFill>
        </w:rPr>
      </w:pPr>
      <w:r>
        <w:rPr>
          <w:rFonts w:hint="eastAsia" w:cs="宋体"/>
          <w:b w:val="0"/>
          <w:bCs/>
          <w:color w:val="000000" w:themeColor="text1"/>
          <w:szCs w:val="21"/>
          <w14:textFill>
            <w14:solidFill>
              <w14:schemeClr w14:val="tx1"/>
            </w14:solidFill>
          </w14:textFill>
        </w:rPr>
        <w:t>十</w:t>
      </w:r>
      <w:r>
        <w:rPr>
          <w:rFonts w:hint="eastAsia" w:cs="宋体"/>
          <w:b w:val="0"/>
          <w:bCs/>
          <w:color w:val="000000" w:themeColor="text1"/>
          <w:szCs w:val="21"/>
          <w:lang w:eastAsia="zh-CN"/>
          <w14:textFill>
            <w14:solidFill>
              <w14:schemeClr w14:val="tx1"/>
            </w14:solidFill>
          </w14:textFill>
        </w:rPr>
        <w:t>五</w:t>
      </w:r>
      <w:r>
        <w:rPr>
          <w:rFonts w:hint="eastAsia" w:cs="宋体"/>
          <w:b w:val="0"/>
          <w:bCs/>
          <w:color w:val="000000" w:themeColor="text1"/>
          <w:szCs w:val="21"/>
          <w14:textFill>
            <w14:solidFill>
              <w14:schemeClr w14:val="tx1"/>
            </w14:solidFill>
          </w14:textFill>
        </w:rPr>
        <w:t>、合同份数及生效</w:t>
      </w:r>
    </w:p>
    <w:p w14:paraId="0830465E">
      <w:pPr>
        <w:spacing w:line="4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本合同一式</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份，均具有同等法律效力，发包人执</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w:t>
      </w:r>
      <w:r>
        <w:rPr>
          <w:rFonts w:hint="eastAsia" w:ascii="宋体" w:hAnsi="宋体" w:cs="宋体"/>
          <w:bCs/>
          <w:color w:val="000000" w:themeColor="text1"/>
          <w:szCs w:val="21"/>
          <w:lang w:eastAsia="zh-CN"/>
          <w14:textFill>
            <w14:solidFill>
              <w14:schemeClr w14:val="tx1"/>
            </w14:solidFill>
          </w14:textFill>
        </w:rPr>
        <w:t>承揽</w:t>
      </w:r>
      <w:r>
        <w:rPr>
          <w:rFonts w:hint="eastAsia" w:ascii="宋体" w:hAnsi="宋体" w:cs="宋体"/>
          <w:bCs/>
          <w:color w:val="000000" w:themeColor="text1"/>
          <w:szCs w:val="21"/>
          <w14:textFill>
            <w14:solidFill>
              <w14:schemeClr w14:val="tx1"/>
            </w14:solidFill>
          </w14:textFill>
        </w:rPr>
        <w:t>人执</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u w:val="single"/>
          <w:lang w:val="en-US" w:eastAsia="zh-CN"/>
          <w14:textFill>
            <w14:solidFill>
              <w14:schemeClr w14:val="tx1"/>
            </w14:solidFill>
          </w14:textFill>
        </w:rPr>
        <w:t xml:space="preserve"> </w:t>
      </w:r>
      <w:r>
        <w:rPr>
          <w:rFonts w:hint="eastAsia" w:ascii="宋体" w:hAnsi="宋体" w:cs="宋体"/>
          <w:bCs/>
          <w:color w:val="000000" w:themeColor="text1"/>
          <w:szCs w:val="21"/>
          <w:u w:val="single"/>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份，签字盖章后生效。</w:t>
      </w:r>
    </w:p>
    <w:p w14:paraId="61BA6F76">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发包人：  (公章)                              </w:t>
      </w:r>
      <w:r>
        <w:rPr>
          <w:rFonts w:hint="eastAsia" w:ascii="宋体" w:hAnsi="宋体" w:cs="宋体"/>
          <w:color w:val="000000" w:themeColor="text1"/>
          <w:szCs w:val="21"/>
          <w:lang w:eastAsia="zh-CN"/>
          <w14:textFill>
            <w14:solidFill>
              <w14:schemeClr w14:val="tx1"/>
            </w14:solidFill>
          </w14:textFill>
        </w:rPr>
        <w:t>承揽</w:t>
      </w:r>
      <w:r>
        <w:rPr>
          <w:rFonts w:hint="eastAsia" w:ascii="宋体" w:hAnsi="宋体" w:cs="宋体"/>
          <w:color w:val="000000" w:themeColor="text1"/>
          <w:szCs w:val="21"/>
          <w14:textFill>
            <w14:solidFill>
              <w14:schemeClr w14:val="tx1"/>
            </w14:solidFill>
          </w14:textFill>
        </w:rPr>
        <w:t>人：  (公章)</w:t>
      </w:r>
    </w:p>
    <w:p w14:paraId="525D4F33">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法定代表人或其委托代理人：                    法定代表人或其委托代理人：</w:t>
      </w:r>
    </w:p>
    <w:p w14:paraId="1E18114A">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签字或盖章</w:t>
      </w:r>
      <w:r>
        <w:rPr>
          <w:rFonts w:hint="eastAsia" w:ascii="宋体" w:hAnsi="宋体" w:cs="宋体"/>
          <w:color w:val="000000" w:themeColor="text1"/>
          <w:szCs w:val="21"/>
          <w14:textFill>
            <w14:solidFill>
              <w14:schemeClr w14:val="tx1"/>
            </w14:solidFill>
          </w14:textFill>
        </w:rPr>
        <w:t>）                                （</w:t>
      </w:r>
      <w:r>
        <w:rPr>
          <w:rFonts w:hint="eastAsia" w:ascii="宋体" w:hAnsi="宋体" w:cs="宋体"/>
          <w:color w:val="000000" w:themeColor="text1"/>
          <w:szCs w:val="21"/>
          <w:lang w:eastAsia="zh-CN"/>
          <w14:textFill>
            <w14:solidFill>
              <w14:schemeClr w14:val="tx1"/>
            </w14:solidFill>
          </w14:textFill>
        </w:rPr>
        <w:t>签字或盖章</w:t>
      </w:r>
      <w:r>
        <w:rPr>
          <w:rFonts w:hint="eastAsia" w:ascii="宋体" w:hAnsi="宋体" w:cs="宋体"/>
          <w:color w:val="000000" w:themeColor="text1"/>
          <w:szCs w:val="21"/>
          <w14:textFill>
            <w14:solidFill>
              <w14:schemeClr w14:val="tx1"/>
            </w14:solidFill>
          </w14:textFill>
        </w:rPr>
        <w:t>）</w:t>
      </w:r>
    </w:p>
    <w:p w14:paraId="03E5ADC4">
      <w:pPr>
        <w:pStyle w:val="2"/>
        <w:rPr>
          <w:rFonts w:hint="eastAsia" w:ascii="宋体" w:hAnsi="宋体" w:cs="宋体"/>
          <w:color w:val="000000" w:themeColor="text1"/>
          <w:szCs w:val="21"/>
          <w14:textFill>
            <w14:solidFill>
              <w14:schemeClr w14:val="tx1"/>
            </w14:solidFill>
          </w14:textFill>
        </w:rPr>
      </w:pPr>
    </w:p>
    <w:p w14:paraId="188ABB1A">
      <w:pPr>
        <w:rPr>
          <w:rFonts w:hint="eastAsia" w:ascii="宋体" w:hAnsi="宋体" w:cs="宋体"/>
          <w:color w:val="000000" w:themeColor="text1"/>
          <w:szCs w:val="21"/>
          <w14:textFill>
            <w14:solidFill>
              <w14:schemeClr w14:val="tx1"/>
            </w14:solidFill>
          </w14:textFill>
        </w:rPr>
      </w:pPr>
    </w:p>
    <w:p w14:paraId="5E8BD997">
      <w:pPr>
        <w:pStyle w:val="2"/>
        <w:rPr>
          <w:rFonts w:hint="eastAsia"/>
          <w:color w:val="000000" w:themeColor="text1"/>
          <w14:textFill>
            <w14:solidFill>
              <w14:schemeClr w14:val="tx1"/>
            </w14:solidFill>
          </w14:textFill>
        </w:rPr>
      </w:pPr>
    </w:p>
    <w:p w14:paraId="63E0D452">
      <w:pPr>
        <w:spacing w:line="48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日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0E85DA4B">
      <w:pPr>
        <w:keepNext w:val="0"/>
        <w:keepLines w:val="0"/>
        <w:pageBreakBefore w:val="0"/>
        <w:widowControl w:val="0"/>
        <w:kinsoku/>
        <w:wordWrap/>
        <w:overflowPunct/>
        <w:topLinePunct w:val="0"/>
        <w:autoSpaceDE w:val="0"/>
        <w:autoSpaceDN w:val="0"/>
        <w:bidi w:val="0"/>
        <w:adjustRightInd w:val="0"/>
        <w:spacing w:line="380" w:lineRule="exact"/>
        <w:jc w:val="right"/>
        <w:textAlignment w:val="auto"/>
        <w:rPr>
          <w:rFonts w:hint="eastAsia" w:ascii="宋体" w:hAnsi="Calibri" w:cs="宋体"/>
          <w:color w:val="000000" w:themeColor="text1"/>
          <w:kern w:val="0"/>
          <w:szCs w:val="21"/>
          <w:lang w:val="zh-CN"/>
          <w14:textFill>
            <w14:solidFill>
              <w14:schemeClr w14:val="tx1"/>
            </w14:solidFill>
          </w14:textFill>
        </w:rPr>
      </w:pPr>
    </w:p>
    <w:p w14:paraId="7212701B">
      <w:pPr>
        <w:keepNext w:val="0"/>
        <w:keepLines w:val="0"/>
        <w:pageBreakBefore w:val="0"/>
        <w:widowControl w:val="0"/>
        <w:kinsoku/>
        <w:wordWrap/>
        <w:overflowPunct/>
        <w:topLinePunct w:val="0"/>
        <w:autoSpaceDE w:val="0"/>
        <w:autoSpaceDN w:val="0"/>
        <w:bidi w:val="0"/>
        <w:adjustRightInd w:val="0"/>
        <w:spacing w:line="380" w:lineRule="exact"/>
        <w:jc w:val="right"/>
        <w:textAlignment w:val="auto"/>
        <w:rPr>
          <w:rFonts w:hint="eastAsia" w:ascii="宋体" w:hAnsi="Calibri" w:cs="宋体"/>
          <w:color w:val="000000" w:themeColor="text1"/>
          <w:kern w:val="0"/>
          <w:szCs w:val="21"/>
          <w:lang w:val="zh-CN"/>
          <w14:textFill>
            <w14:solidFill>
              <w14:schemeClr w14:val="tx1"/>
            </w14:solidFill>
          </w14:textFill>
        </w:rPr>
      </w:pPr>
    </w:p>
    <w:p w14:paraId="72B5025D">
      <w:pPr>
        <w:pStyle w:val="2"/>
        <w:rPr>
          <w:rFonts w:hint="eastAsia" w:ascii="宋体" w:hAnsi="Calibri" w:cs="宋体"/>
          <w:color w:val="000000" w:themeColor="text1"/>
          <w:kern w:val="0"/>
          <w:szCs w:val="21"/>
          <w:lang w:val="zh-CN"/>
          <w14:textFill>
            <w14:solidFill>
              <w14:schemeClr w14:val="tx1"/>
            </w14:solidFill>
          </w14:textFill>
        </w:rPr>
      </w:pPr>
    </w:p>
    <w:p w14:paraId="2D317F07">
      <w:pPr>
        <w:rPr>
          <w:rFonts w:hint="eastAsia" w:ascii="宋体" w:hAnsi="Calibri" w:cs="宋体"/>
          <w:color w:val="000000" w:themeColor="text1"/>
          <w:kern w:val="0"/>
          <w:szCs w:val="21"/>
          <w:lang w:val="zh-CN"/>
          <w14:textFill>
            <w14:solidFill>
              <w14:schemeClr w14:val="tx1"/>
            </w14:solidFill>
          </w14:textFill>
        </w:rPr>
      </w:pPr>
    </w:p>
    <w:p w14:paraId="5BC2907C">
      <w:pPr>
        <w:pStyle w:val="2"/>
        <w:rPr>
          <w:rFonts w:hint="eastAsia" w:ascii="宋体" w:hAnsi="Calibri" w:cs="宋体"/>
          <w:color w:val="000000" w:themeColor="text1"/>
          <w:kern w:val="0"/>
          <w:szCs w:val="21"/>
          <w:lang w:val="zh-CN"/>
          <w14:textFill>
            <w14:solidFill>
              <w14:schemeClr w14:val="tx1"/>
            </w14:solidFill>
          </w14:textFill>
        </w:rPr>
      </w:pPr>
    </w:p>
    <w:p w14:paraId="22EF03A8">
      <w:pPr>
        <w:rPr>
          <w:rFonts w:hint="eastAsia" w:ascii="宋体" w:hAnsi="Calibri" w:cs="宋体"/>
          <w:color w:val="000000" w:themeColor="text1"/>
          <w:kern w:val="0"/>
          <w:szCs w:val="21"/>
          <w:lang w:val="zh-CN"/>
          <w14:textFill>
            <w14:solidFill>
              <w14:schemeClr w14:val="tx1"/>
            </w14:solidFill>
          </w14:textFill>
        </w:rPr>
      </w:pPr>
    </w:p>
    <w:p w14:paraId="51BFA947">
      <w:pPr>
        <w:pStyle w:val="2"/>
        <w:rPr>
          <w:rFonts w:hint="eastAsia" w:ascii="宋体" w:hAnsi="Calibri" w:cs="宋体"/>
          <w:color w:val="000000" w:themeColor="text1"/>
          <w:kern w:val="0"/>
          <w:szCs w:val="21"/>
          <w:lang w:val="zh-CN"/>
          <w14:textFill>
            <w14:solidFill>
              <w14:schemeClr w14:val="tx1"/>
            </w14:solidFill>
          </w14:textFill>
        </w:rPr>
      </w:pPr>
    </w:p>
    <w:p w14:paraId="09E18E8A">
      <w:pPr>
        <w:rPr>
          <w:rFonts w:hint="eastAsia" w:ascii="宋体" w:hAnsi="Calibri" w:cs="宋体"/>
          <w:color w:val="000000" w:themeColor="text1"/>
          <w:kern w:val="0"/>
          <w:szCs w:val="21"/>
          <w:lang w:val="zh-CN"/>
          <w14:textFill>
            <w14:solidFill>
              <w14:schemeClr w14:val="tx1"/>
            </w14:solidFill>
          </w14:textFill>
        </w:rPr>
      </w:pPr>
      <w:r>
        <w:rPr>
          <w:rFonts w:hint="eastAsia" w:ascii="宋体" w:hAnsi="Calibri" w:cs="宋体"/>
          <w:color w:val="000000" w:themeColor="text1"/>
          <w:kern w:val="0"/>
          <w:szCs w:val="21"/>
          <w:lang w:val="zh-CN"/>
          <w14:textFill>
            <w14:solidFill>
              <w14:schemeClr w14:val="tx1"/>
            </w14:solidFill>
          </w14:textFill>
        </w:rPr>
        <w:br w:type="page"/>
      </w:r>
    </w:p>
    <w:p w14:paraId="12A51BE4">
      <w:pPr>
        <w:pStyle w:val="2"/>
        <w:rPr>
          <w:rFonts w:hint="eastAsia"/>
          <w:lang w:val="zh-CN"/>
        </w:rPr>
      </w:pPr>
    </w:p>
    <w:p w14:paraId="286F5FA4">
      <w:pPr>
        <w:rPr>
          <w:rFonts w:hint="eastAsia"/>
          <w:color w:val="000000" w:themeColor="text1"/>
          <w:lang w:val="zh-CN"/>
          <w14:textFill>
            <w14:solidFill>
              <w14:schemeClr w14:val="tx1"/>
            </w14:solidFill>
          </w14:textFill>
        </w:rPr>
      </w:pPr>
    </w:p>
    <w:p w14:paraId="60BF0B8B">
      <w:pPr>
        <w:pStyle w:val="2"/>
        <w:rPr>
          <w:rFonts w:hint="eastAsia"/>
          <w:color w:val="000000" w:themeColor="text1"/>
          <w:lang w:val="zh-CN"/>
          <w14:textFill>
            <w14:solidFill>
              <w14:schemeClr w14:val="tx1"/>
            </w14:solidFill>
          </w14:textFill>
        </w:rPr>
      </w:pPr>
    </w:p>
    <w:p w14:paraId="13C0B5C3">
      <w:pPr>
        <w:spacing w:line="360" w:lineRule="auto"/>
        <w:rPr>
          <w:rFonts w:ascii="宋体" w:hAnsi="宋体"/>
          <w:b/>
          <w:color w:val="000000" w:themeColor="text1"/>
          <w:sz w:val="24"/>
          <w14:textFill>
            <w14:solidFill>
              <w14:schemeClr w14:val="tx1"/>
            </w14:solidFill>
          </w14:textFill>
        </w:rPr>
      </w:pPr>
      <w:r>
        <w:rPr>
          <w:rFonts w:hint="eastAsia"/>
          <w:b/>
          <w:color w:val="000000" w:themeColor="text1"/>
          <w:sz w:val="24"/>
          <w:szCs w:val="24"/>
          <w14:textFill>
            <w14:solidFill>
              <w14:schemeClr w14:val="tx1"/>
            </w14:solidFill>
          </w14:textFill>
        </w:rPr>
        <w:t>附件</w:t>
      </w:r>
      <w:r>
        <w:rPr>
          <w:rFonts w:hint="eastAsia"/>
          <w:b/>
          <w:color w:val="000000" w:themeColor="text1"/>
          <w:sz w:val="24"/>
          <w:szCs w:val="24"/>
          <w:lang w:eastAsia="zh-CN"/>
          <w14:textFill>
            <w14:solidFill>
              <w14:schemeClr w14:val="tx1"/>
            </w14:solidFill>
          </w14:textFill>
        </w:rPr>
        <w:t>一</w:t>
      </w:r>
      <w:r>
        <w:rPr>
          <w:rFonts w:hint="eastAsia"/>
          <w:b/>
          <w:color w:val="000000" w:themeColor="text1"/>
          <w:sz w:val="24"/>
          <w:szCs w:val="24"/>
          <w14:textFill>
            <w14:solidFill>
              <w14:schemeClr w14:val="tx1"/>
            </w14:solidFill>
          </w14:textFill>
        </w:rPr>
        <w:t>：</w:t>
      </w:r>
      <w:r>
        <w:rPr>
          <w:rFonts w:hint="eastAsia" w:ascii="宋体" w:hAnsi="宋体"/>
          <w:b/>
          <w:color w:val="000000" w:themeColor="text1"/>
          <w:sz w:val="24"/>
          <w:szCs w:val="24"/>
          <w14:textFill>
            <w14:solidFill>
              <w14:schemeClr w14:val="tx1"/>
            </w14:solidFill>
          </w14:textFill>
        </w:rPr>
        <w:t>廉政合同</w:t>
      </w:r>
    </w:p>
    <w:p w14:paraId="240DB06C">
      <w:pPr>
        <w:spacing w:line="360" w:lineRule="auto"/>
        <w:rPr>
          <w:rFonts w:ascii="宋体" w:hAnsi="宋体"/>
          <w:b/>
          <w:color w:val="000000" w:themeColor="text1"/>
          <w:sz w:val="24"/>
          <w14:textFill>
            <w14:solidFill>
              <w14:schemeClr w14:val="tx1"/>
            </w14:solidFill>
          </w14:textFill>
        </w:rPr>
      </w:pPr>
    </w:p>
    <w:p w14:paraId="5BCC5B45">
      <w:pPr>
        <w:spacing w:line="360" w:lineRule="auto"/>
        <w:jc w:val="center"/>
        <w:rPr>
          <w:rFonts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14:textFill>
            <w14:solidFill>
              <w14:schemeClr w14:val="tx1"/>
            </w14:solidFill>
          </w14:textFill>
        </w:rPr>
        <w:t>廉政合同</w:t>
      </w:r>
    </w:p>
    <w:p w14:paraId="4E881C6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根据有关工程建设、廉政建设的规定，为做好工程建设中的党风廉政建设，保证工程建设高效优质，保证建设资金的安全和有效使用以及投资效益，建设工程的项目法人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none"/>
          <w14:textFill>
            <w14:solidFill>
              <w14:schemeClr w14:val="tx1"/>
            </w14:solidFill>
          </w14:textFill>
        </w:rPr>
        <w:t>（</w:t>
      </w:r>
      <w:r>
        <w:rPr>
          <w:rFonts w:hint="eastAsia" w:ascii="宋体" w:hAnsi="宋体"/>
          <w:color w:val="000000" w:themeColor="text1"/>
          <w:szCs w:val="21"/>
          <w14:textFill>
            <w14:solidFill>
              <w14:schemeClr w14:val="tx1"/>
            </w14:solidFill>
          </w14:textFill>
        </w:rPr>
        <w:t>全称）（以下简称“甲方”）与施工单位</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（全称）（以下简称“乙方”），特订立如下合同。</w:t>
      </w:r>
    </w:p>
    <w:p w14:paraId="5AAAADB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1．甲乙双方的权利和义务</w:t>
      </w:r>
    </w:p>
    <w:p w14:paraId="02243A4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（1）严格遵守党的政策规定和国家有关法律法规的有关规定。</w:t>
      </w:r>
    </w:p>
    <w:p w14:paraId="6D9E5EF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（2）严格执行</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的合同文件，自觉按合同办事。</w:t>
      </w:r>
    </w:p>
    <w:p w14:paraId="67DFF43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（3）双方的业务活动坚持公开、公正、诚信、透明的原则（法律认定的商业秘密和合同文件另有规定除外），不得损害国家和集体利益，违反工程建设管理规章制度。</w:t>
      </w:r>
    </w:p>
    <w:p w14:paraId="0AECDB3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（4）建立健全廉政制度，开展廉政教育，设计廉政告示牌，公布举报电话，监督并认真查处违法违纪行为。</w:t>
      </w:r>
    </w:p>
    <w:p w14:paraId="2FF04074">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（5）发现对方在业务活动中有违反廉政规定的行为，有及时提醒对方纠正的权利和义务。</w:t>
      </w:r>
    </w:p>
    <w:p w14:paraId="23B991E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（6）发现对方严重违反合同义务条款的行为，有向其上级有关部门举报、建议给予处理并要求告知处理结果的权利。</w:t>
      </w:r>
    </w:p>
    <w:p w14:paraId="1FC56E0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2．甲方的义务</w:t>
      </w:r>
    </w:p>
    <w:p w14:paraId="70E6F017">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（1）甲方及其工作人员不得索要或接受乙方的礼金、有价证券和贵重物品，不得在乙方报销任何应由甲方或甲方工作人员个人支付的费用等。</w:t>
      </w:r>
    </w:p>
    <w:p w14:paraId="587CAC6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（2）甲方工作人员不得参加乙方安排的超标准宴请和娱乐活动；不得接受乙方提供的通讯工具、交通工具和高档办公用品等。</w:t>
      </w:r>
    </w:p>
    <w:p w14:paraId="755A580F">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（3）甲方及其工作人员不得要求或者接受乙方为其住房装修、婚丧嫁娶活动、配偶子女的工作安排以及出国出境、旅游等提供方便等。</w:t>
      </w:r>
    </w:p>
    <w:p w14:paraId="6851CFE5">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（4）甲方工作人员及其配偶、子女不得从事与甲方工程有关的材料设备供应、工程分包、劳务等经济活动等。</w:t>
      </w:r>
    </w:p>
    <w:p w14:paraId="77F9219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（5）甲方及其工作人员不得以任何理由向乙方推荐分包单位或推销材料，不得要求乙方购买合同规定外的材料和设备。</w:t>
      </w:r>
    </w:p>
    <w:p w14:paraId="0876941C">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（6）甲方工作人员要秉公办事，不准营私舞弊，不准利用职权从事各种个人有偿中介活动和安排个人施工队伍。</w:t>
      </w:r>
    </w:p>
    <w:p w14:paraId="05CE0EB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3．乙方义务</w:t>
      </w:r>
    </w:p>
    <w:p w14:paraId="14D860F9">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（1）乙方不得以任何理由向甲方及其工作人员行贿或馈赠礼金、有价证券、贵重礼品。</w:t>
      </w:r>
    </w:p>
    <w:p w14:paraId="738EE34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（2）乙方不得以任何名义为甲方及其工作人员报销应由甲方单位或个人支付的任何费用。</w:t>
      </w:r>
    </w:p>
    <w:p w14:paraId="2FD1DF88">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（3）乙方不得以任何理由安排甲方工作人员参加超标准宴请及娱乐活动。</w:t>
      </w:r>
    </w:p>
    <w:p w14:paraId="2632FB5D">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（4）乙方不得为甲方单位和个人购置或提拱通讯、交通工具和高档办公用品等。</w:t>
      </w:r>
    </w:p>
    <w:p w14:paraId="063BB2A1">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4．违约责任</w:t>
      </w:r>
    </w:p>
    <w:p w14:paraId="0D52338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（1）甲方及其工作人员违反本合同第一、二条，按管理权限，依据有关规定给予党纪、政纪或组织处理；涉嫌犯罪的，移交司法机关追究刑事责任；给乙方单位造成经济损失的，应予以赔偿。</w:t>
      </w:r>
    </w:p>
    <w:p w14:paraId="2E70B35E">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及其工作人员违反本合同第一、三条，按管理权限，依据有关规定给予党纪、政纪组织处理；给甲方单位造成经济损失的，应予以赔偿；情节严重的，甲方建议建设主管部门给予乙方一至三年内不得进入其主管的建设市场的处罚。</w:t>
      </w:r>
    </w:p>
    <w:p w14:paraId="4AA17EA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1AA8464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6．本合同有效期为甲乙双方签署之日起至该工程项目竣工验收后止。</w:t>
      </w:r>
    </w:p>
    <w:p w14:paraId="71F23C5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7．本合同作为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施工合同的附件，与工程施工合同具有同等的法律效力，经合同双方签署后立即生效。</w:t>
      </w:r>
    </w:p>
    <w:p w14:paraId="4F3394A3">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8．本合同一式四份，由甲乙双方各执一份，送交甲乙双方的监督单位各一份。</w:t>
      </w:r>
    </w:p>
    <w:p w14:paraId="7BAF0F04">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甲      方：</w:t>
      </w:r>
      <w:r>
        <w:rPr>
          <w:rFonts w:hint="eastAsia" w:ascii="宋体" w:hAnsi="宋体"/>
          <w:color w:val="000000" w:themeColor="text1"/>
          <w:szCs w:val="21"/>
          <w:u w:val="single"/>
          <w14:textFill>
            <w14:solidFill>
              <w14:schemeClr w14:val="tx1"/>
            </w14:solidFill>
          </w14:textFill>
        </w:rPr>
        <w:t xml:space="preserve">                (盖章)</w:t>
      </w:r>
      <w:r>
        <w:rPr>
          <w:rFonts w:hint="eastAsia" w:ascii="宋体" w:hAnsi="宋体"/>
          <w:color w:val="000000" w:themeColor="text1"/>
          <w:szCs w:val="21"/>
          <w14:textFill>
            <w14:solidFill>
              <w14:schemeClr w14:val="tx1"/>
            </w14:solidFill>
          </w14:textFill>
        </w:rPr>
        <w:t xml:space="preserve">             乙      方：</w:t>
      </w:r>
      <w:r>
        <w:rPr>
          <w:rFonts w:hint="eastAsia" w:ascii="宋体" w:hAnsi="宋体"/>
          <w:color w:val="000000" w:themeColor="text1"/>
          <w:szCs w:val="21"/>
          <w:u w:val="single"/>
          <w14:textFill>
            <w14:solidFill>
              <w14:schemeClr w14:val="tx1"/>
            </w14:solidFill>
          </w14:textFill>
        </w:rPr>
        <w:t xml:space="preserve">              （盖章）  </w:t>
      </w:r>
    </w:p>
    <w:p w14:paraId="23029B4E">
      <w:pPr>
        <w:spacing w:line="360" w:lineRule="auto"/>
        <w:rPr>
          <w:rFonts w:hint="eastAsia" w:ascii="宋体" w:hAnsi="宋体"/>
          <w:color w:val="000000" w:themeColor="text1"/>
          <w:szCs w:val="21"/>
          <w14:textFill>
            <w14:solidFill>
              <w14:schemeClr w14:val="tx1"/>
            </w14:solidFill>
          </w14:textFill>
        </w:rPr>
      </w:pPr>
    </w:p>
    <w:p w14:paraId="69B7270F">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lang w:eastAsia="zh-CN"/>
          <w14:textFill>
            <w14:solidFill>
              <w14:schemeClr w14:val="tx1"/>
            </w14:solidFill>
          </w14:textFill>
        </w:rPr>
        <w:t>签字或盖章</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w:t>
      </w:r>
      <w:r>
        <w:rPr>
          <w:rFonts w:hint="eastAsia" w:ascii="宋体" w:hAnsi="宋体"/>
          <w:color w:val="000000" w:themeColor="text1"/>
          <w:szCs w:val="21"/>
          <w:lang w:eastAsia="zh-CN"/>
          <w14:textFill>
            <w14:solidFill>
              <w14:schemeClr w14:val="tx1"/>
            </w14:solidFill>
          </w14:textFill>
        </w:rPr>
        <w:t>签字或盖章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1B9B08D0">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3503DD25">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        址：                                 地        址：</w:t>
      </w:r>
    </w:p>
    <w:p w14:paraId="27412C0E">
      <w:pPr>
        <w:spacing w:line="360" w:lineRule="auto"/>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                                 电        话：</w:t>
      </w:r>
    </w:p>
    <w:p w14:paraId="3637D9D6">
      <w:pPr>
        <w:spacing w:line="360" w:lineRule="auto"/>
        <w:ind w:firstLine="420" w:firstLineChars="200"/>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日 </w:t>
      </w:r>
    </w:p>
    <w:p w14:paraId="497FFBE5">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p>
    <w:p w14:paraId="5038A1E7">
      <w:pPr>
        <w:rPr>
          <w:rFonts w:hint="eastAsia"/>
        </w:rPr>
      </w:pPr>
    </w:p>
    <w:p w14:paraId="65CEC4DA">
      <w:pPr>
        <w:rPr>
          <w:rFonts w:hint="eastAsia" w:ascii="宋体" w:hAnsi="宋体"/>
          <w:color w:val="000000" w:themeColor="text1"/>
          <w:szCs w:val="21"/>
          <w14:textFill>
            <w14:solidFill>
              <w14:schemeClr w14:val="tx1"/>
            </w14:solidFill>
          </w14:textFill>
        </w:rPr>
      </w:pPr>
    </w:p>
    <w:p w14:paraId="4E2F01FA">
      <w:pPr>
        <w:pStyle w:val="2"/>
        <w:rPr>
          <w:rFonts w:hint="eastAsia"/>
          <w:color w:val="000000" w:themeColor="text1"/>
          <w14:textFill>
            <w14:solidFill>
              <w14:schemeClr w14:val="tx1"/>
            </w14:solidFill>
          </w14:textFill>
        </w:rPr>
      </w:pPr>
    </w:p>
    <w:p w14:paraId="44FAE5F0">
      <w:pPr>
        <w:spacing w:line="360" w:lineRule="auto"/>
        <w:rPr>
          <w:rFonts w:ascii="宋体" w:hAnsi="宋体"/>
          <w:b/>
          <w:color w:val="000000" w:themeColor="text1"/>
          <w:sz w:val="24"/>
          <w14:textFill>
            <w14:solidFill>
              <w14:schemeClr w14:val="tx1"/>
            </w14:solidFill>
          </w14:textFill>
        </w:rPr>
      </w:pPr>
      <w:bookmarkStart w:id="482" w:name="_Toc253076722"/>
      <w:bookmarkStart w:id="483" w:name="_Toc253056061"/>
      <w:bookmarkStart w:id="484" w:name="_Toc253055295"/>
      <w:bookmarkStart w:id="485" w:name="_Toc240180917"/>
      <w:bookmarkStart w:id="486" w:name="_Toc263754628"/>
      <w:bookmarkStart w:id="487" w:name="_Toc300521202"/>
      <w:r>
        <w:rPr>
          <w:rFonts w:hint="eastAsia" w:ascii="宋体" w:hAnsi="宋体"/>
          <w:b/>
          <w:color w:val="000000" w:themeColor="text1"/>
          <w:sz w:val="24"/>
          <w:szCs w:val="24"/>
          <w14:textFill>
            <w14:solidFill>
              <w14:schemeClr w14:val="tx1"/>
            </w14:solidFill>
          </w14:textFill>
        </w:rPr>
        <w:t>附件</w:t>
      </w:r>
      <w:r>
        <w:rPr>
          <w:rFonts w:hint="eastAsia" w:ascii="宋体" w:hAnsi="宋体"/>
          <w:b/>
          <w:color w:val="000000" w:themeColor="text1"/>
          <w:sz w:val="24"/>
          <w:szCs w:val="24"/>
          <w:lang w:eastAsia="zh-CN"/>
          <w14:textFill>
            <w14:solidFill>
              <w14:schemeClr w14:val="tx1"/>
            </w14:solidFill>
          </w14:textFill>
        </w:rPr>
        <w:t>二</w:t>
      </w:r>
      <w:r>
        <w:rPr>
          <w:rFonts w:hint="eastAsia" w:ascii="宋体" w:hAnsi="宋体"/>
          <w:b/>
          <w:color w:val="000000" w:themeColor="text1"/>
          <w:sz w:val="24"/>
          <w:szCs w:val="24"/>
          <w14:textFill>
            <w14:solidFill>
              <w14:schemeClr w14:val="tx1"/>
            </w14:solidFill>
          </w14:textFill>
        </w:rPr>
        <w:t>：</w:t>
      </w:r>
      <w:bookmarkEnd w:id="482"/>
      <w:bookmarkEnd w:id="483"/>
      <w:bookmarkEnd w:id="484"/>
      <w:bookmarkEnd w:id="485"/>
      <w:bookmarkEnd w:id="486"/>
      <w:bookmarkEnd w:id="487"/>
      <w:r>
        <w:rPr>
          <w:rFonts w:hint="eastAsia"/>
          <w:b/>
          <w:color w:val="000000" w:themeColor="text1"/>
          <w:sz w:val="24"/>
          <w:szCs w:val="24"/>
          <w14:textFill>
            <w14:solidFill>
              <w14:schemeClr w14:val="tx1"/>
            </w14:solidFill>
          </w14:textFill>
        </w:rPr>
        <w:t>安全生产合同</w:t>
      </w:r>
    </w:p>
    <w:p w14:paraId="3C78F14E">
      <w:pPr>
        <w:spacing w:line="360" w:lineRule="auto"/>
        <w:jc w:val="center"/>
        <w:rPr>
          <w:rFonts w:ascii="方正黑体_GBK" w:hAnsi="方正黑体_GBK" w:eastAsia="方正黑体_GBK" w:cs="方正黑体_GBK"/>
          <w:b/>
          <w:color w:val="000000" w:themeColor="text1"/>
          <w:sz w:val="32"/>
          <w:szCs w:val="32"/>
          <w14:textFill>
            <w14:solidFill>
              <w14:schemeClr w14:val="tx1"/>
            </w14:solidFill>
          </w14:textFill>
        </w:rPr>
      </w:pPr>
      <w:r>
        <w:rPr>
          <w:rFonts w:hint="eastAsia" w:ascii="方正黑体_GBK" w:hAnsi="方正黑体_GBK" w:eastAsia="方正黑体_GBK" w:cs="方正黑体_GBK"/>
          <w:b/>
          <w:color w:val="000000" w:themeColor="text1"/>
          <w:sz w:val="32"/>
          <w:szCs w:val="32"/>
          <w14:textFill>
            <w14:solidFill>
              <w14:schemeClr w14:val="tx1"/>
            </w14:solidFill>
          </w14:textFill>
        </w:rPr>
        <w:t>安全生产合同</w:t>
      </w:r>
    </w:p>
    <w:p w14:paraId="66ED984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为在</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施工合同的实施过程中创造安全、高效的施工环境，切实搞好本项目的安全管理工作，本项目业主</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（以下简称“甲方”）与</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（以下简称“乙方”）特此签订安全生产合同：</w:t>
      </w:r>
    </w:p>
    <w:p w14:paraId="3E7BBC57">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一、甲方职责</w:t>
      </w:r>
    </w:p>
    <w:p w14:paraId="411FC629">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1．严格遵守国家有关安全生产的法律法规，认真执行工程</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合同中的有关安全要求。</w:t>
      </w:r>
    </w:p>
    <w:p w14:paraId="3CFC675C">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2．按照“安全第一、预防为主”和坚持“管生产必须管安全”的原则进行安全生产管理，做到生产与安全工作同时计划、布置、检查、总结和评比。</w:t>
      </w:r>
    </w:p>
    <w:p w14:paraId="3896CB7E">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3．重要的安全设施必须坚持与主体工程“三同时”的原则，即：同时设计、审批，同时施工，同时验收，投入使用。</w:t>
      </w:r>
    </w:p>
    <w:p w14:paraId="5E6E0E46">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4．定期召开安全生产调度会，及时传达中央及地方有关安全生产的精神。</w:t>
      </w:r>
    </w:p>
    <w:p w14:paraId="3A285D10">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5．组织对乙方施工现场安全生产检查，监督乙方及时处理发现的各项安全隐患。</w:t>
      </w:r>
    </w:p>
    <w:p w14:paraId="41C262D1">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二、乙方职责</w:t>
      </w:r>
    </w:p>
    <w:p w14:paraId="71546730">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1．严格遵守《中华人民共和国安全生产法》、《建设工程安全生产管理条例》等国家有关安全生产的法律法规有关安全生产的规定。认真执行工程</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合同中的有关</w:t>
      </w:r>
    </w:p>
    <w:p w14:paraId="4800C62A">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6D18EA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6173447">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4．乙方在任何时候都应采取各种合理的预防措施，防止其员工发生任何违法、违禁、暴力或妨碍治安的行为。</w:t>
      </w:r>
    </w:p>
    <w:p w14:paraId="79B116BB">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49450E1D">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177DFC2">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783C1679">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431A54CD">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9．施工中采用新技术、新工艺、新设备、新材料时，必须制定相应的安全技术措施，施工现场必须具有相关的安全标志牌。</w:t>
      </w:r>
    </w:p>
    <w:p w14:paraId="43F9D237">
      <w:pPr>
        <w:keepNext w:val="0"/>
        <w:keepLines w:val="0"/>
        <w:pageBreakBefore w:val="0"/>
        <w:widowControl w:val="0"/>
        <w:kinsoku/>
        <w:overflowPunct/>
        <w:topLinePunct w:val="0"/>
        <w:bidi w:val="0"/>
        <w:snapToGrid/>
        <w:spacing w:line="40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DE06275">
      <w:pPr>
        <w:keepNext w:val="0"/>
        <w:keepLines w:val="0"/>
        <w:pageBreakBefore w:val="0"/>
        <w:widowControl w:val="0"/>
        <w:kinsoku/>
        <w:overflowPunct/>
        <w:topLinePunct w:val="0"/>
        <w:bidi w:val="0"/>
        <w:snapToGrid/>
        <w:spacing w:line="40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三、违约责任</w:t>
      </w:r>
    </w:p>
    <w:p w14:paraId="7DBDCFFB">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人负责本单位承担的施工范围内全部的安全管理工作，并承担该区域范围内发生的一切安全责任事故的处理和全部经济法律责任，处理安全责任事故所产生的一切费用均由</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人承担。</w:t>
      </w:r>
    </w:p>
    <w:p w14:paraId="267A0E97">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如若发包人对安全事故进行了赔偿，则发包人有权直接从</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人工程款中扣除用以抵偿发包人，若工程款不够抵偿部分，发包人仍有权向</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人追偿。</w:t>
      </w:r>
    </w:p>
    <w:p w14:paraId="6945013F">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四、其他</w:t>
      </w:r>
    </w:p>
    <w:p w14:paraId="1D281998">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本安全生产合同为施工合同的附件，由发包人、</w:t>
      </w:r>
      <w:r>
        <w:rPr>
          <w:rFonts w:hint="eastAsia" w:ascii="宋体" w:hAnsi="宋体"/>
          <w:color w:val="000000" w:themeColor="text1"/>
          <w:szCs w:val="21"/>
          <w:lang w:eastAsia="zh-CN"/>
          <w14:textFill>
            <w14:solidFill>
              <w14:schemeClr w14:val="tx1"/>
            </w14:solidFill>
          </w14:textFill>
        </w:rPr>
        <w:t>承揽</w:t>
      </w:r>
      <w:r>
        <w:rPr>
          <w:rFonts w:hint="eastAsia" w:ascii="宋体" w:hAnsi="宋体"/>
          <w:color w:val="000000" w:themeColor="text1"/>
          <w:szCs w:val="21"/>
          <w14:textFill>
            <w14:solidFill>
              <w14:schemeClr w14:val="tx1"/>
            </w14:solidFill>
          </w14:textFill>
        </w:rPr>
        <w:t>人双方签字盖公章后生效。全部工程竣工验收后失效。</w:t>
      </w:r>
    </w:p>
    <w:p w14:paraId="2890FA73">
      <w:pPr>
        <w:keepNext w:val="0"/>
        <w:keepLines w:val="0"/>
        <w:pageBreakBefore w:val="0"/>
        <w:widowControl w:val="0"/>
        <w:kinsoku/>
        <w:overflowPunct/>
        <w:topLinePunct w:val="0"/>
        <w:bidi w:val="0"/>
        <w:snapToGrid/>
        <w:spacing w:line="400" w:lineRule="exact"/>
        <w:ind w:firstLine="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58586842">
      <w:pPr>
        <w:keepNext w:val="0"/>
        <w:keepLines w:val="0"/>
        <w:pageBreakBefore w:val="0"/>
        <w:widowControl w:val="0"/>
        <w:kinsoku/>
        <w:overflowPunct/>
        <w:topLinePunct w:val="0"/>
        <w:bidi w:val="0"/>
        <w:snapToGrid/>
        <w:spacing w:line="400" w:lineRule="exact"/>
        <w:ind w:firstLine="200"/>
        <w:textAlignment w:val="auto"/>
        <w:rPr>
          <w:rFonts w:hint="eastAsia" w:ascii="宋体" w:hAnsi="宋体"/>
          <w:color w:val="000000" w:themeColor="text1"/>
          <w:szCs w:val="21"/>
          <w14:textFill>
            <w14:solidFill>
              <w14:schemeClr w14:val="tx1"/>
            </w14:solidFill>
          </w14:textFill>
        </w:rPr>
      </w:pPr>
    </w:p>
    <w:p w14:paraId="64EECEE3">
      <w:pPr>
        <w:keepNext w:val="0"/>
        <w:keepLines w:val="0"/>
        <w:pageBreakBefore w:val="0"/>
        <w:widowControl w:val="0"/>
        <w:kinsoku/>
        <w:overflowPunct/>
        <w:topLinePunct w:val="0"/>
        <w:bidi w:val="0"/>
        <w:snapToGrid/>
        <w:spacing w:line="400" w:lineRule="exact"/>
        <w:ind w:firstLine="409" w:firstLineChars="195"/>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      方：</w:t>
      </w:r>
      <w:r>
        <w:rPr>
          <w:rFonts w:hint="eastAsia" w:ascii="宋体" w:hAnsi="宋体"/>
          <w:color w:val="000000" w:themeColor="text1"/>
          <w:szCs w:val="21"/>
          <w:u w:val="single"/>
          <w14:textFill>
            <w14:solidFill>
              <w14:schemeClr w14:val="tx1"/>
            </w14:solidFill>
          </w14:textFill>
        </w:rPr>
        <w:t xml:space="preserve">             （盖章）  </w:t>
      </w:r>
      <w:r>
        <w:rPr>
          <w:rFonts w:hint="eastAsia" w:ascii="宋体" w:hAnsi="宋体"/>
          <w:color w:val="000000" w:themeColor="text1"/>
          <w:szCs w:val="21"/>
          <w14:textFill>
            <w14:solidFill>
              <w14:schemeClr w14:val="tx1"/>
            </w14:solidFill>
          </w14:textFill>
        </w:rPr>
        <w:t xml:space="preserve">         乙      方：</w:t>
      </w:r>
      <w:r>
        <w:rPr>
          <w:rFonts w:hint="eastAsia" w:ascii="宋体" w:hAnsi="宋体"/>
          <w:color w:val="000000" w:themeColor="text1"/>
          <w:szCs w:val="21"/>
          <w:u w:val="single"/>
          <w14:textFill>
            <w14:solidFill>
              <w14:schemeClr w14:val="tx1"/>
            </w14:solidFill>
          </w14:textFill>
        </w:rPr>
        <w:t xml:space="preserve">           （盖章）</w:t>
      </w:r>
      <w:r>
        <w:rPr>
          <w:rFonts w:hint="eastAsia" w:ascii="宋体" w:hAnsi="宋体"/>
          <w:color w:val="000000" w:themeColor="text1"/>
          <w:szCs w:val="21"/>
          <w14:textFill>
            <w14:solidFill>
              <w14:schemeClr w14:val="tx1"/>
            </w14:solidFill>
          </w14:textFill>
        </w:rPr>
        <w:t xml:space="preserve"> </w:t>
      </w:r>
    </w:p>
    <w:p w14:paraId="43636338">
      <w:pPr>
        <w:keepNext w:val="0"/>
        <w:keepLines w:val="0"/>
        <w:pageBreakBefore w:val="0"/>
        <w:widowControl w:val="0"/>
        <w:kinsoku/>
        <w:overflowPunct/>
        <w:topLinePunct w:val="0"/>
        <w:bidi w:val="0"/>
        <w:snapToGrid/>
        <w:spacing w:line="400" w:lineRule="exact"/>
        <w:ind w:firstLine="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5148905E">
      <w:pPr>
        <w:keepNext w:val="0"/>
        <w:keepLines w:val="0"/>
        <w:pageBreakBefore w:val="0"/>
        <w:widowControl w:val="0"/>
        <w:kinsoku/>
        <w:overflowPunct/>
        <w:topLinePunct w:val="0"/>
        <w:bidi w:val="0"/>
        <w:snapToGrid/>
        <w:spacing w:line="400" w:lineRule="exact"/>
        <w:ind w:firstLine="407" w:firstLineChars="194"/>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签字或盖章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u w:val="single"/>
          <w:lang w:eastAsia="zh-CN"/>
          <w14:textFill>
            <w14:solidFill>
              <w14:schemeClr w14:val="tx1"/>
            </w14:solidFill>
          </w14:textFill>
        </w:rPr>
        <w:t>签字或盖章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0AF37D98">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p>
    <w:p w14:paraId="44D8F9EA">
      <w:pPr>
        <w:keepNext w:val="0"/>
        <w:keepLines w:val="0"/>
        <w:pageBreakBefore w:val="0"/>
        <w:widowControl w:val="0"/>
        <w:kinsoku/>
        <w:overflowPunct/>
        <w:topLinePunct w:val="0"/>
        <w:bidi w:val="0"/>
        <w:snapToGrid/>
        <w:spacing w:line="40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                                电       话：</w:t>
      </w:r>
    </w:p>
    <w:p w14:paraId="54F22D9A">
      <w:pPr>
        <w:keepNext w:val="0"/>
        <w:keepLines w:val="0"/>
        <w:pageBreakBefore w:val="0"/>
        <w:widowControl w:val="0"/>
        <w:kinsoku/>
        <w:wordWrap w:val="0"/>
        <w:overflowPunct/>
        <w:topLinePunct w:val="0"/>
        <w:bidi w:val="0"/>
        <w:snapToGrid/>
        <w:spacing w:line="400" w:lineRule="exact"/>
        <w:ind w:firstLine="420" w:firstLineChars="200"/>
        <w:jc w:val="right"/>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年  月  日</w:t>
      </w:r>
    </w:p>
    <w:p w14:paraId="749AF8B0">
      <w:pPr>
        <w:rPr>
          <w:rFonts w:ascii="宋体" w:hAnsi="宋体"/>
          <w:color w:val="000000" w:themeColor="text1"/>
          <w:sz w:val="24"/>
          <w:highlight w:val="none"/>
          <w14:textFill>
            <w14:solidFill>
              <w14:schemeClr w14:val="tx1"/>
            </w14:solidFill>
          </w14:textFill>
        </w:rPr>
      </w:pPr>
    </w:p>
    <w:bookmarkEnd w:id="382"/>
    <w:bookmarkEnd w:id="383"/>
    <w:bookmarkEnd w:id="384"/>
    <w:bookmarkEnd w:id="385"/>
    <w:bookmarkEnd w:id="386"/>
    <w:bookmarkEnd w:id="387"/>
    <w:bookmarkEnd w:id="388"/>
    <w:bookmarkEnd w:id="389"/>
    <w:bookmarkEnd w:id="390"/>
    <w:p w14:paraId="486F76D4">
      <w:pPr>
        <w:pStyle w:val="2"/>
        <w:spacing w:line="360" w:lineRule="auto"/>
        <w:jc w:val="center"/>
        <w:rPr>
          <w:rFonts w:ascii="宋体" w:hAnsi="宋体" w:eastAsia="宋体" w:cs="宋体"/>
          <w:bCs/>
          <w:color w:val="000000" w:themeColor="text1"/>
          <w:sz w:val="32"/>
          <w:szCs w:val="32"/>
          <w:highlight w:val="none"/>
          <w14:textFill>
            <w14:solidFill>
              <w14:schemeClr w14:val="tx1"/>
            </w14:solidFill>
          </w14:textFill>
        </w:rPr>
        <w:sectPr>
          <w:footerReference r:id="rId3" w:type="default"/>
          <w:pgSz w:w="11907" w:h="16840"/>
          <w:pgMar w:top="1134" w:right="1191" w:bottom="1134" w:left="1304" w:header="851" w:footer="992" w:gutter="0"/>
          <w:cols w:space="720" w:num="1"/>
          <w:docGrid w:linePitch="380" w:charSpace="-5735"/>
        </w:sectPr>
      </w:pPr>
      <w:bookmarkStart w:id="488" w:name="_Toc338941681"/>
      <w:bookmarkStart w:id="489" w:name="_Toc419974528"/>
      <w:bookmarkStart w:id="490" w:name="_Toc370384675"/>
      <w:bookmarkStart w:id="491" w:name="_Toc86934238"/>
      <w:bookmarkStart w:id="492" w:name="_Toc419977313"/>
      <w:bookmarkStart w:id="493" w:name="_Toc419974286"/>
      <w:bookmarkStart w:id="494" w:name="_Toc430186005"/>
      <w:bookmarkStart w:id="495" w:name="_Toc430184721"/>
      <w:bookmarkStart w:id="496" w:name="_Toc428172776"/>
      <w:bookmarkStart w:id="497" w:name="_Toc428518773"/>
    </w:p>
    <w:p w14:paraId="4ED55113">
      <w:pPr>
        <w:pStyle w:val="2"/>
        <w:spacing w:line="360" w:lineRule="auto"/>
        <w:jc w:val="center"/>
        <w:rPr>
          <w:rFonts w:ascii="宋体" w:hAnsi="宋体" w:eastAsia="宋体" w:cs="宋体"/>
          <w:color w:val="000000" w:themeColor="text1"/>
          <w:sz w:val="32"/>
          <w:szCs w:val="32"/>
          <w:highlight w:val="none"/>
          <w14:textFill>
            <w14:solidFill>
              <w14:schemeClr w14:val="tx1"/>
            </w14:solidFill>
          </w14:textFill>
        </w:rPr>
      </w:pPr>
      <w:bookmarkStart w:id="498" w:name="_Toc10095"/>
      <w:r>
        <w:rPr>
          <w:rFonts w:hint="eastAsia" w:ascii="宋体" w:hAnsi="宋体" w:eastAsia="宋体" w:cs="宋体"/>
          <w:bCs/>
          <w:color w:val="000000" w:themeColor="text1"/>
          <w:sz w:val="32"/>
          <w:szCs w:val="32"/>
          <w:highlight w:val="none"/>
          <w14:textFill>
            <w14:solidFill>
              <w14:schemeClr w14:val="tx1"/>
            </w14:solidFill>
          </w14:textFill>
        </w:rPr>
        <w:t>第</w:t>
      </w:r>
      <w:r>
        <w:rPr>
          <w:rFonts w:hint="eastAsia" w:ascii="宋体" w:hAnsi="宋体" w:eastAsia="宋体" w:cs="宋体"/>
          <w:bCs/>
          <w:color w:val="000000" w:themeColor="text1"/>
          <w:sz w:val="32"/>
          <w:szCs w:val="32"/>
          <w:highlight w:val="none"/>
          <w:lang w:eastAsia="zh-CN"/>
          <w14:textFill>
            <w14:solidFill>
              <w14:schemeClr w14:val="tx1"/>
            </w14:solidFill>
          </w14:textFill>
        </w:rPr>
        <w:t>五</w:t>
      </w:r>
      <w:r>
        <w:rPr>
          <w:rFonts w:hint="eastAsia" w:ascii="宋体" w:hAnsi="宋体" w:eastAsia="宋体" w:cs="宋体"/>
          <w:bCs/>
          <w:color w:val="000000" w:themeColor="text1"/>
          <w:sz w:val="32"/>
          <w:szCs w:val="32"/>
          <w:highlight w:val="none"/>
          <w14:textFill>
            <w14:solidFill>
              <w14:schemeClr w14:val="tx1"/>
            </w14:solidFill>
          </w14:textFill>
        </w:rPr>
        <w:t xml:space="preserve">章 </w:t>
      </w:r>
      <w:r>
        <w:rPr>
          <w:rFonts w:hint="eastAsia" w:ascii="宋体" w:hAnsi="宋体" w:eastAsia="宋体" w:cs="宋体"/>
          <w:color w:val="000000" w:themeColor="text1"/>
          <w:sz w:val="32"/>
          <w:szCs w:val="32"/>
          <w:highlight w:val="none"/>
          <w14:textFill>
            <w14:solidFill>
              <w14:schemeClr w14:val="tx1"/>
            </w14:solidFill>
          </w14:textFill>
        </w:rPr>
        <w:t>投标文件格式</w:t>
      </w:r>
      <w:bookmarkEnd w:id="488"/>
      <w:bookmarkEnd w:id="489"/>
      <w:bookmarkEnd w:id="490"/>
      <w:bookmarkEnd w:id="491"/>
      <w:bookmarkEnd w:id="492"/>
      <w:bookmarkEnd w:id="493"/>
      <w:bookmarkEnd w:id="494"/>
      <w:bookmarkEnd w:id="495"/>
      <w:bookmarkEnd w:id="496"/>
      <w:bookmarkEnd w:id="497"/>
      <w:bookmarkEnd w:id="498"/>
      <w:bookmarkStart w:id="499" w:name="_Toc370384676"/>
      <w:bookmarkStart w:id="500" w:name="_Toc338941682"/>
    </w:p>
    <w:p w14:paraId="272E4FFF">
      <w:pPr>
        <w:pStyle w:val="16"/>
        <w:rPr>
          <w:rFonts w:ascii="宋体" w:hAnsi="宋体" w:cs="宋体"/>
          <w:b/>
          <w:color w:val="000000" w:themeColor="text1"/>
          <w:kern w:val="0"/>
          <w:sz w:val="96"/>
          <w:szCs w:val="96"/>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封面格式：</w:t>
      </w:r>
    </w:p>
    <w:p w14:paraId="03CE1553">
      <w:pPr>
        <w:tabs>
          <w:tab w:val="left" w:pos="3600"/>
          <w:tab w:val="left" w:pos="4480"/>
          <w:tab w:val="left" w:pos="5360"/>
        </w:tabs>
        <w:autoSpaceDE w:val="0"/>
        <w:autoSpaceDN w:val="0"/>
        <w:adjustRightInd w:val="0"/>
        <w:snapToGrid w:val="0"/>
        <w:jc w:val="center"/>
        <w:rPr>
          <w:rFonts w:ascii="宋体" w:hAnsi="宋体" w:cs="宋体"/>
          <w:color w:val="000000" w:themeColor="text1"/>
          <w:spacing w:val="80"/>
          <w:sz w:val="112"/>
          <w:szCs w:val="112"/>
          <w:highlight w:val="none"/>
          <w14:textFill>
            <w14:solidFill>
              <w14:schemeClr w14:val="tx1"/>
            </w14:solidFill>
          </w14:textFill>
        </w:rPr>
      </w:pPr>
      <w:bookmarkStart w:id="501" w:name="_Toc2072"/>
      <w:bookmarkStart w:id="502" w:name="_Toc31918"/>
      <w:bookmarkStart w:id="503" w:name="_Toc12063"/>
      <w:bookmarkStart w:id="504" w:name="_Toc8708"/>
      <w:bookmarkStart w:id="505" w:name="_Toc4214"/>
      <w:bookmarkStart w:id="506" w:name="_Toc10956"/>
      <w:bookmarkStart w:id="507" w:name="_Toc8290"/>
    </w:p>
    <w:p w14:paraId="0F78A525">
      <w:pPr>
        <w:tabs>
          <w:tab w:val="left" w:pos="3600"/>
          <w:tab w:val="left" w:pos="4480"/>
          <w:tab w:val="left" w:pos="5360"/>
        </w:tabs>
        <w:autoSpaceDE w:val="0"/>
        <w:autoSpaceDN w:val="0"/>
        <w:adjustRightInd w:val="0"/>
        <w:snapToGrid w:val="0"/>
        <w:jc w:val="center"/>
        <w:rPr>
          <w:rFonts w:ascii="宋体" w:hAnsi="宋体" w:cs="宋体"/>
          <w:color w:val="000000" w:themeColor="text1"/>
          <w:spacing w:val="80"/>
          <w:sz w:val="72"/>
          <w:szCs w:val="72"/>
          <w:highlight w:val="none"/>
          <w14:textFill>
            <w14:solidFill>
              <w14:schemeClr w14:val="tx1"/>
            </w14:solidFill>
          </w14:textFill>
        </w:rPr>
      </w:pPr>
    </w:p>
    <w:p w14:paraId="2C080B54">
      <w:pPr>
        <w:spacing w:after="240" w:afterLines="100" w:line="360" w:lineRule="auto"/>
        <w:jc w:val="center"/>
        <w:rPr>
          <w:rStyle w:val="66"/>
          <w:rFonts w:ascii="宋体" w:hAnsi="宋体" w:eastAsia="宋体" w:cs="宋体"/>
          <w:color w:val="000000" w:themeColor="text1"/>
          <w:sz w:val="84"/>
          <w:szCs w:val="84"/>
          <w:highlight w:val="none"/>
          <w14:textFill>
            <w14:solidFill>
              <w14:schemeClr w14:val="tx1"/>
            </w14:solidFill>
          </w14:textFill>
        </w:rPr>
      </w:pPr>
      <w:bookmarkStart w:id="508" w:name="_Toc86934239"/>
      <w:bookmarkStart w:id="509" w:name="_Toc29022"/>
      <w:bookmarkStart w:id="510" w:name="_Toc4927"/>
      <w:bookmarkStart w:id="511" w:name="_Toc8927"/>
      <w:bookmarkStart w:id="512" w:name="_Toc26376"/>
      <w:r>
        <w:rPr>
          <w:rStyle w:val="66"/>
          <w:rFonts w:hint="eastAsia" w:ascii="宋体" w:hAnsi="宋体" w:eastAsia="宋体" w:cs="宋体"/>
          <w:color w:val="000000" w:themeColor="text1"/>
          <w:sz w:val="84"/>
          <w:szCs w:val="84"/>
          <w:highlight w:val="none"/>
          <w14:textFill>
            <w14:solidFill>
              <w14:schemeClr w14:val="tx1"/>
            </w14:solidFill>
          </w14:textFill>
        </w:rPr>
        <w:t>竞争性比选响应文件</w:t>
      </w:r>
      <w:bookmarkEnd w:id="501"/>
      <w:bookmarkEnd w:id="502"/>
      <w:bookmarkEnd w:id="503"/>
      <w:bookmarkEnd w:id="504"/>
      <w:bookmarkEnd w:id="505"/>
      <w:bookmarkEnd w:id="506"/>
      <w:bookmarkEnd w:id="507"/>
      <w:bookmarkEnd w:id="508"/>
    </w:p>
    <w:bookmarkEnd w:id="509"/>
    <w:bookmarkEnd w:id="510"/>
    <w:bookmarkEnd w:id="511"/>
    <w:bookmarkEnd w:id="512"/>
    <w:p w14:paraId="015BE3EC">
      <w:pPr>
        <w:pStyle w:val="16"/>
        <w:rPr>
          <w:rFonts w:ascii="宋体" w:hAnsi="宋体" w:cs="宋体"/>
          <w:color w:val="000000" w:themeColor="text1"/>
          <w:highlight w:val="none"/>
          <w14:textFill>
            <w14:solidFill>
              <w14:schemeClr w14:val="tx1"/>
            </w14:solidFill>
          </w14:textFill>
        </w:rPr>
      </w:pPr>
    </w:p>
    <w:p w14:paraId="722D030F">
      <w:pPr>
        <w:pStyle w:val="16"/>
        <w:rPr>
          <w:rFonts w:ascii="宋体" w:hAnsi="宋体" w:cs="宋体"/>
          <w:color w:val="000000" w:themeColor="text1"/>
          <w:highlight w:val="none"/>
          <w14:textFill>
            <w14:solidFill>
              <w14:schemeClr w14:val="tx1"/>
            </w14:solidFill>
          </w14:textFill>
        </w:rPr>
      </w:pPr>
    </w:p>
    <w:p w14:paraId="079B8C60">
      <w:pPr>
        <w:pStyle w:val="16"/>
        <w:rPr>
          <w:rFonts w:ascii="宋体" w:hAnsi="宋体" w:cs="宋体"/>
          <w:color w:val="000000" w:themeColor="text1"/>
          <w:highlight w:val="none"/>
          <w14:textFill>
            <w14:solidFill>
              <w14:schemeClr w14:val="tx1"/>
            </w14:solidFill>
          </w14:textFill>
        </w:rPr>
      </w:pPr>
    </w:p>
    <w:p w14:paraId="6AF2F2E1">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w w:val="99"/>
          <w:kern w:val="0"/>
          <w:sz w:val="28"/>
          <w:szCs w:val="28"/>
          <w:highlight w:val="none"/>
          <w14:textFill>
            <w14:solidFill>
              <w14:schemeClr w14:val="tx1"/>
            </w14:solidFill>
          </w14:textFill>
        </w:rPr>
      </w:pPr>
    </w:p>
    <w:p w14:paraId="682084D2">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w w:val="99"/>
          <w:kern w:val="0"/>
          <w:sz w:val="28"/>
          <w:szCs w:val="28"/>
          <w:highlight w:val="none"/>
          <w14:textFill>
            <w14:solidFill>
              <w14:schemeClr w14:val="tx1"/>
            </w14:solidFill>
          </w14:textFill>
        </w:rPr>
      </w:pPr>
    </w:p>
    <w:p w14:paraId="4E6F1234">
      <w:pPr>
        <w:tabs>
          <w:tab w:val="left" w:pos="6904"/>
        </w:tabs>
        <w:autoSpaceDE w:val="0"/>
        <w:autoSpaceDN w:val="0"/>
        <w:adjustRightInd w:val="0"/>
        <w:snapToGrid w:val="0"/>
        <w:spacing w:line="360" w:lineRule="auto"/>
        <w:ind w:firstLine="1093" w:firstLineChars="393"/>
        <w:jc w:val="left"/>
        <w:rPr>
          <w:rFonts w:ascii="宋体" w:hAnsi="宋体" w:cs="宋体"/>
          <w:b/>
          <w:bCs/>
          <w:color w:val="000000" w:themeColor="text1"/>
          <w:kern w:val="0"/>
          <w:sz w:val="28"/>
          <w:szCs w:val="28"/>
          <w:highlight w:val="none"/>
          <w:u w:val="singl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项目名称：</w:t>
      </w:r>
      <w:r>
        <w:rPr>
          <w:rFonts w:hint="eastAsia" w:ascii="宋体" w:hAnsi="宋体" w:cs="宋体"/>
          <w:b/>
          <w:bCs/>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kern w:val="0"/>
          <w:sz w:val="28"/>
          <w:szCs w:val="28"/>
          <w:highlight w:val="none"/>
          <w:u w:val="single"/>
          <w14:textFill>
            <w14:solidFill>
              <w14:schemeClr w14:val="tx1"/>
            </w14:solidFill>
          </w14:textFill>
        </w:rPr>
        <w:t xml:space="preserve">        </w:t>
      </w:r>
    </w:p>
    <w:p w14:paraId="06C93449">
      <w:pPr>
        <w:autoSpaceDE w:val="0"/>
        <w:autoSpaceDN w:val="0"/>
        <w:adjustRightInd w:val="0"/>
        <w:snapToGrid w:val="0"/>
        <w:spacing w:line="360" w:lineRule="auto"/>
        <w:jc w:val="left"/>
        <w:rPr>
          <w:rFonts w:ascii="宋体" w:hAnsi="宋体" w:cs="宋体"/>
          <w:b/>
          <w:bCs/>
          <w:color w:val="000000" w:themeColor="text1"/>
          <w:kern w:val="0"/>
          <w:sz w:val="28"/>
          <w:szCs w:val="28"/>
          <w:highlight w:val="none"/>
          <w:u w:val="single"/>
          <w14:textFill>
            <w14:solidFill>
              <w14:schemeClr w14:val="tx1"/>
            </w14:solidFill>
          </w14:textFill>
        </w:rPr>
      </w:pPr>
    </w:p>
    <w:p w14:paraId="2CDF335A">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7F4E44E8">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3207CC62">
      <w:pPr>
        <w:autoSpaceDE w:val="0"/>
        <w:autoSpaceDN w:val="0"/>
        <w:adjustRightInd w:val="0"/>
        <w:snapToGrid w:val="0"/>
        <w:spacing w:line="360" w:lineRule="auto"/>
        <w:jc w:val="left"/>
        <w:rPr>
          <w:rFonts w:ascii="宋体" w:hAnsi="宋体" w:cs="宋体"/>
          <w:b/>
          <w:bCs/>
          <w:color w:val="000000" w:themeColor="text1"/>
          <w:kern w:val="0"/>
          <w:sz w:val="28"/>
          <w:szCs w:val="28"/>
          <w:highlight w:val="none"/>
          <w14:textFill>
            <w14:solidFill>
              <w14:schemeClr w14:val="tx1"/>
            </w14:solidFill>
          </w14:textFill>
        </w:rPr>
      </w:pPr>
    </w:p>
    <w:p w14:paraId="4A63D98F">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投标单位</w:t>
      </w:r>
      <w:r>
        <w:rPr>
          <w:rFonts w:hint="eastAsia" w:ascii="宋体" w:hAnsi="宋体" w:cs="宋体"/>
          <w:b/>
          <w:bCs/>
          <w:color w:val="000000" w:themeColor="text1"/>
          <w:spacing w:val="1"/>
          <w:w w:val="99"/>
          <w:kern w:val="0"/>
          <w:sz w:val="28"/>
          <w:szCs w:val="28"/>
          <w:highlight w:val="none"/>
          <w14:textFill>
            <w14:solidFill>
              <w14:schemeClr w14:val="tx1"/>
            </w14:solidFill>
          </w14:textFill>
        </w:rPr>
        <w:t>：</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（公章）</w:t>
      </w:r>
    </w:p>
    <w:p w14:paraId="46B97E63">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p>
    <w:p w14:paraId="13797266">
      <w:pPr>
        <w:tabs>
          <w:tab w:val="left" w:pos="6080"/>
          <w:tab w:val="left" w:pos="6640"/>
        </w:tabs>
        <w:autoSpaceDE w:val="0"/>
        <w:autoSpaceDN w:val="0"/>
        <w:adjustRightInd w:val="0"/>
        <w:snapToGrid w:val="0"/>
        <w:spacing w:line="360" w:lineRule="auto"/>
        <w:ind w:firstLine="1251" w:firstLineChars="450"/>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14:textFill>
            <w14:solidFill>
              <w14:schemeClr w14:val="tx1"/>
            </w14:solidFill>
          </w14:textFill>
        </w:rPr>
        <w:t>法定代表人或其授权代表：</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（签字）</w:t>
      </w:r>
    </w:p>
    <w:p w14:paraId="06D53A26">
      <w:pPr>
        <w:tabs>
          <w:tab w:val="left" w:pos="3280"/>
          <w:tab w:val="left" w:pos="4680"/>
          <w:tab w:val="left" w:pos="6080"/>
        </w:tabs>
        <w:autoSpaceDE w:val="0"/>
        <w:autoSpaceDN w:val="0"/>
        <w:adjustRightInd w:val="0"/>
        <w:snapToGrid w:val="0"/>
        <w:spacing w:line="360" w:lineRule="auto"/>
        <w:jc w:val="center"/>
        <w:rPr>
          <w:rFonts w:ascii="宋体" w:hAnsi="宋体" w:cs="宋体"/>
          <w:color w:val="000000" w:themeColor="text1"/>
          <w:w w:val="99"/>
          <w:kern w:val="0"/>
          <w:sz w:val="28"/>
          <w:szCs w:val="28"/>
          <w:highlight w:val="none"/>
          <w:u w:val="single"/>
          <w14:textFill>
            <w14:solidFill>
              <w14:schemeClr w14:val="tx1"/>
            </w14:solidFill>
          </w14:textFill>
        </w:rPr>
      </w:pPr>
    </w:p>
    <w:p w14:paraId="7226BCD4">
      <w:pPr>
        <w:tabs>
          <w:tab w:val="left" w:pos="3280"/>
          <w:tab w:val="left" w:pos="4680"/>
          <w:tab w:val="left" w:pos="6080"/>
        </w:tabs>
        <w:autoSpaceDE w:val="0"/>
        <w:autoSpaceDN w:val="0"/>
        <w:adjustRightInd w:val="0"/>
        <w:snapToGrid w:val="0"/>
        <w:spacing w:line="360" w:lineRule="auto"/>
        <w:jc w:val="center"/>
        <w:rPr>
          <w:rFonts w:ascii="宋体" w:hAnsi="宋体" w:cs="宋体"/>
          <w:b/>
          <w:bCs/>
          <w:color w:val="000000" w:themeColor="text1"/>
          <w:w w:val="99"/>
          <w:kern w:val="0"/>
          <w:sz w:val="28"/>
          <w:szCs w:val="28"/>
          <w:highlight w:val="none"/>
          <w14:textFill>
            <w14:solidFill>
              <w14:schemeClr w14:val="tx1"/>
            </w14:solidFill>
          </w14:textFill>
        </w:rPr>
      </w:pPr>
      <w:r>
        <w:rPr>
          <w:rFonts w:hint="eastAsia" w:ascii="宋体" w:hAnsi="宋体" w:cs="宋体"/>
          <w:b/>
          <w:bCs/>
          <w:color w:val="000000" w:themeColor="text1"/>
          <w:w w:val="99"/>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年</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月</w:t>
      </w:r>
      <w:r>
        <w:rPr>
          <w:rFonts w:hint="eastAsia" w:ascii="宋体" w:hAnsi="宋体" w:cs="宋体"/>
          <w:b/>
          <w:bCs/>
          <w:color w:val="000000" w:themeColor="text1"/>
          <w:w w:val="198"/>
          <w:kern w:val="0"/>
          <w:sz w:val="28"/>
          <w:szCs w:val="28"/>
          <w:highlight w:val="none"/>
          <w:u w:val="single"/>
          <w14:textFill>
            <w14:solidFill>
              <w14:schemeClr w14:val="tx1"/>
            </w14:solidFill>
          </w14:textFill>
        </w:rPr>
        <w:t xml:space="preserve">  </w:t>
      </w:r>
      <w:r>
        <w:rPr>
          <w:rFonts w:hint="eastAsia" w:ascii="宋体" w:hAnsi="宋体" w:cs="宋体"/>
          <w:b/>
          <w:bCs/>
          <w:color w:val="000000" w:themeColor="text1"/>
          <w:w w:val="99"/>
          <w:kern w:val="0"/>
          <w:sz w:val="28"/>
          <w:szCs w:val="28"/>
          <w:highlight w:val="none"/>
          <w14:textFill>
            <w14:solidFill>
              <w14:schemeClr w14:val="tx1"/>
            </w14:solidFill>
          </w14:textFill>
        </w:rPr>
        <w:t>日</w:t>
      </w:r>
    </w:p>
    <w:p w14:paraId="20D6F603">
      <w:pPr>
        <w:spacing w:line="360" w:lineRule="auto"/>
        <w:jc w:val="center"/>
        <w:rPr>
          <w:rFonts w:ascii="宋体" w:hAnsi="宋体" w:cs="宋体"/>
          <w:b/>
          <w:color w:val="000000" w:themeColor="text1"/>
          <w:sz w:val="28"/>
          <w:szCs w:val="28"/>
          <w:highlight w:val="none"/>
          <w14:textFill>
            <w14:solidFill>
              <w14:schemeClr w14:val="tx1"/>
            </w14:solidFill>
          </w14:textFill>
        </w:rPr>
      </w:pPr>
    </w:p>
    <w:p w14:paraId="233F0F5F">
      <w:pPr>
        <w:spacing w:line="360" w:lineRule="auto"/>
        <w:rPr>
          <w:rFonts w:ascii="宋体" w:hAnsi="宋体" w:cs="宋体"/>
          <w:b/>
          <w:bCs/>
          <w:color w:val="000000" w:themeColor="text1"/>
          <w:sz w:val="32"/>
          <w:szCs w:val="32"/>
          <w:highlight w:val="none"/>
          <w14:textFill>
            <w14:solidFill>
              <w14:schemeClr w14:val="tx1"/>
            </w14:solidFill>
          </w14:textFill>
        </w:rPr>
      </w:pPr>
    </w:p>
    <w:p w14:paraId="761B8B74">
      <w:pPr>
        <w:spacing w:line="360" w:lineRule="auto"/>
        <w:ind w:firstLine="643" w:firstLineChars="200"/>
        <w:jc w:val="center"/>
        <w:rPr>
          <w:rFonts w:ascii="宋体" w:hAnsi="宋体" w:cs="宋体"/>
          <w:b/>
          <w:bCs/>
          <w:color w:val="000000" w:themeColor="text1"/>
          <w:sz w:val="32"/>
          <w:szCs w:val="32"/>
          <w:highlight w:val="none"/>
          <w14:textFill>
            <w14:solidFill>
              <w14:schemeClr w14:val="tx1"/>
            </w14:solidFill>
          </w14:textFill>
        </w:rPr>
      </w:pPr>
    </w:p>
    <w:p w14:paraId="40F397D2">
      <w:pPr>
        <w:spacing w:line="360" w:lineRule="auto"/>
        <w:ind w:firstLine="643" w:firstLineChars="200"/>
        <w:jc w:val="center"/>
        <w:outlineLvl w:val="3"/>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  录</w:t>
      </w:r>
    </w:p>
    <w:p w14:paraId="24179BBE">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一、经济部分</w:t>
      </w:r>
    </w:p>
    <w:p w14:paraId="25951A48">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（一）竞争性比选报价函</w:t>
      </w:r>
    </w:p>
    <w:p w14:paraId="4504250D">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二、服务部分</w:t>
      </w:r>
    </w:p>
    <w:p w14:paraId="44C7BE7E">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）明细报价表</w:t>
      </w:r>
    </w:p>
    <w:p w14:paraId="6B9A78EC">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三、资格条件及其他</w:t>
      </w:r>
    </w:p>
    <w:p w14:paraId="14BEAA9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（一）营业执照（副本）或事业单位法人证书（副本）复印件</w:t>
      </w:r>
    </w:p>
    <w:p w14:paraId="3001FCA2">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（二）法定代表人身份证明书（格式）</w:t>
      </w:r>
    </w:p>
    <w:p w14:paraId="4AC4817C">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（三）法定代表人授权委托书（格式）</w:t>
      </w:r>
    </w:p>
    <w:p w14:paraId="59BA60E4">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（四）资质证书副本复印件</w:t>
      </w:r>
    </w:p>
    <w:p w14:paraId="172D693A">
      <w:pPr>
        <w:spacing w:line="440" w:lineRule="exact"/>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w:t>
      </w:r>
      <w:r>
        <w:rPr>
          <w:rFonts w:hint="eastAsia" w:ascii="宋体" w:hAnsi="宋体" w:cs="宋体"/>
          <w:color w:val="000000" w:themeColor="text1"/>
          <w:sz w:val="24"/>
          <w:szCs w:val="24"/>
          <w:highlight w:val="none"/>
          <w:lang w:eastAsia="zh-CN"/>
          <w14:textFill>
            <w14:solidFill>
              <w14:schemeClr w14:val="tx1"/>
            </w14:solidFill>
          </w14:textFill>
        </w:rPr>
        <w:t>基本资格条件承诺函（格式）</w:t>
      </w:r>
    </w:p>
    <w:p w14:paraId="4E43814A">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）“信用中国”查询结果</w:t>
      </w:r>
    </w:p>
    <w:p w14:paraId="65EE1E53">
      <w:pPr>
        <w:spacing w:line="440" w:lineRule="exact"/>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cs="宋体"/>
          <w:b/>
          <w:bCs/>
          <w:color w:val="000000" w:themeColor="text1"/>
          <w:sz w:val="24"/>
          <w:szCs w:val="24"/>
          <w:highlight w:val="none"/>
          <w14:textFill>
            <w14:solidFill>
              <w14:schemeClr w14:val="tx1"/>
            </w14:solidFill>
          </w14:textFill>
        </w:rPr>
        <w:t>、其他资料</w:t>
      </w:r>
    </w:p>
    <w:p w14:paraId="7D721041">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（一）其他与项目有关的资料</w:t>
      </w:r>
    </w:p>
    <w:p w14:paraId="3DEB79C0">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CB58D79">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6363238">
      <w:pPr>
        <w:pStyle w:val="16"/>
        <w:rPr>
          <w:rFonts w:ascii="宋体" w:hAnsi="宋体" w:cs="宋体"/>
          <w:color w:val="000000" w:themeColor="text1"/>
          <w:highlight w:val="none"/>
          <w14:textFill>
            <w14:solidFill>
              <w14:schemeClr w14:val="tx1"/>
            </w14:solidFill>
          </w14:textFill>
        </w:rPr>
      </w:pPr>
    </w:p>
    <w:p w14:paraId="71C4E9A8">
      <w:pPr>
        <w:rPr>
          <w:rFonts w:ascii="宋体" w:hAnsi="宋体" w:cs="宋体"/>
          <w:color w:val="000000" w:themeColor="text1"/>
          <w:highlight w:val="none"/>
          <w14:textFill>
            <w14:solidFill>
              <w14:schemeClr w14:val="tx1"/>
            </w14:solidFill>
          </w14:textFill>
        </w:rPr>
      </w:pPr>
    </w:p>
    <w:p w14:paraId="567D16D3">
      <w:pPr>
        <w:pStyle w:val="16"/>
        <w:rPr>
          <w:rFonts w:ascii="宋体" w:hAnsi="宋体" w:cs="宋体"/>
          <w:color w:val="000000" w:themeColor="text1"/>
          <w:highlight w:val="none"/>
          <w14:textFill>
            <w14:solidFill>
              <w14:schemeClr w14:val="tx1"/>
            </w14:solidFill>
          </w14:textFill>
        </w:rPr>
      </w:pPr>
    </w:p>
    <w:p w14:paraId="39B18F73">
      <w:pPr>
        <w:rPr>
          <w:rFonts w:ascii="宋体" w:hAnsi="宋体" w:cs="宋体"/>
          <w:color w:val="000000" w:themeColor="text1"/>
          <w:highlight w:val="none"/>
          <w14:textFill>
            <w14:solidFill>
              <w14:schemeClr w14:val="tx1"/>
            </w14:solidFill>
          </w14:textFill>
        </w:rPr>
      </w:pPr>
    </w:p>
    <w:p w14:paraId="21569601">
      <w:pPr>
        <w:pStyle w:val="16"/>
        <w:rPr>
          <w:rFonts w:ascii="宋体" w:hAnsi="宋体" w:cs="宋体"/>
          <w:color w:val="000000" w:themeColor="text1"/>
          <w:highlight w:val="none"/>
          <w14:textFill>
            <w14:solidFill>
              <w14:schemeClr w14:val="tx1"/>
            </w14:solidFill>
          </w14:textFill>
        </w:rPr>
      </w:pPr>
    </w:p>
    <w:p w14:paraId="79F0EC92">
      <w:pPr>
        <w:rPr>
          <w:rFonts w:ascii="宋体" w:hAnsi="宋体" w:cs="宋体"/>
          <w:color w:val="000000" w:themeColor="text1"/>
          <w:highlight w:val="none"/>
          <w14:textFill>
            <w14:solidFill>
              <w14:schemeClr w14:val="tx1"/>
            </w14:solidFill>
          </w14:textFill>
        </w:rPr>
      </w:pPr>
    </w:p>
    <w:p w14:paraId="1F294541">
      <w:pPr>
        <w:pStyle w:val="16"/>
        <w:rPr>
          <w:rFonts w:ascii="宋体" w:hAnsi="宋体" w:cs="宋体"/>
          <w:color w:val="000000" w:themeColor="text1"/>
          <w:highlight w:val="none"/>
          <w14:textFill>
            <w14:solidFill>
              <w14:schemeClr w14:val="tx1"/>
            </w14:solidFill>
          </w14:textFill>
        </w:rPr>
      </w:pPr>
    </w:p>
    <w:p w14:paraId="2159D63C">
      <w:pPr>
        <w:rPr>
          <w:rFonts w:ascii="宋体" w:hAnsi="宋体" w:cs="宋体"/>
          <w:color w:val="000000" w:themeColor="text1"/>
          <w:highlight w:val="none"/>
          <w14:textFill>
            <w14:solidFill>
              <w14:schemeClr w14:val="tx1"/>
            </w14:solidFill>
          </w14:textFill>
        </w:rPr>
      </w:pPr>
    </w:p>
    <w:p w14:paraId="17261CB3">
      <w:pPr>
        <w:pStyle w:val="16"/>
        <w:rPr>
          <w:rFonts w:ascii="宋体" w:hAnsi="宋体" w:cs="宋体"/>
          <w:color w:val="000000" w:themeColor="text1"/>
          <w:highlight w:val="none"/>
          <w14:textFill>
            <w14:solidFill>
              <w14:schemeClr w14:val="tx1"/>
            </w14:solidFill>
          </w14:textFill>
        </w:rPr>
      </w:pPr>
    </w:p>
    <w:p w14:paraId="3F8B2E81">
      <w:pPr>
        <w:rPr>
          <w:rFonts w:ascii="宋体" w:hAnsi="宋体" w:cs="宋体"/>
          <w:color w:val="000000" w:themeColor="text1"/>
          <w:highlight w:val="none"/>
          <w14:textFill>
            <w14:solidFill>
              <w14:schemeClr w14:val="tx1"/>
            </w14:solidFill>
          </w14:textFill>
        </w:rPr>
      </w:pPr>
    </w:p>
    <w:p w14:paraId="67EB5471">
      <w:pPr>
        <w:pStyle w:val="16"/>
        <w:rPr>
          <w:rFonts w:ascii="宋体" w:hAnsi="宋体" w:cs="宋体"/>
          <w:color w:val="000000" w:themeColor="text1"/>
          <w:highlight w:val="none"/>
          <w14:textFill>
            <w14:solidFill>
              <w14:schemeClr w14:val="tx1"/>
            </w14:solidFill>
          </w14:textFill>
        </w:rPr>
      </w:pPr>
    </w:p>
    <w:p w14:paraId="0D2AD93D">
      <w:pPr>
        <w:rPr>
          <w:rFonts w:ascii="宋体" w:hAnsi="宋体" w:cs="宋体"/>
          <w:color w:val="000000" w:themeColor="text1"/>
          <w:highlight w:val="none"/>
          <w14:textFill>
            <w14:solidFill>
              <w14:schemeClr w14:val="tx1"/>
            </w14:solidFill>
          </w14:textFill>
        </w:rPr>
      </w:pPr>
    </w:p>
    <w:p w14:paraId="79BE0042">
      <w:pPr>
        <w:pStyle w:val="16"/>
        <w:rPr>
          <w:rFonts w:ascii="宋体" w:hAnsi="宋体" w:cs="宋体"/>
          <w:color w:val="000000" w:themeColor="text1"/>
          <w:highlight w:val="none"/>
          <w14:textFill>
            <w14:solidFill>
              <w14:schemeClr w14:val="tx1"/>
            </w14:solidFill>
          </w14:textFill>
        </w:rPr>
      </w:pPr>
    </w:p>
    <w:p w14:paraId="2636A44F">
      <w:pPr>
        <w:rPr>
          <w:rFonts w:ascii="宋体" w:hAnsi="宋体" w:cs="宋体"/>
          <w:color w:val="000000" w:themeColor="text1"/>
          <w:highlight w:val="none"/>
          <w14:textFill>
            <w14:solidFill>
              <w14:schemeClr w14:val="tx1"/>
            </w14:solidFill>
          </w14:textFill>
        </w:rPr>
      </w:pPr>
    </w:p>
    <w:p w14:paraId="5239ACD0">
      <w:pPr>
        <w:pStyle w:val="16"/>
        <w:rPr>
          <w:rFonts w:ascii="宋体" w:hAnsi="宋体" w:cs="宋体"/>
          <w:color w:val="000000" w:themeColor="text1"/>
          <w:highlight w:val="none"/>
          <w14:textFill>
            <w14:solidFill>
              <w14:schemeClr w14:val="tx1"/>
            </w14:solidFill>
          </w14:textFill>
        </w:rPr>
      </w:pPr>
    </w:p>
    <w:p w14:paraId="0A35C4EE">
      <w:pPr>
        <w:rPr>
          <w:rFonts w:ascii="宋体" w:hAnsi="宋体" w:cs="宋体"/>
          <w:color w:val="000000" w:themeColor="text1"/>
          <w:highlight w:val="none"/>
          <w14:textFill>
            <w14:solidFill>
              <w14:schemeClr w14:val="tx1"/>
            </w14:solidFill>
          </w14:textFill>
        </w:rPr>
      </w:pPr>
    </w:p>
    <w:p w14:paraId="12339130">
      <w:pPr>
        <w:pStyle w:val="16"/>
        <w:rPr>
          <w:rFonts w:ascii="宋体" w:hAnsi="宋体" w:cs="宋体"/>
          <w:color w:val="000000" w:themeColor="text1"/>
          <w:highlight w:val="none"/>
          <w14:textFill>
            <w14:solidFill>
              <w14:schemeClr w14:val="tx1"/>
            </w14:solidFill>
          </w14:textFill>
        </w:rPr>
      </w:pPr>
    </w:p>
    <w:p w14:paraId="4CFE27B7">
      <w:pPr>
        <w:pStyle w:val="16"/>
        <w:rPr>
          <w:rFonts w:ascii="宋体" w:hAnsi="宋体" w:cs="宋体"/>
          <w:color w:val="000000" w:themeColor="text1"/>
          <w:highlight w:val="none"/>
          <w14:textFill>
            <w14:solidFill>
              <w14:schemeClr w14:val="tx1"/>
            </w14:solidFill>
          </w14:textFill>
        </w:rPr>
      </w:pPr>
    </w:p>
    <w:p w14:paraId="54AA8FDF">
      <w:pPr>
        <w:rPr>
          <w:rFonts w:ascii="宋体" w:hAnsi="宋体" w:cs="宋体"/>
          <w:color w:val="000000" w:themeColor="text1"/>
          <w:highlight w:val="none"/>
          <w14:textFill>
            <w14:solidFill>
              <w14:schemeClr w14:val="tx1"/>
            </w14:solidFill>
          </w14:textFill>
        </w:rPr>
      </w:pPr>
    </w:p>
    <w:p w14:paraId="7DAFB1F8">
      <w:pPr>
        <w:pStyle w:val="2"/>
        <w:rPr>
          <w:color w:val="000000" w:themeColor="text1"/>
          <w14:textFill>
            <w14:solidFill>
              <w14:schemeClr w14:val="tx1"/>
            </w14:solidFill>
          </w14:textFill>
        </w:rPr>
      </w:pPr>
    </w:p>
    <w:p w14:paraId="3BF2995F">
      <w:pPr>
        <w:rPr>
          <w:rFonts w:ascii="宋体" w:hAnsi="宋体" w:cs="宋体"/>
          <w:color w:val="000000" w:themeColor="text1"/>
          <w:sz w:val="24"/>
          <w:szCs w:val="24"/>
          <w:highlight w:val="none"/>
          <w14:textFill>
            <w14:solidFill>
              <w14:schemeClr w14:val="tx1"/>
            </w14:solidFill>
          </w14:textFill>
        </w:rPr>
      </w:pPr>
    </w:p>
    <w:p w14:paraId="657EB9C7">
      <w:pPr>
        <w:pStyle w:val="5"/>
        <w:spacing w:line="400" w:lineRule="exact"/>
        <w:ind w:firstLine="482" w:firstLineChars="200"/>
        <w:jc w:val="both"/>
        <w:rPr>
          <w:rFonts w:ascii="宋体" w:hAnsi="宋体" w:cs="宋体"/>
          <w:b/>
          <w:color w:val="000000" w:themeColor="text1"/>
          <w:sz w:val="24"/>
          <w:szCs w:val="32"/>
          <w:highlight w:val="none"/>
          <w14:textFill>
            <w14:solidFill>
              <w14:schemeClr w14:val="tx1"/>
            </w14:solidFill>
          </w14:textFill>
        </w:rPr>
      </w:pPr>
      <w:bookmarkStart w:id="513" w:name="_Toc23236"/>
      <w:bookmarkStart w:id="514" w:name="_Toc313008356"/>
      <w:bookmarkStart w:id="515" w:name="_Toc86934240"/>
      <w:bookmarkStart w:id="516" w:name="_Toc81834346"/>
      <w:bookmarkStart w:id="517" w:name="_Toc342913419"/>
      <w:bookmarkStart w:id="518" w:name="_Toc313888360"/>
      <w:bookmarkStart w:id="519" w:name="_Toc12789073"/>
      <w:bookmarkStart w:id="520" w:name="_Toc283382454"/>
      <w:r>
        <w:rPr>
          <w:rFonts w:hint="eastAsia" w:ascii="宋体" w:hAnsi="宋体" w:cs="宋体"/>
          <w:b/>
          <w:color w:val="000000" w:themeColor="text1"/>
          <w:sz w:val="24"/>
          <w:szCs w:val="32"/>
          <w:highlight w:val="none"/>
          <w14:textFill>
            <w14:solidFill>
              <w14:schemeClr w14:val="tx1"/>
            </w14:solidFill>
          </w14:textFill>
        </w:rPr>
        <w:t>一、经济部分</w:t>
      </w:r>
      <w:bookmarkEnd w:id="513"/>
      <w:bookmarkEnd w:id="514"/>
      <w:bookmarkEnd w:id="515"/>
      <w:bookmarkEnd w:id="516"/>
      <w:bookmarkEnd w:id="517"/>
      <w:bookmarkEnd w:id="518"/>
    </w:p>
    <w:bookmarkEnd w:id="519"/>
    <w:bookmarkEnd w:id="520"/>
    <w:p w14:paraId="185DC03D">
      <w:pPr>
        <w:tabs>
          <w:tab w:val="left" w:pos="6300"/>
        </w:tabs>
        <w:snapToGrid w:val="0"/>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p>
    <w:p w14:paraId="3979E7D5">
      <w:pPr>
        <w:numPr>
          <w:ilvl w:val="0"/>
          <w:numId w:val="1"/>
        </w:numPr>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竞争性比选报价函</w:t>
      </w:r>
    </w:p>
    <w:p w14:paraId="6485002E">
      <w:pPr>
        <w:pStyle w:val="11"/>
        <w:ind w:firstLine="0"/>
        <w:rPr>
          <w:rFonts w:ascii="宋体" w:hAnsi="宋体" w:eastAsia="宋体" w:cs="宋体"/>
          <w:color w:val="000000" w:themeColor="text1"/>
          <w:highlight w:val="none"/>
          <w14:textFill>
            <w14:solidFill>
              <w14:schemeClr w14:val="tx1"/>
            </w14:solidFill>
          </w14:textFill>
        </w:rPr>
      </w:pPr>
    </w:p>
    <w:p w14:paraId="23FB2D81">
      <w:pPr>
        <w:pStyle w:val="141"/>
        <w:ind w:firstLine="562"/>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竞争性比选报价函</w:t>
      </w:r>
    </w:p>
    <w:bookmarkEnd w:id="499"/>
    <w:bookmarkEnd w:id="500"/>
    <w:p w14:paraId="13BEE21B">
      <w:pPr>
        <w:tabs>
          <w:tab w:val="left" w:pos="6300"/>
        </w:tabs>
        <w:snapToGrid w:val="0"/>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（比选人名称）</w:t>
      </w:r>
      <w:r>
        <w:rPr>
          <w:rFonts w:hint="eastAsia" w:ascii="宋体" w:hAnsi="宋体" w:cs="宋体"/>
          <w:color w:val="000000" w:themeColor="text1"/>
          <w:sz w:val="24"/>
          <w:szCs w:val="24"/>
          <w:highlight w:val="none"/>
          <w14:textFill>
            <w14:solidFill>
              <w14:schemeClr w14:val="tx1"/>
            </w14:solidFill>
          </w14:textFill>
        </w:rPr>
        <w:t>：</w:t>
      </w:r>
    </w:p>
    <w:p w14:paraId="0051AFFE">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我方收到____________________________（项目名称）的竞争性比选文件，经详细研究，决定参加该项目的比选。</w:t>
      </w:r>
    </w:p>
    <w:p w14:paraId="6280B85F">
      <w:pPr>
        <w:tabs>
          <w:tab w:val="left" w:pos="6300"/>
        </w:tabs>
        <w:snapToGrid w:val="0"/>
        <w:spacing w:line="360" w:lineRule="auto"/>
        <w:ind w:left="412" w:leftChars="196"/>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1、愿意按照竞争性比选文件中的一切要求，提供本项目的施工服务，报价为</w:t>
      </w:r>
    </w:p>
    <w:p w14:paraId="25D1B7D7">
      <w:pPr>
        <w:tabs>
          <w:tab w:val="left" w:pos="6300"/>
        </w:tabs>
        <w:snapToGrid w:val="0"/>
        <w:spacing w:line="360" w:lineRule="auto"/>
        <w:ind w:left="412" w:leftChars="196"/>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14:textFill>
            <w14:solidFill>
              <w14:schemeClr w14:val="tx1"/>
            </w14:solidFill>
          </w14:textFill>
        </w:rPr>
        <w:t>大写：        元整</w:t>
      </w:r>
      <w:r>
        <w:rPr>
          <w:rFonts w:hint="eastAsia" w:ascii="宋体" w:hAnsi="宋体" w:cs="宋体"/>
          <w:color w:val="000000" w:themeColor="text1"/>
          <w:sz w:val="24"/>
          <w:szCs w:val="24"/>
          <w:highlight w:val="none"/>
          <w14:textFill>
            <w14:solidFill>
              <w14:schemeClr w14:val="tx1"/>
            </w14:solidFill>
          </w14:textFill>
        </w:rPr>
        <w:t>；人民币</w:t>
      </w:r>
      <w:r>
        <w:rPr>
          <w:rFonts w:hint="eastAsia" w:ascii="宋体" w:hAnsi="宋体" w:cs="宋体"/>
          <w:color w:val="000000" w:themeColor="text1"/>
          <w:sz w:val="24"/>
          <w:szCs w:val="24"/>
          <w:highlight w:val="none"/>
          <w:u w:val="single"/>
          <w14:textFill>
            <w14:solidFill>
              <w14:schemeClr w14:val="tx1"/>
            </w14:solidFill>
          </w14:textFill>
        </w:rPr>
        <w:t>小写：         元</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综合单价报价：</w:t>
      </w:r>
      <w:r>
        <w:rPr>
          <w:rFonts w:hint="eastAsia" w:ascii="宋体" w:hAnsi="宋体" w:cs="宋体"/>
          <w:color w:val="000000" w:themeColor="text1"/>
          <w:sz w:val="24"/>
          <w:szCs w:val="24"/>
          <w:highlight w:val="none"/>
          <w:u w:val="single"/>
          <w14:textFill>
            <w14:solidFill>
              <w14:schemeClr w14:val="tx1"/>
            </w14:solidFill>
          </w14:textFill>
        </w:rPr>
        <w:t>小写：         元</w:t>
      </w:r>
      <w:r>
        <w:rPr>
          <w:rFonts w:hint="eastAsia" w:ascii="宋体" w:hAnsi="宋体" w:cs="宋体"/>
          <w:color w:val="000000" w:themeColor="text1"/>
          <w:sz w:val="24"/>
          <w:szCs w:val="24"/>
          <w:highlight w:val="none"/>
          <w:u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其中安全文明施工费为：大写：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小写：</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4BED3AD4">
      <w:pPr>
        <w:tabs>
          <w:tab w:val="left" w:pos="6300"/>
        </w:tabs>
        <w:snapToGrid w:val="0"/>
        <w:spacing w:line="360" w:lineRule="auto"/>
        <w:ind w:left="412" w:leftChars="196"/>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份，副本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电子文档</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r>
        <w:rPr>
          <w:rFonts w:hint="eastAsia" w:ascii="宋体" w:hAnsi="宋体" w:cs="宋体"/>
          <w:color w:val="000000" w:themeColor="text1"/>
          <w:sz w:val="24"/>
          <w:szCs w:val="24"/>
          <w:highlight w:val="none"/>
          <w:lang w:eastAsia="zh-CN"/>
          <w14:textFill>
            <w14:solidFill>
              <w14:schemeClr w14:val="tx1"/>
            </w14:solidFill>
          </w14:textFill>
        </w:rPr>
        <w:t>。</w:t>
      </w:r>
    </w:p>
    <w:p w14:paraId="40CF41AE">
      <w:pPr>
        <w:tabs>
          <w:tab w:val="left" w:pos="6300"/>
        </w:tabs>
        <w:snapToGrid w:val="0"/>
        <w:spacing w:line="480" w:lineRule="exact"/>
        <w:ind w:left="412" w:leftChars="196"/>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3、我方承诺：本次比选的有效期为90天。</w:t>
      </w:r>
    </w:p>
    <w:p w14:paraId="735DDFFC">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4、我方完全理解和接受贵方竞争性比选文件的一切规定和要求及评审办法。</w:t>
      </w:r>
    </w:p>
    <w:p w14:paraId="54550108">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5、在整个竞争性比选过程中，我方若有违规行为，接受按照《中华人民共和国招标投标法》及其实施条例等规定给予惩罚。</w:t>
      </w:r>
    </w:p>
    <w:p w14:paraId="1C908DD0">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6、我方若成为中标人，将按照最终比选结果签订合同，并且严格履行合同义务。本承诺函将成为合同不可分割的一部分，与合同具有同等的法律效力。</w:t>
      </w:r>
    </w:p>
    <w:p w14:paraId="6480902C">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r>
        <w:rPr>
          <w:rFonts w:hint="eastAsia" w:ascii="宋体" w:hAnsi="宋体" w:cs="宋体"/>
          <w:color w:val="000000" w:themeColor="text1"/>
          <w:sz w:val="24"/>
          <w:szCs w:val="28"/>
          <w:highlight w:val="none"/>
          <w14:textFill>
            <w14:solidFill>
              <w14:schemeClr w14:val="tx1"/>
            </w14:solidFill>
          </w14:textFill>
        </w:rPr>
        <w:t>我方理解，最低报价不是成交的唯一条件。</w:t>
      </w:r>
    </w:p>
    <w:p w14:paraId="57CE9638">
      <w:pPr>
        <w:tabs>
          <w:tab w:val="left" w:pos="6300"/>
        </w:tabs>
        <w:snapToGrid w:val="0"/>
        <w:spacing w:line="48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8"/>
          <w:highlight w:val="none"/>
          <w14:textFill>
            <w14:solidFill>
              <w14:schemeClr w14:val="tx1"/>
            </w14:solidFill>
          </w14:textFill>
        </w:rPr>
        <w:t>我方未</w:t>
      </w:r>
      <w:r>
        <w:rPr>
          <w:rFonts w:hint="eastAsia" w:ascii="宋体" w:hAnsi="宋体" w:cs="宋体"/>
          <w:color w:val="000000" w:themeColor="text1"/>
          <w:sz w:val="24"/>
          <w:szCs w:val="24"/>
          <w:highlight w:val="none"/>
          <w14:textFill>
            <w14:solidFill>
              <w14:schemeClr w14:val="tx1"/>
            </w14:solidFill>
          </w14:textFill>
        </w:rPr>
        <w:t>为招标项目提供整体设计、规范编制或者项目管理、监理、检测等服务。</w:t>
      </w:r>
    </w:p>
    <w:p w14:paraId="0F9FB1FC">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14:paraId="49242072">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p>
    <w:p w14:paraId="6BFD9B25">
      <w:pPr>
        <w:tabs>
          <w:tab w:val="left" w:pos="6300"/>
        </w:tabs>
        <w:snapToGrid w:val="0"/>
        <w:spacing w:line="312" w:lineRule="auto"/>
        <w:rPr>
          <w:rFonts w:ascii="宋体" w:hAnsi="宋体" w:cs="宋体"/>
          <w:color w:val="000000" w:themeColor="text1"/>
          <w:sz w:val="24"/>
          <w:szCs w:val="24"/>
          <w:highlight w:val="none"/>
          <w14:textFill>
            <w14:solidFill>
              <w14:schemeClr w14:val="tx1"/>
            </w14:solidFill>
          </w14:textFill>
        </w:rPr>
      </w:pPr>
    </w:p>
    <w:p w14:paraId="5FAE8B4F">
      <w:pPr>
        <w:tabs>
          <w:tab w:val="left" w:pos="6300"/>
        </w:tabs>
        <w:snapToGrid w:val="0"/>
        <w:spacing w:line="312"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投标人（公章）：</w:t>
      </w:r>
    </w:p>
    <w:p w14:paraId="57BAE863">
      <w:pPr>
        <w:snapToGrid w:val="0"/>
        <w:spacing w:line="312"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0C2DB332">
      <w:pPr>
        <w:snapToGrid w:val="0"/>
        <w:spacing w:line="312" w:lineRule="auto"/>
        <w:ind w:firstLine="480" w:firstLineChars="200"/>
        <w:jc w:val="center"/>
        <w:rPr>
          <w:rFonts w:ascii="宋体" w:hAnsi="宋体" w:cs="宋体"/>
          <w:color w:val="000000" w:themeColor="text1"/>
          <w:sz w:val="24"/>
          <w:szCs w:val="24"/>
          <w:highlight w:val="none"/>
          <w14:textFill>
            <w14:solidFill>
              <w14:schemeClr w14:val="tx1"/>
            </w14:solidFill>
          </w14:textFill>
        </w:rPr>
        <w:sectPr>
          <w:pgSz w:w="11907" w:h="16840"/>
          <w:pgMar w:top="1134" w:right="1191" w:bottom="1134" w:left="1304" w:header="851" w:footer="992" w:gutter="0"/>
          <w:cols w:space="720" w:num="1"/>
          <w:docGrid w:linePitch="380" w:charSpace="-5735"/>
        </w:sect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324C8A18">
      <w:pPr>
        <w:tabs>
          <w:tab w:val="left" w:pos="2895"/>
        </w:tabs>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pacing w:val="1"/>
          <w:w w:val="99"/>
          <w:kern w:val="0"/>
          <w:sz w:val="24"/>
          <w:szCs w:val="24"/>
          <w:highlight w:val="none"/>
          <w14:textFill>
            <w14:solidFill>
              <w14:schemeClr w14:val="tx1"/>
            </w14:solidFill>
          </w14:textFill>
        </w:rPr>
        <w:t>二</w:t>
      </w:r>
      <w:r>
        <w:rPr>
          <w:rFonts w:hint="eastAsia" w:ascii="宋体" w:hAnsi="宋体" w:cs="宋体"/>
          <w:b/>
          <w:color w:val="000000" w:themeColor="text1"/>
          <w:spacing w:val="1"/>
          <w:w w:val="99"/>
          <w:kern w:val="0"/>
          <w:sz w:val="24"/>
          <w:szCs w:val="24"/>
          <w:highlight w:val="none"/>
          <w:lang w:eastAsia="zh-CN"/>
          <w14:textFill>
            <w14:solidFill>
              <w14:schemeClr w14:val="tx1"/>
            </w14:solidFill>
          </w14:textFill>
        </w:rPr>
        <w:t>、</w:t>
      </w:r>
      <w:r>
        <w:rPr>
          <w:rFonts w:hint="eastAsia" w:ascii="宋体" w:hAnsi="宋体" w:cs="宋体"/>
          <w:b/>
          <w:color w:val="000000" w:themeColor="text1"/>
          <w:spacing w:val="1"/>
          <w:w w:val="99"/>
          <w:kern w:val="0"/>
          <w:sz w:val="24"/>
          <w:szCs w:val="24"/>
          <w:highlight w:val="none"/>
          <w14:textFill>
            <w14:solidFill>
              <w14:schemeClr w14:val="tx1"/>
            </w14:solidFill>
          </w14:textFill>
        </w:rPr>
        <w:t>明细报价表（工程量清单报价明细，每页需加盖投标人公章）</w:t>
      </w:r>
    </w:p>
    <w:p w14:paraId="42AF7AD8">
      <w:pPr>
        <w:ind w:firstLine="1920" w:firstLineChars="8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参照附件“工程量清单”</w:t>
      </w:r>
    </w:p>
    <w:p w14:paraId="0DBE537A">
      <w:pPr>
        <w:rPr>
          <w:rFonts w:ascii="宋体" w:hAnsi="宋体" w:cs="宋体"/>
          <w:color w:val="000000" w:themeColor="text1"/>
          <w:highlight w:val="none"/>
          <w14:textFill>
            <w14:solidFill>
              <w14:schemeClr w14:val="tx1"/>
            </w14:solidFill>
          </w14:textFill>
        </w:rPr>
      </w:pPr>
    </w:p>
    <w:p w14:paraId="3E4E9190">
      <w:pPr>
        <w:rPr>
          <w:rFonts w:ascii="宋体" w:hAnsi="宋体" w:cs="宋体"/>
          <w:color w:val="000000" w:themeColor="text1"/>
          <w:highlight w:val="none"/>
          <w14:textFill>
            <w14:solidFill>
              <w14:schemeClr w14:val="tx1"/>
            </w14:solidFill>
          </w14:textFill>
        </w:rPr>
      </w:pPr>
    </w:p>
    <w:p w14:paraId="0A54D6D0">
      <w:pPr>
        <w:rPr>
          <w:rFonts w:ascii="宋体" w:hAnsi="宋体" w:cs="宋体"/>
          <w:color w:val="000000" w:themeColor="text1"/>
          <w:highlight w:val="none"/>
          <w14:textFill>
            <w14:solidFill>
              <w14:schemeClr w14:val="tx1"/>
            </w14:solidFill>
          </w14:textFill>
        </w:rPr>
      </w:pPr>
    </w:p>
    <w:p w14:paraId="1021D72A">
      <w:pPr>
        <w:rPr>
          <w:rFonts w:ascii="宋体" w:hAnsi="宋体" w:cs="宋体"/>
          <w:color w:val="000000" w:themeColor="text1"/>
          <w:highlight w:val="none"/>
          <w14:textFill>
            <w14:solidFill>
              <w14:schemeClr w14:val="tx1"/>
            </w14:solidFill>
          </w14:textFill>
        </w:rPr>
      </w:pPr>
    </w:p>
    <w:p w14:paraId="5E70E3A8">
      <w:pPr>
        <w:rPr>
          <w:rFonts w:ascii="宋体" w:hAnsi="宋体" w:cs="宋体"/>
          <w:color w:val="000000" w:themeColor="text1"/>
          <w:highlight w:val="none"/>
          <w14:textFill>
            <w14:solidFill>
              <w14:schemeClr w14:val="tx1"/>
            </w14:solidFill>
          </w14:textFill>
        </w:rPr>
      </w:pPr>
    </w:p>
    <w:p w14:paraId="12E5519E">
      <w:pPr>
        <w:rPr>
          <w:rFonts w:ascii="宋体" w:hAnsi="宋体" w:cs="宋体"/>
          <w:color w:val="000000" w:themeColor="text1"/>
          <w:highlight w:val="none"/>
          <w14:textFill>
            <w14:solidFill>
              <w14:schemeClr w14:val="tx1"/>
            </w14:solidFill>
          </w14:textFill>
        </w:rPr>
      </w:pPr>
    </w:p>
    <w:p w14:paraId="2683AB04">
      <w:pPr>
        <w:rPr>
          <w:rFonts w:ascii="宋体" w:hAnsi="宋体" w:cs="宋体"/>
          <w:color w:val="000000" w:themeColor="text1"/>
          <w:highlight w:val="none"/>
          <w14:textFill>
            <w14:solidFill>
              <w14:schemeClr w14:val="tx1"/>
            </w14:solidFill>
          </w14:textFill>
        </w:rPr>
      </w:pPr>
    </w:p>
    <w:p w14:paraId="4125F985">
      <w:pPr>
        <w:rPr>
          <w:rFonts w:ascii="宋体" w:hAnsi="宋体" w:cs="宋体"/>
          <w:color w:val="000000" w:themeColor="text1"/>
          <w:highlight w:val="none"/>
          <w14:textFill>
            <w14:solidFill>
              <w14:schemeClr w14:val="tx1"/>
            </w14:solidFill>
          </w14:textFill>
        </w:rPr>
      </w:pPr>
    </w:p>
    <w:p w14:paraId="2DD88003">
      <w:pPr>
        <w:rPr>
          <w:rFonts w:ascii="宋体" w:hAnsi="宋体" w:cs="宋体"/>
          <w:color w:val="000000" w:themeColor="text1"/>
          <w:highlight w:val="none"/>
          <w14:textFill>
            <w14:solidFill>
              <w14:schemeClr w14:val="tx1"/>
            </w14:solidFill>
          </w14:textFill>
        </w:rPr>
      </w:pPr>
    </w:p>
    <w:p w14:paraId="2BDCB27A">
      <w:pPr>
        <w:rPr>
          <w:rFonts w:ascii="宋体" w:hAnsi="宋体" w:cs="宋体"/>
          <w:color w:val="000000" w:themeColor="text1"/>
          <w:highlight w:val="none"/>
          <w14:textFill>
            <w14:solidFill>
              <w14:schemeClr w14:val="tx1"/>
            </w14:solidFill>
          </w14:textFill>
        </w:rPr>
      </w:pPr>
    </w:p>
    <w:p w14:paraId="099761A1">
      <w:pPr>
        <w:rPr>
          <w:rFonts w:ascii="宋体" w:hAnsi="宋体" w:cs="宋体"/>
          <w:color w:val="000000" w:themeColor="text1"/>
          <w:highlight w:val="none"/>
          <w14:textFill>
            <w14:solidFill>
              <w14:schemeClr w14:val="tx1"/>
            </w14:solidFill>
          </w14:textFill>
        </w:rPr>
      </w:pPr>
    </w:p>
    <w:p w14:paraId="3D8749AB">
      <w:pPr>
        <w:rPr>
          <w:rFonts w:ascii="宋体" w:hAnsi="宋体" w:cs="宋体"/>
          <w:color w:val="000000" w:themeColor="text1"/>
          <w:highlight w:val="none"/>
          <w14:textFill>
            <w14:solidFill>
              <w14:schemeClr w14:val="tx1"/>
            </w14:solidFill>
          </w14:textFill>
        </w:rPr>
      </w:pPr>
    </w:p>
    <w:p w14:paraId="77AC3BA4">
      <w:pPr>
        <w:rPr>
          <w:rFonts w:ascii="宋体" w:hAnsi="宋体" w:cs="宋体"/>
          <w:color w:val="000000" w:themeColor="text1"/>
          <w:highlight w:val="none"/>
          <w14:textFill>
            <w14:solidFill>
              <w14:schemeClr w14:val="tx1"/>
            </w14:solidFill>
          </w14:textFill>
        </w:rPr>
      </w:pPr>
    </w:p>
    <w:p w14:paraId="5656FE23">
      <w:pPr>
        <w:rPr>
          <w:rFonts w:ascii="宋体" w:hAnsi="宋体" w:cs="宋体"/>
          <w:color w:val="000000" w:themeColor="text1"/>
          <w:highlight w:val="none"/>
          <w14:textFill>
            <w14:solidFill>
              <w14:schemeClr w14:val="tx1"/>
            </w14:solidFill>
          </w14:textFill>
        </w:rPr>
      </w:pPr>
    </w:p>
    <w:p w14:paraId="4C7DF2DD">
      <w:pPr>
        <w:rPr>
          <w:rFonts w:ascii="宋体" w:hAnsi="宋体" w:cs="宋体"/>
          <w:color w:val="000000" w:themeColor="text1"/>
          <w:highlight w:val="none"/>
          <w14:textFill>
            <w14:solidFill>
              <w14:schemeClr w14:val="tx1"/>
            </w14:solidFill>
          </w14:textFill>
        </w:rPr>
      </w:pPr>
    </w:p>
    <w:p w14:paraId="41F8203F">
      <w:pPr>
        <w:rPr>
          <w:rFonts w:ascii="宋体" w:hAnsi="宋体" w:cs="宋体"/>
          <w:color w:val="000000" w:themeColor="text1"/>
          <w:highlight w:val="none"/>
          <w14:textFill>
            <w14:solidFill>
              <w14:schemeClr w14:val="tx1"/>
            </w14:solidFill>
          </w14:textFill>
        </w:rPr>
      </w:pPr>
    </w:p>
    <w:p w14:paraId="047DE82F">
      <w:pPr>
        <w:rPr>
          <w:rFonts w:ascii="宋体" w:hAnsi="宋体" w:cs="宋体"/>
          <w:color w:val="000000" w:themeColor="text1"/>
          <w:highlight w:val="none"/>
          <w14:textFill>
            <w14:solidFill>
              <w14:schemeClr w14:val="tx1"/>
            </w14:solidFill>
          </w14:textFill>
        </w:rPr>
      </w:pPr>
    </w:p>
    <w:p w14:paraId="7EDD8C71">
      <w:pPr>
        <w:rPr>
          <w:rFonts w:ascii="宋体" w:hAnsi="宋体" w:cs="宋体"/>
          <w:color w:val="000000" w:themeColor="text1"/>
          <w:highlight w:val="none"/>
          <w14:textFill>
            <w14:solidFill>
              <w14:schemeClr w14:val="tx1"/>
            </w14:solidFill>
          </w14:textFill>
        </w:rPr>
      </w:pPr>
    </w:p>
    <w:p w14:paraId="7D2430FA">
      <w:pPr>
        <w:rPr>
          <w:rFonts w:ascii="宋体" w:hAnsi="宋体" w:cs="宋体"/>
          <w:color w:val="000000" w:themeColor="text1"/>
          <w:highlight w:val="none"/>
          <w14:textFill>
            <w14:solidFill>
              <w14:schemeClr w14:val="tx1"/>
            </w14:solidFill>
          </w14:textFill>
        </w:rPr>
      </w:pPr>
    </w:p>
    <w:p w14:paraId="443D2AA5">
      <w:pPr>
        <w:rPr>
          <w:rFonts w:ascii="宋体" w:hAnsi="宋体" w:cs="宋体"/>
          <w:color w:val="000000" w:themeColor="text1"/>
          <w:highlight w:val="none"/>
          <w14:textFill>
            <w14:solidFill>
              <w14:schemeClr w14:val="tx1"/>
            </w14:solidFill>
          </w14:textFill>
        </w:rPr>
      </w:pPr>
    </w:p>
    <w:p w14:paraId="2F9861FC">
      <w:pPr>
        <w:rPr>
          <w:rFonts w:ascii="宋体" w:hAnsi="宋体" w:cs="宋体"/>
          <w:color w:val="000000" w:themeColor="text1"/>
          <w:highlight w:val="none"/>
          <w14:textFill>
            <w14:solidFill>
              <w14:schemeClr w14:val="tx1"/>
            </w14:solidFill>
          </w14:textFill>
        </w:rPr>
      </w:pPr>
    </w:p>
    <w:p w14:paraId="799FA22A">
      <w:pPr>
        <w:rPr>
          <w:rFonts w:ascii="宋体" w:hAnsi="宋体" w:cs="宋体"/>
          <w:color w:val="000000" w:themeColor="text1"/>
          <w:highlight w:val="none"/>
          <w14:textFill>
            <w14:solidFill>
              <w14:schemeClr w14:val="tx1"/>
            </w14:solidFill>
          </w14:textFill>
        </w:rPr>
      </w:pPr>
    </w:p>
    <w:p w14:paraId="2FF0E19C">
      <w:pPr>
        <w:rPr>
          <w:rFonts w:ascii="宋体" w:hAnsi="宋体" w:cs="宋体"/>
          <w:color w:val="000000" w:themeColor="text1"/>
          <w:highlight w:val="none"/>
          <w14:textFill>
            <w14:solidFill>
              <w14:schemeClr w14:val="tx1"/>
            </w14:solidFill>
          </w14:textFill>
        </w:rPr>
      </w:pPr>
    </w:p>
    <w:p w14:paraId="77FDC6AB">
      <w:pPr>
        <w:rPr>
          <w:rFonts w:ascii="宋体" w:hAnsi="宋体" w:cs="宋体"/>
          <w:color w:val="000000" w:themeColor="text1"/>
          <w:highlight w:val="none"/>
          <w14:textFill>
            <w14:solidFill>
              <w14:schemeClr w14:val="tx1"/>
            </w14:solidFill>
          </w14:textFill>
        </w:rPr>
      </w:pPr>
    </w:p>
    <w:p w14:paraId="66850CE1">
      <w:pPr>
        <w:rPr>
          <w:rFonts w:ascii="宋体" w:hAnsi="宋体" w:cs="宋体"/>
          <w:color w:val="000000" w:themeColor="text1"/>
          <w:highlight w:val="none"/>
          <w14:textFill>
            <w14:solidFill>
              <w14:schemeClr w14:val="tx1"/>
            </w14:solidFill>
          </w14:textFill>
        </w:rPr>
      </w:pPr>
    </w:p>
    <w:p w14:paraId="2C44CE1E">
      <w:pPr>
        <w:rPr>
          <w:rFonts w:ascii="宋体" w:hAnsi="宋体" w:cs="宋体"/>
          <w:color w:val="000000" w:themeColor="text1"/>
          <w:highlight w:val="none"/>
          <w14:textFill>
            <w14:solidFill>
              <w14:schemeClr w14:val="tx1"/>
            </w14:solidFill>
          </w14:textFill>
        </w:rPr>
      </w:pPr>
    </w:p>
    <w:p w14:paraId="2A126544">
      <w:pPr>
        <w:rPr>
          <w:rFonts w:ascii="宋体" w:hAnsi="宋体" w:cs="宋体"/>
          <w:color w:val="000000" w:themeColor="text1"/>
          <w:highlight w:val="none"/>
          <w14:textFill>
            <w14:solidFill>
              <w14:schemeClr w14:val="tx1"/>
            </w14:solidFill>
          </w14:textFill>
        </w:rPr>
      </w:pPr>
    </w:p>
    <w:p w14:paraId="5737F0D0">
      <w:pPr>
        <w:rPr>
          <w:rFonts w:ascii="宋体" w:hAnsi="宋体" w:cs="宋体"/>
          <w:color w:val="000000" w:themeColor="text1"/>
          <w:highlight w:val="none"/>
          <w14:textFill>
            <w14:solidFill>
              <w14:schemeClr w14:val="tx1"/>
            </w14:solidFill>
          </w14:textFill>
        </w:rPr>
      </w:pPr>
    </w:p>
    <w:p w14:paraId="0F027C85">
      <w:pPr>
        <w:rPr>
          <w:rFonts w:ascii="宋体" w:hAnsi="宋体" w:cs="宋体"/>
          <w:color w:val="000000" w:themeColor="text1"/>
          <w:highlight w:val="none"/>
          <w14:textFill>
            <w14:solidFill>
              <w14:schemeClr w14:val="tx1"/>
            </w14:solidFill>
          </w14:textFill>
        </w:rPr>
      </w:pPr>
    </w:p>
    <w:p w14:paraId="037E9188">
      <w:pPr>
        <w:rPr>
          <w:rFonts w:ascii="宋体" w:hAnsi="宋体" w:cs="宋体"/>
          <w:color w:val="000000" w:themeColor="text1"/>
          <w:highlight w:val="none"/>
          <w14:textFill>
            <w14:solidFill>
              <w14:schemeClr w14:val="tx1"/>
            </w14:solidFill>
          </w14:textFill>
        </w:rPr>
      </w:pPr>
    </w:p>
    <w:p w14:paraId="31523768">
      <w:pPr>
        <w:rPr>
          <w:rFonts w:ascii="宋体" w:hAnsi="宋体" w:cs="宋体"/>
          <w:color w:val="000000" w:themeColor="text1"/>
          <w:highlight w:val="none"/>
          <w14:textFill>
            <w14:solidFill>
              <w14:schemeClr w14:val="tx1"/>
            </w14:solidFill>
          </w14:textFill>
        </w:rPr>
      </w:pPr>
    </w:p>
    <w:p w14:paraId="41F2D5CF">
      <w:pPr>
        <w:rPr>
          <w:rFonts w:ascii="宋体" w:hAnsi="宋体" w:cs="宋体"/>
          <w:color w:val="000000" w:themeColor="text1"/>
          <w:highlight w:val="none"/>
          <w14:textFill>
            <w14:solidFill>
              <w14:schemeClr w14:val="tx1"/>
            </w14:solidFill>
          </w14:textFill>
        </w:rPr>
      </w:pPr>
    </w:p>
    <w:p w14:paraId="0C64EFD8">
      <w:pPr>
        <w:rPr>
          <w:rFonts w:ascii="宋体" w:hAnsi="宋体" w:cs="宋体"/>
          <w:color w:val="000000" w:themeColor="text1"/>
          <w:highlight w:val="none"/>
          <w14:textFill>
            <w14:solidFill>
              <w14:schemeClr w14:val="tx1"/>
            </w14:solidFill>
          </w14:textFill>
        </w:rPr>
      </w:pPr>
    </w:p>
    <w:p w14:paraId="69E9B80C">
      <w:pPr>
        <w:rPr>
          <w:rFonts w:ascii="宋体" w:hAnsi="宋体" w:cs="宋体"/>
          <w:color w:val="000000" w:themeColor="text1"/>
          <w:highlight w:val="none"/>
          <w14:textFill>
            <w14:solidFill>
              <w14:schemeClr w14:val="tx1"/>
            </w14:solidFill>
          </w14:textFill>
        </w:rPr>
      </w:pPr>
    </w:p>
    <w:p w14:paraId="2D4EC537">
      <w:pPr>
        <w:rPr>
          <w:rFonts w:ascii="宋体" w:hAnsi="宋体" w:cs="宋体"/>
          <w:color w:val="000000" w:themeColor="text1"/>
          <w:highlight w:val="none"/>
          <w14:textFill>
            <w14:solidFill>
              <w14:schemeClr w14:val="tx1"/>
            </w14:solidFill>
          </w14:textFill>
        </w:rPr>
      </w:pPr>
    </w:p>
    <w:p w14:paraId="5215888C">
      <w:pPr>
        <w:rPr>
          <w:rFonts w:ascii="宋体" w:hAnsi="宋体" w:cs="宋体"/>
          <w:color w:val="000000" w:themeColor="text1"/>
          <w:highlight w:val="none"/>
          <w14:textFill>
            <w14:solidFill>
              <w14:schemeClr w14:val="tx1"/>
            </w14:solidFill>
          </w14:textFill>
        </w:rPr>
      </w:pPr>
    </w:p>
    <w:p w14:paraId="41634B02">
      <w:pPr>
        <w:rPr>
          <w:rFonts w:ascii="宋体" w:hAnsi="宋体" w:cs="宋体"/>
          <w:color w:val="000000" w:themeColor="text1"/>
          <w:highlight w:val="none"/>
          <w14:textFill>
            <w14:solidFill>
              <w14:schemeClr w14:val="tx1"/>
            </w14:solidFill>
          </w14:textFill>
        </w:rPr>
      </w:pPr>
    </w:p>
    <w:p w14:paraId="67752743">
      <w:pPr>
        <w:rPr>
          <w:rFonts w:ascii="宋体" w:hAnsi="宋体" w:cs="宋体"/>
          <w:color w:val="000000" w:themeColor="text1"/>
          <w:highlight w:val="none"/>
          <w14:textFill>
            <w14:solidFill>
              <w14:schemeClr w14:val="tx1"/>
            </w14:solidFill>
          </w14:textFill>
        </w:rPr>
      </w:pPr>
    </w:p>
    <w:p w14:paraId="19735624">
      <w:pPr>
        <w:rPr>
          <w:rFonts w:ascii="宋体" w:hAnsi="宋体" w:cs="宋体"/>
          <w:color w:val="000000" w:themeColor="text1"/>
          <w:highlight w:val="none"/>
          <w14:textFill>
            <w14:solidFill>
              <w14:schemeClr w14:val="tx1"/>
            </w14:solidFill>
          </w14:textFill>
        </w:rPr>
      </w:pPr>
    </w:p>
    <w:p w14:paraId="5F3E0E51">
      <w:pPr>
        <w:rPr>
          <w:rFonts w:ascii="宋体" w:hAnsi="宋体" w:cs="宋体"/>
          <w:color w:val="000000" w:themeColor="text1"/>
          <w:highlight w:val="none"/>
          <w14:textFill>
            <w14:solidFill>
              <w14:schemeClr w14:val="tx1"/>
            </w14:solidFill>
          </w14:textFill>
        </w:rPr>
      </w:pPr>
    </w:p>
    <w:p w14:paraId="695423EC">
      <w:pPr>
        <w:rPr>
          <w:rFonts w:ascii="宋体" w:hAnsi="宋体" w:cs="宋体"/>
          <w:color w:val="000000" w:themeColor="text1"/>
          <w:highlight w:val="none"/>
          <w14:textFill>
            <w14:solidFill>
              <w14:schemeClr w14:val="tx1"/>
            </w14:solidFill>
          </w14:textFill>
        </w:rPr>
      </w:pPr>
    </w:p>
    <w:p w14:paraId="069AC8C1">
      <w:pPr>
        <w:rPr>
          <w:rFonts w:ascii="宋体" w:hAnsi="宋体" w:cs="宋体"/>
          <w:color w:val="000000" w:themeColor="text1"/>
          <w:highlight w:val="none"/>
          <w14:textFill>
            <w14:solidFill>
              <w14:schemeClr w14:val="tx1"/>
            </w14:solidFill>
          </w14:textFill>
        </w:rPr>
      </w:pPr>
    </w:p>
    <w:p w14:paraId="51A67597">
      <w:pPr>
        <w:rPr>
          <w:rFonts w:ascii="宋体" w:hAnsi="宋体" w:cs="宋体"/>
          <w:color w:val="000000" w:themeColor="text1"/>
          <w:highlight w:val="none"/>
          <w14:textFill>
            <w14:solidFill>
              <w14:schemeClr w14:val="tx1"/>
            </w14:solidFill>
          </w14:textFill>
        </w:rPr>
      </w:pPr>
    </w:p>
    <w:p w14:paraId="70A305A9">
      <w:pPr>
        <w:rPr>
          <w:rFonts w:ascii="宋体" w:hAnsi="宋体" w:cs="宋体"/>
          <w:color w:val="000000" w:themeColor="text1"/>
          <w:highlight w:val="none"/>
          <w14:textFill>
            <w14:solidFill>
              <w14:schemeClr w14:val="tx1"/>
            </w14:solidFill>
          </w14:textFill>
        </w:rPr>
      </w:pPr>
    </w:p>
    <w:p w14:paraId="2907024B">
      <w:pPr>
        <w:rPr>
          <w:rFonts w:ascii="宋体" w:hAnsi="宋体" w:cs="宋体"/>
          <w:color w:val="000000" w:themeColor="text1"/>
          <w:highlight w:val="none"/>
          <w14:textFill>
            <w14:solidFill>
              <w14:schemeClr w14:val="tx1"/>
            </w14:solidFill>
          </w14:textFill>
        </w:rPr>
      </w:pPr>
    </w:p>
    <w:p w14:paraId="2BB94A33">
      <w:pPr>
        <w:rPr>
          <w:rFonts w:ascii="宋体" w:hAnsi="宋体" w:cs="宋体"/>
          <w:color w:val="000000" w:themeColor="text1"/>
          <w:highlight w:val="none"/>
          <w14:textFill>
            <w14:solidFill>
              <w14:schemeClr w14:val="tx1"/>
            </w14:solidFill>
          </w14:textFill>
        </w:rPr>
      </w:pPr>
    </w:p>
    <w:p w14:paraId="181588FB">
      <w:pPr>
        <w:pStyle w:val="5"/>
        <w:spacing w:line="400" w:lineRule="exact"/>
        <w:rPr>
          <w:rFonts w:ascii="宋体" w:hAnsi="宋体" w:cs="宋体"/>
          <w:b/>
          <w:color w:val="000000" w:themeColor="text1"/>
          <w:spacing w:val="1"/>
          <w:w w:val="99"/>
          <w:kern w:val="0"/>
          <w:sz w:val="24"/>
          <w:szCs w:val="24"/>
          <w:highlight w:val="none"/>
          <w14:textFill>
            <w14:solidFill>
              <w14:schemeClr w14:val="tx1"/>
            </w14:solidFill>
          </w14:textFill>
        </w:rPr>
        <w:sectPr>
          <w:headerReference r:id="rId4" w:type="default"/>
          <w:footerReference r:id="rId5" w:type="default"/>
          <w:pgSz w:w="11907" w:h="16840"/>
          <w:pgMar w:top="1134" w:right="1191" w:bottom="1134" w:left="1304" w:header="851" w:footer="992" w:gutter="0"/>
          <w:cols w:space="720" w:num="1"/>
          <w:docGrid w:linePitch="380" w:charSpace="-5735"/>
        </w:sectPr>
      </w:pPr>
      <w:bookmarkStart w:id="521" w:name="_Toc313008357"/>
      <w:bookmarkStart w:id="522" w:name="_Toc342913420"/>
      <w:bookmarkStart w:id="523" w:name="_Toc86934241"/>
      <w:bookmarkStart w:id="524" w:name="_Toc6323"/>
      <w:bookmarkStart w:id="525" w:name="_Toc313888361"/>
      <w:bookmarkStart w:id="526" w:name="_Toc81834347"/>
    </w:p>
    <w:bookmarkEnd w:id="521"/>
    <w:bookmarkEnd w:id="522"/>
    <w:bookmarkEnd w:id="523"/>
    <w:bookmarkEnd w:id="524"/>
    <w:bookmarkEnd w:id="525"/>
    <w:bookmarkEnd w:id="526"/>
    <w:p w14:paraId="25C3F448">
      <w:pPr>
        <w:rPr>
          <w:rFonts w:ascii="宋体" w:hAnsi="宋体" w:cs="宋体"/>
          <w:b/>
          <w:color w:val="000000" w:themeColor="text1"/>
          <w:sz w:val="24"/>
          <w:szCs w:val="24"/>
          <w:highlight w:val="none"/>
          <w14:textFill>
            <w14:solidFill>
              <w14:schemeClr w14:val="tx1"/>
            </w14:solidFill>
          </w14:textFill>
        </w:rPr>
      </w:pPr>
    </w:p>
    <w:p w14:paraId="124216A1">
      <w:pPr>
        <w:rPr>
          <w:rFonts w:ascii="宋体" w:hAnsi="宋体" w:cs="宋体"/>
          <w:color w:val="000000" w:themeColor="text1"/>
          <w:highlight w:val="none"/>
          <w14:textFill>
            <w14:solidFill>
              <w14:schemeClr w14:val="tx1"/>
            </w14:solidFill>
          </w14:textFill>
        </w:rPr>
      </w:pPr>
    </w:p>
    <w:p w14:paraId="23007383">
      <w:pPr>
        <w:pStyle w:val="5"/>
        <w:spacing w:line="400" w:lineRule="exact"/>
        <w:ind w:firstLine="632" w:firstLineChars="300"/>
        <w:jc w:val="both"/>
        <w:rPr>
          <w:rFonts w:ascii="宋体" w:hAnsi="宋体" w:cs="宋体"/>
          <w:b/>
          <w:color w:val="000000" w:themeColor="text1"/>
          <w:sz w:val="24"/>
          <w:szCs w:val="32"/>
          <w:highlight w:val="none"/>
          <w14:textFill>
            <w14:solidFill>
              <w14:schemeClr w14:val="tx1"/>
            </w14:solidFill>
          </w14:textFill>
        </w:rPr>
      </w:pPr>
      <w:bookmarkStart w:id="527" w:name="_Toc342913421"/>
      <w:bookmarkStart w:id="528" w:name="_Toc81834348"/>
      <w:bookmarkStart w:id="529" w:name="_Toc313008358"/>
      <w:bookmarkStart w:id="530" w:name="_Toc313888362"/>
      <w:bookmarkStart w:id="531" w:name="_Toc10894"/>
      <w:bookmarkStart w:id="532" w:name="_Toc86934242"/>
      <w:r>
        <w:rPr>
          <w:rFonts w:hint="eastAsia" w:ascii="宋体" w:hAnsi="宋体" w:cs="宋体"/>
          <w:b/>
          <w:color w:val="000000" w:themeColor="text1"/>
          <w:szCs w:val="24"/>
          <w:highlight w:val="none"/>
          <w14:textFill>
            <w14:solidFill>
              <w14:schemeClr w14:val="tx1"/>
            </w14:solidFill>
          </w14:textFill>
        </w:rPr>
        <w:t>三、</w:t>
      </w:r>
      <w:bookmarkEnd w:id="527"/>
      <w:bookmarkEnd w:id="528"/>
      <w:bookmarkEnd w:id="529"/>
      <w:bookmarkEnd w:id="530"/>
      <w:bookmarkEnd w:id="531"/>
      <w:bookmarkEnd w:id="532"/>
      <w:bookmarkStart w:id="533" w:name="_Toc342913422"/>
      <w:bookmarkStart w:id="534" w:name="_Toc81834349"/>
      <w:bookmarkStart w:id="535" w:name="_Toc313888363"/>
      <w:bookmarkStart w:id="536" w:name="_Toc313008359"/>
      <w:bookmarkStart w:id="537" w:name="_Toc86934243"/>
      <w:bookmarkStart w:id="538" w:name="_Toc14779"/>
      <w:r>
        <w:rPr>
          <w:rFonts w:hint="eastAsia" w:ascii="宋体" w:hAnsi="宋体" w:cs="宋体"/>
          <w:b/>
          <w:color w:val="000000" w:themeColor="text1"/>
          <w:sz w:val="24"/>
          <w:szCs w:val="32"/>
          <w:highlight w:val="none"/>
          <w14:textFill>
            <w14:solidFill>
              <w14:schemeClr w14:val="tx1"/>
            </w14:solidFill>
          </w14:textFill>
        </w:rPr>
        <w:t>资格条件及其他</w:t>
      </w:r>
      <w:bookmarkEnd w:id="533"/>
      <w:bookmarkEnd w:id="534"/>
      <w:bookmarkEnd w:id="535"/>
      <w:bookmarkEnd w:id="536"/>
      <w:bookmarkEnd w:id="537"/>
      <w:bookmarkEnd w:id="538"/>
    </w:p>
    <w:p w14:paraId="0FEB6A91">
      <w:pPr>
        <w:keepNext/>
        <w:adjustRightInd w:val="0"/>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（一）投标人必须具有独立法人资格。（提供有效的</w:t>
      </w:r>
      <w:r>
        <w:rPr>
          <w:rFonts w:hint="eastAsia" w:ascii="宋体" w:hAnsi="宋体" w:cs="宋体"/>
          <w:color w:val="000000" w:themeColor="text1"/>
          <w:sz w:val="24"/>
          <w:szCs w:val="24"/>
          <w:highlight w:val="none"/>
          <w:lang w:val="en-US" w:eastAsia="zh-CN"/>
          <w14:textFill>
            <w14:solidFill>
              <w14:schemeClr w14:val="tx1"/>
            </w14:solidFill>
          </w14:textFill>
        </w:rPr>
        <w:t>营业执照</w:t>
      </w:r>
      <w:r>
        <w:rPr>
          <w:rFonts w:hint="eastAsia" w:ascii="宋体" w:hAnsi="宋体" w:cs="宋体"/>
          <w:color w:val="000000" w:themeColor="text1"/>
          <w:sz w:val="24"/>
          <w:szCs w:val="24"/>
          <w:highlight w:val="none"/>
          <w14:textFill>
            <w14:solidFill>
              <w14:schemeClr w14:val="tx1"/>
            </w14:solidFill>
          </w14:textFill>
        </w:rPr>
        <w:t>副本复印件加盖投标人公章）</w:t>
      </w:r>
    </w:p>
    <w:p w14:paraId="74A518D4">
      <w:pPr>
        <w:pStyle w:val="16"/>
        <w:rPr>
          <w:rFonts w:ascii="宋体" w:hAnsi="宋体" w:cs="宋体"/>
          <w:color w:val="000000" w:themeColor="text1"/>
          <w:sz w:val="24"/>
          <w:szCs w:val="24"/>
          <w:highlight w:val="none"/>
          <w14:textFill>
            <w14:solidFill>
              <w14:schemeClr w14:val="tx1"/>
            </w14:solidFill>
          </w14:textFill>
        </w:rPr>
      </w:pPr>
    </w:p>
    <w:p w14:paraId="51EA56F8">
      <w:pPr>
        <w:rPr>
          <w:rFonts w:ascii="宋体" w:hAnsi="宋体" w:cs="宋体"/>
          <w:color w:val="000000" w:themeColor="text1"/>
          <w:highlight w:val="none"/>
          <w14:textFill>
            <w14:solidFill>
              <w14:schemeClr w14:val="tx1"/>
            </w14:solidFill>
          </w14:textFill>
        </w:rPr>
      </w:pPr>
    </w:p>
    <w:p w14:paraId="0FA832B4">
      <w:pPr>
        <w:pStyle w:val="16"/>
        <w:rPr>
          <w:rFonts w:ascii="宋体" w:hAnsi="宋体" w:cs="宋体"/>
          <w:color w:val="000000" w:themeColor="text1"/>
          <w:sz w:val="24"/>
          <w:szCs w:val="24"/>
          <w:highlight w:val="none"/>
          <w14:textFill>
            <w14:solidFill>
              <w14:schemeClr w14:val="tx1"/>
            </w14:solidFill>
          </w14:textFill>
        </w:rPr>
      </w:pPr>
    </w:p>
    <w:p w14:paraId="312143FD">
      <w:pPr>
        <w:rPr>
          <w:rFonts w:ascii="宋体" w:hAnsi="宋体" w:cs="宋体"/>
          <w:color w:val="000000" w:themeColor="text1"/>
          <w:sz w:val="24"/>
          <w:szCs w:val="24"/>
          <w:highlight w:val="none"/>
          <w14:textFill>
            <w14:solidFill>
              <w14:schemeClr w14:val="tx1"/>
            </w14:solidFill>
          </w14:textFill>
        </w:rPr>
      </w:pPr>
    </w:p>
    <w:p w14:paraId="18ADD707">
      <w:pPr>
        <w:rPr>
          <w:rFonts w:ascii="宋体" w:hAnsi="宋体" w:cs="宋体"/>
          <w:color w:val="000000" w:themeColor="text1"/>
          <w:sz w:val="24"/>
          <w:szCs w:val="24"/>
          <w:highlight w:val="none"/>
          <w14:textFill>
            <w14:solidFill>
              <w14:schemeClr w14:val="tx1"/>
            </w14:solidFill>
          </w14:textFill>
        </w:rPr>
      </w:pPr>
    </w:p>
    <w:p w14:paraId="707DEEBB">
      <w:pPr>
        <w:rPr>
          <w:rFonts w:ascii="宋体" w:hAnsi="宋体" w:cs="宋体"/>
          <w:color w:val="000000" w:themeColor="text1"/>
          <w:sz w:val="24"/>
          <w:szCs w:val="24"/>
          <w:highlight w:val="none"/>
          <w14:textFill>
            <w14:solidFill>
              <w14:schemeClr w14:val="tx1"/>
            </w14:solidFill>
          </w14:textFill>
        </w:rPr>
      </w:pPr>
    </w:p>
    <w:p w14:paraId="7F24101D">
      <w:pPr>
        <w:rPr>
          <w:rFonts w:ascii="宋体" w:hAnsi="宋体" w:cs="宋体"/>
          <w:color w:val="000000" w:themeColor="text1"/>
          <w:sz w:val="24"/>
          <w:szCs w:val="24"/>
          <w:highlight w:val="none"/>
          <w14:textFill>
            <w14:solidFill>
              <w14:schemeClr w14:val="tx1"/>
            </w14:solidFill>
          </w14:textFill>
        </w:rPr>
      </w:pPr>
    </w:p>
    <w:p w14:paraId="477A2FD5">
      <w:pPr>
        <w:rPr>
          <w:rFonts w:ascii="宋体" w:hAnsi="宋体" w:cs="宋体"/>
          <w:color w:val="000000" w:themeColor="text1"/>
          <w:sz w:val="24"/>
          <w:szCs w:val="24"/>
          <w:highlight w:val="none"/>
          <w14:textFill>
            <w14:solidFill>
              <w14:schemeClr w14:val="tx1"/>
            </w14:solidFill>
          </w14:textFill>
        </w:rPr>
      </w:pPr>
    </w:p>
    <w:p w14:paraId="102338A0">
      <w:pPr>
        <w:rPr>
          <w:rFonts w:ascii="宋体" w:hAnsi="宋体" w:cs="宋体"/>
          <w:color w:val="000000" w:themeColor="text1"/>
          <w:sz w:val="24"/>
          <w:szCs w:val="24"/>
          <w:highlight w:val="none"/>
          <w14:textFill>
            <w14:solidFill>
              <w14:schemeClr w14:val="tx1"/>
            </w14:solidFill>
          </w14:textFill>
        </w:rPr>
      </w:pPr>
    </w:p>
    <w:p w14:paraId="05CAF4AA">
      <w:pPr>
        <w:rPr>
          <w:rFonts w:ascii="宋体" w:hAnsi="宋体" w:cs="宋体"/>
          <w:color w:val="000000" w:themeColor="text1"/>
          <w:sz w:val="24"/>
          <w:szCs w:val="24"/>
          <w:highlight w:val="none"/>
          <w14:textFill>
            <w14:solidFill>
              <w14:schemeClr w14:val="tx1"/>
            </w14:solidFill>
          </w14:textFill>
        </w:rPr>
      </w:pPr>
    </w:p>
    <w:p w14:paraId="6054B955">
      <w:pPr>
        <w:rPr>
          <w:rFonts w:ascii="宋体" w:hAnsi="宋体" w:cs="宋体"/>
          <w:color w:val="000000" w:themeColor="text1"/>
          <w:sz w:val="24"/>
          <w:szCs w:val="24"/>
          <w:highlight w:val="none"/>
          <w14:textFill>
            <w14:solidFill>
              <w14:schemeClr w14:val="tx1"/>
            </w14:solidFill>
          </w14:textFill>
        </w:rPr>
      </w:pPr>
    </w:p>
    <w:p w14:paraId="182562D4">
      <w:pPr>
        <w:rPr>
          <w:rFonts w:ascii="宋体" w:hAnsi="宋体" w:cs="宋体"/>
          <w:color w:val="000000" w:themeColor="text1"/>
          <w:sz w:val="24"/>
          <w:szCs w:val="24"/>
          <w:highlight w:val="none"/>
          <w14:textFill>
            <w14:solidFill>
              <w14:schemeClr w14:val="tx1"/>
            </w14:solidFill>
          </w14:textFill>
        </w:rPr>
      </w:pPr>
    </w:p>
    <w:p w14:paraId="79E469B1">
      <w:pPr>
        <w:rPr>
          <w:rFonts w:ascii="宋体" w:hAnsi="宋体" w:cs="宋体"/>
          <w:color w:val="000000" w:themeColor="text1"/>
          <w:sz w:val="24"/>
          <w:szCs w:val="24"/>
          <w:highlight w:val="none"/>
          <w14:textFill>
            <w14:solidFill>
              <w14:schemeClr w14:val="tx1"/>
            </w14:solidFill>
          </w14:textFill>
        </w:rPr>
      </w:pPr>
    </w:p>
    <w:p w14:paraId="6EBF7832">
      <w:pPr>
        <w:rPr>
          <w:rFonts w:ascii="宋体" w:hAnsi="宋体" w:cs="宋体"/>
          <w:color w:val="000000" w:themeColor="text1"/>
          <w:sz w:val="24"/>
          <w:szCs w:val="24"/>
          <w:highlight w:val="none"/>
          <w14:textFill>
            <w14:solidFill>
              <w14:schemeClr w14:val="tx1"/>
            </w14:solidFill>
          </w14:textFill>
        </w:rPr>
      </w:pPr>
    </w:p>
    <w:p w14:paraId="743F7AFB">
      <w:pPr>
        <w:rPr>
          <w:rFonts w:ascii="宋体" w:hAnsi="宋体" w:cs="宋体"/>
          <w:color w:val="000000" w:themeColor="text1"/>
          <w:sz w:val="24"/>
          <w:szCs w:val="24"/>
          <w:highlight w:val="none"/>
          <w14:textFill>
            <w14:solidFill>
              <w14:schemeClr w14:val="tx1"/>
            </w14:solidFill>
          </w14:textFill>
        </w:rPr>
      </w:pPr>
    </w:p>
    <w:p w14:paraId="24DB99A7">
      <w:pPr>
        <w:rPr>
          <w:rFonts w:ascii="宋体" w:hAnsi="宋体" w:cs="宋体"/>
          <w:color w:val="000000" w:themeColor="text1"/>
          <w:sz w:val="24"/>
          <w:szCs w:val="24"/>
          <w:highlight w:val="none"/>
          <w14:textFill>
            <w14:solidFill>
              <w14:schemeClr w14:val="tx1"/>
            </w14:solidFill>
          </w14:textFill>
        </w:rPr>
      </w:pPr>
    </w:p>
    <w:p w14:paraId="1A04DC53">
      <w:pPr>
        <w:rPr>
          <w:rFonts w:ascii="宋体" w:hAnsi="宋体" w:cs="宋体"/>
          <w:color w:val="000000" w:themeColor="text1"/>
          <w:sz w:val="24"/>
          <w:szCs w:val="24"/>
          <w:highlight w:val="none"/>
          <w14:textFill>
            <w14:solidFill>
              <w14:schemeClr w14:val="tx1"/>
            </w14:solidFill>
          </w14:textFill>
        </w:rPr>
      </w:pPr>
    </w:p>
    <w:p w14:paraId="26858D71">
      <w:pPr>
        <w:rPr>
          <w:rFonts w:ascii="宋体" w:hAnsi="宋体" w:cs="宋体"/>
          <w:color w:val="000000" w:themeColor="text1"/>
          <w:sz w:val="24"/>
          <w:szCs w:val="24"/>
          <w:highlight w:val="none"/>
          <w14:textFill>
            <w14:solidFill>
              <w14:schemeClr w14:val="tx1"/>
            </w14:solidFill>
          </w14:textFill>
        </w:rPr>
      </w:pPr>
    </w:p>
    <w:p w14:paraId="1B1E2B27">
      <w:pPr>
        <w:rPr>
          <w:rFonts w:ascii="宋体" w:hAnsi="宋体" w:cs="宋体"/>
          <w:color w:val="000000" w:themeColor="text1"/>
          <w:sz w:val="24"/>
          <w:szCs w:val="24"/>
          <w:highlight w:val="none"/>
          <w14:textFill>
            <w14:solidFill>
              <w14:schemeClr w14:val="tx1"/>
            </w14:solidFill>
          </w14:textFill>
        </w:rPr>
      </w:pPr>
    </w:p>
    <w:p w14:paraId="64984F90">
      <w:pPr>
        <w:rPr>
          <w:rFonts w:ascii="宋体" w:hAnsi="宋体" w:cs="宋体"/>
          <w:color w:val="000000" w:themeColor="text1"/>
          <w:sz w:val="24"/>
          <w:szCs w:val="24"/>
          <w:highlight w:val="none"/>
          <w14:textFill>
            <w14:solidFill>
              <w14:schemeClr w14:val="tx1"/>
            </w14:solidFill>
          </w14:textFill>
        </w:rPr>
      </w:pPr>
    </w:p>
    <w:p w14:paraId="69AD26C0">
      <w:pPr>
        <w:rPr>
          <w:rFonts w:ascii="宋体" w:hAnsi="宋体" w:cs="宋体"/>
          <w:color w:val="000000" w:themeColor="text1"/>
          <w:sz w:val="24"/>
          <w:szCs w:val="24"/>
          <w:highlight w:val="none"/>
          <w14:textFill>
            <w14:solidFill>
              <w14:schemeClr w14:val="tx1"/>
            </w14:solidFill>
          </w14:textFill>
        </w:rPr>
      </w:pPr>
    </w:p>
    <w:p w14:paraId="440AE072">
      <w:pPr>
        <w:rPr>
          <w:rFonts w:ascii="宋体" w:hAnsi="宋体" w:cs="宋体"/>
          <w:color w:val="000000" w:themeColor="text1"/>
          <w:sz w:val="24"/>
          <w:szCs w:val="24"/>
          <w:highlight w:val="none"/>
          <w14:textFill>
            <w14:solidFill>
              <w14:schemeClr w14:val="tx1"/>
            </w14:solidFill>
          </w14:textFill>
        </w:rPr>
      </w:pPr>
    </w:p>
    <w:p w14:paraId="2B20CB60">
      <w:pPr>
        <w:rPr>
          <w:rFonts w:ascii="宋体" w:hAnsi="宋体" w:cs="宋体"/>
          <w:color w:val="000000" w:themeColor="text1"/>
          <w:sz w:val="24"/>
          <w:szCs w:val="24"/>
          <w:highlight w:val="none"/>
          <w14:textFill>
            <w14:solidFill>
              <w14:schemeClr w14:val="tx1"/>
            </w14:solidFill>
          </w14:textFill>
        </w:rPr>
      </w:pPr>
    </w:p>
    <w:p w14:paraId="5583755B">
      <w:pPr>
        <w:rPr>
          <w:rFonts w:ascii="宋体" w:hAnsi="宋体" w:cs="宋体"/>
          <w:color w:val="000000" w:themeColor="text1"/>
          <w:sz w:val="24"/>
          <w:szCs w:val="24"/>
          <w:highlight w:val="none"/>
          <w14:textFill>
            <w14:solidFill>
              <w14:schemeClr w14:val="tx1"/>
            </w14:solidFill>
          </w14:textFill>
        </w:rPr>
      </w:pPr>
    </w:p>
    <w:p w14:paraId="3D1E7507">
      <w:pPr>
        <w:rPr>
          <w:rFonts w:ascii="宋体" w:hAnsi="宋体" w:cs="宋体"/>
          <w:color w:val="000000" w:themeColor="text1"/>
          <w:sz w:val="24"/>
          <w:szCs w:val="24"/>
          <w:highlight w:val="none"/>
          <w14:textFill>
            <w14:solidFill>
              <w14:schemeClr w14:val="tx1"/>
            </w14:solidFill>
          </w14:textFill>
        </w:rPr>
      </w:pPr>
    </w:p>
    <w:p w14:paraId="7C45BAE9">
      <w:pPr>
        <w:rPr>
          <w:rFonts w:ascii="宋体" w:hAnsi="宋体" w:cs="宋体"/>
          <w:color w:val="000000" w:themeColor="text1"/>
          <w:sz w:val="24"/>
          <w:szCs w:val="24"/>
          <w:highlight w:val="none"/>
          <w14:textFill>
            <w14:solidFill>
              <w14:schemeClr w14:val="tx1"/>
            </w14:solidFill>
          </w14:textFill>
        </w:rPr>
      </w:pPr>
    </w:p>
    <w:p w14:paraId="2FDCA422">
      <w:pPr>
        <w:rPr>
          <w:rFonts w:ascii="宋体" w:hAnsi="宋体" w:cs="宋体"/>
          <w:color w:val="000000" w:themeColor="text1"/>
          <w:sz w:val="24"/>
          <w:szCs w:val="24"/>
          <w:highlight w:val="none"/>
          <w14:textFill>
            <w14:solidFill>
              <w14:schemeClr w14:val="tx1"/>
            </w14:solidFill>
          </w14:textFill>
        </w:rPr>
      </w:pPr>
    </w:p>
    <w:p w14:paraId="45B1A6E3">
      <w:pPr>
        <w:rPr>
          <w:rFonts w:ascii="宋体" w:hAnsi="宋体" w:cs="宋体"/>
          <w:color w:val="000000" w:themeColor="text1"/>
          <w:sz w:val="24"/>
          <w:szCs w:val="24"/>
          <w:highlight w:val="none"/>
          <w14:textFill>
            <w14:solidFill>
              <w14:schemeClr w14:val="tx1"/>
            </w14:solidFill>
          </w14:textFill>
        </w:rPr>
      </w:pPr>
    </w:p>
    <w:p w14:paraId="2FDCB352">
      <w:pPr>
        <w:rPr>
          <w:rFonts w:ascii="宋体" w:hAnsi="宋体" w:cs="宋体"/>
          <w:color w:val="000000" w:themeColor="text1"/>
          <w:sz w:val="24"/>
          <w:szCs w:val="24"/>
          <w:highlight w:val="none"/>
          <w14:textFill>
            <w14:solidFill>
              <w14:schemeClr w14:val="tx1"/>
            </w14:solidFill>
          </w14:textFill>
        </w:rPr>
      </w:pPr>
    </w:p>
    <w:p w14:paraId="3D8DBB15">
      <w:pPr>
        <w:rPr>
          <w:rFonts w:ascii="宋体" w:hAnsi="宋体" w:cs="宋体"/>
          <w:color w:val="000000" w:themeColor="text1"/>
          <w:sz w:val="24"/>
          <w:szCs w:val="24"/>
          <w:highlight w:val="none"/>
          <w14:textFill>
            <w14:solidFill>
              <w14:schemeClr w14:val="tx1"/>
            </w14:solidFill>
          </w14:textFill>
        </w:rPr>
      </w:pPr>
    </w:p>
    <w:p w14:paraId="3EE62899">
      <w:pPr>
        <w:rPr>
          <w:rFonts w:ascii="宋体" w:hAnsi="宋体" w:cs="宋体"/>
          <w:color w:val="000000" w:themeColor="text1"/>
          <w:sz w:val="24"/>
          <w:szCs w:val="24"/>
          <w:highlight w:val="none"/>
          <w14:textFill>
            <w14:solidFill>
              <w14:schemeClr w14:val="tx1"/>
            </w14:solidFill>
          </w14:textFill>
        </w:rPr>
      </w:pPr>
    </w:p>
    <w:p w14:paraId="2C288EF7">
      <w:pPr>
        <w:rPr>
          <w:rFonts w:ascii="宋体" w:hAnsi="宋体" w:cs="宋体"/>
          <w:color w:val="000000" w:themeColor="text1"/>
          <w:sz w:val="24"/>
          <w:szCs w:val="24"/>
          <w:highlight w:val="none"/>
          <w14:textFill>
            <w14:solidFill>
              <w14:schemeClr w14:val="tx1"/>
            </w14:solidFill>
          </w14:textFill>
        </w:rPr>
      </w:pPr>
    </w:p>
    <w:p w14:paraId="5B92D87D">
      <w:pPr>
        <w:rPr>
          <w:rFonts w:ascii="宋体" w:hAnsi="宋体" w:cs="宋体"/>
          <w:color w:val="000000" w:themeColor="text1"/>
          <w:sz w:val="24"/>
          <w:szCs w:val="24"/>
          <w:highlight w:val="none"/>
          <w14:textFill>
            <w14:solidFill>
              <w14:schemeClr w14:val="tx1"/>
            </w14:solidFill>
          </w14:textFill>
        </w:rPr>
      </w:pPr>
    </w:p>
    <w:p w14:paraId="48788C0E">
      <w:pPr>
        <w:rPr>
          <w:rFonts w:ascii="宋体" w:hAnsi="宋体" w:cs="宋体"/>
          <w:color w:val="000000" w:themeColor="text1"/>
          <w:sz w:val="24"/>
          <w:szCs w:val="24"/>
          <w:highlight w:val="none"/>
          <w14:textFill>
            <w14:solidFill>
              <w14:schemeClr w14:val="tx1"/>
            </w14:solidFill>
          </w14:textFill>
        </w:rPr>
      </w:pPr>
    </w:p>
    <w:p w14:paraId="5B474CB0">
      <w:pPr>
        <w:rPr>
          <w:rFonts w:ascii="宋体" w:hAnsi="宋体" w:cs="宋体"/>
          <w:color w:val="000000" w:themeColor="text1"/>
          <w:sz w:val="24"/>
          <w:szCs w:val="24"/>
          <w:highlight w:val="none"/>
          <w14:textFill>
            <w14:solidFill>
              <w14:schemeClr w14:val="tx1"/>
            </w14:solidFill>
          </w14:textFill>
        </w:rPr>
      </w:pPr>
    </w:p>
    <w:p w14:paraId="6D451404">
      <w:pPr>
        <w:rPr>
          <w:rFonts w:ascii="宋体" w:hAnsi="宋体" w:cs="宋体"/>
          <w:color w:val="000000" w:themeColor="text1"/>
          <w:sz w:val="24"/>
          <w:szCs w:val="24"/>
          <w:highlight w:val="none"/>
          <w14:textFill>
            <w14:solidFill>
              <w14:schemeClr w14:val="tx1"/>
            </w14:solidFill>
          </w14:textFill>
        </w:rPr>
      </w:pPr>
    </w:p>
    <w:p w14:paraId="4CEB75B0">
      <w:pPr>
        <w:rPr>
          <w:rFonts w:ascii="宋体" w:hAnsi="宋体" w:cs="宋体"/>
          <w:color w:val="000000" w:themeColor="text1"/>
          <w:sz w:val="24"/>
          <w:szCs w:val="24"/>
          <w:highlight w:val="none"/>
          <w14:textFill>
            <w14:solidFill>
              <w14:schemeClr w14:val="tx1"/>
            </w14:solidFill>
          </w14:textFill>
        </w:rPr>
      </w:pPr>
    </w:p>
    <w:p w14:paraId="719EA563">
      <w:pPr>
        <w:rPr>
          <w:rFonts w:ascii="宋体" w:hAnsi="宋体" w:cs="宋体"/>
          <w:color w:val="000000" w:themeColor="text1"/>
          <w:sz w:val="24"/>
          <w:szCs w:val="24"/>
          <w:highlight w:val="none"/>
          <w14:textFill>
            <w14:solidFill>
              <w14:schemeClr w14:val="tx1"/>
            </w14:solidFill>
          </w14:textFill>
        </w:rPr>
      </w:pPr>
    </w:p>
    <w:p w14:paraId="59283375">
      <w:pPr>
        <w:rPr>
          <w:rFonts w:ascii="宋体" w:hAnsi="宋体" w:cs="宋体"/>
          <w:color w:val="000000" w:themeColor="text1"/>
          <w:sz w:val="24"/>
          <w:szCs w:val="24"/>
          <w:highlight w:val="none"/>
          <w14:textFill>
            <w14:solidFill>
              <w14:schemeClr w14:val="tx1"/>
            </w14:solidFill>
          </w14:textFill>
        </w:rPr>
      </w:pPr>
    </w:p>
    <w:p w14:paraId="4182E1E7">
      <w:pPr>
        <w:rPr>
          <w:rFonts w:ascii="宋体" w:hAnsi="宋体" w:cs="宋体"/>
          <w:color w:val="000000" w:themeColor="text1"/>
          <w:sz w:val="24"/>
          <w:szCs w:val="24"/>
          <w:highlight w:val="none"/>
          <w14:textFill>
            <w14:solidFill>
              <w14:schemeClr w14:val="tx1"/>
            </w14:solidFill>
          </w14:textFill>
        </w:rPr>
      </w:pPr>
    </w:p>
    <w:p w14:paraId="435A14D1">
      <w:pPr>
        <w:rPr>
          <w:rFonts w:ascii="宋体" w:hAnsi="宋体" w:cs="宋体"/>
          <w:color w:val="000000" w:themeColor="text1"/>
          <w:highlight w:val="none"/>
          <w14:textFill>
            <w14:solidFill>
              <w14:schemeClr w14:val="tx1"/>
            </w14:solidFill>
          </w14:textFill>
        </w:rPr>
      </w:pPr>
    </w:p>
    <w:p w14:paraId="7D9C2E81">
      <w:pPr>
        <w:rPr>
          <w:rFonts w:ascii="宋体" w:hAnsi="宋体" w:cs="宋体"/>
          <w:color w:val="000000" w:themeColor="text1"/>
          <w:sz w:val="24"/>
          <w:szCs w:val="24"/>
          <w:highlight w:val="none"/>
          <w14:textFill>
            <w14:solidFill>
              <w14:schemeClr w14:val="tx1"/>
            </w14:solidFill>
          </w14:textFill>
        </w:rPr>
      </w:pPr>
    </w:p>
    <w:p w14:paraId="46E7DC30">
      <w:pPr>
        <w:pStyle w:val="16"/>
        <w:rPr>
          <w:rFonts w:ascii="宋体" w:hAnsi="宋体" w:cs="宋体"/>
          <w:color w:val="000000" w:themeColor="text1"/>
          <w:highlight w:val="none"/>
          <w14:textFill>
            <w14:solidFill>
              <w14:schemeClr w14:val="tx1"/>
            </w14:solidFill>
          </w14:textFill>
        </w:rPr>
      </w:pPr>
    </w:p>
    <w:p w14:paraId="75E9A06A">
      <w:pPr>
        <w:widowControl/>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（二）法定代表人身份证明书（格式）</w:t>
      </w:r>
    </w:p>
    <w:p w14:paraId="397217D1">
      <w:pPr>
        <w:widowControl/>
        <w:ind w:firstLine="480" w:firstLineChars="200"/>
        <w:jc w:val="left"/>
        <w:rPr>
          <w:rFonts w:ascii="宋体" w:hAnsi="宋体" w:cs="宋体"/>
          <w:color w:val="000000" w:themeColor="text1"/>
          <w:sz w:val="24"/>
          <w:szCs w:val="24"/>
          <w:highlight w:val="none"/>
          <w14:textFill>
            <w14:solidFill>
              <w14:schemeClr w14:val="tx1"/>
            </w14:solidFill>
          </w14:textFill>
        </w:rPr>
      </w:pPr>
    </w:p>
    <w:p w14:paraId="0606AB6B">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14:paraId="6126E70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36007F0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（比选人名称）</w:t>
      </w:r>
      <w:r>
        <w:rPr>
          <w:rFonts w:hint="eastAsia" w:ascii="宋体" w:hAnsi="宋体" w:cs="宋体"/>
          <w:color w:val="000000" w:themeColor="text1"/>
          <w:sz w:val="24"/>
          <w:szCs w:val="24"/>
          <w:highlight w:val="none"/>
          <w14:textFill>
            <w14:solidFill>
              <w14:schemeClr w14:val="tx1"/>
            </w14:solidFill>
          </w14:textFill>
        </w:rPr>
        <w:t xml:space="preserve"> </w:t>
      </w:r>
    </w:p>
    <w:p w14:paraId="597DEFD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（法定代表人姓名）在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（投标人名称）任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（职务名称）职务，是（投标人名称）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的法定代表人。</w:t>
      </w:r>
    </w:p>
    <w:p w14:paraId="745AF89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DB8ECE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14:paraId="3B81912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F3FD09F">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0FFB4B2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65DCC0E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（投标人公章）</w:t>
      </w:r>
    </w:p>
    <w:p w14:paraId="175E5F16">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72D7A04F">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14:paraId="702D204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1133E5DC">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（附：法定代表人身份证正反面复印件）</w:t>
      </w:r>
    </w:p>
    <w:p w14:paraId="457DF34B">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p>
    <w:p w14:paraId="37BBAD29">
      <w:pPr>
        <w:rPr>
          <w:rFonts w:ascii="宋体" w:hAnsi="宋体" w:cs="宋体"/>
          <w:color w:val="000000" w:themeColor="text1"/>
          <w:sz w:val="24"/>
          <w:szCs w:val="24"/>
          <w:highlight w:val="none"/>
          <w14:textFill>
            <w14:solidFill>
              <w14:schemeClr w14:val="tx1"/>
            </w14:solidFill>
          </w14:textFill>
        </w:rPr>
      </w:pPr>
    </w:p>
    <w:p w14:paraId="3B6B5A8F">
      <w:pPr>
        <w:rPr>
          <w:rFonts w:ascii="宋体" w:hAnsi="宋体" w:cs="宋体"/>
          <w:color w:val="000000" w:themeColor="text1"/>
          <w:sz w:val="24"/>
          <w:szCs w:val="24"/>
          <w:highlight w:val="none"/>
          <w14:textFill>
            <w14:solidFill>
              <w14:schemeClr w14:val="tx1"/>
            </w14:solidFill>
          </w14:textFill>
        </w:rPr>
      </w:pPr>
    </w:p>
    <w:p w14:paraId="0799DF9A">
      <w:pPr>
        <w:rPr>
          <w:rFonts w:ascii="宋体" w:hAnsi="宋体" w:cs="宋体"/>
          <w:color w:val="000000" w:themeColor="text1"/>
          <w:sz w:val="24"/>
          <w:szCs w:val="24"/>
          <w:highlight w:val="none"/>
          <w14:textFill>
            <w14:solidFill>
              <w14:schemeClr w14:val="tx1"/>
            </w14:solidFill>
          </w14:textFill>
        </w:rPr>
      </w:pPr>
    </w:p>
    <w:p w14:paraId="52AC38E2">
      <w:pPr>
        <w:rPr>
          <w:rFonts w:ascii="宋体" w:hAnsi="宋体" w:cs="宋体"/>
          <w:color w:val="000000" w:themeColor="text1"/>
          <w:sz w:val="24"/>
          <w:szCs w:val="24"/>
          <w:highlight w:val="none"/>
          <w14:textFill>
            <w14:solidFill>
              <w14:schemeClr w14:val="tx1"/>
            </w14:solidFill>
          </w14:textFill>
        </w:rPr>
      </w:pPr>
    </w:p>
    <w:p w14:paraId="3489FB5B">
      <w:pPr>
        <w:rPr>
          <w:rFonts w:ascii="宋体" w:hAnsi="宋体" w:cs="宋体"/>
          <w:color w:val="000000" w:themeColor="text1"/>
          <w:sz w:val="24"/>
          <w:szCs w:val="24"/>
          <w:highlight w:val="none"/>
          <w14:textFill>
            <w14:solidFill>
              <w14:schemeClr w14:val="tx1"/>
            </w14:solidFill>
          </w14:textFill>
        </w:rPr>
      </w:pPr>
    </w:p>
    <w:p w14:paraId="1B31E745">
      <w:pPr>
        <w:rPr>
          <w:rFonts w:ascii="宋体" w:hAnsi="宋体" w:cs="宋体"/>
          <w:color w:val="000000" w:themeColor="text1"/>
          <w:sz w:val="24"/>
          <w:szCs w:val="24"/>
          <w:highlight w:val="none"/>
          <w14:textFill>
            <w14:solidFill>
              <w14:schemeClr w14:val="tx1"/>
            </w14:solidFill>
          </w14:textFill>
        </w:rPr>
      </w:pPr>
    </w:p>
    <w:p w14:paraId="6DEB685F">
      <w:pPr>
        <w:rPr>
          <w:rFonts w:ascii="宋体" w:hAnsi="宋体" w:cs="宋体"/>
          <w:color w:val="000000" w:themeColor="text1"/>
          <w:sz w:val="24"/>
          <w:szCs w:val="24"/>
          <w:highlight w:val="none"/>
          <w14:textFill>
            <w14:solidFill>
              <w14:schemeClr w14:val="tx1"/>
            </w14:solidFill>
          </w14:textFill>
        </w:rPr>
      </w:pPr>
    </w:p>
    <w:p w14:paraId="0A661940">
      <w:pPr>
        <w:rPr>
          <w:rFonts w:ascii="宋体" w:hAnsi="宋体" w:cs="宋体"/>
          <w:color w:val="000000" w:themeColor="text1"/>
          <w:sz w:val="24"/>
          <w:szCs w:val="24"/>
          <w:highlight w:val="none"/>
          <w14:textFill>
            <w14:solidFill>
              <w14:schemeClr w14:val="tx1"/>
            </w14:solidFill>
          </w14:textFill>
        </w:rPr>
      </w:pPr>
    </w:p>
    <w:p w14:paraId="5E8E50DF">
      <w:pPr>
        <w:rPr>
          <w:rFonts w:ascii="宋体" w:hAnsi="宋体" w:cs="宋体"/>
          <w:color w:val="000000" w:themeColor="text1"/>
          <w:sz w:val="24"/>
          <w:szCs w:val="24"/>
          <w:highlight w:val="none"/>
          <w14:textFill>
            <w14:solidFill>
              <w14:schemeClr w14:val="tx1"/>
            </w14:solidFill>
          </w14:textFill>
        </w:rPr>
      </w:pPr>
    </w:p>
    <w:p w14:paraId="2C5BEA47">
      <w:pPr>
        <w:rPr>
          <w:rFonts w:ascii="宋体" w:hAnsi="宋体" w:cs="宋体"/>
          <w:color w:val="000000" w:themeColor="text1"/>
          <w:sz w:val="24"/>
          <w:szCs w:val="24"/>
          <w:highlight w:val="none"/>
          <w14:textFill>
            <w14:solidFill>
              <w14:schemeClr w14:val="tx1"/>
            </w14:solidFill>
          </w14:textFill>
        </w:rPr>
      </w:pPr>
    </w:p>
    <w:p w14:paraId="45577863">
      <w:pPr>
        <w:rPr>
          <w:rFonts w:ascii="宋体" w:hAnsi="宋体" w:cs="宋体"/>
          <w:color w:val="000000" w:themeColor="text1"/>
          <w:sz w:val="24"/>
          <w:szCs w:val="24"/>
          <w:highlight w:val="none"/>
          <w14:textFill>
            <w14:solidFill>
              <w14:schemeClr w14:val="tx1"/>
            </w14:solidFill>
          </w14:textFill>
        </w:rPr>
      </w:pPr>
    </w:p>
    <w:p w14:paraId="0AB2E3C4">
      <w:pPr>
        <w:rPr>
          <w:rFonts w:ascii="宋体" w:hAnsi="宋体" w:cs="宋体"/>
          <w:color w:val="000000" w:themeColor="text1"/>
          <w:sz w:val="24"/>
          <w:szCs w:val="24"/>
          <w:highlight w:val="none"/>
          <w14:textFill>
            <w14:solidFill>
              <w14:schemeClr w14:val="tx1"/>
            </w14:solidFill>
          </w14:textFill>
        </w:rPr>
      </w:pPr>
    </w:p>
    <w:p w14:paraId="1AEE47B6">
      <w:pPr>
        <w:rPr>
          <w:rFonts w:ascii="宋体" w:hAnsi="宋体" w:cs="宋体"/>
          <w:color w:val="000000" w:themeColor="text1"/>
          <w:sz w:val="24"/>
          <w:szCs w:val="24"/>
          <w:highlight w:val="none"/>
          <w14:textFill>
            <w14:solidFill>
              <w14:schemeClr w14:val="tx1"/>
            </w14:solidFill>
          </w14:textFill>
        </w:rPr>
      </w:pPr>
    </w:p>
    <w:p w14:paraId="32F208FF">
      <w:pPr>
        <w:rPr>
          <w:rFonts w:ascii="宋体" w:hAnsi="宋体" w:cs="宋体"/>
          <w:color w:val="000000" w:themeColor="text1"/>
          <w:sz w:val="24"/>
          <w:szCs w:val="24"/>
          <w:highlight w:val="none"/>
          <w14:textFill>
            <w14:solidFill>
              <w14:schemeClr w14:val="tx1"/>
            </w14:solidFill>
          </w14:textFill>
        </w:rPr>
      </w:pPr>
    </w:p>
    <w:p w14:paraId="0B7073E1">
      <w:pPr>
        <w:rPr>
          <w:rFonts w:ascii="宋体" w:hAnsi="宋体" w:cs="宋体"/>
          <w:color w:val="000000" w:themeColor="text1"/>
          <w:sz w:val="24"/>
          <w:szCs w:val="24"/>
          <w:highlight w:val="none"/>
          <w14:textFill>
            <w14:solidFill>
              <w14:schemeClr w14:val="tx1"/>
            </w14:solidFill>
          </w14:textFill>
        </w:rPr>
      </w:pPr>
    </w:p>
    <w:p w14:paraId="167CEF83">
      <w:pPr>
        <w:rPr>
          <w:rFonts w:ascii="宋体" w:hAnsi="宋体" w:cs="宋体"/>
          <w:color w:val="000000" w:themeColor="text1"/>
          <w:highlight w:val="none"/>
          <w14:textFill>
            <w14:solidFill>
              <w14:schemeClr w14:val="tx1"/>
            </w14:solidFill>
          </w14:textFill>
        </w:rPr>
      </w:pPr>
    </w:p>
    <w:p w14:paraId="112E46A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EBCD2B3">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（三）法定代表人授权委托书（格式）</w:t>
      </w:r>
    </w:p>
    <w:p w14:paraId="5C24E36B">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27FA6828">
      <w:pPr>
        <w:tabs>
          <w:tab w:val="left" w:pos="6300"/>
        </w:tabs>
        <w:snapToGrid w:val="0"/>
        <w:spacing w:line="500" w:lineRule="exact"/>
        <w:ind w:firstLine="480" w:firstLineChars="200"/>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14:paraId="6069C818">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65E8838">
      <w:pPr>
        <w:tabs>
          <w:tab w:val="left" w:pos="6300"/>
        </w:tabs>
        <w:snapToGrid w:val="0"/>
        <w:spacing w:line="500" w:lineRule="exact"/>
        <w:ind w:firstLine="480" w:firstLineChars="200"/>
        <w:rPr>
          <w:rFonts w:hint="default"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（比选人名称）</w:t>
      </w:r>
    </w:p>
    <w:p w14:paraId="1529A279">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（投标人法定代表人名称）是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（投标人名称）的法定代表人，特授权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（被授权人姓名及身份证代码）代表我单位全权办理上述项目的比选、签约等具体工作，并签署全部有关文件、协议及合同。</w:t>
      </w:r>
    </w:p>
    <w:p w14:paraId="033ABEA4">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我单位对被授权人的签字负全部责任。</w:t>
      </w:r>
    </w:p>
    <w:p w14:paraId="5BAB3ACC">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14:paraId="3B48B28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E246255">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9B9083A">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                                 投标人法定代表人：</w:t>
      </w:r>
    </w:p>
    <w:p w14:paraId="16DB0342">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（签字或盖章）                                （签字或盖章）</w:t>
      </w:r>
    </w:p>
    <w:p w14:paraId="35C7DD6C">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7224F455">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590EF672">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（附：被授权人身份证正反面复印件）</w:t>
      </w:r>
    </w:p>
    <w:p w14:paraId="4C89C321">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1110F050">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1889D85B">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3C92085C">
      <w:pPr>
        <w:tabs>
          <w:tab w:val="left" w:pos="6300"/>
        </w:tabs>
        <w:snapToGrid w:val="0"/>
        <w:spacing w:line="500" w:lineRule="exact"/>
        <w:ind w:firstLine="6480" w:firstLineChars="2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（投标人公章）</w:t>
      </w:r>
    </w:p>
    <w:p w14:paraId="0F5439F2">
      <w:pPr>
        <w:tabs>
          <w:tab w:val="left" w:pos="6300"/>
        </w:tabs>
        <w:snapToGrid w:val="0"/>
        <w:spacing w:line="500" w:lineRule="exact"/>
        <w:ind w:firstLine="6720" w:firstLineChars="28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14:paraId="6186E523">
      <w:pPr>
        <w:tabs>
          <w:tab w:val="left" w:pos="6300"/>
        </w:tabs>
        <w:snapToGrid w:val="0"/>
        <w:spacing w:line="500" w:lineRule="exact"/>
        <w:ind w:firstLine="6720" w:firstLineChars="2800"/>
        <w:rPr>
          <w:rFonts w:ascii="宋体" w:hAnsi="宋体" w:cs="宋体"/>
          <w:color w:val="000000" w:themeColor="text1"/>
          <w:sz w:val="24"/>
          <w:szCs w:val="24"/>
          <w:highlight w:val="none"/>
          <w14:textFill>
            <w14:solidFill>
              <w14:schemeClr w14:val="tx1"/>
            </w14:solidFill>
          </w14:textFill>
        </w:rPr>
      </w:pPr>
    </w:p>
    <w:p w14:paraId="0AFA0C07">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6EFD4519">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17371171">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587A4291">
      <w:pPr>
        <w:tabs>
          <w:tab w:val="left" w:pos="6300"/>
        </w:tabs>
        <w:snapToGrid w:val="0"/>
        <w:spacing w:line="500" w:lineRule="exact"/>
        <w:ind w:firstLine="420" w:firstLineChars="200"/>
        <w:jc w:val="left"/>
        <w:rPr>
          <w:rFonts w:ascii="宋体" w:hAnsi="宋体" w:cs="宋体"/>
          <w:bCs/>
          <w:color w:val="000000" w:themeColor="text1"/>
          <w:szCs w:val="21"/>
          <w:highlight w:val="none"/>
          <w14:textFill>
            <w14:solidFill>
              <w14:schemeClr w14:val="tx1"/>
            </w14:solidFill>
          </w14:textFill>
        </w:rPr>
      </w:pPr>
    </w:p>
    <w:p w14:paraId="67281A91">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p>
    <w:p w14:paraId="59EFD9D2">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p>
    <w:p w14:paraId="47256A5F">
      <w:pPr>
        <w:spacing w:line="360" w:lineRule="auto"/>
        <w:ind w:firstLine="42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四）特定资格条件证明。</w:t>
      </w:r>
    </w:p>
    <w:p w14:paraId="0DB90E8F">
      <w:pPr>
        <w:rPr>
          <w:rFonts w:ascii="宋体" w:hAnsi="宋体" w:cs="宋体"/>
          <w:color w:val="000000" w:themeColor="text1"/>
          <w:sz w:val="24"/>
          <w:szCs w:val="24"/>
          <w:highlight w:val="none"/>
          <w14:textFill>
            <w14:solidFill>
              <w14:schemeClr w14:val="tx1"/>
            </w14:solidFill>
          </w14:textFill>
        </w:rPr>
      </w:pPr>
    </w:p>
    <w:p w14:paraId="6EBBA177">
      <w:pPr>
        <w:rPr>
          <w:rFonts w:ascii="宋体" w:hAnsi="宋体" w:cs="宋体"/>
          <w:color w:val="000000" w:themeColor="text1"/>
          <w:sz w:val="24"/>
          <w:szCs w:val="24"/>
          <w:highlight w:val="none"/>
          <w14:textFill>
            <w14:solidFill>
              <w14:schemeClr w14:val="tx1"/>
            </w14:solidFill>
          </w14:textFill>
        </w:rPr>
      </w:pPr>
    </w:p>
    <w:p w14:paraId="50D793D1">
      <w:pPr>
        <w:rPr>
          <w:rFonts w:ascii="宋体" w:hAnsi="宋体" w:cs="宋体"/>
          <w:color w:val="000000" w:themeColor="text1"/>
          <w:sz w:val="24"/>
          <w:szCs w:val="24"/>
          <w:highlight w:val="none"/>
          <w14:textFill>
            <w14:solidFill>
              <w14:schemeClr w14:val="tx1"/>
            </w14:solidFill>
          </w14:textFill>
        </w:rPr>
      </w:pPr>
    </w:p>
    <w:p w14:paraId="3850DD07">
      <w:pPr>
        <w:rPr>
          <w:rFonts w:ascii="宋体" w:hAnsi="宋体" w:cs="宋体"/>
          <w:color w:val="000000" w:themeColor="text1"/>
          <w:sz w:val="24"/>
          <w:szCs w:val="24"/>
          <w:highlight w:val="none"/>
          <w14:textFill>
            <w14:solidFill>
              <w14:schemeClr w14:val="tx1"/>
            </w14:solidFill>
          </w14:textFill>
        </w:rPr>
      </w:pPr>
    </w:p>
    <w:p w14:paraId="291EC53C">
      <w:pPr>
        <w:rPr>
          <w:rFonts w:ascii="宋体" w:hAnsi="宋体" w:cs="宋体"/>
          <w:color w:val="000000" w:themeColor="text1"/>
          <w:sz w:val="24"/>
          <w:szCs w:val="24"/>
          <w:highlight w:val="none"/>
          <w14:textFill>
            <w14:solidFill>
              <w14:schemeClr w14:val="tx1"/>
            </w14:solidFill>
          </w14:textFill>
        </w:rPr>
      </w:pPr>
    </w:p>
    <w:p w14:paraId="2D58054D">
      <w:pPr>
        <w:rPr>
          <w:rFonts w:ascii="宋体" w:hAnsi="宋体" w:cs="宋体"/>
          <w:color w:val="000000" w:themeColor="text1"/>
          <w:sz w:val="24"/>
          <w:szCs w:val="24"/>
          <w:highlight w:val="none"/>
          <w14:textFill>
            <w14:solidFill>
              <w14:schemeClr w14:val="tx1"/>
            </w14:solidFill>
          </w14:textFill>
        </w:rPr>
      </w:pPr>
    </w:p>
    <w:p w14:paraId="4784BEA8">
      <w:pPr>
        <w:rPr>
          <w:rFonts w:ascii="宋体" w:hAnsi="宋体" w:cs="宋体"/>
          <w:color w:val="000000" w:themeColor="text1"/>
          <w:sz w:val="24"/>
          <w:szCs w:val="24"/>
          <w:highlight w:val="none"/>
          <w14:textFill>
            <w14:solidFill>
              <w14:schemeClr w14:val="tx1"/>
            </w14:solidFill>
          </w14:textFill>
        </w:rPr>
      </w:pPr>
    </w:p>
    <w:p w14:paraId="64A0128E">
      <w:pPr>
        <w:rPr>
          <w:rFonts w:ascii="宋体" w:hAnsi="宋体" w:cs="宋体"/>
          <w:color w:val="000000" w:themeColor="text1"/>
          <w:sz w:val="24"/>
          <w:szCs w:val="24"/>
          <w:highlight w:val="none"/>
          <w14:textFill>
            <w14:solidFill>
              <w14:schemeClr w14:val="tx1"/>
            </w14:solidFill>
          </w14:textFill>
        </w:rPr>
      </w:pPr>
    </w:p>
    <w:p w14:paraId="366FCD33">
      <w:pPr>
        <w:rPr>
          <w:rFonts w:ascii="宋体" w:hAnsi="宋体" w:cs="宋体"/>
          <w:color w:val="000000" w:themeColor="text1"/>
          <w:sz w:val="24"/>
          <w:szCs w:val="24"/>
          <w:highlight w:val="none"/>
          <w14:textFill>
            <w14:solidFill>
              <w14:schemeClr w14:val="tx1"/>
            </w14:solidFill>
          </w14:textFill>
        </w:rPr>
      </w:pPr>
    </w:p>
    <w:p w14:paraId="7F24E6CA">
      <w:pPr>
        <w:rPr>
          <w:rFonts w:ascii="宋体" w:hAnsi="宋体" w:cs="宋体"/>
          <w:color w:val="000000" w:themeColor="text1"/>
          <w:sz w:val="24"/>
          <w:szCs w:val="24"/>
          <w:highlight w:val="none"/>
          <w14:textFill>
            <w14:solidFill>
              <w14:schemeClr w14:val="tx1"/>
            </w14:solidFill>
          </w14:textFill>
        </w:rPr>
      </w:pPr>
    </w:p>
    <w:p w14:paraId="3D858575">
      <w:pPr>
        <w:rPr>
          <w:rFonts w:ascii="宋体" w:hAnsi="宋体" w:cs="宋体"/>
          <w:color w:val="000000" w:themeColor="text1"/>
          <w:sz w:val="24"/>
          <w:szCs w:val="24"/>
          <w:highlight w:val="none"/>
          <w14:textFill>
            <w14:solidFill>
              <w14:schemeClr w14:val="tx1"/>
            </w14:solidFill>
          </w14:textFill>
        </w:rPr>
      </w:pPr>
    </w:p>
    <w:p w14:paraId="49EC211E">
      <w:pPr>
        <w:rPr>
          <w:rFonts w:ascii="宋体" w:hAnsi="宋体" w:cs="宋体"/>
          <w:color w:val="000000" w:themeColor="text1"/>
          <w:sz w:val="24"/>
          <w:szCs w:val="24"/>
          <w:highlight w:val="none"/>
          <w14:textFill>
            <w14:solidFill>
              <w14:schemeClr w14:val="tx1"/>
            </w14:solidFill>
          </w14:textFill>
        </w:rPr>
      </w:pPr>
    </w:p>
    <w:p w14:paraId="35127C83">
      <w:pPr>
        <w:rPr>
          <w:rFonts w:ascii="宋体" w:hAnsi="宋体" w:cs="宋体"/>
          <w:color w:val="000000" w:themeColor="text1"/>
          <w:sz w:val="24"/>
          <w:szCs w:val="24"/>
          <w:highlight w:val="none"/>
          <w14:textFill>
            <w14:solidFill>
              <w14:schemeClr w14:val="tx1"/>
            </w14:solidFill>
          </w14:textFill>
        </w:rPr>
      </w:pPr>
    </w:p>
    <w:p w14:paraId="2A9AA2A5">
      <w:pPr>
        <w:rPr>
          <w:rFonts w:ascii="宋体" w:hAnsi="宋体" w:cs="宋体"/>
          <w:color w:val="000000" w:themeColor="text1"/>
          <w:sz w:val="24"/>
          <w:szCs w:val="24"/>
          <w:highlight w:val="none"/>
          <w14:textFill>
            <w14:solidFill>
              <w14:schemeClr w14:val="tx1"/>
            </w14:solidFill>
          </w14:textFill>
        </w:rPr>
      </w:pPr>
    </w:p>
    <w:p w14:paraId="7CB9EEDF">
      <w:pPr>
        <w:rPr>
          <w:rFonts w:ascii="宋体" w:hAnsi="宋体" w:cs="宋体"/>
          <w:color w:val="000000" w:themeColor="text1"/>
          <w:sz w:val="24"/>
          <w:szCs w:val="24"/>
          <w:highlight w:val="none"/>
          <w14:textFill>
            <w14:solidFill>
              <w14:schemeClr w14:val="tx1"/>
            </w14:solidFill>
          </w14:textFill>
        </w:rPr>
      </w:pPr>
    </w:p>
    <w:p w14:paraId="7FBD9498">
      <w:pPr>
        <w:rPr>
          <w:rFonts w:ascii="宋体" w:hAnsi="宋体" w:cs="宋体"/>
          <w:color w:val="000000" w:themeColor="text1"/>
          <w:sz w:val="24"/>
          <w:szCs w:val="24"/>
          <w:highlight w:val="none"/>
          <w14:textFill>
            <w14:solidFill>
              <w14:schemeClr w14:val="tx1"/>
            </w14:solidFill>
          </w14:textFill>
        </w:rPr>
      </w:pPr>
    </w:p>
    <w:p w14:paraId="3DBD051A">
      <w:pPr>
        <w:rPr>
          <w:rFonts w:ascii="宋体" w:hAnsi="宋体" w:cs="宋体"/>
          <w:color w:val="000000" w:themeColor="text1"/>
          <w:sz w:val="24"/>
          <w:szCs w:val="24"/>
          <w:highlight w:val="none"/>
          <w14:textFill>
            <w14:solidFill>
              <w14:schemeClr w14:val="tx1"/>
            </w14:solidFill>
          </w14:textFill>
        </w:rPr>
      </w:pPr>
    </w:p>
    <w:p w14:paraId="4027FAEC">
      <w:pPr>
        <w:rPr>
          <w:rFonts w:ascii="宋体" w:hAnsi="宋体" w:cs="宋体"/>
          <w:color w:val="000000" w:themeColor="text1"/>
          <w:sz w:val="24"/>
          <w:szCs w:val="24"/>
          <w:highlight w:val="none"/>
          <w14:textFill>
            <w14:solidFill>
              <w14:schemeClr w14:val="tx1"/>
            </w14:solidFill>
          </w14:textFill>
        </w:rPr>
      </w:pPr>
    </w:p>
    <w:p w14:paraId="1ED7B917">
      <w:pPr>
        <w:rPr>
          <w:rFonts w:ascii="宋体" w:hAnsi="宋体" w:cs="宋体"/>
          <w:color w:val="000000" w:themeColor="text1"/>
          <w:sz w:val="24"/>
          <w:szCs w:val="24"/>
          <w:highlight w:val="none"/>
          <w14:textFill>
            <w14:solidFill>
              <w14:schemeClr w14:val="tx1"/>
            </w14:solidFill>
          </w14:textFill>
        </w:rPr>
      </w:pPr>
    </w:p>
    <w:p w14:paraId="4214AA18">
      <w:pPr>
        <w:rPr>
          <w:rFonts w:ascii="宋体" w:hAnsi="宋体" w:cs="宋体"/>
          <w:color w:val="000000" w:themeColor="text1"/>
          <w:sz w:val="24"/>
          <w:szCs w:val="24"/>
          <w:highlight w:val="none"/>
          <w14:textFill>
            <w14:solidFill>
              <w14:schemeClr w14:val="tx1"/>
            </w14:solidFill>
          </w14:textFill>
        </w:rPr>
      </w:pPr>
    </w:p>
    <w:p w14:paraId="371FB341">
      <w:pPr>
        <w:rPr>
          <w:rFonts w:ascii="宋体" w:hAnsi="宋体" w:cs="宋体"/>
          <w:color w:val="000000" w:themeColor="text1"/>
          <w:sz w:val="24"/>
          <w:szCs w:val="24"/>
          <w:highlight w:val="none"/>
          <w14:textFill>
            <w14:solidFill>
              <w14:schemeClr w14:val="tx1"/>
            </w14:solidFill>
          </w14:textFill>
        </w:rPr>
      </w:pPr>
    </w:p>
    <w:p w14:paraId="70AD9A1E">
      <w:pPr>
        <w:rPr>
          <w:rFonts w:ascii="宋体" w:hAnsi="宋体" w:cs="宋体"/>
          <w:color w:val="000000" w:themeColor="text1"/>
          <w:sz w:val="24"/>
          <w:szCs w:val="24"/>
          <w:highlight w:val="none"/>
          <w14:textFill>
            <w14:solidFill>
              <w14:schemeClr w14:val="tx1"/>
            </w14:solidFill>
          </w14:textFill>
        </w:rPr>
      </w:pPr>
    </w:p>
    <w:p w14:paraId="5F64FBFA">
      <w:pPr>
        <w:rPr>
          <w:rFonts w:ascii="宋体" w:hAnsi="宋体" w:cs="宋体"/>
          <w:color w:val="000000" w:themeColor="text1"/>
          <w:sz w:val="24"/>
          <w:szCs w:val="24"/>
          <w:highlight w:val="none"/>
          <w14:textFill>
            <w14:solidFill>
              <w14:schemeClr w14:val="tx1"/>
            </w14:solidFill>
          </w14:textFill>
        </w:rPr>
      </w:pPr>
    </w:p>
    <w:p w14:paraId="4530D837">
      <w:pPr>
        <w:rPr>
          <w:rFonts w:ascii="宋体" w:hAnsi="宋体" w:cs="宋体"/>
          <w:color w:val="000000" w:themeColor="text1"/>
          <w:sz w:val="24"/>
          <w:szCs w:val="24"/>
          <w:highlight w:val="none"/>
          <w14:textFill>
            <w14:solidFill>
              <w14:schemeClr w14:val="tx1"/>
            </w14:solidFill>
          </w14:textFill>
        </w:rPr>
      </w:pPr>
    </w:p>
    <w:p w14:paraId="53C41E15">
      <w:pPr>
        <w:rPr>
          <w:rFonts w:ascii="宋体" w:hAnsi="宋体" w:cs="宋体"/>
          <w:color w:val="000000" w:themeColor="text1"/>
          <w:sz w:val="24"/>
          <w:szCs w:val="24"/>
          <w:highlight w:val="none"/>
          <w14:textFill>
            <w14:solidFill>
              <w14:schemeClr w14:val="tx1"/>
            </w14:solidFill>
          </w14:textFill>
        </w:rPr>
      </w:pPr>
    </w:p>
    <w:p w14:paraId="5D489D39">
      <w:pPr>
        <w:rPr>
          <w:rFonts w:ascii="宋体" w:hAnsi="宋体" w:cs="宋体"/>
          <w:color w:val="000000" w:themeColor="text1"/>
          <w:sz w:val="24"/>
          <w:szCs w:val="24"/>
          <w:highlight w:val="none"/>
          <w14:textFill>
            <w14:solidFill>
              <w14:schemeClr w14:val="tx1"/>
            </w14:solidFill>
          </w14:textFill>
        </w:rPr>
      </w:pPr>
    </w:p>
    <w:p w14:paraId="1F8ABE99">
      <w:pPr>
        <w:rPr>
          <w:rFonts w:ascii="宋体" w:hAnsi="宋体" w:cs="宋体"/>
          <w:color w:val="000000" w:themeColor="text1"/>
          <w:sz w:val="24"/>
          <w:szCs w:val="24"/>
          <w:highlight w:val="none"/>
          <w14:textFill>
            <w14:solidFill>
              <w14:schemeClr w14:val="tx1"/>
            </w14:solidFill>
          </w14:textFill>
        </w:rPr>
      </w:pPr>
    </w:p>
    <w:p w14:paraId="24141A35">
      <w:pPr>
        <w:rPr>
          <w:rFonts w:ascii="宋体" w:hAnsi="宋体" w:cs="宋体"/>
          <w:color w:val="000000" w:themeColor="text1"/>
          <w:sz w:val="24"/>
          <w:szCs w:val="24"/>
          <w:highlight w:val="none"/>
          <w14:textFill>
            <w14:solidFill>
              <w14:schemeClr w14:val="tx1"/>
            </w14:solidFill>
          </w14:textFill>
        </w:rPr>
      </w:pPr>
    </w:p>
    <w:p w14:paraId="68DC8594">
      <w:pPr>
        <w:rPr>
          <w:rFonts w:ascii="宋体" w:hAnsi="宋体" w:cs="宋体"/>
          <w:color w:val="000000" w:themeColor="text1"/>
          <w:sz w:val="24"/>
          <w:szCs w:val="24"/>
          <w:highlight w:val="none"/>
          <w14:textFill>
            <w14:solidFill>
              <w14:schemeClr w14:val="tx1"/>
            </w14:solidFill>
          </w14:textFill>
        </w:rPr>
      </w:pPr>
    </w:p>
    <w:p w14:paraId="0EF313A5">
      <w:pPr>
        <w:rPr>
          <w:rFonts w:ascii="宋体" w:hAnsi="宋体" w:cs="宋体"/>
          <w:color w:val="000000" w:themeColor="text1"/>
          <w:sz w:val="24"/>
          <w:szCs w:val="24"/>
          <w:highlight w:val="none"/>
          <w14:textFill>
            <w14:solidFill>
              <w14:schemeClr w14:val="tx1"/>
            </w14:solidFill>
          </w14:textFill>
        </w:rPr>
      </w:pPr>
    </w:p>
    <w:p w14:paraId="6042C96D">
      <w:pPr>
        <w:rPr>
          <w:rFonts w:ascii="宋体" w:hAnsi="宋体" w:cs="宋体"/>
          <w:color w:val="000000" w:themeColor="text1"/>
          <w:sz w:val="24"/>
          <w:szCs w:val="24"/>
          <w:highlight w:val="none"/>
          <w14:textFill>
            <w14:solidFill>
              <w14:schemeClr w14:val="tx1"/>
            </w14:solidFill>
          </w14:textFill>
        </w:rPr>
      </w:pPr>
    </w:p>
    <w:p w14:paraId="56BA00D4">
      <w:pPr>
        <w:rPr>
          <w:rFonts w:ascii="宋体" w:hAnsi="宋体" w:cs="宋体"/>
          <w:color w:val="000000" w:themeColor="text1"/>
          <w:sz w:val="24"/>
          <w:szCs w:val="24"/>
          <w:highlight w:val="none"/>
          <w14:textFill>
            <w14:solidFill>
              <w14:schemeClr w14:val="tx1"/>
            </w14:solidFill>
          </w14:textFill>
        </w:rPr>
      </w:pPr>
    </w:p>
    <w:p w14:paraId="2B1FF32E">
      <w:pPr>
        <w:rPr>
          <w:rFonts w:ascii="宋体" w:hAnsi="宋体" w:cs="宋体"/>
          <w:color w:val="000000" w:themeColor="text1"/>
          <w:sz w:val="24"/>
          <w:szCs w:val="24"/>
          <w:highlight w:val="none"/>
          <w14:textFill>
            <w14:solidFill>
              <w14:schemeClr w14:val="tx1"/>
            </w14:solidFill>
          </w14:textFill>
        </w:rPr>
      </w:pPr>
    </w:p>
    <w:p w14:paraId="1693AFA2">
      <w:pPr>
        <w:rPr>
          <w:rFonts w:ascii="宋体" w:hAnsi="宋体" w:cs="宋体"/>
          <w:color w:val="000000" w:themeColor="text1"/>
          <w:sz w:val="24"/>
          <w:szCs w:val="24"/>
          <w:highlight w:val="none"/>
          <w14:textFill>
            <w14:solidFill>
              <w14:schemeClr w14:val="tx1"/>
            </w14:solidFill>
          </w14:textFill>
        </w:rPr>
      </w:pPr>
    </w:p>
    <w:p w14:paraId="1F8C5C09">
      <w:pPr>
        <w:rPr>
          <w:rFonts w:ascii="宋体" w:hAnsi="宋体" w:cs="宋体"/>
          <w:color w:val="000000" w:themeColor="text1"/>
          <w:sz w:val="24"/>
          <w:szCs w:val="24"/>
          <w:highlight w:val="none"/>
          <w14:textFill>
            <w14:solidFill>
              <w14:schemeClr w14:val="tx1"/>
            </w14:solidFill>
          </w14:textFill>
        </w:rPr>
      </w:pPr>
    </w:p>
    <w:p w14:paraId="411BE497">
      <w:pPr>
        <w:rPr>
          <w:rFonts w:ascii="宋体" w:hAnsi="宋体" w:cs="宋体"/>
          <w:color w:val="000000" w:themeColor="text1"/>
          <w:sz w:val="24"/>
          <w:szCs w:val="24"/>
          <w:highlight w:val="none"/>
          <w14:textFill>
            <w14:solidFill>
              <w14:schemeClr w14:val="tx1"/>
            </w14:solidFill>
          </w14:textFill>
        </w:rPr>
      </w:pPr>
    </w:p>
    <w:p w14:paraId="19DA45E0">
      <w:pPr>
        <w:rPr>
          <w:rFonts w:ascii="宋体" w:hAnsi="宋体" w:cs="宋体"/>
          <w:color w:val="000000" w:themeColor="text1"/>
          <w:highlight w:val="none"/>
          <w14:textFill>
            <w14:solidFill>
              <w14:schemeClr w14:val="tx1"/>
            </w14:solidFill>
          </w14:textFill>
        </w:rPr>
      </w:pPr>
    </w:p>
    <w:p w14:paraId="54FB4CF7">
      <w:pPr>
        <w:pStyle w:val="16"/>
        <w:rPr>
          <w:rFonts w:ascii="宋体" w:hAnsi="宋体" w:cs="宋体"/>
          <w:color w:val="000000" w:themeColor="text1"/>
          <w:sz w:val="24"/>
          <w:szCs w:val="24"/>
          <w:highlight w:val="none"/>
          <w14:textFill>
            <w14:solidFill>
              <w14:schemeClr w14:val="tx1"/>
            </w14:solidFill>
          </w14:textFill>
        </w:rPr>
      </w:pPr>
    </w:p>
    <w:p w14:paraId="7D74AB09">
      <w:pPr>
        <w:rPr>
          <w:rFonts w:ascii="宋体" w:hAnsi="宋体" w:cs="宋体"/>
          <w:color w:val="000000" w:themeColor="text1"/>
          <w:highlight w:val="none"/>
          <w14:textFill>
            <w14:solidFill>
              <w14:schemeClr w14:val="tx1"/>
            </w14:solidFill>
          </w14:textFill>
        </w:rPr>
      </w:pPr>
    </w:p>
    <w:p w14:paraId="6F0C7EBF">
      <w:pPr>
        <w:pStyle w:val="16"/>
        <w:rPr>
          <w:rFonts w:ascii="宋体" w:hAnsi="宋体" w:cs="宋体"/>
          <w:color w:val="000000" w:themeColor="text1"/>
          <w:highlight w:val="none"/>
          <w14:textFill>
            <w14:solidFill>
              <w14:schemeClr w14:val="tx1"/>
            </w14:solidFill>
          </w14:textFill>
        </w:rPr>
      </w:pPr>
    </w:p>
    <w:p w14:paraId="3D0BEA85">
      <w:pPr>
        <w:rPr>
          <w:rFonts w:ascii="宋体" w:hAnsi="宋体" w:cs="宋体"/>
          <w:color w:val="000000" w:themeColor="text1"/>
          <w:highlight w:val="none"/>
          <w14:textFill>
            <w14:solidFill>
              <w14:schemeClr w14:val="tx1"/>
            </w14:solidFill>
          </w14:textFill>
        </w:rPr>
      </w:pPr>
    </w:p>
    <w:p w14:paraId="787A35F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3CF9B0CD">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p>
    <w:p w14:paraId="68DE809A">
      <w:pPr>
        <w:spacing w:line="360" w:lineRule="auto"/>
        <w:ind w:firstLine="480" w:firstLineChars="200"/>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w:t>
      </w:r>
      <w:r>
        <w:rPr>
          <w:rFonts w:hint="eastAsia" w:ascii="宋体" w:hAnsi="宋体" w:cs="宋体"/>
          <w:color w:val="000000" w:themeColor="text1"/>
          <w:sz w:val="24"/>
          <w:szCs w:val="24"/>
          <w:highlight w:val="none"/>
          <w:lang w:eastAsia="zh-CN"/>
          <w14:textFill>
            <w14:solidFill>
              <w14:schemeClr w14:val="tx1"/>
            </w14:solidFill>
          </w14:textFill>
        </w:rPr>
        <w:t>基本资格条件承诺函（格式）</w:t>
      </w:r>
    </w:p>
    <w:p w14:paraId="34E5AFE3">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2ECDFA90">
      <w:pPr>
        <w:spacing w:line="400" w:lineRule="exact"/>
        <w:jc w:val="center"/>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39" w:name="_Toc3749"/>
      <w:bookmarkStart w:id="540" w:name="_Toc11233"/>
      <w:r>
        <w:rPr>
          <w:rFonts w:hint="eastAsia" w:ascii="宋体" w:hAnsi="宋体" w:eastAsia="宋体" w:cs="宋体"/>
          <w:color w:val="000000" w:themeColor="text1"/>
          <w:sz w:val="32"/>
          <w:szCs w:val="32"/>
          <w:highlight w:val="none"/>
          <w:lang w:eastAsia="zh-CN"/>
          <w14:textFill>
            <w14:solidFill>
              <w14:schemeClr w14:val="tx1"/>
            </w14:solidFill>
          </w14:textFill>
        </w:rPr>
        <w:t>基本资格条件承诺函</w:t>
      </w:r>
      <w:bookmarkEnd w:id="539"/>
      <w:bookmarkEnd w:id="540"/>
    </w:p>
    <w:p w14:paraId="1EDC6EEE">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20B105F3">
      <w:pPr>
        <w:spacing w:line="400" w:lineRule="exact"/>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41" w:name="_Toc32215"/>
      <w:bookmarkStart w:id="542" w:name="_Toc6679"/>
      <w:r>
        <w:rPr>
          <w:rFonts w:hint="eastAsia" w:ascii="宋体" w:hAnsi="宋体" w:eastAsia="宋体" w:cs="宋体"/>
          <w:color w:val="000000" w:themeColor="text1"/>
          <w:sz w:val="24"/>
          <w:szCs w:val="24"/>
          <w:highlight w:val="none"/>
          <w:lang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eastAsia="zh-CN"/>
          <w14:textFill>
            <w14:solidFill>
              <w14:schemeClr w14:val="tx1"/>
            </w14:solidFill>
          </w14:textFill>
        </w:rPr>
        <w:t>名称）：</w:t>
      </w:r>
      <w:bookmarkEnd w:id="541"/>
      <w:bookmarkEnd w:id="542"/>
    </w:p>
    <w:p w14:paraId="4536CFA2">
      <w:pPr>
        <w:spacing w:line="400" w:lineRule="exact"/>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bookmarkStart w:id="543" w:name="_Toc25637"/>
      <w:bookmarkStart w:id="544" w:name="_Toc17060"/>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名称）郑重承诺：</w:t>
      </w:r>
      <w:bookmarkEnd w:id="543"/>
      <w:bookmarkEnd w:id="544"/>
    </w:p>
    <w:p w14:paraId="37AAF736">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45" w:name="_Toc706"/>
      <w:bookmarkStart w:id="546" w:name="_Toc15005"/>
      <w:r>
        <w:rPr>
          <w:rFonts w:hint="eastAsia" w:ascii="宋体" w:hAnsi="宋体" w:eastAsia="宋体" w:cs="宋体"/>
          <w:color w:val="000000" w:themeColor="text1"/>
          <w:sz w:val="24"/>
          <w:szCs w:val="24"/>
          <w:highlight w:val="none"/>
          <w:lang w:eastAsia="zh-CN"/>
          <w14:textFill>
            <w14:solidFill>
              <w14:schemeClr w14:val="tx1"/>
            </w14:solidFill>
          </w14:textFill>
        </w:rPr>
        <w:t>1.我方具有良好的商业信誉和健全的财务会计制度，具有履行合同所必需的设备和专业技术能力，具</w:t>
      </w:r>
      <w:r>
        <w:rPr>
          <w:rFonts w:hint="eastAsia" w:ascii="宋体" w:hAnsi="宋体" w:eastAsia="宋体" w:cs="宋体"/>
          <w:color w:val="000000" w:themeColor="text1"/>
          <w:sz w:val="24"/>
          <w:szCs w:val="24"/>
          <w:highlight w:val="none"/>
          <w:lang w:val="zh-CN" w:eastAsia="zh-CN"/>
          <w14:textFill>
            <w14:solidFill>
              <w14:schemeClr w14:val="tx1"/>
            </w14:solidFill>
          </w14:textFill>
        </w:rPr>
        <w:t>有依法缴纳税收和社会保障金的良好记录</w:t>
      </w:r>
      <w:r>
        <w:rPr>
          <w:rFonts w:hint="eastAsia" w:ascii="宋体" w:hAnsi="宋体" w:eastAsia="宋体" w:cs="宋体"/>
          <w:color w:val="000000" w:themeColor="text1"/>
          <w:sz w:val="24"/>
          <w:szCs w:val="24"/>
          <w:highlight w:val="none"/>
          <w:lang w:eastAsia="zh-CN"/>
          <w14:textFill>
            <w14:solidFill>
              <w14:schemeClr w14:val="tx1"/>
            </w14:solidFill>
          </w14:textFill>
        </w:rPr>
        <w:t>，参加本项目采购活动前三年内无重大违法活动记录。</w:t>
      </w:r>
      <w:bookmarkEnd w:id="545"/>
      <w:bookmarkEnd w:id="546"/>
    </w:p>
    <w:p w14:paraId="2B48C591">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47" w:name="_Toc313"/>
      <w:bookmarkStart w:id="548" w:name="_Toc1483"/>
      <w:r>
        <w:rPr>
          <w:rFonts w:hint="eastAsia" w:ascii="宋体" w:hAnsi="宋体" w:eastAsia="宋体" w:cs="宋体"/>
          <w:color w:val="000000" w:themeColor="text1"/>
          <w:sz w:val="24"/>
          <w:szCs w:val="24"/>
          <w:highlight w:val="none"/>
          <w:lang w:eastAsia="zh-CN"/>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bookmarkEnd w:id="547"/>
      <w:bookmarkEnd w:id="548"/>
    </w:p>
    <w:p w14:paraId="5B0A7B69">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49" w:name="_Toc23751"/>
      <w:bookmarkStart w:id="550" w:name="_Toc8310"/>
      <w:r>
        <w:rPr>
          <w:rFonts w:hint="eastAsia" w:ascii="宋体" w:hAnsi="宋体" w:eastAsia="宋体" w:cs="宋体"/>
          <w:color w:val="000000" w:themeColor="text1"/>
          <w:sz w:val="24"/>
          <w:szCs w:val="24"/>
          <w:highlight w:val="none"/>
          <w:lang w:eastAsia="zh-CN"/>
          <w14:textFill>
            <w14:solidFill>
              <w14:schemeClr w14:val="tx1"/>
            </w14:solidFill>
          </w14:textFill>
        </w:rPr>
        <w:t>3.我方在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lang w:eastAsia="zh-CN"/>
          <w14:textFill>
            <w14:solidFill>
              <w14:schemeClr w14:val="tx1"/>
            </w14:solidFill>
          </w14:textFill>
        </w:rPr>
        <w:t>项目评审（评标）环节结束后，随时接受</w:t>
      </w:r>
      <w:r>
        <w:rPr>
          <w:rFonts w:hint="eastAsia" w:ascii="宋体" w:hAnsi="宋体" w:eastAsia="宋体" w:cs="宋体"/>
          <w:color w:val="000000" w:themeColor="text1"/>
          <w:sz w:val="24"/>
          <w:szCs w:val="24"/>
          <w:highlight w:val="none"/>
          <w:lang w:val="en-US" w:eastAsia="zh-CN"/>
          <w14:textFill>
            <w14:solidFill>
              <w14:schemeClr w14:val="tx1"/>
            </w14:solidFill>
          </w14:textFill>
        </w:rPr>
        <w:t>比选人</w:t>
      </w:r>
      <w:r>
        <w:rPr>
          <w:rFonts w:hint="eastAsia" w:ascii="宋体" w:hAnsi="宋体" w:eastAsia="宋体" w:cs="宋体"/>
          <w:color w:val="000000" w:themeColor="text1"/>
          <w:sz w:val="24"/>
          <w:szCs w:val="24"/>
          <w:highlight w:val="none"/>
          <w:lang w:eastAsia="zh-CN"/>
          <w14:textFill>
            <w14:solidFill>
              <w14:schemeClr w14:val="tx1"/>
            </w14:solidFill>
          </w14:textFill>
        </w:rPr>
        <w:t>、代理机构的检查验证，配合提供相关证明材料，证明符合《中华人民共和国政府采购法》规定的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基本资格条件。</w:t>
      </w:r>
      <w:bookmarkEnd w:id="549"/>
      <w:bookmarkEnd w:id="550"/>
    </w:p>
    <w:p w14:paraId="0D5E36CD">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1" w:name="_Toc21416"/>
      <w:bookmarkStart w:id="552" w:name="_Toc23375"/>
      <w:r>
        <w:rPr>
          <w:rFonts w:hint="eastAsia" w:ascii="宋体" w:hAnsi="宋体" w:eastAsia="宋体" w:cs="宋体"/>
          <w:color w:val="000000" w:themeColor="text1"/>
          <w:sz w:val="24"/>
          <w:szCs w:val="24"/>
          <w:highlight w:val="none"/>
          <w:lang w:eastAsia="zh-CN"/>
          <w14:textFill>
            <w14:solidFill>
              <w14:schemeClr w14:val="tx1"/>
            </w14:solidFill>
          </w14:textFill>
        </w:rPr>
        <w:t>我方对以上承诺负全部法律责任。</w:t>
      </w:r>
      <w:bookmarkEnd w:id="551"/>
      <w:bookmarkEnd w:id="552"/>
    </w:p>
    <w:p w14:paraId="5F704F2B">
      <w:pPr>
        <w:spacing w:line="400" w:lineRule="exact"/>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3" w:name="_Toc26536"/>
      <w:bookmarkStart w:id="554" w:name="_Toc19288"/>
      <w:r>
        <w:rPr>
          <w:rFonts w:hint="eastAsia" w:ascii="宋体" w:hAnsi="宋体" w:eastAsia="宋体" w:cs="宋体"/>
          <w:color w:val="000000" w:themeColor="text1"/>
          <w:sz w:val="24"/>
          <w:szCs w:val="24"/>
          <w:highlight w:val="none"/>
          <w:lang w:eastAsia="zh-CN"/>
          <w14:textFill>
            <w14:solidFill>
              <w14:schemeClr w14:val="tx1"/>
            </w14:solidFill>
          </w14:textFill>
        </w:rPr>
        <w:t>特此承诺。</w:t>
      </w:r>
      <w:bookmarkEnd w:id="553"/>
      <w:bookmarkEnd w:id="554"/>
    </w:p>
    <w:p w14:paraId="026B9EB0">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p>
    <w:p w14:paraId="543D41BB">
      <w:pPr>
        <w:spacing w:line="400" w:lineRule="exac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37DE2FF">
      <w:pPr>
        <w:spacing w:line="480" w:lineRule="auto"/>
        <w:ind w:firstLine="5760" w:firstLineChars="24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5" w:name="_Toc9340"/>
      <w:bookmarkStart w:id="556" w:name="_Toc13211"/>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lang w:eastAsia="zh-CN"/>
          <w14:textFill>
            <w14:solidFill>
              <w14:schemeClr w14:val="tx1"/>
            </w14:solidFill>
          </w14:textFill>
        </w:rPr>
        <w:t>（公章）：</w:t>
      </w:r>
      <w:bookmarkEnd w:id="555"/>
      <w:bookmarkEnd w:id="556"/>
    </w:p>
    <w:p w14:paraId="4DB9B2DB">
      <w:pPr>
        <w:spacing w:line="480" w:lineRule="auto"/>
        <w:ind w:firstLine="6000" w:firstLineChars="25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57" w:name="_Toc6368"/>
      <w:bookmarkStart w:id="558" w:name="_Toc17849"/>
      <w:r>
        <w:rPr>
          <w:rFonts w:hint="eastAsia" w:ascii="宋体" w:hAnsi="宋体" w:eastAsia="宋体" w:cs="宋体"/>
          <w:color w:val="000000" w:themeColor="text1"/>
          <w:sz w:val="24"/>
          <w:szCs w:val="24"/>
          <w:highlight w:val="none"/>
          <w:lang w:eastAsia="zh-CN"/>
          <w14:textFill>
            <w14:solidFill>
              <w14:schemeClr w14:val="tx1"/>
            </w14:solidFill>
          </w14:textFill>
        </w:rPr>
        <w:t>年   月   日</w:t>
      </w:r>
      <w:bookmarkEnd w:id="557"/>
      <w:bookmarkEnd w:id="558"/>
    </w:p>
    <w:p w14:paraId="0592123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）投标人在“信用中国”（www.creditchina.gov.cn）网站中未被列入失信被执行人。（以发布公告之后查询结果为准，打印查询页面并加盖投标人公章）</w:t>
      </w:r>
    </w:p>
    <w:p w14:paraId="4754F08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查询结果如下：</w:t>
      </w:r>
    </w:p>
    <w:p w14:paraId="7086ED48">
      <w:pPr>
        <w:tabs>
          <w:tab w:val="left" w:pos="6300"/>
        </w:tabs>
        <w:snapToGrid w:val="0"/>
        <w:spacing w:line="5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67E33DBB">
      <w:pPr>
        <w:pStyle w:val="16"/>
        <w:rPr>
          <w:rFonts w:ascii="宋体" w:hAnsi="宋体" w:cs="宋体"/>
          <w:color w:val="000000" w:themeColor="text1"/>
          <w:sz w:val="24"/>
          <w:szCs w:val="24"/>
          <w:highlight w:val="none"/>
          <w14:textFill>
            <w14:solidFill>
              <w14:schemeClr w14:val="tx1"/>
            </w14:solidFill>
          </w14:textFill>
        </w:rPr>
      </w:pPr>
    </w:p>
    <w:p w14:paraId="76D4287B">
      <w:pPr>
        <w:rPr>
          <w:rFonts w:ascii="宋体" w:hAnsi="宋体" w:cs="宋体"/>
          <w:color w:val="000000" w:themeColor="text1"/>
          <w:sz w:val="24"/>
          <w:szCs w:val="24"/>
          <w:highlight w:val="none"/>
          <w14:textFill>
            <w14:solidFill>
              <w14:schemeClr w14:val="tx1"/>
            </w14:solidFill>
          </w14:textFill>
        </w:rPr>
      </w:pPr>
    </w:p>
    <w:p w14:paraId="5449BAD1">
      <w:pPr>
        <w:pStyle w:val="16"/>
        <w:rPr>
          <w:rFonts w:ascii="宋体" w:hAnsi="宋体" w:cs="宋体"/>
          <w:color w:val="000000" w:themeColor="text1"/>
          <w:highlight w:val="none"/>
          <w14:textFill>
            <w14:solidFill>
              <w14:schemeClr w14:val="tx1"/>
            </w14:solidFill>
          </w14:textFill>
        </w:rPr>
      </w:pPr>
    </w:p>
    <w:p w14:paraId="171ED1FD">
      <w:pPr>
        <w:pStyle w:val="16"/>
        <w:rPr>
          <w:rFonts w:ascii="宋体" w:hAnsi="宋体" w:cs="宋体"/>
          <w:color w:val="000000" w:themeColor="text1"/>
          <w:sz w:val="24"/>
          <w:szCs w:val="24"/>
          <w:highlight w:val="none"/>
          <w14:textFill>
            <w14:solidFill>
              <w14:schemeClr w14:val="tx1"/>
            </w14:solidFill>
          </w14:textFill>
        </w:rPr>
      </w:pPr>
    </w:p>
    <w:p w14:paraId="569A8D7E">
      <w:pPr>
        <w:rPr>
          <w:rFonts w:ascii="宋体" w:hAnsi="宋体" w:cs="宋体"/>
          <w:color w:val="000000" w:themeColor="text1"/>
          <w:sz w:val="24"/>
          <w:szCs w:val="24"/>
          <w:highlight w:val="none"/>
          <w14:textFill>
            <w14:solidFill>
              <w14:schemeClr w14:val="tx1"/>
            </w14:solidFill>
          </w14:textFill>
        </w:rPr>
      </w:pPr>
    </w:p>
    <w:p w14:paraId="55C13B74">
      <w:pPr>
        <w:rPr>
          <w:rFonts w:ascii="宋体" w:hAnsi="宋体" w:cs="宋体"/>
          <w:color w:val="000000" w:themeColor="text1"/>
          <w:sz w:val="24"/>
          <w:szCs w:val="24"/>
          <w:highlight w:val="none"/>
          <w14:textFill>
            <w14:solidFill>
              <w14:schemeClr w14:val="tx1"/>
            </w14:solidFill>
          </w14:textFill>
        </w:rPr>
      </w:pPr>
    </w:p>
    <w:p w14:paraId="088A0204">
      <w:pPr>
        <w:rPr>
          <w:rFonts w:ascii="宋体" w:hAnsi="宋体" w:cs="宋体"/>
          <w:color w:val="000000" w:themeColor="text1"/>
          <w:sz w:val="24"/>
          <w:szCs w:val="24"/>
          <w:highlight w:val="none"/>
          <w14:textFill>
            <w14:solidFill>
              <w14:schemeClr w14:val="tx1"/>
            </w14:solidFill>
          </w14:textFill>
        </w:rPr>
      </w:pPr>
    </w:p>
    <w:p w14:paraId="4B08800F">
      <w:pPr>
        <w:rPr>
          <w:rFonts w:ascii="宋体" w:hAnsi="宋体" w:cs="宋体"/>
          <w:color w:val="000000" w:themeColor="text1"/>
          <w:sz w:val="24"/>
          <w:szCs w:val="24"/>
          <w:highlight w:val="none"/>
          <w14:textFill>
            <w14:solidFill>
              <w14:schemeClr w14:val="tx1"/>
            </w14:solidFill>
          </w14:textFill>
        </w:rPr>
      </w:pPr>
    </w:p>
    <w:p w14:paraId="321EA567">
      <w:pPr>
        <w:rPr>
          <w:rFonts w:ascii="宋体" w:hAnsi="宋体" w:cs="宋体"/>
          <w:color w:val="000000" w:themeColor="text1"/>
          <w:sz w:val="24"/>
          <w:szCs w:val="24"/>
          <w:highlight w:val="none"/>
          <w14:textFill>
            <w14:solidFill>
              <w14:schemeClr w14:val="tx1"/>
            </w14:solidFill>
          </w14:textFill>
        </w:rPr>
      </w:pPr>
    </w:p>
    <w:p w14:paraId="45F61BB8">
      <w:pPr>
        <w:rPr>
          <w:rFonts w:ascii="宋体" w:hAnsi="宋体" w:cs="宋体"/>
          <w:color w:val="000000" w:themeColor="text1"/>
          <w:sz w:val="24"/>
          <w:szCs w:val="24"/>
          <w:highlight w:val="none"/>
          <w14:textFill>
            <w14:solidFill>
              <w14:schemeClr w14:val="tx1"/>
            </w14:solidFill>
          </w14:textFill>
        </w:rPr>
      </w:pPr>
    </w:p>
    <w:p w14:paraId="744172DB">
      <w:pPr>
        <w:rPr>
          <w:rFonts w:ascii="宋体" w:hAnsi="宋体" w:cs="宋体"/>
          <w:color w:val="000000" w:themeColor="text1"/>
          <w:sz w:val="24"/>
          <w:szCs w:val="24"/>
          <w:highlight w:val="none"/>
          <w14:textFill>
            <w14:solidFill>
              <w14:schemeClr w14:val="tx1"/>
            </w14:solidFill>
          </w14:textFill>
        </w:rPr>
      </w:pPr>
    </w:p>
    <w:p w14:paraId="6B4DE0EC">
      <w:pPr>
        <w:rPr>
          <w:rFonts w:ascii="宋体" w:hAnsi="宋体" w:cs="宋体"/>
          <w:color w:val="000000" w:themeColor="text1"/>
          <w:sz w:val="24"/>
          <w:szCs w:val="24"/>
          <w:highlight w:val="none"/>
          <w14:textFill>
            <w14:solidFill>
              <w14:schemeClr w14:val="tx1"/>
            </w14:solidFill>
          </w14:textFill>
        </w:rPr>
      </w:pPr>
    </w:p>
    <w:p w14:paraId="7EEBD6BC">
      <w:pPr>
        <w:rPr>
          <w:rFonts w:ascii="宋体" w:hAnsi="宋体" w:cs="宋体"/>
          <w:color w:val="000000" w:themeColor="text1"/>
          <w:sz w:val="24"/>
          <w:szCs w:val="24"/>
          <w:highlight w:val="none"/>
          <w14:textFill>
            <w14:solidFill>
              <w14:schemeClr w14:val="tx1"/>
            </w14:solidFill>
          </w14:textFill>
        </w:rPr>
      </w:pPr>
    </w:p>
    <w:p w14:paraId="613595BA">
      <w:pPr>
        <w:rPr>
          <w:rFonts w:ascii="宋体" w:hAnsi="宋体" w:cs="宋体"/>
          <w:color w:val="000000" w:themeColor="text1"/>
          <w:sz w:val="24"/>
          <w:szCs w:val="24"/>
          <w:highlight w:val="none"/>
          <w14:textFill>
            <w14:solidFill>
              <w14:schemeClr w14:val="tx1"/>
            </w14:solidFill>
          </w14:textFill>
        </w:rPr>
      </w:pPr>
    </w:p>
    <w:p w14:paraId="619B6993">
      <w:pPr>
        <w:rPr>
          <w:rFonts w:ascii="宋体" w:hAnsi="宋体" w:cs="宋体"/>
          <w:color w:val="000000" w:themeColor="text1"/>
          <w:sz w:val="24"/>
          <w:szCs w:val="24"/>
          <w:highlight w:val="none"/>
          <w14:textFill>
            <w14:solidFill>
              <w14:schemeClr w14:val="tx1"/>
            </w14:solidFill>
          </w14:textFill>
        </w:rPr>
      </w:pPr>
    </w:p>
    <w:p w14:paraId="7195AE0A">
      <w:pPr>
        <w:rPr>
          <w:rFonts w:ascii="宋体" w:hAnsi="宋体" w:cs="宋体"/>
          <w:color w:val="000000" w:themeColor="text1"/>
          <w:sz w:val="24"/>
          <w:szCs w:val="24"/>
          <w:highlight w:val="none"/>
          <w14:textFill>
            <w14:solidFill>
              <w14:schemeClr w14:val="tx1"/>
            </w14:solidFill>
          </w14:textFill>
        </w:rPr>
      </w:pPr>
    </w:p>
    <w:p w14:paraId="017CA762">
      <w:pPr>
        <w:rPr>
          <w:rFonts w:ascii="宋体" w:hAnsi="宋体" w:cs="宋体"/>
          <w:color w:val="000000" w:themeColor="text1"/>
          <w:sz w:val="24"/>
          <w:szCs w:val="24"/>
          <w:highlight w:val="none"/>
          <w14:textFill>
            <w14:solidFill>
              <w14:schemeClr w14:val="tx1"/>
            </w14:solidFill>
          </w14:textFill>
        </w:rPr>
      </w:pPr>
    </w:p>
    <w:p w14:paraId="5446BA07">
      <w:pPr>
        <w:rPr>
          <w:rFonts w:ascii="宋体" w:hAnsi="宋体" w:cs="宋体"/>
          <w:color w:val="000000" w:themeColor="text1"/>
          <w:sz w:val="24"/>
          <w:szCs w:val="24"/>
          <w:highlight w:val="none"/>
          <w14:textFill>
            <w14:solidFill>
              <w14:schemeClr w14:val="tx1"/>
            </w14:solidFill>
          </w14:textFill>
        </w:rPr>
      </w:pPr>
    </w:p>
    <w:p w14:paraId="4F3373FA">
      <w:pPr>
        <w:rPr>
          <w:rFonts w:ascii="宋体" w:hAnsi="宋体" w:cs="宋体"/>
          <w:color w:val="000000" w:themeColor="text1"/>
          <w:sz w:val="24"/>
          <w:szCs w:val="24"/>
          <w:highlight w:val="none"/>
          <w14:textFill>
            <w14:solidFill>
              <w14:schemeClr w14:val="tx1"/>
            </w14:solidFill>
          </w14:textFill>
        </w:rPr>
      </w:pPr>
    </w:p>
    <w:p w14:paraId="75E3572F">
      <w:pPr>
        <w:rPr>
          <w:rFonts w:ascii="宋体" w:hAnsi="宋体" w:cs="宋体"/>
          <w:color w:val="000000" w:themeColor="text1"/>
          <w:sz w:val="24"/>
          <w:szCs w:val="24"/>
          <w:highlight w:val="none"/>
          <w14:textFill>
            <w14:solidFill>
              <w14:schemeClr w14:val="tx1"/>
            </w14:solidFill>
          </w14:textFill>
        </w:rPr>
      </w:pPr>
    </w:p>
    <w:p w14:paraId="7DAEE28F">
      <w:pPr>
        <w:rPr>
          <w:rFonts w:ascii="宋体" w:hAnsi="宋体" w:cs="宋体"/>
          <w:color w:val="000000" w:themeColor="text1"/>
          <w:sz w:val="24"/>
          <w:szCs w:val="24"/>
          <w:highlight w:val="none"/>
          <w14:textFill>
            <w14:solidFill>
              <w14:schemeClr w14:val="tx1"/>
            </w14:solidFill>
          </w14:textFill>
        </w:rPr>
      </w:pPr>
    </w:p>
    <w:p w14:paraId="026CCAF8">
      <w:pPr>
        <w:rPr>
          <w:rFonts w:ascii="宋体" w:hAnsi="宋体" w:cs="宋体"/>
          <w:color w:val="000000" w:themeColor="text1"/>
          <w:sz w:val="24"/>
          <w:szCs w:val="24"/>
          <w:highlight w:val="none"/>
          <w14:textFill>
            <w14:solidFill>
              <w14:schemeClr w14:val="tx1"/>
            </w14:solidFill>
          </w14:textFill>
        </w:rPr>
      </w:pPr>
    </w:p>
    <w:p w14:paraId="2798348C">
      <w:pPr>
        <w:rPr>
          <w:rFonts w:ascii="宋体" w:hAnsi="宋体" w:cs="宋体"/>
          <w:color w:val="000000" w:themeColor="text1"/>
          <w:sz w:val="24"/>
          <w:szCs w:val="24"/>
          <w:highlight w:val="none"/>
          <w14:textFill>
            <w14:solidFill>
              <w14:schemeClr w14:val="tx1"/>
            </w14:solidFill>
          </w14:textFill>
        </w:rPr>
      </w:pPr>
    </w:p>
    <w:p w14:paraId="28DA84A8">
      <w:pPr>
        <w:rPr>
          <w:rFonts w:ascii="宋体" w:hAnsi="宋体" w:cs="宋体"/>
          <w:color w:val="000000" w:themeColor="text1"/>
          <w:sz w:val="24"/>
          <w:szCs w:val="24"/>
          <w:highlight w:val="none"/>
          <w14:textFill>
            <w14:solidFill>
              <w14:schemeClr w14:val="tx1"/>
            </w14:solidFill>
          </w14:textFill>
        </w:rPr>
      </w:pPr>
    </w:p>
    <w:p w14:paraId="300D0407">
      <w:pPr>
        <w:rPr>
          <w:rFonts w:ascii="宋体" w:hAnsi="宋体" w:cs="宋体"/>
          <w:color w:val="000000" w:themeColor="text1"/>
          <w:sz w:val="24"/>
          <w:szCs w:val="24"/>
          <w:highlight w:val="none"/>
          <w14:textFill>
            <w14:solidFill>
              <w14:schemeClr w14:val="tx1"/>
            </w14:solidFill>
          </w14:textFill>
        </w:rPr>
      </w:pPr>
    </w:p>
    <w:p w14:paraId="2403DEBE">
      <w:pPr>
        <w:rPr>
          <w:rFonts w:ascii="宋体" w:hAnsi="宋体" w:cs="宋体"/>
          <w:color w:val="000000" w:themeColor="text1"/>
          <w:highlight w:val="none"/>
          <w14:textFill>
            <w14:solidFill>
              <w14:schemeClr w14:val="tx1"/>
            </w14:solidFill>
          </w14:textFill>
        </w:rPr>
      </w:pPr>
    </w:p>
    <w:p w14:paraId="3B793549">
      <w:pPr>
        <w:pStyle w:val="16"/>
        <w:rPr>
          <w:rFonts w:ascii="宋体" w:hAnsi="宋体" w:cs="宋体"/>
          <w:color w:val="000000" w:themeColor="text1"/>
          <w:sz w:val="24"/>
          <w:szCs w:val="24"/>
          <w:highlight w:val="none"/>
          <w14:textFill>
            <w14:solidFill>
              <w14:schemeClr w14:val="tx1"/>
            </w14:solidFill>
          </w14:textFill>
        </w:rPr>
      </w:pPr>
    </w:p>
    <w:p w14:paraId="5F8AC8BB">
      <w:pPr>
        <w:rPr>
          <w:rFonts w:ascii="宋体" w:hAnsi="宋体" w:cs="宋体"/>
          <w:color w:val="000000" w:themeColor="text1"/>
          <w:sz w:val="24"/>
          <w:szCs w:val="24"/>
          <w:highlight w:val="none"/>
          <w14:textFill>
            <w14:solidFill>
              <w14:schemeClr w14:val="tx1"/>
            </w14:solidFill>
          </w14:textFill>
        </w:rPr>
      </w:pPr>
    </w:p>
    <w:p w14:paraId="6B2720C7">
      <w:pPr>
        <w:rPr>
          <w:rFonts w:ascii="宋体" w:hAnsi="宋体" w:cs="宋体"/>
          <w:color w:val="000000" w:themeColor="text1"/>
          <w:sz w:val="24"/>
          <w:szCs w:val="24"/>
          <w:highlight w:val="none"/>
          <w14:textFill>
            <w14:solidFill>
              <w14:schemeClr w14:val="tx1"/>
            </w14:solidFill>
          </w14:textFill>
        </w:rPr>
      </w:pPr>
    </w:p>
    <w:p w14:paraId="6D70092C">
      <w:pPr>
        <w:rPr>
          <w:rFonts w:ascii="宋体" w:hAnsi="宋体" w:cs="宋体"/>
          <w:color w:val="000000" w:themeColor="text1"/>
          <w:sz w:val="24"/>
          <w:szCs w:val="24"/>
          <w:highlight w:val="none"/>
          <w14:textFill>
            <w14:solidFill>
              <w14:schemeClr w14:val="tx1"/>
            </w14:solidFill>
          </w14:textFill>
        </w:rPr>
      </w:pPr>
    </w:p>
    <w:p w14:paraId="2D7A160B">
      <w:pPr>
        <w:rPr>
          <w:rFonts w:ascii="宋体" w:hAnsi="宋体" w:cs="宋体"/>
          <w:color w:val="000000" w:themeColor="text1"/>
          <w:sz w:val="24"/>
          <w:szCs w:val="24"/>
          <w:highlight w:val="none"/>
          <w14:textFill>
            <w14:solidFill>
              <w14:schemeClr w14:val="tx1"/>
            </w14:solidFill>
          </w14:textFill>
        </w:rPr>
      </w:pPr>
    </w:p>
    <w:p w14:paraId="499EAF59">
      <w:pPr>
        <w:rPr>
          <w:rFonts w:ascii="宋体" w:hAnsi="宋体" w:cs="宋体"/>
          <w:color w:val="000000" w:themeColor="text1"/>
          <w:sz w:val="24"/>
          <w:szCs w:val="24"/>
          <w:highlight w:val="none"/>
          <w14:textFill>
            <w14:solidFill>
              <w14:schemeClr w14:val="tx1"/>
            </w14:solidFill>
          </w14:textFill>
        </w:rPr>
      </w:pPr>
    </w:p>
    <w:p w14:paraId="705EC486">
      <w:pPr>
        <w:rPr>
          <w:rFonts w:ascii="宋体" w:hAnsi="宋体" w:cs="宋体"/>
          <w:color w:val="000000" w:themeColor="text1"/>
          <w:sz w:val="24"/>
          <w:szCs w:val="24"/>
          <w:highlight w:val="none"/>
          <w14:textFill>
            <w14:solidFill>
              <w14:schemeClr w14:val="tx1"/>
            </w14:solidFill>
          </w14:textFill>
        </w:rPr>
      </w:pPr>
    </w:p>
    <w:p w14:paraId="0254F8F3">
      <w:pPr>
        <w:rPr>
          <w:rFonts w:ascii="宋体" w:hAnsi="宋体" w:cs="宋体"/>
          <w:color w:val="000000" w:themeColor="text1"/>
          <w:sz w:val="24"/>
          <w:szCs w:val="24"/>
          <w:highlight w:val="none"/>
          <w14:textFill>
            <w14:solidFill>
              <w14:schemeClr w14:val="tx1"/>
            </w14:solidFill>
          </w14:textFill>
        </w:rPr>
      </w:pPr>
    </w:p>
    <w:p w14:paraId="59AD05BE">
      <w:pPr>
        <w:rPr>
          <w:rFonts w:ascii="宋体" w:hAnsi="宋体" w:cs="宋体"/>
          <w:color w:val="000000" w:themeColor="text1"/>
          <w:sz w:val="24"/>
          <w:szCs w:val="24"/>
          <w:highlight w:val="none"/>
          <w14:textFill>
            <w14:solidFill>
              <w14:schemeClr w14:val="tx1"/>
            </w14:solidFill>
          </w14:textFill>
        </w:rPr>
      </w:pPr>
    </w:p>
    <w:p w14:paraId="19F3A64A">
      <w:pPr>
        <w:rPr>
          <w:rFonts w:ascii="宋体" w:hAnsi="宋体" w:cs="宋体"/>
          <w:color w:val="000000" w:themeColor="text1"/>
          <w:highlight w:val="none"/>
          <w14:textFill>
            <w14:solidFill>
              <w14:schemeClr w14:val="tx1"/>
            </w14:solidFill>
          </w14:textFill>
        </w:rPr>
      </w:pPr>
    </w:p>
    <w:p w14:paraId="204C9D87">
      <w:pPr>
        <w:rPr>
          <w:rFonts w:ascii="宋体" w:hAnsi="宋体" w:cs="宋体"/>
          <w:color w:val="000000" w:themeColor="text1"/>
          <w:highlight w:val="none"/>
          <w14:textFill>
            <w14:solidFill>
              <w14:schemeClr w14:val="tx1"/>
            </w14:solidFill>
          </w14:textFill>
        </w:rPr>
      </w:pPr>
    </w:p>
    <w:p w14:paraId="06C17300">
      <w:pPr>
        <w:spacing w:line="400" w:lineRule="exact"/>
        <w:ind w:firstLine="420" w:firstLineChars="200"/>
        <w:rPr>
          <w:rFonts w:ascii="宋体" w:hAnsi="宋体" w:cs="宋体"/>
          <w:bCs/>
          <w:color w:val="000000" w:themeColor="text1"/>
          <w:szCs w:val="24"/>
          <w:highlight w:val="none"/>
          <w14:textFill>
            <w14:solidFill>
              <w14:schemeClr w14:val="tx1"/>
            </w14:solidFill>
          </w14:textFill>
        </w:rPr>
      </w:pPr>
      <w:bookmarkStart w:id="559" w:name="_Toc1771"/>
      <w:bookmarkStart w:id="560" w:name="_Toc14422"/>
      <w:bookmarkStart w:id="561" w:name="_Toc81834350"/>
      <w:bookmarkStart w:id="562" w:name="_Toc86934244"/>
    </w:p>
    <w:p w14:paraId="2A6DC80F">
      <w:pPr>
        <w:rPr>
          <w:rFonts w:ascii="宋体" w:hAnsi="宋体" w:cs="宋体"/>
          <w:bCs/>
          <w:color w:val="000000" w:themeColor="text1"/>
          <w:szCs w:val="24"/>
          <w:highlight w:val="none"/>
          <w14:textFill>
            <w14:solidFill>
              <w14:schemeClr w14:val="tx1"/>
            </w14:solidFill>
          </w14:textFill>
        </w:rPr>
      </w:pPr>
    </w:p>
    <w:p w14:paraId="02CE9C89">
      <w:pPr>
        <w:pStyle w:val="5"/>
        <w:spacing w:line="400" w:lineRule="exact"/>
        <w:ind w:firstLine="482" w:firstLineChars="200"/>
        <w:jc w:val="both"/>
        <w:rPr>
          <w:rFonts w:ascii="宋体" w:hAnsi="宋体" w:cs="宋体"/>
          <w:b/>
          <w:color w:val="000000" w:themeColor="text1"/>
          <w:sz w:val="24"/>
          <w:szCs w:val="32"/>
          <w:highlight w:val="none"/>
          <w14:textFill>
            <w14:solidFill>
              <w14:schemeClr w14:val="tx1"/>
            </w14:solidFill>
          </w14:textFill>
        </w:rPr>
      </w:pPr>
      <w:r>
        <w:rPr>
          <w:rFonts w:hint="eastAsia" w:ascii="宋体" w:hAnsi="宋体" w:cs="宋体"/>
          <w:b/>
          <w:color w:val="000000" w:themeColor="text1"/>
          <w:sz w:val="24"/>
          <w:szCs w:val="32"/>
          <w:highlight w:val="none"/>
          <w14:textFill>
            <w14:solidFill>
              <w14:schemeClr w14:val="tx1"/>
            </w14:solidFill>
          </w14:textFill>
        </w:rPr>
        <w:t>五、其他资料</w:t>
      </w:r>
      <w:bookmarkEnd w:id="559"/>
      <w:bookmarkEnd w:id="560"/>
      <w:r>
        <w:rPr>
          <w:rFonts w:hint="eastAsia" w:ascii="宋体" w:hAnsi="宋体" w:cs="宋体"/>
          <w:b/>
          <w:color w:val="000000" w:themeColor="text1"/>
          <w:sz w:val="24"/>
          <w:szCs w:val="32"/>
          <w:highlight w:val="none"/>
          <w14:textFill>
            <w14:solidFill>
              <w14:schemeClr w14:val="tx1"/>
            </w14:solidFill>
          </w14:textFill>
        </w:rPr>
        <w:t>（自行提供）</w:t>
      </w:r>
      <w:bookmarkEnd w:id="561"/>
      <w:bookmarkEnd w:id="562"/>
    </w:p>
    <w:p w14:paraId="19B9EEB5">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（一）其他与项目有关的资料</w:t>
      </w:r>
    </w:p>
    <w:p w14:paraId="169C16D4">
      <w:pPr>
        <w:rPr>
          <w:rFonts w:ascii="宋体" w:hAnsi="宋体" w:cs="宋体"/>
          <w:color w:val="000000" w:themeColor="text1"/>
          <w:sz w:val="24"/>
          <w:szCs w:val="24"/>
          <w:highlight w:val="none"/>
          <w14:textFill>
            <w14:solidFill>
              <w14:schemeClr w14:val="tx1"/>
            </w14:solidFill>
          </w14:textFill>
        </w:rPr>
      </w:pPr>
    </w:p>
    <w:p w14:paraId="227CE554">
      <w:pPr>
        <w:snapToGrid w:val="0"/>
        <w:spacing w:line="400" w:lineRule="exact"/>
        <w:jc w:val="center"/>
        <w:rPr>
          <w:rFonts w:hint="eastAsia" w:ascii="宋体" w:hAnsi="宋体" w:eastAsia="宋体" w:cs="宋体"/>
          <w:b/>
          <w:bCs/>
          <w:color w:val="000000" w:themeColor="text1"/>
          <w:sz w:val="32"/>
          <w:szCs w:val="32"/>
          <w:highlight w:val="none"/>
          <w:u w:val="none"/>
          <w:lang w:val="en-US" w:eastAsia="zh-CN"/>
          <w14:textFill>
            <w14:solidFill>
              <w14:schemeClr w14:val="tx1"/>
            </w14:solidFill>
          </w14:textFill>
        </w:rPr>
      </w:pPr>
      <w:r>
        <w:rPr>
          <w:rFonts w:hint="eastAsia" w:ascii="宋体" w:hAnsi="宋体" w:cs="宋体"/>
          <w:b/>
          <w:bCs/>
          <w:color w:val="000000" w:themeColor="text1"/>
          <w:sz w:val="32"/>
          <w:szCs w:val="32"/>
          <w:highlight w:val="none"/>
          <w:u w:val="none"/>
          <w:lang w:val="en-US" w:eastAsia="zh-CN"/>
          <w14:textFill>
            <w14:solidFill>
              <w14:schemeClr w14:val="tx1"/>
            </w14:solidFill>
          </w14:textFill>
        </w:rPr>
        <w:t>承诺</w:t>
      </w:r>
    </w:p>
    <w:p w14:paraId="17433EF8">
      <w:pPr>
        <w:snapToGrid w:val="0"/>
        <w:spacing w:line="400" w:lineRule="exact"/>
        <w:rPr>
          <w:rFonts w:hint="eastAsia" w:ascii="宋体" w:hAnsi="宋体" w:cs="宋体"/>
          <w:color w:val="000000" w:themeColor="text1"/>
          <w:szCs w:val="21"/>
          <w:highlight w:val="none"/>
          <w:u w:val="single"/>
          <w14:textFill>
            <w14:solidFill>
              <w14:schemeClr w14:val="tx1"/>
            </w14:solidFill>
          </w14:textFill>
        </w:rPr>
      </w:pPr>
    </w:p>
    <w:p w14:paraId="1BDC3A1E">
      <w:pPr>
        <w:snapToGrid w:val="0"/>
        <w:spacing w:line="40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比选人</w:t>
      </w:r>
      <w:r>
        <w:rPr>
          <w:rFonts w:hint="eastAsia" w:ascii="宋体" w:hAnsi="宋体" w:cs="宋体"/>
          <w:color w:val="000000" w:themeColor="text1"/>
          <w:szCs w:val="21"/>
          <w:highlight w:val="none"/>
          <w:u w:val="single"/>
          <w14:textFill>
            <w14:solidFill>
              <w14:schemeClr w14:val="tx1"/>
            </w14:solidFill>
          </w14:textFill>
        </w:rPr>
        <w:t>名称）</w:t>
      </w:r>
      <w:r>
        <w:rPr>
          <w:rFonts w:hint="eastAsia" w:ascii="宋体" w:hAnsi="宋体" w:cs="宋体"/>
          <w:color w:val="000000" w:themeColor="text1"/>
          <w:szCs w:val="21"/>
          <w:highlight w:val="none"/>
          <w14:textFill>
            <w14:solidFill>
              <w14:schemeClr w14:val="tx1"/>
            </w14:solidFill>
          </w14:textFill>
        </w:rPr>
        <w:t>：</w:t>
      </w:r>
    </w:p>
    <w:p w14:paraId="506F13BE">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w:t>
      </w:r>
      <w:r>
        <w:rPr>
          <w:rFonts w:hint="eastAsia" w:ascii="宋体" w:hAnsi="宋体" w:cs="宋体"/>
          <w:color w:val="000000" w:themeColor="text1"/>
          <w:szCs w:val="21"/>
          <w:highlight w:val="none"/>
          <w:u w:val="single"/>
          <w14:textFill>
            <w14:solidFill>
              <w14:schemeClr w14:val="tx1"/>
            </w14:solidFill>
          </w14:textFill>
        </w:rPr>
        <w:t xml:space="preserve">        （投标人名称）</w:t>
      </w:r>
      <w:r>
        <w:rPr>
          <w:rFonts w:hint="eastAsia" w:ascii="宋体" w:hAnsi="宋体" w:cs="宋体"/>
          <w:color w:val="000000" w:themeColor="text1"/>
          <w:szCs w:val="21"/>
          <w:highlight w:val="none"/>
          <w14:textFill>
            <w14:solidFill>
              <w14:schemeClr w14:val="tx1"/>
            </w14:solidFill>
          </w14:textFill>
        </w:rPr>
        <w:t>参加了贵单位</w:t>
      </w:r>
      <w:r>
        <w:rPr>
          <w:rFonts w:hint="eastAsia" w:ascii="宋体" w:hAnsi="宋体" w:cs="宋体"/>
          <w:color w:val="000000" w:themeColor="text1"/>
          <w:szCs w:val="21"/>
          <w:highlight w:val="none"/>
          <w:u w:val="single"/>
          <w14:textFill>
            <w14:solidFill>
              <w14:schemeClr w14:val="tx1"/>
            </w14:solidFill>
          </w14:textFill>
        </w:rPr>
        <w:t xml:space="preserve">        （项目名称）</w:t>
      </w:r>
      <w:r>
        <w:rPr>
          <w:rFonts w:hint="eastAsia" w:ascii="宋体" w:hAnsi="宋体" w:cs="宋体"/>
          <w:color w:val="000000" w:themeColor="text1"/>
          <w:szCs w:val="21"/>
          <w:highlight w:val="none"/>
          <w14:textFill>
            <w14:solidFill>
              <w14:schemeClr w14:val="tx1"/>
            </w14:solidFill>
          </w14:textFill>
        </w:rPr>
        <w:t>的投标，自愿作出以下承诺：</w:t>
      </w:r>
    </w:p>
    <w:p w14:paraId="799FD620">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1、我公司投标截止日投标资格情况不存在下列情形之一：</w:t>
      </w:r>
    </w:p>
    <w:p w14:paraId="4C2AE4DA">
      <w:pPr>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26A0CECF">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7B3E54B9">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（3）被列入《重庆市工程建设领域招标投标信用管理暂行办法》规定的黑名单且在记分有效期内；</w:t>
      </w:r>
    </w:p>
    <w:p w14:paraId="3AD66B73">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7A18D273">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4C4408BB">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我公司若中标，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标后不能满足该要求的，取消我公司中标资格，给比选人造成损失的，我公司依法承担违约赔偿责任。</w:t>
      </w:r>
    </w:p>
    <w:p w14:paraId="2590BE78">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我公司提供的相关证明材料真实有效，不存在弄虚作假情形。比选人在合同签订前均有权对我司提供的资料（如业绩截图信息等相关证明材料）进行核实，若发现弄虚作假，取消中标资格，我司自愿承担因此造成的相关责任并赔偿相应损失。</w:t>
      </w:r>
    </w:p>
    <w:p w14:paraId="574AFDB6">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、我公司的投标文件符合第四章 合同条款及格式规定，投标文件中没有比选人不能接受的条件。</w:t>
      </w:r>
    </w:p>
    <w:p w14:paraId="6A6C0432">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default" w:ascii="宋体" w:hAnsi="宋体" w:cs="宋体"/>
          <w:color w:val="000000" w:themeColor="text1"/>
          <w:szCs w:val="21"/>
          <w:highlight w:val="none"/>
          <w:lang w:val="en-US"/>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、我公司的投标文件符合技术标准和要求（如有）。</w:t>
      </w:r>
    </w:p>
    <w:p w14:paraId="1DD84D8D">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  标  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spacing w:val="-1"/>
          <w:kern w:val="0"/>
          <w:szCs w:val="21"/>
          <w:highlight w:val="none"/>
          <w14:textFill>
            <w14:solidFill>
              <w14:schemeClr w14:val="tx1"/>
            </w14:solidFill>
          </w14:textFill>
        </w:rPr>
        <w:t>盖单位法人章</w:t>
      </w:r>
      <w:r>
        <w:rPr>
          <w:rFonts w:hint="eastAsia" w:ascii="宋体" w:hAnsi="宋体" w:cs="宋体"/>
          <w:color w:val="000000" w:themeColor="text1"/>
          <w:kern w:val="0"/>
          <w:szCs w:val="21"/>
          <w:highlight w:val="none"/>
          <w14:textFill>
            <w14:solidFill>
              <w14:schemeClr w14:val="tx1"/>
            </w14:solidFill>
          </w14:textFill>
        </w:rPr>
        <w:t>）</w:t>
      </w:r>
    </w:p>
    <w:p w14:paraId="4D931D44">
      <w:pPr>
        <w:tabs>
          <w:tab w:val="left" w:pos="630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color w:val="000000" w:themeColor="text1"/>
          <w:w w:val="200"/>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（签字或盖章）</w:t>
      </w:r>
    </w:p>
    <w:p w14:paraId="6C54B4BB">
      <w:pPr>
        <w:tabs>
          <w:tab w:val="left" w:pos="6300"/>
        </w:tabs>
        <w:autoSpaceDE w:val="0"/>
        <w:autoSpaceDN w:val="0"/>
        <w:adjustRightInd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14:paraId="7F7768AB">
      <w:pPr>
        <w:tabs>
          <w:tab w:val="left" w:pos="6300"/>
        </w:tabs>
        <w:autoSpaceDE w:val="0"/>
        <w:autoSpaceDN w:val="0"/>
        <w:adjustRightInd w:val="0"/>
        <w:snapToGrid w:val="0"/>
        <w:ind w:firstLine="420" w:firstLineChars="200"/>
        <w:jc w:val="right"/>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日</w:t>
      </w:r>
    </w:p>
    <w:p w14:paraId="396295FA">
      <w:pPr>
        <w:pStyle w:val="2"/>
        <w:rPr>
          <w:rFonts w:ascii="宋体" w:hAnsi="宋体" w:eastAsia="宋体" w:cs="宋体"/>
          <w:color w:val="000000" w:themeColor="text1"/>
          <w:szCs w:val="24"/>
          <w:highlight w:val="none"/>
          <w14:textFill>
            <w14:solidFill>
              <w14:schemeClr w14:val="tx1"/>
            </w14:solidFill>
          </w14:textFill>
        </w:rPr>
      </w:pPr>
    </w:p>
    <w:p w14:paraId="667CE16F">
      <w:pPr>
        <w:rPr>
          <w:rFonts w:hint="default" w:ascii="宋体" w:hAnsi="宋体" w:cs="宋体"/>
          <w:color w:val="000000" w:themeColor="text1"/>
          <w:sz w:val="24"/>
          <w:szCs w:val="24"/>
          <w:highlight w:val="none"/>
          <w:lang w:val="en-US"/>
          <w14:textFill>
            <w14:solidFill>
              <w14:schemeClr w14:val="tx1"/>
            </w14:solidFill>
          </w14:textFill>
        </w:rPr>
      </w:pPr>
    </w:p>
    <w:p w14:paraId="0484B19E">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23720F30">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1314852A">
      <w:pPr>
        <w:tabs>
          <w:tab w:val="left" w:pos="6300"/>
        </w:tabs>
        <w:snapToGrid w:val="0"/>
        <w:spacing w:line="500" w:lineRule="exact"/>
        <w:ind w:firstLine="570"/>
        <w:rPr>
          <w:rFonts w:hint="eastAsia" w:ascii="宋体" w:hAnsi="宋体" w:cs="宋体"/>
          <w:color w:val="000000" w:themeColor="text1"/>
          <w:sz w:val="24"/>
          <w:szCs w:val="24"/>
          <w:highlight w:val="none"/>
          <w14:textFill>
            <w14:solidFill>
              <w14:schemeClr w14:val="tx1"/>
            </w14:solidFill>
          </w14:textFill>
        </w:rPr>
      </w:pPr>
    </w:p>
    <w:p w14:paraId="1963BCF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附件：</w:t>
      </w:r>
      <w:r>
        <w:rPr>
          <w:rFonts w:hint="default" w:ascii="宋体" w:hAnsi="宋体" w:cs="宋体"/>
          <w:color w:val="000000" w:themeColor="text1"/>
          <w:sz w:val="24"/>
          <w:szCs w:val="24"/>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w:t>
      </w:r>
    </w:p>
    <w:p w14:paraId="30485D2D">
      <w:pPr>
        <w:tabs>
          <w:tab w:val="left" w:pos="6300"/>
        </w:tabs>
        <w:snapToGrid w:val="0"/>
        <w:spacing w:line="500" w:lineRule="exact"/>
        <w:ind w:firstLine="4008" w:firstLineChars="1670"/>
        <w:rPr>
          <w:rFonts w:ascii="宋体" w:hAnsi="宋体" w:cs="宋体"/>
          <w:color w:val="000000" w:themeColor="text1"/>
          <w:sz w:val="24"/>
          <w:szCs w:val="24"/>
          <w:highlight w:val="none"/>
          <w14:textFill>
            <w14:solidFill>
              <w14:schemeClr w14:val="tx1"/>
            </w14:solidFill>
          </w14:textFill>
        </w:rPr>
      </w:pPr>
    </w:p>
    <w:p w14:paraId="687F8B7A">
      <w:pPr>
        <w:tabs>
          <w:tab w:val="left" w:pos="6300"/>
        </w:tabs>
        <w:snapToGrid w:val="0"/>
        <w:spacing w:line="500" w:lineRule="exact"/>
        <w:ind w:firstLine="3840" w:firstLineChars="1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发售登记表</w:t>
      </w:r>
    </w:p>
    <w:tbl>
      <w:tblPr>
        <w:tblStyle w:val="44"/>
        <w:tblpPr w:leftFromText="180" w:rightFromText="180" w:vertAnchor="text" w:horzAnchor="page" w:tblpX="1495" w:tblpY="490"/>
        <w:tblOverlap w:val="never"/>
        <w:tblW w:w="92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91"/>
        <w:gridCol w:w="1051"/>
        <w:gridCol w:w="3965"/>
      </w:tblGrid>
      <w:tr w14:paraId="2CC368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32" w:type="dxa"/>
            <w:vAlign w:val="center"/>
          </w:tcPr>
          <w:p w14:paraId="4810CE8D">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项目号</w:t>
            </w:r>
          </w:p>
        </w:tc>
        <w:tc>
          <w:tcPr>
            <w:tcW w:w="7407" w:type="dxa"/>
            <w:gridSpan w:val="3"/>
            <w:vAlign w:val="center"/>
          </w:tcPr>
          <w:p w14:paraId="5F8265A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3AFA1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vAlign w:val="center"/>
          </w:tcPr>
          <w:p w14:paraId="6E46EDAD">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407" w:type="dxa"/>
            <w:gridSpan w:val="3"/>
            <w:vAlign w:val="center"/>
          </w:tcPr>
          <w:p w14:paraId="32ABAC36">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300BE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vAlign w:val="center"/>
          </w:tcPr>
          <w:p w14:paraId="10EDCFF5">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名称</w:t>
            </w:r>
          </w:p>
        </w:tc>
        <w:tc>
          <w:tcPr>
            <w:tcW w:w="7407" w:type="dxa"/>
            <w:gridSpan w:val="3"/>
            <w:vAlign w:val="center"/>
          </w:tcPr>
          <w:p w14:paraId="62FC14EC">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公章）</w:t>
            </w:r>
          </w:p>
        </w:tc>
      </w:tr>
      <w:tr w14:paraId="5E1E76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vAlign w:val="center"/>
          </w:tcPr>
          <w:p w14:paraId="7B7C613A">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2391" w:type="dxa"/>
            <w:vAlign w:val="center"/>
          </w:tcPr>
          <w:p w14:paraId="3CAB330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c>
          <w:tcPr>
            <w:tcW w:w="1051" w:type="dxa"/>
            <w:vAlign w:val="center"/>
          </w:tcPr>
          <w:p w14:paraId="77B05BF6">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手机</w:t>
            </w:r>
          </w:p>
        </w:tc>
        <w:tc>
          <w:tcPr>
            <w:tcW w:w="3965" w:type="dxa"/>
            <w:vAlign w:val="center"/>
          </w:tcPr>
          <w:p w14:paraId="3454CEB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2F382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vAlign w:val="center"/>
          </w:tcPr>
          <w:p w14:paraId="62C6D9C9">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办公电话</w:t>
            </w:r>
          </w:p>
        </w:tc>
        <w:tc>
          <w:tcPr>
            <w:tcW w:w="2391" w:type="dxa"/>
            <w:vAlign w:val="center"/>
          </w:tcPr>
          <w:p w14:paraId="7F0E728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c>
          <w:tcPr>
            <w:tcW w:w="1051" w:type="dxa"/>
            <w:vAlign w:val="center"/>
          </w:tcPr>
          <w:p w14:paraId="7F943546">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传真</w:t>
            </w:r>
          </w:p>
        </w:tc>
        <w:tc>
          <w:tcPr>
            <w:tcW w:w="3965" w:type="dxa"/>
            <w:vAlign w:val="center"/>
          </w:tcPr>
          <w:p w14:paraId="2D732543">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21F57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vAlign w:val="center"/>
          </w:tcPr>
          <w:p w14:paraId="362AA3DE">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E-mail</w:t>
            </w:r>
          </w:p>
        </w:tc>
        <w:tc>
          <w:tcPr>
            <w:tcW w:w="7407" w:type="dxa"/>
            <w:gridSpan w:val="3"/>
            <w:vAlign w:val="center"/>
          </w:tcPr>
          <w:p w14:paraId="4696970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r w14:paraId="0DFB4F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vAlign w:val="center"/>
          </w:tcPr>
          <w:p w14:paraId="7EF70594">
            <w:pPr>
              <w:tabs>
                <w:tab w:val="left" w:pos="6300"/>
              </w:tabs>
              <w:snapToGrid w:val="0"/>
              <w:spacing w:line="5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单位地址</w:t>
            </w:r>
          </w:p>
        </w:tc>
        <w:tc>
          <w:tcPr>
            <w:tcW w:w="7407" w:type="dxa"/>
            <w:gridSpan w:val="3"/>
            <w:vAlign w:val="center"/>
          </w:tcPr>
          <w:p w14:paraId="33EB33E7">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tc>
      </w:tr>
    </w:tbl>
    <w:p w14:paraId="26C6D0AE">
      <w:pPr>
        <w:tabs>
          <w:tab w:val="left" w:pos="6300"/>
        </w:tabs>
        <w:snapToGrid w:val="0"/>
        <w:spacing w:line="50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文件售价：</w:t>
      </w:r>
      <w:r>
        <w:rPr>
          <w:rFonts w:hint="default" w:ascii="宋体" w:hAnsi="宋体" w:cs="宋体"/>
          <w:color w:val="000000" w:themeColor="text1"/>
          <w:sz w:val="24"/>
          <w:szCs w:val="24"/>
          <w:highlight w:val="none"/>
          <w:lang w:val="en-US"/>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00元/份         发售人：</w:t>
      </w:r>
      <w:r>
        <w:rPr>
          <w:rFonts w:hint="default" w:ascii="宋体" w:hAnsi="宋体" w:cs="宋体"/>
          <w:color w:val="000000" w:themeColor="text1"/>
          <w:sz w:val="24"/>
          <w:szCs w:val="24"/>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sz w:val="24"/>
          <w:szCs w:val="24"/>
          <w:highlight w:val="none"/>
          <w14:textFill>
            <w14:solidFill>
              <w14:schemeClr w14:val="tx1"/>
            </w14:solidFill>
          </w14:textFill>
        </w:rPr>
        <w:t xml:space="preserve">    </w:t>
      </w:r>
    </w:p>
    <w:p w14:paraId="0A9BC280">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62459351">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相关说明：</w:t>
      </w:r>
    </w:p>
    <w:p w14:paraId="4542B5D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1.现金购买</w:t>
      </w:r>
    </w:p>
    <w:p w14:paraId="3FD56A5A">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文件发售期内（工作时间：工作日内每天上午9：00-12:00时，下午14：00-17：00时），</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到</w:t>
      </w:r>
      <w:r>
        <w:rPr>
          <w:rFonts w:hint="default" w:ascii="宋体" w:hAnsi="宋体" w:cs="宋体"/>
          <w:color w:val="000000" w:themeColor="text1"/>
          <w:sz w:val="24"/>
          <w:szCs w:val="24"/>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sz w:val="24"/>
          <w:szCs w:val="24"/>
          <w:highlight w:val="none"/>
          <w14:textFill>
            <w14:solidFill>
              <w14:schemeClr w14:val="tx1"/>
            </w14:solidFill>
          </w14:textFill>
        </w:rPr>
        <w:t>购买</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文件的，地址：同投标地点一致，</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在缴纳购买</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文件费用后，请将《</w:t>
      </w:r>
      <w:r>
        <w:rPr>
          <w:rFonts w:hint="default" w:ascii="宋体" w:hAnsi="宋体" w:cs="宋体"/>
          <w:color w:val="000000" w:themeColor="text1"/>
          <w:sz w:val="24"/>
          <w:szCs w:val="24"/>
          <w:highlight w:val="none"/>
          <w:lang w:val="en-US" w:eastAsia="zh-CN"/>
          <w14:textFill>
            <w14:solidFill>
              <w14:schemeClr w14:val="tx1"/>
            </w14:solidFill>
          </w14:textFill>
        </w:rPr>
        <w:t>重庆耀顺工程管理咨询有限公司</w:t>
      </w:r>
      <w:r>
        <w:rPr>
          <w:rFonts w:hint="eastAsia" w:ascii="宋体" w:hAnsi="宋体" w:cs="宋体"/>
          <w:color w:val="000000" w:themeColor="text1"/>
          <w:sz w:val="24"/>
          <w:szCs w:val="24"/>
          <w:highlight w:val="none"/>
          <w:lang w:val="en-US" w:eastAsia="zh-CN"/>
          <w14:textFill>
            <w14:solidFill>
              <w14:schemeClr w14:val="tx1"/>
            </w14:solidFill>
          </w14:textFill>
        </w:rPr>
        <w:t>比选</w:t>
      </w:r>
      <w:r>
        <w:rPr>
          <w:rFonts w:hint="eastAsia" w:ascii="宋体" w:hAnsi="宋体" w:cs="宋体"/>
          <w:color w:val="000000" w:themeColor="text1"/>
          <w:sz w:val="24"/>
          <w:szCs w:val="24"/>
          <w:highlight w:val="none"/>
          <w14:textFill>
            <w14:solidFill>
              <w14:schemeClr w14:val="tx1"/>
            </w14:solidFill>
          </w14:textFill>
        </w:rPr>
        <w:t>文件发售登记表》（加盖</w:t>
      </w:r>
      <w:r>
        <w:rPr>
          <w:rFonts w:hint="eastAsia" w:ascii="宋体" w:hAnsi="宋体" w:cs="宋体"/>
          <w:color w:val="000000" w:themeColor="text1"/>
          <w:sz w:val="24"/>
          <w:szCs w:val="24"/>
          <w:highlight w:val="none"/>
          <w:lang w:val="en-US" w:eastAsia="zh-CN"/>
          <w14:textFill>
            <w14:solidFill>
              <w14:schemeClr w14:val="tx1"/>
            </w14:solidFill>
          </w14:textFill>
        </w:rPr>
        <w:t>投标人</w:t>
      </w:r>
      <w:r>
        <w:rPr>
          <w:rFonts w:hint="eastAsia" w:ascii="宋体" w:hAnsi="宋体" w:cs="宋体"/>
          <w:color w:val="000000" w:themeColor="text1"/>
          <w:sz w:val="24"/>
          <w:szCs w:val="24"/>
          <w:highlight w:val="none"/>
          <w14:textFill>
            <w14:solidFill>
              <w14:schemeClr w14:val="tx1"/>
            </w14:solidFill>
          </w14:textFill>
        </w:rPr>
        <w:t>公章）递交至代理公司工作人员。</w:t>
      </w:r>
    </w:p>
    <w:p w14:paraId="6915D4D4">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4D90128E">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3E626108">
      <w:pPr>
        <w:tabs>
          <w:tab w:val="left" w:pos="6300"/>
        </w:tabs>
        <w:snapToGrid w:val="0"/>
        <w:spacing w:line="500" w:lineRule="exact"/>
        <w:ind w:firstLine="570"/>
        <w:rPr>
          <w:rFonts w:ascii="宋体" w:hAnsi="宋体" w:cs="宋体"/>
          <w:color w:val="000000" w:themeColor="text1"/>
          <w:sz w:val="24"/>
          <w:szCs w:val="24"/>
          <w:highlight w:val="none"/>
          <w14:textFill>
            <w14:solidFill>
              <w14:schemeClr w14:val="tx1"/>
            </w14:solidFill>
          </w14:textFill>
        </w:rPr>
      </w:pPr>
    </w:p>
    <w:p w14:paraId="7075DF23">
      <w:pPr>
        <w:pStyle w:val="2"/>
        <w:rPr>
          <w:color w:val="000000" w:themeColor="text1"/>
          <w:highlight w:val="none"/>
          <w14:textFill>
            <w14:solidFill>
              <w14:schemeClr w14:val="tx1"/>
            </w14:solidFill>
          </w14:textFill>
        </w:rPr>
      </w:pP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201060001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026A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56CE5">
                          <w:pPr>
                            <w:pStyle w:val="2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A56CE5">
                    <w:pPr>
                      <w:pStyle w:val="2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D6294">
    <w:pPr>
      <w:pStyle w:val="28"/>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C8461">
                          <w:pPr>
                            <w:pStyle w:val="28"/>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9C8461">
                    <w:pPr>
                      <w:pStyle w:val="2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E4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60E0E"/>
    <w:multiLevelType w:val="singleLevel"/>
    <w:tmpl w:val="48A60E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ZjZhNzc3ZWU0Y2U0NGM5YjBmNjVlMDQ3OWJkYWMifQ=="/>
  </w:docVars>
  <w:rsids>
    <w:rsidRoot w:val="00172A27"/>
    <w:rsid w:val="00001CFE"/>
    <w:rsid w:val="000025AE"/>
    <w:rsid w:val="00002963"/>
    <w:rsid w:val="00002FAA"/>
    <w:rsid w:val="0000637A"/>
    <w:rsid w:val="00007461"/>
    <w:rsid w:val="00012D01"/>
    <w:rsid w:val="00012E1F"/>
    <w:rsid w:val="00013517"/>
    <w:rsid w:val="00015EA2"/>
    <w:rsid w:val="00016F4D"/>
    <w:rsid w:val="00020022"/>
    <w:rsid w:val="00020C72"/>
    <w:rsid w:val="00027940"/>
    <w:rsid w:val="000301B5"/>
    <w:rsid w:val="00033F2D"/>
    <w:rsid w:val="00034EA2"/>
    <w:rsid w:val="00035C75"/>
    <w:rsid w:val="00035C9D"/>
    <w:rsid w:val="0003662C"/>
    <w:rsid w:val="0003668F"/>
    <w:rsid w:val="000410C9"/>
    <w:rsid w:val="00042D1D"/>
    <w:rsid w:val="00042DE3"/>
    <w:rsid w:val="00044BF8"/>
    <w:rsid w:val="00045FB6"/>
    <w:rsid w:val="000517F7"/>
    <w:rsid w:val="00051AF7"/>
    <w:rsid w:val="00053628"/>
    <w:rsid w:val="00053D7E"/>
    <w:rsid w:val="00057F46"/>
    <w:rsid w:val="000619D4"/>
    <w:rsid w:val="000626F4"/>
    <w:rsid w:val="000659D5"/>
    <w:rsid w:val="00066E34"/>
    <w:rsid w:val="00067AAC"/>
    <w:rsid w:val="00067E04"/>
    <w:rsid w:val="000815B0"/>
    <w:rsid w:val="0008210B"/>
    <w:rsid w:val="00085488"/>
    <w:rsid w:val="000859FD"/>
    <w:rsid w:val="00085FAF"/>
    <w:rsid w:val="000876C3"/>
    <w:rsid w:val="00091049"/>
    <w:rsid w:val="00091722"/>
    <w:rsid w:val="000925C0"/>
    <w:rsid w:val="00097C60"/>
    <w:rsid w:val="000A0733"/>
    <w:rsid w:val="000A0E6D"/>
    <w:rsid w:val="000B0951"/>
    <w:rsid w:val="000B1F01"/>
    <w:rsid w:val="000B46A7"/>
    <w:rsid w:val="000B6787"/>
    <w:rsid w:val="000C0116"/>
    <w:rsid w:val="000C03E1"/>
    <w:rsid w:val="000C262F"/>
    <w:rsid w:val="000C3844"/>
    <w:rsid w:val="000C7692"/>
    <w:rsid w:val="000D1610"/>
    <w:rsid w:val="000D18EA"/>
    <w:rsid w:val="000D1D0A"/>
    <w:rsid w:val="000D4CDB"/>
    <w:rsid w:val="000E2AAC"/>
    <w:rsid w:val="000F2968"/>
    <w:rsid w:val="000F2BF2"/>
    <w:rsid w:val="000F301E"/>
    <w:rsid w:val="000F4794"/>
    <w:rsid w:val="000F4C1E"/>
    <w:rsid w:val="000F59D4"/>
    <w:rsid w:val="000F5C5E"/>
    <w:rsid w:val="000F62DA"/>
    <w:rsid w:val="000F7B6D"/>
    <w:rsid w:val="000F7D84"/>
    <w:rsid w:val="0010022C"/>
    <w:rsid w:val="00101B0E"/>
    <w:rsid w:val="00101D27"/>
    <w:rsid w:val="00104EFA"/>
    <w:rsid w:val="00105174"/>
    <w:rsid w:val="001073C5"/>
    <w:rsid w:val="00110507"/>
    <w:rsid w:val="001109E1"/>
    <w:rsid w:val="00111164"/>
    <w:rsid w:val="0011755B"/>
    <w:rsid w:val="00120D0F"/>
    <w:rsid w:val="0012159D"/>
    <w:rsid w:val="001227EC"/>
    <w:rsid w:val="00122F79"/>
    <w:rsid w:val="00124E3B"/>
    <w:rsid w:val="0012704F"/>
    <w:rsid w:val="00127B49"/>
    <w:rsid w:val="001309B8"/>
    <w:rsid w:val="00133AF2"/>
    <w:rsid w:val="00133E94"/>
    <w:rsid w:val="00134BBF"/>
    <w:rsid w:val="00135067"/>
    <w:rsid w:val="001356A0"/>
    <w:rsid w:val="001358BB"/>
    <w:rsid w:val="0014274F"/>
    <w:rsid w:val="001428D7"/>
    <w:rsid w:val="00143655"/>
    <w:rsid w:val="001449B2"/>
    <w:rsid w:val="00144B33"/>
    <w:rsid w:val="001461AD"/>
    <w:rsid w:val="00146DEA"/>
    <w:rsid w:val="001479E9"/>
    <w:rsid w:val="00151CF6"/>
    <w:rsid w:val="00152D41"/>
    <w:rsid w:val="0015659E"/>
    <w:rsid w:val="00156E41"/>
    <w:rsid w:val="00161D08"/>
    <w:rsid w:val="00163AD7"/>
    <w:rsid w:val="00163C07"/>
    <w:rsid w:val="00164453"/>
    <w:rsid w:val="00166799"/>
    <w:rsid w:val="00171C63"/>
    <w:rsid w:val="00172A27"/>
    <w:rsid w:val="00181DB6"/>
    <w:rsid w:val="001833AC"/>
    <w:rsid w:val="00185118"/>
    <w:rsid w:val="00186487"/>
    <w:rsid w:val="00191BA9"/>
    <w:rsid w:val="00191DDB"/>
    <w:rsid w:val="00194F6E"/>
    <w:rsid w:val="001973FE"/>
    <w:rsid w:val="00197BFA"/>
    <w:rsid w:val="001A1F6D"/>
    <w:rsid w:val="001B0371"/>
    <w:rsid w:val="001B3971"/>
    <w:rsid w:val="001B60AE"/>
    <w:rsid w:val="001B6616"/>
    <w:rsid w:val="001B6B8D"/>
    <w:rsid w:val="001C070C"/>
    <w:rsid w:val="001C0AB9"/>
    <w:rsid w:val="001C0D36"/>
    <w:rsid w:val="001C16FC"/>
    <w:rsid w:val="001C1A44"/>
    <w:rsid w:val="001C1AB2"/>
    <w:rsid w:val="001C4F81"/>
    <w:rsid w:val="001C5258"/>
    <w:rsid w:val="001D0214"/>
    <w:rsid w:val="001D11E0"/>
    <w:rsid w:val="001D1C4A"/>
    <w:rsid w:val="001D20FC"/>
    <w:rsid w:val="001D2356"/>
    <w:rsid w:val="001D3EC9"/>
    <w:rsid w:val="001D57D5"/>
    <w:rsid w:val="001D611B"/>
    <w:rsid w:val="001D61CD"/>
    <w:rsid w:val="001D6459"/>
    <w:rsid w:val="001E0BEB"/>
    <w:rsid w:val="001E62B1"/>
    <w:rsid w:val="001F0254"/>
    <w:rsid w:val="001F2657"/>
    <w:rsid w:val="001F285E"/>
    <w:rsid w:val="001F2E06"/>
    <w:rsid w:val="001F3956"/>
    <w:rsid w:val="001F65BD"/>
    <w:rsid w:val="001F6637"/>
    <w:rsid w:val="00201DB1"/>
    <w:rsid w:val="0020274D"/>
    <w:rsid w:val="0020298C"/>
    <w:rsid w:val="002078C1"/>
    <w:rsid w:val="00210DA7"/>
    <w:rsid w:val="002116A5"/>
    <w:rsid w:val="00215C9B"/>
    <w:rsid w:val="00217201"/>
    <w:rsid w:val="00217CED"/>
    <w:rsid w:val="0022023D"/>
    <w:rsid w:val="00221203"/>
    <w:rsid w:val="002218D4"/>
    <w:rsid w:val="00222F9B"/>
    <w:rsid w:val="002230E9"/>
    <w:rsid w:val="00223DDA"/>
    <w:rsid w:val="00224435"/>
    <w:rsid w:val="00224E19"/>
    <w:rsid w:val="002256AE"/>
    <w:rsid w:val="0022612E"/>
    <w:rsid w:val="0022683F"/>
    <w:rsid w:val="00226C87"/>
    <w:rsid w:val="00227033"/>
    <w:rsid w:val="00230905"/>
    <w:rsid w:val="00233066"/>
    <w:rsid w:val="00234E7D"/>
    <w:rsid w:val="00235722"/>
    <w:rsid w:val="00235AF8"/>
    <w:rsid w:val="00243400"/>
    <w:rsid w:val="00243439"/>
    <w:rsid w:val="00244994"/>
    <w:rsid w:val="00246960"/>
    <w:rsid w:val="00246CBD"/>
    <w:rsid w:val="00251E0A"/>
    <w:rsid w:val="00254807"/>
    <w:rsid w:val="00255448"/>
    <w:rsid w:val="0026149A"/>
    <w:rsid w:val="00264B2D"/>
    <w:rsid w:val="00266E77"/>
    <w:rsid w:val="00267D47"/>
    <w:rsid w:val="00271796"/>
    <w:rsid w:val="002767B4"/>
    <w:rsid w:val="002769BC"/>
    <w:rsid w:val="00282001"/>
    <w:rsid w:val="00284591"/>
    <w:rsid w:val="00284AD8"/>
    <w:rsid w:val="00285752"/>
    <w:rsid w:val="002857C1"/>
    <w:rsid w:val="00285B2A"/>
    <w:rsid w:val="00285D87"/>
    <w:rsid w:val="00285E1E"/>
    <w:rsid w:val="00285E24"/>
    <w:rsid w:val="002873B1"/>
    <w:rsid w:val="0029008A"/>
    <w:rsid w:val="0029277F"/>
    <w:rsid w:val="0029353D"/>
    <w:rsid w:val="00294105"/>
    <w:rsid w:val="0029513D"/>
    <w:rsid w:val="0029638A"/>
    <w:rsid w:val="002977F1"/>
    <w:rsid w:val="002A0A92"/>
    <w:rsid w:val="002A3B36"/>
    <w:rsid w:val="002A4E22"/>
    <w:rsid w:val="002A6802"/>
    <w:rsid w:val="002A68F6"/>
    <w:rsid w:val="002A7484"/>
    <w:rsid w:val="002A7C13"/>
    <w:rsid w:val="002B21E5"/>
    <w:rsid w:val="002B2345"/>
    <w:rsid w:val="002B52FE"/>
    <w:rsid w:val="002B6119"/>
    <w:rsid w:val="002B7CF7"/>
    <w:rsid w:val="002C0411"/>
    <w:rsid w:val="002C0812"/>
    <w:rsid w:val="002D14C6"/>
    <w:rsid w:val="002D1B45"/>
    <w:rsid w:val="002D29F7"/>
    <w:rsid w:val="002D2E1B"/>
    <w:rsid w:val="002D4382"/>
    <w:rsid w:val="002D6053"/>
    <w:rsid w:val="002E1B30"/>
    <w:rsid w:val="002E32B5"/>
    <w:rsid w:val="002E3611"/>
    <w:rsid w:val="002E519D"/>
    <w:rsid w:val="002E6088"/>
    <w:rsid w:val="002E69CD"/>
    <w:rsid w:val="002E7732"/>
    <w:rsid w:val="002F06DE"/>
    <w:rsid w:val="002F3489"/>
    <w:rsid w:val="002F48BD"/>
    <w:rsid w:val="002F5781"/>
    <w:rsid w:val="002F5DA5"/>
    <w:rsid w:val="003000D9"/>
    <w:rsid w:val="0030066E"/>
    <w:rsid w:val="00302CA4"/>
    <w:rsid w:val="00306C4D"/>
    <w:rsid w:val="003073CE"/>
    <w:rsid w:val="00307DDB"/>
    <w:rsid w:val="00310680"/>
    <w:rsid w:val="00312621"/>
    <w:rsid w:val="0031405F"/>
    <w:rsid w:val="003163FF"/>
    <w:rsid w:val="00317AE2"/>
    <w:rsid w:val="003206D3"/>
    <w:rsid w:val="00320C29"/>
    <w:rsid w:val="003223C7"/>
    <w:rsid w:val="00322D3A"/>
    <w:rsid w:val="00322E12"/>
    <w:rsid w:val="00327F2E"/>
    <w:rsid w:val="00332A65"/>
    <w:rsid w:val="003332CE"/>
    <w:rsid w:val="0033392F"/>
    <w:rsid w:val="00340CF4"/>
    <w:rsid w:val="00342E17"/>
    <w:rsid w:val="00345596"/>
    <w:rsid w:val="003478DB"/>
    <w:rsid w:val="00347DA9"/>
    <w:rsid w:val="003502A8"/>
    <w:rsid w:val="003514B5"/>
    <w:rsid w:val="00354E08"/>
    <w:rsid w:val="003553C2"/>
    <w:rsid w:val="00362CF8"/>
    <w:rsid w:val="00363B99"/>
    <w:rsid w:val="0036535C"/>
    <w:rsid w:val="00372D89"/>
    <w:rsid w:val="0037589C"/>
    <w:rsid w:val="00376979"/>
    <w:rsid w:val="003773E2"/>
    <w:rsid w:val="00377402"/>
    <w:rsid w:val="003776D4"/>
    <w:rsid w:val="00381E43"/>
    <w:rsid w:val="00384705"/>
    <w:rsid w:val="00386636"/>
    <w:rsid w:val="00386B61"/>
    <w:rsid w:val="00391F3C"/>
    <w:rsid w:val="00394304"/>
    <w:rsid w:val="003A2CE7"/>
    <w:rsid w:val="003A49F3"/>
    <w:rsid w:val="003A6423"/>
    <w:rsid w:val="003A7CB4"/>
    <w:rsid w:val="003B1541"/>
    <w:rsid w:val="003B23A5"/>
    <w:rsid w:val="003B3939"/>
    <w:rsid w:val="003C246A"/>
    <w:rsid w:val="003C35DD"/>
    <w:rsid w:val="003C6DE2"/>
    <w:rsid w:val="003C72DF"/>
    <w:rsid w:val="003C79F5"/>
    <w:rsid w:val="003C7F42"/>
    <w:rsid w:val="003D0BD5"/>
    <w:rsid w:val="003D101F"/>
    <w:rsid w:val="003D13ED"/>
    <w:rsid w:val="003D3873"/>
    <w:rsid w:val="003D4358"/>
    <w:rsid w:val="003D47E5"/>
    <w:rsid w:val="003D4CC3"/>
    <w:rsid w:val="003D6DDF"/>
    <w:rsid w:val="003E2A9D"/>
    <w:rsid w:val="003E3629"/>
    <w:rsid w:val="003E44D9"/>
    <w:rsid w:val="003E540E"/>
    <w:rsid w:val="003F0C56"/>
    <w:rsid w:val="003F0EC9"/>
    <w:rsid w:val="003F4F5C"/>
    <w:rsid w:val="003F654B"/>
    <w:rsid w:val="003F6C3B"/>
    <w:rsid w:val="00404EAF"/>
    <w:rsid w:val="00410582"/>
    <w:rsid w:val="00410AFF"/>
    <w:rsid w:val="00412002"/>
    <w:rsid w:val="0041214C"/>
    <w:rsid w:val="00416D0C"/>
    <w:rsid w:val="004211FA"/>
    <w:rsid w:val="00421755"/>
    <w:rsid w:val="00421D37"/>
    <w:rsid w:val="00421F5E"/>
    <w:rsid w:val="00423CC8"/>
    <w:rsid w:val="00426FBC"/>
    <w:rsid w:val="00433937"/>
    <w:rsid w:val="00435AFE"/>
    <w:rsid w:val="00436AF0"/>
    <w:rsid w:val="0043725B"/>
    <w:rsid w:val="00437C7A"/>
    <w:rsid w:val="004423EF"/>
    <w:rsid w:val="00443546"/>
    <w:rsid w:val="00447510"/>
    <w:rsid w:val="004502AC"/>
    <w:rsid w:val="004504EB"/>
    <w:rsid w:val="0045115B"/>
    <w:rsid w:val="00451F67"/>
    <w:rsid w:val="0045394B"/>
    <w:rsid w:val="00454818"/>
    <w:rsid w:val="00456018"/>
    <w:rsid w:val="00457EC3"/>
    <w:rsid w:val="00461A95"/>
    <w:rsid w:val="0046792F"/>
    <w:rsid w:val="00472549"/>
    <w:rsid w:val="00474CEE"/>
    <w:rsid w:val="004753A2"/>
    <w:rsid w:val="00481829"/>
    <w:rsid w:val="00482ADA"/>
    <w:rsid w:val="00487C80"/>
    <w:rsid w:val="0049045B"/>
    <w:rsid w:val="00491345"/>
    <w:rsid w:val="00492996"/>
    <w:rsid w:val="00493AFD"/>
    <w:rsid w:val="004958B3"/>
    <w:rsid w:val="0049612B"/>
    <w:rsid w:val="0049617D"/>
    <w:rsid w:val="004964A6"/>
    <w:rsid w:val="004A2011"/>
    <w:rsid w:val="004A3116"/>
    <w:rsid w:val="004A48E6"/>
    <w:rsid w:val="004A7065"/>
    <w:rsid w:val="004A7943"/>
    <w:rsid w:val="004B2485"/>
    <w:rsid w:val="004B344C"/>
    <w:rsid w:val="004B356A"/>
    <w:rsid w:val="004B4C4E"/>
    <w:rsid w:val="004B4ECF"/>
    <w:rsid w:val="004C0D3E"/>
    <w:rsid w:val="004C3173"/>
    <w:rsid w:val="004C4F45"/>
    <w:rsid w:val="004C5537"/>
    <w:rsid w:val="004C6EAB"/>
    <w:rsid w:val="004D1AAA"/>
    <w:rsid w:val="004D223F"/>
    <w:rsid w:val="004D22F9"/>
    <w:rsid w:val="004D2EA7"/>
    <w:rsid w:val="004D56EE"/>
    <w:rsid w:val="004D7A1D"/>
    <w:rsid w:val="004E1CBA"/>
    <w:rsid w:val="004E3BF9"/>
    <w:rsid w:val="004E600C"/>
    <w:rsid w:val="004E6BB4"/>
    <w:rsid w:val="004F04C3"/>
    <w:rsid w:val="004F0F13"/>
    <w:rsid w:val="004F294A"/>
    <w:rsid w:val="004F36C9"/>
    <w:rsid w:val="004F45BE"/>
    <w:rsid w:val="004F46FA"/>
    <w:rsid w:val="004F514F"/>
    <w:rsid w:val="004F58DF"/>
    <w:rsid w:val="004F76D7"/>
    <w:rsid w:val="005011B8"/>
    <w:rsid w:val="0050142B"/>
    <w:rsid w:val="00503CBB"/>
    <w:rsid w:val="00504BA5"/>
    <w:rsid w:val="005164BC"/>
    <w:rsid w:val="00516780"/>
    <w:rsid w:val="00520149"/>
    <w:rsid w:val="00525F09"/>
    <w:rsid w:val="00527513"/>
    <w:rsid w:val="00530853"/>
    <w:rsid w:val="0053576F"/>
    <w:rsid w:val="00535A5A"/>
    <w:rsid w:val="00535C6A"/>
    <w:rsid w:val="005444F8"/>
    <w:rsid w:val="00545951"/>
    <w:rsid w:val="00550B16"/>
    <w:rsid w:val="00551A14"/>
    <w:rsid w:val="00554A74"/>
    <w:rsid w:val="00565645"/>
    <w:rsid w:val="00565AB9"/>
    <w:rsid w:val="00565BD0"/>
    <w:rsid w:val="0056625F"/>
    <w:rsid w:val="00567291"/>
    <w:rsid w:val="0058066A"/>
    <w:rsid w:val="00580769"/>
    <w:rsid w:val="005838C8"/>
    <w:rsid w:val="00583DA6"/>
    <w:rsid w:val="00584320"/>
    <w:rsid w:val="00585D05"/>
    <w:rsid w:val="00585F07"/>
    <w:rsid w:val="005927A8"/>
    <w:rsid w:val="00592CDD"/>
    <w:rsid w:val="00595245"/>
    <w:rsid w:val="005965FA"/>
    <w:rsid w:val="005967B4"/>
    <w:rsid w:val="005A19C9"/>
    <w:rsid w:val="005A2166"/>
    <w:rsid w:val="005A3934"/>
    <w:rsid w:val="005A5097"/>
    <w:rsid w:val="005B0B39"/>
    <w:rsid w:val="005B0CFB"/>
    <w:rsid w:val="005B4F7C"/>
    <w:rsid w:val="005C1316"/>
    <w:rsid w:val="005C2D42"/>
    <w:rsid w:val="005C46A0"/>
    <w:rsid w:val="005C4CED"/>
    <w:rsid w:val="005C793A"/>
    <w:rsid w:val="005D0A77"/>
    <w:rsid w:val="005D0D9B"/>
    <w:rsid w:val="005D2322"/>
    <w:rsid w:val="005D3EEF"/>
    <w:rsid w:val="005D4B8C"/>
    <w:rsid w:val="005D5BF6"/>
    <w:rsid w:val="005E1492"/>
    <w:rsid w:val="005E6D4D"/>
    <w:rsid w:val="005E7331"/>
    <w:rsid w:val="005E7D8C"/>
    <w:rsid w:val="005E7DED"/>
    <w:rsid w:val="005F2655"/>
    <w:rsid w:val="005F3494"/>
    <w:rsid w:val="005F416F"/>
    <w:rsid w:val="005F5822"/>
    <w:rsid w:val="005F58D8"/>
    <w:rsid w:val="005F6B47"/>
    <w:rsid w:val="005F7992"/>
    <w:rsid w:val="00600979"/>
    <w:rsid w:val="006049F4"/>
    <w:rsid w:val="00605A2C"/>
    <w:rsid w:val="00610518"/>
    <w:rsid w:val="006142CA"/>
    <w:rsid w:val="006144A2"/>
    <w:rsid w:val="00621509"/>
    <w:rsid w:val="00634FF5"/>
    <w:rsid w:val="00636819"/>
    <w:rsid w:val="00636FDC"/>
    <w:rsid w:val="0064073C"/>
    <w:rsid w:val="006423AD"/>
    <w:rsid w:val="00644AF0"/>
    <w:rsid w:val="006464F7"/>
    <w:rsid w:val="006505E2"/>
    <w:rsid w:val="0065193C"/>
    <w:rsid w:val="00651986"/>
    <w:rsid w:val="00651E84"/>
    <w:rsid w:val="00653A03"/>
    <w:rsid w:val="00656510"/>
    <w:rsid w:val="00660484"/>
    <w:rsid w:val="00660834"/>
    <w:rsid w:val="00663A13"/>
    <w:rsid w:val="0066545A"/>
    <w:rsid w:val="00665DB3"/>
    <w:rsid w:val="00671BAC"/>
    <w:rsid w:val="00672C06"/>
    <w:rsid w:val="006739EA"/>
    <w:rsid w:val="00673A6E"/>
    <w:rsid w:val="0067428D"/>
    <w:rsid w:val="0067593D"/>
    <w:rsid w:val="00680B9A"/>
    <w:rsid w:val="00681E06"/>
    <w:rsid w:val="006821E3"/>
    <w:rsid w:val="00682AB0"/>
    <w:rsid w:val="006857C6"/>
    <w:rsid w:val="00686669"/>
    <w:rsid w:val="00690927"/>
    <w:rsid w:val="00691E05"/>
    <w:rsid w:val="006926F9"/>
    <w:rsid w:val="0069372F"/>
    <w:rsid w:val="0069472F"/>
    <w:rsid w:val="00695D3C"/>
    <w:rsid w:val="00697B8F"/>
    <w:rsid w:val="006A1020"/>
    <w:rsid w:val="006A2071"/>
    <w:rsid w:val="006A2B68"/>
    <w:rsid w:val="006A343E"/>
    <w:rsid w:val="006A55BB"/>
    <w:rsid w:val="006A7112"/>
    <w:rsid w:val="006B066C"/>
    <w:rsid w:val="006B35E3"/>
    <w:rsid w:val="006B3637"/>
    <w:rsid w:val="006B3C6D"/>
    <w:rsid w:val="006B3E0A"/>
    <w:rsid w:val="006B5D34"/>
    <w:rsid w:val="006C0E62"/>
    <w:rsid w:val="006C19B5"/>
    <w:rsid w:val="006C2626"/>
    <w:rsid w:val="006C35DE"/>
    <w:rsid w:val="006C40ED"/>
    <w:rsid w:val="006C5659"/>
    <w:rsid w:val="006C666D"/>
    <w:rsid w:val="006D136A"/>
    <w:rsid w:val="006D180B"/>
    <w:rsid w:val="006D1E8A"/>
    <w:rsid w:val="006D1F21"/>
    <w:rsid w:val="006D2552"/>
    <w:rsid w:val="006D398D"/>
    <w:rsid w:val="006D3A78"/>
    <w:rsid w:val="006D46DF"/>
    <w:rsid w:val="006E027F"/>
    <w:rsid w:val="006E0C80"/>
    <w:rsid w:val="006E16FC"/>
    <w:rsid w:val="006E31C4"/>
    <w:rsid w:val="006E35C5"/>
    <w:rsid w:val="006E3F92"/>
    <w:rsid w:val="006F36AF"/>
    <w:rsid w:val="006F3735"/>
    <w:rsid w:val="006F4EE5"/>
    <w:rsid w:val="00702079"/>
    <w:rsid w:val="00704D20"/>
    <w:rsid w:val="00705AFB"/>
    <w:rsid w:val="00706D43"/>
    <w:rsid w:val="00710236"/>
    <w:rsid w:val="007104D5"/>
    <w:rsid w:val="00712BB7"/>
    <w:rsid w:val="00713944"/>
    <w:rsid w:val="007147D1"/>
    <w:rsid w:val="0071499C"/>
    <w:rsid w:val="00715A59"/>
    <w:rsid w:val="00721916"/>
    <w:rsid w:val="00724E0C"/>
    <w:rsid w:val="00725223"/>
    <w:rsid w:val="00730435"/>
    <w:rsid w:val="0073081A"/>
    <w:rsid w:val="007322C7"/>
    <w:rsid w:val="00732C3E"/>
    <w:rsid w:val="007337C9"/>
    <w:rsid w:val="00735241"/>
    <w:rsid w:val="0073792B"/>
    <w:rsid w:val="00740BB5"/>
    <w:rsid w:val="00740C8E"/>
    <w:rsid w:val="00741AC3"/>
    <w:rsid w:val="00742C3D"/>
    <w:rsid w:val="00743072"/>
    <w:rsid w:val="00743678"/>
    <w:rsid w:val="00744618"/>
    <w:rsid w:val="00745E1A"/>
    <w:rsid w:val="00746290"/>
    <w:rsid w:val="00750768"/>
    <w:rsid w:val="007523DD"/>
    <w:rsid w:val="00757BE8"/>
    <w:rsid w:val="00761BF1"/>
    <w:rsid w:val="007625E3"/>
    <w:rsid w:val="00763D08"/>
    <w:rsid w:val="0076707F"/>
    <w:rsid w:val="00771829"/>
    <w:rsid w:val="00772B6F"/>
    <w:rsid w:val="007754FF"/>
    <w:rsid w:val="007758CF"/>
    <w:rsid w:val="0077714A"/>
    <w:rsid w:val="007800E7"/>
    <w:rsid w:val="007901BA"/>
    <w:rsid w:val="00790A25"/>
    <w:rsid w:val="00791718"/>
    <w:rsid w:val="00793FAF"/>
    <w:rsid w:val="00794427"/>
    <w:rsid w:val="007965C4"/>
    <w:rsid w:val="007971CE"/>
    <w:rsid w:val="007A085D"/>
    <w:rsid w:val="007A2EBC"/>
    <w:rsid w:val="007A5F28"/>
    <w:rsid w:val="007A6E38"/>
    <w:rsid w:val="007A7236"/>
    <w:rsid w:val="007B1511"/>
    <w:rsid w:val="007B2AE7"/>
    <w:rsid w:val="007B2AEE"/>
    <w:rsid w:val="007B5A0D"/>
    <w:rsid w:val="007B755D"/>
    <w:rsid w:val="007C0B1F"/>
    <w:rsid w:val="007C3E00"/>
    <w:rsid w:val="007C5C7E"/>
    <w:rsid w:val="007C61E3"/>
    <w:rsid w:val="007C66C8"/>
    <w:rsid w:val="007C7ACE"/>
    <w:rsid w:val="007D0199"/>
    <w:rsid w:val="007D0C6F"/>
    <w:rsid w:val="007D1678"/>
    <w:rsid w:val="007D253F"/>
    <w:rsid w:val="007D4278"/>
    <w:rsid w:val="007D4932"/>
    <w:rsid w:val="007D5FC4"/>
    <w:rsid w:val="007D6B8D"/>
    <w:rsid w:val="007D6DE3"/>
    <w:rsid w:val="007E1E17"/>
    <w:rsid w:val="007E20BE"/>
    <w:rsid w:val="007E62A0"/>
    <w:rsid w:val="007E6D55"/>
    <w:rsid w:val="007E7A0D"/>
    <w:rsid w:val="007F21C3"/>
    <w:rsid w:val="007F4E65"/>
    <w:rsid w:val="007F54C1"/>
    <w:rsid w:val="007F69D9"/>
    <w:rsid w:val="00800F73"/>
    <w:rsid w:val="00801BD2"/>
    <w:rsid w:val="0080286E"/>
    <w:rsid w:val="008035C9"/>
    <w:rsid w:val="00807137"/>
    <w:rsid w:val="00811079"/>
    <w:rsid w:val="008112CB"/>
    <w:rsid w:val="00812B70"/>
    <w:rsid w:val="0081783F"/>
    <w:rsid w:val="00825540"/>
    <w:rsid w:val="00825B6A"/>
    <w:rsid w:val="00826DBF"/>
    <w:rsid w:val="008275E3"/>
    <w:rsid w:val="00831915"/>
    <w:rsid w:val="00831B36"/>
    <w:rsid w:val="0083208D"/>
    <w:rsid w:val="008443BC"/>
    <w:rsid w:val="00845106"/>
    <w:rsid w:val="00847C56"/>
    <w:rsid w:val="00850DEF"/>
    <w:rsid w:val="00852E34"/>
    <w:rsid w:val="00853F83"/>
    <w:rsid w:val="008548C6"/>
    <w:rsid w:val="00857638"/>
    <w:rsid w:val="00857A24"/>
    <w:rsid w:val="00861045"/>
    <w:rsid w:val="008618A2"/>
    <w:rsid w:val="00862905"/>
    <w:rsid w:val="008663D9"/>
    <w:rsid w:val="008710D6"/>
    <w:rsid w:val="00871491"/>
    <w:rsid w:val="00873930"/>
    <w:rsid w:val="00876FEF"/>
    <w:rsid w:val="00877848"/>
    <w:rsid w:val="008834E7"/>
    <w:rsid w:val="0088619A"/>
    <w:rsid w:val="00887FA4"/>
    <w:rsid w:val="00893F04"/>
    <w:rsid w:val="008948B6"/>
    <w:rsid w:val="00895EEF"/>
    <w:rsid w:val="0089633E"/>
    <w:rsid w:val="0089768B"/>
    <w:rsid w:val="008A1516"/>
    <w:rsid w:val="008A471B"/>
    <w:rsid w:val="008A5071"/>
    <w:rsid w:val="008A6A14"/>
    <w:rsid w:val="008A6B9F"/>
    <w:rsid w:val="008A7426"/>
    <w:rsid w:val="008B05F9"/>
    <w:rsid w:val="008B3B5E"/>
    <w:rsid w:val="008B45C6"/>
    <w:rsid w:val="008B4B1A"/>
    <w:rsid w:val="008B4CFE"/>
    <w:rsid w:val="008C0851"/>
    <w:rsid w:val="008C096B"/>
    <w:rsid w:val="008C0BAD"/>
    <w:rsid w:val="008C6163"/>
    <w:rsid w:val="008C6E1D"/>
    <w:rsid w:val="008D2F58"/>
    <w:rsid w:val="008D7645"/>
    <w:rsid w:val="008D78B1"/>
    <w:rsid w:val="008E0A77"/>
    <w:rsid w:val="008E4FBA"/>
    <w:rsid w:val="008F370A"/>
    <w:rsid w:val="008F6CB6"/>
    <w:rsid w:val="008F7514"/>
    <w:rsid w:val="0090095B"/>
    <w:rsid w:val="00901059"/>
    <w:rsid w:val="0090192F"/>
    <w:rsid w:val="00901FA8"/>
    <w:rsid w:val="00903D46"/>
    <w:rsid w:val="009058AF"/>
    <w:rsid w:val="00910650"/>
    <w:rsid w:val="00911208"/>
    <w:rsid w:val="00912113"/>
    <w:rsid w:val="00912B7E"/>
    <w:rsid w:val="00912E8B"/>
    <w:rsid w:val="0091601F"/>
    <w:rsid w:val="00916999"/>
    <w:rsid w:val="009173DA"/>
    <w:rsid w:val="00917C78"/>
    <w:rsid w:val="009201E9"/>
    <w:rsid w:val="00922727"/>
    <w:rsid w:val="0092450B"/>
    <w:rsid w:val="00924BB7"/>
    <w:rsid w:val="00924C89"/>
    <w:rsid w:val="00927049"/>
    <w:rsid w:val="00927E45"/>
    <w:rsid w:val="00930B50"/>
    <w:rsid w:val="00930BFF"/>
    <w:rsid w:val="00933C88"/>
    <w:rsid w:val="00937041"/>
    <w:rsid w:val="009518B5"/>
    <w:rsid w:val="0095244D"/>
    <w:rsid w:val="00953478"/>
    <w:rsid w:val="00955214"/>
    <w:rsid w:val="00955AA5"/>
    <w:rsid w:val="00961130"/>
    <w:rsid w:val="00962579"/>
    <w:rsid w:val="0096380C"/>
    <w:rsid w:val="0096389C"/>
    <w:rsid w:val="00964F86"/>
    <w:rsid w:val="00965524"/>
    <w:rsid w:val="00966BBE"/>
    <w:rsid w:val="00971796"/>
    <w:rsid w:val="00972578"/>
    <w:rsid w:val="00974244"/>
    <w:rsid w:val="009742AE"/>
    <w:rsid w:val="009756F5"/>
    <w:rsid w:val="00976128"/>
    <w:rsid w:val="00976AB7"/>
    <w:rsid w:val="0097749F"/>
    <w:rsid w:val="00982CEB"/>
    <w:rsid w:val="00983D06"/>
    <w:rsid w:val="00984BB2"/>
    <w:rsid w:val="00985A72"/>
    <w:rsid w:val="00985EE0"/>
    <w:rsid w:val="00986CF5"/>
    <w:rsid w:val="0098733F"/>
    <w:rsid w:val="00990FC8"/>
    <w:rsid w:val="00993460"/>
    <w:rsid w:val="00994AA1"/>
    <w:rsid w:val="00995B5C"/>
    <w:rsid w:val="009A09F0"/>
    <w:rsid w:val="009A25ED"/>
    <w:rsid w:val="009A4821"/>
    <w:rsid w:val="009A4981"/>
    <w:rsid w:val="009A4BBF"/>
    <w:rsid w:val="009A6FFD"/>
    <w:rsid w:val="009B202C"/>
    <w:rsid w:val="009B2A81"/>
    <w:rsid w:val="009B4AC8"/>
    <w:rsid w:val="009C310B"/>
    <w:rsid w:val="009C6B1B"/>
    <w:rsid w:val="009C7B14"/>
    <w:rsid w:val="009D0C58"/>
    <w:rsid w:val="009D4E2B"/>
    <w:rsid w:val="009D5233"/>
    <w:rsid w:val="009D5F5B"/>
    <w:rsid w:val="009D6CCB"/>
    <w:rsid w:val="009E33B2"/>
    <w:rsid w:val="009E3BEC"/>
    <w:rsid w:val="009E40F4"/>
    <w:rsid w:val="009E45E1"/>
    <w:rsid w:val="009E496F"/>
    <w:rsid w:val="009E49FE"/>
    <w:rsid w:val="009E5EF9"/>
    <w:rsid w:val="009E7811"/>
    <w:rsid w:val="009E7954"/>
    <w:rsid w:val="009F292E"/>
    <w:rsid w:val="00A01F25"/>
    <w:rsid w:val="00A02E6B"/>
    <w:rsid w:val="00A04569"/>
    <w:rsid w:val="00A05161"/>
    <w:rsid w:val="00A0526F"/>
    <w:rsid w:val="00A061A6"/>
    <w:rsid w:val="00A06B7C"/>
    <w:rsid w:val="00A1224C"/>
    <w:rsid w:val="00A143C8"/>
    <w:rsid w:val="00A16375"/>
    <w:rsid w:val="00A17067"/>
    <w:rsid w:val="00A1790C"/>
    <w:rsid w:val="00A211A3"/>
    <w:rsid w:val="00A21FC4"/>
    <w:rsid w:val="00A23416"/>
    <w:rsid w:val="00A236C6"/>
    <w:rsid w:val="00A25C8E"/>
    <w:rsid w:val="00A3022C"/>
    <w:rsid w:val="00A37A76"/>
    <w:rsid w:val="00A37C9B"/>
    <w:rsid w:val="00A410B6"/>
    <w:rsid w:val="00A45499"/>
    <w:rsid w:val="00A457F2"/>
    <w:rsid w:val="00A4603A"/>
    <w:rsid w:val="00A50A45"/>
    <w:rsid w:val="00A5173A"/>
    <w:rsid w:val="00A51BF1"/>
    <w:rsid w:val="00A528C7"/>
    <w:rsid w:val="00A53BC2"/>
    <w:rsid w:val="00A54CB2"/>
    <w:rsid w:val="00A558E8"/>
    <w:rsid w:val="00A55CA2"/>
    <w:rsid w:val="00A66830"/>
    <w:rsid w:val="00A668A4"/>
    <w:rsid w:val="00A70671"/>
    <w:rsid w:val="00A73114"/>
    <w:rsid w:val="00A80426"/>
    <w:rsid w:val="00A84589"/>
    <w:rsid w:val="00A87DA6"/>
    <w:rsid w:val="00A910F8"/>
    <w:rsid w:val="00A91FB2"/>
    <w:rsid w:val="00A957BF"/>
    <w:rsid w:val="00A9589C"/>
    <w:rsid w:val="00AA4F38"/>
    <w:rsid w:val="00AA5874"/>
    <w:rsid w:val="00AB0550"/>
    <w:rsid w:val="00AB17DD"/>
    <w:rsid w:val="00AB1EC9"/>
    <w:rsid w:val="00AB2D8C"/>
    <w:rsid w:val="00AB6F0E"/>
    <w:rsid w:val="00AB732F"/>
    <w:rsid w:val="00AC1606"/>
    <w:rsid w:val="00AC3F86"/>
    <w:rsid w:val="00AC59C8"/>
    <w:rsid w:val="00AC5FCA"/>
    <w:rsid w:val="00AC6F82"/>
    <w:rsid w:val="00AC7B46"/>
    <w:rsid w:val="00AC7DDF"/>
    <w:rsid w:val="00AD0DE0"/>
    <w:rsid w:val="00AD1DB3"/>
    <w:rsid w:val="00AD2333"/>
    <w:rsid w:val="00AD3039"/>
    <w:rsid w:val="00AD5055"/>
    <w:rsid w:val="00AD57BA"/>
    <w:rsid w:val="00AD6D2D"/>
    <w:rsid w:val="00AD7893"/>
    <w:rsid w:val="00AD7C68"/>
    <w:rsid w:val="00AD7F7D"/>
    <w:rsid w:val="00AE018B"/>
    <w:rsid w:val="00AE334C"/>
    <w:rsid w:val="00AE339E"/>
    <w:rsid w:val="00AE3A87"/>
    <w:rsid w:val="00AE3F8B"/>
    <w:rsid w:val="00AE617A"/>
    <w:rsid w:val="00AE6BC0"/>
    <w:rsid w:val="00AF3901"/>
    <w:rsid w:val="00AF4B62"/>
    <w:rsid w:val="00AF64B9"/>
    <w:rsid w:val="00B02EB1"/>
    <w:rsid w:val="00B13556"/>
    <w:rsid w:val="00B15A66"/>
    <w:rsid w:val="00B16B89"/>
    <w:rsid w:val="00B20F02"/>
    <w:rsid w:val="00B232DE"/>
    <w:rsid w:val="00B24A82"/>
    <w:rsid w:val="00B31F21"/>
    <w:rsid w:val="00B32676"/>
    <w:rsid w:val="00B32996"/>
    <w:rsid w:val="00B33D98"/>
    <w:rsid w:val="00B359F3"/>
    <w:rsid w:val="00B36287"/>
    <w:rsid w:val="00B413BC"/>
    <w:rsid w:val="00B42595"/>
    <w:rsid w:val="00B479D5"/>
    <w:rsid w:val="00B5481B"/>
    <w:rsid w:val="00B56391"/>
    <w:rsid w:val="00B57651"/>
    <w:rsid w:val="00B65B67"/>
    <w:rsid w:val="00B65E2A"/>
    <w:rsid w:val="00B700EB"/>
    <w:rsid w:val="00B70518"/>
    <w:rsid w:val="00B73CCB"/>
    <w:rsid w:val="00B76830"/>
    <w:rsid w:val="00B76C2E"/>
    <w:rsid w:val="00B76E5F"/>
    <w:rsid w:val="00B77DE0"/>
    <w:rsid w:val="00B82590"/>
    <w:rsid w:val="00B82C72"/>
    <w:rsid w:val="00B82E0A"/>
    <w:rsid w:val="00B84930"/>
    <w:rsid w:val="00B860C9"/>
    <w:rsid w:val="00B861EF"/>
    <w:rsid w:val="00B872BA"/>
    <w:rsid w:val="00B908F8"/>
    <w:rsid w:val="00B9211E"/>
    <w:rsid w:val="00B95CAE"/>
    <w:rsid w:val="00BA00C2"/>
    <w:rsid w:val="00BA16DE"/>
    <w:rsid w:val="00BA23AD"/>
    <w:rsid w:val="00BA2A35"/>
    <w:rsid w:val="00BA4F7F"/>
    <w:rsid w:val="00BA56D8"/>
    <w:rsid w:val="00BA72D6"/>
    <w:rsid w:val="00BB0400"/>
    <w:rsid w:val="00BB0B30"/>
    <w:rsid w:val="00BB29A1"/>
    <w:rsid w:val="00BB3030"/>
    <w:rsid w:val="00BB62F3"/>
    <w:rsid w:val="00BB783A"/>
    <w:rsid w:val="00BB78C4"/>
    <w:rsid w:val="00BB7B8C"/>
    <w:rsid w:val="00BB7FBF"/>
    <w:rsid w:val="00BC191C"/>
    <w:rsid w:val="00BC2019"/>
    <w:rsid w:val="00BC4400"/>
    <w:rsid w:val="00BC697E"/>
    <w:rsid w:val="00BC7E99"/>
    <w:rsid w:val="00BD1143"/>
    <w:rsid w:val="00BD2C87"/>
    <w:rsid w:val="00BD7BC8"/>
    <w:rsid w:val="00BE5C32"/>
    <w:rsid w:val="00BF1680"/>
    <w:rsid w:val="00BF1759"/>
    <w:rsid w:val="00BF1921"/>
    <w:rsid w:val="00BF2DF2"/>
    <w:rsid w:val="00BF58BC"/>
    <w:rsid w:val="00C01417"/>
    <w:rsid w:val="00C01EE8"/>
    <w:rsid w:val="00C02DD1"/>
    <w:rsid w:val="00C11241"/>
    <w:rsid w:val="00C1132A"/>
    <w:rsid w:val="00C12854"/>
    <w:rsid w:val="00C16F8D"/>
    <w:rsid w:val="00C2651B"/>
    <w:rsid w:val="00C278D8"/>
    <w:rsid w:val="00C3181C"/>
    <w:rsid w:val="00C331B9"/>
    <w:rsid w:val="00C34800"/>
    <w:rsid w:val="00C40896"/>
    <w:rsid w:val="00C425D9"/>
    <w:rsid w:val="00C448E8"/>
    <w:rsid w:val="00C45B18"/>
    <w:rsid w:val="00C47244"/>
    <w:rsid w:val="00C50FE1"/>
    <w:rsid w:val="00C525F2"/>
    <w:rsid w:val="00C6232A"/>
    <w:rsid w:val="00C71877"/>
    <w:rsid w:val="00C71F5F"/>
    <w:rsid w:val="00C813A2"/>
    <w:rsid w:val="00C82EA3"/>
    <w:rsid w:val="00C84001"/>
    <w:rsid w:val="00C87169"/>
    <w:rsid w:val="00C87D6C"/>
    <w:rsid w:val="00C93DF0"/>
    <w:rsid w:val="00C95393"/>
    <w:rsid w:val="00C9683E"/>
    <w:rsid w:val="00C96CF4"/>
    <w:rsid w:val="00CA0060"/>
    <w:rsid w:val="00CA1E0B"/>
    <w:rsid w:val="00CA215C"/>
    <w:rsid w:val="00CA2CFD"/>
    <w:rsid w:val="00CA4287"/>
    <w:rsid w:val="00CA65EA"/>
    <w:rsid w:val="00CA6EE9"/>
    <w:rsid w:val="00CA7B58"/>
    <w:rsid w:val="00CB0025"/>
    <w:rsid w:val="00CB1D31"/>
    <w:rsid w:val="00CB1E32"/>
    <w:rsid w:val="00CB2D8B"/>
    <w:rsid w:val="00CB6681"/>
    <w:rsid w:val="00CB781F"/>
    <w:rsid w:val="00CB79C0"/>
    <w:rsid w:val="00CC1AD1"/>
    <w:rsid w:val="00CC3EA4"/>
    <w:rsid w:val="00CC59EA"/>
    <w:rsid w:val="00CD5077"/>
    <w:rsid w:val="00CD55F2"/>
    <w:rsid w:val="00CD69A7"/>
    <w:rsid w:val="00CE01D4"/>
    <w:rsid w:val="00CE0B0C"/>
    <w:rsid w:val="00CE415E"/>
    <w:rsid w:val="00CE59A2"/>
    <w:rsid w:val="00CE7354"/>
    <w:rsid w:val="00CE761D"/>
    <w:rsid w:val="00CE7C55"/>
    <w:rsid w:val="00CF0253"/>
    <w:rsid w:val="00CF5E4C"/>
    <w:rsid w:val="00CF6686"/>
    <w:rsid w:val="00D0658E"/>
    <w:rsid w:val="00D06FDD"/>
    <w:rsid w:val="00D116B6"/>
    <w:rsid w:val="00D11A32"/>
    <w:rsid w:val="00D11A59"/>
    <w:rsid w:val="00D14AFB"/>
    <w:rsid w:val="00D20FB5"/>
    <w:rsid w:val="00D21748"/>
    <w:rsid w:val="00D23A6A"/>
    <w:rsid w:val="00D26C5E"/>
    <w:rsid w:val="00D27E0E"/>
    <w:rsid w:val="00D31823"/>
    <w:rsid w:val="00D33250"/>
    <w:rsid w:val="00D35B43"/>
    <w:rsid w:val="00D35C21"/>
    <w:rsid w:val="00D36186"/>
    <w:rsid w:val="00D361F7"/>
    <w:rsid w:val="00D400D1"/>
    <w:rsid w:val="00D41A25"/>
    <w:rsid w:val="00D42F07"/>
    <w:rsid w:val="00D467F8"/>
    <w:rsid w:val="00D5096D"/>
    <w:rsid w:val="00D51979"/>
    <w:rsid w:val="00D522BB"/>
    <w:rsid w:val="00D529D0"/>
    <w:rsid w:val="00D53618"/>
    <w:rsid w:val="00D53CD3"/>
    <w:rsid w:val="00D543A9"/>
    <w:rsid w:val="00D55C71"/>
    <w:rsid w:val="00D56A84"/>
    <w:rsid w:val="00D60A38"/>
    <w:rsid w:val="00D6168A"/>
    <w:rsid w:val="00D64FA7"/>
    <w:rsid w:val="00D6602E"/>
    <w:rsid w:val="00D729CB"/>
    <w:rsid w:val="00D779F6"/>
    <w:rsid w:val="00D84248"/>
    <w:rsid w:val="00D8443E"/>
    <w:rsid w:val="00D84D4E"/>
    <w:rsid w:val="00D85DE6"/>
    <w:rsid w:val="00D86387"/>
    <w:rsid w:val="00D917F1"/>
    <w:rsid w:val="00D951C3"/>
    <w:rsid w:val="00D96142"/>
    <w:rsid w:val="00D9708D"/>
    <w:rsid w:val="00DA0C7F"/>
    <w:rsid w:val="00DA222B"/>
    <w:rsid w:val="00DA6BF4"/>
    <w:rsid w:val="00DB248B"/>
    <w:rsid w:val="00DB424E"/>
    <w:rsid w:val="00DB45A1"/>
    <w:rsid w:val="00DB77E7"/>
    <w:rsid w:val="00DC02F8"/>
    <w:rsid w:val="00DC0D61"/>
    <w:rsid w:val="00DC0DDF"/>
    <w:rsid w:val="00DC1131"/>
    <w:rsid w:val="00DC1866"/>
    <w:rsid w:val="00DC1930"/>
    <w:rsid w:val="00DC2546"/>
    <w:rsid w:val="00DC580D"/>
    <w:rsid w:val="00DC7DE7"/>
    <w:rsid w:val="00DD27E0"/>
    <w:rsid w:val="00DD5349"/>
    <w:rsid w:val="00DD5661"/>
    <w:rsid w:val="00DE1CB3"/>
    <w:rsid w:val="00DE22C9"/>
    <w:rsid w:val="00DE2BF6"/>
    <w:rsid w:val="00DE3B3C"/>
    <w:rsid w:val="00DE43EE"/>
    <w:rsid w:val="00DE5960"/>
    <w:rsid w:val="00DE59C3"/>
    <w:rsid w:val="00DE662A"/>
    <w:rsid w:val="00DE7666"/>
    <w:rsid w:val="00DF02BC"/>
    <w:rsid w:val="00DF0EE4"/>
    <w:rsid w:val="00DF2DB7"/>
    <w:rsid w:val="00DF3368"/>
    <w:rsid w:val="00DF3C26"/>
    <w:rsid w:val="00DF5F41"/>
    <w:rsid w:val="00E00B74"/>
    <w:rsid w:val="00E01DA3"/>
    <w:rsid w:val="00E030E5"/>
    <w:rsid w:val="00E06851"/>
    <w:rsid w:val="00E076E3"/>
    <w:rsid w:val="00E14271"/>
    <w:rsid w:val="00E15C19"/>
    <w:rsid w:val="00E17BAB"/>
    <w:rsid w:val="00E17EC7"/>
    <w:rsid w:val="00E21052"/>
    <w:rsid w:val="00E2111D"/>
    <w:rsid w:val="00E225B0"/>
    <w:rsid w:val="00E22D01"/>
    <w:rsid w:val="00E255EA"/>
    <w:rsid w:val="00E31281"/>
    <w:rsid w:val="00E32402"/>
    <w:rsid w:val="00E32E1B"/>
    <w:rsid w:val="00E3311D"/>
    <w:rsid w:val="00E35CC9"/>
    <w:rsid w:val="00E365F0"/>
    <w:rsid w:val="00E40163"/>
    <w:rsid w:val="00E417D6"/>
    <w:rsid w:val="00E41F87"/>
    <w:rsid w:val="00E44D11"/>
    <w:rsid w:val="00E474A0"/>
    <w:rsid w:val="00E50D72"/>
    <w:rsid w:val="00E53C06"/>
    <w:rsid w:val="00E54463"/>
    <w:rsid w:val="00E5480B"/>
    <w:rsid w:val="00E60CD9"/>
    <w:rsid w:val="00E60CF3"/>
    <w:rsid w:val="00E6123B"/>
    <w:rsid w:val="00E6178B"/>
    <w:rsid w:val="00E61E51"/>
    <w:rsid w:val="00E62E46"/>
    <w:rsid w:val="00E63641"/>
    <w:rsid w:val="00E64A35"/>
    <w:rsid w:val="00E64A68"/>
    <w:rsid w:val="00E66E88"/>
    <w:rsid w:val="00E675CF"/>
    <w:rsid w:val="00E67671"/>
    <w:rsid w:val="00E676A2"/>
    <w:rsid w:val="00E728C4"/>
    <w:rsid w:val="00E74C3A"/>
    <w:rsid w:val="00E77B86"/>
    <w:rsid w:val="00E80E9D"/>
    <w:rsid w:val="00E8287C"/>
    <w:rsid w:val="00E8377A"/>
    <w:rsid w:val="00E86121"/>
    <w:rsid w:val="00E90855"/>
    <w:rsid w:val="00E909E2"/>
    <w:rsid w:val="00E9123A"/>
    <w:rsid w:val="00E932BB"/>
    <w:rsid w:val="00EA05A0"/>
    <w:rsid w:val="00EA47E3"/>
    <w:rsid w:val="00EA4D0F"/>
    <w:rsid w:val="00EA74CC"/>
    <w:rsid w:val="00EA7821"/>
    <w:rsid w:val="00EB01FF"/>
    <w:rsid w:val="00EB083A"/>
    <w:rsid w:val="00EB1270"/>
    <w:rsid w:val="00EB2451"/>
    <w:rsid w:val="00EB2E8C"/>
    <w:rsid w:val="00EB476C"/>
    <w:rsid w:val="00EB4D96"/>
    <w:rsid w:val="00EB7A12"/>
    <w:rsid w:val="00EB7B5D"/>
    <w:rsid w:val="00EC353E"/>
    <w:rsid w:val="00EC596F"/>
    <w:rsid w:val="00EC61D7"/>
    <w:rsid w:val="00EC71D0"/>
    <w:rsid w:val="00ED17E2"/>
    <w:rsid w:val="00ED29CE"/>
    <w:rsid w:val="00ED51A1"/>
    <w:rsid w:val="00EE1E40"/>
    <w:rsid w:val="00EE2C60"/>
    <w:rsid w:val="00EE4432"/>
    <w:rsid w:val="00EE7B59"/>
    <w:rsid w:val="00EF0C09"/>
    <w:rsid w:val="00EF427F"/>
    <w:rsid w:val="00EF49E6"/>
    <w:rsid w:val="00EF4C4A"/>
    <w:rsid w:val="00EF76AC"/>
    <w:rsid w:val="00F003B0"/>
    <w:rsid w:val="00F04E0F"/>
    <w:rsid w:val="00F06EB5"/>
    <w:rsid w:val="00F07D14"/>
    <w:rsid w:val="00F10009"/>
    <w:rsid w:val="00F10C9F"/>
    <w:rsid w:val="00F1173E"/>
    <w:rsid w:val="00F12625"/>
    <w:rsid w:val="00F153D6"/>
    <w:rsid w:val="00F16703"/>
    <w:rsid w:val="00F1744D"/>
    <w:rsid w:val="00F22055"/>
    <w:rsid w:val="00F32789"/>
    <w:rsid w:val="00F335CF"/>
    <w:rsid w:val="00F4169F"/>
    <w:rsid w:val="00F4202B"/>
    <w:rsid w:val="00F43643"/>
    <w:rsid w:val="00F45FC5"/>
    <w:rsid w:val="00F50158"/>
    <w:rsid w:val="00F508B4"/>
    <w:rsid w:val="00F52E93"/>
    <w:rsid w:val="00F52E9A"/>
    <w:rsid w:val="00F57A6A"/>
    <w:rsid w:val="00F607FD"/>
    <w:rsid w:val="00F61288"/>
    <w:rsid w:val="00F62675"/>
    <w:rsid w:val="00F6534E"/>
    <w:rsid w:val="00F6573C"/>
    <w:rsid w:val="00F666B8"/>
    <w:rsid w:val="00F66BB6"/>
    <w:rsid w:val="00F70F49"/>
    <w:rsid w:val="00F74662"/>
    <w:rsid w:val="00F75D26"/>
    <w:rsid w:val="00F75DB4"/>
    <w:rsid w:val="00F80896"/>
    <w:rsid w:val="00F813A1"/>
    <w:rsid w:val="00F85E0B"/>
    <w:rsid w:val="00F871ED"/>
    <w:rsid w:val="00F92745"/>
    <w:rsid w:val="00F92A8A"/>
    <w:rsid w:val="00F92E54"/>
    <w:rsid w:val="00F9401A"/>
    <w:rsid w:val="00F94486"/>
    <w:rsid w:val="00F94CC3"/>
    <w:rsid w:val="00F96ACE"/>
    <w:rsid w:val="00F97909"/>
    <w:rsid w:val="00FA0D6C"/>
    <w:rsid w:val="00FA0F4C"/>
    <w:rsid w:val="00FA0FE9"/>
    <w:rsid w:val="00FA1EA3"/>
    <w:rsid w:val="00FA258F"/>
    <w:rsid w:val="00FA3142"/>
    <w:rsid w:val="00FA7989"/>
    <w:rsid w:val="00FA7EC1"/>
    <w:rsid w:val="00FB053F"/>
    <w:rsid w:val="00FB2A28"/>
    <w:rsid w:val="00FB6EF1"/>
    <w:rsid w:val="00FB7E03"/>
    <w:rsid w:val="00FC16AA"/>
    <w:rsid w:val="00FC17B8"/>
    <w:rsid w:val="00FC2DCF"/>
    <w:rsid w:val="00FC3836"/>
    <w:rsid w:val="00FC425C"/>
    <w:rsid w:val="00FC4B1B"/>
    <w:rsid w:val="00FC5AA0"/>
    <w:rsid w:val="00FC6BBF"/>
    <w:rsid w:val="00FC7C17"/>
    <w:rsid w:val="00FD04BF"/>
    <w:rsid w:val="00FD251B"/>
    <w:rsid w:val="00FD257C"/>
    <w:rsid w:val="00FD46E2"/>
    <w:rsid w:val="00FD4EB7"/>
    <w:rsid w:val="00FD6528"/>
    <w:rsid w:val="00FE11FB"/>
    <w:rsid w:val="00FF324B"/>
    <w:rsid w:val="00FF46F7"/>
    <w:rsid w:val="015958AE"/>
    <w:rsid w:val="0161141B"/>
    <w:rsid w:val="01AB475B"/>
    <w:rsid w:val="02074E1D"/>
    <w:rsid w:val="024476BD"/>
    <w:rsid w:val="024E2C63"/>
    <w:rsid w:val="024E6CF6"/>
    <w:rsid w:val="02FF1838"/>
    <w:rsid w:val="03864661"/>
    <w:rsid w:val="03A477F5"/>
    <w:rsid w:val="04B26863"/>
    <w:rsid w:val="058B3C58"/>
    <w:rsid w:val="05B55C8B"/>
    <w:rsid w:val="06190FAA"/>
    <w:rsid w:val="071C7509"/>
    <w:rsid w:val="07F214CB"/>
    <w:rsid w:val="07F461D9"/>
    <w:rsid w:val="081506C5"/>
    <w:rsid w:val="08B24AB1"/>
    <w:rsid w:val="08C831E3"/>
    <w:rsid w:val="08CC56EA"/>
    <w:rsid w:val="08E871A5"/>
    <w:rsid w:val="09127E93"/>
    <w:rsid w:val="09413855"/>
    <w:rsid w:val="09765F89"/>
    <w:rsid w:val="09BB5D67"/>
    <w:rsid w:val="09F76A6A"/>
    <w:rsid w:val="0A5358E4"/>
    <w:rsid w:val="0AD03FB6"/>
    <w:rsid w:val="0B123C38"/>
    <w:rsid w:val="0B2245B1"/>
    <w:rsid w:val="0C6F0B98"/>
    <w:rsid w:val="0CD55C27"/>
    <w:rsid w:val="0CEC079D"/>
    <w:rsid w:val="0D810405"/>
    <w:rsid w:val="0E216E1A"/>
    <w:rsid w:val="0E4F35CB"/>
    <w:rsid w:val="0EB0660D"/>
    <w:rsid w:val="0EDD2140"/>
    <w:rsid w:val="0F393F04"/>
    <w:rsid w:val="0F755F61"/>
    <w:rsid w:val="0F7E676D"/>
    <w:rsid w:val="0FBC68EF"/>
    <w:rsid w:val="0FCA4000"/>
    <w:rsid w:val="0FF32449"/>
    <w:rsid w:val="10D16412"/>
    <w:rsid w:val="10DF3EE6"/>
    <w:rsid w:val="11B71A83"/>
    <w:rsid w:val="12045226"/>
    <w:rsid w:val="12077D97"/>
    <w:rsid w:val="12D31F6B"/>
    <w:rsid w:val="130E7AA7"/>
    <w:rsid w:val="131C4C5F"/>
    <w:rsid w:val="1349756F"/>
    <w:rsid w:val="148B2A8F"/>
    <w:rsid w:val="14A42828"/>
    <w:rsid w:val="14E571E9"/>
    <w:rsid w:val="150F3344"/>
    <w:rsid w:val="155E4D4F"/>
    <w:rsid w:val="15905233"/>
    <w:rsid w:val="15A26B49"/>
    <w:rsid w:val="15DA16E1"/>
    <w:rsid w:val="161A5D12"/>
    <w:rsid w:val="162A70B6"/>
    <w:rsid w:val="17281AC7"/>
    <w:rsid w:val="173A660C"/>
    <w:rsid w:val="184517C6"/>
    <w:rsid w:val="186003AF"/>
    <w:rsid w:val="18E467E2"/>
    <w:rsid w:val="19014ABD"/>
    <w:rsid w:val="195A18DD"/>
    <w:rsid w:val="19A910F1"/>
    <w:rsid w:val="1A3654BC"/>
    <w:rsid w:val="1A7E1CBB"/>
    <w:rsid w:val="1A8A15DA"/>
    <w:rsid w:val="1AA36843"/>
    <w:rsid w:val="1B61679D"/>
    <w:rsid w:val="1BCF7D8F"/>
    <w:rsid w:val="1BD4552B"/>
    <w:rsid w:val="1C035B2F"/>
    <w:rsid w:val="1C3506BF"/>
    <w:rsid w:val="1CE56C0B"/>
    <w:rsid w:val="1D8954A8"/>
    <w:rsid w:val="1E0569A0"/>
    <w:rsid w:val="1E2933FE"/>
    <w:rsid w:val="1E6512A8"/>
    <w:rsid w:val="1E656D59"/>
    <w:rsid w:val="1E8E4B8F"/>
    <w:rsid w:val="1EAB6349"/>
    <w:rsid w:val="1F98202A"/>
    <w:rsid w:val="203C3C34"/>
    <w:rsid w:val="20F37D53"/>
    <w:rsid w:val="210E650E"/>
    <w:rsid w:val="2122100D"/>
    <w:rsid w:val="21A9265D"/>
    <w:rsid w:val="21B743BB"/>
    <w:rsid w:val="21B94D9B"/>
    <w:rsid w:val="21D62B77"/>
    <w:rsid w:val="221B672B"/>
    <w:rsid w:val="221E0CDF"/>
    <w:rsid w:val="22627470"/>
    <w:rsid w:val="22833F1D"/>
    <w:rsid w:val="22F95FB5"/>
    <w:rsid w:val="233C6AD7"/>
    <w:rsid w:val="2396322B"/>
    <w:rsid w:val="2412683E"/>
    <w:rsid w:val="24221E6A"/>
    <w:rsid w:val="24534F23"/>
    <w:rsid w:val="247C1043"/>
    <w:rsid w:val="249E2696"/>
    <w:rsid w:val="24A815C3"/>
    <w:rsid w:val="24B43C40"/>
    <w:rsid w:val="24E87667"/>
    <w:rsid w:val="255A6356"/>
    <w:rsid w:val="25864EE9"/>
    <w:rsid w:val="25F0783F"/>
    <w:rsid w:val="26970E33"/>
    <w:rsid w:val="26B93E34"/>
    <w:rsid w:val="26EB6AFA"/>
    <w:rsid w:val="2741567D"/>
    <w:rsid w:val="2757497F"/>
    <w:rsid w:val="275F0904"/>
    <w:rsid w:val="27DA6DD5"/>
    <w:rsid w:val="2804416B"/>
    <w:rsid w:val="28600F08"/>
    <w:rsid w:val="28624665"/>
    <w:rsid w:val="286F60B7"/>
    <w:rsid w:val="2961657C"/>
    <w:rsid w:val="29F27DC2"/>
    <w:rsid w:val="2A7C0666"/>
    <w:rsid w:val="2A7D76FB"/>
    <w:rsid w:val="2ABB68F4"/>
    <w:rsid w:val="2AD7D0D8"/>
    <w:rsid w:val="2BB474F7"/>
    <w:rsid w:val="2C203CAD"/>
    <w:rsid w:val="2C275AA6"/>
    <w:rsid w:val="2C6F0FD9"/>
    <w:rsid w:val="2CD258AD"/>
    <w:rsid w:val="2CE86D96"/>
    <w:rsid w:val="2CF4231E"/>
    <w:rsid w:val="2CF70233"/>
    <w:rsid w:val="2CFB4F2A"/>
    <w:rsid w:val="2D4804FC"/>
    <w:rsid w:val="2DC81ADF"/>
    <w:rsid w:val="2DC83D38"/>
    <w:rsid w:val="2DCA30B7"/>
    <w:rsid w:val="2DD6048C"/>
    <w:rsid w:val="2DE241E2"/>
    <w:rsid w:val="2E50523A"/>
    <w:rsid w:val="2E877ED0"/>
    <w:rsid w:val="2EAE0685"/>
    <w:rsid w:val="2EEF62C6"/>
    <w:rsid w:val="2F1B7F28"/>
    <w:rsid w:val="2F9D3447"/>
    <w:rsid w:val="2FE66060"/>
    <w:rsid w:val="307F7AFA"/>
    <w:rsid w:val="30CC3279"/>
    <w:rsid w:val="318E6BE2"/>
    <w:rsid w:val="31C06758"/>
    <w:rsid w:val="31C11182"/>
    <w:rsid w:val="31C97A9A"/>
    <w:rsid w:val="31D4640C"/>
    <w:rsid w:val="32354DA9"/>
    <w:rsid w:val="336F4EAA"/>
    <w:rsid w:val="33EB0FE6"/>
    <w:rsid w:val="34822BA1"/>
    <w:rsid w:val="350A6847"/>
    <w:rsid w:val="35464C8F"/>
    <w:rsid w:val="355E17C4"/>
    <w:rsid w:val="35836550"/>
    <w:rsid w:val="35C8414E"/>
    <w:rsid w:val="35CF001C"/>
    <w:rsid w:val="365E0D08"/>
    <w:rsid w:val="36CA4526"/>
    <w:rsid w:val="36D6081C"/>
    <w:rsid w:val="36FF4AE1"/>
    <w:rsid w:val="377B0B00"/>
    <w:rsid w:val="37C42EB9"/>
    <w:rsid w:val="37F94DD0"/>
    <w:rsid w:val="3810781A"/>
    <w:rsid w:val="381E23B5"/>
    <w:rsid w:val="382947D0"/>
    <w:rsid w:val="387046E4"/>
    <w:rsid w:val="389D250F"/>
    <w:rsid w:val="38AF4A96"/>
    <w:rsid w:val="38E06754"/>
    <w:rsid w:val="38E80C97"/>
    <w:rsid w:val="38FC1C5C"/>
    <w:rsid w:val="390E0642"/>
    <w:rsid w:val="395466E0"/>
    <w:rsid w:val="399336F0"/>
    <w:rsid w:val="399723DC"/>
    <w:rsid w:val="39A42D7C"/>
    <w:rsid w:val="3A254922"/>
    <w:rsid w:val="3A4F541D"/>
    <w:rsid w:val="3A6C113A"/>
    <w:rsid w:val="3AA3630D"/>
    <w:rsid w:val="3AB303D6"/>
    <w:rsid w:val="3ABF39D7"/>
    <w:rsid w:val="3B171B1F"/>
    <w:rsid w:val="3B1D42F8"/>
    <w:rsid w:val="3B2C602B"/>
    <w:rsid w:val="3C127304"/>
    <w:rsid w:val="3C2E2B83"/>
    <w:rsid w:val="3C792E06"/>
    <w:rsid w:val="3C954A56"/>
    <w:rsid w:val="3D3B5E6C"/>
    <w:rsid w:val="3D647E93"/>
    <w:rsid w:val="3D6C4BAC"/>
    <w:rsid w:val="3DF70969"/>
    <w:rsid w:val="3E3048CB"/>
    <w:rsid w:val="3E415DD6"/>
    <w:rsid w:val="3ED74B60"/>
    <w:rsid w:val="3EE00D99"/>
    <w:rsid w:val="3F612331"/>
    <w:rsid w:val="3FBA24C0"/>
    <w:rsid w:val="3FC47B32"/>
    <w:rsid w:val="4019531A"/>
    <w:rsid w:val="402634B3"/>
    <w:rsid w:val="40374DC6"/>
    <w:rsid w:val="4039734F"/>
    <w:rsid w:val="4069624E"/>
    <w:rsid w:val="41665C32"/>
    <w:rsid w:val="41E63304"/>
    <w:rsid w:val="42233CCE"/>
    <w:rsid w:val="42550CA6"/>
    <w:rsid w:val="42746804"/>
    <w:rsid w:val="42F157D4"/>
    <w:rsid w:val="430925B1"/>
    <w:rsid w:val="43201CFE"/>
    <w:rsid w:val="4356703A"/>
    <w:rsid w:val="436F3A42"/>
    <w:rsid w:val="4370648D"/>
    <w:rsid w:val="438A3091"/>
    <w:rsid w:val="43EF506E"/>
    <w:rsid w:val="44401F36"/>
    <w:rsid w:val="44641972"/>
    <w:rsid w:val="45320605"/>
    <w:rsid w:val="45754201"/>
    <w:rsid w:val="45B3046D"/>
    <w:rsid w:val="45C7130C"/>
    <w:rsid w:val="45D33B0C"/>
    <w:rsid w:val="45DB0244"/>
    <w:rsid w:val="45DB40BE"/>
    <w:rsid w:val="46222D8A"/>
    <w:rsid w:val="46AC3716"/>
    <w:rsid w:val="46C56D2F"/>
    <w:rsid w:val="46EE7767"/>
    <w:rsid w:val="46EF55C0"/>
    <w:rsid w:val="473378E7"/>
    <w:rsid w:val="473939FB"/>
    <w:rsid w:val="475C75A4"/>
    <w:rsid w:val="47B93189"/>
    <w:rsid w:val="48435459"/>
    <w:rsid w:val="48553D7A"/>
    <w:rsid w:val="486C49B0"/>
    <w:rsid w:val="48754A40"/>
    <w:rsid w:val="487F263E"/>
    <w:rsid w:val="488319CD"/>
    <w:rsid w:val="488A1692"/>
    <w:rsid w:val="488C19A5"/>
    <w:rsid w:val="49374F7A"/>
    <w:rsid w:val="494B3F16"/>
    <w:rsid w:val="494E45D1"/>
    <w:rsid w:val="4981574B"/>
    <w:rsid w:val="49957537"/>
    <w:rsid w:val="49C2512D"/>
    <w:rsid w:val="4ACA54CE"/>
    <w:rsid w:val="4B107B65"/>
    <w:rsid w:val="4B296B88"/>
    <w:rsid w:val="4B542163"/>
    <w:rsid w:val="4C066EC9"/>
    <w:rsid w:val="4C14129E"/>
    <w:rsid w:val="4C186987"/>
    <w:rsid w:val="4C5A1A0D"/>
    <w:rsid w:val="4C8D1140"/>
    <w:rsid w:val="4CEE2C89"/>
    <w:rsid w:val="4CF34BC3"/>
    <w:rsid w:val="4DA454C3"/>
    <w:rsid w:val="4DB40D59"/>
    <w:rsid w:val="4DD1680B"/>
    <w:rsid w:val="4DDC71AC"/>
    <w:rsid w:val="4EA70D1D"/>
    <w:rsid w:val="4EC74E7C"/>
    <w:rsid w:val="4EEC6EB1"/>
    <w:rsid w:val="4F0072C7"/>
    <w:rsid w:val="4F5B67A5"/>
    <w:rsid w:val="4FE40E04"/>
    <w:rsid w:val="4FEB05F9"/>
    <w:rsid w:val="500246AF"/>
    <w:rsid w:val="508A3BF0"/>
    <w:rsid w:val="50904C58"/>
    <w:rsid w:val="50A81DF5"/>
    <w:rsid w:val="5108658C"/>
    <w:rsid w:val="516139B9"/>
    <w:rsid w:val="51E147FF"/>
    <w:rsid w:val="51F81C52"/>
    <w:rsid w:val="52685BFF"/>
    <w:rsid w:val="52C735C9"/>
    <w:rsid w:val="52DF2675"/>
    <w:rsid w:val="5319685C"/>
    <w:rsid w:val="534D6F3A"/>
    <w:rsid w:val="54524841"/>
    <w:rsid w:val="54586224"/>
    <w:rsid w:val="545D3551"/>
    <w:rsid w:val="549813C6"/>
    <w:rsid w:val="54A95AAD"/>
    <w:rsid w:val="54D30566"/>
    <w:rsid w:val="54E71501"/>
    <w:rsid w:val="550F6DEF"/>
    <w:rsid w:val="5548347C"/>
    <w:rsid w:val="555715A1"/>
    <w:rsid w:val="5589040A"/>
    <w:rsid w:val="561C526B"/>
    <w:rsid w:val="56274336"/>
    <w:rsid w:val="572E6470"/>
    <w:rsid w:val="57F03798"/>
    <w:rsid w:val="57FB6FA7"/>
    <w:rsid w:val="581A1183"/>
    <w:rsid w:val="582043C8"/>
    <w:rsid w:val="582B13C9"/>
    <w:rsid w:val="587E08A4"/>
    <w:rsid w:val="58BD7043"/>
    <w:rsid w:val="58E41E97"/>
    <w:rsid w:val="58E431DE"/>
    <w:rsid w:val="59A7315D"/>
    <w:rsid w:val="59B750D3"/>
    <w:rsid w:val="59E37812"/>
    <w:rsid w:val="5A4E2167"/>
    <w:rsid w:val="5A530A45"/>
    <w:rsid w:val="5A8E76D5"/>
    <w:rsid w:val="5B494593"/>
    <w:rsid w:val="5BD36DDE"/>
    <w:rsid w:val="5BEB3275"/>
    <w:rsid w:val="5C203BB9"/>
    <w:rsid w:val="5C515ABE"/>
    <w:rsid w:val="5C6A2A6A"/>
    <w:rsid w:val="5C8872E6"/>
    <w:rsid w:val="5CBE02FB"/>
    <w:rsid w:val="5CE906B8"/>
    <w:rsid w:val="5D0E5E2D"/>
    <w:rsid w:val="5D7861A9"/>
    <w:rsid w:val="5D881A87"/>
    <w:rsid w:val="5DC536C0"/>
    <w:rsid w:val="5E661FBF"/>
    <w:rsid w:val="5E9251CC"/>
    <w:rsid w:val="5EBB61B3"/>
    <w:rsid w:val="5EC358BB"/>
    <w:rsid w:val="5F9345E5"/>
    <w:rsid w:val="5FBF3EF9"/>
    <w:rsid w:val="5FF0177B"/>
    <w:rsid w:val="60022DF8"/>
    <w:rsid w:val="60144A26"/>
    <w:rsid w:val="605D36BD"/>
    <w:rsid w:val="60B4525C"/>
    <w:rsid w:val="61205FDC"/>
    <w:rsid w:val="612B3FBC"/>
    <w:rsid w:val="6135506A"/>
    <w:rsid w:val="614B2254"/>
    <w:rsid w:val="61526762"/>
    <w:rsid w:val="61916A9D"/>
    <w:rsid w:val="61FC05F9"/>
    <w:rsid w:val="623141BC"/>
    <w:rsid w:val="629C433B"/>
    <w:rsid w:val="64057C11"/>
    <w:rsid w:val="641343AF"/>
    <w:rsid w:val="64C9413E"/>
    <w:rsid w:val="653C56F2"/>
    <w:rsid w:val="65900447"/>
    <w:rsid w:val="664B508F"/>
    <w:rsid w:val="66903B07"/>
    <w:rsid w:val="66BC4698"/>
    <w:rsid w:val="67166BAB"/>
    <w:rsid w:val="67351BD0"/>
    <w:rsid w:val="67B21E75"/>
    <w:rsid w:val="67C4070B"/>
    <w:rsid w:val="685B3E4C"/>
    <w:rsid w:val="694C29D8"/>
    <w:rsid w:val="69AA183C"/>
    <w:rsid w:val="69DD7DAF"/>
    <w:rsid w:val="6A0E3F9D"/>
    <w:rsid w:val="6A97330F"/>
    <w:rsid w:val="6AD02D5F"/>
    <w:rsid w:val="6B6415A6"/>
    <w:rsid w:val="6B6E37FE"/>
    <w:rsid w:val="6BA65A0D"/>
    <w:rsid w:val="6BBA3B00"/>
    <w:rsid w:val="6BFB03A0"/>
    <w:rsid w:val="6C195B91"/>
    <w:rsid w:val="6CDC0B9B"/>
    <w:rsid w:val="6D7D5A3F"/>
    <w:rsid w:val="6D8654FF"/>
    <w:rsid w:val="6DA10BA2"/>
    <w:rsid w:val="6E3409A6"/>
    <w:rsid w:val="6E8D2754"/>
    <w:rsid w:val="6EBD38D4"/>
    <w:rsid w:val="6EE3165D"/>
    <w:rsid w:val="6FB2109D"/>
    <w:rsid w:val="706758D9"/>
    <w:rsid w:val="70D80F66"/>
    <w:rsid w:val="711337CF"/>
    <w:rsid w:val="71D53044"/>
    <w:rsid w:val="730A62E3"/>
    <w:rsid w:val="730A6625"/>
    <w:rsid w:val="7322091B"/>
    <w:rsid w:val="737B70AE"/>
    <w:rsid w:val="73D561DB"/>
    <w:rsid w:val="7430248D"/>
    <w:rsid w:val="744233FF"/>
    <w:rsid w:val="74741B80"/>
    <w:rsid w:val="747E4CD7"/>
    <w:rsid w:val="74A67693"/>
    <w:rsid w:val="74B31662"/>
    <w:rsid w:val="74FA71E2"/>
    <w:rsid w:val="75186268"/>
    <w:rsid w:val="75440FB3"/>
    <w:rsid w:val="75534144"/>
    <w:rsid w:val="756B435B"/>
    <w:rsid w:val="762067B4"/>
    <w:rsid w:val="763A0126"/>
    <w:rsid w:val="768B50C1"/>
    <w:rsid w:val="76EA5B96"/>
    <w:rsid w:val="77690619"/>
    <w:rsid w:val="77745376"/>
    <w:rsid w:val="77926222"/>
    <w:rsid w:val="78022C45"/>
    <w:rsid w:val="783E00F7"/>
    <w:rsid w:val="787C1C94"/>
    <w:rsid w:val="78800341"/>
    <w:rsid w:val="789E6F19"/>
    <w:rsid w:val="78AF0D10"/>
    <w:rsid w:val="78E8265F"/>
    <w:rsid w:val="78F92CAF"/>
    <w:rsid w:val="790B2F7B"/>
    <w:rsid w:val="79382A2A"/>
    <w:rsid w:val="79D52956"/>
    <w:rsid w:val="79FF6408"/>
    <w:rsid w:val="7A3E01F1"/>
    <w:rsid w:val="7A8F4528"/>
    <w:rsid w:val="7B2819A1"/>
    <w:rsid w:val="7BA56699"/>
    <w:rsid w:val="7BA8552F"/>
    <w:rsid w:val="7BA9056E"/>
    <w:rsid w:val="7BE332F2"/>
    <w:rsid w:val="7C2E468E"/>
    <w:rsid w:val="7CBB67ED"/>
    <w:rsid w:val="7CD53DEE"/>
    <w:rsid w:val="7CE04990"/>
    <w:rsid w:val="7D536A50"/>
    <w:rsid w:val="7D6B1DE0"/>
    <w:rsid w:val="7D7854F4"/>
    <w:rsid w:val="7D8E7103"/>
    <w:rsid w:val="7D9A6628"/>
    <w:rsid w:val="7DB73250"/>
    <w:rsid w:val="7DC10D75"/>
    <w:rsid w:val="7DEA4B23"/>
    <w:rsid w:val="7E864B9A"/>
    <w:rsid w:val="7EDA7B13"/>
    <w:rsid w:val="7EDC1F2C"/>
    <w:rsid w:val="7EFB3638"/>
    <w:rsid w:val="7F5B4861"/>
    <w:rsid w:val="7F676689"/>
    <w:rsid w:val="7F71645B"/>
    <w:rsid w:val="7FAB531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0"/>
    <w:pPr>
      <w:autoSpaceDE w:val="0"/>
      <w:autoSpaceDN w:val="0"/>
      <w:adjustRightInd w:val="0"/>
      <w:snapToGrid w:val="0"/>
      <w:spacing w:line="360" w:lineRule="auto"/>
      <w:ind w:left="3945" w:hanging="1320"/>
      <w:jc w:val="center"/>
      <w:outlineLvl w:val="0"/>
    </w:pPr>
    <w:rPr>
      <w:rFonts w:eastAsia="黑体"/>
      <w:sz w:val="44"/>
    </w:rPr>
  </w:style>
  <w:style w:type="paragraph" w:styleId="4">
    <w:name w:val="heading 2"/>
    <w:basedOn w:val="1"/>
    <w:next w:val="1"/>
    <w:link w:val="67"/>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rPr>
  </w:style>
  <w:style w:type="paragraph" w:styleId="2">
    <w:name w:val="heading 3"/>
    <w:basedOn w:val="1"/>
    <w:next w:val="1"/>
    <w:link w:val="68"/>
    <w:qFormat/>
    <w:uiPriority w:val="0"/>
    <w:pPr>
      <w:autoSpaceDE w:val="0"/>
      <w:autoSpaceDN w:val="0"/>
      <w:adjustRightInd w:val="0"/>
      <w:spacing w:before="16"/>
      <w:jc w:val="left"/>
      <w:outlineLvl w:val="2"/>
    </w:pPr>
    <w:rPr>
      <w:rFonts w:ascii="仿宋_GB2312" w:eastAsia="仿宋_GB2312"/>
      <w:b/>
      <w:kern w:val="0"/>
      <w:sz w:val="24"/>
    </w:rPr>
  </w:style>
  <w:style w:type="paragraph" w:styleId="5">
    <w:name w:val="heading 4"/>
    <w:basedOn w:val="1"/>
    <w:next w:val="1"/>
    <w:link w:val="69"/>
    <w:qFormat/>
    <w:uiPriority w:val="0"/>
    <w:pPr>
      <w:jc w:val="center"/>
      <w:outlineLvl w:val="3"/>
    </w:pPr>
  </w:style>
  <w:style w:type="paragraph" w:styleId="6">
    <w:name w:val="heading 5"/>
    <w:basedOn w:val="1"/>
    <w:next w:val="1"/>
    <w:link w:val="70"/>
    <w:qFormat/>
    <w:uiPriority w:val="0"/>
    <w:pPr>
      <w:keepNext/>
      <w:keepLines/>
      <w:spacing w:before="280" w:after="290" w:line="374" w:lineRule="auto"/>
      <w:outlineLvl w:val="4"/>
    </w:pPr>
    <w:rPr>
      <w:b/>
      <w:sz w:val="28"/>
    </w:rPr>
  </w:style>
  <w:style w:type="paragraph" w:styleId="7">
    <w:name w:val="heading 6"/>
    <w:basedOn w:val="1"/>
    <w:next w:val="1"/>
    <w:link w:val="71"/>
    <w:qFormat/>
    <w:uiPriority w:val="0"/>
    <w:pPr>
      <w:keepNext/>
      <w:keepLines/>
      <w:spacing w:before="240" w:after="64" w:line="319" w:lineRule="auto"/>
      <w:outlineLvl w:val="5"/>
    </w:pPr>
    <w:rPr>
      <w:rFonts w:ascii="Arial" w:hAnsi="Arial" w:eastAsia="黑体"/>
      <w:b/>
      <w:sz w:val="24"/>
    </w:rPr>
  </w:style>
  <w:style w:type="paragraph" w:styleId="8">
    <w:name w:val="heading 7"/>
    <w:basedOn w:val="1"/>
    <w:next w:val="1"/>
    <w:link w:val="72"/>
    <w:qFormat/>
    <w:uiPriority w:val="0"/>
    <w:pPr>
      <w:keepNext/>
      <w:keepLines/>
      <w:spacing w:before="240" w:after="64" w:line="319" w:lineRule="auto"/>
      <w:outlineLvl w:val="6"/>
    </w:pPr>
    <w:rPr>
      <w:b/>
      <w:sz w:val="24"/>
    </w:rPr>
  </w:style>
  <w:style w:type="paragraph" w:styleId="9">
    <w:name w:val="heading 8"/>
    <w:basedOn w:val="1"/>
    <w:next w:val="1"/>
    <w:link w:val="73"/>
    <w:qFormat/>
    <w:uiPriority w:val="0"/>
    <w:pPr>
      <w:keepNext/>
      <w:keepLines/>
      <w:spacing w:before="240" w:after="64" w:line="319" w:lineRule="auto"/>
      <w:outlineLvl w:val="7"/>
    </w:pPr>
    <w:rPr>
      <w:rFonts w:ascii="Arial" w:hAnsi="Arial" w:eastAsia="黑体"/>
      <w:sz w:val="24"/>
    </w:rPr>
  </w:style>
  <w:style w:type="paragraph" w:styleId="10">
    <w:name w:val="heading 9"/>
    <w:basedOn w:val="1"/>
    <w:next w:val="1"/>
    <w:link w:val="74"/>
    <w:qFormat/>
    <w:uiPriority w:val="0"/>
    <w:pPr>
      <w:keepNext/>
      <w:keepLines/>
      <w:spacing w:before="240" w:after="64" w:line="319" w:lineRule="auto"/>
      <w:outlineLvl w:val="8"/>
    </w:pPr>
    <w:rPr>
      <w:rFonts w:ascii="Arial" w:hAnsi="Arial" w:eastAsia="黑体"/>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12">
    <w:name w:val="caption"/>
    <w:basedOn w:val="1"/>
    <w:next w:val="1"/>
    <w:qFormat/>
    <w:uiPriority w:val="0"/>
    <w:rPr>
      <w:rFonts w:ascii="Cambria" w:hAnsi="Cambria" w:eastAsia="黑体"/>
      <w:sz w:val="20"/>
    </w:rPr>
  </w:style>
  <w:style w:type="paragraph" w:styleId="13">
    <w:name w:val="Document Map"/>
    <w:basedOn w:val="1"/>
    <w:link w:val="76"/>
    <w:qFormat/>
    <w:uiPriority w:val="0"/>
    <w:pPr>
      <w:shd w:val="clear" w:color="auto" w:fill="000080"/>
    </w:pPr>
  </w:style>
  <w:style w:type="paragraph" w:styleId="14">
    <w:name w:val="annotation text"/>
    <w:basedOn w:val="1"/>
    <w:link w:val="77"/>
    <w:qFormat/>
    <w:uiPriority w:val="99"/>
    <w:pPr>
      <w:adjustRightInd w:val="0"/>
      <w:spacing w:line="360" w:lineRule="atLeast"/>
      <w:jc w:val="left"/>
      <w:textAlignment w:val="baseline"/>
    </w:pPr>
    <w:rPr>
      <w:kern w:val="0"/>
      <w:sz w:val="24"/>
    </w:rPr>
  </w:style>
  <w:style w:type="paragraph" w:styleId="15">
    <w:name w:val="Body Text 3"/>
    <w:basedOn w:val="1"/>
    <w:link w:val="78"/>
    <w:qFormat/>
    <w:uiPriority w:val="0"/>
    <w:pPr>
      <w:spacing w:after="120"/>
    </w:pPr>
    <w:rPr>
      <w:sz w:val="16"/>
    </w:rPr>
  </w:style>
  <w:style w:type="paragraph" w:styleId="16">
    <w:name w:val="Body Text"/>
    <w:basedOn w:val="1"/>
    <w:next w:val="1"/>
    <w:link w:val="65"/>
    <w:qFormat/>
    <w:uiPriority w:val="0"/>
    <w:rPr>
      <w:sz w:val="26"/>
    </w:rPr>
  </w:style>
  <w:style w:type="paragraph" w:styleId="17">
    <w:name w:val="Body Text Indent"/>
    <w:basedOn w:val="1"/>
    <w:link w:val="79"/>
    <w:qFormat/>
    <w:uiPriority w:val="0"/>
    <w:pPr>
      <w:spacing w:line="360" w:lineRule="auto"/>
      <w:ind w:firstLine="560" w:firstLineChars="200"/>
    </w:pPr>
    <w:rPr>
      <w:rFonts w:ascii="黑体" w:hAnsi="宋体" w:eastAsia="黑体"/>
      <w:color w:val="000000"/>
      <w:sz w:val="28"/>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index 4"/>
    <w:basedOn w:val="1"/>
    <w:next w:val="1"/>
    <w:qFormat/>
    <w:uiPriority w:val="0"/>
    <w:pPr>
      <w:ind w:left="600" w:leftChars="600"/>
    </w:pPr>
    <w:rPr>
      <w:szCs w:val="24"/>
    </w:rPr>
  </w:style>
  <w:style w:type="paragraph" w:styleId="20">
    <w:name w:val="toc 5"/>
    <w:basedOn w:val="1"/>
    <w:next w:val="1"/>
    <w:qFormat/>
    <w:uiPriority w:val="0"/>
    <w:pPr>
      <w:tabs>
        <w:tab w:val="right" w:leader="dot" w:pos="8296"/>
      </w:tabs>
      <w:ind w:left="1050" w:leftChars="500"/>
    </w:pPr>
  </w:style>
  <w:style w:type="paragraph" w:styleId="21">
    <w:name w:val="toc 3"/>
    <w:basedOn w:val="1"/>
    <w:next w:val="1"/>
    <w:unhideWhenUsed/>
    <w:qFormat/>
    <w:uiPriority w:val="39"/>
    <w:pPr>
      <w:ind w:left="840" w:leftChars="400"/>
    </w:pPr>
  </w:style>
  <w:style w:type="paragraph" w:styleId="22">
    <w:name w:val="Plain Text"/>
    <w:basedOn w:val="1"/>
    <w:next w:val="23"/>
    <w:link w:val="82"/>
    <w:qFormat/>
    <w:uiPriority w:val="0"/>
    <w:rPr>
      <w:rFonts w:ascii="宋体" w:hAnsi="Courier New"/>
      <w:sz w:val="28"/>
    </w:rPr>
  </w:style>
  <w:style w:type="paragraph" w:styleId="23">
    <w:name w:val="Body Text Indent 2"/>
    <w:basedOn w:val="1"/>
    <w:next w:val="24"/>
    <w:link w:val="85"/>
    <w:qFormat/>
    <w:uiPriority w:val="0"/>
    <w:pPr>
      <w:ind w:left="1005" w:hanging="1005"/>
    </w:pPr>
    <w:rPr>
      <w:rFonts w:eastAsia="仿宋_GB2312"/>
      <w:sz w:val="32"/>
    </w:rPr>
  </w:style>
  <w:style w:type="paragraph" w:customStyle="1" w:styleId="24">
    <w:name w:val="z正文"/>
    <w:basedOn w:val="22"/>
    <w:qFormat/>
    <w:uiPriority w:val="0"/>
    <w:pPr>
      <w:tabs>
        <w:tab w:val="left" w:pos="525"/>
      </w:tabs>
      <w:snapToGrid w:val="0"/>
      <w:spacing w:line="360" w:lineRule="auto"/>
    </w:pPr>
    <w:rPr>
      <w:rFonts w:ascii="Times New Roman" w:hAnsi="宋体"/>
      <w:sz w:val="24"/>
      <w:szCs w:val="24"/>
    </w:rPr>
  </w:style>
  <w:style w:type="paragraph" w:styleId="25">
    <w:name w:val="Date"/>
    <w:basedOn w:val="1"/>
    <w:next w:val="1"/>
    <w:link w:val="84"/>
    <w:qFormat/>
    <w:uiPriority w:val="0"/>
    <w:pPr>
      <w:ind w:left="100" w:leftChars="2500"/>
    </w:pPr>
  </w:style>
  <w:style w:type="paragraph" w:styleId="26">
    <w:name w:val="endnote text"/>
    <w:basedOn w:val="1"/>
    <w:link w:val="86"/>
    <w:qFormat/>
    <w:uiPriority w:val="0"/>
    <w:pPr>
      <w:widowControl/>
      <w:snapToGrid w:val="0"/>
      <w:jc w:val="left"/>
    </w:pPr>
    <w:rPr>
      <w:rFonts w:ascii="Arial" w:hAnsi="Arial"/>
      <w:kern w:val="0"/>
      <w:sz w:val="20"/>
      <w:szCs w:val="24"/>
      <w:lang w:eastAsia="en-US"/>
    </w:rPr>
  </w:style>
  <w:style w:type="paragraph" w:styleId="27">
    <w:name w:val="Balloon Text"/>
    <w:basedOn w:val="1"/>
    <w:link w:val="87"/>
    <w:qFormat/>
    <w:uiPriority w:val="0"/>
    <w:rPr>
      <w:sz w:val="18"/>
    </w:rPr>
  </w:style>
  <w:style w:type="paragraph" w:styleId="28">
    <w:name w:val="footer"/>
    <w:basedOn w:val="1"/>
    <w:next w:val="1"/>
    <w:link w:val="88"/>
    <w:qFormat/>
    <w:uiPriority w:val="0"/>
    <w:pPr>
      <w:tabs>
        <w:tab w:val="center" w:pos="4153"/>
        <w:tab w:val="right" w:pos="8306"/>
      </w:tabs>
      <w:snapToGrid w:val="0"/>
      <w:jc w:val="left"/>
    </w:pPr>
    <w:rPr>
      <w:sz w:val="18"/>
    </w:rPr>
  </w:style>
  <w:style w:type="paragraph" w:styleId="29">
    <w:name w:val="header"/>
    <w:basedOn w:val="1"/>
    <w:link w:val="89"/>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style>
  <w:style w:type="paragraph" w:styleId="31">
    <w:name w:val="toc 4"/>
    <w:basedOn w:val="1"/>
    <w:next w:val="1"/>
    <w:qFormat/>
    <w:uiPriority w:val="0"/>
    <w:pPr>
      <w:tabs>
        <w:tab w:val="left" w:pos="1890"/>
        <w:tab w:val="right" w:leader="dot" w:pos="8296"/>
      </w:tabs>
      <w:ind w:left="630" w:leftChars="300"/>
    </w:pPr>
  </w:style>
  <w:style w:type="paragraph" w:styleId="32">
    <w:name w:val="Subtitle"/>
    <w:basedOn w:val="1"/>
    <w:link w:val="92"/>
    <w:qFormat/>
    <w:uiPriority w:val="0"/>
    <w:pPr>
      <w:widowControl/>
      <w:jc w:val="center"/>
    </w:pPr>
    <w:rPr>
      <w:sz w:val="24"/>
      <w:u w:val="single"/>
      <w:lang w:eastAsia="en-US"/>
    </w:rPr>
  </w:style>
  <w:style w:type="paragraph" w:styleId="33">
    <w:name w:val="List"/>
    <w:basedOn w:val="1"/>
    <w:semiHidden/>
    <w:qFormat/>
    <w:uiPriority w:val="0"/>
    <w:pPr>
      <w:ind w:left="200" w:hanging="200" w:hangingChars="200"/>
    </w:pPr>
  </w:style>
  <w:style w:type="paragraph" w:styleId="34">
    <w:name w:val="footnote text"/>
    <w:basedOn w:val="1"/>
    <w:link w:val="93"/>
    <w:qFormat/>
    <w:uiPriority w:val="0"/>
    <w:pPr>
      <w:snapToGrid w:val="0"/>
      <w:jc w:val="left"/>
    </w:pPr>
    <w:rPr>
      <w:sz w:val="18"/>
    </w:rPr>
  </w:style>
  <w:style w:type="paragraph" w:styleId="35">
    <w:name w:val="Body Text Indent 3"/>
    <w:basedOn w:val="1"/>
    <w:link w:val="95"/>
    <w:qFormat/>
    <w:uiPriority w:val="0"/>
    <w:pPr>
      <w:spacing w:after="120"/>
      <w:ind w:left="420" w:leftChars="200"/>
    </w:pPr>
    <w:rPr>
      <w:sz w:val="16"/>
    </w:rPr>
  </w:style>
  <w:style w:type="paragraph" w:styleId="36">
    <w:name w:val="toc 2"/>
    <w:basedOn w:val="1"/>
    <w:next w:val="1"/>
    <w:unhideWhenUsed/>
    <w:qFormat/>
    <w:uiPriority w:val="39"/>
    <w:pPr>
      <w:ind w:left="420" w:leftChars="200"/>
    </w:pPr>
  </w:style>
  <w:style w:type="paragraph" w:styleId="37">
    <w:name w:val="Body Text 2"/>
    <w:basedOn w:val="1"/>
    <w:link w:val="98"/>
    <w:qFormat/>
    <w:uiPriority w:val="0"/>
    <w:rPr>
      <w:i/>
      <w:sz w:val="26"/>
    </w:rPr>
  </w:style>
  <w:style w:type="paragraph" w:styleId="38">
    <w:name w:val="HTML Preformatted"/>
    <w:basedOn w:val="1"/>
    <w:link w:val="9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szCs w:val="24"/>
    </w:rPr>
  </w:style>
  <w:style w:type="paragraph" w:styleId="39">
    <w:name w:val="Normal (Web)"/>
    <w:basedOn w:val="1"/>
    <w:qFormat/>
    <w:uiPriority w:val="0"/>
    <w:pPr>
      <w:widowControl/>
      <w:spacing w:before="100" w:beforeAutospacing="1" w:after="100" w:afterAutospacing="1"/>
      <w:jc w:val="left"/>
    </w:pPr>
    <w:rPr>
      <w:kern w:val="0"/>
      <w:sz w:val="24"/>
    </w:rPr>
  </w:style>
  <w:style w:type="paragraph" w:styleId="40">
    <w:name w:val="index 1"/>
    <w:basedOn w:val="1"/>
    <w:next w:val="1"/>
    <w:qFormat/>
    <w:uiPriority w:val="0"/>
  </w:style>
  <w:style w:type="paragraph" w:styleId="41">
    <w:name w:val="Title"/>
    <w:basedOn w:val="1"/>
    <w:next w:val="1"/>
    <w:link w:val="100"/>
    <w:qFormat/>
    <w:uiPriority w:val="0"/>
    <w:pPr>
      <w:widowControl/>
      <w:jc w:val="center"/>
    </w:pPr>
    <w:rPr>
      <w:kern w:val="0"/>
      <w:sz w:val="20"/>
      <w:szCs w:val="24"/>
      <w:u w:val="single"/>
      <w:lang w:eastAsia="en-US"/>
    </w:rPr>
  </w:style>
  <w:style w:type="paragraph" w:styleId="42">
    <w:name w:val="annotation subject"/>
    <w:basedOn w:val="14"/>
    <w:next w:val="14"/>
    <w:link w:val="101"/>
    <w:qFormat/>
    <w:uiPriority w:val="0"/>
    <w:pPr>
      <w:adjustRightInd/>
      <w:spacing w:line="240" w:lineRule="auto"/>
      <w:textAlignment w:val="auto"/>
    </w:pPr>
  </w:style>
  <w:style w:type="paragraph" w:styleId="43">
    <w:name w:val="Body Text First Indent"/>
    <w:basedOn w:val="16"/>
    <w:next w:val="23"/>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qFormat/>
    <w:uiPriority w:val="0"/>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unhideWhenUsed/>
    <w:qFormat/>
    <w:uiPriority w:val="0"/>
    <w:rPr>
      <w:color w:val="800080"/>
      <w:u w:val="none"/>
    </w:rPr>
  </w:style>
  <w:style w:type="character" w:styleId="51">
    <w:name w:val="Emphasis"/>
    <w:qFormat/>
    <w:uiPriority w:val="0"/>
    <w:rPr>
      <w:i/>
      <w:iCs/>
    </w:rPr>
  </w:style>
  <w:style w:type="character" w:styleId="52">
    <w:name w:val="HTML Definition"/>
    <w:basedOn w:val="46"/>
    <w:unhideWhenUsed/>
    <w:qFormat/>
    <w:uiPriority w:val="0"/>
  </w:style>
  <w:style w:type="character" w:styleId="53">
    <w:name w:val="HTML Typewriter"/>
    <w:basedOn w:val="46"/>
    <w:unhideWhenUsed/>
    <w:qFormat/>
    <w:uiPriority w:val="0"/>
    <w:rPr>
      <w:rFonts w:hint="default" w:ascii="monospace" w:hAnsi="monospace" w:eastAsia="monospace" w:cs="monospace"/>
      <w:sz w:val="20"/>
    </w:rPr>
  </w:style>
  <w:style w:type="character" w:styleId="54">
    <w:name w:val="HTML Acronym"/>
    <w:basedOn w:val="46"/>
    <w:unhideWhenUsed/>
    <w:qFormat/>
    <w:uiPriority w:val="0"/>
  </w:style>
  <w:style w:type="character" w:styleId="55">
    <w:name w:val="HTML Variable"/>
    <w:basedOn w:val="46"/>
    <w:unhideWhenUsed/>
    <w:qFormat/>
    <w:uiPriority w:val="0"/>
  </w:style>
  <w:style w:type="character" w:styleId="56">
    <w:name w:val="Hyperlink"/>
    <w:qFormat/>
    <w:uiPriority w:val="99"/>
    <w:rPr>
      <w:color w:val="0000FF"/>
      <w:u w:val="single"/>
    </w:rPr>
  </w:style>
  <w:style w:type="character" w:styleId="57">
    <w:name w:val="HTML Code"/>
    <w:basedOn w:val="46"/>
    <w:unhideWhenUsed/>
    <w:qFormat/>
    <w:uiPriority w:val="0"/>
    <w:rPr>
      <w:rFonts w:hint="default" w:ascii="monospace" w:hAnsi="monospace" w:eastAsia="monospace" w:cs="monospace"/>
      <w:sz w:val="20"/>
    </w:rPr>
  </w:style>
  <w:style w:type="character" w:styleId="58">
    <w:name w:val="annotation reference"/>
    <w:qFormat/>
    <w:uiPriority w:val="0"/>
    <w:rPr>
      <w:sz w:val="21"/>
    </w:rPr>
  </w:style>
  <w:style w:type="character" w:styleId="59">
    <w:name w:val="HTML Cite"/>
    <w:basedOn w:val="46"/>
    <w:unhideWhenUsed/>
    <w:qFormat/>
    <w:uiPriority w:val="0"/>
  </w:style>
  <w:style w:type="character" w:styleId="60">
    <w:name w:val="footnote reference"/>
    <w:qFormat/>
    <w:uiPriority w:val="0"/>
    <w:rPr>
      <w:vertAlign w:val="superscript"/>
    </w:rPr>
  </w:style>
  <w:style w:type="character" w:styleId="61">
    <w:name w:val="HTML Keyboard"/>
    <w:basedOn w:val="46"/>
    <w:unhideWhenUsed/>
    <w:qFormat/>
    <w:uiPriority w:val="0"/>
    <w:rPr>
      <w:rFonts w:hint="default" w:ascii="monospace" w:hAnsi="monospace" w:eastAsia="monospace" w:cs="monospace"/>
      <w:sz w:val="20"/>
    </w:rPr>
  </w:style>
  <w:style w:type="character" w:styleId="62">
    <w:name w:val="HTML Sample"/>
    <w:basedOn w:val="46"/>
    <w:unhideWhenUsed/>
    <w:qFormat/>
    <w:uiPriority w:val="0"/>
    <w:rPr>
      <w:rFonts w:ascii="monospace" w:hAnsi="monospace" w:eastAsia="monospace" w:cs="monospace"/>
    </w:rPr>
  </w:style>
  <w:style w:type="paragraph" w:customStyle="1" w:styleId="63">
    <w:name w:val="无间隔2"/>
    <w:basedOn w:val="1"/>
    <w:qFormat/>
    <w:uiPriority w:val="0"/>
    <w:pPr>
      <w:spacing w:line="400" w:lineRule="exact"/>
    </w:pPr>
    <w:rPr>
      <w:sz w:val="24"/>
    </w:rPr>
  </w:style>
  <w:style w:type="paragraph" w:customStyle="1" w:styleId="6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65">
    <w:name w:val="正文文本 Char4"/>
    <w:link w:val="16"/>
    <w:qFormat/>
    <w:uiPriority w:val="0"/>
    <w:rPr>
      <w:kern w:val="2"/>
      <w:sz w:val="26"/>
    </w:rPr>
  </w:style>
  <w:style w:type="character" w:customStyle="1" w:styleId="66">
    <w:name w:val="标题 1 Char2"/>
    <w:link w:val="3"/>
    <w:qFormat/>
    <w:uiPriority w:val="0"/>
    <w:rPr>
      <w:rFonts w:eastAsia="黑体"/>
      <w:kern w:val="2"/>
      <w:sz w:val="44"/>
    </w:rPr>
  </w:style>
  <w:style w:type="character" w:customStyle="1" w:styleId="67">
    <w:name w:val="标题 2 Char2"/>
    <w:link w:val="4"/>
    <w:qFormat/>
    <w:uiPriority w:val="0"/>
    <w:rPr>
      <w:rFonts w:ascii="仿宋_GB2312" w:eastAsia="仿宋_GB2312"/>
      <w:b/>
      <w:spacing w:val="1"/>
      <w:w w:val="99"/>
      <w:sz w:val="28"/>
    </w:rPr>
  </w:style>
  <w:style w:type="character" w:customStyle="1" w:styleId="68">
    <w:name w:val="标题 3 Char2"/>
    <w:link w:val="2"/>
    <w:qFormat/>
    <w:uiPriority w:val="0"/>
    <w:rPr>
      <w:rFonts w:ascii="仿宋_GB2312" w:eastAsia="仿宋_GB2312"/>
      <w:b/>
      <w:sz w:val="24"/>
    </w:rPr>
  </w:style>
  <w:style w:type="character" w:customStyle="1" w:styleId="69">
    <w:name w:val="标题 4 Char2"/>
    <w:link w:val="5"/>
    <w:qFormat/>
    <w:uiPriority w:val="0"/>
    <w:rPr>
      <w:rFonts w:ascii="仿宋_GB2312" w:eastAsia="仿宋_GB2312"/>
      <w:b/>
      <w:sz w:val="24"/>
    </w:rPr>
  </w:style>
  <w:style w:type="character" w:customStyle="1" w:styleId="70">
    <w:name w:val="标题 5 Char2"/>
    <w:link w:val="6"/>
    <w:qFormat/>
    <w:uiPriority w:val="0"/>
    <w:rPr>
      <w:b/>
      <w:kern w:val="2"/>
      <w:sz w:val="28"/>
    </w:rPr>
  </w:style>
  <w:style w:type="character" w:customStyle="1" w:styleId="71">
    <w:name w:val="标题 6 Char2"/>
    <w:link w:val="7"/>
    <w:qFormat/>
    <w:uiPriority w:val="0"/>
    <w:rPr>
      <w:rFonts w:ascii="Arial" w:hAnsi="Arial" w:eastAsia="黑体"/>
      <w:b/>
      <w:kern w:val="2"/>
      <w:sz w:val="24"/>
    </w:rPr>
  </w:style>
  <w:style w:type="character" w:customStyle="1" w:styleId="72">
    <w:name w:val="标题 7 Char2"/>
    <w:link w:val="8"/>
    <w:qFormat/>
    <w:uiPriority w:val="0"/>
    <w:rPr>
      <w:b/>
      <w:kern w:val="2"/>
      <w:sz w:val="24"/>
    </w:rPr>
  </w:style>
  <w:style w:type="character" w:customStyle="1" w:styleId="73">
    <w:name w:val="标题 8 Char2"/>
    <w:link w:val="9"/>
    <w:qFormat/>
    <w:uiPriority w:val="0"/>
    <w:rPr>
      <w:rFonts w:ascii="Arial" w:hAnsi="Arial" w:eastAsia="黑体"/>
      <w:kern w:val="2"/>
      <w:sz w:val="24"/>
    </w:rPr>
  </w:style>
  <w:style w:type="character" w:customStyle="1" w:styleId="74">
    <w:name w:val="标题 9 Char2"/>
    <w:link w:val="10"/>
    <w:qFormat/>
    <w:uiPriority w:val="0"/>
    <w:rPr>
      <w:rFonts w:ascii="Arial" w:hAnsi="Arial" w:eastAsia="黑体"/>
      <w:kern w:val="2"/>
      <w:sz w:val="21"/>
    </w:rPr>
  </w:style>
  <w:style w:type="paragraph" w:customStyle="1" w:styleId="75">
    <w:name w:val="TOC 71"/>
    <w:basedOn w:val="1"/>
    <w:next w:val="1"/>
    <w:qFormat/>
    <w:uiPriority w:val="39"/>
    <w:pPr>
      <w:ind w:left="1260"/>
      <w:jc w:val="left"/>
    </w:pPr>
    <w:rPr>
      <w:rFonts w:ascii="Calibri" w:hAnsi="Calibri"/>
      <w:sz w:val="18"/>
    </w:rPr>
  </w:style>
  <w:style w:type="character" w:customStyle="1" w:styleId="76">
    <w:name w:val="文档结构图 Char4"/>
    <w:link w:val="13"/>
    <w:qFormat/>
    <w:uiPriority w:val="0"/>
    <w:rPr>
      <w:kern w:val="2"/>
      <w:sz w:val="21"/>
      <w:shd w:val="clear" w:color="auto" w:fill="000080"/>
    </w:rPr>
  </w:style>
  <w:style w:type="character" w:customStyle="1" w:styleId="77">
    <w:name w:val="批注文字 Char3"/>
    <w:link w:val="14"/>
    <w:qFormat/>
    <w:uiPriority w:val="99"/>
    <w:rPr>
      <w:sz w:val="24"/>
    </w:rPr>
  </w:style>
  <w:style w:type="character" w:customStyle="1" w:styleId="78">
    <w:name w:val="正文文本 3 Char3"/>
    <w:link w:val="15"/>
    <w:qFormat/>
    <w:uiPriority w:val="0"/>
    <w:rPr>
      <w:kern w:val="2"/>
      <w:sz w:val="16"/>
    </w:rPr>
  </w:style>
  <w:style w:type="character" w:customStyle="1" w:styleId="79">
    <w:name w:val="正文文本缩进 Char3"/>
    <w:link w:val="17"/>
    <w:qFormat/>
    <w:uiPriority w:val="0"/>
    <w:rPr>
      <w:rFonts w:ascii="黑体" w:hAnsi="宋体" w:eastAsia="黑体"/>
      <w:color w:val="000000"/>
      <w:kern w:val="2"/>
      <w:sz w:val="28"/>
    </w:rPr>
  </w:style>
  <w:style w:type="paragraph" w:customStyle="1" w:styleId="80">
    <w:name w:val="TOC 51"/>
    <w:basedOn w:val="1"/>
    <w:next w:val="1"/>
    <w:qFormat/>
    <w:uiPriority w:val="39"/>
    <w:pPr>
      <w:ind w:left="840"/>
      <w:jc w:val="left"/>
    </w:pPr>
    <w:rPr>
      <w:rFonts w:ascii="Calibri" w:hAnsi="Calibri"/>
      <w:sz w:val="18"/>
    </w:rPr>
  </w:style>
  <w:style w:type="paragraph" w:customStyle="1" w:styleId="81">
    <w:name w:val="TOC 31"/>
    <w:basedOn w:val="1"/>
    <w:next w:val="1"/>
    <w:qFormat/>
    <w:uiPriority w:val="39"/>
    <w:pPr>
      <w:ind w:left="420"/>
      <w:jc w:val="left"/>
    </w:pPr>
    <w:rPr>
      <w:rFonts w:ascii="Calibri" w:hAnsi="Calibri"/>
    </w:rPr>
  </w:style>
  <w:style w:type="character" w:customStyle="1" w:styleId="82">
    <w:name w:val="纯文本 Char3"/>
    <w:link w:val="22"/>
    <w:qFormat/>
    <w:uiPriority w:val="0"/>
    <w:rPr>
      <w:rFonts w:ascii="宋体" w:hAnsi="Courier New"/>
      <w:kern w:val="2"/>
      <w:sz w:val="28"/>
    </w:rPr>
  </w:style>
  <w:style w:type="paragraph" w:customStyle="1" w:styleId="83">
    <w:name w:val="TOC 81"/>
    <w:basedOn w:val="1"/>
    <w:next w:val="1"/>
    <w:qFormat/>
    <w:uiPriority w:val="39"/>
    <w:pPr>
      <w:ind w:left="1470"/>
      <w:jc w:val="left"/>
    </w:pPr>
    <w:rPr>
      <w:rFonts w:ascii="Calibri" w:hAnsi="Calibri"/>
      <w:sz w:val="18"/>
    </w:rPr>
  </w:style>
  <w:style w:type="character" w:customStyle="1" w:styleId="84">
    <w:name w:val="日期 Char4"/>
    <w:link w:val="25"/>
    <w:qFormat/>
    <w:uiPriority w:val="0"/>
    <w:rPr>
      <w:kern w:val="2"/>
      <w:sz w:val="21"/>
    </w:rPr>
  </w:style>
  <w:style w:type="character" w:customStyle="1" w:styleId="85">
    <w:name w:val="正文文本缩进 2 Char"/>
    <w:link w:val="23"/>
    <w:qFormat/>
    <w:uiPriority w:val="0"/>
    <w:rPr>
      <w:rFonts w:eastAsia="仿宋_GB2312"/>
      <w:kern w:val="2"/>
      <w:sz w:val="32"/>
      <w:lang w:val="en-US" w:eastAsia="zh-CN" w:bidi="ar-SA"/>
    </w:rPr>
  </w:style>
  <w:style w:type="character" w:customStyle="1" w:styleId="86">
    <w:name w:val="尾注文本 Char3"/>
    <w:link w:val="26"/>
    <w:qFormat/>
    <w:uiPriority w:val="0"/>
    <w:rPr>
      <w:rFonts w:ascii="Arial" w:hAnsi="Arial" w:cs="Arial"/>
      <w:szCs w:val="24"/>
      <w:lang w:eastAsia="en-US"/>
    </w:rPr>
  </w:style>
  <w:style w:type="character" w:customStyle="1" w:styleId="87">
    <w:name w:val="批注框文本 Char4"/>
    <w:link w:val="27"/>
    <w:qFormat/>
    <w:uiPriority w:val="0"/>
    <w:rPr>
      <w:kern w:val="2"/>
      <w:sz w:val="18"/>
    </w:rPr>
  </w:style>
  <w:style w:type="character" w:customStyle="1" w:styleId="88">
    <w:name w:val="页脚 Char2"/>
    <w:link w:val="28"/>
    <w:qFormat/>
    <w:uiPriority w:val="0"/>
    <w:rPr>
      <w:kern w:val="2"/>
      <w:sz w:val="18"/>
    </w:rPr>
  </w:style>
  <w:style w:type="character" w:customStyle="1" w:styleId="89">
    <w:name w:val="页眉 Char2"/>
    <w:link w:val="29"/>
    <w:qFormat/>
    <w:uiPriority w:val="0"/>
    <w:rPr>
      <w:kern w:val="2"/>
      <w:sz w:val="18"/>
    </w:rPr>
  </w:style>
  <w:style w:type="paragraph" w:customStyle="1" w:styleId="90">
    <w:name w:val="TOC 11"/>
    <w:basedOn w:val="1"/>
    <w:next w:val="1"/>
    <w:qFormat/>
    <w:uiPriority w:val="39"/>
    <w:pPr>
      <w:tabs>
        <w:tab w:val="left" w:pos="1260"/>
        <w:tab w:val="right" w:leader="dot" w:pos="8637"/>
      </w:tabs>
      <w:spacing w:before="120" w:after="120"/>
      <w:ind w:firstLine="588" w:firstLineChars="245"/>
      <w:jc w:val="left"/>
    </w:pPr>
    <w:rPr>
      <w:rFonts w:ascii="宋体" w:hAnsi="宋体"/>
      <w:caps/>
      <w:snapToGrid w:val="0"/>
      <w:kern w:val="0"/>
      <w:sz w:val="24"/>
    </w:rPr>
  </w:style>
  <w:style w:type="paragraph" w:customStyle="1" w:styleId="91">
    <w:name w:val="TOC 41"/>
    <w:basedOn w:val="1"/>
    <w:next w:val="1"/>
    <w:qFormat/>
    <w:uiPriority w:val="39"/>
    <w:pPr>
      <w:ind w:left="630"/>
      <w:jc w:val="left"/>
    </w:pPr>
    <w:rPr>
      <w:rFonts w:ascii="Calibri" w:hAnsi="Calibri"/>
      <w:sz w:val="18"/>
    </w:rPr>
  </w:style>
  <w:style w:type="character" w:customStyle="1" w:styleId="92">
    <w:name w:val="副标题 Char"/>
    <w:link w:val="32"/>
    <w:qFormat/>
    <w:locked/>
    <w:uiPriority w:val="0"/>
    <w:rPr>
      <w:kern w:val="2"/>
      <w:sz w:val="24"/>
      <w:u w:val="single"/>
      <w:lang w:eastAsia="en-US"/>
    </w:rPr>
  </w:style>
  <w:style w:type="character" w:customStyle="1" w:styleId="93">
    <w:name w:val="脚注文本 Char3"/>
    <w:link w:val="34"/>
    <w:qFormat/>
    <w:uiPriority w:val="0"/>
    <w:rPr>
      <w:kern w:val="2"/>
      <w:sz w:val="18"/>
    </w:rPr>
  </w:style>
  <w:style w:type="paragraph" w:customStyle="1" w:styleId="94">
    <w:name w:val="TOC 61"/>
    <w:basedOn w:val="1"/>
    <w:next w:val="1"/>
    <w:qFormat/>
    <w:uiPriority w:val="39"/>
    <w:pPr>
      <w:ind w:left="1050"/>
      <w:jc w:val="left"/>
    </w:pPr>
    <w:rPr>
      <w:rFonts w:ascii="Calibri" w:hAnsi="Calibri"/>
      <w:sz w:val="18"/>
    </w:rPr>
  </w:style>
  <w:style w:type="character" w:customStyle="1" w:styleId="95">
    <w:name w:val="正文文本缩进 3 Char3"/>
    <w:link w:val="35"/>
    <w:qFormat/>
    <w:uiPriority w:val="0"/>
    <w:rPr>
      <w:kern w:val="2"/>
      <w:sz w:val="16"/>
    </w:rPr>
  </w:style>
  <w:style w:type="paragraph" w:customStyle="1" w:styleId="96">
    <w:name w:val="TOC 21"/>
    <w:basedOn w:val="1"/>
    <w:next w:val="1"/>
    <w:qFormat/>
    <w:uiPriority w:val="39"/>
    <w:pPr>
      <w:tabs>
        <w:tab w:val="right" w:leader="dot" w:pos="8609"/>
      </w:tabs>
      <w:ind w:left="210"/>
      <w:jc w:val="distribute"/>
    </w:pPr>
    <w:rPr>
      <w:rFonts w:ascii="Calibri" w:hAnsi="Calibri"/>
      <w:smallCaps/>
    </w:rPr>
  </w:style>
  <w:style w:type="paragraph" w:customStyle="1" w:styleId="97">
    <w:name w:val="TOC 91"/>
    <w:basedOn w:val="1"/>
    <w:next w:val="1"/>
    <w:qFormat/>
    <w:uiPriority w:val="39"/>
    <w:pPr>
      <w:ind w:left="1680"/>
      <w:jc w:val="left"/>
    </w:pPr>
    <w:rPr>
      <w:rFonts w:ascii="Calibri" w:hAnsi="Calibri"/>
      <w:sz w:val="18"/>
    </w:rPr>
  </w:style>
  <w:style w:type="character" w:customStyle="1" w:styleId="98">
    <w:name w:val="正文文本 2 Char"/>
    <w:link w:val="37"/>
    <w:qFormat/>
    <w:uiPriority w:val="0"/>
    <w:rPr>
      <w:i/>
      <w:kern w:val="2"/>
      <w:sz w:val="26"/>
    </w:rPr>
  </w:style>
  <w:style w:type="character" w:customStyle="1" w:styleId="99">
    <w:name w:val="HTML 预设格式 Char3"/>
    <w:link w:val="38"/>
    <w:qFormat/>
    <w:uiPriority w:val="0"/>
    <w:rPr>
      <w:rFonts w:ascii="宋体" w:hAnsi="宋体" w:cs="宋体"/>
      <w:color w:val="000000"/>
      <w:sz w:val="24"/>
      <w:szCs w:val="24"/>
    </w:rPr>
  </w:style>
  <w:style w:type="character" w:customStyle="1" w:styleId="100">
    <w:name w:val="标题 Char3"/>
    <w:link w:val="41"/>
    <w:qFormat/>
    <w:uiPriority w:val="0"/>
    <w:rPr>
      <w:szCs w:val="24"/>
      <w:u w:val="single"/>
      <w:lang w:eastAsia="en-US"/>
    </w:rPr>
  </w:style>
  <w:style w:type="character" w:customStyle="1" w:styleId="101">
    <w:name w:val="批注主题 Char"/>
    <w:link w:val="42"/>
    <w:qFormat/>
    <w:uiPriority w:val="0"/>
  </w:style>
  <w:style w:type="paragraph" w:customStyle="1" w:styleId="102">
    <w:name w:val="正文文本首行缩进 21"/>
    <w:basedOn w:val="17"/>
    <w:qFormat/>
    <w:uiPriority w:val="0"/>
    <w:pPr>
      <w:spacing w:after="120" w:line="240" w:lineRule="auto"/>
      <w:ind w:left="420" w:leftChars="200" w:firstLine="420"/>
    </w:pPr>
    <w:rPr>
      <w:rFonts w:ascii="Times New Roman" w:hAnsi="Times New Roman" w:eastAsia="宋体"/>
      <w:color w:val="auto"/>
      <w:sz w:val="21"/>
    </w:rPr>
  </w:style>
  <w:style w:type="character" w:customStyle="1" w:styleId="103">
    <w:name w:val="访问过的超链接1"/>
    <w:qFormat/>
    <w:uiPriority w:val="0"/>
    <w:rPr>
      <w:color w:val="800080"/>
      <w:u w:val="single"/>
    </w:rPr>
  </w:style>
  <w:style w:type="character" w:customStyle="1" w:styleId="104">
    <w:name w:val="Char Char6"/>
    <w:qFormat/>
    <w:uiPriority w:val="0"/>
    <w:rPr>
      <w:sz w:val="24"/>
    </w:rPr>
  </w:style>
  <w:style w:type="character" w:customStyle="1" w:styleId="105">
    <w:name w:val="Char Char7"/>
    <w:qFormat/>
    <w:uiPriority w:val="0"/>
    <w:rPr>
      <w:kern w:val="2"/>
      <w:sz w:val="18"/>
    </w:rPr>
  </w:style>
  <w:style w:type="character" w:customStyle="1" w:styleId="106">
    <w:name w:val="Char Char8"/>
    <w:qFormat/>
    <w:uiPriority w:val="0"/>
    <w:rPr>
      <w:rFonts w:ascii="仿宋_GB2312" w:eastAsia="仿宋_GB2312"/>
      <w:b/>
      <w:sz w:val="24"/>
    </w:rPr>
  </w:style>
  <w:style w:type="character" w:customStyle="1" w:styleId="107">
    <w:name w:val="标题 9 Char1"/>
    <w:qFormat/>
    <w:uiPriority w:val="0"/>
    <w:rPr>
      <w:rFonts w:ascii="Times New Roman" w:hAnsi="Times New Roman" w:eastAsia="仿宋_GB2312" w:cs="Times New Roman"/>
      <w:sz w:val="30"/>
      <w:szCs w:val="20"/>
    </w:rPr>
  </w:style>
  <w:style w:type="character" w:customStyle="1" w:styleId="108">
    <w:name w:val="尾注文本 Char2"/>
    <w:semiHidden/>
    <w:qFormat/>
    <w:uiPriority w:val="99"/>
    <w:rPr>
      <w:rFonts w:ascii="Calibri" w:hAnsi="Calibri" w:eastAsia="宋体" w:cs="Times New Roman"/>
      <w:szCs w:val="24"/>
    </w:rPr>
  </w:style>
  <w:style w:type="character" w:customStyle="1" w:styleId="109">
    <w:name w:val="脚注文本 Char2"/>
    <w:semiHidden/>
    <w:qFormat/>
    <w:uiPriority w:val="99"/>
    <w:rPr>
      <w:rFonts w:ascii="Calibri" w:hAnsi="Calibri" w:eastAsia="宋体" w:cs="Times New Roman"/>
      <w:sz w:val="18"/>
      <w:szCs w:val="18"/>
    </w:rPr>
  </w:style>
  <w:style w:type="character" w:customStyle="1" w:styleId="110">
    <w:name w:val="批注文字 Char"/>
    <w:qFormat/>
    <w:uiPriority w:val="0"/>
    <w:rPr>
      <w:rFonts w:ascii="Times New Roman" w:hAnsi="Times New Roman" w:eastAsia="宋体" w:cs="Times New Roman"/>
      <w:kern w:val="2"/>
      <w:sz w:val="21"/>
      <w:szCs w:val="24"/>
    </w:rPr>
  </w:style>
  <w:style w:type="character" w:customStyle="1" w:styleId="111">
    <w:name w:val="明显引用 Char"/>
    <w:qFormat/>
    <w:uiPriority w:val="0"/>
    <w:rPr>
      <w:rFonts w:ascii="Times New Roman" w:hAnsi="Times New Roman" w:eastAsia="宋体" w:cs="Times New Roman"/>
      <w:b/>
      <w:bCs/>
      <w:i/>
      <w:iCs/>
      <w:color w:val="4F81BD"/>
      <w:kern w:val="2"/>
      <w:sz w:val="21"/>
      <w:szCs w:val="24"/>
    </w:rPr>
  </w:style>
  <w:style w:type="character" w:customStyle="1" w:styleId="112">
    <w:name w:val="不明显参考1"/>
    <w:qFormat/>
    <w:uiPriority w:val="0"/>
    <w:rPr>
      <w:smallCaps/>
      <w:color w:val="C0504D"/>
      <w:u w:val="single"/>
    </w:rPr>
  </w:style>
  <w:style w:type="character" w:customStyle="1" w:styleId="113">
    <w:name w:val="5号正文 Char"/>
    <w:link w:val="114"/>
    <w:qFormat/>
    <w:uiPriority w:val="0"/>
    <w:rPr>
      <w:rFonts w:ascii="宋体" w:hAnsi="宋体" w:eastAsia="Times New Roman"/>
      <w:snapToGrid w:val="0"/>
      <w:sz w:val="21"/>
      <w:szCs w:val="21"/>
      <w:lang w:val="en-US" w:eastAsia="zh-CN" w:bidi="ar-SA"/>
    </w:rPr>
  </w:style>
  <w:style w:type="paragraph" w:customStyle="1" w:styleId="114">
    <w:name w:val="5号正文"/>
    <w:link w:val="113"/>
    <w:qFormat/>
    <w:uiPriority w:val="0"/>
    <w:pPr>
      <w:widowControl w:val="0"/>
      <w:spacing w:line="360" w:lineRule="exact"/>
      <w:ind w:firstLine="420" w:firstLineChars="200"/>
      <w:jc w:val="both"/>
    </w:pPr>
    <w:rPr>
      <w:rFonts w:ascii="宋体" w:hAnsi="宋体" w:eastAsia="Times New Roman" w:cs="Times New Roman"/>
      <w:snapToGrid w:val="0"/>
      <w:sz w:val="21"/>
      <w:szCs w:val="21"/>
      <w:lang w:val="en-US" w:eastAsia="zh-CN" w:bidi="ar-SA"/>
    </w:rPr>
  </w:style>
  <w:style w:type="character" w:customStyle="1" w:styleId="115">
    <w:name w:val="明显引用 Char5"/>
    <w:qFormat/>
    <w:uiPriority w:val="30"/>
    <w:rPr>
      <w:b/>
      <w:bCs/>
      <w:i/>
      <w:iCs/>
      <w:color w:val="4F81BD"/>
      <w:kern w:val="2"/>
      <w:sz w:val="21"/>
    </w:rPr>
  </w:style>
  <w:style w:type="character" w:customStyle="1" w:styleId="116">
    <w:name w:val="ITTHEADER2 Char"/>
    <w:qFormat/>
    <w:uiPriority w:val="0"/>
    <w:rPr>
      <w:rFonts w:ascii="仿宋_GB2312" w:eastAsia="仿宋_GB2312" w:cs="MingLiU"/>
      <w:b/>
      <w:spacing w:val="1"/>
      <w:w w:val="99"/>
      <w:sz w:val="28"/>
      <w:szCs w:val="32"/>
      <w:lang w:val="en-US" w:eastAsia="zh-CN" w:bidi="ar-SA"/>
    </w:rPr>
  </w:style>
  <w:style w:type="character" w:customStyle="1" w:styleId="117">
    <w:name w:val="Char Char23"/>
    <w:qFormat/>
    <w:uiPriority w:val="0"/>
    <w:rPr>
      <w:rFonts w:ascii="Cambria" w:hAnsi="Cambria" w:eastAsia="宋体" w:cs="Times New Roman"/>
      <w:b/>
      <w:bCs/>
      <w:kern w:val="2"/>
      <w:sz w:val="32"/>
      <w:szCs w:val="32"/>
    </w:rPr>
  </w:style>
  <w:style w:type="character" w:customStyle="1" w:styleId="118">
    <w:name w:val="引用 Char"/>
    <w:link w:val="119"/>
    <w:qFormat/>
    <w:uiPriority w:val="0"/>
    <w:rPr>
      <w:i/>
      <w:iCs/>
      <w:color w:val="000000"/>
      <w:kern w:val="2"/>
      <w:sz w:val="21"/>
      <w:szCs w:val="24"/>
    </w:rPr>
  </w:style>
  <w:style w:type="paragraph" w:customStyle="1" w:styleId="119">
    <w:name w:val="引用2"/>
    <w:basedOn w:val="1"/>
    <w:next w:val="1"/>
    <w:link w:val="118"/>
    <w:qFormat/>
    <w:uiPriority w:val="0"/>
    <w:rPr>
      <w:i/>
      <w:iCs/>
      <w:color w:val="000000"/>
      <w:szCs w:val="24"/>
    </w:rPr>
  </w:style>
  <w:style w:type="character" w:customStyle="1" w:styleId="120">
    <w:name w:val="Char Char35"/>
    <w:qFormat/>
    <w:uiPriority w:val="0"/>
    <w:rPr>
      <w:rFonts w:ascii="仿宋_GB2312" w:eastAsia="仿宋_GB2312" w:cs="MingLiU"/>
      <w:b/>
      <w:sz w:val="24"/>
      <w:szCs w:val="28"/>
    </w:rPr>
  </w:style>
  <w:style w:type="character" w:customStyle="1" w:styleId="121">
    <w:name w:val="招标正文 Char"/>
    <w:link w:val="122"/>
    <w:qFormat/>
    <w:uiPriority w:val="0"/>
    <w:rPr>
      <w:rFonts w:eastAsia="宋体"/>
      <w:kern w:val="2"/>
      <w:sz w:val="21"/>
      <w:szCs w:val="18"/>
      <w:lang w:val="en-US" w:eastAsia="zh-CN" w:bidi="ar-SA"/>
    </w:rPr>
  </w:style>
  <w:style w:type="paragraph" w:customStyle="1" w:styleId="122">
    <w:name w:val="招标正文"/>
    <w:basedOn w:val="1"/>
    <w:link w:val="121"/>
    <w:qFormat/>
    <w:uiPriority w:val="0"/>
    <w:pPr>
      <w:spacing w:line="300" w:lineRule="auto"/>
      <w:ind w:firstLine="420" w:firstLineChars="200"/>
    </w:pPr>
    <w:rPr>
      <w:szCs w:val="18"/>
    </w:rPr>
  </w:style>
  <w:style w:type="character" w:customStyle="1" w:styleId="123">
    <w:name w:val="引用 Char5"/>
    <w:qFormat/>
    <w:uiPriority w:val="29"/>
    <w:rPr>
      <w:i/>
      <w:iCs/>
      <w:color w:val="000000"/>
      <w:kern w:val="2"/>
      <w:sz w:val="21"/>
    </w:rPr>
  </w:style>
  <w:style w:type="character" w:customStyle="1" w:styleId="124">
    <w:name w:val="引用 Char4"/>
    <w:link w:val="125"/>
    <w:qFormat/>
    <w:uiPriority w:val="0"/>
    <w:rPr>
      <w:i/>
      <w:iCs/>
      <w:color w:val="000000"/>
      <w:kern w:val="2"/>
      <w:sz w:val="21"/>
      <w:szCs w:val="22"/>
    </w:rPr>
  </w:style>
  <w:style w:type="paragraph" w:customStyle="1" w:styleId="125">
    <w:name w:val="Quote"/>
    <w:basedOn w:val="1"/>
    <w:next w:val="1"/>
    <w:link w:val="124"/>
    <w:qFormat/>
    <w:uiPriority w:val="0"/>
    <w:rPr>
      <w:i/>
      <w:iCs/>
      <w:color w:val="000000"/>
      <w:szCs w:val="22"/>
    </w:rPr>
  </w:style>
  <w:style w:type="character" w:customStyle="1" w:styleId="126">
    <w:name w:val="Char Char2"/>
    <w:qFormat/>
    <w:uiPriority w:val="0"/>
    <w:rPr>
      <w:kern w:val="2"/>
      <w:sz w:val="26"/>
    </w:rPr>
  </w:style>
  <w:style w:type="character" w:customStyle="1" w:styleId="127">
    <w:name w:val="副标题 Char3"/>
    <w:qFormat/>
    <w:uiPriority w:val="0"/>
    <w:rPr>
      <w:rFonts w:eastAsia="宋体"/>
      <w:szCs w:val="24"/>
      <w:u w:val="single"/>
      <w:lang w:val="en-US" w:eastAsia="en-US" w:bidi="ar-SA"/>
    </w:rPr>
  </w:style>
  <w:style w:type="character" w:customStyle="1" w:styleId="128">
    <w:name w:val="style31"/>
    <w:qFormat/>
    <w:uiPriority w:val="0"/>
    <w:rPr>
      <w:sz w:val="10"/>
      <w:szCs w:val="10"/>
    </w:rPr>
  </w:style>
  <w:style w:type="character" w:customStyle="1" w:styleId="129">
    <w:name w:val="尾注文本 Char1"/>
    <w:qFormat/>
    <w:uiPriority w:val="0"/>
    <w:rPr>
      <w:rFonts w:ascii="Arial" w:hAnsi="Arial" w:cs="Arial"/>
      <w:szCs w:val="24"/>
      <w:lang w:eastAsia="en-US"/>
    </w:rPr>
  </w:style>
  <w:style w:type="character" w:customStyle="1" w:styleId="130">
    <w:name w:val="HTML 预设格式 Char4"/>
    <w:qFormat/>
    <w:uiPriority w:val="0"/>
    <w:rPr>
      <w:rFonts w:ascii="Courier New" w:hAnsi="Courier New" w:cs="Courier New"/>
      <w:kern w:val="2"/>
    </w:rPr>
  </w:style>
  <w:style w:type="character" w:customStyle="1" w:styleId="131">
    <w:name w:val="标题 3 Char1"/>
    <w:qFormat/>
    <w:uiPriority w:val="0"/>
    <w:rPr>
      <w:rFonts w:ascii="Times New Roman" w:hAnsi="Times New Roman" w:eastAsia="宋体" w:cs="Times New Roman"/>
      <w:b/>
      <w:bCs/>
      <w:kern w:val="2"/>
      <w:sz w:val="32"/>
      <w:szCs w:val="32"/>
    </w:rPr>
  </w:style>
  <w:style w:type="character" w:customStyle="1" w:styleId="132">
    <w:name w:val="标题 6 Char"/>
    <w:qFormat/>
    <w:uiPriority w:val="0"/>
    <w:rPr>
      <w:rFonts w:ascii="Arial" w:hAnsi="Arial" w:eastAsia="黑体" w:cs="Times New Roman"/>
      <w:b/>
      <w:bCs/>
      <w:sz w:val="24"/>
      <w:szCs w:val="24"/>
    </w:rPr>
  </w:style>
  <w:style w:type="character" w:customStyle="1" w:styleId="133">
    <w:name w:val="正文文本缩进 Char"/>
    <w:qFormat/>
    <w:uiPriority w:val="0"/>
    <w:rPr>
      <w:rFonts w:ascii="黑体" w:hAnsi="宋体" w:eastAsia="黑体"/>
      <w:color w:val="000000"/>
      <w:sz w:val="28"/>
      <w:szCs w:val="32"/>
    </w:rPr>
  </w:style>
  <w:style w:type="character" w:customStyle="1" w:styleId="134">
    <w:name w:val="日期 Char3"/>
    <w:semiHidden/>
    <w:qFormat/>
    <w:uiPriority w:val="99"/>
    <w:rPr>
      <w:rFonts w:ascii="Calibri" w:hAnsi="Calibri" w:eastAsia="宋体" w:cs="Times New Roman"/>
      <w:szCs w:val="24"/>
    </w:rPr>
  </w:style>
  <w:style w:type="character" w:customStyle="1" w:styleId="135">
    <w:name w:val="Char Char21"/>
    <w:qFormat/>
    <w:uiPriority w:val="0"/>
    <w:rPr>
      <w:rFonts w:ascii="宋体" w:hAnsi="宋体" w:cs="宋体"/>
      <w:b/>
      <w:bCs/>
      <w:sz w:val="24"/>
      <w:szCs w:val="24"/>
    </w:rPr>
  </w:style>
  <w:style w:type="character" w:customStyle="1" w:styleId="136">
    <w:name w:val="尾注文本 Char4"/>
    <w:qFormat/>
    <w:uiPriority w:val="0"/>
    <w:rPr>
      <w:kern w:val="2"/>
      <w:sz w:val="21"/>
    </w:rPr>
  </w:style>
  <w:style w:type="character" w:customStyle="1" w:styleId="137">
    <w:name w:val="正文文本 3 Char2"/>
    <w:semiHidden/>
    <w:qFormat/>
    <w:uiPriority w:val="99"/>
    <w:rPr>
      <w:rFonts w:ascii="Calibri" w:hAnsi="Calibri" w:eastAsia="宋体" w:cs="Times New Roman"/>
      <w:sz w:val="16"/>
      <w:szCs w:val="16"/>
    </w:rPr>
  </w:style>
  <w:style w:type="character" w:customStyle="1" w:styleId="138">
    <w:name w:val="批注文字 Char2"/>
    <w:qFormat/>
    <w:uiPriority w:val="0"/>
    <w:rPr>
      <w:rFonts w:ascii="Calibri" w:hAnsi="Calibri" w:eastAsia="宋体" w:cs="Times New Roman"/>
      <w:szCs w:val="24"/>
    </w:rPr>
  </w:style>
  <w:style w:type="character" w:customStyle="1" w:styleId="139">
    <w:name w:val="style121"/>
    <w:qFormat/>
    <w:uiPriority w:val="0"/>
    <w:rPr>
      <w:rFonts w:hint="eastAsia" w:ascii="宋体" w:hAnsi="宋体" w:eastAsia="宋体"/>
      <w:sz w:val="18"/>
      <w:szCs w:val="18"/>
    </w:rPr>
  </w:style>
  <w:style w:type="character" w:customStyle="1" w:styleId="140">
    <w:name w:val="！正文 Alt+0 Char"/>
    <w:link w:val="141"/>
    <w:qFormat/>
    <w:uiPriority w:val="0"/>
    <w:rPr>
      <w:rFonts w:eastAsia="仿宋"/>
      <w:sz w:val="28"/>
      <w:szCs w:val="28"/>
    </w:rPr>
  </w:style>
  <w:style w:type="paragraph" w:customStyle="1" w:styleId="141">
    <w:name w:val="！正文 Alt+0"/>
    <w:basedOn w:val="1"/>
    <w:link w:val="140"/>
    <w:qFormat/>
    <w:uiPriority w:val="0"/>
    <w:pPr>
      <w:spacing w:line="360" w:lineRule="auto"/>
      <w:ind w:firstLine="560" w:firstLineChars="200"/>
    </w:pPr>
    <w:rPr>
      <w:rFonts w:eastAsia="仿宋"/>
      <w:kern w:val="0"/>
      <w:sz w:val="28"/>
      <w:szCs w:val="28"/>
    </w:rPr>
  </w:style>
  <w:style w:type="character" w:customStyle="1" w:styleId="142">
    <w:name w:val="页眉 Char"/>
    <w:qFormat/>
    <w:uiPriority w:val="0"/>
    <w:rPr>
      <w:sz w:val="18"/>
      <w:szCs w:val="18"/>
    </w:rPr>
  </w:style>
  <w:style w:type="character" w:customStyle="1" w:styleId="143">
    <w:name w:val="标题 Char"/>
    <w:qFormat/>
    <w:uiPriority w:val="0"/>
    <w:rPr>
      <w:rFonts w:ascii="Cambria" w:hAnsi="Cambria" w:eastAsia="宋体" w:cs="Times New Roman"/>
      <w:b/>
      <w:bCs/>
      <w:kern w:val="2"/>
      <w:sz w:val="32"/>
      <w:szCs w:val="32"/>
    </w:rPr>
  </w:style>
  <w:style w:type="character" w:customStyle="1" w:styleId="144">
    <w:name w:val="批注框文本 Char"/>
    <w:qFormat/>
    <w:uiPriority w:val="0"/>
    <w:rPr>
      <w:sz w:val="18"/>
      <w:szCs w:val="18"/>
    </w:rPr>
  </w:style>
  <w:style w:type="character" w:customStyle="1" w:styleId="145">
    <w:name w:val="批注主题 Char4"/>
    <w:qFormat/>
    <w:uiPriority w:val="0"/>
    <w:rPr>
      <w:rFonts w:eastAsia="宋体"/>
      <w:b/>
      <w:bCs/>
      <w:kern w:val="2"/>
      <w:sz w:val="21"/>
      <w:szCs w:val="24"/>
      <w:lang w:val="en-US" w:eastAsia="zh-CN" w:bidi="ar-SA"/>
    </w:rPr>
  </w:style>
  <w:style w:type="character" w:customStyle="1" w:styleId="146">
    <w:name w:val="明显参考1"/>
    <w:qFormat/>
    <w:uiPriority w:val="0"/>
    <w:rPr>
      <w:b/>
      <w:bCs/>
      <w:smallCaps/>
      <w:color w:val="C0504D"/>
      <w:spacing w:val="5"/>
      <w:u w:val="single"/>
    </w:rPr>
  </w:style>
  <w:style w:type="character" w:customStyle="1" w:styleId="147">
    <w:name w:val="明显引用 Char1"/>
    <w:link w:val="148"/>
    <w:qFormat/>
    <w:uiPriority w:val="30"/>
    <w:rPr>
      <w:b/>
      <w:bCs/>
      <w:i/>
      <w:iCs/>
      <w:color w:val="4F81BD"/>
      <w:kern w:val="2"/>
      <w:sz w:val="21"/>
    </w:rPr>
  </w:style>
  <w:style w:type="paragraph" w:customStyle="1" w:styleId="148">
    <w:name w:val="明显引用1"/>
    <w:basedOn w:val="1"/>
    <w:next w:val="1"/>
    <w:link w:val="147"/>
    <w:qFormat/>
    <w:uiPriority w:val="30"/>
    <w:pPr>
      <w:pBdr>
        <w:bottom w:val="single" w:color="4F81BD" w:sz="4" w:space="4"/>
      </w:pBdr>
      <w:spacing w:before="200" w:after="280"/>
      <w:ind w:left="936" w:right="936"/>
    </w:pPr>
    <w:rPr>
      <w:b/>
      <w:bCs/>
      <w:i/>
      <w:iCs/>
      <w:color w:val="4F81BD"/>
    </w:rPr>
  </w:style>
  <w:style w:type="character" w:customStyle="1" w:styleId="149">
    <w:name w:val="Char Char12"/>
    <w:qFormat/>
    <w:uiPriority w:val="0"/>
    <w:rPr>
      <w:rFonts w:eastAsia="黑体"/>
      <w:kern w:val="2"/>
      <w:sz w:val="44"/>
      <w:szCs w:val="44"/>
      <w:lang w:val="en-US" w:eastAsia="zh-CN" w:bidi="ar-SA"/>
    </w:rPr>
  </w:style>
  <w:style w:type="character" w:customStyle="1" w:styleId="150">
    <w:name w:val="副标题 Char2"/>
    <w:qFormat/>
    <w:uiPriority w:val="11"/>
    <w:rPr>
      <w:rFonts w:ascii="Cambria" w:hAnsi="Cambria" w:eastAsia="宋体" w:cs="Times New Roman"/>
      <w:b/>
      <w:bCs/>
      <w:kern w:val="28"/>
      <w:sz w:val="32"/>
      <w:szCs w:val="32"/>
    </w:rPr>
  </w:style>
  <w:style w:type="character" w:customStyle="1" w:styleId="151">
    <w:name w:val="标题 5 Char"/>
    <w:qFormat/>
    <w:uiPriority w:val="0"/>
    <w:rPr>
      <w:rFonts w:ascii="Calibri" w:hAnsi="Calibri" w:eastAsia="宋体" w:cs="Times New Roman"/>
      <w:b/>
      <w:bCs/>
      <w:sz w:val="28"/>
      <w:szCs w:val="28"/>
    </w:rPr>
  </w:style>
  <w:style w:type="character" w:customStyle="1" w:styleId="152">
    <w:name w:val="批注文字 Char1"/>
    <w:qFormat/>
    <w:uiPriority w:val="99"/>
    <w:rPr>
      <w:rFonts w:ascii="Times New Roman" w:hAnsi="Times New Roman" w:eastAsia="宋体" w:cs="Times New Roman"/>
      <w:szCs w:val="24"/>
    </w:rPr>
  </w:style>
  <w:style w:type="character" w:customStyle="1" w:styleId="153">
    <w:name w:val="批注框文本 Char1"/>
    <w:qFormat/>
    <w:uiPriority w:val="0"/>
    <w:rPr>
      <w:kern w:val="2"/>
      <w:sz w:val="18"/>
      <w:szCs w:val="18"/>
    </w:rPr>
  </w:style>
  <w:style w:type="character" w:customStyle="1" w:styleId="154">
    <w:name w:val="l1"/>
    <w:qFormat/>
    <w:uiPriority w:val="0"/>
  </w:style>
  <w:style w:type="character" w:customStyle="1" w:styleId="155">
    <w:name w:val="招标节 Char"/>
    <w:link w:val="156"/>
    <w:qFormat/>
    <w:uiPriority w:val="0"/>
    <w:rPr>
      <w:rFonts w:eastAsia="黑体"/>
      <w:b/>
      <w:kern w:val="2"/>
      <w:sz w:val="21"/>
      <w:szCs w:val="18"/>
      <w:lang w:val="en-US" w:eastAsia="zh-CN" w:bidi="ar-SA"/>
    </w:rPr>
  </w:style>
  <w:style w:type="paragraph" w:customStyle="1" w:styleId="156">
    <w:name w:val="招标节"/>
    <w:basedOn w:val="1"/>
    <w:next w:val="157"/>
    <w:link w:val="155"/>
    <w:qFormat/>
    <w:uiPriority w:val="0"/>
    <w:pPr>
      <w:spacing w:beforeLines="50" w:afterLines="50"/>
      <w:outlineLvl w:val="1"/>
    </w:pPr>
    <w:rPr>
      <w:rFonts w:eastAsia="黑体"/>
      <w:b/>
      <w:szCs w:val="18"/>
    </w:rPr>
  </w:style>
  <w:style w:type="paragraph" w:customStyle="1" w:styleId="157">
    <w:name w:val="小标题"/>
    <w:basedOn w:val="122"/>
    <w:next w:val="122"/>
    <w:link w:val="158"/>
    <w:qFormat/>
    <w:uiPriority w:val="0"/>
    <w:pPr>
      <w:ind w:firstLine="0" w:firstLineChars="0"/>
      <w:outlineLvl w:val="2"/>
    </w:pPr>
    <w:rPr>
      <w:rFonts w:eastAsia="黑体"/>
    </w:rPr>
  </w:style>
  <w:style w:type="character" w:customStyle="1" w:styleId="158">
    <w:name w:val="小标题 Char"/>
    <w:link w:val="157"/>
    <w:qFormat/>
    <w:uiPriority w:val="0"/>
    <w:rPr>
      <w:rFonts w:eastAsia="黑体"/>
      <w:kern w:val="2"/>
      <w:sz w:val="21"/>
      <w:szCs w:val="18"/>
      <w:lang w:val="en-US" w:eastAsia="zh-CN" w:bidi="ar-SA"/>
    </w:rPr>
  </w:style>
  <w:style w:type="character" w:customStyle="1" w:styleId="159">
    <w:name w:val="引用 Char3"/>
    <w:qFormat/>
    <w:uiPriority w:val="29"/>
    <w:rPr>
      <w:rFonts w:ascii="Calibri" w:hAnsi="Calibri" w:eastAsia="宋体" w:cs="Times New Roman"/>
      <w:i/>
      <w:iCs/>
      <w:color w:val="000000"/>
      <w:szCs w:val="24"/>
    </w:rPr>
  </w:style>
  <w:style w:type="character" w:customStyle="1" w:styleId="160">
    <w:name w:val="文档结构图 Char1"/>
    <w:qFormat/>
    <w:uiPriority w:val="0"/>
    <w:rPr>
      <w:rFonts w:ascii="宋体"/>
      <w:kern w:val="2"/>
      <w:sz w:val="18"/>
      <w:szCs w:val="18"/>
    </w:rPr>
  </w:style>
  <w:style w:type="character" w:customStyle="1" w:styleId="161">
    <w:name w:val="标题 2 Char"/>
    <w:qFormat/>
    <w:uiPriority w:val="0"/>
    <w:rPr>
      <w:rFonts w:ascii="仿宋_GB2312" w:hAnsi="Calibri" w:eastAsia="仿宋_GB2312" w:cs="Times New Roman"/>
      <w:b/>
      <w:spacing w:val="1"/>
      <w:w w:val="99"/>
      <w:kern w:val="0"/>
      <w:sz w:val="28"/>
      <w:szCs w:val="32"/>
    </w:rPr>
  </w:style>
  <w:style w:type="character" w:customStyle="1" w:styleId="162">
    <w:name w:val="docpro"/>
    <w:qFormat/>
    <w:uiPriority w:val="0"/>
  </w:style>
  <w:style w:type="character" w:customStyle="1" w:styleId="163">
    <w:name w:val="明显参考2"/>
    <w:qFormat/>
    <w:uiPriority w:val="0"/>
    <w:rPr>
      <w:b/>
      <w:bCs/>
      <w:smallCaps/>
      <w:color w:val="C0504D"/>
      <w:spacing w:val="5"/>
      <w:u w:val="single"/>
    </w:rPr>
  </w:style>
  <w:style w:type="character" w:customStyle="1" w:styleId="164">
    <w:name w:val="normaltext1"/>
    <w:qFormat/>
    <w:uiPriority w:val="0"/>
    <w:rPr>
      <w:rFonts w:hint="default" w:ascii="ˎ̥" w:hAnsi="ˎ̥"/>
      <w:sz w:val="9"/>
      <w:szCs w:val="9"/>
    </w:rPr>
  </w:style>
  <w:style w:type="character" w:customStyle="1" w:styleId="165">
    <w:name w:val="页眉 Char1"/>
    <w:semiHidden/>
    <w:qFormat/>
    <w:uiPriority w:val="99"/>
    <w:rPr>
      <w:kern w:val="2"/>
      <w:sz w:val="18"/>
      <w:szCs w:val="18"/>
    </w:rPr>
  </w:style>
  <w:style w:type="character" w:customStyle="1" w:styleId="166">
    <w:name w:val="Char Char14"/>
    <w:qFormat/>
    <w:uiPriority w:val="0"/>
    <w:rPr>
      <w:kern w:val="2"/>
      <w:sz w:val="18"/>
      <w:szCs w:val="18"/>
    </w:rPr>
  </w:style>
  <w:style w:type="character" w:customStyle="1" w:styleId="167">
    <w:name w:val="ca-141"/>
    <w:qFormat/>
    <w:uiPriority w:val="0"/>
    <w:rPr>
      <w:rFonts w:hint="eastAsia" w:ascii="仿宋_GB2312" w:eastAsia="仿宋_GB2312"/>
      <w:sz w:val="21"/>
      <w:szCs w:val="21"/>
    </w:rPr>
  </w:style>
  <w:style w:type="character" w:customStyle="1" w:styleId="168">
    <w:name w:val="普通文字 Char Char2"/>
    <w:qFormat/>
    <w:uiPriority w:val="0"/>
    <w:rPr>
      <w:rFonts w:ascii="宋体" w:hAnsi="Courier New"/>
      <w:kern w:val="2"/>
      <w:sz w:val="28"/>
      <w:szCs w:val="28"/>
    </w:rPr>
  </w:style>
  <w:style w:type="character" w:customStyle="1" w:styleId="169">
    <w:name w:val="引用 Char2"/>
    <w:qFormat/>
    <w:uiPriority w:val="99"/>
    <w:rPr>
      <w:i/>
      <w:iCs/>
      <w:color w:val="000000"/>
      <w:kern w:val="2"/>
      <w:sz w:val="21"/>
      <w:szCs w:val="24"/>
    </w:rPr>
  </w:style>
  <w:style w:type="character" w:customStyle="1" w:styleId="170">
    <w:name w:val="页脚 Char1"/>
    <w:semiHidden/>
    <w:qFormat/>
    <w:uiPriority w:val="99"/>
    <w:rPr>
      <w:kern w:val="2"/>
      <w:sz w:val="18"/>
      <w:szCs w:val="18"/>
    </w:rPr>
  </w:style>
  <w:style w:type="character" w:customStyle="1" w:styleId="171">
    <w:name w:val="intel3"/>
    <w:qFormat/>
    <w:uiPriority w:val="0"/>
  </w:style>
  <w:style w:type="character" w:customStyle="1" w:styleId="172">
    <w:name w:val="日期 Char2"/>
    <w:qFormat/>
    <w:uiPriority w:val="99"/>
    <w:rPr>
      <w:kern w:val="2"/>
      <w:sz w:val="21"/>
      <w:szCs w:val="24"/>
    </w:rPr>
  </w:style>
  <w:style w:type="character" w:customStyle="1" w:styleId="173">
    <w:name w:val="Char Char121"/>
    <w:qFormat/>
    <w:uiPriority w:val="0"/>
    <w:rPr>
      <w:rFonts w:ascii="宋体" w:hAnsi="Courier New" w:eastAsia="宋体"/>
      <w:kern w:val="2"/>
      <w:sz w:val="28"/>
      <w:lang w:val="en-US" w:eastAsia="zh-CN" w:bidi="ar-SA"/>
    </w:rPr>
  </w:style>
  <w:style w:type="character" w:customStyle="1" w:styleId="174">
    <w:name w:val="Char Char32"/>
    <w:qFormat/>
    <w:uiPriority w:val="0"/>
    <w:rPr>
      <w:rFonts w:ascii="仿宋_GB2312" w:eastAsia="仿宋_GB2312" w:cs="MingLiU"/>
      <w:b/>
      <w:spacing w:val="1"/>
      <w:w w:val="99"/>
      <w:sz w:val="28"/>
      <w:szCs w:val="32"/>
    </w:rPr>
  </w:style>
  <w:style w:type="character" w:customStyle="1" w:styleId="175">
    <w:name w:val="书籍标题1"/>
    <w:qFormat/>
    <w:uiPriority w:val="0"/>
    <w:rPr>
      <w:b/>
      <w:bCs/>
      <w:smallCaps/>
      <w:spacing w:val="5"/>
    </w:rPr>
  </w:style>
  <w:style w:type="character" w:customStyle="1" w:styleId="176">
    <w:name w:val="Char Char24"/>
    <w:qFormat/>
    <w:uiPriority w:val="0"/>
    <w:rPr>
      <w:b/>
      <w:bCs/>
      <w:kern w:val="44"/>
      <w:sz w:val="44"/>
      <w:szCs w:val="44"/>
    </w:rPr>
  </w:style>
  <w:style w:type="character" w:customStyle="1" w:styleId="177">
    <w:name w:val="Char Char9"/>
    <w:qFormat/>
    <w:uiPriority w:val="0"/>
    <w:rPr>
      <w:rFonts w:ascii="仿宋_GB2312" w:eastAsia="仿宋_GB2312"/>
      <w:b/>
      <w:sz w:val="24"/>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2"/>
    <w:link w:val="178"/>
    <w:qFormat/>
    <w:uiPriority w:val="0"/>
    <w:pPr>
      <w:keepNext/>
      <w:keepLines/>
      <w:autoSpaceDE/>
      <w:autoSpaceDN/>
      <w:adjustRightInd/>
      <w:spacing w:before="260" w:after="260" w:line="413" w:lineRule="auto"/>
      <w:jc w:val="both"/>
    </w:pPr>
    <w:rPr>
      <w:rFonts w:ascii="Arial" w:hAnsi="Arial" w:eastAsia="宋体"/>
      <w:bCs/>
      <w:szCs w:val="32"/>
    </w:rPr>
  </w:style>
  <w:style w:type="character" w:customStyle="1" w:styleId="180">
    <w:name w:val="明显强调1"/>
    <w:qFormat/>
    <w:uiPriority w:val="0"/>
    <w:rPr>
      <w:b/>
      <w:bCs/>
      <w:i/>
      <w:iCs/>
      <w:color w:val="4F81BD"/>
    </w:rPr>
  </w:style>
  <w:style w:type="character" w:customStyle="1" w:styleId="181">
    <w:name w:val="标题 1 Char"/>
    <w:qFormat/>
    <w:uiPriority w:val="0"/>
    <w:rPr>
      <w:rFonts w:ascii="Times New Roman" w:hAnsi="Times New Roman" w:eastAsia="宋体" w:cs="Times New Roman"/>
      <w:b/>
      <w:bCs/>
      <w:kern w:val="44"/>
      <w:sz w:val="44"/>
      <w:szCs w:val="44"/>
    </w:rPr>
  </w:style>
  <w:style w:type="character" w:customStyle="1" w:styleId="182">
    <w:name w:val="Char Char91"/>
    <w:qFormat/>
    <w:locked/>
    <w:uiPriority w:val="0"/>
    <w:rPr>
      <w:rFonts w:ascii="仿宋_GB2312" w:eastAsia="仿宋_GB2312" w:cs="MingLiU"/>
      <w:b/>
      <w:sz w:val="24"/>
      <w:szCs w:val="28"/>
      <w:lang w:val="en-US" w:eastAsia="zh-CN" w:bidi="ar-SA"/>
    </w:rPr>
  </w:style>
  <w:style w:type="character" w:customStyle="1" w:styleId="183">
    <w:name w:val="Char Char Char Char Char"/>
    <w:link w:val="184"/>
    <w:qFormat/>
    <w:uiPriority w:val="0"/>
    <w:rPr>
      <w:kern w:val="2"/>
      <w:sz w:val="18"/>
    </w:rPr>
  </w:style>
  <w:style w:type="paragraph" w:customStyle="1" w:styleId="184">
    <w:name w:val="Char"/>
    <w:basedOn w:val="1"/>
    <w:link w:val="183"/>
    <w:qFormat/>
    <w:uiPriority w:val="0"/>
    <w:rPr>
      <w:sz w:val="18"/>
    </w:rPr>
  </w:style>
  <w:style w:type="character" w:customStyle="1" w:styleId="185">
    <w:name w:val="标题 8 Char1"/>
    <w:qFormat/>
    <w:uiPriority w:val="0"/>
    <w:rPr>
      <w:rFonts w:ascii="Times New Roman" w:hAnsi="Arial" w:eastAsia="仿宋_GB2312" w:cs="Times New Roman"/>
      <w:sz w:val="30"/>
      <w:szCs w:val="20"/>
    </w:rPr>
  </w:style>
  <w:style w:type="character" w:customStyle="1" w:styleId="186">
    <w:name w:val="color_red1"/>
    <w:qFormat/>
    <w:uiPriority w:val="0"/>
    <w:rPr>
      <w:color w:val="FA0004"/>
    </w:rPr>
  </w:style>
  <w:style w:type="character" w:customStyle="1" w:styleId="187">
    <w:name w:val="正文文本缩进 3 Char"/>
    <w:qFormat/>
    <w:uiPriority w:val="0"/>
    <w:rPr>
      <w:kern w:val="2"/>
      <w:sz w:val="16"/>
      <w:szCs w:val="16"/>
    </w:rPr>
  </w:style>
  <w:style w:type="character" w:customStyle="1" w:styleId="188">
    <w:name w:val="Char Char10"/>
    <w:qFormat/>
    <w:uiPriority w:val="0"/>
    <w:rPr>
      <w:rFonts w:ascii="仿宋_GB2312" w:eastAsia="仿宋_GB2312"/>
      <w:b/>
      <w:spacing w:val="1"/>
      <w:w w:val="99"/>
      <w:sz w:val="28"/>
    </w:rPr>
  </w:style>
  <w:style w:type="character" w:customStyle="1" w:styleId="189">
    <w:name w:val="书籍标题11"/>
    <w:qFormat/>
    <w:uiPriority w:val="0"/>
    <w:rPr>
      <w:b/>
      <w:bCs/>
      <w:smallCaps/>
      <w:spacing w:val="5"/>
    </w:rPr>
  </w:style>
  <w:style w:type="character" w:customStyle="1" w:styleId="190">
    <w:name w:val="文档结构图 Char"/>
    <w:qFormat/>
    <w:uiPriority w:val="0"/>
    <w:rPr>
      <w:rFonts w:ascii="宋体"/>
      <w:kern w:val="2"/>
      <w:sz w:val="18"/>
      <w:szCs w:val="18"/>
    </w:rPr>
  </w:style>
  <w:style w:type="character" w:customStyle="1" w:styleId="191">
    <w:name w:val="s3"/>
    <w:qFormat/>
    <w:uiPriority w:val="0"/>
  </w:style>
  <w:style w:type="character" w:customStyle="1" w:styleId="192">
    <w:name w:val="Section Char"/>
    <w:qFormat/>
    <w:uiPriority w:val="0"/>
    <w:rPr>
      <w:rFonts w:ascii="仿宋_GB2312" w:eastAsia="仿宋_GB2312" w:cs="MingLiU"/>
      <w:b/>
      <w:sz w:val="24"/>
      <w:szCs w:val="28"/>
      <w:lang w:val="en-US" w:eastAsia="zh-CN" w:bidi="ar-SA"/>
    </w:rPr>
  </w:style>
  <w:style w:type="character" w:customStyle="1" w:styleId="193">
    <w:name w:val="日期 Char1"/>
    <w:qFormat/>
    <w:uiPriority w:val="0"/>
    <w:rPr>
      <w:kern w:val="2"/>
      <w:sz w:val="21"/>
      <w:szCs w:val="22"/>
    </w:rPr>
  </w:style>
  <w:style w:type="character" w:customStyle="1" w:styleId="194">
    <w:name w:val="font161"/>
    <w:qFormat/>
    <w:uiPriority w:val="0"/>
    <w:rPr>
      <w:b/>
      <w:bCs/>
      <w:sz w:val="32"/>
      <w:szCs w:val="32"/>
    </w:rPr>
  </w:style>
  <w:style w:type="character" w:customStyle="1" w:styleId="195">
    <w:name w:val="招标章 Char"/>
    <w:link w:val="196"/>
    <w:qFormat/>
    <w:uiPriority w:val="0"/>
    <w:rPr>
      <w:rFonts w:eastAsia="黑体"/>
      <w:b/>
      <w:kern w:val="2"/>
      <w:sz w:val="32"/>
      <w:szCs w:val="24"/>
      <w:lang w:val="en-US" w:eastAsia="zh-CN" w:bidi="ar-SA"/>
    </w:rPr>
  </w:style>
  <w:style w:type="paragraph" w:customStyle="1" w:styleId="196">
    <w:name w:val="招标章"/>
    <w:basedOn w:val="1"/>
    <w:link w:val="195"/>
    <w:qFormat/>
    <w:uiPriority w:val="0"/>
    <w:pPr>
      <w:spacing w:line="360" w:lineRule="auto"/>
      <w:jc w:val="center"/>
      <w:outlineLvl w:val="0"/>
    </w:pPr>
    <w:rPr>
      <w:rFonts w:eastAsia="黑体"/>
      <w:b/>
      <w:sz w:val="32"/>
      <w:szCs w:val="24"/>
    </w:rPr>
  </w:style>
  <w:style w:type="character" w:customStyle="1" w:styleId="197">
    <w:name w:val="标题 1 Char1"/>
    <w:qFormat/>
    <w:uiPriority w:val="0"/>
    <w:rPr>
      <w:rFonts w:ascii="Times New Roman" w:hAnsi="Times New Roman" w:eastAsia="宋体" w:cs="Times New Roman"/>
      <w:b/>
      <w:bCs/>
      <w:kern w:val="44"/>
      <w:sz w:val="44"/>
      <w:szCs w:val="44"/>
    </w:rPr>
  </w:style>
  <w:style w:type="character" w:customStyle="1" w:styleId="198">
    <w:name w:val="0d1471"/>
    <w:qFormat/>
    <w:uiPriority w:val="0"/>
    <w:rPr>
      <w:color w:val="000000"/>
      <w:sz w:val="11"/>
      <w:szCs w:val="11"/>
      <w:u w:val="none"/>
    </w:rPr>
  </w:style>
  <w:style w:type="character" w:customStyle="1" w:styleId="199">
    <w:name w:val="标题 4 Char1"/>
    <w:qFormat/>
    <w:uiPriority w:val="0"/>
    <w:rPr>
      <w:rFonts w:ascii="宋体" w:hAnsi="宋体" w:eastAsia="宋体" w:cs="宋体"/>
      <w:b/>
      <w:bCs/>
      <w:sz w:val="24"/>
      <w:szCs w:val="24"/>
    </w:rPr>
  </w:style>
  <w:style w:type="character" w:customStyle="1" w:styleId="200">
    <w:name w:val="Char Char4"/>
    <w:qFormat/>
    <w:uiPriority w:val="0"/>
    <w:rPr>
      <w:rFonts w:ascii="宋体" w:hAnsi="Courier New"/>
      <w:kern w:val="2"/>
      <w:sz w:val="28"/>
    </w:rPr>
  </w:style>
  <w:style w:type="character" w:customStyle="1" w:styleId="201">
    <w:name w:val="标题 7 Char"/>
    <w:qFormat/>
    <w:uiPriority w:val="0"/>
    <w:rPr>
      <w:rFonts w:ascii="Calibri" w:hAnsi="Calibri" w:eastAsia="宋体" w:cs="Times New Roman"/>
      <w:b/>
      <w:bCs/>
      <w:sz w:val="24"/>
      <w:szCs w:val="24"/>
    </w:rPr>
  </w:style>
  <w:style w:type="character" w:customStyle="1" w:styleId="202">
    <w:name w:val="批注主题 Char1"/>
    <w:qFormat/>
    <w:uiPriority w:val="0"/>
    <w:rPr>
      <w:b/>
      <w:bCs/>
      <w:kern w:val="2"/>
      <w:sz w:val="21"/>
      <w:szCs w:val="22"/>
    </w:rPr>
  </w:style>
  <w:style w:type="character" w:customStyle="1" w:styleId="203">
    <w:name w:val="正文文本 Char2"/>
    <w:qFormat/>
    <w:uiPriority w:val="99"/>
    <w:rPr>
      <w:kern w:val="2"/>
      <w:sz w:val="21"/>
      <w:szCs w:val="24"/>
    </w:rPr>
  </w:style>
  <w:style w:type="character" w:customStyle="1" w:styleId="204">
    <w:name w:val="文档结构图 Char3"/>
    <w:semiHidden/>
    <w:qFormat/>
    <w:uiPriority w:val="99"/>
    <w:rPr>
      <w:rFonts w:ascii="宋体" w:hAnsi="Calibri" w:eastAsia="宋体" w:cs="Times New Roman"/>
      <w:sz w:val="18"/>
      <w:szCs w:val="18"/>
    </w:rPr>
  </w:style>
  <w:style w:type="character" w:customStyle="1" w:styleId="205">
    <w:name w:val="标题 6 Char1"/>
    <w:qFormat/>
    <w:uiPriority w:val="0"/>
    <w:rPr>
      <w:rFonts w:ascii="Times New Roman" w:hAnsi="Arial" w:eastAsia="仿宋_GB2312" w:cs="Times New Roman"/>
      <w:sz w:val="30"/>
      <w:szCs w:val="20"/>
    </w:rPr>
  </w:style>
  <w:style w:type="character" w:customStyle="1" w:styleId="206">
    <w:name w:val="Char Char3"/>
    <w:qFormat/>
    <w:uiPriority w:val="0"/>
    <w:rPr>
      <w:kern w:val="2"/>
      <w:sz w:val="18"/>
    </w:rPr>
  </w:style>
  <w:style w:type="character" w:customStyle="1" w:styleId="207">
    <w:name w:val="标题 7 Char1"/>
    <w:qFormat/>
    <w:uiPriority w:val="0"/>
    <w:rPr>
      <w:rFonts w:ascii="Times New Roman" w:hAnsi="Times New Roman" w:eastAsia="仿宋_GB2312" w:cs="Times New Roman"/>
      <w:sz w:val="30"/>
      <w:szCs w:val="20"/>
    </w:rPr>
  </w:style>
  <w:style w:type="character" w:customStyle="1" w:styleId="208">
    <w:name w:val="标题 9 Char"/>
    <w:qFormat/>
    <w:uiPriority w:val="0"/>
    <w:rPr>
      <w:rFonts w:ascii="Arial" w:hAnsi="Arial" w:eastAsia="黑体" w:cs="Times New Roman"/>
      <w:szCs w:val="21"/>
    </w:rPr>
  </w:style>
  <w:style w:type="character" w:customStyle="1" w:styleId="209">
    <w:name w:val="未处理的提及1"/>
    <w:unhideWhenUsed/>
    <w:qFormat/>
    <w:uiPriority w:val="99"/>
    <w:rPr>
      <w:color w:val="808080"/>
      <w:shd w:val="clear" w:color="auto" w:fill="E6E6E6"/>
    </w:rPr>
  </w:style>
  <w:style w:type="character" w:customStyle="1" w:styleId="210">
    <w:name w:val="引用 Char1"/>
    <w:link w:val="211"/>
    <w:qFormat/>
    <w:uiPriority w:val="29"/>
    <w:rPr>
      <w:i/>
      <w:iCs/>
      <w:color w:val="000000"/>
      <w:kern w:val="2"/>
      <w:sz w:val="21"/>
    </w:rPr>
  </w:style>
  <w:style w:type="paragraph" w:customStyle="1" w:styleId="211">
    <w:name w:val="引用1"/>
    <w:basedOn w:val="1"/>
    <w:next w:val="1"/>
    <w:link w:val="210"/>
    <w:qFormat/>
    <w:uiPriority w:val="29"/>
    <w:rPr>
      <w:i/>
      <w:iCs/>
      <w:color w:val="000000"/>
    </w:rPr>
  </w:style>
  <w:style w:type="character" w:customStyle="1" w:styleId="212">
    <w:name w:val="HTML 预设格式 Char"/>
    <w:qFormat/>
    <w:uiPriority w:val="0"/>
    <w:rPr>
      <w:rFonts w:ascii="宋体" w:hAnsi="宋体" w:eastAsia="宋体" w:cs="宋体"/>
      <w:color w:val="000000"/>
      <w:sz w:val="24"/>
      <w:szCs w:val="24"/>
    </w:rPr>
  </w:style>
  <w:style w:type="character" w:customStyle="1" w:styleId="213">
    <w:name w:val="ITTHEADER1 Char"/>
    <w:qFormat/>
    <w:uiPriority w:val="0"/>
    <w:rPr>
      <w:rFonts w:eastAsia="黑体"/>
      <w:kern w:val="2"/>
      <w:sz w:val="44"/>
      <w:szCs w:val="44"/>
      <w:lang w:val="en-US" w:eastAsia="zh-CN" w:bidi="ar-SA"/>
    </w:rPr>
  </w:style>
  <w:style w:type="character" w:customStyle="1" w:styleId="214">
    <w:name w:val="style21"/>
    <w:qFormat/>
    <w:uiPriority w:val="0"/>
    <w:rPr>
      <w:b/>
      <w:bCs/>
      <w:sz w:val="28"/>
      <w:szCs w:val="28"/>
    </w:rPr>
  </w:style>
  <w:style w:type="character" w:customStyle="1" w:styleId="215">
    <w:name w:val="ss16"/>
    <w:qFormat/>
    <w:uiPriority w:val="0"/>
    <w:rPr>
      <w:rFonts w:hint="eastAsia" w:ascii="宋体" w:hAnsi="宋体" w:eastAsia="宋体"/>
      <w:color w:val="000000"/>
      <w:sz w:val="9"/>
      <w:szCs w:val="9"/>
    </w:rPr>
  </w:style>
  <w:style w:type="character" w:customStyle="1" w:styleId="216">
    <w:name w:val="Char Char33"/>
    <w:qFormat/>
    <w:uiPriority w:val="0"/>
    <w:rPr>
      <w:rFonts w:ascii="仿宋_GB2312" w:eastAsia="仿宋_GB2312" w:cs="MingLiU"/>
      <w:b/>
      <w:sz w:val="24"/>
      <w:szCs w:val="28"/>
    </w:rPr>
  </w:style>
  <w:style w:type="character" w:customStyle="1" w:styleId="217">
    <w:name w:val="脚注文本 Char"/>
    <w:qFormat/>
    <w:uiPriority w:val="0"/>
    <w:rPr>
      <w:rFonts w:ascii="Arial" w:hAnsi="Arial" w:eastAsia="宋体" w:cs="Arial"/>
      <w:sz w:val="18"/>
      <w:szCs w:val="18"/>
      <w:lang w:eastAsia="en-US"/>
    </w:rPr>
  </w:style>
  <w:style w:type="character" w:customStyle="1" w:styleId="218">
    <w:name w:val="标题 Char4"/>
    <w:qFormat/>
    <w:uiPriority w:val="0"/>
    <w:rPr>
      <w:rFonts w:ascii="Cambria" w:hAnsi="Cambria" w:cs="Times New Roman"/>
      <w:b/>
      <w:bCs/>
      <w:kern w:val="2"/>
      <w:sz w:val="32"/>
      <w:szCs w:val="32"/>
    </w:rPr>
  </w:style>
  <w:style w:type="character" w:customStyle="1" w:styleId="219">
    <w:name w:val="普通文字 Char Char1"/>
    <w:qFormat/>
    <w:uiPriority w:val="0"/>
    <w:rPr>
      <w:rFonts w:ascii="宋体" w:hAnsi="Courier New"/>
      <w:kern w:val="2"/>
      <w:sz w:val="28"/>
      <w:szCs w:val="28"/>
    </w:rPr>
  </w:style>
  <w:style w:type="character" w:customStyle="1" w:styleId="220">
    <w:name w:val="批注框文本 Char3"/>
    <w:semiHidden/>
    <w:qFormat/>
    <w:uiPriority w:val="99"/>
    <w:rPr>
      <w:rFonts w:ascii="Calibri" w:hAnsi="Calibri" w:eastAsia="宋体" w:cs="Times New Roman"/>
      <w:sz w:val="18"/>
      <w:szCs w:val="18"/>
    </w:rPr>
  </w:style>
  <w:style w:type="character" w:customStyle="1" w:styleId="221">
    <w:name w:val="Char Char1"/>
    <w:qFormat/>
    <w:uiPriority w:val="0"/>
    <w:rPr>
      <w:i/>
      <w:kern w:val="2"/>
      <w:sz w:val="26"/>
    </w:rPr>
  </w:style>
  <w:style w:type="character" w:customStyle="1" w:styleId="222">
    <w:name w:val="批注主题 Char3"/>
    <w:semiHidden/>
    <w:qFormat/>
    <w:uiPriority w:val="99"/>
    <w:rPr>
      <w:rFonts w:ascii="Calibri" w:hAnsi="Calibri" w:eastAsia="宋体" w:cs="Times New Roman"/>
      <w:b/>
      <w:bCs/>
      <w:szCs w:val="24"/>
    </w:rPr>
  </w:style>
  <w:style w:type="character" w:customStyle="1" w:styleId="223">
    <w:name w:val="title11"/>
    <w:qFormat/>
    <w:uiPriority w:val="0"/>
    <w:rPr>
      <w:b/>
      <w:bCs/>
      <w:color w:val="FFFFFF"/>
      <w:sz w:val="11"/>
      <w:szCs w:val="11"/>
    </w:rPr>
  </w:style>
  <w:style w:type="character" w:customStyle="1" w:styleId="224">
    <w:name w:val="正文文本缩进 Char2"/>
    <w:semiHidden/>
    <w:qFormat/>
    <w:uiPriority w:val="99"/>
    <w:rPr>
      <w:rFonts w:ascii="Calibri" w:hAnsi="Calibri" w:eastAsia="宋体" w:cs="Times New Roman"/>
      <w:szCs w:val="24"/>
    </w:rPr>
  </w:style>
  <w:style w:type="character" w:customStyle="1" w:styleId="225">
    <w:name w:val="Char Char13"/>
    <w:qFormat/>
    <w:uiPriority w:val="0"/>
    <w:rPr>
      <w:kern w:val="2"/>
      <w:sz w:val="18"/>
      <w:szCs w:val="18"/>
    </w:rPr>
  </w:style>
  <w:style w:type="character" w:customStyle="1" w:styleId="226">
    <w:name w:val="不明显强调1"/>
    <w:qFormat/>
    <w:uiPriority w:val="0"/>
    <w:rPr>
      <w:i/>
      <w:iCs/>
      <w:color w:val="808080"/>
    </w:rPr>
  </w:style>
  <w:style w:type="character" w:customStyle="1" w:styleId="227">
    <w:name w:val="批注主题 Char2"/>
    <w:qFormat/>
    <w:uiPriority w:val="99"/>
    <w:rPr>
      <w:b/>
      <w:bCs/>
      <w:kern w:val="2"/>
      <w:sz w:val="21"/>
      <w:szCs w:val="24"/>
    </w:rPr>
  </w:style>
  <w:style w:type="character" w:customStyle="1" w:styleId="228">
    <w:name w:val="批注文字 Char Char"/>
    <w:qFormat/>
    <w:uiPriority w:val="0"/>
    <w:rPr>
      <w:rFonts w:ascii="宋体" w:hAnsi="Times New Roman" w:eastAsia="宋体" w:cs="Times New Roman"/>
      <w:sz w:val="28"/>
      <w:szCs w:val="20"/>
    </w:rPr>
  </w:style>
  <w:style w:type="character" w:customStyle="1" w:styleId="229">
    <w:name w:val="style161"/>
    <w:qFormat/>
    <w:uiPriority w:val="0"/>
    <w:rPr>
      <w:b/>
      <w:bCs/>
      <w:color w:val="333333"/>
    </w:rPr>
  </w:style>
  <w:style w:type="character" w:customStyle="1" w:styleId="230">
    <w:name w:val="正文文本 3 Char"/>
    <w:qFormat/>
    <w:uiPriority w:val="0"/>
    <w:rPr>
      <w:kern w:val="2"/>
      <w:sz w:val="16"/>
      <w:szCs w:val="16"/>
    </w:rPr>
  </w:style>
  <w:style w:type="character" w:customStyle="1" w:styleId="231">
    <w:name w:val="HTML 预设格式 Char2"/>
    <w:semiHidden/>
    <w:qFormat/>
    <w:uiPriority w:val="99"/>
    <w:rPr>
      <w:rFonts w:ascii="Courier New" w:hAnsi="Courier New" w:eastAsia="宋体" w:cs="Courier New"/>
      <w:sz w:val="20"/>
      <w:szCs w:val="20"/>
    </w:rPr>
  </w:style>
  <w:style w:type="character" w:customStyle="1" w:styleId="232">
    <w:name w:val="明显引用 Char3"/>
    <w:qFormat/>
    <w:uiPriority w:val="30"/>
    <w:rPr>
      <w:rFonts w:ascii="Calibri" w:hAnsi="Calibri" w:eastAsia="宋体" w:cs="Times New Roman"/>
      <w:b/>
      <w:bCs/>
      <w:i/>
      <w:iCs/>
      <w:color w:val="4F81BD"/>
      <w:szCs w:val="24"/>
    </w:rPr>
  </w:style>
  <w:style w:type="character" w:customStyle="1" w:styleId="233">
    <w:name w:val="14t1"/>
    <w:qFormat/>
    <w:uiPriority w:val="0"/>
    <w:rPr>
      <w:rFonts w:hint="eastAsia" w:ascii="宋体" w:hAnsi="宋体" w:eastAsia="宋体"/>
      <w:sz w:val="11"/>
      <w:szCs w:val="11"/>
    </w:rPr>
  </w:style>
  <w:style w:type="character" w:customStyle="1" w:styleId="234">
    <w:name w:val="unnamed1"/>
    <w:qFormat/>
    <w:uiPriority w:val="0"/>
  </w:style>
  <w:style w:type="character" w:customStyle="1" w:styleId="235">
    <w:name w:val="标题 Char2"/>
    <w:qFormat/>
    <w:uiPriority w:val="10"/>
    <w:rPr>
      <w:rFonts w:ascii="Cambria" w:hAnsi="Cambria" w:eastAsia="宋体" w:cs="Times New Roman"/>
      <w:b/>
      <w:bCs/>
      <w:sz w:val="32"/>
      <w:szCs w:val="32"/>
    </w:rPr>
  </w:style>
  <w:style w:type="character" w:customStyle="1" w:styleId="236">
    <w:name w:val="Char Char11"/>
    <w:qFormat/>
    <w:uiPriority w:val="0"/>
    <w:rPr>
      <w:rFonts w:eastAsia="黑体"/>
      <w:kern w:val="2"/>
      <w:sz w:val="44"/>
      <w:lang w:val="en-US" w:eastAsia="zh-CN"/>
    </w:rPr>
  </w:style>
  <w:style w:type="character" w:customStyle="1" w:styleId="237">
    <w:name w:val="不明显强调2"/>
    <w:qFormat/>
    <w:uiPriority w:val="0"/>
    <w:rPr>
      <w:i/>
      <w:iCs/>
      <w:color w:val="808080"/>
    </w:rPr>
  </w:style>
  <w:style w:type="character" w:customStyle="1" w:styleId="238">
    <w:name w:val="标题4 Char Char"/>
    <w:link w:val="239"/>
    <w:qFormat/>
    <w:uiPriority w:val="0"/>
    <w:rPr>
      <w:rFonts w:ascii="Arial" w:hAnsi="Arial"/>
      <w:b/>
      <w:bCs/>
      <w:sz w:val="24"/>
      <w:szCs w:val="32"/>
    </w:rPr>
  </w:style>
  <w:style w:type="paragraph" w:customStyle="1" w:styleId="239">
    <w:name w:val="标题4"/>
    <w:basedOn w:val="4"/>
    <w:next w:val="19"/>
    <w:link w:val="238"/>
    <w:qFormat/>
    <w:uiPriority w:val="0"/>
    <w:pPr>
      <w:keepNext/>
      <w:keepLines/>
      <w:autoSpaceDE/>
      <w:autoSpaceDN/>
      <w:adjustRightInd/>
      <w:snapToGrid/>
      <w:spacing w:before="260" w:after="260" w:line="413" w:lineRule="auto"/>
      <w:jc w:val="both"/>
    </w:pPr>
    <w:rPr>
      <w:rFonts w:ascii="Arial" w:hAnsi="Arial" w:eastAsia="宋体"/>
      <w:bCs/>
      <w:spacing w:val="0"/>
      <w:w w:val="100"/>
      <w:sz w:val="24"/>
      <w:szCs w:val="32"/>
    </w:rPr>
  </w:style>
  <w:style w:type="character" w:customStyle="1" w:styleId="240">
    <w:name w:val="Char Char5"/>
    <w:qFormat/>
    <w:uiPriority w:val="0"/>
    <w:rPr>
      <w:kern w:val="2"/>
      <w:sz w:val="18"/>
    </w:rPr>
  </w:style>
  <w:style w:type="character" w:customStyle="1" w:styleId="241">
    <w:name w:val="文档结构图 Char2"/>
    <w:qFormat/>
    <w:uiPriority w:val="99"/>
    <w:rPr>
      <w:kern w:val="2"/>
      <w:sz w:val="21"/>
      <w:szCs w:val="24"/>
      <w:shd w:val="clear" w:color="auto" w:fill="000080"/>
    </w:rPr>
  </w:style>
  <w:style w:type="character" w:customStyle="1" w:styleId="242">
    <w:name w:val="明显引用 Char4"/>
    <w:link w:val="243"/>
    <w:qFormat/>
    <w:uiPriority w:val="0"/>
    <w:rPr>
      <w:b/>
      <w:bCs/>
      <w:i/>
      <w:iCs/>
      <w:color w:val="4F81BD"/>
      <w:kern w:val="2"/>
      <w:sz w:val="21"/>
      <w:szCs w:val="22"/>
    </w:rPr>
  </w:style>
  <w:style w:type="paragraph" w:customStyle="1" w:styleId="243">
    <w:name w:val="Intense Quote"/>
    <w:basedOn w:val="1"/>
    <w:next w:val="1"/>
    <w:link w:val="242"/>
    <w:qFormat/>
    <w:uiPriority w:val="0"/>
    <w:pPr>
      <w:pBdr>
        <w:bottom w:val="single" w:color="4F81BD" w:sz="4" w:space="4"/>
      </w:pBdr>
      <w:spacing w:before="200" w:after="280"/>
      <w:ind w:left="936" w:right="936"/>
    </w:pPr>
    <w:rPr>
      <w:b/>
      <w:bCs/>
      <w:i/>
      <w:iCs/>
      <w:color w:val="4F81BD"/>
      <w:szCs w:val="22"/>
    </w:rPr>
  </w:style>
  <w:style w:type="character" w:customStyle="1" w:styleId="244">
    <w:name w:val="正文文本缩进 2 Char1"/>
    <w:qFormat/>
    <w:uiPriority w:val="0"/>
    <w:rPr>
      <w:sz w:val="28"/>
      <w:szCs w:val="24"/>
    </w:rPr>
  </w:style>
  <w:style w:type="character" w:customStyle="1" w:styleId="245">
    <w:name w:val="纯文本 Char1"/>
    <w:qFormat/>
    <w:uiPriority w:val="0"/>
    <w:rPr>
      <w:rFonts w:ascii="宋体" w:hAnsi="Courier New" w:cs="Courier New"/>
      <w:kern w:val="2"/>
      <w:sz w:val="21"/>
      <w:szCs w:val="21"/>
    </w:rPr>
  </w:style>
  <w:style w:type="character" w:customStyle="1" w:styleId="246">
    <w:name w:val="main_tdbg_7601"/>
    <w:qFormat/>
    <w:uiPriority w:val="0"/>
    <w:rPr>
      <w:sz w:val="14"/>
      <w:szCs w:val="14"/>
    </w:rPr>
  </w:style>
  <w:style w:type="character" w:customStyle="1" w:styleId="247">
    <w:name w:val="明显引用 Char2"/>
    <w:qFormat/>
    <w:uiPriority w:val="99"/>
    <w:rPr>
      <w:b/>
      <w:bCs/>
      <w:i/>
      <w:iCs/>
      <w:color w:val="4F81BD"/>
      <w:kern w:val="2"/>
      <w:sz w:val="21"/>
      <w:szCs w:val="24"/>
    </w:rPr>
  </w:style>
  <w:style w:type="character" w:customStyle="1" w:styleId="248">
    <w:name w:val="正文文本缩进 3 Char1"/>
    <w:qFormat/>
    <w:uiPriority w:val="0"/>
    <w:rPr>
      <w:rFonts w:ascii="宋体" w:hAnsi="宋体"/>
      <w:kern w:val="2"/>
      <w:sz w:val="28"/>
      <w:szCs w:val="28"/>
    </w:rPr>
  </w:style>
  <w:style w:type="character" w:customStyle="1" w:styleId="249">
    <w:name w:val="标题 4 Char"/>
    <w:qFormat/>
    <w:uiPriority w:val="0"/>
    <w:rPr>
      <w:rFonts w:ascii="仿宋_GB2312" w:hAnsi="Calibri" w:eastAsia="仿宋_GB2312" w:cs="Times New Roman"/>
      <w:b/>
      <w:kern w:val="0"/>
      <w:sz w:val="24"/>
      <w:szCs w:val="28"/>
    </w:rPr>
  </w:style>
  <w:style w:type="character" w:customStyle="1" w:styleId="250">
    <w:name w:val="尾注文本 Char"/>
    <w:qFormat/>
    <w:uiPriority w:val="0"/>
    <w:rPr>
      <w:kern w:val="2"/>
      <w:sz w:val="21"/>
      <w:szCs w:val="24"/>
    </w:rPr>
  </w:style>
  <w:style w:type="character" w:customStyle="1" w:styleId="251">
    <w:name w:val="标题 3 Char"/>
    <w:qFormat/>
    <w:uiPriority w:val="0"/>
    <w:rPr>
      <w:rFonts w:ascii="仿宋_GB2312" w:hAnsi="Calibri" w:eastAsia="仿宋_GB2312" w:cs="Times New Roman"/>
      <w:b/>
      <w:kern w:val="0"/>
      <w:sz w:val="24"/>
      <w:szCs w:val="28"/>
    </w:rPr>
  </w:style>
  <w:style w:type="character" w:customStyle="1" w:styleId="252">
    <w:name w:val="Char Char36"/>
    <w:qFormat/>
    <w:uiPriority w:val="0"/>
    <w:rPr>
      <w:rFonts w:ascii="仿宋_GB2312" w:eastAsia="仿宋_GB2312" w:cs="MingLiU"/>
      <w:b/>
      <w:sz w:val="24"/>
      <w:szCs w:val="28"/>
    </w:rPr>
  </w:style>
  <w:style w:type="character" w:customStyle="1" w:styleId="253">
    <w:name w:val="纯文本 Char"/>
    <w:qFormat/>
    <w:uiPriority w:val="0"/>
    <w:rPr>
      <w:rFonts w:ascii="宋体" w:hAnsi="Courier New"/>
      <w:sz w:val="28"/>
      <w:szCs w:val="28"/>
    </w:rPr>
  </w:style>
  <w:style w:type="character" w:customStyle="1" w:styleId="254">
    <w:name w:val="不明显参考2"/>
    <w:qFormat/>
    <w:uiPriority w:val="0"/>
    <w:rPr>
      <w:smallCaps/>
      <w:color w:val="C0504D"/>
      <w:u w:val="single"/>
    </w:rPr>
  </w:style>
  <w:style w:type="character" w:customStyle="1" w:styleId="255">
    <w:name w:val="正文文本 3 Char1"/>
    <w:qFormat/>
    <w:uiPriority w:val="0"/>
    <w:rPr>
      <w:kern w:val="2"/>
      <w:sz w:val="16"/>
      <w:szCs w:val="16"/>
    </w:rPr>
  </w:style>
  <w:style w:type="character" w:customStyle="1" w:styleId="256">
    <w:name w:val="批注框文本 Char2"/>
    <w:qFormat/>
    <w:uiPriority w:val="99"/>
    <w:rPr>
      <w:kern w:val="2"/>
      <w:sz w:val="18"/>
      <w:szCs w:val="18"/>
    </w:rPr>
  </w:style>
  <w:style w:type="character" w:customStyle="1" w:styleId="257">
    <w:name w:val="textcontents"/>
    <w:qFormat/>
    <w:uiPriority w:val="0"/>
    <w:rPr>
      <w:rFonts w:cs="Times New Roman"/>
    </w:rPr>
  </w:style>
  <w:style w:type="character" w:customStyle="1" w:styleId="258">
    <w:name w:val="正文文本 Char3"/>
    <w:semiHidden/>
    <w:qFormat/>
    <w:uiPriority w:val="99"/>
    <w:rPr>
      <w:rFonts w:ascii="Calibri" w:hAnsi="Calibri" w:eastAsia="宋体" w:cs="Times New Roman"/>
      <w:szCs w:val="24"/>
    </w:rPr>
  </w:style>
  <w:style w:type="character" w:customStyle="1" w:styleId="259">
    <w:name w:val="正文文本 Char"/>
    <w:qFormat/>
    <w:uiPriority w:val="0"/>
    <w:rPr>
      <w:sz w:val="26"/>
      <w:szCs w:val="24"/>
    </w:rPr>
  </w:style>
  <w:style w:type="character" w:customStyle="1" w:styleId="260">
    <w:name w:val="日期 Char"/>
    <w:qFormat/>
    <w:uiPriority w:val="0"/>
    <w:rPr>
      <w:rFonts w:eastAsia="宋体"/>
      <w:szCs w:val="24"/>
    </w:rPr>
  </w:style>
  <w:style w:type="character" w:customStyle="1" w:styleId="261">
    <w:name w:val="Char Char111"/>
    <w:qFormat/>
    <w:uiPriority w:val="0"/>
    <w:rPr>
      <w:rFonts w:eastAsia="黑体"/>
      <w:kern w:val="2"/>
      <w:sz w:val="44"/>
      <w:lang w:val="en-US" w:eastAsia="zh-CN"/>
    </w:rPr>
  </w:style>
  <w:style w:type="character" w:customStyle="1" w:styleId="262">
    <w:name w:val="手改 Char Char"/>
    <w:qFormat/>
    <w:uiPriority w:val="0"/>
    <w:rPr>
      <w:kern w:val="2"/>
      <w:sz w:val="21"/>
      <w:szCs w:val="24"/>
    </w:rPr>
  </w:style>
  <w:style w:type="character" w:customStyle="1" w:styleId="263">
    <w:name w:val="页脚 Char"/>
    <w:qFormat/>
    <w:uiPriority w:val="0"/>
    <w:rPr>
      <w:sz w:val="18"/>
      <w:szCs w:val="18"/>
    </w:rPr>
  </w:style>
  <w:style w:type="character" w:customStyle="1" w:styleId="264">
    <w:name w:val="HTML 预设格式 Char1"/>
    <w:qFormat/>
    <w:uiPriority w:val="0"/>
    <w:rPr>
      <w:rFonts w:ascii="宋体" w:hAnsi="宋体" w:cs="宋体"/>
      <w:color w:val="000000"/>
      <w:sz w:val="24"/>
      <w:szCs w:val="24"/>
    </w:rPr>
  </w:style>
  <w:style w:type="character" w:customStyle="1" w:styleId="265">
    <w:name w:val="标题 8 Char"/>
    <w:qFormat/>
    <w:uiPriority w:val="0"/>
    <w:rPr>
      <w:rFonts w:ascii="Arial" w:hAnsi="Arial" w:eastAsia="黑体" w:cs="Times New Roman"/>
      <w:sz w:val="24"/>
      <w:szCs w:val="24"/>
    </w:rPr>
  </w:style>
  <w:style w:type="character" w:customStyle="1" w:styleId="266">
    <w:name w:val="正文文本缩进 2 Char2"/>
    <w:semiHidden/>
    <w:qFormat/>
    <w:uiPriority w:val="99"/>
    <w:rPr>
      <w:rFonts w:ascii="Calibri" w:hAnsi="Calibri" w:eastAsia="宋体" w:cs="Times New Roman"/>
      <w:szCs w:val="24"/>
    </w:rPr>
  </w:style>
  <w:style w:type="character" w:customStyle="1" w:styleId="267">
    <w:name w:val="正文文本 2 Char1"/>
    <w:semiHidden/>
    <w:qFormat/>
    <w:uiPriority w:val="99"/>
    <w:rPr>
      <w:rFonts w:ascii="Calibri" w:hAnsi="Calibri" w:eastAsia="宋体" w:cs="Times New Roman"/>
      <w:szCs w:val="24"/>
    </w:rPr>
  </w:style>
  <w:style w:type="character" w:customStyle="1" w:styleId="268">
    <w:name w:val="副标题 Char1"/>
    <w:qFormat/>
    <w:uiPriority w:val="0"/>
    <w:rPr>
      <w:rFonts w:ascii="Cambria" w:hAnsi="Cambria" w:cs="Times New Roman"/>
      <w:b/>
      <w:bCs/>
      <w:kern w:val="28"/>
      <w:sz w:val="32"/>
      <w:szCs w:val="32"/>
    </w:rPr>
  </w:style>
  <w:style w:type="character" w:customStyle="1" w:styleId="269">
    <w:name w:val="Char Char34"/>
    <w:qFormat/>
    <w:uiPriority w:val="0"/>
    <w:rPr>
      <w:rFonts w:ascii="仿宋_GB2312" w:eastAsia="仿宋_GB2312" w:cs="MingLiU"/>
      <w:b/>
      <w:spacing w:val="1"/>
      <w:w w:val="99"/>
      <w:sz w:val="28"/>
      <w:szCs w:val="32"/>
    </w:rPr>
  </w:style>
  <w:style w:type="character" w:customStyle="1" w:styleId="270">
    <w:name w:val="Char Char22"/>
    <w:qFormat/>
    <w:uiPriority w:val="0"/>
    <w:rPr>
      <w:b/>
      <w:bCs/>
      <w:kern w:val="2"/>
      <w:sz w:val="32"/>
      <w:szCs w:val="32"/>
    </w:rPr>
  </w:style>
  <w:style w:type="character" w:customStyle="1" w:styleId="271">
    <w:name w:val="正文文本缩进 2 Char3"/>
    <w:qFormat/>
    <w:uiPriority w:val="0"/>
    <w:rPr>
      <w:rFonts w:eastAsia="宋体"/>
      <w:sz w:val="28"/>
      <w:szCs w:val="24"/>
      <w:lang w:val="en-US" w:eastAsia="zh-CN" w:bidi="ar-SA"/>
    </w:rPr>
  </w:style>
  <w:style w:type="character" w:customStyle="1" w:styleId="272">
    <w:name w:val="标题 5 Char1"/>
    <w:qFormat/>
    <w:uiPriority w:val="0"/>
    <w:rPr>
      <w:rFonts w:ascii="宋体" w:hAnsi="宋体" w:eastAsia="宋体" w:cs="宋体"/>
      <w:b/>
      <w:bCs/>
      <w:sz w:val="20"/>
      <w:szCs w:val="20"/>
    </w:rPr>
  </w:style>
  <w:style w:type="character" w:customStyle="1" w:styleId="273">
    <w:name w:val="明显强调2"/>
    <w:qFormat/>
    <w:uiPriority w:val="0"/>
    <w:rPr>
      <w:b/>
      <w:bCs/>
      <w:i/>
      <w:iCs/>
      <w:color w:val="4F81BD"/>
    </w:rPr>
  </w:style>
  <w:style w:type="character" w:customStyle="1" w:styleId="274">
    <w:name w:val="ht1"/>
    <w:qFormat/>
    <w:uiPriority w:val="0"/>
    <w:rPr>
      <w:rFonts w:ascii="黑体" w:eastAsia="黑体"/>
      <w:b/>
      <w:bCs/>
    </w:rPr>
  </w:style>
  <w:style w:type="character" w:customStyle="1" w:styleId="275">
    <w:name w:val="正文文本缩进 Char1"/>
    <w:qFormat/>
    <w:uiPriority w:val="0"/>
    <w:rPr>
      <w:kern w:val="2"/>
      <w:sz w:val="21"/>
      <w:szCs w:val="24"/>
    </w:rPr>
  </w:style>
  <w:style w:type="character" w:customStyle="1" w:styleId="276">
    <w:name w:val="脚注文本 Char1"/>
    <w:qFormat/>
    <w:uiPriority w:val="0"/>
    <w:rPr>
      <w:rFonts w:ascii="Arial" w:hAnsi="Arial" w:cs="Arial"/>
      <w:sz w:val="18"/>
      <w:szCs w:val="18"/>
      <w:lang w:eastAsia="en-US"/>
    </w:rPr>
  </w:style>
  <w:style w:type="character" w:customStyle="1" w:styleId="277">
    <w:name w:val="subhead1"/>
    <w:qFormat/>
    <w:uiPriority w:val="0"/>
    <w:rPr>
      <w:rFonts w:hint="default" w:ascii="Tahoma" w:hAnsi="Tahoma" w:cs="Tahoma"/>
      <w:color w:val="000000"/>
      <w:sz w:val="18"/>
      <w:szCs w:val="18"/>
      <w:u w:val="none"/>
      <w:shd w:val="clear" w:color="auto" w:fill="FFFFFF"/>
    </w:rPr>
  </w:style>
  <w:style w:type="character" w:customStyle="1" w:styleId="278">
    <w:name w:val="正文文本 Char1"/>
    <w:qFormat/>
    <w:uiPriority w:val="0"/>
    <w:rPr>
      <w:kern w:val="2"/>
      <w:sz w:val="21"/>
      <w:szCs w:val="22"/>
    </w:rPr>
  </w:style>
  <w:style w:type="character" w:customStyle="1" w:styleId="279">
    <w:name w:val="正文文本缩进 3 Char2"/>
    <w:semiHidden/>
    <w:qFormat/>
    <w:uiPriority w:val="99"/>
    <w:rPr>
      <w:rFonts w:ascii="Calibri" w:hAnsi="Calibri" w:eastAsia="宋体" w:cs="Times New Roman"/>
      <w:sz w:val="16"/>
      <w:szCs w:val="16"/>
    </w:rPr>
  </w:style>
  <w:style w:type="character" w:customStyle="1" w:styleId="280">
    <w:name w:val="标题 Char1"/>
    <w:qFormat/>
    <w:uiPriority w:val="10"/>
    <w:rPr>
      <w:szCs w:val="24"/>
      <w:u w:val="single"/>
      <w:lang w:eastAsia="en-US"/>
    </w:rPr>
  </w:style>
  <w:style w:type="character" w:customStyle="1" w:styleId="281">
    <w:name w:val="纯文本 Char2"/>
    <w:semiHidden/>
    <w:qFormat/>
    <w:uiPriority w:val="99"/>
    <w:rPr>
      <w:rFonts w:ascii="宋体" w:hAnsi="Courier New" w:eastAsia="宋体" w:cs="Courier New"/>
      <w:szCs w:val="21"/>
    </w:rPr>
  </w:style>
  <w:style w:type="character" w:customStyle="1" w:styleId="282">
    <w:name w:val="标题 2 Char1"/>
    <w:qFormat/>
    <w:uiPriority w:val="0"/>
    <w:rPr>
      <w:rFonts w:ascii="Cambria" w:hAnsi="Cambria" w:eastAsia="宋体" w:cs="Times New Roman"/>
      <w:b/>
      <w:bCs/>
      <w:kern w:val="2"/>
      <w:sz w:val="32"/>
      <w:szCs w:val="32"/>
    </w:rPr>
  </w:style>
  <w:style w:type="character" w:customStyle="1" w:styleId="283">
    <w:name w:val="Char Char17"/>
    <w:qFormat/>
    <w:uiPriority w:val="0"/>
    <w:rPr>
      <w:kern w:val="2"/>
      <w:sz w:val="26"/>
      <w:szCs w:val="24"/>
    </w:rPr>
  </w:style>
  <w:style w:type="paragraph" w:customStyle="1" w:styleId="284">
    <w:name w:val="Char Char Char"/>
    <w:basedOn w:val="1"/>
    <w:qFormat/>
    <w:uiPriority w:val="0"/>
    <w:rPr>
      <w:szCs w:val="24"/>
    </w:rPr>
  </w:style>
  <w:style w:type="paragraph" w:customStyle="1" w:styleId="285">
    <w:name w:val="样式1"/>
    <w:basedOn w:val="3"/>
    <w:qFormat/>
    <w:uiPriority w:val="0"/>
    <w:pPr>
      <w:keepNext/>
      <w:keepLines/>
      <w:snapToGrid/>
      <w:spacing w:before="340" w:after="330" w:line="340" w:lineRule="exact"/>
      <w:ind w:left="0" w:right="-20" w:firstLine="0"/>
    </w:pPr>
    <w:rPr>
      <w:rFonts w:ascii="宋体" w:hAnsi="宋体" w:eastAsia="仿宋_GB2312"/>
      <w:b/>
      <w:kern w:val="0"/>
      <w:sz w:val="32"/>
    </w:rPr>
  </w:style>
  <w:style w:type="paragraph" w:customStyle="1" w:styleId="286">
    <w:name w:val="TOC 标题2"/>
    <w:basedOn w:val="3"/>
    <w:next w:val="1"/>
    <w:unhideWhenUsed/>
    <w:qFormat/>
    <w:uiPriority w:val="0"/>
    <w:pPr>
      <w:keepNext/>
      <w:keepLines/>
      <w:autoSpaceDE/>
      <w:autoSpaceDN/>
      <w:adjustRightInd/>
      <w:snapToGrid/>
      <w:spacing w:before="340" w:after="330" w:line="578" w:lineRule="auto"/>
      <w:ind w:left="0" w:firstLine="0"/>
      <w:jc w:val="both"/>
      <w:outlineLvl w:val="9"/>
    </w:pPr>
    <w:rPr>
      <w:rFonts w:ascii="Calibri" w:hAnsi="Calibri" w:eastAsia="宋体"/>
      <w:b/>
      <w:bCs/>
      <w:kern w:val="44"/>
      <w:szCs w:val="44"/>
    </w:rPr>
  </w:style>
  <w:style w:type="paragraph" w:customStyle="1" w:styleId="287">
    <w:name w:val="Char Char Char Char Char Char Char"/>
    <w:basedOn w:val="1"/>
    <w:qFormat/>
    <w:uiPriority w:val="0"/>
  </w:style>
  <w:style w:type="paragraph" w:customStyle="1" w:styleId="288">
    <w:name w:val="列表段落1"/>
    <w:basedOn w:val="1"/>
    <w:qFormat/>
    <w:uiPriority w:val="99"/>
    <w:pPr>
      <w:ind w:firstLine="420" w:firstLineChars="200"/>
    </w:pPr>
    <w:rPr>
      <w:sz w:val="28"/>
    </w:rPr>
  </w:style>
  <w:style w:type="paragraph" w:customStyle="1" w:styleId="2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291">
    <w:name w:val="表格标题"/>
    <w:basedOn w:val="292"/>
    <w:qFormat/>
    <w:uiPriority w:val="0"/>
  </w:style>
  <w:style w:type="paragraph" w:customStyle="1" w:styleId="292">
    <w:name w:val="表格内容"/>
    <w:basedOn w:val="1"/>
    <w:qFormat/>
    <w:uiPriority w:val="0"/>
    <w:pPr>
      <w:suppressLineNumbers/>
      <w:suppressAutoHyphens/>
    </w:pPr>
    <w:rPr>
      <w:szCs w:val="24"/>
    </w:rPr>
  </w:style>
  <w:style w:type="paragraph" w:customStyle="1" w:styleId="293">
    <w:name w:val="Char Char1 Char Char Char Char Char Char Char"/>
    <w:basedOn w:val="1"/>
    <w:qFormat/>
    <w:uiPriority w:val="0"/>
    <w:pPr>
      <w:pageBreakBefore/>
    </w:pPr>
    <w:rPr>
      <w:rFonts w:ascii="宋体" w:eastAsia="仿宋_GB2312"/>
      <w:sz w:val="28"/>
    </w:rPr>
  </w:style>
  <w:style w:type="paragraph" w:customStyle="1" w:styleId="294">
    <w:name w:val="Char Char Char1 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295">
    <w:name w:val="WW-表格内容"/>
    <w:basedOn w:val="1"/>
    <w:qFormat/>
    <w:uiPriority w:val="0"/>
    <w:pPr>
      <w:suppressLineNumbers/>
      <w:suppressAutoHyphens/>
    </w:pPr>
    <w:rPr>
      <w:szCs w:val="24"/>
    </w:rPr>
  </w:style>
  <w:style w:type="paragraph" w:customStyle="1" w:styleId="296">
    <w:name w:val="标准节"/>
    <w:basedOn w:val="156"/>
    <w:qFormat/>
    <w:uiPriority w:val="0"/>
    <w:pPr>
      <w:jc w:val="center"/>
    </w:pPr>
    <w:rPr>
      <w:sz w:val="30"/>
      <w:szCs w:val="32"/>
    </w:rPr>
  </w:style>
  <w:style w:type="paragraph" w:customStyle="1" w:styleId="297">
    <w:name w:val="正文格式"/>
    <w:qFormat/>
    <w:uiPriority w:val="0"/>
    <w:pPr>
      <w:widowControl w:val="0"/>
      <w:ind w:firstLine="420" w:firstLineChars="200"/>
      <w:jc w:val="both"/>
    </w:pPr>
    <w:rPr>
      <w:rFonts w:ascii="宋体" w:hAnsi="宋体" w:eastAsia="宋体" w:cs="Times New Roman"/>
      <w:bCs/>
      <w:snapToGrid w:val="0"/>
      <w:kern w:val="32"/>
      <w:sz w:val="21"/>
      <w:szCs w:val="21"/>
      <w:lang w:val="en-US" w:eastAsia="zh-CN" w:bidi="ar-SA"/>
    </w:rPr>
  </w:style>
  <w:style w:type="paragraph" w:customStyle="1" w:styleId="29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9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300">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301">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02">
    <w:name w:val="附件"/>
    <w:basedOn w:val="156"/>
    <w:qFormat/>
    <w:uiPriority w:val="0"/>
    <w:pPr>
      <w:spacing w:beforeLines="0" w:afterLines="0"/>
    </w:pPr>
    <w:rPr>
      <w:szCs w:val="28"/>
    </w:rPr>
  </w:style>
  <w:style w:type="paragraph" w:customStyle="1" w:styleId="30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304">
    <w:name w:val="表格"/>
    <w:basedOn w:val="1"/>
    <w:next w:val="1"/>
    <w:qFormat/>
    <w:uiPriority w:val="0"/>
    <w:pPr>
      <w:autoSpaceDE w:val="0"/>
      <w:autoSpaceDN w:val="0"/>
      <w:snapToGrid w:val="0"/>
      <w:jc w:val="center"/>
    </w:pPr>
    <w:rPr>
      <w:rFonts w:ascii="宋体" w:hAnsi="宋体"/>
      <w:szCs w:val="21"/>
    </w:rPr>
  </w:style>
  <w:style w:type="paragraph" w:customStyle="1" w:styleId="305">
    <w:name w:val="TOC 标题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06">
    <w:name w:val="Char Char Char Char Char Char Char Char Char Char"/>
    <w:basedOn w:val="13"/>
    <w:qFormat/>
    <w:uiPriority w:val="0"/>
    <w:pPr>
      <w:spacing w:line="360" w:lineRule="auto"/>
      <w:ind w:firstLine="200" w:firstLineChars="200"/>
    </w:pPr>
    <w:rPr>
      <w:rFonts w:ascii="Tahoma" w:hAnsi="Tahoma"/>
      <w:sz w:val="24"/>
      <w:szCs w:val="24"/>
    </w:rPr>
  </w:style>
  <w:style w:type="paragraph" w:customStyle="1" w:styleId="307">
    <w:name w:val="Char Char1 Char Char Char Char Char Char Char Char Char Char"/>
    <w:basedOn w:val="1"/>
    <w:qFormat/>
    <w:uiPriority w:val="0"/>
    <w:pPr>
      <w:autoSpaceDE w:val="0"/>
      <w:autoSpaceDN w:val="0"/>
      <w:adjustRightInd w:val="0"/>
      <w:ind w:firstLine="482"/>
    </w:pPr>
    <w:rPr>
      <w:rFonts w:ascii="Calibri" w:hAnsi="Calibri"/>
    </w:rPr>
  </w:style>
  <w:style w:type="paragraph" w:customStyle="1" w:styleId="308">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309">
    <w:name w:val="Char Char Char1"/>
    <w:basedOn w:val="1"/>
    <w:qFormat/>
    <w:uiPriority w:val="0"/>
  </w:style>
  <w:style w:type="paragraph" w:customStyle="1" w:styleId="31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pa-27"/>
    <w:basedOn w:val="1"/>
    <w:qFormat/>
    <w:uiPriority w:val="0"/>
    <w:pPr>
      <w:widowControl/>
      <w:spacing w:line="360" w:lineRule="atLeast"/>
      <w:ind w:firstLine="420"/>
    </w:pPr>
    <w:rPr>
      <w:rFonts w:ascii="宋体" w:hAnsi="宋体" w:cs="宋体"/>
      <w:kern w:val="0"/>
      <w:sz w:val="24"/>
      <w:szCs w:val="24"/>
    </w:rPr>
  </w:style>
  <w:style w:type="paragraph" w:customStyle="1" w:styleId="312">
    <w:name w:val="Char Char1 Char Char"/>
    <w:basedOn w:val="13"/>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1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1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315">
    <w:name w:val="样式 标题 3 + (中文) 黑体 小四 非加粗 段前: 7.8 磅 段后: 0 磅 行距: 固定值 20 磅"/>
    <w:basedOn w:val="2"/>
    <w:next w:val="1"/>
    <w:qFormat/>
    <w:uiPriority w:val="0"/>
    <w:pPr>
      <w:keepNext/>
      <w:keepLines/>
      <w:autoSpaceDE/>
      <w:autoSpaceDN/>
      <w:adjustRightInd/>
      <w:spacing w:before="0" w:line="400" w:lineRule="exact"/>
      <w:jc w:val="both"/>
    </w:pPr>
    <w:rPr>
      <w:rFonts w:ascii="Times New Roman" w:eastAsia="黑体" w:cs="宋体"/>
      <w:b w:val="0"/>
      <w:kern w:val="2"/>
    </w:rPr>
  </w:style>
  <w:style w:type="paragraph" w:customStyle="1" w:styleId="3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17">
    <w:name w:val="Char3"/>
    <w:basedOn w:val="1"/>
    <w:qFormat/>
    <w:uiPriority w:val="0"/>
  </w:style>
  <w:style w:type="paragraph" w:customStyle="1" w:styleId="318">
    <w:name w:val="样式3"/>
    <w:basedOn w:val="2"/>
    <w:qFormat/>
    <w:uiPriority w:val="0"/>
    <w:pPr>
      <w:keepNext/>
      <w:keepLines/>
      <w:spacing w:before="0" w:line="360" w:lineRule="auto"/>
      <w:ind w:left="119" w:right="-23"/>
    </w:pPr>
    <w:rPr>
      <w:rFonts w:ascii="宋体" w:hAnsi="宋体"/>
    </w:rPr>
  </w:style>
  <w:style w:type="paragraph" w:customStyle="1" w:styleId="31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20">
    <w:name w:val="样式 标题 1 + 黑体 三号 非加粗 居中 段前: 6 磅 段后: 6 磅 行距: 固定值 20 磅"/>
    <w:basedOn w:val="3"/>
    <w:qFormat/>
    <w:uiPriority w:val="0"/>
    <w:pPr>
      <w:keepNext/>
      <w:keepLines/>
      <w:autoSpaceDE/>
      <w:autoSpaceDN/>
      <w:adjustRightInd/>
      <w:snapToGrid/>
      <w:spacing w:before="120" w:after="120" w:line="400" w:lineRule="exact"/>
      <w:ind w:left="0" w:firstLine="0"/>
    </w:pPr>
    <w:rPr>
      <w:rFonts w:ascii="黑体" w:hAnsi="黑体" w:cs="宋体"/>
      <w:kern w:val="44"/>
      <w:sz w:val="32"/>
    </w:rPr>
  </w:style>
  <w:style w:type="paragraph" w:customStyle="1" w:styleId="321">
    <w:name w:val="表格文字"/>
    <w:basedOn w:val="1"/>
    <w:qFormat/>
    <w:uiPriority w:val="0"/>
    <w:pPr>
      <w:adjustRightInd w:val="0"/>
      <w:spacing w:line="420" w:lineRule="atLeast"/>
      <w:jc w:val="left"/>
      <w:textAlignment w:val="baseline"/>
    </w:pPr>
    <w:rPr>
      <w:kern w:val="0"/>
    </w:rPr>
  </w:style>
  <w:style w:type="paragraph" w:customStyle="1" w:styleId="322">
    <w:name w:val="Char Char Char1 Char"/>
    <w:basedOn w:val="1"/>
    <w:qFormat/>
    <w:uiPriority w:val="0"/>
  </w:style>
  <w:style w:type="paragraph" w:customStyle="1" w:styleId="323">
    <w:name w:val="Char Char Char Char"/>
    <w:basedOn w:val="13"/>
    <w:qFormat/>
    <w:uiPriority w:val="0"/>
    <w:pPr>
      <w:spacing w:line="360" w:lineRule="auto"/>
      <w:ind w:firstLine="200" w:firstLineChars="200"/>
    </w:pPr>
    <w:rPr>
      <w:rFonts w:ascii="Tahoma" w:hAnsi="Tahoma"/>
      <w:sz w:val="24"/>
      <w:szCs w:val="24"/>
    </w:rPr>
  </w:style>
  <w:style w:type="paragraph" w:customStyle="1" w:styleId="324">
    <w:name w:val="Char1"/>
    <w:basedOn w:val="1"/>
    <w:qFormat/>
    <w:uiPriority w:val="0"/>
    <w:rPr>
      <w:szCs w:val="24"/>
    </w:rPr>
  </w:style>
  <w:style w:type="paragraph" w:customStyle="1" w:styleId="325">
    <w:name w:val="表体"/>
    <w:basedOn w:val="1"/>
    <w:next w:val="1"/>
    <w:qFormat/>
    <w:uiPriority w:val="0"/>
    <w:pPr>
      <w:spacing w:line="0" w:lineRule="atLeast"/>
    </w:pPr>
    <w:rPr>
      <w:rFonts w:ascii="Calibri" w:hAnsi="Calibri"/>
      <w:b/>
      <w:snapToGrid w:val="0"/>
    </w:rPr>
  </w:style>
  <w:style w:type="paragraph" w:customStyle="1" w:styleId="326">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29">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0">
    <w:name w:val="_Style 52"/>
    <w:basedOn w:val="1"/>
    <w:qFormat/>
    <w:uiPriority w:val="0"/>
    <w:rPr>
      <w:szCs w:val="24"/>
    </w:rPr>
  </w:style>
  <w:style w:type="paragraph" w:customStyle="1" w:styleId="331">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2">
    <w:name w:val="标准样式1"/>
    <w:basedOn w:val="1"/>
    <w:qFormat/>
    <w:uiPriority w:val="0"/>
    <w:pPr>
      <w:spacing w:line="600" w:lineRule="exact"/>
      <w:ind w:firstLine="567"/>
    </w:pPr>
    <w:rPr>
      <w:rFonts w:ascii="Calibri" w:hAnsi="Calibri"/>
      <w:sz w:val="28"/>
      <w:szCs w:val="24"/>
    </w:rPr>
  </w:style>
  <w:style w:type="paragraph" w:customStyle="1" w:styleId="333">
    <w:name w:val="_Style 105"/>
    <w:basedOn w:val="3"/>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34">
    <w:name w:val="_Style 87"/>
    <w:basedOn w:val="1"/>
    <w:qFormat/>
    <w:uiPriority w:val="99"/>
    <w:pPr>
      <w:ind w:firstLine="420" w:firstLineChars="200"/>
    </w:pPr>
    <w:rPr>
      <w:rFonts w:ascii="Calibri" w:hAnsi="Calibri"/>
      <w:sz w:val="28"/>
      <w:szCs w:val="28"/>
    </w:rPr>
  </w:style>
  <w:style w:type="paragraph" w:customStyle="1" w:styleId="335">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cs="宋体"/>
      <w:b w:val="0"/>
      <w:spacing w:val="0"/>
      <w:w w:val="100"/>
      <w:kern w:val="2"/>
    </w:rPr>
  </w:style>
  <w:style w:type="paragraph" w:customStyle="1" w:styleId="336">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3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9">
    <w:name w:val="Char2"/>
    <w:basedOn w:val="1"/>
    <w:qFormat/>
    <w:uiPriority w:val="0"/>
    <w:rPr>
      <w:rFonts w:ascii="Calibri" w:hAnsi="Calibri"/>
      <w:szCs w:val="24"/>
    </w:rPr>
  </w:style>
  <w:style w:type="paragraph" w:customStyle="1" w:styleId="340">
    <w:name w:val="Char Char Char Char Char Char"/>
    <w:basedOn w:val="1"/>
    <w:qFormat/>
    <w:uiPriority w:val="0"/>
  </w:style>
  <w:style w:type="paragraph" w:customStyle="1" w:styleId="341">
    <w:name w:val="目录"/>
    <w:basedOn w:val="1"/>
    <w:qFormat/>
    <w:uiPriority w:val="0"/>
    <w:pPr>
      <w:widowControl/>
      <w:jc w:val="center"/>
    </w:pPr>
    <w:rPr>
      <w:rFonts w:ascii="宋体"/>
      <w:b/>
      <w:kern w:val="0"/>
      <w:sz w:val="36"/>
    </w:rPr>
  </w:style>
  <w:style w:type="paragraph" w:customStyle="1" w:styleId="342">
    <w:name w:val="样式15"/>
    <w:basedOn w:val="2"/>
    <w:qFormat/>
    <w:uiPriority w:val="0"/>
    <w:pPr>
      <w:tabs>
        <w:tab w:val="left" w:pos="0"/>
        <w:tab w:val="left" w:pos="210"/>
        <w:tab w:val="left" w:pos="420"/>
        <w:tab w:val="left" w:pos="1260"/>
      </w:tabs>
      <w:autoSpaceDE/>
      <w:autoSpaceDN/>
      <w:spacing w:before="0"/>
    </w:pPr>
    <w:rPr>
      <w:rFonts w:hAnsi="Calibri"/>
      <w:kern w:val="2"/>
      <w:sz w:val="32"/>
      <w:szCs w:val="24"/>
    </w:rPr>
  </w:style>
  <w:style w:type="paragraph" w:customStyle="1" w:styleId="343">
    <w:name w:val="1"/>
    <w:basedOn w:val="1"/>
    <w:next w:val="1"/>
    <w:qFormat/>
    <w:uiPriority w:val="0"/>
    <w:rPr>
      <w:szCs w:val="24"/>
    </w:rPr>
  </w:style>
  <w:style w:type="paragraph" w:customStyle="1" w:styleId="344">
    <w:name w:val="修订1"/>
    <w:qFormat/>
    <w:uiPriority w:val="0"/>
    <w:rPr>
      <w:rFonts w:ascii="Times New Roman" w:hAnsi="Times New Roman" w:eastAsia="宋体" w:cs="Times New Roman"/>
      <w:kern w:val="2"/>
      <w:sz w:val="21"/>
      <w:lang w:val="en-US" w:eastAsia="zh-CN" w:bidi="ar-SA"/>
    </w:rPr>
  </w:style>
  <w:style w:type="paragraph" w:customStyle="1" w:styleId="345">
    <w:name w:val="样式 标题 1 + (西文) 宋体 非加粗 黑色 两端对齐 左侧:  0 厘米 首行缩进:  0.89 厘米"/>
    <w:basedOn w:val="3"/>
    <w:qFormat/>
    <w:uiPriority w:val="0"/>
    <w:pPr>
      <w:keepNext/>
      <w:tabs>
        <w:tab w:val="left" w:pos="1140"/>
      </w:tabs>
      <w:autoSpaceDE/>
      <w:autoSpaceDN/>
      <w:ind w:left="1140" w:hanging="720"/>
      <w:textAlignment w:val="baseline"/>
    </w:pPr>
    <w:rPr>
      <w:rFonts w:ascii="宋体" w:hAnsi="宋体"/>
      <w:b/>
      <w:color w:val="000000"/>
      <w:kern w:val="0"/>
      <w:sz w:val="30"/>
    </w:rPr>
  </w:style>
  <w:style w:type="paragraph" w:customStyle="1" w:styleId="346">
    <w:name w:val="样式 招标正文 + 首行缩进:  1.5 字符"/>
    <w:basedOn w:val="122"/>
    <w:qFormat/>
    <w:uiPriority w:val="0"/>
    <w:pPr>
      <w:ind w:firstLine="0" w:firstLineChars="0"/>
      <w:jc w:val="center"/>
    </w:pPr>
    <w:rPr>
      <w:rFonts w:cs="宋体"/>
      <w:szCs w:val="20"/>
    </w:rPr>
  </w:style>
  <w:style w:type="paragraph" w:customStyle="1" w:styleId="347">
    <w:name w:val="Char Char Char Char Char Char Char Char Char Char Char Char Char Char Char Char"/>
    <w:basedOn w:val="13"/>
    <w:qFormat/>
    <w:uiPriority w:val="0"/>
    <w:pPr>
      <w:spacing w:line="360" w:lineRule="auto"/>
      <w:ind w:firstLine="200" w:firstLineChars="200"/>
    </w:pPr>
    <w:rPr>
      <w:rFonts w:ascii="Tahoma" w:hAnsi="Tahoma"/>
      <w:sz w:val="24"/>
      <w:szCs w:val="24"/>
    </w:rPr>
  </w:style>
  <w:style w:type="paragraph" w:customStyle="1" w:styleId="348">
    <w:name w:val="样式2"/>
    <w:basedOn w:val="4"/>
    <w:qFormat/>
    <w:uiPriority w:val="0"/>
    <w:pPr>
      <w:keepNext/>
      <w:keepLines/>
      <w:snapToGrid/>
      <w:spacing w:before="260" w:after="260" w:line="300" w:lineRule="exact"/>
      <w:ind w:left="220" w:right="-20"/>
      <w:jc w:val="center"/>
    </w:pPr>
    <w:rPr>
      <w:rFonts w:ascii="宋体" w:hAnsi="宋体"/>
      <w:spacing w:val="0"/>
    </w:rPr>
  </w:style>
  <w:style w:type="paragraph" w:customStyle="1" w:styleId="349">
    <w:name w:val="Char9 Char Char Char Char Char Char"/>
    <w:basedOn w:val="13"/>
    <w:qFormat/>
    <w:uiPriority w:val="0"/>
    <w:pPr>
      <w:spacing w:line="360" w:lineRule="auto"/>
      <w:ind w:firstLine="200" w:firstLineChars="200"/>
    </w:pPr>
    <w:rPr>
      <w:rFonts w:ascii="Tahoma" w:hAnsi="Tahoma"/>
      <w:sz w:val="24"/>
      <w:szCs w:val="24"/>
    </w:rPr>
  </w:style>
  <w:style w:type="paragraph" w:customStyle="1" w:styleId="350">
    <w:name w:val="标题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1">
    <w:name w:val="列出段落1"/>
    <w:basedOn w:val="1"/>
    <w:qFormat/>
    <w:uiPriority w:val="0"/>
    <w:pPr>
      <w:ind w:firstLine="420" w:firstLineChars="200"/>
    </w:pPr>
    <w:rPr>
      <w:sz w:val="28"/>
      <w:szCs w:val="28"/>
    </w:rPr>
  </w:style>
  <w:style w:type="paragraph" w:customStyle="1" w:styleId="352">
    <w:name w:val="修订11"/>
    <w:qFormat/>
    <w:uiPriority w:val="0"/>
    <w:rPr>
      <w:rFonts w:ascii="Times New Roman" w:hAnsi="Times New Roman" w:eastAsia="宋体" w:cs="Times New Roman"/>
      <w:kern w:val="2"/>
      <w:sz w:val="21"/>
      <w:szCs w:val="24"/>
      <w:lang w:val="en-US" w:eastAsia="zh-CN" w:bidi="ar-SA"/>
    </w:rPr>
  </w:style>
  <w:style w:type="paragraph" w:customStyle="1" w:styleId="353">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54">
    <w:name w:val="列出段落11"/>
    <w:basedOn w:val="1"/>
    <w:qFormat/>
    <w:uiPriority w:val="0"/>
    <w:pPr>
      <w:ind w:firstLine="420" w:firstLineChars="200"/>
    </w:pPr>
    <w:rPr>
      <w:sz w:val="28"/>
      <w:szCs w:val="28"/>
    </w:rPr>
  </w:style>
  <w:style w:type="paragraph" w:customStyle="1" w:styleId="355">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56">
    <w:name w:val="TOC 标题11"/>
    <w:basedOn w:val="3"/>
    <w:next w:val="1"/>
    <w:qFormat/>
    <w:uiPriority w:val="0"/>
    <w:pPr>
      <w:keepNext/>
      <w:keepLines/>
      <w:widowControl/>
      <w:autoSpaceDE/>
      <w:autoSpaceDN/>
      <w:adjustRightInd/>
      <w:snapToGrid/>
      <w:spacing w:before="480" w:line="276" w:lineRule="auto"/>
      <w:ind w:left="0" w:firstLine="0"/>
      <w:jc w:val="left"/>
      <w:outlineLvl w:val="9"/>
    </w:pPr>
    <w:rPr>
      <w:rFonts w:ascii="Cambria" w:hAnsi="Cambria" w:eastAsia="宋体"/>
      <w:b/>
      <w:bCs/>
      <w:color w:val="365F91"/>
      <w:kern w:val="0"/>
      <w:sz w:val="28"/>
      <w:szCs w:val="28"/>
    </w:rPr>
  </w:style>
  <w:style w:type="paragraph" w:customStyle="1" w:styleId="357">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58">
    <w:name w:val="WW-表格标题"/>
    <w:basedOn w:val="295"/>
    <w:qFormat/>
    <w:uiPriority w:val="0"/>
  </w:style>
  <w:style w:type="paragraph" w:customStyle="1" w:styleId="359">
    <w:name w:val="Char Char"/>
    <w:basedOn w:val="1"/>
    <w:qFormat/>
    <w:uiPriority w:val="0"/>
    <w:pPr>
      <w:widowControl/>
      <w:jc w:val="left"/>
    </w:pPr>
    <w:rPr>
      <w:rFonts w:ascii="Verdana" w:hAnsi="Verdana" w:eastAsia="Times New Roman"/>
      <w:kern w:val="0"/>
      <w:sz w:val="16"/>
      <w:lang w:eastAsia="en-US"/>
    </w:rPr>
  </w:style>
  <w:style w:type="paragraph" w:customStyle="1" w:styleId="360">
    <w:name w:val="自定样式1"/>
    <w:basedOn w:val="1"/>
    <w:qFormat/>
    <w:uiPriority w:val="0"/>
    <w:pPr>
      <w:suppressAutoHyphens/>
      <w:jc w:val="center"/>
    </w:pPr>
    <w:rPr>
      <w:rFonts w:ascii="宋体" w:hAnsi="宋体"/>
      <w:color w:val="000000"/>
      <w:sz w:val="18"/>
      <w:szCs w:val="24"/>
    </w:rPr>
  </w:style>
  <w:style w:type="paragraph" w:customStyle="1" w:styleId="361">
    <w:name w:val="TOC 标题3"/>
    <w:basedOn w:val="3"/>
    <w:next w:val="1"/>
    <w:qFormat/>
    <w:uiPriority w:val="39"/>
    <w:pPr>
      <w:keepNext/>
      <w:keepLines/>
      <w:widowControl/>
      <w:autoSpaceDE/>
      <w:autoSpaceDN/>
      <w:adjustRightInd/>
      <w:snapToGrid/>
      <w:spacing w:before="480" w:line="276" w:lineRule="auto"/>
      <w:ind w:left="0" w:firstLine="0"/>
      <w:jc w:val="left"/>
      <w:outlineLvl w:val="9"/>
    </w:pPr>
    <w:rPr>
      <w:rFonts w:ascii="Cambria" w:hAnsi="Cambria" w:eastAsia="宋体"/>
      <w:b/>
      <w:color w:val="365F91"/>
      <w:kern w:val="0"/>
      <w:sz w:val="28"/>
    </w:rPr>
  </w:style>
  <w:style w:type="paragraph" w:customStyle="1" w:styleId="36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363">
    <w:name w:val="_Style 96"/>
    <w:semiHidden/>
    <w:qFormat/>
    <w:uiPriority w:val="99"/>
    <w:rPr>
      <w:rFonts w:ascii="Calibri" w:hAnsi="Calibri" w:eastAsia="宋体" w:cs="Times New Roman"/>
      <w:kern w:val="2"/>
      <w:sz w:val="21"/>
      <w:szCs w:val="24"/>
      <w:lang w:val="en-US" w:eastAsia="zh-CN" w:bidi="ar-SA"/>
    </w:rPr>
  </w:style>
  <w:style w:type="paragraph" w:customStyle="1" w:styleId="36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66">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7">
    <w:name w:val="Char Char Char Char Char Char1"/>
    <w:basedOn w:val="1"/>
    <w:qFormat/>
    <w:uiPriority w:val="0"/>
    <w:rPr>
      <w:szCs w:val="24"/>
    </w:rPr>
  </w:style>
  <w:style w:type="paragraph" w:customStyle="1" w:styleId="36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9">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70">
    <w:name w:val="p15"/>
    <w:basedOn w:val="1"/>
    <w:qFormat/>
    <w:uiPriority w:val="0"/>
    <w:pPr>
      <w:widowControl/>
      <w:spacing w:after="120"/>
    </w:pPr>
    <w:rPr>
      <w:kern w:val="0"/>
      <w:szCs w:val="21"/>
    </w:rPr>
  </w:style>
  <w:style w:type="paragraph" w:customStyle="1" w:styleId="371">
    <w:name w:val="1 Char"/>
    <w:basedOn w:val="1"/>
    <w:qFormat/>
    <w:uiPriority w:val="0"/>
    <w:pPr>
      <w:widowControl/>
      <w:spacing w:after="160" w:line="240" w:lineRule="exact"/>
      <w:jc w:val="left"/>
    </w:pPr>
    <w:rPr>
      <w:rFonts w:ascii="Calibri" w:hAnsi="Calibri"/>
    </w:rPr>
  </w:style>
  <w:style w:type="paragraph" w:customStyle="1" w:styleId="372">
    <w:name w:val="标准正文"/>
    <w:basedOn w:val="1"/>
    <w:qFormat/>
    <w:uiPriority w:val="0"/>
    <w:pPr>
      <w:tabs>
        <w:tab w:val="left" w:pos="900"/>
        <w:tab w:val="left" w:pos="1620"/>
      </w:tabs>
      <w:spacing w:line="300" w:lineRule="auto"/>
      <w:ind w:firstLine="538"/>
    </w:pPr>
    <w:rPr>
      <w:rFonts w:ascii="仿宋_GB2312" w:hAnsi="宋体" w:eastAsia="仿宋_GB2312"/>
      <w:kern w:val="0"/>
      <w:sz w:val="24"/>
    </w:rPr>
  </w:style>
  <w:style w:type="paragraph" w:customStyle="1" w:styleId="373">
    <w:name w:val="表头"/>
    <w:basedOn w:val="1"/>
    <w:qFormat/>
    <w:uiPriority w:val="0"/>
    <w:pPr>
      <w:snapToGrid w:val="0"/>
      <w:spacing w:line="360" w:lineRule="exact"/>
    </w:pPr>
    <w:rPr>
      <w:rFonts w:ascii="仿宋_GB2312" w:eastAsia="仿宋_GB2312"/>
      <w:bCs/>
      <w:kern w:val="0"/>
      <w:sz w:val="24"/>
    </w:rPr>
  </w:style>
  <w:style w:type="paragraph" w:customStyle="1" w:styleId="374">
    <w:name w:val="列表段落11"/>
    <w:basedOn w:val="1"/>
    <w:qFormat/>
    <w:uiPriority w:val="34"/>
    <w:pPr>
      <w:ind w:firstLine="420" w:firstLineChars="200"/>
    </w:pPr>
    <w:rPr>
      <w:rFonts w:ascii="Calibri" w:hAnsi="Calibri"/>
      <w:szCs w:val="24"/>
    </w:rPr>
  </w:style>
  <w:style w:type="paragraph" w:customStyle="1" w:styleId="375">
    <w:name w:val="正  文"/>
    <w:basedOn w:val="1"/>
    <w:qFormat/>
    <w:uiPriority w:val="0"/>
    <w:pPr>
      <w:spacing w:line="360" w:lineRule="auto"/>
      <w:ind w:firstLine="200" w:firstLineChars="200"/>
    </w:pPr>
    <w:rPr>
      <w:rFonts w:ascii="宋体" w:hAnsi="Calibri"/>
      <w:sz w:val="24"/>
      <w:szCs w:val="24"/>
    </w:rPr>
  </w:style>
  <w:style w:type="paragraph" w:customStyle="1" w:styleId="376">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7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8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81">
    <w:name w:val="p16"/>
    <w:basedOn w:val="1"/>
    <w:qFormat/>
    <w:uiPriority w:val="0"/>
    <w:pPr>
      <w:widowControl/>
    </w:pPr>
    <w:rPr>
      <w:rFonts w:ascii="Calibri" w:hAnsi="Calibri" w:cs="宋体"/>
      <w:kern w:val="0"/>
      <w:szCs w:val="21"/>
    </w:rPr>
  </w:style>
  <w:style w:type="paragraph" w:customStyle="1" w:styleId="382">
    <w:name w:val="图例"/>
    <w:basedOn w:val="1"/>
    <w:qFormat/>
    <w:uiPriority w:val="0"/>
    <w:pPr>
      <w:spacing w:before="120" w:after="120" w:line="360" w:lineRule="auto"/>
      <w:jc w:val="center"/>
    </w:pPr>
    <w:rPr>
      <w:rFonts w:eastAsia="仿宋_GB2312"/>
      <w:b/>
      <w:sz w:val="24"/>
    </w:rPr>
  </w:style>
  <w:style w:type="character" w:customStyle="1" w:styleId="383">
    <w:name w:val="font11"/>
    <w:basedOn w:val="46"/>
    <w:qFormat/>
    <w:uiPriority w:val="0"/>
    <w:rPr>
      <w:rFonts w:hint="eastAsia" w:ascii="宋体" w:hAnsi="宋体" w:eastAsia="宋体" w:cs="宋体"/>
      <w:color w:val="000000"/>
      <w:sz w:val="21"/>
      <w:szCs w:val="21"/>
      <w:u w:val="none"/>
    </w:rPr>
  </w:style>
  <w:style w:type="character" w:customStyle="1" w:styleId="384">
    <w:name w:val="font81"/>
    <w:basedOn w:val="46"/>
    <w:qFormat/>
    <w:uiPriority w:val="0"/>
    <w:rPr>
      <w:rFonts w:hint="eastAsia" w:ascii="宋体" w:hAnsi="宋体" w:eastAsia="宋体" w:cs="宋体"/>
      <w:color w:val="000000"/>
      <w:sz w:val="21"/>
      <w:szCs w:val="21"/>
      <w:u w:val="none"/>
    </w:rPr>
  </w:style>
  <w:style w:type="character" w:customStyle="1" w:styleId="385">
    <w:name w:val="font41"/>
    <w:basedOn w:val="46"/>
    <w:qFormat/>
    <w:uiPriority w:val="0"/>
    <w:rPr>
      <w:rFonts w:hint="default" w:ascii="Times New Roman" w:hAnsi="Times New Roman" w:cs="Times New Roman"/>
      <w:color w:val="000000"/>
      <w:sz w:val="21"/>
      <w:szCs w:val="21"/>
      <w:u w:val="none"/>
    </w:rPr>
  </w:style>
  <w:style w:type="paragraph" w:customStyle="1" w:styleId="386">
    <w:name w:val="_Style 6"/>
    <w:basedOn w:val="3"/>
    <w:next w:val="1"/>
    <w:qFormat/>
    <w:uiPriority w:val="0"/>
    <w:pPr>
      <w:outlineLvl w:val="9"/>
    </w:pPr>
  </w:style>
  <w:style w:type="character" w:customStyle="1" w:styleId="387">
    <w:name w:val="font71"/>
    <w:basedOn w:val="46"/>
    <w:qFormat/>
    <w:uiPriority w:val="0"/>
    <w:rPr>
      <w:rFonts w:hint="eastAsia" w:ascii="宋体" w:hAnsi="宋体" w:eastAsia="宋体" w:cs="宋体"/>
      <w:color w:val="000000"/>
      <w:sz w:val="21"/>
      <w:szCs w:val="21"/>
      <w:u w:val="none"/>
    </w:rPr>
  </w:style>
  <w:style w:type="paragraph" w:customStyle="1" w:styleId="388">
    <w:name w:val="标书正文1"/>
    <w:basedOn w:val="1"/>
    <w:qFormat/>
    <w:uiPriority w:val="0"/>
    <w:pPr>
      <w:spacing w:line="520" w:lineRule="exact"/>
      <w:ind w:firstLine="640" w:firstLineChars="200"/>
    </w:pPr>
  </w:style>
  <w:style w:type="paragraph" w:customStyle="1" w:styleId="389">
    <w:name w:val="Table Paragraph"/>
    <w:basedOn w:val="1"/>
    <w:qFormat/>
    <w:uiPriority w:val="0"/>
    <w:pPr>
      <w:autoSpaceDE w:val="0"/>
      <w:autoSpaceDN w:val="0"/>
      <w:adjustRightInd w:val="0"/>
      <w:jc w:val="left"/>
    </w:pPr>
    <w:rPr>
      <w:kern w:val="0"/>
      <w:sz w:val="24"/>
    </w:rPr>
  </w:style>
  <w:style w:type="character" w:customStyle="1" w:styleId="390">
    <w:name w:val="NormalCharacter"/>
    <w:qFormat/>
    <w:uiPriority w:val="0"/>
    <w:rPr>
      <w:rFonts w:ascii="Times New Roman" w:hAnsi="Times New Roman" w:eastAsia="宋体" w:cs="Times New Roman"/>
      <w:kern w:val="2"/>
      <w:sz w:val="21"/>
      <w:lang w:val="en-US" w:eastAsia="zh-CN" w:bidi="ar-SA"/>
    </w:rPr>
  </w:style>
  <w:style w:type="paragraph" w:customStyle="1" w:styleId="391">
    <w:name w:val="电建正文"/>
    <w:basedOn w:val="392"/>
    <w:qFormat/>
    <w:uiPriority w:val="0"/>
    <w:pPr>
      <w:tabs>
        <w:tab w:val="left" w:pos="720"/>
      </w:tabs>
      <w:spacing w:line="360" w:lineRule="auto"/>
      <w:ind w:firstLine="200" w:firstLineChars="200"/>
    </w:pPr>
    <w:rPr>
      <w:rFonts w:ascii="Tahoma" w:hAnsi="Tahoma"/>
      <w:sz w:val="24"/>
    </w:rPr>
  </w:style>
  <w:style w:type="paragraph" w:customStyle="1" w:styleId="392">
    <w:name w:val="List First"/>
    <w:basedOn w:val="33"/>
    <w:next w:val="33"/>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5907</Words>
  <Characters>6445</Characters>
  <Lines>792</Lines>
  <Paragraphs>223</Paragraphs>
  <TotalTime>139</TotalTime>
  <ScaleCrop>false</ScaleCrop>
  <LinksUpToDate>false</LinksUpToDate>
  <CharactersWithSpaces>6673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2023-06-29T08:49:00Z</dcterms:created>
  <dc:creator>张德和</dc:creator>
  <cp:lastModifiedBy>陈实</cp:lastModifiedBy>
  <cp:lastPrinted>2025-02-13T04:30:00Z</cp:lastPrinted>
  <dcterms:modified xsi:type="dcterms:W3CDTF">2025-07-18T07:08:30Z</dcterms:modified>
  <dc: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77906BD54F6C4605BC8F43A4DF7E52AB_13</vt:lpwstr>
  </property>
  <property fmtid="{D5CDD505-2E9C-101B-9397-08002B2CF9AE}" pid="4" name="KSOTemplateDocerSaveRecord">
    <vt:lpwstr>eyJoZGlkIjoiMTFhZjZhNzc3ZWU0Y2U0NGM5YjBmNjVlMDQ3OWJkYWMiLCJ1c2VySWQiOiI0ODI5NzgzOTkifQ==</vt:lpwstr>
  </property>
</Properties>
</file>