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06D85">
      <w:pPr>
        <w:jc w:val="center"/>
        <w:rPr>
          <w:rFonts w:hint="eastAsia" w:ascii="方正仿宋_GBK" w:hAnsi="方正仿宋_GBK" w:eastAsia="方正仿宋_GBK" w:cs="方正仿宋_GBK"/>
          <w:color w:val="auto"/>
          <w:spacing w:val="80"/>
          <w:sz w:val="112"/>
          <w:szCs w:val="112"/>
        </w:rPr>
      </w:pPr>
      <w:bookmarkStart w:id="0" w:name="_Toc7408"/>
      <w:bookmarkEnd w:id="0"/>
      <w:bookmarkStart w:id="1" w:name="_Toc16779"/>
      <w:bookmarkEnd w:id="1"/>
      <w:bookmarkStart w:id="2" w:name="_Toc17591"/>
      <w:bookmarkEnd w:id="2"/>
      <w:bookmarkStart w:id="3" w:name="_Toc19609"/>
      <w:bookmarkEnd w:id="3"/>
      <w:bookmarkStart w:id="4" w:name="_Toc30711"/>
      <w:bookmarkEnd w:id="4"/>
      <w:bookmarkStart w:id="5" w:name="_Toc30988"/>
      <w:bookmarkEnd w:id="5"/>
      <w:bookmarkStart w:id="6" w:name="_Toc31370"/>
      <w:bookmarkEnd w:id="6"/>
      <w:bookmarkStart w:id="7" w:name="_Toc31917"/>
      <w:bookmarkEnd w:id="7"/>
      <w:r>
        <w:rPr>
          <w:rFonts w:hint="eastAsia" w:ascii="方正仿宋_GBK" w:hAnsi="方正仿宋_GBK" w:eastAsia="方正仿宋_GBK" w:cs="方正仿宋_GBK"/>
          <w:color w:val="auto"/>
          <w:spacing w:val="80"/>
          <w:sz w:val="112"/>
          <w:szCs w:val="112"/>
        </w:rPr>
        <w:t>竞争性磋商</w:t>
      </w:r>
    </w:p>
    <w:p w14:paraId="11A3FD70">
      <w:pPr>
        <w:jc w:val="center"/>
        <w:rPr>
          <w:rFonts w:hint="eastAsia" w:ascii="方正仿宋_GBK" w:hAnsi="方正仿宋_GBK" w:eastAsia="方正仿宋_GBK" w:cs="方正仿宋_GBK"/>
          <w:color w:val="auto"/>
          <w:spacing w:val="80"/>
          <w:sz w:val="112"/>
          <w:szCs w:val="112"/>
        </w:rPr>
      </w:pPr>
      <w:r>
        <w:rPr>
          <w:rFonts w:hint="eastAsia" w:ascii="方正仿宋_GBK" w:hAnsi="方正仿宋_GBK" w:eastAsia="方正仿宋_GBK" w:cs="方正仿宋_GBK"/>
          <w:color w:val="auto"/>
          <w:spacing w:val="80"/>
          <w:sz w:val="112"/>
          <w:szCs w:val="112"/>
        </w:rPr>
        <w:t>文件</w:t>
      </w:r>
    </w:p>
    <w:p w14:paraId="38B996B1">
      <w:pPr>
        <w:pStyle w:val="3"/>
        <w:jc w:val="center"/>
        <w:rPr>
          <w:rFonts w:ascii="宋体" w:hAnsi="宋体" w:cs="宋体"/>
          <w:color w:val="auto"/>
          <w:spacing w:val="80"/>
          <w:sz w:val="44"/>
          <w:szCs w:val="44"/>
        </w:rPr>
      </w:pPr>
    </w:p>
    <w:p w14:paraId="1C33AE8A">
      <w:pPr>
        <w:rPr>
          <w:rFonts w:ascii="宋体" w:hAnsi="宋体" w:cs="宋体"/>
          <w:color w:val="auto"/>
          <w:spacing w:val="80"/>
          <w:sz w:val="44"/>
          <w:szCs w:val="44"/>
        </w:rPr>
      </w:pPr>
    </w:p>
    <w:p w14:paraId="5BD473D5">
      <w:pPr>
        <w:pStyle w:val="20"/>
        <w:rPr>
          <w:color w:val="auto"/>
        </w:rPr>
      </w:pPr>
    </w:p>
    <w:p w14:paraId="32956A7A">
      <w:pPr>
        <w:jc w:val="center"/>
        <w:rPr>
          <w:rFonts w:ascii="宋体" w:hAnsi="宋体" w:cs="宋体"/>
          <w:b/>
          <w:color w:val="auto"/>
          <w:spacing w:val="80"/>
          <w:sz w:val="44"/>
          <w:szCs w:val="44"/>
        </w:rPr>
      </w:pPr>
    </w:p>
    <w:p w14:paraId="3C01EA02">
      <w:pPr>
        <w:pStyle w:val="9"/>
        <w:rPr>
          <w:color w:val="auto"/>
        </w:rPr>
      </w:pPr>
    </w:p>
    <w:p w14:paraId="2F56BE9E">
      <w:pPr>
        <w:rPr>
          <w:color w:val="auto"/>
        </w:rPr>
      </w:pPr>
    </w:p>
    <w:p w14:paraId="7CDE7609">
      <w:pPr>
        <w:pStyle w:val="9"/>
        <w:rPr>
          <w:color w:val="auto"/>
        </w:rPr>
      </w:pPr>
    </w:p>
    <w:p w14:paraId="555DFAE4">
      <w:pPr>
        <w:rPr>
          <w:color w:val="auto"/>
        </w:rPr>
      </w:pPr>
    </w:p>
    <w:p w14:paraId="70B87A13">
      <w:pPr>
        <w:pStyle w:val="9"/>
        <w:rPr>
          <w:color w:val="auto"/>
        </w:rPr>
      </w:pPr>
    </w:p>
    <w:p w14:paraId="7B42CA7A">
      <w:pPr>
        <w:rPr>
          <w:color w:val="auto"/>
        </w:rPr>
      </w:pPr>
    </w:p>
    <w:p w14:paraId="6E5D7803">
      <w:pPr>
        <w:pStyle w:val="9"/>
        <w:rPr>
          <w:color w:val="auto"/>
        </w:rPr>
      </w:pPr>
    </w:p>
    <w:p w14:paraId="4FDC41CC">
      <w:pPr>
        <w:spacing w:line="360" w:lineRule="auto"/>
        <w:ind w:firstLine="2108" w:firstLineChars="700"/>
        <w:jc w:val="both"/>
        <w:rPr>
          <w:rFonts w:hint="default" w:ascii="黑体" w:hAnsi="黑体" w:eastAsia="黑体" w:cs="黑体"/>
          <w:b/>
          <w:bCs w:val="0"/>
          <w:color w:val="auto"/>
          <w:sz w:val="30"/>
          <w:szCs w:val="30"/>
          <w:lang w:val="en-US" w:eastAsia="zh-CN"/>
        </w:rPr>
      </w:pPr>
      <w:bookmarkStart w:id="8" w:name="_Hlk111636989"/>
      <w:r>
        <w:rPr>
          <w:rFonts w:hint="eastAsia" w:ascii="黑体" w:hAnsi="黑体" w:eastAsia="黑体" w:cs="黑体"/>
          <w:b/>
          <w:bCs w:val="0"/>
          <w:color w:val="auto"/>
          <w:sz w:val="30"/>
          <w:szCs w:val="30"/>
        </w:rPr>
        <w:t>项目编号：</w:t>
      </w:r>
      <w:r>
        <w:rPr>
          <w:rFonts w:hint="eastAsia" w:ascii="黑体" w:hAnsi="黑体" w:eastAsia="黑体" w:cs="黑体"/>
          <w:b/>
          <w:bCs w:val="0"/>
          <w:color w:val="auto"/>
          <w:sz w:val="30"/>
          <w:szCs w:val="30"/>
          <w:lang w:val="en-US" w:eastAsia="zh-CN"/>
        </w:rPr>
        <w:t>CQTZ—2025—0004</w:t>
      </w:r>
    </w:p>
    <w:bookmarkEnd w:id="8"/>
    <w:p w14:paraId="3DD9FB82">
      <w:pPr>
        <w:pStyle w:val="21"/>
        <w:ind w:left="0" w:leftChars="0" w:firstLine="0" w:firstLineChars="0"/>
        <w:jc w:val="center"/>
        <w:rPr>
          <w:rFonts w:hint="eastAsia" w:ascii="黑体" w:hAnsi="黑体" w:eastAsia="黑体" w:cs="黑体"/>
          <w:b/>
          <w:bCs w:val="0"/>
          <w:color w:val="auto"/>
          <w:sz w:val="30"/>
          <w:szCs w:val="30"/>
        </w:rPr>
      </w:pPr>
      <w:r>
        <w:rPr>
          <w:rFonts w:hint="eastAsia" w:ascii="黑体" w:hAnsi="黑体" w:eastAsia="黑体" w:cs="黑体"/>
          <w:b/>
          <w:bCs w:val="0"/>
          <w:color w:val="auto"/>
          <w:sz w:val="30"/>
          <w:szCs w:val="30"/>
          <w:lang w:val="en-US" w:eastAsia="zh-CN"/>
        </w:rPr>
        <w:t xml:space="preserve">     </w:t>
      </w:r>
      <w:r>
        <w:rPr>
          <w:rFonts w:hint="eastAsia" w:ascii="黑体" w:hAnsi="黑体" w:eastAsia="黑体" w:cs="黑体"/>
          <w:b/>
          <w:bCs w:val="0"/>
          <w:color w:val="auto"/>
          <w:sz w:val="30"/>
          <w:szCs w:val="30"/>
        </w:rPr>
        <w:t>项目名称：</w:t>
      </w:r>
      <w:r>
        <w:rPr>
          <w:rFonts w:hint="eastAsia" w:ascii="黑体" w:hAnsi="黑体" w:eastAsia="黑体" w:cs="黑体"/>
          <w:b/>
          <w:bCs w:val="0"/>
          <w:color w:val="auto"/>
          <w:spacing w:val="6"/>
          <w:w w:val="90"/>
          <w:sz w:val="30"/>
          <w:szCs w:val="30"/>
          <w:shd w:val="clear" w:color="auto" w:fill="FFFFFF"/>
          <w:lang w:eastAsia="zh-CN"/>
        </w:rPr>
        <w:t>2025年度无人机飞防防治森林病虫害</w:t>
      </w:r>
    </w:p>
    <w:p w14:paraId="13044D58">
      <w:pPr>
        <w:spacing w:line="700" w:lineRule="exact"/>
        <w:ind w:firstLine="2108" w:firstLineChars="700"/>
        <w:jc w:val="both"/>
        <w:rPr>
          <w:rFonts w:hint="eastAsia" w:ascii="黑体" w:hAnsi="黑体" w:eastAsia="黑体" w:cs="黑体"/>
          <w:b/>
          <w:bCs w:val="0"/>
          <w:color w:val="auto"/>
          <w:sz w:val="30"/>
          <w:szCs w:val="30"/>
          <w:lang w:eastAsia="zh-CN"/>
        </w:rPr>
      </w:pPr>
      <w:r>
        <w:rPr>
          <w:rFonts w:hint="eastAsia" w:ascii="黑体" w:hAnsi="黑体" w:eastAsia="黑体" w:cs="黑体"/>
          <w:b/>
          <w:bCs w:val="0"/>
          <w:color w:val="auto"/>
          <w:sz w:val="30"/>
          <w:szCs w:val="30"/>
        </w:rPr>
        <w:t>采</w:t>
      </w:r>
      <w:r>
        <w:rPr>
          <w:rFonts w:hint="eastAsia" w:ascii="黑体" w:hAnsi="黑体" w:eastAsia="黑体" w:cs="黑体"/>
          <w:b/>
          <w:bCs w:val="0"/>
          <w:color w:val="auto"/>
          <w:sz w:val="30"/>
          <w:szCs w:val="30"/>
          <w:lang w:val="en-US" w:eastAsia="zh-CN"/>
        </w:rPr>
        <w:t xml:space="preserve">  </w:t>
      </w:r>
      <w:r>
        <w:rPr>
          <w:rFonts w:hint="eastAsia" w:ascii="黑体" w:hAnsi="黑体" w:eastAsia="黑体" w:cs="黑体"/>
          <w:b/>
          <w:bCs w:val="0"/>
          <w:color w:val="auto"/>
          <w:sz w:val="30"/>
          <w:szCs w:val="30"/>
        </w:rPr>
        <w:t>购</w:t>
      </w:r>
      <w:r>
        <w:rPr>
          <w:rFonts w:hint="eastAsia" w:ascii="黑体" w:hAnsi="黑体" w:eastAsia="黑体" w:cs="黑体"/>
          <w:b/>
          <w:bCs w:val="0"/>
          <w:color w:val="auto"/>
          <w:sz w:val="30"/>
          <w:szCs w:val="30"/>
          <w:lang w:val="en-US" w:eastAsia="zh-CN"/>
        </w:rPr>
        <w:t xml:space="preserve">  </w:t>
      </w:r>
      <w:r>
        <w:rPr>
          <w:rFonts w:hint="eastAsia" w:ascii="黑体" w:hAnsi="黑体" w:eastAsia="黑体" w:cs="黑体"/>
          <w:b/>
          <w:bCs w:val="0"/>
          <w:color w:val="auto"/>
          <w:sz w:val="30"/>
          <w:szCs w:val="30"/>
        </w:rPr>
        <w:t>人：</w:t>
      </w:r>
      <w:r>
        <w:rPr>
          <w:rFonts w:hint="eastAsia" w:ascii="黑体" w:hAnsi="黑体" w:eastAsia="黑体" w:cs="黑体"/>
          <w:b/>
          <w:bCs w:val="0"/>
          <w:color w:val="auto"/>
          <w:sz w:val="30"/>
          <w:szCs w:val="30"/>
          <w:lang w:eastAsia="zh-CN"/>
        </w:rPr>
        <w:t>酉阳土家族苗族自治县林业局</w:t>
      </w:r>
    </w:p>
    <w:p w14:paraId="0EE9629D">
      <w:pPr>
        <w:spacing w:line="700" w:lineRule="exact"/>
        <w:ind w:left="538" w:leftChars="256"/>
        <w:jc w:val="center"/>
        <w:rPr>
          <w:rFonts w:hint="eastAsia" w:ascii="黑体" w:hAnsi="黑体" w:eastAsia="黑体" w:cs="黑体"/>
          <w:b/>
          <w:bCs w:val="0"/>
          <w:color w:val="auto"/>
          <w:sz w:val="30"/>
          <w:szCs w:val="30"/>
        </w:rPr>
      </w:pPr>
      <w:r>
        <w:rPr>
          <w:rFonts w:hint="eastAsia" w:ascii="黑体" w:hAnsi="黑体" w:eastAsia="黑体" w:cs="黑体"/>
          <w:b/>
          <w:bCs w:val="0"/>
          <w:color w:val="auto"/>
          <w:sz w:val="30"/>
          <w:szCs w:val="30"/>
        </w:rPr>
        <w:t>采购代理机构：</w:t>
      </w:r>
      <w:r>
        <w:rPr>
          <w:rFonts w:hint="eastAsia" w:ascii="黑体" w:hAnsi="黑体" w:eastAsia="黑体" w:cs="黑体"/>
          <w:b/>
          <w:bCs w:val="0"/>
          <w:color w:val="auto"/>
          <w:sz w:val="30"/>
          <w:szCs w:val="30"/>
          <w:lang w:val="en-US" w:eastAsia="zh-CN"/>
        </w:rPr>
        <w:t>重庆腾展工程管理有限公司</w:t>
      </w:r>
    </w:p>
    <w:p w14:paraId="0152D286">
      <w:pPr>
        <w:spacing w:line="700" w:lineRule="exact"/>
        <w:jc w:val="both"/>
        <w:rPr>
          <w:rFonts w:ascii="华文仿宋" w:hAnsi="华文仿宋" w:eastAsia="华文仿宋" w:cs="仿宋"/>
          <w:b/>
          <w:color w:val="auto"/>
          <w:sz w:val="36"/>
          <w:szCs w:val="30"/>
        </w:rPr>
      </w:pPr>
    </w:p>
    <w:p w14:paraId="733DFF34">
      <w:pPr>
        <w:spacing w:line="700" w:lineRule="exact"/>
        <w:ind w:left="538" w:leftChars="256"/>
        <w:jc w:val="center"/>
        <w:rPr>
          <w:rFonts w:hint="eastAsia" w:ascii="黑体" w:hAnsi="黑体" w:eastAsia="黑体" w:cs="黑体"/>
          <w:b/>
          <w:bCs w:val="0"/>
          <w:color w:val="auto"/>
          <w:sz w:val="30"/>
          <w:szCs w:val="30"/>
          <w:lang w:val="en-US" w:eastAsia="zh-CN"/>
        </w:rPr>
        <w:sectPr>
          <w:headerReference r:id="rId3" w:type="default"/>
          <w:footerReference r:id="rId4" w:type="default"/>
          <w:footerReference r:id="rId5" w:type="even"/>
          <w:pgSz w:w="11907" w:h="16840"/>
          <w:pgMar w:top="1134" w:right="1191" w:bottom="1134" w:left="1304" w:header="964" w:footer="992" w:gutter="0"/>
          <w:pgNumType w:start="0"/>
          <w:cols w:space="720" w:num="1"/>
          <w:docGrid w:linePitch="312" w:charSpace="0"/>
        </w:sectPr>
      </w:pPr>
      <w:bookmarkStart w:id="9" w:name="_Toc106030870"/>
      <w:bookmarkStart w:id="10" w:name="_Toc12789052"/>
      <w:bookmarkStart w:id="11" w:name="_Toc76462316"/>
      <w:bookmarkStart w:id="12" w:name="_Toc11641050"/>
      <w:r>
        <w:rPr>
          <w:rFonts w:hint="eastAsia" w:ascii="黑体" w:hAnsi="黑体" w:eastAsia="黑体" w:cs="黑体"/>
          <w:b/>
          <w:bCs w:val="0"/>
          <w:color w:val="auto"/>
          <w:sz w:val="30"/>
          <w:szCs w:val="30"/>
          <w:lang w:val="en-US" w:eastAsia="zh-CN"/>
        </w:rPr>
        <w:t>二〇二五年九月</w:t>
      </w:r>
    </w:p>
    <w:bookmarkEnd w:id="9"/>
    <w:bookmarkEnd w:id="10"/>
    <w:bookmarkEnd w:id="11"/>
    <w:bookmarkEnd w:id="12"/>
    <w:p w14:paraId="540A40A9">
      <w:pPr>
        <w:snapToGrid w:val="0"/>
        <w:spacing w:line="400" w:lineRule="exact"/>
        <w:ind w:firstLine="723" w:firstLineChars="200"/>
        <w:jc w:val="center"/>
        <w:rPr>
          <w:rFonts w:ascii="仿宋" w:hAnsi="仿宋" w:eastAsia="仿宋" w:cs="仿宋"/>
          <w:b/>
          <w:bCs/>
          <w:color w:val="auto"/>
          <w:sz w:val="24"/>
          <w:szCs w:val="24"/>
        </w:rPr>
      </w:pPr>
      <w:r>
        <w:rPr>
          <w:rFonts w:hint="eastAsia" w:ascii="仿宋" w:hAnsi="仿宋" w:eastAsia="仿宋" w:cs="仿宋"/>
          <w:b/>
          <w:bCs/>
          <w:color w:val="auto"/>
          <w:sz w:val="36"/>
          <w:szCs w:val="30"/>
        </w:rPr>
        <w:t xml:space="preserve">第一篇  </w:t>
      </w:r>
      <w:r>
        <w:rPr>
          <w:rFonts w:hint="eastAsia" w:ascii="方正仿宋_GBK" w:hAnsi="方正仿宋_GBK" w:eastAsia="方正仿宋_GBK" w:cs="方正仿宋_GBK"/>
          <w:b/>
          <w:color w:val="auto"/>
          <w:sz w:val="36"/>
          <w:szCs w:val="36"/>
        </w:rPr>
        <w:t>采购邀请书</w:t>
      </w:r>
    </w:p>
    <w:p w14:paraId="4A3D201F">
      <w:pPr>
        <w:snapToGrid w:val="0"/>
        <w:spacing w:line="360" w:lineRule="auto"/>
        <w:ind w:firstLine="480" w:firstLineChars="200"/>
        <w:rPr>
          <w:rFonts w:hint="eastAsia" w:asciiTheme="minorEastAsia" w:hAnsiTheme="minorEastAsia" w:eastAsiaTheme="minorEastAsia" w:cstheme="minorEastAsia"/>
          <w:color w:val="auto"/>
          <w:sz w:val="24"/>
          <w:szCs w:val="24"/>
          <w:u w:val="single"/>
          <w:lang w:val="en-US" w:eastAsia="zh-CN"/>
        </w:rPr>
      </w:pPr>
      <w:bookmarkStart w:id="13" w:name="_Toc7625"/>
      <w:bookmarkStart w:id="14" w:name="_Toc3463"/>
      <w:bookmarkStart w:id="15" w:name="_Toc18159"/>
      <w:bookmarkStart w:id="16" w:name="_Toc12808"/>
      <w:bookmarkStart w:id="17" w:name="_Toc26820"/>
      <w:bookmarkStart w:id="18" w:name="_Toc25458"/>
      <w:bookmarkStart w:id="19" w:name="_Toc18881"/>
      <w:bookmarkStart w:id="20" w:name="_Toc313893526"/>
      <w:bookmarkStart w:id="21" w:name="_Toc317775175"/>
    </w:p>
    <w:p w14:paraId="561A79E8">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重庆腾展工程管理有限公司</w:t>
      </w:r>
      <w:r>
        <w:rPr>
          <w:rFonts w:hint="eastAsia" w:asciiTheme="minorEastAsia" w:hAnsiTheme="minorEastAsia" w:eastAsiaTheme="minorEastAsia" w:cstheme="minorEastAsia"/>
          <w:color w:val="auto"/>
          <w:sz w:val="24"/>
          <w:szCs w:val="24"/>
        </w:rPr>
        <w:t>（以下简称：采购代理机构）受</w:t>
      </w:r>
      <w:r>
        <w:rPr>
          <w:rFonts w:hint="eastAsia" w:asciiTheme="minorEastAsia" w:hAnsiTheme="minorEastAsia" w:eastAsiaTheme="minorEastAsia" w:cstheme="minorEastAsia"/>
          <w:color w:val="auto"/>
          <w:sz w:val="24"/>
          <w:szCs w:val="24"/>
          <w:u w:val="single"/>
          <w:lang w:eastAsia="zh-CN"/>
        </w:rPr>
        <w:t>酉阳土家族苗族自治县林业局</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rPr>
        <w:t>以下简称：采购人）的委托，对</w:t>
      </w:r>
      <w:r>
        <w:rPr>
          <w:rFonts w:hint="eastAsia" w:asciiTheme="minorEastAsia" w:hAnsiTheme="minorEastAsia" w:eastAsiaTheme="minorEastAsia" w:cstheme="minorEastAsia"/>
          <w:color w:val="auto"/>
          <w:sz w:val="24"/>
          <w:szCs w:val="24"/>
          <w:u w:val="single"/>
          <w:lang w:eastAsia="zh-CN"/>
        </w:rPr>
        <w:t>2025年度无人机飞防防治森林病虫害</w:t>
      </w:r>
      <w:r>
        <w:rPr>
          <w:rFonts w:hint="eastAsia" w:asciiTheme="minorEastAsia" w:hAnsiTheme="minorEastAsia" w:eastAsiaTheme="minorEastAsia" w:cstheme="minorEastAsia"/>
          <w:color w:val="auto"/>
          <w:sz w:val="24"/>
          <w:szCs w:val="24"/>
        </w:rPr>
        <w:t>进行竞争性磋商采购。欢迎有资格的供应商前来参与磋商。</w:t>
      </w:r>
    </w:p>
    <w:bookmarkEnd w:id="13"/>
    <w:bookmarkEnd w:id="14"/>
    <w:bookmarkEnd w:id="15"/>
    <w:bookmarkEnd w:id="16"/>
    <w:bookmarkEnd w:id="17"/>
    <w:bookmarkEnd w:id="18"/>
    <w:bookmarkEnd w:id="19"/>
    <w:bookmarkEnd w:id="20"/>
    <w:bookmarkEnd w:id="21"/>
    <w:p w14:paraId="70D8455B">
      <w:pPr>
        <w:snapToGrid w:val="0"/>
        <w:spacing w:line="400" w:lineRule="exac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bCs/>
          <w:color w:val="auto"/>
          <w:sz w:val="24"/>
          <w:szCs w:val="24"/>
          <w:lang w:val="en-US" w:eastAsia="zh-CN"/>
        </w:rPr>
        <w:t>竞争性磋商</w:t>
      </w:r>
      <w:r>
        <w:rPr>
          <w:rFonts w:hint="eastAsia" w:asciiTheme="minorEastAsia" w:hAnsiTheme="minorEastAsia" w:eastAsiaTheme="minorEastAsia" w:cstheme="minorEastAsia"/>
          <w:b/>
          <w:bCs/>
          <w:color w:val="auto"/>
          <w:sz w:val="24"/>
          <w:szCs w:val="24"/>
        </w:rPr>
        <w:t>项目内容</w:t>
      </w:r>
    </w:p>
    <w:tbl>
      <w:tblPr>
        <w:tblStyle w:val="22"/>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2428"/>
        <w:gridCol w:w="2385"/>
      </w:tblGrid>
      <w:tr w14:paraId="18F6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645" w:type="dxa"/>
            <w:tcBorders>
              <w:top w:val="single" w:color="auto" w:sz="4" w:space="0"/>
              <w:left w:val="single" w:color="auto" w:sz="4" w:space="0"/>
              <w:right w:val="single" w:color="auto" w:sz="4" w:space="0"/>
            </w:tcBorders>
            <w:vAlign w:val="center"/>
          </w:tcPr>
          <w:p w14:paraId="475C051C">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项目名称</w:t>
            </w:r>
          </w:p>
        </w:tc>
        <w:tc>
          <w:tcPr>
            <w:tcW w:w="2428" w:type="dxa"/>
            <w:tcBorders>
              <w:top w:val="single" w:color="auto" w:sz="4" w:space="0"/>
              <w:left w:val="single" w:color="auto" w:sz="4" w:space="0"/>
              <w:right w:val="single" w:color="auto" w:sz="4" w:space="0"/>
            </w:tcBorders>
            <w:vAlign w:val="center"/>
          </w:tcPr>
          <w:p w14:paraId="45F0EBB8">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最高限价（万元）</w:t>
            </w:r>
          </w:p>
        </w:tc>
        <w:tc>
          <w:tcPr>
            <w:tcW w:w="2385" w:type="dxa"/>
            <w:tcBorders>
              <w:top w:val="single" w:color="auto" w:sz="4" w:space="0"/>
              <w:left w:val="single" w:color="auto" w:sz="4" w:space="0"/>
              <w:right w:val="single" w:color="auto" w:sz="4" w:space="0"/>
            </w:tcBorders>
            <w:vAlign w:val="center"/>
          </w:tcPr>
          <w:p w14:paraId="12CE72F5">
            <w:pPr>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成交供应商数量（名）</w:t>
            </w:r>
          </w:p>
        </w:tc>
      </w:tr>
      <w:tr w14:paraId="37D4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45" w:type="dxa"/>
            <w:tcBorders>
              <w:top w:val="single" w:color="auto" w:sz="4" w:space="0"/>
              <w:left w:val="single" w:color="auto" w:sz="4" w:space="0"/>
              <w:right w:val="single" w:color="auto" w:sz="4" w:space="0"/>
            </w:tcBorders>
            <w:vAlign w:val="center"/>
          </w:tcPr>
          <w:p w14:paraId="32BECA65">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2025年度无人机飞防防治森林病虫害</w:t>
            </w:r>
          </w:p>
        </w:tc>
        <w:tc>
          <w:tcPr>
            <w:tcW w:w="2428" w:type="dxa"/>
            <w:tcBorders>
              <w:top w:val="single" w:color="auto" w:sz="4" w:space="0"/>
              <w:left w:val="single" w:color="auto" w:sz="4" w:space="0"/>
              <w:right w:val="single" w:color="auto" w:sz="4" w:space="0"/>
            </w:tcBorders>
            <w:vAlign w:val="center"/>
          </w:tcPr>
          <w:p w14:paraId="6AF4A312">
            <w:pPr>
              <w:widowControl/>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45</w:t>
            </w:r>
          </w:p>
        </w:tc>
        <w:tc>
          <w:tcPr>
            <w:tcW w:w="2385" w:type="dxa"/>
            <w:tcBorders>
              <w:top w:val="single" w:color="auto" w:sz="4" w:space="0"/>
              <w:left w:val="single" w:color="auto" w:sz="4" w:space="0"/>
              <w:right w:val="single" w:color="auto" w:sz="4" w:space="0"/>
            </w:tcBorders>
            <w:vAlign w:val="center"/>
          </w:tcPr>
          <w:p w14:paraId="4C75AD43">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bl>
    <w:p w14:paraId="4C775BD7">
      <w:pPr>
        <w:pStyle w:val="5"/>
        <w:pageBreakBefore w:val="0"/>
        <w:widowControl w:val="0"/>
        <w:kinsoku/>
        <w:wordWrap/>
        <w:overflowPunct/>
        <w:topLinePunct w:val="0"/>
        <w:autoSpaceDE/>
        <w:autoSpaceDN/>
        <w:bidi w:val="0"/>
        <w:adjustRightInd/>
        <w:spacing w:before="0" w:after="0" w:line="360" w:lineRule="auto"/>
        <w:textAlignment w:val="auto"/>
        <w:rPr>
          <w:rFonts w:hint="eastAsia" w:asciiTheme="minorEastAsia" w:hAnsiTheme="minorEastAsia" w:eastAsiaTheme="minorEastAsia" w:cstheme="minorEastAsia"/>
          <w:b/>
          <w:bCs/>
          <w:color w:val="auto"/>
          <w:sz w:val="24"/>
          <w:szCs w:val="24"/>
        </w:rPr>
      </w:pPr>
      <w:bookmarkStart w:id="22" w:name="_Toc25190"/>
      <w:bookmarkStart w:id="23" w:name="_Toc19437"/>
      <w:bookmarkStart w:id="24" w:name="_Toc6462"/>
      <w:bookmarkStart w:id="25" w:name="_Toc15576"/>
      <w:bookmarkStart w:id="26" w:name="_Toc1790"/>
      <w:bookmarkStart w:id="27" w:name="_Toc15727"/>
      <w:bookmarkStart w:id="28" w:name="_Toc22399"/>
      <w:bookmarkStart w:id="29" w:name="_Toc317775178"/>
      <w:bookmarkStart w:id="30" w:name="_Toc373860293"/>
      <w:r>
        <w:rPr>
          <w:rFonts w:hint="eastAsia" w:asciiTheme="minorEastAsia" w:hAnsiTheme="minorEastAsia" w:eastAsiaTheme="minorEastAsia" w:cstheme="minorEastAsia"/>
          <w:b/>
          <w:bCs/>
          <w:color w:val="auto"/>
          <w:sz w:val="24"/>
          <w:szCs w:val="24"/>
        </w:rPr>
        <w:t>二、资金来源</w:t>
      </w:r>
    </w:p>
    <w:p w14:paraId="2C340110">
      <w:pPr>
        <w:pStyle w:val="5"/>
        <w:pageBreakBefore w:val="0"/>
        <w:widowControl w:val="0"/>
        <w:kinsoku/>
        <w:wordWrap/>
        <w:overflowPunct/>
        <w:topLinePunct w:val="0"/>
        <w:autoSpaceDE/>
        <w:autoSpaceDN/>
        <w:bidi w:val="0"/>
        <w:adjustRightInd/>
        <w:spacing w:before="0" w:after="0" w:line="360" w:lineRule="auto"/>
        <w:ind w:firstLine="480" w:firstLineChars="200"/>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lang w:val="en-US" w:eastAsia="zh-CN"/>
        </w:rPr>
        <w:t>2025年市级林业改革发展资金</w:t>
      </w:r>
      <w:r>
        <w:rPr>
          <w:rFonts w:hint="eastAsia" w:asciiTheme="minorEastAsia" w:hAnsiTheme="minorEastAsia" w:eastAsiaTheme="minorEastAsia" w:cstheme="minorEastAsia"/>
          <w:b w:val="0"/>
          <w:color w:val="auto"/>
          <w:sz w:val="24"/>
          <w:szCs w:val="24"/>
        </w:rPr>
        <w:t>预算金额为</w:t>
      </w:r>
      <w:r>
        <w:rPr>
          <w:rFonts w:hint="eastAsia" w:asciiTheme="minorEastAsia" w:hAnsiTheme="minorEastAsia" w:eastAsiaTheme="minorEastAsia" w:cstheme="minorEastAsia"/>
          <w:b w:val="0"/>
          <w:color w:val="auto"/>
          <w:sz w:val="24"/>
          <w:szCs w:val="24"/>
          <w:lang w:val="en-US" w:eastAsia="zh-CN"/>
        </w:rPr>
        <w:t>45</w:t>
      </w:r>
      <w:r>
        <w:rPr>
          <w:rFonts w:hint="eastAsia" w:asciiTheme="minorEastAsia" w:hAnsiTheme="minorEastAsia" w:eastAsiaTheme="minorEastAsia" w:cstheme="minorEastAsia"/>
          <w:b w:val="0"/>
          <w:color w:val="auto"/>
          <w:sz w:val="24"/>
          <w:szCs w:val="24"/>
        </w:rPr>
        <w:t>万元。</w:t>
      </w:r>
    </w:p>
    <w:bookmarkEnd w:id="22"/>
    <w:bookmarkEnd w:id="23"/>
    <w:bookmarkEnd w:id="24"/>
    <w:bookmarkEnd w:id="25"/>
    <w:bookmarkEnd w:id="26"/>
    <w:bookmarkEnd w:id="27"/>
    <w:bookmarkEnd w:id="28"/>
    <w:p w14:paraId="5DC94B8B">
      <w:pPr>
        <w:pStyle w:val="5"/>
        <w:pageBreakBefore w:val="0"/>
        <w:widowControl w:val="0"/>
        <w:kinsoku/>
        <w:wordWrap/>
        <w:overflowPunct/>
        <w:topLinePunct w:val="0"/>
        <w:autoSpaceDE/>
        <w:autoSpaceDN/>
        <w:bidi w:val="0"/>
        <w:adjustRightInd/>
        <w:spacing w:before="0" w:after="0" w:line="360" w:lineRule="auto"/>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w:t>
      </w:r>
      <w:r>
        <w:rPr>
          <w:rFonts w:hint="eastAsia" w:asciiTheme="minorEastAsia" w:hAnsiTheme="minorEastAsia" w:eastAsiaTheme="minorEastAsia" w:cstheme="minorEastAsia"/>
          <w:b/>
          <w:bCs/>
          <w:color w:val="auto"/>
          <w:sz w:val="24"/>
          <w:szCs w:val="24"/>
          <w:lang w:val="en-US" w:eastAsia="zh-CN"/>
        </w:rPr>
        <w:t>供应商资格</w:t>
      </w:r>
      <w:r>
        <w:rPr>
          <w:rFonts w:hint="eastAsia" w:asciiTheme="minorEastAsia" w:hAnsiTheme="minorEastAsia" w:eastAsiaTheme="minorEastAsia" w:cstheme="minorEastAsia"/>
          <w:b/>
          <w:bCs/>
          <w:color w:val="auto"/>
          <w:sz w:val="24"/>
          <w:szCs w:val="24"/>
        </w:rPr>
        <w:t>条件</w:t>
      </w:r>
    </w:p>
    <w:p w14:paraId="0BC13F9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rPr>
      </w:pPr>
      <w:r>
        <w:rPr>
          <w:rFonts w:hint="eastAsia" w:asciiTheme="minorEastAsia" w:hAnsiTheme="minorEastAsia" w:eastAsiaTheme="minorEastAsia" w:cstheme="minorEastAsia"/>
          <w:color w:val="auto"/>
          <w:kern w:val="1"/>
          <w:sz w:val="24"/>
          <w:shd w:val="clear" w:color="auto" w:fill="FFFFFF"/>
        </w:rPr>
        <w:t>（一）基本条件</w:t>
      </w:r>
    </w:p>
    <w:p w14:paraId="5C9FD1D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rPr>
      </w:pPr>
      <w:r>
        <w:rPr>
          <w:rFonts w:hint="eastAsia" w:asciiTheme="minorEastAsia" w:hAnsiTheme="minorEastAsia" w:eastAsiaTheme="minorEastAsia" w:cstheme="minorEastAsia"/>
          <w:color w:val="auto"/>
          <w:kern w:val="1"/>
          <w:sz w:val="24"/>
          <w:shd w:val="clear" w:color="auto" w:fill="FFFFFF"/>
        </w:rPr>
        <w:t>满足《中华人民共和国政府采购法》第二十二条规定；　</w:t>
      </w:r>
    </w:p>
    <w:p w14:paraId="11F56EE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rPr>
      </w:pPr>
      <w:r>
        <w:rPr>
          <w:rFonts w:hint="eastAsia" w:asciiTheme="minorEastAsia" w:hAnsiTheme="minorEastAsia" w:eastAsiaTheme="minorEastAsia" w:cstheme="minorEastAsia"/>
          <w:color w:val="auto"/>
          <w:kern w:val="1"/>
          <w:sz w:val="24"/>
          <w:shd w:val="clear" w:color="auto" w:fill="FFFFFF"/>
        </w:rPr>
        <w:t>1、具有独立承担民事责任的能力；</w:t>
      </w:r>
    </w:p>
    <w:p w14:paraId="03C3393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rPr>
      </w:pPr>
      <w:r>
        <w:rPr>
          <w:rFonts w:hint="eastAsia" w:asciiTheme="minorEastAsia" w:hAnsiTheme="minorEastAsia" w:eastAsiaTheme="minorEastAsia" w:cstheme="minorEastAsia"/>
          <w:color w:val="auto"/>
          <w:kern w:val="1"/>
          <w:sz w:val="24"/>
          <w:shd w:val="clear" w:color="auto" w:fill="FFFFFF"/>
        </w:rPr>
        <w:t>2、具有良好的商业信誉和健全的财务会计制度；</w:t>
      </w:r>
    </w:p>
    <w:p w14:paraId="3231C5E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rPr>
      </w:pPr>
      <w:r>
        <w:rPr>
          <w:rFonts w:hint="eastAsia" w:asciiTheme="minorEastAsia" w:hAnsiTheme="minorEastAsia" w:eastAsiaTheme="minorEastAsia" w:cstheme="minorEastAsia"/>
          <w:color w:val="auto"/>
          <w:kern w:val="1"/>
          <w:sz w:val="24"/>
          <w:shd w:val="clear" w:color="auto" w:fill="FFFFFF"/>
        </w:rPr>
        <w:t>3、具有履行合同所必需的设备和专业技术能力；</w:t>
      </w:r>
    </w:p>
    <w:p w14:paraId="31E6205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rPr>
      </w:pPr>
      <w:r>
        <w:rPr>
          <w:rFonts w:hint="eastAsia" w:asciiTheme="minorEastAsia" w:hAnsiTheme="minorEastAsia" w:eastAsiaTheme="minorEastAsia" w:cstheme="minorEastAsia"/>
          <w:color w:val="auto"/>
          <w:kern w:val="1"/>
          <w:sz w:val="24"/>
          <w:shd w:val="clear" w:color="auto" w:fill="FFFFFF"/>
        </w:rPr>
        <w:t>4、有依法缴纳税收和社会保障资金的良好记录；</w:t>
      </w:r>
    </w:p>
    <w:p w14:paraId="234539C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rPr>
      </w:pPr>
      <w:r>
        <w:rPr>
          <w:rFonts w:hint="eastAsia" w:asciiTheme="minorEastAsia" w:hAnsiTheme="minorEastAsia" w:eastAsiaTheme="minorEastAsia" w:cstheme="minorEastAsia"/>
          <w:color w:val="auto"/>
          <w:kern w:val="1"/>
          <w:sz w:val="24"/>
          <w:shd w:val="clear" w:color="auto" w:fill="FFFFFF"/>
        </w:rPr>
        <w:t>5、参加政府采购活动前三年内，在经营活动中没有重大违法记录。</w:t>
      </w:r>
    </w:p>
    <w:p w14:paraId="44B502E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rPr>
      </w:pPr>
      <w:r>
        <w:rPr>
          <w:rFonts w:hint="eastAsia" w:asciiTheme="minorEastAsia" w:hAnsiTheme="minorEastAsia" w:eastAsiaTheme="minorEastAsia" w:cstheme="minorEastAsia"/>
          <w:color w:val="auto"/>
          <w:kern w:val="1"/>
          <w:sz w:val="24"/>
          <w:shd w:val="clear" w:color="auto" w:fill="FFFFFF"/>
        </w:rPr>
        <w:t>6、法律、行政法规规定的其他条件。</w:t>
      </w:r>
    </w:p>
    <w:bookmarkEnd w:id="29"/>
    <w:bookmarkEnd w:id="30"/>
    <w:p w14:paraId="505FC843">
      <w:pPr>
        <w:pageBreakBefore w:val="0"/>
        <w:widowControl w:val="0"/>
        <w:kinsoku/>
        <w:wordWrap/>
        <w:overflowPunct/>
        <w:topLinePunct w:val="0"/>
        <w:autoSpaceDE/>
        <w:autoSpaceDN/>
        <w:bidi w:val="0"/>
        <w:adjustRightInd/>
        <w:spacing w:line="360" w:lineRule="auto"/>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特定资格条件：无</w:t>
      </w:r>
    </w:p>
    <w:p w14:paraId="1C37D826">
      <w:pPr>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w:t>
      </w:r>
      <w:r>
        <w:rPr>
          <w:rFonts w:hint="eastAsia" w:asciiTheme="minorEastAsia" w:hAnsiTheme="minorEastAsia" w:eastAsiaTheme="minorEastAsia" w:cstheme="minorEastAsia"/>
          <w:b/>
          <w:bCs/>
          <w:color w:val="auto"/>
          <w:sz w:val="24"/>
          <w:szCs w:val="24"/>
          <w:lang w:val="en-US" w:eastAsia="zh-CN"/>
        </w:rPr>
        <w:t>磋商</w:t>
      </w:r>
      <w:r>
        <w:rPr>
          <w:rFonts w:hint="eastAsia" w:asciiTheme="minorEastAsia" w:hAnsiTheme="minorEastAsia" w:eastAsiaTheme="minorEastAsia" w:cstheme="minorEastAsia"/>
          <w:b/>
          <w:bCs/>
          <w:color w:val="auto"/>
          <w:sz w:val="24"/>
          <w:szCs w:val="24"/>
        </w:rPr>
        <w:t>有关说明</w:t>
      </w:r>
    </w:p>
    <w:p w14:paraId="43EE5C3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bookmarkStart w:id="31" w:name="_Toc14943_WPSOffice_Level2"/>
      <w:bookmarkEnd w:id="31"/>
      <w:bookmarkStart w:id="32" w:name="_Toc31446"/>
      <w:bookmarkEnd w:id="32"/>
      <w:bookmarkStart w:id="33" w:name="_Toc23686_WPSOffice_Level2"/>
      <w:bookmarkEnd w:id="33"/>
      <w:r>
        <w:rPr>
          <w:rFonts w:hint="eastAsia" w:asciiTheme="minorEastAsia" w:hAnsiTheme="minorEastAsia" w:eastAsiaTheme="minorEastAsia" w:cstheme="minorEastAsia"/>
          <w:color w:val="auto"/>
          <w:sz w:val="24"/>
          <w:szCs w:val="24"/>
        </w:rPr>
        <w:t>（一）凡有意参加磋商的供应商，</w:t>
      </w:r>
      <w:r>
        <w:rPr>
          <w:rFonts w:hint="eastAsia" w:asciiTheme="minorEastAsia" w:hAnsiTheme="minorEastAsia" w:eastAsiaTheme="minorEastAsia" w:cstheme="minorEastAsia"/>
          <w:color w:val="auto"/>
          <w:sz w:val="24"/>
          <w:szCs w:val="24"/>
          <w:lang w:val="en-US" w:eastAsia="zh-CN"/>
        </w:rPr>
        <w:t>供应商应通过“行采家”平台（https://www.gec123.com）进行注册，成为行采家平台供应商。</w:t>
      </w:r>
      <w:r>
        <w:rPr>
          <w:rFonts w:hint="eastAsia" w:asciiTheme="minorEastAsia" w:hAnsiTheme="minorEastAsia" w:eastAsiaTheme="minorEastAsia" w:cstheme="minorEastAsia"/>
          <w:color w:val="auto"/>
          <w:sz w:val="24"/>
          <w:szCs w:val="24"/>
        </w:rPr>
        <w:t>请在“行采家”（https://www.gec123.com/）采购公告发布之日起至提交响应文件截止时间之前自行下载本项目</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文件以及补遗等开标前公布的所有项目资料，无论供应商下载与否，均视为已知晓所有</w:t>
      </w:r>
      <w:r>
        <w:rPr>
          <w:rFonts w:hint="eastAsia" w:asciiTheme="minorEastAsia" w:hAnsiTheme="minorEastAsia" w:eastAsiaTheme="minorEastAsia" w:cstheme="minorEastAsia"/>
          <w:color w:val="auto"/>
          <w:sz w:val="24"/>
          <w:szCs w:val="24"/>
          <w:lang w:val="en-US" w:eastAsia="zh-CN"/>
        </w:rPr>
        <w:t>竞争性磋商</w:t>
      </w:r>
      <w:r>
        <w:rPr>
          <w:rFonts w:hint="eastAsia" w:asciiTheme="minorEastAsia" w:hAnsiTheme="minorEastAsia" w:eastAsiaTheme="minorEastAsia" w:cstheme="minorEastAsia"/>
          <w:color w:val="auto"/>
          <w:sz w:val="24"/>
          <w:szCs w:val="24"/>
        </w:rPr>
        <w:t>实质性要求内容。</w:t>
      </w:r>
    </w:p>
    <w:p w14:paraId="57FCF36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（二）磋商文件公告期限：自磋商公告发布之日（</w:t>
      </w:r>
      <w:r>
        <w:rPr>
          <w:rFonts w:hint="eastAsia" w:asciiTheme="minorEastAsia" w:hAnsiTheme="minorEastAsia" w:eastAsiaTheme="minorEastAsia" w:cstheme="minorEastAsia"/>
          <w:color w:val="auto"/>
          <w:sz w:val="24"/>
          <w:szCs w:val="24"/>
          <w:lang w:eastAsia="zh-CN"/>
        </w:rPr>
        <w:t>2025年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eastAsia="zh-CN"/>
        </w:rPr>
        <w:t>月</w:t>
      </w:r>
      <w:r>
        <w:rPr>
          <w:rFonts w:hint="eastAsia" w:asciiTheme="minorEastAsia" w:hAnsiTheme="minorEastAsia" w:eastAsiaTheme="minorEastAsia" w:cstheme="minorEastAsia"/>
          <w:color w:val="auto"/>
          <w:sz w:val="24"/>
          <w:szCs w:val="24"/>
          <w:lang w:val="en-US" w:eastAsia="zh-CN"/>
        </w:rPr>
        <w:t xml:space="preserve"> 9 </w:t>
      </w:r>
      <w:r>
        <w:rPr>
          <w:rFonts w:hint="eastAsia" w:asciiTheme="minorEastAsia" w:hAnsiTheme="minorEastAsia" w:eastAsiaTheme="minorEastAsia" w:cstheme="minorEastAsia"/>
          <w:color w:val="auto"/>
          <w:sz w:val="24"/>
          <w:szCs w:val="24"/>
        </w:rPr>
        <w:t>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14:paraId="2F93B02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（三）竞争性磋商文件</w:t>
      </w:r>
      <w:r>
        <w:rPr>
          <w:rFonts w:hint="eastAsia" w:asciiTheme="minorEastAsia" w:hAnsiTheme="minorEastAsia" w:eastAsiaTheme="minorEastAsia" w:cstheme="minorEastAsia"/>
          <w:color w:val="auto"/>
          <w:sz w:val="24"/>
          <w:szCs w:val="24"/>
          <w:lang w:val="en-US" w:eastAsia="zh-CN"/>
        </w:rPr>
        <w:t>的获取</w:t>
      </w:r>
    </w:p>
    <w:p w14:paraId="6207209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1.竞争性磋商文件发售期：</w:t>
      </w:r>
      <w:r>
        <w:rPr>
          <w:rFonts w:hint="eastAsia" w:asciiTheme="minorEastAsia" w:hAnsiTheme="minorEastAsia" w:eastAsiaTheme="minorEastAsia" w:cstheme="minorEastAsia"/>
          <w:color w:val="auto"/>
          <w:sz w:val="24"/>
          <w:szCs w:val="24"/>
          <w:lang w:val="en-US" w:eastAsia="zh-CN"/>
        </w:rPr>
        <w:t>2025年9月 9日—2025年9月 15日</w:t>
      </w:r>
      <w:r>
        <w:rPr>
          <w:rFonts w:hint="eastAsia" w:asciiTheme="minorEastAsia" w:hAnsiTheme="minorEastAsia" w:eastAsiaTheme="minorEastAsia" w:cstheme="minorEastAsia"/>
          <w:color w:val="auto"/>
          <w:sz w:val="24"/>
          <w:szCs w:val="24"/>
          <w:lang w:val="en-US" w:eastAsia="zh-CN"/>
        </w:rPr>
        <w:t>。</w:t>
      </w:r>
    </w:p>
    <w:p w14:paraId="4E5132C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2.竞争性磋商文件售价：人民币</w:t>
      </w:r>
      <w:r>
        <w:rPr>
          <w:rFonts w:hint="eastAsia" w:asciiTheme="minorEastAsia" w:hAnsiTheme="minorEastAsia" w:eastAsiaTheme="minorEastAsia" w:cstheme="minorEastAsia"/>
          <w:color w:val="auto"/>
          <w:sz w:val="24"/>
          <w:szCs w:val="24"/>
          <w:lang w:val="en-US" w:eastAsia="zh-CN"/>
        </w:rPr>
        <w:t>500</w:t>
      </w:r>
      <w:r>
        <w:rPr>
          <w:rFonts w:hint="eastAsia" w:asciiTheme="minorEastAsia" w:hAnsiTheme="minorEastAsia" w:eastAsiaTheme="minorEastAsia" w:cstheme="minorEastAsia"/>
          <w:color w:val="auto"/>
          <w:sz w:val="24"/>
          <w:szCs w:val="24"/>
        </w:rPr>
        <w:t>元/本（售后不退）</w:t>
      </w:r>
    </w:p>
    <w:p w14:paraId="7A80553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3.竞争性磋商文件购买方式：</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lang w:eastAsia="zh-CN"/>
        </w:rPr>
        <w:t>通过汇款方式购买竞争性磋商文件，将竞争性磋商文件汇款凭证（注明项目名称</w:t>
      </w:r>
      <w:r>
        <w:rPr>
          <w:rFonts w:hint="eastAsia" w:asciiTheme="minorEastAsia" w:hAnsiTheme="minorEastAsia" w:eastAsiaTheme="minorEastAsia" w:cstheme="minorEastAsia"/>
          <w:color w:val="auto"/>
          <w:sz w:val="24"/>
          <w:szCs w:val="24"/>
          <w:lang w:val="en-US" w:eastAsia="zh-CN"/>
        </w:rPr>
        <w:t>+报名费</w:t>
      </w:r>
      <w:r>
        <w:rPr>
          <w:rFonts w:hint="eastAsia" w:asciiTheme="minorEastAsia" w:hAnsiTheme="minorEastAsia" w:eastAsiaTheme="minorEastAsia" w:cstheme="minorEastAsia"/>
          <w:color w:val="auto"/>
          <w:sz w:val="24"/>
          <w:szCs w:val="24"/>
          <w:lang w:eastAsia="zh-CN"/>
        </w:rPr>
        <w:t>）、《磋商文件获取登记表》（加盖供应商公章）扫描后发送至</w:t>
      </w:r>
      <w:r>
        <w:rPr>
          <w:rFonts w:hint="eastAsia" w:asciiTheme="minorEastAsia" w:hAnsiTheme="minorEastAsia" w:eastAsiaTheme="minorEastAsia" w:cstheme="minorEastAsia"/>
          <w:color w:val="auto"/>
          <w:sz w:val="24"/>
          <w:szCs w:val="24"/>
          <w:lang w:val="en-US" w:eastAsia="zh-CN"/>
        </w:rPr>
        <w:t>721787298</w:t>
      </w:r>
      <w:r>
        <w:rPr>
          <w:rFonts w:hint="eastAsia" w:asciiTheme="minorEastAsia" w:hAnsiTheme="minorEastAsia" w:eastAsiaTheme="minorEastAsia" w:cstheme="minorEastAsia"/>
          <w:color w:val="auto"/>
          <w:sz w:val="24"/>
          <w:szCs w:val="24"/>
          <w:lang w:eastAsia="zh-CN"/>
        </w:rPr>
        <w:t>@qq.com</w:t>
      </w:r>
      <w:r>
        <w:rPr>
          <w:rFonts w:hint="eastAsia" w:asciiTheme="minorEastAsia" w:hAnsiTheme="minorEastAsia" w:eastAsiaTheme="minorEastAsia" w:cstheme="minorEastAsia"/>
          <w:color w:val="auto"/>
          <w:sz w:val="24"/>
          <w:szCs w:val="24"/>
          <w:lang w:val="en-US" w:eastAsia="zh-CN"/>
        </w:rPr>
        <w:t>进行报名。</w:t>
      </w:r>
    </w:p>
    <w:p w14:paraId="1E76B38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sz w:val="24"/>
          <w:szCs w:val="24"/>
          <w:lang w:val="en-US" w:eastAsia="zh-CN"/>
        </w:rPr>
        <w:t>供应商</w:t>
      </w:r>
      <w:bookmarkStart w:id="211" w:name="_GoBack"/>
      <w:bookmarkEnd w:id="211"/>
      <w:r>
        <w:rPr>
          <w:rFonts w:hint="eastAsia" w:asciiTheme="minorEastAsia" w:hAnsiTheme="minorEastAsia" w:eastAsiaTheme="minorEastAsia" w:cstheme="minorEastAsia"/>
          <w:color w:val="auto"/>
          <w:sz w:val="24"/>
          <w:szCs w:val="24"/>
        </w:rPr>
        <w:t>须在竞争性磋商文件发售期时间内报名，并缴纳报名费才具备投标资格。</w:t>
      </w:r>
    </w:p>
    <w:p w14:paraId="34190E1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在竞争性磋商文件发售期内购买了竞争性磋商文件的供应商，其</w:t>
      </w:r>
      <w:r>
        <w:rPr>
          <w:rFonts w:hint="eastAsia" w:asciiTheme="minorEastAsia" w:hAnsiTheme="minorEastAsia" w:eastAsiaTheme="minorEastAsia" w:cstheme="minorEastAsia"/>
          <w:color w:val="auto"/>
          <w:sz w:val="24"/>
          <w:szCs w:val="24"/>
          <w:lang w:val="en-US" w:eastAsia="zh-CN"/>
        </w:rPr>
        <w:t>响应文件</w:t>
      </w:r>
      <w:r>
        <w:rPr>
          <w:rFonts w:hint="eastAsia" w:asciiTheme="minorEastAsia" w:hAnsiTheme="minorEastAsia" w:eastAsiaTheme="minorEastAsia" w:cstheme="minorEastAsia"/>
          <w:color w:val="auto"/>
          <w:sz w:val="24"/>
          <w:szCs w:val="24"/>
        </w:rPr>
        <w:t>才被接收。</w:t>
      </w:r>
    </w:p>
    <w:p w14:paraId="4C84382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lang w:eastAsia="zh-CN"/>
        </w:rPr>
      </w:pPr>
      <w:r>
        <w:rPr>
          <w:rFonts w:hint="eastAsia" w:asciiTheme="minorEastAsia" w:hAnsiTheme="minorEastAsia" w:eastAsiaTheme="minorEastAsia" w:cstheme="minorEastAsia"/>
          <w:color w:val="auto"/>
          <w:kern w:val="1"/>
          <w:sz w:val="24"/>
          <w:shd w:val="clear" w:color="auto" w:fill="FFFFFF"/>
          <w:lang w:eastAsia="zh-CN"/>
        </w:rPr>
        <w:t>（</w:t>
      </w:r>
      <w:r>
        <w:rPr>
          <w:rFonts w:hint="eastAsia" w:asciiTheme="minorEastAsia" w:hAnsiTheme="minorEastAsia" w:eastAsiaTheme="minorEastAsia" w:cstheme="minorEastAsia"/>
          <w:color w:val="auto"/>
          <w:kern w:val="1"/>
          <w:sz w:val="24"/>
          <w:shd w:val="clear" w:color="auto" w:fill="FFFFFF"/>
          <w:lang w:val="en-US" w:eastAsia="zh-CN"/>
        </w:rPr>
        <w:t>四</w:t>
      </w:r>
      <w:r>
        <w:rPr>
          <w:rFonts w:hint="eastAsia" w:asciiTheme="minorEastAsia" w:hAnsiTheme="minorEastAsia" w:eastAsiaTheme="minorEastAsia" w:cstheme="minorEastAsia"/>
          <w:color w:val="auto"/>
          <w:kern w:val="1"/>
          <w:sz w:val="24"/>
          <w:shd w:val="clear" w:color="auto" w:fill="FFFFFF"/>
          <w:lang w:eastAsia="zh-CN"/>
        </w:rPr>
        <w:t>）递交响应文件地点：酉阳土家族苗族自治县林业局</w:t>
      </w:r>
      <w:r>
        <w:rPr>
          <w:rFonts w:hint="eastAsia" w:asciiTheme="minorEastAsia" w:hAnsiTheme="minorEastAsia" w:eastAsiaTheme="minorEastAsia" w:cstheme="minorEastAsia"/>
          <w:color w:val="auto"/>
          <w:kern w:val="1"/>
          <w:sz w:val="24"/>
          <w:shd w:val="clear" w:color="auto" w:fill="FFFFFF"/>
          <w:lang w:val="en-US" w:eastAsia="zh-CN"/>
        </w:rPr>
        <w:t>会议室</w:t>
      </w:r>
      <w:r>
        <w:rPr>
          <w:rFonts w:hint="eastAsia" w:asciiTheme="minorEastAsia" w:hAnsiTheme="minorEastAsia" w:eastAsiaTheme="minorEastAsia" w:cstheme="minorEastAsia"/>
          <w:color w:val="auto"/>
          <w:kern w:val="1"/>
          <w:sz w:val="24"/>
          <w:shd w:val="clear" w:color="auto" w:fill="FFFFFF"/>
          <w:lang w:eastAsia="zh-CN"/>
        </w:rPr>
        <w:t xml:space="preserve">。 </w:t>
      </w:r>
    </w:p>
    <w:p w14:paraId="17DB671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lang w:eastAsia="zh-CN"/>
        </w:rPr>
      </w:pPr>
      <w:r>
        <w:rPr>
          <w:rFonts w:hint="eastAsia" w:asciiTheme="minorEastAsia" w:hAnsiTheme="minorEastAsia" w:eastAsiaTheme="minorEastAsia" w:cstheme="minorEastAsia"/>
          <w:color w:val="auto"/>
          <w:kern w:val="1"/>
          <w:sz w:val="24"/>
          <w:shd w:val="clear" w:color="auto" w:fill="FFFFFF"/>
          <w:lang w:eastAsia="zh-CN"/>
        </w:rPr>
        <w:t>（</w:t>
      </w:r>
      <w:r>
        <w:rPr>
          <w:rFonts w:hint="eastAsia" w:asciiTheme="minorEastAsia" w:hAnsiTheme="minorEastAsia" w:eastAsiaTheme="minorEastAsia" w:cstheme="minorEastAsia"/>
          <w:color w:val="auto"/>
          <w:kern w:val="1"/>
          <w:sz w:val="24"/>
          <w:shd w:val="clear" w:color="auto" w:fill="FFFFFF"/>
          <w:lang w:val="en-US" w:eastAsia="zh-CN"/>
        </w:rPr>
        <w:t>五</w:t>
      </w:r>
      <w:r>
        <w:rPr>
          <w:rFonts w:hint="eastAsia" w:asciiTheme="minorEastAsia" w:hAnsiTheme="minorEastAsia" w:eastAsiaTheme="minorEastAsia" w:cstheme="minorEastAsia"/>
          <w:color w:val="auto"/>
          <w:kern w:val="1"/>
          <w:sz w:val="24"/>
          <w:shd w:val="clear" w:color="auto" w:fill="FFFFFF"/>
          <w:lang w:eastAsia="zh-CN"/>
        </w:rPr>
        <w:t>）递交响应文件开始时间：</w:t>
      </w:r>
      <w:r>
        <w:rPr>
          <w:rFonts w:hint="eastAsia" w:asciiTheme="minorEastAsia" w:hAnsiTheme="minorEastAsia" w:eastAsiaTheme="minorEastAsia" w:cstheme="minorEastAsia"/>
          <w:color w:val="auto"/>
          <w:kern w:val="1"/>
          <w:sz w:val="24"/>
          <w:shd w:val="clear" w:color="auto" w:fill="FFFFFF"/>
          <w:lang w:eastAsia="zh-CN"/>
        </w:rPr>
        <w:t>2025年</w:t>
      </w:r>
      <w:r>
        <w:rPr>
          <w:rFonts w:hint="eastAsia" w:asciiTheme="minorEastAsia" w:hAnsiTheme="minorEastAsia" w:eastAsiaTheme="minorEastAsia" w:cstheme="minorEastAsia"/>
          <w:color w:val="auto"/>
          <w:kern w:val="1"/>
          <w:sz w:val="24"/>
          <w:shd w:val="clear" w:color="auto" w:fill="FFFFFF"/>
          <w:lang w:val="en-US" w:eastAsia="zh-CN"/>
        </w:rPr>
        <w:t>9</w:t>
      </w:r>
      <w:r>
        <w:rPr>
          <w:rFonts w:hint="eastAsia" w:asciiTheme="minorEastAsia" w:hAnsiTheme="minorEastAsia" w:eastAsiaTheme="minorEastAsia" w:cstheme="minorEastAsia"/>
          <w:color w:val="auto"/>
          <w:kern w:val="1"/>
          <w:sz w:val="24"/>
          <w:shd w:val="clear" w:color="auto" w:fill="FFFFFF"/>
          <w:lang w:eastAsia="zh-CN"/>
        </w:rPr>
        <w:t>月</w:t>
      </w:r>
      <w:r>
        <w:rPr>
          <w:rFonts w:hint="eastAsia" w:asciiTheme="minorEastAsia" w:hAnsiTheme="minorEastAsia" w:eastAsiaTheme="minorEastAsia" w:cstheme="minorEastAsia"/>
          <w:color w:val="auto"/>
          <w:kern w:val="1"/>
          <w:sz w:val="24"/>
          <w:shd w:val="clear" w:color="auto" w:fill="FFFFFF"/>
          <w:lang w:val="en-US" w:eastAsia="zh-CN"/>
        </w:rPr>
        <w:t xml:space="preserve"> 18 日</w:t>
      </w:r>
      <w:r>
        <w:rPr>
          <w:rFonts w:hint="eastAsia" w:asciiTheme="minorEastAsia" w:hAnsiTheme="minorEastAsia" w:eastAsiaTheme="minorEastAsia" w:cstheme="minorEastAsia"/>
          <w:color w:val="auto"/>
          <w:kern w:val="1"/>
          <w:sz w:val="24"/>
          <w:shd w:val="clear" w:color="auto" w:fill="FFFFFF"/>
          <w:lang w:eastAsia="zh-CN"/>
        </w:rPr>
        <w:t>1</w:t>
      </w:r>
      <w:r>
        <w:rPr>
          <w:rFonts w:hint="eastAsia" w:asciiTheme="minorEastAsia" w:hAnsiTheme="minorEastAsia" w:eastAsiaTheme="minorEastAsia" w:cstheme="minorEastAsia"/>
          <w:color w:val="auto"/>
          <w:kern w:val="1"/>
          <w:sz w:val="24"/>
          <w:shd w:val="clear" w:color="auto" w:fill="FFFFFF"/>
          <w:lang w:val="en-US" w:eastAsia="zh-CN"/>
        </w:rPr>
        <w:t>0</w:t>
      </w:r>
      <w:r>
        <w:rPr>
          <w:rFonts w:hint="eastAsia" w:asciiTheme="minorEastAsia" w:hAnsiTheme="minorEastAsia" w:eastAsiaTheme="minorEastAsia" w:cstheme="minorEastAsia"/>
          <w:color w:val="auto"/>
          <w:kern w:val="1"/>
          <w:sz w:val="24"/>
          <w:shd w:val="clear" w:color="auto" w:fill="FFFFFF"/>
          <w:lang w:eastAsia="zh-CN"/>
        </w:rPr>
        <w:t>:00。</w:t>
      </w:r>
    </w:p>
    <w:p w14:paraId="0ECBE4E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lang w:eastAsia="zh-CN"/>
        </w:rPr>
      </w:pPr>
      <w:r>
        <w:rPr>
          <w:rFonts w:hint="eastAsia" w:asciiTheme="minorEastAsia" w:hAnsiTheme="minorEastAsia" w:eastAsiaTheme="minorEastAsia" w:cstheme="minorEastAsia"/>
          <w:color w:val="auto"/>
          <w:kern w:val="1"/>
          <w:sz w:val="24"/>
          <w:shd w:val="clear" w:color="auto" w:fill="FFFFFF"/>
          <w:lang w:eastAsia="zh-CN"/>
        </w:rPr>
        <w:t>（</w:t>
      </w:r>
      <w:r>
        <w:rPr>
          <w:rFonts w:hint="eastAsia" w:asciiTheme="minorEastAsia" w:hAnsiTheme="minorEastAsia" w:eastAsiaTheme="minorEastAsia" w:cstheme="minorEastAsia"/>
          <w:color w:val="auto"/>
          <w:kern w:val="1"/>
          <w:sz w:val="24"/>
          <w:shd w:val="clear" w:color="auto" w:fill="FFFFFF"/>
          <w:lang w:val="en-US" w:eastAsia="zh-CN"/>
        </w:rPr>
        <w:t>六</w:t>
      </w:r>
      <w:r>
        <w:rPr>
          <w:rFonts w:hint="eastAsia" w:asciiTheme="minorEastAsia" w:hAnsiTheme="minorEastAsia" w:eastAsiaTheme="minorEastAsia" w:cstheme="minorEastAsia"/>
          <w:color w:val="auto"/>
          <w:kern w:val="1"/>
          <w:sz w:val="24"/>
          <w:shd w:val="clear" w:color="auto" w:fill="FFFFFF"/>
          <w:lang w:eastAsia="zh-CN"/>
        </w:rPr>
        <w:t>）递交响应文件截止时间：2025年</w:t>
      </w:r>
      <w:r>
        <w:rPr>
          <w:rFonts w:hint="eastAsia" w:asciiTheme="minorEastAsia" w:hAnsiTheme="minorEastAsia" w:eastAsiaTheme="minorEastAsia" w:cstheme="minorEastAsia"/>
          <w:color w:val="auto"/>
          <w:kern w:val="1"/>
          <w:sz w:val="24"/>
          <w:shd w:val="clear" w:color="auto" w:fill="FFFFFF"/>
          <w:lang w:val="en-US" w:eastAsia="zh-CN"/>
        </w:rPr>
        <w:t>9</w:t>
      </w:r>
      <w:r>
        <w:rPr>
          <w:rFonts w:hint="eastAsia" w:asciiTheme="minorEastAsia" w:hAnsiTheme="minorEastAsia" w:eastAsiaTheme="minorEastAsia" w:cstheme="minorEastAsia"/>
          <w:color w:val="auto"/>
          <w:kern w:val="1"/>
          <w:sz w:val="24"/>
          <w:shd w:val="clear" w:color="auto" w:fill="FFFFFF"/>
          <w:lang w:eastAsia="zh-CN"/>
        </w:rPr>
        <w:t>月</w:t>
      </w:r>
      <w:r>
        <w:rPr>
          <w:rFonts w:hint="eastAsia" w:asciiTheme="minorEastAsia" w:hAnsiTheme="minorEastAsia" w:eastAsiaTheme="minorEastAsia" w:cstheme="minorEastAsia"/>
          <w:color w:val="auto"/>
          <w:kern w:val="1"/>
          <w:sz w:val="24"/>
          <w:shd w:val="clear" w:color="auto" w:fill="FFFFFF"/>
          <w:lang w:val="en-US" w:eastAsia="zh-CN"/>
        </w:rPr>
        <w:t xml:space="preserve"> 18 日</w:t>
      </w:r>
      <w:r>
        <w:rPr>
          <w:rFonts w:hint="eastAsia" w:asciiTheme="minorEastAsia" w:hAnsiTheme="minorEastAsia" w:eastAsiaTheme="minorEastAsia" w:cstheme="minorEastAsia"/>
          <w:color w:val="auto"/>
          <w:kern w:val="1"/>
          <w:sz w:val="24"/>
          <w:shd w:val="clear" w:color="auto" w:fill="FFFFFF"/>
          <w:lang w:eastAsia="zh-CN"/>
        </w:rPr>
        <w:t>1</w:t>
      </w:r>
      <w:r>
        <w:rPr>
          <w:rFonts w:hint="eastAsia" w:asciiTheme="minorEastAsia" w:hAnsiTheme="minorEastAsia" w:eastAsiaTheme="minorEastAsia" w:cstheme="minorEastAsia"/>
          <w:color w:val="auto"/>
          <w:kern w:val="1"/>
          <w:sz w:val="24"/>
          <w:shd w:val="clear" w:color="auto" w:fill="FFFFFF"/>
          <w:lang w:val="en-US" w:eastAsia="zh-CN"/>
        </w:rPr>
        <w:t>0</w:t>
      </w:r>
      <w:r>
        <w:rPr>
          <w:rFonts w:hint="eastAsia" w:asciiTheme="minorEastAsia" w:hAnsiTheme="minorEastAsia" w:eastAsiaTheme="minorEastAsia" w:cstheme="minorEastAsia"/>
          <w:color w:val="auto"/>
          <w:kern w:val="1"/>
          <w:sz w:val="24"/>
          <w:shd w:val="clear" w:color="auto" w:fill="FFFFFF"/>
          <w:lang w:eastAsia="zh-CN"/>
        </w:rPr>
        <w:t>:30。</w:t>
      </w:r>
    </w:p>
    <w:p w14:paraId="636E6EA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lang w:eastAsia="zh-CN"/>
        </w:rPr>
      </w:pPr>
      <w:r>
        <w:rPr>
          <w:rFonts w:hint="eastAsia" w:asciiTheme="minorEastAsia" w:hAnsiTheme="minorEastAsia" w:eastAsiaTheme="minorEastAsia" w:cstheme="minorEastAsia"/>
          <w:color w:val="auto"/>
          <w:kern w:val="1"/>
          <w:sz w:val="24"/>
          <w:shd w:val="clear" w:color="auto" w:fill="FFFFFF"/>
          <w:lang w:eastAsia="zh-CN"/>
        </w:rPr>
        <w:t>（</w:t>
      </w:r>
      <w:r>
        <w:rPr>
          <w:rFonts w:hint="eastAsia" w:asciiTheme="minorEastAsia" w:hAnsiTheme="minorEastAsia" w:eastAsiaTheme="minorEastAsia" w:cstheme="minorEastAsia"/>
          <w:color w:val="auto"/>
          <w:kern w:val="1"/>
          <w:sz w:val="24"/>
          <w:shd w:val="clear" w:color="auto" w:fill="FFFFFF"/>
          <w:lang w:val="en-US" w:eastAsia="zh-CN"/>
        </w:rPr>
        <w:t>七</w:t>
      </w:r>
      <w:r>
        <w:rPr>
          <w:rFonts w:hint="eastAsia" w:asciiTheme="minorEastAsia" w:hAnsiTheme="minorEastAsia" w:eastAsiaTheme="minorEastAsia" w:cstheme="minorEastAsia"/>
          <w:color w:val="auto"/>
          <w:kern w:val="1"/>
          <w:sz w:val="24"/>
          <w:shd w:val="clear" w:color="auto" w:fill="FFFFFF"/>
          <w:lang w:eastAsia="zh-CN"/>
        </w:rPr>
        <w:t>）磋商开始时间：2025年</w:t>
      </w:r>
      <w:r>
        <w:rPr>
          <w:rFonts w:hint="eastAsia" w:asciiTheme="minorEastAsia" w:hAnsiTheme="minorEastAsia" w:eastAsiaTheme="minorEastAsia" w:cstheme="minorEastAsia"/>
          <w:color w:val="auto"/>
          <w:kern w:val="1"/>
          <w:sz w:val="24"/>
          <w:shd w:val="clear" w:color="auto" w:fill="FFFFFF"/>
          <w:lang w:val="en-US" w:eastAsia="zh-CN"/>
        </w:rPr>
        <w:t>9</w:t>
      </w:r>
      <w:r>
        <w:rPr>
          <w:rFonts w:hint="eastAsia" w:asciiTheme="minorEastAsia" w:hAnsiTheme="minorEastAsia" w:eastAsiaTheme="minorEastAsia" w:cstheme="minorEastAsia"/>
          <w:color w:val="auto"/>
          <w:kern w:val="1"/>
          <w:sz w:val="24"/>
          <w:shd w:val="clear" w:color="auto" w:fill="FFFFFF"/>
          <w:lang w:eastAsia="zh-CN"/>
        </w:rPr>
        <w:t>月</w:t>
      </w:r>
      <w:r>
        <w:rPr>
          <w:rFonts w:hint="eastAsia" w:asciiTheme="minorEastAsia" w:hAnsiTheme="minorEastAsia" w:eastAsiaTheme="minorEastAsia" w:cstheme="minorEastAsia"/>
          <w:color w:val="auto"/>
          <w:kern w:val="1"/>
          <w:sz w:val="24"/>
          <w:shd w:val="clear" w:color="auto" w:fill="FFFFFF"/>
          <w:lang w:val="en-US" w:eastAsia="zh-CN"/>
        </w:rPr>
        <w:t xml:space="preserve"> 18 日</w:t>
      </w:r>
      <w:r>
        <w:rPr>
          <w:rFonts w:hint="eastAsia" w:asciiTheme="minorEastAsia" w:hAnsiTheme="minorEastAsia" w:eastAsiaTheme="minorEastAsia" w:cstheme="minorEastAsia"/>
          <w:color w:val="auto"/>
          <w:kern w:val="1"/>
          <w:sz w:val="24"/>
          <w:shd w:val="clear" w:color="auto" w:fill="FFFFFF"/>
          <w:lang w:eastAsia="zh-CN"/>
        </w:rPr>
        <w:t>1</w:t>
      </w:r>
      <w:r>
        <w:rPr>
          <w:rFonts w:hint="eastAsia" w:asciiTheme="minorEastAsia" w:hAnsiTheme="minorEastAsia" w:eastAsiaTheme="minorEastAsia" w:cstheme="minorEastAsia"/>
          <w:color w:val="auto"/>
          <w:kern w:val="1"/>
          <w:sz w:val="24"/>
          <w:shd w:val="clear" w:color="auto" w:fill="FFFFFF"/>
          <w:lang w:val="en-US" w:eastAsia="zh-CN"/>
        </w:rPr>
        <w:t>0</w:t>
      </w:r>
      <w:r>
        <w:rPr>
          <w:rFonts w:hint="eastAsia" w:asciiTheme="minorEastAsia" w:hAnsiTheme="minorEastAsia" w:eastAsiaTheme="minorEastAsia" w:cstheme="minorEastAsia"/>
          <w:color w:val="auto"/>
          <w:kern w:val="1"/>
          <w:sz w:val="24"/>
          <w:shd w:val="clear" w:color="auto" w:fill="FFFFFF"/>
          <w:lang w:eastAsia="zh-CN"/>
        </w:rPr>
        <w:t>:30。</w:t>
      </w:r>
    </w:p>
    <w:p w14:paraId="7D28143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lang w:val="en-US" w:eastAsia="zh-CN"/>
        </w:rPr>
      </w:pPr>
      <w:r>
        <w:rPr>
          <w:rFonts w:hint="eastAsia" w:asciiTheme="minorEastAsia" w:hAnsiTheme="minorEastAsia" w:eastAsiaTheme="minorEastAsia" w:cstheme="minorEastAsia"/>
          <w:color w:val="auto"/>
          <w:kern w:val="1"/>
          <w:sz w:val="24"/>
          <w:shd w:val="clear" w:color="auto" w:fill="FFFFFF"/>
          <w:lang w:eastAsia="zh-CN"/>
        </w:rPr>
        <w:t>（</w:t>
      </w:r>
      <w:r>
        <w:rPr>
          <w:rFonts w:hint="eastAsia" w:asciiTheme="minorEastAsia" w:hAnsiTheme="minorEastAsia" w:eastAsiaTheme="minorEastAsia" w:cstheme="minorEastAsia"/>
          <w:color w:val="auto"/>
          <w:kern w:val="1"/>
          <w:sz w:val="24"/>
          <w:shd w:val="clear" w:color="auto" w:fill="FFFFFF"/>
          <w:lang w:val="en-US" w:eastAsia="zh-CN"/>
        </w:rPr>
        <w:t>八</w:t>
      </w:r>
      <w:r>
        <w:rPr>
          <w:rFonts w:hint="eastAsia" w:asciiTheme="minorEastAsia" w:hAnsiTheme="minorEastAsia" w:eastAsiaTheme="minorEastAsia" w:cstheme="minorEastAsia"/>
          <w:color w:val="auto"/>
          <w:kern w:val="1"/>
          <w:sz w:val="24"/>
          <w:shd w:val="clear" w:color="auto" w:fill="FFFFFF"/>
          <w:lang w:eastAsia="zh-CN"/>
        </w:rPr>
        <w:t>）磋商地点：同递交响应文件地点</w:t>
      </w:r>
      <w:r>
        <w:rPr>
          <w:rFonts w:hint="eastAsia" w:asciiTheme="minorEastAsia" w:hAnsiTheme="minorEastAsia" w:eastAsiaTheme="minorEastAsia" w:cstheme="minorEastAsia"/>
          <w:color w:val="auto"/>
          <w:kern w:val="1"/>
          <w:sz w:val="24"/>
          <w:shd w:val="clear" w:color="auto" w:fill="FFFFFF"/>
          <w:lang w:val="en-US" w:eastAsia="zh-CN"/>
        </w:rPr>
        <w:t xml:space="preserve">。 </w:t>
      </w:r>
    </w:p>
    <w:p w14:paraId="0C95DD41">
      <w:pPr>
        <w:pageBreakBefore w:val="0"/>
        <w:widowControl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五、其它有关规定</w:t>
      </w:r>
    </w:p>
    <w:p w14:paraId="6DC83F79">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（一）单位负责人为同一人或者存在直接控股、管理关系的不同供应商，不得参加同一合同项（分包）下的</w:t>
      </w:r>
      <w:r>
        <w:rPr>
          <w:rFonts w:hint="eastAsia" w:asciiTheme="minorEastAsia" w:hAnsiTheme="minorEastAsia" w:eastAsiaTheme="minorEastAsia" w:cstheme="minorEastAsia"/>
          <w:color w:val="auto"/>
          <w:sz w:val="24"/>
          <w:szCs w:val="24"/>
          <w:highlight w:val="none"/>
          <w:lang w:val="en-US" w:eastAsia="zh-CN"/>
        </w:rPr>
        <w:t>政府采购</w:t>
      </w:r>
      <w:r>
        <w:rPr>
          <w:rFonts w:hint="eastAsia" w:asciiTheme="minorEastAsia" w:hAnsiTheme="minorEastAsia" w:eastAsiaTheme="minorEastAsia" w:cstheme="minorEastAsia"/>
          <w:color w:val="auto"/>
          <w:sz w:val="24"/>
          <w:szCs w:val="24"/>
          <w:highlight w:val="none"/>
        </w:rPr>
        <w:t>活动，否则均为无效响应。</w:t>
      </w:r>
    </w:p>
    <w:p w14:paraId="30CE2ED2">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14:paraId="268D547C">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（三）本项目的补遗文件（如果有）一律在</w:t>
      </w:r>
      <w:r>
        <w:rPr>
          <w:rFonts w:hint="eastAsia" w:asciiTheme="minorEastAsia" w:hAnsiTheme="minorEastAsia" w:eastAsiaTheme="minorEastAsia" w:cstheme="minorEastAsia"/>
          <w:color w:val="auto"/>
          <w:sz w:val="24"/>
          <w:szCs w:val="24"/>
          <w:highlight w:val="none"/>
          <w:lang w:eastAsia="zh-CN"/>
        </w:rPr>
        <w:t>行采家（https://www.gec123.com/）</w:t>
      </w:r>
      <w:r>
        <w:rPr>
          <w:rFonts w:hint="eastAsia" w:asciiTheme="minorEastAsia" w:hAnsiTheme="minorEastAsia" w:eastAsiaTheme="minorEastAsia" w:cstheme="minorEastAsia"/>
          <w:color w:val="auto"/>
          <w:sz w:val="24"/>
          <w:szCs w:val="24"/>
          <w:highlight w:val="none"/>
        </w:rPr>
        <w:t>上发布，请各供应商注意下载或到采购代理机构领取；无论供应商下载或领取与否，均视同供应商已知晓本项目补遗文件（如果有）的内容。</w:t>
      </w:r>
    </w:p>
    <w:p w14:paraId="5F1B86DE">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14:paraId="26A1A6B6">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14:paraId="169C2FAD">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（六）本项目不接受联合体参与磋商，否则按无效处理。</w:t>
      </w:r>
    </w:p>
    <w:p w14:paraId="2917DF7D">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政府采购活动。</w:t>
      </w:r>
    </w:p>
    <w:p w14:paraId="42944185">
      <w:pPr>
        <w:pageBreakBefore w:val="0"/>
        <w:widowControl w:val="0"/>
        <w:kinsoku/>
        <w:wordWrap/>
        <w:overflowPunct/>
        <w:topLinePunct w:val="0"/>
        <w:autoSpaceDE/>
        <w:autoSpaceDN/>
        <w:bidi w:val="0"/>
        <w:adjustRightInd/>
        <w:spacing w:line="360" w:lineRule="auto"/>
        <w:ind w:firstLine="480"/>
        <w:textAlignment w:val="auto"/>
        <w:rPr>
          <w:rFonts w:hint="eastAsia" w:asciiTheme="minorEastAsia" w:hAnsiTheme="minorEastAsia" w:eastAsiaTheme="minorEastAsia" w:cstheme="minorEastAsia"/>
          <w:color w:val="auto"/>
          <w:kern w:val="1"/>
          <w:sz w:val="24"/>
          <w:szCs w:val="24"/>
          <w:shd w:val="clear" w:color="auto" w:fill="FFFFFF"/>
        </w:rPr>
      </w:pPr>
      <w:r>
        <w:rPr>
          <w:rFonts w:hint="eastAsia" w:asciiTheme="minorEastAsia" w:hAnsiTheme="minorEastAsia" w:eastAsiaTheme="minorEastAsia" w:cstheme="minorEastAsia"/>
          <w:color w:val="auto"/>
          <w:kern w:val="1"/>
          <w:sz w:val="24"/>
          <w:szCs w:val="24"/>
          <w:shd w:val="clear" w:color="auto" w:fill="FFFFFF"/>
        </w:rPr>
        <w:t>（八）本项目严禁分包、转包给其他公司。</w:t>
      </w:r>
    </w:p>
    <w:p w14:paraId="72696124">
      <w:pPr>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sz w:val="24"/>
          <w:szCs w:val="24"/>
        </w:rPr>
      </w:pPr>
      <w:bookmarkStart w:id="34" w:name="_Toc11828"/>
      <w:bookmarkEnd w:id="34"/>
      <w:bookmarkStart w:id="35" w:name="_Toc9654"/>
      <w:bookmarkEnd w:id="35"/>
      <w:bookmarkStart w:id="36" w:name="_Toc27955"/>
      <w:bookmarkEnd w:id="36"/>
      <w:bookmarkStart w:id="37" w:name="_Toc25886"/>
      <w:bookmarkEnd w:id="37"/>
      <w:bookmarkStart w:id="38" w:name="_Toc20778"/>
      <w:bookmarkEnd w:id="38"/>
      <w:bookmarkStart w:id="39" w:name="_Toc5085"/>
      <w:bookmarkEnd w:id="39"/>
      <w:bookmarkStart w:id="40" w:name="_Toc3475"/>
      <w:bookmarkEnd w:id="40"/>
      <w:r>
        <w:rPr>
          <w:rFonts w:hint="eastAsia" w:asciiTheme="minorEastAsia" w:hAnsiTheme="minorEastAsia" w:eastAsiaTheme="minorEastAsia" w:cstheme="minorEastAsia"/>
          <w:b/>
          <w:bCs/>
          <w:color w:val="auto"/>
          <w:sz w:val="24"/>
          <w:szCs w:val="24"/>
        </w:rPr>
        <w:t>六、联系方式</w:t>
      </w:r>
    </w:p>
    <w:p w14:paraId="6DB7082F">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（一）采购人：</w:t>
      </w:r>
      <w:r>
        <w:rPr>
          <w:rFonts w:hint="eastAsia" w:asciiTheme="minorEastAsia" w:hAnsiTheme="minorEastAsia" w:eastAsiaTheme="minorEastAsia" w:cstheme="minorEastAsia"/>
          <w:color w:val="auto"/>
          <w:sz w:val="24"/>
          <w:szCs w:val="24"/>
          <w:lang w:eastAsia="zh-CN"/>
        </w:rPr>
        <w:t>酉阳土家族苗族自治县林业局</w:t>
      </w:r>
    </w:p>
    <w:p w14:paraId="4AE7746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何</w:t>
      </w:r>
      <w:r>
        <w:rPr>
          <w:rFonts w:hint="eastAsia" w:asciiTheme="minorEastAsia" w:hAnsiTheme="minorEastAsia" w:eastAsiaTheme="minorEastAsia" w:cstheme="minorEastAsia"/>
          <w:color w:val="auto"/>
          <w:sz w:val="24"/>
          <w:szCs w:val="24"/>
        </w:rPr>
        <w:t>老师</w:t>
      </w:r>
    </w:p>
    <w:p w14:paraId="180B48F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电  话：15334560906</w:t>
      </w:r>
    </w:p>
    <w:p w14:paraId="6AF01FD1">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址：酉阳县钟多镇桃花源中路7号</w:t>
      </w:r>
    </w:p>
    <w:p w14:paraId="197F567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（二）采购代理机构：</w:t>
      </w:r>
      <w:r>
        <w:rPr>
          <w:rFonts w:hint="eastAsia" w:asciiTheme="minorEastAsia" w:hAnsiTheme="minorEastAsia" w:eastAsiaTheme="minorEastAsia" w:cstheme="minorEastAsia"/>
          <w:color w:val="auto"/>
          <w:sz w:val="24"/>
          <w:szCs w:val="24"/>
          <w:lang w:val="en-US" w:eastAsia="zh-CN"/>
        </w:rPr>
        <w:t>重庆腾展工程管理有限公司</w:t>
      </w:r>
    </w:p>
    <w:p w14:paraId="1E2D30DF">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刘老师</w:t>
      </w:r>
    </w:p>
    <w:p w14:paraId="6ACA8CE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color w:val="auto"/>
          <w:sz w:val="24"/>
          <w:szCs w:val="24"/>
          <w:lang w:val="en-US" w:eastAsia="zh-CN"/>
        </w:rPr>
        <w:t>13452263456</w:t>
      </w:r>
    </w:p>
    <w:p w14:paraId="6A56143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kern w:val="1"/>
          <w:sz w:val="24"/>
          <w:shd w:val="clear" w:color="auto" w:fill="FFFFFF"/>
          <w:lang w:val="en-US" w:eastAsia="zh-CN"/>
        </w:rPr>
      </w:pPr>
      <w:r>
        <w:rPr>
          <w:rFonts w:hint="eastAsia" w:asciiTheme="minorEastAsia" w:hAnsiTheme="minorEastAsia" w:eastAsiaTheme="minorEastAsia" w:cstheme="minorEastAsia"/>
          <w:color w:val="auto"/>
          <w:sz w:val="24"/>
          <w:szCs w:val="24"/>
        </w:rPr>
        <w:t>地  址：重庆市</w:t>
      </w:r>
      <w:r>
        <w:rPr>
          <w:rFonts w:hint="eastAsia" w:asciiTheme="minorEastAsia" w:hAnsiTheme="minorEastAsia" w:eastAsiaTheme="minorEastAsia" w:cstheme="minorEastAsia"/>
          <w:color w:val="auto"/>
          <w:sz w:val="24"/>
          <w:szCs w:val="24"/>
          <w:lang w:val="en-US" w:eastAsia="zh-CN"/>
        </w:rPr>
        <w:t>酉阳县金银山大道北路114号</w:t>
      </w:r>
    </w:p>
    <w:p w14:paraId="3AF13E6B">
      <w:pPr>
        <w:jc w:val="left"/>
        <w:rPr>
          <w:rFonts w:asciiTheme="minorEastAsia" w:hAnsiTheme="minorEastAsia" w:eastAsiaTheme="minorEastAsia" w:cstheme="minorEastAsia"/>
          <w:color w:val="auto"/>
          <w:sz w:val="24"/>
          <w:szCs w:val="24"/>
        </w:rPr>
      </w:pPr>
      <w:bookmarkStart w:id="41" w:name="_Toc76462324"/>
      <w:bookmarkStart w:id="42" w:name="_Toc106030878"/>
    </w:p>
    <w:p w14:paraId="6BC3A113">
      <w:pPr>
        <w:pStyle w:val="7"/>
        <w:ind w:left="0" w:leftChars="0" w:firstLine="0" w:firstLineChars="0"/>
        <w:rPr>
          <w:rFonts w:ascii="仿宋" w:hAnsi="仿宋" w:eastAsia="仿宋" w:cs="仿宋"/>
          <w:b/>
          <w:bCs/>
          <w:color w:val="auto"/>
          <w:sz w:val="36"/>
          <w:szCs w:val="36"/>
        </w:rPr>
      </w:pPr>
    </w:p>
    <w:p w14:paraId="43E1F181">
      <w:pPr>
        <w:rPr>
          <w:color w:val="auto"/>
        </w:rPr>
      </w:pPr>
    </w:p>
    <w:p w14:paraId="1BB00113">
      <w:pPr>
        <w:rPr>
          <w:color w:val="auto"/>
        </w:rPr>
      </w:pPr>
    </w:p>
    <w:p w14:paraId="6262FBFB">
      <w:pPr>
        <w:rPr>
          <w:color w:val="auto"/>
        </w:rPr>
      </w:pPr>
    </w:p>
    <w:p w14:paraId="40184B9F">
      <w:pPr>
        <w:rPr>
          <w:color w:val="auto"/>
        </w:rPr>
      </w:pPr>
    </w:p>
    <w:p w14:paraId="2E8DC40E">
      <w:pPr>
        <w:rPr>
          <w:color w:val="auto"/>
        </w:rPr>
      </w:pPr>
    </w:p>
    <w:p w14:paraId="561290EB">
      <w:pPr>
        <w:rPr>
          <w:color w:val="auto"/>
        </w:rPr>
      </w:pPr>
    </w:p>
    <w:p w14:paraId="66568005">
      <w:pPr>
        <w:rPr>
          <w:color w:val="auto"/>
        </w:rPr>
      </w:pPr>
    </w:p>
    <w:p w14:paraId="55C7A437">
      <w:pPr>
        <w:rPr>
          <w:color w:val="auto"/>
        </w:rPr>
      </w:pPr>
    </w:p>
    <w:p w14:paraId="5C33CDC6">
      <w:pPr>
        <w:rPr>
          <w:color w:val="auto"/>
        </w:rPr>
      </w:pPr>
    </w:p>
    <w:p w14:paraId="4B86FAAA">
      <w:pPr>
        <w:rPr>
          <w:color w:val="auto"/>
        </w:rPr>
      </w:pPr>
    </w:p>
    <w:p w14:paraId="102114D1">
      <w:pPr>
        <w:rPr>
          <w:color w:val="auto"/>
        </w:rPr>
      </w:pPr>
    </w:p>
    <w:p w14:paraId="7F8D08CD">
      <w:pPr>
        <w:rPr>
          <w:color w:val="auto"/>
        </w:rPr>
      </w:pPr>
    </w:p>
    <w:p w14:paraId="063DA82A">
      <w:pPr>
        <w:rPr>
          <w:color w:val="auto"/>
        </w:rPr>
      </w:pPr>
    </w:p>
    <w:p w14:paraId="38D3D2CC">
      <w:pPr>
        <w:rPr>
          <w:color w:val="auto"/>
        </w:rPr>
      </w:pPr>
    </w:p>
    <w:p w14:paraId="694B7A7D">
      <w:pPr>
        <w:rPr>
          <w:color w:val="auto"/>
        </w:rPr>
      </w:pPr>
    </w:p>
    <w:p w14:paraId="77EDB0CC">
      <w:pPr>
        <w:rPr>
          <w:color w:val="auto"/>
        </w:rPr>
      </w:pPr>
    </w:p>
    <w:p w14:paraId="753D5E9C">
      <w:pPr>
        <w:rPr>
          <w:color w:val="auto"/>
        </w:rPr>
      </w:pPr>
    </w:p>
    <w:p w14:paraId="4CFCC6DC">
      <w:pPr>
        <w:rPr>
          <w:color w:val="auto"/>
        </w:rPr>
      </w:pPr>
    </w:p>
    <w:p w14:paraId="316D1DFF">
      <w:pPr>
        <w:rPr>
          <w:color w:val="auto"/>
        </w:rPr>
      </w:pPr>
    </w:p>
    <w:p w14:paraId="21F5B92C">
      <w:pPr>
        <w:rPr>
          <w:color w:val="auto"/>
        </w:rPr>
      </w:pPr>
    </w:p>
    <w:p w14:paraId="3059C275">
      <w:pPr>
        <w:rPr>
          <w:color w:val="auto"/>
        </w:rPr>
      </w:pPr>
    </w:p>
    <w:p w14:paraId="5F36F911">
      <w:pPr>
        <w:rPr>
          <w:color w:val="auto"/>
        </w:rPr>
      </w:pPr>
    </w:p>
    <w:p w14:paraId="007A8441">
      <w:pPr>
        <w:rPr>
          <w:color w:val="auto"/>
        </w:rPr>
      </w:pPr>
    </w:p>
    <w:p w14:paraId="5A0D967A">
      <w:pPr>
        <w:rPr>
          <w:color w:val="auto"/>
        </w:rPr>
      </w:pPr>
    </w:p>
    <w:p w14:paraId="712B1775">
      <w:pPr>
        <w:rPr>
          <w:color w:val="auto"/>
        </w:rPr>
      </w:pPr>
    </w:p>
    <w:p w14:paraId="4704BD7C">
      <w:pPr>
        <w:rPr>
          <w:color w:val="auto"/>
        </w:rPr>
      </w:pPr>
    </w:p>
    <w:p w14:paraId="373936B3">
      <w:pPr>
        <w:rPr>
          <w:color w:val="auto"/>
        </w:rPr>
      </w:pPr>
    </w:p>
    <w:p w14:paraId="0E6D18D7">
      <w:pPr>
        <w:rPr>
          <w:color w:val="auto"/>
        </w:rPr>
      </w:pPr>
    </w:p>
    <w:p w14:paraId="59E6AF64">
      <w:pPr>
        <w:rPr>
          <w:color w:val="auto"/>
        </w:rPr>
      </w:pPr>
    </w:p>
    <w:p w14:paraId="6EBA4632">
      <w:pPr>
        <w:rPr>
          <w:color w:val="auto"/>
        </w:rPr>
      </w:pPr>
    </w:p>
    <w:p w14:paraId="031E69D4">
      <w:pPr>
        <w:rPr>
          <w:color w:val="auto"/>
        </w:rPr>
      </w:pPr>
    </w:p>
    <w:p w14:paraId="5554BF68">
      <w:pPr>
        <w:rPr>
          <w:color w:val="auto"/>
        </w:rPr>
      </w:pPr>
    </w:p>
    <w:p w14:paraId="229B5129">
      <w:pPr>
        <w:rPr>
          <w:color w:val="auto"/>
        </w:rPr>
      </w:pPr>
    </w:p>
    <w:p w14:paraId="107FAB2B">
      <w:pPr>
        <w:rPr>
          <w:color w:val="auto"/>
        </w:rPr>
      </w:pPr>
    </w:p>
    <w:p w14:paraId="1B74BC5F">
      <w:pPr>
        <w:rPr>
          <w:color w:val="auto"/>
        </w:rPr>
      </w:pPr>
    </w:p>
    <w:p w14:paraId="21A4C29F">
      <w:pPr>
        <w:rPr>
          <w:color w:val="auto"/>
        </w:rPr>
      </w:pPr>
    </w:p>
    <w:p w14:paraId="20737A3F">
      <w:pPr>
        <w:rPr>
          <w:color w:val="auto"/>
        </w:rPr>
      </w:pPr>
    </w:p>
    <w:p w14:paraId="29E7627D">
      <w:pPr>
        <w:rPr>
          <w:color w:val="auto"/>
        </w:rPr>
      </w:pPr>
    </w:p>
    <w:p w14:paraId="389B538F">
      <w:pPr>
        <w:rPr>
          <w:color w:val="auto"/>
        </w:rPr>
      </w:pPr>
    </w:p>
    <w:p w14:paraId="619398E3">
      <w:pPr>
        <w:rPr>
          <w:color w:val="auto"/>
        </w:rPr>
      </w:pPr>
    </w:p>
    <w:p w14:paraId="5BA0AD1E">
      <w:pPr>
        <w:rPr>
          <w:color w:val="auto"/>
        </w:rPr>
      </w:pPr>
    </w:p>
    <w:p w14:paraId="4EA619D9">
      <w:pPr>
        <w:rPr>
          <w:color w:val="auto"/>
        </w:rPr>
      </w:pPr>
    </w:p>
    <w:p w14:paraId="635A1A0A">
      <w:pPr>
        <w:rPr>
          <w:color w:val="auto"/>
        </w:rPr>
      </w:pPr>
    </w:p>
    <w:p w14:paraId="67CD82D5">
      <w:pPr>
        <w:rPr>
          <w:color w:val="auto"/>
        </w:rPr>
      </w:pPr>
    </w:p>
    <w:p w14:paraId="15468153">
      <w:pPr>
        <w:rPr>
          <w:color w:val="auto"/>
        </w:rPr>
      </w:pPr>
    </w:p>
    <w:p w14:paraId="10D06A4A">
      <w:pPr>
        <w:pStyle w:val="7"/>
        <w:rPr>
          <w:color w:val="auto"/>
        </w:rPr>
      </w:pPr>
    </w:p>
    <w:p w14:paraId="05F2E049">
      <w:pPr>
        <w:rPr>
          <w:color w:val="auto"/>
        </w:rPr>
      </w:pPr>
    </w:p>
    <w:bookmarkEnd w:id="41"/>
    <w:bookmarkEnd w:id="42"/>
    <w:p w14:paraId="4055C19A">
      <w:pPr>
        <w:jc w:val="center"/>
        <w:rPr>
          <w:rFonts w:ascii="仿宋" w:hAnsi="仿宋" w:eastAsia="仿宋" w:cs="仿宋"/>
          <w:b/>
          <w:bCs/>
          <w:color w:val="auto"/>
          <w:sz w:val="36"/>
          <w:szCs w:val="36"/>
        </w:rPr>
      </w:pPr>
      <w:r>
        <w:rPr>
          <w:rFonts w:hint="eastAsia" w:ascii="仿宋" w:hAnsi="仿宋" w:eastAsia="仿宋" w:cs="仿宋"/>
          <w:b/>
          <w:bCs/>
          <w:color w:val="auto"/>
          <w:sz w:val="36"/>
          <w:szCs w:val="36"/>
        </w:rPr>
        <w:t>第二篇  项目服务需求</w:t>
      </w:r>
    </w:p>
    <w:p w14:paraId="515D7417">
      <w:pPr>
        <w:keepNext w:val="0"/>
        <w:keepLines w:val="0"/>
        <w:pageBreakBefore w:val="0"/>
        <w:widowControl w:val="0"/>
        <w:kinsoku/>
        <w:wordWrap/>
        <w:overflowPunct/>
        <w:topLinePunct w:val="0"/>
        <w:autoSpaceDE/>
        <w:autoSpaceDN/>
        <w:bidi w:val="0"/>
        <w:adjustRightInd/>
        <w:snapToGrid/>
        <w:spacing w:line="500" w:lineRule="exact"/>
        <w:jc w:val="left"/>
        <w:rPr>
          <w:rFonts w:hint="eastAsia" w:asciiTheme="minorEastAsia" w:hAnsiTheme="minorEastAsia" w:eastAsiaTheme="minorEastAsia" w:cstheme="minorEastAsia"/>
          <w:b/>
          <w:bCs/>
          <w:color w:val="auto"/>
          <w:sz w:val="24"/>
          <w:szCs w:val="24"/>
          <w:u w:val="single"/>
        </w:rPr>
      </w:pPr>
      <w:bookmarkStart w:id="43" w:name="_Toc12789058"/>
    </w:p>
    <w:p w14:paraId="23E67BA0">
      <w:pPr>
        <w:spacing w:line="400" w:lineRule="exac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一、采购服务内容</w:t>
      </w:r>
    </w:p>
    <w:p w14:paraId="330D45C8">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default"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该项目主要在酉水河镇、麻旺镇发生大量松墨天牛、松毛虫蔓延扩散危害马尾松，涉及受灾面积大约在1.5万亩。</w:t>
      </w:r>
    </w:p>
    <w:p w14:paraId="084BACAF">
      <w:pPr>
        <w:keepNext w:val="0"/>
        <w:keepLines w:val="0"/>
        <w:pageBreakBefore w:val="0"/>
        <w:widowControl w:val="0"/>
        <w:numPr>
          <w:ilvl w:val="0"/>
          <w:numId w:val="1"/>
        </w:numPr>
        <w:kinsoku/>
        <w:wordWrap/>
        <w:overflowPunct/>
        <w:topLinePunct w:val="0"/>
        <w:autoSpaceDE/>
        <w:autoSpaceDN/>
        <w:bidi w:val="0"/>
        <w:adjustRightInd/>
        <w:snapToGrid/>
        <w:spacing w:line="500" w:lineRule="exac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项目服务（技术）要求</w:t>
      </w:r>
    </w:p>
    <w:p w14:paraId="563F565B">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（一）、药品参数</w:t>
      </w:r>
    </w:p>
    <w:tbl>
      <w:tblPr>
        <w:tblStyle w:val="22"/>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3109"/>
        <w:gridCol w:w="5478"/>
      </w:tblGrid>
      <w:tr w14:paraId="5C7A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11" w:type="dxa"/>
            <w:noWrap w:val="0"/>
            <w:vAlign w:val="center"/>
          </w:tcPr>
          <w:p w14:paraId="7AD5A887">
            <w:pPr>
              <w:spacing w:line="400" w:lineRule="exact"/>
              <w:ind w:left="0" w:leftChars="0" w:firstLine="0" w:firstLineChars="0"/>
              <w:rPr>
                <w:rFonts w:ascii="宋体" w:hAnsi="宋体" w:eastAsia="宋体" w:cs="宋体"/>
                <w:color w:val="auto"/>
                <w:sz w:val="24"/>
                <w:szCs w:val="24"/>
              </w:rPr>
            </w:pPr>
            <w:bookmarkStart w:id="44" w:name="_Toc439233413"/>
            <w:bookmarkEnd w:id="44"/>
            <w:bookmarkStart w:id="45" w:name="_Toc439233804"/>
            <w:bookmarkEnd w:id="45"/>
            <w:bookmarkStart w:id="46" w:name="_Toc345024864"/>
            <w:bookmarkEnd w:id="46"/>
            <w:bookmarkStart w:id="47" w:name="_Toc439233612"/>
            <w:bookmarkEnd w:id="47"/>
            <w:bookmarkStart w:id="48" w:name="_Toc524622937"/>
            <w:bookmarkEnd w:id="48"/>
            <w:bookmarkStart w:id="49" w:name="_Toc364261747"/>
            <w:bookmarkEnd w:id="49"/>
            <w:bookmarkStart w:id="50" w:name="_Toc411179315"/>
            <w:bookmarkEnd w:id="50"/>
            <w:bookmarkStart w:id="51" w:name="_Toc439233464"/>
            <w:bookmarkEnd w:id="51"/>
            <w:bookmarkStart w:id="52" w:name="_Toc435536273"/>
            <w:bookmarkEnd w:id="52"/>
            <w:bookmarkStart w:id="53" w:name="_Toc364261628"/>
            <w:bookmarkEnd w:id="53"/>
            <w:bookmarkStart w:id="54" w:name="_Toc411179065"/>
            <w:bookmarkEnd w:id="54"/>
            <w:r>
              <w:rPr>
                <w:rFonts w:hint="eastAsia" w:ascii="宋体" w:hAnsi="宋体" w:eastAsia="宋体" w:cs="宋体"/>
                <w:color w:val="auto"/>
                <w:szCs w:val="28"/>
              </w:rPr>
              <w:t>序号</w:t>
            </w:r>
          </w:p>
        </w:tc>
        <w:tc>
          <w:tcPr>
            <w:tcW w:w="3109" w:type="dxa"/>
            <w:noWrap w:val="0"/>
            <w:vAlign w:val="center"/>
          </w:tcPr>
          <w:p w14:paraId="6BD5E12B">
            <w:pPr>
              <w:spacing w:line="400" w:lineRule="exact"/>
              <w:ind w:firstLine="480" w:firstLineChars="0"/>
              <w:rPr>
                <w:rFonts w:ascii="宋体" w:hAnsi="宋体" w:eastAsia="宋体" w:cs="宋体"/>
                <w:color w:val="auto"/>
                <w:sz w:val="24"/>
                <w:szCs w:val="24"/>
              </w:rPr>
            </w:pPr>
            <w:r>
              <w:rPr>
                <w:rFonts w:hint="eastAsia" w:ascii="宋体" w:hAnsi="宋体" w:eastAsia="宋体" w:cs="宋体"/>
                <w:color w:val="auto"/>
                <w:szCs w:val="28"/>
              </w:rPr>
              <w:t>品种名称</w:t>
            </w:r>
          </w:p>
        </w:tc>
        <w:tc>
          <w:tcPr>
            <w:tcW w:w="5478" w:type="dxa"/>
            <w:noWrap w:val="0"/>
            <w:vAlign w:val="center"/>
          </w:tcPr>
          <w:p w14:paraId="57267BC2">
            <w:pPr>
              <w:spacing w:line="400" w:lineRule="exact"/>
              <w:ind w:firstLine="480" w:firstLineChars="0"/>
              <w:rPr>
                <w:rFonts w:ascii="宋体" w:hAnsi="宋体" w:eastAsia="宋体" w:cs="宋体"/>
                <w:color w:val="auto"/>
                <w:sz w:val="24"/>
                <w:szCs w:val="24"/>
              </w:rPr>
            </w:pPr>
            <w:r>
              <w:rPr>
                <w:rFonts w:hint="eastAsia" w:ascii="宋体" w:hAnsi="宋体" w:eastAsia="宋体" w:cs="宋体"/>
                <w:color w:val="auto"/>
                <w:szCs w:val="28"/>
              </w:rPr>
              <w:t>技术参数要求</w:t>
            </w:r>
          </w:p>
        </w:tc>
      </w:tr>
      <w:tr w14:paraId="1AAD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11" w:type="dxa"/>
            <w:noWrap w:val="0"/>
            <w:vAlign w:val="center"/>
          </w:tcPr>
          <w:p w14:paraId="5378F3D3">
            <w:pPr>
              <w:spacing w:line="400" w:lineRule="exact"/>
              <w:ind w:firstLine="480" w:firstLineChars="0"/>
              <w:rPr>
                <w:rFonts w:ascii="宋体" w:hAnsi="宋体" w:eastAsia="宋体" w:cs="宋体"/>
                <w:color w:val="auto"/>
                <w:sz w:val="24"/>
                <w:szCs w:val="24"/>
              </w:rPr>
            </w:pPr>
            <w:r>
              <w:rPr>
                <w:rFonts w:hint="eastAsia" w:ascii="宋体" w:hAnsi="宋体" w:eastAsia="宋体" w:cs="宋体"/>
                <w:color w:val="auto"/>
                <w:szCs w:val="28"/>
              </w:rPr>
              <w:t>1</w:t>
            </w:r>
          </w:p>
        </w:tc>
        <w:tc>
          <w:tcPr>
            <w:tcW w:w="3109" w:type="dxa"/>
            <w:noWrap w:val="0"/>
            <w:vAlign w:val="center"/>
          </w:tcPr>
          <w:p w14:paraId="4DE1B379">
            <w:pPr>
              <w:spacing w:line="400" w:lineRule="exact"/>
              <w:ind w:firstLine="480" w:firstLineChars="0"/>
              <w:rPr>
                <w:rFonts w:hint="eastAsia" w:ascii="宋体" w:hAnsi="宋体" w:eastAsia="宋体" w:cs="宋体"/>
                <w:color w:val="auto"/>
                <w:sz w:val="24"/>
                <w:szCs w:val="24"/>
                <w:lang w:val="en-US" w:eastAsia="zh-CN"/>
              </w:rPr>
            </w:pPr>
            <w:r>
              <w:rPr>
                <w:rFonts w:hint="eastAsia" w:ascii="宋体" w:hAnsi="宋体" w:eastAsia="宋体" w:cs="宋体"/>
                <w:color w:val="auto"/>
                <w:szCs w:val="28"/>
              </w:rPr>
              <w:t>无人机防治服务含农</w:t>
            </w:r>
            <w:r>
              <w:rPr>
                <w:rFonts w:hint="eastAsia" w:ascii="宋体" w:hAnsi="宋体" w:eastAsia="宋体" w:cs="宋体"/>
                <w:color w:val="auto"/>
                <w:szCs w:val="28"/>
                <w:lang w:val="en-US" w:eastAsia="zh-CN"/>
              </w:rPr>
              <w:t>药</w:t>
            </w:r>
          </w:p>
        </w:tc>
        <w:tc>
          <w:tcPr>
            <w:tcW w:w="5478" w:type="dxa"/>
            <w:noWrap w:val="0"/>
            <w:vAlign w:val="center"/>
          </w:tcPr>
          <w:p w14:paraId="0E7E7030">
            <w:pPr>
              <w:spacing w:line="400" w:lineRule="exact"/>
              <w:ind w:firstLine="480" w:firstLineChars="0"/>
              <w:rPr>
                <w:rFonts w:ascii="宋体" w:hAnsi="宋体" w:eastAsia="宋体" w:cs="宋体"/>
                <w:color w:val="auto"/>
                <w:sz w:val="24"/>
                <w:szCs w:val="24"/>
              </w:rPr>
            </w:pPr>
            <w:r>
              <w:rPr>
                <w:rFonts w:hint="eastAsia" w:ascii="宋体" w:hAnsi="宋体" w:eastAsia="宋体" w:cs="宋体"/>
                <w:color w:val="auto"/>
                <w:szCs w:val="28"/>
              </w:rPr>
              <w:t>使用无人机进行飞防</w:t>
            </w:r>
          </w:p>
        </w:tc>
      </w:tr>
      <w:tr w14:paraId="7592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111" w:type="dxa"/>
            <w:noWrap w:val="0"/>
            <w:vAlign w:val="center"/>
          </w:tcPr>
          <w:p w14:paraId="3E04499C">
            <w:pPr>
              <w:spacing w:line="400" w:lineRule="exact"/>
              <w:ind w:firstLine="480" w:firstLineChars="0"/>
              <w:rPr>
                <w:rFonts w:hint="eastAsia" w:ascii="宋体" w:hAnsi="宋体" w:eastAsia="宋体" w:cs="宋体"/>
                <w:color w:val="auto"/>
                <w:sz w:val="24"/>
                <w:szCs w:val="24"/>
                <w:lang w:val="en-US" w:eastAsia="zh-CN"/>
              </w:rPr>
            </w:pPr>
            <w:r>
              <w:rPr>
                <w:rFonts w:hint="eastAsia" w:ascii="宋体" w:hAnsi="宋体" w:eastAsia="宋体" w:cs="宋体"/>
                <w:color w:val="auto"/>
                <w:szCs w:val="28"/>
                <w:lang w:val="en-US" w:eastAsia="zh-CN"/>
              </w:rPr>
              <w:t>2</w:t>
            </w:r>
          </w:p>
        </w:tc>
        <w:tc>
          <w:tcPr>
            <w:tcW w:w="3109" w:type="dxa"/>
            <w:noWrap w:val="0"/>
            <w:vAlign w:val="center"/>
          </w:tcPr>
          <w:p w14:paraId="076F6B24">
            <w:pPr>
              <w:spacing w:line="400" w:lineRule="exact"/>
              <w:ind w:firstLine="480" w:firstLineChars="0"/>
              <w:rPr>
                <w:rFonts w:ascii="宋体" w:hAnsi="宋体" w:eastAsia="宋体" w:cs="宋体"/>
                <w:color w:val="auto"/>
                <w:sz w:val="24"/>
                <w:szCs w:val="24"/>
              </w:rPr>
            </w:pPr>
            <w:r>
              <w:rPr>
                <w:rFonts w:hint="eastAsia" w:asciiTheme="minorEastAsia" w:hAnsiTheme="minorEastAsia" w:eastAsiaTheme="minorEastAsia" w:cstheme="minorEastAsia"/>
                <w:color w:val="auto"/>
                <w:spacing w:val="0"/>
                <w:kern w:val="0"/>
                <w:sz w:val="21"/>
                <w:szCs w:val="21"/>
                <w:lang w:val="en-US" w:eastAsia="zh-CN" w:bidi="ar-SA"/>
              </w:rPr>
              <w:t>8%氯氰菊酯微囊悬浮剂</w:t>
            </w:r>
          </w:p>
        </w:tc>
        <w:tc>
          <w:tcPr>
            <w:tcW w:w="5478" w:type="dxa"/>
            <w:noWrap w:val="0"/>
            <w:vAlign w:val="center"/>
          </w:tcPr>
          <w:p w14:paraId="6E2ACB1A">
            <w:pPr>
              <w:spacing w:line="400" w:lineRule="exact"/>
              <w:ind w:firstLine="480" w:firstLineChars="0"/>
              <w:rPr>
                <w:rFonts w:ascii="宋体" w:hAnsi="宋体" w:eastAsia="宋体" w:cs="宋体"/>
                <w:color w:val="auto"/>
                <w:sz w:val="24"/>
                <w:szCs w:val="24"/>
              </w:rPr>
            </w:pPr>
            <w:r>
              <w:rPr>
                <w:rFonts w:hint="eastAsia" w:ascii="宋体" w:hAnsi="宋体" w:eastAsia="宋体" w:cs="宋体"/>
                <w:color w:val="auto"/>
                <w:szCs w:val="28"/>
              </w:rPr>
              <w:t>有效成分含量：氯氰菊酯含量≥8%；剂型：微囊悬浮剂，悬浮率≧90%，成囊率≧95%；游离氯氰菊酯质量份数≦0.4%；包装：500ml/瓶，每20瓶一箱；</w:t>
            </w:r>
            <w:r>
              <w:rPr>
                <w:rFonts w:hint="eastAsia" w:ascii="宋体" w:hAnsi="宋体" w:cs="宋体"/>
                <w:color w:val="auto"/>
                <w:szCs w:val="28"/>
                <w:lang w:eastAsia="zh-CN"/>
              </w:rPr>
              <w:t>每亩用</w:t>
            </w:r>
            <w:r>
              <w:rPr>
                <w:rFonts w:hint="eastAsia" w:ascii="宋体" w:hAnsi="宋体" w:cs="宋体"/>
                <w:color w:val="auto"/>
                <w:szCs w:val="28"/>
                <w:lang w:val="en-US" w:eastAsia="zh-CN"/>
              </w:rPr>
              <w:t>药</w:t>
            </w:r>
            <w:r>
              <w:rPr>
                <w:rFonts w:hint="eastAsia" w:ascii="宋体" w:hAnsi="宋体" w:cs="宋体"/>
                <w:color w:val="auto"/>
                <w:szCs w:val="28"/>
                <w:lang w:eastAsia="zh-CN"/>
              </w:rPr>
              <w:t>量</w:t>
            </w:r>
            <w:r>
              <w:rPr>
                <w:rFonts w:hint="eastAsia" w:ascii="宋体" w:hAnsi="宋体" w:cs="宋体"/>
                <w:color w:val="auto"/>
                <w:szCs w:val="28"/>
                <w:lang w:val="en-US" w:eastAsia="zh-CN"/>
              </w:rPr>
              <w:t>50克</w:t>
            </w:r>
          </w:p>
        </w:tc>
      </w:tr>
      <w:tr w14:paraId="27E6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11" w:type="dxa"/>
            <w:noWrap w:val="0"/>
            <w:vAlign w:val="center"/>
          </w:tcPr>
          <w:p w14:paraId="4504F16D">
            <w:pPr>
              <w:spacing w:line="400" w:lineRule="exact"/>
              <w:ind w:firstLine="480" w:firstLineChars="0"/>
              <w:rPr>
                <w:rFonts w:hint="default" w:ascii="宋体" w:hAnsi="宋体" w:eastAsia="宋体" w:cs="宋体"/>
                <w:color w:val="auto"/>
                <w:sz w:val="24"/>
                <w:szCs w:val="24"/>
                <w:lang w:val="en-US" w:eastAsia="zh-CN"/>
              </w:rPr>
            </w:pPr>
            <w:r>
              <w:rPr>
                <w:rFonts w:hint="eastAsia" w:ascii="宋体" w:hAnsi="宋体" w:cs="宋体"/>
                <w:color w:val="auto"/>
                <w:szCs w:val="28"/>
                <w:lang w:val="en-US" w:eastAsia="zh-CN"/>
              </w:rPr>
              <w:t>3</w:t>
            </w:r>
          </w:p>
        </w:tc>
        <w:tc>
          <w:tcPr>
            <w:tcW w:w="3109" w:type="dxa"/>
            <w:noWrap w:val="0"/>
            <w:vAlign w:val="center"/>
          </w:tcPr>
          <w:p w14:paraId="57DEEC7D">
            <w:pPr>
              <w:spacing w:line="400" w:lineRule="exact"/>
              <w:ind w:firstLine="480" w:firstLineChars="0"/>
              <w:rPr>
                <w:rFonts w:hint="default" w:ascii="宋体" w:hAnsi="宋体" w:eastAsia="宋体" w:cs="宋体"/>
                <w:color w:val="auto"/>
                <w:sz w:val="24"/>
                <w:szCs w:val="24"/>
                <w:lang w:val="en-US" w:eastAsia="zh-CN"/>
              </w:rPr>
            </w:pPr>
            <w:r>
              <w:rPr>
                <w:rFonts w:hint="eastAsia" w:ascii="宋体" w:hAnsi="宋体" w:cs="宋体"/>
                <w:color w:val="auto"/>
                <w:szCs w:val="28"/>
                <w:lang w:val="en-US" w:eastAsia="zh-CN"/>
              </w:rPr>
              <w:t>甲维虫酰肼悬浮剂</w:t>
            </w:r>
          </w:p>
        </w:tc>
        <w:tc>
          <w:tcPr>
            <w:tcW w:w="5478" w:type="dxa"/>
            <w:noWrap w:val="0"/>
            <w:vAlign w:val="center"/>
          </w:tcPr>
          <w:p w14:paraId="0EAEFEF8">
            <w:pPr>
              <w:pStyle w:val="7"/>
              <w:ind w:left="420" w:leftChars="200"/>
              <w:rPr>
                <w:rFonts w:hint="default" w:ascii="宋体" w:hAnsi="宋体" w:eastAsia="宋体" w:cs="宋体"/>
                <w:color w:val="auto"/>
                <w:sz w:val="24"/>
                <w:szCs w:val="24"/>
                <w:lang w:val="en-US" w:eastAsia="zh-CN"/>
              </w:rPr>
            </w:pPr>
            <w:r>
              <w:rPr>
                <w:rFonts w:hint="eastAsia" w:ascii="宋体" w:hAnsi="宋体" w:cs="宋体"/>
                <w:color w:val="auto"/>
                <w:szCs w:val="28"/>
                <w:lang w:eastAsia="zh-CN"/>
              </w:rPr>
              <w:t>有效成分含量</w:t>
            </w:r>
            <w:r>
              <w:rPr>
                <w:rFonts w:hint="eastAsia" w:ascii="宋体" w:hAnsi="宋体" w:cs="宋体"/>
                <w:color w:val="auto"/>
                <w:szCs w:val="28"/>
                <w:lang w:val="en-US" w:eastAsia="zh-CN"/>
              </w:rPr>
              <w:t>15%</w:t>
            </w:r>
            <w:r>
              <w:rPr>
                <w:rFonts w:hint="eastAsia" w:ascii="宋体" w:hAnsi="宋体" w:cs="宋体"/>
                <w:color w:val="auto"/>
                <w:szCs w:val="28"/>
                <w:lang w:eastAsia="zh-CN"/>
              </w:rPr>
              <w:t>：甲氨基阿维菌素苯甲酸盐</w:t>
            </w:r>
            <w:r>
              <w:rPr>
                <w:rFonts w:hint="eastAsia" w:ascii="宋体" w:hAnsi="宋体" w:cs="宋体"/>
                <w:color w:val="auto"/>
                <w:szCs w:val="28"/>
                <w:lang w:val="en-US" w:eastAsia="zh-CN"/>
              </w:rPr>
              <w:t>3%，虫酰肼12%，剂型：悬浮剂，每亩用量60克。</w:t>
            </w:r>
          </w:p>
        </w:tc>
      </w:tr>
      <w:tr w14:paraId="3DB6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11" w:type="dxa"/>
            <w:noWrap w:val="0"/>
            <w:vAlign w:val="center"/>
          </w:tcPr>
          <w:p w14:paraId="730B2DB4">
            <w:pPr>
              <w:spacing w:line="400" w:lineRule="exact"/>
              <w:ind w:firstLine="480" w:firstLineChars="0"/>
              <w:jc w:val="center"/>
              <w:rPr>
                <w:rFonts w:hint="default" w:ascii="宋体" w:hAnsi="宋体" w:eastAsia="宋体" w:cs="宋体"/>
                <w:color w:val="auto"/>
                <w:sz w:val="24"/>
                <w:szCs w:val="24"/>
                <w:lang w:val="en-US" w:eastAsia="zh-CN"/>
              </w:rPr>
            </w:pPr>
            <w:r>
              <w:rPr>
                <w:rFonts w:hint="eastAsia" w:ascii="宋体" w:hAnsi="宋体" w:cs="宋体"/>
                <w:color w:val="auto"/>
                <w:szCs w:val="28"/>
                <w:lang w:val="en-US" w:eastAsia="zh-CN"/>
              </w:rPr>
              <w:t>4</w:t>
            </w:r>
          </w:p>
        </w:tc>
        <w:tc>
          <w:tcPr>
            <w:tcW w:w="3109" w:type="dxa"/>
            <w:noWrap w:val="0"/>
            <w:vAlign w:val="center"/>
          </w:tcPr>
          <w:p w14:paraId="28D0869A">
            <w:pPr>
              <w:spacing w:line="400" w:lineRule="exact"/>
              <w:ind w:firstLine="480" w:firstLineChars="0"/>
              <w:rPr>
                <w:rFonts w:hint="eastAsia" w:ascii="宋体" w:hAnsi="宋体" w:cs="宋体"/>
                <w:color w:val="auto"/>
                <w:sz w:val="24"/>
                <w:szCs w:val="24"/>
                <w:lang w:val="en-US" w:eastAsia="zh-CN"/>
              </w:rPr>
            </w:pPr>
            <w:r>
              <w:rPr>
                <w:rFonts w:hint="eastAsia" w:ascii="宋体" w:hAnsi="宋体" w:cs="宋体"/>
                <w:color w:val="auto"/>
                <w:szCs w:val="28"/>
                <w:lang w:val="en-US" w:eastAsia="zh-CN"/>
              </w:rPr>
              <w:t>白僵菌粉剂</w:t>
            </w:r>
          </w:p>
        </w:tc>
        <w:tc>
          <w:tcPr>
            <w:tcW w:w="5478" w:type="dxa"/>
            <w:noWrap w:val="0"/>
            <w:vAlign w:val="center"/>
          </w:tcPr>
          <w:p w14:paraId="09E7C560">
            <w:pPr>
              <w:pStyle w:val="7"/>
              <w:ind w:left="420" w:leftChars="200"/>
              <w:rPr>
                <w:rFonts w:hint="eastAsia" w:ascii="宋体" w:hAnsi="宋体" w:cs="宋体"/>
                <w:color w:val="auto"/>
                <w:sz w:val="24"/>
                <w:szCs w:val="24"/>
                <w:lang w:val="en-US" w:eastAsia="zh-CN"/>
              </w:rPr>
            </w:pPr>
            <w:r>
              <w:rPr>
                <w:rFonts w:hint="eastAsia" w:ascii="宋体" w:hAnsi="宋体" w:cs="宋体"/>
                <w:color w:val="auto"/>
                <w:szCs w:val="28"/>
                <w:lang w:eastAsia="zh-CN"/>
              </w:rPr>
              <w:t>要求孢子含量</w:t>
            </w:r>
            <w:r>
              <w:rPr>
                <w:rFonts w:hint="eastAsia" w:ascii="宋体" w:hAnsi="宋体" w:cs="宋体"/>
                <w:color w:val="auto"/>
                <w:szCs w:val="28"/>
                <w:lang w:val="en-US" w:eastAsia="zh-CN"/>
              </w:rPr>
              <w:t>2000亿/克，活孢率达85%，含水率低于10%，每亩用量10克。</w:t>
            </w:r>
          </w:p>
        </w:tc>
      </w:tr>
    </w:tbl>
    <w:p w14:paraId="28316E03">
      <w:pPr>
        <w:rPr>
          <w:color w:val="auto"/>
        </w:rPr>
      </w:pPr>
    </w:p>
    <w:p w14:paraId="637B07A8">
      <w:pPr>
        <w:pStyle w:val="7"/>
        <w:numPr>
          <w:ilvl w:val="0"/>
          <w:numId w:val="0"/>
        </w:numPr>
        <w:rPr>
          <w:rFonts w:hint="eastAsia"/>
          <w:color w:val="auto"/>
          <w:lang w:val="en-US" w:eastAsia="zh-CN"/>
        </w:rPr>
      </w:pPr>
    </w:p>
    <w:p w14:paraId="55684C4A">
      <w:pPr>
        <w:spacing w:line="400" w:lineRule="exac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三、无人机防治要求</w:t>
      </w:r>
    </w:p>
    <w:p w14:paraId="561C3842">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1、防治要求：无人机飞防过程喷洒均匀，飞防区域全覆盖，不出现漏喷现象；所防区域漏飞1处及以上，需重新喷药防治，重新喷药费用由供应商承担；</w:t>
      </w:r>
    </w:p>
    <w:p w14:paraId="4C746B02">
      <w:pPr>
        <w:spacing w:line="440" w:lineRule="exact"/>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2、药剂要求：选取对林业、作物、天敌及其他生物和生态环境安全的药剂产品，选择的药品应取得登记，三证齐全（农药登记证、农药生产批准证、企业标准）</w:t>
      </w:r>
      <w:r>
        <w:rPr>
          <w:rFonts w:hint="eastAsia" w:ascii="宋体" w:hAnsi="宋体" w:cs="宋体"/>
          <w:color w:val="auto"/>
          <w:kern w:val="2"/>
          <w:sz w:val="24"/>
          <w:szCs w:val="24"/>
          <w:highlight w:val="none"/>
          <w:u w:val="none"/>
          <w:lang w:val="en-US" w:eastAsia="zh-CN" w:bidi="ar-SA"/>
        </w:rPr>
        <w:t>并提供复印件加盖供应商鲜章，</w:t>
      </w:r>
      <w:r>
        <w:rPr>
          <w:rFonts w:hint="eastAsia" w:ascii="宋体" w:hAnsi="宋体" w:eastAsia="宋体" w:cs="宋体"/>
          <w:color w:val="auto"/>
          <w:kern w:val="2"/>
          <w:sz w:val="24"/>
          <w:szCs w:val="24"/>
          <w:highlight w:val="none"/>
          <w:u w:val="none"/>
          <w:lang w:val="en-US" w:eastAsia="zh-CN" w:bidi="ar-SA"/>
        </w:rPr>
        <w:t>且应在有效期内。符合国家有关技术标准要求。</w:t>
      </w:r>
    </w:p>
    <w:p w14:paraId="7984A139">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3、监督检查:在无人机作业过程中，采购人及涉事镇街要全程参与协调配合，并加强监督；</w:t>
      </w:r>
    </w:p>
    <w:p w14:paraId="4A0CBE95">
      <w:pPr>
        <w:pStyle w:val="6"/>
        <w:ind w:left="0" w:leftChars="0"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pacing w:val="0"/>
          <w:kern w:val="0"/>
          <w:sz w:val="24"/>
          <w:szCs w:val="24"/>
          <w:lang w:val="en-US" w:eastAsia="zh-CN" w:bidi="ar-SA"/>
        </w:rPr>
        <w:t>4、</w:t>
      </w:r>
      <w:r>
        <w:rPr>
          <w:rFonts w:hint="eastAsia" w:asciiTheme="minorEastAsia" w:hAnsiTheme="minorEastAsia" w:eastAsiaTheme="minorEastAsia" w:cstheme="minorEastAsia"/>
          <w:color w:val="auto"/>
        </w:rPr>
        <w:t>防治时间</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月至</w:t>
      </w:r>
      <w:r>
        <w:rPr>
          <w:rFonts w:hint="eastAsia" w:asciiTheme="minorEastAsia" w:hAnsiTheme="minorEastAsia" w:eastAsiaTheme="minorEastAsia" w:cstheme="minorEastAsia"/>
          <w:color w:val="auto"/>
          <w:sz w:val="24"/>
          <w:szCs w:val="24"/>
          <w:lang w:val="en-US" w:eastAsia="zh-CN"/>
        </w:rPr>
        <w:t>2026年9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eastAsia="zh-CN"/>
        </w:rPr>
        <w:t>；</w:t>
      </w:r>
    </w:p>
    <w:p w14:paraId="385FA833">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default"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5、验收要求：当天作业当天验收，其验收情况（含防治面积、防治质量、防治用时、参与防治人数等）的记录，由涉事镇街代表采购人与供应商现场工作人员共同签字确认。</w:t>
      </w:r>
    </w:p>
    <w:p w14:paraId="2B643565">
      <w:pPr>
        <w:spacing w:line="400" w:lineRule="exac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四、质量保证及售后服务要求</w:t>
      </w:r>
    </w:p>
    <w:p w14:paraId="6C68C8F8">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1、供应商提供服务所需的设备、药品等，名称、规格、数量、参数、质量要求、生产企业与磋商文件要求相符；</w:t>
      </w:r>
    </w:p>
    <w:p w14:paraId="5E6EC15F">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2、采购方验收时，若有防治效果不合格的，供应商应立即组织补飞补防；</w:t>
      </w:r>
    </w:p>
    <w:p w14:paraId="568EB76E">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3、成交供应商须免费提供现场技术培训与技术支持；</w:t>
      </w:r>
    </w:p>
    <w:p w14:paraId="4348EA05">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4、因作业无人机、有关器械设备出现故障不能作业时，成交供应商需在24小时内解决并及时开展防治作业；如遇无人机逢检修时间（里程）须运回检修时，成交供应商需在48小时内调换相同机型的无人机继续开展防治作业；</w:t>
      </w:r>
    </w:p>
    <w:p w14:paraId="193E6C45">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5、现场响应：现场作业遇到有关问题时，成交供应商现场负责人应积极与采购人现场派驻人员协商，在2小时内采取相应响应措施；无法在2小时内解决的，应在24小时内派出专业人员进行技术支持，尽最大可能保障顺利作业。</w:t>
      </w:r>
    </w:p>
    <w:p w14:paraId="0A437CDE">
      <w:pPr>
        <w:pStyle w:val="7"/>
        <w:numPr>
          <w:ilvl w:val="0"/>
          <w:numId w:val="0"/>
        </w:numPr>
        <w:rPr>
          <w:rFonts w:hint="eastAsia"/>
          <w:color w:val="auto"/>
          <w:lang w:val="en-US" w:eastAsia="zh-CN"/>
        </w:rPr>
      </w:pPr>
    </w:p>
    <w:p w14:paraId="50A85B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rPr>
          <w:rFonts w:hint="eastAsia" w:ascii="仿宋" w:hAnsi="仿宋" w:eastAsia="仿宋" w:cs="仿宋"/>
          <w:color w:val="auto"/>
          <w:spacing w:val="0"/>
          <w:kern w:val="0"/>
          <w:sz w:val="28"/>
          <w:szCs w:val="28"/>
          <w:lang w:val="en-US" w:eastAsia="zh-CN" w:bidi="ar-SA"/>
        </w:rPr>
      </w:pPr>
    </w:p>
    <w:p w14:paraId="639A17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rPr>
          <w:rFonts w:hint="eastAsia" w:ascii="仿宋" w:hAnsi="仿宋" w:eastAsia="仿宋" w:cs="仿宋"/>
          <w:color w:val="auto"/>
          <w:spacing w:val="0"/>
          <w:kern w:val="0"/>
          <w:sz w:val="28"/>
          <w:szCs w:val="28"/>
          <w:lang w:val="en-US" w:eastAsia="zh-CN" w:bidi="ar-SA"/>
        </w:rPr>
      </w:pPr>
    </w:p>
    <w:p w14:paraId="68C47AC3">
      <w:pPr>
        <w:rPr>
          <w:color w:val="auto"/>
        </w:rPr>
      </w:pPr>
    </w:p>
    <w:p w14:paraId="73AE5441">
      <w:pPr>
        <w:pStyle w:val="20"/>
        <w:rPr>
          <w:color w:val="auto"/>
        </w:rPr>
      </w:pPr>
    </w:p>
    <w:p w14:paraId="01126C91">
      <w:pPr>
        <w:pStyle w:val="6"/>
        <w:rPr>
          <w:color w:val="auto"/>
        </w:rPr>
      </w:pPr>
    </w:p>
    <w:p w14:paraId="695D54EE">
      <w:pPr>
        <w:rPr>
          <w:color w:val="auto"/>
        </w:rPr>
      </w:pPr>
    </w:p>
    <w:p w14:paraId="5DB672CF">
      <w:pPr>
        <w:pStyle w:val="7"/>
        <w:rPr>
          <w:color w:val="auto"/>
        </w:rPr>
      </w:pPr>
    </w:p>
    <w:p w14:paraId="41025874">
      <w:pPr>
        <w:rPr>
          <w:color w:val="auto"/>
        </w:rPr>
      </w:pPr>
    </w:p>
    <w:p w14:paraId="7816CC21">
      <w:pPr>
        <w:pStyle w:val="7"/>
        <w:rPr>
          <w:color w:val="auto"/>
        </w:rPr>
      </w:pPr>
    </w:p>
    <w:p w14:paraId="0E05D119">
      <w:pPr>
        <w:pStyle w:val="6"/>
        <w:ind w:left="0" w:leftChars="0" w:firstLine="0" w:firstLineChars="0"/>
        <w:rPr>
          <w:color w:val="auto"/>
        </w:rPr>
      </w:pPr>
    </w:p>
    <w:p w14:paraId="0DBFA1E0">
      <w:pPr>
        <w:pStyle w:val="6"/>
        <w:ind w:left="0" w:leftChars="0" w:firstLine="0" w:firstLineChars="0"/>
        <w:rPr>
          <w:color w:val="auto"/>
        </w:rPr>
      </w:pPr>
    </w:p>
    <w:p w14:paraId="3128C419">
      <w:pPr>
        <w:pStyle w:val="6"/>
        <w:ind w:left="0" w:leftChars="0" w:firstLine="0" w:firstLineChars="0"/>
        <w:rPr>
          <w:color w:val="auto"/>
        </w:rPr>
      </w:pPr>
    </w:p>
    <w:p w14:paraId="202B908A">
      <w:pPr>
        <w:pStyle w:val="6"/>
        <w:ind w:left="0" w:leftChars="0" w:firstLine="0" w:firstLineChars="0"/>
        <w:rPr>
          <w:color w:val="auto"/>
        </w:rPr>
      </w:pPr>
    </w:p>
    <w:p w14:paraId="759E6B51">
      <w:pPr>
        <w:pStyle w:val="6"/>
        <w:ind w:left="0" w:leftChars="0" w:firstLine="0" w:firstLineChars="0"/>
        <w:rPr>
          <w:color w:val="auto"/>
        </w:rPr>
      </w:pPr>
    </w:p>
    <w:p w14:paraId="148F1723">
      <w:pPr>
        <w:pStyle w:val="6"/>
        <w:ind w:left="0" w:leftChars="0" w:firstLine="0" w:firstLineChars="0"/>
        <w:rPr>
          <w:color w:val="auto"/>
        </w:rPr>
      </w:pPr>
    </w:p>
    <w:p w14:paraId="4BAA1D56">
      <w:pPr>
        <w:pStyle w:val="6"/>
        <w:ind w:left="0" w:leftChars="0" w:firstLine="0" w:firstLineChars="0"/>
        <w:rPr>
          <w:color w:val="auto"/>
        </w:rPr>
      </w:pPr>
    </w:p>
    <w:p w14:paraId="59A8604A">
      <w:pPr>
        <w:pStyle w:val="6"/>
        <w:ind w:left="0" w:leftChars="0" w:firstLine="0" w:firstLineChars="0"/>
        <w:rPr>
          <w:color w:val="auto"/>
        </w:rPr>
      </w:pPr>
    </w:p>
    <w:p w14:paraId="633F4637">
      <w:pPr>
        <w:pStyle w:val="6"/>
        <w:ind w:left="0" w:leftChars="0" w:firstLine="0" w:firstLineChars="0"/>
        <w:rPr>
          <w:color w:val="auto"/>
        </w:rPr>
      </w:pPr>
    </w:p>
    <w:p w14:paraId="2D499F29">
      <w:pPr>
        <w:pStyle w:val="6"/>
        <w:ind w:left="0" w:leftChars="0" w:firstLine="0" w:firstLineChars="0"/>
        <w:rPr>
          <w:color w:val="auto"/>
        </w:rPr>
      </w:pPr>
    </w:p>
    <w:p w14:paraId="1EBD1B7C">
      <w:pPr>
        <w:pStyle w:val="6"/>
        <w:ind w:left="0" w:leftChars="0" w:firstLine="0" w:firstLineChars="0"/>
        <w:rPr>
          <w:color w:val="auto"/>
        </w:rPr>
      </w:pPr>
    </w:p>
    <w:p w14:paraId="090F7654">
      <w:pPr>
        <w:pStyle w:val="6"/>
        <w:ind w:left="0" w:leftChars="0" w:firstLine="0" w:firstLineChars="0"/>
        <w:rPr>
          <w:color w:val="auto"/>
        </w:rPr>
      </w:pPr>
    </w:p>
    <w:p w14:paraId="0B3C255F">
      <w:pPr>
        <w:pStyle w:val="6"/>
        <w:ind w:left="0" w:leftChars="0" w:firstLine="0" w:firstLineChars="0"/>
        <w:rPr>
          <w:color w:val="auto"/>
        </w:rPr>
      </w:pPr>
    </w:p>
    <w:bookmarkEnd w:id="43"/>
    <w:p w14:paraId="5150502E">
      <w:pPr>
        <w:numPr>
          <w:ilvl w:val="0"/>
          <w:numId w:val="2"/>
        </w:numPr>
        <w:jc w:val="center"/>
        <w:rPr>
          <w:rFonts w:ascii="仿宋" w:hAnsi="仿宋" w:eastAsia="仿宋" w:cs="仿宋"/>
          <w:b/>
          <w:bCs/>
          <w:color w:val="auto"/>
          <w:sz w:val="36"/>
          <w:szCs w:val="36"/>
        </w:rPr>
      </w:pPr>
      <w:bookmarkStart w:id="55" w:name="_Toc76462327"/>
      <w:bookmarkEnd w:id="55"/>
      <w:bookmarkStart w:id="56" w:name="_Toc106030882"/>
      <w:bookmarkEnd w:id="56"/>
      <w:r>
        <w:rPr>
          <w:rFonts w:hint="eastAsia" w:ascii="仿宋" w:hAnsi="仿宋" w:eastAsia="仿宋" w:cs="仿宋"/>
          <w:b/>
          <w:bCs/>
          <w:color w:val="auto"/>
          <w:sz w:val="36"/>
          <w:szCs w:val="36"/>
        </w:rPr>
        <w:t xml:space="preserve"> 项目商务需求</w:t>
      </w:r>
    </w:p>
    <w:p w14:paraId="46E52E90">
      <w:pPr>
        <w:rPr>
          <w:rFonts w:ascii="仿宋" w:hAnsi="仿宋" w:eastAsia="仿宋" w:cs="仿宋"/>
          <w:b/>
          <w:bCs/>
          <w:color w:val="auto"/>
          <w:sz w:val="24"/>
          <w:szCs w:val="24"/>
          <w:u w:val="single"/>
        </w:rPr>
      </w:pPr>
    </w:p>
    <w:p w14:paraId="24AEC3F2">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u w:val="single"/>
        </w:rPr>
        <w:t>本篇商务需求为符合性审查中的实质性要求，响应文件若不满足按无效处理。</w:t>
      </w:r>
    </w:p>
    <w:p w14:paraId="0754BF1F">
      <w:pPr>
        <w:adjustRightInd w:val="0"/>
        <w:snapToGrid w:val="0"/>
        <w:spacing w:line="400" w:lineRule="exact"/>
        <w:ind w:firstLine="482" w:firstLineChars="20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w:t>
      </w:r>
      <w:r>
        <w:rPr>
          <w:rFonts w:hint="eastAsia" w:asciiTheme="minorEastAsia" w:hAnsiTheme="minorEastAsia" w:eastAsiaTheme="minorEastAsia" w:cstheme="minorEastAsia"/>
          <w:b/>
          <w:bCs/>
          <w:color w:val="auto"/>
          <w:sz w:val="24"/>
          <w:szCs w:val="24"/>
          <w:lang w:val="en-US" w:eastAsia="zh-CN"/>
        </w:rPr>
        <w:t>服务</w:t>
      </w:r>
      <w:r>
        <w:rPr>
          <w:rFonts w:hint="eastAsia" w:asciiTheme="minorEastAsia" w:hAnsiTheme="minorEastAsia" w:eastAsiaTheme="minorEastAsia" w:cstheme="minorEastAsia"/>
          <w:b/>
          <w:bCs/>
          <w:color w:val="auto"/>
          <w:sz w:val="24"/>
          <w:szCs w:val="24"/>
        </w:rPr>
        <w:t>时间、地点及验收方式</w:t>
      </w:r>
    </w:p>
    <w:p w14:paraId="1A86CF25">
      <w:pPr>
        <w:pStyle w:val="14"/>
        <w:spacing w:line="400" w:lineRule="exact"/>
        <w:ind w:left="0" w:leftChars="0" w:firstLine="480" w:firstLineChars="200"/>
        <w:outlineLvl w:val="2"/>
        <w:rPr>
          <w:rFonts w:asciiTheme="minorEastAsia" w:hAnsiTheme="minorEastAsia" w:eastAsiaTheme="minorEastAsia" w:cstheme="minorEastAsia"/>
          <w:color w:val="auto"/>
          <w:sz w:val="24"/>
          <w:szCs w:val="24"/>
        </w:rPr>
      </w:pPr>
      <w:bookmarkStart w:id="57" w:name="_Hlk142296989"/>
      <w:bookmarkEnd w:id="57"/>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月至</w:t>
      </w:r>
      <w:r>
        <w:rPr>
          <w:rFonts w:hint="eastAsia" w:asciiTheme="minorEastAsia" w:hAnsiTheme="minorEastAsia" w:eastAsiaTheme="minorEastAsia" w:cstheme="minorEastAsia"/>
          <w:color w:val="auto"/>
          <w:sz w:val="24"/>
          <w:szCs w:val="24"/>
          <w:lang w:val="en-US" w:eastAsia="zh-CN"/>
        </w:rPr>
        <w:t>2026年9</w:t>
      </w:r>
      <w:r>
        <w:rPr>
          <w:rFonts w:hint="eastAsia" w:asciiTheme="minorEastAsia" w:hAnsiTheme="minorEastAsia" w:eastAsiaTheme="minorEastAsia" w:cstheme="minorEastAsia"/>
          <w:color w:val="auto"/>
          <w:sz w:val="24"/>
          <w:szCs w:val="24"/>
        </w:rPr>
        <w:t>月。</w:t>
      </w:r>
    </w:p>
    <w:p w14:paraId="6E829010">
      <w:pPr>
        <w:spacing w:line="400" w:lineRule="exact"/>
        <w:ind w:right="12"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地点：采购人指定地点。</w:t>
      </w:r>
    </w:p>
    <w:p w14:paraId="6F708EAA">
      <w:pPr>
        <w:spacing w:line="400" w:lineRule="exact"/>
        <w:ind w:right="12"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（三）验收方式</w:t>
      </w:r>
    </w:p>
    <w:p w14:paraId="08855AEC">
      <w:pPr>
        <w:spacing w:line="400" w:lineRule="exact"/>
        <w:ind w:right="12" w:firstLine="480" w:firstLineChars="200"/>
        <w:rPr>
          <w:rFonts w:ascii="宋体" w:hAnsi="宋体" w:cs="宋体"/>
          <w:color w:val="auto"/>
          <w:sz w:val="24"/>
        </w:rPr>
      </w:pPr>
      <w:r>
        <w:rPr>
          <w:rFonts w:hint="eastAsia" w:ascii="宋体" w:hAnsi="宋体" w:cs="宋体"/>
          <w:color w:val="auto"/>
          <w:sz w:val="24"/>
        </w:rPr>
        <w:t>1、货物到达现场后供应商应经采购人或其指定验收单位清点品名、规格、数量；检查外观，作出验收记录，双方签字确认。</w:t>
      </w:r>
    </w:p>
    <w:p w14:paraId="471DDDB7">
      <w:pPr>
        <w:spacing w:line="400" w:lineRule="exact"/>
        <w:ind w:right="12" w:firstLine="480" w:firstLineChars="200"/>
        <w:rPr>
          <w:rFonts w:ascii="宋体" w:hAnsi="宋体" w:cs="宋体"/>
          <w:color w:val="auto"/>
          <w:sz w:val="24"/>
        </w:rPr>
      </w:pPr>
      <w:r>
        <w:rPr>
          <w:rFonts w:hint="eastAsia" w:ascii="宋体" w:hAnsi="宋体" w:cs="宋体"/>
          <w:color w:val="auto"/>
          <w:sz w:val="24"/>
        </w:rPr>
        <w:t>2、供应商应保证货物到达用户所在地完好无损，如有缺漏、损坏，由供应商负责调换、补齐或赔偿。</w:t>
      </w:r>
    </w:p>
    <w:p w14:paraId="177A5473">
      <w:pPr>
        <w:spacing w:line="400" w:lineRule="exact"/>
        <w:ind w:right="12" w:firstLine="480" w:firstLineChars="200"/>
        <w:rPr>
          <w:rFonts w:ascii="宋体" w:hAnsi="宋体" w:cs="宋体"/>
          <w:color w:val="auto"/>
          <w:sz w:val="24"/>
        </w:rPr>
      </w:pPr>
      <w:r>
        <w:rPr>
          <w:rFonts w:hint="eastAsia" w:ascii="宋体" w:hAnsi="宋体" w:cs="宋体"/>
          <w:color w:val="auto"/>
          <w:sz w:val="24"/>
        </w:rPr>
        <w:t>3、供应商应提供完备的技术资料、装箱单和合格证等，并派遣专业技术人员进行现场安装调试。验收合格条件如下：</w:t>
      </w:r>
    </w:p>
    <w:p w14:paraId="7F457314">
      <w:pPr>
        <w:spacing w:line="400" w:lineRule="exact"/>
        <w:ind w:right="12" w:firstLine="480" w:firstLineChars="200"/>
        <w:rPr>
          <w:rFonts w:ascii="宋体" w:hAnsi="宋体" w:cs="宋体"/>
          <w:color w:val="auto"/>
          <w:sz w:val="24"/>
        </w:rPr>
      </w:pPr>
      <w:r>
        <w:rPr>
          <w:rFonts w:hint="eastAsia" w:ascii="宋体" w:hAnsi="宋体" w:cs="宋体"/>
          <w:color w:val="auto"/>
          <w:sz w:val="24"/>
        </w:rPr>
        <w:t>3.1设备品种、规格、数量、技术参数以及商品品牌、生产厂家等与采购合同一致，性能指标达到规定的标准。</w:t>
      </w:r>
    </w:p>
    <w:p w14:paraId="648BE4E4">
      <w:pPr>
        <w:spacing w:line="400" w:lineRule="exact"/>
        <w:ind w:right="12" w:firstLine="480" w:firstLineChars="200"/>
        <w:rPr>
          <w:rFonts w:ascii="宋体" w:hAnsi="宋体" w:cs="宋体"/>
          <w:color w:val="auto"/>
          <w:sz w:val="24"/>
        </w:rPr>
      </w:pPr>
      <w:r>
        <w:rPr>
          <w:rFonts w:hint="eastAsia" w:ascii="宋体" w:hAnsi="宋体" w:cs="宋体"/>
          <w:color w:val="auto"/>
          <w:sz w:val="24"/>
        </w:rPr>
        <w:t>3.2货物技术资料、装箱单、合格证等资料齐全。</w:t>
      </w:r>
    </w:p>
    <w:p w14:paraId="68832BD0">
      <w:pPr>
        <w:spacing w:line="400" w:lineRule="exact"/>
        <w:ind w:right="12" w:firstLine="480" w:firstLineChars="200"/>
        <w:rPr>
          <w:rFonts w:ascii="宋体" w:hAnsi="宋体" w:cs="宋体"/>
          <w:color w:val="auto"/>
          <w:sz w:val="24"/>
        </w:rPr>
      </w:pPr>
      <w:r>
        <w:rPr>
          <w:rFonts w:hint="eastAsia" w:ascii="宋体" w:hAnsi="宋体" w:cs="宋体"/>
          <w:color w:val="auto"/>
          <w:sz w:val="24"/>
        </w:rPr>
        <w:t>3.3在规定时间内完成交货、调试并验收，并经采购人确认。</w:t>
      </w:r>
    </w:p>
    <w:p w14:paraId="5052E3D4">
      <w:pPr>
        <w:spacing w:line="400" w:lineRule="exact"/>
        <w:ind w:right="12" w:firstLine="480" w:firstLineChars="200"/>
        <w:rPr>
          <w:rFonts w:ascii="宋体" w:hAnsi="宋体" w:cs="宋体"/>
          <w:color w:val="auto"/>
          <w:sz w:val="24"/>
        </w:rPr>
      </w:pPr>
      <w:r>
        <w:rPr>
          <w:rFonts w:hint="eastAsia" w:ascii="宋体" w:hAnsi="宋体" w:cs="宋体"/>
          <w:color w:val="auto"/>
          <w:sz w:val="24"/>
        </w:rPr>
        <w:t>4、供应商提供的货物未达到采购规定要求，且对采购人造成损失的，由供应商承担一切责任，并赔偿所造成的损失。</w:t>
      </w:r>
    </w:p>
    <w:p w14:paraId="1D0EF1CC">
      <w:pPr>
        <w:spacing w:line="400" w:lineRule="exact"/>
        <w:ind w:right="12" w:firstLine="480" w:firstLineChars="200"/>
        <w:rPr>
          <w:rFonts w:ascii="宋体" w:hAnsi="宋体" w:cs="宋体"/>
          <w:color w:val="auto"/>
          <w:sz w:val="24"/>
        </w:rPr>
      </w:pPr>
      <w:r>
        <w:rPr>
          <w:rFonts w:hint="eastAsia" w:ascii="宋体" w:hAnsi="宋体" w:cs="宋体"/>
          <w:color w:val="auto"/>
          <w:sz w:val="24"/>
        </w:rPr>
        <w:t>5、采购人需要厂家对成交供应商交付的产品（包括质量、技术参数等）进行确认的，厂家应予以配合，并出具书面意见。</w:t>
      </w:r>
    </w:p>
    <w:p w14:paraId="6AECDFA3">
      <w:pPr>
        <w:spacing w:line="400" w:lineRule="exact"/>
        <w:ind w:right="1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6、供方所交货物的各种质量指标不得低于供方提供样品的质量指标（无样品时按供方询比文件中所提供的“采购技术需求”执行），售后服务质量要求按照采购文件的内容执行。</w:t>
      </w:r>
    </w:p>
    <w:p w14:paraId="710E2F3D">
      <w:pPr>
        <w:spacing w:line="400" w:lineRule="exact"/>
        <w:ind w:right="12"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7、当天作业当天验收，其验收情况（含防治面积、防治质量、防治用时、参与防治人数等）的记录，由涉事镇街代表采购人与供应商现场工作人员共同签字确认。</w:t>
      </w:r>
    </w:p>
    <w:p w14:paraId="57D46DA0">
      <w:pPr>
        <w:adjustRightInd w:val="0"/>
        <w:snapToGrid w:val="0"/>
        <w:spacing w:line="40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二、质量保证及售后服务</w:t>
      </w:r>
    </w:p>
    <w:p w14:paraId="5D6A734C">
      <w:pPr>
        <w:spacing w:line="400" w:lineRule="exact"/>
        <w:ind w:right="12" w:firstLine="480"/>
        <w:rPr>
          <w:rFonts w:ascii="宋体" w:hAnsi="宋体" w:cs="宋体"/>
          <w:color w:val="auto"/>
          <w:sz w:val="24"/>
        </w:rPr>
      </w:pPr>
      <w:r>
        <w:rPr>
          <w:rFonts w:hint="eastAsia" w:ascii="宋体" w:hAnsi="宋体" w:cs="宋体"/>
          <w:color w:val="auto"/>
          <w:sz w:val="24"/>
        </w:rPr>
        <w:t>（一）产品质量保证期</w:t>
      </w:r>
    </w:p>
    <w:p w14:paraId="0F2E205D">
      <w:pPr>
        <w:spacing w:line="400" w:lineRule="exact"/>
        <w:ind w:right="12" w:firstLine="480" w:firstLineChars="200"/>
        <w:rPr>
          <w:rFonts w:ascii="宋体" w:hAnsi="宋体" w:cs="宋体"/>
          <w:color w:val="auto"/>
          <w:sz w:val="24"/>
        </w:rPr>
      </w:pPr>
      <w:r>
        <w:rPr>
          <w:rFonts w:hint="eastAsia" w:ascii="宋体" w:hAnsi="宋体" w:cs="宋体"/>
          <w:color w:val="auto"/>
          <w:sz w:val="24"/>
        </w:rPr>
        <w:t>1、自验收之日起，供应商提供</w:t>
      </w:r>
      <w:r>
        <w:rPr>
          <w:rFonts w:hint="eastAsia" w:ascii="宋体" w:hAnsi="宋体" w:cs="宋体"/>
          <w:color w:val="auto"/>
          <w:sz w:val="24"/>
          <w:lang w:val="en-US" w:eastAsia="zh-CN"/>
        </w:rPr>
        <w:t>1</w:t>
      </w:r>
      <w:r>
        <w:rPr>
          <w:rFonts w:hint="eastAsia" w:ascii="宋体" w:hAnsi="宋体" w:cs="宋体"/>
          <w:color w:val="auto"/>
          <w:sz w:val="24"/>
        </w:rPr>
        <w:t xml:space="preserve">年的免费质保服务。 </w:t>
      </w:r>
    </w:p>
    <w:p w14:paraId="1326482B">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1、供应商提供服务所需的设备、药品等，名称、规格、数量、参数、质量要求、生产企业与磋商文件要求相符；</w:t>
      </w:r>
    </w:p>
    <w:p w14:paraId="4A33328B">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2、采购方验收时，若有防治效果不合格的，供应商应立即组织补飞补防；</w:t>
      </w:r>
    </w:p>
    <w:p w14:paraId="6E4FF5C6">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3、成交供应商须免费提供现场技术培训与技术支持；</w:t>
      </w:r>
    </w:p>
    <w:p w14:paraId="367F9333">
      <w:pPr>
        <w:spacing w:line="400" w:lineRule="exact"/>
        <w:ind w:right="12" w:firstLine="480"/>
        <w:rPr>
          <w:rFonts w:ascii="宋体" w:hAnsi="宋体" w:cs="宋体"/>
          <w:color w:val="auto"/>
          <w:sz w:val="24"/>
        </w:rPr>
      </w:pPr>
      <w:r>
        <w:rPr>
          <w:rFonts w:hint="eastAsia" w:ascii="宋体" w:hAnsi="宋体" w:cs="宋体"/>
          <w:color w:val="auto"/>
          <w:sz w:val="24"/>
        </w:rPr>
        <w:t>（二）售后服务内容</w:t>
      </w:r>
    </w:p>
    <w:p w14:paraId="731AEB23">
      <w:pPr>
        <w:spacing w:line="400" w:lineRule="exact"/>
        <w:ind w:right="12" w:firstLine="480"/>
        <w:rPr>
          <w:rFonts w:ascii="宋体" w:hAnsi="宋体" w:cs="宋体"/>
          <w:color w:val="auto"/>
          <w:sz w:val="24"/>
        </w:rPr>
      </w:pPr>
      <w:r>
        <w:rPr>
          <w:rFonts w:hint="eastAsia" w:ascii="宋体" w:hAnsi="宋体" w:cs="宋体"/>
          <w:color w:val="auto"/>
          <w:sz w:val="24"/>
        </w:rPr>
        <w:t>供应商和厂家在质量保证期内应当为采购人提供以下技术支持服务：</w:t>
      </w:r>
    </w:p>
    <w:p w14:paraId="65AB3715">
      <w:pPr>
        <w:spacing w:line="400" w:lineRule="exact"/>
        <w:ind w:right="12" w:firstLine="480"/>
        <w:rPr>
          <w:rFonts w:ascii="宋体" w:hAnsi="宋体" w:cs="宋体"/>
          <w:color w:val="auto"/>
          <w:sz w:val="24"/>
        </w:rPr>
      </w:pPr>
      <w:r>
        <w:rPr>
          <w:rFonts w:hint="eastAsia" w:ascii="宋体" w:hAnsi="宋体" w:cs="宋体"/>
          <w:color w:val="auto"/>
          <w:sz w:val="24"/>
        </w:rPr>
        <w:t>1、质量保证期内服务要求</w:t>
      </w:r>
    </w:p>
    <w:p w14:paraId="7CF70F18">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hint="eastAsia" w:asciiTheme="minorEastAsia" w:hAnsiTheme="minorEastAsia" w:eastAsiaTheme="minorEastAsia" w:cstheme="minorEastAsia"/>
          <w:color w:val="auto"/>
          <w:spacing w:val="0"/>
          <w:kern w:val="0"/>
          <w:sz w:val="24"/>
          <w:szCs w:val="24"/>
          <w:lang w:val="en-US" w:eastAsia="zh-CN" w:bidi="ar-SA"/>
        </w:rPr>
      </w:pPr>
      <w:r>
        <w:rPr>
          <w:rFonts w:hint="default" w:ascii="Calibri" w:hAnsi="Calibri" w:cs="Calibri" w:eastAsiaTheme="minorEastAsia"/>
          <w:color w:val="auto"/>
          <w:spacing w:val="0"/>
          <w:kern w:val="0"/>
          <w:sz w:val="24"/>
          <w:szCs w:val="24"/>
          <w:lang w:val="en-US" w:eastAsia="zh-CN" w:bidi="ar-SA"/>
        </w:rPr>
        <w:t>①</w:t>
      </w:r>
      <w:r>
        <w:rPr>
          <w:rFonts w:hint="eastAsia" w:asciiTheme="minorEastAsia" w:hAnsiTheme="minorEastAsia" w:eastAsiaTheme="minorEastAsia" w:cstheme="minorEastAsia"/>
          <w:color w:val="auto"/>
          <w:spacing w:val="0"/>
          <w:kern w:val="0"/>
          <w:sz w:val="24"/>
          <w:szCs w:val="24"/>
          <w:lang w:val="en-US" w:eastAsia="zh-CN" w:bidi="ar-SA"/>
        </w:rPr>
        <w:t>、因作业无人机、有关器械设备出现故障不能作业时，成交供应商需在24小时内解决并及时开展防治作业；如遇无人机逢检修时间（里程）须运回检修时，成交供应商需在48小时内调换相同机型的无人机继续开展防治作业；</w:t>
      </w:r>
    </w:p>
    <w:p w14:paraId="44A9694B">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rPr>
          <w:rFonts w:ascii="宋体" w:hAnsi="宋体" w:cs="宋体"/>
          <w:color w:val="auto"/>
          <w:sz w:val="24"/>
        </w:rPr>
      </w:pPr>
      <w:r>
        <w:rPr>
          <w:rFonts w:hint="default" w:ascii="Calibri" w:hAnsi="Calibri" w:cs="Calibri" w:eastAsiaTheme="minorEastAsia"/>
          <w:color w:val="auto"/>
          <w:spacing w:val="0"/>
          <w:kern w:val="0"/>
          <w:sz w:val="24"/>
          <w:szCs w:val="24"/>
          <w:lang w:val="en-US" w:eastAsia="zh-CN" w:bidi="ar-SA"/>
        </w:rPr>
        <w:t>②</w:t>
      </w:r>
      <w:r>
        <w:rPr>
          <w:rFonts w:hint="eastAsia" w:asciiTheme="minorEastAsia" w:hAnsiTheme="minorEastAsia" w:eastAsiaTheme="minorEastAsia" w:cstheme="minorEastAsia"/>
          <w:color w:val="auto"/>
          <w:spacing w:val="0"/>
          <w:kern w:val="0"/>
          <w:sz w:val="24"/>
          <w:szCs w:val="24"/>
          <w:lang w:val="en-US" w:eastAsia="zh-CN" w:bidi="ar-SA"/>
        </w:rPr>
        <w:t>现场响应：现场作业遇到有关问题时，成交供应商现场负责人应积极与采购人现场派驻人员协商，在2小时内采取相应响应措施；无法在2小时内解决的，应在24小时内派出专业人员进行技术支持，尽最大可能保障顺利作业。</w:t>
      </w:r>
      <w:r>
        <w:rPr>
          <w:rFonts w:hint="eastAsia" w:ascii="宋体" w:hAnsi="宋体" w:cs="宋体"/>
          <w:color w:val="auto"/>
          <w:sz w:val="24"/>
          <w:lang w:val="en-US" w:eastAsia="zh-CN"/>
        </w:rPr>
        <w:t xml:space="preserve">                              </w:t>
      </w:r>
    </w:p>
    <w:p w14:paraId="4270E23A">
      <w:pPr>
        <w:adjustRightInd w:val="0"/>
        <w:snapToGrid w:val="0"/>
        <w:spacing w:line="400" w:lineRule="exact"/>
        <w:ind w:firstLine="470" w:firstLineChars="195"/>
        <w:rPr>
          <w:rFonts w:ascii="宋体" w:hAnsi="宋体" w:cs="宋体"/>
          <w:b/>
          <w:bCs/>
          <w:color w:val="auto"/>
          <w:sz w:val="24"/>
        </w:rPr>
      </w:pPr>
      <w:r>
        <w:rPr>
          <w:rFonts w:hint="eastAsia" w:ascii="宋体" w:hAnsi="宋体" w:cs="宋体"/>
          <w:b/>
          <w:bCs/>
          <w:color w:val="auto"/>
          <w:sz w:val="24"/>
        </w:rPr>
        <w:t>三、报价要求</w:t>
      </w:r>
    </w:p>
    <w:p w14:paraId="0E6E54E8">
      <w:pPr>
        <w:adjustRightInd w:val="0"/>
        <w:snapToGrid w:val="0"/>
        <w:spacing w:line="400" w:lineRule="exact"/>
        <w:ind w:firstLine="468" w:firstLineChars="195"/>
        <w:rPr>
          <w:rFonts w:hint="eastAsia" w:ascii="宋体" w:hAnsi="宋体" w:cs="宋体"/>
          <w:color w:val="auto"/>
          <w:sz w:val="24"/>
        </w:rPr>
      </w:pPr>
      <w:r>
        <w:rPr>
          <w:rFonts w:hint="eastAsia" w:ascii="宋体" w:hAnsi="宋体" w:cs="宋体"/>
          <w:color w:val="auto"/>
          <w:sz w:val="24"/>
        </w:rPr>
        <w:t>本项目报价为人民币，询比申请人的报价中已包含完成本项目所需的材料费、人工费、货物费、运输费、安装调试费、装卸费、招标代理服务费、利润、税金、后期服务费等所有费用，因投标人自身原因造成漏报、少报皆由其自行承担责任，采购人不再补偿。</w:t>
      </w:r>
    </w:p>
    <w:p w14:paraId="751F8CC1">
      <w:pPr>
        <w:adjustRightInd w:val="0"/>
        <w:snapToGrid w:val="0"/>
        <w:spacing w:line="400" w:lineRule="exact"/>
        <w:ind w:firstLine="470" w:firstLineChars="195"/>
        <w:rPr>
          <w:rFonts w:hint="eastAsia" w:ascii="宋体" w:hAnsi="宋体" w:cs="宋体"/>
          <w:b/>
          <w:bCs/>
          <w:color w:val="auto"/>
          <w:sz w:val="24"/>
        </w:rPr>
      </w:pPr>
      <w:r>
        <w:rPr>
          <w:rFonts w:hint="eastAsia" w:ascii="宋体" w:hAnsi="宋体" w:cs="宋体"/>
          <w:b/>
          <w:bCs/>
          <w:color w:val="auto"/>
          <w:sz w:val="24"/>
        </w:rPr>
        <w:t>四、付款方式</w:t>
      </w:r>
    </w:p>
    <w:p w14:paraId="0005338D">
      <w:pPr>
        <w:adjustRightInd w:val="0"/>
        <w:snapToGrid w:val="0"/>
        <w:spacing w:line="400" w:lineRule="exact"/>
        <w:ind w:firstLine="468" w:firstLineChars="195"/>
        <w:rPr>
          <w:rFonts w:hint="eastAsia" w:ascii="宋体" w:hAnsi="宋体" w:eastAsia="宋体" w:cs="宋体"/>
          <w:color w:val="auto"/>
          <w:sz w:val="24"/>
        </w:rPr>
      </w:pPr>
      <w:r>
        <w:rPr>
          <w:rFonts w:hint="eastAsia" w:ascii="宋体" w:hAnsi="宋体" w:cs="宋体"/>
          <w:color w:val="auto"/>
          <w:sz w:val="24"/>
          <w:lang w:val="en-US" w:eastAsia="zh-CN"/>
        </w:rPr>
        <w:t>成交供应商完成防治任务，</w:t>
      </w:r>
      <w:r>
        <w:rPr>
          <w:rFonts w:hint="eastAsia" w:ascii="宋体" w:hAnsi="宋体" w:eastAsia="宋体" w:cs="宋体"/>
          <w:color w:val="auto"/>
          <w:sz w:val="24"/>
        </w:rPr>
        <w:t>采购人验收合格后，供货商应提供正式发票，采购人收到正式发票后，在财政资金到位的情况下一次性支付供货商全部货款。</w:t>
      </w:r>
    </w:p>
    <w:p w14:paraId="7A9F48B4">
      <w:pPr>
        <w:adjustRightInd w:val="0"/>
        <w:snapToGrid w:val="0"/>
        <w:spacing w:line="400" w:lineRule="exact"/>
        <w:ind w:firstLine="470" w:firstLineChars="195"/>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五、知识产权</w:t>
      </w:r>
    </w:p>
    <w:p w14:paraId="16599DEA">
      <w:pPr>
        <w:adjustRightInd w:val="0"/>
        <w:snapToGrid w:val="0"/>
        <w:spacing w:line="400" w:lineRule="exact"/>
        <w:ind w:firstLine="468" w:firstLineChars="19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成交供应商应保护采购人的知识产权与商业秘密，不得向第三人泄露、转让、或为本项目之外的目的使用、许可他人使用采购提交的各项资料，包括但不限于产品图纸等技术经济资料。如发生以上情况，采购人有权向成交供应商索赔。</w:t>
      </w:r>
    </w:p>
    <w:p w14:paraId="7154B00E">
      <w:pPr>
        <w:adjustRightInd w:val="0"/>
        <w:snapToGrid w:val="0"/>
        <w:spacing w:line="400" w:lineRule="exact"/>
        <w:ind w:firstLine="468" w:firstLineChars="19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E254D5C">
      <w:pPr>
        <w:adjustRightInd w:val="0"/>
        <w:snapToGrid w:val="0"/>
        <w:spacing w:line="400" w:lineRule="exact"/>
        <w:ind w:firstLine="470" w:firstLineChars="195"/>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、违约责任</w:t>
      </w:r>
    </w:p>
    <w:p w14:paraId="74307FBB">
      <w:pPr>
        <w:adjustRightInd w:val="0"/>
        <w:snapToGrid w:val="0"/>
        <w:spacing w:line="400" w:lineRule="exact"/>
        <w:ind w:firstLine="468" w:firstLineChars="19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任何因中标人忽视或误解项目基本情况，而使采购人在项目实施过程中蒙受的损失，将由中标人按一定比例对采购人进行赔偿。</w:t>
      </w:r>
    </w:p>
    <w:p w14:paraId="0F06696A">
      <w:pPr>
        <w:adjustRightInd w:val="0"/>
        <w:snapToGrid w:val="0"/>
        <w:spacing w:line="400" w:lineRule="exact"/>
        <w:ind w:firstLine="470" w:firstLineChars="195"/>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、其他</w:t>
      </w:r>
    </w:p>
    <w:p w14:paraId="279F1BD5">
      <w:pPr>
        <w:adjustRightInd w:val="0"/>
        <w:snapToGrid w:val="0"/>
        <w:spacing w:line="400" w:lineRule="exact"/>
        <w:ind w:firstLine="468" w:firstLineChars="195"/>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w:t>
      </w:r>
      <w:r>
        <w:rPr>
          <w:rFonts w:hint="eastAsia" w:asciiTheme="minorEastAsia" w:hAnsiTheme="minorEastAsia" w:eastAsiaTheme="minorEastAsia" w:cstheme="minorEastAsia"/>
          <w:color w:val="auto"/>
          <w:sz w:val="24"/>
          <w:szCs w:val="24"/>
        </w:rPr>
        <w:t>供应商必须在响应文件中对以上条款和服务承诺明确列出，承诺内容必须达到本篇及</w:t>
      </w:r>
      <w:r>
        <w:rPr>
          <w:rFonts w:hint="eastAsia" w:asciiTheme="minorEastAsia" w:hAnsiTheme="minorEastAsia" w:eastAsiaTheme="minorEastAsia" w:cstheme="minorEastAsia"/>
          <w:color w:val="auto"/>
          <w:sz w:val="24"/>
          <w:szCs w:val="24"/>
          <w:lang w:val="en-US" w:eastAsia="zh-CN"/>
        </w:rPr>
        <w:t>磋商</w:t>
      </w:r>
      <w:r>
        <w:rPr>
          <w:rFonts w:hint="eastAsia" w:asciiTheme="minorEastAsia" w:hAnsiTheme="minorEastAsia" w:eastAsiaTheme="minorEastAsia" w:cstheme="minorEastAsia"/>
          <w:color w:val="auto"/>
          <w:sz w:val="24"/>
          <w:szCs w:val="24"/>
        </w:rPr>
        <w:t>文件其他条款的要求。</w:t>
      </w:r>
      <w:r>
        <w:rPr>
          <w:rFonts w:hint="eastAsia" w:asciiTheme="minorEastAsia" w:hAnsiTheme="minorEastAsia" w:eastAsiaTheme="minorEastAsia" w:cstheme="minorEastAsia"/>
          <w:color w:val="auto"/>
          <w:kern w:val="0"/>
          <w:sz w:val="24"/>
          <w:szCs w:val="24"/>
        </w:rPr>
        <w:t xml:space="preserve"> </w:t>
      </w:r>
    </w:p>
    <w:p w14:paraId="6CC260EC">
      <w:pPr>
        <w:adjustRightInd w:val="0"/>
        <w:snapToGrid w:val="0"/>
        <w:spacing w:line="400" w:lineRule="exact"/>
        <w:ind w:firstLine="468" w:firstLineChars="195"/>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w:t>
      </w:r>
      <w:r>
        <w:rPr>
          <w:rFonts w:hint="eastAsia" w:asciiTheme="minorEastAsia" w:hAnsiTheme="minorEastAsia" w:eastAsiaTheme="minorEastAsia" w:cstheme="minorEastAsia"/>
          <w:color w:val="auto"/>
          <w:sz w:val="24"/>
          <w:szCs w:val="24"/>
        </w:rPr>
        <w:t>其他未尽事宜由供需双方在采购合同中详细约定。</w:t>
      </w:r>
    </w:p>
    <w:p w14:paraId="3351121D">
      <w:pPr>
        <w:adjustRightInd w:val="0"/>
        <w:snapToGrid w:val="0"/>
        <w:spacing w:line="400" w:lineRule="exact"/>
        <w:ind w:firstLine="468" w:firstLineChars="1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缴纳代理服务费</w:t>
      </w:r>
    </w:p>
    <w:p w14:paraId="2D7B3F8E">
      <w:pPr>
        <w:adjustRightInd w:val="0"/>
        <w:snapToGrid w:val="0"/>
        <w:spacing w:line="400" w:lineRule="exact"/>
        <w:ind w:firstLine="468" w:firstLineChars="1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本项目采购代理服务费由成交供应商支付，即成交供应商在领取中标通知书之</w:t>
      </w:r>
      <w:r>
        <w:rPr>
          <w:rFonts w:hint="eastAsia" w:asciiTheme="minorEastAsia" w:hAnsiTheme="minorEastAsia" w:eastAsiaTheme="minorEastAsia" w:cstheme="minorEastAsia"/>
          <w:color w:val="auto"/>
          <w:sz w:val="24"/>
          <w:szCs w:val="24"/>
          <w:lang w:val="en-US" w:eastAsia="zh-CN"/>
        </w:rPr>
        <w:t>时</w:t>
      </w:r>
      <w:r>
        <w:rPr>
          <w:rFonts w:hint="eastAsia" w:asciiTheme="minorEastAsia" w:hAnsiTheme="minorEastAsia" w:eastAsiaTheme="minorEastAsia" w:cstheme="minorEastAsia"/>
          <w:color w:val="auto"/>
          <w:sz w:val="24"/>
          <w:szCs w:val="24"/>
        </w:rPr>
        <w:t>以转账形式一次性支付给代理机构。</w:t>
      </w:r>
    </w:p>
    <w:p w14:paraId="2145813C">
      <w:pPr>
        <w:pStyle w:val="3"/>
        <w:spacing w:before="0" w:after="0" w:line="500" w:lineRule="exact"/>
        <w:rPr>
          <w:rFonts w:hint="eastAsia" w:ascii="方正仿宋_GBK" w:hAnsi="方正仿宋_GBK" w:eastAsia="方正仿宋_GBK" w:cs="方正仿宋_GBK"/>
          <w:color w:val="auto"/>
          <w:sz w:val="28"/>
          <w:szCs w:val="28"/>
        </w:rPr>
      </w:pPr>
      <w:bookmarkStart w:id="58" w:name="_Toc75793518"/>
      <w:bookmarkEnd w:id="58"/>
      <w:bookmarkStart w:id="59" w:name="_Toc10124"/>
      <w:bookmarkEnd w:id="59"/>
      <w:bookmarkStart w:id="60" w:name="_Toc106030892"/>
      <w:bookmarkStart w:id="61" w:name="_Toc102227313"/>
      <w:bookmarkStart w:id="62" w:name="_Toc76462337"/>
      <w:r>
        <w:rPr>
          <w:rFonts w:hint="eastAsia" w:asciiTheme="minorEastAsia" w:hAnsiTheme="minorEastAsia" w:eastAsiaTheme="minorEastAsia" w:cstheme="minorEastAsia"/>
          <w:color w:val="auto"/>
          <w:sz w:val="24"/>
          <w:szCs w:val="24"/>
        </w:rPr>
        <w:br w:type="page"/>
      </w:r>
      <w:r>
        <w:rPr>
          <w:rFonts w:hint="eastAsia" w:ascii="宋体" w:hAnsi="宋体" w:eastAsia="宋体" w:cs="宋体"/>
          <w:color w:val="auto"/>
          <w:sz w:val="36"/>
          <w:szCs w:val="28"/>
        </w:rPr>
        <w:t>第四篇  评审程序及方法、评审标准、无效响应和采购终止</w:t>
      </w:r>
      <w:bookmarkStart w:id="63" w:name="_Toc29210"/>
      <w:bookmarkStart w:id="64" w:name="_Toc18133"/>
      <w:bookmarkStart w:id="65" w:name="_Toc20139"/>
      <w:r>
        <w:rPr>
          <w:rFonts w:hint="eastAsia" w:ascii="方正仿宋_GBK" w:hAnsi="方正仿宋_GBK" w:eastAsia="方正仿宋_GBK" w:cs="方正仿宋_GBK"/>
          <w:color w:val="auto"/>
          <w:sz w:val="28"/>
          <w:szCs w:val="28"/>
        </w:rPr>
        <w:t>一、磋商程序及方法</w:t>
      </w:r>
      <w:bookmarkEnd w:id="63"/>
      <w:bookmarkEnd w:id="64"/>
      <w:bookmarkEnd w:id="65"/>
    </w:p>
    <w:p w14:paraId="76815ABB">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BB117F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（二）磋商小组对各供应商的资格条件、响应文件的有效性、完整性和响应程度进行审查。各供应商只有在完全符合要求的前提下，才能参与正式磋商。</w:t>
      </w:r>
    </w:p>
    <w:p w14:paraId="4FFA6379">
      <w:pPr>
        <w:snapToGri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0"/>
          <w:sz w:val="24"/>
          <w:szCs w:val="24"/>
        </w:rPr>
        <w:t>资格性</w:t>
      </w:r>
      <w:r>
        <w:rPr>
          <w:rFonts w:hint="eastAsia" w:asciiTheme="minorEastAsia" w:hAnsiTheme="minorEastAsia" w:eastAsiaTheme="minorEastAsia" w:cstheme="minorEastAsia"/>
          <w:color w:val="auto"/>
          <w:kern w:val="0"/>
          <w:sz w:val="24"/>
          <w:szCs w:val="24"/>
          <w:lang w:val="en-US" w:eastAsia="zh-CN"/>
        </w:rPr>
        <w:t>审查</w:t>
      </w:r>
      <w:r>
        <w:rPr>
          <w:rFonts w:hint="eastAsia" w:asciiTheme="minorEastAsia" w:hAnsiTheme="minorEastAsia" w:eastAsiaTheme="minorEastAsia" w:cstheme="minorEastAsia"/>
          <w:color w:val="auto"/>
          <w:kern w:val="0"/>
          <w:sz w:val="24"/>
          <w:szCs w:val="24"/>
        </w:rPr>
        <w:t>。依据法律法规和竞争性磋商文件的规定，对响应文件中的资格证明等进行审查，以确定供应商是否具备磋商资格。资格性</w:t>
      </w:r>
      <w:r>
        <w:rPr>
          <w:rFonts w:hint="eastAsia" w:asciiTheme="minorEastAsia" w:hAnsiTheme="minorEastAsia" w:eastAsiaTheme="minorEastAsia" w:cstheme="minorEastAsia"/>
          <w:color w:val="auto"/>
          <w:kern w:val="0"/>
          <w:sz w:val="24"/>
          <w:szCs w:val="24"/>
          <w:lang w:val="en-US" w:eastAsia="zh-CN"/>
        </w:rPr>
        <w:t>审</w:t>
      </w:r>
      <w:r>
        <w:rPr>
          <w:rFonts w:hint="eastAsia" w:asciiTheme="minorEastAsia" w:hAnsiTheme="minorEastAsia" w:eastAsiaTheme="minorEastAsia" w:cstheme="minorEastAsia"/>
          <w:color w:val="auto"/>
          <w:kern w:val="0"/>
          <w:sz w:val="24"/>
          <w:szCs w:val="24"/>
        </w:rPr>
        <w:t>查主要资料表如下：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860"/>
        <w:gridCol w:w="4383"/>
      </w:tblGrid>
      <w:tr w14:paraId="16E0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noWrap w:val="0"/>
            <w:vAlign w:val="center"/>
          </w:tcPr>
          <w:p w14:paraId="41E4FA6A">
            <w:pPr>
              <w:spacing w:line="36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序号</w:t>
            </w:r>
          </w:p>
        </w:tc>
        <w:tc>
          <w:tcPr>
            <w:tcW w:w="4569" w:type="dxa"/>
            <w:gridSpan w:val="2"/>
            <w:noWrap w:val="0"/>
            <w:vAlign w:val="center"/>
          </w:tcPr>
          <w:p w14:paraId="2E92642D">
            <w:pPr>
              <w:spacing w:line="36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审查因素</w:t>
            </w:r>
          </w:p>
        </w:tc>
        <w:tc>
          <w:tcPr>
            <w:tcW w:w="4383" w:type="dxa"/>
            <w:noWrap w:val="0"/>
            <w:vAlign w:val="center"/>
          </w:tcPr>
          <w:p w14:paraId="2F382286">
            <w:pPr>
              <w:spacing w:line="36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审查内容</w:t>
            </w:r>
          </w:p>
        </w:tc>
      </w:tr>
      <w:tr w14:paraId="34D9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noWrap w:val="0"/>
            <w:vAlign w:val="center"/>
          </w:tcPr>
          <w:p w14:paraId="7C90F17E">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709" w:type="dxa"/>
            <w:vMerge w:val="restart"/>
            <w:noWrap w:val="0"/>
            <w:vAlign w:val="center"/>
          </w:tcPr>
          <w:p w14:paraId="2FECAD53">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val="zh-CN"/>
              </w:rPr>
              <w:t>应符合的基本资格条件</w:t>
            </w:r>
          </w:p>
        </w:tc>
        <w:tc>
          <w:tcPr>
            <w:tcW w:w="3860" w:type="dxa"/>
            <w:noWrap w:val="0"/>
            <w:vAlign w:val="center"/>
          </w:tcPr>
          <w:p w14:paraId="5482C893">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tc>
        <w:tc>
          <w:tcPr>
            <w:tcW w:w="4383" w:type="dxa"/>
            <w:noWrap w:val="0"/>
            <w:vAlign w:val="center"/>
          </w:tcPr>
          <w:p w14:paraId="370A4B50">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1.供应商法人营业执照（副本）或事业单位法人证书（副本）或个体工商户营业执照或有效的自然人身份证明或社会团体法人登记证书（提供复印件）。 </w:t>
            </w:r>
          </w:p>
          <w:p w14:paraId="72754C9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2.供应商法定代表人身份证明和法定代表人授权代表委托书。</w:t>
            </w:r>
          </w:p>
        </w:tc>
      </w:tr>
      <w:tr w14:paraId="373D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noWrap w:val="0"/>
            <w:vAlign w:val="center"/>
          </w:tcPr>
          <w:p w14:paraId="0921F38E">
            <w:pPr>
              <w:spacing w:line="360" w:lineRule="auto"/>
              <w:jc w:val="center"/>
              <w:rPr>
                <w:rFonts w:hint="eastAsia" w:asciiTheme="minorEastAsia" w:hAnsiTheme="minorEastAsia" w:eastAsiaTheme="minorEastAsia" w:cstheme="minorEastAsia"/>
                <w:color w:val="auto"/>
                <w:sz w:val="24"/>
                <w:szCs w:val="24"/>
              </w:rPr>
            </w:pPr>
          </w:p>
        </w:tc>
        <w:tc>
          <w:tcPr>
            <w:tcW w:w="709" w:type="dxa"/>
            <w:vMerge w:val="continue"/>
            <w:noWrap w:val="0"/>
            <w:vAlign w:val="center"/>
          </w:tcPr>
          <w:p w14:paraId="1E18158F">
            <w:pPr>
              <w:spacing w:line="360" w:lineRule="auto"/>
              <w:rPr>
                <w:rFonts w:hint="eastAsia" w:asciiTheme="minorEastAsia" w:hAnsiTheme="minorEastAsia" w:eastAsiaTheme="minorEastAsia" w:cstheme="minorEastAsia"/>
                <w:color w:val="auto"/>
                <w:sz w:val="24"/>
                <w:szCs w:val="24"/>
                <w:lang w:val="zh-CN"/>
              </w:rPr>
            </w:pPr>
          </w:p>
        </w:tc>
        <w:tc>
          <w:tcPr>
            <w:tcW w:w="3860" w:type="dxa"/>
            <w:noWrap w:val="0"/>
            <w:vAlign w:val="center"/>
          </w:tcPr>
          <w:p w14:paraId="4AB6F1C7">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（2）</w:t>
            </w:r>
            <w:r>
              <w:rPr>
                <w:rFonts w:hint="eastAsia" w:asciiTheme="minorEastAsia" w:hAnsiTheme="minorEastAsia" w:eastAsiaTheme="minorEastAsia" w:cstheme="minorEastAsia"/>
                <w:color w:val="auto"/>
                <w:sz w:val="24"/>
                <w:szCs w:val="24"/>
              </w:rPr>
              <w:t>具有良好的商业信誉和健全的财务会计制度</w:t>
            </w:r>
          </w:p>
        </w:tc>
        <w:tc>
          <w:tcPr>
            <w:tcW w:w="4383" w:type="dxa"/>
            <w:vMerge w:val="restart"/>
            <w:noWrap w:val="0"/>
            <w:vAlign w:val="center"/>
          </w:tcPr>
          <w:p w14:paraId="4E42C18A">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供应商提供“基本资格条件承诺函”（格式详见第七篇）</w:t>
            </w:r>
          </w:p>
        </w:tc>
      </w:tr>
      <w:tr w14:paraId="5994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14:paraId="61E5DB4B">
            <w:pPr>
              <w:spacing w:line="360" w:lineRule="auto"/>
              <w:jc w:val="center"/>
              <w:rPr>
                <w:rFonts w:hint="eastAsia" w:asciiTheme="minorEastAsia" w:hAnsiTheme="minorEastAsia" w:eastAsiaTheme="minorEastAsia" w:cstheme="minorEastAsia"/>
                <w:color w:val="auto"/>
                <w:sz w:val="24"/>
                <w:szCs w:val="24"/>
              </w:rPr>
            </w:pPr>
          </w:p>
        </w:tc>
        <w:tc>
          <w:tcPr>
            <w:tcW w:w="709" w:type="dxa"/>
            <w:vMerge w:val="continue"/>
            <w:noWrap w:val="0"/>
            <w:vAlign w:val="center"/>
          </w:tcPr>
          <w:p w14:paraId="08270952">
            <w:pPr>
              <w:spacing w:line="360" w:lineRule="auto"/>
              <w:rPr>
                <w:rFonts w:hint="eastAsia" w:asciiTheme="minorEastAsia" w:hAnsiTheme="minorEastAsia" w:eastAsiaTheme="minorEastAsia" w:cstheme="minorEastAsia"/>
                <w:color w:val="auto"/>
                <w:sz w:val="24"/>
                <w:szCs w:val="24"/>
                <w:lang w:val="zh-CN"/>
              </w:rPr>
            </w:pPr>
          </w:p>
        </w:tc>
        <w:tc>
          <w:tcPr>
            <w:tcW w:w="3860" w:type="dxa"/>
            <w:noWrap w:val="0"/>
            <w:vAlign w:val="center"/>
          </w:tcPr>
          <w:p w14:paraId="757F1B51">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（3）具有履行合同所必需的设备和专业技术能力</w:t>
            </w:r>
          </w:p>
        </w:tc>
        <w:tc>
          <w:tcPr>
            <w:tcW w:w="4383" w:type="dxa"/>
            <w:vMerge w:val="continue"/>
            <w:noWrap w:val="0"/>
            <w:vAlign w:val="center"/>
          </w:tcPr>
          <w:p w14:paraId="11767801">
            <w:pPr>
              <w:spacing w:line="360" w:lineRule="auto"/>
              <w:rPr>
                <w:rFonts w:hint="eastAsia" w:asciiTheme="minorEastAsia" w:hAnsiTheme="minorEastAsia" w:eastAsiaTheme="minorEastAsia" w:cstheme="minorEastAsia"/>
                <w:color w:val="auto"/>
                <w:sz w:val="24"/>
                <w:szCs w:val="24"/>
              </w:rPr>
            </w:pPr>
          </w:p>
        </w:tc>
      </w:tr>
      <w:tr w14:paraId="7CA2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4AD37FA0">
            <w:pPr>
              <w:spacing w:line="360" w:lineRule="auto"/>
              <w:jc w:val="center"/>
              <w:rPr>
                <w:rFonts w:hint="eastAsia" w:asciiTheme="minorEastAsia" w:hAnsiTheme="minorEastAsia" w:eastAsiaTheme="minorEastAsia" w:cstheme="minorEastAsia"/>
                <w:color w:val="auto"/>
                <w:sz w:val="24"/>
                <w:szCs w:val="24"/>
              </w:rPr>
            </w:pPr>
          </w:p>
        </w:tc>
        <w:tc>
          <w:tcPr>
            <w:tcW w:w="709" w:type="dxa"/>
            <w:vMerge w:val="continue"/>
            <w:noWrap w:val="0"/>
            <w:vAlign w:val="center"/>
          </w:tcPr>
          <w:p w14:paraId="238E2885">
            <w:pPr>
              <w:spacing w:line="360" w:lineRule="auto"/>
              <w:rPr>
                <w:rFonts w:hint="eastAsia" w:asciiTheme="minorEastAsia" w:hAnsiTheme="minorEastAsia" w:eastAsiaTheme="minorEastAsia" w:cstheme="minorEastAsia"/>
                <w:color w:val="auto"/>
                <w:sz w:val="24"/>
                <w:szCs w:val="24"/>
                <w:lang w:val="zh-CN"/>
              </w:rPr>
            </w:pPr>
          </w:p>
        </w:tc>
        <w:tc>
          <w:tcPr>
            <w:tcW w:w="3860" w:type="dxa"/>
            <w:noWrap w:val="0"/>
            <w:vAlign w:val="center"/>
          </w:tcPr>
          <w:p w14:paraId="642125DB">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（4）有依法缴纳税收和社会保障金的良好记录</w:t>
            </w:r>
          </w:p>
        </w:tc>
        <w:tc>
          <w:tcPr>
            <w:tcW w:w="4383" w:type="dxa"/>
            <w:vMerge w:val="continue"/>
            <w:noWrap w:val="0"/>
            <w:vAlign w:val="center"/>
          </w:tcPr>
          <w:p w14:paraId="10A01A72">
            <w:pPr>
              <w:spacing w:line="360" w:lineRule="auto"/>
              <w:rPr>
                <w:rFonts w:hint="eastAsia" w:asciiTheme="minorEastAsia" w:hAnsiTheme="minorEastAsia" w:eastAsiaTheme="minorEastAsia" w:cstheme="minorEastAsia"/>
                <w:color w:val="auto"/>
                <w:sz w:val="24"/>
                <w:szCs w:val="24"/>
              </w:rPr>
            </w:pPr>
          </w:p>
        </w:tc>
      </w:tr>
      <w:tr w14:paraId="405C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676" w:type="dxa"/>
            <w:vMerge w:val="continue"/>
            <w:noWrap w:val="0"/>
            <w:vAlign w:val="center"/>
          </w:tcPr>
          <w:p w14:paraId="0A301140">
            <w:pPr>
              <w:spacing w:line="360" w:lineRule="auto"/>
              <w:jc w:val="center"/>
              <w:rPr>
                <w:rFonts w:hint="eastAsia" w:asciiTheme="minorEastAsia" w:hAnsiTheme="minorEastAsia" w:eastAsiaTheme="minorEastAsia" w:cstheme="minorEastAsia"/>
                <w:color w:val="auto"/>
                <w:sz w:val="24"/>
                <w:szCs w:val="24"/>
              </w:rPr>
            </w:pPr>
          </w:p>
        </w:tc>
        <w:tc>
          <w:tcPr>
            <w:tcW w:w="709" w:type="dxa"/>
            <w:vMerge w:val="continue"/>
            <w:noWrap w:val="0"/>
            <w:vAlign w:val="center"/>
          </w:tcPr>
          <w:p w14:paraId="0E2C27AF">
            <w:pPr>
              <w:spacing w:line="360" w:lineRule="auto"/>
              <w:rPr>
                <w:rFonts w:hint="eastAsia" w:asciiTheme="minorEastAsia" w:hAnsiTheme="minorEastAsia" w:eastAsiaTheme="minorEastAsia" w:cstheme="minorEastAsia"/>
                <w:color w:val="auto"/>
                <w:sz w:val="24"/>
                <w:szCs w:val="24"/>
                <w:lang w:val="zh-CN"/>
              </w:rPr>
            </w:pPr>
          </w:p>
        </w:tc>
        <w:tc>
          <w:tcPr>
            <w:tcW w:w="3860" w:type="dxa"/>
            <w:noWrap w:val="0"/>
            <w:vAlign w:val="center"/>
          </w:tcPr>
          <w:p w14:paraId="2C52FA5D">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（5）参加政府采购活动前三年内，在经营活动中没有重大违法记录</w:t>
            </w:r>
          </w:p>
        </w:tc>
        <w:tc>
          <w:tcPr>
            <w:tcW w:w="4383" w:type="dxa"/>
            <w:vMerge w:val="continue"/>
            <w:noWrap w:val="0"/>
            <w:vAlign w:val="center"/>
          </w:tcPr>
          <w:p w14:paraId="0A6854B6">
            <w:pPr>
              <w:spacing w:line="360" w:lineRule="auto"/>
              <w:rPr>
                <w:rFonts w:hint="eastAsia" w:asciiTheme="minorEastAsia" w:hAnsiTheme="minorEastAsia" w:eastAsiaTheme="minorEastAsia" w:cstheme="minorEastAsia"/>
                <w:color w:val="auto"/>
                <w:sz w:val="24"/>
                <w:szCs w:val="24"/>
              </w:rPr>
            </w:pPr>
          </w:p>
        </w:tc>
      </w:tr>
      <w:tr w14:paraId="375B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480AA1EA">
            <w:pPr>
              <w:spacing w:line="360" w:lineRule="auto"/>
              <w:jc w:val="center"/>
              <w:rPr>
                <w:rFonts w:hint="eastAsia" w:asciiTheme="minorEastAsia" w:hAnsiTheme="minorEastAsia" w:eastAsiaTheme="minorEastAsia" w:cstheme="minorEastAsia"/>
                <w:color w:val="auto"/>
                <w:sz w:val="24"/>
                <w:szCs w:val="24"/>
              </w:rPr>
            </w:pPr>
          </w:p>
        </w:tc>
        <w:tc>
          <w:tcPr>
            <w:tcW w:w="709" w:type="dxa"/>
            <w:vMerge w:val="continue"/>
            <w:noWrap w:val="0"/>
            <w:vAlign w:val="center"/>
          </w:tcPr>
          <w:p w14:paraId="5939C020">
            <w:pPr>
              <w:spacing w:line="360" w:lineRule="auto"/>
              <w:rPr>
                <w:rFonts w:hint="eastAsia" w:asciiTheme="minorEastAsia" w:hAnsiTheme="minorEastAsia" w:eastAsiaTheme="minorEastAsia" w:cstheme="minorEastAsia"/>
                <w:color w:val="auto"/>
                <w:sz w:val="24"/>
                <w:szCs w:val="24"/>
                <w:lang w:val="zh-CN"/>
              </w:rPr>
            </w:pPr>
          </w:p>
        </w:tc>
        <w:tc>
          <w:tcPr>
            <w:tcW w:w="3860" w:type="dxa"/>
            <w:noWrap w:val="0"/>
            <w:vAlign w:val="center"/>
          </w:tcPr>
          <w:p w14:paraId="115C0847">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tc>
        <w:tc>
          <w:tcPr>
            <w:tcW w:w="4383" w:type="dxa"/>
            <w:noWrap w:val="0"/>
            <w:vAlign w:val="center"/>
          </w:tcPr>
          <w:p w14:paraId="3B0E0BDD">
            <w:pPr>
              <w:spacing w:line="360" w:lineRule="auto"/>
              <w:rPr>
                <w:rFonts w:hint="eastAsia" w:asciiTheme="minorEastAsia" w:hAnsiTheme="minorEastAsia" w:eastAsiaTheme="minorEastAsia" w:cstheme="minorEastAsia"/>
                <w:color w:val="auto"/>
                <w:sz w:val="24"/>
                <w:szCs w:val="24"/>
              </w:rPr>
            </w:pPr>
          </w:p>
        </w:tc>
      </w:tr>
      <w:tr w14:paraId="76A6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noWrap w:val="0"/>
            <w:vAlign w:val="center"/>
          </w:tcPr>
          <w:p w14:paraId="54B8DF6B">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4569" w:type="dxa"/>
            <w:gridSpan w:val="2"/>
            <w:noWrap w:val="0"/>
            <w:vAlign w:val="center"/>
          </w:tcPr>
          <w:p w14:paraId="54C26E1E">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本项目的特定资格要求</w:t>
            </w:r>
          </w:p>
        </w:tc>
        <w:tc>
          <w:tcPr>
            <w:tcW w:w="4383" w:type="dxa"/>
            <w:noWrap w:val="0"/>
            <w:vAlign w:val="center"/>
          </w:tcPr>
          <w:p w14:paraId="26324572">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按“第一篇三、供应商资格要求（</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）本项目的特定资格要求”的要求提交。</w:t>
            </w:r>
          </w:p>
        </w:tc>
      </w:tr>
    </w:tbl>
    <w:p w14:paraId="3314EB97">
      <w:pPr>
        <w:snapToGrid w:val="0"/>
        <w:spacing w:line="360" w:lineRule="auto"/>
        <w:ind w:firstLine="480" w:firstLineChars="200"/>
        <w:rPr>
          <w:rFonts w:hint="eastAsia" w:asciiTheme="minorEastAsia" w:hAnsiTheme="minorEastAsia" w:eastAsiaTheme="minorEastAsia" w:cstheme="minorEastAsia"/>
          <w:color w:val="auto"/>
          <w:kern w:val="0"/>
          <w:sz w:val="24"/>
          <w:szCs w:val="24"/>
        </w:rPr>
      </w:pPr>
    </w:p>
    <w:p w14:paraId="6EC4E6DD">
      <w:pPr>
        <w:snapToGri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w:t>
      </w:r>
    </w:p>
    <w:p w14:paraId="66F9AB20">
      <w:pPr>
        <w:snapToGri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B6A2EC2">
      <w:pPr>
        <w:snapToGri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w:t>
      </w:r>
      <w:r>
        <w:rPr>
          <w:rFonts w:hint="eastAsia" w:asciiTheme="minorEastAsia" w:hAnsiTheme="minorEastAsia" w:eastAsiaTheme="minorEastAsia" w:cstheme="minorEastAsia"/>
          <w:color w:val="auto"/>
          <w:kern w:val="0"/>
          <w:sz w:val="24"/>
          <w:szCs w:val="24"/>
          <w:lang w:val="en-US" w:eastAsia="zh-CN"/>
        </w:rPr>
        <w:t>审查</w:t>
      </w:r>
      <w:r>
        <w:rPr>
          <w:rFonts w:hint="eastAsia" w:asciiTheme="minorEastAsia" w:hAnsiTheme="minorEastAsia" w:eastAsiaTheme="minorEastAsia" w:cstheme="minorEastAsia"/>
          <w:color w:val="auto"/>
          <w:kern w:val="0"/>
          <w:sz w:val="24"/>
          <w:szCs w:val="24"/>
        </w:rPr>
        <w:t>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2A3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021C341E">
            <w:pPr>
              <w:spacing w:line="36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序号</w:t>
            </w:r>
          </w:p>
        </w:tc>
        <w:tc>
          <w:tcPr>
            <w:tcW w:w="3544" w:type="dxa"/>
            <w:gridSpan w:val="2"/>
            <w:noWrap w:val="0"/>
            <w:vAlign w:val="center"/>
          </w:tcPr>
          <w:p w14:paraId="3311FFF0">
            <w:pPr>
              <w:spacing w:line="36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评审因素</w:t>
            </w:r>
          </w:p>
        </w:tc>
        <w:tc>
          <w:tcPr>
            <w:tcW w:w="5409" w:type="dxa"/>
            <w:noWrap w:val="0"/>
            <w:vAlign w:val="center"/>
          </w:tcPr>
          <w:p w14:paraId="12A9EED8">
            <w:pPr>
              <w:spacing w:line="36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评审标准</w:t>
            </w:r>
          </w:p>
        </w:tc>
      </w:tr>
      <w:tr w14:paraId="2165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EBD228E">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560" w:type="dxa"/>
            <w:vMerge w:val="restart"/>
            <w:noWrap w:val="0"/>
            <w:vAlign w:val="center"/>
          </w:tcPr>
          <w:p w14:paraId="09CAD029">
            <w:pPr>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有效性审查</w:t>
            </w:r>
          </w:p>
        </w:tc>
        <w:tc>
          <w:tcPr>
            <w:tcW w:w="1984" w:type="dxa"/>
            <w:noWrap w:val="0"/>
            <w:vAlign w:val="center"/>
          </w:tcPr>
          <w:p w14:paraId="484AC5BB">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响应文件签署</w:t>
            </w:r>
          </w:p>
        </w:tc>
        <w:tc>
          <w:tcPr>
            <w:tcW w:w="5409" w:type="dxa"/>
            <w:noWrap w:val="0"/>
            <w:vAlign w:val="center"/>
          </w:tcPr>
          <w:p w14:paraId="34FF042A">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响应文件上法定代表人或其授权代表人的签字齐全。</w:t>
            </w:r>
          </w:p>
        </w:tc>
      </w:tr>
      <w:tr w14:paraId="7D48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3A5A920B">
            <w:pPr>
              <w:spacing w:line="360" w:lineRule="auto"/>
              <w:jc w:val="center"/>
              <w:rPr>
                <w:rFonts w:hint="eastAsia" w:asciiTheme="minorEastAsia" w:hAnsiTheme="minorEastAsia" w:eastAsiaTheme="minorEastAsia" w:cstheme="minorEastAsia"/>
                <w:color w:val="auto"/>
                <w:kern w:val="0"/>
                <w:sz w:val="24"/>
                <w:szCs w:val="24"/>
              </w:rPr>
            </w:pPr>
          </w:p>
        </w:tc>
        <w:tc>
          <w:tcPr>
            <w:tcW w:w="1560" w:type="dxa"/>
            <w:vMerge w:val="continue"/>
            <w:noWrap w:val="0"/>
            <w:vAlign w:val="center"/>
          </w:tcPr>
          <w:p w14:paraId="6BDF3429">
            <w:pPr>
              <w:spacing w:line="360" w:lineRule="auto"/>
              <w:rPr>
                <w:rFonts w:hint="eastAsia" w:asciiTheme="minorEastAsia" w:hAnsiTheme="minorEastAsia" w:eastAsiaTheme="minorEastAsia" w:cstheme="minorEastAsia"/>
                <w:color w:val="auto"/>
                <w:kern w:val="0"/>
                <w:sz w:val="24"/>
                <w:szCs w:val="24"/>
              </w:rPr>
            </w:pPr>
          </w:p>
        </w:tc>
        <w:tc>
          <w:tcPr>
            <w:tcW w:w="1984" w:type="dxa"/>
            <w:noWrap w:val="0"/>
            <w:vAlign w:val="center"/>
          </w:tcPr>
          <w:p w14:paraId="11E6286E">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法定代表人身份证明及授权委托书</w:t>
            </w:r>
          </w:p>
        </w:tc>
        <w:tc>
          <w:tcPr>
            <w:tcW w:w="5409" w:type="dxa"/>
            <w:noWrap w:val="0"/>
            <w:vAlign w:val="center"/>
          </w:tcPr>
          <w:p w14:paraId="7E6D5F1F">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法定代表人身份证明及授权委托书有效，符合竞争性磋商文件规定的格式，签字或盖章齐全。</w:t>
            </w:r>
          </w:p>
        </w:tc>
      </w:tr>
      <w:tr w14:paraId="0A9A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FAAF64F">
            <w:pPr>
              <w:spacing w:line="360" w:lineRule="auto"/>
              <w:jc w:val="center"/>
              <w:rPr>
                <w:rFonts w:hint="eastAsia" w:asciiTheme="minorEastAsia" w:hAnsiTheme="minorEastAsia" w:eastAsiaTheme="minorEastAsia" w:cstheme="minorEastAsia"/>
                <w:color w:val="auto"/>
                <w:kern w:val="0"/>
                <w:sz w:val="24"/>
                <w:szCs w:val="24"/>
              </w:rPr>
            </w:pPr>
          </w:p>
        </w:tc>
        <w:tc>
          <w:tcPr>
            <w:tcW w:w="1560" w:type="dxa"/>
            <w:vMerge w:val="continue"/>
            <w:noWrap w:val="0"/>
            <w:vAlign w:val="center"/>
          </w:tcPr>
          <w:p w14:paraId="081CABCE">
            <w:pPr>
              <w:spacing w:line="360" w:lineRule="auto"/>
              <w:rPr>
                <w:rFonts w:hint="eastAsia" w:asciiTheme="minorEastAsia" w:hAnsiTheme="minorEastAsia" w:eastAsiaTheme="minorEastAsia" w:cstheme="minorEastAsia"/>
                <w:color w:val="auto"/>
                <w:kern w:val="0"/>
                <w:sz w:val="24"/>
                <w:szCs w:val="24"/>
              </w:rPr>
            </w:pPr>
          </w:p>
        </w:tc>
        <w:tc>
          <w:tcPr>
            <w:tcW w:w="1984" w:type="dxa"/>
            <w:noWrap w:val="0"/>
            <w:vAlign w:val="center"/>
          </w:tcPr>
          <w:p w14:paraId="711DB786">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磋商方案</w:t>
            </w:r>
          </w:p>
        </w:tc>
        <w:tc>
          <w:tcPr>
            <w:tcW w:w="5409" w:type="dxa"/>
            <w:noWrap w:val="0"/>
            <w:vAlign w:val="center"/>
          </w:tcPr>
          <w:p w14:paraId="459F7730">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只能有一个方案参与磋商。</w:t>
            </w:r>
          </w:p>
        </w:tc>
      </w:tr>
      <w:tr w14:paraId="40B3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4EA7D914">
            <w:pPr>
              <w:spacing w:line="360" w:lineRule="auto"/>
              <w:jc w:val="center"/>
              <w:rPr>
                <w:rFonts w:hint="eastAsia" w:asciiTheme="minorEastAsia" w:hAnsiTheme="minorEastAsia" w:eastAsiaTheme="minorEastAsia" w:cstheme="minorEastAsia"/>
                <w:color w:val="auto"/>
                <w:kern w:val="0"/>
                <w:sz w:val="24"/>
                <w:szCs w:val="24"/>
              </w:rPr>
            </w:pPr>
          </w:p>
        </w:tc>
        <w:tc>
          <w:tcPr>
            <w:tcW w:w="1560" w:type="dxa"/>
            <w:vMerge w:val="continue"/>
            <w:noWrap w:val="0"/>
            <w:vAlign w:val="center"/>
          </w:tcPr>
          <w:p w14:paraId="6954F199">
            <w:pPr>
              <w:spacing w:line="360" w:lineRule="auto"/>
              <w:rPr>
                <w:rFonts w:hint="eastAsia" w:asciiTheme="minorEastAsia" w:hAnsiTheme="minorEastAsia" w:eastAsiaTheme="minorEastAsia" w:cstheme="minorEastAsia"/>
                <w:color w:val="auto"/>
                <w:kern w:val="0"/>
                <w:sz w:val="24"/>
                <w:szCs w:val="24"/>
              </w:rPr>
            </w:pPr>
          </w:p>
        </w:tc>
        <w:tc>
          <w:tcPr>
            <w:tcW w:w="1984" w:type="dxa"/>
            <w:noWrap w:val="0"/>
            <w:vAlign w:val="center"/>
          </w:tcPr>
          <w:p w14:paraId="520779B3">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报价唯一</w:t>
            </w:r>
          </w:p>
        </w:tc>
        <w:tc>
          <w:tcPr>
            <w:tcW w:w="5409" w:type="dxa"/>
            <w:noWrap w:val="0"/>
            <w:vAlign w:val="center"/>
          </w:tcPr>
          <w:p w14:paraId="25D618A4">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只能在采购预算范围内报价，只能有一个有效报价，不得提交选择性报价。</w:t>
            </w:r>
          </w:p>
        </w:tc>
      </w:tr>
      <w:tr w14:paraId="5983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75" w:type="dxa"/>
            <w:vMerge w:val="restart"/>
            <w:noWrap w:val="0"/>
            <w:vAlign w:val="center"/>
          </w:tcPr>
          <w:p w14:paraId="0CCC8FBD">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1560" w:type="dxa"/>
            <w:vMerge w:val="restart"/>
            <w:noWrap w:val="0"/>
            <w:vAlign w:val="center"/>
          </w:tcPr>
          <w:p w14:paraId="2746F9EB">
            <w:pPr>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完整性审查</w:t>
            </w:r>
          </w:p>
        </w:tc>
        <w:tc>
          <w:tcPr>
            <w:tcW w:w="1984" w:type="dxa"/>
            <w:noWrap w:val="0"/>
            <w:vAlign w:val="center"/>
          </w:tcPr>
          <w:p w14:paraId="6876E87C">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响应文件份数</w:t>
            </w:r>
          </w:p>
        </w:tc>
        <w:tc>
          <w:tcPr>
            <w:tcW w:w="5409" w:type="dxa"/>
            <w:noWrap w:val="0"/>
            <w:vAlign w:val="center"/>
          </w:tcPr>
          <w:p w14:paraId="1C228E64">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响应文件正、副本数量（含电子文档）符合竞争性磋商文件要求。</w:t>
            </w:r>
          </w:p>
        </w:tc>
      </w:tr>
      <w:tr w14:paraId="6F1D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75" w:type="dxa"/>
            <w:vMerge w:val="restart"/>
            <w:noWrap w:val="0"/>
            <w:vAlign w:val="center"/>
          </w:tcPr>
          <w:p w14:paraId="5300A793">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1560" w:type="dxa"/>
            <w:vMerge w:val="restart"/>
            <w:noWrap w:val="0"/>
            <w:vAlign w:val="center"/>
          </w:tcPr>
          <w:p w14:paraId="061D0178">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kern w:val="0"/>
                <w:sz w:val="24"/>
                <w:szCs w:val="24"/>
              </w:rPr>
              <w:t>竞争性磋商文件的响应程度审查</w:t>
            </w:r>
          </w:p>
        </w:tc>
        <w:tc>
          <w:tcPr>
            <w:tcW w:w="1984" w:type="dxa"/>
            <w:noWrap w:val="0"/>
            <w:vAlign w:val="center"/>
          </w:tcPr>
          <w:p w14:paraId="7D3168C1">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响应文件内容</w:t>
            </w:r>
          </w:p>
        </w:tc>
        <w:tc>
          <w:tcPr>
            <w:tcW w:w="5409" w:type="dxa"/>
            <w:noWrap w:val="0"/>
            <w:vAlign w:val="center"/>
          </w:tcPr>
          <w:p w14:paraId="006E51F3">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对竞争性磋商文件第二篇、第三篇</w:t>
            </w:r>
            <w:r>
              <w:rPr>
                <w:rFonts w:hint="eastAsia" w:asciiTheme="minorEastAsia" w:hAnsiTheme="minorEastAsia" w:eastAsiaTheme="minorEastAsia" w:cstheme="minorEastAsia"/>
                <w:color w:val="auto"/>
                <w:sz w:val="24"/>
                <w:szCs w:val="24"/>
                <w:lang w:val="en-US" w:eastAsia="zh-CN"/>
              </w:rPr>
              <w:t>中“※”号标注的</w:t>
            </w:r>
            <w:r>
              <w:rPr>
                <w:rFonts w:hint="eastAsia" w:asciiTheme="minorEastAsia" w:hAnsiTheme="minorEastAsia" w:eastAsiaTheme="minorEastAsia" w:cstheme="minorEastAsia"/>
                <w:color w:val="auto"/>
                <w:sz w:val="24"/>
                <w:szCs w:val="24"/>
                <w:lang w:val="zh-CN"/>
              </w:rPr>
              <w:t>内容</w:t>
            </w:r>
            <w:r>
              <w:rPr>
                <w:rFonts w:hint="eastAsia" w:asciiTheme="minorEastAsia" w:hAnsiTheme="minorEastAsia" w:eastAsiaTheme="minorEastAsia" w:cstheme="minorEastAsia"/>
                <w:color w:val="auto"/>
                <w:sz w:val="24"/>
                <w:szCs w:val="24"/>
                <w:lang w:val="en-US" w:eastAsia="zh-CN"/>
              </w:rPr>
              <w:t>进行实质</w:t>
            </w:r>
            <w:r>
              <w:rPr>
                <w:rFonts w:hint="eastAsia" w:asciiTheme="minorEastAsia" w:hAnsiTheme="minorEastAsia" w:eastAsiaTheme="minorEastAsia" w:cstheme="minorEastAsia"/>
                <w:color w:val="auto"/>
                <w:sz w:val="24"/>
                <w:szCs w:val="24"/>
                <w:lang w:val="zh-CN"/>
              </w:rPr>
              <w:t>响应。</w:t>
            </w:r>
          </w:p>
        </w:tc>
      </w:tr>
      <w:tr w14:paraId="770B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70BE3DE">
            <w:pPr>
              <w:spacing w:line="360" w:lineRule="auto"/>
              <w:jc w:val="center"/>
              <w:rPr>
                <w:rFonts w:hint="eastAsia" w:asciiTheme="minorEastAsia" w:hAnsiTheme="minorEastAsia" w:eastAsiaTheme="minorEastAsia" w:cstheme="minorEastAsia"/>
                <w:color w:val="auto"/>
                <w:kern w:val="0"/>
                <w:sz w:val="24"/>
                <w:szCs w:val="24"/>
              </w:rPr>
            </w:pPr>
          </w:p>
        </w:tc>
        <w:tc>
          <w:tcPr>
            <w:tcW w:w="1560" w:type="dxa"/>
            <w:vMerge w:val="continue"/>
            <w:noWrap w:val="0"/>
            <w:vAlign w:val="center"/>
          </w:tcPr>
          <w:p w14:paraId="4BB71898">
            <w:pPr>
              <w:spacing w:line="360" w:lineRule="auto"/>
              <w:rPr>
                <w:rFonts w:hint="eastAsia" w:asciiTheme="minorEastAsia" w:hAnsiTheme="minorEastAsia" w:eastAsiaTheme="minorEastAsia" w:cstheme="minorEastAsia"/>
                <w:color w:val="auto"/>
                <w:sz w:val="24"/>
                <w:szCs w:val="24"/>
                <w:lang w:val="zh-CN"/>
              </w:rPr>
            </w:pPr>
          </w:p>
        </w:tc>
        <w:tc>
          <w:tcPr>
            <w:tcW w:w="1984" w:type="dxa"/>
            <w:noWrap w:val="0"/>
            <w:vAlign w:val="center"/>
          </w:tcPr>
          <w:p w14:paraId="4280CFDD">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磋商有效期</w:t>
            </w:r>
          </w:p>
        </w:tc>
        <w:tc>
          <w:tcPr>
            <w:tcW w:w="5409" w:type="dxa"/>
            <w:noWrap w:val="0"/>
            <w:vAlign w:val="center"/>
          </w:tcPr>
          <w:p w14:paraId="42F41445">
            <w:pPr>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满足竞争性磋商文件规定。</w:t>
            </w:r>
          </w:p>
        </w:tc>
      </w:tr>
    </w:tbl>
    <w:p w14:paraId="00AEB4E1">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B260A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1D3115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（五）在磋商过程中磋商的任何一方不得向他人透露与磋商有关的</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资料、价格或其他信息。</w:t>
      </w:r>
    </w:p>
    <w:p w14:paraId="2990CD6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（六）在磋商过程中，磋商小组可以根据竞争性磋商文件和磋商情况实质性变动采购需求中的</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64DFA6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（七）供应商在磋商时作出的所有书面承诺须由法定代表人（或其授权代表）或自然人（供应商为自然人）签署。</w:t>
      </w:r>
    </w:p>
    <w:p w14:paraId="39F481E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325A2D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、商务等评定因素分别按照相应权重值计算分项得分后相加，满分为100分。</w:t>
      </w:r>
    </w:p>
    <w:p w14:paraId="2E060D9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指标优劣顺序排列推荐。以上都相同的，按商务条款的优劣顺序排列推荐。若供应商的</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部分为0分，将失去成为成交候选供应商的资格。</w:t>
      </w:r>
    </w:p>
    <w:p w14:paraId="71C2DA5C">
      <w:pPr>
        <w:pStyle w:val="3"/>
        <w:spacing w:before="0" w:after="0" w:line="440" w:lineRule="exact"/>
        <w:rPr>
          <w:rFonts w:hint="eastAsia" w:asciiTheme="minorEastAsia" w:hAnsiTheme="minorEastAsia" w:eastAsiaTheme="minorEastAsia" w:cstheme="minorEastAsia"/>
          <w:color w:val="auto"/>
          <w:kern w:val="0"/>
          <w:sz w:val="24"/>
          <w:szCs w:val="24"/>
        </w:rPr>
      </w:pPr>
      <w:bookmarkStart w:id="66" w:name="_Toc25187"/>
      <w:bookmarkStart w:id="67" w:name="_Toc31387"/>
      <w:bookmarkStart w:id="68" w:name="_Toc5859"/>
      <w:r>
        <w:rPr>
          <w:rFonts w:hint="eastAsia" w:ascii="方正仿宋_GBK" w:hAnsi="方正仿宋_GBK" w:eastAsia="方正仿宋_GBK" w:cs="方正仿宋_GBK"/>
          <w:color w:val="auto"/>
          <w:sz w:val="28"/>
          <w:szCs w:val="28"/>
        </w:rPr>
        <w:t>二、评审标准</w:t>
      </w:r>
      <w:bookmarkEnd w:id="66"/>
      <w:bookmarkEnd w:id="67"/>
      <w:bookmarkEnd w:id="68"/>
    </w:p>
    <w:tbl>
      <w:tblPr>
        <w:tblStyle w:val="22"/>
        <w:tblpPr w:leftFromText="180" w:rightFromText="180" w:vertAnchor="text" w:tblpXSpec="center" w:tblpY="1"/>
        <w:tblOverlap w:val="never"/>
        <w:tblW w:w="9436" w:type="dxa"/>
        <w:tblInd w:w="-1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19"/>
        <w:gridCol w:w="873"/>
        <w:gridCol w:w="5258"/>
        <w:gridCol w:w="1513"/>
      </w:tblGrid>
      <w:tr w14:paraId="296E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noWrap w:val="0"/>
            <w:vAlign w:val="center"/>
          </w:tcPr>
          <w:p w14:paraId="7865BD31">
            <w:pPr>
              <w:widowControl w:val="0"/>
              <w:spacing w:line="400" w:lineRule="exact"/>
              <w:ind w:firstLine="0" w:firstLineChars="0"/>
              <w:jc w:val="center"/>
              <w:rPr>
                <w:rFonts w:ascii="宋体" w:hAnsi="宋体" w:eastAsia="宋体" w:cs="宋体"/>
                <w:b/>
                <w:bCs/>
                <w:color w:val="auto"/>
              </w:rPr>
            </w:pPr>
            <w:r>
              <w:rPr>
                <w:rFonts w:hint="eastAsia" w:ascii="宋体" w:hAnsi="宋体" w:eastAsia="宋体" w:cs="宋体"/>
                <w:b/>
                <w:bCs/>
                <w:color w:val="auto"/>
              </w:rPr>
              <w:t>序号</w:t>
            </w:r>
          </w:p>
        </w:tc>
        <w:tc>
          <w:tcPr>
            <w:tcW w:w="1119" w:type="dxa"/>
            <w:noWrap w:val="0"/>
            <w:vAlign w:val="center"/>
          </w:tcPr>
          <w:p w14:paraId="768D499A">
            <w:pPr>
              <w:widowControl w:val="0"/>
              <w:spacing w:line="400" w:lineRule="exact"/>
              <w:ind w:firstLine="0" w:firstLineChars="0"/>
              <w:jc w:val="center"/>
              <w:rPr>
                <w:rFonts w:ascii="宋体" w:hAnsi="宋体" w:eastAsia="宋体" w:cs="宋体"/>
                <w:b/>
                <w:bCs/>
                <w:color w:val="auto"/>
              </w:rPr>
            </w:pPr>
            <w:r>
              <w:rPr>
                <w:rFonts w:hint="eastAsia" w:ascii="宋体" w:hAnsi="宋体" w:eastAsia="宋体" w:cs="宋体"/>
                <w:b/>
                <w:bCs/>
                <w:color w:val="auto"/>
              </w:rPr>
              <w:t>评分因素及权值</w:t>
            </w:r>
          </w:p>
        </w:tc>
        <w:tc>
          <w:tcPr>
            <w:tcW w:w="873" w:type="dxa"/>
            <w:noWrap w:val="0"/>
            <w:vAlign w:val="center"/>
          </w:tcPr>
          <w:p w14:paraId="651F3C7B">
            <w:pPr>
              <w:widowControl w:val="0"/>
              <w:spacing w:line="400" w:lineRule="exact"/>
              <w:ind w:firstLine="0" w:firstLineChars="0"/>
              <w:jc w:val="center"/>
              <w:rPr>
                <w:rFonts w:ascii="宋体" w:hAnsi="宋体" w:eastAsia="宋体" w:cs="宋体"/>
                <w:b/>
                <w:bCs/>
                <w:color w:val="auto"/>
              </w:rPr>
            </w:pPr>
            <w:r>
              <w:rPr>
                <w:rFonts w:hint="eastAsia" w:ascii="宋体" w:hAnsi="宋体" w:eastAsia="宋体" w:cs="宋体"/>
                <w:b/>
                <w:bCs/>
                <w:color w:val="auto"/>
              </w:rPr>
              <w:t>分值</w:t>
            </w:r>
          </w:p>
        </w:tc>
        <w:tc>
          <w:tcPr>
            <w:tcW w:w="5258" w:type="dxa"/>
            <w:noWrap w:val="0"/>
            <w:vAlign w:val="center"/>
          </w:tcPr>
          <w:p w14:paraId="475F70C5">
            <w:pPr>
              <w:widowControl w:val="0"/>
              <w:spacing w:line="400" w:lineRule="exact"/>
              <w:ind w:firstLine="0" w:firstLineChars="0"/>
              <w:jc w:val="center"/>
              <w:rPr>
                <w:rFonts w:ascii="宋体" w:hAnsi="宋体" w:eastAsia="宋体" w:cs="宋体"/>
                <w:b/>
                <w:bCs/>
                <w:color w:val="auto"/>
              </w:rPr>
            </w:pPr>
            <w:r>
              <w:rPr>
                <w:rFonts w:hint="eastAsia" w:ascii="宋体" w:hAnsi="宋体" w:eastAsia="宋体" w:cs="宋体"/>
                <w:b/>
                <w:bCs/>
                <w:color w:val="auto"/>
              </w:rPr>
              <w:t>评分标准</w:t>
            </w:r>
          </w:p>
        </w:tc>
        <w:tc>
          <w:tcPr>
            <w:tcW w:w="1513" w:type="dxa"/>
            <w:noWrap w:val="0"/>
            <w:vAlign w:val="center"/>
          </w:tcPr>
          <w:p w14:paraId="7619F724">
            <w:pPr>
              <w:widowControl w:val="0"/>
              <w:spacing w:line="400" w:lineRule="exact"/>
              <w:ind w:firstLine="0" w:firstLineChars="0"/>
              <w:jc w:val="center"/>
              <w:rPr>
                <w:rFonts w:hint="eastAsia" w:ascii="宋体" w:hAnsi="宋体" w:eastAsia="宋体" w:cs="宋体"/>
                <w:b/>
                <w:bCs/>
                <w:color w:val="auto"/>
              </w:rPr>
            </w:pPr>
          </w:p>
        </w:tc>
      </w:tr>
      <w:tr w14:paraId="5204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673" w:type="dxa"/>
            <w:noWrap w:val="0"/>
            <w:vAlign w:val="center"/>
          </w:tcPr>
          <w:p w14:paraId="3052D9B3">
            <w:pPr>
              <w:widowControl w:val="0"/>
              <w:spacing w:line="400" w:lineRule="exact"/>
              <w:ind w:firstLine="0" w:firstLineChars="0"/>
              <w:jc w:val="center"/>
              <w:rPr>
                <w:rFonts w:ascii="宋体" w:hAnsi="宋体" w:eastAsia="宋体" w:cs="宋体"/>
                <w:color w:val="auto"/>
              </w:rPr>
            </w:pPr>
            <w:r>
              <w:rPr>
                <w:rFonts w:hint="eastAsia" w:ascii="宋体" w:hAnsi="宋体" w:eastAsia="宋体" w:cs="宋体"/>
                <w:color w:val="auto"/>
              </w:rPr>
              <w:t>1</w:t>
            </w:r>
          </w:p>
        </w:tc>
        <w:tc>
          <w:tcPr>
            <w:tcW w:w="1119" w:type="dxa"/>
            <w:noWrap w:val="0"/>
            <w:vAlign w:val="center"/>
          </w:tcPr>
          <w:p w14:paraId="45E39FFD">
            <w:pPr>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报价</w:t>
            </w:r>
          </w:p>
          <w:p w14:paraId="7C8DD4FF">
            <w:pPr>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宋体" w:hAnsi="宋体" w:eastAsia="宋体" w:cs="宋体"/>
                <w:color w:val="auto"/>
              </w:rPr>
            </w:pPr>
            <w:r>
              <w:rPr>
                <w:rFonts w:hint="eastAsia" w:asciiTheme="minorEastAsia" w:hAnsiTheme="minorEastAsia" w:eastAsiaTheme="minorEastAsia" w:cstheme="minorEastAsia"/>
                <w:color w:val="auto"/>
                <w:kern w:val="0"/>
                <w:sz w:val="24"/>
                <w:szCs w:val="24"/>
                <w:lang w:val="en-US" w:eastAsia="zh-CN" w:bidi="ar-SA"/>
              </w:rPr>
              <w:t>（15%）</w:t>
            </w:r>
          </w:p>
        </w:tc>
        <w:tc>
          <w:tcPr>
            <w:tcW w:w="873" w:type="dxa"/>
            <w:noWrap w:val="0"/>
            <w:vAlign w:val="center"/>
          </w:tcPr>
          <w:p w14:paraId="42FC01F6">
            <w:pPr>
              <w:widowControl w:val="0"/>
              <w:spacing w:line="400" w:lineRule="exact"/>
              <w:ind w:firstLine="0" w:firstLineChars="0"/>
              <w:jc w:val="center"/>
              <w:rPr>
                <w:rFonts w:hint="default" w:ascii="宋体" w:hAnsi="宋体" w:eastAsia="宋体" w:cs="宋体"/>
                <w:color w:val="auto"/>
                <w:lang w:val="en-US"/>
              </w:rPr>
            </w:pPr>
            <w:r>
              <w:rPr>
                <w:rFonts w:hint="eastAsia" w:asciiTheme="minorEastAsia" w:hAnsiTheme="minorEastAsia" w:eastAsiaTheme="minorEastAsia" w:cstheme="minorEastAsia"/>
                <w:color w:val="auto"/>
                <w:kern w:val="0"/>
                <w:sz w:val="24"/>
                <w:szCs w:val="24"/>
                <w:lang w:val="en-US" w:eastAsia="zh-CN" w:bidi="ar-SA"/>
              </w:rPr>
              <w:t>15</w:t>
            </w:r>
          </w:p>
        </w:tc>
        <w:tc>
          <w:tcPr>
            <w:tcW w:w="5258" w:type="dxa"/>
            <w:noWrap w:val="0"/>
            <w:vAlign w:val="center"/>
          </w:tcPr>
          <w:p w14:paraId="4BA4128F">
            <w:pPr>
              <w:numPr>
                <w:ilvl w:val="0"/>
                <w:numId w:val="0"/>
              </w:numPr>
              <w:spacing w:line="32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满足资格要求且报价最低的供应商的价格为基准价，按照下列公式计算每个供应商的报价得分。</w:t>
            </w:r>
          </w:p>
          <w:p w14:paraId="701A6F90">
            <w:pPr>
              <w:numPr>
                <w:ilvl w:val="0"/>
                <w:numId w:val="0"/>
              </w:numPr>
              <w:spacing w:line="32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报价得分=（基准价/投标报价）×价格权值×100</w:t>
            </w:r>
          </w:p>
          <w:p w14:paraId="488B1865">
            <w:pPr>
              <w:numPr>
                <w:ilvl w:val="0"/>
                <w:numId w:val="0"/>
              </w:numPr>
              <w:spacing w:line="320" w:lineRule="exact"/>
              <w:jc w:val="left"/>
              <w:rPr>
                <w:rFonts w:hint="eastAsia" w:ascii="宋体" w:hAnsi="宋体" w:cs="宋体"/>
                <w:b/>
                <w:bCs/>
                <w:color w:val="auto"/>
                <w:sz w:val="21"/>
                <w:szCs w:val="21"/>
                <w:lang w:val="en-US" w:eastAsia="zh-CN"/>
              </w:rPr>
            </w:pPr>
          </w:p>
          <w:p w14:paraId="5040A38C">
            <w:pPr>
              <w:numPr>
                <w:ilvl w:val="0"/>
                <w:numId w:val="0"/>
              </w:numPr>
              <w:spacing w:line="320" w:lineRule="exact"/>
              <w:jc w:val="left"/>
              <w:rPr>
                <w:rFonts w:ascii="宋体" w:hAnsi="宋体" w:eastAsia="宋体" w:cs="宋体"/>
                <w:color w:val="auto"/>
                <w:sz w:val="24"/>
                <w:szCs w:val="24"/>
              </w:rPr>
            </w:pPr>
            <w:r>
              <w:rPr>
                <w:rFonts w:hint="eastAsia" w:ascii="宋体" w:hAnsi="宋体" w:cs="宋体"/>
                <w:b/>
                <w:bCs/>
                <w:color w:val="auto"/>
                <w:sz w:val="21"/>
                <w:szCs w:val="21"/>
                <w:lang w:val="en-US" w:eastAsia="zh-CN"/>
              </w:rPr>
              <w:t>注：高于预算价为无效报价</w:t>
            </w:r>
          </w:p>
        </w:tc>
        <w:tc>
          <w:tcPr>
            <w:tcW w:w="1513" w:type="dxa"/>
            <w:noWrap w:val="0"/>
            <w:vAlign w:val="center"/>
          </w:tcPr>
          <w:p w14:paraId="4B40E735">
            <w:pPr>
              <w:pStyle w:val="5"/>
              <w:pageBreakBefore w:val="0"/>
              <w:widowControl w:val="0"/>
              <w:kinsoku/>
              <w:wordWrap/>
              <w:overflowPunct/>
              <w:topLinePunct w:val="0"/>
              <w:autoSpaceDE/>
              <w:autoSpaceDN/>
              <w:bidi w:val="0"/>
              <w:adjustRightInd/>
              <w:spacing w:beforeLines="0" w:afterLines="0" w:line="360" w:lineRule="exact"/>
              <w:ind w:firstLine="0" w:firstLineChars="0"/>
              <w:textAlignment w:val="auto"/>
              <w:rPr>
                <w:rFonts w:hint="eastAsia" w:asciiTheme="minorEastAsia" w:hAnsiTheme="minorEastAsia" w:eastAsiaTheme="minorEastAsia" w:cstheme="minorEastAsia"/>
                <w:color w:val="auto"/>
                <w:kern w:val="0"/>
                <w:sz w:val="24"/>
                <w:szCs w:val="24"/>
                <w:lang w:val="en-US" w:eastAsia="zh-CN" w:bidi="ar-SA"/>
              </w:rPr>
            </w:pPr>
          </w:p>
        </w:tc>
      </w:tr>
      <w:tr w14:paraId="6EC2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73" w:type="dxa"/>
            <w:noWrap w:val="0"/>
            <w:vAlign w:val="center"/>
          </w:tcPr>
          <w:p w14:paraId="080E235D">
            <w:pPr>
              <w:widowControl w:val="0"/>
              <w:spacing w:line="400" w:lineRule="exact"/>
              <w:ind w:firstLine="174" w:firstLineChars="83"/>
              <w:rPr>
                <w:rFonts w:ascii="宋体" w:hAnsi="宋体" w:eastAsia="宋体" w:cs="宋体"/>
                <w:color w:val="auto"/>
              </w:rPr>
            </w:pPr>
            <w:r>
              <w:rPr>
                <w:rFonts w:hint="eastAsia" w:ascii="宋体" w:hAnsi="宋体" w:eastAsia="宋体" w:cs="宋体"/>
                <w:color w:val="auto"/>
              </w:rPr>
              <w:t>2</w:t>
            </w:r>
          </w:p>
        </w:tc>
        <w:tc>
          <w:tcPr>
            <w:tcW w:w="1119" w:type="dxa"/>
            <w:noWrap w:val="0"/>
            <w:vAlign w:val="center"/>
          </w:tcPr>
          <w:p w14:paraId="57777E4C">
            <w:pPr>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服务</w:t>
            </w:r>
          </w:p>
          <w:p w14:paraId="17FEC869">
            <w:pPr>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部分</w:t>
            </w:r>
          </w:p>
          <w:p w14:paraId="36EA0D35">
            <w:pPr>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宋体" w:hAnsi="宋体" w:eastAsia="宋体" w:cs="宋体"/>
                <w:color w:val="auto"/>
              </w:rPr>
            </w:pPr>
            <w:r>
              <w:rPr>
                <w:rFonts w:hint="eastAsia" w:asciiTheme="minorEastAsia" w:hAnsiTheme="minorEastAsia" w:eastAsiaTheme="minorEastAsia" w:cstheme="minorEastAsia"/>
                <w:color w:val="auto"/>
                <w:kern w:val="0"/>
                <w:sz w:val="24"/>
                <w:szCs w:val="24"/>
                <w:lang w:val="en-US" w:eastAsia="zh-CN" w:bidi="ar-SA"/>
              </w:rPr>
              <w:t>（55%）</w:t>
            </w:r>
          </w:p>
        </w:tc>
        <w:tc>
          <w:tcPr>
            <w:tcW w:w="873" w:type="dxa"/>
            <w:noWrap w:val="0"/>
            <w:vAlign w:val="center"/>
          </w:tcPr>
          <w:p w14:paraId="2F8E9006">
            <w:pPr>
              <w:widowControl w:val="0"/>
              <w:spacing w:line="400" w:lineRule="exact"/>
              <w:ind w:firstLine="240" w:firstLineChars="100"/>
              <w:rPr>
                <w:rFonts w:hint="default" w:ascii="宋体" w:hAnsi="宋体" w:eastAsia="宋体" w:cs="宋体"/>
                <w:color w:val="auto"/>
                <w:lang w:val="en-US"/>
              </w:rPr>
            </w:pPr>
            <w:r>
              <w:rPr>
                <w:rFonts w:hint="eastAsia" w:asciiTheme="minorEastAsia" w:hAnsiTheme="minorEastAsia" w:eastAsiaTheme="minorEastAsia" w:cstheme="minorEastAsia"/>
                <w:color w:val="auto"/>
                <w:kern w:val="0"/>
                <w:sz w:val="24"/>
                <w:szCs w:val="24"/>
                <w:lang w:val="en-US" w:eastAsia="zh-CN" w:bidi="ar-SA"/>
              </w:rPr>
              <w:t>55</w:t>
            </w:r>
          </w:p>
        </w:tc>
        <w:tc>
          <w:tcPr>
            <w:tcW w:w="5258" w:type="dxa"/>
            <w:noWrap w:val="0"/>
            <w:vAlign w:val="center"/>
          </w:tcPr>
          <w:p w14:paraId="04294610">
            <w:pPr>
              <w:numPr>
                <w:ilvl w:val="0"/>
                <w:numId w:val="0"/>
              </w:numPr>
              <w:spacing w:line="32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1、服务方案及主要技术措施。（20分）</w:t>
            </w:r>
          </w:p>
          <w:p w14:paraId="5EB0B680">
            <w:pPr>
              <w:numPr>
                <w:ilvl w:val="0"/>
                <w:numId w:val="0"/>
              </w:numPr>
              <w:spacing w:line="32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供应商根据对本项目的理解，提供服务方案，根据方案的合理性、可行性、完整性及针对性等方面进行评审。优得20-16分，良得15-11分，差得10-6分，未提供不得分。</w:t>
            </w:r>
          </w:p>
          <w:p w14:paraId="29A1D02F">
            <w:pPr>
              <w:numPr>
                <w:ilvl w:val="0"/>
                <w:numId w:val="0"/>
              </w:numPr>
              <w:spacing w:line="320" w:lineRule="exact"/>
              <w:jc w:val="left"/>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2、本项目实施的重点、难点和解决方案（</w:t>
            </w:r>
            <w:r>
              <w:rPr>
                <w:rFonts w:hint="eastAsia" w:ascii="宋体" w:hAnsi="宋体" w:cs="宋体"/>
                <w:color w:val="auto"/>
                <w:sz w:val="21"/>
                <w:szCs w:val="21"/>
                <w:lang w:val="en-US" w:eastAsia="zh-CN"/>
              </w:rPr>
              <w:t>15</w:t>
            </w:r>
            <w:r>
              <w:rPr>
                <w:rFonts w:hint="default" w:ascii="宋体" w:hAnsi="宋体" w:cs="宋体"/>
                <w:color w:val="auto"/>
                <w:sz w:val="21"/>
                <w:szCs w:val="21"/>
                <w:lang w:val="en-US" w:eastAsia="zh-CN"/>
              </w:rPr>
              <w:t>分）</w:t>
            </w:r>
          </w:p>
          <w:p w14:paraId="4CDB8901">
            <w:pPr>
              <w:numPr>
                <w:ilvl w:val="0"/>
                <w:numId w:val="0"/>
              </w:numPr>
              <w:spacing w:line="32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供应商根据对本项目</w:t>
            </w:r>
            <w:r>
              <w:rPr>
                <w:rFonts w:hint="default" w:ascii="宋体" w:hAnsi="宋体" w:cs="宋体"/>
                <w:color w:val="auto"/>
                <w:sz w:val="21"/>
                <w:szCs w:val="21"/>
                <w:lang w:val="en-US" w:eastAsia="zh-CN"/>
              </w:rPr>
              <w:t>的重点难点分析深入、全面、透彻，方案科学合理可行</w:t>
            </w:r>
            <w:r>
              <w:rPr>
                <w:rFonts w:hint="eastAsia" w:ascii="宋体" w:hAnsi="宋体" w:cs="宋体"/>
                <w:color w:val="auto"/>
                <w:sz w:val="21"/>
                <w:szCs w:val="21"/>
                <w:lang w:val="en-US" w:eastAsia="zh-CN"/>
              </w:rPr>
              <w:t>性等方面进行评审。优得15-11分，良得10-6分，差得5-1分，未提供不得分。</w:t>
            </w:r>
          </w:p>
          <w:p w14:paraId="735DADA1">
            <w:pPr>
              <w:numPr>
                <w:ilvl w:val="0"/>
                <w:numId w:val="0"/>
              </w:numPr>
              <w:spacing w:line="32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r>
              <w:rPr>
                <w:rFonts w:hint="default" w:ascii="宋体" w:hAnsi="宋体" w:cs="宋体"/>
                <w:color w:val="auto"/>
                <w:sz w:val="21"/>
                <w:szCs w:val="21"/>
                <w:lang w:val="en-US" w:eastAsia="zh-CN"/>
              </w:rPr>
              <w:t>服务期限、服务进度计划及保证措施。（</w:t>
            </w:r>
            <w:r>
              <w:rPr>
                <w:rFonts w:hint="eastAsia" w:ascii="宋体" w:hAnsi="宋体" w:cs="宋体"/>
                <w:color w:val="auto"/>
                <w:sz w:val="21"/>
                <w:szCs w:val="21"/>
                <w:lang w:val="en-US" w:eastAsia="zh-CN"/>
              </w:rPr>
              <w:t>10</w:t>
            </w:r>
            <w:r>
              <w:rPr>
                <w:rFonts w:hint="default" w:ascii="宋体" w:hAnsi="宋体" w:cs="宋体"/>
                <w:color w:val="auto"/>
                <w:sz w:val="21"/>
                <w:szCs w:val="21"/>
                <w:lang w:val="en-US" w:eastAsia="zh-CN"/>
              </w:rPr>
              <w:t>分）</w:t>
            </w:r>
          </w:p>
          <w:p w14:paraId="4C2F1ADF">
            <w:pPr>
              <w:numPr>
                <w:ilvl w:val="0"/>
                <w:numId w:val="0"/>
              </w:numPr>
              <w:spacing w:line="320" w:lineRule="exact"/>
              <w:jc w:val="left"/>
              <w:rPr>
                <w:rFonts w:hint="eastAsia" w:ascii="宋体" w:hAnsi="宋体" w:cs="宋体"/>
                <w:color w:val="auto"/>
                <w:sz w:val="21"/>
                <w:szCs w:val="21"/>
                <w:lang w:val="en-US" w:eastAsia="zh-CN"/>
              </w:rPr>
            </w:pPr>
            <w:r>
              <w:rPr>
                <w:rFonts w:hint="default" w:ascii="宋体" w:hAnsi="宋体" w:cs="宋体"/>
                <w:color w:val="auto"/>
                <w:sz w:val="21"/>
                <w:szCs w:val="21"/>
                <w:lang w:val="en-US" w:eastAsia="zh-CN"/>
              </w:rPr>
              <w:t>供应商根据对本项目的工作计划合理完善、实施办法具体详细</w:t>
            </w:r>
            <w:r>
              <w:rPr>
                <w:rFonts w:hint="eastAsia" w:ascii="宋体" w:hAnsi="宋体" w:cs="宋体"/>
                <w:color w:val="auto"/>
                <w:sz w:val="21"/>
                <w:szCs w:val="21"/>
                <w:lang w:val="en-US" w:eastAsia="zh-CN"/>
              </w:rPr>
              <w:t>、质量保障措施</w:t>
            </w:r>
            <w:r>
              <w:rPr>
                <w:rFonts w:hint="default" w:ascii="宋体" w:hAnsi="宋体" w:cs="宋体"/>
                <w:color w:val="auto"/>
                <w:sz w:val="21"/>
                <w:szCs w:val="21"/>
                <w:lang w:val="en-US" w:eastAsia="zh-CN"/>
              </w:rPr>
              <w:t>等方面进行评审</w:t>
            </w:r>
            <w:r>
              <w:rPr>
                <w:rFonts w:hint="eastAsia" w:ascii="宋体" w:hAnsi="宋体" w:cs="宋体"/>
                <w:color w:val="auto"/>
                <w:sz w:val="21"/>
                <w:szCs w:val="21"/>
                <w:lang w:val="en-US" w:eastAsia="zh-CN"/>
              </w:rPr>
              <w:t>。优得10-8分，良得7-5分，差得4-1分，未提供不得分。</w:t>
            </w:r>
          </w:p>
          <w:p w14:paraId="479F0FBD">
            <w:pPr>
              <w:numPr>
                <w:ilvl w:val="0"/>
                <w:numId w:val="0"/>
              </w:numPr>
              <w:spacing w:line="32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4、项目进度控制措施。（10分）</w:t>
            </w:r>
          </w:p>
          <w:p w14:paraId="1C87525B">
            <w:pPr>
              <w:numPr>
                <w:ilvl w:val="0"/>
                <w:numId w:val="0"/>
              </w:numPr>
              <w:spacing w:line="320" w:lineRule="exact"/>
              <w:jc w:val="left"/>
              <w:rPr>
                <w:rFonts w:hint="default"/>
                <w:color w:val="auto"/>
                <w:lang w:val="en-US"/>
              </w:rPr>
            </w:pPr>
            <w:r>
              <w:rPr>
                <w:rFonts w:hint="eastAsia" w:ascii="宋体" w:hAnsi="宋体" w:cs="宋体"/>
                <w:color w:val="auto"/>
                <w:sz w:val="21"/>
                <w:szCs w:val="21"/>
                <w:lang w:val="en-US" w:eastAsia="zh-CN"/>
              </w:rPr>
              <w:t>根据供应商对本项目进度计划安排，能有效保证进度等，保障措施切实可行的，有很强的针对性和可行性。优得10-8分，良得7-5分，差得4-1分，未提供不得分。</w:t>
            </w:r>
          </w:p>
        </w:tc>
        <w:tc>
          <w:tcPr>
            <w:tcW w:w="1513" w:type="dxa"/>
            <w:noWrap w:val="0"/>
            <w:vAlign w:val="center"/>
          </w:tcPr>
          <w:p w14:paraId="479B7B35">
            <w:pPr>
              <w:numPr>
                <w:ilvl w:val="0"/>
                <w:numId w:val="0"/>
              </w:numPr>
              <w:rPr>
                <w:rFonts w:hint="eastAsia" w:asciiTheme="minorEastAsia" w:hAnsiTheme="minorEastAsia" w:eastAsiaTheme="minorEastAsia" w:cstheme="minorEastAsia"/>
                <w:color w:val="auto"/>
                <w:kern w:val="0"/>
                <w:sz w:val="24"/>
                <w:szCs w:val="24"/>
                <w:lang w:val="en-US" w:eastAsia="zh-CN" w:bidi="ar-SA"/>
              </w:rPr>
            </w:pPr>
          </w:p>
        </w:tc>
      </w:tr>
      <w:tr w14:paraId="08C0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3" w:type="dxa"/>
            <w:vMerge w:val="restart"/>
            <w:noWrap w:val="0"/>
            <w:vAlign w:val="center"/>
          </w:tcPr>
          <w:p w14:paraId="2A7200EE">
            <w:pPr>
              <w:widowControl w:val="0"/>
              <w:spacing w:line="400" w:lineRule="exact"/>
              <w:ind w:firstLine="0" w:firstLineChars="0"/>
              <w:jc w:val="center"/>
              <w:rPr>
                <w:rFonts w:ascii="宋体" w:hAnsi="宋体" w:eastAsia="宋体" w:cs="宋体"/>
                <w:color w:val="auto"/>
              </w:rPr>
            </w:pPr>
            <w:r>
              <w:rPr>
                <w:rFonts w:hint="eastAsia" w:ascii="宋体" w:hAnsi="宋体" w:eastAsia="宋体" w:cs="宋体"/>
                <w:color w:val="auto"/>
              </w:rPr>
              <w:t>3</w:t>
            </w:r>
          </w:p>
        </w:tc>
        <w:tc>
          <w:tcPr>
            <w:tcW w:w="1119" w:type="dxa"/>
            <w:vMerge w:val="restart"/>
            <w:noWrap w:val="0"/>
            <w:vAlign w:val="center"/>
          </w:tcPr>
          <w:p w14:paraId="105E2404">
            <w:pPr>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商务</w:t>
            </w:r>
          </w:p>
          <w:p w14:paraId="4ED9F910">
            <w:pPr>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部分</w:t>
            </w:r>
          </w:p>
          <w:p w14:paraId="213FCE25">
            <w:pPr>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宋体" w:hAnsi="宋体" w:eastAsia="宋体" w:cs="宋体"/>
                <w:color w:val="auto"/>
              </w:rPr>
            </w:pPr>
            <w:r>
              <w:rPr>
                <w:rFonts w:hint="eastAsia" w:asciiTheme="minorEastAsia" w:hAnsiTheme="minorEastAsia" w:eastAsiaTheme="minorEastAsia" w:cstheme="minorEastAsia"/>
                <w:color w:val="auto"/>
                <w:kern w:val="0"/>
                <w:sz w:val="24"/>
                <w:szCs w:val="24"/>
                <w:lang w:val="en-US" w:eastAsia="zh-CN" w:bidi="ar-SA"/>
              </w:rPr>
              <w:t>（30%）</w:t>
            </w:r>
          </w:p>
        </w:tc>
        <w:tc>
          <w:tcPr>
            <w:tcW w:w="873" w:type="dxa"/>
            <w:noWrap w:val="0"/>
            <w:vAlign w:val="center"/>
          </w:tcPr>
          <w:p w14:paraId="05902F9B">
            <w:pPr>
              <w:widowControl w:val="0"/>
              <w:spacing w:line="400" w:lineRule="exact"/>
              <w:ind w:firstLine="199" w:firstLineChars="83"/>
              <w:rPr>
                <w:rFonts w:hint="default" w:ascii="宋体" w:hAnsi="宋体" w:eastAsia="宋体" w:cs="宋体"/>
                <w:color w:val="auto"/>
                <w:lang w:val="en-US"/>
              </w:rPr>
            </w:pPr>
            <w:r>
              <w:rPr>
                <w:rFonts w:hint="eastAsia" w:asciiTheme="minorEastAsia" w:hAnsiTheme="minorEastAsia" w:eastAsiaTheme="minorEastAsia" w:cstheme="minorEastAsia"/>
                <w:color w:val="auto"/>
                <w:kern w:val="0"/>
                <w:sz w:val="24"/>
                <w:szCs w:val="24"/>
                <w:lang w:val="en-US" w:eastAsia="zh-CN" w:bidi="ar-SA"/>
              </w:rPr>
              <w:t>10</w:t>
            </w:r>
          </w:p>
        </w:tc>
        <w:tc>
          <w:tcPr>
            <w:tcW w:w="5258" w:type="dxa"/>
            <w:noWrap w:val="0"/>
            <w:vAlign w:val="center"/>
          </w:tcPr>
          <w:p w14:paraId="4B7C8098">
            <w:pPr>
              <w:numPr>
                <w:ilvl w:val="0"/>
                <w:numId w:val="3"/>
              </w:numPr>
              <w:spacing w:line="320" w:lineRule="exact"/>
              <w:jc w:val="left"/>
              <w:rPr>
                <w:rFonts w:hint="default" w:ascii="宋体" w:hAnsi="宋体" w:cs="宋体"/>
                <w:color w:val="auto"/>
                <w:sz w:val="21"/>
                <w:szCs w:val="21"/>
                <w:lang w:val="en-US" w:eastAsia="zh-CN"/>
              </w:rPr>
            </w:pPr>
            <w:r>
              <w:rPr>
                <w:rFonts w:hint="eastAsia" w:ascii="宋体" w:hAnsi="宋体" w:eastAsia="宋体" w:cs="宋体"/>
                <w:color w:val="auto"/>
                <w:sz w:val="21"/>
                <w:szCs w:val="21"/>
                <w:lang w:val="en-US" w:eastAsia="zh-CN"/>
              </w:rPr>
              <w:t>供应商自有植保无人机，药箱容积不低于75L</w:t>
            </w:r>
            <w:r>
              <w:rPr>
                <w:rFonts w:hint="eastAsia" w:ascii="宋体" w:hAnsi="宋体" w:cs="宋体"/>
                <w:color w:val="auto"/>
                <w:sz w:val="21"/>
                <w:szCs w:val="21"/>
                <w:lang w:val="en-US" w:eastAsia="zh-CN"/>
              </w:rPr>
              <w:t>，得4分。</w:t>
            </w:r>
          </w:p>
          <w:p w14:paraId="72B5F1C3">
            <w:pPr>
              <w:numPr>
                <w:ilvl w:val="0"/>
                <w:numId w:val="0"/>
              </w:numPr>
              <w:spacing w:line="320" w:lineRule="exact"/>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2、具有农用无人机驾驶航空操作证的1人得3分，最高得6分。</w:t>
            </w:r>
          </w:p>
        </w:tc>
        <w:tc>
          <w:tcPr>
            <w:tcW w:w="1513" w:type="dxa"/>
            <w:noWrap w:val="0"/>
            <w:vAlign w:val="center"/>
          </w:tcPr>
          <w:p w14:paraId="14A9D595">
            <w:pPr>
              <w:numPr>
                <w:ilvl w:val="0"/>
                <w:numId w:val="0"/>
              </w:numPr>
              <w:spacing w:line="320" w:lineRule="exact"/>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提供自有无人机发票，无人机操作证复印件。</w:t>
            </w:r>
          </w:p>
        </w:tc>
      </w:tr>
      <w:tr w14:paraId="748C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3" w:type="dxa"/>
            <w:vMerge w:val="continue"/>
            <w:noWrap w:val="0"/>
            <w:vAlign w:val="center"/>
          </w:tcPr>
          <w:p w14:paraId="09C1FC5A">
            <w:pPr>
              <w:widowControl w:val="0"/>
              <w:spacing w:line="400" w:lineRule="exact"/>
              <w:ind w:firstLine="0" w:firstLineChars="0"/>
              <w:jc w:val="center"/>
              <w:rPr>
                <w:rFonts w:hint="eastAsia" w:ascii="宋体" w:hAnsi="宋体" w:eastAsia="宋体" w:cs="宋体"/>
                <w:color w:val="auto"/>
              </w:rPr>
            </w:pPr>
          </w:p>
        </w:tc>
        <w:tc>
          <w:tcPr>
            <w:tcW w:w="1119" w:type="dxa"/>
            <w:vMerge w:val="continue"/>
            <w:noWrap w:val="0"/>
            <w:vAlign w:val="center"/>
          </w:tcPr>
          <w:p w14:paraId="02D9419D">
            <w:pPr>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asciiTheme="minorEastAsia" w:hAnsiTheme="minorEastAsia" w:eastAsiaTheme="minorEastAsia" w:cstheme="minorEastAsia"/>
                <w:color w:val="auto"/>
                <w:kern w:val="0"/>
                <w:sz w:val="24"/>
                <w:szCs w:val="24"/>
                <w:lang w:val="en-US" w:eastAsia="zh-CN" w:bidi="ar-SA"/>
              </w:rPr>
            </w:pPr>
          </w:p>
        </w:tc>
        <w:tc>
          <w:tcPr>
            <w:tcW w:w="873" w:type="dxa"/>
            <w:noWrap w:val="0"/>
            <w:vAlign w:val="center"/>
          </w:tcPr>
          <w:p w14:paraId="18636151">
            <w:pPr>
              <w:widowControl w:val="0"/>
              <w:spacing w:line="400" w:lineRule="exact"/>
              <w:ind w:firstLine="199" w:firstLineChars="83"/>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10</w:t>
            </w:r>
          </w:p>
        </w:tc>
        <w:tc>
          <w:tcPr>
            <w:tcW w:w="5258" w:type="dxa"/>
            <w:noWrap w:val="0"/>
            <w:vAlign w:val="center"/>
          </w:tcPr>
          <w:p w14:paraId="7BD51AE8">
            <w:pPr>
              <w:numPr>
                <w:ilvl w:val="0"/>
                <w:numId w:val="0"/>
              </w:numPr>
              <w:spacing w:line="32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供应商拟派本项目的技术负责人具有林业正高级职称证书的得3分，本项最多得3分。</w:t>
            </w:r>
          </w:p>
          <w:p w14:paraId="191D1541">
            <w:pPr>
              <w:numPr>
                <w:ilvl w:val="0"/>
                <w:numId w:val="0"/>
              </w:numPr>
              <w:spacing w:line="32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供应商拟投入本项目工作人员中，每有一名高级及以上职称（林业类）的得3分，最多得3分；</w:t>
            </w:r>
          </w:p>
          <w:p w14:paraId="0A473778">
            <w:pPr>
              <w:numPr>
                <w:ilvl w:val="0"/>
                <w:numId w:val="0"/>
              </w:numPr>
              <w:spacing w:line="32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每有一名中级职称（林业类）的得2分，最多得4分</w:t>
            </w:r>
          </w:p>
        </w:tc>
        <w:tc>
          <w:tcPr>
            <w:tcW w:w="1513" w:type="dxa"/>
            <w:noWrap w:val="0"/>
            <w:vAlign w:val="center"/>
          </w:tcPr>
          <w:p w14:paraId="648169AE">
            <w:pPr>
              <w:numPr>
                <w:ilvl w:val="0"/>
                <w:numId w:val="0"/>
              </w:numPr>
              <w:spacing w:line="320" w:lineRule="exact"/>
              <w:jc w:val="left"/>
              <w:rPr>
                <w:rFonts w:hint="eastAsia" w:ascii="宋体" w:hAnsi="宋体" w:eastAsia="微软雅黑" w:cs="宋体"/>
                <w:color w:val="auto"/>
                <w:sz w:val="21"/>
                <w:szCs w:val="21"/>
                <w:lang w:val="en-US" w:eastAsia="zh-CN"/>
              </w:rPr>
            </w:pPr>
            <w:r>
              <w:rPr>
                <w:rFonts w:hint="eastAsia" w:ascii="宋体" w:hAnsi="宋体" w:cs="宋体"/>
                <w:color w:val="auto"/>
                <w:sz w:val="21"/>
                <w:szCs w:val="21"/>
                <w:lang w:val="en-US" w:eastAsia="zh-CN"/>
              </w:rPr>
              <w:t>提供相应人员的身份证复印件、职称证书复印件,同一人员不得重复得分</w:t>
            </w:r>
          </w:p>
        </w:tc>
      </w:tr>
      <w:tr w14:paraId="0EAB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3" w:type="dxa"/>
            <w:vMerge w:val="continue"/>
            <w:noWrap w:val="0"/>
            <w:vAlign w:val="center"/>
          </w:tcPr>
          <w:p w14:paraId="5DF3A52C">
            <w:pPr>
              <w:widowControl w:val="0"/>
              <w:spacing w:line="400" w:lineRule="exact"/>
              <w:ind w:firstLine="0" w:firstLineChars="0"/>
              <w:jc w:val="center"/>
              <w:rPr>
                <w:rFonts w:hint="eastAsia" w:ascii="宋体" w:hAnsi="宋体" w:eastAsia="宋体" w:cs="宋体"/>
                <w:color w:val="auto"/>
              </w:rPr>
            </w:pPr>
          </w:p>
        </w:tc>
        <w:tc>
          <w:tcPr>
            <w:tcW w:w="1119" w:type="dxa"/>
            <w:vMerge w:val="continue"/>
            <w:noWrap w:val="0"/>
            <w:vAlign w:val="center"/>
          </w:tcPr>
          <w:p w14:paraId="7CB83A53">
            <w:pPr>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asciiTheme="minorEastAsia" w:hAnsiTheme="minorEastAsia" w:eastAsiaTheme="minorEastAsia" w:cstheme="minorEastAsia"/>
                <w:color w:val="auto"/>
                <w:kern w:val="0"/>
                <w:sz w:val="24"/>
                <w:szCs w:val="24"/>
                <w:lang w:val="en-US" w:eastAsia="zh-CN" w:bidi="ar-SA"/>
              </w:rPr>
            </w:pPr>
          </w:p>
        </w:tc>
        <w:tc>
          <w:tcPr>
            <w:tcW w:w="873" w:type="dxa"/>
            <w:noWrap w:val="0"/>
            <w:vAlign w:val="center"/>
          </w:tcPr>
          <w:p w14:paraId="4907D285">
            <w:pPr>
              <w:widowControl w:val="0"/>
              <w:spacing w:line="400" w:lineRule="exact"/>
              <w:ind w:firstLine="199" w:firstLineChars="83"/>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10</w:t>
            </w:r>
          </w:p>
        </w:tc>
        <w:tc>
          <w:tcPr>
            <w:tcW w:w="5258" w:type="dxa"/>
            <w:noWrap w:val="0"/>
            <w:vAlign w:val="center"/>
          </w:tcPr>
          <w:p w14:paraId="615BAE27">
            <w:pPr>
              <w:numPr>
                <w:ilvl w:val="0"/>
                <w:numId w:val="0"/>
              </w:numPr>
              <w:spacing w:line="320" w:lineRule="exact"/>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本次防治药物8%高效氯氰菊酯微囊悬浮剂、</w:t>
            </w:r>
            <w:r>
              <w:rPr>
                <w:rFonts w:hint="eastAsia" w:ascii="宋体" w:hAnsi="宋体" w:cs="宋体"/>
                <w:color w:val="auto"/>
                <w:szCs w:val="28"/>
                <w:lang w:val="en-US" w:eastAsia="zh-CN"/>
              </w:rPr>
              <w:t>甲维虫酰肼悬浮剂</w:t>
            </w:r>
            <w:r>
              <w:rPr>
                <w:rFonts w:hint="eastAsia" w:ascii="宋体" w:hAnsi="宋体" w:cs="宋体"/>
                <w:color w:val="auto"/>
                <w:sz w:val="21"/>
                <w:szCs w:val="21"/>
                <w:lang w:val="en-US" w:eastAsia="zh-CN"/>
              </w:rPr>
              <w:t>能提供农药三证的得10分，未提供不得分。</w:t>
            </w:r>
          </w:p>
        </w:tc>
        <w:tc>
          <w:tcPr>
            <w:tcW w:w="1513" w:type="dxa"/>
            <w:noWrap w:val="0"/>
            <w:vAlign w:val="center"/>
          </w:tcPr>
          <w:p w14:paraId="4D6AF2C8">
            <w:pPr>
              <w:numPr>
                <w:ilvl w:val="0"/>
                <w:numId w:val="0"/>
              </w:numPr>
              <w:spacing w:line="32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需提供农药登记证、农药生产许可证和农药产品标准证复印件并加盖供应商公章</w:t>
            </w:r>
          </w:p>
        </w:tc>
      </w:tr>
    </w:tbl>
    <w:p w14:paraId="74C01632">
      <w:pPr>
        <w:spacing w:line="360" w:lineRule="auto"/>
        <w:ind w:firstLine="480" w:firstLineChars="200"/>
        <w:rPr>
          <w:rFonts w:hint="eastAsia" w:asciiTheme="minorEastAsia" w:hAnsiTheme="minorEastAsia" w:eastAsiaTheme="minorEastAsia" w:cstheme="minorEastAsia"/>
          <w:color w:val="auto"/>
          <w:sz w:val="24"/>
          <w:szCs w:val="24"/>
        </w:rPr>
      </w:pPr>
    </w:p>
    <w:p w14:paraId="11690AED">
      <w:pPr>
        <w:spacing w:line="360" w:lineRule="auto"/>
        <w:rPr>
          <w:rFonts w:hint="eastAsia" w:asciiTheme="minorEastAsia" w:hAnsiTheme="minorEastAsia" w:eastAsiaTheme="minorEastAsia" w:cstheme="minorEastAsia"/>
          <w:color w:val="auto"/>
          <w:sz w:val="24"/>
          <w:szCs w:val="24"/>
        </w:rPr>
      </w:pPr>
    </w:p>
    <w:p w14:paraId="02062A3A">
      <w:pPr>
        <w:pStyle w:val="5"/>
        <w:pageBreakBefore w:val="0"/>
        <w:kinsoku/>
        <w:overflowPunct/>
        <w:topLinePunct w:val="0"/>
        <w:autoSpaceDE/>
        <w:autoSpaceDN/>
        <w:bidi w:val="0"/>
        <w:snapToGrid w:val="0"/>
        <w:spacing w:before="0" w:after="0" w:line="360" w:lineRule="auto"/>
        <w:rPr>
          <w:rFonts w:hint="eastAsia" w:ascii="宋体" w:hAnsi="宋体" w:eastAsia="宋体" w:cs="宋体"/>
          <w:color w:val="auto"/>
          <w:sz w:val="24"/>
          <w:szCs w:val="24"/>
        </w:rPr>
      </w:pPr>
      <w:bookmarkStart w:id="69" w:name="_Toc17078"/>
      <w:bookmarkEnd w:id="69"/>
      <w:bookmarkStart w:id="70" w:name="_Toc6070"/>
      <w:bookmarkEnd w:id="70"/>
      <w:r>
        <w:rPr>
          <w:rFonts w:hint="eastAsia" w:ascii="宋体" w:hAnsi="宋体" w:eastAsia="宋体" w:cs="宋体"/>
          <w:color w:val="auto"/>
          <w:sz w:val="24"/>
          <w:szCs w:val="24"/>
        </w:rPr>
        <w:t>三、无效响应</w:t>
      </w:r>
    </w:p>
    <w:p w14:paraId="1AB3F600">
      <w:pPr>
        <w:snapToGrid w:val="0"/>
        <w:spacing w:line="400" w:lineRule="exact"/>
        <w:ind w:firstLine="46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2114F765">
      <w:pPr>
        <w:snapToGrid w:val="0"/>
        <w:spacing w:line="400" w:lineRule="exact"/>
        <w:ind w:firstLine="46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供应商不符合规定的资格条件的；</w:t>
      </w:r>
    </w:p>
    <w:p w14:paraId="22867A00">
      <w:pPr>
        <w:snapToGrid w:val="0"/>
        <w:spacing w:line="400" w:lineRule="exact"/>
        <w:ind w:firstLine="465"/>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（二）供应商不符合规定的符合性检查条件的；</w:t>
      </w:r>
    </w:p>
    <w:p w14:paraId="2B554732">
      <w:pPr>
        <w:snapToGrid w:val="0"/>
        <w:spacing w:line="400" w:lineRule="exact"/>
        <w:ind w:firstLine="46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）供应商的法定代表人（或其授权代表）或自然人未参加磋商；</w:t>
      </w:r>
    </w:p>
    <w:p w14:paraId="6E6BB5DF">
      <w:pPr>
        <w:snapToGrid w:val="0"/>
        <w:spacing w:line="400" w:lineRule="exact"/>
        <w:ind w:firstLine="46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（四）供应商未按照竞争性磋商文件的要求缴纳磋商保证金；</w:t>
      </w:r>
    </w:p>
    <w:p w14:paraId="0E0026B0">
      <w:pPr>
        <w:snapToGrid w:val="0"/>
        <w:spacing w:line="400" w:lineRule="exact"/>
        <w:ind w:firstLine="46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）供应商所提交的响应文件不按“第七篇响应文件编制要求”要求签署或盖章；</w:t>
      </w:r>
    </w:p>
    <w:p w14:paraId="50B63F6B">
      <w:pPr>
        <w:snapToGrid w:val="0"/>
        <w:spacing w:line="400" w:lineRule="exact"/>
        <w:ind w:firstLine="46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）供应商的最后报价超过采购预算或最高限价的；</w:t>
      </w:r>
    </w:p>
    <w:p w14:paraId="20A30887">
      <w:pPr>
        <w:snapToGrid w:val="0"/>
        <w:spacing w:line="400" w:lineRule="exact"/>
        <w:ind w:firstLine="46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）单位负责人为同一人或者存在直接控股、管理关系的不同供应商，参加同一合同项下的政府采购活动的；</w:t>
      </w:r>
    </w:p>
    <w:p w14:paraId="328AA505">
      <w:pPr>
        <w:snapToGrid w:val="0"/>
        <w:spacing w:line="400" w:lineRule="exact"/>
        <w:ind w:firstLine="46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）为采购项目提供整体设计、规范编制或者项目管理、监理、检测等服务的供应商，再参加该采购项目的其他采购活动；</w:t>
      </w:r>
    </w:p>
    <w:p w14:paraId="564E3DEC">
      <w:pPr>
        <w:snapToGrid w:val="0"/>
        <w:spacing w:line="400" w:lineRule="exact"/>
        <w:ind w:firstLine="46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）供应商磋商有效期不满足竞争性磋商文件要求的；</w:t>
      </w:r>
    </w:p>
    <w:p w14:paraId="5DE141AD">
      <w:pPr>
        <w:snapToGrid w:val="0"/>
        <w:spacing w:line="400" w:lineRule="exact"/>
        <w:ind w:firstLine="46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）供应商响应文件内容有与国家现行法律法规相违背的内容，或附有采购人无法接受的条件；</w:t>
      </w:r>
    </w:p>
    <w:p w14:paraId="2D723518">
      <w:pPr>
        <w:snapToGrid w:val="0"/>
        <w:spacing w:line="400" w:lineRule="exact"/>
        <w:ind w:firstLine="46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）法律、法规和竞争性磋商文件规定的其他无效情形。</w:t>
      </w:r>
    </w:p>
    <w:p w14:paraId="3D479E8F">
      <w:pPr>
        <w:pStyle w:val="5"/>
        <w:keepNext w:val="0"/>
        <w:keepLines w:val="0"/>
        <w:pageBreakBefore w:val="0"/>
        <w:widowControl w:val="0"/>
        <w:kinsoku/>
        <w:wordWrap/>
        <w:overflowPunct/>
        <w:topLinePunct w:val="0"/>
        <w:autoSpaceDE/>
        <w:autoSpaceDN/>
        <w:bidi w:val="0"/>
        <w:adjustRightInd/>
        <w:snapToGrid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四、采购终止</w:t>
      </w:r>
    </w:p>
    <w:p w14:paraId="6BE27B22">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出现下列情形之一的，采购人应当终止本次采购活动，发布项目终止公告并说明原因，重新开展采购活动：</w:t>
      </w:r>
    </w:p>
    <w:p w14:paraId="02B42965">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1.供应商报价均超过采购预算，采购人不能支付的。</w:t>
      </w:r>
    </w:p>
    <w:p w14:paraId="3DCAED45">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6A8A3DC6">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3.因重大变故，采购任务取消的。</w:t>
      </w:r>
    </w:p>
    <w:p w14:paraId="187BF2ED">
      <w:pPr>
        <w:pageBreakBefore w:val="0"/>
        <w:kinsoku/>
        <w:overflowPunct/>
        <w:topLinePunct w:val="0"/>
        <w:autoSpaceDE/>
        <w:autoSpaceDN/>
        <w:bidi w:val="0"/>
        <w:spacing w:line="560" w:lineRule="exact"/>
        <w:rPr>
          <w:rFonts w:hint="eastAsia" w:ascii="宋体" w:hAnsi="宋体" w:eastAsia="宋体" w:cs="宋体"/>
          <w:color w:val="auto"/>
          <w:sz w:val="24"/>
          <w:szCs w:val="24"/>
        </w:rPr>
      </w:pPr>
    </w:p>
    <w:p w14:paraId="3BB156A2">
      <w:pPr>
        <w:pStyle w:val="9"/>
        <w:rPr>
          <w:rFonts w:hint="eastAsia" w:ascii="宋体" w:hAnsi="宋体" w:eastAsia="宋体" w:cs="宋体"/>
          <w:color w:val="auto"/>
          <w:sz w:val="24"/>
          <w:szCs w:val="24"/>
        </w:rPr>
      </w:pPr>
    </w:p>
    <w:p w14:paraId="6CDFA257">
      <w:pPr>
        <w:rPr>
          <w:rFonts w:hint="eastAsia" w:ascii="宋体" w:hAnsi="宋体" w:eastAsia="宋体" w:cs="宋体"/>
          <w:color w:val="auto"/>
          <w:sz w:val="24"/>
          <w:szCs w:val="24"/>
        </w:rPr>
      </w:pPr>
    </w:p>
    <w:p w14:paraId="6A78833C">
      <w:pPr>
        <w:rPr>
          <w:rFonts w:hint="eastAsia" w:ascii="宋体" w:hAnsi="宋体" w:eastAsia="宋体" w:cs="宋体"/>
          <w:color w:val="auto"/>
          <w:sz w:val="24"/>
          <w:szCs w:val="24"/>
        </w:rPr>
      </w:pPr>
    </w:p>
    <w:p w14:paraId="6077CEDA">
      <w:pPr>
        <w:rPr>
          <w:rFonts w:hint="eastAsia" w:ascii="宋体" w:hAnsi="宋体" w:eastAsia="宋体" w:cs="宋体"/>
          <w:color w:val="auto"/>
          <w:sz w:val="24"/>
          <w:szCs w:val="24"/>
        </w:rPr>
      </w:pPr>
    </w:p>
    <w:p w14:paraId="17F24C09">
      <w:pPr>
        <w:rPr>
          <w:rFonts w:hint="eastAsia" w:ascii="宋体" w:hAnsi="宋体" w:eastAsia="宋体" w:cs="宋体"/>
          <w:color w:val="auto"/>
          <w:sz w:val="24"/>
          <w:szCs w:val="24"/>
        </w:rPr>
      </w:pPr>
    </w:p>
    <w:p w14:paraId="598487B3">
      <w:pPr>
        <w:rPr>
          <w:rFonts w:hint="eastAsia" w:ascii="宋体" w:hAnsi="宋体" w:eastAsia="宋体" w:cs="宋体"/>
          <w:color w:val="auto"/>
          <w:sz w:val="24"/>
          <w:szCs w:val="24"/>
        </w:rPr>
      </w:pPr>
    </w:p>
    <w:p w14:paraId="255E5BA8">
      <w:pPr>
        <w:rPr>
          <w:rFonts w:hint="eastAsia" w:ascii="宋体" w:hAnsi="宋体" w:eastAsia="宋体" w:cs="宋体"/>
          <w:color w:val="auto"/>
          <w:sz w:val="24"/>
          <w:szCs w:val="24"/>
        </w:rPr>
      </w:pPr>
    </w:p>
    <w:p w14:paraId="2256C746">
      <w:pPr>
        <w:rPr>
          <w:rFonts w:hint="eastAsia" w:ascii="宋体" w:hAnsi="宋体" w:eastAsia="宋体" w:cs="宋体"/>
          <w:color w:val="auto"/>
          <w:sz w:val="24"/>
          <w:szCs w:val="24"/>
        </w:rPr>
      </w:pPr>
    </w:p>
    <w:bookmarkEnd w:id="60"/>
    <w:bookmarkEnd w:id="61"/>
    <w:bookmarkEnd w:id="62"/>
    <w:p w14:paraId="69468179">
      <w:pPr>
        <w:pStyle w:val="27"/>
        <w:ind w:firstLine="2891" w:firstLineChars="800"/>
        <w:jc w:val="both"/>
        <w:rPr>
          <w:rFonts w:hint="eastAsia" w:ascii="仿宋" w:hAnsi="仿宋" w:eastAsia="仿宋" w:cs="仿宋"/>
          <w:b/>
          <w:bCs/>
          <w:color w:val="auto"/>
          <w:sz w:val="36"/>
          <w:szCs w:val="36"/>
        </w:rPr>
      </w:pPr>
    </w:p>
    <w:p w14:paraId="6E51A5B0">
      <w:pPr>
        <w:pStyle w:val="27"/>
        <w:ind w:firstLine="2891" w:firstLineChars="800"/>
        <w:jc w:val="both"/>
        <w:rPr>
          <w:rFonts w:hint="eastAsia" w:ascii="仿宋" w:hAnsi="仿宋" w:eastAsia="仿宋" w:cs="仿宋"/>
          <w:b/>
          <w:bCs/>
          <w:color w:val="auto"/>
          <w:sz w:val="36"/>
          <w:szCs w:val="36"/>
        </w:rPr>
      </w:pPr>
    </w:p>
    <w:p w14:paraId="72970067">
      <w:pPr>
        <w:pStyle w:val="27"/>
        <w:ind w:firstLine="2891" w:firstLineChars="800"/>
        <w:jc w:val="both"/>
        <w:rPr>
          <w:rFonts w:hint="eastAsia" w:ascii="仿宋" w:hAnsi="仿宋" w:eastAsia="仿宋" w:cs="仿宋"/>
          <w:b/>
          <w:bCs/>
          <w:color w:val="auto"/>
          <w:sz w:val="36"/>
          <w:szCs w:val="36"/>
        </w:rPr>
      </w:pPr>
    </w:p>
    <w:p w14:paraId="34F1B383">
      <w:pPr>
        <w:pStyle w:val="27"/>
        <w:ind w:firstLine="2891" w:firstLineChars="800"/>
        <w:jc w:val="both"/>
        <w:rPr>
          <w:rFonts w:hint="eastAsia" w:ascii="仿宋" w:hAnsi="仿宋" w:eastAsia="仿宋" w:cs="仿宋"/>
          <w:b/>
          <w:bCs/>
          <w:color w:val="auto"/>
          <w:sz w:val="36"/>
          <w:szCs w:val="36"/>
        </w:rPr>
      </w:pPr>
    </w:p>
    <w:p w14:paraId="4CFDC504">
      <w:pPr>
        <w:pStyle w:val="27"/>
        <w:ind w:firstLine="2891" w:firstLineChars="800"/>
        <w:jc w:val="both"/>
        <w:rPr>
          <w:rFonts w:ascii="仿宋" w:hAnsi="仿宋" w:eastAsia="仿宋" w:cs="仿宋"/>
          <w:b/>
          <w:bCs/>
          <w:color w:val="auto"/>
          <w:sz w:val="36"/>
          <w:szCs w:val="36"/>
        </w:rPr>
      </w:pPr>
      <w:r>
        <w:rPr>
          <w:rFonts w:hint="eastAsia" w:ascii="仿宋" w:hAnsi="仿宋" w:eastAsia="仿宋" w:cs="仿宋"/>
          <w:b/>
          <w:bCs/>
          <w:color w:val="auto"/>
          <w:sz w:val="36"/>
          <w:szCs w:val="36"/>
        </w:rPr>
        <w:t>第五篇  供应商须知</w:t>
      </w:r>
    </w:p>
    <w:p w14:paraId="63F9FC15">
      <w:pPr>
        <w:pStyle w:val="3"/>
        <w:spacing w:before="0" w:after="0" w:line="360" w:lineRule="auto"/>
        <w:rPr>
          <w:rFonts w:hint="eastAsia" w:asciiTheme="minorEastAsia" w:hAnsiTheme="minorEastAsia" w:eastAsiaTheme="minorEastAsia" w:cstheme="minorEastAsia"/>
          <w:color w:val="auto"/>
          <w:sz w:val="24"/>
          <w:szCs w:val="24"/>
        </w:rPr>
      </w:pPr>
      <w:bookmarkStart w:id="71" w:name="_Toc76462338"/>
      <w:bookmarkEnd w:id="71"/>
      <w:bookmarkStart w:id="72" w:name="_Toc106030893"/>
      <w:bookmarkEnd w:id="72"/>
      <w:bookmarkStart w:id="73" w:name="_Toc342913389"/>
      <w:bookmarkEnd w:id="73"/>
      <w:bookmarkStart w:id="74" w:name="_Toc19973"/>
      <w:bookmarkStart w:id="75" w:name="_Toc19166"/>
      <w:bookmarkStart w:id="76" w:name="_Toc14176"/>
      <w:r>
        <w:rPr>
          <w:rFonts w:hint="eastAsia" w:asciiTheme="minorEastAsia" w:hAnsiTheme="minorEastAsia" w:eastAsiaTheme="minorEastAsia" w:cstheme="minorEastAsia"/>
          <w:color w:val="auto"/>
          <w:sz w:val="24"/>
          <w:szCs w:val="24"/>
        </w:rPr>
        <w:t>一、磋商费用</w:t>
      </w:r>
      <w:bookmarkEnd w:id="74"/>
      <w:bookmarkEnd w:id="75"/>
      <w:bookmarkEnd w:id="76"/>
    </w:p>
    <w:p w14:paraId="2686752A">
      <w:pPr>
        <w:pStyle w:val="4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参与磋商的供应商应承担其编制响应文件与递交响应文件所涉及的一切费用，不论磋商结果如何，采购人和采购代理机构在任何情况下无义务也无责任承担这些费用。</w:t>
      </w:r>
    </w:p>
    <w:p w14:paraId="027572DF">
      <w:pPr>
        <w:pStyle w:val="3"/>
        <w:tabs>
          <w:tab w:val="left" w:pos="2640"/>
        </w:tabs>
        <w:spacing w:before="0" w:after="0" w:line="360" w:lineRule="auto"/>
        <w:rPr>
          <w:rFonts w:hint="eastAsia" w:asciiTheme="minorEastAsia" w:hAnsiTheme="minorEastAsia" w:eastAsiaTheme="minorEastAsia" w:cstheme="minorEastAsia"/>
          <w:color w:val="auto"/>
          <w:sz w:val="24"/>
          <w:szCs w:val="24"/>
        </w:rPr>
      </w:pPr>
      <w:bookmarkStart w:id="77" w:name="_Toc342913391"/>
      <w:bookmarkStart w:id="78" w:name="_Toc8101"/>
      <w:bookmarkStart w:id="79" w:name="_Toc6399"/>
      <w:bookmarkStart w:id="80" w:name="_Toc322"/>
      <w:r>
        <w:rPr>
          <w:rFonts w:hint="eastAsia" w:asciiTheme="minorEastAsia" w:hAnsiTheme="minorEastAsia" w:eastAsiaTheme="minorEastAsia" w:cstheme="minorEastAsia"/>
          <w:color w:val="auto"/>
          <w:sz w:val="24"/>
          <w:szCs w:val="24"/>
        </w:rPr>
        <w:t>二、竞争性磋商文件</w:t>
      </w:r>
      <w:bookmarkEnd w:id="77"/>
      <w:bookmarkEnd w:id="78"/>
      <w:bookmarkEnd w:id="79"/>
      <w:bookmarkEnd w:id="80"/>
    </w:p>
    <w:p w14:paraId="16A28DA2">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（一）竞争性磋商文件由采购邀请书、</w:t>
      </w:r>
      <w:r>
        <w:rPr>
          <w:rFonts w:hint="eastAsia" w:asciiTheme="minorEastAsia" w:hAnsiTheme="minorEastAsia" w:eastAsiaTheme="minorEastAsia" w:cstheme="minorEastAsia"/>
          <w:color w:val="auto"/>
          <w:sz w:val="24"/>
          <w:szCs w:val="24"/>
          <w:lang w:val="en-US" w:eastAsia="zh-CN"/>
        </w:rPr>
        <w:t>项目服务</w:t>
      </w:r>
      <w:r>
        <w:rPr>
          <w:rFonts w:hint="eastAsia" w:asciiTheme="minorEastAsia" w:hAnsiTheme="minorEastAsia" w:eastAsiaTheme="minorEastAsia" w:cstheme="minorEastAsia"/>
          <w:color w:val="auto"/>
          <w:sz w:val="24"/>
          <w:szCs w:val="24"/>
        </w:rPr>
        <w:t>需求、</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商务需求、磋商程序及方法和评审标准、无效响应和采购终止</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供应商须知、采购合同、响应文件编制要求七部分组成。</w:t>
      </w:r>
    </w:p>
    <w:p w14:paraId="2627D7FB">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（二）采购人（或采购代理机构）所作的一切有效的书面通知、修改及补充，都是竞争性磋商文件不可分割的部分。</w:t>
      </w:r>
    </w:p>
    <w:p w14:paraId="320FADAD">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w:t>
      </w:r>
      <w:bookmarkStart w:id="81" w:name="_Toc318166429"/>
      <w:bookmarkStart w:id="82" w:name="_Toc318159780"/>
      <w:bookmarkStart w:id="83" w:name="_Toc318159160"/>
      <w:bookmarkStart w:id="84" w:name="_Toc318159349"/>
      <w:r>
        <w:rPr>
          <w:rFonts w:hint="eastAsia" w:asciiTheme="minorEastAsia" w:hAnsiTheme="minorEastAsia" w:eastAsiaTheme="minorEastAsia" w:cstheme="minorEastAsia"/>
          <w:color w:val="auto"/>
          <w:sz w:val="24"/>
          <w:szCs w:val="24"/>
        </w:rPr>
        <w:t>本竞争性磋商文件中，磋商小组根据与供应商进行磋商可能实质性变动的内容为竞争性磋商文件第二、三、六篇全部内容。</w:t>
      </w:r>
    </w:p>
    <w:p w14:paraId="109B6534">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（四）评审的依据为竞争性磋商文件和响应文件（含有效的书面承诺）。磋商小组判断响应文件对竞争性磋商文件的响应，仅基于响应文件本身而不靠外部证据。</w:t>
      </w:r>
    </w:p>
    <w:bookmarkEnd w:id="81"/>
    <w:bookmarkEnd w:id="82"/>
    <w:bookmarkEnd w:id="83"/>
    <w:bookmarkEnd w:id="84"/>
    <w:p w14:paraId="708405AA">
      <w:pPr>
        <w:pStyle w:val="3"/>
        <w:spacing w:before="0" w:after="0" w:line="360" w:lineRule="auto"/>
        <w:rPr>
          <w:rFonts w:hint="eastAsia" w:asciiTheme="minorEastAsia" w:hAnsiTheme="minorEastAsia" w:eastAsiaTheme="minorEastAsia" w:cstheme="minorEastAsia"/>
          <w:color w:val="auto"/>
          <w:sz w:val="24"/>
          <w:szCs w:val="24"/>
        </w:rPr>
      </w:pPr>
      <w:bookmarkStart w:id="85" w:name="_Toc179714297"/>
      <w:bookmarkStart w:id="86" w:name="_Toc21131"/>
      <w:bookmarkStart w:id="87" w:name="_Toc15409"/>
      <w:bookmarkStart w:id="88" w:name="_Toc342913392"/>
      <w:bookmarkStart w:id="89" w:name="_Toc3021"/>
      <w:bookmarkStart w:id="90" w:name="_Toc102227318"/>
      <w:r>
        <w:rPr>
          <w:rFonts w:hint="eastAsia" w:asciiTheme="minorEastAsia" w:hAnsiTheme="minorEastAsia" w:eastAsiaTheme="minorEastAsia" w:cstheme="minorEastAsia"/>
          <w:color w:val="auto"/>
          <w:sz w:val="24"/>
          <w:szCs w:val="24"/>
        </w:rPr>
        <w:t>三、磋商要求</w:t>
      </w:r>
      <w:bookmarkEnd w:id="85"/>
      <w:bookmarkEnd w:id="86"/>
      <w:bookmarkEnd w:id="87"/>
      <w:bookmarkEnd w:id="88"/>
      <w:bookmarkEnd w:id="89"/>
      <w:bookmarkEnd w:id="90"/>
    </w:p>
    <w:p w14:paraId="364351A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（一）响应文件</w:t>
      </w:r>
    </w:p>
    <w:p w14:paraId="328CF416">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7BE48541">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2.响应文件组成</w:t>
      </w:r>
    </w:p>
    <w:p w14:paraId="63D2863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01606C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（二）联合体</w:t>
      </w:r>
    </w:p>
    <w:p w14:paraId="77F92C1D">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本项目不接受联合体投标。</w:t>
      </w:r>
    </w:p>
    <w:p w14:paraId="77A533A1">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（三）磋商有效期：响应文件及有关承诺文件有效期为提交响应文件截止时间起90天。</w:t>
      </w:r>
    </w:p>
    <w:p w14:paraId="56BFC2F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）修正错误</w:t>
      </w:r>
    </w:p>
    <w:p w14:paraId="451C1D1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1.若供应商所递交的响应文件或最后报价中的价格出现大写金额和小写金额不一致的错误，以大写金额修正为准。</w:t>
      </w:r>
    </w:p>
    <w:p w14:paraId="6F78F20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5DEF4C1B">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）提交响应文件的份数和签署</w:t>
      </w:r>
    </w:p>
    <w:p w14:paraId="535CDB8E">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D805353">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2.响应文件按竞争性磋商文件“第七篇响应文件编制要求”要求签署或盖章。</w:t>
      </w:r>
    </w:p>
    <w:p w14:paraId="7FA963CC">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）响应文件的递交</w:t>
      </w:r>
    </w:p>
    <w:p w14:paraId="137C9391">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的正本、副本以及电子文档均应密封送达磋商地点，应在封套上注明磋商项目名称、供应商名称。若正本、副本以及电子文档分别进行密封的，还应在封套上注明“正本”、“副本”、“电子文档”字样。</w:t>
      </w:r>
    </w:p>
    <w:p w14:paraId="21561DD8">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）供应商参与人员</w:t>
      </w:r>
    </w:p>
    <w:p w14:paraId="56FA0C7A">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各个供应商应当派1-2名代表参与磋商，至少1人应为法定代表人或具有法定代表人授权委托书的授权代表。</w:t>
      </w:r>
      <w:r>
        <w:rPr>
          <w:rFonts w:hint="eastAsia" w:asciiTheme="minorEastAsia" w:hAnsiTheme="minorEastAsia" w:eastAsiaTheme="minorEastAsia" w:cstheme="minorEastAsia"/>
          <w:b/>
          <w:bCs/>
          <w:color w:val="auto"/>
          <w:sz w:val="24"/>
          <w:szCs w:val="24"/>
        </w:rPr>
        <w:t>供应商法定代表人或授权代表应随身携带本人身份证原件。</w:t>
      </w:r>
    </w:p>
    <w:p w14:paraId="1D9CF930">
      <w:pPr>
        <w:pStyle w:val="3"/>
        <w:spacing w:before="0" w:after="0" w:line="360" w:lineRule="auto"/>
        <w:rPr>
          <w:rFonts w:hint="eastAsia" w:asciiTheme="minorEastAsia" w:hAnsiTheme="minorEastAsia" w:eastAsiaTheme="minorEastAsia" w:cstheme="minorEastAsia"/>
          <w:color w:val="auto"/>
          <w:sz w:val="24"/>
          <w:szCs w:val="24"/>
        </w:rPr>
      </w:pPr>
      <w:bookmarkStart w:id="91" w:name="_Toc534"/>
      <w:bookmarkStart w:id="92" w:name="_Toc8929"/>
      <w:bookmarkStart w:id="93" w:name="_Toc19673"/>
      <w:r>
        <w:rPr>
          <w:rFonts w:hint="eastAsia" w:asciiTheme="minorEastAsia" w:hAnsiTheme="minorEastAsia" w:eastAsiaTheme="minorEastAsia" w:cstheme="minorEastAsia"/>
          <w:color w:val="auto"/>
          <w:sz w:val="24"/>
          <w:szCs w:val="24"/>
        </w:rPr>
        <w:t>四、成交供应商的确认和变更</w:t>
      </w:r>
      <w:bookmarkEnd w:id="91"/>
      <w:bookmarkEnd w:id="92"/>
      <w:bookmarkEnd w:id="93"/>
    </w:p>
    <w:p w14:paraId="26BA1065">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（一）成交供应商的确认</w:t>
      </w:r>
    </w:p>
    <w:p w14:paraId="660C12CD">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F74CBDD">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（二）成交供应商的变更</w:t>
      </w:r>
    </w:p>
    <w:p w14:paraId="504C2471">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成交供应商拒绝与采购人签订合同的，采购人可以按照评标报告推荐的成交候选供应商顺序，确定排名下一位的候选人为成交供应商，也可以重新开展采购活动。</w:t>
      </w:r>
    </w:p>
    <w:p w14:paraId="3E744676">
      <w:pPr>
        <w:pStyle w:val="3"/>
        <w:spacing w:before="0" w:after="0" w:line="360" w:lineRule="auto"/>
        <w:rPr>
          <w:rFonts w:hint="eastAsia" w:asciiTheme="minorEastAsia" w:hAnsiTheme="minorEastAsia" w:eastAsiaTheme="minorEastAsia" w:cstheme="minorEastAsia"/>
          <w:color w:val="auto"/>
          <w:sz w:val="24"/>
          <w:szCs w:val="24"/>
        </w:rPr>
      </w:pPr>
      <w:bookmarkStart w:id="94" w:name="_Toc12816"/>
      <w:bookmarkStart w:id="95" w:name="_Toc5564"/>
      <w:bookmarkStart w:id="96" w:name="_Toc102227321"/>
      <w:bookmarkStart w:id="97" w:name="_Toc809"/>
      <w:bookmarkStart w:id="98" w:name="_Toc342913395"/>
      <w:r>
        <w:rPr>
          <w:rFonts w:hint="eastAsia" w:asciiTheme="minorEastAsia" w:hAnsiTheme="minorEastAsia" w:eastAsiaTheme="minorEastAsia" w:cstheme="minorEastAsia"/>
          <w:color w:val="auto"/>
          <w:sz w:val="24"/>
          <w:szCs w:val="24"/>
        </w:rPr>
        <w:t>五、成交通知</w:t>
      </w:r>
      <w:bookmarkEnd w:id="94"/>
      <w:bookmarkEnd w:id="95"/>
      <w:bookmarkEnd w:id="96"/>
      <w:bookmarkEnd w:id="97"/>
      <w:bookmarkEnd w:id="98"/>
    </w:p>
    <w:p w14:paraId="32806964">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（一）成交供应商确定后，采购代理机构将在</w:t>
      </w:r>
      <w:r>
        <w:rPr>
          <w:rFonts w:hint="eastAsia" w:asciiTheme="minorEastAsia" w:hAnsiTheme="minorEastAsia" w:eastAsiaTheme="minorEastAsia" w:cstheme="minorEastAsia"/>
          <w:color w:val="auto"/>
          <w:sz w:val="24"/>
          <w:szCs w:val="24"/>
          <w:lang w:eastAsia="zh-CN"/>
        </w:rPr>
        <w:t>行采家（https://www.gec123.com/）</w:t>
      </w:r>
      <w:r>
        <w:rPr>
          <w:rFonts w:hint="eastAsia" w:asciiTheme="minorEastAsia" w:hAnsiTheme="minorEastAsia" w:eastAsiaTheme="minorEastAsia" w:cstheme="minorEastAsia"/>
          <w:color w:val="auto"/>
          <w:sz w:val="24"/>
          <w:szCs w:val="24"/>
        </w:rPr>
        <w:t>上发布成交结果公告。</w:t>
      </w:r>
    </w:p>
    <w:p w14:paraId="2B9337F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（二）结果公告发出同时，采购代理机构将以书面形式发出《成交通知书》。《成交通知书》一经发出即发生法律效力。</w:t>
      </w:r>
    </w:p>
    <w:p w14:paraId="6ACB31F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（三）《成交通知书》将作为签订合同的依据。</w:t>
      </w:r>
    </w:p>
    <w:p w14:paraId="5CA8C3C4">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（四）如有供应商对成交结果提出质疑的，在质疑处理完毕后发出成交通知书。</w:t>
      </w:r>
    </w:p>
    <w:p w14:paraId="77E47296">
      <w:pPr>
        <w:pStyle w:val="3"/>
        <w:spacing w:before="0" w:after="0" w:line="360" w:lineRule="auto"/>
        <w:rPr>
          <w:rFonts w:hint="eastAsia" w:asciiTheme="minorEastAsia" w:hAnsiTheme="minorEastAsia" w:eastAsiaTheme="minorEastAsia" w:cstheme="minorEastAsia"/>
          <w:color w:val="auto"/>
          <w:sz w:val="24"/>
          <w:szCs w:val="24"/>
        </w:rPr>
      </w:pPr>
      <w:bookmarkStart w:id="99" w:name="_Toc11470"/>
      <w:bookmarkStart w:id="100" w:name="_Toc5583"/>
      <w:bookmarkStart w:id="101" w:name="_Toc16455"/>
      <w:r>
        <w:rPr>
          <w:rFonts w:hint="eastAsia" w:asciiTheme="minorEastAsia" w:hAnsiTheme="minorEastAsia" w:eastAsiaTheme="minorEastAsia" w:cstheme="minorEastAsia"/>
          <w:color w:val="auto"/>
          <w:sz w:val="24"/>
          <w:szCs w:val="24"/>
        </w:rPr>
        <w:t>六、关于质疑和投诉</w:t>
      </w:r>
      <w:bookmarkEnd w:id="99"/>
      <w:bookmarkEnd w:id="100"/>
      <w:bookmarkEnd w:id="101"/>
    </w:p>
    <w:p w14:paraId="6B2A16F1">
      <w:pPr>
        <w:spacing w:line="360" w:lineRule="auto"/>
        <w:ind w:firstLine="480" w:firstLineChars="200"/>
        <w:rPr>
          <w:rFonts w:hint="eastAsia" w:asciiTheme="minorEastAsia" w:hAnsiTheme="minorEastAsia" w:eastAsiaTheme="minorEastAsia" w:cstheme="minorEastAsia"/>
          <w:color w:val="auto"/>
          <w:sz w:val="24"/>
          <w:szCs w:val="24"/>
        </w:rPr>
      </w:pPr>
      <w:bookmarkStart w:id="102" w:name="_Hlk19207760"/>
      <w:r>
        <w:rPr>
          <w:rFonts w:hint="eastAsia" w:asciiTheme="minorEastAsia" w:hAnsiTheme="minorEastAsia" w:eastAsiaTheme="minorEastAsia" w:cstheme="minorEastAsia"/>
          <w:color w:val="auto"/>
          <w:sz w:val="24"/>
          <w:szCs w:val="24"/>
        </w:rPr>
        <w:t>（一）质疑</w:t>
      </w:r>
    </w:p>
    <w:p w14:paraId="5F13EABB">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1.供应商对成交结果有异议的，应当在结果公示发布之日起七个工作日内以书面形式向采购人、采购代理机构提出质疑，并附相关证明材料。</w:t>
      </w:r>
    </w:p>
    <w:p w14:paraId="65DD83B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2.供应商对采购文件中供应商特定资格条件、</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要求和商务要求、评审标准及评审细则有异议的，应主要向采购人提出质疑，其他问题可向采购代理机构提出质疑。</w:t>
      </w:r>
    </w:p>
    <w:p w14:paraId="231DC27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3.供应商应在法定质疑期内一次性对采购公告（含采购文件）、开标评审过程和中成交结果等程序环节提出质疑，否则不予受理。</w:t>
      </w:r>
    </w:p>
    <w:p w14:paraId="1C959A54">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（二）质疑答复</w:t>
      </w:r>
    </w:p>
    <w:p w14:paraId="7A33EE7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采购人、采购代理机构将按照相关规定对质疑内容作出答复和处理。</w:t>
      </w:r>
    </w:p>
    <w:p w14:paraId="7B2E1C0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（三）投诉</w:t>
      </w:r>
    </w:p>
    <w:p w14:paraId="5E9CF064">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1.供应商对采购人、采购代理机构的答复不满意，或者采购人、采购代理机构未在规定时间内答复的，可在答复期满后十五个工作日内按有关规定，向采购人监督管理部门投诉。</w:t>
      </w:r>
    </w:p>
    <w:p w14:paraId="76A33496">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2.在提出投诉时，应附送相关证明材料。投诉书及证明材料为外文的，应同时提供其中文译本；中文与外文意思不一致的，以中文为准。</w:t>
      </w:r>
    </w:p>
    <w:p w14:paraId="77B38746">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确定受理投诉后，采购人监督管理部门自受理投诉之日起三十个工作日内（进行调查取证或者组织质证时间除外）对投诉事项做出处理决定，并将投诉处理决定书送达投诉人、被投诉人和其他与投诉处理决定有利害关系的采购相关当事人。</w:t>
      </w:r>
      <w:bookmarkEnd w:id="102"/>
    </w:p>
    <w:p w14:paraId="54C93EE0">
      <w:pPr>
        <w:pStyle w:val="3"/>
        <w:spacing w:before="0" w:after="0" w:line="360" w:lineRule="auto"/>
        <w:rPr>
          <w:rFonts w:hint="eastAsia" w:asciiTheme="minorEastAsia" w:hAnsiTheme="minorEastAsia" w:eastAsiaTheme="minorEastAsia" w:cstheme="minorEastAsia"/>
          <w:color w:val="auto"/>
          <w:sz w:val="24"/>
          <w:szCs w:val="24"/>
        </w:rPr>
      </w:pPr>
      <w:bookmarkStart w:id="103" w:name="_Toc4867"/>
      <w:bookmarkStart w:id="104" w:name="_Toc12748"/>
      <w:bookmarkStart w:id="105" w:name="_Toc27459"/>
      <w:r>
        <w:rPr>
          <w:rFonts w:hint="eastAsia" w:asciiTheme="minorEastAsia" w:hAnsiTheme="minorEastAsia" w:eastAsiaTheme="minorEastAsia" w:cstheme="minorEastAsia"/>
          <w:color w:val="auto"/>
          <w:sz w:val="24"/>
          <w:szCs w:val="24"/>
        </w:rPr>
        <w:t>七、采购代理服务费</w:t>
      </w:r>
      <w:bookmarkEnd w:id="103"/>
      <w:bookmarkEnd w:id="104"/>
      <w:bookmarkEnd w:id="105"/>
    </w:p>
    <w:p w14:paraId="43C7F032">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106" w:name="_Toc463960518"/>
      <w:r>
        <w:rPr>
          <w:rFonts w:hint="eastAsia" w:asciiTheme="minorEastAsia" w:hAnsiTheme="minorEastAsia" w:eastAsiaTheme="minorEastAsia" w:cstheme="minorEastAsia"/>
          <w:color w:val="auto"/>
          <w:sz w:val="24"/>
          <w:szCs w:val="24"/>
        </w:rPr>
        <w:t>（一）本项目采购代理服务费由成交供应商支付，采购代理服务费按定额</w:t>
      </w:r>
      <w:r>
        <w:rPr>
          <w:rFonts w:hint="eastAsia" w:asciiTheme="minorEastAsia" w:hAnsiTheme="minorEastAsia" w:eastAsiaTheme="minorEastAsia" w:cstheme="minorEastAsia"/>
          <w:color w:val="auto"/>
          <w:sz w:val="24"/>
          <w:szCs w:val="24"/>
          <w:lang w:val="en-US" w:eastAsia="zh-CN"/>
        </w:rPr>
        <w:t>6750.00</w:t>
      </w:r>
      <w:r>
        <w:rPr>
          <w:rFonts w:hint="eastAsia" w:asciiTheme="minorEastAsia" w:hAnsiTheme="minorEastAsia" w:eastAsiaTheme="minorEastAsia" w:cstheme="minorEastAsia"/>
          <w:color w:val="auto"/>
          <w:sz w:val="24"/>
          <w:szCs w:val="24"/>
        </w:rPr>
        <w:t>元（大写：</w:t>
      </w:r>
      <w:r>
        <w:rPr>
          <w:rFonts w:hint="eastAsia" w:asciiTheme="minorEastAsia" w:hAnsiTheme="minorEastAsia" w:eastAsiaTheme="minorEastAsia" w:cstheme="minorEastAsia"/>
          <w:color w:val="auto"/>
          <w:sz w:val="24"/>
          <w:szCs w:val="24"/>
          <w:lang w:val="en-US" w:eastAsia="zh-CN"/>
        </w:rPr>
        <w:t>陆仟柒捌伍拾元整</w:t>
      </w:r>
      <w:r>
        <w:rPr>
          <w:rFonts w:hint="eastAsia" w:asciiTheme="minorEastAsia" w:hAnsiTheme="minorEastAsia" w:eastAsiaTheme="minorEastAsia" w:cstheme="minorEastAsia"/>
          <w:color w:val="auto"/>
          <w:sz w:val="24"/>
          <w:szCs w:val="24"/>
        </w:rPr>
        <w:t>）收取。</w:t>
      </w:r>
    </w:p>
    <w:bookmarkEnd w:id="106"/>
    <w:p w14:paraId="5F76459F">
      <w:pPr>
        <w:pStyle w:val="3"/>
        <w:spacing w:before="0" w:after="0" w:line="360" w:lineRule="auto"/>
        <w:rPr>
          <w:rFonts w:hint="eastAsia" w:asciiTheme="minorEastAsia" w:hAnsiTheme="minorEastAsia" w:eastAsiaTheme="minorEastAsia" w:cstheme="minorEastAsia"/>
          <w:color w:val="auto"/>
          <w:sz w:val="24"/>
          <w:szCs w:val="24"/>
        </w:rPr>
      </w:pPr>
      <w:bookmarkStart w:id="107" w:name="_Toc102227322"/>
      <w:bookmarkStart w:id="108" w:name="_Toc342913396"/>
      <w:bookmarkStart w:id="109" w:name="_Toc14790"/>
      <w:bookmarkStart w:id="110" w:name="_Toc3757"/>
      <w:bookmarkStart w:id="111" w:name="_Toc17399"/>
      <w:r>
        <w:rPr>
          <w:rFonts w:hint="eastAsia" w:asciiTheme="minorEastAsia" w:hAnsiTheme="minorEastAsia" w:eastAsiaTheme="minorEastAsia" w:cstheme="minorEastAsia"/>
          <w:color w:val="auto"/>
          <w:sz w:val="24"/>
          <w:szCs w:val="24"/>
        </w:rPr>
        <w:t>八、签订</w:t>
      </w:r>
      <w:bookmarkEnd w:id="107"/>
      <w:r>
        <w:rPr>
          <w:rFonts w:hint="eastAsia" w:asciiTheme="minorEastAsia" w:hAnsiTheme="minorEastAsia" w:eastAsiaTheme="minorEastAsia" w:cstheme="minorEastAsia"/>
          <w:color w:val="auto"/>
          <w:sz w:val="24"/>
          <w:szCs w:val="24"/>
        </w:rPr>
        <w:t>合同</w:t>
      </w:r>
      <w:bookmarkEnd w:id="108"/>
      <w:bookmarkEnd w:id="109"/>
      <w:bookmarkEnd w:id="110"/>
      <w:bookmarkEnd w:id="111"/>
    </w:p>
    <w:p w14:paraId="605B70E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（一）采购人应当自成交通知书发出之日起十日内，按照竞争性磋商文件和成交供应商响应文件的约定，与成交供应商签订书面合同。所签订的合同不得对竞争性磋商文件和供应商的响应文件作实质性修改。</w:t>
      </w:r>
    </w:p>
    <w:p w14:paraId="3B08C0F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（二）竞争性磋商文件、供应商的响应文件及澄清文件等，均为签订采购合同的依据。</w:t>
      </w:r>
    </w:p>
    <w:p w14:paraId="157C9C6A">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（三）合同生效条款由供需双方约定，法律、行政法规规定应当办理批准、登记等手续后生效的合同，依照其规定。</w:t>
      </w:r>
    </w:p>
    <w:p w14:paraId="03D48EBE">
      <w:pPr>
        <w:spacing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 w:val="24"/>
          <w:szCs w:val="24"/>
        </w:rPr>
        <w:t>（四）合同原则上可参照《采购合同》签订，相关单位要求适用合同通用格式版本的，应按其要求另行签订其他合同。</w:t>
      </w:r>
    </w:p>
    <w:p w14:paraId="43E34E0E">
      <w:pPr>
        <w:pStyle w:val="2"/>
        <w:keepLines/>
        <w:snapToGrid/>
        <w:spacing w:line="240" w:lineRule="auto"/>
        <w:jc w:val="center"/>
        <w:rPr>
          <w:rFonts w:hint="eastAsia" w:ascii="方正仿宋_GBK" w:hAnsi="方正仿宋_GBK" w:eastAsia="方正仿宋_GBK" w:cs="方正仿宋_GBK"/>
          <w:b/>
          <w:color w:val="auto"/>
          <w:sz w:val="36"/>
          <w:szCs w:val="30"/>
        </w:rPr>
      </w:pPr>
      <w:bookmarkStart w:id="112" w:name="_Toc109836391"/>
      <w:bookmarkEnd w:id="112"/>
      <w:bookmarkStart w:id="113" w:name="_Toc2755"/>
      <w:bookmarkStart w:id="114" w:name="_Toc30019"/>
      <w:bookmarkStart w:id="115" w:name="_Toc25417"/>
      <w:r>
        <w:rPr>
          <w:rFonts w:hint="eastAsia" w:ascii="方正仿宋_GBK" w:hAnsi="方正仿宋_GBK" w:eastAsia="方正仿宋_GBK" w:cs="方正仿宋_GBK"/>
          <w:b/>
          <w:bCs/>
          <w:color w:val="auto"/>
          <w:sz w:val="36"/>
          <w:szCs w:val="36"/>
        </w:rPr>
        <w:t xml:space="preserve">第六篇  </w:t>
      </w:r>
      <w:bookmarkEnd w:id="113"/>
      <w:bookmarkEnd w:id="114"/>
      <w:r>
        <w:rPr>
          <w:rFonts w:hint="eastAsia" w:ascii="方正仿宋_GBK" w:hAnsi="方正仿宋_GBK" w:eastAsia="方正仿宋_GBK" w:cs="方正仿宋_GBK"/>
          <w:b/>
          <w:bCs/>
          <w:color w:val="auto"/>
          <w:sz w:val="36"/>
          <w:szCs w:val="30"/>
          <w:lang w:val="en-US" w:eastAsia="zh-CN"/>
        </w:rPr>
        <w:t>采购</w:t>
      </w:r>
      <w:r>
        <w:rPr>
          <w:rFonts w:hint="eastAsia" w:ascii="方正仿宋_GBK" w:hAnsi="方正仿宋_GBK" w:eastAsia="方正仿宋_GBK" w:cs="方正仿宋_GBK"/>
          <w:b/>
          <w:bCs/>
          <w:color w:val="auto"/>
          <w:sz w:val="36"/>
          <w:szCs w:val="30"/>
        </w:rPr>
        <w:t>合同</w:t>
      </w:r>
      <w:bookmarkEnd w:id="115"/>
    </w:p>
    <w:p w14:paraId="3F53E7E2">
      <w:pPr>
        <w:jc w:val="left"/>
        <w:rPr>
          <w:rFonts w:hint="eastAsia" w:asciiTheme="minorEastAsia" w:hAnsiTheme="minorEastAsia" w:eastAsiaTheme="minorEastAsia" w:cstheme="minorEastAsia"/>
          <w:bCs/>
          <w:color w:val="auto"/>
          <w:sz w:val="24"/>
          <w:szCs w:val="24"/>
        </w:rPr>
      </w:pPr>
      <w:bookmarkStart w:id="116" w:name="_Hlt41879464"/>
      <w:bookmarkEnd w:id="116"/>
      <w:r>
        <w:rPr>
          <w:rFonts w:hint="eastAsia" w:asciiTheme="minorEastAsia" w:hAnsiTheme="minorEastAsia" w:eastAsiaTheme="minorEastAsia" w:cstheme="minorEastAsia"/>
          <w:bCs/>
          <w:color w:val="auto"/>
          <w:sz w:val="24"/>
          <w:szCs w:val="24"/>
        </w:rPr>
        <w:t>可根据项目情况修改或自拟</w:t>
      </w:r>
    </w:p>
    <w:p w14:paraId="3499BE24">
      <w:pPr>
        <w:spacing w:line="5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采购合同</w:t>
      </w:r>
    </w:p>
    <w:p w14:paraId="34282E65">
      <w:pPr>
        <w:spacing w:line="5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项目执行编号</w:t>
      </w:r>
      <w:r>
        <w:rPr>
          <w:rFonts w:hint="eastAsia" w:asciiTheme="minorEastAsia" w:hAnsiTheme="minorEastAsia" w:eastAsiaTheme="minorEastAsia" w:cstheme="minorEastAsia"/>
          <w:color w:val="auto"/>
          <w:sz w:val="24"/>
          <w:szCs w:val="24"/>
        </w:rPr>
        <w:t>：     ）</w:t>
      </w:r>
    </w:p>
    <w:p w14:paraId="714D3F6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甲方（需方）：________________       计价单位：____________</w:t>
      </w:r>
    </w:p>
    <w:p w14:paraId="6B34551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乙方（供方）：________________       计量单位：_____________</w:t>
      </w:r>
    </w:p>
    <w:p w14:paraId="7731532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经双方协商一致，达成以下购销合同：</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4BA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2F02D098">
            <w:pPr>
              <w:spacing w:line="24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磋商项目名称</w:t>
            </w:r>
          </w:p>
        </w:tc>
        <w:tc>
          <w:tcPr>
            <w:tcW w:w="984" w:type="dxa"/>
            <w:noWrap w:val="0"/>
            <w:vAlign w:val="center"/>
          </w:tcPr>
          <w:p w14:paraId="44AD5948">
            <w:pPr>
              <w:spacing w:line="24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298" w:type="dxa"/>
            <w:gridSpan w:val="2"/>
            <w:noWrap w:val="0"/>
            <w:vAlign w:val="center"/>
          </w:tcPr>
          <w:p w14:paraId="52057084">
            <w:pPr>
              <w:spacing w:line="24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综合单价</w:t>
            </w:r>
          </w:p>
        </w:tc>
        <w:tc>
          <w:tcPr>
            <w:tcW w:w="1134" w:type="dxa"/>
            <w:noWrap w:val="0"/>
            <w:vAlign w:val="center"/>
          </w:tcPr>
          <w:p w14:paraId="04CA529F">
            <w:pPr>
              <w:spacing w:line="24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总价</w:t>
            </w:r>
          </w:p>
        </w:tc>
        <w:tc>
          <w:tcPr>
            <w:tcW w:w="1559" w:type="dxa"/>
            <w:noWrap w:val="0"/>
            <w:vAlign w:val="center"/>
          </w:tcPr>
          <w:p w14:paraId="68EE76CB">
            <w:pPr>
              <w:spacing w:line="24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服务时间</w:t>
            </w:r>
          </w:p>
        </w:tc>
        <w:tc>
          <w:tcPr>
            <w:tcW w:w="1567" w:type="dxa"/>
            <w:noWrap w:val="0"/>
            <w:vAlign w:val="center"/>
          </w:tcPr>
          <w:p w14:paraId="62B93078">
            <w:pPr>
              <w:spacing w:line="24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服务地点</w:t>
            </w:r>
          </w:p>
        </w:tc>
      </w:tr>
      <w:tr w14:paraId="403A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3F17042">
            <w:pPr>
              <w:spacing w:line="240" w:lineRule="atLeast"/>
              <w:jc w:val="center"/>
              <w:rPr>
                <w:rFonts w:hint="eastAsia" w:asciiTheme="minorEastAsia" w:hAnsiTheme="minorEastAsia" w:eastAsiaTheme="minorEastAsia" w:cstheme="minorEastAsia"/>
                <w:color w:val="auto"/>
                <w:sz w:val="24"/>
                <w:szCs w:val="24"/>
              </w:rPr>
            </w:pPr>
          </w:p>
        </w:tc>
        <w:tc>
          <w:tcPr>
            <w:tcW w:w="984" w:type="dxa"/>
            <w:noWrap w:val="0"/>
            <w:vAlign w:val="center"/>
          </w:tcPr>
          <w:p w14:paraId="521D9A90">
            <w:pPr>
              <w:spacing w:line="240" w:lineRule="atLeast"/>
              <w:jc w:val="center"/>
              <w:rPr>
                <w:rFonts w:hint="eastAsia" w:asciiTheme="minorEastAsia" w:hAnsiTheme="minorEastAsia" w:eastAsiaTheme="minorEastAsia" w:cstheme="minorEastAsia"/>
                <w:color w:val="auto"/>
                <w:sz w:val="24"/>
                <w:szCs w:val="24"/>
              </w:rPr>
            </w:pPr>
          </w:p>
        </w:tc>
        <w:tc>
          <w:tcPr>
            <w:tcW w:w="1298" w:type="dxa"/>
            <w:gridSpan w:val="2"/>
            <w:noWrap w:val="0"/>
            <w:vAlign w:val="center"/>
          </w:tcPr>
          <w:p w14:paraId="6D1B36D0">
            <w:pPr>
              <w:spacing w:line="240" w:lineRule="atLeast"/>
              <w:jc w:val="center"/>
              <w:rPr>
                <w:rFonts w:hint="eastAsia" w:asciiTheme="minorEastAsia" w:hAnsiTheme="minorEastAsia" w:eastAsiaTheme="minorEastAsia" w:cstheme="minorEastAsia"/>
                <w:color w:val="auto"/>
                <w:sz w:val="24"/>
                <w:szCs w:val="24"/>
              </w:rPr>
            </w:pPr>
          </w:p>
        </w:tc>
        <w:tc>
          <w:tcPr>
            <w:tcW w:w="1134" w:type="dxa"/>
            <w:noWrap w:val="0"/>
            <w:vAlign w:val="center"/>
          </w:tcPr>
          <w:p w14:paraId="6B5CCA08">
            <w:pPr>
              <w:spacing w:line="240" w:lineRule="atLeast"/>
              <w:jc w:val="center"/>
              <w:rPr>
                <w:rFonts w:hint="eastAsia" w:asciiTheme="minorEastAsia" w:hAnsiTheme="minorEastAsia" w:eastAsiaTheme="minorEastAsia" w:cstheme="minorEastAsia"/>
                <w:color w:val="auto"/>
                <w:sz w:val="24"/>
                <w:szCs w:val="24"/>
              </w:rPr>
            </w:pPr>
          </w:p>
        </w:tc>
        <w:tc>
          <w:tcPr>
            <w:tcW w:w="1559" w:type="dxa"/>
            <w:noWrap w:val="0"/>
            <w:vAlign w:val="center"/>
          </w:tcPr>
          <w:p w14:paraId="7082017A">
            <w:pPr>
              <w:spacing w:line="240" w:lineRule="atLeast"/>
              <w:jc w:val="center"/>
              <w:rPr>
                <w:rFonts w:hint="eastAsia" w:asciiTheme="minorEastAsia" w:hAnsiTheme="minorEastAsia" w:eastAsiaTheme="minorEastAsia" w:cstheme="minorEastAsia"/>
                <w:color w:val="auto"/>
                <w:sz w:val="24"/>
                <w:szCs w:val="24"/>
              </w:rPr>
            </w:pPr>
          </w:p>
        </w:tc>
        <w:tc>
          <w:tcPr>
            <w:tcW w:w="1567" w:type="dxa"/>
            <w:noWrap w:val="0"/>
            <w:vAlign w:val="center"/>
          </w:tcPr>
          <w:p w14:paraId="3AE7A833">
            <w:pPr>
              <w:spacing w:line="240" w:lineRule="atLeast"/>
              <w:jc w:val="center"/>
              <w:rPr>
                <w:rFonts w:hint="eastAsia" w:asciiTheme="minorEastAsia" w:hAnsiTheme="minorEastAsia" w:eastAsiaTheme="minorEastAsia" w:cstheme="minorEastAsia"/>
                <w:color w:val="auto"/>
                <w:sz w:val="24"/>
                <w:szCs w:val="24"/>
              </w:rPr>
            </w:pPr>
          </w:p>
        </w:tc>
      </w:tr>
      <w:tr w14:paraId="4695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271DFC2">
            <w:pPr>
              <w:spacing w:line="240" w:lineRule="atLeast"/>
              <w:jc w:val="center"/>
              <w:rPr>
                <w:rFonts w:hint="eastAsia" w:asciiTheme="minorEastAsia" w:hAnsiTheme="minorEastAsia" w:eastAsiaTheme="minorEastAsia" w:cstheme="minorEastAsia"/>
                <w:color w:val="auto"/>
                <w:sz w:val="24"/>
                <w:szCs w:val="24"/>
              </w:rPr>
            </w:pPr>
          </w:p>
        </w:tc>
        <w:tc>
          <w:tcPr>
            <w:tcW w:w="984" w:type="dxa"/>
            <w:noWrap w:val="0"/>
            <w:vAlign w:val="center"/>
          </w:tcPr>
          <w:p w14:paraId="69F5CC97">
            <w:pPr>
              <w:spacing w:line="240" w:lineRule="atLeast"/>
              <w:jc w:val="center"/>
              <w:rPr>
                <w:rFonts w:hint="eastAsia" w:asciiTheme="minorEastAsia" w:hAnsiTheme="minorEastAsia" w:eastAsiaTheme="minorEastAsia" w:cstheme="minorEastAsia"/>
                <w:color w:val="auto"/>
                <w:sz w:val="24"/>
                <w:szCs w:val="24"/>
              </w:rPr>
            </w:pPr>
          </w:p>
        </w:tc>
        <w:tc>
          <w:tcPr>
            <w:tcW w:w="1298" w:type="dxa"/>
            <w:gridSpan w:val="2"/>
            <w:noWrap w:val="0"/>
            <w:vAlign w:val="center"/>
          </w:tcPr>
          <w:p w14:paraId="34E092EE">
            <w:pPr>
              <w:spacing w:line="240" w:lineRule="atLeast"/>
              <w:jc w:val="center"/>
              <w:rPr>
                <w:rFonts w:hint="eastAsia" w:asciiTheme="minorEastAsia" w:hAnsiTheme="minorEastAsia" w:eastAsiaTheme="minorEastAsia" w:cstheme="minorEastAsia"/>
                <w:color w:val="auto"/>
                <w:sz w:val="24"/>
                <w:szCs w:val="24"/>
              </w:rPr>
            </w:pPr>
          </w:p>
        </w:tc>
        <w:tc>
          <w:tcPr>
            <w:tcW w:w="1134" w:type="dxa"/>
            <w:noWrap w:val="0"/>
            <w:vAlign w:val="center"/>
          </w:tcPr>
          <w:p w14:paraId="3F55D810">
            <w:pPr>
              <w:spacing w:line="240" w:lineRule="atLeast"/>
              <w:jc w:val="center"/>
              <w:rPr>
                <w:rFonts w:hint="eastAsia" w:asciiTheme="minorEastAsia" w:hAnsiTheme="minorEastAsia" w:eastAsiaTheme="minorEastAsia" w:cstheme="minorEastAsia"/>
                <w:color w:val="auto"/>
                <w:sz w:val="24"/>
                <w:szCs w:val="24"/>
              </w:rPr>
            </w:pPr>
          </w:p>
        </w:tc>
        <w:tc>
          <w:tcPr>
            <w:tcW w:w="1559" w:type="dxa"/>
            <w:noWrap w:val="0"/>
            <w:vAlign w:val="center"/>
          </w:tcPr>
          <w:p w14:paraId="3C4EF6EC">
            <w:pPr>
              <w:spacing w:line="240" w:lineRule="atLeast"/>
              <w:jc w:val="center"/>
              <w:rPr>
                <w:rFonts w:hint="eastAsia" w:asciiTheme="minorEastAsia" w:hAnsiTheme="minorEastAsia" w:eastAsiaTheme="minorEastAsia" w:cstheme="minorEastAsia"/>
                <w:color w:val="auto"/>
                <w:sz w:val="24"/>
                <w:szCs w:val="24"/>
              </w:rPr>
            </w:pPr>
          </w:p>
        </w:tc>
        <w:tc>
          <w:tcPr>
            <w:tcW w:w="1567" w:type="dxa"/>
            <w:noWrap w:val="0"/>
            <w:vAlign w:val="center"/>
          </w:tcPr>
          <w:p w14:paraId="631DEE6C">
            <w:pPr>
              <w:spacing w:line="240" w:lineRule="atLeast"/>
              <w:jc w:val="center"/>
              <w:rPr>
                <w:rFonts w:hint="eastAsia" w:asciiTheme="minorEastAsia" w:hAnsiTheme="minorEastAsia" w:eastAsiaTheme="minorEastAsia" w:cstheme="minorEastAsia"/>
                <w:color w:val="auto"/>
                <w:sz w:val="24"/>
                <w:szCs w:val="24"/>
              </w:rPr>
            </w:pPr>
          </w:p>
        </w:tc>
      </w:tr>
      <w:tr w14:paraId="4F40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1C6FB407">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合计人民币（小写）：</w:t>
            </w:r>
          </w:p>
        </w:tc>
      </w:tr>
      <w:tr w14:paraId="75D3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170D96F1">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合计人民币（大写）：</w:t>
            </w:r>
          </w:p>
        </w:tc>
      </w:tr>
      <w:tr w14:paraId="2C43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0A300772">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一、服务要求</w:t>
            </w:r>
          </w:p>
        </w:tc>
      </w:tr>
      <w:tr w14:paraId="2BDB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44E69E85">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二、考核方式</w:t>
            </w:r>
          </w:p>
        </w:tc>
      </w:tr>
      <w:tr w14:paraId="2AE7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1210FBD">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三、付款方式：</w:t>
            </w:r>
          </w:p>
          <w:p w14:paraId="1B047483">
            <w:pPr>
              <w:pStyle w:val="13"/>
              <w:spacing w:line="240" w:lineRule="atLeast"/>
              <w:rPr>
                <w:rFonts w:hint="eastAsia" w:asciiTheme="minorEastAsia" w:hAnsiTheme="minorEastAsia" w:eastAsiaTheme="minorEastAsia" w:cstheme="minorEastAsia"/>
                <w:color w:val="auto"/>
                <w:sz w:val="24"/>
                <w:szCs w:val="24"/>
              </w:rPr>
            </w:pPr>
          </w:p>
        </w:tc>
      </w:tr>
      <w:tr w14:paraId="171B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1EC7F39">
            <w:pPr>
              <w:spacing w:line="240" w:lineRule="atLeas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四、履约保证金：</w:t>
            </w:r>
          </w:p>
          <w:p w14:paraId="6D56FD19">
            <w:pPr>
              <w:spacing w:line="240" w:lineRule="atLeast"/>
              <w:rPr>
                <w:rFonts w:hint="eastAsia" w:asciiTheme="minorEastAsia" w:hAnsiTheme="minorEastAsia" w:eastAsiaTheme="minorEastAsia" w:cstheme="minorEastAsia"/>
                <w:color w:val="auto"/>
                <w:sz w:val="24"/>
                <w:szCs w:val="24"/>
                <w:lang w:eastAsia="zh-CN"/>
              </w:rPr>
            </w:pPr>
          </w:p>
        </w:tc>
      </w:tr>
      <w:tr w14:paraId="327F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7237EAB">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五</w:t>
            </w:r>
            <w:r>
              <w:rPr>
                <w:rFonts w:hint="eastAsia" w:asciiTheme="minorEastAsia" w:hAnsiTheme="minorEastAsia" w:eastAsiaTheme="minorEastAsia" w:cstheme="minorEastAsia"/>
                <w:color w:val="auto"/>
                <w:sz w:val="24"/>
                <w:szCs w:val="24"/>
              </w:rPr>
              <w:t>、违约责任：</w:t>
            </w:r>
          </w:p>
          <w:p w14:paraId="59910CAF">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按《中华人民共和国民法典》执行，或按双方约定。</w:t>
            </w:r>
          </w:p>
        </w:tc>
      </w:tr>
      <w:tr w14:paraId="1263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831311B">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六</w:t>
            </w:r>
            <w:r>
              <w:rPr>
                <w:rFonts w:hint="eastAsia" w:asciiTheme="minorEastAsia" w:hAnsiTheme="minorEastAsia" w:eastAsiaTheme="minorEastAsia" w:cstheme="minorEastAsia"/>
                <w:color w:val="auto"/>
                <w:sz w:val="24"/>
                <w:szCs w:val="24"/>
              </w:rPr>
              <w:t>、其他约定事项：</w:t>
            </w:r>
          </w:p>
          <w:p w14:paraId="6F617FA0">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1.采购文件及其澄清文件、响应文件和承诺是本合同不可分割的部分。</w:t>
            </w:r>
          </w:p>
          <w:p w14:paraId="3F7B399F">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2.本合同如发生争议由双方协商解决，协商不成向需方住所地（即本合同签订地）在人民法院提起民事诉讼。</w:t>
            </w:r>
          </w:p>
          <w:p w14:paraId="7ED17CA8">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3.本合同一式__份， 需方__份，供方__份，具同等法律效力。</w:t>
            </w:r>
          </w:p>
          <w:p w14:paraId="0F294BF5">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w:t>
            </w:r>
          </w:p>
        </w:tc>
      </w:tr>
      <w:tr w14:paraId="2D0A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2792B62A">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需方：</w:t>
            </w:r>
          </w:p>
          <w:p w14:paraId="6D7A3F30">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p w14:paraId="00CF8A54">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32CF2420">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w:t>
            </w:r>
          </w:p>
        </w:tc>
        <w:tc>
          <w:tcPr>
            <w:tcW w:w="4984" w:type="dxa"/>
            <w:gridSpan w:val="5"/>
            <w:noWrap w:val="0"/>
            <w:vAlign w:val="top"/>
          </w:tcPr>
          <w:p w14:paraId="71B3BA0C">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供方：</w:t>
            </w:r>
          </w:p>
          <w:p w14:paraId="24836D45">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p w14:paraId="52D359CF">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p w14:paraId="7D9584C7">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p w14:paraId="6364755F">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w:t>
            </w:r>
          </w:p>
          <w:p w14:paraId="0F48581F">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账号：</w:t>
            </w:r>
          </w:p>
          <w:p w14:paraId="3FFEF704">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w:t>
            </w:r>
          </w:p>
          <w:p w14:paraId="5BD9B8B8">
            <w:pPr>
              <w:widowControl/>
              <w:spacing w:line="24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（本栏请用计算机打印以便于准确付款）</w:t>
            </w:r>
          </w:p>
        </w:tc>
      </w:tr>
      <w:tr w14:paraId="7457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17142BA">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p w14:paraId="47A664F2">
            <w:pPr>
              <w:spacing w:line="240" w:lineRule="atLeast"/>
              <w:rPr>
                <w:rFonts w:hint="eastAsia" w:asciiTheme="minorEastAsia" w:hAnsiTheme="minorEastAsia" w:eastAsiaTheme="minorEastAsia" w:cstheme="minorEastAsia"/>
                <w:color w:val="auto"/>
                <w:sz w:val="24"/>
                <w:szCs w:val="24"/>
              </w:rPr>
            </w:pPr>
          </w:p>
          <w:p w14:paraId="1A82F4BD">
            <w:pPr>
              <w:spacing w:line="240" w:lineRule="atLeast"/>
              <w:rPr>
                <w:rFonts w:hint="eastAsia" w:asciiTheme="minorEastAsia" w:hAnsiTheme="minorEastAsia" w:eastAsiaTheme="minorEastAsia" w:cstheme="minorEastAsia"/>
                <w:color w:val="auto"/>
                <w:sz w:val="24"/>
                <w:szCs w:val="24"/>
              </w:rPr>
            </w:pPr>
          </w:p>
        </w:tc>
      </w:tr>
    </w:tbl>
    <w:p w14:paraId="34A98DF2">
      <w:pPr>
        <w:rPr>
          <w:rFonts w:hint="eastAsia" w:asciiTheme="minorEastAsia" w:hAnsiTheme="minorEastAsia" w:eastAsiaTheme="minorEastAsia" w:cstheme="minorEastAsia"/>
          <w:color w:val="auto"/>
          <w:sz w:val="24"/>
          <w:szCs w:val="24"/>
        </w:rPr>
        <w:sectPr>
          <w:footerReference r:id="rId6" w:type="default"/>
          <w:pgSz w:w="11907" w:h="16840"/>
          <w:pgMar w:top="1134" w:right="1191" w:bottom="1134" w:left="1304" w:header="964" w:footer="992" w:gutter="0"/>
          <w:pgNumType w:fmt="numberInDash"/>
          <w:cols w:space="720" w:num="1"/>
          <w:docGrid w:linePitch="312" w:charSpace="0"/>
        </w:sectPr>
      </w:pPr>
      <w:r>
        <w:rPr>
          <w:rFonts w:hint="eastAsia" w:asciiTheme="minorEastAsia" w:hAnsiTheme="minorEastAsia" w:eastAsiaTheme="minorEastAsia" w:cstheme="minorEastAsia"/>
          <w:color w:val="auto"/>
          <w:sz w:val="24"/>
          <w:szCs w:val="24"/>
        </w:rPr>
        <w:t>签约时间：           年   月   日      签约地点</w:t>
      </w:r>
    </w:p>
    <w:p w14:paraId="2CEF312B">
      <w:pPr>
        <w:pStyle w:val="27"/>
        <w:ind w:firstLine="0" w:firstLineChars="0"/>
        <w:rPr>
          <w:rFonts w:ascii="仿宋" w:hAnsi="仿宋" w:eastAsia="仿宋" w:cs="仿宋"/>
          <w:color w:val="auto"/>
          <w:szCs w:val="28"/>
        </w:rPr>
      </w:pPr>
    </w:p>
    <w:p w14:paraId="326A975D">
      <w:pPr>
        <w:pStyle w:val="3"/>
        <w:numPr>
          <w:ilvl w:val="0"/>
          <w:numId w:val="0"/>
        </w:numPr>
        <w:spacing w:before="0" w:after="0" w:line="360" w:lineRule="auto"/>
        <w:ind w:left="0" w:leftChars="0" w:firstLine="0" w:firstLineChars="0"/>
        <w:jc w:val="center"/>
        <w:rPr>
          <w:rFonts w:hint="eastAsia" w:ascii="仿宋" w:hAnsi="仿宋" w:eastAsia="仿宋"/>
          <w:bCs/>
          <w:color w:val="auto"/>
          <w:sz w:val="36"/>
          <w:szCs w:val="30"/>
        </w:rPr>
      </w:pPr>
      <w:bookmarkStart w:id="117" w:name="_Toc10837"/>
      <w:bookmarkEnd w:id="117"/>
      <w:r>
        <w:rPr>
          <w:rFonts w:hint="eastAsia" w:ascii="仿宋" w:hAnsi="仿宋" w:eastAsia="仿宋" w:cs="Times New Roman"/>
          <w:b/>
          <w:bCs/>
          <w:color w:val="auto"/>
          <w:kern w:val="2"/>
          <w:sz w:val="36"/>
          <w:szCs w:val="30"/>
          <w:lang w:val="en-US" w:eastAsia="zh-CN" w:bidi="ar-SA"/>
        </w:rPr>
        <w:t>第七篇</w:t>
      </w:r>
      <w:r>
        <w:rPr>
          <w:rFonts w:hint="eastAsia" w:ascii="仿宋" w:hAnsi="仿宋" w:eastAsia="仿宋"/>
          <w:bCs/>
          <w:color w:val="auto"/>
          <w:sz w:val="36"/>
          <w:szCs w:val="30"/>
        </w:rPr>
        <w:t xml:space="preserve"> 响应文件编制要求</w:t>
      </w:r>
    </w:p>
    <w:p w14:paraId="7744BE18">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41C49792">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43B11C23">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14:paraId="10F93F15">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34ADB490">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技术服务方案</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自拟</w:t>
      </w:r>
      <w:r>
        <w:rPr>
          <w:rFonts w:hint="eastAsia" w:ascii="宋体" w:hAnsi="宋体" w:eastAsia="宋体" w:cs="宋体"/>
          <w:color w:val="auto"/>
          <w:sz w:val="24"/>
          <w:szCs w:val="24"/>
          <w:highlight w:val="none"/>
        </w:rPr>
        <w:t>）</w:t>
      </w:r>
    </w:p>
    <w:p w14:paraId="3F2C834E">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24B392A4">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商务响应偏离表</w:t>
      </w:r>
    </w:p>
    <w:p w14:paraId="23136D8D">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商务部分评分证明材料（如有）</w:t>
      </w:r>
    </w:p>
    <w:p w14:paraId="48744372">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其它优惠服务承诺（格式自定）</w:t>
      </w:r>
    </w:p>
    <w:p w14:paraId="34F6B47B">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4DFA265B">
      <w:pPr>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57AEC84C">
      <w:pPr>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7378BAA2">
      <w:pPr>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5377B959">
      <w:pPr>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6A53BF99">
      <w:pPr>
        <w:snapToGrid w:val="0"/>
        <w:spacing w:line="40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（五）特定资格条件证书或证明文件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如有要求</w:t>
      </w:r>
      <w:r>
        <w:rPr>
          <w:rFonts w:hint="eastAsia" w:ascii="宋体" w:hAnsi="宋体" w:eastAsia="宋体" w:cs="宋体"/>
          <w:color w:val="auto"/>
          <w:sz w:val="24"/>
          <w:szCs w:val="24"/>
          <w:highlight w:val="none"/>
          <w:lang w:eastAsia="zh-CN"/>
        </w:rPr>
        <w:t>）</w:t>
      </w:r>
    </w:p>
    <w:p w14:paraId="0C9EC432">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14:paraId="3738F4A6">
      <w:pPr>
        <w:spacing w:line="400" w:lineRule="exact"/>
        <w:ind w:firstLine="480" w:firstLineChars="20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7C1454D9">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（二）其他与项目有关的资料</w:t>
      </w:r>
    </w:p>
    <w:p w14:paraId="7DE2DEC9">
      <w:pPr>
        <w:snapToGrid w:val="0"/>
        <w:spacing w:line="360" w:lineRule="auto"/>
        <w:rPr>
          <w:rFonts w:hint="eastAsia" w:ascii="宋体" w:hAnsi="宋体" w:eastAsia="宋体" w:cs="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2D763979">
      <w:pPr>
        <w:keepNext/>
        <w:keepLines/>
        <w:widowControl w:val="0"/>
        <w:adjustRightInd w:val="0"/>
        <w:snapToGrid w:val="0"/>
        <w:spacing w:before="0" w:beforeLines="0" w:beforeAutospacing="0" w:after="0" w:afterLines="0" w:afterAutospacing="0" w:line="400" w:lineRule="exact"/>
        <w:ind w:firstLine="482" w:firstLineChars="200"/>
        <w:jc w:val="both"/>
        <w:outlineLvl w:val="1"/>
        <w:rPr>
          <w:rFonts w:hint="eastAsia" w:ascii="宋体" w:hAnsi="宋体" w:eastAsia="宋体" w:cs="宋体"/>
          <w:b/>
          <w:color w:val="auto"/>
          <w:kern w:val="2"/>
          <w:sz w:val="24"/>
          <w:szCs w:val="24"/>
          <w:highlight w:val="none"/>
          <w:lang w:val="en-US" w:eastAsia="zh-CN" w:bidi="ar-SA"/>
        </w:rPr>
      </w:pPr>
      <w:bookmarkStart w:id="118" w:name="_Toc313008356"/>
      <w:bookmarkStart w:id="119" w:name="_Toc342913419"/>
      <w:bookmarkStart w:id="120" w:name="_Toc26576"/>
      <w:bookmarkStart w:id="121" w:name="_Toc4953"/>
      <w:bookmarkStart w:id="122" w:name="_Toc23615"/>
      <w:bookmarkStart w:id="123" w:name="_Toc14040"/>
      <w:bookmarkStart w:id="124" w:name="_Toc13924"/>
      <w:bookmarkStart w:id="125" w:name="_Toc76462350"/>
      <w:bookmarkStart w:id="126" w:name="_Toc27317"/>
      <w:bookmarkStart w:id="127" w:name="_Toc17752"/>
      <w:bookmarkStart w:id="128" w:name="_Toc19710"/>
      <w:bookmarkStart w:id="129" w:name="_Toc5524"/>
      <w:bookmarkStart w:id="130" w:name="_Toc17937"/>
      <w:bookmarkStart w:id="131" w:name="_Toc253"/>
      <w:bookmarkStart w:id="132" w:name="_Toc22705"/>
      <w:bookmarkStart w:id="133" w:name="_Toc28847"/>
      <w:bookmarkStart w:id="134" w:name="_Toc313888360"/>
      <w:bookmarkStart w:id="135" w:name="_Toc20331"/>
      <w:bookmarkStart w:id="136" w:name="_Toc12789073"/>
      <w:bookmarkStart w:id="137" w:name="_Toc283382454"/>
      <w:r>
        <w:rPr>
          <w:rFonts w:hint="eastAsia" w:ascii="宋体" w:hAnsi="宋体" w:eastAsia="宋体" w:cs="宋体"/>
          <w:b/>
          <w:color w:val="auto"/>
          <w:kern w:val="2"/>
          <w:sz w:val="24"/>
          <w:szCs w:val="24"/>
          <w:highlight w:val="none"/>
          <w:lang w:val="en-US" w:eastAsia="zh-CN" w:bidi="ar-SA"/>
        </w:rPr>
        <w:t>一、经济部分</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bookmarkEnd w:id="136"/>
    <w:bookmarkEnd w:id="137"/>
    <w:p w14:paraId="29ACBB7E">
      <w:pPr>
        <w:tabs>
          <w:tab w:val="left" w:pos="6300"/>
        </w:tabs>
        <w:snapToGrid w:val="0"/>
        <w:spacing w:line="312"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2483028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竞争性磋商报价函</w:t>
      </w:r>
    </w:p>
    <w:p w14:paraId="00D1E4B1">
      <w:pPr>
        <w:tabs>
          <w:tab w:val="left" w:pos="6300"/>
        </w:tabs>
        <w:snapToGrid w:val="0"/>
        <w:spacing w:line="312"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3943ED7E">
      <w:pPr>
        <w:tabs>
          <w:tab w:val="left" w:pos="6300"/>
        </w:tabs>
        <w:snapToGrid w:val="0"/>
        <w:spacing w:line="312"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50420A40">
      <w:pPr>
        <w:tabs>
          <w:tab w:val="left" w:pos="6300"/>
        </w:tabs>
        <w:snapToGrid w:val="0"/>
        <w:spacing w:line="312"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1.愿意按照竞争性磋商文件中的一切要求，提供本项目的服务，初始报价为人民币大写：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元。以我公司最后报价为准。</w:t>
      </w:r>
    </w:p>
    <w:p w14:paraId="054C5D89">
      <w:pPr>
        <w:tabs>
          <w:tab w:val="left" w:pos="6300"/>
        </w:tabs>
        <w:snapToGrid w:val="0"/>
        <w:spacing w:line="312"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459B0D2C">
      <w:pPr>
        <w:tabs>
          <w:tab w:val="left" w:pos="6300"/>
        </w:tabs>
        <w:snapToGrid w:val="0"/>
        <w:spacing w:line="312"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14:paraId="010C3130">
      <w:pPr>
        <w:tabs>
          <w:tab w:val="left" w:pos="6300"/>
        </w:tabs>
        <w:snapToGrid w:val="0"/>
        <w:spacing w:line="312"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26B612A1">
      <w:pPr>
        <w:tabs>
          <w:tab w:val="left" w:pos="6300"/>
        </w:tabs>
        <w:snapToGrid w:val="0"/>
        <w:spacing w:line="312"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71BCB4BF">
      <w:pPr>
        <w:tabs>
          <w:tab w:val="left" w:pos="6300"/>
        </w:tabs>
        <w:snapToGrid w:val="0"/>
        <w:spacing w:line="312"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273AFF98">
      <w:pPr>
        <w:tabs>
          <w:tab w:val="left" w:pos="6300"/>
        </w:tabs>
        <w:snapToGrid w:val="0"/>
        <w:spacing w:line="312"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7.我方同意按竞争性磋商文件规定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如果我方成为成交供应商，保证在接到成交通知书后，向采购代理机构缴纳竞争性磋商文件规定的采购代理服务费。</w:t>
      </w:r>
    </w:p>
    <w:p w14:paraId="025B97A0">
      <w:pPr>
        <w:tabs>
          <w:tab w:val="left" w:pos="6300"/>
        </w:tabs>
        <w:snapToGrid w:val="0"/>
        <w:spacing w:line="312"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8.我方未为采购项目提供整体设计、规范编制或者项目管理、监理、检测等服务。</w:t>
      </w:r>
    </w:p>
    <w:p w14:paraId="2E8DF2BC">
      <w:pPr>
        <w:tabs>
          <w:tab w:val="left" w:pos="6300"/>
        </w:tabs>
        <w:snapToGrid w:val="0"/>
        <w:spacing w:line="312"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6BF2FD58">
      <w:pPr>
        <w:tabs>
          <w:tab w:val="left" w:pos="6300"/>
        </w:tabs>
        <w:snapToGrid w:val="0"/>
        <w:spacing w:line="312"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78A5C5A2">
      <w:pPr>
        <w:tabs>
          <w:tab w:val="left" w:pos="6300"/>
        </w:tabs>
        <w:snapToGrid w:val="0"/>
        <w:spacing w:line="312"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6B0E3C7E">
      <w:pPr>
        <w:tabs>
          <w:tab w:val="left" w:pos="6300"/>
        </w:tabs>
        <w:snapToGrid w:val="0"/>
        <w:spacing w:line="312"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7DAA116F">
      <w:pPr>
        <w:tabs>
          <w:tab w:val="left" w:pos="6300"/>
        </w:tabs>
        <w:snapToGrid w:val="0"/>
        <w:spacing w:line="312" w:lineRule="auto"/>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08210335">
      <w:pPr>
        <w:snapToGrid w:val="0"/>
        <w:spacing w:line="312" w:lineRule="auto"/>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highlight w:val="none"/>
        </w:rPr>
        <w:t xml:space="preserve">                                                  年   月   日</w:t>
      </w:r>
    </w:p>
    <w:p w14:paraId="6BBE4AF9">
      <w:pPr>
        <w:keepNext/>
        <w:keepLines/>
        <w:widowControl w:val="0"/>
        <w:adjustRightInd w:val="0"/>
        <w:snapToGrid w:val="0"/>
        <w:spacing w:before="0" w:beforeLines="0" w:beforeAutospacing="0" w:after="0" w:afterLines="0" w:afterAutospacing="0" w:line="400" w:lineRule="exact"/>
        <w:ind w:firstLine="482" w:firstLineChars="200"/>
        <w:jc w:val="both"/>
        <w:outlineLvl w:val="1"/>
        <w:rPr>
          <w:rFonts w:hint="eastAsia" w:ascii="宋体" w:hAnsi="宋体" w:eastAsia="宋体" w:cs="宋体"/>
          <w:b/>
          <w:color w:val="auto"/>
          <w:kern w:val="2"/>
          <w:sz w:val="24"/>
          <w:szCs w:val="24"/>
          <w:highlight w:val="none"/>
          <w:lang w:val="en-US" w:eastAsia="zh-CN" w:bidi="ar-SA"/>
        </w:rPr>
      </w:pPr>
      <w:bookmarkStart w:id="138" w:name="_Toc5143"/>
      <w:bookmarkStart w:id="139" w:name="_Toc32198"/>
      <w:bookmarkStart w:id="140" w:name="_Toc8905"/>
      <w:bookmarkStart w:id="141" w:name="_Toc11066"/>
      <w:bookmarkStart w:id="142" w:name="_Toc3690"/>
      <w:bookmarkStart w:id="143" w:name="_Toc32732"/>
      <w:bookmarkStart w:id="144" w:name="_Toc25517"/>
      <w:bookmarkStart w:id="145" w:name="_Toc342913420"/>
      <w:bookmarkStart w:id="146" w:name="_Toc5412"/>
      <w:bookmarkStart w:id="147" w:name="_Toc313008357"/>
      <w:bookmarkStart w:id="148" w:name="_Toc23124"/>
      <w:bookmarkStart w:id="149" w:name="_Toc313888361"/>
      <w:bookmarkStart w:id="150" w:name="_Toc17079"/>
      <w:bookmarkStart w:id="151" w:name="_Toc26636"/>
      <w:bookmarkStart w:id="152" w:name="_Toc76462351"/>
      <w:bookmarkStart w:id="153" w:name="_Toc32283"/>
      <w:bookmarkStart w:id="154" w:name="_Toc23839"/>
      <w:bookmarkStart w:id="155" w:name="_Toc4380"/>
      <w:r>
        <w:rPr>
          <w:rFonts w:hint="eastAsia" w:ascii="宋体" w:hAnsi="宋体" w:eastAsia="宋体" w:cs="宋体"/>
          <w:b/>
          <w:color w:val="auto"/>
          <w:kern w:val="2"/>
          <w:sz w:val="24"/>
          <w:szCs w:val="24"/>
          <w:highlight w:val="none"/>
          <w:lang w:val="en-US" w:eastAsia="zh-CN" w:bidi="ar-SA"/>
        </w:rPr>
        <w:t>二、服务部分</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1CA097E">
      <w:pPr>
        <w:tabs>
          <w:tab w:val="left" w:pos="6300"/>
        </w:tabs>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（一）服务响应偏离表                                </w:t>
      </w:r>
    </w:p>
    <w:p w14:paraId="4EB7B932">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7C6A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34FF82B8">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41" w:type="pct"/>
            <w:noWrap w:val="0"/>
            <w:vAlign w:val="center"/>
          </w:tcPr>
          <w:p w14:paraId="794CFCD9">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c>
        <w:tc>
          <w:tcPr>
            <w:tcW w:w="1600" w:type="pct"/>
            <w:noWrap w:val="0"/>
            <w:vAlign w:val="center"/>
          </w:tcPr>
          <w:p w14:paraId="79759F72">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1199" w:type="pct"/>
            <w:noWrap w:val="0"/>
            <w:vAlign w:val="center"/>
          </w:tcPr>
          <w:p w14:paraId="348FDC45">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14:paraId="1B8E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0C2F180">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541" w:type="pct"/>
            <w:noWrap w:val="0"/>
            <w:vAlign w:val="center"/>
          </w:tcPr>
          <w:p w14:paraId="3E4A9D4C">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600" w:type="pct"/>
            <w:noWrap w:val="0"/>
            <w:vAlign w:val="center"/>
          </w:tcPr>
          <w:p w14:paraId="10AEB644">
            <w:pPr>
              <w:tabs>
                <w:tab w:val="left" w:pos="6300"/>
              </w:tabs>
              <w:snapToGrid w:val="0"/>
              <w:spacing w:line="500" w:lineRule="exact"/>
              <w:jc w:val="both"/>
              <w:outlineLvl w:val="0"/>
              <w:rPr>
                <w:rFonts w:hint="eastAsia" w:ascii="宋体" w:hAnsi="宋体" w:eastAsia="宋体" w:cs="宋体"/>
                <w:color w:val="auto"/>
                <w:sz w:val="24"/>
                <w:szCs w:val="24"/>
                <w:highlight w:val="none"/>
              </w:rPr>
            </w:pPr>
          </w:p>
        </w:tc>
        <w:tc>
          <w:tcPr>
            <w:tcW w:w="1199" w:type="pct"/>
            <w:noWrap w:val="0"/>
            <w:vAlign w:val="center"/>
          </w:tcPr>
          <w:p w14:paraId="24CC7D16">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1C52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6EA5E86">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541" w:type="pct"/>
            <w:noWrap w:val="0"/>
            <w:vAlign w:val="center"/>
          </w:tcPr>
          <w:p w14:paraId="0688FB7D">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600" w:type="pct"/>
            <w:noWrap w:val="0"/>
            <w:vAlign w:val="center"/>
          </w:tcPr>
          <w:p w14:paraId="4AF436F3">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199" w:type="pct"/>
            <w:noWrap w:val="0"/>
            <w:vAlign w:val="center"/>
          </w:tcPr>
          <w:p w14:paraId="6449A484">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6ED6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7DF49ED">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541" w:type="pct"/>
            <w:noWrap w:val="0"/>
            <w:vAlign w:val="center"/>
          </w:tcPr>
          <w:p w14:paraId="65AE57DA">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600" w:type="pct"/>
            <w:noWrap w:val="0"/>
            <w:vAlign w:val="center"/>
          </w:tcPr>
          <w:p w14:paraId="30404DC5">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199" w:type="pct"/>
            <w:noWrap w:val="0"/>
            <w:vAlign w:val="center"/>
          </w:tcPr>
          <w:p w14:paraId="0DEE80DA">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16CB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90DDD22">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541" w:type="pct"/>
            <w:noWrap w:val="0"/>
            <w:vAlign w:val="center"/>
          </w:tcPr>
          <w:p w14:paraId="5CD37AC0">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600" w:type="pct"/>
            <w:noWrap w:val="0"/>
            <w:vAlign w:val="center"/>
          </w:tcPr>
          <w:p w14:paraId="4686DD57">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199" w:type="pct"/>
            <w:noWrap w:val="0"/>
            <w:vAlign w:val="center"/>
          </w:tcPr>
          <w:p w14:paraId="7774F8A8">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065A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1F7D78A">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541" w:type="pct"/>
            <w:noWrap w:val="0"/>
            <w:vAlign w:val="center"/>
          </w:tcPr>
          <w:p w14:paraId="615627D9">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600" w:type="pct"/>
            <w:noWrap w:val="0"/>
            <w:vAlign w:val="center"/>
          </w:tcPr>
          <w:p w14:paraId="684E7469">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199" w:type="pct"/>
            <w:noWrap w:val="0"/>
            <w:vAlign w:val="center"/>
          </w:tcPr>
          <w:p w14:paraId="0213CBBB">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459B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9BFCCC4">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541" w:type="pct"/>
            <w:noWrap w:val="0"/>
            <w:vAlign w:val="center"/>
          </w:tcPr>
          <w:p w14:paraId="40879FA7">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600" w:type="pct"/>
            <w:noWrap w:val="0"/>
            <w:vAlign w:val="center"/>
          </w:tcPr>
          <w:p w14:paraId="35D53057">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199" w:type="pct"/>
            <w:noWrap w:val="0"/>
            <w:vAlign w:val="center"/>
          </w:tcPr>
          <w:p w14:paraId="3643981A">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6BB9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6AAA011A">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541" w:type="pct"/>
            <w:noWrap w:val="0"/>
            <w:vAlign w:val="center"/>
          </w:tcPr>
          <w:p w14:paraId="2E18CA4D">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600" w:type="pct"/>
            <w:noWrap w:val="0"/>
            <w:vAlign w:val="center"/>
          </w:tcPr>
          <w:p w14:paraId="0FEAB5F3">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199" w:type="pct"/>
            <w:noWrap w:val="0"/>
            <w:vAlign w:val="center"/>
          </w:tcPr>
          <w:p w14:paraId="45C72B94">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447E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660" w:type="pct"/>
            <w:noWrap w:val="0"/>
            <w:vAlign w:val="center"/>
          </w:tcPr>
          <w:p w14:paraId="5C686AAB">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541" w:type="pct"/>
            <w:noWrap w:val="0"/>
            <w:vAlign w:val="center"/>
          </w:tcPr>
          <w:p w14:paraId="2096E10E">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600" w:type="pct"/>
            <w:noWrap w:val="0"/>
            <w:vAlign w:val="center"/>
          </w:tcPr>
          <w:p w14:paraId="7B9E7AC7">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199" w:type="pct"/>
            <w:noWrap w:val="0"/>
            <w:vAlign w:val="center"/>
          </w:tcPr>
          <w:p w14:paraId="7B70D375">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6301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A674670">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541" w:type="pct"/>
            <w:noWrap w:val="0"/>
            <w:vAlign w:val="center"/>
          </w:tcPr>
          <w:p w14:paraId="4A23E5D4">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600" w:type="pct"/>
            <w:noWrap w:val="0"/>
            <w:vAlign w:val="center"/>
          </w:tcPr>
          <w:p w14:paraId="7758932C">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199" w:type="pct"/>
            <w:noWrap w:val="0"/>
            <w:vAlign w:val="center"/>
          </w:tcPr>
          <w:p w14:paraId="6CAD0226">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7E3A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D5A94A8">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541" w:type="pct"/>
            <w:noWrap w:val="0"/>
            <w:vAlign w:val="center"/>
          </w:tcPr>
          <w:p w14:paraId="6EE9E4AA">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600" w:type="pct"/>
            <w:noWrap w:val="0"/>
            <w:vAlign w:val="center"/>
          </w:tcPr>
          <w:p w14:paraId="4DB1ABC9">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199" w:type="pct"/>
            <w:noWrap w:val="0"/>
            <w:vAlign w:val="center"/>
          </w:tcPr>
          <w:p w14:paraId="608B81DF">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bl>
    <w:p w14:paraId="09D72715">
      <w:pPr>
        <w:spacing w:line="500" w:lineRule="exact"/>
        <w:ind w:firstLine="600" w:firstLineChars="2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法定代表人（或其授权代表）或自然人：</w:t>
      </w:r>
    </w:p>
    <w:p w14:paraId="02BBED24">
      <w:pPr>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2FA54C1">
      <w:pPr>
        <w:spacing w:line="500" w:lineRule="exact"/>
        <w:ind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（签署或盖章）</w:t>
      </w:r>
    </w:p>
    <w:p w14:paraId="311C456B">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515F776">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D5CABD1">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项目服务需求”中</w:t>
      </w:r>
      <w:r>
        <w:rPr>
          <w:rFonts w:hint="eastAsia" w:ascii="宋体" w:hAnsi="宋体" w:eastAsia="宋体" w:cs="宋体"/>
          <w:color w:val="auto"/>
          <w:sz w:val="24"/>
          <w:szCs w:val="24"/>
          <w:highlight w:val="none"/>
          <w:lang w:val="en-US" w:eastAsia="zh-CN"/>
        </w:rPr>
        <w:t>所列</w:t>
      </w:r>
      <w:r>
        <w:rPr>
          <w:rFonts w:hint="eastAsia" w:ascii="宋体" w:hAnsi="宋体" w:eastAsia="宋体" w:cs="宋体"/>
          <w:color w:val="auto"/>
          <w:sz w:val="24"/>
          <w:szCs w:val="24"/>
          <w:highlight w:val="none"/>
        </w:rPr>
        <w:t>条款进行比较和响应；</w:t>
      </w:r>
    </w:p>
    <w:p w14:paraId="449446A5">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63FCE262">
      <w:pPr>
        <w:tabs>
          <w:tab w:val="left" w:pos="6300"/>
        </w:tabs>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技术服务方案</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自拟</w:t>
      </w:r>
      <w:r>
        <w:rPr>
          <w:rFonts w:hint="eastAsia" w:ascii="宋体" w:hAnsi="宋体" w:eastAsia="宋体" w:cs="宋体"/>
          <w:color w:val="auto"/>
          <w:sz w:val="24"/>
          <w:szCs w:val="24"/>
          <w:highlight w:val="none"/>
        </w:rPr>
        <w:t>）</w:t>
      </w:r>
    </w:p>
    <w:p w14:paraId="019B3EA9">
      <w:pPr>
        <w:keepNext/>
        <w:keepLines/>
        <w:widowControl w:val="0"/>
        <w:adjustRightInd w:val="0"/>
        <w:snapToGrid w:val="0"/>
        <w:spacing w:before="0" w:beforeLines="0" w:beforeAutospacing="0" w:after="0" w:afterLines="0" w:afterAutospacing="0" w:line="400" w:lineRule="exact"/>
        <w:ind w:firstLine="480" w:firstLineChars="200"/>
        <w:jc w:val="both"/>
        <w:outlineLvl w:val="1"/>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br w:type="page"/>
      </w:r>
      <w:bookmarkStart w:id="156" w:name="_Toc313008358"/>
      <w:bookmarkStart w:id="157" w:name="_Toc30358"/>
      <w:bookmarkStart w:id="158" w:name="_Toc20822"/>
      <w:bookmarkStart w:id="159" w:name="_Toc11154"/>
      <w:bookmarkStart w:id="160" w:name="_Toc20234"/>
      <w:bookmarkStart w:id="161" w:name="_Toc4218"/>
      <w:bookmarkStart w:id="162" w:name="_Toc30191"/>
      <w:bookmarkStart w:id="163" w:name="_Toc20665"/>
      <w:bookmarkStart w:id="164" w:name="_Toc919"/>
      <w:bookmarkStart w:id="165" w:name="_Toc29416"/>
      <w:bookmarkStart w:id="166" w:name="_Toc76462352"/>
      <w:bookmarkStart w:id="167" w:name="_Toc20856"/>
      <w:bookmarkStart w:id="168" w:name="_Toc13875"/>
      <w:bookmarkStart w:id="169" w:name="_Toc313888362"/>
      <w:bookmarkStart w:id="170" w:name="_Toc28196"/>
      <w:bookmarkStart w:id="171" w:name="_Toc342913421"/>
      <w:bookmarkStart w:id="172" w:name="_Toc31488"/>
      <w:bookmarkStart w:id="173" w:name="_Toc20282"/>
      <w:r>
        <w:rPr>
          <w:rFonts w:hint="eastAsia" w:ascii="宋体" w:hAnsi="宋体" w:eastAsia="宋体" w:cs="宋体"/>
          <w:b/>
          <w:color w:val="auto"/>
          <w:kern w:val="2"/>
          <w:sz w:val="24"/>
          <w:szCs w:val="24"/>
          <w:highlight w:val="none"/>
          <w:lang w:val="en-US" w:eastAsia="zh-CN" w:bidi="ar-SA"/>
        </w:rPr>
        <w:t>三、商务部分</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FE057F2">
      <w:pPr>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（一）商务响应偏离表                                </w:t>
      </w:r>
    </w:p>
    <w:p w14:paraId="773CCC29">
      <w:pPr>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磋商项目名称：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1BD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B886FBA">
            <w:pPr>
              <w:snapToGrid w:val="0"/>
              <w:spacing w:line="360" w:lineRule="auto"/>
              <w:ind w:firstLine="46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9" w:type="dxa"/>
            <w:noWrap w:val="0"/>
            <w:vAlign w:val="center"/>
          </w:tcPr>
          <w:p w14:paraId="1E487B10">
            <w:pPr>
              <w:tabs>
                <w:tab w:val="left" w:pos="6300"/>
              </w:tabs>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磋商项目商务需求</w:t>
            </w:r>
          </w:p>
        </w:tc>
        <w:tc>
          <w:tcPr>
            <w:tcW w:w="2434" w:type="dxa"/>
            <w:noWrap w:val="0"/>
            <w:vAlign w:val="center"/>
          </w:tcPr>
          <w:p w14:paraId="1C1368E4">
            <w:pPr>
              <w:tabs>
                <w:tab w:val="left" w:pos="6300"/>
              </w:tabs>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2355" w:type="dxa"/>
            <w:noWrap w:val="0"/>
            <w:vAlign w:val="center"/>
          </w:tcPr>
          <w:p w14:paraId="0D4C7570">
            <w:pPr>
              <w:tabs>
                <w:tab w:val="left" w:pos="6300"/>
              </w:tabs>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44E0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E8AE593">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179" w:type="dxa"/>
            <w:noWrap w:val="0"/>
            <w:vAlign w:val="center"/>
          </w:tcPr>
          <w:p w14:paraId="3E67F0BC">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34" w:type="dxa"/>
            <w:noWrap w:val="0"/>
            <w:vAlign w:val="center"/>
          </w:tcPr>
          <w:p w14:paraId="020D2A47">
            <w:pPr>
              <w:tabs>
                <w:tab w:val="left" w:pos="6300"/>
              </w:tabs>
              <w:snapToGrid w:val="0"/>
              <w:spacing w:line="360" w:lineRule="auto"/>
              <w:jc w:val="both"/>
              <w:outlineLvl w:val="0"/>
              <w:rPr>
                <w:rFonts w:hint="eastAsia" w:ascii="宋体" w:hAnsi="宋体" w:eastAsia="宋体" w:cs="宋体"/>
                <w:color w:val="auto"/>
                <w:sz w:val="24"/>
                <w:szCs w:val="24"/>
                <w:highlight w:val="none"/>
              </w:rPr>
            </w:pPr>
          </w:p>
        </w:tc>
        <w:tc>
          <w:tcPr>
            <w:tcW w:w="2355" w:type="dxa"/>
            <w:noWrap w:val="0"/>
            <w:vAlign w:val="center"/>
          </w:tcPr>
          <w:p w14:paraId="79DE47D7">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108A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BC1D726">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179" w:type="dxa"/>
            <w:noWrap w:val="0"/>
            <w:vAlign w:val="center"/>
          </w:tcPr>
          <w:p w14:paraId="6DCCDE0F">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34" w:type="dxa"/>
            <w:noWrap w:val="0"/>
            <w:vAlign w:val="center"/>
          </w:tcPr>
          <w:p w14:paraId="7D44C16E">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355" w:type="dxa"/>
            <w:noWrap w:val="0"/>
            <w:vAlign w:val="center"/>
          </w:tcPr>
          <w:p w14:paraId="4C26F52E">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703C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BFA597B">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179" w:type="dxa"/>
            <w:noWrap w:val="0"/>
            <w:vAlign w:val="center"/>
          </w:tcPr>
          <w:p w14:paraId="0AF4372F">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34" w:type="dxa"/>
            <w:noWrap w:val="0"/>
            <w:vAlign w:val="center"/>
          </w:tcPr>
          <w:p w14:paraId="68041B2F">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355" w:type="dxa"/>
            <w:noWrap w:val="0"/>
            <w:vAlign w:val="center"/>
          </w:tcPr>
          <w:p w14:paraId="419E376E">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43EB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626C1A2">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179" w:type="dxa"/>
            <w:noWrap w:val="0"/>
            <w:vAlign w:val="center"/>
          </w:tcPr>
          <w:p w14:paraId="076C43FF">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34" w:type="dxa"/>
            <w:noWrap w:val="0"/>
            <w:vAlign w:val="center"/>
          </w:tcPr>
          <w:p w14:paraId="55373085">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355" w:type="dxa"/>
            <w:noWrap w:val="0"/>
            <w:vAlign w:val="center"/>
          </w:tcPr>
          <w:p w14:paraId="2C2D7936">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4EEF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0098671">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179" w:type="dxa"/>
            <w:noWrap w:val="0"/>
            <w:vAlign w:val="center"/>
          </w:tcPr>
          <w:p w14:paraId="09CDD70B">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34" w:type="dxa"/>
            <w:noWrap w:val="0"/>
            <w:vAlign w:val="center"/>
          </w:tcPr>
          <w:p w14:paraId="742CC8CC">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355" w:type="dxa"/>
            <w:noWrap w:val="0"/>
            <w:vAlign w:val="center"/>
          </w:tcPr>
          <w:p w14:paraId="233F9A31">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r w14:paraId="3DC0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85A8FB0">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3179" w:type="dxa"/>
            <w:noWrap w:val="0"/>
            <w:vAlign w:val="center"/>
          </w:tcPr>
          <w:p w14:paraId="1477FCAA">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434" w:type="dxa"/>
            <w:noWrap w:val="0"/>
            <w:vAlign w:val="center"/>
          </w:tcPr>
          <w:p w14:paraId="70A3ECEC">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c>
          <w:tcPr>
            <w:tcW w:w="2355" w:type="dxa"/>
            <w:noWrap w:val="0"/>
            <w:vAlign w:val="center"/>
          </w:tcPr>
          <w:p w14:paraId="426D8FE0">
            <w:pPr>
              <w:tabs>
                <w:tab w:val="left" w:pos="6300"/>
              </w:tabs>
              <w:snapToGrid w:val="0"/>
              <w:spacing w:line="360" w:lineRule="auto"/>
              <w:jc w:val="center"/>
              <w:outlineLvl w:val="0"/>
              <w:rPr>
                <w:rFonts w:hint="eastAsia" w:ascii="宋体" w:hAnsi="宋体" w:eastAsia="宋体" w:cs="宋体"/>
                <w:color w:val="auto"/>
                <w:sz w:val="24"/>
                <w:szCs w:val="24"/>
                <w:highlight w:val="none"/>
              </w:rPr>
            </w:pPr>
          </w:p>
        </w:tc>
      </w:tr>
    </w:tbl>
    <w:p w14:paraId="2F426751">
      <w:pPr>
        <w:snapToGrid w:val="0"/>
        <w:spacing w:line="360" w:lineRule="auto"/>
        <w:ind w:firstLine="465"/>
        <w:jc w:val="both"/>
        <w:rPr>
          <w:rFonts w:hint="eastAsia" w:ascii="宋体" w:hAnsi="宋体" w:eastAsia="宋体" w:cs="宋体"/>
          <w:color w:val="auto"/>
          <w:sz w:val="24"/>
          <w:szCs w:val="24"/>
          <w:highlight w:val="none"/>
        </w:rPr>
      </w:pPr>
    </w:p>
    <w:p w14:paraId="3C602642">
      <w:pPr>
        <w:spacing w:line="500" w:lineRule="exact"/>
        <w:ind w:firstLine="600" w:firstLineChars="2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法定代表人（或其授权代表）或自然人：</w:t>
      </w:r>
    </w:p>
    <w:p w14:paraId="53AD87EC">
      <w:pPr>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F31B084">
      <w:pPr>
        <w:spacing w:line="500" w:lineRule="exact"/>
        <w:ind w:firstLine="360" w:firstLineChars="1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（签署或盖章）</w:t>
      </w:r>
    </w:p>
    <w:p w14:paraId="6F26AAC8">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260CFB1">
      <w:pPr>
        <w:tabs>
          <w:tab w:val="left" w:pos="6300"/>
        </w:tabs>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1381301">
      <w:pPr>
        <w:tabs>
          <w:tab w:val="left" w:pos="6300"/>
        </w:tabs>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  项目商务需求”中所列条款进行比较和响应；</w:t>
      </w:r>
    </w:p>
    <w:p w14:paraId="1C4ABBCB">
      <w:pPr>
        <w:snapToGrid w:val="0"/>
        <w:spacing w:line="400" w:lineRule="exact"/>
        <w:ind w:firstLine="480" w:firstLineChars="200"/>
        <w:rPr>
          <w:rFonts w:hint="eastAsia" w:ascii="宋体" w:hAnsi="宋体" w:eastAsia="宋体" w:cs="宋体"/>
          <w:b/>
          <w:color w:val="auto"/>
          <w:sz w:val="24"/>
          <w:szCs w:val="24"/>
          <w:highlight w:val="none"/>
        </w:rPr>
        <w:sectPr>
          <w:headerReference r:id="rId7"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highlight w:val="none"/>
        </w:rPr>
        <w:t>2.本表可扩展。</w:t>
      </w:r>
    </w:p>
    <w:p w14:paraId="7F4C0415">
      <w:pPr>
        <w:spacing w:line="400" w:lineRule="exact"/>
        <w:ind w:firstLine="480" w:firstLineChars="200"/>
        <w:jc w:val="both"/>
        <w:rPr>
          <w:rFonts w:hint="eastAsia" w:ascii="宋体" w:hAnsi="宋体" w:eastAsia="宋体" w:cs="宋体"/>
          <w:color w:val="auto"/>
          <w:sz w:val="24"/>
          <w:szCs w:val="24"/>
          <w:highlight w:val="none"/>
        </w:rPr>
      </w:pPr>
      <w:bookmarkStart w:id="174" w:name="_Toc283382459"/>
    </w:p>
    <w:p w14:paraId="185800B4">
      <w:pPr>
        <w:numPr>
          <w:ilvl w:val="0"/>
          <w:numId w:val="0"/>
        </w:numPr>
        <w:snapToGrid w:val="0"/>
        <w:spacing w:line="400" w:lineRule="exact"/>
        <w:ind w:left="540" w:leftChars="0"/>
        <w:jc w:val="both"/>
        <w:rPr>
          <w:rFonts w:hint="eastAsia" w:ascii="宋体" w:hAnsi="宋体" w:eastAsia="宋体" w:cs="宋体"/>
          <w:color w:val="auto"/>
          <w:sz w:val="24"/>
          <w:szCs w:val="24"/>
          <w:highlight w:val="none"/>
          <w:lang w:val="en-US" w:eastAsia="zh-CN"/>
        </w:rPr>
      </w:pPr>
    </w:p>
    <w:p w14:paraId="5D458087">
      <w:pPr>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（三）其它优惠服务承诺（格式自定）</w:t>
      </w:r>
    </w:p>
    <w:p w14:paraId="0B73C89E">
      <w:pPr>
        <w:numPr>
          <w:ilvl w:val="0"/>
          <w:numId w:val="0"/>
        </w:numPr>
        <w:snapToGrid w:val="0"/>
        <w:spacing w:line="400" w:lineRule="exact"/>
        <w:ind w:left="0" w:leftChars="0" w:firstLine="54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bookmarkEnd w:id="174"/>
      <w:bookmarkStart w:id="175" w:name="_Toc18306"/>
      <w:bookmarkStart w:id="176" w:name="_Toc342913422"/>
      <w:bookmarkStart w:id="177" w:name="_Toc7222"/>
      <w:bookmarkStart w:id="178" w:name="_Toc313008359"/>
      <w:bookmarkStart w:id="179" w:name="_Toc16664"/>
      <w:bookmarkStart w:id="180" w:name="_Toc23207"/>
      <w:bookmarkStart w:id="181" w:name="_Toc21253"/>
      <w:bookmarkStart w:id="182" w:name="_Toc20624"/>
      <w:bookmarkStart w:id="183" w:name="_Toc2089"/>
      <w:bookmarkStart w:id="184" w:name="_Toc11651"/>
      <w:bookmarkStart w:id="185" w:name="_Toc29857"/>
      <w:bookmarkStart w:id="186" w:name="_Toc8326"/>
      <w:bookmarkStart w:id="187" w:name="_Toc4734"/>
      <w:bookmarkStart w:id="188" w:name="_Toc18450"/>
      <w:bookmarkStart w:id="189" w:name="_Toc313888363"/>
      <w:bookmarkStart w:id="190" w:name="_Toc3573"/>
      <w:bookmarkStart w:id="191" w:name="_Toc25603"/>
      <w:bookmarkStart w:id="192" w:name="_Toc76462353"/>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highlight w:val="none"/>
          <w:lang w:val="en-US" w:eastAsia="zh-CN"/>
        </w:rPr>
        <w:t>商务部分评分证明材料（如有）</w:t>
      </w:r>
    </w:p>
    <w:p w14:paraId="11AFCE74">
      <w:pPr>
        <w:adjustRightInd w:val="0"/>
        <w:snapToGrid w:val="0"/>
        <w:spacing w:before="0" w:after="0" w:line="4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14:paraId="023ADCFD">
      <w:pPr>
        <w:keepNext/>
        <w:keepLines/>
        <w:widowControl w:val="0"/>
        <w:adjustRightInd w:val="0"/>
        <w:snapToGrid w:val="0"/>
        <w:spacing w:before="0" w:beforeLines="0" w:beforeAutospacing="0" w:after="0" w:afterLines="0" w:afterAutospacing="0" w:line="400" w:lineRule="exact"/>
        <w:ind w:firstLine="482" w:firstLineChars="200"/>
        <w:jc w:val="both"/>
        <w:outlineLvl w:val="1"/>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四、资格条件</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EB06AA8">
      <w:pPr>
        <w:tabs>
          <w:tab w:val="left" w:pos="6300"/>
        </w:tabs>
        <w:snapToGrid w:val="0"/>
        <w:spacing w:line="4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4CF18522">
      <w:pPr>
        <w:tabs>
          <w:tab w:val="left" w:pos="6300"/>
        </w:tabs>
        <w:snapToGrid w:val="0"/>
        <w:spacing w:line="400" w:lineRule="exact"/>
        <w:ind w:firstLine="570"/>
        <w:jc w:val="both"/>
        <w:rPr>
          <w:rFonts w:hint="eastAsia" w:ascii="宋体" w:hAnsi="宋体" w:eastAsia="宋体" w:cs="宋体"/>
          <w:color w:val="auto"/>
          <w:sz w:val="24"/>
          <w:szCs w:val="24"/>
          <w:highlight w:val="none"/>
        </w:rPr>
      </w:pPr>
    </w:p>
    <w:p w14:paraId="2662A343">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336ED867">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0FE96D41">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48D882F2">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017CB370">
      <w:pPr>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（二）法定代表人身份证明书（格式）</w:t>
      </w:r>
    </w:p>
    <w:p w14:paraId="34E9085F">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6CFB4F06">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r>
        <w:rPr>
          <w:rFonts w:hint="eastAsia" w:ascii="宋体" w:hAnsi="宋体" w:eastAsia="宋体" w:cs="宋体"/>
          <w:color w:val="auto"/>
          <w:sz w:val="24"/>
          <w:szCs w:val="24"/>
          <w:highlight w:val="none"/>
          <w:u w:val="single"/>
        </w:rPr>
        <w:t xml:space="preserve">                                                </w:t>
      </w:r>
    </w:p>
    <w:p w14:paraId="7D715848">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61AD0BFB">
      <w:pPr>
        <w:tabs>
          <w:tab w:val="left" w:pos="6300"/>
        </w:tabs>
        <w:snapToGrid w:val="0"/>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40A1362E">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25732F85">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7800D61A">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E6DC1FF">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31E9DFB8">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5AACAE6C">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0DE788F0">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14:paraId="755854FA">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4EC27B12">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7DD96DF">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法定代表人电话：XXXXXXX      电子邮箱：XXXXXX@XXXXX（若授权他人办理并签署响应文件的可不填写）</w:t>
      </w:r>
    </w:p>
    <w:p w14:paraId="3192499E">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5E588F34">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2BF62442">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10744A69">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60A3E513">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76AB3A9D">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472A964D">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08E93951">
      <w:pPr>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（三）法定代表人授权委托书（格式）</w:t>
      </w:r>
    </w:p>
    <w:p w14:paraId="099DCF66">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1CE8117">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r>
        <w:rPr>
          <w:rFonts w:hint="eastAsia" w:ascii="宋体" w:hAnsi="宋体" w:eastAsia="宋体" w:cs="宋体"/>
          <w:color w:val="auto"/>
          <w:sz w:val="24"/>
          <w:szCs w:val="24"/>
          <w:highlight w:val="none"/>
          <w:u w:val="single"/>
        </w:rPr>
        <w:t xml:space="preserve">                                                </w:t>
      </w:r>
    </w:p>
    <w:p w14:paraId="4FFEF294">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6BCCF7EA">
      <w:pPr>
        <w:tabs>
          <w:tab w:val="left" w:pos="6300"/>
        </w:tabs>
        <w:snapToGrid w:val="0"/>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7E224B43">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（被授权人姓名及身份证代码）代表我单位全权办理上述项目的磋商、签约等具体工作，并签署全部有关文件、协议及合同。</w:t>
      </w:r>
    </w:p>
    <w:p w14:paraId="7FDB1F3C">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我单位对被授权人的签署负全部责任。</w:t>
      </w:r>
    </w:p>
    <w:p w14:paraId="1D1BA23A">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77E634C0">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775A6C0D">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69C47494">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供应商法定代表人：</w:t>
      </w:r>
    </w:p>
    <w:p w14:paraId="779906F6">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（签署或盖章）                                （签署或盖章）</w:t>
      </w:r>
    </w:p>
    <w:p w14:paraId="3149545F">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76B856B3">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56712346">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041F15E8">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301A617">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0608A848">
      <w:pPr>
        <w:tabs>
          <w:tab w:val="left" w:pos="6300"/>
        </w:tabs>
        <w:snapToGrid w:val="0"/>
        <w:spacing w:line="500" w:lineRule="exact"/>
        <w:ind w:firstLine="570"/>
        <w:jc w:val="both"/>
        <w:rPr>
          <w:rFonts w:hint="eastAsia" w:ascii="宋体" w:hAnsi="宋体" w:eastAsia="宋体" w:cs="宋体"/>
          <w:color w:val="auto"/>
          <w:sz w:val="24"/>
          <w:szCs w:val="24"/>
          <w:highlight w:val="none"/>
        </w:rPr>
      </w:pPr>
    </w:p>
    <w:p w14:paraId="6EE28A2B">
      <w:pPr>
        <w:tabs>
          <w:tab w:val="left" w:pos="6300"/>
        </w:tabs>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5625A0B">
      <w:pPr>
        <w:tabs>
          <w:tab w:val="left" w:pos="6300"/>
        </w:tabs>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E1652B6">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right="480" w:firstLine="5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被授权人电话：XXXXXXX     电子邮箱：XXXXXX@XXXXX（若法定代表人办理并签署响应文件的可不填写）</w:t>
      </w:r>
    </w:p>
    <w:p w14:paraId="11AE1087">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right="480" w:firstLine="5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9AB66BD">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right="480" w:firstLine="573"/>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1.若为法定代表人办理并签署响应文件的，不提供此文件。</w:t>
      </w:r>
    </w:p>
    <w:p w14:paraId="496AE4F2">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73"/>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szCs w:val="24"/>
          <w:highlight w:val="none"/>
        </w:rPr>
        <w:t>出具。</w:t>
      </w:r>
    </w:p>
    <w:p w14:paraId="196C162A">
      <w:pPr>
        <w:tabs>
          <w:tab w:val="left" w:pos="6300"/>
        </w:tabs>
        <w:snapToGrid w:val="0"/>
        <w:spacing w:line="500" w:lineRule="exact"/>
        <w:ind w:firstLine="57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（四）基本资格条件承诺函</w:t>
      </w:r>
    </w:p>
    <w:p w14:paraId="03DBBFB8">
      <w:pPr>
        <w:tabs>
          <w:tab w:val="left" w:pos="6300"/>
        </w:tabs>
        <w:snapToGrid w:val="0"/>
        <w:spacing w:line="50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基本资格条件承诺函</w:t>
      </w:r>
    </w:p>
    <w:p w14:paraId="55F15880">
      <w:pPr>
        <w:tabs>
          <w:tab w:val="left" w:pos="6300"/>
        </w:tabs>
        <w:snapToGrid w:val="0"/>
        <w:spacing w:line="530" w:lineRule="exact"/>
        <w:jc w:val="both"/>
        <w:rPr>
          <w:rFonts w:hint="eastAsia" w:ascii="宋体" w:hAnsi="宋体" w:eastAsia="宋体" w:cs="宋体"/>
          <w:color w:val="auto"/>
          <w:sz w:val="24"/>
          <w:szCs w:val="24"/>
          <w:highlight w:val="none"/>
        </w:rPr>
      </w:pPr>
    </w:p>
    <w:p w14:paraId="43612714">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743CB362">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2C6E4ED8">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64092001">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C9C91B5">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18DEA502">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64E1380C">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85E9CBA">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p>
    <w:p w14:paraId="465F6FE6">
      <w:pPr>
        <w:tabs>
          <w:tab w:val="left" w:pos="6300"/>
        </w:tabs>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B0EA8F7">
      <w:pPr>
        <w:tabs>
          <w:tab w:val="left" w:pos="6300"/>
        </w:tabs>
        <w:snapToGrid w:val="0"/>
        <w:spacing w:line="500" w:lineRule="exact"/>
        <w:ind w:firstLine="7920" w:firstLineChars="3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C88A85F">
      <w:pPr>
        <w:snapToGrid w:val="0"/>
        <w:spacing w:line="40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（五）特定资格条件证书或证明文件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如有要求</w:t>
      </w:r>
      <w:r>
        <w:rPr>
          <w:rFonts w:hint="eastAsia" w:ascii="宋体" w:hAnsi="宋体" w:eastAsia="宋体" w:cs="宋体"/>
          <w:color w:val="auto"/>
          <w:sz w:val="24"/>
          <w:szCs w:val="24"/>
          <w:highlight w:val="none"/>
          <w:lang w:eastAsia="zh-CN"/>
        </w:rPr>
        <w:t>）</w:t>
      </w:r>
    </w:p>
    <w:p w14:paraId="6822796B">
      <w:pPr>
        <w:tabs>
          <w:tab w:val="left" w:pos="6300"/>
        </w:tabs>
        <w:snapToGrid w:val="0"/>
        <w:spacing w:line="400" w:lineRule="exact"/>
        <w:ind w:firstLine="480" w:firstLineChars="200"/>
        <w:jc w:val="both"/>
        <w:rPr>
          <w:rFonts w:hint="eastAsia" w:ascii="宋体" w:hAnsi="宋体" w:eastAsia="宋体" w:cs="宋体"/>
          <w:color w:val="auto"/>
          <w:sz w:val="24"/>
          <w:szCs w:val="24"/>
          <w:highlight w:val="none"/>
        </w:rPr>
      </w:pPr>
    </w:p>
    <w:p w14:paraId="768A3B14">
      <w:pPr>
        <w:keepNext/>
        <w:keepLines/>
        <w:widowControl w:val="0"/>
        <w:adjustRightInd w:val="0"/>
        <w:snapToGrid w:val="0"/>
        <w:spacing w:before="0" w:beforeLines="0" w:beforeAutospacing="0" w:after="0" w:afterLines="0" w:afterAutospacing="0" w:line="400" w:lineRule="exact"/>
        <w:ind w:firstLine="480" w:firstLineChars="200"/>
        <w:jc w:val="both"/>
        <w:outlineLvl w:val="1"/>
        <w:rPr>
          <w:rFonts w:hint="eastAsia" w:ascii="宋体" w:hAnsi="宋体" w:eastAsia="宋体" w:cs="宋体"/>
          <w:b/>
          <w:color w:val="auto"/>
          <w:kern w:val="2"/>
          <w:sz w:val="24"/>
          <w:szCs w:val="24"/>
          <w:highlight w:val="none"/>
          <w:lang w:val="en-US" w:eastAsia="zh-CN" w:bidi="ar-SA"/>
        </w:rPr>
      </w:pPr>
      <w:bookmarkStart w:id="193" w:name="_Toc14422"/>
      <w:r>
        <w:rPr>
          <w:rFonts w:hint="eastAsia" w:ascii="宋体" w:hAnsi="宋体" w:eastAsia="宋体" w:cs="宋体"/>
          <w:b w:val="0"/>
          <w:color w:val="auto"/>
          <w:kern w:val="2"/>
          <w:sz w:val="24"/>
          <w:szCs w:val="24"/>
          <w:highlight w:val="none"/>
          <w:lang w:val="en-US" w:eastAsia="zh-CN" w:bidi="ar-SA"/>
        </w:rPr>
        <w:br w:type="page"/>
      </w:r>
      <w:bookmarkStart w:id="194" w:name="_Toc6136"/>
      <w:bookmarkStart w:id="195" w:name="_Toc7469"/>
      <w:bookmarkStart w:id="196" w:name="_Toc7648"/>
      <w:bookmarkStart w:id="197" w:name="_Toc23426"/>
      <w:bookmarkStart w:id="198" w:name="_Toc18990"/>
      <w:bookmarkStart w:id="199" w:name="_Toc76462354"/>
      <w:bookmarkStart w:id="200" w:name="_Toc4619"/>
      <w:bookmarkStart w:id="201" w:name="_Toc4391"/>
      <w:bookmarkStart w:id="202" w:name="_Toc23638"/>
      <w:bookmarkStart w:id="203" w:name="_Toc14766"/>
      <w:bookmarkStart w:id="204" w:name="_Toc29225"/>
      <w:bookmarkStart w:id="205" w:name="_Toc2928"/>
      <w:bookmarkStart w:id="206" w:name="_Toc26601"/>
      <w:bookmarkStart w:id="207" w:name="_Toc23955"/>
      <w:bookmarkStart w:id="208" w:name="_Toc21342"/>
      <w:r>
        <w:rPr>
          <w:rFonts w:hint="eastAsia" w:ascii="宋体" w:hAnsi="宋体" w:eastAsia="宋体" w:cs="宋体"/>
          <w:b/>
          <w:color w:val="auto"/>
          <w:kern w:val="2"/>
          <w:sz w:val="24"/>
          <w:szCs w:val="24"/>
          <w:highlight w:val="none"/>
          <w:lang w:val="en-US" w:eastAsia="zh-CN" w:bidi="ar-SA"/>
        </w:rPr>
        <w:t>五、其他资料</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594F13F9">
      <w:pPr>
        <w:tabs>
          <w:tab w:val="left" w:pos="6300"/>
        </w:tabs>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0473426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w:t>
      </w:r>
    </w:p>
    <w:p w14:paraId="13F1CFCF">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i/>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46C08688">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7DD8FEF">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为本标的提供的服务人员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人，其中与本企业签订劳动合同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人，其他人员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人。有其他人员的不符合中小企业扶持政策（适用于服务采购项目）;</w:t>
      </w:r>
    </w:p>
    <w:p w14:paraId="227578E5">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color w:val="auto"/>
          <w:sz w:val="24"/>
          <w:szCs w:val="24"/>
          <w:highlight w:val="none"/>
          <w:u w:val="single"/>
        </w:rPr>
        <w:t xml:space="preserve"> （标的名称）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AE872F1">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为本标的提供的服务人员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人，其中与本企业签订劳动合同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人，其他人员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人。有其他人员的不符合中小企业扶持政策（适用于服务采购项目）;</w:t>
      </w:r>
    </w:p>
    <w:p w14:paraId="1F1059C3">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2B69F13">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E6F0CD3">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6C926C3">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88FE0B">
      <w:pPr>
        <w:tabs>
          <w:tab w:val="left" w:pos="6300"/>
        </w:tabs>
        <w:snapToGrid w:val="0"/>
        <w:spacing w:line="500" w:lineRule="exact"/>
        <w:ind w:firstLine="6120" w:firstLineChars="25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4BADB8B">
      <w:pPr>
        <w:tabs>
          <w:tab w:val="left" w:pos="6300"/>
        </w:tabs>
        <w:snapToGrid w:val="0"/>
        <w:spacing w:line="500" w:lineRule="exact"/>
        <w:ind w:right="784" w:firstLine="6120" w:firstLineChars="25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372A1EC">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p>
    <w:p w14:paraId="20E3748E">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若供应商成交的，将在结果公告时公告其《中小企业声明函》。</w:t>
      </w:r>
    </w:p>
    <w:p w14:paraId="599BFF01">
      <w:pPr>
        <w:tabs>
          <w:tab w:val="left" w:pos="6300"/>
        </w:tabs>
        <w:snapToGrid w:val="0"/>
        <w:jc w:val="both"/>
        <w:rPr>
          <w:rFonts w:hint="eastAsia" w:ascii="宋体" w:hAnsi="宋体" w:eastAsia="宋体" w:cs="宋体"/>
          <w:color w:val="auto"/>
          <w:kern w:val="0"/>
          <w:sz w:val="24"/>
          <w:szCs w:val="24"/>
          <w:highlight w:val="none"/>
        </w:rPr>
      </w:pPr>
    </w:p>
    <w:p w14:paraId="7403F7F9">
      <w:pPr>
        <w:tabs>
          <w:tab w:val="left" w:pos="6300"/>
        </w:tabs>
        <w:snapToGrid w:val="0"/>
        <w:jc w:val="both"/>
        <w:rPr>
          <w:rFonts w:hint="eastAsia" w:ascii="宋体" w:hAnsi="宋体" w:eastAsia="宋体" w:cs="宋体"/>
          <w:color w:val="auto"/>
          <w:kern w:val="0"/>
          <w:sz w:val="24"/>
          <w:szCs w:val="24"/>
          <w:highlight w:val="none"/>
        </w:rPr>
      </w:pPr>
    </w:p>
    <w:p w14:paraId="483B7B93">
      <w:pPr>
        <w:tabs>
          <w:tab w:val="left" w:pos="6300"/>
        </w:tabs>
        <w:snapToGrid w:val="0"/>
        <w:jc w:val="both"/>
        <w:rPr>
          <w:rFonts w:hint="eastAsia" w:ascii="宋体" w:hAnsi="宋体" w:eastAsia="宋体" w:cs="宋体"/>
          <w:color w:val="auto"/>
          <w:kern w:val="0"/>
          <w:sz w:val="24"/>
          <w:szCs w:val="24"/>
          <w:highlight w:val="none"/>
        </w:rPr>
      </w:pPr>
    </w:p>
    <w:p w14:paraId="6C51B1F9">
      <w:pPr>
        <w:tabs>
          <w:tab w:val="left" w:pos="6300"/>
        </w:tabs>
        <w:snapToGrid w:val="0"/>
        <w:jc w:val="both"/>
        <w:rPr>
          <w:rFonts w:hint="eastAsia" w:ascii="宋体" w:hAnsi="宋体" w:eastAsia="宋体" w:cs="宋体"/>
          <w:color w:val="auto"/>
          <w:kern w:val="0"/>
          <w:sz w:val="24"/>
          <w:szCs w:val="24"/>
          <w:highlight w:val="none"/>
        </w:rPr>
      </w:pPr>
    </w:p>
    <w:p w14:paraId="3CFF0EF0">
      <w:pPr>
        <w:tabs>
          <w:tab w:val="left" w:pos="6300"/>
        </w:tabs>
        <w:snapToGrid w:val="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填写时应注意以下事项：</w:t>
      </w:r>
    </w:p>
    <w:p w14:paraId="126CC045">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1.从业人员、营业收入、资产总额填报上一年度数据，无上一年度数据的新成立企业可不填报。</w:t>
      </w:r>
    </w:p>
    <w:p w14:paraId="3AFD38D9">
      <w:pPr>
        <w:tabs>
          <w:tab w:val="left" w:pos="6300"/>
        </w:tabs>
        <w:snapToGrid w:val="0"/>
        <w:ind w:firstLine="482" w:firstLineChars="20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2.中小企业应当按照《中小企业划型标准规定》（工信部联企业〔2011〕300号），如实填写并提交《中小企业声明函》。</w:t>
      </w:r>
    </w:p>
    <w:p w14:paraId="217FDA35">
      <w:pPr>
        <w:tabs>
          <w:tab w:val="left" w:pos="6300"/>
        </w:tabs>
        <w:snapToGrid w:val="0"/>
        <w:ind w:firstLine="482" w:firstLineChars="20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3.供应商填写《中小企业声明函》中所属行业时，应与采购文件第一篇“采购标的对应的中小企业划分标准所属行业”中填写的所属行业一致。</w:t>
      </w:r>
    </w:p>
    <w:p w14:paraId="36C62DC0">
      <w:pPr>
        <w:tabs>
          <w:tab w:val="left" w:pos="6300"/>
        </w:tabs>
        <w:snapToGrid w:val="0"/>
        <w:ind w:firstLine="482" w:firstLineChars="20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4.本声明函“企业名称（盖章）”处为供应商盖章。</w:t>
      </w:r>
    </w:p>
    <w:p w14:paraId="2039DE67">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注：各行业划型标准：</w:t>
      </w:r>
    </w:p>
    <w:p w14:paraId="743EB05C">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12BB41D8">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4B9B6C">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5F8EC36">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7BD5BE4">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2E2495">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E819F42">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085C4D7">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7FD9240">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7F0EEE">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8A6ED8">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C612E18">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15CB691">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405FD9E">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536A69">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21D23FD">
      <w:pPr>
        <w:tabs>
          <w:tab w:val="left" w:pos="6300"/>
        </w:tabs>
        <w:snapToGrid w:val="0"/>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6E418A4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监狱企业证明文件</w:t>
      </w:r>
    </w:p>
    <w:p w14:paraId="7DC7CA41">
      <w:pPr>
        <w:tabs>
          <w:tab w:val="left" w:pos="6300"/>
        </w:tabs>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以省级以上监狱管理局、戒毒管理局（含新疆生产建设兵团）出具的属于监狱企业的证明文件为准。</w:t>
      </w:r>
    </w:p>
    <w:p w14:paraId="3564F872">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残疾人福利性单位声明函</w:t>
      </w:r>
    </w:p>
    <w:p w14:paraId="653DE639">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8A8AC6">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0584BC5B">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p>
    <w:p w14:paraId="01279593">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p>
    <w:p w14:paraId="08D5753C">
      <w:pPr>
        <w:tabs>
          <w:tab w:val="left" w:pos="6300"/>
        </w:tabs>
        <w:snapToGrid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供应商名称（盖章）：</w:t>
      </w:r>
    </w:p>
    <w:p w14:paraId="0A318E4A">
      <w:pPr>
        <w:snapToGrid w:val="0"/>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18570CF3">
      <w:pPr>
        <w:snapToGrid w:val="0"/>
        <w:spacing w:line="440" w:lineRule="exact"/>
        <w:ind w:firstLine="480" w:firstLineChars="200"/>
        <w:jc w:val="both"/>
        <w:rPr>
          <w:rFonts w:hint="eastAsia" w:ascii="宋体" w:hAnsi="宋体" w:eastAsia="宋体" w:cs="宋体"/>
          <w:color w:val="auto"/>
          <w:sz w:val="24"/>
          <w:szCs w:val="24"/>
          <w:highlight w:val="none"/>
        </w:rPr>
      </w:pPr>
    </w:p>
    <w:p w14:paraId="4FE862CB">
      <w:pPr>
        <w:snapToGrid w:val="0"/>
        <w:spacing w:line="440" w:lineRule="exact"/>
        <w:ind w:firstLine="480" w:firstLineChars="200"/>
        <w:jc w:val="both"/>
        <w:rPr>
          <w:rFonts w:hint="eastAsia" w:ascii="宋体" w:hAnsi="宋体" w:eastAsia="宋体" w:cs="宋体"/>
          <w:color w:val="auto"/>
          <w:sz w:val="24"/>
          <w:szCs w:val="24"/>
          <w:highlight w:val="none"/>
        </w:rPr>
      </w:pPr>
    </w:p>
    <w:p w14:paraId="11768CBB">
      <w:pPr>
        <w:snapToGrid w:val="0"/>
        <w:spacing w:line="440" w:lineRule="exact"/>
        <w:ind w:firstLine="480" w:firstLineChars="200"/>
        <w:jc w:val="both"/>
        <w:rPr>
          <w:rFonts w:hint="eastAsia" w:ascii="宋体" w:hAnsi="宋体" w:eastAsia="宋体" w:cs="宋体"/>
          <w:color w:val="auto"/>
          <w:sz w:val="24"/>
          <w:szCs w:val="24"/>
          <w:highlight w:val="none"/>
        </w:rPr>
      </w:pPr>
    </w:p>
    <w:p w14:paraId="1DB0003A">
      <w:pPr>
        <w:snapToGrid w:val="0"/>
        <w:spacing w:line="440" w:lineRule="exact"/>
        <w:ind w:firstLine="480" w:firstLineChars="200"/>
        <w:jc w:val="both"/>
        <w:rPr>
          <w:rFonts w:hint="eastAsia" w:ascii="宋体" w:hAnsi="宋体" w:eastAsia="宋体" w:cs="宋体"/>
          <w:color w:val="auto"/>
          <w:sz w:val="24"/>
          <w:szCs w:val="24"/>
          <w:highlight w:val="none"/>
        </w:rPr>
      </w:pPr>
    </w:p>
    <w:p w14:paraId="2CABA541">
      <w:pPr>
        <w:snapToGrid w:val="0"/>
        <w:spacing w:line="440" w:lineRule="exact"/>
        <w:ind w:firstLine="480" w:firstLineChars="200"/>
        <w:jc w:val="both"/>
        <w:rPr>
          <w:rFonts w:hint="eastAsia" w:ascii="宋体" w:hAnsi="宋体" w:eastAsia="宋体" w:cs="宋体"/>
          <w:color w:val="auto"/>
          <w:sz w:val="24"/>
          <w:szCs w:val="24"/>
          <w:highlight w:val="none"/>
        </w:rPr>
      </w:pPr>
    </w:p>
    <w:p w14:paraId="4F0FBCF4">
      <w:pPr>
        <w:snapToGrid w:val="0"/>
        <w:spacing w:line="440" w:lineRule="exact"/>
        <w:ind w:firstLine="480" w:firstLineChars="200"/>
        <w:jc w:val="both"/>
        <w:rPr>
          <w:rFonts w:hint="eastAsia" w:ascii="宋体" w:hAnsi="宋体" w:eastAsia="宋体" w:cs="宋体"/>
          <w:color w:val="auto"/>
          <w:sz w:val="24"/>
          <w:szCs w:val="24"/>
          <w:highlight w:val="none"/>
        </w:rPr>
      </w:pPr>
    </w:p>
    <w:p w14:paraId="4D500E8D">
      <w:pPr>
        <w:snapToGrid w:val="0"/>
        <w:spacing w:line="440" w:lineRule="exact"/>
        <w:ind w:firstLine="480" w:firstLineChars="200"/>
        <w:jc w:val="both"/>
        <w:rPr>
          <w:rFonts w:hint="eastAsia" w:ascii="宋体" w:hAnsi="宋体" w:eastAsia="宋体" w:cs="宋体"/>
          <w:color w:val="auto"/>
          <w:sz w:val="24"/>
          <w:szCs w:val="24"/>
          <w:highlight w:val="none"/>
        </w:rPr>
      </w:pPr>
    </w:p>
    <w:p w14:paraId="6B81955B">
      <w:pPr>
        <w:snapToGrid w:val="0"/>
        <w:spacing w:line="440" w:lineRule="exact"/>
        <w:ind w:firstLine="480" w:firstLineChars="200"/>
        <w:jc w:val="both"/>
        <w:rPr>
          <w:rFonts w:hint="eastAsia" w:ascii="宋体" w:hAnsi="宋体" w:eastAsia="宋体" w:cs="宋体"/>
          <w:color w:val="auto"/>
          <w:sz w:val="24"/>
          <w:szCs w:val="24"/>
          <w:highlight w:val="none"/>
        </w:rPr>
      </w:pPr>
    </w:p>
    <w:p w14:paraId="10DA773A">
      <w:pPr>
        <w:snapToGrid w:val="0"/>
        <w:spacing w:line="440" w:lineRule="exact"/>
        <w:ind w:firstLine="480" w:firstLineChars="200"/>
        <w:jc w:val="both"/>
        <w:rPr>
          <w:rFonts w:hint="eastAsia" w:ascii="宋体" w:hAnsi="宋体" w:eastAsia="宋体" w:cs="宋体"/>
          <w:color w:val="auto"/>
          <w:sz w:val="24"/>
          <w:szCs w:val="24"/>
          <w:highlight w:val="none"/>
        </w:rPr>
      </w:pPr>
    </w:p>
    <w:p w14:paraId="46096FE6">
      <w:pPr>
        <w:snapToGrid w:val="0"/>
        <w:spacing w:line="440" w:lineRule="exact"/>
        <w:ind w:firstLine="480" w:firstLineChars="200"/>
        <w:jc w:val="both"/>
        <w:rPr>
          <w:rFonts w:hint="eastAsia" w:ascii="宋体" w:hAnsi="宋体" w:eastAsia="宋体" w:cs="宋体"/>
          <w:color w:val="auto"/>
          <w:sz w:val="24"/>
          <w:szCs w:val="24"/>
          <w:highlight w:val="none"/>
        </w:rPr>
      </w:pPr>
    </w:p>
    <w:p w14:paraId="3BAC117F">
      <w:pPr>
        <w:snapToGrid w:val="0"/>
        <w:spacing w:line="440" w:lineRule="exact"/>
        <w:ind w:firstLine="480" w:firstLineChars="200"/>
        <w:jc w:val="both"/>
        <w:rPr>
          <w:rFonts w:hint="eastAsia" w:ascii="宋体" w:hAnsi="宋体" w:eastAsia="宋体" w:cs="宋体"/>
          <w:color w:val="auto"/>
          <w:sz w:val="24"/>
          <w:szCs w:val="24"/>
          <w:highlight w:val="none"/>
        </w:rPr>
      </w:pPr>
    </w:p>
    <w:p w14:paraId="47A20A9B">
      <w:pPr>
        <w:snapToGrid w:val="0"/>
        <w:spacing w:line="440" w:lineRule="exact"/>
        <w:ind w:firstLine="480" w:firstLineChars="200"/>
        <w:jc w:val="both"/>
        <w:rPr>
          <w:rFonts w:hint="eastAsia" w:ascii="宋体" w:hAnsi="宋体" w:eastAsia="宋体" w:cs="宋体"/>
          <w:color w:val="auto"/>
          <w:sz w:val="24"/>
          <w:szCs w:val="24"/>
          <w:highlight w:val="none"/>
        </w:rPr>
      </w:pPr>
    </w:p>
    <w:p w14:paraId="2349C91B">
      <w:pPr>
        <w:snapToGrid w:val="0"/>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若成交供应商为残疾人福利性单位的，将在结果公告时公告其《残疾人福利性单位声明函》。</w:t>
      </w:r>
    </w:p>
    <w:p w14:paraId="2B3DB146">
      <w:pPr>
        <w:snapToGrid w:val="0"/>
        <w:spacing w:line="440" w:lineRule="exact"/>
        <w:ind w:firstLine="480" w:firstLineChars="200"/>
        <w:jc w:val="both"/>
        <w:rPr>
          <w:rFonts w:hint="eastAsia" w:ascii="宋体" w:hAnsi="宋体" w:eastAsia="宋体" w:cs="宋体"/>
          <w:color w:val="auto"/>
          <w:sz w:val="24"/>
          <w:szCs w:val="24"/>
          <w:highlight w:val="none"/>
        </w:rPr>
      </w:pPr>
    </w:p>
    <w:p w14:paraId="73E48EBC">
      <w:pPr>
        <w:snapToGri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（二）其他与项目有关的资料</w:t>
      </w:r>
    </w:p>
    <w:p w14:paraId="1DA80188">
      <w:pPr>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p w14:paraId="53D55155">
      <w:pPr>
        <w:spacing w:line="360" w:lineRule="auto"/>
        <w:ind w:firstLine="480" w:firstLineChars="200"/>
        <w:jc w:val="both"/>
        <w:rPr>
          <w:rFonts w:hint="eastAsia" w:ascii="宋体" w:hAnsi="宋体" w:eastAsia="宋体" w:cs="宋体"/>
          <w:color w:val="auto"/>
          <w:sz w:val="24"/>
          <w:szCs w:val="24"/>
          <w:highlight w:val="none"/>
        </w:rPr>
      </w:pPr>
    </w:p>
    <w:p w14:paraId="12D1511F">
      <w:pPr>
        <w:spacing w:line="360" w:lineRule="auto"/>
        <w:ind w:firstLine="480" w:firstLineChars="200"/>
        <w:jc w:val="center"/>
        <w:rPr>
          <w:rFonts w:hint="eastAsia" w:ascii="宋体" w:hAnsi="宋体" w:eastAsia="宋体" w:cs="宋体"/>
          <w:color w:val="auto"/>
          <w:sz w:val="24"/>
          <w:szCs w:val="24"/>
          <w:highlight w:val="none"/>
        </w:rPr>
      </w:pPr>
    </w:p>
    <w:p w14:paraId="05955937">
      <w:pPr>
        <w:spacing w:line="360" w:lineRule="auto"/>
        <w:ind w:firstLine="480" w:firstLineChars="200"/>
        <w:jc w:val="center"/>
        <w:rPr>
          <w:rFonts w:hint="eastAsia" w:ascii="宋体" w:hAnsi="宋体" w:eastAsia="宋体" w:cs="宋体"/>
          <w:color w:val="auto"/>
          <w:sz w:val="24"/>
          <w:szCs w:val="24"/>
          <w:highlight w:val="none"/>
        </w:rPr>
      </w:pPr>
    </w:p>
    <w:p w14:paraId="70A0D090">
      <w:pPr>
        <w:spacing w:line="360" w:lineRule="auto"/>
        <w:ind w:firstLine="480" w:firstLineChars="200"/>
        <w:jc w:val="center"/>
        <w:rPr>
          <w:rFonts w:hint="eastAsia" w:ascii="宋体" w:hAnsi="宋体" w:eastAsia="宋体" w:cs="宋体"/>
          <w:color w:val="auto"/>
          <w:sz w:val="24"/>
          <w:szCs w:val="24"/>
          <w:highlight w:val="none"/>
        </w:rPr>
      </w:pPr>
    </w:p>
    <w:p w14:paraId="2C1ABC3B">
      <w:pPr>
        <w:spacing w:line="360" w:lineRule="auto"/>
        <w:ind w:firstLine="480" w:firstLineChars="200"/>
        <w:jc w:val="center"/>
        <w:rPr>
          <w:rFonts w:hint="eastAsia" w:ascii="宋体" w:hAnsi="宋体" w:eastAsia="宋体" w:cs="宋体"/>
          <w:color w:val="auto"/>
          <w:sz w:val="24"/>
          <w:szCs w:val="24"/>
          <w:highlight w:val="none"/>
        </w:rPr>
      </w:pPr>
    </w:p>
    <w:p w14:paraId="70DB8F32">
      <w:pPr>
        <w:spacing w:line="360" w:lineRule="auto"/>
        <w:ind w:firstLine="480" w:firstLineChars="200"/>
        <w:jc w:val="center"/>
        <w:rPr>
          <w:rFonts w:hint="eastAsia" w:ascii="宋体" w:hAnsi="宋体" w:eastAsia="宋体" w:cs="宋体"/>
          <w:color w:val="auto"/>
          <w:sz w:val="24"/>
          <w:szCs w:val="24"/>
          <w:highlight w:val="none"/>
        </w:rPr>
      </w:pPr>
    </w:p>
    <w:p w14:paraId="0289088F">
      <w:pPr>
        <w:spacing w:line="360" w:lineRule="auto"/>
        <w:ind w:firstLine="480" w:firstLineChars="200"/>
        <w:jc w:val="center"/>
        <w:rPr>
          <w:rFonts w:hint="eastAsia" w:ascii="宋体" w:hAnsi="宋体" w:eastAsia="宋体" w:cs="宋体"/>
          <w:color w:val="auto"/>
          <w:sz w:val="24"/>
          <w:szCs w:val="24"/>
          <w:highlight w:val="none"/>
        </w:rPr>
      </w:pPr>
    </w:p>
    <w:p w14:paraId="64596B7A">
      <w:pPr>
        <w:spacing w:line="360" w:lineRule="auto"/>
        <w:ind w:firstLine="480" w:firstLineChars="200"/>
        <w:jc w:val="center"/>
        <w:rPr>
          <w:rFonts w:hint="eastAsia" w:ascii="宋体" w:hAnsi="宋体" w:eastAsia="宋体" w:cs="宋体"/>
          <w:color w:val="auto"/>
          <w:sz w:val="24"/>
          <w:szCs w:val="24"/>
          <w:highlight w:val="none"/>
        </w:rPr>
      </w:pPr>
    </w:p>
    <w:p w14:paraId="27FBD047">
      <w:pPr>
        <w:spacing w:line="360" w:lineRule="auto"/>
        <w:ind w:firstLine="480" w:firstLineChars="200"/>
        <w:jc w:val="center"/>
        <w:rPr>
          <w:rFonts w:hint="eastAsia" w:ascii="宋体" w:hAnsi="宋体" w:eastAsia="宋体" w:cs="宋体"/>
          <w:color w:val="auto"/>
          <w:sz w:val="24"/>
          <w:szCs w:val="24"/>
          <w:highlight w:val="none"/>
        </w:rPr>
      </w:pPr>
    </w:p>
    <w:p w14:paraId="187DAEC7">
      <w:pPr>
        <w:spacing w:line="360" w:lineRule="auto"/>
        <w:ind w:firstLine="480" w:firstLineChars="200"/>
        <w:jc w:val="center"/>
        <w:rPr>
          <w:rFonts w:hint="eastAsia" w:ascii="宋体" w:hAnsi="宋体" w:eastAsia="宋体" w:cs="宋体"/>
          <w:color w:val="auto"/>
          <w:sz w:val="24"/>
          <w:szCs w:val="24"/>
          <w:highlight w:val="none"/>
        </w:rPr>
      </w:pPr>
    </w:p>
    <w:p w14:paraId="46D732BB">
      <w:pPr>
        <w:spacing w:line="360" w:lineRule="auto"/>
        <w:ind w:firstLine="480" w:firstLineChars="200"/>
        <w:jc w:val="center"/>
        <w:rPr>
          <w:rFonts w:hint="eastAsia" w:ascii="宋体" w:hAnsi="宋体" w:eastAsia="宋体" w:cs="宋体"/>
          <w:color w:val="auto"/>
          <w:sz w:val="24"/>
          <w:szCs w:val="24"/>
          <w:highlight w:val="none"/>
        </w:rPr>
      </w:pPr>
    </w:p>
    <w:p w14:paraId="2EBC0628">
      <w:pPr>
        <w:spacing w:line="360" w:lineRule="auto"/>
        <w:ind w:firstLine="480" w:firstLineChars="200"/>
        <w:jc w:val="center"/>
        <w:rPr>
          <w:rFonts w:hint="eastAsia" w:ascii="宋体" w:hAnsi="宋体" w:eastAsia="宋体" w:cs="宋体"/>
          <w:color w:val="auto"/>
          <w:sz w:val="24"/>
          <w:szCs w:val="24"/>
          <w:highlight w:val="none"/>
        </w:rPr>
      </w:pPr>
    </w:p>
    <w:p w14:paraId="5C4C9A49">
      <w:pPr>
        <w:spacing w:line="360" w:lineRule="auto"/>
        <w:ind w:firstLine="480" w:firstLineChars="200"/>
        <w:jc w:val="center"/>
        <w:rPr>
          <w:rFonts w:hint="eastAsia" w:ascii="宋体" w:hAnsi="宋体" w:eastAsia="宋体" w:cs="宋体"/>
          <w:color w:val="auto"/>
          <w:sz w:val="24"/>
          <w:szCs w:val="24"/>
          <w:highlight w:val="none"/>
        </w:rPr>
      </w:pPr>
    </w:p>
    <w:p w14:paraId="00737BBB">
      <w:pPr>
        <w:spacing w:line="360" w:lineRule="auto"/>
        <w:ind w:firstLine="480" w:firstLineChars="200"/>
        <w:jc w:val="center"/>
        <w:rPr>
          <w:rFonts w:hint="eastAsia" w:ascii="宋体" w:hAnsi="宋体" w:eastAsia="宋体" w:cs="宋体"/>
          <w:color w:val="auto"/>
          <w:sz w:val="24"/>
          <w:szCs w:val="24"/>
          <w:highlight w:val="none"/>
        </w:rPr>
      </w:pPr>
    </w:p>
    <w:p w14:paraId="60997CC6">
      <w:pPr>
        <w:spacing w:line="360" w:lineRule="auto"/>
        <w:ind w:firstLine="480" w:firstLineChars="200"/>
        <w:jc w:val="center"/>
        <w:rPr>
          <w:rFonts w:hint="eastAsia" w:ascii="宋体" w:hAnsi="宋体" w:eastAsia="宋体" w:cs="宋体"/>
          <w:color w:val="auto"/>
          <w:sz w:val="24"/>
          <w:szCs w:val="24"/>
          <w:highlight w:val="none"/>
        </w:rPr>
      </w:pPr>
    </w:p>
    <w:p w14:paraId="146B35FD">
      <w:pPr>
        <w:widowControl w:val="0"/>
        <w:jc w:val="both"/>
        <w:rPr>
          <w:rFonts w:hint="eastAsia" w:ascii="宋体" w:hAnsi="宋体" w:eastAsia="宋体" w:cs="宋体"/>
          <w:color w:val="auto"/>
          <w:kern w:val="2"/>
          <w:sz w:val="24"/>
          <w:szCs w:val="24"/>
          <w:highlight w:val="none"/>
          <w:lang w:val="en-US" w:eastAsia="zh-CN" w:bidi="ar-SA"/>
        </w:rPr>
      </w:pPr>
    </w:p>
    <w:p w14:paraId="7A010FDD">
      <w:pPr>
        <w:widowControl w:val="0"/>
        <w:spacing w:line="360" w:lineRule="auto"/>
        <w:ind w:firstLine="420"/>
        <w:jc w:val="both"/>
        <w:rPr>
          <w:rFonts w:hint="eastAsia" w:ascii="宋体" w:hAnsi="宋体" w:eastAsia="宋体" w:cs="宋体"/>
          <w:color w:val="auto"/>
          <w:kern w:val="2"/>
          <w:sz w:val="24"/>
          <w:szCs w:val="24"/>
          <w:highlight w:val="none"/>
          <w:lang w:val="en-US" w:eastAsia="zh-CN" w:bidi="ar-SA"/>
        </w:rPr>
      </w:pPr>
    </w:p>
    <w:p w14:paraId="7A344301">
      <w:pPr>
        <w:jc w:val="both"/>
        <w:rPr>
          <w:rFonts w:hint="eastAsia" w:ascii="宋体" w:hAnsi="宋体" w:eastAsia="宋体" w:cs="宋体"/>
          <w:color w:val="auto"/>
          <w:sz w:val="24"/>
          <w:szCs w:val="24"/>
          <w:highlight w:val="none"/>
        </w:rPr>
      </w:pPr>
    </w:p>
    <w:p w14:paraId="1817A937">
      <w:pPr>
        <w:widowControl w:val="0"/>
        <w:jc w:val="both"/>
        <w:rPr>
          <w:rFonts w:hint="eastAsia" w:ascii="宋体" w:hAnsi="宋体" w:eastAsia="宋体" w:cs="宋体"/>
          <w:color w:val="auto"/>
          <w:kern w:val="2"/>
          <w:sz w:val="24"/>
          <w:szCs w:val="24"/>
          <w:highlight w:val="none"/>
          <w:lang w:val="en-US" w:eastAsia="zh-CN" w:bidi="ar-SA"/>
        </w:rPr>
      </w:pPr>
    </w:p>
    <w:p w14:paraId="6459C997">
      <w:pPr>
        <w:widowControl w:val="0"/>
        <w:spacing w:line="360" w:lineRule="auto"/>
        <w:ind w:firstLine="420"/>
        <w:jc w:val="both"/>
        <w:rPr>
          <w:rFonts w:hint="eastAsia" w:ascii="宋体" w:hAnsi="宋体" w:eastAsia="宋体" w:cs="宋体"/>
          <w:color w:val="auto"/>
          <w:kern w:val="2"/>
          <w:sz w:val="24"/>
          <w:szCs w:val="24"/>
          <w:highlight w:val="none"/>
          <w:lang w:val="en-US" w:eastAsia="zh-CN" w:bidi="ar-SA"/>
        </w:rPr>
      </w:pPr>
    </w:p>
    <w:p w14:paraId="28BFDBF5">
      <w:pPr>
        <w:jc w:val="both"/>
        <w:rPr>
          <w:rFonts w:hint="eastAsia" w:ascii="宋体" w:hAnsi="宋体" w:eastAsia="宋体" w:cs="宋体"/>
          <w:color w:val="auto"/>
          <w:sz w:val="24"/>
          <w:szCs w:val="24"/>
          <w:highlight w:val="none"/>
        </w:rPr>
      </w:pPr>
    </w:p>
    <w:p w14:paraId="2272C246">
      <w:pPr>
        <w:widowControl w:val="0"/>
        <w:jc w:val="both"/>
        <w:rPr>
          <w:rFonts w:hint="eastAsia" w:ascii="宋体" w:hAnsi="宋体" w:eastAsia="宋体" w:cs="宋体"/>
          <w:color w:val="auto"/>
          <w:kern w:val="2"/>
          <w:sz w:val="24"/>
          <w:szCs w:val="24"/>
          <w:highlight w:val="none"/>
          <w:lang w:val="en-US" w:eastAsia="zh-CN" w:bidi="ar-SA"/>
        </w:rPr>
      </w:pPr>
    </w:p>
    <w:p w14:paraId="74F7E9D3">
      <w:pPr>
        <w:widowControl w:val="0"/>
        <w:spacing w:line="360" w:lineRule="auto"/>
        <w:ind w:firstLine="420"/>
        <w:jc w:val="both"/>
        <w:rPr>
          <w:rFonts w:hint="eastAsia" w:ascii="宋体" w:hAnsi="宋体" w:eastAsia="宋体" w:cs="宋体"/>
          <w:color w:val="auto"/>
          <w:kern w:val="2"/>
          <w:sz w:val="24"/>
          <w:szCs w:val="24"/>
          <w:highlight w:val="none"/>
          <w:lang w:val="en-US" w:eastAsia="zh-CN" w:bidi="ar-SA"/>
        </w:rPr>
      </w:pPr>
    </w:p>
    <w:p w14:paraId="2DA31AFA">
      <w:pPr>
        <w:jc w:val="both"/>
        <w:rPr>
          <w:rFonts w:hint="eastAsia" w:ascii="宋体" w:hAnsi="宋体" w:eastAsia="宋体" w:cs="宋体"/>
          <w:color w:val="auto"/>
          <w:sz w:val="24"/>
          <w:szCs w:val="24"/>
          <w:highlight w:val="none"/>
        </w:rPr>
      </w:pPr>
    </w:p>
    <w:p w14:paraId="5D026ECF">
      <w:pPr>
        <w:widowControl w:val="0"/>
        <w:jc w:val="both"/>
        <w:rPr>
          <w:rFonts w:hint="eastAsia" w:ascii="宋体" w:hAnsi="宋体" w:eastAsia="宋体" w:cs="宋体"/>
          <w:color w:val="auto"/>
          <w:kern w:val="2"/>
          <w:sz w:val="24"/>
          <w:szCs w:val="24"/>
          <w:highlight w:val="none"/>
          <w:lang w:val="en-US" w:eastAsia="zh-CN" w:bidi="ar-SA"/>
        </w:rPr>
      </w:pPr>
    </w:p>
    <w:p w14:paraId="2DAC6E8C">
      <w:pPr>
        <w:widowControl w:val="0"/>
        <w:spacing w:line="360" w:lineRule="auto"/>
        <w:ind w:firstLine="420"/>
        <w:jc w:val="both"/>
        <w:rPr>
          <w:rFonts w:hint="eastAsia" w:ascii="宋体" w:hAnsi="宋体" w:eastAsia="宋体" w:cs="宋体"/>
          <w:color w:val="auto"/>
          <w:kern w:val="2"/>
          <w:sz w:val="24"/>
          <w:szCs w:val="24"/>
          <w:highlight w:val="none"/>
          <w:lang w:val="en-US" w:eastAsia="zh-CN" w:bidi="ar-SA"/>
        </w:rPr>
      </w:pPr>
    </w:p>
    <w:p w14:paraId="4F68986F">
      <w:pPr>
        <w:jc w:val="both"/>
        <w:rPr>
          <w:rFonts w:hint="eastAsia" w:ascii="宋体" w:hAnsi="宋体" w:eastAsia="宋体" w:cs="宋体"/>
          <w:color w:val="auto"/>
          <w:sz w:val="24"/>
          <w:szCs w:val="24"/>
          <w:highlight w:val="none"/>
        </w:rPr>
      </w:pPr>
    </w:p>
    <w:p w14:paraId="4FA604E4">
      <w:pPr>
        <w:widowControl w:val="0"/>
        <w:jc w:val="both"/>
        <w:rPr>
          <w:rFonts w:hint="eastAsia" w:ascii="宋体" w:hAnsi="宋体" w:eastAsia="宋体" w:cs="宋体"/>
          <w:color w:val="auto"/>
          <w:kern w:val="2"/>
          <w:sz w:val="24"/>
          <w:szCs w:val="24"/>
          <w:highlight w:val="none"/>
          <w:lang w:val="en-US" w:eastAsia="zh-CN" w:bidi="ar-SA"/>
        </w:rPr>
      </w:pPr>
    </w:p>
    <w:p w14:paraId="35A17A96">
      <w:pPr>
        <w:widowControl w:val="0"/>
        <w:spacing w:line="360" w:lineRule="auto"/>
        <w:ind w:firstLine="420"/>
        <w:jc w:val="both"/>
        <w:rPr>
          <w:rFonts w:hint="eastAsia" w:ascii="宋体" w:hAnsi="宋体" w:eastAsia="宋体" w:cs="宋体"/>
          <w:color w:val="auto"/>
          <w:kern w:val="2"/>
          <w:sz w:val="24"/>
          <w:szCs w:val="24"/>
          <w:highlight w:val="none"/>
          <w:lang w:val="en-US" w:eastAsia="zh-CN" w:bidi="ar-SA"/>
        </w:rPr>
      </w:pPr>
    </w:p>
    <w:p w14:paraId="6DD9B479">
      <w:pPr>
        <w:pStyle w:val="9"/>
        <w:rPr>
          <w:rFonts w:hint="eastAsia" w:ascii="宋体" w:hAnsi="宋体" w:eastAsia="宋体" w:cs="宋体"/>
          <w:color w:val="auto"/>
          <w:sz w:val="24"/>
          <w:szCs w:val="24"/>
        </w:rPr>
      </w:pPr>
    </w:p>
    <w:p w14:paraId="28C714B2">
      <w:pPr>
        <w:pStyle w:val="21"/>
        <w:rPr>
          <w:rFonts w:hint="eastAsia" w:ascii="宋体" w:hAnsi="宋体" w:eastAsia="宋体" w:cs="宋体"/>
          <w:color w:val="auto"/>
          <w:sz w:val="24"/>
          <w:szCs w:val="24"/>
        </w:rPr>
      </w:pPr>
    </w:p>
    <w:p w14:paraId="7379586C">
      <w:pPr>
        <w:rPr>
          <w:rFonts w:hint="eastAsia" w:ascii="宋体" w:hAnsi="宋体" w:eastAsia="宋体" w:cs="宋体"/>
          <w:color w:val="auto"/>
          <w:sz w:val="24"/>
          <w:szCs w:val="24"/>
        </w:rPr>
      </w:pPr>
    </w:p>
    <w:p w14:paraId="6927D4A0">
      <w:pPr>
        <w:tabs>
          <w:tab w:val="left" w:pos="6300"/>
        </w:tabs>
        <w:snapToGrid w:val="0"/>
        <w:spacing w:line="312" w:lineRule="auto"/>
        <w:ind w:right="480"/>
        <w:rPr>
          <w:rFonts w:hint="eastAsia" w:ascii="宋体" w:hAnsi="宋体" w:eastAsia="宋体" w:cs="宋体"/>
          <w:color w:val="auto"/>
          <w:sz w:val="24"/>
          <w:szCs w:val="24"/>
          <w:bdr w:val="single" w:color="auto" w:sz="4" w:space="0"/>
        </w:rPr>
        <w:sectPr>
          <w:headerReference r:id="rId8" w:type="default"/>
          <w:footerReference r:id="rId9" w:type="default"/>
          <w:pgSz w:w="11907" w:h="16840"/>
          <w:pgMar w:top="1134" w:right="1191" w:bottom="1134" w:left="1304" w:header="851" w:footer="992" w:gutter="0"/>
          <w:cols w:space="720" w:num="1"/>
          <w:docGrid w:linePitch="380" w:charSpace="-5735"/>
        </w:sectPr>
      </w:pPr>
    </w:p>
    <w:p w14:paraId="138A694D">
      <w:pPr>
        <w:pStyle w:val="39"/>
        <w:rPr>
          <w:rFonts w:ascii="宋体" w:hAnsi="宋体" w:eastAsia="宋体" w:cs="宋体"/>
          <w:color w:val="auto"/>
          <w:sz w:val="36"/>
          <w:szCs w:val="36"/>
        </w:rPr>
      </w:pPr>
      <w:bookmarkStart w:id="209" w:name="_Toc6543"/>
      <w:bookmarkEnd w:id="209"/>
      <w:bookmarkStart w:id="210" w:name="_Toc142296625"/>
      <w:bookmarkEnd w:id="210"/>
      <w:r>
        <w:rPr>
          <w:rFonts w:hint="eastAsia" w:ascii="宋体" w:hAnsi="宋体" w:eastAsia="宋体" w:cs="宋体"/>
          <w:color w:val="auto"/>
          <w:sz w:val="36"/>
          <w:szCs w:val="36"/>
        </w:rPr>
        <w:t>附件一：</w:t>
      </w:r>
      <w:r>
        <w:rPr>
          <w:rFonts w:hint="eastAsia" w:ascii="宋体" w:hAnsi="宋体" w:eastAsia="宋体" w:cs="宋体"/>
          <w:color w:val="auto"/>
          <w:sz w:val="36"/>
          <w:szCs w:val="36"/>
          <w:lang w:eastAsia="zh-CN"/>
        </w:rPr>
        <w:t>磋商文件获取登记表</w:t>
      </w:r>
    </w:p>
    <w:tbl>
      <w:tblPr>
        <w:tblStyle w:val="22"/>
        <w:tblW w:w="96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2510"/>
        <w:gridCol w:w="1103"/>
        <w:gridCol w:w="4163"/>
      </w:tblGrid>
      <w:tr w14:paraId="25CCE1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923" w:type="dxa"/>
            <w:noWrap w:val="0"/>
            <w:vAlign w:val="center"/>
          </w:tcPr>
          <w:p w14:paraId="4BED27D7">
            <w:pPr>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项目</w:t>
            </w:r>
            <w:r>
              <w:rPr>
                <w:rFonts w:hint="eastAsia" w:ascii="宋体" w:hAnsi="宋体" w:eastAsia="宋体" w:cs="宋体"/>
                <w:color w:val="auto"/>
                <w:sz w:val="28"/>
                <w:szCs w:val="21"/>
                <w:lang w:val="en-US" w:eastAsia="zh-CN"/>
              </w:rPr>
              <w:t>编</w:t>
            </w:r>
            <w:r>
              <w:rPr>
                <w:rFonts w:hint="eastAsia" w:ascii="宋体" w:hAnsi="宋体" w:eastAsia="宋体" w:cs="宋体"/>
                <w:color w:val="auto"/>
                <w:sz w:val="28"/>
                <w:szCs w:val="21"/>
              </w:rPr>
              <w:t>号</w:t>
            </w:r>
          </w:p>
        </w:tc>
        <w:tc>
          <w:tcPr>
            <w:tcW w:w="7776" w:type="dxa"/>
            <w:gridSpan w:val="3"/>
            <w:noWrap w:val="0"/>
            <w:vAlign w:val="center"/>
          </w:tcPr>
          <w:p w14:paraId="061D377F">
            <w:pPr>
              <w:ind w:firstLine="0" w:firstLineChars="0"/>
              <w:jc w:val="center"/>
              <w:rPr>
                <w:rFonts w:ascii="宋体" w:hAnsi="宋体" w:eastAsia="宋体" w:cs="宋体"/>
                <w:color w:val="auto"/>
                <w:sz w:val="28"/>
                <w:szCs w:val="21"/>
              </w:rPr>
            </w:pPr>
          </w:p>
        </w:tc>
      </w:tr>
      <w:tr w14:paraId="3B81B3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923" w:type="dxa"/>
            <w:noWrap w:val="0"/>
            <w:vAlign w:val="center"/>
          </w:tcPr>
          <w:p w14:paraId="73D7D6CA">
            <w:pPr>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项目名称</w:t>
            </w:r>
          </w:p>
        </w:tc>
        <w:tc>
          <w:tcPr>
            <w:tcW w:w="7776" w:type="dxa"/>
            <w:gridSpan w:val="3"/>
            <w:noWrap w:val="0"/>
            <w:vAlign w:val="center"/>
          </w:tcPr>
          <w:p w14:paraId="30C5ACB7">
            <w:pPr>
              <w:ind w:firstLine="0" w:firstLineChars="0"/>
              <w:jc w:val="center"/>
              <w:rPr>
                <w:rFonts w:ascii="宋体" w:hAnsi="宋体" w:eastAsia="宋体" w:cs="宋体"/>
                <w:color w:val="auto"/>
                <w:sz w:val="28"/>
                <w:szCs w:val="21"/>
              </w:rPr>
            </w:pPr>
          </w:p>
        </w:tc>
      </w:tr>
      <w:tr w14:paraId="6DE148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923" w:type="dxa"/>
            <w:noWrap w:val="0"/>
            <w:vAlign w:val="center"/>
          </w:tcPr>
          <w:p w14:paraId="0EC6E51F">
            <w:pPr>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供应商名称</w:t>
            </w:r>
          </w:p>
        </w:tc>
        <w:tc>
          <w:tcPr>
            <w:tcW w:w="7776" w:type="dxa"/>
            <w:gridSpan w:val="3"/>
            <w:noWrap w:val="0"/>
            <w:vAlign w:val="center"/>
          </w:tcPr>
          <w:p w14:paraId="6D116729">
            <w:pPr>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（供应商公章）</w:t>
            </w:r>
          </w:p>
        </w:tc>
      </w:tr>
      <w:tr w14:paraId="68B8B4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923" w:type="dxa"/>
            <w:noWrap w:val="0"/>
            <w:vAlign w:val="center"/>
          </w:tcPr>
          <w:p w14:paraId="32EB79A7">
            <w:pPr>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联系人</w:t>
            </w:r>
          </w:p>
        </w:tc>
        <w:tc>
          <w:tcPr>
            <w:tcW w:w="2510" w:type="dxa"/>
            <w:noWrap w:val="0"/>
            <w:vAlign w:val="center"/>
          </w:tcPr>
          <w:p w14:paraId="4E52290E">
            <w:pPr>
              <w:ind w:firstLine="0" w:firstLineChars="0"/>
              <w:jc w:val="center"/>
              <w:rPr>
                <w:rFonts w:ascii="宋体" w:hAnsi="宋体" w:eastAsia="宋体" w:cs="宋体"/>
                <w:color w:val="auto"/>
                <w:sz w:val="28"/>
                <w:szCs w:val="21"/>
              </w:rPr>
            </w:pPr>
          </w:p>
        </w:tc>
        <w:tc>
          <w:tcPr>
            <w:tcW w:w="1103" w:type="dxa"/>
            <w:noWrap w:val="0"/>
            <w:vAlign w:val="center"/>
          </w:tcPr>
          <w:p w14:paraId="54146B02">
            <w:pPr>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手机</w:t>
            </w:r>
          </w:p>
        </w:tc>
        <w:tc>
          <w:tcPr>
            <w:tcW w:w="4163" w:type="dxa"/>
            <w:noWrap w:val="0"/>
            <w:vAlign w:val="center"/>
          </w:tcPr>
          <w:p w14:paraId="1559114B">
            <w:pPr>
              <w:ind w:firstLine="0" w:firstLineChars="0"/>
              <w:jc w:val="center"/>
              <w:rPr>
                <w:rFonts w:ascii="宋体" w:hAnsi="宋体" w:eastAsia="宋体" w:cs="宋体"/>
                <w:color w:val="auto"/>
                <w:sz w:val="28"/>
                <w:szCs w:val="21"/>
              </w:rPr>
            </w:pPr>
          </w:p>
        </w:tc>
      </w:tr>
      <w:tr w14:paraId="716965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923" w:type="dxa"/>
            <w:noWrap w:val="0"/>
            <w:vAlign w:val="center"/>
          </w:tcPr>
          <w:p w14:paraId="3ED5211F">
            <w:pPr>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办公电话</w:t>
            </w:r>
          </w:p>
        </w:tc>
        <w:tc>
          <w:tcPr>
            <w:tcW w:w="2510" w:type="dxa"/>
            <w:noWrap w:val="0"/>
            <w:vAlign w:val="center"/>
          </w:tcPr>
          <w:p w14:paraId="6F355C78">
            <w:pPr>
              <w:ind w:firstLine="0" w:firstLineChars="0"/>
              <w:jc w:val="center"/>
              <w:rPr>
                <w:rFonts w:ascii="宋体" w:hAnsi="宋体" w:eastAsia="宋体" w:cs="宋体"/>
                <w:color w:val="auto"/>
                <w:sz w:val="28"/>
                <w:szCs w:val="21"/>
              </w:rPr>
            </w:pPr>
          </w:p>
        </w:tc>
        <w:tc>
          <w:tcPr>
            <w:tcW w:w="1103" w:type="dxa"/>
            <w:noWrap w:val="0"/>
            <w:vAlign w:val="center"/>
          </w:tcPr>
          <w:p w14:paraId="26473EDB">
            <w:pPr>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传真</w:t>
            </w:r>
          </w:p>
        </w:tc>
        <w:tc>
          <w:tcPr>
            <w:tcW w:w="4163" w:type="dxa"/>
            <w:noWrap w:val="0"/>
            <w:vAlign w:val="center"/>
          </w:tcPr>
          <w:p w14:paraId="6A049789">
            <w:pPr>
              <w:ind w:firstLine="0" w:firstLineChars="0"/>
              <w:jc w:val="center"/>
              <w:rPr>
                <w:rFonts w:ascii="宋体" w:hAnsi="宋体" w:eastAsia="宋体" w:cs="宋体"/>
                <w:color w:val="auto"/>
                <w:sz w:val="28"/>
                <w:szCs w:val="21"/>
              </w:rPr>
            </w:pPr>
          </w:p>
        </w:tc>
      </w:tr>
      <w:tr w14:paraId="0128E3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923" w:type="dxa"/>
            <w:noWrap w:val="0"/>
            <w:vAlign w:val="center"/>
          </w:tcPr>
          <w:p w14:paraId="640C4981">
            <w:pPr>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E-mail</w:t>
            </w:r>
          </w:p>
        </w:tc>
        <w:tc>
          <w:tcPr>
            <w:tcW w:w="7776" w:type="dxa"/>
            <w:gridSpan w:val="3"/>
            <w:noWrap w:val="0"/>
            <w:vAlign w:val="center"/>
          </w:tcPr>
          <w:p w14:paraId="350FBD2A">
            <w:pPr>
              <w:ind w:firstLine="0" w:firstLineChars="0"/>
              <w:jc w:val="center"/>
              <w:rPr>
                <w:rFonts w:ascii="宋体" w:hAnsi="宋体" w:eastAsia="宋体" w:cs="宋体"/>
                <w:color w:val="auto"/>
                <w:sz w:val="28"/>
                <w:szCs w:val="21"/>
              </w:rPr>
            </w:pPr>
          </w:p>
        </w:tc>
      </w:tr>
      <w:tr w14:paraId="348AE4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923" w:type="dxa"/>
            <w:noWrap w:val="0"/>
            <w:vAlign w:val="center"/>
          </w:tcPr>
          <w:p w14:paraId="73B3E70A">
            <w:pPr>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单位地址</w:t>
            </w:r>
          </w:p>
        </w:tc>
        <w:tc>
          <w:tcPr>
            <w:tcW w:w="7776" w:type="dxa"/>
            <w:gridSpan w:val="3"/>
            <w:noWrap w:val="0"/>
            <w:vAlign w:val="center"/>
          </w:tcPr>
          <w:p w14:paraId="2814165A">
            <w:pPr>
              <w:ind w:firstLine="0" w:firstLineChars="0"/>
              <w:jc w:val="center"/>
              <w:rPr>
                <w:rFonts w:ascii="宋体" w:hAnsi="宋体" w:eastAsia="宋体" w:cs="宋体"/>
                <w:color w:val="auto"/>
                <w:sz w:val="28"/>
                <w:szCs w:val="21"/>
              </w:rPr>
            </w:pPr>
          </w:p>
        </w:tc>
      </w:tr>
    </w:tbl>
    <w:p w14:paraId="08DCE52A">
      <w:pPr>
        <w:ind w:firstLine="480"/>
        <w:jc w:val="right"/>
        <w:rPr>
          <w:rFonts w:ascii="宋体" w:hAnsi="宋体" w:eastAsia="宋体" w:cs="宋体"/>
          <w:color w:val="auto"/>
        </w:rPr>
      </w:pPr>
      <w:r>
        <w:rPr>
          <w:rFonts w:hint="eastAsia" w:ascii="宋体" w:hAnsi="宋体" w:eastAsia="宋体" w:cs="宋体"/>
          <w:color w:val="auto"/>
        </w:rPr>
        <w:t xml:space="preserve">          </w:t>
      </w:r>
    </w:p>
    <w:p w14:paraId="0B1A9D2F">
      <w:pPr>
        <w:ind w:firstLine="480"/>
        <w:jc w:val="right"/>
        <w:rPr>
          <w:rFonts w:hint="eastAsia" w:ascii="宋体" w:hAnsi="宋体" w:eastAsia="宋体" w:cs="宋体"/>
          <w:color w:val="auto"/>
        </w:rPr>
      </w:pPr>
    </w:p>
    <w:p w14:paraId="521DAA08">
      <w:pPr>
        <w:ind w:firstLine="480"/>
        <w:jc w:val="right"/>
        <w:rPr>
          <w:rFonts w:hint="eastAsia" w:ascii="宋体" w:hAnsi="宋体" w:eastAsia="宋体" w:cs="宋体"/>
          <w:b/>
          <w:bCs/>
          <w:color w:val="auto"/>
          <w:szCs w:val="28"/>
          <w:lang w:eastAsia="zh-CN"/>
        </w:rPr>
      </w:pPr>
      <w:r>
        <w:rPr>
          <w:rFonts w:hint="eastAsia" w:ascii="宋体" w:hAnsi="宋体" w:eastAsia="宋体" w:cs="宋体"/>
          <w:color w:val="auto"/>
        </w:rPr>
        <w:t xml:space="preserve">   代理机构：</w:t>
      </w:r>
      <w:r>
        <w:rPr>
          <w:rFonts w:hint="eastAsia" w:ascii="宋体" w:hAnsi="宋体" w:eastAsia="宋体" w:cs="宋体"/>
          <w:color w:val="auto"/>
          <w:lang w:eastAsia="zh-CN"/>
        </w:rPr>
        <w:t>重庆腾展工程管理有限公司</w:t>
      </w:r>
    </w:p>
    <w:p w14:paraId="67F213E5">
      <w:pPr>
        <w:jc w:val="center"/>
        <w:rPr>
          <w:rFonts w:asciiTheme="minorEastAsia" w:hAnsiTheme="minorEastAsia" w:eastAsiaTheme="minorEastAsia" w:cstheme="minorEastAsia"/>
          <w:color w:val="auto"/>
          <w:sz w:val="24"/>
          <w:szCs w:val="24"/>
        </w:rPr>
      </w:pPr>
    </w:p>
    <w:p w14:paraId="33BCDB7D">
      <w:pPr>
        <w:jc w:val="center"/>
        <w:rPr>
          <w:rFonts w:asciiTheme="minorEastAsia" w:hAnsiTheme="minorEastAsia" w:eastAsiaTheme="minorEastAsia" w:cstheme="minorEastAsia"/>
          <w:color w:val="auto"/>
          <w:sz w:val="24"/>
          <w:szCs w:val="24"/>
        </w:rPr>
      </w:pPr>
    </w:p>
    <w:p w14:paraId="15CEEE73">
      <w:pPr>
        <w:jc w:val="center"/>
        <w:rPr>
          <w:rFonts w:asciiTheme="minorEastAsia" w:hAnsiTheme="minorEastAsia" w:eastAsiaTheme="minorEastAsia" w:cstheme="minorEastAsia"/>
          <w:color w:val="auto"/>
          <w:sz w:val="24"/>
          <w:szCs w:val="24"/>
        </w:rPr>
      </w:pPr>
    </w:p>
    <w:p w14:paraId="774E9F23">
      <w:pPr>
        <w:jc w:val="center"/>
        <w:rPr>
          <w:rFonts w:asciiTheme="minorEastAsia" w:hAnsiTheme="minorEastAsia" w:eastAsiaTheme="minorEastAsia" w:cstheme="minorEastAsia"/>
          <w:color w:val="auto"/>
          <w:sz w:val="24"/>
          <w:szCs w:val="24"/>
        </w:rPr>
      </w:pPr>
    </w:p>
    <w:p w14:paraId="54F92120">
      <w:pPr>
        <w:jc w:val="center"/>
        <w:rPr>
          <w:rFonts w:asciiTheme="minorEastAsia" w:hAnsiTheme="minorEastAsia" w:eastAsiaTheme="minorEastAsia" w:cstheme="minorEastAsia"/>
          <w:color w:val="auto"/>
          <w:sz w:val="24"/>
          <w:szCs w:val="24"/>
        </w:rPr>
      </w:pPr>
    </w:p>
    <w:p w14:paraId="30A64A82">
      <w:pPr>
        <w:jc w:val="center"/>
        <w:rPr>
          <w:rFonts w:asciiTheme="minorEastAsia" w:hAnsiTheme="minorEastAsia" w:eastAsiaTheme="minorEastAsia" w:cstheme="minorEastAsia"/>
          <w:color w:val="auto"/>
          <w:sz w:val="24"/>
          <w:szCs w:val="24"/>
        </w:rPr>
      </w:pPr>
    </w:p>
    <w:p w14:paraId="5D6C8ACB">
      <w:pPr>
        <w:jc w:val="center"/>
        <w:rPr>
          <w:rFonts w:asciiTheme="minorEastAsia" w:hAnsiTheme="minorEastAsia" w:eastAsiaTheme="minorEastAsia" w:cstheme="minorEastAsia"/>
          <w:color w:val="auto"/>
          <w:sz w:val="24"/>
          <w:szCs w:val="24"/>
        </w:rPr>
      </w:pPr>
    </w:p>
    <w:p w14:paraId="66B57BE4">
      <w:pPr>
        <w:jc w:val="center"/>
        <w:rPr>
          <w:rFonts w:asciiTheme="minorEastAsia" w:hAnsiTheme="minorEastAsia" w:eastAsiaTheme="minorEastAsia" w:cstheme="minorEastAsia"/>
          <w:color w:val="auto"/>
          <w:sz w:val="24"/>
          <w:szCs w:val="24"/>
        </w:rPr>
      </w:pPr>
    </w:p>
    <w:p w14:paraId="0FFCBCD9">
      <w:pPr>
        <w:jc w:val="center"/>
        <w:rPr>
          <w:rFonts w:asciiTheme="minorEastAsia" w:hAnsiTheme="minorEastAsia" w:eastAsiaTheme="minorEastAsia" w:cstheme="minorEastAsia"/>
          <w:color w:val="auto"/>
          <w:sz w:val="24"/>
          <w:szCs w:val="24"/>
        </w:rPr>
      </w:pPr>
    </w:p>
    <w:p w14:paraId="518A0083">
      <w:pPr>
        <w:jc w:val="center"/>
        <w:rPr>
          <w:rFonts w:asciiTheme="minorEastAsia" w:hAnsiTheme="minorEastAsia" w:eastAsiaTheme="minorEastAsia" w:cstheme="minorEastAsia"/>
          <w:color w:val="auto"/>
          <w:sz w:val="24"/>
          <w:szCs w:val="24"/>
        </w:rPr>
      </w:pPr>
    </w:p>
    <w:p w14:paraId="54CF9586">
      <w:pPr>
        <w:jc w:val="center"/>
        <w:rPr>
          <w:rFonts w:asciiTheme="minorEastAsia" w:hAnsiTheme="minorEastAsia" w:eastAsiaTheme="minorEastAsia" w:cstheme="minorEastAsia"/>
          <w:color w:val="auto"/>
          <w:sz w:val="24"/>
          <w:szCs w:val="24"/>
        </w:rPr>
      </w:pPr>
    </w:p>
    <w:p w14:paraId="65853F1C">
      <w:pPr>
        <w:jc w:val="center"/>
        <w:rPr>
          <w:rFonts w:asciiTheme="minorEastAsia" w:hAnsiTheme="minorEastAsia" w:eastAsiaTheme="minorEastAsia" w:cstheme="minorEastAsia"/>
          <w:color w:val="auto"/>
          <w:sz w:val="24"/>
          <w:szCs w:val="24"/>
        </w:rPr>
      </w:pPr>
    </w:p>
    <w:p w14:paraId="0DEDC81E">
      <w:pPr>
        <w:jc w:val="center"/>
        <w:rPr>
          <w:rFonts w:asciiTheme="minorEastAsia" w:hAnsiTheme="minorEastAsia" w:eastAsiaTheme="minorEastAsia" w:cstheme="minorEastAsia"/>
          <w:color w:val="auto"/>
          <w:sz w:val="24"/>
          <w:szCs w:val="24"/>
        </w:rPr>
      </w:pPr>
    </w:p>
    <w:p w14:paraId="13DB885C">
      <w:pPr>
        <w:jc w:val="center"/>
        <w:rPr>
          <w:rFonts w:asciiTheme="minorEastAsia" w:hAnsiTheme="minorEastAsia" w:eastAsiaTheme="minorEastAsia" w:cstheme="minorEastAsia"/>
          <w:color w:val="auto"/>
          <w:sz w:val="24"/>
          <w:szCs w:val="24"/>
        </w:rPr>
      </w:pPr>
    </w:p>
    <w:p w14:paraId="15D18ABF">
      <w:pPr>
        <w:jc w:val="center"/>
        <w:rPr>
          <w:rFonts w:asciiTheme="minorEastAsia" w:hAnsiTheme="minorEastAsia" w:eastAsiaTheme="minorEastAsia" w:cstheme="minorEastAsia"/>
          <w:color w:val="auto"/>
          <w:sz w:val="24"/>
          <w:szCs w:val="24"/>
        </w:rPr>
      </w:pPr>
    </w:p>
    <w:p w14:paraId="61E94A38">
      <w:pPr>
        <w:jc w:val="center"/>
        <w:rPr>
          <w:rFonts w:asciiTheme="minorEastAsia" w:hAnsiTheme="minorEastAsia" w:eastAsiaTheme="minorEastAsia" w:cstheme="minorEastAsia"/>
          <w:color w:val="auto"/>
          <w:sz w:val="24"/>
          <w:szCs w:val="24"/>
        </w:rPr>
      </w:pPr>
    </w:p>
    <w:p w14:paraId="6CDF2D02">
      <w:pPr>
        <w:jc w:val="center"/>
        <w:rPr>
          <w:rFonts w:asciiTheme="minorEastAsia" w:hAnsiTheme="minorEastAsia" w:eastAsiaTheme="minorEastAsia" w:cstheme="minorEastAsia"/>
          <w:color w:val="auto"/>
          <w:sz w:val="24"/>
          <w:szCs w:val="24"/>
        </w:rPr>
      </w:pPr>
    </w:p>
    <w:p w14:paraId="0239BC6E">
      <w:pPr>
        <w:jc w:val="center"/>
        <w:rPr>
          <w:rFonts w:asciiTheme="minorEastAsia" w:hAnsiTheme="minorEastAsia" w:eastAsiaTheme="minorEastAsia" w:cstheme="minorEastAsia"/>
          <w:color w:val="auto"/>
          <w:sz w:val="24"/>
          <w:szCs w:val="24"/>
        </w:rPr>
      </w:pPr>
    </w:p>
    <w:p w14:paraId="36199859">
      <w:pPr>
        <w:jc w:val="center"/>
        <w:rPr>
          <w:rFonts w:asciiTheme="minorEastAsia" w:hAnsiTheme="minorEastAsia" w:eastAsiaTheme="minorEastAsia" w:cstheme="minorEastAsia"/>
          <w:color w:val="auto"/>
          <w:sz w:val="24"/>
          <w:szCs w:val="24"/>
        </w:rPr>
      </w:pPr>
    </w:p>
    <w:p w14:paraId="710AA83B">
      <w:pPr>
        <w:jc w:val="center"/>
        <w:rPr>
          <w:rFonts w:asciiTheme="minorEastAsia" w:hAnsiTheme="minorEastAsia" w:eastAsiaTheme="minorEastAsia" w:cstheme="minorEastAsia"/>
          <w:color w:val="auto"/>
          <w:sz w:val="24"/>
          <w:szCs w:val="24"/>
        </w:rPr>
      </w:pPr>
    </w:p>
    <w:p w14:paraId="075AE8B4">
      <w:pPr>
        <w:jc w:val="center"/>
        <w:rPr>
          <w:rFonts w:asciiTheme="minorEastAsia" w:hAnsiTheme="minorEastAsia" w:eastAsiaTheme="minorEastAsia" w:cstheme="minorEastAsia"/>
          <w:color w:val="auto"/>
          <w:sz w:val="24"/>
          <w:szCs w:val="24"/>
        </w:rPr>
      </w:pPr>
    </w:p>
    <w:p w14:paraId="57C96861">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（结束）</w:t>
      </w:r>
    </w:p>
    <w:sectPr>
      <w:headerReference r:id="rId10" w:type="default"/>
      <w:footerReference r:id="rId11"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89E80F-C1AB-4F14-9D21-91FD5F50AA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FFAE9CC-16CF-4AFC-B1C8-A8EBE0B035B1}"/>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EEE3E84C-9FB6-4D42-AECA-C8797AFBD197}"/>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7D8BA3EA-BCF8-470E-A6FE-2C192A04B888}"/>
  </w:font>
  <w:font w:name="方正仿宋_GBK">
    <w:panose1 w:val="02000000000000000000"/>
    <w:charset w:val="86"/>
    <w:family w:val="script"/>
    <w:pitch w:val="default"/>
    <w:sig w:usb0="A00002BF" w:usb1="38CF7CFA" w:usb2="00082016" w:usb3="00000000" w:csb0="00040001" w:csb1="00000000"/>
    <w:embedRegular r:id="rId5" w:fontKey="{39B13E06-4CDB-403F-88EC-71594AC0FB95}"/>
  </w:font>
  <w:font w:name="华文仿宋">
    <w:altName w:val="仿宋"/>
    <w:panose1 w:val="02010600040101010101"/>
    <w:charset w:val="86"/>
    <w:family w:val="auto"/>
    <w:pitch w:val="default"/>
    <w:sig w:usb0="00000000" w:usb1="00000000" w:usb2="00000000" w:usb3="00000000" w:csb0="0004009F" w:csb1="DFD70000"/>
    <w:embedRegular r:id="rId6" w:fontKey="{2B22DB42-45C9-4567-A7EB-D159132C6A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7CA0">
    <w:pPr>
      <w:pStyle w:val="15"/>
      <w:jc w:val="both"/>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1D590">
    <w:pPr>
      <w:pStyle w:val="15"/>
      <w:framePr w:wrap="around" w:vAnchor="text" w:hAnchor="margin" w:xAlign="center" w:y="1"/>
      <w:rPr>
        <w:rStyle w:val="24"/>
      </w:rPr>
    </w:pPr>
    <w:r>
      <w:fldChar w:fldCharType="begin"/>
    </w:r>
    <w:r>
      <w:rPr>
        <w:rStyle w:val="24"/>
      </w:rPr>
      <w:instrText xml:space="preserve">PAGE  </w:instrText>
    </w:r>
    <w:r>
      <w:fldChar w:fldCharType="separate"/>
    </w:r>
    <w:r>
      <w:fldChar w:fldCharType="end"/>
    </w:r>
  </w:p>
  <w:p w14:paraId="479AC346">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5E86C">
    <w:pPr>
      <w:pStyle w:val="15"/>
      <w:tabs>
        <w:tab w:val="center" w:pos="4140"/>
        <w:tab w:val="right" w:pos="8300"/>
      </w:tabs>
      <w:jc w:val="center"/>
      <w:rPr>
        <w:rFonts w:hint="eastAsia" w:ascii="宋体" w:hAnsi="宋体"/>
        <w:sz w:val="21"/>
        <w:szCs w:val="21"/>
      </w:rPr>
    </w:pPr>
    <w:r>
      <w:rPr>
        <w:rFonts w:ascii="宋体" w:hAnsi="宋体"/>
        <w:sz w:val="21"/>
        <w:szCs w:val="21"/>
      </w:rPr>
      <w:fldChar w:fldCharType="begin"/>
    </w:r>
    <w:r>
      <w:rPr>
        <w:rStyle w:val="24"/>
        <w:rFonts w:hAnsi="宋体"/>
        <w:sz w:val="21"/>
        <w:szCs w:val="21"/>
      </w:rPr>
      <w:instrText xml:space="preserve"> PAGE </w:instrText>
    </w:r>
    <w:r>
      <w:rPr>
        <w:rFonts w:ascii="宋体" w:hAnsi="宋体"/>
        <w:sz w:val="21"/>
        <w:szCs w:val="21"/>
      </w:rPr>
      <w:fldChar w:fldCharType="separate"/>
    </w:r>
    <w:r>
      <w:rPr>
        <w:rStyle w:val="24"/>
        <w:rFonts w:hAnsi="宋体"/>
        <w:sz w:val="21"/>
        <w:szCs w:val="21"/>
      </w:rPr>
      <w:t>- 28 -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01343">
    <w:pPr>
      <w:pStyle w:val="15"/>
      <w:jc w:val="both"/>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034E6716">
                          <w:pPr>
                            <w:pStyle w:val="15"/>
                          </w:pPr>
                          <w:r>
                            <w:fldChar w:fldCharType="begin"/>
                          </w:r>
                          <w:r>
                            <w:instrText xml:space="preserve"> PAGE  \* MERGEFORMAT </w:instrText>
                          </w:r>
                          <w:r>
                            <w:fldChar w:fldCharType="separate"/>
                          </w:r>
                          <w:r>
                            <w:t>- 16 -</w:t>
                          </w:r>
                          <w:r>
                            <w:fldChar w:fldCharType="end"/>
                          </w:r>
                        </w:p>
                      </w:txbxContent>
                    </wps:txbx>
                    <wps:bodyPr rot="0"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J92v0wAAAAUBAAAPAAAA&#10;AAAAAAEAIAAAACIAAABkcnMvZG93bnJldi54bWxQSwECFAAUAAAACACHTuJAncznG+EBAADEAwAA&#10;DgAAAAAAAAABACAAAAAiAQAAZHJzL2Uyb0RvYy54bWxQSwUGAAAAAAYABgBZAQAAdQUAAAAA&#10;">
              <v:fill on="f" focussize="0,0"/>
              <v:stroke on="f" weight="1pt"/>
              <v:imagedata o:title=""/>
              <o:lock v:ext="edit" aspectratio="f"/>
              <v:textbox inset="0mm,0mm,0mm,0mm" style="mso-fit-shape-to-text:t;">
                <w:txbxContent>
                  <w:p w14:paraId="034E6716">
                    <w:pPr>
                      <w:pStyle w:val="15"/>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F701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474A5">
    <w:pPr>
      <w:pStyle w:val="1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7E56">
    <w:pPr>
      <w:widowControl w:val="0"/>
      <w:pBdr>
        <w:bottom w:val="single" w:color="auto" w:sz="6" w:space="1"/>
      </w:pBdr>
      <w:snapToGrid w:val="0"/>
      <w:jc w:val="both"/>
      <w:rPr>
        <w:rFonts w:hint="eastAsia" w:ascii="方正仿宋_GBK" w:hAnsi="Times New Roman" w:eastAsia="方正仿宋_GBK" w:cs="Times New Roman"/>
        <w:kern w:val="2"/>
        <w:sz w:val="21"/>
        <w:szCs w:val="21"/>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08F6">
    <w:pPr>
      <w:pStyle w:val="16"/>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CBE4F">
    <w:pPr>
      <w:pStyle w:val="1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575B5"/>
    <w:multiLevelType w:val="singleLevel"/>
    <w:tmpl w:val="CBF575B5"/>
    <w:lvl w:ilvl="0" w:tentative="0">
      <w:start w:val="1"/>
      <w:numFmt w:val="decimal"/>
      <w:suff w:val="nothing"/>
      <w:lvlText w:val="%1、"/>
      <w:lvlJc w:val="left"/>
    </w:lvl>
  </w:abstractNum>
  <w:abstractNum w:abstractNumId="1">
    <w:nsid w:val="33AEC9DA"/>
    <w:multiLevelType w:val="singleLevel"/>
    <w:tmpl w:val="33AEC9DA"/>
    <w:lvl w:ilvl="0" w:tentative="0">
      <w:start w:val="2"/>
      <w:numFmt w:val="chineseCounting"/>
      <w:suff w:val="nothing"/>
      <w:lvlText w:val="%1、"/>
      <w:lvlJc w:val="left"/>
      <w:rPr>
        <w:rFonts w:hint="eastAsia"/>
      </w:rPr>
    </w:lvl>
  </w:abstractNum>
  <w:abstractNum w:abstractNumId="2">
    <w:nsid w:val="7D764751"/>
    <w:multiLevelType w:val="singleLevel"/>
    <w:tmpl w:val="7D764751"/>
    <w:lvl w:ilvl="0" w:tentative="0">
      <w:start w:val="3"/>
      <w:numFmt w:val="chineseCounting"/>
      <w:suff w:val="space"/>
      <w:lvlText w:val="第%1篇"/>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NTI5NTI2ZjJjY2ViMWI4Nzg1ZGJhNzM2ZjEwMTgifQ=="/>
  </w:docVars>
  <w:rsids>
    <w:rsidRoot w:val="4DEF5E83"/>
    <w:rsid w:val="00036C0A"/>
    <w:rsid w:val="00202A3D"/>
    <w:rsid w:val="002560C5"/>
    <w:rsid w:val="002E579C"/>
    <w:rsid w:val="00415E67"/>
    <w:rsid w:val="004A42BA"/>
    <w:rsid w:val="00526A18"/>
    <w:rsid w:val="005635E3"/>
    <w:rsid w:val="005E16A6"/>
    <w:rsid w:val="0061151A"/>
    <w:rsid w:val="00613AF5"/>
    <w:rsid w:val="009519B5"/>
    <w:rsid w:val="00A410C5"/>
    <w:rsid w:val="00BA766A"/>
    <w:rsid w:val="00C56A69"/>
    <w:rsid w:val="00D66846"/>
    <w:rsid w:val="00F83D0E"/>
    <w:rsid w:val="00FA00A3"/>
    <w:rsid w:val="015B6D94"/>
    <w:rsid w:val="028D7750"/>
    <w:rsid w:val="03854360"/>
    <w:rsid w:val="0394658D"/>
    <w:rsid w:val="040E328B"/>
    <w:rsid w:val="04C97364"/>
    <w:rsid w:val="0689414E"/>
    <w:rsid w:val="06D849E3"/>
    <w:rsid w:val="08651F89"/>
    <w:rsid w:val="08EC2A60"/>
    <w:rsid w:val="091862E5"/>
    <w:rsid w:val="09AE6012"/>
    <w:rsid w:val="0A952FEA"/>
    <w:rsid w:val="0DB74038"/>
    <w:rsid w:val="0DB742A8"/>
    <w:rsid w:val="0DF15159"/>
    <w:rsid w:val="0E0E3955"/>
    <w:rsid w:val="0E4C40C3"/>
    <w:rsid w:val="10273F86"/>
    <w:rsid w:val="104E5649"/>
    <w:rsid w:val="11D11CE4"/>
    <w:rsid w:val="120E7E53"/>
    <w:rsid w:val="128D3209"/>
    <w:rsid w:val="130D010A"/>
    <w:rsid w:val="1334692D"/>
    <w:rsid w:val="1588043E"/>
    <w:rsid w:val="15EC04AB"/>
    <w:rsid w:val="16135A37"/>
    <w:rsid w:val="16290DB7"/>
    <w:rsid w:val="166B13D0"/>
    <w:rsid w:val="16AA5953"/>
    <w:rsid w:val="17BB2A45"/>
    <w:rsid w:val="17FA2022"/>
    <w:rsid w:val="198D4943"/>
    <w:rsid w:val="1AA17AB6"/>
    <w:rsid w:val="1AFE6CB6"/>
    <w:rsid w:val="1D9A475B"/>
    <w:rsid w:val="1DE4359E"/>
    <w:rsid w:val="1E69308F"/>
    <w:rsid w:val="1EB52A81"/>
    <w:rsid w:val="1EC45B21"/>
    <w:rsid w:val="1F0F5328"/>
    <w:rsid w:val="1F5A1186"/>
    <w:rsid w:val="2085701A"/>
    <w:rsid w:val="21066CBD"/>
    <w:rsid w:val="22EC5646"/>
    <w:rsid w:val="22F20A68"/>
    <w:rsid w:val="23254095"/>
    <w:rsid w:val="23C81A7D"/>
    <w:rsid w:val="25CC2205"/>
    <w:rsid w:val="26555BF8"/>
    <w:rsid w:val="26D84015"/>
    <w:rsid w:val="27B269C4"/>
    <w:rsid w:val="27BE0047"/>
    <w:rsid w:val="27E44CCE"/>
    <w:rsid w:val="2892286E"/>
    <w:rsid w:val="294A4C15"/>
    <w:rsid w:val="2B02634F"/>
    <w:rsid w:val="2C335357"/>
    <w:rsid w:val="2D9E37C7"/>
    <w:rsid w:val="319A3355"/>
    <w:rsid w:val="32890FAB"/>
    <w:rsid w:val="34401C96"/>
    <w:rsid w:val="34870BFC"/>
    <w:rsid w:val="34AC10D9"/>
    <w:rsid w:val="380F2D8E"/>
    <w:rsid w:val="39506D4F"/>
    <w:rsid w:val="3B225C51"/>
    <w:rsid w:val="3BE54A6B"/>
    <w:rsid w:val="3BE64ED1"/>
    <w:rsid w:val="3CA57DE3"/>
    <w:rsid w:val="3CCC46BA"/>
    <w:rsid w:val="3CDC3149"/>
    <w:rsid w:val="3E9A0C6C"/>
    <w:rsid w:val="3EA118C8"/>
    <w:rsid w:val="3EB6269D"/>
    <w:rsid w:val="40684BE4"/>
    <w:rsid w:val="40CC6D03"/>
    <w:rsid w:val="40D75730"/>
    <w:rsid w:val="41BB3BD1"/>
    <w:rsid w:val="42DE2553"/>
    <w:rsid w:val="4432296D"/>
    <w:rsid w:val="444E18F2"/>
    <w:rsid w:val="44973997"/>
    <w:rsid w:val="45FF0BB4"/>
    <w:rsid w:val="4690085B"/>
    <w:rsid w:val="47B6571A"/>
    <w:rsid w:val="47C702AC"/>
    <w:rsid w:val="4881314E"/>
    <w:rsid w:val="48D92612"/>
    <w:rsid w:val="49B47D52"/>
    <w:rsid w:val="4AD22D67"/>
    <w:rsid w:val="4B574CA9"/>
    <w:rsid w:val="4BD258F2"/>
    <w:rsid w:val="4DEF5E83"/>
    <w:rsid w:val="4E0C5243"/>
    <w:rsid w:val="4F194ABD"/>
    <w:rsid w:val="4F86281E"/>
    <w:rsid w:val="4FE9038F"/>
    <w:rsid w:val="50252F29"/>
    <w:rsid w:val="50635AAB"/>
    <w:rsid w:val="50AB3336"/>
    <w:rsid w:val="51750D79"/>
    <w:rsid w:val="52D23FA9"/>
    <w:rsid w:val="53B94E1F"/>
    <w:rsid w:val="540E72EB"/>
    <w:rsid w:val="54B9134E"/>
    <w:rsid w:val="56B4271C"/>
    <w:rsid w:val="56E147BB"/>
    <w:rsid w:val="570F712F"/>
    <w:rsid w:val="57776ECD"/>
    <w:rsid w:val="57AF2B0B"/>
    <w:rsid w:val="58514C22"/>
    <w:rsid w:val="59C641A0"/>
    <w:rsid w:val="5ADE3950"/>
    <w:rsid w:val="5B463938"/>
    <w:rsid w:val="5B9725E1"/>
    <w:rsid w:val="5CF36FF6"/>
    <w:rsid w:val="5D9D2F99"/>
    <w:rsid w:val="5ED16751"/>
    <w:rsid w:val="5F1F2324"/>
    <w:rsid w:val="5F487721"/>
    <w:rsid w:val="5F736571"/>
    <w:rsid w:val="605727B5"/>
    <w:rsid w:val="60C5514D"/>
    <w:rsid w:val="61707F91"/>
    <w:rsid w:val="619863DE"/>
    <w:rsid w:val="64B87FE4"/>
    <w:rsid w:val="658C2785"/>
    <w:rsid w:val="662B13E4"/>
    <w:rsid w:val="66A60F56"/>
    <w:rsid w:val="67BE7CC5"/>
    <w:rsid w:val="68174D5D"/>
    <w:rsid w:val="69CA20CF"/>
    <w:rsid w:val="6B5E207F"/>
    <w:rsid w:val="6C353187"/>
    <w:rsid w:val="6CDF2158"/>
    <w:rsid w:val="6CEA21C3"/>
    <w:rsid w:val="6D8500D6"/>
    <w:rsid w:val="6DA95DB5"/>
    <w:rsid w:val="6DFE6BFE"/>
    <w:rsid w:val="6F211279"/>
    <w:rsid w:val="6FB645DF"/>
    <w:rsid w:val="70891CF3"/>
    <w:rsid w:val="710B095A"/>
    <w:rsid w:val="71715DF5"/>
    <w:rsid w:val="71724535"/>
    <w:rsid w:val="7487479C"/>
    <w:rsid w:val="768E5753"/>
    <w:rsid w:val="775D3809"/>
    <w:rsid w:val="77AB69F3"/>
    <w:rsid w:val="77AD2AE3"/>
    <w:rsid w:val="78112CFA"/>
    <w:rsid w:val="78DF7915"/>
    <w:rsid w:val="7904460D"/>
    <w:rsid w:val="7A8C4B1E"/>
    <w:rsid w:val="7B4B6523"/>
    <w:rsid w:val="7B671B34"/>
    <w:rsid w:val="7B89704B"/>
    <w:rsid w:val="7BC258C6"/>
    <w:rsid w:val="7C10497A"/>
    <w:rsid w:val="7DB008BF"/>
    <w:rsid w:val="7EBC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qFormat="1" w:unhideWhenUsed="0" w:uiPriority="0" w:semiHidden="0" w:name="table of authorities"/>
    <w:lsdException w:unhideWhenUsed="0" w:uiPriority="99" w:semiHidden="0" w:name="macro"/>
    <w:lsdException w:unhideWhenUsed="0" w:uiPriority="99" w:semiHidden="0" w:name="toa heading"/>
    <w:lsdException w:qFormat="1" w:unhideWhenUsed="0" w:uiPriority="0" w:name="List"/>
    <w:lsdException w:unhideWhenUsed="0" w:uiPriority="99" w:semiHidden="0" w:name="List Bullet"/>
    <w:lsdException w:unhideWhenUsed="0" w:uiPriority="99" w:semiHidden="0" w:name="List Number"/>
    <w:lsdException w:unhideWhenUsed="0" w:uiPriority="99" w:semiHidden="0" w:name="List 2"/>
    <w:lsdException w:qFormat="1" w:uiPriority="1"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99" w:semiHidden="0" w:name="Title"/>
    <w:lsdException w:unhideWhenUsed="0" w:uiPriority="99" w:semiHidden="0" w:name="Closing"/>
    <w:lsdException w:unhideWhenUsed="0"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qFormat="1" w:unhideWhenUsed="0" w:uiPriority="0" w:semiHidden="0" w:name="Date"/>
    <w:lsdException w:qFormat="1" w:unhideWhenUsed="0" w:uiPriority="0" w:name="Body Text First Indent"/>
    <w:lsdException w:qFormat="1" w:unhideWhenUsed="0" w:uiPriority="6"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qFormat="1" w:unhideWhenUsed="0" w:uiPriority="0" w:semiHidden="0" w:name="Body Text Indent 2"/>
    <w:lsdException w:unhideWhenUsed="0" w:uiPriority="99" w:semiHidden="0" w:name="Body Text Indent 3"/>
    <w:lsdException w:qFormat="1" w:unhideWhenUsed="0" w:uiPriority="0"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customStyle="1" w:styleId="4">
    <w:name w:val="正文样式1"/>
    <w:qFormat/>
    <w:uiPriority w:val="0"/>
    <w:pPr>
      <w:widowControl w:val="0"/>
      <w:ind w:firstLine="600" w:firstLineChars="200"/>
      <w:jc w:val="both"/>
    </w:pPr>
    <w:rPr>
      <w:rFonts w:ascii="Times New Roman" w:hAnsi="Times New Roman" w:eastAsia="宋体" w:cs="Times New Roman"/>
      <w:kern w:val="2"/>
      <w:sz w:val="28"/>
      <w:lang w:val="en-US" w:eastAsia="zh-CN" w:bidi="ar-SA"/>
    </w:rPr>
  </w:style>
  <w:style w:type="paragraph" w:styleId="6">
    <w:name w:val="List 3"/>
    <w:basedOn w:val="1"/>
    <w:next w:val="1"/>
    <w:unhideWhenUsed/>
    <w:qFormat/>
    <w:uiPriority w:val="1"/>
    <w:pPr>
      <w:adjustRightInd w:val="0"/>
      <w:snapToGrid w:val="0"/>
      <w:spacing w:line="360" w:lineRule="auto"/>
      <w:ind w:left="100" w:leftChars="400" w:hanging="200" w:hangingChars="200"/>
    </w:pPr>
    <w:rPr>
      <w:sz w:val="24"/>
    </w:rPr>
  </w:style>
  <w:style w:type="paragraph" w:styleId="7">
    <w:name w:val="table of authorities"/>
    <w:basedOn w:val="1"/>
    <w:next w:val="1"/>
    <w:qFormat/>
    <w:uiPriority w:val="0"/>
    <w:pPr>
      <w:ind w:left="420" w:leftChars="200"/>
    </w:pPr>
  </w:style>
  <w:style w:type="paragraph" w:styleId="8">
    <w:name w:val="Normal Indent"/>
    <w:basedOn w:val="1"/>
    <w:qFormat/>
    <w:uiPriority w:val="99"/>
    <w:pPr>
      <w:adjustRightInd w:val="0"/>
      <w:snapToGrid w:val="0"/>
      <w:spacing w:line="360" w:lineRule="auto"/>
      <w:ind w:firstLine="420"/>
    </w:pPr>
    <w:rPr>
      <w:sz w:val="24"/>
    </w:rPr>
  </w:style>
  <w:style w:type="paragraph" w:styleId="9">
    <w:name w:val="Body Text"/>
    <w:basedOn w:val="1"/>
    <w:next w:val="1"/>
    <w:qFormat/>
    <w:uiPriority w:val="0"/>
    <w:rPr>
      <w:rFonts w:ascii="仿宋_GB2312" w:eastAsia="仿宋_GB2312"/>
      <w:sz w:val="32"/>
    </w:rPr>
  </w:style>
  <w:style w:type="paragraph" w:styleId="10">
    <w:name w:val="Body Text Indent"/>
    <w:basedOn w:val="1"/>
    <w:qFormat/>
    <w:uiPriority w:val="0"/>
    <w:pPr>
      <w:spacing w:line="700" w:lineRule="exact"/>
      <w:ind w:left="960"/>
    </w:pPr>
    <w:rPr>
      <w:sz w:val="44"/>
    </w:rPr>
  </w:style>
  <w:style w:type="paragraph" w:styleId="1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2">
    <w:name w:val="Plain Text"/>
    <w:basedOn w:val="1"/>
    <w:next w:val="1"/>
    <w:qFormat/>
    <w:uiPriority w:val="99"/>
    <w:pPr>
      <w:widowControl/>
      <w:spacing w:before="100" w:beforeAutospacing="1" w:after="100" w:afterAutospacing="1"/>
      <w:jc w:val="left"/>
    </w:pPr>
    <w:rPr>
      <w:rFonts w:ascii="宋体" w:hAnsi="Courier New"/>
      <w:kern w:val="0"/>
      <w:sz w:val="20"/>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qFormat/>
    <w:uiPriority w:val="0"/>
    <w:pPr>
      <w:spacing w:line="180" w:lineRule="auto"/>
      <w:jc w:val="center"/>
    </w:pPr>
    <w:rPr>
      <w:sz w:val="30"/>
    </w:rPr>
  </w:style>
  <w:style w:type="paragraph" w:styleId="18">
    <w:name w:val="List"/>
    <w:basedOn w:val="1"/>
    <w:semiHidden/>
    <w:qFormat/>
    <w:uiPriority w:val="0"/>
    <w:pPr>
      <w:ind w:left="200" w:hanging="200" w:hangingChars="200"/>
    </w:pPr>
  </w:style>
  <w:style w:type="paragraph" w:styleId="19">
    <w:name w:val="Title"/>
    <w:basedOn w:val="1"/>
    <w:qFormat/>
    <w:uiPriority w:val="99"/>
    <w:pPr>
      <w:widowControl/>
      <w:spacing w:after="240" w:line="360" w:lineRule="auto"/>
      <w:jc w:val="center"/>
    </w:pPr>
    <w:rPr>
      <w:rFonts w:ascii="Cambria" w:hAnsi="Cambria"/>
      <w:b/>
      <w:bCs/>
      <w:kern w:val="0"/>
      <w:sz w:val="32"/>
      <w:szCs w:val="32"/>
    </w:rPr>
  </w:style>
  <w:style w:type="paragraph" w:styleId="20">
    <w:name w:val="Body Text First Indent"/>
    <w:basedOn w:val="9"/>
    <w:next w:val="6"/>
    <w:semiHidden/>
    <w:qFormat/>
    <w:uiPriority w:val="0"/>
    <w:pPr>
      <w:spacing w:line="360" w:lineRule="auto"/>
      <w:ind w:firstLine="420"/>
    </w:pPr>
    <w:rPr>
      <w:rFonts w:ascii="宋体" w:hAnsi="宋体"/>
    </w:rPr>
  </w:style>
  <w:style w:type="paragraph" w:styleId="21">
    <w:name w:val="Body Text First Indent 2"/>
    <w:basedOn w:val="10"/>
    <w:qFormat/>
    <w:uiPriority w:val="6"/>
    <w:pPr>
      <w:spacing w:after="120"/>
      <w:ind w:firstLine="420"/>
    </w:pPr>
    <w:rPr>
      <w:rFonts w:cs="宋体"/>
      <w:szCs w:val="21"/>
    </w:rPr>
  </w:style>
  <w:style w:type="character" w:styleId="24">
    <w:name w:val="page number"/>
    <w:basedOn w:val="23"/>
    <w:qFormat/>
    <w:uiPriority w:val="0"/>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
    <w:name w:val="图例"/>
    <w:basedOn w:val="1"/>
    <w:qFormat/>
    <w:uiPriority w:val="0"/>
    <w:pPr>
      <w:spacing w:before="120" w:after="120" w:line="360" w:lineRule="auto"/>
      <w:jc w:val="center"/>
    </w:pPr>
    <w:rPr>
      <w:rFonts w:eastAsia="仿宋_GB2312"/>
      <w:b/>
      <w:sz w:val="24"/>
    </w:rPr>
  </w:style>
  <w:style w:type="paragraph" w:customStyle="1" w:styleId="27">
    <w:name w:val="电建正文"/>
    <w:basedOn w:val="28"/>
    <w:qFormat/>
    <w:uiPriority w:val="0"/>
    <w:pPr>
      <w:tabs>
        <w:tab w:val="left" w:pos="720"/>
      </w:tabs>
      <w:spacing w:line="360" w:lineRule="auto"/>
      <w:ind w:firstLine="200" w:firstLineChars="200"/>
    </w:pPr>
    <w:rPr>
      <w:rFonts w:ascii="Tahoma" w:hAnsi="Tahoma"/>
      <w:sz w:val="24"/>
    </w:rPr>
  </w:style>
  <w:style w:type="paragraph" w:customStyle="1" w:styleId="28">
    <w:name w:val="List First"/>
    <w:basedOn w:val="18"/>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9">
    <w:name w:val="Body Text First Indent 21"/>
    <w:basedOn w:val="30"/>
    <w:qFormat/>
    <w:uiPriority w:val="0"/>
    <w:pPr>
      <w:ind w:firstLine="420" w:firstLineChars="200"/>
    </w:pPr>
    <w:rPr>
      <w:rFonts w:ascii="宋体" w:hAnsi="宋体"/>
      <w:sz w:val="22"/>
      <w:szCs w:val="22"/>
    </w:rPr>
  </w:style>
  <w:style w:type="paragraph" w:customStyle="1" w:styleId="30">
    <w:name w:val="Body Text Indent1"/>
    <w:basedOn w:val="1"/>
    <w:qFormat/>
    <w:uiPriority w:val="0"/>
    <w:pPr>
      <w:spacing w:after="120"/>
      <w:ind w:left="420" w:leftChars="200"/>
    </w:pPr>
  </w:style>
  <w:style w:type="character" w:customStyle="1" w:styleId="31">
    <w:name w:val="font51"/>
    <w:basedOn w:val="23"/>
    <w:qFormat/>
    <w:uiPriority w:val="0"/>
    <w:rPr>
      <w:rFonts w:hint="eastAsia" w:ascii="宋体" w:hAnsi="宋体" w:eastAsia="宋体" w:cs="宋体"/>
      <w:color w:val="auto"/>
      <w:sz w:val="18"/>
      <w:szCs w:val="18"/>
      <w:u w:val="none"/>
    </w:rPr>
  </w:style>
  <w:style w:type="paragraph" w:customStyle="1" w:styleId="32">
    <w:name w:val="样式3"/>
    <w:basedOn w:val="12"/>
    <w:qFormat/>
    <w:uiPriority w:val="0"/>
    <w:pPr>
      <w:widowControl w:val="0"/>
      <w:spacing w:before="0" w:beforeAutospacing="0" w:after="0" w:afterAutospacing="0" w:line="0" w:lineRule="atLeast"/>
      <w:jc w:val="both"/>
      <w:outlineLvl w:val="0"/>
    </w:pPr>
    <w:rPr>
      <w:kern w:val="2"/>
      <w:sz w:val="28"/>
    </w:rPr>
  </w:style>
  <w:style w:type="character" w:customStyle="1" w:styleId="33">
    <w:name w:val="NormalCharacter"/>
    <w:qFormat/>
    <w:uiPriority w:val="0"/>
  </w:style>
  <w:style w:type="character" w:customStyle="1" w:styleId="34">
    <w:name w:val="font11"/>
    <w:basedOn w:val="23"/>
    <w:qFormat/>
    <w:uiPriority w:val="0"/>
    <w:rPr>
      <w:rFonts w:hint="eastAsia" w:ascii="宋体" w:hAnsi="宋体" w:eastAsia="宋体" w:cs="宋体"/>
      <w:color w:val="000000"/>
      <w:sz w:val="18"/>
      <w:szCs w:val="18"/>
      <w:u w:val="none"/>
    </w:rPr>
  </w:style>
  <w:style w:type="paragraph" w:customStyle="1" w:styleId="35">
    <w:name w:val="样式 首行缩进:  2 字符"/>
    <w:basedOn w:val="1"/>
    <w:qFormat/>
    <w:uiPriority w:val="0"/>
    <w:pPr>
      <w:widowControl w:val="0"/>
      <w:tabs>
        <w:tab w:val="left" w:pos="0"/>
      </w:tabs>
      <w:spacing w:after="0" w:line="400" w:lineRule="exact"/>
      <w:ind w:firstLine="200" w:firstLineChars="200"/>
    </w:pPr>
    <w:rPr>
      <w:rFonts w:ascii="宋体" w:hAnsi="宋体" w:eastAsia="宋体" w:cs="宋体"/>
      <w:kern w:val="2"/>
      <w:sz w:val="24"/>
      <w:szCs w:val="24"/>
    </w:rPr>
  </w:style>
  <w:style w:type="paragraph" w:customStyle="1" w:styleId="36">
    <w:name w:val="Table Paragraph"/>
    <w:basedOn w:val="1"/>
    <w:qFormat/>
    <w:uiPriority w:val="1"/>
    <w:rPr>
      <w:rFonts w:ascii="宋体" w:hAnsi="宋体" w:eastAsia="宋体" w:cs="宋体"/>
    </w:rPr>
  </w:style>
  <w:style w:type="paragraph" w:customStyle="1" w:styleId="37">
    <w:name w:val="List Paragraph1"/>
    <w:basedOn w:val="1"/>
    <w:qFormat/>
    <w:uiPriority w:val="0"/>
    <w:pPr>
      <w:ind w:firstLine="420" w:firstLineChars="200"/>
    </w:pPr>
    <w:rPr>
      <w:rFonts w:ascii="Times New Roman" w:hAnsi="Times New Roman" w:eastAsia="宋体" w:cs="Times New Roman"/>
      <w:spacing w:val="0"/>
      <w:sz w:val="21"/>
      <w:szCs w:val="24"/>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附件"/>
    <w:qFormat/>
    <w:uiPriority w:val="0"/>
    <w:pPr>
      <w:tabs>
        <w:tab w:val="right" w:leader="dot" w:pos="9402"/>
      </w:tabs>
      <w:spacing w:line="400" w:lineRule="exact"/>
      <w:jc w:val="center"/>
      <w:outlineLvl w:val="0"/>
    </w:pPr>
    <w:rPr>
      <w:rFonts w:ascii="Times New Roman" w:hAnsi="Times New Roman" w:eastAsia="方正黑体_GBK" w:cs="Times New Roman"/>
      <w:b/>
      <w:bCs/>
      <w:kern w:val="2"/>
      <w:sz w:val="28"/>
      <w:lang w:val="en-US" w:eastAsia="zh-CN" w:bidi="ar-SA"/>
    </w:rPr>
  </w:style>
  <w:style w:type="paragraph" w:customStyle="1" w:styleId="40">
    <w:name w:val="1"/>
    <w:basedOn w:val="1"/>
    <w:next w:val="12"/>
    <w:qFormat/>
    <w:uiPriority w:val="0"/>
    <w:rPr>
      <w:rFonts w:ascii="宋体" w:hAnsi="Courier New"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3355</Words>
  <Characters>3576</Characters>
  <Lines>112</Lines>
  <Paragraphs>31</Paragraphs>
  <TotalTime>1</TotalTime>
  <ScaleCrop>false</ScaleCrop>
  <LinksUpToDate>false</LinksUpToDate>
  <CharactersWithSpaces>3617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石大海</cp:lastModifiedBy>
  <dcterms:modified xsi:type="dcterms:W3CDTF">2025-09-09T01:49:46Z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8A86C4E9F0F8404C827270540DF3E366_13</vt:lpwstr>
  </property>
  <property fmtid="{D5CDD505-2E9C-101B-9397-08002B2CF9AE}" pid="4" name="KSOTemplateDocerSaveRecord">
    <vt:lpwstr>eyJoZGlkIjoiNGY1MWJmZmQwYzQxNDJlNzAwOWE5NjVlZDU4NzM3NzUiLCJ1c2VySWQiOiI2NjIxOTAwOTUifQ==</vt:lpwstr>
  </property>
</Properties>
</file>