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B9925">
      <w:pPr>
        <w:pStyle w:val="21"/>
        <w:rPr>
          <w:rFonts w:hint="eastAsia" w:ascii="黑体" w:hAnsi="黑体" w:eastAsia="黑体" w:cs="黑体"/>
          <w:color w:val="auto"/>
          <w:highlight w:val="none"/>
        </w:rPr>
      </w:pPr>
    </w:p>
    <w:p w14:paraId="4476580C">
      <w:pPr>
        <w:spacing w:line="360" w:lineRule="auto"/>
        <w:jc w:val="center"/>
        <w:rPr>
          <w:rFonts w:hint="eastAsia" w:ascii="黑体" w:hAnsi="黑体" w:eastAsia="黑体" w:cs="黑体"/>
          <w:b/>
          <w:color w:val="auto"/>
          <w:sz w:val="96"/>
          <w:szCs w:val="96"/>
          <w:highlight w:val="none"/>
        </w:rPr>
      </w:pPr>
      <w:r>
        <w:rPr>
          <w:rFonts w:hint="eastAsia" w:ascii="黑体" w:hAnsi="黑体" w:eastAsia="黑体" w:cs="黑体"/>
          <w:b/>
          <w:color w:val="auto"/>
          <w:sz w:val="96"/>
          <w:szCs w:val="96"/>
          <w:highlight w:val="none"/>
        </w:rPr>
        <w:t>竞争性比选</w:t>
      </w:r>
    </w:p>
    <w:p w14:paraId="740BDB60">
      <w:pPr>
        <w:spacing w:line="360" w:lineRule="auto"/>
        <w:jc w:val="center"/>
        <w:rPr>
          <w:rFonts w:hint="eastAsia" w:ascii="黑体" w:hAnsi="黑体" w:eastAsia="黑体" w:cs="黑体"/>
          <w:b/>
          <w:color w:val="auto"/>
          <w:sz w:val="32"/>
          <w:highlight w:val="none"/>
        </w:rPr>
      </w:pPr>
      <w:r>
        <w:rPr>
          <w:rFonts w:hint="eastAsia" w:ascii="黑体" w:hAnsi="黑体" w:eastAsia="黑体" w:cs="黑体"/>
          <w:b/>
          <w:color w:val="auto"/>
          <w:sz w:val="96"/>
          <w:szCs w:val="96"/>
          <w:highlight w:val="none"/>
        </w:rPr>
        <w:t>招 标 文 件</w:t>
      </w:r>
    </w:p>
    <w:p w14:paraId="214C28F6">
      <w:pPr>
        <w:pStyle w:val="3"/>
        <w:spacing w:before="21" w:line="360" w:lineRule="auto"/>
        <w:ind w:left="2243" w:leftChars="801" w:firstLine="0" w:firstLineChars="0"/>
        <w:jc w:val="both"/>
        <w:rPr>
          <w:rFonts w:hint="default" w:ascii="黑体" w:hAnsi="黑体" w:eastAsia="黑体" w:cs="黑体"/>
          <w:b/>
          <w:bCs w:val="0"/>
          <w:color w:val="auto"/>
          <w:sz w:val="32"/>
          <w:szCs w:val="22"/>
          <w:highlight w:val="none"/>
          <w:lang w:val="en-US" w:eastAsia="zh-CN"/>
        </w:rPr>
      </w:pPr>
      <w:bookmarkStart w:id="0" w:name="_Toc2292"/>
      <w:bookmarkStart w:id="1" w:name="_Toc27716"/>
      <w:bookmarkStart w:id="2" w:name="_Toc26400"/>
      <w:bookmarkStart w:id="3" w:name="_Toc23849"/>
      <w:bookmarkStart w:id="4" w:name="_Toc31726"/>
      <w:bookmarkStart w:id="5" w:name="_Toc9810"/>
      <w:r>
        <w:rPr>
          <w:rFonts w:hint="eastAsia" w:ascii="黑体" w:hAnsi="黑体" w:eastAsia="黑体" w:cs="黑体"/>
          <w:b/>
          <w:bCs w:val="0"/>
          <w:color w:val="auto"/>
          <w:sz w:val="32"/>
          <w:szCs w:val="22"/>
          <w:highlight w:val="none"/>
          <w:lang w:val="en-US" w:eastAsia="zh-CN"/>
        </w:rPr>
        <w:t>招 标 编 号：</w:t>
      </w:r>
      <w:bookmarkEnd w:id="0"/>
      <w:bookmarkEnd w:id="1"/>
      <w:bookmarkEnd w:id="2"/>
      <w:bookmarkEnd w:id="3"/>
      <w:bookmarkEnd w:id="4"/>
      <w:bookmarkEnd w:id="5"/>
      <w:bookmarkStart w:id="6" w:name="_Toc21513"/>
      <w:bookmarkStart w:id="7" w:name="_Toc11745"/>
      <w:bookmarkStart w:id="8" w:name="_Toc14658"/>
      <w:bookmarkStart w:id="9" w:name="_Toc26156"/>
      <w:bookmarkStart w:id="10" w:name="_Toc23359"/>
      <w:r>
        <w:rPr>
          <w:rFonts w:hint="eastAsia" w:ascii="黑体" w:hAnsi="黑体" w:cs="黑体"/>
          <w:b/>
          <w:bCs w:val="0"/>
          <w:color w:val="auto"/>
          <w:sz w:val="32"/>
          <w:szCs w:val="22"/>
          <w:highlight w:val="none"/>
          <w:lang w:val="en-US" w:eastAsia="zh-CN"/>
        </w:rPr>
        <w:t>BSRMYY-YNCG-2025-04010</w:t>
      </w:r>
    </w:p>
    <w:p w14:paraId="4C88C2F1">
      <w:pPr>
        <w:pStyle w:val="3"/>
        <w:spacing w:before="21" w:line="360" w:lineRule="auto"/>
        <w:ind w:left="2249" w:hanging="2249" w:hangingChars="700"/>
        <w:jc w:val="center"/>
        <w:rPr>
          <w:rFonts w:hint="eastAsia" w:ascii="黑体" w:hAnsi="黑体" w:eastAsia="黑体" w:cs="黑体"/>
          <w:b/>
          <w:bCs w:val="0"/>
          <w:color w:val="auto"/>
          <w:sz w:val="32"/>
          <w:szCs w:val="22"/>
          <w:highlight w:val="none"/>
          <w:lang w:val="en-US" w:eastAsia="zh-CN"/>
        </w:rPr>
      </w:pPr>
      <w:bookmarkStart w:id="11" w:name="_Toc30625"/>
      <w:bookmarkStart w:id="12" w:name="_Toc19589"/>
      <w:r>
        <w:rPr>
          <w:rFonts w:hint="eastAsia" w:ascii="黑体" w:hAnsi="黑体" w:eastAsia="黑体" w:cs="黑体"/>
          <w:b/>
          <w:bCs w:val="0"/>
          <w:color w:val="auto"/>
          <w:sz w:val="32"/>
          <w:szCs w:val="22"/>
          <w:highlight w:val="none"/>
        </w:rPr>
        <w:t>项目名称：</w:t>
      </w:r>
      <w:bookmarkEnd w:id="6"/>
      <w:bookmarkEnd w:id="7"/>
      <w:bookmarkEnd w:id="8"/>
      <w:bookmarkEnd w:id="9"/>
      <w:bookmarkEnd w:id="10"/>
      <w:r>
        <w:rPr>
          <w:rFonts w:hint="eastAsia" w:ascii="黑体" w:hAnsi="黑体" w:eastAsia="黑体" w:cs="黑体"/>
          <w:b/>
          <w:bCs w:val="0"/>
          <w:color w:val="auto"/>
          <w:sz w:val="32"/>
          <w:szCs w:val="22"/>
          <w:highlight w:val="none"/>
          <w:lang w:val="en-US" w:eastAsia="zh-CN"/>
        </w:rPr>
        <w:t>超短波治疗机等设备一批</w:t>
      </w:r>
      <w:bookmarkEnd w:id="11"/>
      <w:bookmarkEnd w:id="12"/>
    </w:p>
    <w:p w14:paraId="024FED43">
      <w:pPr>
        <w:spacing w:line="700" w:lineRule="exact"/>
        <w:ind w:firstLine="0" w:firstLineChars="0"/>
        <w:jc w:val="center"/>
        <w:rPr>
          <w:rFonts w:hint="eastAsia" w:ascii="黑体" w:hAnsi="黑体" w:eastAsia="黑体" w:cs="黑体"/>
          <w:b/>
          <w:bCs w:val="0"/>
          <w:color w:val="auto"/>
          <w:sz w:val="32"/>
          <w:szCs w:val="21"/>
          <w:highlight w:val="none"/>
        </w:rPr>
      </w:pPr>
    </w:p>
    <w:p w14:paraId="108A7A55">
      <w:pPr>
        <w:spacing w:line="700" w:lineRule="exact"/>
        <w:ind w:firstLine="0" w:firstLineChars="0"/>
        <w:jc w:val="center"/>
        <w:rPr>
          <w:rFonts w:hint="eastAsia" w:ascii="黑体" w:hAnsi="黑体" w:eastAsia="黑体" w:cs="黑体"/>
          <w:b/>
          <w:bCs w:val="0"/>
          <w:color w:val="auto"/>
          <w:sz w:val="32"/>
          <w:szCs w:val="21"/>
          <w:highlight w:val="none"/>
        </w:rPr>
      </w:pPr>
    </w:p>
    <w:p w14:paraId="11DF0B54">
      <w:pPr>
        <w:spacing w:line="700" w:lineRule="exact"/>
        <w:ind w:firstLine="0" w:firstLineChars="0"/>
        <w:jc w:val="both"/>
        <w:rPr>
          <w:rFonts w:hint="eastAsia" w:ascii="黑体" w:hAnsi="黑体" w:eastAsia="黑体" w:cs="黑体"/>
          <w:b/>
          <w:bCs w:val="0"/>
          <w:color w:val="auto"/>
          <w:sz w:val="32"/>
          <w:szCs w:val="21"/>
          <w:highlight w:val="none"/>
        </w:rPr>
      </w:pPr>
    </w:p>
    <w:p w14:paraId="76064B20">
      <w:pPr>
        <w:spacing w:line="700" w:lineRule="exact"/>
        <w:ind w:firstLine="0" w:firstLineChars="0"/>
        <w:jc w:val="center"/>
        <w:rPr>
          <w:rFonts w:hint="eastAsia" w:ascii="黑体" w:hAnsi="黑体" w:eastAsia="黑体" w:cs="黑体"/>
          <w:b/>
          <w:bCs w:val="0"/>
          <w:color w:val="auto"/>
          <w:sz w:val="28"/>
          <w:szCs w:val="22"/>
          <w:highlight w:val="none"/>
          <w:u w:val="single"/>
        </w:rPr>
      </w:pPr>
      <w:r>
        <w:rPr>
          <w:rFonts w:hint="eastAsia" w:ascii="黑体" w:hAnsi="黑体" w:eastAsia="黑体" w:cs="黑体"/>
          <w:b/>
          <w:bCs w:val="0"/>
          <w:color w:val="auto"/>
          <w:sz w:val="32"/>
          <w:szCs w:val="21"/>
          <w:highlight w:val="none"/>
        </w:rPr>
        <w:t>采  购  人：</w:t>
      </w:r>
      <w:r>
        <w:rPr>
          <w:rFonts w:hint="eastAsia" w:ascii="黑体" w:hAnsi="黑体" w:eastAsia="黑体" w:cs="黑体"/>
          <w:b/>
          <w:bCs w:val="0"/>
          <w:color w:val="auto"/>
          <w:sz w:val="32"/>
          <w:szCs w:val="21"/>
          <w:highlight w:val="none"/>
          <w:u w:val="single"/>
        </w:rPr>
        <w:t>重庆市璧山区人民医院</w:t>
      </w:r>
    </w:p>
    <w:p w14:paraId="5ACA72DF">
      <w:pPr>
        <w:spacing w:line="360" w:lineRule="auto"/>
        <w:ind w:firstLine="1120"/>
        <w:jc w:val="center"/>
        <w:outlineLvl w:val="0"/>
        <w:rPr>
          <w:rFonts w:hint="eastAsia" w:ascii="黑体" w:hAnsi="黑体" w:eastAsia="黑体" w:cs="黑体"/>
          <w:b/>
          <w:bCs w:val="0"/>
          <w:color w:val="auto"/>
          <w:sz w:val="32"/>
          <w:szCs w:val="22"/>
          <w:highlight w:val="none"/>
        </w:rPr>
      </w:pPr>
    </w:p>
    <w:p w14:paraId="3E264DFE">
      <w:pPr>
        <w:spacing w:line="360" w:lineRule="auto"/>
        <w:jc w:val="center"/>
        <w:outlineLvl w:val="0"/>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22"/>
          <w:highlight w:val="none"/>
        </w:rPr>
        <w:t>采购代理机构：</w:t>
      </w:r>
      <w:r>
        <w:rPr>
          <w:rFonts w:hint="eastAsia" w:ascii="黑体" w:hAnsi="黑体" w:eastAsia="黑体" w:cs="黑体"/>
          <w:b/>
          <w:bCs w:val="0"/>
          <w:color w:val="auto"/>
          <w:sz w:val="32"/>
          <w:szCs w:val="22"/>
          <w:highlight w:val="none"/>
          <w:u w:val="single"/>
        </w:rPr>
        <w:t>重庆同诚工程项目管理咨询有限公司</w:t>
      </w:r>
    </w:p>
    <w:p w14:paraId="2C15FB86">
      <w:pPr>
        <w:pStyle w:val="21"/>
        <w:rPr>
          <w:rFonts w:hint="eastAsia" w:ascii="黑体" w:hAnsi="黑体" w:eastAsia="黑体" w:cs="黑体"/>
          <w:b/>
          <w:bCs w:val="0"/>
          <w:color w:val="auto"/>
          <w:highlight w:val="none"/>
        </w:rPr>
      </w:pPr>
    </w:p>
    <w:p w14:paraId="363EAA43">
      <w:pPr>
        <w:snapToGrid w:val="0"/>
        <w:spacing w:line="360" w:lineRule="auto"/>
        <w:jc w:val="center"/>
        <w:rPr>
          <w:rFonts w:hint="eastAsia" w:ascii="黑体" w:hAnsi="黑体" w:eastAsia="黑体" w:cs="黑体"/>
          <w:b/>
          <w:bCs w:val="0"/>
          <w:color w:val="auto"/>
          <w:sz w:val="32"/>
          <w:szCs w:val="32"/>
          <w:highlight w:val="none"/>
        </w:rPr>
        <w:sectPr>
          <w:headerReference r:id="rId4" w:type="first"/>
          <w:headerReference r:id="rId3" w:type="default"/>
          <w:footerReference r:id="rId5" w:type="default"/>
          <w:footerReference r:id="rId6" w:type="even"/>
          <w:pgSz w:w="11907" w:h="16840"/>
          <w:pgMar w:top="1440" w:right="1080" w:bottom="1440" w:left="1080" w:header="964" w:footer="992" w:gutter="0"/>
          <w:pgNumType w:start="1"/>
          <w:cols w:space="720" w:num="1"/>
          <w:titlePg/>
          <w:docGrid w:linePitch="312" w:charSpace="0"/>
        </w:sectPr>
      </w:pPr>
      <w:r>
        <w:rPr>
          <w:rFonts w:hint="eastAsia" w:ascii="黑体" w:hAnsi="黑体" w:eastAsia="黑体" w:cs="黑体"/>
          <w:b/>
          <w:bCs w:val="0"/>
          <w:color w:val="auto"/>
          <w:sz w:val="32"/>
          <w:szCs w:val="32"/>
          <w:highlight w:val="none"/>
        </w:rPr>
        <w:t>二○二</w:t>
      </w:r>
      <w:r>
        <w:rPr>
          <w:rFonts w:hint="eastAsia" w:ascii="黑体" w:hAnsi="黑体" w:eastAsia="黑体" w:cs="黑体"/>
          <w:b/>
          <w:bCs w:val="0"/>
          <w:color w:val="auto"/>
          <w:sz w:val="32"/>
          <w:szCs w:val="32"/>
          <w:highlight w:val="none"/>
          <w:lang w:val="en-US" w:eastAsia="zh-CN"/>
        </w:rPr>
        <w:t>五</w:t>
      </w:r>
      <w:r>
        <w:rPr>
          <w:rFonts w:hint="eastAsia" w:ascii="黑体" w:hAnsi="黑体" w:eastAsia="黑体" w:cs="黑体"/>
          <w:b/>
          <w:bCs w:val="0"/>
          <w:color w:val="auto"/>
          <w:sz w:val="32"/>
          <w:szCs w:val="32"/>
          <w:highlight w:val="none"/>
        </w:rPr>
        <w:t>年</w:t>
      </w:r>
      <w:r>
        <w:rPr>
          <w:rFonts w:hint="eastAsia" w:ascii="黑体" w:hAnsi="黑体" w:eastAsia="黑体" w:cs="黑体"/>
          <w:b/>
          <w:bCs w:val="0"/>
          <w:color w:val="auto"/>
          <w:sz w:val="32"/>
          <w:szCs w:val="32"/>
          <w:highlight w:val="none"/>
          <w:lang w:val="en-US" w:eastAsia="zh-CN"/>
        </w:rPr>
        <w:t>四</w:t>
      </w:r>
      <w:r>
        <w:rPr>
          <w:rFonts w:hint="eastAsia" w:ascii="黑体" w:hAnsi="黑体" w:eastAsia="黑体" w:cs="黑体"/>
          <w:b/>
          <w:bCs w:val="0"/>
          <w:color w:val="auto"/>
          <w:sz w:val="32"/>
          <w:szCs w:val="32"/>
          <w:highlight w:val="none"/>
        </w:rPr>
        <w:t>月</w:t>
      </w:r>
    </w:p>
    <w:p w14:paraId="49D8514F">
      <w:pPr>
        <w:snapToGrid w:val="0"/>
        <w:spacing w:line="360" w:lineRule="auto"/>
        <w:jc w:val="center"/>
        <w:rPr>
          <w:rFonts w:hint="eastAsia" w:ascii="黑体" w:hAnsi="黑体" w:eastAsia="黑体" w:cs="黑体"/>
          <w:color w:val="auto"/>
          <w:sz w:val="36"/>
          <w:szCs w:val="36"/>
          <w:highlight w:val="none"/>
        </w:rPr>
      </w:pPr>
      <w:r>
        <w:rPr>
          <w:rFonts w:hint="eastAsia" w:ascii="黑体" w:hAnsi="黑体" w:eastAsia="黑体" w:cs="黑体"/>
          <w:b/>
          <w:bCs/>
          <w:color w:val="auto"/>
          <w:sz w:val="36"/>
          <w:szCs w:val="36"/>
          <w:highlight w:val="none"/>
        </w:rPr>
        <w:t>目  录</w:t>
      </w:r>
    </w:p>
    <w:p w14:paraId="2D81C9D8">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 w:val="21"/>
          <w:szCs w:val="21"/>
          <w:highlight w:val="none"/>
        </w:rPr>
        <w:fldChar w:fldCharType="begin"/>
      </w:r>
      <w:r>
        <w:rPr>
          <w:rFonts w:hint="eastAsia" w:ascii="黑体" w:hAnsi="黑体" w:eastAsia="黑体" w:cs="黑体"/>
          <w:color w:val="auto"/>
          <w:sz w:val="21"/>
          <w:szCs w:val="21"/>
          <w:highlight w:val="none"/>
        </w:rPr>
        <w:instrText xml:space="preserve"> TOC \o "1-2" \h \z </w:instrText>
      </w:r>
      <w:r>
        <w:rPr>
          <w:rFonts w:hint="eastAsia" w:ascii="黑体" w:hAnsi="黑体" w:eastAsia="黑体" w:cs="黑体"/>
          <w:color w:val="auto"/>
          <w:sz w:val="21"/>
          <w:szCs w:val="21"/>
          <w:highlight w:val="none"/>
        </w:rPr>
        <w:fldChar w:fldCharType="separate"/>
      </w:r>
    </w:p>
    <w:p w14:paraId="5916C610">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_Toc28991 </w:instrText>
      </w:r>
      <w:r>
        <w:rPr>
          <w:rFonts w:hint="eastAsia" w:ascii="黑体" w:hAnsi="黑体" w:eastAsia="黑体" w:cs="黑体"/>
          <w:szCs w:val="21"/>
          <w:highlight w:val="none"/>
        </w:rPr>
        <w:fldChar w:fldCharType="separate"/>
      </w:r>
      <w:r>
        <w:rPr>
          <w:rFonts w:hint="eastAsia" w:ascii="黑体" w:hAnsi="黑体" w:eastAsia="黑体" w:cs="黑体"/>
          <w:szCs w:val="32"/>
          <w:highlight w:val="none"/>
        </w:rPr>
        <w:t>第一篇 投标邀请书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_Toc28991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12DC7268">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_Toc25079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lang w:val="en-US" w:eastAsia="zh-CN"/>
        </w:rPr>
        <w:t>一、</w:t>
      </w:r>
      <w:r>
        <w:rPr>
          <w:rFonts w:hint="eastAsia" w:ascii="黑体" w:hAnsi="黑体" w:eastAsia="黑体" w:cs="黑体"/>
          <w:szCs w:val="28"/>
          <w:highlight w:val="none"/>
        </w:rPr>
        <w:t>招标项目内容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_Toc25079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0CA179D0">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_Toc9480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二、资金来源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_Toc9480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1A62CEC">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_Toc21084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三、供应商资格要求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_Toc21084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4039D441">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_Toc1078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四、投标、开标有关说明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_Toc1078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6FEFE1B">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_Toc10455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五、投标有关规定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_Toc10455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79CC9A4">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_Toc5466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六、联系方式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_Toc5466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F6AD7D4">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_Toc26058 </w:instrText>
      </w:r>
      <w:r>
        <w:rPr>
          <w:rFonts w:hint="eastAsia" w:ascii="黑体" w:hAnsi="黑体" w:eastAsia="黑体" w:cs="黑体"/>
          <w:szCs w:val="21"/>
          <w:highlight w:val="none"/>
        </w:rPr>
        <w:fldChar w:fldCharType="separate"/>
      </w:r>
      <w:r>
        <w:rPr>
          <w:rFonts w:hint="eastAsia" w:ascii="黑体" w:hAnsi="黑体" w:eastAsia="黑体" w:cs="黑体"/>
          <w:szCs w:val="32"/>
        </w:rPr>
        <w:t xml:space="preserve">第二篇 </w:t>
      </w:r>
      <w:r>
        <w:rPr>
          <w:rFonts w:hint="eastAsia" w:ascii="黑体" w:hAnsi="黑体" w:eastAsia="黑体" w:cs="黑体"/>
          <w:szCs w:val="32"/>
          <w:highlight w:val="none"/>
        </w:rPr>
        <w:t>项目技术（质量）需求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_Toc26058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6C2424FE">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_Toc766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第三篇</w:t>
      </w:r>
      <w:r>
        <w:rPr>
          <w:rFonts w:hint="eastAsia" w:ascii="黑体" w:hAnsi="黑体" w:eastAsia="黑体" w:cs="黑体"/>
          <w:szCs w:val="28"/>
          <w:highlight w:val="none"/>
          <w:lang w:val="en-US" w:eastAsia="zh-CN"/>
        </w:rPr>
        <w:t xml:space="preserve">  项目商务需求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_Toc766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F378D7C">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_Toc20103 </w:instrText>
      </w:r>
      <w:r>
        <w:rPr>
          <w:rFonts w:hint="eastAsia" w:ascii="黑体" w:hAnsi="黑体" w:eastAsia="黑体" w:cs="黑体"/>
          <w:szCs w:val="21"/>
          <w:highlight w:val="none"/>
        </w:rPr>
        <w:fldChar w:fldCharType="separate"/>
      </w:r>
      <w:r>
        <w:rPr>
          <w:rFonts w:hint="eastAsia" w:ascii="黑体" w:hAnsi="黑体" w:eastAsia="黑体" w:cs="黑体"/>
          <w:bCs/>
        </w:rPr>
        <w:t>一、交货时间、地点</w:t>
      </w:r>
      <w:r>
        <w:rPr>
          <w:rFonts w:hint="eastAsia" w:ascii="黑体" w:hAnsi="黑体" w:eastAsia="黑体" w:cs="黑体"/>
          <w:bCs/>
          <w:lang w:val="en-US" w:eastAsia="zh-CN"/>
        </w:rPr>
        <w:t>及验收方式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_Toc20103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275D3E28">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_Toc22127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二、报价要求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_Toc22127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08FAF40D">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_Toc17247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三、付款方式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_Toc17247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A37C9D7">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_Toc25100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四、知识产权</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_Toc25100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27FEA131">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_Toc15163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五、质量保证及售后服务内容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_Toc15163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568C15C">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_Toc14602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六、培训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_Toc14602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A52FCD5">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_Toc8544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七、违约责任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_Toc8544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CC84D51">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_Toc29059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八、其他要求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_Toc29059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61B78C62">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_Toc11271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第四篇  资格审查及评标办法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_Toc11271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4A39A345">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_Toc20709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lang w:val="en-US" w:eastAsia="zh-CN"/>
        </w:rPr>
        <w:t>第五篇  供应商须知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_Toc20709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16CB1F6F">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_Toc9705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第六篇  政府采购合同格式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_Toc9705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C0BE172">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_Toc13830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第七篇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_Toc13830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434A01A">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_Toc30815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一、经济文件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_Toc30815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63E6034">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_Toc14513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二、</w:t>
      </w:r>
      <w:r>
        <w:rPr>
          <w:rFonts w:hint="eastAsia" w:ascii="黑体" w:hAnsi="黑体" w:eastAsia="黑体" w:cs="黑体"/>
          <w:szCs w:val="28"/>
          <w:highlight w:val="none"/>
          <w:lang w:val="en-US" w:eastAsia="zh-CN"/>
        </w:rPr>
        <w:t>服务</w:t>
      </w:r>
      <w:r>
        <w:rPr>
          <w:rFonts w:hint="eastAsia" w:ascii="黑体" w:hAnsi="黑体" w:eastAsia="黑体" w:cs="黑体"/>
          <w:szCs w:val="28"/>
          <w:highlight w:val="none"/>
        </w:rPr>
        <w:t>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_Toc14513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72A8EE1E">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_Toc854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三、商务文件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 \h </w:instrText>
      </w:r>
      <w:r>
        <w:rPr>
          <w:rFonts w:hint="eastAsia" w:ascii="黑体" w:hAnsi="黑体" w:eastAsia="黑体" w:cs="黑体"/>
        </w:rPr>
        <w:fldChar w:fldCharType="separate"/>
      </w:r>
      <w:r>
        <w:rPr>
          <w:rFonts w:hint="eastAsia" w:ascii="黑体" w:hAnsi="黑体" w:eastAsia="黑体" w:cs="黑体"/>
        </w:rPr>
        <w:t>31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0A9EAFB8">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_Toc23434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四、资格文件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_Toc23434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0CC791D">
      <w:pPr>
        <w:pStyle w:val="17"/>
        <w:spacing w:line="360" w:lineRule="auto"/>
        <w:ind w:firstLine="0" w:firstLineChars="0"/>
        <w:rPr>
          <w:rFonts w:hint="eastAsia" w:ascii="黑体" w:hAnsi="黑体" w:eastAsia="黑体" w:cs="黑体"/>
          <w:color w:val="auto"/>
          <w:sz w:val="32"/>
          <w:highlight w:val="none"/>
        </w:rPr>
        <w:sectPr>
          <w:footerReference r:id="rId7" w:type="default"/>
          <w:pgSz w:w="11907" w:h="16840"/>
          <w:pgMar w:top="1440" w:right="1080" w:bottom="1440" w:left="1080" w:header="964" w:footer="992" w:gutter="0"/>
          <w:pgNumType w:start="1"/>
          <w:cols w:space="720" w:num="1"/>
          <w:docGrid w:linePitch="312" w:charSpace="0"/>
        </w:sectPr>
      </w:pPr>
      <w:r>
        <w:rPr>
          <w:rFonts w:hint="eastAsia" w:ascii="黑体" w:hAnsi="黑体" w:eastAsia="黑体" w:cs="黑体"/>
          <w:color w:val="auto"/>
          <w:szCs w:val="21"/>
          <w:highlight w:val="none"/>
        </w:rPr>
        <w:fldChar w:fldCharType="end"/>
      </w:r>
    </w:p>
    <w:p w14:paraId="476814C5">
      <w:pPr>
        <w:pStyle w:val="3"/>
        <w:spacing w:before="0" w:beforeLines="0" w:after="0" w:afterLines="0" w:line="360" w:lineRule="auto"/>
        <w:rPr>
          <w:rFonts w:hint="eastAsia" w:ascii="黑体" w:hAnsi="黑体" w:eastAsia="黑体" w:cs="黑体"/>
          <w:b/>
          <w:color w:val="auto"/>
          <w:highlight w:val="none"/>
        </w:rPr>
      </w:pPr>
      <w:bookmarkStart w:id="13" w:name="_Toc28991"/>
      <w:r>
        <w:rPr>
          <w:rFonts w:hint="eastAsia" w:ascii="黑体" w:hAnsi="黑体" w:eastAsia="黑体" w:cs="黑体"/>
          <w:b/>
          <w:color w:val="auto"/>
          <w:sz w:val="32"/>
          <w:szCs w:val="32"/>
          <w:highlight w:val="none"/>
        </w:rPr>
        <w:t>第一篇 投标邀请书</w:t>
      </w:r>
      <w:bookmarkEnd w:id="13"/>
    </w:p>
    <w:p w14:paraId="1EA64599">
      <w:pPr>
        <w:pStyle w:val="10"/>
        <w:pageBreakBefore w:val="0"/>
        <w:widowControl w:val="0"/>
        <w:tabs>
          <w:tab w:val="left" w:pos="280"/>
        </w:tabs>
        <w:kinsoku/>
        <w:wordWrap/>
        <w:overflowPunct/>
        <w:topLinePunct w:val="0"/>
        <w:autoSpaceDE/>
        <w:autoSpaceDN/>
        <w:bidi w:val="0"/>
        <w:spacing w:after="0" w:line="500" w:lineRule="exact"/>
        <w:ind w:left="0" w:leftChars="0"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重庆同诚工程项目管理咨询有限公司</w:t>
      </w:r>
      <w:r>
        <w:rPr>
          <w:rFonts w:hint="eastAsia" w:ascii="黑体" w:hAnsi="黑体" w:eastAsia="黑体" w:cs="黑体"/>
          <w:color w:val="auto"/>
          <w:sz w:val="24"/>
          <w:szCs w:val="24"/>
          <w:highlight w:val="none"/>
        </w:rPr>
        <w:t>（采购代理机构）受</w:t>
      </w:r>
      <w:r>
        <w:rPr>
          <w:rFonts w:hint="eastAsia" w:ascii="黑体" w:hAnsi="黑体" w:eastAsia="黑体" w:cs="黑体"/>
          <w:color w:val="auto"/>
          <w:sz w:val="24"/>
          <w:szCs w:val="24"/>
          <w:highlight w:val="none"/>
          <w:u w:val="single"/>
        </w:rPr>
        <w:t>重庆市璧山区人民医院</w:t>
      </w:r>
      <w:r>
        <w:rPr>
          <w:rFonts w:hint="eastAsia" w:ascii="黑体" w:hAnsi="黑体" w:eastAsia="黑体" w:cs="黑体"/>
          <w:color w:val="auto"/>
          <w:sz w:val="24"/>
          <w:szCs w:val="24"/>
          <w:highlight w:val="none"/>
        </w:rPr>
        <w:t>（采购人名称）的委托，对</w:t>
      </w:r>
      <w:r>
        <w:rPr>
          <w:rFonts w:hint="eastAsia" w:ascii="黑体" w:hAnsi="黑体" w:eastAsia="黑体" w:cs="黑体"/>
          <w:color w:val="auto"/>
          <w:sz w:val="24"/>
          <w:szCs w:val="24"/>
          <w:highlight w:val="none"/>
          <w:u w:val="single"/>
          <w:lang w:val="en-US" w:eastAsia="zh-CN"/>
        </w:rPr>
        <w:t>超短波治疗机等设备一批</w:t>
      </w:r>
      <w:r>
        <w:rPr>
          <w:rFonts w:hint="eastAsia" w:ascii="黑体" w:hAnsi="黑体" w:eastAsia="黑体" w:cs="黑体"/>
          <w:color w:val="auto"/>
          <w:sz w:val="24"/>
          <w:szCs w:val="24"/>
          <w:highlight w:val="none"/>
        </w:rPr>
        <w:t>进行竞争性比选招标，欢迎有资格的供应商参加投标。</w:t>
      </w:r>
    </w:p>
    <w:p w14:paraId="76733871">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4" w:name="_Toc25079"/>
      <w:r>
        <w:rPr>
          <w:rFonts w:hint="eastAsia" w:ascii="黑体" w:hAnsi="黑体" w:eastAsia="黑体" w:cs="黑体"/>
          <w:b/>
          <w:color w:val="auto"/>
          <w:szCs w:val="28"/>
          <w:highlight w:val="none"/>
          <w:lang w:val="en-US" w:eastAsia="zh-CN"/>
        </w:rPr>
        <w:t>一、</w:t>
      </w:r>
      <w:r>
        <w:rPr>
          <w:rFonts w:hint="eastAsia" w:ascii="黑体" w:hAnsi="黑体" w:eastAsia="黑体" w:cs="黑体"/>
          <w:b/>
          <w:color w:val="auto"/>
          <w:szCs w:val="28"/>
          <w:highlight w:val="none"/>
        </w:rPr>
        <w:t>招标项目内容</w:t>
      </w:r>
      <w:bookmarkEnd w:id="14"/>
    </w:p>
    <w:tbl>
      <w:tblPr>
        <w:tblStyle w:val="23"/>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864"/>
        <w:gridCol w:w="1659"/>
        <w:gridCol w:w="1659"/>
        <w:gridCol w:w="2549"/>
      </w:tblGrid>
      <w:tr w14:paraId="3EFA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50" w:type="pct"/>
            <w:noWrap w:val="0"/>
            <w:vAlign w:val="center"/>
          </w:tcPr>
          <w:p w14:paraId="7D057C8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序号</w:t>
            </w:r>
          </w:p>
        </w:tc>
        <w:tc>
          <w:tcPr>
            <w:tcW w:w="1492" w:type="pct"/>
            <w:noWrap w:val="0"/>
            <w:vAlign w:val="center"/>
          </w:tcPr>
          <w:p w14:paraId="3FA6C80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项目名称</w:t>
            </w:r>
          </w:p>
        </w:tc>
        <w:tc>
          <w:tcPr>
            <w:tcW w:w="864" w:type="pct"/>
            <w:noWrap w:val="0"/>
            <w:vAlign w:val="center"/>
          </w:tcPr>
          <w:p w14:paraId="4EC04881">
            <w:pPr>
              <w:pStyle w:val="10"/>
              <w:spacing w:line="240" w:lineRule="atLeast"/>
              <w:ind w:left="0" w:leftChars="0" w:firstLine="0" w:firstLineChars="0"/>
              <w:jc w:val="center"/>
              <w:outlineLvl w:val="9"/>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总价最高限价（万元）</w:t>
            </w:r>
          </w:p>
        </w:tc>
        <w:tc>
          <w:tcPr>
            <w:tcW w:w="864" w:type="pct"/>
            <w:noWrap w:val="0"/>
            <w:vAlign w:val="center"/>
          </w:tcPr>
          <w:p w14:paraId="556C85E6">
            <w:pPr>
              <w:pStyle w:val="10"/>
              <w:spacing w:line="240" w:lineRule="atLeast"/>
              <w:ind w:left="0" w:leftChars="0" w:firstLine="0" w:firstLineChars="0"/>
              <w:jc w:val="center"/>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1"/>
                <w:szCs w:val="21"/>
                <w:highlight w:val="none"/>
                <w:lang w:eastAsia="zh-CN"/>
              </w:rPr>
              <w:t>成交供应商</w:t>
            </w:r>
            <w:r>
              <w:rPr>
                <w:rFonts w:hint="eastAsia" w:ascii="黑体" w:hAnsi="黑体" w:eastAsia="黑体" w:cs="黑体"/>
                <w:b/>
                <w:bCs/>
                <w:color w:val="auto"/>
                <w:sz w:val="21"/>
                <w:szCs w:val="21"/>
                <w:highlight w:val="none"/>
              </w:rPr>
              <w:t>数量</w:t>
            </w:r>
          </w:p>
        </w:tc>
        <w:tc>
          <w:tcPr>
            <w:tcW w:w="1328" w:type="pct"/>
            <w:noWrap w:val="0"/>
            <w:vAlign w:val="center"/>
          </w:tcPr>
          <w:p w14:paraId="4216BB4C">
            <w:pPr>
              <w:pStyle w:val="10"/>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outlineLvl w:val="0"/>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备注</w:t>
            </w:r>
          </w:p>
        </w:tc>
      </w:tr>
      <w:tr w14:paraId="3088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0" w:type="pct"/>
            <w:noWrap w:val="0"/>
            <w:vAlign w:val="center"/>
          </w:tcPr>
          <w:p w14:paraId="1333930B">
            <w:pPr>
              <w:pStyle w:val="10"/>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outlineLvl w:val="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w:t>
            </w:r>
          </w:p>
        </w:tc>
        <w:tc>
          <w:tcPr>
            <w:tcW w:w="1492" w:type="pct"/>
            <w:noWrap w:val="0"/>
            <w:vAlign w:val="center"/>
          </w:tcPr>
          <w:p w14:paraId="582CF2C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超短波治疗机等设备一批</w:t>
            </w:r>
          </w:p>
        </w:tc>
        <w:tc>
          <w:tcPr>
            <w:tcW w:w="864" w:type="pct"/>
            <w:noWrap w:val="0"/>
            <w:vAlign w:val="center"/>
          </w:tcPr>
          <w:p w14:paraId="520786DE">
            <w:pPr>
              <w:pStyle w:val="10"/>
              <w:spacing w:line="240" w:lineRule="atLeast"/>
              <w:ind w:left="0" w:leftChars="0" w:firstLine="0" w:firstLineChars="0"/>
              <w:jc w:val="center"/>
              <w:outlineLvl w:val="9"/>
              <w:rPr>
                <w:rStyle w:val="26"/>
                <w:rFonts w:hint="eastAsia" w:ascii="黑体" w:hAnsi="黑体" w:eastAsia="黑体" w:cs="黑体"/>
                <w:color w:val="auto"/>
                <w:sz w:val="24"/>
                <w:szCs w:val="24"/>
                <w:highlight w:val="none"/>
                <w:lang w:val="en-US" w:eastAsia="zh-CN"/>
              </w:rPr>
            </w:pPr>
            <w:r>
              <w:rPr>
                <w:rStyle w:val="26"/>
                <w:rFonts w:hint="eastAsia" w:ascii="黑体" w:hAnsi="黑体" w:eastAsia="黑体" w:cs="黑体"/>
                <w:color w:val="auto"/>
                <w:sz w:val="24"/>
                <w:szCs w:val="24"/>
                <w:highlight w:val="none"/>
                <w:lang w:val="en-US" w:eastAsia="zh-CN"/>
              </w:rPr>
              <w:t>43</w:t>
            </w:r>
          </w:p>
        </w:tc>
        <w:tc>
          <w:tcPr>
            <w:tcW w:w="864" w:type="pct"/>
            <w:noWrap w:val="0"/>
            <w:vAlign w:val="center"/>
          </w:tcPr>
          <w:p w14:paraId="117B98BD">
            <w:pPr>
              <w:pStyle w:val="10"/>
              <w:spacing w:line="240" w:lineRule="atLeast"/>
              <w:ind w:left="0" w:leftChars="0" w:firstLine="0" w:firstLineChars="0"/>
              <w:jc w:val="center"/>
              <w:outlineLvl w:val="9"/>
              <w:rPr>
                <w:rFonts w:hint="eastAsia" w:ascii="黑体" w:hAnsi="黑体" w:eastAsia="黑体" w:cs="黑体"/>
                <w:color w:val="auto"/>
                <w:sz w:val="24"/>
                <w:szCs w:val="24"/>
                <w:highlight w:val="none"/>
                <w:lang w:val="en-US" w:eastAsia="zh-CN"/>
              </w:rPr>
            </w:pPr>
            <w:r>
              <w:rPr>
                <w:rStyle w:val="26"/>
                <w:rFonts w:hint="eastAsia" w:ascii="黑体" w:hAnsi="黑体" w:eastAsia="黑体" w:cs="黑体"/>
                <w:color w:val="auto"/>
                <w:sz w:val="24"/>
                <w:szCs w:val="24"/>
                <w:highlight w:val="none"/>
                <w:lang w:val="en-US" w:eastAsia="zh-CN"/>
              </w:rPr>
              <w:t>1</w:t>
            </w:r>
            <w:r>
              <w:rPr>
                <w:rStyle w:val="26"/>
                <w:rFonts w:hint="eastAsia" w:ascii="黑体" w:hAnsi="黑体" w:eastAsia="黑体" w:cs="黑体"/>
                <w:color w:val="auto"/>
                <w:sz w:val="24"/>
                <w:szCs w:val="24"/>
                <w:highlight w:val="none"/>
                <w:lang w:val="zh-TW"/>
              </w:rPr>
              <w:t>家</w:t>
            </w:r>
          </w:p>
        </w:tc>
        <w:tc>
          <w:tcPr>
            <w:tcW w:w="1328" w:type="pct"/>
            <w:noWrap w:val="0"/>
            <w:vAlign w:val="center"/>
          </w:tcPr>
          <w:p w14:paraId="1984553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投标总价及单价不能高于最高限价，否则按无效响应处理。</w:t>
            </w:r>
          </w:p>
        </w:tc>
      </w:tr>
    </w:tbl>
    <w:p w14:paraId="59D9C28E">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5" w:name="_Toc9480"/>
      <w:r>
        <w:rPr>
          <w:rFonts w:hint="eastAsia" w:ascii="黑体" w:hAnsi="黑体" w:eastAsia="黑体" w:cs="黑体"/>
          <w:b/>
          <w:color w:val="auto"/>
          <w:szCs w:val="28"/>
          <w:highlight w:val="none"/>
        </w:rPr>
        <w:t>二、资金来源</w:t>
      </w:r>
      <w:bookmarkEnd w:id="15"/>
    </w:p>
    <w:p w14:paraId="6A9F718E">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单位自筹资金</w:t>
      </w:r>
      <w:r>
        <w:rPr>
          <w:rFonts w:hint="eastAsia" w:ascii="黑体" w:hAnsi="黑体" w:eastAsia="黑体" w:cs="黑体"/>
          <w:color w:val="auto"/>
          <w:sz w:val="24"/>
          <w:szCs w:val="24"/>
          <w:highlight w:val="none"/>
        </w:rPr>
        <w:t>。</w:t>
      </w:r>
    </w:p>
    <w:p w14:paraId="2F7D8240">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6" w:name="_Toc21084"/>
      <w:r>
        <w:rPr>
          <w:rFonts w:hint="eastAsia" w:ascii="黑体" w:hAnsi="黑体" w:eastAsia="黑体" w:cs="黑体"/>
          <w:b/>
          <w:color w:val="auto"/>
          <w:szCs w:val="28"/>
          <w:highlight w:val="none"/>
        </w:rPr>
        <w:t>三、供应商资格要求</w:t>
      </w:r>
      <w:bookmarkEnd w:id="16"/>
    </w:p>
    <w:p w14:paraId="1E4D88F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一）基本资格要求</w:t>
      </w:r>
    </w:p>
    <w:p w14:paraId="385CB04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具有独立承担民事责任的能力；</w:t>
      </w:r>
    </w:p>
    <w:p w14:paraId="6BF39A3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具有良好的商业信誉和健全的财务会计制度；</w:t>
      </w:r>
    </w:p>
    <w:p w14:paraId="3DFA2ED4">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具有履行合同所必需的设备和专业技术能力；</w:t>
      </w:r>
    </w:p>
    <w:p w14:paraId="31C51CB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有依法缴纳税收和社会保障资金的良好记录；</w:t>
      </w:r>
    </w:p>
    <w:p w14:paraId="6F6B31B9">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参加政府采购活动前三年内，在经营活动中没有重大违法记录；</w:t>
      </w:r>
    </w:p>
    <w:p w14:paraId="58858272">
      <w:pPr>
        <w:pStyle w:val="52"/>
        <w:spacing w:line="400" w:lineRule="exact"/>
        <w:ind w:firstLine="480"/>
        <w:rPr>
          <w:rFonts w:hint="eastAsia" w:ascii="黑体" w:hAnsi="黑体" w:eastAsia="黑体" w:cs="黑体"/>
          <w:color w:val="auto"/>
          <w:sz w:val="24"/>
          <w:szCs w:val="24"/>
          <w:highlight w:val="none"/>
          <w:lang w:eastAsia="zh-CN"/>
        </w:rPr>
      </w:pPr>
      <w:bookmarkStart w:id="17" w:name="_Toc244"/>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）特定资格要求</w:t>
      </w:r>
      <w:r>
        <w:rPr>
          <w:rFonts w:hint="eastAsia" w:ascii="黑体" w:hAnsi="黑体" w:eastAsia="黑体" w:cs="黑体"/>
          <w:color w:val="auto"/>
          <w:sz w:val="24"/>
          <w:szCs w:val="24"/>
          <w:highlight w:val="none"/>
          <w:lang w:eastAsia="zh-CN"/>
        </w:rPr>
        <w:t>：</w:t>
      </w:r>
      <w:bookmarkEnd w:id="17"/>
    </w:p>
    <w:p w14:paraId="079C3A5B">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zh-TW" w:eastAsia="zh-TW"/>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2F70BEC5">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zh-TW" w:eastAsia="zh-TW"/>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val="zh-TW" w:eastAsia="zh-TW"/>
        </w:rPr>
        <w:t>若所投产品属于第二类或第三类医疗器械的，应提供中国境内合法的《医疗器械注册证》。</w:t>
      </w:r>
    </w:p>
    <w:p w14:paraId="5ED2E909">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8" w:name="_Toc1078"/>
      <w:r>
        <w:rPr>
          <w:rFonts w:hint="eastAsia" w:ascii="黑体" w:hAnsi="黑体" w:eastAsia="黑体" w:cs="黑体"/>
          <w:b/>
          <w:color w:val="auto"/>
          <w:szCs w:val="28"/>
          <w:highlight w:val="none"/>
        </w:rPr>
        <w:t>四、投标、开标有关说明</w:t>
      </w:r>
      <w:bookmarkEnd w:id="18"/>
    </w:p>
    <w:p w14:paraId="1F95B749">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（一）供应商应按要求通过行采家（https://www.gec123.com/）进行注册，登记加入“行采家供应商库”。</w:t>
      </w:r>
    </w:p>
    <w:p w14:paraId="20E8FBD2">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凡有意参加投标的供应商，请到采购代理机构领取或在行采家（https://www.gec123.com/）网上下载本项目竞争性比选文件以及补遗文件等开标前公布的所有项目资料，无论供应商领取或下载与否，均视为已知晓所有招标内容。</w:t>
      </w:r>
    </w:p>
    <w:p w14:paraId="1E97F5BA">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（三）招标公告期限：自招标公告发布之日起三个工作日。</w:t>
      </w:r>
    </w:p>
    <w:p w14:paraId="2828E013">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（四）竞争性比选文件发售</w:t>
      </w:r>
    </w:p>
    <w:p w14:paraId="4AEC452F">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1.文件发售期：202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4</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15  </w:t>
      </w:r>
      <w:r>
        <w:rPr>
          <w:rFonts w:hint="eastAsia" w:ascii="黑体" w:hAnsi="黑体" w:eastAsia="黑体" w:cs="黑体"/>
          <w:color w:val="auto"/>
          <w:sz w:val="24"/>
          <w:szCs w:val="24"/>
          <w:highlight w:val="none"/>
        </w:rPr>
        <w:t>日-202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4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17</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日（工作时间：9：00--17:00）</w:t>
      </w:r>
    </w:p>
    <w:p w14:paraId="789150F0">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2.文件售价：</w:t>
      </w:r>
      <w:r>
        <w:rPr>
          <w:rFonts w:hint="eastAsia" w:ascii="黑体" w:hAnsi="黑体" w:eastAsia="黑体" w:cs="黑体"/>
          <w:color w:val="auto"/>
          <w:sz w:val="24"/>
          <w:szCs w:val="24"/>
          <w:highlight w:val="none"/>
          <w:lang w:val="en-US" w:eastAsia="zh-CN"/>
        </w:rPr>
        <w:t>无</w:t>
      </w:r>
    </w:p>
    <w:p w14:paraId="2ECE268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3.竞争性比选文件</w:t>
      </w:r>
      <w:r>
        <w:rPr>
          <w:rFonts w:hint="eastAsia" w:ascii="黑体" w:hAnsi="黑体" w:eastAsia="黑体" w:cs="黑体"/>
          <w:color w:val="auto"/>
          <w:sz w:val="24"/>
          <w:szCs w:val="24"/>
          <w:highlight w:val="none"/>
          <w:lang w:val="en-US" w:eastAsia="zh-CN"/>
        </w:rPr>
        <w:t>领取</w:t>
      </w:r>
      <w:r>
        <w:rPr>
          <w:rFonts w:hint="eastAsia" w:ascii="黑体" w:hAnsi="黑体" w:eastAsia="黑体" w:cs="黑体"/>
          <w:color w:val="auto"/>
          <w:sz w:val="24"/>
          <w:szCs w:val="24"/>
          <w:highlight w:val="none"/>
        </w:rPr>
        <w:t>方式</w:t>
      </w:r>
    </w:p>
    <w:p w14:paraId="26AC22F7">
      <w:pPr>
        <w:pStyle w:val="10"/>
        <w:pageBreakBefore w:val="0"/>
        <w:widowControl w:val="0"/>
        <w:kinsoku/>
        <w:wordWrap/>
        <w:overflowPunct/>
        <w:topLinePunct w:val="0"/>
        <w:autoSpaceDE/>
        <w:autoSpaceDN/>
        <w:bidi w:val="0"/>
        <w:spacing w:after="0" w:line="460" w:lineRule="exact"/>
        <w:ind w:left="0" w:leftChars="0"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在竞争性比选文件发售期内，供应商将竞争性比选文件</w:t>
      </w:r>
      <w:r>
        <w:rPr>
          <w:rFonts w:hint="eastAsia" w:ascii="黑体" w:hAnsi="黑体" w:eastAsia="黑体" w:cs="黑体"/>
          <w:color w:val="auto"/>
          <w:sz w:val="24"/>
          <w:szCs w:val="24"/>
          <w:highlight w:val="none"/>
          <w:lang w:val="en-US" w:eastAsia="zh-CN"/>
        </w:rPr>
        <w:t>的</w:t>
      </w:r>
      <w:r>
        <w:rPr>
          <w:rFonts w:hint="eastAsia" w:ascii="黑体" w:hAnsi="黑体" w:eastAsia="黑体" w:cs="黑体"/>
          <w:color w:val="auto"/>
          <w:sz w:val="24"/>
          <w:szCs w:val="24"/>
          <w:highlight w:val="none"/>
        </w:rPr>
        <w:t>《报名登记表》（加盖供应商公章）扫描后发送至22887479@qq.com（邮箱）。</w:t>
      </w:r>
    </w:p>
    <w:p w14:paraId="0A8B0E40">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4.在竞争性比选文件发售期内按竞争性比选文件要求</w:t>
      </w:r>
      <w:r>
        <w:rPr>
          <w:rFonts w:hint="eastAsia" w:ascii="黑体" w:hAnsi="黑体" w:eastAsia="黑体" w:cs="黑体"/>
          <w:color w:val="auto"/>
          <w:sz w:val="24"/>
          <w:szCs w:val="24"/>
          <w:highlight w:val="none"/>
          <w:lang w:val="en-US" w:eastAsia="zh-CN"/>
        </w:rPr>
        <w:t>报名</w:t>
      </w:r>
      <w:r>
        <w:rPr>
          <w:rFonts w:hint="eastAsia" w:ascii="黑体" w:hAnsi="黑体" w:eastAsia="黑体" w:cs="黑体"/>
          <w:color w:val="auto"/>
          <w:sz w:val="24"/>
          <w:szCs w:val="24"/>
          <w:highlight w:val="none"/>
        </w:rPr>
        <w:t>的供应商，其投标才被接收。</w:t>
      </w:r>
    </w:p>
    <w:p w14:paraId="77427BBA">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线上报价时间：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4月18</w:t>
      </w:r>
      <w:r>
        <w:rPr>
          <w:rFonts w:hint="eastAsia" w:ascii="黑体" w:hAnsi="黑体" w:eastAsia="黑体" w:cs="黑体"/>
          <w:color w:val="auto"/>
          <w:sz w:val="24"/>
          <w:szCs w:val="24"/>
          <w:highlight w:val="none"/>
        </w:rPr>
        <w:t>日</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：00</w:t>
      </w:r>
      <w:r>
        <w:rPr>
          <w:rFonts w:hint="eastAsia" w:ascii="黑体" w:hAnsi="黑体" w:eastAsia="黑体" w:cs="黑体"/>
          <w:color w:val="auto"/>
          <w:sz w:val="24"/>
          <w:szCs w:val="24"/>
          <w:highlight w:val="none"/>
          <w:lang w:val="en-US" w:eastAsia="zh-CN"/>
        </w:rPr>
        <w:t>-11：00</w:t>
      </w:r>
      <w:r>
        <w:rPr>
          <w:rFonts w:hint="eastAsia" w:ascii="黑体" w:hAnsi="黑体" w:eastAsia="黑体" w:cs="黑体"/>
          <w:color w:val="auto"/>
          <w:sz w:val="24"/>
          <w:szCs w:val="24"/>
          <w:highlight w:val="none"/>
        </w:rPr>
        <w:t>。</w:t>
      </w:r>
    </w:p>
    <w:p w14:paraId="326BDC7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线上报价要求：按本项目规定的时间在行采家（https://www.gec123.com/）网上报价，未在规定时间内报价的供应商将失去成交供应商资格。</w:t>
      </w:r>
      <w:r>
        <w:rPr>
          <w:rFonts w:hint="eastAsia" w:ascii="黑体" w:hAnsi="黑体" w:eastAsia="黑体" w:cs="黑体"/>
          <w:color w:val="auto"/>
          <w:sz w:val="24"/>
          <w:szCs w:val="24"/>
          <w:highlight w:val="none"/>
          <w:lang w:val="en-US" w:eastAsia="zh-CN"/>
        </w:rPr>
        <w:t>网上报价必须和响应文件报价保持一致，否则按否决投标处理。</w:t>
      </w:r>
    </w:p>
    <w:p w14:paraId="680C7430">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评审时间：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4月18</w:t>
      </w:r>
      <w:r>
        <w:rPr>
          <w:rFonts w:hint="eastAsia" w:ascii="黑体" w:hAnsi="黑体" w:eastAsia="黑体" w:cs="黑体"/>
          <w:color w:val="auto"/>
          <w:sz w:val="24"/>
          <w:szCs w:val="24"/>
          <w:highlight w:val="none"/>
        </w:rPr>
        <w:t>日14:30</w:t>
      </w:r>
      <w:bookmarkStart w:id="176" w:name="_GoBack"/>
      <w:bookmarkEnd w:id="176"/>
    </w:p>
    <w:p w14:paraId="42DB77DD">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评审地点：璧山区璧泉街道泉山路66号附29号</w:t>
      </w:r>
    </w:p>
    <w:p w14:paraId="7E61D569">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9" w:name="_Toc10455"/>
      <w:r>
        <w:rPr>
          <w:rFonts w:hint="eastAsia" w:ascii="黑体" w:hAnsi="黑体" w:eastAsia="黑体" w:cs="黑体"/>
          <w:b/>
          <w:color w:val="auto"/>
          <w:szCs w:val="28"/>
          <w:highlight w:val="none"/>
        </w:rPr>
        <w:t>五、投标有关规定</w:t>
      </w:r>
      <w:bookmarkEnd w:id="19"/>
    </w:p>
    <w:p w14:paraId="37D0D1D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（一）单位负责人为同一人或者存在直接控股、管理关系的不同供应商，不得参加同一合同项（分包）下的采购活动。</w:t>
      </w:r>
    </w:p>
    <w:p w14:paraId="5FECF03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（二）为采购项目提供整体设计、规范编制或者项目管理、监理、检测等服务的供应商，不得再参加该采购项目的其他采购活动。</w:t>
      </w:r>
    </w:p>
    <w:p w14:paraId="0300AADE">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（三）本项目若有补遗文件一律在行采家（https://www.gec123.com/）上发布，请各供应商注意下载或到采购代理机构领取；无论供应商下载或领取与否，均视同供应商已知晓本项目补遗文件的内容。</w:t>
      </w:r>
    </w:p>
    <w:p w14:paraId="5870C127">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（四）超过投标截止时间递交的响应文件，恕不接收。</w:t>
      </w:r>
    </w:p>
    <w:p w14:paraId="31B8F43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（五）投标费用：无论投标结果如何，供应商参与本项目投标的所有费用均应由供应商自行承担。</w:t>
      </w:r>
    </w:p>
    <w:p w14:paraId="1E40B25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w:t>
      </w:r>
      <w:r>
        <w:rPr>
          <w:rFonts w:hint="eastAsia" w:ascii="黑体" w:hAnsi="黑体" w:eastAsia="黑体" w:cs="黑体"/>
          <w:b/>
          <w:bCs/>
          <w:color w:val="auto"/>
          <w:sz w:val="24"/>
          <w:szCs w:val="24"/>
          <w:highlight w:val="none"/>
        </w:rPr>
        <w:t>本项目不接受联合体参与投标</w:t>
      </w:r>
      <w:r>
        <w:rPr>
          <w:rFonts w:hint="eastAsia" w:ascii="黑体" w:hAnsi="黑体" w:eastAsia="黑体" w:cs="黑体"/>
          <w:color w:val="auto"/>
          <w:sz w:val="24"/>
          <w:szCs w:val="24"/>
          <w:highlight w:val="none"/>
        </w:rPr>
        <w:t>。</w:t>
      </w:r>
    </w:p>
    <w:p w14:paraId="5AE752C8">
      <w:pPr>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（七）本项目不接受合同分包，否则按无效投标处理。</w:t>
      </w:r>
    </w:p>
    <w:p w14:paraId="041F37E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八</w:t>
      </w:r>
      <w:r>
        <w:rPr>
          <w:rFonts w:hint="eastAsia" w:ascii="黑体" w:hAnsi="黑体" w:eastAsia="黑体" w:cs="黑体"/>
          <w:color w:val="auto"/>
          <w:sz w:val="24"/>
          <w:szCs w:val="24"/>
          <w:highlight w:val="none"/>
        </w:rPr>
        <w:t>）</w:t>
      </w:r>
      <w:bookmarkStart w:id="20" w:name="OLE_LINK2"/>
      <w:bookmarkStart w:id="21" w:name="OLE_LINK1"/>
      <w:r>
        <w:rPr>
          <w:rFonts w:hint="eastAsia" w:ascii="黑体" w:hAnsi="黑体" w:eastAsia="黑体" w:cs="黑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0"/>
      <w:bookmarkEnd w:id="21"/>
      <w:r>
        <w:rPr>
          <w:rFonts w:hint="eastAsia" w:ascii="黑体" w:hAnsi="黑体" w:eastAsia="黑体" w:cs="黑体"/>
          <w:color w:val="auto"/>
          <w:sz w:val="24"/>
          <w:szCs w:val="24"/>
          <w:highlight w:val="none"/>
        </w:rPr>
        <w:t>供应商，将拒绝其参与政府采购活动。</w:t>
      </w:r>
    </w:p>
    <w:p w14:paraId="08599324">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22" w:name="_Toc5466"/>
      <w:r>
        <w:rPr>
          <w:rFonts w:hint="eastAsia" w:ascii="黑体" w:hAnsi="黑体" w:eastAsia="黑体" w:cs="黑体"/>
          <w:b/>
          <w:color w:val="auto"/>
          <w:szCs w:val="28"/>
          <w:highlight w:val="none"/>
        </w:rPr>
        <w:t>六、联系方式</w:t>
      </w:r>
      <w:bookmarkEnd w:id="22"/>
    </w:p>
    <w:p w14:paraId="288C78B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（一）采购人：重庆市璧山区人民医院</w:t>
      </w:r>
    </w:p>
    <w:p w14:paraId="018EAA13">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李</w:t>
      </w:r>
      <w:r>
        <w:rPr>
          <w:rFonts w:hint="eastAsia" w:ascii="黑体" w:hAnsi="黑体" w:eastAsia="黑体" w:cs="黑体"/>
          <w:color w:val="auto"/>
          <w:sz w:val="24"/>
          <w:szCs w:val="24"/>
          <w:highlight w:val="none"/>
        </w:rPr>
        <w:t xml:space="preserve">老师 </w:t>
      </w:r>
    </w:p>
    <w:p w14:paraId="600271D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lang w:val="en-US" w:eastAsia="zh-CN"/>
        </w:rPr>
        <w:t>023-41562788</w:t>
      </w:r>
    </w:p>
    <w:p w14:paraId="59A8B74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址：重庆市璧山区璧泉街道双星大道9号</w:t>
      </w:r>
    </w:p>
    <w:p w14:paraId="7DBFEDB8">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（二）采购代理机构：重庆同诚工程项目管理咨询有限公司</w:t>
      </w:r>
    </w:p>
    <w:p w14:paraId="7961D52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联系人：王老师 </w:t>
      </w:r>
    </w:p>
    <w:p w14:paraId="4B113F5F">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电话：023-60369092</w:t>
      </w:r>
    </w:p>
    <w:p w14:paraId="1A0920E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地址：重庆市北部新区星光大道62号海王星科技大厦D区9楼2号</w:t>
      </w:r>
    </w:p>
    <w:p w14:paraId="70DDCE72">
      <w:pPr>
        <w:rPr>
          <w:rFonts w:hint="eastAsia" w:ascii="黑体" w:hAnsi="黑体" w:eastAsia="黑体" w:cs="黑体"/>
          <w:color w:val="auto"/>
          <w:sz w:val="24"/>
          <w:szCs w:val="24"/>
          <w:highlight w:val="none"/>
        </w:rPr>
        <w:sectPr>
          <w:headerReference r:id="rId8" w:type="default"/>
          <w:footerReference r:id="rId9" w:type="default"/>
          <w:type w:val="nextColumn"/>
          <w:pgSz w:w="11907" w:h="16840"/>
          <w:pgMar w:top="1134" w:right="1191" w:bottom="1134" w:left="1304" w:header="964" w:footer="992" w:gutter="0"/>
          <w:cols w:space="720" w:num="1"/>
          <w:docGrid w:linePitch="380" w:charSpace="-5735"/>
        </w:sectPr>
      </w:pPr>
      <w:r>
        <w:rPr>
          <w:rFonts w:hint="eastAsia" w:ascii="黑体" w:hAnsi="黑体" w:eastAsia="黑体" w:cs="黑体"/>
          <w:color w:val="auto"/>
          <w:sz w:val="24"/>
          <w:szCs w:val="24"/>
          <w:highlight w:val="none"/>
        </w:rPr>
        <w:br w:type="page"/>
      </w:r>
    </w:p>
    <w:p w14:paraId="62D31086">
      <w:pPr>
        <w:pStyle w:val="3"/>
        <w:rPr>
          <w:rFonts w:hint="eastAsia" w:ascii="黑体" w:hAnsi="黑体" w:eastAsia="黑体" w:cs="黑体"/>
        </w:rPr>
      </w:pPr>
    </w:p>
    <w:p w14:paraId="0F59994B">
      <w:pPr>
        <w:pStyle w:val="4"/>
        <w:numPr>
          <w:ilvl w:val="0"/>
          <w:numId w:val="5"/>
        </w:numPr>
        <w:spacing w:before="48" w:after="48"/>
        <w:ind w:firstLine="506"/>
        <w:jc w:val="center"/>
        <w:rPr>
          <w:rFonts w:hint="eastAsia" w:ascii="黑体" w:hAnsi="黑体" w:eastAsia="黑体" w:cs="黑体"/>
          <w:b/>
          <w:color w:val="auto"/>
          <w:sz w:val="32"/>
          <w:szCs w:val="32"/>
          <w:highlight w:val="none"/>
        </w:rPr>
      </w:pPr>
      <w:bookmarkStart w:id="23" w:name="_Toc26058"/>
      <w:r>
        <w:rPr>
          <w:rFonts w:hint="eastAsia" w:ascii="黑体" w:hAnsi="黑体" w:eastAsia="黑体" w:cs="黑体"/>
          <w:b/>
          <w:color w:val="auto"/>
          <w:sz w:val="32"/>
          <w:szCs w:val="32"/>
          <w:highlight w:val="none"/>
        </w:rPr>
        <w:t>项目技术（质量）需求</w:t>
      </w:r>
      <w:bookmarkEnd w:id="23"/>
    </w:p>
    <w:p w14:paraId="3BE1966D">
      <w:pPr>
        <w:numPr>
          <w:ilvl w:val="0"/>
          <w:numId w:val="6"/>
        </w:numPr>
        <w:spacing w:line="360" w:lineRule="auto"/>
        <w:rPr>
          <w:rFonts w:hint="eastAsia" w:ascii="黑体" w:hAnsi="黑体" w:eastAsia="黑体" w:cs="黑体"/>
          <w:b/>
          <w:bCs/>
          <w:color w:val="auto"/>
          <w:highlight w:val="none"/>
          <w:lang w:eastAsia="zh-CN"/>
        </w:rPr>
      </w:pPr>
      <w:r>
        <w:rPr>
          <w:rFonts w:hint="eastAsia" w:ascii="黑体" w:hAnsi="黑体" w:eastAsia="黑体" w:cs="黑体"/>
          <w:b/>
          <w:bCs/>
          <w:color w:val="auto"/>
          <w:highlight w:val="none"/>
          <w:lang w:val="en-US" w:eastAsia="zh-CN"/>
        </w:rPr>
        <w:t>采购</w:t>
      </w:r>
      <w:r>
        <w:rPr>
          <w:rFonts w:hint="eastAsia" w:ascii="黑体" w:hAnsi="黑体" w:eastAsia="黑体" w:cs="黑体"/>
          <w:b/>
          <w:bCs/>
          <w:color w:val="auto"/>
          <w:highlight w:val="none"/>
          <w:lang w:eastAsia="zh-CN"/>
        </w:rPr>
        <w:t>需求目录</w:t>
      </w:r>
    </w:p>
    <w:tbl>
      <w:tblPr>
        <w:tblStyle w:val="23"/>
        <w:tblW w:w="146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63"/>
        <w:gridCol w:w="7856"/>
        <w:gridCol w:w="1012"/>
        <w:gridCol w:w="788"/>
        <w:gridCol w:w="1762"/>
        <w:gridCol w:w="1313"/>
      </w:tblGrid>
      <w:tr w14:paraId="641A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D89">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CFBF">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设备名称</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5EC1">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18"/>
                <w:szCs w:val="18"/>
                <w:u w:val="none"/>
                <w:lang w:val="en-US" w:eastAsia="zh-CN" w:bidi="ar"/>
              </w:rPr>
              <w:t>技术参数要求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C375">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质保期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AD13">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数量</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08E8">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lang w:val="en-US" w:eastAsia="zh-CN"/>
              </w:rPr>
            </w:pPr>
            <w:r>
              <w:rPr>
                <w:rFonts w:hint="eastAsia" w:ascii="黑体" w:hAnsi="黑体" w:eastAsia="黑体" w:cs="黑体"/>
                <w:b/>
                <w:bCs/>
                <w:i w:val="0"/>
                <w:iCs w:val="0"/>
                <w:color w:val="000000"/>
                <w:sz w:val="21"/>
                <w:szCs w:val="21"/>
                <w:u w:val="none"/>
                <w:lang w:val="en-US" w:eastAsia="zh-CN"/>
              </w:rPr>
              <w:t>单价最高限价（万元）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13D2">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合计（万元）</w:t>
            </w:r>
          </w:p>
        </w:tc>
      </w:tr>
      <w:tr w14:paraId="4CF7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3F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C10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超短波治疗机</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E8C">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1.最大输出功率：≥200W；</w:t>
            </w:r>
          </w:p>
          <w:p w14:paraId="53A7BBA1">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2.工作频率：≥27.12MHz，允许偏差±0.6%；</w:t>
            </w:r>
          </w:p>
          <w:p w14:paraId="7FC2DF8F">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3.治疗时间可调：至少满足分10、15、20、25、30min五档；</w:t>
            </w:r>
          </w:p>
          <w:p w14:paraId="317CBEC1">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4.使用电源：～220V，50Hz；</w:t>
            </w:r>
          </w:p>
          <w:p w14:paraId="40E05B7A">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5.工作制：≥连续工作4h；</w:t>
            </w:r>
          </w:p>
          <w:p w14:paraId="549E422F">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6.每台设备主要配置：主机1台，电源线1根，输出电极线1套，电极板及布套1套。</w:t>
            </w:r>
          </w:p>
          <w:p w14:paraId="1B045AD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625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11B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sz w:val="21"/>
                <w:szCs w:val="21"/>
                <w:lang w:val="en-US" w:eastAsia="zh-CN"/>
              </w:rPr>
              <w:t>2台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536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1.3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C7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2.6</w:t>
            </w:r>
          </w:p>
        </w:tc>
      </w:tr>
      <w:tr w14:paraId="025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03F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E0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sz w:val="21"/>
                <w:szCs w:val="21"/>
                <w:u w:val="none"/>
                <w:lang w:val="en-US" w:eastAsia="zh-CN"/>
              </w:rPr>
              <w:t>中医定向透药治疗仪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0AC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1.输出通道：≥4通道（同时治疗4名患者）；</w:t>
            </w:r>
          </w:p>
          <w:p w14:paraId="5AB1B0B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2.治疗电流：非对称低中频编码电流；</w:t>
            </w:r>
          </w:p>
          <w:p w14:paraId="0B926EE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3.控制方式：单键飞梭控制，一键快速操作；</w:t>
            </w:r>
          </w:p>
          <w:p w14:paraId="4D88CCB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4.四种治疗模式：a)非对称定向药物导入；b)非对称定向药物导入＋电极保温＋动态磁场；c)对称仿生按摩；d)对称仿生按摩＋电极保温＋动态磁场；</w:t>
            </w:r>
          </w:p>
          <w:p w14:paraId="3245067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5.输出强度极限（负载500Ω）：≤100mA（r.m.s）；</w:t>
            </w:r>
          </w:p>
          <w:p w14:paraId="456C901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6.定时时间控制：00--60分钟；</w:t>
            </w:r>
          </w:p>
          <w:p w14:paraId="1B5B02E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7.连续工作时间：≥4小时；</w:t>
            </w:r>
          </w:p>
          <w:p w14:paraId="087F270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8.电极最大允许输出值：≤ 200 mA （500Ω负载）；</w:t>
            </w:r>
          </w:p>
          <w:p w14:paraId="61B434BF">
            <w:pPr>
              <w:jc w:val="left"/>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sz w:val="21"/>
                <w:szCs w:val="21"/>
                <w:u w:val="none"/>
                <w:lang w:val="en-US" w:eastAsia="zh-CN"/>
              </w:rPr>
              <w:t>9.每台设备主要配置：主机1台，电源线1根，治疗线1套。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F5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7A59">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4D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0.5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6AC">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w:t>
            </w:r>
          </w:p>
        </w:tc>
      </w:tr>
      <w:tr w14:paraId="3D78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819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F1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电脑中频治疗仪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6BB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1.工作频率：基波工作频率至少满足1kHz～10kHz，允差±10%；</w:t>
            </w:r>
          </w:p>
          <w:p w14:paraId="401B9CB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2.输出电流：在500负载电阻下，最大输出电流应不小于50mA，输出电流极限应不大于100mA；</w:t>
            </w:r>
          </w:p>
          <w:p w14:paraId="35F0A9F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3.调制频率：调制频率应在0～150Hz范围内；</w:t>
            </w:r>
          </w:p>
          <w:p w14:paraId="46E5D51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4.调幅度：双极输出方式的调幅度应为0～100%范围内，允差±5%；</w:t>
            </w:r>
          </w:p>
          <w:p w14:paraId="00C95F1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5.调制波形：方波、三角波、正弦波、指数波、锯齿波、尖波、梯形波；</w:t>
            </w:r>
          </w:p>
          <w:p w14:paraId="4388DB1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6.差频频率：0～200Hz，允差±10%或±1Hz取较大值；</w:t>
            </w:r>
          </w:p>
          <w:p w14:paraId="5365130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7.差频变化周期：差频变化周期为24s,允差±10%；</w:t>
            </w:r>
          </w:p>
          <w:p w14:paraId="6D29778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8.脉动直流输出电压：离子导入输出方式脉动直流输出电压应不大于100V；</w:t>
            </w:r>
          </w:p>
          <w:p w14:paraId="43F1707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9.治疗时间：0min~99min可调，步长1min，允差±5%；</w:t>
            </w:r>
          </w:p>
          <w:p w14:paraId="7673808A">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10.电极加热温度：加热分8档可调，热温度范围应在“室温”～55℃之间；</w:t>
            </w:r>
          </w:p>
          <w:p w14:paraId="751BAF3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11.输出通道数：四通道；双极中频输出四路，脉动直流输出四路，干扰电输出两路；</w:t>
            </w:r>
          </w:p>
          <w:p w14:paraId="4321D4B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12.治疗方式：脉冲波调制中频电疗、干扰电治疗（同步或异步控制，多步程序、音频电、正弦调制中频、脉冲调制中频、干扰电）；治疗处方数：内置100种治疗处方；</w:t>
            </w:r>
          </w:p>
          <w:p w14:paraId="2817D12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13.使用年限：</w:t>
            </w:r>
            <w:r>
              <w:rPr>
                <w:rFonts w:hint="eastAsia" w:ascii="黑体" w:hAnsi="黑体" w:eastAsia="黑体" w:cs="黑体"/>
                <w:i w:val="0"/>
                <w:iCs w:val="0"/>
                <w:color w:val="000000"/>
                <w:sz w:val="21"/>
                <w:szCs w:val="21"/>
                <w:highlight w:val="none"/>
                <w:u w:val="none"/>
                <w:lang w:val="en-US" w:eastAsia="zh-CN"/>
              </w:rPr>
              <w:t>≥8年</w:t>
            </w:r>
            <w:r>
              <w:rPr>
                <w:rFonts w:hint="eastAsia" w:ascii="黑体" w:hAnsi="黑体" w:eastAsia="黑体" w:cs="黑体"/>
                <w:i w:val="0"/>
                <w:iCs w:val="0"/>
                <w:color w:val="000000"/>
                <w:sz w:val="21"/>
                <w:szCs w:val="21"/>
                <w:u w:val="none"/>
                <w:lang w:val="en-US" w:eastAsia="zh-CN"/>
              </w:rPr>
              <w:t>；</w:t>
            </w:r>
          </w:p>
          <w:p w14:paraId="50101BD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14.每台设备主要配置：主机1台，电源线1根，治疗线1套。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EF3">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highlight w:val="none"/>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184D">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19F3">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AE78">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0.99</w:t>
            </w:r>
          </w:p>
        </w:tc>
      </w:tr>
      <w:tr w14:paraId="6AF9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AF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620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超短波治疗仪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D4B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1.输出功率：20W、40W、60W、100W、200W五档可调，允差±20%；</w:t>
            </w:r>
          </w:p>
          <w:p w14:paraId="3BD2A5D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2.治疗时间：10min、15min、20min、25min、30min五档可调，各档允差±10%；</w:t>
            </w:r>
          </w:p>
          <w:p w14:paraId="374CA06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3.工作频率：27.12MHz，允差±1.5%；</w:t>
            </w:r>
          </w:p>
          <w:p w14:paraId="2E97359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4.调制脉冲频率：疏波MF70Hz，密波DF350Hz，允差±10%；</w:t>
            </w:r>
          </w:p>
          <w:p w14:paraId="41E98AB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5.调制脉冲脉宽：疏波2.0ms，密波1.8ms，允差±20%；</w:t>
            </w:r>
          </w:p>
          <w:p w14:paraId="1F25EF2C">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6.配备≥2个电子管；</w:t>
            </w:r>
          </w:p>
          <w:p w14:paraId="53E3C02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7.治疗结束后有声音提示并断开输出；</w:t>
            </w:r>
          </w:p>
          <w:p w14:paraId="031E4CC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8.治疗模式：连续和脉冲；</w:t>
            </w:r>
          </w:p>
          <w:p w14:paraId="55D5201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9.主要配置：主机1台，电源线1根，输出电极线1套，电极板及布套1套。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566">
            <w:pPr>
              <w:jc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5F0">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C78E">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93EF">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1.53</w:t>
            </w:r>
          </w:p>
        </w:tc>
      </w:tr>
      <w:tr w14:paraId="47BA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2D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4E8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上下肢主被动运动评估训练仪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A16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1.采用≥2个高质量直流无刷电机；</w:t>
            </w:r>
          </w:p>
          <w:p w14:paraId="28198ED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2.肢体训练方式，至少具有三种：上肢运动训练、下肢运动训练、上下肢联动训练；</w:t>
            </w:r>
          </w:p>
          <w:p w14:paraId="1CAE947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3.运动训练模式，至少具有：被动模式、助力模式、主动模式；</w:t>
            </w:r>
          </w:p>
          <w:p w14:paraId="7B7D5DD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4.可通过智能检测患者肢体用力情况，并根据其用力程度，自动切换为主动运动或被动运动；</w:t>
            </w:r>
          </w:p>
          <w:p w14:paraId="11946EB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5.具有向前/向后两种运动方向；训练过程中可自由转换训练方向；</w:t>
            </w:r>
          </w:p>
          <w:p w14:paraId="6990240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6.训练结果分析：训练结束后，系统自动分析出总训练时间、训练里程、功率、能量消耗等数据；</w:t>
            </w:r>
          </w:p>
          <w:p w14:paraId="4A71C93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7.内置至少具有四种训练程序，分别为标准程序、放松程序、力量和耐力程序、协调能力程序；</w:t>
            </w:r>
          </w:p>
          <w:p w14:paraId="2ECD56AA">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8.内置至少具有两款训练游戏，分别为对称训练游戏（对称游戏）、协调训练游戏（弹簧游戏）；</w:t>
            </w:r>
          </w:p>
          <w:p w14:paraId="05A9CD5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9.设备扶手及上肢训练器可水平旋转，供患者在进行下肢训练时抓握；</w:t>
            </w:r>
          </w:p>
          <w:p w14:paraId="634D2D7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10.设备采用触摸屏进行操控；</w:t>
            </w:r>
          </w:p>
          <w:p w14:paraId="6BEA3A6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11.训练时间：1~120min；</w:t>
            </w:r>
          </w:p>
          <w:p w14:paraId="0EBCDCF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12.输出扭矩：1~10Nm；</w:t>
            </w:r>
          </w:p>
          <w:p w14:paraId="0F29F12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13.运行模式：间歇加载连续运行；</w:t>
            </w:r>
          </w:p>
          <w:p w14:paraId="599D914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14.安全功能：痉挛保护、急停开关保护；</w:t>
            </w:r>
          </w:p>
          <w:p w14:paraId="1E20B8D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15.主要配置：主机1台，电源线1根，训练附件1套（脚踏板，小腿支架，标准手柄及绑带，前置支架，垂直手柄及腕托）。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BF90">
            <w:pPr>
              <w:jc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CCBE">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E6FC">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60A">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5.2</w:t>
            </w:r>
          </w:p>
        </w:tc>
      </w:tr>
      <w:tr w14:paraId="180C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4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349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红外偏正光治疗仪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C13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1.适用范围：适用于软组织扭挫伤恢复期、肌纤维织炎、关节炎、软组织炎症（疖、痈、蜂窝织炎、丹毒、乳腺炎、淋巴结炎）吸收期、神经痛的辅助治疗；</w:t>
            </w:r>
          </w:p>
          <w:p w14:paraId="4D31339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2.独立双通道输出，输出参数可独立调节；智能化触控操作系统，五大模式自由切换；</w:t>
            </w:r>
          </w:p>
          <w:p w14:paraId="7473866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3.彩色液晶触摸屏≥10.4寸；</w:t>
            </w:r>
          </w:p>
          <w:p w14:paraId="4F9005C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4.波长范围：600nm~1600nm；</w:t>
            </w:r>
          </w:p>
          <w:p w14:paraId="2D6E45CC">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5.功率调节至少满足：10%~100%连续可调，治疗时间1~20min范围内可调，峰值时间1~9s可调，低值时间1~9s可调；</w:t>
            </w:r>
          </w:p>
          <w:p w14:paraId="77E2EBC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6.治疗头最大输出光功率≤4500mW；</w:t>
            </w:r>
          </w:p>
          <w:p w14:paraId="6479B60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7.配备≥5种治疗头；</w:t>
            </w:r>
          </w:p>
          <w:p w14:paraId="67FEC57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8.主机台车一体化设计，下置静音轮胎，方便转运和运输；</w:t>
            </w:r>
          </w:p>
          <w:p w14:paraId="1692A81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9.一键飞梭，快速精准调节，作为触屏调节的补充方式；</w:t>
            </w:r>
          </w:p>
          <w:p w14:paraId="660C4DF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操作平台180°可旋转，治疗支臂多角度多方位可调节</w:t>
            </w:r>
          </w:p>
          <w:p w14:paraId="7E03383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10.仪器根据强度大小不同，设置框的颜色会不同，提醒操作者注意；</w:t>
            </w:r>
          </w:p>
          <w:p w14:paraId="5CDFB53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11.主要配置：主机1台，电源线1根，治疗头1套，台车1个。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54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72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8649">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A6C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w:t>
            </w:r>
          </w:p>
        </w:tc>
      </w:tr>
      <w:tr w14:paraId="1461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25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00E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电脑恒温电蜡疗仪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83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1.仪器组成：融蜡箱、控制系统、蜡饼制作箱组成；</w:t>
            </w:r>
          </w:p>
          <w:p w14:paraId="3C8E79C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2.电源：AC220V±10%  50Hz；</w:t>
            </w:r>
          </w:p>
          <w:p w14:paraId="5BF99B2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3.功率：主机≤3400W（融蜡箱功率：1600W±10%）；</w:t>
            </w:r>
          </w:p>
          <w:p w14:paraId="286882F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4.融蜡箱尺寸：容积≥120L，可融蜡60KG以上，蜡盘≥15盘；</w:t>
            </w:r>
          </w:p>
          <w:p w14:paraId="7AE99D2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5.全自动：自动融蜡、洗蜡、消毒、过滤、全程自动放蜡和制作蜡饼，自动实现7×24小时控制模式；</w:t>
            </w:r>
          </w:p>
          <w:p w14:paraId="797019F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6.智能化：蜡饼厚度可设置调节，可根据需求设置四组（每组四盘蜡饼）蜡饼的厚度，满足不同患者（部位）的使用需求；</w:t>
            </w:r>
          </w:p>
          <w:p w14:paraId="142F6BA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7.温度：融蜡箱：室温～85℃(可根据用户需要设置最高温度)，蜡饼制作箱：室温～60℃；</w:t>
            </w:r>
          </w:p>
          <w:p w14:paraId="2C218FF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8.融蜡时间：40kg蜡小于4小时；</w:t>
            </w:r>
          </w:p>
          <w:p w14:paraId="76EE67D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9.材质：高标304#不锈钢；</w:t>
            </w:r>
          </w:p>
          <w:p w14:paraId="3FD6427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10.结构：卧式箱体结构，适合人体操作高度的机器尺寸，方便操作者在使用过程中取蜡、切蜡、放蜡等操作；</w:t>
            </w:r>
          </w:p>
          <w:p w14:paraId="0438BD6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11.消毒：紫外线照射（融蜡箱、蜡饼制作箱均有），高温消毒；</w:t>
            </w:r>
          </w:p>
          <w:p w14:paraId="08556F6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12.过滤：双层过滤；</w:t>
            </w:r>
          </w:p>
          <w:p w14:paraId="3FF6985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13.除异味装置：设备配有管道接口附件，可接软管（选配）将挥发气味排到室外，使用场所更加清洁、环保；</w:t>
            </w:r>
          </w:p>
          <w:p w14:paraId="6501DDA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14.主要配置：主机1台，电源线1根，滤网1套，蜡盘1套，清洁用工具1套。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6F9">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E6B">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DFB5">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FFED">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w:t>
            </w:r>
          </w:p>
        </w:tc>
      </w:tr>
      <w:tr w14:paraId="05DF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D5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774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智能温热牵引系统</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69D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1.内置在牵引床内的加热器，温热等级有5档可调；</w:t>
            </w:r>
          </w:p>
          <w:p w14:paraId="18588D5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2.可根据颈椎曲线自由弯曲，柔软舒适，采用力矩电机，柔和牵引；</w:t>
            </w:r>
          </w:p>
          <w:p w14:paraId="246E484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3.双颈牵配置，灵活配置治疗资源；</w:t>
            </w:r>
          </w:p>
          <w:p w14:paraId="53FB41A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4.牵引力精确：有自动检测功能、自动补偿功能；牵引力1~99Kg在牵引过程中可根据医生需要随时增减牵引力，无须停机；</w:t>
            </w:r>
          </w:p>
          <w:p w14:paraId="5A055CA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5.床体采用优质阻尼器，防止床体迅速滑动，保障患者上下床时的安全；</w:t>
            </w:r>
          </w:p>
          <w:p w14:paraId="3983B2E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6.牵引体位科学：膝下应用三角枕调节受力位置；</w:t>
            </w:r>
          </w:p>
          <w:p w14:paraId="3DC19CF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7.上身固定采用腋下摆臂和胸部两种固定方式；</w:t>
            </w:r>
          </w:p>
          <w:p w14:paraId="4E92D79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8.颈腰牵引都配有紧急停止开关，设定值锁定功能：防止误操作导致医疗事故的发生；</w:t>
            </w:r>
          </w:p>
          <w:p w14:paraId="050E0DDC">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9.牵引绳采用柔软钢丝绳，外包耐磨PU防止钢丝毛刺扎手，固定轨道设计；</w:t>
            </w:r>
          </w:p>
          <w:p w14:paraId="06E1B1B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10.床面采用耐磨、耐拉、耐低温、抗菌、高级环保、阻燃皮革；</w:t>
            </w:r>
          </w:p>
          <w:p w14:paraId="3020DA0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11.双色数码管显示，主副模式由红、绿双色显示；</w:t>
            </w:r>
          </w:p>
          <w:p w14:paraId="2A1077F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12.全数字设定显示，牵引力、牵引时间、治疗时间均数字设定，且有记忆功能；</w:t>
            </w:r>
          </w:p>
          <w:p w14:paraId="377CA52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13.自动故障检测，以不同代码指示故障，停止治疗，故障排除后方可正常使用；</w:t>
            </w:r>
          </w:p>
          <w:p w14:paraId="1B84456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14.牵引力：1-99Kg，牵引时间：0-99秒，治疗时间：0-99分；</w:t>
            </w:r>
          </w:p>
          <w:p w14:paraId="3F6FDC9A">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15.牵引模式：主副牵引、连续牵引、间歇牵引；</w:t>
            </w:r>
          </w:p>
          <w:p w14:paraId="2B974CC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16.主要配置：床体1张，牵引主杆1个，牵引床椅子1张，电源线1条，急停开关1套，固定三角架、脚架、小手架、腰牵架各1套，颈牵、腰牵引钩各1套，活动滑轮座1个，三角枕、小枕头各1个，胸部、腰部绑带各1套，颈牵绑带及颈部加热袋2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B752">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3F76">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B26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4.98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5D2E">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4.98</w:t>
            </w:r>
          </w:p>
        </w:tc>
      </w:tr>
      <w:tr w14:paraId="7615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FC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1FC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微波治疗仪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60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1.额定输入功率：≥430VA；</w:t>
            </w:r>
          </w:p>
          <w:p w14:paraId="2C59CC3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2.配有可旋转支臂，方便医务人员操作；</w:t>
            </w:r>
          </w:p>
          <w:p w14:paraId="68AA289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3.治疗时间：0～30min，连续可调，级差1min；</w:t>
            </w:r>
          </w:p>
          <w:p w14:paraId="644FB95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4.输出方式：连续式和脉冲式；</w:t>
            </w:r>
          </w:p>
          <w:p w14:paraId="2A941B8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5.辐射器驻波比不大于3；</w:t>
            </w:r>
          </w:p>
          <w:p w14:paraId="3953C27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6.工作频率：2450MHz±50MHz；</w:t>
            </w:r>
          </w:p>
          <w:p w14:paraId="567F680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7.输出功率调节范围：0～50W，级差5W；</w:t>
            </w:r>
          </w:p>
          <w:p w14:paraId="1BC1903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8.推车式设计，移动方便；</w:t>
            </w:r>
          </w:p>
          <w:p w14:paraId="58E0F4B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9.输出功率过载保护，治疗更加安全；</w:t>
            </w:r>
          </w:p>
          <w:p w14:paraId="765AD33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10.主要配置：主机1台，电源线1根，支臂1个，输出线1条，辐射器治疗头1个。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D36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9E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8A4">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AC34">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3.6</w:t>
            </w:r>
          </w:p>
        </w:tc>
      </w:tr>
      <w:tr w14:paraId="572C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6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277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电动起立床</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11E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1.双轴承结构，床板运动平稳，宽大的固定绑带，适用于胸、腰和膝等部位的固定；</w:t>
            </w:r>
          </w:p>
          <w:p w14:paraId="1E828D6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2.连续可调的扶手和桌板，抗菌耐磨高弹力皮革，高阻燃性、抗菌、耐温、防划、床体弹力好、舒适；</w:t>
            </w:r>
          </w:p>
          <w:p w14:paraId="707FE05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3.手控器控制方式，脚踏板可内外翻、上下调节；</w:t>
            </w:r>
          </w:p>
          <w:p w14:paraId="71E451E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4.起立角度至少满足：0～80°±5°符合《可调式康复训练床GBT 26340-2010》的站立角度要求；</w:t>
            </w:r>
          </w:p>
          <w:p w14:paraId="2F61778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5.脚踏板活动角度至少满足：内翻0～35°，外翻0～35°，趾屈0～15°，背屈0～20°，允差±5°；</w:t>
            </w:r>
          </w:p>
          <w:p w14:paraId="34ED1E1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6.配备紧急停止开关；</w:t>
            </w:r>
          </w:p>
          <w:p w14:paraId="7006B05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7.主要配置：床体1台，电源线1根，急停开关1套，手持控制器1个，扶手、把手1套，餐桌1套。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070">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322">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A25C">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3B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2.1</w:t>
            </w:r>
          </w:p>
        </w:tc>
      </w:tr>
      <w:tr w14:paraId="355F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13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D624BA">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bookmarkStart w:id="24" w:name="_Toc267320050"/>
            <w:bookmarkStart w:id="25" w:name="_Toc5280"/>
            <w:bookmarkStart w:id="26" w:name="_Toc4096"/>
            <w:r>
              <w:rPr>
                <w:rFonts w:hint="eastAsia" w:ascii="黑体" w:hAnsi="黑体" w:eastAsia="黑体" w:cs="黑体"/>
                <w:i w:val="0"/>
                <w:iCs w:val="0"/>
                <w:color w:val="000000"/>
                <w:sz w:val="21"/>
                <w:szCs w:val="21"/>
                <w:u w:val="none"/>
                <w:lang w:val="en-US" w:eastAsia="zh-CN"/>
              </w:rPr>
              <w:t>总价合计（万元）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5E27">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43</w:t>
            </w:r>
          </w:p>
        </w:tc>
      </w:tr>
    </w:tbl>
    <w:p w14:paraId="6AE7DE66">
      <w:pPr>
        <w:keepNext w:val="0"/>
        <w:keepLines w:val="0"/>
        <w:widowControl/>
        <w:suppressLineNumbers w:val="0"/>
        <w:jc w:val="left"/>
        <w:textAlignment w:val="center"/>
        <w:rPr>
          <w:rFonts w:hint="eastAsia" w:ascii="黑体" w:hAnsi="黑体" w:eastAsia="黑体" w:cs="黑体"/>
          <w:b/>
          <w:color w:val="auto"/>
          <w:sz w:val="28"/>
          <w:szCs w:val="28"/>
          <w:highlight w:val="none"/>
          <w:lang w:val="en-US" w:eastAsia="zh-CN"/>
        </w:rPr>
        <w:sectPr>
          <w:pgSz w:w="16840" w:h="11907" w:orient="landscape"/>
          <w:pgMar w:top="1304" w:right="1134" w:bottom="1191" w:left="1134" w:header="964" w:footer="992" w:gutter="0"/>
          <w:cols w:space="720" w:num="1"/>
          <w:docGrid w:linePitch="380" w:charSpace="-5735"/>
        </w:sectPr>
      </w:pPr>
    </w:p>
    <w:p w14:paraId="1D2B8D43">
      <w:pPr>
        <w:pStyle w:val="3"/>
        <w:spacing w:before="0" w:beforeLines="0" w:after="0" w:afterLines="0" w:line="360" w:lineRule="auto"/>
        <w:rPr>
          <w:rFonts w:hint="eastAsia" w:ascii="黑体" w:hAnsi="黑体" w:eastAsia="黑体" w:cs="黑体"/>
          <w:b/>
          <w:color w:val="auto"/>
          <w:sz w:val="28"/>
          <w:szCs w:val="28"/>
          <w:highlight w:val="none"/>
        </w:rPr>
      </w:pPr>
      <w:bookmarkStart w:id="27" w:name="_Toc766"/>
      <w:r>
        <w:rPr>
          <w:rFonts w:hint="eastAsia" w:ascii="黑体" w:hAnsi="黑体" w:eastAsia="黑体" w:cs="黑体"/>
          <w:b/>
          <w:color w:val="auto"/>
          <w:sz w:val="28"/>
          <w:szCs w:val="28"/>
          <w:highlight w:val="none"/>
        </w:rPr>
        <w:t>第三篇</w:t>
      </w:r>
      <w:r>
        <w:rPr>
          <w:rFonts w:hint="eastAsia" w:ascii="黑体" w:hAnsi="黑体" w:eastAsia="黑体" w:cs="黑体"/>
          <w:b/>
          <w:color w:val="auto"/>
          <w:sz w:val="28"/>
          <w:szCs w:val="28"/>
          <w:highlight w:val="none"/>
          <w:lang w:val="en-US" w:eastAsia="zh-CN"/>
        </w:rPr>
        <w:t xml:space="preserve">  项目商务需求</w:t>
      </w:r>
      <w:bookmarkEnd w:id="27"/>
    </w:p>
    <w:p w14:paraId="73A979B9">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28" w:name="_Toc15493"/>
      <w:bookmarkStart w:id="29" w:name="_Toc17750"/>
      <w:bookmarkStart w:id="30" w:name="_Toc12935"/>
      <w:bookmarkStart w:id="31" w:name="_Toc65660342"/>
      <w:bookmarkStart w:id="32" w:name="_Toc13555"/>
      <w:bookmarkStart w:id="33" w:name="_Toc20103"/>
      <w:r>
        <w:rPr>
          <w:rFonts w:hint="eastAsia" w:ascii="黑体" w:hAnsi="黑体" w:eastAsia="黑体" w:cs="黑体"/>
          <w:b/>
          <w:bCs/>
          <w:sz w:val="24"/>
        </w:rPr>
        <w:t>一、交货时间、地点</w:t>
      </w:r>
      <w:bookmarkEnd w:id="28"/>
      <w:bookmarkEnd w:id="29"/>
      <w:bookmarkEnd w:id="30"/>
      <w:bookmarkEnd w:id="31"/>
      <w:bookmarkEnd w:id="32"/>
      <w:r>
        <w:rPr>
          <w:rFonts w:hint="eastAsia" w:ascii="黑体" w:hAnsi="黑体" w:eastAsia="黑体" w:cs="黑体"/>
          <w:b/>
          <w:bCs/>
          <w:sz w:val="24"/>
          <w:lang w:val="en-US" w:eastAsia="zh-CN"/>
        </w:rPr>
        <w:t>及验收方式</w:t>
      </w:r>
      <w:bookmarkEnd w:id="33"/>
    </w:p>
    <w:p w14:paraId="4CF64B09">
      <w:pPr>
        <w:pStyle w:val="13"/>
        <w:pageBreakBefore w:val="0"/>
        <w:widowControl w:val="0"/>
        <w:kinsoku/>
        <w:overflowPunct/>
        <w:topLinePunct w:val="0"/>
        <w:autoSpaceDE/>
        <w:autoSpaceDN/>
        <w:bidi w:val="0"/>
        <w:spacing w:line="360" w:lineRule="auto"/>
        <w:ind w:firstLine="360" w:firstLineChars="150"/>
        <w:outlineLvl w:val="2"/>
        <w:rPr>
          <w:rFonts w:hint="eastAsia" w:ascii="黑体" w:hAnsi="黑体" w:eastAsia="黑体" w:cs="黑体"/>
          <w:sz w:val="24"/>
          <w:szCs w:val="24"/>
        </w:rPr>
      </w:pPr>
      <w:r>
        <w:rPr>
          <w:rFonts w:hint="eastAsia" w:ascii="黑体" w:hAnsi="黑体" w:eastAsia="黑体" w:cs="黑体"/>
          <w:sz w:val="24"/>
          <w:szCs w:val="24"/>
        </w:rPr>
        <w:t>（一）交货时间</w:t>
      </w:r>
    </w:p>
    <w:p w14:paraId="2367B5FA">
      <w:pPr>
        <w:pStyle w:val="13"/>
        <w:pageBreakBefore w:val="0"/>
        <w:widowControl w:val="0"/>
        <w:kinsoku/>
        <w:overflowPunct/>
        <w:topLinePunct w:val="0"/>
        <w:autoSpaceDE/>
        <w:autoSpaceDN/>
        <w:bidi w:val="0"/>
        <w:spacing w:line="360" w:lineRule="auto"/>
        <w:ind w:left="238" w:leftChars="85" w:firstLine="120" w:firstLineChars="50"/>
        <w:outlineLvl w:val="2"/>
        <w:rPr>
          <w:rFonts w:hint="eastAsia" w:ascii="黑体" w:hAnsi="黑体" w:eastAsia="黑体" w:cs="黑体"/>
          <w:sz w:val="24"/>
          <w:szCs w:val="24"/>
          <w:lang w:eastAsia="zh-CN"/>
        </w:rPr>
      </w:pPr>
      <w:r>
        <w:rPr>
          <w:rFonts w:hint="eastAsia" w:ascii="黑体" w:hAnsi="黑体" w:eastAsia="黑体" w:cs="黑体"/>
          <w:sz w:val="24"/>
          <w:szCs w:val="24"/>
          <w:lang w:val="en-US" w:eastAsia="zh-CN"/>
        </w:rPr>
        <w:t>合同签订后</w:t>
      </w:r>
      <w:r>
        <w:rPr>
          <w:rFonts w:hint="eastAsia" w:ascii="黑体" w:hAnsi="黑体" w:eastAsia="黑体" w:cs="黑体"/>
          <w:sz w:val="24"/>
          <w:szCs w:val="24"/>
          <w:highlight w:val="none"/>
          <w:lang w:val="en-US" w:eastAsia="zh-CN"/>
        </w:rPr>
        <w:t>30天内</w:t>
      </w:r>
      <w:r>
        <w:rPr>
          <w:rFonts w:hint="eastAsia" w:ascii="黑体" w:hAnsi="黑体" w:eastAsia="黑体" w:cs="黑体"/>
          <w:sz w:val="24"/>
          <w:szCs w:val="24"/>
          <w:lang w:eastAsia="zh-CN"/>
        </w:rPr>
        <w:t>完成本项目全部产品</w:t>
      </w:r>
      <w:r>
        <w:rPr>
          <w:rFonts w:hint="eastAsia" w:ascii="黑体" w:hAnsi="黑体" w:eastAsia="黑体" w:cs="黑体"/>
          <w:sz w:val="24"/>
          <w:szCs w:val="24"/>
          <w:lang w:val="en-US" w:eastAsia="zh-CN"/>
        </w:rPr>
        <w:t>的送货</w:t>
      </w:r>
      <w:r>
        <w:rPr>
          <w:rFonts w:hint="eastAsia" w:ascii="黑体" w:hAnsi="黑体" w:eastAsia="黑体" w:cs="黑体"/>
          <w:sz w:val="24"/>
          <w:szCs w:val="24"/>
          <w:lang w:eastAsia="zh-CN"/>
        </w:rPr>
        <w:t>安装及调试。</w:t>
      </w:r>
    </w:p>
    <w:p w14:paraId="7F919FE9">
      <w:pPr>
        <w:pStyle w:val="13"/>
        <w:pageBreakBefore w:val="0"/>
        <w:widowControl w:val="0"/>
        <w:kinsoku/>
        <w:overflowPunct/>
        <w:topLinePunct w:val="0"/>
        <w:autoSpaceDE/>
        <w:autoSpaceDN/>
        <w:bidi w:val="0"/>
        <w:spacing w:line="360" w:lineRule="auto"/>
        <w:ind w:left="238" w:leftChars="85" w:firstLine="120" w:firstLineChars="50"/>
        <w:outlineLvl w:val="2"/>
        <w:rPr>
          <w:rFonts w:hint="eastAsia" w:ascii="黑体" w:hAnsi="黑体" w:eastAsia="黑体" w:cs="黑体"/>
          <w:sz w:val="24"/>
          <w:szCs w:val="24"/>
        </w:rPr>
      </w:pPr>
      <w:r>
        <w:rPr>
          <w:rFonts w:hint="eastAsia" w:ascii="黑体" w:hAnsi="黑体" w:eastAsia="黑体" w:cs="黑体"/>
          <w:sz w:val="24"/>
          <w:szCs w:val="24"/>
        </w:rPr>
        <w:t>（二）交货地点</w:t>
      </w:r>
    </w:p>
    <w:p w14:paraId="1FDDB566">
      <w:pPr>
        <w:pageBreakBefore w:val="0"/>
        <w:widowControl w:val="0"/>
        <w:kinsoku/>
        <w:overflowPunct/>
        <w:topLinePunct w:val="0"/>
        <w:autoSpaceDE/>
        <w:autoSpaceDN/>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交货地点：重庆市璧山区人民医院</w:t>
      </w:r>
      <w:r>
        <w:rPr>
          <w:rFonts w:hint="eastAsia" w:ascii="黑体" w:hAnsi="黑体" w:eastAsia="黑体" w:cs="黑体"/>
          <w:sz w:val="24"/>
          <w:szCs w:val="24"/>
          <w:lang w:val="en-US" w:eastAsia="zh-CN"/>
        </w:rPr>
        <w:t>指定地点</w:t>
      </w:r>
      <w:r>
        <w:rPr>
          <w:rFonts w:hint="eastAsia" w:ascii="黑体" w:hAnsi="黑体" w:eastAsia="黑体" w:cs="黑体"/>
          <w:sz w:val="24"/>
          <w:szCs w:val="24"/>
        </w:rPr>
        <w:t>。</w:t>
      </w:r>
    </w:p>
    <w:p w14:paraId="54B0FE4D">
      <w:pPr>
        <w:pageBreakBefore w:val="0"/>
        <w:widowControl w:val="0"/>
        <w:kinsoku/>
        <w:wordWrap/>
        <w:overflowPunct/>
        <w:topLinePunct w:val="0"/>
        <w:autoSpaceDE/>
        <w:autoSpaceDN/>
        <w:bidi w:val="0"/>
        <w:adjustRightInd/>
        <w:snapToGrid w:val="0"/>
        <w:spacing w:line="360" w:lineRule="auto"/>
        <w:ind w:firstLine="240" w:firstLineChars="100"/>
        <w:textAlignment w:val="baseline"/>
        <w:rPr>
          <w:rFonts w:hint="eastAsia" w:ascii="黑体" w:hAnsi="黑体" w:eastAsia="黑体" w:cs="黑体"/>
          <w:color w:val="auto"/>
          <w:sz w:val="24"/>
          <w:szCs w:val="24"/>
          <w:highlight w:val="none"/>
          <w:lang w:eastAsia="zh-CN"/>
        </w:rPr>
      </w:pPr>
      <w:bookmarkStart w:id="34" w:name="_Toc12184"/>
      <w:bookmarkStart w:id="35" w:name="_Toc65660344"/>
      <w:bookmarkStart w:id="36" w:name="_Toc16974"/>
      <w:bookmarkStart w:id="37" w:name="_Toc2889"/>
      <w:bookmarkStart w:id="38" w:name="_Toc122"/>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）验收方式</w:t>
      </w:r>
    </w:p>
    <w:p w14:paraId="1915801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bookmarkStart w:id="39" w:name="_Toc22127"/>
      <w:r>
        <w:rPr>
          <w:rFonts w:hint="eastAsia" w:ascii="黑体" w:hAnsi="黑体" w:eastAsia="黑体" w:cs="黑体"/>
          <w:sz w:val="24"/>
          <w:szCs w:val="24"/>
          <w:lang w:val="en-US" w:eastAsia="zh-CN"/>
        </w:rPr>
        <w:t>1.成交供应商将货物免费送到采购人指定地点，经采购人当场开箱、共同清点、检查外观等进行开箱验收，双方签字确认后才能进行安装、调试和免费培训及技术指导。</w:t>
      </w:r>
    </w:p>
    <w:p w14:paraId="07CF2824">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2.供应商应保证货物到达采购人所在地时完好无损，生产日期应为1年以内的全新产品。如有缺漏、损坏，由供应商负责调换、补齐或赔偿。</w:t>
      </w:r>
    </w:p>
    <w:p w14:paraId="7AD5C7F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3.成交供应商派遣专业技术人员在采购人指定地点对采购人使用人员进行设备使用与操作进行免费专业培训，使其能正常操作。</w:t>
      </w:r>
    </w:p>
    <w:p w14:paraId="421D5D1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14:paraId="27ADBC51">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4.1采购合同须与投标文件中的技术要求对照表相一致；若不满足相应要求，取消其中标资格。</w:t>
      </w:r>
    </w:p>
    <w:p w14:paraId="57EB54F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4.2设备品种、规格、数量、技术参数以及商品品牌、生产厂家等与投标文件和采购合同一致，性能指标达到规定的标准。</w:t>
      </w:r>
    </w:p>
    <w:p w14:paraId="10446CA0">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4.3货物技术资料、装箱单、合格证等资料齐全。</w:t>
      </w:r>
    </w:p>
    <w:p w14:paraId="11E47085">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4.4在系统试运行期间所出现的问题得到解决，并运行正常。</w:t>
      </w:r>
    </w:p>
    <w:p w14:paraId="48E65291">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4.5在规定时间内完成交货及安装调试，并经采购人确认。</w:t>
      </w:r>
    </w:p>
    <w:p w14:paraId="65458E5A">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5.采购人需要制造商对成交供应商交付的产品（包括质量、技术参数等）进行确认的，成交供应商须提供制造商出具并加盖制造商公章的书面意见。</w:t>
      </w:r>
    </w:p>
    <w:p w14:paraId="5DFA5FDC">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6.验收时产生争议，采购人可邀请国家认可的质量检测机构参加验收工作，产生的验收费用由供应商承担。</w:t>
      </w:r>
    </w:p>
    <w:p w14:paraId="6FDA108D">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r>
        <w:rPr>
          <w:rFonts w:hint="eastAsia" w:ascii="黑体" w:hAnsi="黑体" w:eastAsia="黑体" w:cs="黑体"/>
          <w:b/>
          <w:bCs/>
          <w:sz w:val="24"/>
          <w:lang w:val="en-US" w:eastAsia="zh-CN"/>
        </w:rPr>
        <w:t>二、报价要求</w:t>
      </w:r>
      <w:bookmarkEnd w:id="34"/>
      <w:bookmarkEnd w:id="35"/>
      <w:bookmarkEnd w:id="36"/>
      <w:bookmarkEnd w:id="37"/>
      <w:bookmarkEnd w:id="38"/>
      <w:bookmarkEnd w:id="39"/>
    </w:p>
    <w:p w14:paraId="75021A47">
      <w:pPr>
        <w:pageBreakBefore w:val="0"/>
        <w:widowControl w:val="0"/>
        <w:kinsoku/>
        <w:wordWrap w:val="0"/>
        <w:overflowPunct/>
        <w:topLinePunct w:val="0"/>
        <w:autoSpaceDE/>
        <w:autoSpaceDN/>
        <w:bidi w:val="0"/>
        <w:spacing w:line="360" w:lineRule="auto"/>
        <w:ind w:firstLine="480" w:firstLineChars="200"/>
        <w:rPr>
          <w:rFonts w:hint="eastAsia" w:ascii="黑体" w:hAnsi="黑体" w:eastAsia="黑体" w:cs="黑体"/>
          <w:sz w:val="24"/>
          <w:szCs w:val="24"/>
          <w:lang w:val="en-US" w:eastAsia="zh-CN"/>
        </w:rPr>
      </w:pPr>
      <w:bookmarkStart w:id="40" w:name="_Toc493506292"/>
      <w:bookmarkStart w:id="41" w:name="_Toc7562"/>
      <w:bookmarkStart w:id="42" w:name="_Toc31937"/>
      <w:bookmarkStart w:id="43" w:name="_Toc65660345"/>
      <w:bookmarkStart w:id="44" w:name="_Toc11000"/>
      <w:bookmarkStart w:id="45" w:name="_Toc9192"/>
      <w:r>
        <w:rPr>
          <w:rFonts w:hint="eastAsia" w:ascii="黑体" w:hAnsi="黑体" w:eastAsia="黑体" w:cs="黑体"/>
          <w:sz w:val="24"/>
          <w:szCs w:val="24"/>
          <w:lang w:val="en-US" w:eastAsia="zh-CN"/>
        </w:rPr>
        <w:t>1.本项目报价为人民币报价，报价包括但不仅限于：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w:t>
      </w:r>
    </w:p>
    <w:p w14:paraId="7CDE36F9">
      <w:pPr>
        <w:pageBreakBefore w:val="0"/>
        <w:widowControl w:val="0"/>
        <w:kinsoku/>
        <w:wordWrap w:val="0"/>
        <w:overflowPunct/>
        <w:topLinePunct w:val="0"/>
        <w:autoSpaceDE/>
        <w:autoSpaceDN/>
        <w:bidi w:val="0"/>
        <w:spacing w:line="360" w:lineRule="auto"/>
        <w:ind w:firstLine="480" w:firstLineChars="200"/>
        <w:rPr>
          <w:rFonts w:hint="eastAsia" w:ascii="黑体" w:hAnsi="黑体" w:eastAsia="黑体" w:cs="黑体"/>
          <w:b/>
          <w:bCs/>
          <w:i w:val="0"/>
          <w:color w:val="000000"/>
          <w:kern w:val="0"/>
          <w:sz w:val="22"/>
          <w:szCs w:val="22"/>
          <w:u w:val="none"/>
          <w:lang w:val="en-US" w:eastAsia="zh-CN" w:bidi="ar"/>
        </w:rPr>
      </w:pPr>
      <w:r>
        <w:rPr>
          <w:rFonts w:hint="eastAsia" w:ascii="黑体" w:hAnsi="黑体" w:eastAsia="黑体" w:cs="黑体"/>
          <w:sz w:val="24"/>
          <w:szCs w:val="24"/>
          <w:lang w:val="en-US" w:eastAsia="zh-CN"/>
        </w:rPr>
        <w:t>2.本项目是一次性采购，成交供应商应根据本项目的实际情况与自身现实情况，并充分考虑不确定性因素可能导致的风险自行填报。若因成交供应商原因造成的漏报、错报而导致本项目无法履行的，由成交供应商负责，采购人不会承担任何费用。</w:t>
      </w:r>
    </w:p>
    <w:bookmarkEnd w:id="40"/>
    <w:p w14:paraId="4C480B38">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rPr>
      </w:pPr>
      <w:r>
        <w:rPr>
          <w:rFonts w:hint="eastAsia" w:ascii="黑体" w:hAnsi="黑体" w:eastAsia="黑体" w:cs="黑体"/>
          <w:sz w:val="24"/>
          <w:szCs w:val="24"/>
        </w:rPr>
        <w:t>3</w:t>
      </w:r>
      <w:r>
        <w:rPr>
          <w:rFonts w:hint="eastAsia" w:ascii="黑体" w:hAnsi="黑体" w:eastAsia="黑体" w:cs="黑体"/>
          <w:sz w:val="24"/>
          <w:szCs w:val="24"/>
          <w:lang w:val="en-US" w:eastAsia="zh-CN"/>
        </w:rPr>
        <w:t>.本项目总价最高限价：43万元，供应商的报价不能高于总价最高限价及单价最高限价，否则按无效响应处理</w:t>
      </w:r>
      <w:r>
        <w:rPr>
          <w:rFonts w:hint="eastAsia" w:ascii="黑体" w:hAnsi="黑体" w:eastAsia="黑体" w:cs="黑体"/>
          <w:sz w:val="24"/>
          <w:szCs w:val="24"/>
        </w:rPr>
        <w:t>。</w:t>
      </w:r>
    </w:p>
    <w:p w14:paraId="25092A20">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46" w:name="_Toc17247"/>
      <w:r>
        <w:rPr>
          <w:rFonts w:hint="eastAsia" w:ascii="黑体" w:hAnsi="黑体" w:eastAsia="黑体" w:cs="黑体"/>
          <w:b/>
          <w:bCs/>
          <w:sz w:val="24"/>
          <w:lang w:val="en-US" w:eastAsia="zh-CN"/>
        </w:rPr>
        <w:t>三、付款方式</w:t>
      </w:r>
      <w:bookmarkEnd w:id="46"/>
    </w:p>
    <w:p w14:paraId="02B13310">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bookmarkStart w:id="47" w:name="_Toc128405734"/>
      <w:bookmarkStart w:id="48" w:name="_Toc25100"/>
      <w:r>
        <w:rPr>
          <w:rFonts w:hint="eastAsia" w:ascii="黑体" w:hAnsi="黑体" w:eastAsia="黑体" w:cs="黑体"/>
          <w:sz w:val="24"/>
          <w:szCs w:val="24"/>
          <w:lang w:val="en-US" w:eastAsia="zh-CN"/>
        </w:rPr>
        <w:t>分期付款：安装调试验收合格后支付合同金额的95%，剩余5%作为供应商承诺质保期的产品维保费用，待维保服务期满且服务合格后支付。付款时，供应商需提供发票、验收记录、培训记录，未及时提供的采购人有权拒付。</w:t>
      </w:r>
    </w:p>
    <w:p w14:paraId="7E2F9B80">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szCs w:val="24"/>
        </w:rPr>
      </w:pPr>
      <w:r>
        <w:rPr>
          <w:rFonts w:hint="eastAsia" w:ascii="黑体" w:hAnsi="黑体" w:eastAsia="黑体" w:cs="黑体"/>
          <w:b/>
          <w:bCs/>
          <w:sz w:val="24"/>
          <w:lang w:val="en-US" w:eastAsia="zh-CN"/>
        </w:rPr>
        <w:t>四、</w:t>
      </w:r>
      <w:bookmarkStart w:id="49" w:name="_Toc267320052"/>
      <w:bookmarkStart w:id="50" w:name="_Toc54697855"/>
      <w:bookmarkStart w:id="51" w:name="_Toc89000862"/>
      <w:bookmarkStart w:id="52" w:name="_Toc101366345"/>
      <w:r>
        <w:rPr>
          <w:rFonts w:hint="eastAsia" w:ascii="黑体" w:hAnsi="黑体" w:eastAsia="黑体" w:cs="黑体"/>
          <w:b/>
          <w:bCs/>
          <w:sz w:val="24"/>
          <w:lang w:val="en-US" w:eastAsia="zh-CN"/>
        </w:rPr>
        <w:t>知识产权</w:t>
      </w:r>
      <w:bookmarkEnd w:id="47"/>
      <w:bookmarkEnd w:id="48"/>
      <w:bookmarkEnd w:id="49"/>
      <w:bookmarkEnd w:id="50"/>
      <w:bookmarkEnd w:id="51"/>
      <w:bookmarkEnd w:id="52"/>
    </w:p>
    <w:p w14:paraId="45D271B5">
      <w:pPr>
        <w:pageBreakBefore w:val="0"/>
        <w:widowControl w:val="0"/>
        <w:kinsoku/>
        <w:wordWrap w:val="0"/>
        <w:overflowPunct/>
        <w:topLinePunct w:val="0"/>
        <w:autoSpaceDE/>
        <w:autoSpaceDN/>
        <w:bidi w:val="0"/>
        <w:spacing w:line="360" w:lineRule="auto"/>
        <w:ind w:firstLine="482"/>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14:paraId="77977A27">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53" w:name="_Toc15163"/>
      <w:r>
        <w:rPr>
          <w:rFonts w:hint="eastAsia" w:ascii="黑体" w:hAnsi="黑体" w:eastAsia="黑体" w:cs="黑体"/>
          <w:b/>
          <w:bCs/>
          <w:sz w:val="24"/>
          <w:lang w:val="en-US" w:eastAsia="zh-CN"/>
        </w:rPr>
        <w:t>五、质量保证及售后服务内容</w:t>
      </w:r>
      <w:bookmarkEnd w:id="53"/>
    </w:p>
    <w:p w14:paraId="564DB672">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（一）产品质量保证期：自验收合格之日起，所有设备均须提供不低于</w:t>
      </w:r>
      <w:r>
        <w:rPr>
          <w:rFonts w:hint="eastAsia" w:ascii="黑体" w:hAnsi="黑体" w:eastAsia="黑体" w:cs="黑体"/>
          <w:sz w:val="24"/>
          <w:szCs w:val="24"/>
          <w:u w:val="single"/>
          <w:lang w:val="en-US" w:eastAsia="zh-CN"/>
        </w:rPr>
        <w:t>5年</w:t>
      </w:r>
      <w:r>
        <w:rPr>
          <w:rFonts w:hint="eastAsia" w:ascii="黑体" w:hAnsi="黑体" w:eastAsia="黑体" w:cs="黑体"/>
          <w:sz w:val="24"/>
          <w:szCs w:val="24"/>
          <w:lang w:val="en-US" w:eastAsia="zh-CN"/>
        </w:rPr>
        <w:t>的整机免费质保。质保期内维修，成交供应商免费提供所有设备原厂配件。设备突发故障维修的时长不纳入正常质保期限，质保期限根据维修时长相应顺延。设备若有配套专用软件，供应商应承诺终身免费升级及维保。</w:t>
      </w:r>
    </w:p>
    <w:p w14:paraId="19C9A383">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（二）售后服务内容</w:t>
      </w:r>
    </w:p>
    <w:p w14:paraId="6DB4DF53">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1.成交供应商在质量保证期内应当为采购人提供以下技术支持和服务：</w:t>
      </w:r>
    </w:p>
    <w:p w14:paraId="2EAEAE4A">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1.1电话咨询</w:t>
      </w:r>
    </w:p>
    <w:p w14:paraId="185E705C">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成交供应商或制造商应当为采购人提供技术援助电话，在30分钟内响应解答采购人在使用中遇到的问题，及时为采购人提出解决问题的建议。</w:t>
      </w:r>
    </w:p>
    <w:p w14:paraId="7D7A55AA">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1.2现场响应</w:t>
      </w:r>
    </w:p>
    <w:p w14:paraId="1788531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遇到使用及技术问题，电话咨询不能解决的，成交供应商或制造商应在30分钟内派专业技术人员到达现场进行维护，2小时内解决故障问题，确保产品正常工作。预估超过72小时无法修复的，应提供备用机保障采购人正常的诊疗秩序。</w:t>
      </w:r>
    </w:p>
    <w:p w14:paraId="56901C43">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1.3技术升级</w:t>
      </w:r>
    </w:p>
    <w:p w14:paraId="4FCD0B48">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在质保期内，如果成交供应商或制造商的产品免费技术升级，成交供应商应及时通知采购人，如采购人有相应要求，成交供应商或制造商应对采购人进行免费升级服务。</w:t>
      </w:r>
    </w:p>
    <w:p w14:paraId="6CA6940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14:paraId="7AFC71D1">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2.质保期满服务要求</w:t>
      </w:r>
    </w:p>
    <w:p w14:paraId="5542F98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质保期满后成交供应商或制造商应同样提供免费电话咨询服务；承诺提供产品上门维修服务时只收取维修配件费，不收其他费用。常用的、容易损坏的维修配件的价格清单须在响应文件中列出。</w:t>
      </w:r>
    </w:p>
    <w:p w14:paraId="21F178F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（三）备品备件及易损件</w:t>
      </w:r>
    </w:p>
    <w:p w14:paraId="3047AAF2">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bookmarkStart w:id="54" w:name="_Toc946"/>
      <w:bookmarkStart w:id="55" w:name="_Toc7930"/>
      <w:bookmarkStart w:id="56" w:name="_Toc31777"/>
      <w:r>
        <w:rPr>
          <w:rFonts w:hint="eastAsia" w:ascii="黑体" w:hAnsi="黑体" w:eastAsia="黑体" w:cs="黑体"/>
          <w:sz w:val="24"/>
          <w:szCs w:val="24"/>
          <w:lang w:val="en-US" w:eastAsia="zh-CN"/>
        </w:rPr>
        <w:t>成交供应商提供的售后服务中，维修使用的备品备件及易损件应为原厂配件，未经采购人同意不得使用非原厂配件。</w:t>
      </w:r>
      <w:bookmarkEnd w:id="54"/>
      <w:bookmarkEnd w:id="55"/>
      <w:bookmarkEnd w:id="56"/>
    </w:p>
    <w:p w14:paraId="16911F3A">
      <w:pPr>
        <w:pStyle w:val="4"/>
        <w:pageBreakBefore w:val="0"/>
        <w:widowControl w:val="0"/>
        <w:numPr>
          <w:ilvl w:val="0"/>
          <w:numId w:val="7"/>
        </w:numPr>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57" w:name="_Toc14602"/>
      <w:r>
        <w:rPr>
          <w:rFonts w:hint="eastAsia" w:ascii="黑体" w:hAnsi="黑体" w:eastAsia="黑体" w:cs="黑体"/>
          <w:b/>
          <w:bCs/>
          <w:sz w:val="24"/>
          <w:lang w:val="en-US" w:eastAsia="zh-CN"/>
        </w:rPr>
        <w:t>踏勘</w:t>
      </w:r>
    </w:p>
    <w:p w14:paraId="09F72D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w:t>
      </w:r>
      <w:r>
        <w:rPr>
          <w:rFonts w:hint="eastAsia" w:ascii="黑体" w:hAnsi="黑体" w:eastAsia="黑体" w:cs="黑体"/>
          <w:kern w:val="2"/>
          <w:sz w:val="24"/>
          <w:szCs w:val="24"/>
          <w:lang w:val="en-US" w:eastAsia="zh-CN" w:bidi="ar-SA"/>
        </w:rPr>
        <w:t>供应商自行组织踏勘现场，现场踏勘应充分了解项目位置、运行情况、周边环境、装卸限制及任何其他足以影响报价的情况，任何因忽视或误解项目情况而导致的服务不达标或服务期延长的，供应商自行承担相关责任，项目实施时不得影响周边居民的正常生活。供应商踏勘现场时若发生安全事故，后果自负。</w:t>
      </w:r>
    </w:p>
    <w:p w14:paraId="7D7626E4">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r>
        <w:rPr>
          <w:rFonts w:hint="eastAsia" w:ascii="黑体" w:hAnsi="黑体" w:eastAsia="黑体" w:cs="黑体"/>
          <w:b/>
          <w:bCs/>
          <w:sz w:val="24"/>
          <w:lang w:val="en-US" w:eastAsia="zh-CN"/>
        </w:rPr>
        <w:t>七、培训</w:t>
      </w:r>
      <w:bookmarkEnd w:id="57"/>
    </w:p>
    <w:p w14:paraId="05877D27">
      <w:pPr>
        <w:pageBreakBefore w:val="0"/>
        <w:widowControl w:val="0"/>
        <w:kinsoku/>
        <w:overflowPunct/>
        <w:topLinePunct w:val="0"/>
        <w:autoSpaceDE/>
        <w:autoSpaceDN/>
        <w:bidi w:val="0"/>
        <w:spacing w:line="360" w:lineRule="auto"/>
        <w:ind w:firstLine="480" w:firstLineChars="200"/>
        <w:rPr>
          <w:rFonts w:hint="eastAsia" w:ascii="黑体" w:hAnsi="黑体" w:eastAsia="黑体" w:cs="黑体"/>
          <w:lang w:val="en-US" w:eastAsia="zh-CN"/>
        </w:rPr>
      </w:pPr>
      <w:r>
        <w:rPr>
          <w:rFonts w:hint="eastAsia" w:ascii="黑体" w:hAnsi="黑体" w:eastAsia="黑体" w:cs="黑体"/>
          <w:sz w:val="24"/>
          <w:lang w:val="en-US" w:eastAsia="zh-CN"/>
        </w:rPr>
        <w:t>成交供应商对其提供产品的使用和操作应尽培训义务。成交供应商应提供对采购人的基本免费培训，使采购人使用人员能够正常操作。</w:t>
      </w:r>
    </w:p>
    <w:bookmarkEnd w:id="41"/>
    <w:bookmarkEnd w:id="42"/>
    <w:bookmarkEnd w:id="43"/>
    <w:bookmarkEnd w:id="44"/>
    <w:bookmarkEnd w:id="45"/>
    <w:p w14:paraId="744A6D63">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58" w:name="_Toc8544"/>
      <w:bookmarkStart w:id="59" w:name="_Toc24751"/>
      <w:bookmarkStart w:id="60" w:name="_Toc65660346"/>
      <w:bookmarkStart w:id="61" w:name="_Toc28880"/>
      <w:bookmarkStart w:id="62" w:name="_Toc7228"/>
      <w:bookmarkStart w:id="63" w:name="_Toc3786"/>
      <w:r>
        <w:rPr>
          <w:rFonts w:hint="eastAsia" w:ascii="黑体" w:hAnsi="黑体" w:eastAsia="黑体" w:cs="黑体"/>
          <w:b/>
          <w:bCs/>
          <w:sz w:val="24"/>
          <w:lang w:val="en-US" w:eastAsia="zh-CN"/>
        </w:rPr>
        <w:t>八、违约责任</w:t>
      </w:r>
      <w:bookmarkEnd w:id="58"/>
    </w:p>
    <w:p w14:paraId="5586BDDC">
      <w:pPr>
        <w:pageBreakBefore w:val="0"/>
        <w:widowControl w:val="0"/>
        <w:numPr>
          <w:ilvl w:val="0"/>
          <w:numId w:val="0"/>
        </w:numPr>
        <w:kinsoku/>
        <w:wordWrap w:val="0"/>
        <w:overflowPunct/>
        <w:topLinePunct w:val="0"/>
        <w:autoSpaceDE/>
        <w:autoSpaceDN/>
        <w:bidi w:val="0"/>
        <w:spacing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成交供应商未在约定期限完成供货、</w:t>
      </w:r>
      <w:r>
        <w:rPr>
          <w:rFonts w:hint="eastAsia" w:ascii="黑体" w:hAnsi="黑体" w:eastAsia="黑体" w:cs="黑体"/>
          <w:sz w:val="24"/>
          <w:szCs w:val="24"/>
          <w:lang w:eastAsia="zh-CN"/>
        </w:rPr>
        <w:t>安装调试</w:t>
      </w:r>
      <w:r>
        <w:rPr>
          <w:rFonts w:hint="eastAsia" w:ascii="黑体" w:hAnsi="黑体" w:eastAsia="黑体" w:cs="黑体"/>
          <w:sz w:val="24"/>
          <w:szCs w:val="24"/>
          <w:lang w:val="en-US" w:eastAsia="zh-CN"/>
        </w:rPr>
        <w:t>及</w:t>
      </w:r>
      <w:r>
        <w:rPr>
          <w:rFonts w:hint="eastAsia" w:ascii="黑体" w:hAnsi="黑体" w:eastAsia="黑体" w:cs="黑体"/>
          <w:sz w:val="24"/>
          <w:szCs w:val="24"/>
          <w:lang w:eastAsia="zh-CN"/>
        </w:rPr>
        <w:t>通过验收</w:t>
      </w:r>
      <w:r>
        <w:rPr>
          <w:rFonts w:hint="eastAsia" w:ascii="黑体" w:hAnsi="黑体" w:eastAsia="黑体" w:cs="黑体"/>
          <w:sz w:val="24"/>
          <w:szCs w:val="24"/>
          <w:lang w:val="en-US" w:eastAsia="zh-CN"/>
        </w:rPr>
        <w:t>的，延迟每日支付千分之三的违约金，超过30日未能交付，采购人有权解除合同；验收不合格及使用中发现产品质量缺陷，采购人有权要求成交供应商整改，整改期限为10日，整改期限届满仍未完成的成交供应商每日支付千分之三的违约金，超过20日未能完成整改，采购人有权解除合同；因不能按期交付，整改期限届满以及其他原因导致采购人解除合同，以及成交供应商明确表示终止合同，成交供应商需承担合同总金额30%的违约金，并承担对采购人造成的损失；所投产品须为正规合格全新产品，后期发现或鉴定为假冒伪劣产品供应商需承担合同总金额100%的违约金，同时承担对采购人造成的损失。</w:t>
      </w:r>
    </w:p>
    <w:p w14:paraId="63535F0A">
      <w:pPr>
        <w:pageBreakBefore w:val="0"/>
        <w:widowControl w:val="0"/>
        <w:numPr>
          <w:ilvl w:val="0"/>
          <w:numId w:val="0"/>
        </w:numPr>
        <w:kinsoku/>
        <w:wordWrap w:val="0"/>
        <w:overflowPunct/>
        <w:topLinePunct w:val="0"/>
        <w:autoSpaceDE/>
        <w:autoSpaceDN/>
        <w:bidi w:val="0"/>
        <w:spacing w:line="360" w:lineRule="auto"/>
        <w:ind w:firstLine="480" w:firstLineChars="200"/>
        <w:rPr>
          <w:rFonts w:hint="eastAsia" w:ascii="黑体" w:hAnsi="黑体" w:eastAsia="黑体" w:cs="黑体"/>
          <w:sz w:val="24"/>
          <w:szCs w:val="24"/>
          <w:lang w:val="en-US" w:eastAsia="zh-CN"/>
        </w:rPr>
      </w:pPr>
    </w:p>
    <w:p w14:paraId="2238E1D5">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64" w:name="_Toc29059"/>
      <w:r>
        <w:rPr>
          <w:rFonts w:hint="eastAsia" w:ascii="黑体" w:hAnsi="黑体" w:eastAsia="黑体" w:cs="黑体"/>
          <w:b/>
          <w:bCs/>
          <w:sz w:val="24"/>
          <w:lang w:val="en-US" w:eastAsia="zh-CN"/>
        </w:rPr>
        <w:t>九、其他要求</w:t>
      </w:r>
      <w:bookmarkEnd w:id="64"/>
    </w:p>
    <w:bookmarkEnd w:id="59"/>
    <w:bookmarkEnd w:id="60"/>
    <w:bookmarkEnd w:id="61"/>
    <w:bookmarkEnd w:id="62"/>
    <w:bookmarkEnd w:id="63"/>
    <w:p w14:paraId="55E5F7B1">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lang w:val="en-US" w:eastAsia="zh-CN"/>
        </w:rPr>
      </w:pPr>
      <w:bookmarkStart w:id="65" w:name="_Toc8088"/>
      <w:bookmarkStart w:id="66" w:name="_Toc8170"/>
      <w:bookmarkStart w:id="67" w:name="_Toc922"/>
      <w:bookmarkStart w:id="68" w:name="_Toc17447"/>
      <w:bookmarkStart w:id="69" w:name="_Toc10677"/>
      <w:bookmarkStart w:id="70" w:name="_Toc7799"/>
      <w:bookmarkStart w:id="71" w:name="_Toc12224"/>
      <w:r>
        <w:rPr>
          <w:rFonts w:hint="eastAsia" w:ascii="黑体" w:hAnsi="黑体" w:eastAsia="黑体" w:cs="黑体"/>
          <w:sz w:val="24"/>
          <w:lang w:val="en-US" w:eastAsia="zh-CN"/>
        </w:rPr>
        <w:t>（一）供应商必须在响应文件中对以上条款和服务承诺明确列出，承诺内容必须达到本篇以上条款的要求；</w:t>
      </w:r>
      <w:bookmarkEnd w:id="65"/>
      <w:bookmarkEnd w:id="66"/>
      <w:bookmarkEnd w:id="67"/>
    </w:p>
    <w:p w14:paraId="6F5DD0BD">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lang w:val="en-US" w:eastAsia="zh-CN"/>
        </w:rPr>
      </w:pPr>
      <w:bookmarkStart w:id="72" w:name="_Toc19467"/>
      <w:bookmarkStart w:id="73" w:name="_Toc1879"/>
      <w:bookmarkStart w:id="74" w:name="_Toc22281"/>
      <w:r>
        <w:rPr>
          <w:rFonts w:hint="eastAsia" w:ascii="黑体" w:hAnsi="黑体" w:eastAsia="黑体" w:cs="黑体"/>
          <w:sz w:val="24"/>
          <w:lang w:val="en-US" w:eastAsia="zh-CN"/>
        </w:rPr>
        <w:t>（二）其他未尽事宜由供需双方在采购合同中详细约定。</w:t>
      </w:r>
      <w:bookmarkEnd w:id="68"/>
      <w:bookmarkEnd w:id="69"/>
      <w:bookmarkEnd w:id="70"/>
      <w:bookmarkEnd w:id="71"/>
      <w:bookmarkEnd w:id="72"/>
      <w:bookmarkEnd w:id="73"/>
      <w:bookmarkEnd w:id="74"/>
    </w:p>
    <w:p w14:paraId="09AB97EB">
      <w:pPr>
        <w:rPr>
          <w:rFonts w:hint="eastAsia" w:ascii="黑体" w:hAnsi="黑体" w:eastAsia="黑体" w:cs="黑体"/>
          <w:sz w:val="24"/>
          <w:lang w:val="en-US" w:eastAsia="zh-CN"/>
        </w:rPr>
      </w:pPr>
      <w:r>
        <w:rPr>
          <w:rFonts w:hint="eastAsia" w:ascii="黑体" w:hAnsi="黑体" w:eastAsia="黑体" w:cs="黑体"/>
          <w:sz w:val="24"/>
          <w:lang w:val="en-US" w:eastAsia="zh-CN"/>
        </w:rPr>
        <w:br w:type="page"/>
      </w:r>
    </w:p>
    <w:p w14:paraId="6C07BB21">
      <w:pPr>
        <w:rPr>
          <w:rFonts w:hint="eastAsia" w:ascii="黑体" w:hAnsi="黑体" w:eastAsia="黑体" w:cs="黑体"/>
          <w:lang w:val="en-US" w:eastAsia="zh-CN"/>
        </w:rPr>
      </w:pPr>
    </w:p>
    <w:p w14:paraId="5B21D782">
      <w:pPr>
        <w:pStyle w:val="28"/>
        <w:rPr>
          <w:rFonts w:hint="eastAsia" w:ascii="黑体" w:hAnsi="黑体" w:eastAsia="黑体" w:cs="黑体"/>
          <w:color w:val="auto"/>
          <w:sz w:val="24"/>
          <w:szCs w:val="24"/>
          <w:highlight w:val="none"/>
        </w:rPr>
      </w:pPr>
    </w:p>
    <w:bookmarkEnd w:id="24"/>
    <w:bookmarkEnd w:id="25"/>
    <w:bookmarkEnd w:id="26"/>
    <w:p w14:paraId="118F9790">
      <w:pPr>
        <w:pStyle w:val="3"/>
        <w:spacing w:before="0" w:beforeLines="0" w:after="0" w:afterLines="0" w:line="360" w:lineRule="auto"/>
        <w:rPr>
          <w:rFonts w:hint="eastAsia" w:ascii="黑体" w:hAnsi="黑体" w:eastAsia="黑体" w:cs="黑体"/>
          <w:b/>
          <w:color w:val="auto"/>
          <w:highlight w:val="none"/>
        </w:rPr>
      </w:pPr>
      <w:r>
        <w:rPr>
          <w:rFonts w:hint="eastAsia" w:ascii="黑体" w:hAnsi="黑体" w:eastAsia="黑体" w:cs="黑体"/>
          <w:b/>
          <w:color w:val="auto"/>
          <w:highlight w:val="none"/>
        </w:rPr>
        <w:t xml:space="preserve"> </w:t>
      </w:r>
      <w:bookmarkStart w:id="75" w:name="_Toc11271"/>
      <w:r>
        <w:rPr>
          <w:rFonts w:hint="eastAsia" w:ascii="黑体" w:hAnsi="黑体" w:eastAsia="黑体" w:cs="黑体"/>
          <w:b/>
          <w:color w:val="auto"/>
          <w:highlight w:val="none"/>
        </w:rPr>
        <w:t>第四篇  资格审查及评标办法</w:t>
      </w:r>
      <w:bookmarkEnd w:id="75"/>
    </w:p>
    <w:p w14:paraId="58ABD5E3">
      <w:pPr>
        <w:pStyle w:val="4"/>
        <w:spacing w:line="400" w:lineRule="exact"/>
        <w:ind w:firstLine="482" w:firstLineChars="200"/>
        <w:rPr>
          <w:rFonts w:hint="eastAsia" w:ascii="黑体" w:hAnsi="黑体" w:eastAsia="黑体" w:cs="黑体"/>
          <w:b/>
          <w:color w:val="auto"/>
          <w:sz w:val="24"/>
          <w:szCs w:val="24"/>
          <w:highlight w:val="none"/>
          <w:lang w:val="zh-TW" w:eastAsia="zh-TW"/>
        </w:rPr>
      </w:pPr>
      <w:bookmarkStart w:id="76" w:name="_Toc8528"/>
      <w:bookmarkStart w:id="77" w:name="_Toc21963"/>
      <w:bookmarkStart w:id="78" w:name="_Toc12759"/>
      <w:bookmarkStart w:id="79" w:name="_Toc23536"/>
      <w:bookmarkStart w:id="80" w:name="_Toc4537"/>
      <w:bookmarkStart w:id="81" w:name="_Toc5292"/>
      <w:bookmarkStart w:id="82" w:name="_Toc29933"/>
      <w:bookmarkStart w:id="83" w:name="_Toc32708"/>
      <w:r>
        <w:rPr>
          <w:rFonts w:hint="eastAsia" w:ascii="黑体" w:hAnsi="黑体" w:eastAsia="黑体" w:cs="黑体"/>
          <w:b/>
          <w:color w:val="auto"/>
          <w:sz w:val="24"/>
          <w:szCs w:val="24"/>
          <w:highlight w:val="none"/>
          <w:lang w:val="zh-TW" w:eastAsia="zh-TW"/>
        </w:rPr>
        <w:t>一、</w:t>
      </w:r>
      <w:bookmarkEnd w:id="76"/>
      <w:bookmarkEnd w:id="77"/>
      <w:bookmarkEnd w:id="78"/>
      <w:bookmarkEnd w:id="79"/>
      <w:bookmarkEnd w:id="80"/>
      <w:bookmarkEnd w:id="81"/>
      <w:r>
        <w:rPr>
          <w:rFonts w:hint="eastAsia" w:ascii="黑体" w:hAnsi="黑体" w:eastAsia="黑体" w:cs="黑体"/>
          <w:b/>
          <w:color w:val="auto"/>
          <w:sz w:val="24"/>
          <w:szCs w:val="24"/>
          <w:highlight w:val="none"/>
          <w:lang w:val="zh-TW" w:eastAsia="zh-TW"/>
        </w:rPr>
        <w:t>资格审查及符合性审查</w:t>
      </w:r>
      <w:bookmarkEnd w:id="82"/>
      <w:bookmarkEnd w:id="83"/>
    </w:p>
    <w:p w14:paraId="06C81A01">
      <w:p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TW"/>
        </w:rPr>
      </w:pPr>
      <w:r>
        <w:rPr>
          <w:rStyle w:val="26"/>
          <w:rFonts w:hint="eastAsia" w:ascii="黑体" w:hAnsi="黑体" w:eastAsia="黑体" w:cs="黑体"/>
          <w:color w:val="auto"/>
          <w:sz w:val="24"/>
          <w:szCs w:val="24"/>
          <w:highlight w:val="none"/>
          <w:u w:val="none" w:color="000000"/>
          <w:lang w:val="zh-TW" w:eastAsia="zh-TW"/>
        </w:rPr>
        <w:t>评标工作由</w:t>
      </w:r>
      <w:r>
        <w:rPr>
          <w:rStyle w:val="26"/>
          <w:rFonts w:hint="eastAsia" w:ascii="黑体" w:hAnsi="黑体" w:eastAsia="黑体" w:cs="黑体"/>
          <w:color w:val="auto"/>
          <w:sz w:val="24"/>
          <w:szCs w:val="24"/>
          <w:highlight w:val="none"/>
          <w:u w:val="none" w:color="000000"/>
          <w:lang w:val="en-US" w:eastAsia="zh-CN"/>
        </w:rPr>
        <w:t>代理机构</w:t>
      </w:r>
      <w:r>
        <w:rPr>
          <w:rStyle w:val="26"/>
          <w:rFonts w:hint="eastAsia" w:ascii="黑体" w:hAnsi="黑体" w:eastAsia="黑体" w:cs="黑体"/>
          <w:color w:val="auto"/>
          <w:sz w:val="24"/>
          <w:szCs w:val="24"/>
          <w:highlight w:val="none"/>
          <w:u w:val="none" w:color="000000"/>
          <w:lang w:val="zh-TW" w:eastAsia="zh-TW"/>
        </w:rPr>
        <w:t>负责组织，具体评标事务由</w:t>
      </w:r>
      <w:r>
        <w:rPr>
          <w:rStyle w:val="26"/>
          <w:rFonts w:hint="eastAsia" w:ascii="黑体" w:hAnsi="黑体" w:eastAsia="黑体" w:cs="黑体"/>
          <w:color w:val="auto"/>
          <w:sz w:val="24"/>
          <w:szCs w:val="24"/>
          <w:highlight w:val="none"/>
          <w:u w:val="none" w:color="000000"/>
          <w:lang w:val="en-US" w:eastAsia="zh-CN"/>
        </w:rPr>
        <w:t>采购人</w:t>
      </w:r>
      <w:r>
        <w:rPr>
          <w:rStyle w:val="26"/>
          <w:rFonts w:hint="eastAsia" w:ascii="黑体" w:hAnsi="黑体" w:eastAsia="黑体" w:cs="黑体"/>
          <w:color w:val="auto"/>
          <w:sz w:val="24"/>
          <w:szCs w:val="24"/>
          <w:highlight w:val="none"/>
          <w:u w:val="none" w:color="000000"/>
          <w:lang w:val="zh-TW" w:eastAsia="zh-TW"/>
        </w:rPr>
        <w:t>依法组建的评标委员会负责。</w:t>
      </w:r>
    </w:p>
    <w:p w14:paraId="5B13B629">
      <w:p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TW"/>
        </w:rPr>
      </w:pPr>
      <w:r>
        <w:rPr>
          <w:rStyle w:val="26"/>
          <w:rFonts w:hint="eastAsia" w:ascii="黑体" w:hAnsi="黑体" w:eastAsia="黑体" w:cs="黑体"/>
          <w:color w:val="auto"/>
          <w:sz w:val="24"/>
          <w:szCs w:val="24"/>
          <w:highlight w:val="none"/>
          <w:u w:val="none" w:color="000000"/>
          <w:lang w:val="zh-TW" w:eastAsia="zh-TW"/>
        </w:rPr>
        <w:t>评标委员会成员到位后，推举其中一位评审专家担任评审组长，并由评审组长牵头组织该项目评审工作。评标委员会按以下程序独立履行评审职责：</w:t>
      </w:r>
    </w:p>
    <w:p w14:paraId="3202BCB2">
      <w:pPr>
        <w:pStyle w:val="4"/>
        <w:spacing w:line="400" w:lineRule="exact"/>
        <w:ind w:firstLine="482" w:firstLineChars="200"/>
        <w:rPr>
          <w:rFonts w:hint="eastAsia" w:ascii="黑体" w:hAnsi="黑体" w:eastAsia="黑体" w:cs="黑体"/>
          <w:b/>
          <w:color w:val="auto"/>
          <w:sz w:val="24"/>
          <w:szCs w:val="24"/>
          <w:highlight w:val="none"/>
          <w:lang w:val="zh-TW" w:eastAsia="zh-TW"/>
        </w:rPr>
      </w:pPr>
      <w:bookmarkStart w:id="84" w:name="_Toc10902"/>
      <w:bookmarkStart w:id="85" w:name="_Toc32364"/>
      <w:r>
        <w:rPr>
          <w:rFonts w:hint="eastAsia" w:ascii="黑体" w:hAnsi="黑体" w:eastAsia="黑体" w:cs="黑体"/>
          <w:b/>
          <w:color w:val="auto"/>
          <w:sz w:val="24"/>
          <w:szCs w:val="24"/>
          <w:highlight w:val="none"/>
          <w:lang w:val="zh-TW" w:eastAsia="zh-CN"/>
        </w:rPr>
        <w:t>（</w:t>
      </w:r>
      <w:r>
        <w:rPr>
          <w:rFonts w:hint="eastAsia" w:ascii="黑体" w:hAnsi="黑体" w:eastAsia="黑体" w:cs="黑体"/>
          <w:b/>
          <w:color w:val="auto"/>
          <w:sz w:val="24"/>
          <w:szCs w:val="24"/>
          <w:highlight w:val="none"/>
          <w:lang w:val="en-US" w:eastAsia="zh-CN"/>
        </w:rPr>
        <w:t>一</w:t>
      </w:r>
      <w:r>
        <w:rPr>
          <w:rFonts w:hint="eastAsia" w:ascii="黑体" w:hAnsi="黑体" w:eastAsia="黑体" w:cs="黑体"/>
          <w:b/>
          <w:color w:val="auto"/>
          <w:sz w:val="24"/>
          <w:szCs w:val="24"/>
          <w:highlight w:val="none"/>
          <w:lang w:val="zh-TW" w:eastAsia="zh-CN"/>
        </w:rPr>
        <w:t>）</w:t>
      </w:r>
      <w:r>
        <w:rPr>
          <w:rFonts w:hint="eastAsia" w:ascii="黑体" w:hAnsi="黑体" w:eastAsia="黑体" w:cs="黑体"/>
          <w:b/>
          <w:color w:val="auto"/>
          <w:sz w:val="24"/>
          <w:szCs w:val="24"/>
          <w:highlight w:val="none"/>
          <w:lang w:val="zh-TW" w:eastAsia="zh-TW"/>
        </w:rPr>
        <w:t>资格审查</w:t>
      </w:r>
      <w:bookmarkEnd w:id="84"/>
      <w:bookmarkEnd w:id="85"/>
    </w:p>
    <w:p w14:paraId="54874F6D">
      <w:pPr>
        <w:numPr>
          <w:ilvl w:val="0"/>
          <w:numId w:val="0"/>
        </w:num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TW"/>
        </w:rPr>
      </w:pPr>
      <w:r>
        <w:rPr>
          <w:rStyle w:val="26"/>
          <w:rFonts w:hint="eastAsia" w:ascii="黑体" w:hAnsi="黑体" w:eastAsia="黑体" w:cs="黑体"/>
          <w:color w:val="auto"/>
          <w:sz w:val="24"/>
          <w:szCs w:val="24"/>
          <w:highlight w:val="none"/>
          <w:u w:val="none" w:color="000000"/>
          <w:lang w:val="zh-TW" w:eastAsia="zh-TW"/>
        </w:rPr>
        <w:t>依据法律法规和</w:t>
      </w:r>
      <w:r>
        <w:rPr>
          <w:rStyle w:val="26"/>
          <w:rFonts w:hint="eastAsia" w:ascii="黑体" w:hAnsi="黑体" w:eastAsia="黑体" w:cs="黑体"/>
          <w:color w:val="auto"/>
          <w:sz w:val="24"/>
          <w:szCs w:val="24"/>
          <w:highlight w:val="none"/>
          <w:u w:val="none" w:color="000000"/>
          <w:lang w:val="zh-TW" w:eastAsia="zh-CN"/>
        </w:rPr>
        <w:t>竞争性比选文件</w:t>
      </w:r>
      <w:r>
        <w:rPr>
          <w:rStyle w:val="26"/>
          <w:rFonts w:hint="eastAsia" w:ascii="黑体" w:hAnsi="黑体" w:eastAsia="黑体" w:cs="黑体"/>
          <w:color w:val="auto"/>
          <w:sz w:val="24"/>
          <w:szCs w:val="24"/>
          <w:highlight w:val="none"/>
          <w:u w:val="none" w:color="000000"/>
          <w:lang w:val="zh-TW" w:eastAsia="zh-TW"/>
        </w:rPr>
        <w:t>的规定，对</w:t>
      </w:r>
      <w:r>
        <w:rPr>
          <w:rStyle w:val="26"/>
          <w:rFonts w:hint="eastAsia" w:ascii="黑体" w:hAnsi="黑体" w:eastAsia="黑体" w:cs="黑体"/>
          <w:color w:val="auto"/>
          <w:sz w:val="24"/>
          <w:szCs w:val="24"/>
          <w:highlight w:val="none"/>
          <w:u w:val="none" w:color="000000"/>
          <w:lang w:val="zh-TW" w:eastAsia="zh-CN"/>
        </w:rPr>
        <w:t>响应文件</w:t>
      </w:r>
      <w:r>
        <w:rPr>
          <w:rStyle w:val="26"/>
          <w:rFonts w:hint="eastAsia" w:ascii="黑体" w:hAnsi="黑体" w:eastAsia="黑体" w:cs="黑体"/>
          <w:color w:val="auto"/>
          <w:sz w:val="24"/>
          <w:szCs w:val="24"/>
          <w:highlight w:val="none"/>
          <w:u w:val="none" w:color="000000"/>
          <w:lang w:val="zh-TW" w:eastAsia="zh-TW"/>
        </w:rPr>
        <w:t>中的资格证明进行审查，以确定</w:t>
      </w:r>
      <w:r>
        <w:rPr>
          <w:rStyle w:val="26"/>
          <w:rFonts w:hint="eastAsia" w:ascii="黑体" w:hAnsi="黑体" w:eastAsia="黑体" w:cs="黑体"/>
          <w:color w:val="auto"/>
          <w:sz w:val="24"/>
          <w:szCs w:val="24"/>
          <w:highlight w:val="none"/>
          <w:u w:val="none" w:color="000000"/>
          <w:lang w:val="zh-TW" w:eastAsia="zh-CN"/>
        </w:rPr>
        <w:t>供应商</w:t>
      </w:r>
      <w:r>
        <w:rPr>
          <w:rStyle w:val="26"/>
          <w:rFonts w:hint="eastAsia" w:ascii="黑体" w:hAnsi="黑体" w:eastAsia="黑体" w:cs="黑体"/>
          <w:color w:val="auto"/>
          <w:sz w:val="24"/>
          <w:szCs w:val="24"/>
          <w:highlight w:val="none"/>
          <w:u w:val="none" w:color="000000"/>
          <w:lang w:val="zh-TW" w:eastAsia="zh-TW"/>
        </w:rPr>
        <w:t>是否具备</w:t>
      </w:r>
      <w:r>
        <w:rPr>
          <w:rStyle w:val="26"/>
          <w:rFonts w:hint="eastAsia" w:ascii="黑体" w:hAnsi="黑体" w:eastAsia="黑体" w:cs="黑体"/>
          <w:color w:val="auto"/>
          <w:sz w:val="24"/>
          <w:szCs w:val="24"/>
          <w:highlight w:val="none"/>
          <w:u w:val="none" w:color="000000"/>
          <w:lang w:val="zh-TW" w:eastAsia="zh-CN"/>
        </w:rPr>
        <w:t>投标</w:t>
      </w:r>
      <w:r>
        <w:rPr>
          <w:rStyle w:val="26"/>
          <w:rFonts w:hint="eastAsia" w:ascii="黑体" w:hAnsi="黑体" w:eastAsia="黑体" w:cs="黑体"/>
          <w:color w:val="auto"/>
          <w:sz w:val="24"/>
          <w:szCs w:val="24"/>
          <w:highlight w:val="none"/>
          <w:u w:val="none" w:color="000000"/>
          <w:lang w:val="zh-TW" w:eastAsia="zh-TW"/>
        </w:rPr>
        <w:t>资格。资格性检查资料表如下：</w:t>
      </w:r>
    </w:p>
    <w:tbl>
      <w:tblPr>
        <w:tblStyle w:val="23"/>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173B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23DB7BB1">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5102" w:type="dxa"/>
            <w:gridSpan w:val="2"/>
            <w:vAlign w:val="center"/>
          </w:tcPr>
          <w:p w14:paraId="0D0226C6">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检查因素</w:t>
            </w:r>
          </w:p>
        </w:tc>
        <w:tc>
          <w:tcPr>
            <w:tcW w:w="3850" w:type="dxa"/>
            <w:vAlign w:val="center"/>
          </w:tcPr>
          <w:p w14:paraId="79E84529">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检查内容</w:t>
            </w:r>
          </w:p>
        </w:tc>
      </w:tr>
      <w:tr w14:paraId="658E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5ACE3F5A">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09" w:type="dxa"/>
            <w:vMerge w:val="restart"/>
            <w:vAlign w:val="center"/>
          </w:tcPr>
          <w:p w14:paraId="6F013608">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供应商应符合的基本资格条件</w:t>
            </w:r>
          </w:p>
        </w:tc>
        <w:tc>
          <w:tcPr>
            <w:tcW w:w="4393" w:type="dxa"/>
            <w:vAlign w:val="center"/>
          </w:tcPr>
          <w:p w14:paraId="446F0312">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（1）具有独立承担民事责任的能力</w:t>
            </w:r>
          </w:p>
        </w:tc>
        <w:tc>
          <w:tcPr>
            <w:tcW w:w="3850" w:type="dxa"/>
            <w:vAlign w:val="center"/>
          </w:tcPr>
          <w:p w14:paraId="4E360092">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 xml:space="preserve">1.供应商法人营业执照（副本）或事业单位法人证书（副本）或个体工商户营业执照或有效的自然人身份证明或社会团体法人登记证书（提供复印件）。 </w:t>
            </w:r>
          </w:p>
          <w:p w14:paraId="19B736DD">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2.供应商法定代表人身份证明和法定代表人授权代表委托书。</w:t>
            </w:r>
          </w:p>
        </w:tc>
      </w:tr>
      <w:tr w14:paraId="233B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064B80B">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7417BA66">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53FD593B">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（2）</w:t>
            </w:r>
            <w:r>
              <w:rPr>
                <w:rFonts w:hint="eastAsia" w:ascii="黑体" w:hAnsi="黑体" w:eastAsia="黑体" w:cs="黑体"/>
                <w:color w:val="auto"/>
                <w:sz w:val="24"/>
                <w:szCs w:val="24"/>
                <w:highlight w:val="none"/>
                <w:lang w:eastAsia="zh-CN"/>
              </w:rPr>
              <w:t>具有良好的商业信誉和健全的财务会计制度</w:t>
            </w:r>
          </w:p>
        </w:tc>
        <w:tc>
          <w:tcPr>
            <w:tcW w:w="3850" w:type="dxa"/>
            <w:vMerge w:val="restart"/>
            <w:vAlign w:val="center"/>
          </w:tcPr>
          <w:p w14:paraId="1B763156">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供应商提供基本资格条件承诺函（见格式文件）</w:t>
            </w:r>
          </w:p>
        </w:tc>
      </w:tr>
      <w:tr w14:paraId="07F5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B672A87">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737D92B9">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130E359F">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（3）具有履行合同所必需的设备和专业技术能力</w:t>
            </w:r>
          </w:p>
        </w:tc>
        <w:tc>
          <w:tcPr>
            <w:tcW w:w="3850" w:type="dxa"/>
            <w:vMerge w:val="continue"/>
            <w:vAlign w:val="center"/>
          </w:tcPr>
          <w:p w14:paraId="67196DBF">
            <w:pPr>
              <w:spacing w:line="240" w:lineRule="exact"/>
              <w:rPr>
                <w:rFonts w:hint="eastAsia" w:ascii="黑体" w:hAnsi="黑体" w:eastAsia="黑体" w:cs="黑体"/>
                <w:color w:val="auto"/>
                <w:sz w:val="24"/>
                <w:szCs w:val="24"/>
                <w:highlight w:val="none"/>
                <w:lang w:eastAsia="zh-CN"/>
              </w:rPr>
            </w:pPr>
          </w:p>
        </w:tc>
      </w:tr>
      <w:tr w14:paraId="4F0D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09829AD">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7D837085">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211306DE">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（4）有依法缴纳税收和社会保障金的良好记录</w:t>
            </w:r>
          </w:p>
        </w:tc>
        <w:tc>
          <w:tcPr>
            <w:tcW w:w="3850" w:type="dxa"/>
            <w:vMerge w:val="continue"/>
            <w:vAlign w:val="center"/>
          </w:tcPr>
          <w:p w14:paraId="1B9F6A19">
            <w:pPr>
              <w:spacing w:line="240" w:lineRule="exact"/>
              <w:rPr>
                <w:rFonts w:hint="eastAsia" w:ascii="黑体" w:hAnsi="黑体" w:eastAsia="黑体" w:cs="黑体"/>
                <w:color w:val="auto"/>
                <w:sz w:val="24"/>
                <w:szCs w:val="24"/>
                <w:highlight w:val="none"/>
                <w:lang w:eastAsia="zh-CN"/>
              </w:rPr>
            </w:pPr>
          </w:p>
        </w:tc>
      </w:tr>
      <w:tr w14:paraId="16B4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C1D8F47">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4E28B0B5">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18E4D6CD">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（5）参加招投标活动前三年内，在经营活动中没有重大违法记录</w:t>
            </w:r>
          </w:p>
        </w:tc>
        <w:tc>
          <w:tcPr>
            <w:tcW w:w="3850" w:type="dxa"/>
            <w:vMerge w:val="continue"/>
            <w:vAlign w:val="center"/>
          </w:tcPr>
          <w:p w14:paraId="0F9DB374">
            <w:pPr>
              <w:spacing w:line="240" w:lineRule="exact"/>
              <w:rPr>
                <w:rFonts w:hint="eastAsia" w:ascii="黑体" w:hAnsi="黑体" w:eastAsia="黑体" w:cs="黑体"/>
                <w:color w:val="auto"/>
                <w:sz w:val="24"/>
                <w:szCs w:val="24"/>
                <w:highlight w:val="none"/>
                <w:lang w:val="zh-CN" w:eastAsia="zh-CN"/>
              </w:rPr>
            </w:pPr>
          </w:p>
        </w:tc>
      </w:tr>
      <w:tr w14:paraId="26F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F1BDFD7">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5102" w:type="dxa"/>
            <w:gridSpan w:val="2"/>
            <w:vAlign w:val="center"/>
          </w:tcPr>
          <w:p w14:paraId="6F7F2D1C">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特定资格条件</w:t>
            </w:r>
          </w:p>
        </w:tc>
        <w:tc>
          <w:tcPr>
            <w:tcW w:w="3850" w:type="dxa"/>
            <w:vAlign w:val="center"/>
          </w:tcPr>
          <w:p w14:paraId="75BE8C80">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按第一篇“三、供应商资格条件（二）特定资格条件”的要求提交</w:t>
            </w:r>
          </w:p>
        </w:tc>
      </w:tr>
    </w:tbl>
    <w:p w14:paraId="15E07F07">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注：</w:t>
      </w:r>
    </w:p>
    <w:p w14:paraId="68384E4C">
      <w:pPr>
        <w:numPr>
          <w:ilvl w:val="0"/>
          <w:numId w:val="0"/>
        </w:num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CN"/>
        </w:rPr>
      </w:pPr>
      <w:r>
        <w:rPr>
          <w:rStyle w:val="26"/>
          <w:rFonts w:hint="eastAsia" w:ascii="黑体" w:hAnsi="黑体" w:eastAsia="黑体" w:cs="黑体"/>
          <w:color w:val="auto"/>
          <w:sz w:val="24"/>
          <w:szCs w:val="24"/>
          <w:highlight w:val="none"/>
          <w:u w:val="none" w:color="000000"/>
          <w:lang w:val="zh-TW" w:eastAsia="zh-CN"/>
        </w:rPr>
        <w:fldChar w:fldCharType="begin"/>
      </w:r>
      <w:r>
        <w:rPr>
          <w:rStyle w:val="26"/>
          <w:rFonts w:hint="eastAsia" w:ascii="黑体" w:hAnsi="黑体" w:eastAsia="黑体" w:cs="黑体"/>
          <w:color w:val="auto"/>
          <w:sz w:val="24"/>
          <w:szCs w:val="24"/>
          <w:highlight w:val="none"/>
          <w:u w:val="none" w:color="000000"/>
          <w:lang w:val="zh-TW" w:eastAsia="zh-CN"/>
        </w:rPr>
        <w:instrText xml:space="preserve"> eq \o\ac(○,1)</w:instrText>
      </w:r>
      <w:r>
        <w:rPr>
          <w:rStyle w:val="26"/>
          <w:rFonts w:hint="eastAsia" w:ascii="黑体" w:hAnsi="黑体" w:eastAsia="黑体" w:cs="黑体"/>
          <w:color w:val="auto"/>
          <w:sz w:val="24"/>
          <w:szCs w:val="24"/>
          <w:highlight w:val="none"/>
          <w:u w:val="none" w:color="000000"/>
          <w:lang w:val="zh-TW" w:eastAsia="zh-CN"/>
        </w:rPr>
        <w:fldChar w:fldCharType="end"/>
      </w:r>
      <w:r>
        <w:rPr>
          <w:rStyle w:val="26"/>
          <w:rFonts w:hint="eastAsia" w:ascii="黑体" w:hAnsi="黑体" w:eastAsia="黑体" w:cs="黑体"/>
          <w:color w:val="auto"/>
          <w:sz w:val="24"/>
          <w:szCs w:val="24"/>
          <w:highlight w:val="none"/>
          <w:u w:val="none" w:color="000000"/>
          <w:lang w:val="zh-TW" w:eastAsia="zh-CN"/>
        </w:rPr>
        <w:t>供应商按“五证合一”登记制度办理营业执照的，组织机构代码证和税务登记证（副本）以供应商所提供的营业执照（副本）复印件为准。</w:t>
      </w:r>
    </w:p>
    <w:p w14:paraId="5DC5B3BE">
      <w:pPr>
        <w:numPr>
          <w:ilvl w:val="0"/>
          <w:numId w:val="0"/>
        </w:num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CN"/>
        </w:rPr>
      </w:pPr>
      <w:r>
        <w:rPr>
          <w:rStyle w:val="26"/>
          <w:rFonts w:hint="eastAsia" w:ascii="黑体" w:hAnsi="黑体" w:eastAsia="黑体" w:cs="黑体"/>
          <w:color w:val="auto"/>
          <w:sz w:val="24"/>
          <w:szCs w:val="24"/>
          <w:highlight w:val="none"/>
          <w:u w:val="none" w:color="000000"/>
          <w:lang w:val="zh-TW" w:eastAsia="zh-CN"/>
        </w:rPr>
        <w:fldChar w:fldCharType="begin"/>
      </w:r>
      <w:r>
        <w:rPr>
          <w:rStyle w:val="26"/>
          <w:rFonts w:hint="eastAsia" w:ascii="黑体" w:hAnsi="黑体" w:eastAsia="黑体" w:cs="黑体"/>
          <w:color w:val="auto"/>
          <w:sz w:val="24"/>
          <w:szCs w:val="24"/>
          <w:highlight w:val="none"/>
          <w:u w:val="none" w:color="000000"/>
          <w:lang w:val="zh-TW" w:eastAsia="zh-CN"/>
        </w:rPr>
        <w:instrText xml:space="preserve"> eq \o\ac(○,2)</w:instrText>
      </w:r>
      <w:r>
        <w:rPr>
          <w:rStyle w:val="26"/>
          <w:rFonts w:hint="eastAsia" w:ascii="黑体" w:hAnsi="黑体" w:eastAsia="黑体" w:cs="黑体"/>
          <w:color w:val="auto"/>
          <w:sz w:val="24"/>
          <w:szCs w:val="24"/>
          <w:highlight w:val="none"/>
          <w:u w:val="none" w:color="000000"/>
          <w:lang w:val="zh-TW" w:eastAsia="zh-CN"/>
        </w:rPr>
        <w:fldChar w:fldCharType="end"/>
      </w:r>
      <w:r>
        <w:rPr>
          <w:rStyle w:val="26"/>
          <w:rFonts w:hint="eastAsia" w:ascii="黑体" w:hAnsi="黑体" w:eastAsia="黑体" w:cs="黑体"/>
          <w:color w:val="auto"/>
          <w:sz w:val="24"/>
          <w:szCs w:val="24"/>
          <w:highlight w:val="none"/>
          <w:u w:val="none" w:color="000000"/>
          <w:lang w:val="zh-TW"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3D4FCFB">
      <w:pPr>
        <w:numPr>
          <w:ilvl w:val="0"/>
          <w:numId w:val="8"/>
        </w:numPr>
        <w:snapToGrid w:val="0"/>
        <w:spacing w:line="400" w:lineRule="exact"/>
        <w:rPr>
          <w:rFonts w:hint="eastAsia" w:ascii="黑体" w:hAnsi="黑体" w:eastAsia="黑体" w:cs="黑体"/>
          <w:b/>
          <w:color w:val="auto"/>
          <w:kern w:val="2"/>
          <w:sz w:val="24"/>
          <w:szCs w:val="24"/>
          <w:highlight w:val="none"/>
          <w:lang w:val="zh-TW" w:eastAsia="zh-CN" w:bidi="ar-SA"/>
        </w:rPr>
      </w:pPr>
      <w:r>
        <w:rPr>
          <w:rFonts w:hint="eastAsia" w:ascii="黑体" w:hAnsi="黑体" w:eastAsia="黑体" w:cs="黑体"/>
          <w:b/>
          <w:color w:val="auto"/>
          <w:kern w:val="2"/>
          <w:sz w:val="24"/>
          <w:szCs w:val="24"/>
          <w:highlight w:val="none"/>
          <w:lang w:val="zh-TW" w:eastAsia="zh-CN" w:bidi="ar-SA"/>
        </w:rPr>
        <w:t>符合性检查。</w:t>
      </w:r>
    </w:p>
    <w:p w14:paraId="2F4848FA">
      <w:pPr>
        <w:numPr>
          <w:ilvl w:val="0"/>
          <w:numId w:val="0"/>
        </w:num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依据竞争性比选文件的规定，从响应文件的有效性、完整性和对竞争性比选文件的响应程度进行审查，以确定是否对竞争性比选文件的实质性要求作出响应。</w:t>
      </w:r>
      <w:r>
        <w:rPr>
          <w:rFonts w:hint="eastAsia" w:ascii="黑体" w:hAnsi="黑体" w:eastAsia="黑体" w:cs="黑体"/>
          <w:color w:val="auto"/>
          <w:sz w:val="24"/>
          <w:szCs w:val="24"/>
          <w:highlight w:val="none"/>
        </w:rPr>
        <w:t>符合性检查资料表如下：</w:t>
      </w:r>
    </w:p>
    <w:tbl>
      <w:tblPr>
        <w:tblStyle w:val="23"/>
        <w:tblW w:w="96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4A86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C34834D">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3546" w:type="dxa"/>
            <w:gridSpan w:val="2"/>
            <w:vAlign w:val="center"/>
          </w:tcPr>
          <w:p w14:paraId="2F1F7ADC">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评审因素</w:t>
            </w:r>
          </w:p>
        </w:tc>
        <w:tc>
          <w:tcPr>
            <w:tcW w:w="5409" w:type="dxa"/>
            <w:vAlign w:val="center"/>
          </w:tcPr>
          <w:p w14:paraId="58FD543C">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评审标准</w:t>
            </w:r>
          </w:p>
        </w:tc>
      </w:tr>
      <w:tr w14:paraId="170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restart"/>
            <w:vAlign w:val="center"/>
          </w:tcPr>
          <w:p w14:paraId="2B5598B4">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562" w:type="dxa"/>
            <w:vMerge w:val="restart"/>
            <w:vAlign w:val="center"/>
          </w:tcPr>
          <w:p w14:paraId="1EB02AF9">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有效性审查</w:t>
            </w:r>
          </w:p>
        </w:tc>
        <w:tc>
          <w:tcPr>
            <w:tcW w:w="1984" w:type="dxa"/>
            <w:vAlign w:val="center"/>
          </w:tcPr>
          <w:p w14:paraId="63FA18F1">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签署</w:t>
            </w:r>
          </w:p>
        </w:tc>
        <w:tc>
          <w:tcPr>
            <w:tcW w:w="5409" w:type="dxa"/>
            <w:vAlign w:val="center"/>
          </w:tcPr>
          <w:p w14:paraId="2811F880">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响应文件上法定代表人或其授权代表人的签字齐全。</w:t>
            </w:r>
          </w:p>
        </w:tc>
      </w:tr>
      <w:tr w14:paraId="4510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5" w:type="dxa"/>
            <w:vMerge w:val="continue"/>
            <w:vAlign w:val="center"/>
          </w:tcPr>
          <w:p w14:paraId="600EFB96">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1FA2E9D8">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2FBEC80C">
            <w:pPr>
              <w:spacing w:line="2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投标方案</w:t>
            </w:r>
          </w:p>
        </w:tc>
        <w:tc>
          <w:tcPr>
            <w:tcW w:w="5409" w:type="dxa"/>
            <w:vAlign w:val="center"/>
          </w:tcPr>
          <w:p w14:paraId="6D7316C4">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每个分包只能有一个方案投标。</w:t>
            </w:r>
          </w:p>
        </w:tc>
      </w:tr>
      <w:tr w14:paraId="504F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5" w:type="dxa"/>
            <w:vMerge w:val="continue"/>
            <w:vAlign w:val="center"/>
          </w:tcPr>
          <w:p w14:paraId="2577A1C4">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27AB8B48">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28F3B9F8">
            <w:pPr>
              <w:spacing w:line="2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rPr>
              <w:t>报价唯一</w:t>
            </w:r>
          </w:p>
        </w:tc>
        <w:tc>
          <w:tcPr>
            <w:tcW w:w="5409" w:type="dxa"/>
            <w:vAlign w:val="center"/>
          </w:tcPr>
          <w:p w14:paraId="1F04BA02">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只能在预算金额和最高限价内报价，</w:t>
            </w:r>
            <w:r>
              <w:rPr>
                <w:rFonts w:hint="eastAsia" w:ascii="黑体" w:hAnsi="黑体" w:eastAsia="黑体" w:cs="黑体"/>
                <w:color w:val="auto"/>
                <w:sz w:val="24"/>
                <w:szCs w:val="24"/>
                <w:highlight w:val="none"/>
                <w:lang w:eastAsia="zh-CN"/>
              </w:rPr>
              <w:t>只能有一个有效报价，不得提交选择性报价。</w:t>
            </w:r>
          </w:p>
        </w:tc>
      </w:tr>
      <w:tr w14:paraId="29AE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5" w:type="dxa"/>
            <w:vAlign w:val="center"/>
          </w:tcPr>
          <w:p w14:paraId="76CB0C8F">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562" w:type="dxa"/>
            <w:vAlign w:val="center"/>
          </w:tcPr>
          <w:p w14:paraId="7ECB4FCF">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完整性审查</w:t>
            </w:r>
          </w:p>
        </w:tc>
        <w:tc>
          <w:tcPr>
            <w:tcW w:w="1984" w:type="dxa"/>
            <w:vAlign w:val="center"/>
          </w:tcPr>
          <w:p w14:paraId="38DD0C1B">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响应文件份数</w:t>
            </w:r>
          </w:p>
        </w:tc>
        <w:tc>
          <w:tcPr>
            <w:tcW w:w="5409" w:type="dxa"/>
            <w:vAlign w:val="center"/>
          </w:tcPr>
          <w:p w14:paraId="7004211D">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响应文件</w:t>
            </w:r>
            <w:r>
              <w:rPr>
                <w:rFonts w:hint="eastAsia" w:ascii="黑体" w:hAnsi="黑体" w:eastAsia="黑体" w:cs="黑体"/>
                <w:color w:val="auto"/>
                <w:sz w:val="24"/>
                <w:szCs w:val="24"/>
                <w:highlight w:val="none"/>
                <w:lang w:val="en-US" w:eastAsia="zh-CN"/>
              </w:rPr>
              <w:t>应答完整，</w:t>
            </w:r>
            <w:r>
              <w:rPr>
                <w:rFonts w:hint="eastAsia" w:ascii="黑体" w:hAnsi="黑体" w:eastAsia="黑体" w:cs="黑体"/>
                <w:color w:val="auto"/>
                <w:sz w:val="24"/>
                <w:szCs w:val="24"/>
                <w:highlight w:val="none"/>
                <w:lang w:val="zh-CN" w:eastAsia="zh-CN"/>
              </w:rPr>
              <w:t>正、副本数量（含电子文档）符合竞争性比选文件要求。</w:t>
            </w:r>
          </w:p>
        </w:tc>
      </w:tr>
      <w:tr w14:paraId="65FE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75" w:type="dxa"/>
            <w:vMerge w:val="restart"/>
            <w:vAlign w:val="center"/>
          </w:tcPr>
          <w:p w14:paraId="6F6617FE">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562" w:type="dxa"/>
            <w:vMerge w:val="restart"/>
            <w:vAlign w:val="center"/>
          </w:tcPr>
          <w:p w14:paraId="3471EA03">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响应性审查</w:t>
            </w:r>
          </w:p>
        </w:tc>
        <w:tc>
          <w:tcPr>
            <w:tcW w:w="1984" w:type="dxa"/>
            <w:vAlign w:val="center"/>
          </w:tcPr>
          <w:p w14:paraId="7BECD0F5">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内容</w:t>
            </w:r>
          </w:p>
        </w:tc>
        <w:tc>
          <w:tcPr>
            <w:tcW w:w="5409" w:type="dxa"/>
            <w:vAlign w:val="center"/>
          </w:tcPr>
          <w:p w14:paraId="17A38B78">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满足竞争性比选文件</w:t>
            </w:r>
            <w:r>
              <w:rPr>
                <w:rFonts w:hint="eastAsia" w:ascii="黑体" w:hAnsi="黑体" w:eastAsia="黑体" w:cs="黑体"/>
                <w:color w:val="auto"/>
                <w:sz w:val="24"/>
                <w:szCs w:val="24"/>
                <w:highlight w:val="none"/>
                <w:lang w:val="en-US" w:eastAsia="zh-CN"/>
              </w:rPr>
              <w:t>第二篇、</w:t>
            </w:r>
            <w:r>
              <w:rPr>
                <w:rFonts w:hint="eastAsia" w:ascii="黑体" w:hAnsi="黑体" w:eastAsia="黑体" w:cs="黑体"/>
                <w:color w:val="auto"/>
                <w:sz w:val="24"/>
                <w:szCs w:val="24"/>
                <w:highlight w:val="none"/>
                <w:lang w:eastAsia="zh-CN"/>
              </w:rPr>
              <w:t>第三篇中</w:t>
            </w:r>
            <w:r>
              <w:rPr>
                <w:rFonts w:hint="eastAsia" w:ascii="黑体" w:hAnsi="黑体" w:eastAsia="黑体" w:cs="黑体"/>
                <w:color w:val="auto"/>
                <w:sz w:val="24"/>
                <w:szCs w:val="24"/>
                <w:highlight w:val="none"/>
                <w:lang w:val="en-US" w:eastAsia="zh-CN"/>
              </w:rPr>
              <w:t>的</w:t>
            </w:r>
            <w:r>
              <w:rPr>
                <w:rFonts w:hint="eastAsia" w:ascii="黑体" w:hAnsi="黑体" w:eastAsia="黑体" w:cs="黑体"/>
                <w:color w:val="auto"/>
                <w:sz w:val="24"/>
                <w:szCs w:val="24"/>
                <w:highlight w:val="none"/>
                <w:lang w:eastAsia="zh-CN"/>
              </w:rPr>
              <w:t>要求</w:t>
            </w:r>
          </w:p>
        </w:tc>
      </w:tr>
      <w:tr w14:paraId="6248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vAlign w:val="center"/>
          </w:tcPr>
          <w:p w14:paraId="2E36661D">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6ECB056D">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36F43723">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内容</w:t>
            </w:r>
          </w:p>
        </w:tc>
        <w:tc>
          <w:tcPr>
            <w:tcW w:w="5409" w:type="dxa"/>
            <w:vAlign w:val="center"/>
          </w:tcPr>
          <w:p w14:paraId="29D238BB">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投标有效期为投标截止日期后</w:t>
            </w:r>
            <w:r>
              <w:rPr>
                <w:rFonts w:hint="eastAsia" w:ascii="黑体" w:hAnsi="黑体" w:eastAsia="黑体" w:cs="黑体"/>
                <w:color w:val="auto"/>
                <w:sz w:val="24"/>
                <w:szCs w:val="24"/>
                <w:highlight w:val="none"/>
                <w:lang w:val="en-US" w:eastAsia="zh-CN"/>
              </w:rPr>
              <w:t>90</w:t>
            </w:r>
            <w:r>
              <w:rPr>
                <w:rFonts w:hint="eastAsia" w:ascii="黑体" w:hAnsi="黑体" w:eastAsia="黑体" w:cs="黑体"/>
                <w:color w:val="auto"/>
                <w:sz w:val="24"/>
                <w:szCs w:val="24"/>
                <w:highlight w:val="none"/>
                <w:lang w:eastAsia="zh-CN"/>
              </w:rPr>
              <w:t>天内</w:t>
            </w:r>
          </w:p>
        </w:tc>
      </w:tr>
    </w:tbl>
    <w:p w14:paraId="67401C69">
      <w:pPr>
        <w:numPr>
          <w:ilvl w:val="0"/>
          <w:numId w:val="0"/>
        </w:numPr>
        <w:snapToGrid w:val="0"/>
        <w:spacing w:line="400" w:lineRule="exact"/>
        <w:rPr>
          <w:rFonts w:hint="eastAsia" w:ascii="黑体" w:hAnsi="黑体" w:eastAsia="黑体" w:cs="黑体"/>
          <w:b/>
          <w:color w:val="auto"/>
          <w:kern w:val="2"/>
          <w:sz w:val="24"/>
          <w:szCs w:val="24"/>
          <w:highlight w:val="none"/>
          <w:lang w:val="zh-TW" w:eastAsia="zh-CN" w:bidi="ar-SA"/>
        </w:rPr>
      </w:pPr>
      <w:bookmarkStart w:id="86" w:name="_Toc25341"/>
      <w:bookmarkStart w:id="87" w:name="_Toc31997"/>
      <w:bookmarkStart w:id="88" w:name="_Toc14824"/>
      <w:bookmarkStart w:id="89" w:name="_Toc106030395"/>
      <w:bookmarkStart w:id="90" w:name="_Toc28549"/>
      <w:bookmarkStart w:id="91" w:name="_Toc27633"/>
      <w:bookmarkStart w:id="92" w:name="_Toc75793519"/>
      <w:bookmarkStart w:id="93" w:name="_Toc20171"/>
      <w:bookmarkStart w:id="94" w:name="_Toc26796"/>
      <w:bookmarkStart w:id="95" w:name="_Toc27015"/>
      <w:bookmarkStart w:id="96" w:name="_Toc21650"/>
      <w:bookmarkStart w:id="97" w:name="_Toc5620"/>
      <w:bookmarkStart w:id="98" w:name="_Toc29140"/>
      <w:bookmarkStart w:id="99" w:name="_Toc9094"/>
      <w:bookmarkStart w:id="100" w:name="_Toc30717"/>
      <w:bookmarkStart w:id="101" w:name="_Toc30011"/>
      <w:bookmarkStart w:id="102" w:name="_Toc492721017"/>
      <w:bookmarkStart w:id="103" w:name="_Toc267320057"/>
      <w:bookmarkStart w:id="104" w:name="_Toc31522"/>
      <w:bookmarkStart w:id="105" w:name="_Toc13296"/>
      <w:bookmarkStart w:id="106" w:name="_Toc9183"/>
      <w:bookmarkStart w:id="107" w:name="_Toc8267"/>
      <w:r>
        <w:rPr>
          <w:rFonts w:hint="eastAsia" w:ascii="黑体" w:hAnsi="黑体" w:eastAsia="黑体" w:cs="黑体"/>
          <w:b/>
          <w:color w:val="auto"/>
          <w:kern w:val="2"/>
          <w:sz w:val="24"/>
          <w:szCs w:val="24"/>
          <w:highlight w:val="none"/>
          <w:lang w:val="zh-TW" w:eastAsia="zh-CN" w:bidi="ar-SA"/>
        </w:rPr>
        <w:t>二、评标方法</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56F2253">
      <w:pPr>
        <w:snapToGrid w:val="0"/>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一</w:t>
      </w:r>
      <w:r>
        <w:rPr>
          <w:rFonts w:hint="eastAsia" w:ascii="黑体" w:hAnsi="黑体" w:eastAsia="黑体" w:cs="黑体"/>
          <w:kern w:val="0"/>
          <w:sz w:val="24"/>
          <w:szCs w:val="24"/>
          <w:lang w:eastAsia="zh-CN"/>
        </w:rPr>
        <w:t>）</w:t>
      </w:r>
      <w:r>
        <w:rPr>
          <w:rFonts w:hint="eastAsia" w:ascii="黑体" w:hAnsi="黑体" w:eastAsia="黑体" w:cs="黑体"/>
          <w:kern w:val="0"/>
          <w:sz w:val="24"/>
          <w:szCs w:val="24"/>
        </w:rPr>
        <w:t>本项目采用最低评标价法进行评标。最低评标价法，是指</w:t>
      </w:r>
      <w:r>
        <w:rPr>
          <w:rFonts w:hint="eastAsia" w:ascii="黑体" w:hAnsi="黑体" w:eastAsia="黑体" w:cs="黑体"/>
          <w:kern w:val="0"/>
          <w:sz w:val="24"/>
          <w:szCs w:val="24"/>
          <w:lang w:eastAsia="zh-CN"/>
        </w:rPr>
        <w:t>响应文件</w:t>
      </w:r>
      <w:r>
        <w:rPr>
          <w:rFonts w:hint="eastAsia" w:ascii="黑体" w:hAnsi="黑体" w:eastAsia="黑体" w:cs="黑体"/>
          <w:kern w:val="0"/>
          <w:sz w:val="24"/>
          <w:szCs w:val="24"/>
        </w:rPr>
        <w:t>满足</w:t>
      </w:r>
      <w:r>
        <w:rPr>
          <w:rFonts w:hint="eastAsia" w:ascii="黑体" w:hAnsi="黑体" w:eastAsia="黑体" w:cs="黑体"/>
          <w:kern w:val="0"/>
          <w:sz w:val="24"/>
          <w:szCs w:val="24"/>
          <w:lang w:eastAsia="zh-CN"/>
        </w:rPr>
        <w:t>比选文件</w:t>
      </w:r>
      <w:r>
        <w:rPr>
          <w:rFonts w:hint="eastAsia" w:ascii="黑体" w:hAnsi="黑体" w:eastAsia="黑体" w:cs="黑体"/>
          <w:kern w:val="0"/>
          <w:sz w:val="24"/>
          <w:szCs w:val="24"/>
        </w:rPr>
        <w:t>全部实质性要求且投标报价最低的</w:t>
      </w:r>
      <w:r>
        <w:rPr>
          <w:rFonts w:hint="eastAsia" w:ascii="黑体" w:hAnsi="黑体" w:eastAsia="黑体" w:cs="黑体"/>
          <w:kern w:val="0"/>
          <w:sz w:val="24"/>
          <w:szCs w:val="24"/>
          <w:lang w:eastAsia="zh-CN"/>
        </w:rPr>
        <w:t>供应商</w:t>
      </w:r>
      <w:r>
        <w:rPr>
          <w:rFonts w:hint="eastAsia" w:ascii="黑体" w:hAnsi="黑体" w:eastAsia="黑体" w:cs="黑体"/>
          <w:kern w:val="0"/>
          <w:sz w:val="24"/>
          <w:szCs w:val="24"/>
        </w:rPr>
        <w:t>为中标候选人的评标方法。</w:t>
      </w:r>
    </w:p>
    <w:p w14:paraId="24380DD9">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二</w:t>
      </w:r>
      <w:r>
        <w:rPr>
          <w:rFonts w:hint="eastAsia" w:ascii="黑体" w:hAnsi="黑体" w:eastAsia="黑体" w:cs="黑体"/>
          <w:sz w:val="24"/>
          <w:szCs w:val="24"/>
          <w:lang w:eastAsia="zh-CN"/>
        </w:rPr>
        <w:t>）</w:t>
      </w:r>
      <w:r>
        <w:rPr>
          <w:rFonts w:hint="eastAsia" w:ascii="黑体" w:hAnsi="黑体" w:eastAsia="黑体" w:cs="黑体"/>
          <w:sz w:val="24"/>
          <w:szCs w:val="24"/>
        </w:rPr>
        <w:t>澄清有关问题。对</w:t>
      </w:r>
      <w:r>
        <w:rPr>
          <w:rFonts w:hint="eastAsia" w:ascii="黑体" w:hAnsi="黑体" w:eastAsia="黑体" w:cs="黑体"/>
          <w:sz w:val="24"/>
          <w:szCs w:val="24"/>
          <w:lang w:val="en-US" w:eastAsia="zh-CN"/>
        </w:rPr>
        <w:t>响应</w:t>
      </w:r>
      <w:r>
        <w:rPr>
          <w:rFonts w:hint="eastAsia" w:ascii="黑体" w:hAnsi="黑体" w:eastAsia="黑体" w:cs="黑体"/>
          <w:sz w:val="24"/>
          <w:szCs w:val="24"/>
        </w:rPr>
        <w:t>文件中含义不明确、同类问题表述不一致或者有明显文字和计算错误的内容，评标委员会可以书面形式（应当由评标委员会成员签字）要求</w:t>
      </w:r>
      <w:r>
        <w:rPr>
          <w:rFonts w:hint="eastAsia" w:ascii="黑体" w:hAnsi="黑体" w:eastAsia="黑体" w:cs="黑体"/>
          <w:sz w:val="24"/>
          <w:szCs w:val="24"/>
          <w:lang w:eastAsia="zh-CN"/>
        </w:rPr>
        <w:t>供应商</w:t>
      </w:r>
      <w:r>
        <w:rPr>
          <w:rFonts w:hint="eastAsia" w:ascii="黑体" w:hAnsi="黑体" w:eastAsia="黑体" w:cs="黑体"/>
          <w:sz w:val="24"/>
          <w:szCs w:val="24"/>
        </w:rPr>
        <w:t>作出必要澄清、说明或者纠正。</w:t>
      </w:r>
      <w:r>
        <w:rPr>
          <w:rFonts w:hint="eastAsia" w:ascii="黑体" w:hAnsi="黑体" w:eastAsia="黑体" w:cs="黑体"/>
          <w:sz w:val="24"/>
          <w:szCs w:val="24"/>
          <w:lang w:eastAsia="zh-CN"/>
        </w:rPr>
        <w:t>供应商</w:t>
      </w:r>
      <w:r>
        <w:rPr>
          <w:rFonts w:hint="eastAsia" w:ascii="黑体" w:hAnsi="黑体" w:eastAsia="黑体" w:cs="黑体"/>
          <w:sz w:val="24"/>
          <w:szCs w:val="24"/>
        </w:rPr>
        <w:t>的澄清、说明或者补正应当采用书面形式，由其法定代表人（或其授权代表）或自然人（</w:t>
      </w:r>
      <w:r>
        <w:rPr>
          <w:rFonts w:hint="eastAsia" w:ascii="黑体" w:hAnsi="黑体" w:eastAsia="黑体" w:cs="黑体"/>
          <w:sz w:val="24"/>
          <w:szCs w:val="24"/>
          <w:lang w:eastAsia="zh-CN"/>
        </w:rPr>
        <w:t>供应商</w:t>
      </w:r>
      <w:r>
        <w:rPr>
          <w:rFonts w:hint="eastAsia" w:ascii="黑体" w:hAnsi="黑体" w:eastAsia="黑体" w:cs="黑体"/>
          <w:sz w:val="24"/>
          <w:szCs w:val="24"/>
        </w:rPr>
        <w:t>为自然人）签字，其澄清的内容不得超出</w:t>
      </w:r>
      <w:r>
        <w:rPr>
          <w:rFonts w:hint="eastAsia" w:ascii="黑体" w:hAnsi="黑体" w:eastAsia="黑体" w:cs="黑体"/>
          <w:sz w:val="24"/>
          <w:szCs w:val="24"/>
          <w:lang w:val="en-US" w:eastAsia="zh-CN"/>
        </w:rPr>
        <w:t>比选</w:t>
      </w:r>
      <w:r>
        <w:rPr>
          <w:rFonts w:hint="eastAsia" w:ascii="黑体" w:hAnsi="黑体" w:eastAsia="黑体" w:cs="黑体"/>
          <w:sz w:val="24"/>
          <w:szCs w:val="24"/>
        </w:rPr>
        <w:t>文件的范围或者改变</w:t>
      </w:r>
      <w:r>
        <w:rPr>
          <w:rFonts w:hint="eastAsia" w:ascii="黑体" w:hAnsi="黑体" w:eastAsia="黑体" w:cs="黑体"/>
          <w:sz w:val="24"/>
          <w:szCs w:val="24"/>
          <w:lang w:val="en-US" w:eastAsia="zh-CN"/>
        </w:rPr>
        <w:t>响应</w:t>
      </w:r>
      <w:r>
        <w:rPr>
          <w:rFonts w:hint="eastAsia" w:ascii="黑体" w:hAnsi="黑体" w:eastAsia="黑体" w:cs="黑体"/>
          <w:sz w:val="24"/>
          <w:szCs w:val="24"/>
        </w:rPr>
        <w:t>文件的实质性内容。</w:t>
      </w:r>
    </w:p>
    <w:p w14:paraId="755F16F0">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三</w:t>
      </w:r>
      <w:r>
        <w:rPr>
          <w:rFonts w:hint="eastAsia" w:ascii="黑体" w:hAnsi="黑体" w:eastAsia="黑体" w:cs="黑体"/>
          <w:sz w:val="24"/>
          <w:szCs w:val="24"/>
        </w:rPr>
        <w:t>）比较与评价。按</w:t>
      </w:r>
      <w:r>
        <w:rPr>
          <w:rFonts w:hint="eastAsia" w:ascii="黑体" w:hAnsi="黑体" w:eastAsia="黑体" w:cs="黑体"/>
          <w:sz w:val="24"/>
          <w:szCs w:val="24"/>
          <w:lang w:eastAsia="zh-CN"/>
        </w:rPr>
        <w:t>比选文件</w:t>
      </w:r>
      <w:r>
        <w:rPr>
          <w:rFonts w:hint="eastAsia" w:ascii="黑体" w:hAnsi="黑体" w:eastAsia="黑体" w:cs="黑体"/>
          <w:sz w:val="24"/>
          <w:szCs w:val="24"/>
        </w:rPr>
        <w:t>中规定的评标方法和标准，对资格审查和符合性审查合格的</w:t>
      </w:r>
      <w:r>
        <w:rPr>
          <w:rFonts w:hint="eastAsia" w:ascii="黑体" w:hAnsi="黑体" w:eastAsia="黑体" w:cs="黑体"/>
          <w:sz w:val="24"/>
          <w:szCs w:val="24"/>
          <w:lang w:eastAsia="zh-CN"/>
        </w:rPr>
        <w:t>响应文件</w:t>
      </w:r>
      <w:r>
        <w:rPr>
          <w:rFonts w:hint="eastAsia" w:ascii="黑体" w:hAnsi="黑体" w:eastAsia="黑体" w:cs="黑体"/>
          <w:sz w:val="24"/>
          <w:szCs w:val="24"/>
        </w:rPr>
        <w:t>进行商务和技术评估。</w:t>
      </w:r>
    </w:p>
    <w:p w14:paraId="71E01519">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同一合同项（包）下为单一品目或非单一品目核心产品品牌的货物采购招标中，以其中通过资格审查、符合性审查且报价最低的参加评标；报价相同的，由采购人或者采购人委托评标委员会按照</w:t>
      </w:r>
      <w:r>
        <w:rPr>
          <w:rFonts w:hint="eastAsia" w:ascii="黑体" w:hAnsi="黑体" w:eastAsia="黑体" w:cs="黑体"/>
          <w:sz w:val="24"/>
          <w:szCs w:val="24"/>
          <w:lang w:eastAsia="zh-CN"/>
        </w:rPr>
        <w:t>比选文件</w:t>
      </w:r>
      <w:r>
        <w:rPr>
          <w:rFonts w:hint="eastAsia" w:ascii="黑体" w:hAnsi="黑体" w:eastAsia="黑体" w:cs="黑体"/>
          <w:sz w:val="24"/>
          <w:szCs w:val="24"/>
        </w:rPr>
        <w:t>规定的方式确定一个参加评标的</w:t>
      </w:r>
      <w:r>
        <w:rPr>
          <w:rFonts w:hint="eastAsia" w:ascii="黑体" w:hAnsi="黑体" w:eastAsia="黑体" w:cs="黑体"/>
          <w:sz w:val="24"/>
          <w:szCs w:val="24"/>
          <w:lang w:eastAsia="zh-CN"/>
        </w:rPr>
        <w:t>供应商</w:t>
      </w:r>
      <w:r>
        <w:rPr>
          <w:rFonts w:hint="eastAsia" w:ascii="黑体" w:hAnsi="黑体" w:eastAsia="黑体" w:cs="黑体"/>
          <w:sz w:val="24"/>
          <w:szCs w:val="24"/>
        </w:rPr>
        <w:t>，</w:t>
      </w:r>
      <w:r>
        <w:rPr>
          <w:rFonts w:hint="eastAsia" w:ascii="黑体" w:hAnsi="黑体" w:eastAsia="黑体" w:cs="黑体"/>
          <w:sz w:val="24"/>
          <w:szCs w:val="24"/>
          <w:lang w:eastAsia="zh-CN"/>
        </w:rPr>
        <w:t>比选文件</w:t>
      </w:r>
      <w:r>
        <w:rPr>
          <w:rFonts w:hint="eastAsia" w:ascii="黑体" w:hAnsi="黑体" w:eastAsia="黑体" w:cs="黑体"/>
          <w:sz w:val="24"/>
          <w:szCs w:val="24"/>
        </w:rPr>
        <w:t xml:space="preserve">未规定的采取随机抽取方式确定，其他投标无效。 </w:t>
      </w:r>
    </w:p>
    <w:p w14:paraId="052188C9">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四</w:t>
      </w:r>
      <w:r>
        <w:rPr>
          <w:rFonts w:hint="eastAsia" w:ascii="黑体" w:hAnsi="黑体" w:eastAsia="黑体" w:cs="黑体"/>
          <w:sz w:val="24"/>
          <w:szCs w:val="24"/>
        </w:rPr>
        <w:t>）推荐中标候选人名单。</w:t>
      </w:r>
    </w:p>
    <w:p w14:paraId="505CC1D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推荐</w:t>
      </w:r>
      <w:r>
        <w:rPr>
          <w:rFonts w:hint="eastAsia" w:ascii="黑体" w:hAnsi="黑体" w:eastAsia="黑体" w:cs="黑体"/>
          <w:sz w:val="24"/>
          <w:szCs w:val="24"/>
          <w:lang w:eastAsia="zh-CN"/>
        </w:rPr>
        <w:t>响应文件</w:t>
      </w:r>
      <w:r>
        <w:rPr>
          <w:rFonts w:hint="eastAsia" w:ascii="黑体" w:hAnsi="黑体" w:eastAsia="黑体" w:cs="黑体"/>
          <w:sz w:val="24"/>
          <w:szCs w:val="24"/>
        </w:rPr>
        <w:t>满足</w:t>
      </w:r>
      <w:r>
        <w:rPr>
          <w:rFonts w:hint="eastAsia" w:ascii="黑体" w:hAnsi="黑体" w:eastAsia="黑体" w:cs="黑体"/>
          <w:sz w:val="24"/>
          <w:szCs w:val="24"/>
          <w:lang w:eastAsia="zh-CN"/>
        </w:rPr>
        <w:t>比选文件</w:t>
      </w:r>
      <w:r>
        <w:rPr>
          <w:rFonts w:hint="eastAsia" w:ascii="黑体" w:hAnsi="黑体" w:eastAsia="黑体" w:cs="黑体"/>
          <w:sz w:val="24"/>
          <w:szCs w:val="24"/>
        </w:rPr>
        <w:t>全部实质性要求，并</w:t>
      </w:r>
      <w:r>
        <w:rPr>
          <w:rFonts w:hint="eastAsia" w:ascii="黑体" w:hAnsi="黑体" w:eastAsia="黑体" w:cs="黑体"/>
          <w:sz w:val="24"/>
          <w:szCs w:val="24"/>
          <w:lang w:val="en-US" w:eastAsia="zh-CN"/>
        </w:rPr>
        <w:t>按照</w:t>
      </w:r>
      <w:r>
        <w:rPr>
          <w:rFonts w:hint="eastAsia" w:ascii="黑体" w:hAnsi="黑体" w:eastAsia="黑体" w:cs="黑体"/>
          <w:sz w:val="24"/>
          <w:szCs w:val="24"/>
        </w:rPr>
        <w:t>价格由低到高的顺序排名前三的</w:t>
      </w:r>
      <w:r>
        <w:rPr>
          <w:rFonts w:hint="eastAsia" w:ascii="黑体" w:hAnsi="黑体" w:eastAsia="黑体" w:cs="黑体"/>
          <w:sz w:val="24"/>
          <w:szCs w:val="24"/>
          <w:lang w:val="en-US" w:eastAsia="zh-CN"/>
        </w:rPr>
        <w:t>供应商</w:t>
      </w:r>
      <w:r>
        <w:rPr>
          <w:rFonts w:hint="eastAsia" w:ascii="黑体" w:hAnsi="黑体" w:eastAsia="黑体" w:cs="黑体"/>
          <w:sz w:val="24"/>
          <w:szCs w:val="24"/>
        </w:rPr>
        <w:t>为中标候选人，其中排名第一的</w:t>
      </w:r>
      <w:r>
        <w:rPr>
          <w:rFonts w:hint="eastAsia" w:ascii="黑体" w:hAnsi="黑体" w:eastAsia="黑体" w:cs="黑体"/>
          <w:sz w:val="24"/>
          <w:szCs w:val="24"/>
          <w:lang w:val="en-US" w:eastAsia="zh-CN"/>
        </w:rPr>
        <w:t>供应商</w:t>
      </w:r>
      <w:r>
        <w:rPr>
          <w:rFonts w:hint="eastAsia" w:ascii="黑体" w:hAnsi="黑体" w:eastAsia="黑体" w:cs="黑体"/>
          <w:sz w:val="24"/>
          <w:szCs w:val="24"/>
        </w:rPr>
        <w:t>为第一中标候选人。</w:t>
      </w:r>
    </w:p>
    <w:p w14:paraId="51152028">
      <w:pPr>
        <w:pStyle w:val="4"/>
        <w:spacing w:line="400" w:lineRule="exact"/>
        <w:ind w:firstLine="480" w:firstLineChars="200"/>
        <w:rPr>
          <w:rFonts w:hint="eastAsia" w:ascii="黑体" w:hAnsi="黑体" w:eastAsia="黑体" w:cs="黑体"/>
          <w:sz w:val="24"/>
          <w:szCs w:val="24"/>
        </w:rPr>
      </w:pPr>
      <w:bookmarkStart w:id="108" w:name="_Toc22025"/>
      <w:bookmarkStart w:id="109" w:name="_Toc24721"/>
      <w:r>
        <w:rPr>
          <w:rFonts w:hint="eastAsia" w:ascii="黑体" w:hAnsi="黑体" w:eastAsia="黑体" w:cs="黑体"/>
          <w:sz w:val="24"/>
          <w:szCs w:val="24"/>
        </w:rPr>
        <w:t>评标结果按投标报价由低到高顺序排列，若投标报价相同的并列。</w:t>
      </w:r>
      <w:bookmarkEnd w:id="102"/>
      <w:bookmarkEnd w:id="103"/>
      <w:bookmarkEnd w:id="104"/>
      <w:bookmarkEnd w:id="105"/>
      <w:bookmarkEnd w:id="106"/>
      <w:bookmarkEnd w:id="107"/>
      <w:bookmarkEnd w:id="108"/>
      <w:bookmarkEnd w:id="109"/>
      <w:bookmarkStart w:id="110" w:name="_Toc12862"/>
      <w:bookmarkStart w:id="111" w:name="_Toc1175"/>
      <w:bookmarkStart w:id="112" w:name="_Toc11197"/>
      <w:bookmarkStart w:id="113" w:name="_Toc492721018"/>
      <w:bookmarkStart w:id="114" w:name="_Toc26976"/>
      <w:bookmarkStart w:id="115" w:name="_Toc11118"/>
    </w:p>
    <w:p w14:paraId="7757D6DA">
      <w:pPr>
        <w:numPr>
          <w:ilvl w:val="0"/>
          <w:numId w:val="0"/>
        </w:numPr>
        <w:snapToGrid w:val="0"/>
        <w:spacing w:line="400" w:lineRule="exact"/>
        <w:ind w:leftChars="0"/>
        <w:rPr>
          <w:rFonts w:hint="eastAsia" w:ascii="黑体" w:hAnsi="黑体" w:eastAsia="黑体" w:cs="黑体"/>
          <w:b/>
          <w:color w:val="auto"/>
          <w:kern w:val="2"/>
          <w:sz w:val="24"/>
          <w:szCs w:val="24"/>
          <w:highlight w:val="none"/>
          <w:lang w:val="zh-TW" w:eastAsia="zh-CN" w:bidi="ar-SA"/>
        </w:rPr>
      </w:pPr>
      <w:r>
        <w:rPr>
          <w:rFonts w:hint="eastAsia" w:ascii="黑体" w:hAnsi="黑体" w:eastAsia="黑体" w:cs="黑体"/>
          <w:b/>
          <w:color w:val="auto"/>
          <w:kern w:val="2"/>
          <w:sz w:val="24"/>
          <w:szCs w:val="24"/>
          <w:highlight w:val="none"/>
          <w:lang w:val="en-US" w:eastAsia="zh-CN" w:bidi="ar-SA"/>
        </w:rPr>
        <w:t>三、</w:t>
      </w:r>
      <w:r>
        <w:rPr>
          <w:rFonts w:hint="eastAsia" w:ascii="黑体" w:hAnsi="黑体" w:eastAsia="黑体" w:cs="黑体"/>
          <w:b/>
          <w:color w:val="auto"/>
          <w:kern w:val="2"/>
          <w:sz w:val="24"/>
          <w:szCs w:val="24"/>
          <w:highlight w:val="none"/>
          <w:lang w:val="zh-TW" w:eastAsia="zh-CN" w:bidi="ar-SA"/>
        </w:rPr>
        <w:t>评标标准</w:t>
      </w:r>
    </w:p>
    <w:p w14:paraId="5F61CAE1">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（一）关于技术（质量）、商务偏离</w:t>
      </w:r>
    </w:p>
    <w:p w14:paraId="5E7F939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eastAsia="zh-CN"/>
        </w:rPr>
        <w:t>响应文件</w:t>
      </w:r>
      <w:r>
        <w:rPr>
          <w:rFonts w:hint="eastAsia" w:ascii="黑体" w:hAnsi="黑体" w:eastAsia="黑体" w:cs="黑体"/>
          <w:sz w:val="24"/>
          <w:szCs w:val="24"/>
        </w:rPr>
        <w:t>投标应答有一条及以上不满足</w:t>
      </w:r>
      <w:r>
        <w:rPr>
          <w:rFonts w:hint="eastAsia" w:ascii="黑体" w:hAnsi="黑体" w:eastAsia="黑体" w:cs="黑体"/>
          <w:sz w:val="24"/>
          <w:szCs w:val="24"/>
          <w:lang w:eastAsia="zh-CN"/>
        </w:rPr>
        <w:t>比选文件</w:t>
      </w:r>
      <w:r>
        <w:rPr>
          <w:rFonts w:hint="eastAsia" w:ascii="黑体" w:hAnsi="黑体" w:eastAsia="黑体" w:cs="黑体"/>
          <w:sz w:val="24"/>
          <w:szCs w:val="24"/>
        </w:rPr>
        <w:t>“第二篇 项目技术（质量）需求”要求的，</w:t>
      </w:r>
      <w:r>
        <w:rPr>
          <w:rFonts w:hint="eastAsia" w:ascii="黑体" w:hAnsi="黑体" w:eastAsia="黑体" w:cs="黑体"/>
          <w:sz w:val="24"/>
          <w:szCs w:val="24"/>
          <w:lang w:eastAsia="zh-CN"/>
        </w:rPr>
        <w:t>供应商</w:t>
      </w:r>
      <w:r>
        <w:rPr>
          <w:rFonts w:hint="eastAsia" w:ascii="黑体" w:hAnsi="黑体" w:eastAsia="黑体" w:cs="黑体"/>
          <w:sz w:val="24"/>
          <w:szCs w:val="24"/>
        </w:rPr>
        <w:t>将失去成为中标候选人的资格；</w:t>
      </w:r>
    </w:p>
    <w:p w14:paraId="05E0AAA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w:t>
      </w:r>
      <w:r>
        <w:rPr>
          <w:rFonts w:hint="eastAsia" w:ascii="黑体" w:hAnsi="黑体" w:eastAsia="黑体" w:cs="黑体"/>
          <w:sz w:val="24"/>
          <w:szCs w:val="24"/>
          <w:lang w:eastAsia="zh-CN"/>
        </w:rPr>
        <w:t>响应文件</w:t>
      </w:r>
      <w:r>
        <w:rPr>
          <w:rFonts w:hint="eastAsia" w:ascii="黑体" w:hAnsi="黑体" w:eastAsia="黑体" w:cs="黑体"/>
          <w:sz w:val="24"/>
          <w:szCs w:val="24"/>
        </w:rPr>
        <w:t>投标应答有一条及以上不满足</w:t>
      </w:r>
      <w:r>
        <w:rPr>
          <w:rFonts w:hint="eastAsia" w:ascii="黑体" w:hAnsi="黑体" w:eastAsia="黑体" w:cs="黑体"/>
          <w:sz w:val="24"/>
          <w:szCs w:val="24"/>
          <w:lang w:eastAsia="zh-CN"/>
        </w:rPr>
        <w:t>比选文件</w:t>
      </w:r>
      <w:r>
        <w:rPr>
          <w:rFonts w:hint="eastAsia" w:ascii="黑体" w:hAnsi="黑体" w:eastAsia="黑体" w:cs="黑体"/>
          <w:sz w:val="24"/>
          <w:szCs w:val="24"/>
        </w:rPr>
        <w:t>“第三篇 项目商务需求”要求的，</w:t>
      </w:r>
      <w:r>
        <w:rPr>
          <w:rFonts w:hint="eastAsia" w:ascii="黑体" w:hAnsi="黑体" w:eastAsia="黑体" w:cs="黑体"/>
          <w:sz w:val="24"/>
          <w:szCs w:val="24"/>
          <w:lang w:eastAsia="zh-CN"/>
        </w:rPr>
        <w:t>供应商</w:t>
      </w:r>
      <w:r>
        <w:rPr>
          <w:rFonts w:hint="eastAsia" w:ascii="黑体" w:hAnsi="黑体" w:eastAsia="黑体" w:cs="黑体"/>
          <w:sz w:val="24"/>
          <w:szCs w:val="24"/>
        </w:rPr>
        <w:t>将失去成为中标候选人的资格；</w:t>
      </w:r>
    </w:p>
    <w:p w14:paraId="425119BC">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3. 评标委员会认为</w:t>
      </w:r>
      <w:r>
        <w:rPr>
          <w:rFonts w:hint="eastAsia" w:ascii="黑体" w:hAnsi="黑体" w:eastAsia="黑体" w:cs="黑体"/>
          <w:sz w:val="24"/>
          <w:szCs w:val="24"/>
          <w:lang w:eastAsia="zh-CN"/>
        </w:rPr>
        <w:t>供应商</w:t>
      </w:r>
      <w:r>
        <w:rPr>
          <w:rFonts w:hint="eastAsia" w:ascii="黑体" w:hAnsi="黑体" w:eastAsia="黑体" w:cs="黑体"/>
          <w:sz w:val="24"/>
          <w:szCs w:val="24"/>
        </w:rPr>
        <w:t>的报价明显低于其他通过符合性审查</w:t>
      </w:r>
      <w:r>
        <w:rPr>
          <w:rFonts w:hint="eastAsia" w:ascii="黑体" w:hAnsi="黑体" w:eastAsia="黑体" w:cs="黑体"/>
          <w:sz w:val="24"/>
          <w:szCs w:val="24"/>
          <w:lang w:eastAsia="zh-CN"/>
        </w:rPr>
        <w:t>供应商</w:t>
      </w:r>
      <w:r>
        <w:rPr>
          <w:rFonts w:hint="eastAsia" w:ascii="黑体" w:hAnsi="黑体" w:eastAsia="黑体" w:cs="黑体"/>
          <w:sz w:val="24"/>
          <w:szCs w:val="24"/>
        </w:rPr>
        <w:t>的报价，有可能影响产品质量或者不能诚信履约的，应当要求其在评标现场合理的时间内提供书面说明，必要时提交相关证明材料；</w:t>
      </w:r>
      <w:r>
        <w:rPr>
          <w:rFonts w:hint="eastAsia" w:ascii="黑体" w:hAnsi="黑体" w:eastAsia="黑体" w:cs="黑体"/>
          <w:sz w:val="24"/>
          <w:szCs w:val="24"/>
          <w:lang w:eastAsia="zh-CN"/>
        </w:rPr>
        <w:t>供应商</w:t>
      </w:r>
      <w:r>
        <w:rPr>
          <w:rFonts w:hint="eastAsia" w:ascii="黑体" w:hAnsi="黑体" w:eastAsia="黑体" w:cs="黑体"/>
          <w:sz w:val="24"/>
          <w:szCs w:val="24"/>
        </w:rPr>
        <w:t>不能证明其报价合理性的，评标委员会应当将其作为无效投标处理。</w:t>
      </w:r>
    </w:p>
    <w:p w14:paraId="0BA5AAB7">
      <w:pPr>
        <w:numPr>
          <w:ilvl w:val="0"/>
          <w:numId w:val="0"/>
        </w:numPr>
        <w:snapToGrid w:val="0"/>
        <w:spacing w:line="400" w:lineRule="exact"/>
        <w:ind w:leftChars="0"/>
        <w:rPr>
          <w:rFonts w:hint="eastAsia" w:ascii="黑体" w:hAnsi="黑体" w:eastAsia="黑体" w:cs="黑体"/>
          <w:b/>
          <w:color w:val="auto"/>
          <w:kern w:val="2"/>
          <w:sz w:val="24"/>
          <w:szCs w:val="24"/>
          <w:highlight w:val="none"/>
          <w:lang w:val="en-US" w:eastAsia="zh-CN" w:bidi="ar-SA"/>
        </w:rPr>
      </w:pPr>
    </w:p>
    <w:bookmarkEnd w:id="110"/>
    <w:bookmarkEnd w:id="111"/>
    <w:bookmarkEnd w:id="112"/>
    <w:bookmarkEnd w:id="113"/>
    <w:bookmarkEnd w:id="114"/>
    <w:bookmarkEnd w:id="115"/>
    <w:p w14:paraId="247DEDD8">
      <w:pPr>
        <w:numPr>
          <w:ilvl w:val="0"/>
          <w:numId w:val="0"/>
        </w:numPr>
        <w:snapToGrid w:val="0"/>
        <w:spacing w:line="400" w:lineRule="exact"/>
        <w:ind w:leftChars="0"/>
        <w:rPr>
          <w:rFonts w:hint="eastAsia" w:ascii="黑体" w:hAnsi="黑体" w:eastAsia="黑体" w:cs="黑体"/>
          <w:b/>
          <w:color w:val="auto"/>
          <w:kern w:val="2"/>
          <w:sz w:val="24"/>
          <w:szCs w:val="24"/>
          <w:highlight w:val="none"/>
          <w:lang w:val="zh-TW" w:eastAsia="zh-CN" w:bidi="ar-SA"/>
        </w:rPr>
      </w:pPr>
      <w:bookmarkStart w:id="116" w:name="_Toc106030397"/>
      <w:bookmarkStart w:id="117" w:name="_Toc20423"/>
      <w:bookmarkStart w:id="118" w:name="_Toc75793521"/>
      <w:bookmarkStart w:id="119" w:name="_Toc26747"/>
      <w:bookmarkStart w:id="120" w:name="_Toc15200"/>
      <w:bookmarkStart w:id="121" w:name="_Toc10923"/>
      <w:bookmarkStart w:id="122" w:name="_Toc13232"/>
      <w:bookmarkStart w:id="123" w:name="_Toc27926"/>
      <w:bookmarkStart w:id="124" w:name="_Toc5010"/>
      <w:bookmarkStart w:id="125" w:name="_Toc30659"/>
      <w:bookmarkStart w:id="126" w:name="_Toc17065"/>
      <w:bookmarkStart w:id="127" w:name="_Toc4045"/>
      <w:bookmarkStart w:id="128" w:name="_Toc29586"/>
      <w:bookmarkStart w:id="129" w:name="_Toc13045"/>
      <w:bookmarkStart w:id="130" w:name="_Toc18716"/>
      <w:bookmarkStart w:id="131" w:name="_Toc22167"/>
      <w:r>
        <w:rPr>
          <w:rFonts w:hint="eastAsia" w:ascii="黑体" w:hAnsi="黑体" w:eastAsia="黑体" w:cs="黑体"/>
          <w:b/>
          <w:color w:val="auto"/>
          <w:kern w:val="2"/>
          <w:sz w:val="24"/>
          <w:szCs w:val="24"/>
          <w:highlight w:val="none"/>
          <w:lang w:val="zh-TW" w:eastAsia="zh-CN" w:bidi="ar-SA"/>
        </w:rPr>
        <w:t>四、无效投标条款</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2AE6A47">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供应商</w:t>
      </w:r>
      <w:r>
        <w:rPr>
          <w:rFonts w:hint="eastAsia" w:ascii="黑体" w:hAnsi="黑体" w:eastAsia="黑体" w:cs="黑体"/>
          <w:sz w:val="24"/>
          <w:szCs w:val="24"/>
        </w:rPr>
        <w:t>或其</w:t>
      </w:r>
      <w:r>
        <w:rPr>
          <w:rFonts w:hint="eastAsia" w:ascii="黑体" w:hAnsi="黑体" w:eastAsia="黑体" w:cs="黑体"/>
          <w:sz w:val="24"/>
          <w:szCs w:val="24"/>
          <w:lang w:eastAsia="zh-CN"/>
        </w:rPr>
        <w:t>响应文件</w:t>
      </w:r>
      <w:r>
        <w:rPr>
          <w:rFonts w:hint="eastAsia" w:ascii="黑体" w:hAnsi="黑体" w:eastAsia="黑体" w:cs="黑体"/>
          <w:sz w:val="24"/>
          <w:szCs w:val="24"/>
        </w:rPr>
        <w:t>出现下列情况之一者，应为无效投标：</w:t>
      </w:r>
    </w:p>
    <w:p w14:paraId="10D284A2">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（一）未按照</w:t>
      </w:r>
      <w:r>
        <w:rPr>
          <w:rFonts w:hint="eastAsia" w:ascii="黑体" w:hAnsi="黑体" w:eastAsia="黑体" w:cs="黑体"/>
          <w:sz w:val="24"/>
          <w:szCs w:val="24"/>
          <w:lang w:eastAsia="zh-CN"/>
        </w:rPr>
        <w:t>比选文件</w:t>
      </w:r>
      <w:r>
        <w:rPr>
          <w:rFonts w:hint="eastAsia" w:ascii="黑体" w:hAnsi="黑体" w:eastAsia="黑体" w:cs="黑体"/>
          <w:sz w:val="24"/>
          <w:szCs w:val="24"/>
        </w:rPr>
        <w:t>的规定提交投标保证金的；</w:t>
      </w:r>
    </w:p>
    <w:p w14:paraId="6D64329E">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响应文件</w:t>
      </w:r>
      <w:r>
        <w:rPr>
          <w:rFonts w:hint="eastAsia" w:ascii="黑体" w:hAnsi="黑体" w:eastAsia="黑体" w:cs="黑体"/>
          <w:sz w:val="24"/>
          <w:szCs w:val="24"/>
        </w:rPr>
        <w:t>未按</w:t>
      </w:r>
      <w:r>
        <w:rPr>
          <w:rFonts w:hint="eastAsia" w:ascii="黑体" w:hAnsi="黑体" w:eastAsia="黑体" w:cs="黑体"/>
          <w:sz w:val="24"/>
          <w:szCs w:val="24"/>
          <w:lang w:eastAsia="zh-CN"/>
        </w:rPr>
        <w:t>比选文件</w:t>
      </w:r>
      <w:r>
        <w:rPr>
          <w:rFonts w:hint="eastAsia" w:ascii="黑体" w:hAnsi="黑体" w:eastAsia="黑体" w:cs="黑体"/>
          <w:sz w:val="24"/>
          <w:szCs w:val="24"/>
        </w:rPr>
        <w:t>要求签署、盖章的；</w:t>
      </w:r>
    </w:p>
    <w:p w14:paraId="2346EEF1">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（三）不具备</w:t>
      </w:r>
      <w:r>
        <w:rPr>
          <w:rFonts w:hint="eastAsia" w:ascii="黑体" w:hAnsi="黑体" w:eastAsia="黑体" w:cs="黑体"/>
          <w:sz w:val="24"/>
          <w:szCs w:val="24"/>
          <w:lang w:eastAsia="zh-CN"/>
        </w:rPr>
        <w:t>比选文件</w:t>
      </w:r>
      <w:r>
        <w:rPr>
          <w:rFonts w:hint="eastAsia" w:ascii="黑体" w:hAnsi="黑体" w:eastAsia="黑体" w:cs="黑体"/>
          <w:sz w:val="24"/>
          <w:szCs w:val="24"/>
        </w:rPr>
        <w:t>中规定的资格要求的；</w:t>
      </w:r>
    </w:p>
    <w:p w14:paraId="321EB352">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（四）报价超过</w:t>
      </w:r>
      <w:r>
        <w:rPr>
          <w:rFonts w:hint="eastAsia" w:ascii="黑体" w:hAnsi="黑体" w:eastAsia="黑体" w:cs="黑体"/>
          <w:sz w:val="24"/>
          <w:szCs w:val="24"/>
          <w:lang w:eastAsia="zh-CN"/>
        </w:rPr>
        <w:t>比选文件</w:t>
      </w:r>
      <w:r>
        <w:rPr>
          <w:rFonts w:hint="eastAsia" w:ascii="黑体" w:hAnsi="黑体" w:eastAsia="黑体" w:cs="黑体"/>
          <w:sz w:val="24"/>
          <w:szCs w:val="24"/>
        </w:rPr>
        <w:t>中规定的预算金额或者最高限价的；</w:t>
      </w:r>
    </w:p>
    <w:p w14:paraId="7CD916C4">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（五）</w:t>
      </w:r>
      <w:r>
        <w:rPr>
          <w:rFonts w:hint="eastAsia" w:ascii="黑体" w:hAnsi="黑体" w:eastAsia="黑体" w:cs="黑体"/>
          <w:sz w:val="24"/>
          <w:szCs w:val="24"/>
          <w:lang w:eastAsia="zh-CN"/>
        </w:rPr>
        <w:t>响应文件</w:t>
      </w:r>
      <w:r>
        <w:rPr>
          <w:rFonts w:hint="eastAsia" w:ascii="黑体" w:hAnsi="黑体" w:eastAsia="黑体" w:cs="黑体"/>
          <w:sz w:val="24"/>
          <w:szCs w:val="24"/>
        </w:rPr>
        <w:t>含有采购人不能接受的附加条件的；</w:t>
      </w:r>
    </w:p>
    <w:p w14:paraId="2D15475B">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（六）</w:t>
      </w:r>
      <w:r>
        <w:rPr>
          <w:rFonts w:hint="eastAsia" w:ascii="黑体" w:hAnsi="黑体" w:eastAsia="黑体" w:cs="黑体"/>
          <w:sz w:val="24"/>
          <w:szCs w:val="24"/>
          <w:lang w:eastAsia="zh-CN"/>
        </w:rPr>
        <w:t>供应商</w:t>
      </w:r>
      <w:r>
        <w:rPr>
          <w:rFonts w:hint="eastAsia" w:ascii="黑体" w:hAnsi="黑体" w:eastAsia="黑体" w:cs="黑体"/>
          <w:sz w:val="24"/>
          <w:szCs w:val="24"/>
        </w:rPr>
        <w:t>串通投标的；</w:t>
      </w:r>
    </w:p>
    <w:p w14:paraId="30BCBF44">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（七）法律、法规和</w:t>
      </w:r>
      <w:r>
        <w:rPr>
          <w:rFonts w:hint="eastAsia" w:ascii="黑体" w:hAnsi="黑体" w:eastAsia="黑体" w:cs="黑体"/>
          <w:sz w:val="24"/>
          <w:szCs w:val="24"/>
          <w:lang w:eastAsia="zh-CN"/>
        </w:rPr>
        <w:t>比选文件</w:t>
      </w:r>
      <w:r>
        <w:rPr>
          <w:rFonts w:hint="eastAsia" w:ascii="黑体" w:hAnsi="黑体" w:eastAsia="黑体" w:cs="黑体"/>
          <w:sz w:val="24"/>
          <w:szCs w:val="24"/>
        </w:rPr>
        <w:t>规定的其他无效情形。</w:t>
      </w:r>
    </w:p>
    <w:p w14:paraId="1C6627E5">
      <w:pPr>
        <w:numPr>
          <w:ilvl w:val="0"/>
          <w:numId w:val="0"/>
        </w:numPr>
        <w:snapToGrid w:val="0"/>
        <w:spacing w:line="400" w:lineRule="exact"/>
        <w:ind w:leftChars="0"/>
        <w:rPr>
          <w:rFonts w:hint="eastAsia" w:ascii="黑体" w:hAnsi="黑体" w:eastAsia="黑体" w:cs="黑体"/>
          <w:b/>
          <w:color w:val="auto"/>
          <w:kern w:val="2"/>
          <w:sz w:val="24"/>
          <w:szCs w:val="24"/>
          <w:highlight w:val="none"/>
          <w:lang w:val="zh-TW" w:eastAsia="zh-CN" w:bidi="ar-SA"/>
        </w:rPr>
      </w:pPr>
      <w:bookmarkStart w:id="132" w:name="_Toc14355"/>
      <w:bookmarkStart w:id="133" w:name="_Toc7802"/>
      <w:bookmarkStart w:id="134" w:name="_Toc6956"/>
      <w:bookmarkStart w:id="135" w:name="_Toc30605"/>
      <w:bookmarkStart w:id="136" w:name="_Toc4422"/>
      <w:bookmarkStart w:id="137" w:name="_Toc27133"/>
      <w:bookmarkStart w:id="138" w:name="_Toc23533"/>
      <w:bookmarkStart w:id="139" w:name="_Toc11293"/>
      <w:bookmarkStart w:id="140" w:name="_Toc20005"/>
      <w:bookmarkStart w:id="141" w:name="_Toc25960"/>
      <w:bookmarkStart w:id="142" w:name="_Toc75793522"/>
      <w:bookmarkStart w:id="143" w:name="_Toc6719"/>
      <w:bookmarkStart w:id="144" w:name="_Toc106030398"/>
      <w:bookmarkStart w:id="145" w:name="_Toc21946"/>
      <w:bookmarkStart w:id="146" w:name="_Toc25549"/>
      <w:bookmarkStart w:id="147" w:name="_Toc6204"/>
      <w:r>
        <w:rPr>
          <w:rFonts w:hint="eastAsia" w:ascii="黑体" w:hAnsi="黑体" w:eastAsia="黑体" w:cs="黑体"/>
          <w:b/>
          <w:color w:val="auto"/>
          <w:kern w:val="2"/>
          <w:sz w:val="24"/>
          <w:szCs w:val="24"/>
          <w:highlight w:val="none"/>
          <w:lang w:val="zh-TW" w:eastAsia="zh-CN" w:bidi="ar-SA"/>
        </w:rPr>
        <w:t>五、废标条款</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0960C8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在招标采购中，出现下列情形之一的，应予废标：</w:t>
      </w:r>
    </w:p>
    <w:p w14:paraId="3E0E5A12">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（一）符合专业条件的</w:t>
      </w:r>
      <w:r>
        <w:rPr>
          <w:rFonts w:hint="eastAsia" w:ascii="黑体" w:hAnsi="黑体" w:eastAsia="黑体" w:cs="黑体"/>
          <w:sz w:val="24"/>
          <w:szCs w:val="24"/>
          <w:lang w:eastAsia="zh-CN"/>
        </w:rPr>
        <w:t>供应商</w:t>
      </w:r>
      <w:r>
        <w:rPr>
          <w:rFonts w:hint="eastAsia" w:ascii="黑体" w:hAnsi="黑体" w:eastAsia="黑体" w:cs="黑体"/>
          <w:sz w:val="24"/>
          <w:szCs w:val="24"/>
        </w:rPr>
        <w:t>或者对</w:t>
      </w:r>
      <w:r>
        <w:rPr>
          <w:rFonts w:hint="eastAsia" w:ascii="黑体" w:hAnsi="黑体" w:eastAsia="黑体" w:cs="黑体"/>
          <w:sz w:val="24"/>
          <w:szCs w:val="24"/>
          <w:lang w:eastAsia="zh-CN"/>
        </w:rPr>
        <w:t>比选文件</w:t>
      </w:r>
      <w:r>
        <w:rPr>
          <w:rFonts w:hint="eastAsia" w:ascii="黑体" w:hAnsi="黑体" w:eastAsia="黑体" w:cs="黑体"/>
          <w:sz w:val="24"/>
          <w:szCs w:val="24"/>
        </w:rPr>
        <w:t>作实质响应的</w:t>
      </w:r>
      <w:r>
        <w:rPr>
          <w:rFonts w:hint="eastAsia" w:ascii="黑体" w:hAnsi="黑体" w:eastAsia="黑体" w:cs="黑体"/>
          <w:sz w:val="24"/>
          <w:szCs w:val="24"/>
          <w:lang w:eastAsia="zh-CN"/>
        </w:rPr>
        <w:t>供应商</w:t>
      </w:r>
      <w:r>
        <w:rPr>
          <w:rFonts w:hint="eastAsia" w:ascii="黑体" w:hAnsi="黑体" w:eastAsia="黑体" w:cs="黑体"/>
          <w:sz w:val="24"/>
          <w:szCs w:val="24"/>
        </w:rPr>
        <w:t>不足三家的；</w:t>
      </w:r>
    </w:p>
    <w:p w14:paraId="508B8A6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供应商</w:t>
      </w:r>
      <w:r>
        <w:rPr>
          <w:rFonts w:hint="eastAsia" w:ascii="黑体" w:hAnsi="黑体" w:eastAsia="黑体" w:cs="黑体"/>
          <w:sz w:val="24"/>
          <w:szCs w:val="24"/>
        </w:rPr>
        <w:t>的报价均超过了采购预算，采购人不能支付的；</w:t>
      </w:r>
    </w:p>
    <w:p w14:paraId="68E5F8F4">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（三）出现影响采购公正的违法、违规行为的；</w:t>
      </w:r>
    </w:p>
    <w:p w14:paraId="34617F8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（四）因重大变故，采购任务取消的。</w:t>
      </w:r>
    </w:p>
    <w:p w14:paraId="0331321E">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废标后，除采购任务取消情形外，应当重新组织采购。</w:t>
      </w:r>
    </w:p>
    <w:p w14:paraId="7B15AD3A">
      <w:pPr>
        <w:pStyle w:val="3"/>
        <w:spacing w:before="0" w:beforeLines="0" w:after="0" w:afterLines="0" w:line="360" w:lineRule="auto"/>
        <w:rPr>
          <w:rFonts w:hint="eastAsia" w:ascii="黑体" w:hAnsi="黑体" w:eastAsia="黑体" w:cs="黑体"/>
          <w:b/>
          <w:color w:val="auto"/>
          <w:sz w:val="28"/>
          <w:szCs w:val="28"/>
          <w:highlight w:val="none"/>
          <w:lang w:val="en-US" w:eastAsia="zh-CN"/>
        </w:rPr>
      </w:pPr>
      <w:r>
        <w:rPr>
          <w:rFonts w:hint="eastAsia" w:ascii="黑体" w:hAnsi="黑体" w:eastAsia="黑体" w:cs="黑体"/>
          <w:sz w:val="24"/>
          <w:szCs w:val="24"/>
        </w:rPr>
        <w:br w:type="page"/>
      </w:r>
      <w:bookmarkStart w:id="148" w:name="_Toc20709"/>
      <w:r>
        <w:rPr>
          <w:rFonts w:hint="eastAsia" w:ascii="黑体" w:hAnsi="黑体" w:eastAsia="黑体" w:cs="黑体"/>
          <w:b/>
          <w:color w:val="auto"/>
          <w:sz w:val="28"/>
          <w:szCs w:val="28"/>
          <w:highlight w:val="none"/>
          <w:lang w:val="en-US" w:eastAsia="zh-CN"/>
        </w:rPr>
        <w:t>第五篇  供应商须知</w:t>
      </w:r>
      <w:bookmarkEnd w:id="148"/>
    </w:p>
    <w:p w14:paraId="21294EF3">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一、供应商</w:t>
      </w:r>
    </w:p>
    <w:p w14:paraId="5756135D">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w:t>
      </w:r>
    </w:p>
    <w:p w14:paraId="7095FB4E">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供应商是指响应招标、参加投标竞争的法人、其他组织或者自然人。</w:t>
      </w:r>
    </w:p>
    <w:p w14:paraId="2A88C42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（二）合格供应商条件</w:t>
      </w:r>
    </w:p>
    <w:p w14:paraId="2623A334">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合格供应商应完全符合竞争性比选文件第一篇中规定的供应商资格条件，并对竞争性比选文件作出实质性响应。</w:t>
      </w:r>
    </w:p>
    <w:p w14:paraId="3F91940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（三）供应商的风险</w:t>
      </w:r>
    </w:p>
    <w:p w14:paraId="6CA39D2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供应商没有按照竞争性比选文件要求提供全部资料，或者供应商没有对竞争性比选文件在各方面作出实质性响应，可能导致投标被拒绝或评定为无效投标。</w:t>
      </w:r>
    </w:p>
    <w:p w14:paraId="102B4EF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（四）法律责任</w:t>
      </w:r>
    </w:p>
    <w:p w14:paraId="50D7FEA6">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供应商违反《中华人民共和国政府采购法》、《中华人民共和国政府采购实施条例》等相关规定，将按规定追究供应商法律责任。</w:t>
      </w:r>
    </w:p>
    <w:p w14:paraId="35C4C138">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二、竞争性比选文件</w:t>
      </w:r>
    </w:p>
    <w:p w14:paraId="6C8BD1F9">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竞争性比选文件是供应商编制响应文件的依据，是评标委员会评判依据和标准。竞争性比选文件也是采购人与成交供应商签订合同的基础。</w:t>
      </w:r>
    </w:p>
    <w:p w14:paraId="04A4DD0C">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（一）竞争性比选文件由投标邀请书；项目技术（质量）需求；项目商务需求；供应商须知；评标方法、评标标准、无效投标条款和废标条款；合同主要条款、合同范本；响应文件格式等七部分组成。</w:t>
      </w:r>
    </w:p>
    <w:p w14:paraId="1EB146A5">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（二）采购代理机构对竞争性比选文件所作的一切有效的书面通知、修改及补充，都是竞争性比选文件不可分割的部分。</w:t>
      </w:r>
    </w:p>
    <w:p w14:paraId="0B0B8AD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的竞争性比选文件、补遗文件（如果有）一律在行采家（https://www.gec123.com/）上发布，请各供应商注意下载或到采购代理机构处领取；无论供应商下载或领取与否，均视同供应商已知晓本项目竞争性比选文件、补遗文件的内容。</w:t>
      </w:r>
    </w:p>
    <w:p w14:paraId="1E61EBF3">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（四）采购代理机构对已发出的竞争性比选文件需要进行澄清或修改的，应以书面形式或公告形式通知所有竞争性比选文件收受人。该澄清或者修改的内容为竞争性比选文件的组成部分。</w:t>
      </w:r>
    </w:p>
    <w:p w14:paraId="3CF9CF2B">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三、响应文件</w:t>
      </w:r>
    </w:p>
    <w:p w14:paraId="4892EAD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（一）响应文件的签署与份数</w:t>
      </w:r>
    </w:p>
    <w:p w14:paraId="76C7E3F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bookmarkStart w:id="149" w:name="OLE_LINK9"/>
      <w:r>
        <w:rPr>
          <w:rFonts w:hint="eastAsia" w:ascii="黑体" w:hAnsi="黑体" w:eastAsia="黑体" w:cs="黑体"/>
          <w:bCs/>
          <w:color w:val="auto"/>
          <w:sz w:val="24"/>
          <w:szCs w:val="24"/>
          <w:highlight w:val="none"/>
        </w:rPr>
        <w:t>（1）响应文件一份。</w:t>
      </w:r>
    </w:p>
    <w:p w14:paraId="385C302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（2）响应文件每一页应加盖公章（响应文件格式中规定签字、盖章的地方必须按其规定签字、盖章），否则按无效标处理。</w:t>
      </w:r>
    </w:p>
    <w:p w14:paraId="40F587F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（3）若供应商对响应文件的错处作必要修改，则应在修改处加盖供应商公章或由法人或法人授权代表签字确认，否则按无效标处理。</w:t>
      </w:r>
      <w:bookmarkEnd w:id="149"/>
    </w:p>
    <w:p w14:paraId="330A220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（二）响应文件封面标记要求</w:t>
      </w:r>
    </w:p>
    <w:p w14:paraId="4880B46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响应文件的封面上均应注明项目名称、项目编号、供应商名称、“响应文件”字样，并在封面上加盖供应商公章，否则按无效标处理。</w:t>
      </w:r>
    </w:p>
    <w:p w14:paraId="4194B3B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w:t>
      </w:r>
      <w:r>
        <w:rPr>
          <w:rFonts w:hint="eastAsia" w:ascii="黑体" w:hAnsi="黑体" w:eastAsia="黑体" w:cs="黑体"/>
          <w:bCs/>
          <w:color w:val="auto"/>
          <w:sz w:val="24"/>
          <w:szCs w:val="24"/>
          <w:highlight w:val="none"/>
          <w:lang w:val="en-US" w:eastAsia="zh-CN"/>
        </w:rPr>
        <w:t>三</w:t>
      </w:r>
      <w:r>
        <w:rPr>
          <w:rFonts w:hint="eastAsia" w:ascii="黑体" w:hAnsi="黑体" w:eastAsia="黑体" w:cs="黑体"/>
          <w:bCs/>
          <w:color w:val="auto"/>
          <w:sz w:val="24"/>
          <w:szCs w:val="24"/>
          <w:highlight w:val="none"/>
        </w:rPr>
        <w:t>）投标报价</w:t>
      </w:r>
    </w:p>
    <w:p w14:paraId="33FE522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1.供应商应严格按照“响应文件格式”中“开标一览表”、“分项报价明细表”</w:t>
      </w:r>
      <w:r>
        <w:rPr>
          <w:rFonts w:hint="eastAsia" w:ascii="黑体" w:hAnsi="黑体" w:eastAsia="黑体" w:cs="黑体"/>
          <w:color w:val="auto"/>
          <w:sz w:val="24"/>
          <w:szCs w:val="24"/>
          <w:highlight w:val="none"/>
        </w:rPr>
        <w:t>的格式填写报价。</w:t>
      </w:r>
    </w:p>
    <w:p w14:paraId="4B1E0C6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2.供应商的报价为一次性报价，即在投标有效期内投标价格固定不变。</w:t>
      </w:r>
    </w:p>
    <w:p w14:paraId="63E5227C">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3.本项目只接受一个投标报价，有选择的或有条件的报价将不予接受。</w:t>
      </w:r>
    </w:p>
    <w:p w14:paraId="7EFA9D04">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）修正错误</w:t>
      </w:r>
    </w:p>
    <w:p w14:paraId="33ADB18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若响应文件出现计算或表达上的错误，修正错误的原则如下：</w:t>
      </w:r>
    </w:p>
    <w:p w14:paraId="52257173">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1.响应文件中开标一览表（报价表）内容与响应文件中相应内容不一致的，以开标一览表（报价表）为准；</w:t>
      </w:r>
    </w:p>
    <w:p w14:paraId="2DB0D19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2.大写金额和小写金额不一致的，以大写金额为准；</w:t>
      </w:r>
    </w:p>
    <w:p w14:paraId="77F87E2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3.单价金额小数点或者百分比有明显错位的，以开标一览表的总价为准，并修改单价；</w:t>
      </w:r>
    </w:p>
    <w:p w14:paraId="45B0C0B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4.总价金额与按单价汇总金额不一致的，以单价金额计算结果为准。</w:t>
      </w:r>
    </w:p>
    <w:p w14:paraId="0D54FE7A">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14:paraId="23E42886">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四、开标</w:t>
      </w:r>
    </w:p>
    <w:p w14:paraId="13FA736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（一）开标应当在竞争性比选文件中“投标邀请书”确定的时间和地点公开进行。</w:t>
      </w:r>
    </w:p>
    <w:p w14:paraId="14B3AFD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（二）采购代理机构可视采购具体情况，延长投标截止时间和开标时间，但至少在竞争性比选文件要求提交响应文件的截止时间三日前，将变更时间书面通知所有竞争性比选文件收受人。</w:t>
      </w:r>
    </w:p>
    <w:p w14:paraId="052CBB59">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（三）开标由采购人或采购代理机构主持，邀请供应商和有关监督部门代表参加,有关监督部门可视情况派员现场监督。</w:t>
      </w:r>
    </w:p>
    <w:p w14:paraId="5339DEE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）未宣读的投标价格、价格折扣和竞争性比选文件允许提供的备选投标方案等实质性内容等，评标时不予承认。</w:t>
      </w:r>
    </w:p>
    <w:p w14:paraId="4E950833">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五</w:t>
      </w:r>
      <w:r>
        <w:rPr>
          <w:rFonts w:hint="eastAsia" w:ascii="黑体" w:hAnsi="黑体" w:eastAsia="黑体" w:cs="黑体"/>
          <w:color w:val="auto"/>
          <w:sz w:val="24"/>
          <w:szCs w:val="24"/>
          <w:highlight w:val="none"/>
        </w:rPr>
        <w:t>）开标过程应由采购人或采购代理机构指定专人负责记录，并存档备查。</w:t>
      </w:r>
    </w:p>
    <w:p w14:paraId="54FBD661">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五、评标</w:t>
      </w:r>
    </w:p>
    <w:p w14:paraId="2CD77CB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见第四篇“评标”内容。</w:t>
      </w:r>
    </w:p>
    <w:p w14:paraId="5B80857E">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六、定标</w:t>
      </w:r>
    </w:p>
    <w:p w14:paraId="25FD7BA5">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（一）定标原则</w:t>
      </w:r>
    </w:p>
    <w:p w14:paraId="381FF82A">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采购人或其授权的评标委员会应按照评标报告中推荐的中标候选人排名顺序确定成交供应商。</w:t>
      </w:r>
    </w:p>
    <w:p w14:paraId="243AD9F5">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（二）定标程序</w:t>
      </w:r>
    </w:p>
    <w:p w14:paraId="6EC37FF5">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1.采购代理机构应当在评标结束后2个工作日内将评标报告送采购人。</w:t>
      </w:r>
    </w:p>
    <w:p w14:paraId="2DBC515B">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Style w:val="27"/>
          <w:rFonts w:hint="eastAsia" w:ascii="黑体" w:hAnsi="黑体" w:eastAsia="黑体" w:cs="黑体"/>
          <w:color w:val="auto"/>
          <w:kern w:val="0"/>
          <w:sz w:val="24"/>
          <w:szCs w:val="24"/>
          <w:highlight w:val="none"/>
          <w:lang w:eastAsia="zh-TW"/>
        </w:rPr>
      </w:pPr>
      <w:r>
        <w:rPr>
          <w:rFonts w:hint="eastAsia" w:ascii="黑体" w:hAnsi="黑体" w:eastAsia="黑体" w:cs="黑体"/>
          <w:color w:val="auto"/>
          <w:sz w:val="24"/>
          <w:szCs w:val="24"/>
          <w:highlight w:val="none"/>
        </w:rPr>
        <w:t>2.采购人应当自收到评标报告之日起５个工作日内，在评标报告确定的中标候选人名单中按顺序确定成交供应商。中标候选人并列的，由采购人或者采购人委托评标委员会按照竞争性比选文件规定的方式确定成交供应商；竞争性比选文件未规定的，采取随机抽取的方式确定。</w:t>
      </w:r>
    </w:p>
    <w:p w14:paraId="2EAAAA83">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3.采购人或者采购代理机构应当自成交供应商确定之日起2个工作日内，在行采家上公告中标结果。中标公告期限为1个工作日。</w:t>
      </w:r>
    </w:p>
    <w:p w14:paraId="74F853B4">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4.成交供应商变更</w:t>
      </w:r>
    </w:p>
    <w:p w14:paraId="7F47C73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成交供应商拒绝与采购人签订合同的，采购人可以按照评标报告推荐的中标候选人顺序，确定排名下一位的候选人为成交供应商，也可以重新开展政府采购活动。</w:t>
      </w:r>
    </w:p>
    <w:p w14:paraId="3842A22C">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七、成交通知书</w:t>
      </w:r>
    </w:p>
    <w:p w14:paraId="2E120F66">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（一）采购人依法确定成交供应商后，采购代理机构以书面形式发出成交通知书。</w:t>
      </w:r>
    </w:p>
    <w:p w14:paraId="024FFD1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（二）成交通知书发出后，采购人改变中标结果，或者成交供应商放弃中标，应当承担相应的法律责任。</w:t>
      </w:r>
    </w:p>
    <w:p w14:paraId="6973A295">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八、询问、质疑和投诉</w:t>
      </w:r>
    </w:p>
    <w:p w14:paraId="28416F7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（一）询问</w:t>
      </w:r>
    </w:p>
    <w:p w14:paraId="28C6AF4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采购人或者采购代理机构应当在3个工作日内对供应商依法提出的询问作出答复。供应商询问可以是口头或书面形式。</w:t>
      </w:r>
    </w:p>
    <w:p w14:paraId="05C6E48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（二）质疑</w:t>
      </w:r>
    </w:p>
    <w:p w14:paraId="172A0D1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供应商认为采购文件、采购过程和中标结果使自己的权益受到伤害的，可向采购人或采购代理机构以书面形式提出质疑。</w:t>
      </w:r>
    </w:p>
    <w:p w14:paraId="12F129D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提出质疑的应当是参与所质疑项目采购活动的供应商。 </w:t>
      </w:r>
    </w:p>
    <w:p w14:paraId="2ED7EEC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1.质疑时限、内容</w:t>
      </w:r>
    </w:p>
    <w:p w14:paraId="52FF3C8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1.1供应商对竞争性比选文件提出质疑的，应在依法获取竞争性比选文件（购买了竞争性比选文件并完成了报名手续）之日或者竞争性比选文件公告期限届满之日起七个工作日内提出。</w:t>
      </w:r>
    </w:p>
    <w:p w14:paraId="6F80347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 供应商对采购过程提出质疑的，应在各采购程序环节结束之日起七个工作日内提出。</w:t>
      </w:r>
    </w:p>
    <w:p w14:paraId="4EA6F8F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1.3供应商对中标结果提出质疑的，应当在中标结果公告期限届满之日起七个工作日内提出。</w:t>
      </w:r>
    </w:p>
    <w:p w14:paraId="7C5EFBE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1.4供应商提出质疑应当提交质疑函和必要的证明材料，质疑函应当包括下列内容：</w:t>
      </w:r>
    </w:p>
    <w:p w14:paraId="1CDD125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1.4.1供应商的姓名或者名称、地址、邮编、联系人及联系电话；</w:t>
      </w:r>
    </w:p>
    <w:p w14:paraId="7046AAE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1.4.2质疑项目的名称、项目号以及招标项目编号；</w:t>
      </w:r>
    </w:p>
    <w:p w14:paraId="113BF72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1.4.3具体、明确的质疑事项和与质疑事项相关的请求；</w:t>
      </w:r>
    </w:p>
    <w:p w14:paraId="10745C5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1.4.4事实依据；</w:t>
      </w:r>
    </w:p>
    <w:p w14:paraId="47F55BC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1.4.5必要的法律依据；</w:t>
      </w:r>
    </w:p>
    <w:p w14:paraId="70A4E76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1.4.6提出质疑的日期；</w:t>
      </w:r>
    </w:p>
    <w:p w14:paraId="04015D4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1.4.7营业执照（或事业单位法人证书，或个体工商户营业执照或有效的自然人身份证明、组织机构代码证）复印件；</w:t>
      </w:r>
    </w:p>
    <w:p w14:paraId="64EF12A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1.4.8法定代表人授权委托书原件、法定代表人身份证复印件和其授权代表的身份证复印件（供应商为自然人的提供自然人身份证复印件）；</w:t>
      </w:r>
    </w:p>
    <w:p w14:paraId="4CCA3A8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731E28F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2.质疑答复</w:t>
      </w:r>
    </w:p>
    <w:p w14:paraId="02A2A63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采购人、采购代理机构应当在收到供应商的书面质疑后七个工作日内作出答复，并以书面形式通知质疑供应商和其他有关供应商。</w:t>
      </w:r>
    </w:p>
    <w:p w14:paraId="394EFC8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3.其他</w:t>
      </w:r>
    </w:p>
    <w:p w14:paraId="3FB1790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3.1供应商应按照《政府采购质疑和投诉办法》（财政部令第94号）及相关法律法规要求，在法定质疑期内一次性提出针对同一采购程序环节的质疑。</w:t>
      </w:r>
    </w:p>
    <w:p w14:paraId="45F02B8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3.2质疑函范本可在财政部门户网站和中国政府采购网下载。</w:t>
      </w:r>
    </w:p>
    <w:p w14:paraId="0593B4BF">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（三）投诉</w:t>
      </w:r>
    </w:p>
    <w:p w14:paraId="287D875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1F6E0F3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AEB34D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7B593B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46F677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九、采购代理服务费</w:t>
      </w:r>
    </w:p>
    <w:p w14:paraId="184EB64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成交供应商领取</w:t>
      </w:r>
      <w:r>
        <w:rPr>
          <w:rFonts w:hint="eastAsia" w:ascii="黑体" w:hAnsi="黑体" w:eastAsia="黑体" w:cs="黑体"/>
          <w:color w:val="auto"/>
          <w:sz w:val="24"/>
          <w:szCs w:val="24"/>
          <w:highlight w:val="none"/>
          <w:lang w:val="en-US" w:eastAsia="zh-CN"/>
        </w:rPr>
        <w:t>成交</w:t>
      </w:r>
      <w:r>
        <w:rPr>
          <w:rFonts w:hint="eastAsia" w:ascii="黑体" w:hAnsi="黑体" w:eastAsia="黑体" w:cs="黑体"/>
          <w:color w:val="auto"/>
          <w:sz w:val="24"/>
          <w:szCs w:val="24"/>
          <w:highlight w:val="none"/>
        </w:rPr>
        <w:t>通知书时向采购代理机构</w:t>
      </w:r>
      <w:r>
        <w:rPr>
          <w:rFonts w:hint="eastAsia" w:ascii="黑体" w:hAnsi="黑体" w:eastAsia="黑体" w:cs="黑体"/>
          <w:color w:val="auto"/>
          <w:sz w:val="24"/>
          <w:szCs w:val="24"/>
          <w:highlight w:val="none"/>
          <w:lang w:val="en-US" w:eastAsia="zh-CN"/>
        </w:rPr>
        <w:t>一次性</w:t>
      </w:r>
      <w:r>
        <w:rPr>
          <w:rFonts w:hint="eastAsia" w:ascii="黑体" w:hAnsi="黑体" w:eastAsia="黑体" w:cs="黑体"/>
          <w:color w:val="auto"/>
          <w:sz w:val="24"/>
          <w:szCs w:val="24"/>
          <w:highlight w:val="none"/>
        </w:rPr>
        <w:t>缴纳采购代理服务费，本项目采购代理服务费按</w:t>
      </w:r>
      <w:r>
        <w:rPr>
          <w:rFonts w:hint="eastAsia" w:ascii="黑体" w:hAnsi="黑体" w:eastAsia="黑体" w:cs="黑体"/>
          <w:color w:val="auto"/>
          <w:sz w:val="24"/>
          <w:szCs w:val="24"/>
          <w:highlight w:val="none"/>
          <w:lang w:val="en-US" w:eastAsia="zh-CN"/>
        </w:rPr>
        <w:t>5000</w:t>
      </w:r>
      <w:r>
        <w:rPr>
          <w:rFonts w:hint="eastAsia" w:ascii="黑体" w:hAnsi="黑体" w:eastAsia="黑体" w:cs="黑体"/>
          <w:color w:val="auto"/>
          <w:sz w:val="24"/>
          <w:szCs w:val="24"/>
          <w:highlight w:val="none"/>
        </w:rPr>
        <w:t>元整（大写：</w:t>
      </w:r>
      <w:r>
        <w:rPr>
          <w:rFonts w:hint="eastAsia" w:ascii="黑体" w:hAnsi="黑体" w:eastAsia="黑体" w:cs="黑体"/>
          <w:color w:val="auto"/>
          <w:sz w:val="24"/>
          <w:szCs w:val="24"/>
          <w:highlight w:val="none"/>
          <w:lang w:val="en-US" w:eastAsia="zh-CN"/>
        </w:rPr>
        <w:t>伍仟元整</w:t>
      </w:r>
      <w:r>
        <w:rPr>
          <w:rFonts w:hint="eastAsia" w:ascii="黑体" w:hAnsi="黑体" w:eastAsia="黑体" w:cs="黑体"/>
          <w:color w:val="auto"/>
          <w:sz w:val="24"/>
          <w:szCs w:val="24"/>
          <w:highlight w:val="none"/>
        </w:rPr>
        <w:t>）计取。</w:t>
      </w:r>
    </w:p>
    <w:p w14:paraId="4588E88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（二）采购代理服务费缴纳账户信息：</w:t>
      </w:r>
    </w:p>
    <w:p w14:paraId="2B5BE74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户  名：重庆同诚工程项目管理咨询有限公司</w:t>
      </w:r>
    </w:p>
    <w:p w14:paraId="3333306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开户行：农行重庆两江金开支行</w:t>
      </w:r>
    </w:p>
    <w:p w14:paraId="7C5DCC1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  号：31080901040004436</w:t>
      </w:r>
    </w:p>
    <w:p w14:paraId="507DB67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十、签订合同</w:t>
      </w:r>
    </w:p>
    <w:p w14:paraId="0F2B979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bCs/>
          <w:color w:val="auto"/>
          <w:sz w:val="24"/>
          <w:highlight w:val="none"/>
        </w:rPr>
        <w:t>公示</w:t>
      </w:r>
      <w:r>
        <w:rPr>
          <w:rFonts w:hint="eastAsia" w:ascii="黑体" w:hAnsi="黑体" w:eastAsia="黑体" w:cs="黑体"/>
          <w:bCs/>
          <w:color w:val="auto"/>
          <w:sz w:val="24"/>
          <w:highlight w:val="none"/>
          <w:lang w:val="en-US" w:eastAsia="zh-CN"/>
        </w:rPr>
        <w:t>结束</w:t>
      </w:r>
      <w:r>
        <w:rPr>
          <w:rFonts w:hint="eastAsia" w:ascii="黑体" w:hAnsi="黑体" w:eastAsia="黑体" w:cs="黑体"/>
          <w:bCs/>
          <w:color w:val="auto"/>
          <w:sz w:val="24"/>
          <w:highlight w:val="none"/>
        </w:rPr>
        <w:t>后</w:t>
      </w:r>
      <w:r>
        <w:rPr>
          <w:rFonts w:hint="eastAsia" w:ascii="黑体" w:hAnsi="黑体" w:eastAsia="黑体" w:cs="黑体"/>
          <w:bCs/>
          <w:color w:val="auto"/>
          <w:sz w:val="24"/>
          <w:highlight w:val="none"/>
          <w:lang w:val="en-US" w:eastAsia="zh-CN"/>
        </w:rPr>
        <w:t>成交供应商</w:t>
      </w:r>
      <w:r>
        <w:rPr>
          <w:rFonts w:hint="eastAsia" w:ascii="黑体" w:hAnsi="黑体" w:eastAsia="黑体" w:cs="黑体"/>
          <w:bCs/>
          <w:color w:val="auto"/>
          <w:sz w:val="24"/>
          <w:highlight w:val="none"/>
        </w:rPr>
        <w:t>需立即与采购人联系并在</w:t>
      </w:r>
      <w:r>
        <w:rPr>
          <w:rFonts w:hint="eastAsia" w:ascii="黑体" w:hAnsi="黑体" w:eastAsia="黑体" w:cs="黑体"/>
          <w:color w:val="auto"/>
          <w:sz w:val="24"/>
          <w:szCs w:val="24"/>
          <w:highlight w:val="none"/>
        </w:rPr>
        <w:t>20日内签订采购合同和购销廉政协议</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成交供应商拒绝</w:t>
      </w:r>
      <w:r>
        <w:rPr>
          <w:rFonts w:hint="eastAsia" w:ascii="黑体" w:hAnsi="黑体" w:eastAsia="黑体" w:cs="黑体"/>
          <w:color w:val="auto"/>
          <w:sz w:val="24"/>
          <w:szCs w:val="24"/>
          <w:highlight w:val="none"/>
          <w:lang w:val="en-US" w:eastAsia="zh-CN"/>
        </w:rPr>
        <w:t>缴纳履约保证金（如有）或拒绝</w:t>
      </w:r>
      <w:r>
        <w:rPr>
          <w:rFonts w:hint="eastAsia" w:ascii="黑体" w:hAnsi="黑体" w:eastAsia="黑体" w:cs="黑体"/>
          <w:color w:val="auto"/>
          <w:sz w:val="24"/>
          <w:szCs w:val="24"/>
          <w:highlight w:val="none"/>
        </w:rPr>
        <w:t>签订</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履行采购合同，采购人将向采购平台管理部门书面投诉，同时</w:t>
      </w:r>
      <w:r>
        <w:rPr>
          <w:rFonts w:hint="eastAsia" w:ascii="黑体" w:hAnsi="黑体" w:eastAsia="黑体" w:cs="黑体"/>
          <w:color w:val="auto"/>
          <w:sz w:val="24"/>
          <w:szCs w:val="24"/>
          <w:highlight w:val="none"/>
          <w:lang w:val="en-US" w:eastAsia="zh-CN"/>
        </w:rPr>
        <w:t>将中标人</w:t>
      </w:r>
      <w:r>
        <w:rPr>
          <w:rFonts w:hint="eastAsia" w:ascii="黑体" w:hAnsi="黑体" w:eastAsia="黑体" w:cs="黑体"/>
          <w:color w:val="auto"/>
          <w:sz w:val="24"/>
          <w:szCs w:val="24"/>
          <w:highlight w:val="none"/>
        </w:rPr>
        <w:t>纳入采购人</w:t>
      </w:r>
      <w:r>
        <w:rPr>
          <w:rFonts w:hint="eastAsia" w:ascii="黑体" w:hAnsi="黑体" w:eastAsia="黑体" w:cs="黑体"/>
          <w:color w:val="auto"/>
          <w:sz w:val="24"/>
          <w:szCs w:val="24"/>
          <w:highlight w:val="none"/>
          <w:lang w:val="en-US" w:eastAsia="zh-CN"/>
        </w:rPr>
        <w:t>供应商不良行为库</w:t>
      </w:r>
      <w:r>
        <w:rPr>
          <w:rFonts w:hint="eastAsia" w:ascii="黑体" w:hAnsi="黑体" w:eastAsia="黑体" w:cs="黑体"/>
          <w:color w:val="auto"/>
          <w:sz w:val="24"/>
          <w:szCs w:val="24"/>
          <w:highlight w:val="none"/>
        </w:rPr>
        <w:t>进行管理。</w:t>
      </w:r>
    </w:p>
    <w:p w14:paraId="6D84D07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（二）竞争性比选文件、成交供应商的响应文件及澄清文件等，均为签订政府采购合同的依据。</w:t>
      </w:r>
    </w:p>
    <w:p w14:paraId="0B48FA2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（三）合同生效条款由供需双方约定，法律、行政法规规定应当办理批准、登记等手续后生效的合同，依照其规定。</w:t>
      </w:r>
    </w:p>
    <w:p w14:paraId="5C97895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（四）合同应根据竞争性比选文件以及成交供应商的响应文件签订。</w:t>
      </w:r>
    </w:p>
    <w:p w14:paraId="640CE9C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（五）其他未尽事宜由供需双方在采购合同中详细约定。</w:t>
      </w:r>
    </w:p>
    <w:p w14:paraId="1EE796A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十一、其他规定</w:t>
      </w:r>
    </w:p>
    <w:p w14:paraId="180E018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highlight w:val="none"/>
        </w:rPr>
      </w:pPr>
      <w:r>
        <w:rPr>
          <w:rFonts w:hint="eastAsia" w:ascii="黑体" w:hAnsi="黑体" w:eastAsia="黑体" w:cs="黑体"/>
          <w:color w:val="auto"/>
          <w:sz w:val="24"/>
          <w:szCs w:val="24"/>
          <w:highlight w:val="none"/>
          <w:lang w:val="en-US" w:eastAsia="zh-CN"/>
        </w:rPr>
        <w:t>无</w:t>
      </w:r>
      <w:r>
        <w:rPr>
          <w:rFonts w:hint="eastAsia" w:ascii="黑体" w:hAnsi="黑体" w:eastAsia="黑体" w:cs="黑体"/>
          <w:color w:val="auto"/>
          <w:sz w:val="24"/>
          <w:highlight w:val="none"/>
        </w:rPr>
        <w:br w:type="page"/>
      </w:r>
    </w:p>
    <w:p w14:paraId="5D4BBFCC">
      <w:pPr>
        <w:pStyle w:val="3"/>
        <w:spacing w:before="0" w:beforeLines="0" w:after="0" w:afterLines="0" w:line="360" w:lineRule="auto"/>
        <w:rPr>
          <w:rFonts w:hint="eastAsia" w:ascii="黑体" w:hAnsi="黑体" w:eastAsia="黑体" w:cs="黑体"/>
          <w:b/>
          <w:color w:val="auto"/>
          <w:highlight w:val="none"/>
        </w:rPr>
      </w:pPr>
      <w:bookmarkStart w:id="150" w:name="_Toc9705"/>
      <w:r>
        <w:rPr>
          <w:rFonts w:hint="eastAsia" w:ascii="黑体" w:hAnsi="黑体" w:eastAsia="黑体" w:cs="黑体"/>
          <w:b/>
          <w:color w:val="auto"/>
          <w:highlight w:val="none"/>
        </w:rPr>
        <w:t>第六篇  政府采购合同格式</w:t>
      </w:r>
      <w:bookmarkEnd w:id="150"/>
    </w:p>
    <w:p w14:paraId="5831DC42">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重庆市政府采购合同</w:t>
      </w:r>
    </w:p>
    <w:p w14:paraId="187C0759">
      <w:pPr>
        <w:jc w:val="center"/>
        <w:rPr>
          <w:rFonts w:hint="eastAsia" w:ascii="黑体" w:hAnsi="黑体" w:eastAsia="黑体" w:cs="黑体"/>
          <w:color w:val="auto"/>
          <w:sz w:val="36"/>
          <w:szCs w:val="36"/>
          <w:highlight w:val="none"/>
        </w:rPr>
      </w:pPr>
      <w:r>
        <w:rPr>
          <w:rFonts w:hint="eastAsia" w:ascii="黑体" w:hAnsi="黑体" w:eastAsia="黑体" w:cs="黑体"/>
          <w:color w:val="auto"/>
          <w:sz w:val="24"/>
          <w:szCs w:val="24"/>
          <w:highlight w:val="none"/>
        </w:rPr>
        <w:t>（项目</w:t>
      </w:r>
      <w:r>
        <w:rPr>
          <w:rFonts w:hint="eastAsia" w:ascii="黑体" w:hAnsi="黑体" w:eastAsia="黑体" w:cs="黑体"/>
          <w:color w:val="auto"/>
          <w:sz w:val="24"/>
          <w:szCs w:val="24"/>
          <w:highlight w:val="none"/>
          <w:lang w:val="en-US" w:eastAsia="zh-CN"/>
        </w:rPr>
        <w:t>编</w:t>
      </w:r>
      <w:r>
        <w:rPr>
          <w:rFonts w:hint="eastAsia" w:ascii="黑体" w:hAnsi="黑体" w:eastAsia="黑体" w:cs="黑体"/>
          <w:color w:val="auto"/>
          <w:sz w:val="24"/>
          <w:szCs w:val="24"/>
          <w:highlight w:val="none"/>
        </w:rPr>
        <w:t>号：     ）</w:t>
      </w:r>
    </w:p>
    <w:p w14:paraId="2089B84F">
      <w:pPr>
        <w:rPr>
          <w:rFonts w:hint="eastAsia" w:ascii="黑体" w:hAnsi="黑体" w:eastAsia="黑体" w:cs="黑体"/>
          <w:color w:val="auto"/>
          <w:sz w:val="24"/>
          <w:highlight w:val="none"/>
        </w:rPr>
      </w:pPr>
      <w:r>
        <w:rPr>
          <w:rFonts w:hint="eastAsia" w:ascii="黑体" w:hAnsi="黑体" w:eastAsia="黑体" w:cs="黑体"/>
          <w:color w:val="auto"/>
          <w:sz w:val="24"/>
          <w:highlight w:val="none"/>
        </w:rPr>
        <w:t>甲方（需方）：___________________________      计价单位：____________</w:t>
      </w:r>
    </w:p>
    <w:p w14:paraId="3C3892B1">
      <w:pPr>
        <w:rPr>
          <w:rFonts w:hint="eastAsia" w:ascii="黑体" w:hAnsi="黑体" w:eastAsia="黑体" w:cs="黑体"/>
          <w:color w:val="auto"/>
          <w:sz w:val="24"/>
          <w:highlight w:val="none"/>
        </w:rPr>
      </w:pPr>
      <w:r>
        <w:rPr>
          <w:rFonts w:hint="eastAsia" w:ascii="黑体" w:hAnsi="黑体" w:eastAsia="黑体" w:cs="黑体"/>
          <w:color w:val="auto"/>
          <w:sz w:val="24"/>
          <w:highlight w:val="none"/>
        </w:rPr>
        <w:t>乙方（供方）：___________________________      计量单位：_____________</w:t>
      </w:r>
    </w:p>
    <w:p w14:paraId="1C8F1BD1">
      <w:pPr>
        <w:rPr>
          <w:rFonts w:hint="eastAsia" w:ascii="黑体" w:hAnsi="黑体" w:eastAsia="黑体" w:cs="黑体"/>
          <w:color w:val="auto"/>
          <w:sz w:val="24"/>
          <w:highlight w:val="none"/>
        </w:rPr>
      </w:pPr>
    </w:p>
    <w:p w14:paraId="47A37520">
      <w:pPr>
        <w:rPr>
          <w:rFonts w:hint="eastAsia" w:ascii="黑体" w:hAnsi="黑体" w:eastAsia="黑体" w:cs="黑体"/>
          <w:color w:val="auto"/>
          <w:sz w:val="24"/>
          <w:highlight w:val="none"/>
        </w:rPr>
      </w:pPr>
      <w:r>
        <w:rPr>
          <w:rFonts w:hint="eastAsia" w:ascii="黑体" w:hAnsi="黑体" w:eastAsia="黑体" w:cs="黑体"/>
          <w:color w:val="auto"/>
          <w:sz w:val="24"/>
          <w:highlight w:val="none"/>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1EF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302BEBB">
            <w:pPr>
              <w:rPr>
                <w:rFonts w:hint="eastAsia" w:ascii="黑体" w:hAnsi="黑体" w:eastAsia="黑体" w:cs="黑体"/>
                <w:color w:val="auto"/>
                <w:sz w:val="24"/>
                <w:highlight w:val="none"/>
              </w:rPr>
            </w:pPr>
            <w:r>
              <w:rPr>
                <w:rFonts w:hint="eastAsia" w:ascii="黑体" w:hAnsi="黑体" w:eastAsia="黑体" w:cs="黑体"/>
                <w:color w:val="auto"/>
                <w:sz w:val="24"/>
                <w:highlight w:val="none"/>
              </w:rPr>
              <w:t>商品名称</w:t>
            </w:r>
          </w:p>
        </w:tc>
        <w:tc>
          <w:tcPr>
            <w:tcW w:w="1741" w:type="dxa"/>
            <w:noWrap w:val="0"/>
            <w:vAlign w:val="center"/>
          </w:tcPr>
          <w:p w14:paraId="1CA33A89">
            <w:pPr>
              <w:rPr>
                <w:rFonts w:hint="eastAsia" w:ascii="黑体" w:hAnsi="黑体" w:eastAsia="黑体" w:cs="黑体"/>
                <w:color w:val="auto"/>
                <w:sz w:val="24"/>
                <w:highlight w:val="none"/>
              </w:rPr>
            </w:pPr>
            <w:r>
              <w:rPr>
                <w:rFonts w:hint="eastAsia" w:ascii="黑体" w:hAnsi="黑体" w:eastAsia="黑体" w:cs="黑体"/>
                <w:color w:val="auto"/>
                <w:sz w:val="24"/>
                <w:highlight w:val="none"/>
              </w:rPr>
              <w:t>规格型号</w:t>
            </w:r>
          </w:p>
        </w:tc>
        <w:tc>
          <w:tcPr>
            <w:tcW w:w="984" w:type="dxa"/>
            <w:noWrap w:val="0"/>
            <w:vAlign w:val="center"/>
          </w:tcPr>
          <w:p w14:paraId="0C84A012">
            <w:pPr>
              <w:rPr>
                <w:rFonts w:hint="eastAsia" w:ascii="黑体" w:hAnsi="黑体" w:eastAsia="黑体" w:cs="黑体"/>
                <w:color w:val="auto"/>
                <w:sz w:val="24"/>
                <w:highlight w:val="none"/>
              </w:rPr>
            </w:pPr>
            <w:r>
              <w:rPr>
                <w:rFonts w:hint="eastAsia" w:ascii="黑体" w:hAnsi="黑体" w:eastAsia="黑体" w:cs="黑体"/>
                <w:color w:val="auto"/>
                <w:sz w:val="24"/>
                <w:highlight w:val="none"/>
              </w:rPr>
              <w:t>数量</w:t>
            </w:r>
          </w:p>
        </w:tc>
        <w:tc>
          <w:tcPr>
            <w:tcW w:w="1298" w:type="dxa"/>
            <w:gridSpan w:val="2"/>
            <w:noWrap w:val="0"/>
            <w:vAlign w:val="center"/>
          </w:tcPr>
          <w:p w14:paraId="66241062">
            <w:pPr>
              <w:rPr>
                <w:rFonts w:hint="eastAsia" w:ascii="黑体" w:hAnsi="黑体" w:eastAsia="黑体" w:cs="黑体"/>
                <w:color w:val="auto"/>
                <w:sz w:val="24"/>
                <w:highlight w:val="none"/>
              </w:rPr>
            </w:pPr>
            <w:r>
              <w:rPr>
                <w:rFonts w:hint="eastAsia" w:ascii="黑体" w:hAnsi="黑体" w:eastAsia="黑体" w:cs="黑体"/>
                <w:color w:val="auto"/>
                <w:sz w:val="24"/>
                <w:highlight w:val="none"/>
              </w:rPr>
              <w:t>综合单价</w:t>
            </w:r>
          </w:p>
        </w:tc>
        <w:tc>
          <w:tcPr>
            <w:tcW w:w="1134" w:type="dxa"/>
            <w:noWrap w:val="0"/>
            <w:vAlign w:val="center"/>
          </w:tcPr>
          <w:p w14:paraId="7488A4C6">
            <w:pPr>
              <w:rPr>
                <w:rFonts w:hint="eastAsia" w:ascii="黑体" w:hAnsi="黑体" w:eastAsia="黑体" w:cs="黑体"/>
                <w:color w:val="auto"/>
                <w:sz w:val="24"/>
                <w:highlight w:val="none"/>
              </w:rPr>
            </w:pPr>
            <w:r>
              <w:rPr>
                <w:rFonts w:hint="eastAsia" w:ascii="黑体" w:hAnsi="黑体" w:eastAsia="黑体" w:cs="黑体"/>
                <w:color w:val="auto"/>
                <w:sz w:val="24"/>
                <w:highlight w:val="none"/>
              </w:rPr>
              <w:t>总价</w:t>
            </w:r>
          </w:p>
        </w:tc>
        <w:tc>
          <w:tcPr>
            <w:tcW w:w="1559" w:type="dxa"/>
            <w:noWrap w:val="0"/>
            <w:vAlign w:val="center"/>
          </w:tcPr>
          <w:p w14:paraId="4E3A9F60">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交货时间</w:t>
            </w:r>
          </w:p>
        </w:tc>
        <w:tc>
          <w:tcPr>
            <w:tcW w:w="1567" w:type="dxa"/>
            <w:noWrap w:val="0"/>
            <w:vAlign w:val="center"/>
          </w:tcPr>
          <w:p w14:paraId="60038D4D">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交货地点</w:t>
            </w:r>
          </w:p>
        </w:tc>
      </w:tr>
      <w:tr w14:paraId="0740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7BEA300">
            <w:pPr>
              <w:rPr>
                <w:rFonts w:hint="eastAsia" w:ascii="黑体" w:hAnsi="黑体" w:eastAsia="黑体" w:cs="黑体"/>
                <w:color w:val="auto"/>
                <w:sz w:val="24"/>
                <w:highlight w:val="none"/>
              </w:rPr>
            </w:pPr>
          </w:p>
        </w:tc>
        <w:tc>
          <w:tcPr>
            <w:tcW w:w="1741" w:type="dxa"/>
            <w:noWrap w:val="0"/>
            <w:vAlign w:val="center"/>
          </w:tcPr>
          <w:p w14:paraId="54AD39B5">
            <w:pPr>
              <w:rPr>
                <w:rFonts w:hint="eastAsia" w:ascii="黑体" w:hAnsi="黑体" w:eastAsia="黑体" w:cs="黑体"/>
                <w:color w:val="auto"/>
                <w:sz w:val="24"/>
                <w:highlight w:val="none"/>
              </w:rPr>
            </w:pPr>
          </w:p>
        </w:tc>
        <w:tc>
          <w:tcPr>
            <w:tcW w:w="984" w:type="dxa"/>
            <w:noWrap w:val="0"/>
            <w:vAlign w:val="center"/>
          </w:tcPr>
          <w:p w14:paraId="486FBC86">
            <w:pPr>
              <w:rPr>
                <w:rFonts w:hint="eastAsia" w:ascii="黑体" w:hAnsi="黑体" w:eastAsia="黑体" w:cs="黑体"/>
                <w:color w:val="auto"/>
                <w:sz w:val="24"/>
                <w:highlight w:val="none"/>
              </w:rPr>
            </w:pPr>
          </w:p>
        </w:tc>
        <w:tc>
          <w:tcPr>
            <w:tcW w:w="1298" w:type="dxa"/>
            <w:gridSpan w:val="2"/>
            <w:noWrap w:val="0"/>
            <w:vAlign w:val="center"/>
          </w:tcPr>
          <w:p w14:paraId="2625D219">
            <w:pPr>
              <w:rPr>
                <w:rFonts w:hint="eastAsia" w:ascii="黑体" w:hAnsi="黑体" w:eastAsia="黑体" w:cs="黑体"/>
                <w:color w:val="auto"/>
                <w:sz w:val="24"/>
                <w:highlight w:val="none"/>
              </w:rPr>
            </w:pPr>
          </w:p>
        </w:tc>
        <w:tc>
          <w:tcPr>
            <w:tcW w:w="1134" w:type="dxa"/>
            <w:noWrap w:val="0"/>
            <w:vAlign w:val="center"/>
          </w:tcPr>
          <w:p w14:paraId="441CCD46">
            <w:pPr>
              <w:rPr>
                <w:rFonts w:hint="eastAsia" w:ascii="黑体" w:hAnsi="黑体" w:eastAsia="黑体" w:cs="黑体"/>
                <w:color w:val="auto"/>
                <w:sz w:val="24"/>
                <w:highlight w:val="none"/>
              </w:rPr>
            </w:pPr>
          </w:p>
        </w:tc>
        <w:tc>
          <w:tcPr>
            <w:tcW w:w="1559" w:type="dxa"/>
            <w:noWrap w:val="0"/>
            <w:vAlign w:val="center"/>
          </w:tcPr>
          <w:p w14:paraId="680C131F">
            <w:pPr>
              <w:rPr>
                <w:rFonts w:hint="eastAsia" w:ascii="黑体" w:hAnsi="黑体" w:eastAsia="黑体" w:cs="黑体"/>
                <w:color w:val="auto"/>
                <w:sz w:val="24"/>
                <w:highlight w:val="none"/>
              </w:rPr>
            </w:pPr>
          </w:p>
        </w:tc>
        <w:tc>
          <w:tcPr>
            <w:tcW w:w="1567" w:type="dxa"/>
            <w:noWrap w:val="0"/>
            <w:vAlign w:val="center"/>
          </w:tcPr>
          <w:p w14:paraId="4C62960C">
            <w:pPr>
              <w:rPr>
                <w:rFonts w:hint="eastAsia" w:ascii="黑体" w:hAnsi="黑体" w:eastAsia="黑体" w:cs="黑体"/>
                <w:color w:val="auto"/>
                <w:sz w:val="24"/>
                <w:highlight w:val="none"/>
              </w:rPr>
            </w:pPr>
          </w:p>
        </w:tc>
      </w:tr>
      <w:tr w14:paraId="0D82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B7B76AB">
            <w:pPr>
              <w:rPr>
                <w:rFonts w:hint="eastAsia" w:ascii="黑体" w:hAnsi="黑体" w:eastAsia="黑体" w:cs="黑体"/>
                <w:color w:val="auto"/>
                <w:sz w:val="24"/>
                <w:highlight w:val="none"/>
              </w:rPr>
            </w:pPr>
          </w:p>
        </w:tc>
        <w:tc>
          <w:tcPr>
            <w:tcW w:w="1741" w:type="dxa"/>
            <w:noWrap w:val="0"/>
            <w:vAlign w:val="center"/>
          </w:tcPr>
          <w:p w14:paraId="611A551E">
            <w:pPr>
              <w:rPr>
                <w:rFonts w:hint="eastAsia" w:ascii="黑体" w:hAnsi="黑体" w:eastAsia="黑体" w:cs="黑体"/>
                <w:color w:val="auto"/>
                <w:sz w:val="24"/>
                <w:highlight w:val="none"/>
              </w:rPr>
            </w:pPr>
          </w:p>
        </w:tc>
        <w:tc>
          <w:tcPr>
            <w:tcW w:w="984" w:type="dxa"/>
            <w:noWrap w:val="0"/>
            <w:vAlign w:val="center"/>
          </w:tcPr>
          <w:p w14:paraId="7C5E926A">
            <w:pPr>
              <w:rPr>
                <w:rFonts w:hint="eastAsia" w:ascii="黑体" w:hAnsi="黑体" w:eastAsia="黑体" w:cs="黑体"/>
                <w:color w:val="auto"/>
                <w:sz w:val="24"/>
                <w:highlight w:val="none"/>
              </w:rPr>
            </w:pPr>
          </w:p>
        </w:tc>
        <w:tc>
          <w:tcPr>
            <w:tcW w:w="1298" w:type="dxa"/>
            <w:gridSpan w:val="2"/>
            <w:noWrap w:val="0"/>
            <w:vAlign w:val="center"/>
          </w:tcPr>
          <w:p w14:paraId="2429817F">
            <w:pPr>
              <w:rPr>
                <w:rFonts w:hint="eastAsia" w:ascii="黑体" w:hAnsi="黑体" w:eastAsia="黑体" w:cs="黑体"/>
                <w:color w:val="auto"/>
                <w:sz w:val="24"/>
                <w:highlight w:val="none"/>
              </w:rPr>
            </w:pPr>
          </w:p>
        </w:tc>
        <w:tc>
          <w:tcPr>
            <w:tcW w:w="1134" w:type="dxa"/>
            <w:noWrap w:val="0"/>
            <w:vAlign w:val="center"/>
          </w:tcPr>
          <w:p w14:paraId="4DD6B571">
            <w:pPr>
              <w:rPr>
                <w:rFonts w:hint="eastAsia" w:ascii="黑体" w:hAnsi="黑体" w:eastAsia="黑体" w:cs="黑体"/>
                <w:color w:val="auto"/>
                <w:sz w:val="24"/>
                <w:highlight w:val="none"/>
              </w:rPr>
            </w:pPr>
          </w:p>
        </w:tc>
        <w:tc>
          <w:tcPr>
            <w:tcW w:w="1559" w:type="dxa"/>
            <w:noWrap w:val="0"/>
            <w:vAlign w:val="center"/>
          </w:tcPr>
          <w:p w14:paraId="57D44250">
            <w:pPr>
              <w:rPr>
                <w:rFonts w:hint="eastAsia" w:ascii="黑体" w:hAnsi="黑体" w:eastAsia="黑体" w:cs="黑体"/>
                <w:color w:val="auto"/>
                <w:sz w:val="24"/>
                <w:highlight w:val="none"/>
              </w:rPr>
            </w:pPr>
          </w:p>
        </w:tc>
        <w:tc>
          <w:tcPr>
            <w:tcW w:w="1567" w:type="dxa"/>
            <w:noWrap w:val="0"/>
            <w:vAlign w:val="center"/>
          </w:tcPr>
          <w:p w14:paraId="2AD011C1">
            <w:pPr>
              <w:rPr>
                <w:rFonts w:hint="eastAsia" w:ascii="黑体" w:hAnsi="黑体" w:eastAsia="黑体" w:cs="黑体"/>
                <w:color w:val="auto"/>
                <w:sz w:val="24"/>
                <w:highlight w:val="none"/>
              </w:rPr>
            </w:pPr>
          </w:p>
        </w:tc>
      </w:tr>
      <w:tr w14:paraId="3986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ED2AB72">
            <w:pPr>
              <w:rPr>
                <w:rFonts w:hint="eastAsia" w:ascii="黑体" w:hAnsi="黑体" w:eastAsia="黑体" w:cs="黑体"/>
                <w:color w:val="auto"/>
                <w:sz w:val="24"/>
                <w:highlight w:val="none"/>
              </w:rPr>
            </w:pPr>
          </w:p>
        </w:tc>
        <w:tc>
          <w:tcPr>
            <w:tcW w:w="1741" w:type="dxa"/>
            <w:noWrap w:val="0"/>
            <w:vAlign w:val="center"/>
          </w:tcPr>
          <w:p w14:paraId="3B9D17C8">
            <w:pPr>
              <w:rPr>
                <w:rFonts w:hint="eastAsia" w:ascii="黑体" w:hAnsi="黑体" w:eastAsia="黑体" w:cs="黑体"/>
                <w:color w:val="auto"/>
                <w:sz w:val="24"/>
                <w:highlight w:val="none"/>
              </w:rPr>
            </w:pPr>
          </w:p>
        </w:tc>
        <w:tc>
          <w:tcPr>
            <w:tcW w:w="984" w:type="dxa"/>
            <w:noWrap w:val="0"/>
            <w:vAlign w:val="center"/>
          </w:tcPr>
          <w:p w14:paraId="0AEACF89">
            <w:pPr>
              <w:rPr>
                <w:rFonts w:hint="eastAsia" w:ascii="黑体" w:hAnsi="黑体" w:eastAsia="黑体" w:cs="黑体"/>
                <w:color w:val="auto"/>
                <w:sz w:val="24"/>
                <w:highlight w:val="none"/>
              </w:rPr>
            </w:pPr>
          </w:p>
        </w:tc>
        <w:tc>
          <w:tcPr>
            <w:tcW w:w="1298" w:type="dxa"/>
            <w:gridSpan w:val="2"/>
            <w:noWrap w:val="0"/>
            <w:vAlign w:val="center"/>
          </w:tcPr>
          <w:p w14:paraId="50EE76E4">
            <w:pPr>
              <w:rPr>
                <w:rFonts w:hint="eastAsia" w:ascii="黑体" w:hAnsi="黑体" w:eastAsia="黑体" w:cs="黑体"/>
                <w:color w:val="auto"/>
                <w:sz w:val="24"/>
                <w:highlight w:val="none"/>
              </w:rPr>
            </w:pPr>
          </w:p>
        </w:tc>
        <w:tc>
          <w:tcPr>
            <w:tcW w:w="1134" w:type="dxa"/>
            <w:noWrap w:val="0"/>
            <w:vAlign w:val="center"/>
          </w:tcPr>
          <w:p w14:paraId="41AEBE5F">
            <w:pPr>
              <w:rPr>
                <w:rFonts w:hint="eastAsia" w:ascii="黑体" w:hAnsi="黑体" w:eastAsia="黑体" w:cs="黑体"/>
                <w:color w:val="auto"/>
                <w:sz w:val="24"/>
                <w:highlight w:val="none"/>
              </w:rPr>
            </w:pPr>
          </w:p>
        </w:tc>
        <w:tc>
          <w:tcPr>
            <w:tcW w:w="1559" w:type="dxa"/>
            <w:noWrap w:val="0"/>
            <w:vAlign w:val="center"/>
          </w:tcPr>
          <w:p w14:paraId="614F14A2">
            <w:pPr>
              <w:rPr>
                <w:rFonts w:hint="eastAsia" w:ascii="黑体" w:hAnsi="黑体" w:eastAsia="黑体" w:cs="黑体"/>
                <w:color w:val="auto"/>
                <w:sz w:val="24"/>
                <w:highlight w:val="none"/>
              </w:rPr>
            </w:pPr>
          </w:p>
        </w:tc>
        <w:tc>
          <w:tcPr>
            <w:tcW w:w="1567" w:type="dxa"/>
            <w:noWrap w:val="0"/>
            <w:vAlign w:val="center"/>
          </w:tcPr>
          <w:p w14:paraId="4E3E78CB">
            <w:pPr>
              <w:rPr>
                <w:rFonts w:hint="eastAsia" w:ascii="黑体" w:hAnsi="黑体" w:eastAsia="黑体" w:cs="黑体"/>
                <w:color w:val="auto"/>
                <w:sz w:val="24"/>
                <w:highlight w:val="none"/>
              </w:rPr>
            </w:pPr>
          </w:p>
        </w:tc>
      </w:tr>
      <w:tr w14:paraId="6F66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07C5465">
            <w:pPr>
              <w:rPr>
                <w:rFonts w:hint="eastAsia" w:ascii="黑体" w:hAnsi="黑体" w:eastAsia="黑体" w:cs="黑体"/>
                <w:color w:val="auto"/>
                <w:sz w:val="24"/>
                <w:highlight w:val="none"/>
              </w:rPr>
            </w:pPr>
          </w:p>
        </w:tc>
        <w:tc>
          <w:tcPr>
            <w:tcW w:w="1741" w:type="dxa"/>
            <w:noWrap w:val="0"/>
            <w:vAlign w:val="center"/>
          </w:tcPr>
          <w:p w14:paraId="49EDE1F5">
            <w:pPr>
              <w:rPr>
                <w:rFonts w:hint="eastAsia" w:ascii="黑体" w:hAnsi="黑体" w:eastAsia="黑体" w:cs="黑体"/>
                <w:color w:val="auto"/>
                <w:sz w:val="24"/>
                <w:highlight w:val="none"/>
              </w:rPr>
            </w:pPr>
          </w:p>
        </w:tc>
        <w:tc>
          <w:tcPr>
            <w:tcW w:w="984" w:type="dxa"/>
            <w:noWrap w:val="0"/>
            <w:vAlign w:val="center"/>
          </w:tcPr>
          <w:p w14:paraId="6C9C7DAC">
            <w:pPr>
              <w:rPr>
                <w:rFonts w:hint="eastAsia" w:ascii="黑体" w:hAnsi="黑体" w:eastAsia="黑体" w:cs="黑体"/>
                <w:color w:val="auto"/>
                <w:sz w:val="24"/>
                <w:highlight w:val="none"/>
              </w:rPr>
            </w:pPr>
          </w:p>
        </w:tc>
        <w:tc>
          <w:tcPr>
            <w:tcW w:w="1298" w:type="dxa"/>
            <w:gridSpan w:val="2"/>
            <w:noWrap w:val="0"/>
            <w:vAlign w:val="center"/>
          </w:tcPr>
          <w:p w14:paraId="70E6644C">
            <w:pPr>
              <w:rPr>
                <w:rFonts w:hint="eastAsia" w:ascii="黑体" w:hAnsi="黑体" w:eastAsia="黑体" w:cs="黑体"/>
                <w:color w:val="auto"/>
                <w:sz w:val="24"/>
                <w:highlight w:val="none"/>
              </w:rPr>
            </w:pPr>
          </w:p>
        </w:tc>
        <w:tc>
          <w:tcPr>
            <w:tcW w:w="1134" w:type="dxa"/>
            <w:noWrap w:val="0"/>
            <w:vAlign w:val="center"/>
          </w:tcPr>
          <w:p w14:paraId="3A3D6FD5">
            <w:pPr>
              <w:rPr>
                <w:rFonts w:hint="eastAsia" w:ascii="黑体" w:hAnsi="黑体" w:eastAsia="黑体" w:cs="黑体"/>
                <w:color w:val="auto"/>
                <w:sz w:val="24"/>
                <w:highlight w:val="none"/>
              </w:rPr>
            </w:pPr>
          </w:p>
        </w:tc>
        <w:tc>
          <w:tcPr>
            <w:tcW w:w="1559" w:type="dxa"/>
            <w:noWrap w:val="0"/>
            <w:vAlign w:val="center"/>
          </w:tcPr>
          <w:p w14:paraId="7A7669F5">
            <w:pPr>
              <w:rPr>
                <w:rFonts w:hint="eastAsia" w:ascii="黑体" w:hAnsi="黑体" w:eastAsia="黑体" w:cs="黑体"/>
                <w:color w:val="auto"/>
                <w:sz w:val="24"/>
                <w:highlight w:val="none"/>
              </w:rPr>
            </w:pPr>
          </w:p>
        </w:tc>
        <w:tc>
          <w:tcPr>
            <w:tcW w:w="1567" w:type="dxa"/>
            <w:noWrap w:val="0"/>
            <w:vAlign w:val="center"/>
          </w:tcPr>
          <w:p w14:paraId="0FCE980F">
            <w:pPr>
              <w:rPr>
                <w:rFonts w:hint="eastAsia" w:ascii="黑体" w:hAnsi="黑体" w:eastAsia="黑体" w:cs="黑体"/>
                <w:color w:val="auto"/>
                <w:sz w:val="24"/>
                <w:highlight w:val="none"/>
              </w:rPr>
            </w:pPr>
          </w:p>
        </w:tc>
      </w:tr>
      <w:tr w14:paraId="7A3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074926">
            <w:pPr>
              <w:rPr>
                <w:rFonts w:hint="eastAsia" w:ascii="黑体" w:hAnsi="黑体" w:eastAsia="黑体" w:cs="黑体"/>
                <w:color w:val="auto"/>
                <w:sz w:val="24"/>
                <w:highlight w:val="none"/>
              </w:rPr>
            </w:pPr>
          </w:p>
        </w:tc>
        <w:tc>
          <w:tcPr>
            <w:tcW w:w="1741" w:type="dxa"/>
            <w:noWrap w:val="0"/>
            <w:vAlign w:val="center"/>
          </w:tcPr>
          <w:p w14:paraId="060FABC4">
            <w:pPr>
              <w:rPr>
                <w:rFonts w:hint="eastAsia" w:ascii="黑体" w:hAnsi="黑体" w:eastAsia="黑体" w:cs="黑体"/>
                <w:color w:val="auto"/>
                <w:sz w:val="24"/>
                <w:highlight w:val="none"/>
              </w:rPr>
            </w:pPr>
          </w:p>
        </w:tc>
        <w:tc>
          <w:tcPr>
            <w:tcW w:w="984" w:type="dxa"/>
            <w:noWrap w:val="0"/>
            <w:vAlign w:val="center"/>
          </w:tcPr>
          <w:p w14:paraId="1608D3B7">
            <w:pPr>
              <w:rPr>
                <w:rFonts w:hint="eastAsia" w:ascii="黑体" w:hAnsi="黑体" w:eastAsia="黑体" w:cs="黑体"/>
                <w:color w:val="auto"/>
                <w:sz w:val="24"/>
                <w:highlight w:val="none"/>
              </w:rPr>
            </w:pPr>
          </w:p>
        </w:tc>
        <w:tc>
          <w:tcPr>
            <w:tcW w:w="1298" w:type="dxa"/>
            <w:gridSpan w:val="2"/>
            <w:noWrap w:val="0"/>
            <w:vAlign w:val="center"/>
          </w:tcPr>
          <w:p w14:paraId="68521C4F">
            <w:pPr>
              <w:rPr>
                <w:rFonts w:hint="eastAsia" w:ascii="黑体" w:hAnsi="黑体" w:eastAsia="黑体" w:cs="黑体"/>
                <w:color w:val="auto"/>
                <w:sz w:val="24"/>
                <w:highlight w:val="none"/>
              </w:rPr>
            </w:pPr>
          </w:p>
        </w:tc>
        <w:tc>
          <w:tcPr>
            <w:tcW w:w="1134" w:type="dxa"/>
            <w:noWrap w:val="0"/>
            <w:vAlign w:val="center"/>
          </w:tcPr>
          <w:p w14:paraId="5BD8AC5B">
            <w:pPr>
              <w:rPr>
                <w:rFonts w:hint="eastAsia" w:ascii="黑体" w:hAnsi="黑体" w:eastAsia="黑体" w:cs="黑体"/>
                <w:color w:val="auto"/>
                <w:sz w:val="24"/>
                <w:highlight w:val="none"/>
              </w:rPr>
            </w:pPr>
          </w:p>
        </w:tc>
        <w:tc>
          <w:tcPr>
            <w:tcW w:w="1559" w:type="dxa"/>
            <w:noWrap w:val="0"/>
            <w:vAlign w:val="center"/>
          </w:tcPr>
          <w:p w14:paraId="031567F7">
            <w:pPr>
              <w:rPr>
                <w:rFonts w:hint="eastAsia" w:ascii="黑体" w:hAnsi="黑体" w:eastAsia="黑体" w:cs="黑体"/>
                <w:color w:val="auto"/>
                <w:sz w:val="24"/>
                <w:highlight w:val="none"/>
              </w:rPr>
            </w:pPr>
          </w:p>
        </w:tc>
        <w:tc>
          <w:tcPr>
            <w:tcW w:w="1567" w:type="dxa"/>
            <w:noWrap w:val="0"/>
            <w:vAlign w:val="center"/>
          </w:tcPr>
          <w:p w14:paraId="67475DF4">
            <w:pPr>
              <w:rPr>
                <w:rFonts w:hint="eastAsia" w:ascii="黑体" w:hAnsi="黑体" w:eastAsia="黑体" w:cs="黑体"/>
                <w:color w:val="auto"/>
                <w:sz w:val="24"/>
                <w:highlight w:val="none"/>
              </w:rPr>
            </w:pPr>
          </w:p>
        </w:tc>
      </w:tr>
      <w:tr w14:paraId="6C4C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83C4A80">
            <w:pPr>
              <w:rPr>
                <w:rFonts w:hint="eastAsia" w:ascii="黑体" w:hAnsi="黑体" w:eastAsia="黑体" w:cs="黑体"/>
                <w:color w:val="auto"/>
                <w:sz w:val="24"/>
                <w:highlight w:val="none"/>
              </w:rPr>
            </w:pPr>
          </w:p>
        </w:tc>
        <w:tc>
          <w:tcPr>
            <w:tcW w:w="1741" w:type="dxa"/>
            <w:noWrap w:val="0"/>
            <w:vAlign w:val="center"/>
          </w:tcPr>
          <w:p w14:paraId="0D3F9617">
            <w:pPr>
              <w:rPr>
                <w:rFonts w:hint="eastAsia" w:ascii="黑体" w:hAnsi="黑体" w:eastAsia="黑体" w:cs="黑体"/>
                <w:color w:val="auto"/>
                <w:sz w:val="24"/>
                <w:highlight w:val="none"/>
              </w:rPr>
            </w:pPr>
          </w:p>
        </w:tc>
        <w:tc>
          <w:tcPr>
            <w:tcW w:w="984" w:type="dxa"/>
            <w:noWrap w:val="0"/>
            <w:vAlign w:val="center"/>
          </w:tcPr>
          <w:p w14:paraId="63398A3C">
            <w:pPr>
              <w:rPr>
                <w:rFonts w:hint="eastAsia" w:ascii="黑体" w:hAnsi="黑体" w:eastAsia="黑体" w:cs="黑体"/>
                <w:color w:val="auto"/>
                <w:sz w:val="24"/>
                <w:highlight w:val="none"/>
              </w:rPr>
            </w:pPr>
          </w:p>
        </w:tc>
        <w:tc>
          <w:tcPr>
            <w:tcW w:w="1298" w:type="dxa"/>
            <w:gridSpan w:val="2"/>
            <w:noWrap w:val="0"/>
            <w:vAlign w:val="center"/>
          </w:tcPr>
          <w:p w14:paraId="2F67AB30">
            <w:pPr>
              <w:rPr>
                <w:rFonts w:hint="eastAsia" w:ascii="黑体" w:hAnsi="黑体" w:eastAsia="黑体" w:cs="黑体"/>
                <w:color w:val="auto"/>
                <w:sz w:val="24"/>
                <w:highlight w:val="none"/>
              </w:rPr>
            </w:pPr>
          </w:p>
        </w:tc>
        <w:tc>
          <w:tcPr>
            <w:tcW w:w="1134" w:type="dxa"/>
            <w:noWrap w:val="0"/>
            <w:vAlign w:val="center"/>
          </w:tcPr>
          <w:p w14:paraId="14779DA4">
            <w:pPr>
              <w:rPr>
                <w:rFonts w:hint="eastAsia" w:ascii="黑体" w:hAnsi="黑体" w:eastAsia="黑体" w:cs="黑体"/>
                <w:color w:val="auto"/>
                <w:sz w:val="24"/>
                <w:highlight w:val="none"/>
              </w:rPr>
            </w:pPr>
          </w:p>
        </w:tc>
        <w:tc>
          <w:tcPr>
            <w:tcW w:w="1559" w:type="dxa"/>
            <w:noWrap w:val="0"/>
            <w:vAlign w:val="center"/>
          </w:tcPr>
          <w:p w14:paraId="56911836">
            <w:pPr>
              <w:rPr>
                <w:rFonts w:hint="eastAsia" w:ascii="黑体" w:hAnsi="黑体" w:eastAsia="黑体" w:cs="黑体"/>
                <w:color w:val="auto"/>
                <w:sz w:val="24"/>
                <w:highlight w:val="none"/>
              </w:rPr>
            </w:pPr>
          </w:p>
        </w:tc>
        <w:tc>
          <w:tcPr>
            <w:tcW w:w="1567" w:type="dxa"/>
            <w:noWrap w:val="0"/>
            <w:vAlign w:val="center"/>
          </w:tcPr>
          <w:p w14:paraId="7EF55FCA">
            <w:pPr>
              <w:rPr>
                <w:rFonts w:hint="eastAsia" w:ascii="黑体" w:hAnsi="黑体" w:eastAsia="黑体" w:cs="黑体"/>
                <w:color w:val="auto"/>
                <w:sz w:val="24"/>
                <w:highlight w:val="none"/>
              </w:rPr>
            </w:pPr>
          </w:p>
        </w:tc>
      </w:tr>
      <w:tr w14:paraId="5455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06C7075">
            <w:pPr>
              <w:rPr>
                <w:rFonts w:hint="eastAsia" w:ascii="黑体" w:hAnsi="黑体" w:eastAsia="黑体" w:cs="黑体"/>
                <w:color w:val="auto"/>
                <w:sz w:val="24"/>
                <w:highlight w:val="none"/>
              </w:rPr>
            </w:pPr>
          </w:p>
        </w:tc>
        <w:tc>
          <w:tcPr>
            <w:tcW w:w="1741" w:type="dxa"/>
            <w:noWrap w:val="0"/>
            <w:vAlign w:val="center"/>
          </w:tcPr>
          <w:p w14:paraId="046BC647">
            <w:pPr>
              <w:rPr>
                <w:rFonts w:hint="eastAsia" w:ascii="黑体" w:hAnsi="黑体" w:eastAsia="黑体" w:cs="黑体"/>
                <w:color w:val="auto"/>
                <w:sz w:val="24"/>
                <w:highlight w:val="none"/>
              </w:rPr>
            </w:pPr>
          </w:p>
        </w:tc>
        <w:tc>
          <w:tcPr>
            <w:tcW w:w="984" w:type="dxa"/>
            <w:noWrap w:val="0"/>
            <w:vAlign w:val="center"/>
          </w:tcPr>
          <w:p w14:paraId="386B6E4C">
            <w:pPr>
              <w:rPr>
                <w:rFonts w:hint="eastAsia" w:ascii="黑体" w:hAnsi="黑体" w:eastAsia="黑体" w:cs="黑体"/>
                <w:color w:val="auto"/>
                <w:sz w:val="24"/>
                <w:highlight w:val="none"/>
              </w:rPr>
            </w:pPr>
          </w:p>
        </w:tc>
        <w:tc>
          <w:tcPr>
            <w:tcW w:w="1298" w:type="dxa"/>
            <w:gridSpan w:val="2"/>
            <w:noWrap w:val="0"/>
            <w:vAlign w:val="center"/>
          </w:tcPr>
          <w:p w14:paraId="14403F7C">
            <w:pPr>
              <w:rPr>
                <w:rFonts w:hint="eastAsia" w:ascii="黑体" w:hAnsi="黑体" w:eastAsia="黑体" w:cs="黑体"/>
                <w:color w:val="auto"/>
                <w:sz w:val="24"/>
                <w:highlight w:val="none"/>
              </w:rPr>
            </w:pPr>
          </w:p>
        </w:tc>
        <w:tc>
          <w:tcPr>
            <w:tcW w:w="1134" w:type="dxa"/>
            <w:noWrap w:val="0"/>
            <w:vAlign w:val="center"/>
          </w:tcPr>
          <w:p w14:paraId="30D936D8">
            <w:pPr>
              <w:rPr>
                <w:rFonts w:hint="eastAsia" w:ascii="黑体" w:hAnsi="黑体" w:eastAsia="黑体" w:cs="黑体"/>
                <w:color w:val="auto"/>
                <w:sz w:val="24"/>
                <w:highlight w:val="none"/>
              </w:rPr>
            </w:pPr>
          </w:p>
        </w:tc>
        <w:tc>
          <w:tcPr>
            <w:tcW w:w="1559" w:type="dxa"/>
            <w:noWrap w:val="0"/>
            <w:vAlign w:val="center"/>
          </w:tcPr>
          <w:p w14:paraId="737E09D1">
            <w:pPr>
              <w:rPr>
                <w:rFonts w:hint="eastAsia" w:ascii="黑体" w:hAnsi="黑体" w:eastAsia="黑体" w:cs="黑体"/>
                <w:color w:val="auto"/>
                <w:sz w:val="24"/>
                <w:highlight w:val="none"/>
              </w:rPr>
            </w:pPr>
          </w:p>
        </w:tc>
        <w:tc>
          <w:tcPr>
            <w:tcW w:w="1567" w:type="dxa"/>
            <w:noWrap w:val="0"/>
            <w:vAlign w:val="center"/>
          </w:tcPr>
          <w:p w14:paraId="3444E97E">
            <w:pPr>
              <w:rPr>
                <w:rFonts w:hint="eastAsia" w:ascii="黑体" w:hAnsi="黑体" w:eastAsia="黑体" w:cs="黑体"/>
                <w:color w:val="auto"/>
                <w:sz w:val="24"/>
                <w:highlight w:val="none"/>
              </w:rPr>
            </w:pPr>
          </w:p>
        </w:tc>
      </w:tr>
      <w:tr w14:paraId="2353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999F047">
            <w:pPr>
              <w:rPr>
                <w:rFonts w:hint="eastAsia" w:ascii="黑体" w:hAnsi="黑体" w:eastAsia="黑体" w:cs="黑体"/>
                <w:color w:val="auto"/>
                <w:sz w:val="24"/>
                <w:highlight w:val="none"/>
              </w:rPr>
            </w:pPr>
          </w:p>
        </w:tc>
        <w:tc>
          <w:tcPr>
            <w:tcW w:w="1741" w:type="dxa"/>
            <w:noWrap w:val="0"/>
            <w:vAlign w:val="center"/>
          </w:tcPr>
          <w:p w14:paraId="7D4C1D54">
            <w:pPr>
              <w:rPr>
                <w:rFonts w:hint="eastAsia" w:ascii="黑体" w:hAnsi="黑体" w:eastAsia="黑体" w:cs="黑体"/>
                <w:color w:val="auto"/>
                <w:sz w:val="24"/>
                <w:highlight w:val="none"/>
              </w:rPr>
            </w:pPr>
          </w:p>
        </w:tc>
        <w:tc>
          <w:tcPr>
            <w:tcW w:w="984" w:type="dxa"/>
            <w:noWrap w:val="0"/>
            <w:vAlign w:val="center"/>
          </w:tcPr>
          <w:p w14:paraId="142404B9">
            <w:pPr>
              <w:rPr>
                <w:rFonts w:hint="eastAsia" w:ascii="黑体" w:hAnsi="黑体" w:eastAsia="黑体" w:cs="黑体"/>
                <w:color w:val="auto"/>
                <w:sz w:val="24"/>
                <w:highlight w:val="none"/>
              </w:rPr>
            </w:pPr>
          </w:p>
        </w:tc>
        <w:tc>
          <w:tcPr>
            <w:tcW w:w="1298" w:type="dxa"/>
            <w:gridSpan w:val="2"/>
            <w:noWrap w:val="0"/>
            <w:vAlign w:val="center"/>
          </w:tcPr>
          <w:p w14:paraId="786C000B">
            <w:pPr>
              <w:rPr>
                <w:rFonts w:hint="eastAsia" w:ascii="黑体" w:hAnsi="黑体" w:eastAsia="黑体" w:cs="黑体"/>
                <w:color w:val="auto"/>
                <w:sz w:val="24"/>
                <w:highlight w:val="none"/>
              </w:rPr>
            </w:pPr>
          </w:p>
        </w:tc>
        <w:tc>
          <w:tcPr>
            <w:tcW w:w="1134" w:type="dxa"/>
            <w:noWrap w:val="0"/>
            <w:vAlign w:val="center"/>
          </w:tcPr>
          <w:p w14:paraId="799E824B">
            <w:pPr>
              <w:rPr>
                <w:rFonts w:hint="eastAsia" w:ascii="黑体" w:hAnsi="黑体" w:eastAsia="黑体" w:cs="黑体"/>
                <w:color w:val="auto"/>
                <w:sz w:val="24"/>
                <w:highlight w:val="none"/>
              </w:rPr>
            </w:pPr>
          </w:p>
        </w:tc>
        <w:tc>
          <w:tcPr>
            <w:tcW w:w="1559" w:type="dxa"/>
            <w:noWrap w:val="0"/>
            <w:vAlign w:val="center"/>
          </w:tcPr>
          <w:p w14:paraId="1E682E83">
            <w:pPr>
              <w:rPr>
                <w:rFonts w:hint="eastAsia" w:ascii="黑体" w:hAnsi="黑体" w:eastAsia="黑体" w:cs="黑体"/>
                <w:color w:val="auto"/>
                <w:sz w:val="24"/>
                <w:highlight w:val="none"/>
              </w:rPr>
            </w:pPr>
          </w:p>
        </w:tc>
        <w:tc>
          <w:tcPr>
            <w:tcW w:w="1567" w:type="dxa"/>
            <w:noWrap w:val="0"/>
            <w:vAlign w:val="center"/>
          </w:tcPr>
          <w:p w14:paraId="06E08424">
            <w:pPr>
              <w:rPr>
                <w:rFonts w:hint="eastAsia" w:ascii="黑体" w:hAnsi="黑体" w:eastAsia="黑体" w:cs="黑体"/>
                <w:color w:val="auto"/>
                <w:sz w:val="24"/>
                <w:highlight w:val="none"/>
              </w:rPr>
            </w:pPr>
          </w:p>
        </w:tc>
      </w:tr>
      <w:tr w14:paraId="192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11F8C2DA">
            <w:pPr>
              <w:rPr>
                <w:rFonts w:hint="eastAsia" w:ascii="黑体" w:hAnsi="黑体" w:eastAsia="黑体" w:cs="黑体"/>
                <w:color w:val="auto"/>
                <w:sz w:val="24"/>
                <w:highlight w:val="none"/>
              </w:rPr>
            </w:pPr>
            <w:r>
              <w:rPr>
                <w:rFonts w:hint="eastAsia" w:ascii="黑体" w:hAnsi="黑体" w:eastAsia="黑体" w:cs="黑体"/>
                <w:color w:val="auto"/>
                <w:sz w:val="24"/>
                <w:highlight w:val="none"/>
              </w:rPr>
              <w:t>合计人民币（小写）：</w:t>
            </w:r>
          </w:p>
        </w:tc>
      </w:tr>
      <w:tr w14:paraId="0BB8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4BAAE00A">
            <w:pPr>
              <w:rPr>
                <w:rFonts w:hint="eastAsia" w:ascii="黑体" w:hAnsi="黑体" w:eastAsia="黑体" w:cs="黑体"/>
                <w:color w:val="auto"/>
                <w:sz w:val="24"/>
                <w:highlight w:val="none"/>
              </w:rPr>
            </w:pPr>
            <w:r>
              <w:rPr>
                <w:rFonts w:hint="eastAsia" w:ascii="黑体" w:hAnsi="黑体" w:eastAsia="黑体" w:cs="黑体"/>
                <w:color w:val="auto"/>
                <w:sz w:val="24"/>
                <w:highlight w:val="none"/>
              </w:rPr>
              <w:t>合计人民币（大写）：</w:t>
            </w:r>
          </w:p>
        </w:tc>
      </w:tr>
      <w:tr w14:paraId="2CB7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0ED9D0BE">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一、质量要求和技术标准。供方提供的商品必须是全新的，完全符合国家有关技术标准，供方的质量保证及售后服务承诺如下：</w:t>
            </w:r>
          </w:p>
          <w:p w14:paraId="5231B607">
            <w:pPr>
              <w:rPr>
                <w:rFonts w:hint="eastAsia" w:ascii="黑体" w:hAnsi="黑体" w:eastAsia="黑体" w:cs="黑体"/>
                <w:color w:val="auto"/>
                <w:sz w:val="24"/>
                <w:highlight w:val="none"/>
              </w:rPr>
            </w:pPr>
            <w:r>
              <w:rPr>
                <w:rFonts w:hint="eastAsia" w:ascii="黑体" w:hAnsi="黑体" w:eastAsia="黑体" w:cs="黑体"/>
                <w:color w:val="auto"/>
                <w:sz w:val="24"/>
                <w:highlight w:val="none"/>
              </w:rPr>
              <w:t>1、质保期限：</w:t>
            </w:r>
          </w:p>
          <w:p w14:paraId="4C0299D5">
            <w:pPr>
              <w:rPr>
                <w:rFonts w:hint="eastAsia" w:ascii="黑体" w:hAnsi="黑体" w:eastAsia="黑体" w:cs="黑体"/>
                <w:color w:val="auto"/>
                <w:sz w:val="24"/>
                <w:highlight w:val="none"/>
              </w:rPr>
            </w:pPr>
            <w:r>
              <w:rPr>
                <w:rFonts w:hint="eastAsia" w:ascii="黑体" w:hAnsi="黑体" w:eastAsia="黑体" w:cs="黑体"/>
                <w:color w:val="auto"/>
                <w:sz w:val="24"/>
                <w:highlight w:val="none"/>
              </w:rPr>
              <w:t>2、保修范围：</w:t>
            </w:r>
          </w:p>
          <w:p w14:paraId="66671465">
            <w:pPr>
              <w:rPr>
                <w:rFonts w:hint="eastAsia" w:ascii="黑体" w:hAnsi="黑体" w:eastAsia="黑体" w:cs="黑体"/>
                <w:color w:val="auto"/>
                <w:sz w:val="24"/>
                <w:highlight w:val="none"/>
              </w:rPr>
            </w:pPr>
            <w:r>
              <w:rPr>
                <w:rFonts w:hint="eastAsia" w:ascii="黑体" w:hAnsi="黑体" w:eastAsia="黑体" w:cs="黑体"/>
                <w:color w:val="auto"/>
                <w:sz w:val="24"/>
                <w:highlight w:val="none"/>
              </w:rPr>
              <w:t>3、服务措施：</w:t>
            </w:r>
          </w:p>
          <w:p w14:paraId="057C089E">
            <w:pPr>
              <w:rPr>
                <w:rFonts w:hint="eastAsia" w:ascii="黑体" w:hAnsi="黑体" w:eastAsia="黑体" w:cs="黑体"/>
                <w:color w:val="auto"/>
                <w:sz w:val="24"/>
                <w:highlight w:val="none"/>
              </w:rPr>
            </w:pPr>
            <w:r>
              <w:rPr>
                <w:rFonts w:hint="eastAsia" w:ascii="黑体" w:hAnsi="黑体" w:eastAsia="黑体" w:cs="黑体"/>
                <w:color w:val="auto"/>
                <w:sz w:val="24"/>
                <w:highlight w:val="none"/>
              </w:rPr>
              <w:t>4、质保期后服务：</w:t>
            </w:r>
          </w:p>
        </w:tc>
      </w:tr>
      <w:tr w14:paraId="2CA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2B07601F">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二、随机备品、附件、工具数量及供应方法：</w:t>
            </w:r>
          </w:p>
        </w:tc>
      </w:tr>
      <w:tr w14:paraId="20F3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1A00D2EB">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三、交提货方式：</w:t>
            </w:r>
          </w:p>
        </w:tc>
      </w:tr>
      <w:tr w14:paraId="7C9B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1460F489">
            <w:pPr>
              <w:rPr>
                <w:rFonts w:hint="eastAsia" w:ascii="黑体" w:hAnsi="黑体" w:eastAsia="黑体" w:cs="黑体"/>
                <w:color w:val="auto"/>
                <w:sz w:val="24"/>
                <w:highlight w:val="none"/>
              </w:rPr>
            </w:pPr>
            <w:r>
              <w:rPr>
                <w:rFonts w:hint="eastAsia" w:ascii="黑体" w:hAnsi="黑体" w:eastAsia="黑体" w:cs="黑体"/>
                <w:color w:val="auto"/>
                <w:sz w:val="24"/>
                <w:highlight w:val="none"/>
              </w:rPr>
              <w:t>四、验收标准、方法：</w:t>
            </w:r>
          </w:p>
          <w:p w14:paraId="7D118470">
            <w:pPr>
              <w:rPr>
                <w:rFonts w:hint="eastAsia" w:ascii="黑体" w:hAnsi="黑体" w:eastAsia="黑体" w:cs="黑体"/>
                <w:color w:val="auto"/>
                <w:sz w:val="24"/>
                <w:highlight w:val="none"/>
              </w:rPr>
            </w:pPr>
            <w:r>
              <w:rPr>
                <w:rFonts w:hint="eastAsia" w:ascii="黑体" w:hAnsi="黑体" w:eastAsia="黑体" w:cs="黑体"/>
                <w:color w:val="auto"/>
                <w:sz w:val="24"/>
                <w:highlight w:val="none"/>
              </w:rPr>
              <w:t>如有异议，请于      日内提出。</w:t>
            </w:r>
          </w:p>
        </w:tc>
      </w:tr>
      <w:tr w14:paraId="567A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AC23EBC">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五、付款方式：</w:t>
            </w:r>
          </w:p>
          <w:p w14:paraId="6511BB97">
            <w:pPr>
              <w:rPr>
                <w:rFonts w:hint="eastAsia" w:ascii="黑体" w:hAnsi="黑体" w:eastAsia="黑体" w:cs="黑体"/>
                <w:color w:val="auto"/>
                <w:sz w:val="24"/>
                <w:highlight w:val="none"/>
              </w:rPr>
            </w:pPr>
          </w:p>
        </w:tc>
      </w:tr>
      <w:tr w14:paraId="3113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77EB9B69">
            <w:pPr>
              <w:rPr>
                <w:rFonts w:hint="eastAsia" w:ascii="黑体" w:hAnsi="黑体" w:eastAsia="黑体" w:cs="黑体"/>
                <w:color w:val="auto"/>
                <w:sz w:val="24"/>
                <w:highlight w:val="none"/>
              </w:rPr>
            </w:pPr>
            <w:r>
              <w:rPr>
                <w:rFonts w:hint="eastAsia" w:ascii="黑体" w:hAnsi="黑体" w:eastAsia="黑体" w:cs="黑体"/>
                <w:color w:val="auto"/>
                <w:sz w:val="24"/>
                <w:highlight w:val="none"/>
              </w:rPr>
              <w:t>六、违约责任：</w:t>
            </w:r>
          </w:p>
          <w:p w14:paraId="45C44279">
            <w:pPr>
              <w:rPr>
                <w:rFonts w:hint="eastAsia" w:ascii="黑体" w:hAnsi="黑体" w:eastAsia="黑体" w:cs="黑体"/>
                <w:color w:val="auto"/>
                <w:sz w:val="24"/>
                <w:highlight w:val="none"/>
              </w:rPr>
            </w:pPr>
            <w:r>
              <w:rPr>
                <w:rFonts w:hint="eastAsia" w:ascii="黑体" w:hAnsi="黑体" w:eastAsia="黑体" w:cs="黑体"/>
                <w:color w:val="auto"/>
                <w:sz w:val="24"/>
                <w:highlight w:val="none"/>
              </w:rPr>
              <w:t>按《中华人民共和国民法典》、《中华人民共和国政府采购法》执行，或按双方约定。（采购人应按项目实际情况完整填写）</w:t>
            </w:r>
          </w:p>
        </w:tc>
      </w:tr>
      <w:tr w14:paraId="295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002978DE">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七、其他约定事项：</w:t>
            </w:r>
          </w:p>
          <w:p w14:paraId="2B633C85">
            <w:pPr>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eastAsia="zh-CN"/>
              </w:rPr>
              <w:t>比选文件</w:t>
            </w:r>
            <w:r>
              <w:rPr>
                <w:rFonts w:hint="eastAsia" w:ascii="黑体" w:hAnsi="黑体" w:eastAsia="黑体" w:cs="黑体"/>
                <w:color w:val="auto"/>
                <w:sz w:val="24"/>
                <w:highlight w:val="none"/>
              </w:rPr>
              <w:t>及其澄清文件、</w:t>
            </w:r>
            <w:r>
              <w:rPr>
                <w:rFonts w:hint="eastAsia" w:ascii="黑体" w:hAnsi="黑体" w:eastAsia="黑体" w:cs="黑体"/>
                <w:color w:val="auto"/>
                <w:sz w:val="24"/>
                <w:highlight w:val="none"/>
                <w:lang w:eastAsia="zh-CN"/>
              </w:rPr>
              <w:t>响应文件</w:t>
            </w:r>
            <w:r>
              <w:rPr>
                <w:rFonts w:hint="eastAsia" w:ascii="黑体" w:hAnsi="黑体" w:eastAsia="黑体" w:cs="黑体"/>
                <w:color w:val="auto"/>
                <w:sz w:val="24"/>
                <w:highlight w:val="none"/>
              </w:rPr>
              <w:t>和承诺是本合同不可分割的部分。</w:t>
            </w:r>
          </w:p>
          <w:p w14:paraId="54C9A6C9">
            <w:pPr>
              <w:rPr>
                <w:rFonts w:hint="eastAsia" w:ascii="黑体" w:hAnsi="黑体" w:eastAsia="黑体" w:cs="黑体"/>
                <w:color w:val="auto"/>
                <w:sz w:val="24"/>
                <w:highlight w:val="none"/>
              </w:rPr>
            </w:pPr>
            <w:r>
              <w:rPr>
                <w:rFonts w:hint="eastAsia" w:ascii="黑体" w:hAnsi="黑体" w:eastAsia="黑体" w:cs="黑体"/>
                <w:color w:val="auto"/>
                <w:sz w:val="24"/>
                <w:highlight w:val="none"/>
              </w:rPr>
              <w:t>2.本合同如发生争议由双方协商解决，协商不成向需方所在地仲裁机构提请仲裁。</w:t>
            </w:r>
          </w:p>
          <w:p w14:paraId="1A25440A">
            <w:pPr>
              <w:rPr>
                <w:rFonts w:hint="eastAsia" w:ascii="黑体" w:hAnsi="黑体" w:eastAsia="黑体" w:cs="黑体"/>
                <w:color w:val="auto"/>
                <w:sz w:val="24"/>
                <w:highlight w:val="none"/>
              </w:rPr>
            </w:pPr>
            <w:r>
              <w:rPr>
                <w:rFonts w:hint="eastAsia" w:ascii="黑体" w:hAnsi="黑体" w:eastAsia="黑体" w:cs="黑体"/>
                <w:color w:val="auto"/>
                <w:sz w:val="24"/>
                <w:highlight w:val="none"/>
              </w:rPr>
              <w:t>3.本合同一式__份， 需方__份，供方__份，具备同等法律效力。</w:t>
            </w:r>
          </w:p>
          <w:p w14:paraId="52900150">
            <w:pPr>
              <w:rPr>
                <w:rFonts w:hint="eastAsia" w:ascii="黑体" w:hAnsi="黑体" w:eastAsia="黑体" w:cs="黑体"/>
                <w:color w:val="auto"/>
                <w:sz w:val="24"/>
                <w:highlight w:val="none"/>
              </w:rPr>
            </w:pPr>
            <w:r>
              <w:rPr>
                <w:rFonts w:hint="eastAsia" w:ascii="黑体" w:hAnsi="黑体" w:eastAsia="黑体" w:cs="黑体"/>
                <w:color w:val="auto"/>
                <w:sz w:val="24"/>
                <w:highlight w:val="none"/>
              </w:rPr>
              <w:t>4.其他：</w:t>
            </w:r>
          </w:p>
        </w:tc>
      </w:tr>
      <w:tr w14:paraId="78D8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3F314739">
            <w:pPr>
              <w:rPr>
                <w:rFonts w:hint="eastAsia" w:ascii="黑体" w:hAnsi="黑体" w:eastAsia="黑体" w:cs="黑体"/>
                <w:color w:val="auto"/>
                <w:sz w:val="24"/>
                <w:highlight w:val="none"/>
              </w:rPr>
            </w:pPr>
            <w:r>
              <w:rPr>
                <w:rFonts w:hint="eastAsia" w:ascii="黑体" w:hAnsi="黑体" w:eastAsia="黑体" w:cs="黑体"/>
                <w:color w:val="auto"/>
                <w:sz w:val="24"/>
                <w:highlight w:val="none"/>
              </w:rPr>
              <w:t>需方：</w:t>
            </w:r>
          </w:p>
          <w:p w14:paraId="4D7EF145">
            <w:pPr>
              <w:rPr>
                <w:rFonts w:hint="eastAsia" w:ascii="黑体" w:hAnsi="黑体" w:eastAsia="黑体" w:cs="黑体"/>
                <w:color w:val="auto"/>
                <w:sz w:val="24"/>
                <w:highlight w:val="none"/>
              </w:rPr>
            </w:pPr>
            <w:r>
              <w:rPr>
                <w:rFonts w:hint="eastAsia" w:ascii="黑体" w:hAnsi="黑体" w:eastAsia="黑体" w:cs="黑体"/>
                <w:color w:val="auto"/>
                <w:sz w:val="24"/>
                <w:highlight w:val="none"/>
              </w:rPr>
              <w:t>地址：</w:t>
            </w:r>
          </w:p>
          <w:p w14:paraId="6DA2A2EF">
            <w:pPr>
              <w:rPr>
                <w:rFonts w:hint="eastAsia" w:ascii="黑体" w:hAnsi="黑体" w:eastAsia="黑体" w:cs="黑体"/>
                <w:color w:val="auto"/>
                <w:sz w:val="24"/>
                <w:highlight w:val="none"/>
              </w:rPr>
            </w:pPr>
            <w:r>
              <w:rPr>
                <w:rFonts w:hint="eastAsia" w:ascii="黑体" w:hAnsi="黑体" w:eastAsia="黑体" w:cs="黑体"/>
                <w:color w:val="auto"/>
                <w:sz w:val="24"/>
                <w:highlight w:val="none"/>
              </w:rPr>
              <w:t>联系电话：</w:t>
            </w:r>
          </w:p>
          <w:p w14:paraId="000803FA">
            <w:pP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授权代表：</w:t>
            </w:r>
          </w:p>
        </w:tc>
        <w:tc>
          <w:tcPr>
            <w:tcW w:w="5125" w:type="dxa"/>
            <w:gridSpan w:val="5"/>
            <w:noWrap w:val="0"/>
            <w:vAlign w:val="top"/>
          </w:tcPr>
          <w:p w14:paraId="54CD91F0">
            <w:pPr>
              <w:rPr>
                <w:rFonts w:hint="eastAsia" w:ascii="黑体" w:hAnsi="黑体" w:eastAsia="黑体" w:cs="黑体"/>
                <w:color w:val="auto"/>
                <w:sz w:val="24"/>
                <w:highlight w:val="none"/>
              </w:rPr>
            </w:pPr>
            <w:r>
              <w:rPr>
                <w:rFonts w:hint="eastAsia" w:ascii="黑体" w:hAnsi="黑体" w:eastAsia="黑体" w:cs="黑体"/>
                <w:color w:val="auto"/>
                <w:sz w:val="24"/>
                <w:highlight w:val="none"/>
              </w:rPr>
              <w:t>供方：</w:t>
            </w:r>
          </w:p>
          <w:p w14:paraId="7BEFC9DD">
            <w:pPr>
              <w:rPr>
                <w:rFonts w:hint="eastAsia" w:ascii="黑体" w:hAnsi="黑体" w:eastAsia="黑体" w:cs="黑体"/>
                <w:color w:val="auto"/>
                <w:sz w:val="24"/>
                <w:highlight w:val="none"/>
              </w:rPr>
            </w:pPr>
            <w:r>
              <w:rPr>
                <w:rFonts w:hint="eastAsia" w:ascii="黑体" w:hAnsi="黑体" w:eastAsia="黑体" w:cs="黑体"/>
                <w:color w:val="auto"/>
                <w:sz w:val="24"/>
                <w:highlight w:val="none"/>
              </w:rPr>
              <w:t>地址：</w:t>
            </w:r>
          </w:p>
          <w:p w14:paraId="78A1C583">
            <w:pPr>
              <w:rPr>
                <w:rFonts w:hint="eastAsia" w:ascii="黑体" w:hAnsi="黑体" w:eastAsia="黑体" w:cs="黑体"/>
                <w:color w:val="auto"/>
                <w:sz w:val="24"/>
                <w:highlight w:val="none"/>
              </w:rPr>
            </w:pPr>
            <w:r>
              <w:rPr>
                <w:rFonts w:hint="eastAsia" w:ascii="黑体" w:hAnsi="黑体" w:eastAsia="黑体" w:cs="黑体"/>
                <w:color w:val="auto"/>
                <w:sz w:val="24"/>
                <w:highlight w:val="none"/>
              </w:rPr>
              <w:t>电话：</w:t>
            </w:r>
          </w:p>
          <w:p w14:paraId="6166CFB9">
            <w:pPr>
              <w:rPr>
                <w:rFonts w:hint="eastAsia" w:ascii="黑体" w:hAnsi="黑体" w:eastAsia="黑体" w:cs="黑体"/>
                <w:color w:val="auto"/>
                <w:sz w:val="24"/>
                <w:highlight w:val="none"/>
              </w:rPr>
            </w:pPr>
            <w:r>
              <w:rPr>
                <w:rFonts w:hint="eastAsia" w:ascii="黑体" w:hAnsi="黑体" w:eastAsia="黑体" w:cs="黑体"/>
                <w:color w:val="auto"/>
                <w:sz w:val="24"/>
                <w:highlight w:val="none"/>
              </w:rPr>
              <w:t>传真：</w:t>
            </w:r>
          </w:p>
          <w:p w14:paraId="0E4DDFAB">
            <w:pPr>
              <w:rPr>
                <w:rFonts w:hint="eastAsia" w:ascii="黑体" w:hAnsi="黑体" w:eastAsia="黑体" w:cs="黑体"/>
                <w:color w:val="auto"/>
                <w:sz w:val="24"/>
                <w:highlight w:val="none"/>
              </w:rPr>
            </w:pPr>
            <w:r>
              <w:rPr>
                <w:rFonts w:hint="eastAsia" w:ascii="黑体" w:hAnsi="黑体" w:eastAsia="黑体" w:cs="黑体"/>
                <w:color w:val="auto"/>
                <w:sz w:val="24"/>
                <w:highlight w:val="none"/>
              </w:rPr>
              <w:t>开户银行：</w:t>
            </w:r>
          </w:p>
          <w:p w14:paraId="32CCC00E">
            <w:pPr>
              <w:rPr>
                <w:rFonts w:hint="eastAsia" w:ascii="黑体" w:hAnsi="黑体" w:eastAsia="黑体" w:cs="黑体"/>
                <w:color w:val="auto"/>
                <w:sz w:val="24"/>
                <w:highlight w:val="none"/>
              </w:rPr>
            </w:pPr>
            <w:r>
              <w:rPr>
                <w:rFonts w:hint="eastAsia" w:ascii="黑体" w:hAnsi="黑体" w:eastAsia="黑体" w:cs="黑体"/>
                <w:color w:val="auto"/>
                <w:sz w:val="24"/>
                <w:highlight w:val="none"/>
              </w:rPr>
              <w:t>账号：</w:t>
            </w:r>
          </w:p>
          <w:p w14:paraId="02CB1955">
            <w:pP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授权代表：</w:t>
            </w:r>
          </w:p>
          <w:p w14:paraId="618B2BBE">
            <w:pPr>
              <w:rPr>
                <w:rFonts w:hint="eastAsia" w:ascii="黑体" w:hAnsi="黑体" w:eastAsia="黑体" w:cs="黑体"/>
                <w:color w:val="auto"/>
                <w:sz w:val="24"/>
                <w:highlight w:val="none"/>
              </w:rPr>
            </w:pPr>
            <w:r>
              <w:rPr>
                <w:rFonts w:hint="eastAsia" w:ascii="黑体" w:hAnsi="黑体" w:eastAsia="黑体" w:cs="黑体"/>
                <w:color w:val="auto"/>
                <w:sz w:val="24"/>
                <w:highlight w:val="none"/>
              </w:rPr>
              <w:t>（本栏请用计算机打印以便于准确付款）</w:t>
            </w:r>
          </w:p>
        </w:tc>
      </w:tr>
      <w:tr w14:paraId="4040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9D265DB">
            <w:pPr>
              <w:rPr>
                <w:rFonts w:hint="eastAsia" w:ascii="黑体" w:hAnsi="黑体" w:eastAsia="黑体" w:cs="黑体"/>
                <w:color w:val="auto"/>
                <w:sz w:val="24"/>
                <w:highlight w:val="none"/>
              </w:rPr>
            </w:pPr>
            <w:r>
              <w:rPr>
                <w:rFonts w:hint="eastAsia" w:ascii="黑体" w:hAnsi="黑体" w:eastAsia="黑体" w:cs="黑体"/>
                <w:color w:val="auto"/>
                <w:sz w:val="24"/>
                <w:highlight w:val="none"/>
              </w:rPr>
              <w:t>备注：</w:t>
            </w:r>
          </w:p>
          <w:p w14:paraId="37EBEC39">
            <w:pPr>
              <w:rPr>
                <w:rFonts w:hint="eastAsia" w:ascii="黑体" w:hAnsi="黑体" w:eastAsia="黑体" w:cs="黑体"/>
                <w:color w:val="auto"/>
                <w:sz w:val="24"/>
                <w:highlight w:val="none"/>
              </w:rPr>
            </w:pPr>
          </w:p>
          <w:p w14:paraId="1D2D82B1">
            <w:pPr>
              <w:rPr>
                <w:rFonts w:hint="eastAsia" w:ascii="黑体" w:hAnsi="黑体" w:eastAsia="黑体" w:cs="黑体"/>
                <w:color w:val="auto"/>
                <w:sz w:val="24"/>
                <w:highlight w:val="none"/>
              </w:rPr>
            </w:pPr>
          </w:p>
        </w:tc>
      </w:tr>
    </w:tbl>
    <w:p w14:paraId="2220AF71">
      <w:pPr>
        <w:rPr>
          <w:rFonts w:hint="eastAsia" w:ascii="黑体" w:hAnsi="黑体" w:eastAsia="黑体" w:cs="黑体"/>
          <w:color w:val="auto"/>
          <w:sz w:val="24"/>
          <w:highlight w:val="none"/>
        </w:rPr>
      </w:pPr>
      <w:r>
        <w:rPr>
          <w:rFonts w:hint="eastAsia" w:ascii="黑体" w:hAnsi="黑体" w:eastAsia="黑体" w:cs="黑体"/>
          <w:color w:val="auto"/>
          <w:sz w:val="24"/>
          <w:highlight w:val="none"/>
        </w:rPr>
        <w:t>签约时间：           年   月   日      签约地点：</w:t>
      </w:r>
    </w:p>
    <w:p w14:paraId="0B0F3ECF">
      <w:pPr>
        <w:rPr>
          <w:rFonts w:hint="eastAsia" w:ascii="黑体" w:hAnsi="黑体" w:eastAsia="黑体" w:cs="黑体"/>
          <w:color w:val="auto"/>
          <w:sz w:val="24"/>
          <w:highlight w:val="none"/>
        </w:rPr>
      </w:pPr>
      <w:r>
        <w:rPr>
          <w:rFonts w:hint="eastAsia" w:ascii="黑体" w:hAnsi="黑体" w:eastAsia="黑体" w:cs="黑体"/>
          <w:color w:val="auto"/>
          <w:sz w:val="24"/>
          <w:highlight w:val="none"/>
        </w:rPr>
        <w:br w:type="page"/>
      </w:r>
    </w:p>
    <w:p w14:paraId="17DB4418">
      <w:pPr>
        <w:rPr>
          <w:rFonts w:hint="eastAsia" w:ascii="黑体" w:hAnsi="黑体" w:eastAsia="黑体" w:cs="黑体"/>
          <w:color w:val="auto"/>
          <w:sz w:val="24"/>
          <w:highlight w:val="none"/>
        </w:rPr>
      </w:pPr>
    </w:p>
    <w:p w14:paraId="0803E0FE">
      <w:pPr>
        <w:rPr>
          <w:rFonts w:hint="eastAsia" w:ascii="黑体" w:hAnsi="黑体" w:eastAsia="黑体" w:cs="黑体"/>
          <w:color w:val="auto"/>
          <w:highlight w:val="none"/>
        </w:rPr>
      </w:pPr>
    </w:p>
    <w:p w14:paraId="27A41232">
      <w:pPr>
        <w:pStyle w:val="3"/>
        <w:spacing w:before="0" w:beforeLines="0" w:after="0" w:afterLines="0" w:line="360" w:lineRule="auto"/>
        <w:rPr>
          <w:rFonts w:hint="eastAsia" w:ascii="黑体" w:hAnsi="黑体" w:eastAsia="黑体" w:cs="黑体"/>
          <w:b/>
          <w:color w:val="auto"/>
          <w:sz w:val="24"/>
          <w:szCs w:val="24"/>
          <w:highlight w:val="none"/>
        </w:rPr>
      </w:pPr>
      <w:bookmarkStart w:id="151" w:name="_Toc13830"/>
      <w:r>
        <w:rPr>
          <w:rFonts w:hint="eastAsia" w:ascii="黑体" w:hAnsi="黑体" w:eastAsia="黑体" w:cs="黑体"/>
          <w:b/>
          <w:color w:val="auto"/>
          <w:highlight w:val="none"/>
        </w:rPr>
        <w:t>第七篇  响应文件格式</w:t>
      </w:r>
      <w:bookmarkEnd w:id="151"/>
    </w:p>
    <w:p w14:paraId="4DF237D8">
      <w:pPr>
        <w:ind w:right="1120"/>
        <w:jc w:val="left"/>
        <w:rPr>
          <w:rFonts w:hint="eastAsia" w:ascii="黑体" w:hAnsi="黑体" w:eastAsia="黑体" w:cs="黑体"/>
          <w:color w:val="auto"/>
          <w:highlight w:val="none"/>
        </w:rPr>
      </w:pPr>
      <w:r>
        <w:rPr>
          <w:rFonts w:hint="eastAsia" w:ascii="黑体" w:hAnsi="黑体" w:eastAsia="黑体" w:cs="黑体"/>
          <w:color w:val="auto"/>
          <w:highlight w:val="none"/>
        </w:rPr>
        <w:t>封面格式</w:t>
      </w:r>
    </w:p>
    <w:p w14:paraId="3E4301E5">
      <w:pPr>
        <w:tabs>
          <w:tab w:val="left" w:pos="3600"/>
          <w:tab w:val="left" w:pos="4480"/>
          <w:tab w:val="left" w:pos="5360"/>
        </w:tabs>
        <w:autoSpaceDE w:val="0"/>
        <w:autoSpaceDN w:val="0"/>
        <w:adjustRightInd w:val="0"/>
        <w:snapToGrid w:val="0"/>
        <w:spacing w:line="360" w:lineRule="auto"/>
        <w:jc w:val="both"/>
        <w:rPr>
          <w:rFonts w:hint="eastAsia"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 xml:space="preserve">  </w:t>
      </w:r>
    </w:p>
    <w:p w14:paraId="1442E65A">
      <w:pPr>
        <w:tabs>
          <w:tab w:val="left" w:pos="3600"/>
          <w:tab w:val="left" w:pos="4480"/>
          <w:tab w:val="left" w:pos="5360"/>
        </w:tabs>
        <w:autoSpaceDE w:val="0"/>
        <w:autoSpaceDN w:val="0"/>
        <w:adjustRightInd w:val="0"/>
        <w:snapToGrid w:val="0"/>
        <w:spacing w:line="360" w:lineRule="auto"/>
        <w:jc w:val="center"/>
        <w:rPr>
          <w:rFonts w:hint="eastAsia"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响应文件</w:t>
      </w:r>
    </w:p>
    <w:p w14:paraId="3A00E346">
      <w:pPr>
        <w:autoSpaceDE w:val="0"/>
        <w:autoSpaceDN w:val="0"/>
        <w:adjustRightInd w:val="0"/>
        <w:snapToGrid w:val="0"/>
        <w:spacing w:line="360" w:lineRule="auto"/>
        <w:jc w:val="left"/>
        <w:rPr>
          <w:rFonts w:hint="eastAsia" w:ascii="黑体" w:hAnsi="黑体" w:eastAsia="黑体" w:cs="黑体"/>
          <w:color w:val="auto"/>
          <w:kern w:val="0"/>
          <w:sz w:val="16"/>
          <w:szCs w:val="16"/>
          <w:highlight w:val="none"/>
        </w:rPr>
      </w:pPr>
    </w:p>
    <w:p w14:paraId="3B740C24">
      <w:pPr>
        <w:tabs>
          <w:tab w:val="left" w:pos="6904"/>
        </w:tabs>
        <w:autoSpaceDE w:val="0"/>
        <w:autoSpaceDN w:val="0"/>
        <w:adjustRightInd w:val="0"/>
        <w:snapToGrid w:val="0"/>
        <w:spacing w:line="360" w:lineRule="auto"/>
        <w:ind w:firstLine="1232" w:firstLineChars="443"/>
        <w:jc w:val="left"/>
        <w:rPr>
          <w:rFonts w:hint="eastAsia" w:ascii="黑体" w:hAnsi="黑体" w:eastAsia="黑体" w:cs="黑体"/>
          <w:b/>
          <w:color w:val="auto"/>
          <w:kern w:val="0"/>
          <w:szCs w:val="28"/>
          <w:highlight w:val="none"/>
        </w:rPr>
      </w:pPr>
      <w:r>
        <w:rPr>
          <w:rFonts w:hint="eastAsia" w:ascii="黑体" w:hAnsi="黑体" w:eastAsia="黑体" w:cs="黑体"/>
          <w:b/>
          <w:color w:val="auto"/>
          <w:w w:val="99"/>
          <w:kern w:val="0"/>
          <w:szCs w:val="28"/>
          <w:highlight w:val="none"/>
          <w:lang w:val="en-US" w:eastAsia="zh-CN"/>
        </w:rPr>
        <w:t>招标编号</w:t>
      </w:r>
      <w:r>
        <w:rPr>
          <w:rFonts w:hint="eastAsia" w:ascii="黑体" w:hAnsi="黑体" w:eastAsia="黑体" w:cs="黑体"/>
          <w:b/>
          <w:color w:val="auto"/>
          <w:w w:val="99"/>
          <w:kern w:val="0"/>
          <w:szCs w:val="28"/>
          <w:highlight w:val="none"/>
        </w:rPr>
        <w:t>：</w:t>
      </w: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kern w:val="0"/>
          <w:szCs w:val="28"/>
          <w:highlight w:val="none"/>
          <w:u w:val="single"/>
        </w:rPr>
        <w:t xml:space="preserve">               </w:t>
      </w:r>
    </w:p>
    <w:p w14:paraId="3A2539EE">
      <w:pPr>
        <w:tabs>
          <w:tab w:val="left" w:pos="6904"/>
        </w:tabs>
        <w:autoSpaceDE w:val="0"/>
        <w:autoSpaceDN w:val="0"/>
        <w:adjustRightInd w:val="0"/>
        <w:snapToGrid w:val="0"/>
        <w:spacing w:line="360" w:lineRule="auto"/>
        <w:ind w:firstLine="1232" w:firstLineChars="443"/>
        <w:jc w:val="left"/>
        <w:rPr>
          <w:rFonts w:hint="eastAsia" w:ascii="黑体" w:hAnsi="黑体" w:eastAsia="黑体" w:cs="黑体"/>
          <w:b/>
          <w:color w:val="auto"/>
          <w:kern w:val="0"/>
          <w:szCs w:val="28"/>
          <w:highlight w:val="none"/>
          <w:u w:val="single"/>
        </w:rPr>
      </w:pPr>
      <w:r>
        <w:rPr>
          <w:rFonts w:hint="eastAsia" w:ascii="黑体" w:hAnsi="黑体" w:eastAsia="黑体" w:cs="黑体"/>
          <w:b/>
          <w:color w:val="auto"/>
          <w:w w:val="99"/>
          <w:kern w:val="0"/>
          <w:szCs w:val="28"/>
          <w:highlight w:val="none"/>
        </w:rPr>
        <w:t>项目名称</w:t>
      </w:r>
      <w:r>
        <w:rPr>
          <w:rFonts w:hint="eastAsia" w:ascii="黑体" w:hAnsi="黑体" w:eastAsia="黑体" w:cs="黑体"/>
          <w:b/>
          <w:color w:val="auto"/>
          <w:kern w:val="0"/>
          <w:szCs w:val="28"/>
          <w:highlight w:val="none"/>
        </w:rPr>
        <w:t>：</w:t>
      </w:r>
      <w:r>
        <w:rPr>
          <w:rFonts w:hint="eastAsia" w:ascii="黑体" w:hAnsi="黑体" w:eastAsia="黑体" w:cs="黑体"/>
          <w:b/>
          <w:color w:val="auto"/>
          <w:kern w:val="0"/>
          <w:szCs w:val="28"/>
          <w:highlight w:val="none"/>
          <w:u w:val="single"/>
        </w:rPr>
        <w:t xml:space="preserve">                                     </w:t>
      </w:r>
    </w:p>
    <w:p w14:paraId="0901B54F">
      <w:pPr>
        <w:autoSpaceDE w:val="0"/>
        <w:autoSpaceDN w:val="0"/>
        <w:adjustRightInd w:val="0"/>
        <w:snapToGrid w:val="0"/>
        <w:spacing w:line="360" w:lineRule="auto"/>
        <w:jc w:val="left"/>
        <w:rPr>
          <w:rFonts w:hint="eastAsia" w:ascii="黑体" w:hAnsi="黑体" w:eastAsia="黑体" w:cs="黑体"/>
          <w:b/>
          <w:color w:val="auto"/>
          <w:kern w:val="0"/>
          <w:sz w:val="20"/>
          <w:highlight w:val="none"/>
        </w:rPr>
      </w:pPr>
    </w:p>
    <w:p w14:paraId="2B86B840">
      <w:pPr>
        <w:pStyle w:val="7"/>
        <w:ind w:left="0" w:leftChars="0" w:firstLine="0" w:firstLineChars="0"/>
        <w:rPr>
          <w:rFonts w:hint="eastAsia" w:ascii="黑体" w:hAnsi="黑体" w:eastAsia="黑体" w:cs="黑体"/>
          <w:b/>
          <w:color w:val="auto"/>
          <w:kern w:val="0"/>
          <w:sz w:val="20"/>
          <w:highlight w:val="none"/>
        </w:rPr>
      </w:pPr>
    </w:p>
    <w:p w14:paraId="1821E092">
      <w:pPr>
        <w:pStyle w:val="7"/>
        <w:ind w:left="0" w:leftChars="0" w:firstLine="0" w:firstLineChars="0"/>
        <w:rPr>
          <w:rFonts w:hint="eastAsia" w:ascii="黑体" w:hAnsi="黑体" w:eastAsia="黑体" w:cs="黑体"/>
          <w:b/>
          <w:color w:val="auto"/>
          <w:kern w:val="0"/>
          <w:sz w:val="20"/>
          <w:highlight w:val="none"/>
        </w:rPr>
      </w:pPr>
    </w:p>
    <w:p w14:paraId="3BCD2409">
      <w:pPr>
        <w:autoSpaceDE w:val="0"/>
        <w:autoSpaceDN w:val="0"/>
        <w:adjustRightInd w:val="0"/>
        <w:snapToGrid w:val="0"/>
        <w:spacing w:line="360" w:lineRule="auto"/>
        <w:jc w:val="left"/>
        <w:rPr>
          <w:rFonts w:hint="eastAsia" w:ascii="黑体" w:hAnsi="黑体" w:eastAsia="黑体" w:cs="黑体"/>
          <w:b/>
          <w:color w:val="auto"/>
          <w:kern w:val="0"/>
          <w:sz w:val="20"/>
          <w:highlight w:val="none"/>
        </w:rPr>
      </w:pPr>
    </w:p>
    <w:p w14:paraId="0E320CE7">
      <w:pPr>
        <w:tabs>
          <w:tab w:val="left" w:pos="6080"/>
          <w:tab w:val="left" w:pos="6640"/>
        </w:tabs>
        <w:autoSpaceDE w:val="0"/>
        <w:autoSpaceDN w:val="0"/>
        <w:adjustRightInd w:val="0"/>
        <w:snapToGrid w:val="0"/>
        <w:spacing w:line="360" w:lineRule="auto"/>
        <w:ind w:firstLine="1260" w:firstLineChars="450"/>
        <w:rPr>
          <w:rFonts w:hint="eastAsia" w:ascii="黑体" w:hAnsi="黑体" w:eastAsia="黑体" w:cs="黑体"/>
          <w:b/>
          <w:color w:val="auto"/>
          <w:w w:val="99"/>
          <w:kern w:val="0"/>
          <w:szCs w:val="28"/>
          <w:highlight w:val="none"/>
        </w:rPr>
      </w:pPr>
      <w:r>
        <w:rPr>
          <w:rFonts w:hint="eastAsia" w:ascii="黑体" w:hAnsi="黑体" w:eastAsia="黑体" w:cs="黑体"/>
          <w:b/>
          <w:color w:val="auto"/>
          <w:spacing w:val="1"/>
          <w:w w:val="99"/>
          <w:kern w:val="0"/>
          <w:szCs w:val="28"/>
          <w:highlight w:val="none"/>
        </w:rPr>
        <w:t>供应商：</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（供应商公章）</w:t>
      </w:r>
    </w:p>
    <w:p w14:paraId="69CCD5F2">
      <w:pPr>
        <w:tabs>
          <w:tab w:val="left" w:pos="6080"/>
          <w:tab w:val="left" w:pos="6640"/>
        </w:tabs>
        <w:autoSpaceDE w:val="0"/>
        <w:autoSpaceDN w:val="0"/>
        <w:adjustRightInd w:val="0"/>
        <w:snapToGrid w:val="0"/>
        <w:spacing w:line="360" w:lineRule="auto"/>
        <w:ind w:firstLine="1251" w:firstLineChars="450"/>
        <w:rPr>
          <w:rFonts w:hint="eastAsia"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rPr>
        <w:t>法定代表人或其授权代表：</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（签章或签字）</w:t>
      </w:r>
    </w:p>
    <w:p w14:paraId="42176DEA">
      <w:pPr>
        <w:snapToGrid w:val="0"/>
        <w:spacing w:line="440" w:lineRule="exact"/>
        <w:ind w:firstLine="556" w:firstLineChars="200"/>
        <w:jc w:val="center"/>
        <w:rPr>
          <w:rFonts w:hint="eastAsia"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w w:val="99"/>
          <w:kern w:val="0"/>
          <w:szCs w:val="28"/>
          <w:highlight w:val="none"/>
        </w:rPr>
        <w:t>年</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月</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日</w:t>
      </w:r>
    </w:p>
    <w:p w14:paraId="765FE310">
      <w:pPr>
        <w:snapToGrid w:val="0"/>
        <w:spacing w:line="400" w:lineRule="exact"/>
        <w:ind w:firstLine="556" w:firstLineChars="200"/>
        <w:rPr>
          <w:rFonts w:hint="eastAsia" w:ascii="黑体" w:hAnsi="黑体" w:eastAsia="黑体" w:cs="黑体"/>
          <w:b/>
          <w:color w:val="auto"/>
          <w:sz w:val="24"/>
          <w:szCs w:val="24"/>
          <w:highlight w:val="none"/>
        </w:rPr>
      </w:pPr>
      <w:r>
        <w:rPr>
          <w:rFonts w:hint="eastAsia" w:ascii="黑体" w:hAnsi="黑体" w:eastAsia="黑体" w:cs="黑体"/>
          <w:b/>
          <w:color w:val="auto"/>
          <w:w w:val="99"/>
          <w:kern w:val="0"/>
          <w:szCs w:val="28"/>
          <w:highlight w:val="none"/>
        </w:rPr>
        <w:br w:type="page"/>
      </w:r>
      <w:r>
        <w:rPr>
          <w:rFonts w:hint="eastAsia" w:ascii="黑体" w:hAnsi="黑体" w:eastAsia="黑体" w:cs="黑体"/>
          <w:b/>
          <w:color w:val="auto"/>
          <w:sz w:val="24"/>
          <w:szCs w:val="24"/>
          <w:highlight w:val="none"/>
        </w:rPr>
        <w:t>一、经济文件</w:t>
      </w:r>
    </w:p>
    <w:p w14:paraId="64C3CFDC">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（一）开标一览表</w:t>
      </w:r>
    </w:p>
    <w:p w14:paraId="4E5F84B7">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报价明细表</w:t>
      </w:r>
    </w:p>
    <w:p w14:paraId="59300CBA">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二、技术（质量）文件</w:t>
      </w:r>
    </w:p>
    <w:p w14:paraId="0CC74EA0">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（一）技术（质量）条款差异表</w:t>
      </w:r>
    </w:p>
    <w:p w14:paraId="631F9C30">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（二）其他技术（质量）资料</w:t>
      </w:r>
    </w:p>
    <w:p w14:paraId="224BCA7A">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三、商务文件</w:t>
      </w:r>
    </w:p>
    <w:p w14:paraId="5191969E">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（一）投标函（格式）</w:t>
      </w:r>
    </w:p>
    <w:p w14:paraId="547D3CB1">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（二）商务条款差异表</w:t>
      </w:r>
    </w:p>
    <w:p w14:paraId="09F5C9EA">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w:t>
      </w:r>
      <w:r>
        <w:rPr>
          <w:rFonts w:hint="eastAsia" w:ascii="黑体" w:hAnsi="黑体" w:eastAsia="黑体" w:cs="黑体"/>
          <w:color w:val="auto"/>
          <w:sz w:val="24"/>
          <w:szCs w:val="28"/>
          <w:highlight w:val="none"/>
        </w:rPr>
        <w:t>其他商务资料</w:t>
      </w:r>
    </w:p>
    <w:p w14:paraId="69E7BB62">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四、资格文件</w:t>
      </w:r>
    </w:p>
    <w:p w14:paraId="1BE4EEB0">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（一）法人营业执照（副本）或事业单位法人证书（副本）或个体工商户营业执照或有效的自然人身份证明或社会团体法人登记证书复印件</w:t>
      </w:r>
    </w:p>
    <w:p w14:paraId="6059E1E5">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（二）法定代表人身份证明书（格式）</w:t>
      </w:r>
    </w:p>
    <w:p w14:paraId="7BF5C333">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（三）法定代表人授权委托书（格式）</w:t>
      </w:r>
    </w:p>
    <w:p w14:paraId="71D778CD">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（四）基本资格条件承诺函（格式）</w:t>
      </w:r>
    </w:p>
    <w:p w14:paraId="04D76867">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（五）特定资格条件证书或证明文件</w:t>
      </w:r>
    </w:p>
    <w:p w14:paraId="2CA50772">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六</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8"/>
          <w:highlight w:val="none"/>
          <w:lang w:val="en-US" w:eastAsia="zh-CN"/>
        </w:rPr>
        <w:t>投标廉政承诺</w:t>
      </w:r>
    </w:p>
    <w:p w14:paraId="14715017">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（七）其他资料</w:t>
      </w:r>
    </w:p>
    <w:p w14:paraId="6D6BD21B">
      <w:pPr>
        <w:pStyle w:val="4"/>
        <w:pageBreakBefore/>
        <w:spacing w:line="500" w:lineRule="exact"/>
        <w:ind w:firstLine="562" w:firstLineChars="200"/>
        <w:rPr>
          <w:rFonts w:hint="eastAsia" w:ascii="黑体" w:hAnsi="黑体" w:eastAsia="黑体" w:cs="黑体"/>
          <w:b/>
          <w:color w:val="auto"/>
          <w:szCs w:val="28"/>
          <w:highlight w:val="none"/>
        </w:rPr>
      </w:pPr>
      <w:bookmarkStart w:id="152" w:name="_Toc429584884"/>
      <w:bookmarkStart w:id="153" w:name="_Toc7958"/>
      <w:bookmarkStart w:id="154" w:name="_Toc63"/>
      <w:bookmarkStart w:id="155" w:name="_Toc75793540"/>
      <w:bookmarkStart w:id="156" w:name="_Toc30815"/>
      <w:r>
        <w:rPr>
          <w:rFonts w:hint="eastAsia" w:ascii="黑体" w:hAnsi="黑体" w:eastAsia="黑体" w:cs="黑体"/>
          <w:b/>
          <w:color w:val="auto"/>
          <w:szCs w:val="28"/>
          <w:highlight w:val="none"/>
        </w:rPr>
        <w:t>一、经济文件</w:t>
      </w:r>
      <w:bookmarkEnd w:id="152"/>
      <w:bookmarkEnd w:id="153"/>
      <w:bookmarkEnd w:id="154"/>
      <w:bookmarkEnd w:id="155"/>
      <w:bookmarkEnd w:id="156"/>
    </w:p>
    <w:p w14:paraId="42F453C1">
      <w:pPr>
        <w:snapToGrid w:val="0"/>
        <w:spacing w:line="500" w:lineRule="exact"/>
        <w:jc w:val="center"/>
        <w:rPr>
          <w:rFonts w:hint="eastAsia" w:ascii="黑体" w:hAnsi="黑体" w:eastAsia="黑体" w:cs="黑体"/>
          <w:color w:val="auto"/>
          <w:szCs w:val="36"/>
          <w:highlight w:val="none"/>
        </w:rPr>
      </w:pPr>
      <w:r>
        <w:rPr>
          <w:rFonts w:hint="eastAsia" w:ascii="黑体" w:hAnsi="黑体" w:eastAsia="黑体" w:cs="黑体"/>
          <w:color w:val="auto"/>
          <w:szCs w:val="36"/>
          <w:highlight w:val="none"/>
        </w:rPr>
        <w:t>（一）开标一览表</w:t>
      </w:r>
    </w:p>
    <w:p w14:paraId="3FA02E4B">
      <w:pPr>
        <w:snapToGrid w:val="0"/>
        <w:spacing w:line="400" w:lineRule="exact"/>
        <w:ind w:firstLine="480" w:firstLineChars="200"/>
        <w:rPr>
          <w:rFonts w:hint="eastAsia" w:ascii="黑体" w:hAnsi="黑体" w:eastAsia="黑体" w:cs="黑体"/>
          <w:lang w:val="en-US" w:eastAsia="zh-CN"/>
        </w:rPr>
      </w:pPr>
      <w:r>
        <w:rPr>
          <w:rFonts w:hint="eastAsia" w:ascii="黑体" w:hAnsi="黑体" w:eastAsia="黑体" w:cs="黑体"/>
          <w:color w:val="auto"/>
          <w:sz w:val="24"/>
          <w:szCs w:val="28"/>
          <w:highlight w:val="none"/>
          <w:lang w:val="en-US" w:eastAsia="zh-CN"/>
        </w:rPr>
        <w:t>招标</w:t>
      </w:r>
      <w:r>
        <w:rPr>
          <w:rFonts w:hint="eastAsia" w:ascii="黑体" w:hAnsi="黑体" w:eastAsia="黑体" w:cs="黑体"/>
          <w:color w:val="auto"/>
          <w:sz w:val="24"/>
          <w:szCs w:val="28"/>
          <w:highlight w:val="none"/>
        </w:rPr>
        <w:t>编号：</w:t>
      </w:r>
    </w:p>
    <w:tbl>
      <w:tblPr>
        <w:tblStyle w:val="23"/>
        <w:tblpPr w:leftFromText="180" w:rightFromText="180" w:vertAnchor="text" w:horzAnchor="page" w:tblpX="1302" w:tblpY="48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867"/>
        <w:gridCol w:w="3210"/>
        <w:gridCol w:w="1924"/>
      </w:tblGrid>
      <w:tr w14:paraId="254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627" w:type="dxa"/>
            <w:vAlign w:val="center"/>
          </w:tcPr>
          <w:p w14:paraId="37CC768D">
            <w:pPr>
              <w:jc w:val="center"/>
              <w:rPr>
                <w:rFonts w:hint="eastAsia" w:ascii="黑体" w:hAnsi="黑体" w:eastAsia="黑体" w:cs="黑体"/>
                <w:color w:val="auto"/>
                <w:sz w:val="21"/>
                <w:szCs w:val="28"/>
                <w:highlight w:val="none"/>
              </w:rPr>
            </w:pPr>
            <w:r>
              <w:rPr>
                <w:rFonts w:hint="eastAsia" w:ascii="黑体" w:hAnsi="黑体" w:eastAsia="黑体" w:cs="黑体"/>
                <w:color w:val="auto"/>
                <w:sz w:val="21"/>
                <w:szCs w:val="28"/>
                <w:highlight w:val="none"/>
                <w:lang w:eastAsia="zh-CN"/>
              </w:rPr>
              <w:t>供应商</w:t>
            </w:r>
            <w:r>
              <w:rPr>
                <w:rFonts w:hint="eastAsia" w:ascii="黑体" w:hAnsi="黑体" w:eastAsia="黑体" w:cs="黑体"/>
                <w:color w:val="auto"/>
                <w:sz w:val="21"/>
                <w:szCs w:val="28"/>
                <w:highlight w:val="none"/>
              </w:rPr>
              <w:t>名称</w:t>
            </w:r>
          </w:p>
        </w:tc>
        <w:tc>
          <w:tcPr>
            <w:tcW w:w="8001" w:type="dxa"/>
            <w:gridSpan w:val="3"/>
            <w:vAlign w:val="center"/>
          </w:tcPr>
          <w:p w14:paraId="5D39CCB9">
            <w:pPr>
              <w:jc w:val="center"/>
              <w:rPr>
                <w:rFonts w:hint="eastAsia" w:ascii="黑体" w:hAnsi="黑体" w:eastAsia="黑体" w:cs="黑体"/>
                <w:color w:val="auto"/>
                <w:sz w:val="21"/>
                <w:szCs w:val="28"/>
                <w:highlight w:val="none"/>
              </w:rPr>
            </w:pPr>
          </w:p>
        </w:tc>
      </w:tr>
      <w:tr w14:paraId="0CD4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494" w:type="dxa"/>
            <w:gridSpan w:val="2"/>
            <w:vAlign w:val="center"/>
          </w:tcPr>
          <w:p w14:paraId="65E16EE3">
            <w:pPr>
              <w:jc w:val="center"/>
              <w:rPr>
                <w:rFonts w:hint="eastAsia" w:ascii="黑体" w:hAnsi="黑体" w:eastAsia="黑体" w:cs="黑体"/>
                <w:color w:val="auto"/>
                <w:sz w:val="21"/>
                <w:szCs w:val="28"/>
                <w:highlight w:val="none"/>
              </w:rPr>
            </w:pPr>
            <w:r>
              <w:rPr>
                <w:rFonts w:hint="eastAsia" w:ascii="黑体" w:hAnsi="黑体" w:eastAsia="黑体" w:cs="黑体"/>
                <w:color w:val="auto"/>
                <w:sz w:val="21"/>
                <w:szCs w:val="28"/>
                <w:highlight w:val="none"/>
              </w:rPr>
              <w:t>项目名称</w:t>
            </w:r>
          </w:p>
        </w:tc>
        <w:tc>
          <w:tcPr>
            <w:tcW w:w="3210" w:type="dxa"/>
            <w:vAlign w:val="center"/>
          </w:tcPr>
          <w:p w14:paraId="56FA3B14">
            <w:pPr>
              <w:jc w:val="center"/>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1"/>
                <w:highlight w:val="none"/>
                <w:lang w:val="en-US" w:eastAsia="zh-CN"/>
              </w:rPr>
              <w:t>投标总报价（元）</w:t>
            </w:r>
          </w:p>
        </w:tc>
        <w:tc>
          <w:tcPr>
            <w:tcW w:w="1924" w:type="dxa"/>
            <w:vAlign w:val="center"/>
          </w:tcPr>
          <w:p w14:paraId="0FE0A716">
            <w:pPr>
              <w:jc w:val="center"/>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8"/>
                <w:highlight w:val="none"/>
                <w:lang w:val="en-US" w:eastAsia="zh-CN"/>
              </w:rPr>
              <w:t>备注</w:t>
            </w:r>
          </w:p>
        </w:tc>
      </w:tr>
      <w:tr w14:paraId="1EF9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494" w:type="dxa"/>
            <w:gridSpan w:val="2"/>
            <w:tcBorders>
              <w:bottom w:val="single" w:color="auto" w:sz="4" w:space="0"/>
            </w:tcBorders>
            <w:vAlign w:val="center"/>
          </w:tcPr>
          <w:p w14:paraId="6B51B5C3">
            <w:pPr>
              <w:jc w:val="center"/>
              <w:rPr>
                <w:rFonts w:hint="eastAsia" w:ascii="黑体" w:hAnsi="黑体" w:eastAsia="黑体" w:cs="黑体"/>
                <w:color w:val="auto"/>
                <w:sz w:val="21"/>
                <w:szCs w:val="28"/>
                <w:highlight w:val="none"/>
                <w:lang w:val="en-US" w:eastAsia="zh-CN"/>
              </w:rPr>
            </w:pPr>
          </w:p>
          <w:p w14:paraId="3C1A12C0">
            <w:pPr>
              <w:jc w:val="center"/>
              <w:rPr>
                <w:rFonts w:hint="eastAsia" w:ascii="黑体" w:hAnsi="黑体" w:eastAsia="黑体" w:cs="黑体"/>
                <w:color w:val="auto"/>
                <w:sz w:val="21"/>
                <w:szCs w:val="28"/>
                <w:highlight w:val="none"/>
                <w:lang w:val="en-US" w:eastAsia="zh-CN"/>
              </w:rPr>
            </w:pPr>
          </w:p>
        </w:tc>
        <w:tc>
          <w:tcPr>
            <w:tcW w:w="3210" w:type="dxa"/>
            <w:tcBorders>
              <w:bottom w:val="single" w:color="auto" w:sz="4" w:space="0"/>
            </w:tcBorders>
            <w:vAlign w:val="top"/>
          </w:tcPr>
          <w:p w14:paraId="30DA98B3">
            <w:pPr>
              <w:jc w:val="center"/>
              <w:rPr>
                <w:rFonts w:hint="eastAsia" w:ascii="黑体" w:hAnsi="黑体" w:eastAsia="黑体" w:cs="黑体"/>
                <w:color w:val="auto"/>
                <w:sz w:val="21"/>
                <w:szCs w:val="28"/>
                <w:highlight w:val="none"/>
              </w:rPr>
            </w:pPr>
          </w:p>
        </w:tc>
        <w:tc>
          <w:tcPr>
            <w:tcW w:w="1924" w:type="dxa"/>
            <w:tcBorders>
              <w:bottom w:val="single" w:color="auto" w:sz="4" w:space="0"/>
            </w:tcBorders>
            <w:vAlign w:val="top"/>
          </w:tcPr>
          <w:p w14:paraId="42144BDC">
            <w:pPr>
              <w:jc w:val="center"/>
              <w:rPr>
                <w:rFonts w:hint="eastAsia" w:ascii="黑体" w:hAnsi="黑体" w:eastAsia="黑体" w:cs="黑体"/>
                <w:color w:val="auto"/>
                <w:sz w:val="21"/>
                <w:szCs w:val="28"/>
                <w:highlight w:val="none"/>
              </w:rPr>
            </w:pPr>
          </w:p>
        </w:tc>
      </w:tr>
      <w:tr w14:paraId="5FA1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046C988C">
            <w:pPr>
              <w:spacing w:line="560" w:lineRule="exact"/>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8"/>
                <w:highlight w:val="none"/>
                <w:lang w:val="en-US" w:eastAsia="zh-CN"/>
              </w:rPr>
              <w:t>投标总</w:t>
            </w:r>
            <w:r>
              <w:rPr>
                <w:rFonts w:hint="eastAsia" w:ascii="黑体" w:hAnsi="黑体" w:eastAsia="黑体" w:cs="黑体"/>
                <w:color w:val="auto"/>
                <w:sz w:val="21"/>
                <w:szCs w:val="28"/>
                <w:highlight w:val="none"/>
                <w:lang w:eastAsia="zh-CN"/>
              </w:rPr>
              <w:t>报价（大写）：</w:t>
            </w:r>
            <w:r>
              <w:rPr>
                <w:rFonts w:hint="eastAsia" w:ascii="黑体" w:hAnsi="黑体" w:eastAsia="黑体" w:cs="黑体"/>
                <w:color w:val="auto"/>
                <w:sz w:val="21"/>
                <w:szCs w:val="28"/>
                <w:highlight w:val="none"/>
                <w:u w:val="single"/>
                <w:lang w:eastAsia="zh-CN"/>
              </w:rPr>
              <w:t xml:space="preserve">               </w:t>
            </w:r>
          </w:p>
        </w:tc>
      </w:tr>
      <w:tr w14:paraId="6847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4E3215E4">
            <w:pPr>
              <w:pStyle w:val="12"/>
              <w:spacing w:line="500" w:lineRule="exact"/>
              <w:rPr>
                <w:rFonts w:hint="eastAsia" w:ascii="黑体" w:hAnsi="黑体" w:eastAsia="黑体" w:cs="黑体"/>
                <w:color w:val="auto"/>
                <w:sz w:val="21"/>
                <w:highlight w:val="none"/>
              </w:rPr>
            </w:pPr>
            <w:r>
              <w:rPr>
                <w:rFonts w:hint="eastAsia" w:ascii="黑体" w:hAnsi="黑体" w:eastAsia="黑体" w:cs="黑体"/>
                <w:color w:val="auto"/>
                <w:sz w:val="21"/>
                <w:highlight w:val="none"/>
              </w:rPr>
              <w:t xml:space="preserve">备注： </w:t>
            </w:r>
          </w:p>
        </w:tc>
      </w:tr>
    </w:tbl>
    <w:p w14:paraId="3BCBFE1A">
      <w:pPr>
        <w:snapToGrid w:val="0"/>
        <w:spacing w:line="400" w:lineRule="exact"/>
        <w:ind w:firstLine="480" w:firstLineChars="200"/>
        <w:rPr>
          <w:rFonts w:hint="eastAsia" w:ascii="黑体" w:hAnsi="黑体" w:eastAsia="黑体" w:cs="黑体"/>
          <w:color w:val="auto"/>
          <w:sz w:val="24"/>
          <w:szCs w:val="28"/>
          <w:highlight w:val="none"/>
        </w:rPr>
      </w:pPr>
    </w:p>
    <w:p w14:paraId="4A999966">
      <w:pPr>
        <w:pStyle w:val="12"/>
        <w:spacing w:line="500" w:lineRule="exact"/>
        <w:rPr>
          <w:rFonts w:hint="eastAsia" w:ascii="黑体" w:hAnsi="黑体" w:eastAsia="黑体" w:cs="黑体"/>
          <w:color w:val="auto"/>
          <w:sz w:val="24"/>
          <w:szCs w:val="28"/>
          <w:highlight w:val="none"/>
        </w:rPr>
      </w:pPr>
    </w:p>
    <w:p w14:paraId="56BF1567">
      <w:pPr>
        <w:rPr>
          <w:rFonts w:hint="eastAsia" w:ascii="黑体" w:hAnsi="黑体" w:eastAsia="黑体" w:cs="黑体"/>
          <w:color w:val="auto"/>
          <w:highlight w:val="none"/>
        </w:rPr>
      </w:pPr>
    </w:p>
    <w:p w14:paraId="2EDC6745">
      <w:pPr>
        <w:spacing w:line="500" w:lineRule="exact"/>
        <w:rPr>
          <w:rFonts w:hint="eastAsia" w:ascii="黑体" w:hAnsi="黑体" w:eastAsia="黑体" w:cs="黑体"/>
          <w:color w:val="auto"/>
          <w:sz w:val="24"/>
          <w:szCs w:val="28"/>
          <w:highlight w:val="none"/>
        </w:rPr>
      </w:pPr>
    </w:p>
    <w:p w14:paraId="3703BBC3">
      <w:pPr>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                      法定代表人（或法定代表人授权代表）或自然人：</w:t>
      </w:r>
    </w:p>
    <w:p w14:paraId="1C4224A3">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（供应商公章）                               （签署或盖章）</w:t>
      </w:r>
    </w:p>
    <w:p w14:paraId="18F36258">
      <w:pPr>
        <w:spacing w:line="500" w:lineRule="exact"/>
        <w:rPr>
          <w:rFonts w:hint="eastAsia" w:ascii="黑体" w:hAnsi="黑体" w:eastAsia="黑体" w:cs="黑体"/>
          <w:color w:val="auto"/>
          <w:sz w:val="24"/>
          <w:szCs w:val="28"/>
          <w:highlight w:val="none"/>
        </w:rPr>
      </w:pPr>
    </w:p>
    <w:p w14:paraId="5D43894D">
      <w:pPr>
        <w:spacing w:line="500" w:lineRule="exact"/>
        <w:rPr>
          <w:rFonts w:hint="eastAsia" w:ascii="黑体" w:hAnsi="黑体" w:eastAsia="黑体" w:cs="黑体"/>
          <w:color w:val="auto"/>
          <w:sz w:val="24"/>
          <w:szCs w:val="28"/>
          <w:highlight w:val="none"/>
        </w:rPr>
      </w:pPr>
    </w:p>
    <w:p w14:paraId="3CA6E3E3">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年     月     日</w:t>
      </w:r>
    </w:p>
    <w:p w14:paraId="4280DF0C">
      <w:pPr>
        <w:snapToGrid w:val="0"/>
        <w:spacing w:line="500" w:lineRule="exact"/>
        <w:ind w:firstLine="480" w:firstLineChars="200"/>
        <w:rPr>
          <w:rFonts w:hint="eastAsia" w:ascii="黑体" w:hAnsi="黑体" w:eastAsia="黑体" w:cs="黑体"/>
          <w:color w:val="auto"/>
          <w:sz w:val="24"/>
          <w:szCs w:val="28"/>
          <w:highlight w:val="none"/>
        </w:rPr>
      </w:pPr>
    </w:p>
    <w:p w14:paraId="472A1DE0">
      <w:pPr>
        <w:snapToGrid w:val="0"/>
        <w:spacing w:line="500" w:lineRule="exact"/>
        <w:ind w:firstLine="480" w:firstLineChars="200"/>
        <w:rPr>
          <w:rFonts w:hint="eastAsia" w:ascii="黑体" w:hAnsi="黑体" w:eastAsia="黑体" w:cs="黑体"/>
          <w:color w:val="auto"/>
          <w:sz w:val="24"/>
          <w:szCs w:val="28"/>
          <w:highlight w:val="none"/>
        </w:rPr>
      </w:pPr>
    </w:p>
    <w:p w14:paraId="402C6633">
      <w:pPr>
        <w:snapToGrid w:val="0"/>
        <w:spacing w:line="500" w:lineRule="exact"/>
        <w:ind w:firstLine="480" w:firstLineChars="200"/>
        <w:rPr>
          <w:rFonts w:hint="eastAsia" w:ascii="黑体" w:hAnsi="黑体" w:eastAsia="黑体" w:cs="黑体"/>
          <w:color w:val="auto"/>
          <w:sz w:val="24"/>
          <w:szCs w:val="28"/>
          <w:highlight w:val="none"/>
        </w:rPr>
      </w:pPr>
    </w:p>
    <w:p w14:paraId="1F4BD806">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说明：</w:t>
      </w:r>
    </w:p>
    <w:p w14:paraId="6D5549CA">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1.开标一览表按格式填列；</w:t>
      </w:r>
    </w:p>
    <w:p w14:paraId="2EFBA1CA">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2.开标一览表在开标大会上当众宣读，务必填写清楚，准确无误；</w:t>
      </w:r>
    </w:p>
    <w:p w14:paraId="7CAA15AC">
      <w:pPr>
        <w:pStyle w:val="3"/>
        <w:rPr>
          <w:rFonts w:hint="eastAsia" w:ascii="黑体" w:hAnsi="黑体" w:eastAsia="黑体" w:cs="黑体"/>
          <w:color w:val="auto"/>
          <w:sz w:val="24"/>
          <w:szCs w:val="28"/>
          <w:highlight w:val="none"/>
        </w:rPr>
      </w:pPr>
    </w:p>
    <w:p w14:paraId="38101285">
      <w:pPr>
        <w:rPr>
          <w:rFonts w:hint="eastAsia" w:ascii="黑体" w:hAnsi="黑体" w:eastAsia="黑体" w:cs="黑体"/>
        </w:rPr>
        <w:sectPr>
          <w:pgSz w:w="11907" w:h="16840"/>
          <w:pgMar w:top="1134" w:right="1191" w:bottom="1134" w:left="1304" w:header="964" w:footer="992" w:gutter="0"/>
          <w:cols w:space="720" w:num="1"/>
          <w:docGrid w:linePitch="380" w:charSpace="-5735"/>
        </w:sectPr>
      </w:pPr>
    </w:p>
    <w:p w14:paraId="38EE4F3E">
      <w:pPr>
        <w:numPr>
          <w:ilvl w:val="0"/>
          <w:numId w:val="0"/>
        </w:numPr>
        <w:snapToGrid w:val="0"/>
        <w:spacing w:line="400" w:lineRule="exact"/>
        <w:ind w:left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（二）报价明细表</w:t>
      </w:r>
    </w:p>
    <w:p w14:paraId="67F9CFF9">
      <w:pPr>
        <w:numPr>
          <w:ilvl w:val="0"/>
          <w:numId w:val="0"/>
        </w:numPr>
        <w:snapToGrid w:val="0"/>
        <w:spacing w:line="400" w:lineRule="exact"/>
        <w:ind w:leftChars="0"/>
        <w:rPr>
          <w:rFonts w:hint="eastAsia" w:ascii="黑体" w:hAnsi="黑体" w:eastAsia="黑体" w:cs="黑体"/>
          <w:color w:val="auto"/>
          <w:sz w:val="24"/>
          <w:szCs w:val="24"/>
          <w:highlight w:val="none"/>
          <w:lang w:val="en-US" w:eastAsia="zh-CN"/>
        </w:rPr>
      </w:pPr>
    </w:p>
    <w:p w14:paraId="198559D6">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lang w:val="en-US" w:eastAsia="zh-CN"/>
        </w:rPr>
        <w:t>招标编号</w:t>
      </w:r>
      <w:r>
        <w:rPr>
          <w:rFonts w:hint="eastAsia" w:ascii="黑体" w:hAnsi="黑体" w:eastAsia="黑体" w:cs="黑体"/>
          <w:sz w:val="24"/>
          <w:szCs w:val="28"/>
        </w:rPr>
        <w:t>：</w:t>
      </w:r>
    </w:p>
    <w:p w14:paraId="19413F23">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项目名称：                                           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926"/>
        <w:gridCol w:w="2466"/>
        <w:gridCol w:w="1234"/>
        <w:gridCol w:w="1235"/>
        <w:gridCol w:w="927"/>
        <w:gridCol w:w="927"/>
        <w:gridCol w:w="927"/>
      </w:tblGrid>
      <w:tr w14:paraId="1914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noWrap w:val="0"/>
            <w:vAlign w:val="center"/>
          </w:tcPr>
          <w:p w14:paraId="0ABA63B7">
            <w:pPr>
              <w:jc w:val="center"/>
              <w:rPr>
                <w:rFonts w:hint="eastAsia" w:ascii="黑体" w:hAnsi="黑体" w:eastAsia="黑体" w:cs="黑体"/>
                <w:b/>
                <w:sz w:val="21"/>
                <w:szCs w:val="21"/>
              </w:rPr>
            </w:pPr>
            <w:r>
              <w:rPr>
                <w:rFonts w:hint="eastAsia" w:ascii="黑体" w:hAnsi="黑体" w:eastAsia="黑体" w:cs="黑体"/>
                <w:b/>
                <w:sz w:val="21"/>
                <w:szCs w:val="21"/>
              </w:rPr>
              <w:t>序号</w:t>
            </w:r>
          </w:p>
        </w:tc>
        <w:tc>
          <w:tcPr>
            <w:tcW w:w="485" w:type="pct"/>
            <w:noWrap w:val="0"/>
            <w:vAlign w:val="center"/>
          </w:tcPr>
          <w:p w14:paraId="772CEE93">
            <w:pPr>
              <w:jc w:val="center"/>
              <w:rPr>
                <w:rFonts w:hint="eastAsia" w:ascii="黑体" w:hAnsi="黑体" w:eastAsia="黑体" w:cs="黑体"/>
                <w:b/>
                <w:sz w:val="21"/>
                <w:szCs w:val="21"/>
              </w:rPr>
            </w:pPr>
            <w:r>
              <w:rPr>
                <w:rFonts w:hint="eastAsia" w:ascii="黑体" w:hAnsi="黑体" w:eastAsia="黑体" w:cs="黑体"/>
                <w:b/>
                <w:sz w:val="21"/>
                <w:szCs w:val="21"/>
              </w:rPr>
              <w:t>名称</w:t>
            </w:r>
          </w:p>
        </w:tc>
        <w:tc>
          <w:tcPr>
            <w:tcW w:w="1285" w:type="pct"/>
            <w:noWrap w:val="0"/>
            <w:vAlign w:val="center"/>
          </w:tcPr>
          <w:p w14:paraId="46D84FF4">
            <w:pPr>
              <w:jc w:val="center"/>
              <w:rPr>
                <w:rFonts w:hint="eastAsia" w:ascii="黑体" w:hAnsi="黑体" w:eastAsia="黑体" w:cs="黑体"/>
                <w:b/>
                <w:sz w:val="21"/>
                <w:szCs w:val="21"/>
              </w:rPr>
            </w:pPr>
            <w:r>
              <w:rPr>
                <w:rFonts w:hint="eastAsia" w:ascii="黑体" w:hAnsi="黑体" w:eastAsia="黑体" w:cs="黑体"/>
                <w:b/>
                <w:sz w:val="21"/>
                <w:szCs w:val="21"/>
              </w:rPr>
              <w:t>品牌、规格型号</w:t>
            </w:r>
          </w:p>
        </w:tc>
        <w:tc>
          <w:tcPr>
            <w:tcW w:w="645" w:type="pct"/>
            <w:noWrap w:val="0"/>
            <w:vAlign w:val="center"/>
          </w:tcPr>
          <w:p w14:paraId="1F2C3FE6">
            <w:pPr>
              <w:jc w:val="center"/>
              <w:rPr>
                <w:rFonts w:hint="eastAsia" w:ascii="黑体" w:hAnsi="黑体" w:eastAsia="黑体" w:cs="黑体"/>
                <w:b/>
                <w:sz w:val="21"/>
                <w:szCs w:val="21"/>
              </w:rPr>
            </w:pPr>
            <w:r>
              <w:rPr>
                <w:rFonts w:hint="eastAsia" w:ascii="黑体" w:hAnsi="黑体" w:eastAsia="黑体" w:cs="黑体"/>
                <w:b/>
                <w:sz w:val="21"/>
                <w:szCs w:val="21"/>
              </w:rPr>
              <w:t>制造商</w:t>
            </w:r>
          </w:p>
        </w:tc>
        <w:tc>
          <w:tcPr>
            <w:tcW w:w="645" w:type="pct"/>
            <w:noWrap w:val="0"/>
            <w:vAlign w:val="center"/>
          </w:tcPr>
          <w:p w14:paraId="7F461B6C">
            <w:pPr>
              <w:jc w:val="center"/>
              <w:rPr>
                <w:rFonts w:hint="eastAsia" w:ascii="黑体" w:hAnsi="黑体" w:eastAsia="黑体" w:cs="黑体"/>
                <w:b/>
                <w:sz w:val="21"/>
                <w:szCs w:val="21"/>
              </w:rPr>
            </w:pPr>
            <w:r>
              <w:rPr>
                <w:rFonts w:hint="eastAsia" w:ascii="黑体" w:hAnsi="黑体" w:eastAsia="黑体" w:cs="黑体"/>
                <w:b/>
                <w:sz w:val="21"/>
                <w:szCs w:val="21"/>
              </w:rPr>
              <w:t>生产地</w:t>
            </w:r>
          </w:p>
        </w:tc>
        <w:tc>
          <w:tcPr>
            <w:tcW w:w="485" w:type="pct"/>
            <w:noWrap w:val="0"/>
            <w:vAlign w:val="center"/>
          </w:tcPr>
          <w:p w14:paraId="07FDD3B8">
            <w:pPr>
              <w:jc w:val="center"/>
              <w:rPr>
                <w:rFonts w:hint="eastAsia" w:ascii="黑体" w:hAnsi="黑体" w:eastAsia="黑体" w:cs="黑体"/>
                <w:b/>
                <w:sz w:val="21"/>
                <w:szCs w:val="21"/>
              </w:rPr>
            </w:pPr>
            <w:r>
              <w:rPr>
                <w:rFonts w:hint="eastAsia" w:ascii="黑体" w:hAnsi="黑体" w:eastAsia="黑体" w:cs="黑体"/>
                <w:b/>
                <w:sz w:val="21"/>
                <w:szCs w:val="21"/>
              </w:rPr>
              <w:t>数量</w:t>
            </w:r>
          </w:p>
        </w:tc>
        <w:tc>
          <w:tcPr>
            <w:tcW w:w="485" w:type="pct"/>
            <w:noWrap w:val="0"/>
            <w:vAlign w:val="center"/>
          </w:tcPr>
          <w:p w14:paraId="41215C97">
            <w:pPr>
              <w:jc w:val="center"/>
              <w:rPr>
                <w:rFonts w:hint="eastAsia" w:ascii="黑体" w:hAnsi="黑体" w:eastAsia="黑体" w:cs="黑体"/>
                <w:b/>
                <w:sz w:val="21"/>
                <w:szCs w:val="21"/>
              </w:rPr>
            </w:pPr>
            <w:r>
              <w:rPr>
                <w:rFonts w:hint="eastAsia" w:ascii="黑体" w:hAnsi="黑体" w:eastAsia="黑体" w:cs="黑体"/>
                <w:b/>
                <w:sz w:val="21"/>
                <w:szCs w:val="21"/>
              </w:rPr>
              <w:t>单价</w:t>
            </w:r>
          </w:p>
        </w:tc>
        <w:tc>
          <w:tcPr>
            <w:tcW w:w="485" w:type="pct"/>
            <w:noWrap w:val="0"/>
            <w:vAlign w:val="center"/>
          </w:tcPr>
          <w:p w14:paraId="57EC2F48">
            <w:pPr>
              <w:jc w:val="center"/>
              <w:rPr>
                <w:rFonts w:hint="eastAsia" w:ascii="黑体" w:hAnsi="黑体" w:eastAsia="黑体" w:cs="黑体"/>
                <w:b/>
                <w:sz w:val="21"/>
                <w:szCs w:val="21"/>
              </w:rPr>
            </w:pPr>
            <w:r>
              <w:rPr>
                <w:rFonts w:hint="eastAsia" w:ascii="黑体" w:hAnsi="黑体" w:eastAsia="黑体" w:cs="黑体"/>
                <w:b/>
                <w:sz w:val="21"/>
                <w:szCs w:val="21"/>
              </w:rPr>
              <w:t>合计</w:t>
            </w:r>
          </w:p>
        </w:tc>
      </w:tr>
      <w:tr w14:paraId="5328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4011ACFB">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w:t>
            </w:r>
          </w:p>
        </w:tc>
        <w:tc>
          <w:tcPr>
            <w:tcW w:w="485" w:type="pct"/>
            <w:noWrap w:val="0"/>
            <w:vAlign w:val="center"/>
          </w:tcPr>
          <w:p w14:paraId="05CF1C46">
            <w:pPr>
              <w:jc w:val="center"/>
              <w:rPr>
                <w:rFonts w:hint="eastAsia" w:ascii="黑体" w:hAnsi="黑体" w:eastAsia="黑体" w:cs="黑体"/>
                <w:sz w:val="21"/>
                <w:szCs w:val="21"/>
              </w:rPr>
            </w:pPr>
          </w:p>
        </w:tc>
        <w:tc>
          <w:tcPr>
            <w:tcW w:w="1285" w:type="pct"/>
            <w:noWrap w:val="0"/>
            <w:vAlign w:val="top"/>
          </w:tcPr>
          <w:p w14:paraId="619B166E">
            <w:pPr>
              <w:jc w:val="center"/>
              <w:rPr>
                <w:rFonts w:hint="eastAsia" w:ascii="黑体" w:hAnsi="黑体" w:eastAsia="黑体" w:cs="黑体"/>
                <w:sz w:val="21"/>
                <w:szCs w:val="21"/>
              </w:rPr>
            </w:pPr>
          </w:p>
        </w:tc>
        <w:tc>
          <w:tcPr>
            <w:tcW w:w="645" w:type="pct"/>
            <w:noWrap w:val="0"/>
            <w:vAlign w:val="top"/>
          </w:tcPr>
          <w:p w14:paraId="7AE0061B">
            <w:pPr>
              <w:jc w:val="center"/>
              <w:rPr>
                <w:rFonts w:hint="eastAsia" w:ascii="黑体" w:hAnsi="黑体" w:eastAsia="黑体" w:cs="黑体"/>
                <w:sz w:val="21"/>
                <w:szCs w:val="21"/>
              </w:rPr>
            </w:pPr>
          </w:p>
        </w:tc>
        <w:tc>
          <w:tcPr>
            <w:tcW w:w="645" w:type="pct"/>
            <w:noWrap w:val="0"/>
            <w:vAlign w:val="top"/>
          </w:tcPr>
          <w:p w14:paraId="35E332EF">
            <w:pPr>
              <w:jc w:val="center"/>
              <w:rPr>
                <w:rFonts w:hint="eastAsia" w:ascii="黑体" w:hAnsi="黑体" w:eastAsia="黑体" w:cs="黑体"/>
                <w:sz w:val="21"/>
                <w:szCs w:val="21"/>
              </w:rPr>
            </w:pPr>
          </w:p>
        </w:tc>
        <w:tc>
          <w:tcPr>
            <w:tcW w:w="485" w:type="pct"/>
            <w:noWrap w:val="0"/>
            <w:vAlign w:val="center"/>
          </w:tcPr>
          <w:p w14:paraId="36032188">
            <w:pPr>
              <w:jc w:val="center"/>
              <w:rPr>
                <w:rFonts w:hint="eastAsia" w:ascii="黑体" w:hAnsi="黑体" w:eastAsia="黑体" w:cs="黑体"/>
                <w:sz w:val="21"/>
                <w:szCs w:val="21"/>
              </w:rPr>
            </w:pPr>
          </w:p>
        </w:tc>
        <w:tc>
          <w:tcPr>
            <w:tcW w:w="485" w:type="pct"/>
            <w:noWrap w:val="0"/>
            <w:vAlign w:val="top"/>
          </w:tcPr>
          <w:p w14:paraId="6D821EC2">
            <w:pPr>
              <w:jc w:val="center"/>
              <w:rPr>
                <w:rFonts w:hint="eastAsia" w:ascii="黑体" w:hAnsi="黑体" w:eastAsia="黑体" w:cs="黑体"/>
                <w:sz w:val="21"/>
                <w:szCs w:val="21"/>
              </w:rPr>
            </w:pPr>
          </w:p>
        </w:tc>
        <w:tc>
          <w:tcPr>
            <w:tcW w:w="485" w:type="pct"/>
            <w:noWrap w:val="0"/>
            <w:vAlign w:val="top"/>
          </w:tcPr>
          <w:p w14:paraId="06DF798E">
            <w:pPr>
              <w:jc w:val="center"/>
              <w:rPr>
                <w:rFonts w:hint="eastAsia" w:ascii="黑体" w:hAnsi="黑体" w:eastAsia="黑体" w:cs="黑体"/>
                <w:sz w:val="21"/>
                <w:szCs w:val="21"/>
              </w:rPr>
            </w:pPr>
          </w:p>
        </w:tc>
      </w:tr>
      <w:tr w14:paraId="6BB0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35A2953F">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2</w:t>
            </w:r>
          </w:p>
        </w:tc>
        <w:tc>
          <w:tcPr>
            <w:tcW w:w="485" w:type="pct"/>
            <w:noWrap w:val="0"/>
            <w:vAlign w:val="center"/>
          </w:tcPr>
          <w:p w14:paraId="4465B916">
            <w:pPr>
              <w:jc w:val="center"/>
              <w:rPr>
                <w:rFonts w:hint="eastAsia" w:ascii="黑体" w:hAnsi="黑体" w:eastAsia="黑体" w:cs="黑体"/>
                <w:sz w:val="21"/>
                <w:szCs w:val="21"/>
              </w:rPr>
            </w:pPr>
          </w:p>
        </w:tc>
        <w:tc>
          <w:tcPr>
            <w:tcW w:w="1285" w:type="pct"/>
            <w:noWrap w:val="0"/>
            <w:vAlign w:val="top"/>
          </w:tcPr>
          <w:p w14:paraId="70616DC5">
            <w:pPr>
              <w:jc w:val="center"/>
              <w:rPr>
                <w:rFonts w:hint="eastAsia" w:ascii="黑体" w:hAnsi="黑体" w:eastAsia="黑体" w:cs="黑体"/>
                <w:sz w:val="21"/>
                <w:szCs w:val="21"/>
              </w:rPr>
            </w:pPr>
          </w:p>
        </w:tc>
        <w:tc>
          <w:tcPr>
            <w:tcW w:w="645" w:type="pct"/>
            <w:noWrap w:val="0"/>
            <w:vAlign w:val="top"/>
          </w:tcPr>
          <w:p w14:paraId="0C910F9D">
            <w:pPr>
              <w:jc w:val="center"/>
              <w:rPr>
                <w:rFonts w:hint="eastAsia" w:ascii="黑体" w:hAnsi="黑体" w:eastAsia="黑体" w:cs="黑体"/>
                <w:sz w:val="21"/>
                <w:szCs w:val="21"/>
              </w:rPr>
            </w:pPr>
          </w:p>
        </w:tc>
        <w:tc>
          <w:tcPr>
            <w:tcW w:w="645" w:type="pct"/>
            <w:noWrap w:val="0"/>
            <w:vAlign w:val="top"/>
          </w:tcPr>
          <w:p w14:paraId="4BED180D">
            <w:pPr>
              <w:jc w:val="center"/>
              <w:rPr>
                <w:rFonts w:hint="eastAsia" w:ascii="黑体" w:hAnsi="黑体" w:eastAsia="黑体" w:cs="黑体"/>
                <w:sz w:val="21"/>
                <w:szCs w:val="21"/>
              </w:rPr>
            </w:pPr>
          </w:p>
        </w:tc>
        <w:tc>
          <w:tcPr>
            <w:tcW w:w="485" w:type="pct"/>
            <w:noWrap w:val="0"/>
            <w:vAlign w:val="center"/>
          </w:tcPr>
          <w:p w14:paraId="7BF5C745">
            <w:pPr>
              <w:jc w:val="center"/>
              <w:rPr>
                <w:rFonts w:hint="eastAsia" w:ascii="黑体" w:hAnsi="黑体" w:eastAsia="黑体" w:cs="黑体"/>
                <w:sz w:val="21"/>
                <w:szCs w:val="21"/>
              </w:rPr>
            </w:pPr>
          </w:p>
        </w:tc>
        <w:tc>
          <w:tcPr>
            <w:tcW w:w="485" w:type="pct"/>
            <w:noWrap w:val="0"/>
            <w:vAlign w:val="top"/>
          </w:tcPr>
          <w:p w14:paraId="144EDEB6">
            <w:pPr>
              <w:jc w:val="center"/>
              <w:rPr>
                <w:rFonts w:hint="eastAsia" w:ascii="黑体" w:hAnsi="黑体" w:eastAsia="黑体" w:cs="黑体"/>
                <w:sz w:val="21"/>
                <w:szCs w:val="21"/>
              </w:rPr>
            </w:pPr>
          </w:p>
        </w:tc>
        <w:tc>
          <w:tcPr>
            <w:tcW w:w="485" w:type="pct"/>
            <w:noWrap w:val="0"/>
            <w:vAlign w:val="top"/>
          </w:tcPr>
          <w:p w14:paraId="7D0344F9">
            <w:pPr>
              <w:jc w:val="center"/>
              <w:rPr>
                <w:rFonts w:hint="eastAsia" w:ascii="黑体" w:hAnsi="黑体" w:eastAsia="黑体" w:cs="黑体"/>
                <w:sz w:val="21"/>
                <w:szCs w:val="21"/>
              </w:rPr>
            </w:pPr>
          </w:p>
        </w:tc>
      </w:tr>
      <w:tr w14:paraId="6184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65FED2A">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3</w:t>
            </w:r>
          </w:p>
        </w:tc>
        <w:tc>
          <w:tcPr>
            <w:tcW w:w="485" w:type="pct"/>
            <w:noWrap w:val="0"/>
            <w:vAlign w:val="center"/>
          </w:tcPr>
          <w:p w14:paraId="368FD530">
            <w:pPr>
              <w:jc w:val="center"/>
              <w:rPr>
                <w:rFonts w:hint="eastAsia" w:ascii="黑体" w:hAnsi="黑体" w:eastAsia="黑体" w:cs="黑体"/>
                <w:sz w:val="21"/>
                <w:szCs w:val="21"/>
              </w:rPr>
            </w:pPr>
          </w:p>
        </w:tc>
        <w:tc>
          <w:tcPr>
            <w:tcW w:w="1285" w:type="pct"/>
            <w:noWrap w:val="0"/>
            <w:vAlign w:val="top"/>
          </w:tcPr>
          <w:p w14:paraId="2C75B27F">
            <w:pPr>
              <w:jc w:val="center"/>
              <w:rPr>
                <w:rFonts w:hint="eastAsia" w:ascii="黑体" w:hAnsi="黑体" w:eastAsia="黑体" w:cs="黑体"/>
                <w:sz w:val="21"/>
                <w:szCs w:val="21"/>
              </w:rPr>
            </w:pPr>
          </w:p>
        </w:tc>
        <w:tc>
          <w:tcPr>
            <w:tcW w:w="645" w:type="pct"/>
            <w:noWrap w:val="0"/>
            <w:vAlign w:val="top"/>
          </w:tcPr>
          <w:p w14:paraId="69096311">
            <w:pPr>
              <w:jc w:val="center"/>
              <w:rPr>
                <w:rFonts w:hint="eastAsia" w:ascii="黑体" w:hAnsi="黑体" w:eastAsia="黑体" w:cs="黑体"/>
                <w:sz w:val="21"/>
                <w:szCs w:val="21"/>
              </w:rPr>
            </w:pPr>
          </w:p>
        </w:tc>
        <w:tc>
          <w:tcPr>
            <w:tcW w:w="645" w:type="pct"/>
            <w:noWrap w:val="0"/>
            <w:vAlign w:val="top"/>
          </w:tcPr>
          <w:p w14:paraId="2ED681DD">
            <w:pPr>
              <w:jc w:val="center"/>
              <w:rPr>
                <w:rFonts w:hint="eastAsia" w:ascii="黑体" w:hAnsi="黑体" w:eastAsia="黑体" w:cs="黑体"/>
                <w:sz w:val="21"/>
                <w:szCs w:val="21"/>
              </w:rPr>
            </w:pPr>
          </w:p>
        </w:tc>
        <w:tc>
          <w:tcPr>
            <w:tcW w:w="485" w:type="pct"/>
            <w:noWrap w:val="0"/>
            <w:vAlign w:val="center"/>
          </w:tcPr>
          <w:p w14:paraId="6D11B809">
            <w:pPr>
              <w:jc w:val="center"/>
              <w:rPr>
                <w:rFonts w:hint="eastAsia" w:ascii="黑体" w:hAnsi="黑体" w:eastAsia="黑体" w:cs="黑体"/>
                <w:sz w:val="21"/>
                <w:szCs w:val="21"/>
              </w:rPr>
            </w:pPr>
          </w:p>
        </w:tc>
        <w:tc>
          <w:tcPr>
            <w:tcW w:w="485" w:type="pct"/>
            <w:noWrap w:val="0"/>
            <w:vAlign w:val="top"/>
          </w:tcPr>
          <w:p w14:paraId="76A3F8AC">
            <w:pPr>
              <w:jc w:val="center"/>
              <w:rPr>
                <w:rFonts w:hint="eastAsia" w:ascii="黑体" w:hAnsi="黑体" w:eastAsia="黑体" w:cs="黑体"/>
                <w:sz w:val="21"/>
                <w:szCs w:val="21"/>
              </w:rPr>
            </w:pPr>
          </w:p>
        </w:tc>
        <w:tc>
          <w:tcPr>
            <w:tcW w:w="485" w:type="pct"/>
            <w:noWrap w:val="0"/>
            <w:vAlign w:val="top"/>
          </w:tcPr>
          <w:p w14:paraId="41EA1DFF">
            <w:pPr>
              <w:jc w:val="center"/>
              <w:rPr>
                <w:rFonts w:hint="eastAsia" w:ascii="黑体" w:hAnsi="黑体" w:eastAsia="黑体" w:cs="黑体"/>
                <w:sz w:val="21"/>
                <w:szCs w:val="21"/>
              </w:rPr>
            </w:pPr>
          </w:p>
        </w:tc>
      </w:tr>
      <w:tr w14:paraId="4DB7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0E26A310">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4</w:t>
            </w:r>
          </w:p>
        </w:tc>
        <w:tc>
          <w:tcPr>
            <w:tcW w:w="485" w:type="pct"/>
            <w:noWrap w:val="0"/>
            <w:vAlign w:val="center"/>
          </w:tcPr>
          <w:p w14:paraId="340EC769">
            <w:pPr>
              <w:jc w:val="center"/>
              <w:rPr>
                <w:rFonts w:hint="eastAsia" w:ascii="黑体" w:hAnsi="黑体" w:eastAsia="黑体" w:cs="黑体"/>
                <w:sz w:val="21"/>
                <w:szCs w:val="21"/>
              </w:rPr>
            </w:pPr>
          </w:p>
        </w:tc>
        <w:tc>
          <w:tcPr>
            <w:tcW w:w="1285" w:type="pct"/>
            <w:noWrap w:val="0"/>
            <w:vAlign w:val="top"/>
          </w:tcPr>
          <w:p w14:paraId="6F129CDF">
            <w:pPr>
              <w:jc w:val="center"/>
              <w:rPr>
                <w:rFonts w:hint="eastAsia" w:ascii="黑体" w:hAnsi="黑体" w:eastAsia="黑体" w:cs="黑体"/>
                <w:sz w:val="21"/>
                <w:szCs w:val="21"/>
              </w:rPr>
            </w:pPr>
          </w:p>
        </w:tc>
        <w:tc>
          <w:tcPr>
            <w:tcW w:w="645" w:type="pct"/>
            <w:noWrap w:val="0"/>
            <w:vAlign w:val="top"/>
          </w:tcPr>
          <w:p w14:paraId="02A33296">
            <w:pPr>
              <w:jc w:val="center"/>
              <w:rPr>
                <w:rFonts w:hint="eastAsia" w:ascii="黑体" w:hAnsi="黑体" w:eastAsia="黑体" w:cs="黑体"/>
                <w:sz w:val="21"/>
                <w:szCs w:val="21"/>
              </w:rPr>
            </w:pPr>
          </w:p>
        </w:tc>
        <w:tc>
          <w:tcPr>
            <w:tcW w:w="645" w:type="pct"/>
            <w:noWrap w:val="0"/>
            <w:vAlign w:val="top"/>
          </w:tcPr>
          <w:p w14:paraId="6A7131C1">
            <w:pPr>
              <w:jc w:val="center"/>
              <w:rPr>
                <w:rFonts w:hint="eastAsia" w:ascii="黑体" w:hAnsi="黑体" w:eastAsia="黑体" w:cs="黑体"/>
                <w:sz w:val="21"/>
                <w:szCs w:val="21"/>
              </w:rPr>
            </w:pPr>
          </w:p>
        </w:tc>
        <w:tc>
          <w:tcPr>
            <w:tcW w:w="485" w:type="pct"/>
            <w:noWrap w:val="0"/>
            <w:vAlign w:val="center"/>
          </w:tcPr>
          <w:p w14:paraId="3D3C480C">
            <w:pPr>
              <w:jc w:val="center"/>
              <w:rPr>
                <w:rFonts w:hint="eastAsia" w:ascii="黑体" w:hAnsi="黑体" w:eastAsia="黑体" w:cs="黑体"/>
                <w:sz w:val="21"/>
                <w:szCs w:val="21"/>
              </w:rPr>
            </w:pPr>
          </w:p>
        </w:tc>
        <w:tc>
          <w:tcPr>
            <w:tcW w:w="485" w:type="pct"/>
            <w:noWrap w:val="0"/>
            <w:vAlign w:val="top"/>
          </w:tcPr>
          <w:p w14:paraId="01A76C88">
            <w:pPr>
              <w:jc w:val="center"/>
              <w:rPr>
                <w:rFonts w:hint="eastAsia" w:ascii="黑体" w:hAnsi="黑体" w:eastAsia="黑体" w:cs="黑体"/>
                <w:sz w:val="21"/>
                <w:szCs w:val="21"/>
              </w:rPr>
            </w:pPr>
          </w:p>
        </w:tc>
        <w:tc>
          <w:tcPr>
            <w:tcW w:w="485" w:type="pct"/>
            <w:noWrap w:val="0"/>
            <w:vAlign w:val="top"/>
          </w:tcPr>
          <w:p w14:paraId="52B2D1A9">
            <w:pPr>
              <w:jc w:val="center"/>
              <w:rPr>
                <w:rFonts w:hint="eastAsia" w:ascii="黑体" w:hAnsi="黑体" w:eastAsia="黑体" w:cs="黑体"/>
                <w:sz w:val="21"/>
                <w:szCs w:val="21"/>
              </w:rPr>
            </w:pPr>
          </w:p>
        </w:tc>
      </w:tr>
      <w:tr w14:paraId="2E9B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2C939AAC">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5</w:t>
            </w:r>
          </w:p>
        </w:tc>
        <w:tc>
          <w:tcPr>
            <w:tcW w:w="485" w:type="pct"/>
            <w:noWrap w:val="0"/>
            <w:vAlign w:val="center"/>
          </w:tcPr>
          <w:p w14:paraId="65FBEFD4">
            <w:pPr>
              <w:jc w:val="center"/>
              <w:rPr>
                <w:rFonts w:hint="eastAsia" w:ascii="黑体" w:hAnsi="黑体" w:eastAsia="黑体" w:cs="黑体"/>
                <w:sz w:val="21"/>
                <w:szCs w:val="21"/>
              </w:rPr>
            </w:pPr>
          </w:p>
        </w:tc>
        <w:tc>
          <w:tcPr>
            <w:tcW w:w="1285" w:type="pct"/>
            <w:noWrap w:val="0"/>
            <w:vAlign w:val="top"/>
          </w:tcPr>
          <w:p w14:paraId="4C412603">
            <w:pPr>
              <w:jc w:val="center"/>
              <w:rPr>
                <w:rFonts w:hint="eastAsia" w:ascii="黑体" w:hAnsi="黑体" w:eastAsia="黑体" w:cs="黑体"/>
                <w:sz w:val="21"/>
                <w:szCs w:val="21"/>
              </w:rPr>
            </w:pPr>
          </w:p>
        </w:tc>
        <w:tc>
          <w:tcPr>
            <w:tcW w:w="645" w:type="pct"/>
            <w:noWrap w:val="0"/>
            <w:vAlign w:val="top"/>
          </w:tcPr>
          <w:p w14:paraId="7A23A068">
            <w:pPr>
              <w:jc w:val="center"/>
              <w:rPr>
                <w:rFonts w:hint="eastAsia" w:ascii="黑体" w:hAnsi="黑体" w:eastAsia="黑体" w:cs="黑体"/>
                <w:sz w:val="21"/>
                <w:szCs w:val="21"/>
              </w:rPr>
            </w:pPr>
          </w:p>
        </w:tc>
        <w:tc>
          <w:tcPr>
            <w:tcW w:w="645" w:type="pct"/>
            <w:noWrap w:val="0"/>
            <w:vAlign w:val="top"/>
          </w:tcPr>
          <w:p w14:paraId="79FCA391">
            <w:pPr>
              <w:jc w:val="center"/>
              <w:rPr>
                <w:rFonts w:hint="eastAsia" w:ascii="黑体" w:hAnsi="黑体" w:eastAsia="黑体" w:cs="黑体"/>
                <w:sz w:val="21"/>
                <w:szCs w:val="21"/>
              </w:rPr>
            </w:pPr>
          </w:p>
        </w:tc>
        <w:tc>
          <w:tcPr>
            <w:tcW w:w="485" w:type="pct"/>
            <w:noWrap w:val="0"/>
            <w:vAlign w:val="center"/>
          </w:tcPr>
          <w:p w14:paraId="574301E3">
            <w:pPr>
              <w:jc w:val="center"/>
              <w:rPr>
                <w:rFonts w:hint="eastAsia" w:ascii="黑体" w:hAnsi="黑体" w:eastAsia="黑体" w:cs="黑体"/>
                <w:sz w:val="21"/>
                <w:szCs w:val="21"/>
              </w:rPr>
            </w:pPr>
          </w:p>
        </w:tc>
        <w:tc>
          <w:tcPr>
            <w:tcW w:w="485" w:type="pct"/>
            <w:noWrap w:val="0"/>
            <w:vAlign w:val="top"/>
          </w:tcPr>
          <w:p w14:paraId="72207BD3">
            <w:pPr>
              <w:jc w:val="center"/>
              <w:rPr>
                <w:rFonts w:hint="eastAsia" w:ascii="黑体" w:hAnsi="黑体" w:eastAsia="黑体" w:cs="黑体"/>
                <w:sz w:val="21"/>
                <w:szCs w:val="21"/>
              </w:rPr>
            </w:pPr>
          </w:p>
        </w:tc>
        <w:tc>
          <w:tcPr>
            <w:tcW w:w="485" w:type="pct"/>
            <w:noWrap w:val="0"/>
            <w:vAlign w:val="top"/>
          </w:tcPr>
          <w:p w14:paraId="4A055BAA">
            <w:pPr>
              <w:jc w:val="center"/>
              <w:rPr>
                <w:rFonts w:hint="eastAsia" w:ascii="黑体" w:hAnsi="黑体" w:eastAsia="黑体" w:cs="黑体"/>
                <w:sz w:val="21"/>
                <w:szCs w:val="21"/>
              </w:rPr>
            </w:pPr>
          </w:p>
        </w:tc>
      </w:tr>
      <w:tr w14:paraId="3A3D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5D58511A">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6</w:t>
            </w:r>
          </w:p>
        </w:tc>
        <w:tc>
          <w:tcPr>
            <w:tcW w:w="485" w:type="pct"/>
            <w:noWrap w:val="0"/>
            <w:vAlign w:val="center"/>
          </w:tcPr>
          <w:p w14:paraId="4BFEB308">
            <w:pPr>
              <w:jc w:val="center"/>
              <w:rPr>
                <w:rFonts w:hint="eastAsia" w:ascii="黑体" w:hAnsi="黑体" w:eastAsia="黑体" w:cs="黑体"/>
                <w:sz w:val="21"/>
                <w:szCs w:val="21"/>
              </w:rPr>
            </w:pPr>
          </w:p>
        </w:tc>
        <w:tc>
          <w:tcPr>
            <w:tcW w:w="1285" w:type="pct"/>
            <w:noWrap w:val="0"/>
            <w:vAlign w:val="top"/>
          </w:tcPr>
          <w:p w14:paraId="12F88E60">
            <w:pPr>
              <w:jc w:val="center"/>
              <w:rPr>
                <w:rFonts w:hint="eastAsia" w:ascii="黑体" w:hAnsi="黑体" w:eastAsia="黑体" w:cs="黑体"/>
                <w:sz w:val="21"/>
                <w:szCs w:val="21"/>
              </w:rPr>
            </w:pPr>
          </w:p>
        </w:tc>
        <w:tc>
          <w:tcPr>
            <w:tcW w:w="645" w:type="pct"/>
            <w:noWrap w:val="0"/>
            <w:vAlign w:val="top"/>
          </w:tcPr>
          <w:p w14:paraId="5333BC67">
            <w:pPr>
              <w:jc w:val="center"/>
              <w:rPr>
                <w:rFonts w:hint="eastAsia" w:ascii="黑体" w:hAnsi="黑体" w:eastAsia="黑体" w:cs="黑体"/>
                <w:sz w:val="21"/>
                <w:szCs w:val="21"/>
              </w:rPr>
            </w:pPr>
          </w:p>
        </w:tc>
        <w:tc>
          <w:tcPr>
            <w:tcW w:w="645" w:type="pct"/>
            <w:noWrap w:val="0"/>
            <w:vAlign w:val="top"/>
          </w:tcPr>
          <w:p w14:paraId="514AEECC">
            <w:pPr>
              <w:jc w:val="center"/>
              <w:rPr>
                <w:rFonts w:hint="eastAsia" w:ascii="黑体" w:hAnsi="黑体" w:eastAsia="黑体" w:cs="黑体"/>
                <w:sz w:val="21"/>
                <w:szCs w:val="21"/>
              </w:rPr>
            </w:pPr>
          </w:p>
        </w:tc>
        <w:tc>
          <w:tcPr>
            <w:tcW w:w="485" w:type="pct"/>
            <w:noWrap w:val="0"/>
            <w:vAlign w:val="center"/>
          </w:tcPr>
          <w:p w14:paraId="3CE84969">
            <w:pPr>
              <w:jc w:val="center"/>
              <w:rPr>
                <w:rFonts w:hint="eastAsia" w:ascii="黑体" w:hAnsi="黑体" w:eastAsia="黑体" w:cs="黑体"/>
                <w:sz w:val="21"/>
                <w:szCs w:val="21"/>
              </w:rPr>
            </w:pPr>
          </w:p>
        </w:tc>
        <w:tc>
          <w:tcPr>
            <w:tcW w:w="485" w:type="pct"/>
            <w:noWrap w:val="0"/>
            <w:vAlign w:val="top"/>
          </w:tcPr>
          <w:p w14:paraId="7AC67F7A">
            <w:pPr>
              <w:jc w:val="center"/>
              <w:rPr>
                <w:rFonts w:hint="eastAsia" w:ascii="黑体" w:hAnsi="黑体" w:eastAsia="黑体" w:cs="黑体"/>
                <w:sz w:val="21"/>
                <w:szCs w:val="21"/>
              </w:rPr>
            </w:pPr>
          </w:p>
        </w:tc>
        <w:tc>
          <w:tcPr>
            <w:tcW w:w="485" w:type="pct"/>
            <w:noWrap w:val="0"/>
            <w:vAlign w:val="top"/>
          </w:tcPr>
          <w:p w14:paraId="1B497B1B">
            <w:pPr>
              <w:jc w:val="center"/>
              <w:rPr>
                <w:rFonts w:hint="eastAsia" w:ascii="黑体" w:hAnsi="黑体" w:eastAsia="黑体" w:cs="黑体"/>
                <w:sz w:val="21"/>
                <w:szCs w:val="21"/>
              </w:rPr>
            </w:pPr>
          </w:p>
        </w:tc>
      </w:tr>
      <w:tr w14:paraId="5E2E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9D1B837">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7</w:t>
            </w:r>
          </w:p>
        </w:tc>
        <w:tc>
          <w:tcPr>
            <w:tcW w:w="485" w:type="pct"/>
            <w:noWrap w:val="0"/>
            <w:vAlign w:val="center"/>
          </w:tcPr>
          <w:p w14:paraId="370CC1BC">
            <w:pPr>
              <w:jc w:val="center"/>
              <w:rPr>
                <w:rFonts w:hint="eastAsia" w:ascii="黑体" w:hAnsi="黑体" w:eastAsia="黑体" w:cs="黑体"/>
                <w:sz w:val="21"/>
                <w:szCs w:val="21"/>
              </w:rPr>
            </w:pPr>
          </w:p>
        </w:tc>
        <w:tc>
          <w:tcPr>
            <w:tcW w:w="1285" w:type="pct"/>
            <w:noWrap w:val="0"/>
            <w:vAlign w:val="top"/>
          </w:tcPr>
          <w:p w14:paraId="4A62792B">
            <w:pPr>
              <w:jc w:val="center"/>
              <w:rPr>
                <w:rFonts w:hint="eastAsia" w:ascii="黑体" w:hAnsi="黑体" w:eastAsia="黑体" w:cs="黑体"/>
                <w:sz w:val="21"/>
                <w:szCs w:val="21"/>
              </w:rPr>
            </w:pPr>
          </w:p>
        </w:tc>
        <w:tc>
          <w:tcPr>
            <w:tcW w:w="645" w:type="pct"/>
            <w:noWrap w:val="0"/>
            <w:vAlign w:val="top"/>
          </w:tcPr>
          <w:p w14:paraId="7DA88F54">
            <w:pPr>
              <w:jc w:val="center"/>
              <w:rPr>
                <w:rFonts w:hint="eastAsia" w:ascii="黑体" w:hAnsi="黑体" w:eastAsia="黑体" w:cs="黑体"/>
                <w:sz w:val="21"/>
                <w:szCs w:val="21"/>
              </w:rPr>
            </w:pPr>
          </w:p>
        </w:tc>
        <w:tc>
          <w:tcPr>
            <w:tcW w:w="645" w:type="pct"/>
            <w:noWrap w:val="0"/>
            <w:vAlign w:val="top"/>
          </w:tcPr>
          <w:p w14:paraId="6E1817E4">
            <w:pPr>
              <w:jc w:val="center"/>
              <w:rPr>
                <w:rFonts w:hint="eastAsia" w:ascii="黑体" w:hAnsi="黑体" w:eastAsia="黑体" w:cs="黑体"/>
                <w:sz w:val="21"/>
                <w:szCs w:val="21"/>
              </w:rPr>
            </w:pPr>
          </w:p>
        </w:tc>
        <w:tc>
          <w:tcPr>
            <w:tcW w:w="485" w:type="pct"/>
            <w:noWrap w:val="0"/>
            <w:vAlign w:val="center"/>
          </w:tcPr>
          <w:p w14:paraId="1969C64A">
            <w:pPr>
              <w:jc w:val="center"/>
              <w:rPr>
                <w:rFonts w:hint="eastAsia" w:ascii="黑体" w:hAnsi="黑体" w:eastAsia="黑体" w:cs="黑体"/>
                <w:sz w:val="21"/>
                <w:szCs w:val="21"/>
              </w:rPr>
            </w:pPr>
          </w:p>
        </w:tc>
        <w:tc>
          <w:tcPr>
            <w:tcW w:w="485" w:type="pct"/>
            <w:noWrap w:val="0"/>
            <w:vAlign w:val="top"/>
          </w:tcPr>
          <w:p w14:paraId="3700A8A3">
            <w:pPr>
              <w:jc w:val="center"/>
              <w:rPr>
                <w:rFonts w:hint="eastAsia" w:ascii="黑体" w:hAnsi="黑体" w:eastAsia="黑体" w:cs="黑体"/>
                <w:sz w:val="21"/>
                <w:szCs w:val="21"/>
              </w:rPr>
            </w:pPr>
          </w:p>
        </w:tc>
        <w:tc>
          <w:tcPr>
            <w:tcW w:w="485" w:type="pct"/>
            <w:noWrap w:val="0"/>
            <w:vAlign w:val="top"/>
          </w:tcPr>
          <w:p w14:paraId="1BDDE644">
            <w:pPr>
              <w:jc w:val="center"/>
              <w:rPr>
                <w:rFonts w:hint="eastAsia" w:ascii="黑体" w:hAnsi="黑体" w:eastAsia="黑体" w:cs="黑体"/>
                <w:sz w:val="21"/>
                <w:szCs w:val="21"/>
              </w:rPr>
            </w:pPr>
          </w:p>
        </w:tc>
      </w:tr>
      <w:tr w14:paraId="2DE6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8F6D02C">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8</w:t>
            </w:r>
          </w:p>
        </w:tc>
        <w:tc>
          <w:tcPr>
            <w:tcW w:w="485" w:type="pct"/>
            <w:noWrap w:val="0"/>
            <w:vAlign w:val="center"/>
          </w:tcPr>
          <w:p w14:paraId="50BD9027">
            <w:pPr>
              <w:jc w:val="center"/>
              <w:rPr>
                <w:rFonts w:hint="eastAsia" w:ascii="黑体" w:hAnsi="黑体" w:eastAsia="黑体" w:cs="黑体"/>
                <w:sz w:val="21"/>
                <w:szCs w:val="21"/>
              </w:rPr>
            </w:pPr>
          </w:p>
        </w:tc>
        <w:tc>
          <w:tcPr>
            <w:tcW w:w="1285" w:type="pct"/>
            <w:noWrap w:val="0"/>
            <w:vAlign w:val="top"/>
          </w:tcPr>
          <w:p w14:paraId="6A4BBFFE">
            <w:pPr>
              <w:jc w:val="center"/>
              <w:rPr>
                <w:rFonts w:hint="eastAsia" w:ascii="黑体" w:hAnsi="黑体" w:eastAsia="黑体" w:cs="黑体"/>
                <w:sz w:val="21"/>
                <w:szCs w:val="21"/>
              </w:rPr>
            </w:pPr>
          </w:p>
        </w:tc>
        <w:tc>
          <w:tcPr>
            <w:tcW w:w="645" w:type="pct"/>
            <w:noWrap w:val="0"/>
            <w:vAlign w:val="top"/>
          </w:tcPr>
          <w:p w14:paraId="03DD345E">
            <w:pPr>
              <w:jc w:val="center"/>
              <w:rPr>
                <w:rFonts w:hint="eastAsia" w:ascii="黑体" w:hAnsi="黑体" w:eastAsia="黑体" w:cs="黑体"/>
                <w:sz w:val="21"/>
                <w:szCs w:val="21"/>
              </w:rPr>
            </w:pPr>
          </w:p>
        </w:tc>
        <w:tc>
          <w:tcPr>
            <w:tcW w:w="645" w:type="pct"/>
            <w:noWrap w:val="0"/>
            <w:vAlign w:val="top"/>
          </w:tcPr>
          <w:p w14:paraId="3234B678">
            <w:pPr>
              <w:jc w:val="center"/>
              <w:rPr>
                <w:rFonts w:hint="eastAsia" w:ascii="黑体" w:hAnsi="黑体" w:eastAsia="黑体" w:cs="黑体"/>
                <w:sz w:val="21"/>
                <w:szCs w:val="21"/>
              </w:rPr>
            </w:pPr>
          </w:p>
        </w:tc>
        <w:tc>
          <w:tcPr>
            <w:tcW w:w="485" w:type="pct"/>
            <w:noWrap w:val="0"/>
            <w:vAlign w:val="center"/>
          </w:tcPr>
          <w:p w14:paraId="7004F1F1">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00660EC5">
            <w:pPr>
              <w:jc w:val="center"/>
              <w:rPr>
                <w:rFonts w:hint="eastAsia" w:ascii="黑体" w:hAnsi="黑体" w:eastAsia="黑体" w:cs="黑体"/>
                <w:sz w:val="21"/>
                <w:szCs w:val="21"/>
              </w:rPr>
            </w:pPr>
          </w:p>
        </w:tc>
        <w:tc>
          <w:tcPr>
            <w:tcW w:w="485" w:type="pct"/>
            <w:noWrap w:val="0"/>
            <w:vAlign w:val="top"/>
          </w:tcPr>
          <w:p w14:paraId="0FCCE5EB">
            <w:pPr>
              <w:jc w:val="center"/>
              <w:rPr>
                <w:rFonts w:hint="eastAsia" w:ascii="黑体" w:hAnsi="黑体" w:eastAsia="黑体" w:cs="黑体"/>
                <w:sz w:val="21"/>
                <w:szCs w:val="21"/>
              </w:rPr>
            </w:pPr>
          </w:p>
        </w:tc>
      </w:tr>
      <w:tr w14:paraId="1A8D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56977B3">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9</w:t>
            </w:r>
          </w:p>
        </w:tc>
        <w:tc>
          <w:tcPr>
            <w:tcW w:w="485" w:type="pct"/>
            <w:noWrap w:val="0"/>
            <w:vAlign w:val="center"/>
          </w:tcPr>
          <w:p w14:paraId="254E5D5F">
            <w:pPr>
              <w:jc w:val="center"/>
              <w:rPr>
                <w:rFonts w:hint="eastAsia" w:ascii="黑体" w:hAnsi="黑体" w:eastAsia="黑体" w:cs="黑体"/>
                <w:sz w:val="21"/>
                <w:szCs w:val="21"/>
              </w:rPr>
            </w:pPr>
          </w:p>
        </w:tc>
        <w:tc>
          <w:tcPr>
            <w:tcW w:w="1285" w:type="pct"/>
            <w:noWrap w:val="0"/>
            <w:vAlign w:val="top"/>
          </w:tcPr>
          <w:p w14:paraId="62112825">
            <w:pPr>
              <w:jc w:val="center"/>
              <w:rPr>
                <w:rFonts w:hint="eastAsia" w:ascii="黑体" w:hAnsi="黑体" w:eastAsia="黑体" w:cs="黑体"/>
                <w:sz w:val="21"/>
                <w:szCs w:val="21"/>
              </w:rPr>
            </w:pPr>
          </w:p>
        </w:tc>
        <w:tc>
          <w:tcPr>
            <w:tcW w:w="645" w:type="pct"/>
            <w:noWrap w:val="0"/>
            <w:vAlign w:val="top"/>
          </w:tcPr>
          <w:p w14:paraId="46375B6A">
            <w:pPr>
              <w:jc w:val="center"/>
              <w:rPr>
                <w:rFonts w:hint="eastAsia" w:ascii="黑体" w:hAnsi="黑体" w:eastAsia="黑体" w:cs="黑体"/>
                <w:sz w:val="21"/>
                <w:szCs w:val="21"/>
              </w:rPr>
            </w:pPr>
          </w:p>
        </w:tc>
        <w:tc>
          <w:tcPr>
            <w:tcW w:w="645" w:type="pct"/>
            <w:noWrap w:val="0"/>
            <w:vAlign w:val="top"/>
          </w:tcPr>
          <w:p w14:paraId="74821BC3">
            <w:pPr>
              <w:jc w:val="center"/>
              <w:rPr>
                <w:rFonts w:hint="eastAsia" w:ascii="黑体" w:hAnsi="黑体" w:eastAsia="黑体" w:cs="黑体"/>
                <w:sz w:val="21"/>
                <w:szCs w:val="21"/>
              </w:rPr>
            </w:pPr>
          </w:p>
        </w:tc>
        <w:tc>
          <w:tcPr>
            <w:tcW w:w="485" w:type="pct"/>
            <w:noWrap w:val="0"/>
            <w:vAlign w:val="center"/>
          </w:tcPr>
          <w:p w14:paraId="7AAA793E">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6693AF47">
            <w:pPr>
              <w:jc w:val="center"/>
              <w:rPr>
                <w:rFonts w:hint="eastAsia" w:ascii="黑体" w:hAnsi="黑体" w:eastAsia="黑体" w:cs="黑体"/>
                <w:sz w:val="21"/>
                <w:szCs w:val="21"/>
              </w:rPr>
            </w:pPr>
          </w:p>
        </w:tc>
        <w:tc>
          <w:tcPr>
            <w:tcW w:w="485" w:type="pct"/>
            <w:noWrap w:val="0"/>
            <w:vAlign w:val="top"/>
          </w:tcPr>
          <w:p w14:paraId="19EA2A4E">
            <w:pPr>
              <w:jc w:val="center"/>
              <w:rPr>
                <w:rFonts w:hint="eastAsia" w:ascii="黑体" w:hAnsi="黑体" w:eastAsia="黑体" w:cs="黑体"/>
                <w:sz w:val="21"/>
                <w:szCs w:val="21"/>
              </w:rPr>
            </w:pPr>
          </w:p>
        </w:tc>
      </w:tr>
      <w:tr w14:paraId="0BCD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09543D07">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10</w:t>
            </w:r>
          </w:p>
        </w:tc>
        <w:tc>
          <w:tcPr>
            <w:tcW w:w="485" w:type="pct"/>
            <w:noWrap w:val="0"/>
            <w:vAlign w:val="center"/>
          </w:tcPr>
          <w:p w14:paraId="40790259">
            <w:pPr>
              <w:jc w:val="center"/>
              <w:rPr>
                <w:rFonts w:hint="eastAsia" w:ascii="黑体" w:hAnsi="黑体" w:eastAsia="黑体" w:cs="黑体"/>
                <w:sz w:val="21"/>
                <w:szCs w:val="21"/>
              </w:rPr>
            </w:pPr>
          </w:p>
        </w:tc>
        <w:tc>
          <w:tcPr>
            <w:tcW w:w="1285" w:type="pct"/>
            <w:noWrap w:val="0"/>
            <w:vAlign w:val="top"/>
          </w:tcPr>
          <w:p w14:paraId="403FE19D">
            <w:pPr>
              <w:jc w:val="center"/>
              <w:rPr>
                <w:rFonts w:hint="eastAsia" w:ascii="黑体" w:hAnsi="黑体" w:eastAsia="黑体" w:cs="黑体"/>
                <w:sz w:val="21"/>
                <w:szCs w:val="21"/>
              </w:rPr>
            </w:pPr>
          </w:p>
        </w:tc>
        <w:tc>
          <w:tcPr>
            <w:tcW w:w="645" w:type="pct"/>
            <w:noWrap w:val="0"/>
            <w:vAlign w:val="top"/>
          </w:tcPr>
          <w:p w14:paraId="014C7A3C">
            <w:pPr>
              <w:jc w:val="center"/>
              <w:rPr>
                <w:rFonts w:hint="eastAsia" w:ascii="黑体" w:hAnsi="黑体" w:eastAsia="黑体" w:cs="黑体"/>
                <w:sz w:val="21"/>
                <w:szCs w:val="21"/>
              </w:rPr>
            </w:pPr>
          </w:p>
        </w:tc>
        <w:tc>
          <w:tcPr>
            <w:tcW w:w="645" w:type="pct"/>
            <w:noWrap w:val="0"/>
            <w:vAlign w:val="top"/>
          </w:tcPr>
          <w:p w14:paraId="01E67F94">
            <w:pPr>
              <w:jc w:val="center"/>
              <w:rPr>
                <w:rFonts w:hint="eastAsia" w:ascii="黑体" w:hAnsi="黑体" w:eastAsia="黑体" w:cs="黑体"/>
                <w:sz w:val="21"/>
                <w:szCs w:val="21"/>
              </w:rPr>
            </w:pPr>
          </w:p>
        </w:tc>
        <w:tc>
          <w:tcPr>
            <w:tcW w:w="485" w:type="pct"/>
            <w:noWrap w:val="0"/>
            <w:vAlign w:val="center"/>
          </w:tcPr>
          <w:p w14:paraId="155478D5">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5667A6F9">
            <w:pPr>
              <w:jc w:val="center"/>
              <w:rPr>
                <w:rFonts w:hint="eastAsia" w:ascii="黑体" w:hAnsi="黑体" w:eastAsia="黑体" w:cs="黑体"/>
                <w:sz w:val="21"/>
                <w:szCs w:val="21"/>
              </w:rPr>
            </w:pPr>
          </w:p>
        </w:tc>
        <w:tc>
          <w:tcPr>
            <w:tcW w:w="485" w:type="pct"/>
            <w:noWrap w:val="0"/>
            <w:vAlign w:val="top"/>
          </w:tcPr>
          <w:p w14:paraId="518B4978">
            <w:pPr>
              <w:jc w:val="center"/>
              <w:rPr>
                <w:rFonts w:hint="eastAsia" w:ascii="黑体" w:hAnsi="黑体" w:eastAsia="黑体" w:cs="黑体"/>
                <w:sz w:val="21"/>
                <w:szCs w:val="21"/>
              </w:rPr>
            </w:pPr>
          </w:p>
        </w:tc>
      </w:tr>
      <w:tr w14:paraId="136F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2FF1221C">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11</w:t>
            </w:r>
          </w:p>
        </w:tc>
        <w:tc>
          <w:tcPr>
            <w:tcW w:w="485" w:type="pct"/>
            <w:noWrap w:val="0"/>
            <w:vAlign w:val="center"/>
          </w:tcPr>
          <w:p w14:paraId="25B1910D">
            <w:pPr>
              <w:jc w:val="center"/>
              <w:rPr>
                <w:rFonts w:hint="eastAsia" w:ascii="黑体" w:hAnsi="黑体" w:eastAsia="黑体" w:cs="黑体"/>
                <w:sz w:val="21"/>
                <w:szCs w:val="21"/>
              </w:rPr>
            </w:pPr>
            <w:r>
              <w:rPr>
                <w:rFonts w:hint="eastAsia" w:ascii="黑体" w:hAnsi="黑体" w:eastAsia="黑体" w:cs="黑体"/>
                <w:sz w:val="21"/>
                <w:szCs w:val="21"/>
              </w:rPr>
              <w:t>……</w:t>
            </w:r>
          </w:p>
        </w:tc>
        <w:tc>
          <w:tcPr>
            <w:tcW w:w="1285" w:type="pct"/>
            <w:noWrap w:val="0"/>
            <w:vAlign w:val="top"/>
          </w:tcPr>
          <w:p w14:paraId="78F53949">
            <w:pPr>
              <w:jc w:val="center"/>
              <w:rPr>
                <w:rFonts w:hint="eastAsia" w:ascii="黑体" w:hAnsi="黑体" w:eastAsia="黑体" w:cs="黑体"/>
                <w:sz w:val="21"/>
                <w:szCs w:val="21"/>
              </w:rPr>
            </w:pPr>
          </w:p>
        </w:tc>
        <w:tc>
          <w:tcPr>
            <w:tcW w:w="645" w:type="pct"/>
            <w:noWrap w:val="0"/>
            <w:vAlign w:val="top"/>
          </w:tcPr>
          <w:p w14:paraId="500B3428">
            <w:pPr>
              <w:jc w:val="center"/>
              <w:rPr>
                <w:rFonts w:hint="eastAsia" w:ascii="黑体" w:hAnsi="黑体" w:eastAsia="黑体" w:cs="黑体"/>
                <w:sz w:val="21"/>
                <w:szCs w:val="21"/>
              </w:rPr>
            </w:pPr>
          </w:p>
        </w:tc>
        <w:tc>
          <w:tcPr>
            <w:tcW w:w="645" w:type="pct"/>
            <w:noWrap w:val="0"/>
            <w:vAlign w:val="top"/>
          </w:tcPr>
          <w:p w14:paraId="44D55580">
            <w:pPr>
              <w:jc w:val="center"/>
              <w:rPr>
                <w:rFonts w:hint="eastAsia" w:ascii="黑体" w:hAnsi="黑体" w:eastAsia="黑体" w:cs="黑体"/>
                <w:sz w:val="21"/>
                <w:szCs w:val="21"/>
              </w:rPr>
            </w:pPr>
          </w:p>
        </w:tc>
        <w:tc>
          <w:tcPr>
            <w:tcW w:w="485" w:type="pct"/>
            <w:noWrap w:val="0"/>
            <w:vAlign w:val="center"/>
          </w:tcPr>
          <w:p w14:paraId="760AE628">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3D50FD6D">
            <w:pPr>
              <w:jc w:val="center"/>
              <w:rPr>
                <w:rFonts w:hint="eastAsia" w:ascii="黑体" w:hAnsi="黑体" w:eastAsia="黑体" w:cs="黑体"/>
                <w:sz w:val="21"/>
                <w:szCs w:val="21"/>
              </w:rPr>
            </w:pPr>
          </w:p>
        </w:tc>
        <w:tc>
          <w:tcPr>
            <w:tcW w:w="485" w:type="pct"/>
            <w:noWrap w:val="0"/>
            <w:vAlign w:val="top"/>
          </w:tcPr>
          <w:p w14:paraId="30F6F37F">
            <w:pPr>
              <w:jc w:val="center"/>
              <w:rPr>
                <w:rFonts w:hint="eastAsia" w:ascii="黑体" w:hAnsi="黑体" w:eastAsia="黑体" w:cs="黑体"/>
                <w:sz w:val="21"/>
                <w:szCs w:val="21"/>
              </w:rPr>
            </w:pPr>
          </w:p>
        </w:tc>
      </w:tr>
      <w:tr w14:paraId="03DE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AD17B58">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12</w:t>
            </w:r>
          </w:p>
        </w:tc>
        <w:tc>
          <w:tcPr>
            <w:tcW w:w="485" w:type="pct"/>
            <w:noWrap w:val="0"/>
            <w:vAlign w:val="center"/>
          </w:tcPr>
          <w:p w14:paraId="7203A29A">
            <w:pPr>
              <w:jc w:val="center"/>
              <w:rPr>
                <w:rFonts w:hint="eastAsia" w:ascii="黑体" w:hAnsi="黑体" w:eastAsia="黑体" w:cs="黑体"/>
                <w:sz w:val="21"/>
                <w:szCs w:val="21"/>
              </w:rPr>
            </w:pPr>
            <w:r>
              <w:rPr>
                <w:rFonts w:hint="eastAsia" w:ascii="黑体" w:hAnsi="黑体" w:eastAsia="黑体" w:cs="黑体"/>
                <w:sz w:val="21"/>
                <w:szCs w:val="21"/>
              </w:rPr>
              <w:t>总计</w:t>
            </w:r>
          </w:p>
        </w:tc>
        <w:tc>
          <w:tcPr>
            <w:tcW w:w="4030" w:type="pct"/>
            <w:gridSpan w:val="6"/>
            <w:noWrap w:val="0"/>
            <w:vAlign w:val="top"/>
          </w:tcPr>
          <w:p w14:paraId="3D1C9D01">
            <w:pPr>
              <w:rPr>
                <w:rFonts w:hint="eastAsia" w:ascii="黑体" w:hAnsi="黑体" w:eastAsia="黑体" w:cs="黑体"/>
                <w:sz w:val="21"/>
                <w:szCs w:val="21"/>
              </w:rPr>
            </w:pPr>
          </w:p>
        </w:tc>
      </w:tr>
    </w:tbl>
    <w:p w14:paraId="46B76285">
      <w:pPr>
        <w:spacing w:line="500" w:lineRule="exact"/>
        <w:ind w:firstLine="480" w:firstLineChars="200"/>
        <w:rPr>
          <w:rFonts w:hint="eastAsia" w:ascii="黑体" w:hAnsi="黑体" w:eastAsia="黑体" w:cs="黑体"/>
          <w:sz w:val="24"/>
          <w:szCs w:val="28"/>
        </w:rPr>
      </w:pPr>
    </w:p>
    <w:p w14:paraId="349C70C2">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47F98900">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77E9FD22">
      <w:pPr>
        <w:spacing w:line="500" w:lineRule="exact"/>
        <w:rPr>
          <w:rFonts w:hint="eastAsia" w:ascii="黑体" w:hAnsi="黑体" w:eastAsia="黑体" w:cs="黑体"/>
          <w:sz w:val="24"/>
          <w:szCs w:val="28"/>
        </w:rPr>
      </w:pPr>
    </w:p>
    <w:p w14:paraId="7961DD4B">
      <w:pPr>
        <w:spacing w:line="500" w:lineRule="exact"/>
        <w:rPr>
          <w:rFonts w:hint="eastAsia" w:ascii="黑体" w:hAnsi="黑体" w:eastAsia="黑体" w:cs="黑体"/>
          <w:sz w:val="24"/>
          <w:szCs w:val="28"/>
        </w:rPr>
      </w:pPr>
    </w:p>
    <w:p w14:paraId="07A94E6A">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 xml:space="preserve">                                            年     月     日</w:t>
      </w:r>
    </w:p>
    <w:p w14:paraId="6C473BED">
      <w:pPr>
        <w:snapToGrid w:val="0"/>
        <w:spacing w:line="500" w:lineRule="exact"/>
        <w:ind w:firstLine="480" w:firstLineChars="200"/>
        <w:rPr>
          <w:rFonts w:hint="eastAsia" w:ascii="黑体" w:hAnsi="黑体" w:eastAsia="黑体" w:cs="黑体"/>
          <w:sz w:val="24"/>
          <w:szCs w:val="28"/>
        </w:rPr>
      </w:pPr>
    </w:p>
    <w:p w14:paraId="5211D781">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注：</w:t>
      </w:r>
    </w:p>
    <w:p w14:paraId="550737B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黑体" w:hAnsi="黑体" w:eastAsia="黑体" w:cs="黑体"/>
          <w:sz w:val="24"/>
          <w:szCs w:val="28"/>
        </w:rPr>
      </w:pPr>
      <w:r>
        <w:rPr>
          <w:rFonts w:hint="eastAsia" w:ascii="黑体" w:hAnsi="黑体" w:eastAsia="黑体" w:cs="黑体"/>
          <w:sz w:val="24"/>
          <w:szCs w:val="28"/>
          <w:lang w:val="en-US" w:eastAsia="zh-CN"/>
        </w:rPr>
        <w:t>1.</w:t>
      </w:r>
      <w:r>
        <w:rPr>
          <w:rFonts w:hint="eastAsia" w:ascii="黑体" w:hAnsi="黑体" w:eastAsia="黑体" w:cs="黑体"/>
          <w:sz w:val="24"/>
          <w:szCs w:val="28"/>
        </w:rPr>
        <w:t>请</w:t>
      </w:r>
      <w:r>
        <w:rPr>
          <w:rFonts w:hint="eastAsia" w:ascii="黑体" w:hAnsi="黑体" w:eastAsia="黑体" w:cs="黑体"/>
          <w:sz w:val="24"/>
          <w:szCs w:val="28"/>
          <w:lang w:eastAsia="zh-CN"/>
        </w:rPr>
        <w:t>供应商</w:t>
      </w:r>
      <w:r>
        <w:rPr>
          <w:rFonts w:hint="eastAsia" w:ascii="黑体" w:hAnsi="黑体" w:eastAsia="黑体" w:cs="黑体"/>
          <w:sz w:val="24"/>
          <w:szCs w:val="28"/>
        </w:rPr>
        <w:t>完整填写本表；</w:t>
      </w:r>
    </w:p>
    <w:p w14:paraId="3657E76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黑体" w:hAnsi="黑体" w:eastAsia="黑体" w:cs="黑体"/>
          <w:sz w:val="24"/>
          <w:szCs w:val="28"/>
          <w:lang w:eastAsia="zh-CN"/>
        </w:rPr>
      </w:pPr>
      <w:r>
        <w:rPr>
          <w:rFonts w:hint="eastAsia" w:ascii="黑体" w:hAnsi="黑体" w:eastAsia="黑体" w:cs="黑体"/>
          <w:sz w:val="24"/>
          <w:szCs w:val="28"/>
        </w:rPr>
        <w:t>2.该表可扩展</w:t>
      </w:r>
      <w:r>
        <w:rPr>
          <w:rFonts w:hint="eastAsia" w:ascii="黑体" w:hAnsi="黑体" w:eastAsia="黑体" w:cs="黑体"/>
          <w:sz w:val="24"/>
          <w:szCs w:val="28"/>
          <w:lang w:eastAsia="zh-CN"/>
        </w:rPr>
        <w:t>；</w:t>
      </w:r>
    </w:p>
    <w:p w14:paraId="506A963A">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both"/>
        <w:textAlignment w:val="auto"/>
        <w:rPr>
          <w:rFonts w:hint="default"/>
          <w:lang w:val="en-US" w:eastAsia="zh-CN"/>
        </w:rPr>
        <w:sectPr>
          <w:pgSz w:w="11907" w:h="16840"/>
          <w:pgMar w:top="1134" w:right="1191" w:bottom="1134" w:left="1304" w:header="964" w:footer="992" w:gutter="0"/>
          <w:cols w:space="720" w:num="1"/>
          <w:docGrid w:linePitch="380" w:charSpace="-5735"/>
        </w:sectPr>
      </w:pPr>
      <w:r>
        <w:rPr>
          <w:rFonts w:hint="eastAsia" w:ascii="黑体" w:hAnsi="黑体" w:eastAsia="黑体" w:cs="黑体"/>
          <w:sz w:val="24"/>
          <w:szCs w:val="28"/>
          <w:lang w:val="en-US" w:eastAsia="zh-CN"/>
        </w:rPr>
        <w:t xml:space="preserve">3.若设备涉及专机专用耗材、试剂请单独报价，并作出重庆市最低价承诺，供采购人参考。 </w:t>
      </w:r>
    </w:p>
    <w:p w14:paraId="7978E78B">
      <w:pPr>
        <w:pStyle w:val="4"/>
        <w:pageBreakBefore/>
        <w:spacing w:line="500" w:lineRule="exact"/>
        <w:ind w:firstLine="562" w:firstLineChars="200"/>
        <w:rPr>
          <w:rFonts w:hint="eastAsia" w:ascii="黑体" w:hAnsi="黑体" w:eastAsia="黑体" w:cs="黑体"/>
          <w:b/>
          <w:szCs w:val="28"/>
        </w:rPr>
      </w:pPr>
      <w:bookmarkStart w:id="157" w:name="_Toc14513"/>
      <w:bookmarkStart w:id="158" w:name="_Toc5548"/>
      <w:bookmarkStart w:id="159" w:name="_Toc693"/>
      <w:bookmarkStart w:id="160" w:name="_Toc493178790"/>
      <w:bookmarkStart w:id="161" w:name="_Toc75793541"/>
      <w:r>
        <w:rPr>
          <w:rFonts w:hint="eastAsia" w:ascii="黑体" w:hAnsi="黑体" w:eastAsia="黑体" w:cs="黑体"/>
          <w:b/>
          <w:color w:val="auto"/>
          <w:szCs w:val="28"/>
          <w:highlight w:val="none"/>
        </w:rPr>
        <w:t>二、</w:t>
      </w:r>
      <w:bookmarkEnd w:id="157"/>
      <w:bookmarkEnd w:id="158"/>
      <w:bookmarkEnd w:id="159"/>
      <w:bookmarkEnd w:id="160"/>
      <w:bookmarkEnd w:id="161"/>
      <w:r>
        <w:rPr>
          <w:rFonts w:hint="eastAsia" w:ascii="黑体" w:hAnsi="黑体" w:eastAsia="黑体" w:cs="黑体"/>
          <w:b/>
          <w:szCs w:val="28"/>
        </w:rPr>
        <w:t>技术（质量）文件</w:t>
      </w:r>
    </w:p>
    <w:p w14:paraId="4F39F363">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（一）技术（质量）条款差异表</w:t>
      </w:r>
    </w:p>
    <w:p w14:paraId="3911BCCE">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w:t>
      </w:r>
      <w:r>
        <w:rPr>
          <w:rFonts w:hint="eastAsia" w:ascii="黑体" w:hAnsi="黑体" w:eastAsia="黑体" w:cs="黑体"/>
          <w:sz w:val="24"/>
          <w:szCs w:val="28"/>
          <w:lang w:val="en-US" w:eastAsia="zh-CN"/>
        </w:rPr>
        <w:t>编号</w:t>
      </w:r>
      <w:r>
        <w:rPr>
          <w:rFonts w:hint="eastAsia" w:ascii="黑体" w:hAnsi="黑体" w:eastAsia="黑体" w:cs="黑体"/>
          <w:sz w:val="24"/>
          <w:szCs w:val="28"/>
        </w:rPr>
        <w:t>：</w:t>
      </w:r>
    </w:p>
    <w:p w14:paraId="48D08FED">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项目名称：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72B6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2BBCF30">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序号</w:t>
            </w:r>
          </w:p>
        </w:tc>
        <w:tc>
          <w:tcPr>
            <w:tcW w:w="1541" w:type="pct"/>
            <w:noWrap w:val="0"/>
            <w:vAlign w:val="center"/>
          </w:tcPr>
          <w:p w14:paraId="3B906DB1">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招标要求</w:t>
            </w:r>
          </w:p>
        </w:tc>
        <w:tc>
          <w:tcPr>
            <w:tcW w:w="1600" w:type="pct"/>
            <w:noWrap w:val="0"/>
            <w:vAlign w:val="center"/>
          </w:tcPr>
          <w:p w14:paraId="04B63025">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投标应答</w:t>
            </w:r>
          </w:p>
        </w:tc>
        <w:tc>
          <w:tcPr>
            <w:tcW w:w="1198" w:type="pct"/>
            <w:noWrap w:val="0"/>
            <w:vAlign w:val="center"/>
          </w:tcPr>
          <w:p w14:paraId="4EFC68AD">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差异说明</w:t>
            </w:r>
          </w:p>
        </w:tc>
      </w:tr>
      <w:tr w14:paraId="1D4A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2DD3982">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2A5117C">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03613969">
            <w:pPr>
              <w:tabs>
                <w:tab w:val="left" w:pos="6300"/>
              </w:tabs>
              <w:snapToGrid w:val="0"/>
              <w:spacing w:line="500" w:lineRule="exact"/>
              <w:outlineLvl w:val="0"/>
              <w:rPr>
                <w:rFonts w:hint="eastAsia" w:ascii="黑体" w:hAnsi="黑体" w:eastAsia="黑体" w:cs="黑体"/>
                <w:sz w:val="21"/>
                <w:szCs w:val="21"/>
              </w:rPr>
            </w:pPr>
            <w:r>
              <w:rPr>
                <w:rFonts w:hint="eastAsia" w:ascii="黑体" w:hAnsi="黑体" w:eastAsia="黑体" w:cs="黑体"/>
                <w:sz w:val="21"/>
                <w:szCs w:val="21"/>
              </w:rPr>
              <w:t>提醒：请注明技术参数或具体内容以及投标文件中技术参数或具体内容的位置（页码）</w:t>
            </w:r>
          </w:p>
        </w:tc>
        <w:tc>
          <w:tcPr>
            <w:tcW w:w="1198" w:type="pct"/>
            <w:noWrap w:val="0"/>
            <w:vAlign w:val="center"/>
          </w:tcPr>
          <w:p w14:paraId="2DFBD8AD">
            <w:pPr>
              <w:tabs>
                <w:tab w:val="left" w:pos="6300"/>
              </w:tabs>
              <w:snapToGrid w:val="0"/>
              <w:spacing w:line="500" w:lineRule="exact"/>
              <w:jc w:val="center"/>
              <w:outlineLvl w:val="0"/>
              <w:rPr>
                <w:rFonts w:hint="eastAsia" w:ascii="黑体" w:hAnsi="黑体" w:eastAsia="黑体" w:cs="黑体"/>
                <w:sz w:val="21"/>
                <w:szCs w:val="21"/>
              </w:rPr>
            </w:pPr>
          </w:p>
        </w:tc>
      </w:tr>
      <w:tr w14:paraId="12AD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D27029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572F4AE8">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856A316">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2A743C6B">
            <w:pPr>
              <w:tabs>
                <w:tab w:val="left" w:pos="6300"/>
              </w:tabs>
              <w:snapToGrid w:val="0"/>
              <w:spacing w:line="500" w:lineRule="exact"/>
              <w:jc w:val="center"/>
              <w:outlineLvl w:val="0"/>
              <w:rPr>
                <w:rFonts w:hint="eastAsia" w:ascii="黑体" w:hAnsi="黑体" w:eastAsia="黑体" w:cs="黑体"/>
                <w:sz w:val="21"/>
                <w:szCs w:val="21"/>
              </w:rPr>
            </w:pPr>
          </w:p>
        </w:tc>
      </w:tr>
      <w:tr w14:paraId="696C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29E2E99">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493E574E">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769D5095">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569866C">
            <w:pPr>
              <w:tabs>
                <w:tab w:val="left" w:pos="6300"/>
              </w:tabs>
              <w:snapToGrid w:val="0"/>
              <w:spacing w:line="500" w:lineRule="exact"/>
              <w:jc w:val="center"/>
              <w:outlineLvl w:val="0"/>
              <w:rPr>
                <w:rFonts w:hint="eastAsia" w:ascii="黑体" w:hAnsi="黑体" w:eastAsia="黑体" w:cs="黑体"/>
                <w:sz w:val="21"/>
                <w:szCs w:val="21"/>
              </w:rPr>
            </w:pPr>
          </w:p>
        </w:tc>
      </w:tr>
      <w:tr w14:paraId="125A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38B6C43">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6E8F4216">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784EC40">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91AE801">
            <w:pPr>
              <w:tabs>
                <w:tab w:val="left" w:pos="6300"/>
              </w:tabs>
              <w:snapToGrid w:val="0"/>
              <w:spacing w:line="500" w:lineRule="exact"/>
              <w:jc w:val="center"/>
              <w:outlineLvl w:val="0"/>
              <w:rPr>
                <w:rFonts w:hint="eastAsia" w:ascii="黑体" w:hAnsi="黑体" w:eastAsia="黑体" w:cs="黑体"/>
                <w:sz w:val="21"/>
                <w:szCs w:val="21"/>
              </w:rPr>
            </w:pPr>
          </w:p>
        </w:tc>
      </w:tr>
      <w:tr w14:paraId="0811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93AC2A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EEC6508">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3B44B61">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3EE1E52">
            <w:pPr>
              <w:tabs>
                <w:tab w:val="left" w:pos="6300"/>
              </w:tabs>
              <w:snapToGrid w:val="0"/>
              <w:spacing w:line="500" w:lineRule="exact"/>
              <w:jc w:val="center"/>
              <w:outlineLvl w:val="0"/>
              <w:rPr>
                <w:rFonts w:hint="eastAsia" w:ascii="黑体" w:hAnsi="黑体" w:eastAsia="黑体" w:cs="黑体"/>
                <w:sz w:val="21"/>
                <w:szCs w:val="21"/>
              </w:rPr>
            </w:pPr>
          </w:p>
        </w:tc>
      </w:tr>
      <w:tr w14:paraId="680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7AED9C">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E93C5C6">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684BB7C8">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4C36D996">
            <w:pPr>
              <w:tabs>
                <w:tab w:val="left" w:pos="6300"/>
              </w:tabs>
              <w:snapToGrid w:val="0"/>
              <w:spacing w:line="500" w:lineRule="exact"/>
              <w:jc w:val="center"/>
              <w:outlineLvl w:val="0"/>
              <w:rPr>
                <w:rFonts w:hint="eastAsia" w:ascii="黑体" w:hAnsi="黑体" w:eastAsia="黑体" w:cs="黑体"/>
                <w:sz w:val="21"/>
                <w:szCs w:val="21"/>
              </w:rPr>
            </w:pPr>
          </w:p>
        </w:tc>
      </w:tr>
      <w:tr w14:paraId="7327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CDC7FF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52FDCABE">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8BAA4C1">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2E8EAFB">
            <w:pPr>
              <w:tabs>
                <w:tab w:val="left" w:pos="6300"/>
              </w:tabs>
              <w:snapToGrid w:val="0"/>
              <w:spacing w:line="500" w:lineRule="exact"/>
              <w:jc w:val="center"/>
              <w:outlineLvl w:val="0"/>
              <w:rPr>
                <w:rFonts w:hint="eastAsia" w:ascii="黑体" w:hAnsi="黑体" w:eastAsia="黑体" w:cs="黑体"/>
                <w:sz w:val="21"/>
                <w:szCs w:val="21"/>
              </w:rPr>
            </w:pPr>
          </w:p>
        </w:tc>
      </w:tr>
      <w:tr w14:paraId="1E4F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5063C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57E9426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1E997FB">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683F1846">
            <w:pPr>
              <w:tabs>
                <w:tab w:val="left" w:pos="6300"/>
              </w:tabs>
              <w:snapToGrid w:val="0"/>
              <w:spacing w:line="500" w:lineRule="exact"/>
              <w:jc w:val="center"/>
              <w:outlineLvl w:val="0"/>
              <w:rPr>
                <w:rFonts w:hint="eastAsia" w:ascii="黑体" w:hAnsi="黑体" w:eastAsia="黑体" w:cs="黑体"/>
                <w:sz w:val="21"/>
                <w:szCs w:val="21"/>
              </w:rPr>
            </w:pPr>
          </w:p>
        </w:tc>
      </w:tr>
      <w:tr w14:paraId="6BDF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089288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ADFDD2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8406D6C">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FD7254E">
            <w:pPr>
              <w:tabs>
                <w:tab w:val="left" w:pos="6300"/>
              </w:tabs>
              <w:snapToGrid w:val="0"/>
              <w:spacing w:line="500" w:lineRule="exact"/>
              <w:jc w:val="center"/>
              <w:outlineLvl w:val="0"/>
              <w:rPr>
                <w:rFonts w:hint="eastAsia" w:ascii="黑体" w:hAnsi="黑体" w:eastAsia="黑体" w:cs="黑体"/>
                <w:sz w:val="21"/>
                <w:szCs w:val="21"/>
              </w:rPr>
            </w:pPr>
          </w:p>
        </w:tc>
      </w:tr>
    </w:tbl>
    <w:p w14:paraId="167F4C78">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059A674E">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p>
    <w:p w14:paraId="0B684400">
      <w:pPr>
        <w:spacing w:line="500" w:lineRule="exact"/>
        <w:ind w:firstLine="720" w:firstLineChars="300"/>
        <w:rPr>
          <w:rFonts w:hint="eastAsia" w:ascii="黑体" w:hAnsi="黑体" w:eastAsia="黑体" w:cs="黑体"/>
          <w:sz w:val="24"/>
          <w:szCs w:val="28"/>
        </w:rPr>
      </w:pPr>
      <w:r>
        <w:rPr>
          <w:rFonts w:hint="eastAsia" w:ascii="黑体" w:hAnsi="黑体" w:eastAsia="黑体" w:cs="黑体"/>
          <w:sz w:val="24"/>
          <w:szCs w:val="28"/>
        </w:rPr>
        <w:t>（</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0C97FDF3">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szCs w:val="28"/>
        </w:rPr>
        <w:t xml:space="preserve">                                            年     月     日</w:t>
      </w:r>
    </w:p>
    <w:p w14:paraId="024974B9">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rPr>
        <w:t>注：</w:t>
      </w:r>
    </w:p>
    <w:p w14:paraId="2307D33E">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1.本表即为对本项目“第二篇  项目技术（质量）需求”中所列条款进行比较和响应；</w:t>
      </w:r>
    </w:p>
    <w:p w14:paraId="6BAB1930">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2.本表可扩展；</w:t>
      </w:r>
    </w:p>
    <w:p w14:paraId="62C81C7C">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3.须提供相应支撑材料</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医疗设备还须提供第三方检验报告</w:t>
      </w:r>
      <w:r>
        <w:rPr>
          <w:rFonts w:hint="eastAsia" w:ascii="黑体" w:hAnsi="黑体" w:eastAsia="黑体" w:cs="黑体"/>
          <w:sz w:val="24"/>
          <w:szCs w:val="24"/>
          <w:lang w:eastAsia="zh-CN"/>
        </w:rPr>
        <w:t>）</w:t>
      </w:r>
      <w:r>
        <w:rPr>
          <w:rFonts w:hint="eastAsia" w:ascii="黑体" w:hAnsi="黑体" w:eastAsia="黑体" w:cs="黑体"/>
          <w:sz w:val="24"/>
          <w:szCs w:val="24"/>
        </w:rPr>
        <w:t>，并标明页码，否则为无效投标；（格式自定）</w:t>
      </w:r>
    </w:p>
    <w:p w14:paraId="15586909">
      <w:pPr>
        <w:tabs>
          <w:tab w:val="left" w:pos="6300"/>
        </w:tabs>
        <w:snapToGrid w:val="0"/>
        <w:spacing w:line="500" w:lineRule="exact"/>
        <w:ind w:firstLine="570"/>
        <w:rPr>
          <w:rFonts w:hint="eastAsia" w:ascii="黑体" w:hAnsi="黑体" w:eastAsia="黑体" w:cs="黑体"/>
          <w:color w:val="auto"/>
          <w:sz w:val="24"/>
          <w:szCs w:val="28"/>
          <w:highlight w:val="none"/>
        </w:rPr>
      </w:pPr>
      <w:r>
        <w:rPr>
          <w:rFonts w:hint="eastAsia" w:ascii="黑体" w:hAnsi="黑体" w:eastAsia="黑体" w:cs="黑体"/>
          <w:sz w:val="24"/>
          <w:szCs w:val="28"/>
        </w:rPr>
        <w:t>4.投标应答栏中应当注明技术参数或具体内容，且必须标注技术参数或具体内容在投标文件中的位置（页码）。</w:t>
      </w:r>
    </w:p>
    <w:p w14:paraId="18B2E932">
      <w:pPr>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br w:type="page"/>
      </w:r>
    </w:p>
    <w:p w14:paraId="4C0D7EF4">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（二）其他技术（质量）资料</w:t>
      </w:r>
    </w:p>
    <w:p w14:paraId="0835F077">
      <w:pPr>
        <w:tabs>
          <w:tab w:val="left" w:pos="6300"/>
        </w:tabs>
        <w:snapToGrid w:val="0"/>
        <w:spacing w:line="500" w:lineRule="exact"/>
        <w:ind w:firstLine="570"/>
        <w:rPr>
          <w:rFonts w:hint="eastAsia" w:ascii="黑体" w:hAnsi="黑体" w:eastAsia="黑体" w:cs="黑体"/>
          <w:color w:val="auto"/>
          <w:szCs w:val="24"/>
          <w:highlight w:val="none"/>
        </w:rPr>
      </w:pPr>
    </w:p>
    <w:p w14:paraId="39014141">
      <w:pPr>
        <w:pStyle w:val="3"/>
        <w:rPr>
          <w:rFonts w:hint="eastAsia" w:ascii="黑体" w:hAnsi="黑体" w:eastAsia="黑体" w:cs="黑体"/>
        </w:rPr>
      </w:pPr>
    </w:p>
    <w:p w14:paraId="1A683CBC">
      <w:pPr>
        <w:tabs>
          <w:tab w:val="left" w:pos="6300"/>
        </w:tabs>
        <w:snapToGrid w:val="0"/>
        <w:spacing w:line="500" w:lineRule="exact"/>
        <w:ind w:firstLine="570"/>
        <w:rPr>
          <w:rFonts w:hint="eastAsia" w:ascii="黑体" w:hAnsi="黑体" w:eastAsia="黑体" w:cs="黑体"/>
          <w:color w:val="auto"/>
          <w:sz w:val="24"/>
          <w:highlight w:val="none"/>
        </w:rPr>
      </w:pPr>
    </w:p>
    <w:p w14:paraId="65AF79E1">
      <w:pPr>
        <w:tabs>
          <w:tab w:val="left" w:pos="6300"/>
        </w:tabs>
        <w:snapToGrid w:val="0"/>
        <w:spacing w:line="500" w:lineRule="exact"/>
        <w:ind w:firstLine="570"/>
        <w:rPr>
          <w:rFonts w:hint="eastAsia" w:ascii="黑体" w:hAnsi="黑体" w:eastAsia="黑体" w:cs="黑体"/>
          <w:color w:val="auto"/>
          <w:szCs w:val="24"/>
          <w:highlight w:val="none"/>
        </w:rPr>
      </w:pPr>
      <w:r>
        <w:rPr>
          <w:rFonts w:hint="eastAsia" w:ascii="黑体" w:hAnsi="黑体" w:eastAsia="黑体" w:cs="黑体"/>
          <w:color w:val="auto"/>
          <w:szCs w:val="24"/>
          <w:highlight w:val="none"/>
        </w:rPr>
        <w:br w:type="page"/>
      </w:r>
      <w:bookmarkStart w:id="162" w:name="_Toc492721039"/>
      <w:bookmarkStart w:id="163" w:name="_Toc493178791"/>
      <w:bookmarkStart w:id="164" w:name="_Toc75793542"/>
      <w:bookmarkStart w:id="165" w:name="_Toc22278"/>
    </w:p>
    <w:p w14:paraId="6C453725">
      <w:pPr>
        <w:pStyle w:val="4"/>
        <w:pageBreakBefore/>
        <w:spacing w:line="500" w:lineRule="exact"/>
        <w:ind w:firstLine="562" w:firstLineChars="200"/>
        <w:rPr>
          <w:rFonts w:hint="eastAsia" w:ascii="黑体" w:hAnsi="黑体" w:eastAsia="黑体" w:cs="黑体"/>
          <w:b/>
          <w:color w:val="auto"/>
          <w:szCs w:val="28"/>
          <w:highlight w:val="none"/>
        </w:rPr>
      </w:pPr>
      <w:bookmarkStart w:id="166" w:name="_Toc21553"/>
      <w:bookmarkStart w:id="167" w:name="_Toc854"/>
      <w:r>
        <w:rPr>
          <w:rFonts w:hint="eastAsia" w:ascii="黑体" w:hAnsi="黑体" w:eastAsia="黑体" w:cs="黑体"/>
          <w:b/>
          <w:color w:val="auto"/>
          <w:szCs w:val="28"/>
          <w:highlight w:val="none"/>
        </w:rPr>
        <w:t>三、商务文件</w:t>
      </w:r>
      <w:bookmarkEnd w:id="162"/>
      <w:bookmarkEnd w:id="163"/>
      <w:bookmarkEnd w:id="164"/>
      <w:bookmarkEnd w:id="165"/>
      <w:bookmarkEnd w:id="166"/>
      <w:bookmarkEnd w:id="167"/>
    </w:p>
    <w:p w14:paraId="4A5774AB">
      <w:pPr>
        <w:snapToGrid w:val="0"/>
        <w:spacing w:before="120" w:beforeLines="50" w:line="500" w:lineRule="exact"/>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（一）投标函（格式）</w:t>
      </w:r>
    </w:p>
    <w:p w14:paraId="05541BAC">
      <w:pPr>
        <w:spacing w:line="500" w:lineRule="exact"/>
        <w:rPr>
          <w:rFonts w:hint="eastAsia" w:ascii="黑体" w:hAnsi="黑体" w:eastAsia="黑体" w:cs="黑体"/>
          <w:color w:val="auto"/>
          <w:sz w:val="24"/>
          <w:szCs w:val="28"/>
          <w:highlight w:val="none"/>
        </w:rPr>
      </w:pPr>
    </w:p>
    <w:p w14:paraId="0BF18D87">
      <w:pPr>
        <w:spacing w:line="500" w:lineRule="exact"/>
        <w:ind w:firstLine="480" w:firstLineChars="200"/>
        <w:rPr>
          <w:rFonts w:hint="eastAsia" w:ascii="黑体" w:hAnsi="黑体" w:eastAsia="黑体" w:cs="黑体"/>
          <w:color w:val="auto"/>
          <w:sz w:val="24"/>
          <w:szCs w:val="28"/>
          <w:highlight w:val="none"/>
          <w:u w:val="single"/>
        </w:rPr>
      </w:pPr>
      <w:r>
        <w:rPr>
          <w:rFonts w:hint="eastAsia" w:ascii="黑体" w:hAnsi="黑体" w:eastAsia="黑体" w:cs="黑体"/>
          <w:color w:val="auto"/>
          <w:sz w:val="24"/>
          <w:szCs w:val="28"/>
          <w:highlight w:val="none"/>
        </w:rPr>
        <w:t>项目</w:t>
      </w:r>
      <w:r>
        <w:rPr>
          <w:rFonts w:hint="eastAsia" w:ascii="黑体" w:hAnsi="黑体" w:eastAsia="黑体" w:cs="黑体"/>
          <w:color w:val="auto"/>
          <w:sz w:val="24"/>
          <w:szCs w:val="28"/>
          <w:highlight w:val="none"/>
          <w:lang w:val="en-US" w:eastAsia="zh-CN"/>
        </w:rPr>
        <w:t>编号</w:t>
      </w:r>
      <w:r>
        <w:rPr>
          <w:rFonts w:hint="eastAsia" w:ascii="黑体" w:hAnsi="黑体" w:eastAsia="黑体" w:cs="黑体"/>
          <w:color w:val="auto"/>
          <w:sz w:val="24"/>
          <w:szCs w:val="28"/>
          <w:highlight w:val="none"/>
        </w:rPr>
        <w:t>：</w:t>
      </w:r>
      <w:r>
        <w:rPr>
          <w:rFonts w:hint="eastAsia" w:ascii="黑体" w:hAnsi="黑体" w:eastAsia="黑体" w:cs="黑体"/>
          <w:color w:val="auto"/>
          <w:sz w:val="24"/>
          <w:szCs w:val="28"/>
          <w:highlight w:val="none"/>
          <w:u w:val="single"/>
        </w:rPr>
        <w:t xml:space="preserve">                                             </w:t>
      </w:r>
    </w:p>
    <w:p w14:paraId="76940BF9">
      <w:pPr>
        <w:spacing w:line="500" w:lineRule="exact"/>
        <w:ind w:firstLine="480" w:firstLineChars="200"/>
        <w:rPr>
          <w:rFonts w:hint="eastAsia" w:ascii="黑体" w:hAnsi="黑体" w:eastAsia="黑体" w:cs="黑体"/>
          <w:lang w:val="en-US" w:eastAsia="zh-CN"/>
        </w:rPr>
      </w:pPr>
      <w:r>
        <w:rPr>
          <w:rFonts w:hint="eastAsia" w:ascii="黑体" w:hAnsi="黑体" w:eastAsia="黑体" w:cs="黑体"/>
          <w:color w:val="auto"/>
          <w:sz w:val="24"/>
          <w:szCs w:val="28"/>
          <w:highlight w:val="none"/>
          <w:lang w:val="en-US" w:eastAsia="zh-CN"/>
        </w:rPr>
        <w:t>项目名称：</w:t>
      </w:r>
      <w:r>
        <w:rPr>
          <w:rFonts w:hint="eastAsia" w:ascii="黑体" w:hAnsi="黑体" w:eastAsia="黑体" w:cs="黑体"/>
          <w:color w:val="auto"/>
          <w:sz w:val="24"/>
          <w:szCs w:val="28"/>
          <w:highlight w:val="none"/>
          <w:u w:val="single"/>
          <w:lang w:val="en-US" w:eastAsia="zh-CN"/>
        </w:rPr>
        <w:t xml:space="preserve">                                   </w:t>
      </w:r>
    </w:p>
    <w:p w14:paraId="67625ED5">
      <w:pPr>
        <w:spacing w:line="500" w:lineRule="exact"/>
        <w:rPr>
          <w:rFonts w:hint="eastAsia" w:ascii="黑体" w:hAnsi="黑体" w:eastAsia="黑体" w:cs="黑体"/>
          <w:color w:val="auto"/>
          <w:sz w:val="24"/>
          <w:szCs w:val="28"/>
          <w:highlight w:val="none"/>
        </w:rPr>
      </w:pPr>
    </w:p>
    <w:p w14:paraId="3121E83C">
      <w:pPr>
        <w:tabs>
          <w:tab w:val="left" w:pos="6300"/>
        </w:tabs>
        <w:snapToGrid w:val="0"/>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致：</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（采购代理机构名称）：</w:t>
      </w:r>
    </w:p>
    <w:p w14:paraId="1D5A3D87">
      <w:pPr>
        <w:snapToGrid w:val="0"/>
        <w:spacing w:before="120" w:beforeLines="50"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（供应商名称）系中华人民共和国合法企业，注册地址：</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。我方就参加本次投标有关事项郑重声明如下：</w:t>
      </w:r>
    </w:p>
    <w:p w14:paraId="14D52ECE">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一、我方完全理解并接受该项目竞争性比选文件所有要求。</w:t>
      </w:r>
    </w:p>
    <w:p w14:paraId="7B451C0E">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二、我方提交的所有响应文件、资料都是准确和真实的，如有虚假或隐瞒，我方愿意承担一切法律责任。</w:t>
      </w:r>
    </w:p>
    <w:p w14:paraId="3413408A">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三、我方承诺按照竞争性比选文件要求，提供招标项目的技术服务。</w:t>
      </w:r>
    </w:p>
    <w:p w14:paraId="19F0F56F">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四、我方按竞争性比选文件要求提交的响应文件为：响应文件正本</w:t>
      </w:r>
      <w:r>
        <w:rPr>
          <w:rFonts w:hint="eastAsia" w:ascii="黑体" w:hAnsi="黑体" w:eastAsia="黑体" w:cs="黑体"/>
          <w:color w:val="auto"/>
          <w:sz w:val="24"/>
          <w:szCs w:val="28"/>
          <w:highlight w:val="none"/>
          <w:u w:val="single"/>
        </w:rPr>
        <w:t>1</w:t>
      </w:r>
      <w:r>
        <w:rPr>
          <w:rFonts w:hint="eastAsia" w:ascii="黑体" w:hAnsi="黑体" w:eastAsia="黑体" w:cs="黑体"/>
          <w:color w:val="auto"/>
          <w:sz w:val="24"/>
          <w:szCs w:val="28"/>
          <w:highlight w:val="none"/>
        </w:rPr>
        <w:t>份。</w:t>
      </w:r>
    </w:p>
    <w:p w14:paraId="70AF8BDA">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五、我方承诺：本次投标的投标有效期为</w:t>
      </w:r>
      <w:r>
        <w:rPr>
          <w:rFonts w:hint="eastAsia" w:ascii="黑体" w:hAnsi="黑体" w:eastAsia="黑体" w:cs="黑体"/>
          <w:color w:val="auto"/>
          <w:sz w:val="24"/>
          <w:highlight w:val="none"/>
        </w:rPr>
        <w:t>投标截止时间</w:t>
      </w:r>
      <w:r>
        <w:rPr>
          <w:rFonts w:hint="eastAsia" w:ascii="黑体" w:hAnsi="黑体" w:eastAsia="黑体" w:cs="黑体"/>
          <w:color w:val="auto"/>
          <w:sz w:val="24"/>
          <w:szCs w:val="28"/>
          <w:highlight w:val="none"/>
        </w:rPr>
        <w:t>起90天。</w:t>
      </w:r>
    </w:p>
    <w:p w14:paraId="7B7E10C8">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六、我方投标报价为闭口价。即在投标有效期和合同有效期内，该报价固定不变。</w:t>
      </w:r>
    </w:p>
    <w:p w14:paraId="00EC9B13">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七、如果我方中标，我方将履行竞争性比选文件中规定的各项要求以及我方响应文件的各项承诺，按《中华人民共和国政府采购法》、《中华人民共和国民法典》及合同约定条款承担我方责任。</w:t>
      </w:r>
    </w:p>
    <w:p w14:paraId="56D51A9A">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八、我方未</w:t>
      </w:r>
      <w:r>
        <w:rPr>
          <w:rFonts w:hint="eastAsia" w:ascii="黑体" w:hAnsi="黑体" w:eastAsia="黑体" w:cs="黑体"/>
          <w:color w:val="auto"/>
          <w:sz w:val="24"/>
          <w:szCs w:val="24"/>
          <w:highlight w:val="none"/>
        </w:rPr>
        <w:t>为采购项目提供整体设计、规范编制或者项目管理、监理、检测等服务。</w:t>
      </w:r>
    </w:p>
    <w:p w14:paraId="1D3B7EB4">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九、我方理解，最低报价不是中标的唯一条件。</w:t>
      </w:r>
    </w:p>
    <w:p w14:paraId="5B2A5F8E">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十、我方同意按有关规定及竞争性比选文件要求，交纳足额投标保证金</w:t>
      </w:r>
      <w:r>
        <w:rPr>
          <w:rFonts w:hint="eastAsia" w:ascii="黑体" w:hAnsi="黑体" w:eastAsia="黑体" w:cs="黑体"/>
          <w:color w:val="auto"/>
          <w:sz w:val="24"/>
          <w:szCs w:val="28"/>
          <w:highlight w:val="none"/>
          <w:lang w:eastAsia="zh-CN"/>
        </w:rPr>
        <w:t>（</w:t>
      </w:r>
      <w:r>
        <w:rPr>
          <w:rFonts w:hint="eastAsia" w:ascii="黑体" w:hAnsi="黑体" w:eastAsia="黑体" w:cs="黑体"/>
          <w:color w:val="auto"/>
          <w:sz w:val="24"/>
          <w:szCs w:val="28"/>
          <w:highlight w:val="none"/>
          <w:lang w:val="en-US" w:eastAsia="zh-CN"/>
        </w:rPr>
        <w:t>如有</w:t>
      </w:r>
      <w:r>
        <w:rPr>
          <w:rFonts w:hint="eastAsia" w:ascii="黑体" w:hAnsi="黑体" w:eastAsia="黑体" w:cs="黑体"/>
          <w:color w:val="auto"/>
          <w:sz w:val="24"/>
          <w:szCs w:val="28"/>
          <w:highlight w:val="none"/>
          <w:lang w:eastAsia="zh-CN"/>
        </w:rPr>
        <w:t>）</w:t>
      </w:r>
      <w:r>
        <w:rPr>
          <w:rFonts w:hint="eastAsia" w:ascii="黑体" w:hAnsi="黑体" w:eastAsia="黑体" w:cs="黑体"/>
          <w:color w:val="auto"/>
          <w:sz w:val="24"/>
          <w:szCs w:val="28"/>
          <w:highlight w:val="none"/>
        </w:rPr>
        <w:t>。</w:t>
      </w:r>
    </w:p>
    <w:p w14:paraId="31824A39">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十一、若我方中标，愿意按有关规定及竞争性比选文件要求缴纳招标代理服务费。</w:t>
      </w:r>
    </w:p>
    <w:p w14:paraId="6ED56ECB">
      <w:pPr>
        <w:tabs>
          <w:tab w:val="left" w:pos="6300"/>
        </w:tabs>
        <w:snapToGrid w:val="0"/>
        <w:spacing w:line="500" w:lineRule="exact"/>
        <w:ind w:firstLine="570"/>
        <w:rPr>
          <w:rFonts w:hint="eastAsia" w:ascii="黑体" w:hAnsi="黑体" w:eastAsia="黑体" w:cs="黑体"/>
          <w:color w:val="auto"/>
          <w:sz w:val="24"/>
          <w:szCs w:val="28"/>
          <w:highlight w:val="none"/>
        </w:rPr>
      </w:pPr>
    </w:p>
    <w:p w14:paraId="4AC91687">
      <w:pPr>
        <w:tabs>
          <w:tab w:val="left" w:pos="6300"/>
        </w:tabs>
        <w:snapToGrid w:val="0"/>
        <w:spacing w:line="500" w:lineRule="exact"/>
        <w:ind w:firstLine="5460" w:firstLineChars="2275"/>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（供应商公章或自然人签署）</w:t>
      </w:r>
    </w:p>
    <w:p w14:paraId="06C7FA38">
      <w:pPr>
        <w:tabs>
          <w:tab w:val="left" w:pos="6300"/>
        </w:tabs>
        <w:snapToGrid w:val="0"/>
        <w:spacing w:line="500" w:lineRule="exact"/>
        <w:ind w:firstLine="5760" w:firstLineChars="2400"/>
        <w:rPr>
          <w:rFonts w:hint="eastAsia" w:ascii="黑体" w:hAnsi="黑体" w:eastAsia="黑体" w:cs="黑体"/>
          <w:color w:val="auto"/>
          <w:szCs w:val="28"/>
          <w:highlight w:val="none"/>
        </w:rPr>
      </w:pPr>
      <w:r>
        <w:rPr>
          <w:rFonts w:hint="eastAsia" w:ascii="黑体" w:hAnsi="黑体" w:eastAsia="黑体" w:cs="黑体"/>
          <w:color w:val="auto"/>
          <w:sz w:val="24"/>
          <w:szCs w:val="28"/>
          <w:highlight w:val="none"/>
        </w:rPr>
        <w:t>年    月   日</w:t>
      </w:r>
    </w:p>
    <w:p w14:paraId="71F2E03B">
      <w:pPr>
        <w:snapToGrid w:val="0"/>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szCs w:val="44"/>
          <w:highlight w:val="none"/>
        </w:rPr>
        <w:br w:type="page"/>
      </w:r>
      <w:r>
        <w:rPr>
          <w:rFonts w:hint="eastAsia" w:ascii="黑体" w:hAnsi="黑体" w:eastAsia="黑体" w:cs="黑体"/>
          <w:color w:val="auto"/>
          <w:sz w:val="24"/>
          <w:szCs w:val="28"/>
          <w:highlight w:val="none"/>
        </w:rPr>
        <w:t>（二）商务条款差异表</w:t>
      </w:r>
    </w:p>
    <w:p w14:paraId="0C61DED8">
      <w:pPr>
        <w:snapToGrid w:val="0"/>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val="en-US" w:eastAsia="zh-CN"/>
        </w:rPr>
        <w:t>项目</w:t>
      </w:r>
      <w:r>
        <w:rPr>
          <w:rFonts w:hint="eastAsia" w:ascii="黑体" w:hAnsi="黑体" w:eastAsia="黑体" w:cs="黑体"/>
          <w:color w:val="auto"/>
          <w:sz w:val="24"/>
          <w:szCs w:val="28"/>
          <w:highlight w:val="none"/>
        </w:rPr>
        <w:t>编号：</w:t>
      </w:r>
    </w:p>
    <w:p w14:paraId="7A80B272">
      <w:pPr>
        <w:snapToGrid w:val="0"/>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项目名称：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2003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606E8E26">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序号</w:t>
            </w:r>
          </w:p>
        </w:tc>
        <w:tc>
          <w:tcPr>
            <w:tcW w:w="1541" w:type="pct"/>
            <w:noWrap w:val="0"/>
            <w:vAlign w:val="center"/>
          </w:tcPr>
          <w:p w14:paraId="7BB23387">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招标商务要求</w:t>
            </w:r>
          </w:p>
        </w:tc>
        <w:tc>
          <w:tcPr>
            <w:tcW w:w="1600" w:type="pct"/>
            <w:noWrap w:val="0"/>
            <w:vAlign w:val="center"/>
          </w:tcPr>
          <w:p w14:paraId="1A0BA03C">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投标商务应答</w:t>
            </w:r>
          </w:p>
        </w:tc>
        <w:tc>
          <w:tcPr>
            <w:tcW w:w="1198" w:type="pct"/>
            <w:noWrap w:val="0"/>
            <w:vAlign w:val="center"/>
          </w:tcPr>
          <w:p w14:paraId="6E703B34">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差异说明</w:t>
            </w:r>
          </w:p>
        </w:tc>
      </w:tr>
      <w:tr w14:paraId="33D5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B0EF221">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8D5FBE3">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91288C4">
            <w:pPr>
              <w:tabs>
                <w:tab w:val="left" w:pos="6300"/>
              </w:tabs>
              <w:snapToGrid w:val="0"/>
              <w:spacing w:line="500" w:lineRule="exact"/>
              <w:outlineLvl w:val="0"/>
              <w:rPr>
                <w:rFonts w:hint="eastAsia" w:ascii="黑体" w:hAnsi="黑体" w:eastAsia="黑体" w:cs="黑体"/>
                <w:sz w:val="21"/>
                <w:szCs w:val="21"/>
              </w:rPr>
            </w:pPr>
            <w:r>
              <w:rPr>
                <w:rFonts w:hint="eastAsia" w:ascii="黑体" w:hAnsi="黑体" w:eastAsia="黑体" w:cs="黑体"/>
                <w:sz w:val="21"/>
                <w:szCs w:val="21"/>
              </w:rPr>
              <w:t>提醒：请注明具体内容以及投标文件中具体内容的位置（页码）</w:t>
            </w:r>
          </w:p>
        </w:tc>
        <w:tc>
          <w:tcPr>
            <w:tcW w:w="1198" w:type="pct"/>
            <w:noWrap w:val="0"/>
            <w:vAlign w:val="center"/>
          </w:tcPr>
          <w:p w14:paraId="0F26C3CD">
            <w:pPr>
              <w:tabs>
                <w:tab w:val="left" w:pos="6300"/>
              </w:tabs>
              <w:snapToGrid w:val="0"/>
              <w:spacing w:line="500" w:lineRule="exact"/>
              <w:jc w:val="center"/>
              <w:outlineLvl w:val="0"/>
              <w:rPr>
                <w:rFonts w:hint="eastAsia" w:ascii="黑体" w:hAnsi="黑体" w:eastAsia="黑体" w:cs="黑体"/>
                <w:sz w:val="21"/>
                <w:szCs w:val="21"/>
              </w:rPr>
            </w:pPr>
          </w:p>
        </w:tc>
      </w:tr>
      <w:tr w14:paraId="15BC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79598C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6B3C155">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04ACBFF">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F596917">
            <w:pPr>
              <w:tabs>
                <w:tab w:val="left" w:pos="6300"/>
              </w:tabs>
              <w:snapToGrid w:val="0"/>
              <w:spacing w:line="500" w:lineRule="exact"/>
              <w:jc w:val="center"/>
              <w:outlineLvl w:val="0"/>
              <w:rPr>
                <w:rFonts w:hint="eastAsia" w:ascii="黑体" w:hAnsi="黑体" w:eastAsia="黑体" w:cs="黑体"/>
                <w:sz w:val="21"/>
                <w:szCs w:val="21"/>
              </w:rPr>
            </w:pPr>
          </w:p>
        </w:tc>
      </w:tr>
      <w:tr w14:paraId="0701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3DF17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1596708E">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2F10172">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1B2A672A">
            <w:pPr>
              <w:tabs>
                <w:tab w:val="left" w:pos="6300"/>
              </w:tabs>
              <w:snapToGrid w:val="0"/>
              <w:spacing w:line="500" w:lineRule="exact"/>
              <w:jc w:val="center"/>
              <w:outlineLvl w:val="0"/>
              <w:rPr>
                <w:rFonts w:hint="eastAsia" w:ascii="黑体" w:hAnsi="黑体" w:eastAsia="黑体" w:cs="黑体"/>
                <w:sz w:val="21"/>
                <w:szCs w:val="21"/>
              </w:rPr>
            </w:pPr>
          </w:p>
        </w:tc>
      </w:tr>
      <w:tr w14:paraId="1D18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E9A0E1">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9ECC0BC">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70164BB">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161427CD">
            <w:pPr>
              <w:tabs>
                <w:tab w:val="left" w:pos="6300"/>
              </w:tabs>
              <w:snapToGrid w:val="0"/>
              <w:spacing w:line="500" w:lineRule="exact"/>
              <w:jc w:val="center"/>
              <w:outlineLvl w:val="0"/>
              <w:rPr>
                <w:rFonts w:hint="eastAsia" w:ascii="黑体" w:hAnsi="黑体" w:eastAsia="黑体" w:cs="黑体"/>
                <w:sz w:val="21"/>
                <w:szCs w:val="21"/>
              </w:rPr>
            </w:pPr>
          </w:p>
        </w:tc>
      </w:tr>
      <w:tr w14:paraId="57C9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03DF19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251CDD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B947F54">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56B655E">
            <w:pPr>
              <w:tabs>
                <w:tab w:val="left" w:pos="6300"/>
              </w:tabs>
              <w:snapToGrid w:val="0"/>
              <w:spacing w:line="500" w:lineRule="exact"/>
              <w:jc w:val="center"/>
              <w:outlineLvl w:val="0"/>
              <w:rPr>
                <w:rFonts w:hint="eastAsia" w:ascii="黑体" w:hAnsi="黑体" w:eastAsia="黑体" w:cs="黑体"/>
                <w:sz w:val="21"/>
                <w:szCs w:val="21"/>
              </w:rPr>
            </w:pPr>
          </w:p>
        </w:tc>
      </w:tr>
      <w:tr w14:paraId="1929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A33AEBE">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71DE8CA">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A6CFC93">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21199AC8">
            <w:pPr>
              <w:tabs>
                <w:tab w:val="left" w:pos="6300"/>
              </w:tabs>
              <w:snapToGrid w:val="0"/>
              <w:spacing w:line="500" w:lineRule="exact"/>
              <w:jc w:val="center"/>
              <w:outlineLvl w:val="0"/>
              <w:rPr>
                <w:rFonts w:hint="eastAsia" w:ascii="黑体" w:hAnsi="黑体" w:eastAsia="黑体" w:cs="黑体"/>
                <w:sz w:val="21"/>
                <w:szCs w:val="21"/>
              </w:rPr>
            </w:pPr>
          </w:p>
        </w:tc>
      </w:tr>
      <w:tr w14:paraId="210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C68A14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8A7C663">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0FBCB9A5">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4D793527">
            <w:pPr>
              <w:tabs>
                <w:tab w:val="left" w:pos="6300"/>
              </w:tabs>
              <w:snapToGrid w:val="0"/>
              <w:spacing w:line="500" w:lineRule="exact"/>
              <w:jc w:val="center"/>
              <w:outlineLvl w:val="0"/>
              <w:rPr>
                <w:rFonts w:hint="eastAsia" w:ascii="黑体" w:hAnsi="黑体" w:eastAsia="黑体" w:cs="黑体"/>
                <w:sz w:val="21"/>
                <w:szCs w:val="21"/>
              </w:rPr>
            </w:pPr>
          </w:p>
        </w:tc>
      </w:tr>
      <w:tr w14:paraId="4D33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B04B42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4F09C103">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3402791">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6F38C2E1">
            <w:pPr>
              <w:tabs>
                <w:tab w:val="left" w:pos="6300"/>
              </w:tabs>
              <w:snapToGrid w:val="0"/>
              <w:spacing w:line="500" w:lineRule="exact"/>
              <w:jc w:val="center"/>
              <w:outlineLvl w:val="0"/>
              <w:rPr>
                <w:rFonts w:hint="eastAsia" w:ascii="黑体" w:hAnsi="黑体" w:eastAsia="黑体" w:cs="黑体"/>
                <w:sz w:val="21"/>
                <w:szCs w:val="21"/>
              </w:rPr>
            </w:pPr>
          </w:p>
        </w:tc>
      </w:tr>
      <w:tr w14:paraId="6DA4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1436618">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7A73CC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4789C62">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52B995F">
            <w:pPr>
              <w:tabs>
                <w:tab w:val="left" w:pos="6300"/>
              </w:tabs>
              <w:snapToGrid w:val="0"/>
              <w:spacing w:line="500" w:lineRule="exact"/>
              <w:jc w:val="center"/>
              <w:outlineLvl w:val="0"/>
              <w:rPr>
                <w:rFonts w:hint="eastAsia" w:ascii="黑体" w:hAnsi="黑体" w:eastAsia="黑体" w:cs="黑体"/>
                <w:sz w:val="21"/>
                <w:szCs w:val="21"/>
              </w:rPr>
            </w:pPr>
          </w:p>
        </w:tc>
      </w:tr>
      <w:tr w14:paraId="30CB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E10BA0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217592B">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45B712A">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BFCAA79">
            <w:pPr>
              <w:tabs>
                <w:tab w:val="left" w:pos="6300"/>
              </w:tabs>
              <w:snapToGrid w:val="0"/>
              <w:spacing w:line="500" w:lineRule="exact"/>
              <w:jc w:val="center"/>
              <w:outlineLvl w:val="0"/>
              <w:rPr>
                <w:rFonts w:hint="eastAsia" w:ascii="黑体" w:hAnsi="黑体" w:eastAsia="黑体" w:cs="黑体"/>
                <w:sz w:val="21"/>
                <w:szCs w:val="21"/>
              </w:rPr>
            </w:pPr>
          </w:p>
        </w:tc>
      </w:tr>
    </w:tbl>
    <w:p w14:paraId="6BBF4B67">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77923094">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3332C848">
      <w:pPr>
        <w:tabs>
          <w:tab w:val="left" w:pos="6300"/>
        </w:tabs>
        <w:snapToGrid w:val="0"/>
        <w:spacing w:line="500" w:lineRule="exact"/>
        <w:rPr>
          <w:rFonts w:hint="eastAsia" w:ascii="黑体" w:hAnsi="黑体" w:eastAsia="黑体" w:cs="黑体"/>
          <w:sz w:val="24"/>
        </w:rPr>
      </w:pPr>
      <w:r>
        <w:rPr>
          <w:rFonts w:hint="eastAsia" w:ascii="黑体" w:hAnsi="黑体" w:eastAsia="黑体" w:cs="黑体"/>
          <w:sz w:val="24"/>
          <w:szCs w:val="28"/>
        </w:rPr>
        <w:t xml:space="preserve">                                            年     月     日</w:t>
      </w:r>
    </w:p>
    <w:p w14:paraId="1893BD04">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rPr>
        <w:t>注：</w:t>
      </w:r>
    </w:p>
    <w:p w14:paraId="4E785606">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1.本表即为对本项目“第三篇 项目商务需求”中所列条款进行比较和响应；</w:t>
      </w:r>
    </w:p>
    <w:p w14:paraId="496F3466">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2.本表可扩展。</w:t>
      </w:r>
    </w:p>
    <w:p w14:paraId="199E2CAC">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8"/>
        </w:rPr>
        <w:t>3.投标应答栏中应当注明具体内容，且必须标注具体内容在投标文件中的位置（页码）。</w:t>
      </w:r>
    </w:p>
    <w:p w14:paraId="55EA6790">
      <w:pPr>
        <w:snapToGrid w:val="0"/>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szCs w:val="28"/>
        </w:rPr>
        <w:br w:type="page"/>
      </w:r>
      <w:r>
        <w:rPr>
          <w:rFonts w:hint="eastAsia" w:ascii="黑体" w:hAnsi="黑体" w:eastAsia="黑体" w:cs="黑体"/>
          <w:color w:val="auto"/>
          <w:sz w:val="24"/>
          <w:szCs w:val="28"/>
          <w:highlight w:val="none"/>
        </w:rPr>
        <w:t>（三）其他商务资料</w:t>
      </w:r>
    </w:p>
    <w:p w14:paraId="7A489F5A">
      <w:pPr>
        <w:tabs>
          <w:tab w:val="left" w:pos="6300"/>
        </w:tabs>
        <w:snapToGrid w:val="0"/>
        <w:spacing w:line="500" w:lineRule="exact"/>
        <w:ind w:firstLine="560"/>
        <w:rPr>
          <w:rFonts w:hint="eastAsia" w:ascii="黑体" w:hAnsi="黑体" w:eastAsia="黑体" w:cs="黑体"/>
          <w:b/>
          <w:color w:val="auto"/>
          <w:szCs w:val="28"/>
          <w:highlight w:val="none"/>
        </w:rPr>
      </w:pPr>
      <w:r>
        <w:rPr>
          <w:rFonts w:hint="eastAsia" w:ascii="黑体" w:hAnsi="黑体" w:eastAsia="黑体" w:cs="黑体"/>
          <w:color w:val="auto"/>
          <w:szCs w:val="28"/>
          <w:highlight w:val="none"/>
        </w:rPr>
        <w:br w:type="page"/>
      </w:r>
      <w:r>
        <w:rPr>
          <w:rFonts w:hint="eastAsia" w:ascii="黑体" w:hAnsi="黑体" w:eastAsia="黑体" w:cs="黑体"/>
          <w:color w:val="auto"/>
          <w:szCs w:val="28"/>
          <w:highlight w:val="none"/>
        </w:rPr>
        <w:t xml:space="preserve"> </w:t>
      </w:r>
      <w:bookmarkStart w:id="168" w:name="_Toc493178793"/>
      <w:bookmarkStart w:id="169" w:name="_Toc492721038"/>
      <w:bookmarkStart w:id="170" w:name="_Toc8400"/>
      <w:bookmarkStart w:id="171" w:name="_Toc75793544"/>
      <w:bookmarkStart w:id="172" w:name="_Toc23434"/>
      <w:bookmarkStart w:id="173" w:name="_Toc1686"/>
      <w:r>
        <w:rPr>
          <w:rFonts w:hint="eastAsia" w:ascii="黑体" w:hAnsi="黑体" w:eastAsia="黑体" w:cs="黑体"/>
          <w:b/>
          <w:color w:val="auto"/>
          <w:szCs w:val="28"/>
          <w:highlight w:val="none"/>
        </w:rPr>
        <w:t>四、资格文件</w:t>
      </w:r>
      <w:bookmarkEnd w:id="168"/>
      <w:bookmarkEnd w:id="169"/>
      <w:bookmarkEnd w:id="170"/>
      <w:bookmarkEnd w:id="171"/>
      <w:bookmarkEnd w:id="172"/>
      <w:bookmarkEnd w:id="173"/>
    </w:p>
    <w:p w14:paraId="47904EB6">
      <w:pPr>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（一）法人营业执照（副本）或事业单位法人证书（副本）或个体工商户营业执照或有效的自然人身份证明或社会团体法人登记证书复印件</w:t>
      </w:r>
    </w:p>
    <w:p w14:paraId="134EA7ED">
      <w:pPr>
        <w:tabs>
          <w:tab w:val="left" w:pos="6300"/>
        </w:tabs>
        <w:snapToGrid w:val="0"/>
        <w:spacing w:line="500" w:lineRule="exact"/>
        <w:ind w:firstLine="570"/>
        <w:rPr>
          <w:rFonts w:hint="eastAsia" w:ascii="黑体" w:hAnsi="黑体" w:eastAsia="黑体" w:cs="黑体"/>
          <w:color w:val="auto"/>
          <w:highlight w:val="none"/>
        </w:rPr>
      </w:pPr>
    </w:p>
    <w:p w14:paraId="7EBF34A7">
      <w:pPr>
        <w:tabs>
          <w:tab w:val="left" w:pos="6300"/>
        </w:tabs>
        <w:snapToGrid w:val="0"/>
        <w:spacing w:line="500" w:lineRule="exact"/>
        <w:ind w:firstLine="570"/>
        <w:rPr>
          <w:rFonts w:hint="eastAsia" w:ascii="黑体" w:hAnsi="黑体" w:eastAsia="黑体" w:cs="黑体"/>
          <w:color w:val="auto"/>
          <w:highlight w:val="none"/>
        </w:rPr>
      </w:pPr>
    </w:p>
    <w:p w14:paraId="031C8D4E">
      <w:pPr>
        <w:tabs>
          <w:tab w:val="left" w:pos="6300"/>
        </w:tabs>
        <w:snapToGrid w:val="0"/>
        <w:spacing w:line="500" w:lineRule="exact"/>
        <w:ind w:firstLine="570"/>
        <w:rPr>
          <w:rFonts w:hint="eastAsia" w:ascii="黑体" w:hAnsi="黑体" w:eastAsia="黑体" w:cs="黑体"/>
          <w:color w:val="auto"/>
          <w:highlight w:val="none"/>
        </w:rPr>
      </w:pPr>
    </w:p>
    <w:p w14:paraId="040C9290">
      <w:pPr>
        <w:tabs>
          <w:tab w:val="left" w:pos="6300"/>
        </w:tabs>
        <w:snapToGrid w:val="0"/>
        <w:spacing w:line="500" w:lineRule="exact"/>
        <w:ind w:firstLine="570"/>
        <w:rPr>
          <w:rFonts w:hint="eastAsia" w:ascii="黑体" w:hAnsi="黑体" w:eastAsia="黑体" w:cs="黑体"/>
          <w:color w:val="auto"/>
          <w:highlight w:val="none"/>
        </w:rPr>
      </w:pPr>
    </w:p>
    <w:p w14:paraId="7F4FD1FF">
      <w:pPr>
        <w:tabs>
          <w:tab w:val="left" w:pos="6300"/>
        </w:tabs>
        <w:snapToGrid w:val="0"/>
        <w:spacing w:line="500" w:lineRule="exact"/>
        <w:ind w:firstLine="570"/>
        <w:rPr>
          <w:rFonts w:hint="eastAsia" w:ascii="黑体" w:hAnsi="黑体" w:eastAsia="黑体" w:cs="黑体"/>
          <w:color w:val="auto"/>
          <w:highlight w:val="none"/>
        </w:rPr>
      </w:pPr>
    </w:p>
    <w:p w14:paraId="3CEEFA80">
      <w:pPr>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highlight w:val="none"/>
        </w:rPr>
        <w:br w:type="page"/>
      </w:r>
      <w:r>
        <w:rPr>
          <w:rFonts w:hint="eastAsia" w:ascii="黑体" w:hAnsi="黑体" w:eastAsia="黑体" w:cs="黑体"/>
          <w:color w:val="auto"/>
          <w:sz w:val="24"/>
          <w:szCs w:val="28"/>
          <w:highlight w:val="none"/>
        </w:rPr>
        <w:t>（二）法定代表人身份证明书（格式）</w:t>
      </w:r>
    </w:p>
    <w:p w14:paraId="0495B6F8">
      <w:pPr>
        <w:tabs>
          <w:tab w:val="left" w:pos="6300"/>
        </w:tabs>
        <w:snapToGrid w:val="0"/>
        <w:spacing w:line="500" w:lineRule="exact"/>
        <w:ind w:firstLine="570"/>
        <w:rPr>
          <w:rFonts w:hint="eastAsia" w:ascii="黑体" w:hAnsi="黑体" w:eastAsia="黑体" w:cs="黑体"/>
          <w:color w:val="auto"/>
          <w:sz w:val="24"/>
          <w:highlight w:val="none"/>
        </w:rPr>
      </w:pPr>
    </w:p>
    <w:p w14:paraId="64E0422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项目名称：</w:t>
      </w:r>
      <w:r>
        <w:rPr>
          <w:rFonts w:hint="eastAsia" w:ascii="黑体" w:hAnsi="黑体" w:eastAsia="黑体" w:cs="黑体"/>
          <w:color w:val="auto"/>
          <w:sz w:val="24"/>
          <w:highlight w:val="none"/>
          <w:u w:val="single"/>
        </w:rPr>
        <w:t xml:space="preserve">                                                </w:t>
      </w:r>
    </w:p>
    <w:p w14:paraId="1AEF5FAC">
      <w:pPr>
        <w:tabs>
          <w:tab w:val="left" w:pos="6300"/>
        </w:tabs>
        <w:snapToGrid w:val="0"/>
        <w:spacing w:line="500" w:lineRule="exact"/>
        <w:ind w:firstLine="570"/>
        <w:rPr>
          <w:rFonts w:hint="eastAsia" w:ascii="黑体" w:hAnsi="黑体" w:eastAsia="黑体" w:cs="黑体"/>
          <w:color w:val="auto"/>
          <w:sz w:val="24"/>
          <w:highlight w:val="none"/>
        </w:rPr>
      </w:pPr>
    </w:p>
    <w:p w14:paraId="1E5730D2">
      <w:pPr>
        <w:tabs>
          <w:tab w:val="left" w:pos="6300"/>
        </w:tabs>
        <w:snapToGrid w:val="0"/>
        <w:spacing w:line="5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097198D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（法定代表人姓名）在</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（供应商名称）任</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（职务名称）职务，是（供应商名称）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的法定代表人。</w:t>
      </w:r>
    </w:p>
    <w:p w14:paraId="3E6B9D6A">
      <w:pPr>
        <w:tabs>
          <w:tab w:val="left" w:pos="6300"/>
        </w:tabs>
        <w:snapToGrid w:val="0"/>
        <w:spacing w:line="500" w:lineRule="exact"/>
        <w:ind w:firstLine="570"/>
        <w:rPr>
          <w:rFonts w:hint="eastAsia" w:ascii="黑体" w:hAnsi="黑体" w:eastAsia="黑体" w:cs="黑体"/>
          <w:color w:val="auto"/>
          <w:sz w:val="24"/>
          <w:highlight w:val="none"/>
        </w:rPr>
      </w:pPr>
    </w:p>
    <w:p w14:paraId="7658D9B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特此证明。</w:t>
      </w:r>
    </w:p>
    <w:p w14:paraId="117731CC">
      <w:pPr>
        <w:tabs>
          <w:tab w:val="left" w:pos="6300"/>
        </w:tabs>
        <w:snapToGrid w:val="0"/>
        <w:spacing w:line="500" w:lineRule="exact"/>
        <w:ind w:firstLine="570"/>
        <w:rPr>
          <w:rFonts w:hint="eastAsia" w:ascii="黑体" w:hAnsi="黑体" w:eastAsia="黑体" w:cs="黑体"/>
          <w:color w:val="auto"/>
          <w:sz w:val="24"/>
          <w:highlight w:val="none"/>
        </w:rPr>
      </w:pPr>
    </w:p>
    <w:p w14:paraId="511F2297">
      <w:pPr>
        <w:tabs>
          <w:tab w:val="left" w:pos="6300"/>
        </w:tabs>
        <w:snapToGrid w:val="0"/>
        <w:spacing w:line="500" w:lineRule="exact"/>
        <w:ind w:firstLine="570"/>
        <w:rPr>
          <w:rFonts w:hint="eastAsia" w:ascii="黑体" w:hAnsi="黑体" w:eastAsia="黑体" w:cs="黑体"/>
          <w:color w:val="auto"/>
          <w:sz w:val="24"/>
          <w:highlight w:val="none"/>
        </w:rPr>
      </w:pPr>
    </w:p>
    <w:p w14:paraId="39381CC8">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供应商：</w:t>
      </w:r>
    </w:p>
    <w:p w14:paraId="0B99A384">
      <w:pPr>
        <w:tabs>
          <w:tab w:val="left" w:pos="6300"/>
        </w:tabs>
        <w:snapToGrid w:val="0"/>
        <w:spacing w:line="500" w:lineRule="exact"/>
        <w:ind w:firstLine="5848" w:firstLineChars="2437"/>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60DBEA0C">
      <w:pPr>
        <w:tabs>
          <w:tab w:val="left" w:pos="6300"/>
        </w:tabs>
        <w:snapToGrid w:val="0"/>
        <w:spacing w:line="500" w:lineRule="exact"/>
        <w:ind w:firstLine="570"/>
        <w:rPr>
          <w:rFonts w:hint="eastAsia" w:ascii="黑体" w:hAnsi="黑体" w:eastAsia="黑体" w:cs="黑体"/>
          <w:color w:val="auto"/>
          <w:sz w:val="24"/>
          <w:highlight w:val="none"/>
        </w:rPr>
      </w:pPr>
    </w:p>
    <w:p w14:paraId="387470E1">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年   月   日</w:t>
      </w:r>
    </w:p>
    <w:p w14:paraId="3B0F0A37">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法定代表人电话：XXXXXXX      电子邮箱：XXXXXX@XXXXX（若授权他人办理并签署响应文件的可不填写）</w:t>
      </w:r>
    </w:p>
    <w:p w14:paraId="15169E53">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（附：法定代表人身份证正反面复印件）</w:t>
      </w:r>
    </w:p>
    <w:p w14:paraId="175EFBD5">
      <w:pPr>
        <w:tabs>
          <w:tab w:val="left" w:pos="6300"/>
        </w:tabs>
        <w:snapToGrid w:val="0"/>
        <w:spacing w:line="500" w:lineRule="exact"/>
        <w:ind w:firstLine="570"/>
        <w:rPr>
          <w:rFonts w:hint="eastAsia" w:ascii="黑体" w:hAnsi="黑体" w:eastAsia="黑体" w:cs="黑体"/>
          <w:color w:val="auto"/>
          <w:sz w:val="24"/>
          <w:highlight w:val="none"/>
        </w:rPr>
      </w:pPr>
    </w:p>
    <w:p w14:paraId="2FFD93CC">
      <w:pPr>
        <w:tabs>
          <w:tab w:val="left" w:pos="6300"/>
        </w:tabs>
        <w:snapToGrid w:val="0"/>
        <w:spacing w:line="500" w:lineRule="exact"/>
        <w:ind w:firstLine="570"/>
        <w:rPr>
          <w:rFonts w:hint="eastAsia" w:ascii="黑体" w:hAnsi="黑体" w:eastAsia="黑体" w:cs="黑体"/>
          <w:color w:val="auto"/>
          <w:sz w:val="24"/>
          <w:highlight w:val="none"/>
        </w:rPr>
      </w:pPr>
    </w:p>
    <w:p w14:paraId="19C5DA83">
      <w:pPr>
        <w:tabs>
          <w:tab w:val="left" w:pos="6300"/>
        </w:tabs>
        <w:snapToGrid w:val="0"/>
        <w:spacing w:line="500" w:lineRule="exact"/>
        <w:ind w:firstLine="570"/>
        <w:rPr>
          <w:rFonts w:hint="eastAsia" w:ascii="黑体" w:hAnsi="黑体" w:eastAsia="黑体" w:cs="黑体"/>
          <w:color w:val="auto"/>
          <w:sz w:val="24"/>
          <w:highlight w:val="none"/>
        </w:rPr>
      </w:pPr>
    </w:p>
    <w:p w14:paraId="4A74C795">
      <w:pPr>
        <w:tabs>
          <w:tab w:val="left" w:pos="6300"/>
        </w:tabs>
        <w:snapToGrid w:val="0"/>
        <w:spacing w:line="500" w:lineRule="exact"/>
        <w:ind w:firstLine="570"/>
        <w:rPr>
          <w:rFonts w:hint="eastAsia" w:ascii="黑体" w:hAnsi="黑体" w:eastAsia="黑体" w:cs="黑体"/>
          <w:color w:val="auto"/>
          <w:sz w:val="24"/>
          <w:highlight w:val="none"/>
        </w:rPr>
      </w:pPr>
    </w:p>
    <w:p w14:paraId="34759F36">
      <w:pPr>
        <w:tabs>
          <w:tab w:val="left" w:pos="6300"/>
        </w:tabs>
        <w:snapToGrid w:val="0"/>
        <w:spacing w:line="500" w:lineRule="exact"/>
        <w:ind w:firstLine="570"/>
        <w:rPr>
          <w:rFonts w:hint="eastAsia" w:ascii="黑体" w:hAnsi="黑体" w:eastAsia="黑体" w:cs="黑体"/>
          <w:color w:val="auto"/>
          <w:sz w:val="24"/>
          <w:highlight w:val="none"/>
        </w:rPr>
      </w:pPr>
    </w:p>
    <w:p w14:paraId="2559D002">
      <w:pPr>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（三）法定代表人授权委托书（格式）</w:t>
      </w:r>
    </w:p>
    <w:p w14:paraId="47B1A481">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5B439C7D">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szCs w:val="28"/>
          <w:highlight w:val="none"/>
          <w:lang w:eastAsia="zh-CN"/>
        </w:rPr>
        <w:t>项目名称</w:t>
      </w:r>
      <w:r>
        <w:rPr>
          <w:rFonts w:hint="eastAsia" w:ascii="黑体" w:hAnsi="黑体" w:eastAsia="黑体" w:cs="黑体"/>
          <w:color w:val="auto"/>
          <w:sz w:val="24"/>
          <w:highlight w:val="none"/>
        </w:rPr>
        <w:t>：</w:t>
      </w:r>
      <w:r>
        <w:rPr>
          <w:rFonts w:hint="eastAsia" w:ascii="黑体" w:hAnsi="黑体" w:eastAsia="黑体" w:cs="黑体"/>
          <w:color w:val="auto"/>
          <w:sz w:val="24"/>
          <w:highlight w:val="none"/>
          <w:u w:val="single"/>
        </w:rPr>
        <w:t xml:space="preserve">                                                </w:t>
      </w:r>
    </w:p>
    <w:p w14:paraId="1563AA4F">
      <w:pPr>
        <w:tabs>
          <w:tab w:val="left" w:pos="6300"/>
        </w:tabs>
        <w:snapToGrid w:val="0"/>
        <w:spacing w:line="500" w:lineRule="exact"/>
        <w:ind w:firstLine="570"/>
        <w:rPr>
          <w:rFonts w:hint="eastAsia" w:ascii="黑体" w:hAnsi="黑体" w:eastAsia="黑体" w:cs="黑体"/>
          <w:color w:val="auto"/>
          <w:sz w:val="24"/>
          <w:highlight w:val="none"/>
        </w:rPr>
      </w:pPr>
    </w:p>
    <w:p w14:paraId="564916FE">
      <w:pPr>
        <w:tabs>
          <w:tab w:val="left" w:pos="6300"/>
        </w:tabs>
        <w:snapToGrid w:val="0"/>
        <w:spacing w:line="5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61D7F7AC">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（供应商法定代表人名称）是</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（供应商名称）的法定代表人，特授权</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（被授权人姓名及身份证代码）代表我单位全权办理上述项目的投标、谈判、签约等具体工作，并签署全部有关文件、协议及合同。</w:t>
      </w:r>
    </w:p>
    <w:p w14:paraId="555DED9E">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我单位对被授权人的签署负全部责任。</w:t>
      </w:r>
    </w:p>
    <w:p w14:paraId="3C4E5A85">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在撤消授权的书面通知以前，本授权书一直有效。被授权人在授权书有效期内签署的所有文件不因授权的撤消而失效。</w:t>
      </w:r>
    </w:p>
    <w:p w14:paraId="3729692A">
      <w:pPr>
        <w:tabs>
          <w:tab w:val="left" w:pos="6300"/>
        </w:tabs>
        <w:snapToGrid w:val="0"/>
        <w:spacing w:line="500" w:lineRule="exact"/>
        <w:ind w:firstLine="570"/>
        <w:rPr>
          <w:rFonts w:hint="eastAsia" w:ascii="黑体" w:hAnsi="黑体" w:eastAsia="黑体" w:cs="黑体"/>
          <w:color w:val="auto"/>
          <w:sz w:val="24"/>
          <w:highlight w:val="none"/>
        </w:rPr>
      </w:pPr>
    </w:p>
    <w:p w14:paraId="21CD2127">
      <w:pPr>
        <w:tabs>
          <w:tab w:val="left" w:pos="6300"/>
        </w:tabs>
        <w:snapToGrid w:val="0"/>
        <w:spacing w:line="500" w:lineRule="exact"/>
        <w:ind w:firstLine="570"/>
        <w:rPr>
          <w:rFonts w:hint="eastAsia" w:ascii="黑体" w:hAnsi="黑体" w:eastAsia="黑体" w:cs="黑体"/>
          <w:color w:val="auto"/>
          <w:sz w:val="24"/>
          <w:highlight w:val="none"/>
        </w:rPr>
      </w:pPr>
    </w:p>
    <w:p w14:paraId="13EEDD5B">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被授权人：                                 供应商法定代表人：</w:t>
      </w:r>
    </w:p>
    <w:p w14:paraId="7E8ED485">
      <w:pPr>
        <w:tabs>
          <w:tab w:val="left" w:pos="6300"/>
        </w:tabs>
        <w:snapToGrid w:val="0"/>
        <w:spacing w:line="500" w:lineRule="exact"/>
        <w:ind w:firstLine="57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（签署或盖章）                                （签署或盖章）</w:t>
      </w:r>
    </w:p>
    <w:p w14:paraId="180DAB4C">
      <w:pPr>
        <w:tabs>
          <w:tab w:val="left" w:pos="6300"/>
        </w:tabs>
        <w:snapToGrid w:val="0"/>
        <w:spacing w:line="500" w:lineRule="exact"/>
        <w:ind w:firstLine="570"/>
        <w:rPr>
          <w:rFonts w:hint="eastAsia" w:ascii="黑体" w:hAnsi="黑体" w:eastAsia="黑体" w:cs="黑体"/>
          <w:color w:val="auto"/>
          <w:sz w:val="24"/>
          <w:szCs w:val="28"/>
          <w:highlight w:val="none"/>
        </w:rPr>
      </w:pPr>
    </w:p>
    <w:p w14:paraId="265F023F">
      <w:pPr>
        <w:tabs>
          <w:tab w:val="left" w:pos="6300"/>
        </w:tabs>
        <w:snapToGrid w:val="0"/>
        <w:spacing w:line="500" w:lineRule="exact"/>
        <w:ind w:firstLine="570"/>
        <w:rPr>
          <w:rFonts w:hint="eastAsia" w:ascii="黑体" w:hAnsi="黑体" w:eastAsia="黑体" w:cs="黑体"/>
          <w:color w:val="auto"/>
          <w:sz w:val="24"/>
          <w:highlight w:val="none"/>
        </w:rPr>
      </w:pPr>
    </w:p>
    <w:p w14:paraId="7E2CBAC3">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（附：被授权人身份证正反面复印件）</w:t>
      </w:r>
    </w:p>
    <w:p w14:paraId="451B80D0">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2987718E">
      <w:pPr>
        <w:tabs>
          <w:tab w:val="left" w:pos="6300"/>
        </w:tabs>
        <w:snapToGrid w:val="0"/>
        <w:spacing w:line="500" w:lineRule="exact"/>
        <w:ind w:firstLine="570"/>
        <w:rPr>
          <w:rFonts w:hint="eastAsia" w:ascii="黑体" w:hAnsi="黑体" w:eastAsia="黑体" w:cs="黑体"/>
          <w:color w:val="auto"/>
          <w:sz w:val="24"/>
          <w:highlight w:val="none"/>
        </w:rPr>
      </w:pPr>
    </w:p>
    <w:p w14:paraId="79A04F56">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730FCF94">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6493ECD4">
      <w:pPr>
        <w:tabs>
          <w:tab w:val="left" w:pos="6300"/>
        </w:tabs>
        <w:snapToGrid w:val="0"/>
        <w:spacing w:line="500" w:lineRule="exact"/>
        <w:ind w:right="720" w:firstLine="570"/>
        <w:jc w:val="right"/>
        <w:rPr>
          <w:rFonts w:hint="eastAsia" w:ascii="黑体" w:hAnsi="黑体" w:eastAsia="黑体" w:cs="黑体"/>
          <w:color w:val="auto"/>
          <w:sz w:val="24"/>
          <w:highlight w:val="none"/>
        </w:rPr>
      </w:pPr>
    </w:p>
    <w:p w14:paraId="2B936EB2">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被授权人电话：XXXXXXX     电子邮箱：XXXXXX@XXXXX（若法定代表人办理并签署响应文件的可不填写）</w:t>
      </w:r>
    </w:p>
    <w:p w14:paraId="7BFD5C9C">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111A67C0">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1.若为法定代表人办理并签署响应文件的，不提供此文件。</w:t>
      </w:r>
    </w:p>
    <w:p w14:paraId="6E720965">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2.若为联合体投标的，法定代表人授权委托书由联合体主办方</w:t>
      </w:r>
      <w:r>
        <w:rPr>
          <w:rFonts w:hint="eastAsia" w:ascii="黑体" w:hAnsi="黑体" w:eastAsia="黑体" w:cs="黑体"/>
          <w:color w:val="auto"/>
          <w:kern w:val="0"/>
          <w:sz w:val="24"/>
          <w:szCs w:val="24"/>
          <w:highlight w:val="none"/>
        </w:rPr>
        <w:t>（主体）</w:t>
      </w:r>
      <w:r>
        <w:rPr>
          <w:rFonts w:hint="eastAsia" w:ascii="黑体" w:hAnsi="黑体" w:eastAsia="黑体" w:cs="黑体"/>
          <w:color w:val="auto"/>
          <w:sz w:val="24"/>
          <w:highlight w:val="none"/>
        </w:rPr>
        <w:t>出具。</w:t>
      </w:r>
    </w:p>
    <w:p w14:paraId="12B0D5C3">
      <w:pPr>
        <w:spacing w:line="400" w:lineRule="exact"/>
        <w:ind w:firstLine="56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（四）基本资格条件承诺函</w:t>
      </w:r>
    </w:p>
    <w:p w14:paraId="73F428C0">
      <w:pPr>
        <w:tabs>
          <w:tab w:val="left" w:pos="6300"/>
        </w:tabs>
        <w:snapToGrid w:val="0"/>
        <w:spacing w:line="500" w:lineRule="exact"/>
        <w:ind w:firstLine="643" w:firstLineChars="200"/>
        <w:jc w:val="center"/>
        <w:outlineLvl w:val="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基本资格条件承诺函</w:t>
      </w:r>
    </w:p>
    <w:p w14:paraId="7EB5223F">
      <w:pPr>
        <w:tabs>
          <w:tab w:val="left" w:pos="6300"/>
        </w:tabs>
        <w:snapToGrid w:val="0"/>
        <w:spacing w:line="530" w:lineRule="exact"/>
        <w:rPr>
          <w:rFonts w:hint="eastAsia" w:ascii="黑体" w:hAnsi="黑体" w:eastAsia="黑体" w:cs="黑体"/>
          <w:color w:val="auto"/>
          <w:sz w:val="24"/>
          <w:highlight w:val="none"/>
        </w:rPr>
      </w:pPr>
    </w:p>
    <w:p w14:paraId="69DA054A">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4D135D32">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（供应商名称）郑重承诺：</w:t>
      </w:r>
    </w:p>
    <w:p w14:paraId="78608DCD">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1.我方具有良好的商业信誉和健全的财务会计制度，具有履行合同所必需的设备和专业技术能力，具</w:t>
      </w:r>
      <w:r>
        <w:rPr>
          <w:rFonts w:hint="eastAsia" w:ascii="黑体" w:hAnsi="黑体" w:eastAsia="黑体" w:cs="黑体"/>
          <w:color w:val="auto"/>
          <w:sz w:val="24"/>
          <w:highlight w:val="none"/>
          <w:lang w:val="zh-CN"/>
        </w:rPr>
        <w:t>有依法缴纳税收和社会保障金的良好记录</w:t>
      </w:r>
      <w:r>
        <w:rPr>
          <w:rFonts w:hint="eastAsia" w:ascii="黑体" w:hAnsi="黑体" w:eastAsia="黑体" w:cs="黑体"/>
          <w:color w:val="auto"/>
          <w:sz w:val="24"/>
          <w:highlight w:val="none"/>
        </w:rPr>
        <w:t>，参加本项目采购活动前三年内无重大违法活动记录。</w:t>
      </w:r>
    </w:p>
    <w:p w14:paraId="09FCD2F7">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6F576B0">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2AC0DA1">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我方对以上承诺负全部法律责任。</w:t>
      </w:r>
    </w:p>
    <w:p w14:paraId="60011E87">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特此承诺。</w:t>
      </w:r>
    </w:p>
    <w:p w14:paraId="015E18AD">
      <w:pPr>
        <w:tabs>
          <w:tab w:val="left" w:pos="6300"/>
        </w:tabs>
        <w:snapToGrid w:val="0"/>
        <w:spacing w:line="500" w:lineRule="exact"/>
        <w:ind w:firstLine="480" w:firstLineChars="200"/>
        <w:rPr>
          <w:rFonts w:hint="eastAsia" w:ascii="黑体" w:hAnsi="黑体" w:eastAsia="黑体" w:cs="黑体"/>
          <w:color w:val="auto"/>
          <w:sz w:val="24"/>
          <w:highlight w:val="none"/>
        </w:rPr>
      </w:pPr>
    </w:p>
    <w:p w14:paraId="586D7466">
      <w:pPr>
        <w:tabs>
          <w:tab w:val="left" w:pos="6300"/>
        </w:tabs>
        <w:snapToGrid w:val="0"/>
        <w:spacing w:line="500" w:lineRule="exact"/>
        <w:ind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38A40758">
      <w:pPr>
        <w:tabs>
          <w:tab w:val="left" w:pos="6300"/>
        </w:tabs>
        <w:snapToGrid w:val="0"/>
        <w:spacing w:line="500" w:lineRule="exact"/>
        <w:ind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42ECB292">
      <w:pPr>
        <w:spacing w:line="400" w:lineRule="exact"/>
        <w:ind w:firstLine="480" w:firstLineChars="200"/>
        <w:rPr>
          <w:rFonts w:hint="eastAsia" w:ascii="黑体" w:hAnsi="黑体" w:eastAsia="黑体" w:cs="黑体"/>
          <w:color w:val="auto"/>
          <w:sz w:val="24"/>
          <w:szCs w:val="28"/>
          <w:highlight w:val="none"/>
        </w:rPr>
      </w:pPr>
    </w:p>
    <w:p w14:paraId="222B1223">
      <w:pPr>
        <w:tabs>
          <w:tab w:val="left" w:pos="6300"/>
        </w:tabs>
        <w:snapToGrid w:val="0"/>
        <w:spacing w:line="500" w:lineRule="exact"/>
        <w:ind w:firstLine="56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highlight w:val="none"/>
        </w:rPr>
        <w:br w:type="page"/>
      </w:r>
    </w:p>
    <w:p w14:paraId="0F7FC1E3">
      <w:pPr>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（五）特定资格条件证书或证明文件</w:t>
      </w:r>
    </w:p>
    <w:p w14:paraId="5EC49367">
      <w:pPr>
        <w:tabs>
          <w:tab w:val="left" w:pos="6300"/>
        </w:tabs>
        <w:snapToGrid w:val="0"/>
        <w:spacing w:line="500" w:lineRule="exact"/>
        <w:ind w:firstLine="570"/>
        <w:jc w:val="left"/>
        <w:rPr>
          <w:rFonts w:hint="eastAsia" w:ascii="黑体" w:hAnsi="黑体" w:eastAsia="黑体" w:cs="黑体"/>
          <w:color w:val="auto"/>
          <w:sz w:val="24"/>
          <w:highlight w:val="none"/>
        </w:rPr>
      </w:pPr>
    </w:p>
    <w:p w14:paraId="77CBCFEE">
      <w:pPr>
        <w:tabs>
          <w:tab w:val="left" w:pos="6300"/>
        </w:tabs>
        <w:snapToGrid w:val="0"/>
        <w:spacing w:line="500" w:lineRule="exact"/>
        <w:ind w:firstLine="570"/>
        <w:jc w:val="left"/>
        <w:rPr>
          <w:rFonts w:hint="eastAsia" w:ascii="黑体" w:hAnsi="黑体" w:eastAsia="黑体" w:cs="黑体"/>
          <w:color w:val="auto"/>
          <w:sz w:val="24"/>
          <w:highlight w:val="none"/>
        </w:rPr>
      </w:pPr>
    </w:p>
    <w:p w14:paraId="14ECCD63">
      <w:pPr>
        <w:tabs>
          <w:tab w:val="left" w:pos="6300"/>
        </w:tabs>
        <w:snapToGrid w:val="0"/>
        <w:spacing w:line="500" w:lineRule="exact"/>
        <w:ind w:firstLine="570"/>
        <w:jc w:val="left"/>
        <w:rPr>
          <w:rFonts w:hint="eastAsia" w:ascii="黑体" w:hAnsi="黑体" w:eastAsia="黑体" w:cs="黑体"/>
          <w:color w:val="auto"/>
          <w:sz w:val="24"/>
          <w:highlight w:val="none"/>
        </w:rPr>
      </w:pPr>
    </w:p>
    <w:p w14:paraId="25A4D8F8">
      <w:pPr>
        <w:tabs>
          <w:tab w:val="left" w:pos="6300"/>
        </w:tabs>
        <w:snapToGrid w:val="0"/>
        <w:spacing w:line="500" w:lineRule="exact"/>
        <w:ind w:firstLine="570"/>
        <w:jc w:val="left"/>
        <w:rPr>
          <w:rFonts w:hint="eastAsia" w:ascii="黑体" w:hAnsi="黑体" w:eastAsia="黑体" w:cs="黑体"/>
          <w:color w:val="auto"/>
          <w:sz w:val="24"/>
          <w:highlight w:val="none"/>
        </w:rPr>
      </w:pPr>
    </w:p>
    <w:p w14:paraId="44A88C19">
      <w:pPr>
        <w:tabs>
          <w:tab w:val="left" w:pos="6300"/>
        </w:tabs>
        <w:snapToGrid w:val="0"/>
        <w:spacing w:line="500" w:lineRule="exact"/>
        <w:ind w:firstLine="570"/>
        <w:jc w:val="left"/>
        <w:rPr>
          <w:rFonts w:hint="eastAsia" w:ascii="黑体" w:hAnsi="黑体" w:eastAsia="黑体" w:cs="黑体"/>
          <w:color w:val="auto"/>
          <w:sz w:val="24"/>
          <w:highlight w:val="none"/>
        </w:rPr>
      </w:pPr>
    </w:p>
    <w:p w14:paraId="7966CE17">
      <w:pPr>
        <w:pStyle w:val="9"/>
        <w:rPr>
          <w:rFonts w:hint="eastAsia" w:ascii="黑体" w:hAnsi="黑体" w:eastAsia="黑体" w:cs="黑体"/>
          <w:color w:val="auto"/>
          <w:sz w:val="24"/>
          <w:highlight w:val="none"/>
        </w:rPr>
      </w:pPr>
    </w:p>
    <w:p w14:paraId="70D9636E">
      <w:pPr>
        <w:rPr>
          <w:rFonts w:hint="eastAsia" w:ascii="黑体" w:hAnsi="黑体" w:eastAsia="黑体" w:cs="黑体"/>
          <w:color w:val="auto"/>
          <w:sz w:val="24"/>
          <w:highlight w:val="none"/>
        </w:rPr>
      </w:pPr>
    </w:p>
    <w:p w14:paraId="3FD800C3">
      <w:pPr>
        <w:pStyle w:val="9"/>
        <w:rPr>
          <w:rFonts w:hint="eastAsia" w:ascii="黑体" w:hAnsi="黑体" w:eastAsia="黑体" w:cs="黑体"/>
          <w:color w:val="auto"/>
          <w:sz w:val="24"/>
          <w:highlight w:val="none"/>
        </w:rPr>
      </w:pPr>
    </w:p>
    <w:p w14:paraId="4504A6D1">
      <w:pPr>
        <w:tabs>
          <w:tab w:val="left" w:pos="6300"/>
        </w:tabs>
        <w:snapToGrid w:val="0"/>
        <w:spacing w:line="500" w:lineRule="exact"/>
        <w:ind w:firstLine="570"/>
        <w:jc w:val="left"/>
        <w:rPr>
          <w:rFonts w:hint="eastAsia" w:ascii="黑体" w:hAnsi="黑体" w:eastAsia="黑体" w:cs="黑体"/>
          <w:color w:val="auto"/>
          <w:sz w:val="24"/>
          <w:highlight w:val="none"/>
        </w:rPr>
      </w:pPr>
    </w:p>
    <w:p w14:paraId="0DA82C15">
      <w:pPr>
        <w:tabs>
          <w:tab w:val="left" w:pos="6300"/>
        </w:tabs>
        <w:snapToGrid w:val="0"/>
        <w:spacing w:line="500" w:lineRule="exact"/>
        <w:ind w:firstLine="570"/>
        <w:jc w:val="left"/>
        <w:rPr>
          <w:rFonts w:hint="eastAsia" w:ascii="黑体" w:hAnsi="黑体" w:eastAsia="黑体" w:cs="黑体"/>
          <w:color w:val="auto"/>
          <w:sz w:val="24"/>
          <w:highlight w:val="none"/>
        </w:rPr>
      </w:pPr>
    </w:p>
    <w:p w14:paraId="65017D3F">
      <w:pPr>
        <w:tabs>
          <w:tab w:val="left" w:pos="6300"/>
        </w:tabs>
        <w:snapToGrid w:val="0"/>
        <w:spacing w:line="500" w:lineRule="exact"/>
        <w:ind w:firstLine="570"/>
        <w:jc w:val="left"/>
        <w:rPr>
          <w:rFonts w:hint="eastAsia" w:ascii="黑体" w:hAnsi="黑体" w:eastAsia="黑体" w:cs="黑体"/>
          <w:color w:val="auto"/>
          <w:sz w:val="24"/>
          <w:highlight w:val="none"/>
        </w:rPr>
      </w:pPr>
    </w:p>
    <w:p w14:paraId="56324ACE">
      <w:pPr>
        <w:tabs>
          <w:tab w:val="left" w:pos="6300"/>
        </w:tabs>
        <w:snapToGrid w:val="0"/>
        <w:spacing w:line="500" w:lineRule="exact"/>
        <w:ind w:firstLine="570"/>
        <w:jc w:val="left"/>
        <w:rPr>
          <w:rFonts w:hint="eastAsia" w:ascii="黑体" w:hAnsi="黑体" w:eastAsia="黑体" w:cs="黑体"/>
          <w:color w:val="auto"/>
          <w:sz w:val="24"/>
          <w:highlight w:val="none"/>
        </w:rPr>
      </w:pPr>
    </w:p>
    <w:p w14:paraId="4E60BB36">
      <w:pPr>
        <w:rPr>
          <w:rFonts w:hint="eastAsia" w:ascii="黑体" w:hAnsi="黑体" w:eastAsia="黑体" w:cs="黑体"/>
          <w:color w:val="auto"/>
          <w:sz w:val="24"/>
          <w:highlight w:val="none"/>
        </w:rPr>
      </w:pPr>
      <w:r>
        <w:rPr>
          <w:rFonts w:hint="eastAsia" w:ascii="黑体" w:hAnsi="黑体" w:eastAsia="黑体" w:cs="黑体"/>
          <w:color w:val="auto"/>
          <w:sz w:val="24"/>
          <w:highlight w:val="none"/>
        </w:rPr>
        <w:br w:type="page"/>
      </w:r>
    </w:p>
    <w:p w14:paraId="79BF5DCF">
      <w:pPr>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（六）投标廉政承诺</w:t>
      </w:r>
    </w:p>
    <w:p w14:paraId="5BF6E794">
      <w:pPr>
        <w:pStyle w:val="9"/>
        <w:jc w:val="center"/>
        <w:rPr>
          <w:rFonts w:hint="eastAsia" w:ascii="黑体" w:hAnsi="黑体" w:eastAsia="黑体" w:cs="黑体"/>
          <w:color w:val="auto"/>
          <w:sz w:val="24"/>
          <w:szCs w:val="24"/>
          <w:highlight w:val="none"/>
        </w:rPr>
      </w:pPr>
      <w:r>
        <w:rPr>
          <w:rFonts w:hint="eastAsia" w:ascii="黑体" w:hAnsi="黑体" w:eastAsia="黑体" w:cs="黑体"/>
          <w:b/>
          <w:snapToGrid w:val="0"/>
          <w:color w:val="auto"/>
          <w:kern w:val="0"/>
          <w:sz w:val="24"/>
          <w:szCs w:val="24"/>
          <w:highlight w:val="none"/>
          <w:lang w:val="en-US" w:eastAsia="zh-CN"/>
        </w:rPr>
        <w:t>投标</w:t>
      </w:r>
      <w:r>
        <w:rPr>
          <w:rFonts w:hint="eastAsia" w:ascii="黑体" w:hAnsi="黑体" w:eastAsia="黑体" w:cs="黑体"/>
          <w:b/>
          <w:snapToGrid w:val="0"/>
          <w:color w:val="auto"/>
          <w:kern w:val="0"/>
          <w:sz w:val="24"/>
          <w:szCs w:val="24"/>
          <w:highlight w:val="none"/>
        </w:rPr>
        <w:t>廉政承诺书</w:t>
      </w:r>
    </w:p>
    <w:p w14:paraId="2766904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根据国家廉政建设的有关规定，为了做好耗材采购过程中的党风廉政建设，保证医院资金的安全和有效使用以及投资效益，我公司做如下廉政承诺：</w:t>
      </w:r>
    </w:p>
    <w:p w14:paraId="3176D05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供应商遵守党、国家、行业、医院的廉政纪律要求，已对相关相关人员进行</w:t>
      </w:r>
      <w:r>
        <w:rPr>
          <w:rFonts w:hint="eastAsia" w:ascii="黑体" w:hAnsi="黑体" w:eastAsia="黑体" w:cs="黑体"/>
          <w:color w:val="auto"/>
          <w:sz w:val="24"/>
          <w:szCs w:val="24"/>
          <w:highlight w:val="none"/>
        </w:rPr>
        <w:t>法律法规</w:t>
      </w:r>
      <w:r>
        <w:rPr>
          <w:rFonts w:hint="eastAsia" w:ascii="黑体" w:hAnsi="黑体" w:eastAsia="黑体" w:cs="黑体"/>
          <w:color w:val="auto"/>
          <w:sz w:val="24"/>
          <w:szCs w:val="24"/>
          <w:highlight w:val="none"/>
          <w:lang w:val="en-US" w:eastAsia="zh-CN"/>
        </w:rPr>
        <w:t>培训</w:t>
      </w:r>
      <w:r>
        <w:rPr>
          <w:rFonts w:hint="eastAsia" w:ascii="黑体" w:hAnsi="黑体" w:eastAsia="黑体" w:cs="黑体"/>
          <w:color w:val="auto"/>
          <w:sz w:val="24"/>
          <w:szCs w:val="24"/>
          <w:highlight w:val="none"/>
        </w:rPr>
        <w:t>。</w:t>
      </w:r>
    </w:p>
    <w:p w14:paraId="706115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w:t>
      </w:r>
      <w:r>
        <w:rPr>
          <w:rFonts w:hint="eastAsia" w:ascii="黑体" w:hAnsi="黑体" w:eastAsia="黑体" w:cs="黑体"/>
          <w:color w:val="auto"/>
          <w:sz w:val="24"/>
          <w:szCs w:val="24"/>
          <w:highlight w:val="none"/>
          <w:lang w:val="en-US" w:eastAsia="zh-CN"/>
        </w:rPr>
        <w:t>投标资料真实可靠，不虚假投标，不随意撤回、撤销投标，中选后20天内签署合同。</w:t>
      </w:r>
    </w:p>
    <w:p w14:paraId="0963198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三、坚持公开、公正、诚信、透明的原则</w:t>
      </w:r>
      <w:r>
        <w:rPr>
          <w:rFonts w:hint="eastAsia" w:ascii="黑体" w:hAnsi="黑体" w:eastAsia="黑体" w:cs="黑体"/>
          <w:color w:val="auto"/>
          <w:sz w:val="24"/>
          <w:szCs w:val="24"/>
          <w:highlight w:val="none"/>
          <w:lang w:val="en-US" w:eastAsia="zh-CN"/>
        </w:rPr>
        <w:t>投标</w:t>
      </w:r>
      <w:r>
        <w:rPr>
          <w:rFonts w:hint="eastAsia" w:ascii="黑体" w:hAnsi="黑体" w:eastAsia="黑体" w:cs="黑体"/>
          <w:color w:val="auto"/>
          <w:sz w:val="24"/>
          <w:szCs w:val="24"/>
          <w:highlight w:val="none"/>
        </w:rPr>
        <w:t>，不损害国家</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医院及第三方合法权益</w:t>
      </w:r>
      <w:r>
        <w:rPr>
          <w:rFonts w:hint="eastAsia" w:ascii="黑体" w:hAnsi="黑体" w:eastAsia="黑体" w:cs="黑体"/>
          <w:color w:val="auto"/>
          <w:sz w:val="24"/>
          <w:szCs w:val="24"/>
          <w:highlight w:val="none"/>
        </w:rPr>
        <w:t>。</w:t>
      </w:r>
    </w:p>
    <w:p w14:paraId="530DD46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四、建立健全</w:t>
      </w:r>
      <w:r>
        <w:rPr>
          <w:rFonts w:hint="eastAsia" w:ascii="黑体" w:hAnsi="黑体" w:eastAsia="黑体" w:cs="黑体"/>
          <w:color w:val="auto"/>
          <w:sz w:val="24"/>
          <w:szCs w:val="24"/>
          <w:highlight w:val="none"/>
          <w:lang w:val="en-US" w:eastAsia="zh-CN"/>
        </w:rPr>
        <w:t>公司内部</w:t>
      </w:r>
      <w:r>
        <w:rPr>
          <w:rFonts w:hint="eastAsia" w:ascii="黑体" w:hAnsi="黑体" w:eastAsia="黑体" w:cs="黑体"/>
          <w:color w:val="auto"/>
          <w:sz w:val="24"/>
          <w:szCs w:val="24"/>
          <w:highlight w:val="none"/>
        </w:rPr>
        <w:t>廉政制度，开展廉政教育，公布举报电话，监督并认真查处违法违纪行为。</w:t>
      </w:r>
    </w:p>
    <w:p w14:paraId="3069306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五、在</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活动中如有违反廉政规定的行为，</w:t>
      </w:r>
      <w:r>
        <w:rPr>
          <w:rFonts w:hint="eastAsia" w:ascii="黑体" w:hAnsi="黑体" w:eastAsia="黑体" w:cs="黑体"/>
          <w:color w:val="auto"/>
          <w:sz w:val="24"/>
          <w:szCs w:val="24"/>
          <w:highlight w:val="none"/>
          <w:lang w:val="en-US" w:eastAsia="zh-CN"/>
        </w:rPr>
        <w:t>及时公开并予以</w:t>
      </w:r>
      <w:r>
        <w:rPr>
          <w:rFonts w:hint="eastAsia" w:ascii="黑体" w:hAnsi="黑体" w:eastAsia="黑体" w:cs="黑体"/>
          <w:color w:val="auto"/>
          <w:sz w:val="24"/>
          <w:szCs w:val="24"/>
          <w:highlight w:val="none"/>
        </w:rPr>
        <w:t xml:space="preserve">纠正。 </w:t>
      </w:r>
    </w:p>
    <w:p w14:paraId="061CFB8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六、如</w:t>
      </w:r>
      <w:r>
        <w:rPr>
          <w:rFonts w:hint="eastAsia" w:ascii="黑体" w:hAnsi="黑体" w:eastAsia="黑体" w:cs="黑体"/>
          <w:color w:val="auto"/>
          <w:sz w:val="24"/>
          <w:szCs w:val="24"/>
          <w:highlight w:val="none"/>
          <w:lang w:val="en-US" w:eastAsia="zh-CN"/>
        </w:rPr>
        <w:t>需方工作人员有违反廉政纪律要求的</w:t>
      </w:r>
      <w:r>
        <w:rPr>
          <w:rFonts w:hint="eastAsia" w:ascii="黑体" w:hAnsi="黑体" w:eastAsia="黑体" w:cs="黑体"/>
          <w:color w:val="auto"/>
          <w:sz w:val="24"/>
          <w:szCs w:val="24"/>
          <w:highlight w:val="none"/>
        </w:rPr>
        <w:t>行为，</w:t>
      </w:r>
      <w:r>
        <w:rPr>
          <w:rFonts w:hint="eastAsia" w:ascii="黑体" w:hAnsi="黑体" w:eastAsia="黑体" w:cs="黑体"/>
          <w:color w:val="auto"/>
          <w:sz w:val="24"/>
          <w:szCs w:val="24"/>
          <w:highlight w:val="none"/>
          <w:lang w:val="en-US" w:eastAsia="zh-CN"/>
        </w:rPr>
        <w:t>将主动向医院纪检监察室进行举报</w:t>
      </w:r>
      <w:r>
        <w:rPr>
          <w:rFonts w:hint="eastAsia" w:ascii="黑体" w:hAnsi="黑体" w:eastAsia="黑体" w:cs="黑体"/>
          <w:color w:val="auto"/>
          <w:sz w:val="24"/>
          <w:szCs w:val="24"/>
          <w:highlight w:val="none"/>
        </w:rPr>
        <w:t>。</w:t>
      </w:r>
    </w:p>
    <w:p w14:paraId="77A1678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七、不得以任何理由向与采购相关的各部门工作人员行贿或赠礼金、有价证券、礼品。</w:t>
      </w:r>
    </w:p>
    <w:p w14:paraId="7CE058C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八、不得以任何名义为与采购相关的各部门工作人员报销应由其单位或个人支付的任何费用。</w:t>
      </w:r>
    </w:p>
    <w:p w14:paraId="1E5AA3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九、不得以任何理由安排与采购相关的各部门工作人员参加宴请及娱乐活动。</w:t>
      </w:r>
    </w:p>
    <w:p w14:paraId="6062369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十、不得为与采购相关的各部门工作人员购置或提供通讯工具、交通工具和高档办公用品等。</w:t>
      </w:r>
    </w:p>
    <w:p w14:paraId="2CCD9AC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十一、违纪违法责任</w:t>
      </w:r>
    </w:p>
    <w:p w14:paraId="558692E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我公司违反本</w:t>
      </w:r>
      <w:r>
        <w:rPr>
          <w:rFonts w:hint="eastAsia" w:ascii="黑体" w:hAnsi="黑体" w:eastAsia="黑体" w:cs="黑体"/>
          <w:color w:val="auto"/>
          <w:sz w:val="24"/>
          <w:szCs w:val="24"/>
          <w:highlight w:val="none"/>
          <w:lang w:val="en-US" w:eastAsia="zh-CN"/>
        </w:rPr>
        <w:t>承诺</w:t>
      </w:r>
      <w:r>
        <w:rPr>
          <w:rFonts w:hint="eastAsia" w:ascii="黑体" w:hAnsi="黑体" w:eastAsia="黑体" w:cs="黑体"/>
          <w:color w:val="auto"/>
          <w:sz w:val="24"/>
          <w:szCs w:val="24"/>
          <w:highlight w:val="none"/>
        </w:rPr>
        <w:t>给</w:t>
      </w:r>
      <w:r>
        <w:rPr>
          <w:rFonts w:hint="eastAsia" w:ascii="黑体" w:hAnsi="黑体" w:eastAsia="黑体" w:cs="黑体"/>
          <w:color w:val="auto"/>
          <w:sz w:val="24"/>
          <w:szCs w:val="24"/>
          <w:highlight w:val="none"/>
          <w:lang w:val="en-US" w:eastAsia="zh-CN"/>
        </w:rPr>
        <w:t>采购方</w:t>
      </w:r>
      <w:r>
        <w:rPr>
          <w:rFonts w:hint="eastAsia" w:ascii="黑体" w:hAnsi="黑体" w:eastAsia="黑体" w:cs="黑体"/>
          <w:color w:val="auto"/>
          <w:sz w:val="24"/>
          <w:szCs w:val="24"/>
          <w:highlight w:val="none"/>
        </w:rPr>
        <w:t>造成损失的，予以</w:t>
      </w:r>
      <w:r>
        <w:rPr>
          <w:rFonts w:hint="eastAsia" w:ascii="黑体" w:hAnsi="黑体" w:eastAsia="黑体" w:cs="黑体"/>
          <w:color w:val="auto"/>
          <w:sz w:val="24"/>
          <w:szCs w:val="24"/>
          <w:highlight w:val="none"/>
          <w:lang w:val="en-US" w:eastAsia="zh-CN"/>
        </w:rPr>
        <w:t>足额</w:t>
      </w:r>
      <w:r>
        <w:rPr>
          <w:rFonts w:hint="eastAsia" w:ascii="黑体" w:hAnsi="黑体" w:eastAsia="黑体" w:cs="黑体"/>
          <w:color w:val="auto"/>
          <w:sz w:val="24"/>
          <w:szCs w:val="24"/>
          <w:highlight w:val="none"/>
        </w:rPr>
        <w:t>赔偿；若违反七、八、九、十条规定，发现一次按每次查处金额的10倍支付违约金；</w:t>
      </w:r>
      <w:r>
        <w:rPr>
          <w:rFonts w:hint="eastAsia" w:ascii="黑体" w:hAnsi="黑体" w:eastAsia="黑体" w:cs="黑体"/>
          <w:color w:val="auto"/>
          <w:sz w:val="24"/>
          <w:szCs w:val="24"/>
          <w:highlight w:val="none"/>
          <w:lang w:val="en-US" w:eastAsia="zh-CN"/>
        </w:rPr>
        <w:t>签订采购合同后才发现违规行为，按采购合同和医院供应商不良行为库制度进行管理，情节严重的</w:t>
      </w:r>
      <w:r>
        <w:rPr>
          <w:rFonts w:hint="eastAsia" w:ascii="黑体" w:hAnsi="黑体" w:eastAsia="黑体" w:cs="黑体"/>
          <w:color w:val="auto"/>
          <w:sz w:val="24"/>
          <w:szCs w:val="24"/>
          <w:highlight w:val="none"/>
        </w:rPr>
        <w:t>采购方有权要求终止合同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对触及刑法者移送司法机关处理。</w:t>
      </w:r>
    </w:p>
    <w:p w14:paraId="102AFC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十二、本承诺作为</w:t>
      </w:r>
      <w:r>
        <w:rPr>
          <w:rFonts w:hint="eastAsia" w:ascii="黑体" w:hAnsi="黑体" w:eastAsia="黑体" w:cs="黑体"/>
          <w:color w:val="auto"/>
          <w:sz w:val="24"/>
          <w:szCs w:val="24"/>
          <w:highlight w:val="none"/>
          <w:lang w:val="en-US" w:eastAsia="zh-CN"/>
        </w:rPr>
        <w:t>采购前廉洁竞争承诺</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中选后供应商还应单独签订购销廉政协议</w:t>
      </w:r>
      <w:r>
        <w:rPr>
          <w:rFonts w:hint="eastAsia" w:ascii="黑体" w:hAnsi="黑体" w:eastAsia="黑体" w:cs="黑体"/>
          <w:color w:val="auto"/>
          <w:sz w:val="24"/>
          <w:szCs w:val="24"/>
          <w:highlight w:val="none"/>
        </w:rPr>
        <w:t>。</w:t>
      </w:r>
    </w:p>
    <w:p w14:paraId="651BF368">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承诺方：      （签字并加盖企业公章）                              </w:t>
      </w:r>
    </w:p>
    <w:p w14:paraId="5E962E8C">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p>
    <w:p w14:paraId="47C0064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供应商公司名称并盖章：           </w:t>
      </w:r>
    </w:p>
    <w:p w14:paraId="2A0A6958">
      <w:pPr>
        <w:pStyle w:val="9"/>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zh-CN"/>
        </w:rPr>
        <w:t>法人或</w:t>
      </w:r>
      <w:r>
        <w:rPr>
          <w:rFonts w:hint="eastAsia" w:ascii="黑体" w:hAnsi="黑体" w:eastAsia="黑体" w:cs="黑体"/>
          <w:color w:val="auto"/>
          <w:sz w:val="24"/>
          <w:szCs w:val="24"/>
          <w:highlight w:val="none"/>
          <w:lang w:val="en-US" w:eastAsia="zh-CN"/>
        </w:rPr>
        <w:t>被</w:t>
      </w:r>
      <w:r>
        <w:rPr>
          <w:rFonts w:hint="eastAsia" w:ascii="黑体" w:hAnsi="黑体" w:eastAsia="黑体" w:cs="黑体"/>
          <w:color w:val="auto"/>
          <w:sz w:val="24"/>
          <w:szCs w:val="24"/>
          <w:highlight w:val="none"/>
          <w:lang w:val="zh-CN"/>
        </w:rPr>
        <w:t>授权代表人</w:t>
      </w:r>
      <w:r>
        <w:rPr>
          <w:rFonts w:hint="eastAsia" w:ascii="黑体" w:hAnsi="黑体" w:eastAsia="黑体" w:cs="黑体"/>
          <w:color w:val="auto"/>
          <w:kern w:val="2"/>
          <w:sz w:val="24"/>
          <w:szCs w:val="24"/>
          <w:highlight w:val="none"/>
          <w:lang w:val="en-US" w:eastAsia="zh-CN" w:bidi="ar-SA"/>
        </w:rPr>
        <w:t xml:space="preserve">签名：           </w:t>
      </w:r>
    </w:p>
    <w:p w14:paraId="5A02B6F1">
      <w:pPr>
        <w:tabs>
          <w:tab w:val="left" w:pos="6300"/>
        </w:tabs>
        <w:snapToGrid w:val="0"/>
        <w:spacing w:line="500" w:lineRule="exact"/>
        <w:ind w:firstLine="570"/>
        <w:jc w:val="left"/>
        <w:rPr>
          <w:rFonts w:hint="eastAsia" w:ascii="黑体" w:hAnsi="黑体" w:eastAsia="黑体" w:cs="黑体"/>
          <w:color w:val="auto"/>
          <w:sz w:val="24"/>
          <w:highlight w:val="none"/>
        </w:rPr>
      </w:pPr>
      <w:r>
        <w:rPr>
          <w:rFonts w:hint="eastAsia" w:ascii="黑体" w:hAnsi="黑体" w:eastAsia="黑体" w:cs="黑体"/>
          <w:color w:val="auto"/>
          <w:kern w:val="2"/>
          <w:sz w:val="24"/>
          <w:szCs w:val="24"/>
          <w:highlight w:val="none"/>
          <w:lang w:val="en-US" w:eastAsia="zh-CN" w:bidi="ar-SA"/>
        </w:rPr>
        <w:t xml:space="preserve">                                                    年   月   日</w:t>
      </w:r>
    </w:p>
    <w:p w14:paraId="78BCD2DA">
      <w:pPr>
        <w:tabs>
          <w:tab w:val="left" w:pos="6300"/>
        </w:tabs>
        <w:snapToGrid w:val="0"/>
        <w:spacing w:line="500" w:lineRule="exact"/>
        <w:ind w:firstLine="570"/>
        <w:jc w:val="left"/>
        <w:rPr>
          <w:rFonts w:hint="eastAsia" w:ascii="黑体" w:hAnsi="黑体" w:eastAsia="黑体" w:cs="黑体"/>
          <w:color w:val="auto"/>
          <w:sz w:val="24"/>
          <w:highlight w:val="none"/>
        </w:rPr>
      </w:pPr>
    </w:p>
    <w:p w14:paraId="362EBDDD">
      <w:pPr>
        <w:tabs>
          <w:tab w:val="left" w:pos="6300"/>
        </w:tabs>
        <w:snapToGrid w:val="0"/>
        <w:spacing w:line="500" w:lineRule="exact"/>
        <w:ind w:firstLine="570"/>
        <w:jc w:val="left"/>
        <w:rPr>
          <w:rFonts w:hint="eastAsia" w:ascii="黑体" w:hAnsi="黑体" w:eastAsia="黑体" w:cs="黑体"/>
          <w:color w:val="auto"/>
          <w:sz w:val="24"/>
          <w:highlight w:val="none"/>
        </w:rPr>
      </w:pPr>
    </w:p>
    <w:p w14:paraId="482C1F8E">
      <w:pPr>
        <w:tabs>
          <w:tab w:val="left" w:pos="6300"/>
        </w:tabs>
        <w:snapToGrid w:val="0"/>
        <w:spacing w:line="500" w:lineRule="exact"/>
        <w:ind w:firstLine="570"/>
        <w:jc w:val="left"/>
        <w:rPr>
          <w:rFonts w:hint="eastAsia" w:ascii="黑体" w:hAnsi="黑体" w:eastAsia="黑体" w:cs="黑体"/>
          <w:color w:val="auto"/>
          <w:sz w:val="24"/>
          <w:highlight w:val="none"/>
        </w:rPr>
      </w:pPr>
    </w:p>
    <w:p w14:paraId="28DAC71E">
      <w:pPr>
        <w:tabs>
          <w:tab w:val="left" w:pos="6300"/>
        </w:tabs>
        <w:snapToGrid w:val="0"/>
        <w:spacing w:line="500" w:lineRule="exact"/>
        <w:jc w:val="left"/>
        <w:rPr>
          <w:rFonts w:hint="eastAsia" w:ascii="黑体" w:hAnsi="黑体" w:eastAsia="黑体" w:cs="黑体"/>
          <w:color w:val="auto"/>
          <w:sz w:val="24"/>
          <w:highlight w:val="none"/>
        </w:rPr>
      </w:pPr>
    </w:p>
    <w:p w14:paraId="6E3A04A8">
      <w:pPr>
        <w:spacing w:line="400" w:lineRule="exact"/>
        <w:ind w:firstLine="480" w:firstLineChars="200"/>
        <w:rPr>
          <w:rFonts w:hint="eastAsia" w:ascii="黑体" w:hAnsi="黑体" w:eastAsia="黑体" w:cs="黑体"/>
          <w:color w:val="auto"/>
          <w:sz w:val="24"/>
          <w:szCs w:val="28"/>
          <w:highlight w:val="none"/>
          <w:lang w:val="en-US" w:eastAsia="zh-CN"/>
        </w:rPr>
      </w:pPr>
      <w:bookmarkStart w:id="174" w:name="_Toc26132"/>
      <w:bookmarkStart w:id="175" w:name="_Toc76462354"/>
      <w:r>
        <w:rPr>
          <w:rFonts w:hint="eastAsia" w:ascii="黑体" w:hAnsi="黑体" w:eastAsia="黑体" w:cs="黑体"/>
          <w:color w:val="auto"/>
          <w:sz w:val="24"/>
          <w:szCs w:val="28"/>
          <w:highlight w:val="none"/>
          <w:lang w:val="en-US" w:eastAsia="zh-CN"/>
        </w:rPr>
        <w:t>（七）其他资料</w:t>
      </w:r>
      <w:bookmarkEnd w:id="174"/>
      <w:bookmarkEnd w:id="175"/>
    </w:p>
    <w:p w14:paraId="6F1C47D6">
      <w:pPr>
        <w:tabs>
          <w:tab w:val="left" w:pos="6300"/>
        </w:tabs>
        <w:snapToGrid w:val="0"/>
        <w:spacing w:line="500" w:lineRule="exact"/>
        <w:jc w:val="center"/>
        <w:rPr>
          <w:rFonts w:hint="eastAsia" w:ascii="黑体" w:hAnsi="黑体" w:eastAsia="黑体" w:cs="黑体"/>
          <w:color w:val="auto"/>
          <w:sz w:val="24"/>
          <w:szCs w:val="24"/>
          <w:highlight w:val="none"/>
        </w:rPr>
      </w:pPr>
    </w:p>
    <w:p w14:paraId="3ACB60E0">
      <w:pPr>
        <w:tabs>
          <w:tab w:val="left" w:pos="6300"/>
        </w:tabs>
        <w:snapToGrid w:val="0"/>
        <w:spacing w:line="500" w:lineRule="exact"/>
        <w:jc w:val="center"/>
        <w:rPr>
          <w:rFonts w:hint="eastAsia" w:ascii="黑体" w:hAnsi="黑体" w:eastAsia="黑体" w:cs="黑体"/>
          <w:color w:val="auto"/>
          <w:sz w:val="24"/>
          <w:szCs w:val="24"/>
          <w:highlight w:val="none"/>
        </w:rPr>
      </w:pPr>
    </w:p>
    <w:p w14:paraId="27D8C522">
      <w:pPr>
        <w:tabs>
          <w:tab w:val="left" w:pos="6300"/>
        </w:tabs>
        <w:snapToGrid w:val="0"/>
        <w:spacing w:line="500" w:lineRule="exact"/>
        <w:jc w:val="center"/>
        <w:rPr>
          <w:rFonts w:hint="eastAsia" w:ascii="黑体" w:hAnsi="黑体" w:eastAsia="黑体" w:cs="黑体"/>
          <w:color w:val="auto"/>
          <w:sz w:val="24"/>
          <w:szCs w:val="24"/>
          <w:highlight w:val="none"/>
        </w:rPr>
      </w:pPr>
    </w:p>
    <w:p w14:paraId="4D4AD14E">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45E958D2">
      <w:pPr>
        <w:pStyle w:val="10"/>
        <w:ind w:left="560"/>
        <w:rPr>
          <w:rFonts w:hint="eastAsia" w:ascii="黑体" w:hAnsi="黑体" w:eastAsia="黑体" w:cs="黑体"/>
          <w:color w:val="auto"/>
          <w:szCs w:val="28"/>
          <w:highlight w:val="none"/>
        </w:rPr>
      </w:pPr>
      <w:r>
        <w:rPr>
          <w:rFonts w:hint="eastAsia" w:ascii="黑体" w:hAnsi="黑体" w:eastAsia="黑体" w:cs="黑体"/>
          <w:color w:val="auto"/>
          <w:szCs w:val="28"/>
          <w:highlight w:val="none"/>
        </w:rPr>
        <w:t>附件：</w:t>
      </w:r>
    </w:p>
    <w:p w14:paraId="3467504F">
      <w:pPr>
        <w:pStyle w:val="10"/>
        <w:ind w:left="56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报名登记表</w:t>
      </w:r>
    </w:p>
    <w:p w14:paraId="773C5EED">
      <w:pPr>
        <w:pStyle w:val="10"/>
        <w:ind w:left="560"/>
        <w:rPr>
          <w:rFonts w:hint="eastAsia" w:ascii="黑体" w:hAnsi="黑体" w:eastAsia="黑体" w:cs="黑体"/>
          <w:color w:val="auto"/>
          <w:highlight w:val="none"/>
        </w:rPr>
      </w:pP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539"/>
        <w:gridCol w:w="1650"/>
        <w:gridCol w:w="3330"/>
      </w:tblGrid>
      <w:tr w14:paraId="2C4BA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008" w:type="dxa"/>
            <w:vAlign w:val="center"/>
          </w:tcPr>
          <w:p w14:paraId="6706F008">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en-US" w:eastAsia="zh-CN"/>
              </w:rPr>
              <w:t>招标</w:t>
            </w:r>
            <w:r>
              <w:rPr>
                <w:rFonts w:hint="eastAsia" w:ascii="黑体" w:hAnsi="黑体" w:eastAsia="黑体" w:cs="黑体"/>
                <w:color w:val="auto"/>
                <w:szCs w:val="28"/>
                <w:highlight w:val="none"/>
              </w:rPr>
              <w:t>编号</w:t>
            </w:r>
          </w:p>
        </w:tc>
        <w:tc>
          <w:tcPr>
            <w:tcW w:w="7519" w:type="dxa"/>
            <w:gridSpan w:val="3"/>
            <w:vAlign w:val="center"/>
          </w:tcPr>
          <w:p w14:paraId="3B42C3F2">
            <w:pPr>
              <w:ind w:firstLine="480"/>
              <w:rPr>
                <w:rFonts w:hint="eastAsia" w:ascii="黑体" w:hAnsi="黑体" w:eastAsia="黑体" w:cs="黑体"/>
                <w:color w:val="auto"/>
                <w:szCs w:val="28"/>
                <w:highlight w:val="none"/>
              </w:rPr>
            </w:pPr>
          </w:p>
        </w:tc>
      </w:tr>
      <w:tr w14:paraId="36FF8B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008" w:type="dxa"/>
            <w:vAlign w:val="center"/>
          </w:tcPr>
          <w:p w14:paraId="75EA19A8">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项目名称</w:t>
            </w:r>
          </w:p>
        </w:tc>
        <w:tc>
          <w:tcPr>
            <w:tcW w:w="7519" w:type="dxa"/>
            <w:gridSpan w:val="3"/>
            <w:vAlign w:val="center"/>
          </w:tcPr>
          <w:p w14:paraId="2BE386D8">
            <w:pPr>
              <w:ind w:firstLine="480"/>
              <w:rPr>
                <w:rFonts w:hint="eastAsia" w:ascii="黑体" w:hAnsi="黑体" w:eastAsia="黑体" w:cs="黑体"/>
                <w:color w:val="auto"/>
                <w:szCs w:val="28"/>
                <w:highlight w:val="none"/>
              </w:rPr>
            </w:pPr>
          </w:p>
        </w:tc>
      </w:tr>
      <w:tr w14:paraId="42AEC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008" w:type="dxa"/>
            <w:vAlign w:val="center"/>
          </w:tcPr>
          <w:p w14:paraId="79ED4619">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en-US" w:eastAsia="zh-CN"/>
              </w:rPr>
              <w:t>分包号及名称</w:t>
            </w:r>
          </w:p>
        </w:tc>
        <w:tc>
          <w:tcPr>
            <w:tcW w:w="7519" w:type="dxa"/>
            <w:gridSpan w:val="3"/>
            <w:vAlign w:val="center"/>
          </w:tcPr>
          <w:p w14:paraId="1C67015F">
            <w:pPr>
              <w:ind w:firstLine="480"/>
              <w:rPr>
                <w:rFonts w:hint="eastAsia" w:ascii="黑体" w:hAnsi="黑体" w:eastAsia="黑体" w:cs="黑体"/>
                <w:color w:val="auto"/>
                <w:szCs w:val="28"/>
                <w:highlight w:val="none"/>
              </w:rPr>
            </w:pPr>
          </w:p>
        </w:tc>
      </w:tr>
      <w:tr w14:paraId="60BCE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008" w:type="dxa"/>
            <w:vAlign w:val="center"/>
          </w:tcPr>
          <w:p w14:paraId="2C6AF39A">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供应商名称</w:t>
            </w:r>
          </w:p>
        </w:tc>
        <w:tc>
          <w:tcPr>
            <w:tcW w:w="7519" w:type="dxa"/>
            <w:gridSpan w:val="3"/>
            <w:vAlign w:val="bottom"/>
          </w:tcPr>
          <w:p w14:paraId="24219AF0">
            <w:pPr>
              <w:ind w:firstLine="480"/>
              <w:jc w:val="right"/>
              <w:rPr>
                <w:rFonts w:hint="eastAsia" w:ascii="黑体" w:hAnsi="黑体" w:eastAsia="黑体" w:cs="黑体"/>
                <w:color w:val="auto"/>
                <w:szCs w:val="28"/>
                <w:highlight w:val="none"/>
              </w:rPr>
            </w:pPr>
            <w:r>
              <w:rPr>
                <w:rFonts w:hint="eastAsia" w:ascii="黑体" w:hAnsi="黑体" w:eastAsia="黑体" w:cs="黑体"/>
                <w:color w:val="auto"/>
                <w:szCs w:val="28"/>
                <w:highlight w:val="none"/>
              </w:rPr>
              <w:t>（供应商公章）</w:t>
            </w:r>
          </w:p>
        </w:tc>
      </w:tr>
      <w:tr w14:paraId="1223A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08" w:type="dxa"/>
            <w:vAlign w:val="center"/>
          </w:tcPr>
          <w:p w14:paraId="64D5A80F">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联系人</w:t>
            </w:r>
          </w:p>
        </w:tc>
        <w:tc>
          <w:tcPr>
            <w:tcW w:w="2539" w:type="dxa"/>
            <w:vAlign w:val="center"/>
          </w:tcPr>
          <w:p w14:paraId="617863FB">
            <w:pPr>
              <w:ind w:firstLine="480"/>
              <w:rPr>
                <w:rFonts w:hint="eastAsia" w:ascii="黑体" w:hAnsi="黑体" w:eastAsia="黑体" w:cs="黑体"/>
                <w:color w:val="auto"/>
                <w:szCs w:val="28"/>
                <w:highlight w:val="none"/>
              </w:rPr>
            </w:pPr>
          </w:p>
        </w:tc>
        <w:tc>
          <w:tcPr>
            <w:tcW w:w="1650" w:type="dxa"/>
            <w:vAlign w:val="center"/>
          </w:tcPr>
          <w:p w14:paraId="30376633">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手机</w:t>
            </w:r>
          </w:p>
        </w:tc>
        <w:tc>
          <w:tcPr>
            <w:tcW w:w="3330" w:type="dxa"/>
            <w:vAlign w:val="center"/>
          </w:tcPr>
          <w:p w14:paraId="39C08D78">
            <w:pPr>
              <w:ind w:firstLine="480"/>
              <w:rPr>
                <w:rFonts w:hint="eastAsia" w:ascii="黑体" w:hAnsi="黑体" w:eastAsia="黑体" w:cs="黑体"/>
                <w:color w:val="auto"/>
                <w:szCs w:val="28"/>
                <w:highlight w:val="none"/>
              </w:rPr>
            </w:pPr>
          </w:p>
        </w:tc>
      </w:tr>
      <w:tr w14:paraId="26D40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008" w:type="dxa"/>
            <w:vAlign w:val="center"/>
          </w:tcPr>
          <w:p w14:paraId="4891FC12">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办公电话</w:t>
            </w:r>
          </w:p>
        </w:tc>
        <w:tc>
          <w:tcPr>
            <w:tcW w:w="2539" w:type="dxa"/>
            <w:vAlign w:val="center"/>
          </w:tcPr>
          <w:p w14:paraId="1B90219B">
            <w:pPr>
              <w:ind w:firstLine="480"/>
              <w:rPr>
                <w:rFonts w:hint="eastAsia" w:ascii="黑体" w:hAnsi="黑体" w:eastAsia="黑体" w:cs="黑体"/>
                <w:color w:val="auto"/>
                <w:szCs w:val="28"/>
                <w:highlight w:val="none"/>
              </w:rPr>
            </w:pPr>
          </w:p>
        </w:tc>
        <w:tc>
          <w:tcPr>
            <w:tcW w:w="1650" w:type="dxa"/>
            <w:vAlign w:val="center"/>
          </w:tcPr>
          <w:p w14:paraId="11E4FCB8">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传真</w:t>
            </w:r>
          </w:p>
        </w:tc>
        <w:tc>
          <w:tcPr>
            <w:tcW w:w="3330" w:type="dxa"/>
            <w:vAlign w:val="center"/>
          </w:tcPr>
          <w:p w14:paraId="78BC1CC1">
            <w:pPr>
              <w:ind w:firstLine="480"/>
              <w:rPr>
                <w:rFonts w:hint="eastAsia" w:ascii="黑体" w:hAnsi="黑体" w:eastAsia="黑体" w:cs="黑体"/>
                <w:color w:val="auto"/>
                <w:szCs w:val="28"/>
                <w:highlight w:val="none"/>
              </w:rPr>
            </w:pPr>
          </w:p>
        </w:tc>
      </w:tr>
      <w:tr w14:paraId="0000B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008" w:type="dxa"/>
            <w:vAlign w:val="center"/>
          </w:tcPr>
          <w:p w14:paraId="5351F933">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邮箱</w:t>
            </w:r>
          </w:p>
        </w:tc>
        <w:tc>
          <w:tcPr>
            <w:tcW w:w="7519" w:type="dxa"/>
            <w:gridSpan w:val="3"/>
            <w:vAlign w:val="center"/>
          </w:tcPr>
          <w:p w14:paraId="3F9B5A94">
            <w:pPr>
              <w:ind w:firstLine="480"/>
              <w:rPr>
                <w:rFonts w:hint="eastAsia" w:ascii="黑体" w:hAnsi="黑体" w:eastAsia="黑体" w:cs="黑体"/>
                <w:color w:val="auto"/>
                <w:szCs w:val="28"/>
                <w:highlight w:val="none"/>
              </w:rPr>
            </w:pPr>
          </w:p>
        </w:tc>
      </w:tr>
      <w:tr w14:paraId="57390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2008" w:type="dxa"/>
            <w:vAlign w:val="center"/>
          </w:tcPr>
          <w:p w14:paraId="4E660991">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单位地址</w:t>
            </w:r>
          </w:p>
        </w:tc>
        <w:tc>
          <w:tcPr>
            <w:tcW w:w="7519" w:type="dxa"/>
            <w:gridSpan w:val="3"/>
            <w:vAlign w:val="center"/>
          </w:tcPr>
          <w:p w14:paraId="2EF86541">
            <w:pPr>
              <w:ind w:firstLine="480"/>
              <w:rPr>
                <w:rFonts w:hint="eastAsia" w:ascii="黑体" w:hAnsi="黑体" w:eastAsia="黑体" w:cs="黑体"/>
                <w:color w:val="auto"/>
                <w:szCs w:val="28"/>
                <w:highlight w:val="none"/>
              </w:rPr>
            </w:pPr>
          </w:p>
        </w:tc>
      </w:tr>
    </w:tbl>
    <w:p w14:paraId="7A7A40F4">
      <w:pPr>
        <w:ind w:firstLine="480"/>
        <w:rPr>
          <w:rFonts w:hint="eastAsia" w:ascii="黑体" w:hAnsi="黑体" w:eastAsia="黑体" w:cs="黑体"/>
          <w:color w:val="auto"/>
          <w:highlight w:val="none"/>
        </w:rPr>
      </w:pPr>
    </w:p>
    <w:p w14:paraId="4AE21093">
      <w:pPr>
        <w:ind w:firstLine="480"/>
        <w:rPr>
          <w:rFonts w:hint="eastAsia" w:ascii="黑体" w:hAnsi="黑体" w:eastAsia="黑体" w:cs="黑体"/>
          <w:color w:val="auto"/>
          <w:highlight w:val="none"/>
        </w:rPr>
      </w:pPr>
      <w:r>
        <w:rPr>
          <w:rFonts w:hint="eastAsia" w:ascii="黑体" w:hAnsi="黑体" w:eastAsia="黑体" w:cs="黑体"/>
          <w:color w:val="auto"/>
          <w:highlight w:val="none"/>
        </w:rPr>
        <w:t>日期：</w:t>
      </w:r>
    </w:p>
    <w:p w14:paraId="2A5F5DA8">
      <w:pPr>
        <w:snapToGrid w:val="0"/>
        <w:spacing w:line="360" w:lineRule="auto"/>
        <w:ind w:firstLine="480"/>
        <w:rPr>
          <w:rFonts w:hint="eastAsia" w:ascii="黑体" w:hAnsi="黑体" w:eastAsia="黑体" w:cs="黑体"/>
          <w:color w:val="auto"/>
          <w:highlight w:val="none"/>
        </w:rPr>
      </w:pPr>
    </w:p>
    <w:p w14:paraId="75F4D2E2">
      <w:pPr>
        <w:tabs>
          <w:tab w:val="left" w:pos="6300"/>
        </w:tabs>
        <w:snapToGrid w:val="0"/>
        <w:spacing w:line="500" w:lineRule="exact"/>
        <w:jc w:val="center"/>
        <w:rPr>
          <w:rFonts w:hint="eastAsia" w:ascii="黑体" w:hAnsi="黑体" w:eastAsia="黑体" w:cs="黑体"/>
          <w:color w:val="auto"/>
          <w:sz w:val="24"/>
          <w:szCs w:val="24"/>
          <w:highlight w:val="none"/>
        </w:rPr>
      </w:pPr>
    </w:p>
    <w:p w14:paraId="35D90BD2">
      <w:pPr>
        <w:tabs>
          <w:tab w:val="left" w:pos="6300"/>
        </w:tabs>
        <w:snapToGrid w:val="0"/>
        <w:spacing w:line="500" w:lineRule="exact"/>
        <w:jc w:val="center"/>
        <w:rPr>
          <w:rFonts w:hint="eastAsia" w:ascii="黑体" w:hAnsi="黑体" w:eastAsia="黑体" w:cs="黑体"/>
          <w:color w:val="auto"/>
          <w:sz w:val="24"/>
          <w:szCs w:val="24"/>
          <w:highlight w:val="none"/>
        </w:rPr>
      </w:pPr>
    </w:p>
    <w:p w14:paraId="415E7D69">
      <w:pPr>
        <w:tabs>
          <w:tab w:val="left" w:pos="6300"/>
        </w:tabs>
        <w:snapToGrid w:val="0"/>
        <w:spacing w:line="500" w:lineRule="exact"/>
        <w:jc w:val="center"/>
        <w:rPr>
          <w:rFonts w:hint="eastAsia" w:ascii="黑体" w:hAnsi="黑体" w:eastAsia="黑体" w:cs="黑体"/>
          <w:color w:val="auto"/>
          <w:sz w:val="24"/>
          <w:szCs w:val="24"/>
          <w:highlight w:val="none"/>
        </w:rPr>
      </w:pPr>
    </w:p>
    <w:p w14:paraId="0CD8CA59">
      <w:pPr>
        <w:tabs>
          <w:tab w:val="left" w:pos="6300"/>
        </w:tabs>
        <w:snapToGrid w:val="0"/>
        <w:spacing w:line="500" w:lineRule="exact"/>
        <w:jc w:val="center"/>
        <w:rPr>
          <w:rFonts w:hint="eastAsia" w:ascii="黑体" w:hAnsi="黑体" w:eastAsia="黑体" w:cs="黑体"/>
          <w:color w:val="auto"/>
          <w:sz w:val="24"/>
          <w:szCs w:val="24"/>
          <w:highlight w:val="none"/>
        </w:rPr>
      </w:pPr>
    </w:p>
    <w:p w14:paraId="689455EF">
      <w:pPr>
        <w:tabs>
          <w:tab w:val="left" w:pos="6300"/>
        </w:tabs>
        <w:snapToGrid w:val="0"/>
        <w:spacing w:line="500" w:lineRule="exact"/>
        <w:jc w:val="center"/>
        <w:rPr>
          <w:rFonts w:hint="eastAsia" w:ascii="黑体" w:hAnsi="黑体" w:eastAsia="黑体" w:cs="黑体"/>
          <w:color w:val="auto"/>
          <w:sz w:val="24"/>
          <w:szCs w:val="24"/>
          <w:highlight w:val="none"/>
        </w:rPr>
      </w:pPr>
    </w:p>
    <w:p w14:paraId="260C7E4D">
      <w:pPr>
        <w:tabs>
          <w:tab w:val="left" w:pos="6300"/>
        </w:tabs>
        <w:snapToGrid w:val="0"/>
        <w:spacing w:line="500" w:lineRule="exact"/>
        <w:jc w:val="center"/>
        <w:rPr>
          <w:rFonts w:hint="eastAsia" w:ascii="黑体" w:hAnsi="黑体" w:eastAsia="黑体" w:cs="黑体"/>
          <w:color w:val="auto"/>
          <w:sz w:val="24"/>
          <w:szCs w:val="24"/>
          <w:highlight w:val="none"/>
        </w:rPr>
      </w:pPr>
    </w:p>
    <w:p w14:paraId="538C4D4C">
      <w:pPr>
        <w:tabs>
          <w:tab w:val="left" w:pos="6300"/>
        </w:tabs>
        <w:snapToGrid w:val="0"/>
        <w:spacing w:line="500" w:lineRule="exact"/>
        <w:jc w:val="center"/>
        <w:rPr>
          <w:rFonts w:hint="eastAsia" w:ascii="黑体" w:hAnsi="黑体" w:eastAsia="黑体" w:cs="黑体"/>
          <w:color w:val="auto"/>
          <w:sz w:val="24"/>
          <w:szCs w:val="24"/>
          <w:highlight w:val="none"/>
        </w:rPr>
      </w:pPr>
    </w:p>
    <w:p w14:paraId="69BD28F9">
      <w:pPr>
        <w:tabs>
          <w:tab w:val="left" w:pos="6300"/>
        </w:tabs>
        <w:snapToGrid w:val="0"/>
        <w:spacing w:line="500" w:lineRule="exact"/>
        <w:jc w:val="center"/>
        <w:rPr>
          <w:rFonts w:hint="eastAsia" w:ascii="黑体" w:hAnsi="黑体" w:eastAsia="黑体" w:cs="黑体"/>
          <w:color w:val="auto"/>
          <w:sz w:val="24"/>
          <w:szCs w:val="24"/>
          <w:highlight w:val="none"/>
        </w:rPr>
      </w:pPr>
    </w:p>
    <w:p w14:paraId="24CCBFD7">
      <w:pPr>
        <w:tabs>
          <w:tab w:val="left" w:pos="6300"/>
        </w:tabs>
        <w:snapToGrid w:val="0"/>
        <w:spacing w:line="500" w:lineRule="exact"/>
        <w:jc w:val="center"/>
        <w:rPr>
          <w:rFonts w:hint="eastAsia" w:ascii="黑体" w:hAnsi="黑体" w:eastAsia="黑体" w:cs="黑体"/>
          <w:color w:val="auto"/>
          <w:sz w:val="24"/>
          <w:szCs w:val="24"/>
          <w:highlight w:val="none"/>
        </w:rPr>
      </w:pPr>
    </w:p>
    <w:p w14:paraId="2FF39554">
      <w:pPr>
        <w:tabs>
          <w:tab w:val="left" w:pos="6300"/>
        </w:tabs>
        <w:snapToGrid w:val="0"/>
        <w:spacing w:line="5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（结束）</w:t>
      </w:r>
    </w:p>
    <w:p w14:paraId="1071990B">
      <w:pPr>
        <w:rPr>
          <w:rFonts w:hint="eastAsia" w:ascii="黑体" w:hAnsi="黑体" w:eastAsia="黑体" w:cs="黑体"/>
          <w:color w:val="auto"/>
          <w:highlight w:val="none"/>
        </w:rPr>
      </w:pPr>
    </w:p>
    <w:sectPr>
      <w:pgSz w:w="11907" w:h="16840"/>
      <w:pgMar w:top="1134" w:right="1191" w:bottom="1134" w:left="1304" w:header="964"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83A4">
    <w:pPr>
      <w:pStyle w:val="1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C939">
    <w:pPr>
      <w:pStyle w:val="15"/>
      <w:framePr w:wrap="around" w:vAnchor="text" w:hAnchor="margin" w:xAlign="center" w:y="1"/>
      <w:rPr>
        <w:rStyle w:val="26"/>
      </w:rPr>
    </w:pPr>
    <w:r>
      <w:fldChar w:fldCharType="begin"/>
    </w:r>
    <w:r>
      <w:rPr>
        <w:rStyle w:val="26"/>
      </w:rPr>
      <w:instrText xml:space="preserve">PAGE  </w:instrText>
    </w:r>
    <w:r>
      <w:fldChar w:fldCharType="end"/>
    </w:r>
  </w:p>
  <w:p w14:paraId="3005BAE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7016">
    <w:pPr>
      <w:pStyle w:val="15"/>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E5E8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DFE5E87">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F1E65">
                          <w:pPr>
                            <w:pStyle w:val="15"/>
                          </w:pPr>
                        </w:p>
                        <w:p w14:paraId="0288530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14:paraId="34EF1E65">
                    <w:pPr>
                      <w:pStyle w:val="15"/>
                    </w:pPr>
                  </w:p>
                  <w:p w14:paraId="0288530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3FCD">
    <w:pPr>
      <w:pStyle w:val="15"/>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4FFF1">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94FFF1">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47B8">
    <w:pPr>
      <w:pStyle w:val="16"/>
      <w:jc w:val="both"/>
      <w:rPr>
        <w:rFonts w:ascii="宋体" w:hAnsi="宋体"/>
        <w:sz w:val="21"/>
        <w:szCs w:val="21"/>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62B5">
    <w:pPr>
      <w:pStyle w:val="16"/>
      <w:ind w:firstLine="1050" w:firstLineChars="500"/>
      <w:jc w:val="both"/>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13C6">
    <w:pPr>
      <w:pStyle w:val="16"/>
      <w:ind w:firstLine="1050" w:firstLineChars="500"/>
      <w:jc w:val="both"/>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C5517"/>
    <w:multiLevelType w:val="singleLevel"/>
    <w:tmpl w:val="AD3C5517"/>
    <w:lvl w:ilvl="0" w:tentative="0">
      <w:start w:val="6"/>
      <w:numFmt w:val="chineseCounting"/>
      <w:suff w:val="nothing"/>
      <w:lvlText w:val="%1、"/>
      <w:lvlJc w:val="left"/>
      <w:rPr>
        <w:rFonts w:hint="eastAsia"/>
      </w:rPr>
    </w:lvl>
  </w:abstractNum>
  <w:abstractNum w:abstractNumId="1">
    <w:nsid w:val="B4D5C84D"/>
    <w:multiLevelType w:val="singleLevel"/>
    <w:tmpl w:val="B4D5C84D"/>
    <w:lvl w:ilvl="0" w:tentative="0">
      <w:start w:val="1"/>
      <w:numFmt w:val="chineseCounting"/>
      <w:pStyle w:val="47"/>
      <w:suff w:val="nothing"/>
      <w:lvlText w:val="%1、"/>
      <w:lvlJc w:val="left"/>
      <w:pPr>
        <w:ind w:left="0" w:firstLine="397"/>
      </w:pPr>
      <w:rPr>
        <w:rFonts w:hint="eastAsia" w:eastAsia="方正黑体_GBK"/>
        <w:sz w:val="32"/>
      </w:rPr>
    </w:lvl>
  </w:abstractNum>
  <w:abstractNum w:abstractNumId="2">
    <w:nsid w:val="DCD24B2E"/>
    <w:multiLevelType w:val="singleLevel"/>
    <w:tmpl w:val="DCD24B2E"/>
    <w:lvl w:ilvl="0" w:tentative="0">
      <w:start w:val="1"/>
      <w:numFmt w:val="chineseCounting"/>
      <w:suff w:val="nothing"/>
      <w:lvlText w:val="%1、"/>
      <w:lvlJc w:val="left"/>
      <w:rPr>
        <w:rFonts w:hint="eastAsia"/>
      </w:rPr>
    </w:lvl>
  </w:abstractNum>
  <w:abstractNum w:abstractNumId="3">
    <w:nsid w:val="E238F140"/>
    <w:multiLevelType w:val="singleLevel"/>
    <w:tmpl w:val="E238F140"/>
    <w:lvl w:ilvl="0" w:tentative="0">
      <w:start w:val="1"/>
      <w:numFmt w:val="decimal"/>
      <w:pStyle w:val="51"/>
      <w:suff w:val="nothing"/>
      <w:lvlText w:val="%1."/>
      <w:lvlJc w:val="left"/>
      <w:pPr>
        <w:tabs>
          <w:tab w:val="left" w:pos="0"/>
        </w:tabs>
        <w:ind w:left="0" w:firstLine="1134"/>
      </w:pPr>
      <w:rPr>
        <w:rFonts w:hint="default" w:ascii="Times New Roman" w:hAnsi="Times New Roman" w:eastAsia="方正仿宋_GBK"/>
        <w:sz w:val="32"/>
        <w:szCs w:val="32"/>
      </w:rPr>
    </w:lvl>
  </w:abstractNum>
  <w:abstractNum w:abstractNumId="4">
    <w:nsid w:val="0AEE2331"/>
    <w:multiLevelType w:val="singleLevel"/>
    <w:tmpl w:val="0AEE2331"/>
    <w:lvl w:ilvl="0" w:tentative="0">
      <w:start w:val="1"/>
      <w:numFmt w:val="chineseCounting"/>
      <w:pStyle w:val="49"/>
      <w:suff w:val="nothing"/>
      <w:lvlText w:val="(%1)"/>
      <w:lvlJc w:val="left"/>
      <w:pPr>
        <w:ind w:left="0" w:firstLine="397"/>
      </w:pPr>
      <w:rPr>
        <w:rFonts w:hint="eastAsia" w:ascii="黑体" w:hAnsi="黑体" w:eastAsia="黑体" w:cs="黑体"/>
        <w:sz w:val="24"/>
        <w:szCs w:val="24"/>
      </w:rPr>
    </w:lvl>
  </w:abstractNum>
  <w:abstractNum w:abstractNumId="5">
    <w:nsid w:val="32151949"/>
    <w:multiLevelType w:val="singleLevel"/>
    <w:tmpl w:val="32151949"/>
    <w:lvl w:ilvl="0" w:tentative="0">
      <w:start w:val="2"/>
      <w:numFmt w:val="chineseCounting"/>
      <w:suff w:val="nothing"/>
      <w:lvlText w:val="（%1）"/>
      <w:lvlJc w:val="left"/>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0772D32"/>
    <w:multiLevelType w:val="singleLevel"/>
    <w:tmpl w:val="60772D32"/>
    <w:lvl w:ilvl="0" w:tentative="0">
      <w:start w:val="2"/>
      <w:numFmt w:val="chineseCounting"/>
      <w:suff w:val="space"/>
      <w:lvlText w:val="第%1篇"/>
      <w:lvlJc w:val="left"/>
      <w:rPr>
        <w:rFonts w:hint="eastAsia"/>
        <w:sz w:val="32"/>
        <w:szCs w:val="32"/>
      </w:rPr>
    </w:lvl>
  </w:abstractNum>
  <w:num w:numId="1">
    <w:abstractNumId w:val="6"/>
  </w:num>
  <w:num w:numId="2">
    <w:abstractNumId w:val="1"/>
  </w:num>
  <w:num w:numId="3">
    <w:abstractNumId w:val="4"/>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hYmY5ZmQzMjg4Yzc1NTU0ZjI1NDhhOGNkZjFkNWIifQ=="/>
  </w:docVars>
  <w:rsids>
    <w:rsidRoot w:val="003F64DF"/>
    <w:rsid w:val="00002829"/>
    <w:rsid w:val="00090316"/>
    <w:rsid w:val="00097331"/>
    <w:rsid w:val="001B61D3"/>
    <w:rsid w:val="00363330"/>
    <w:rsid w:val="003D2012"/>
    <w:rsid w:val="003D65F9"/>
    <w:rsid w:val="003F64DF"/>
    <w:rsid w:val="005574B6"/>
    <w:rsid w:val="00683924"/>
    <w:rsid w:val="00736549"/>
    <w:rsid w:val="007678AE"/>
    <w:rsid w:val="00833266"/>
    <w:rsid w:val="008C1B86"/>
    <w:rsid w:val="008C6A26"/>
    <w:rsid w:val="008E5F79"/>
    <w:rsid w:val="00923653"/>
    <w:rsid w:val="009D0D7F"/>
    <w:rsid w:val="00AC1248"/>
    <w:rsid w:val="00B061CC"/>
    <w:rsid w:val="00B57D92"/>
    <w:rsid w:val="00C1441F"/>
    <w:rsid w:val="00C43576"/>
    <w:rsid w:val="00C5526F"/>
    <w:rsid w:val="00C56F40"/>
    <w:rsid w:val="00C7305E"/>
    <w:rsid w:val="00D04E12"/>
    <w:rsid w:val="00D71C8C"/>
    <w:rsid w:val="00DB671F"/>
    <w:rsid w:val="00DB704F"/>
    <w:rsid w:val="00DE6B67"/>
    <w:rsid w:val="00F55B22"/>
    <w:rsid w:val="00F70230"/>
    <w:rsid w:val="01071886"/>
    <w:rsid w:val="01321717"/>
    <w:rsid w:val="01AD5709"/>
    <w:rsid w:val="01BA03D3"/>
    <w:rsid w:val="01FB29CA"/>
    <w:rsid w:val="02C01C7E"/>
    <w:rsid w:val="03060375"/>
    <w:rsid w:val="03234395"/>
    <w:rsid w:val="0330642E"/>
    <w:rsid w:val="033124A2"/>
    <w:rsid w:val="03366934"/>
    <w:rsid w:val="03531BBB"/>
    <w:rsid w:val="04053DDB"/>
    <w:rsid w:val="04201940"/>
    <w:rsid w:val="043E5C37"/>
    <w:rsid w:val="046C107D"/>
    <w:rsid w:val="04715086"/>
    <w:rsid w:val="04AA627B"/>
    <w:rsid w:val="04B600DC"/>
    <w:rsid w:val="04FC5157"/>
    <w:rsid w:val="04FD4F9D"/>
    <w:rsid w:val="0513614F"/>
    <w:rsid w:val="051479CB"/>
    <w:rsid w:val="05E4721A"/>
    <w:rsid w:val="06202622"/>
    <w:rsid w:val="06351851"/>
    <w:rsid w:val="0652464D"/>
    <w:rsid w:val="06563E0F"/>
    <w:rsid w:val="06A21E2E"/>
    <w:rsid w:val="06C67D3B"/>
    <w:rsid w:val="07045BE4"/>
    <w:rsid w:val="07065894"/>
    <w:rsid w:val="07300560"/>
    <w:rsid w:val="07462294"/>
    <w:rsid w:val="078678A3"/>
    <w:rsid w:val="07D64FE9"/>
    <w:rsid w:val="084F61A9"/>
    <w:rsid w:val="085C7202"/>
    <w:rsid w:val="08720C4E"/>
    <w:rsid w:val="08871C3B"/>
    <w:rsid w:val="08C16DFB"/>
    <w:rsid w:val="090F170E"/>
    <w:rsid w:val="0915434D"/>
    <w:rsid w:val="09433FB4"/>
    <w:rsid w:val="09692CFE"/>
    <w:rsid w:val="09B81EE6"/>
    <w:rsid w:val="0A1B3599"/>
    <w:rsid w:val="0A247833"/>
    <w:rsid w:val="0A255471"/>
    <w:rsid w:val="0A312874"/>
    <w:rsid w:val="0A3D5C1F"/>
    <w:rsid w:val="0ADD4CBE"/>
    <w:rsid w:val="0B150E80"/>
    <w:rsid w:val="0B1B4E9F"/>
    <w:rsid w:val="0B555F68"/>
    <w:rsid w:val="0B754DBF"/>
    <w:rsid w:val="0B832A76"/>
    <w:rsid w:val="0B943386"/>
    <w:rsid w:val="0BA754AC"/>
    <w:rsid w:val="0C0C38E5"/>
    <w:rsid w:val="0C4E2A38"/>
    <w:rsid w:val="0C9D0A96"/>
    <w:rsid w:val="0D186073"/>
    <w:rsid w:val="0D200115"/>
    <w:rsid w:val="0D3A13D1"/>
    <w:rsid w:val="0DA5089B"/>
    <w:rsid w:val="0DC45984"/>
    <w:rsid w:val="0DC90C9D"/>
    <w:rsid w:val="0E444976"/>
    <w:rsid w:val="0E942550"/>
    <w:rsid w:val="0F523AA1"/>
    <w:rsid w:val="0FB62066"/>
    <w:rsid w:val="0FDA4256"/>
    <w:rsid w:val="0FDB5044"/>
    <w:rsid w:val="0FEB058E"/>
    <w:rsid w:val="0FF91B8D"/>
    <w:rsid w:val="10E26A75"/>
    <w:rsid w:val="1111468E"/>
    <w:rsid w:val="11B22661"/>
    <w:rsid w:val="12551016"/>
    <w:rsid w:val="1274518F"/>
    <w:rsid w:val="129C4EA4"/>
    <w:rsid w:val="135E3743"/>
    <w:rsid w:val="137C1DE1"/>
    <w:rsid w:val="13B3480E"/>
    <w:rsid w:val="13D31F2D"/>
    <w:rsid w:val="13D77899"/>
    <w:rsid w:val="140F5ECA"/>
    <w:rsid w:val="145E653F"/>
    <w:rsid w:val="14E668EF"/>
    <w:rsid w:val="14FF1941"/>
    <w:rsid w:val="15127C85"/>
    <w:rsid w:val="15852D86"/>
    <w:rsid w:val="15B236AC"/>
    <w:rsid w:val="15E24080"/>
    <w:rsid w:val="161E668F"/>
    <w:rsid w:val="162007EB"/>
    <w:rsid w:val="165278A2"/>
    <w:rsid w:val="16545074"/>
    <w:rsid w:val="171D3518"/>
    <w:rsid w:val="173A7BC1"/>
    <w:rsid w:val="174938FB"/>
    <w:rsid w:val="176E48A4"/>
    <w:rsid w:val="17713A83"/>
    <w:rsid w:val="17D43276"/>
    <w:rsid w:val="17E01278"/>
    <w:rsid w:val="180E76B6"/>
    <w:rsid w:val="183F7C64"/>
    <w:rsid w:val="18425115"/>
    <w:rsid w:val="18876719"/>
    <w:rsid w:val="18AB5100"/>
    <w:rsid w:val="18F24F4C"/>
    <w:rsid w:val="19212FEA"/>
    <w:rsid w:val="199B3FF6"/>
    <w:rsid w:val="1A902BF7"/>
    <w:rsid w:val="1A9477D1"/>
    <w:rsid w:val="1A9C7660"/>
    <w:rsid w:val="1B195B66"/>
    <w:rsid w:val="1B7335E1"/>
    <w:rsid w:val="1B7B7093"/>
    <w:rsid w:val="1B972E10"/>
    <w:rsid w:val="1B99409A"/>
    <w:rsid w:val="1BE965CD"/>
    <w:rsid w:val="1C6B3664"/>
    <w:rsid w:val="1C7A78CB"/>
    <w:rsid w:val="1C87496C"/>
    <w:rsid w:val="1CCD4909"/>
    <w:rsid w:val="1D1470F8"/>
    <w:rsid w:val="1E4A6ACF"/>
    <w:rsid w:val="1E540B6E"/>
    <w:rsid w:val="1F001E1B"/>
    <w:rsid w:val="1F3C0957"/>
    <w:rsid w:val="1F5444C9"/>
    <w:rsid w:val="1FBB2909"/>
    <w:rsid w:val="1FF1184C"/>
    <w:rsid w:val="20163B31"/>
    <w:rsid w:val="20396D4C"/>
    <w:rsid w:val="20B636B2"/>
    <w:rsid w:val="20C2246D"/>
    <w:rsid w:val="20E17D82"/>
    <w:rsid w:val="211C2D3C"/>
    <w:rsid w:val="21513085"/>
    <w:rsid w:val="21B02714"/>
    <w:rsid w:val="22127575"/>
    <w:rsid w:val="22227480"/>
    <w:rsid w:val="22DF12E8"/>
    <w:rsid w:val="22E771D2"/>
    <w:rsid w:val="22F55497"/>
    <w:rsid w:val="23112215"/>
    <w:rsid w:val="231B1C43"/>
    <w:rsid w:val="23887D1E"/>
    <w:rsid w:val="23B00D99"/>
    <w:rsid w:val="24174D49"/>
    <w:rsid w:val="24782911"/>
    <w:rsid w:val="24C41DFA"/>
    <w:rsid w:val="2511224D"/>
    <w:rsid w:val="25410460"/>
    <w:rsid w:val="257C3FCA"/>
    <w:rsid w:val="2584478D"/>
    <w:rsid w:val="25924DB0"/>
    <w:rsid w:val="2594733E"/>
    <w:rsid w:val="25D31184"/>
    <w:rsid w:val="260903DC"/>
    <w:rsid w:val="26184AB5"/>
    <w:rsid w:val="264D7521"/>
    <w:rsid w:val="267442D0"/>
    <w:rsid w:val="27565140"/>
    <w:rsid w:val="277427C9"/>
    <w:rsid w:val="27923F2B"/>
    <w:rsid w:val="27E410B0"/>
    <w:rsid w:val="27F32442"/>
    <w:rsid w:val="27F41502"/>
    <w:rsid w:val="282D4176"/>
    <w:rsid w:val="285362EB"/>
    <w:rsid w:val="285E6309"/>
    <w:rsid w:val="28623BF3"/>
    <w:rsid w:val="28650036"/>
    <w:rsid w:val="286E74C5"/>
    <w:rsid w:val="287C20AE"/>
    <w:rsid w:val="29037B8D"/>
    <w:rsid w:val="29743C6A"/>
    <w:rsid w:val="29CF5D9E"/>
    <w:rsid w:val="2A1D4CF4"/>
    <w:rsid w:val="2A3C14CA"/>
    <w:rsid w:val="2AAB452F"/>
    <w:rsid w:val="2AAC7666"/>
    <w:rsid w:val="2ACD3652"/>
    <w:rsid w:val="2AF96DFD"/>
    <w:rsid w:val="2B0763EE"/>
    <w:rsid w:val="2B49709C"/>
    <w:rsid w:val="2BAC0068"/>
    <w:rsid w:val="2BE65BAC"/>
    <w:rsid w:val="2C5E566B"/>
    <w:rsid w:val="2C6446FC"/>
    <w:rsid w:val="2C7212B2"/>
    <w:rsid w:val="2CB803E8"/>
    <w:rsid w:val="2CC533FC"/>
    <w:rsid w:val="2D4A367C"/>
    <w:rsid w:val="2D6E4D90"/>
    <w:rsid w:val="2DD64620"/>
    <w:rsid w:val="2DD83A52"/>
    <w:rsid w:val="2E0D2171"/>
    <w:rsid w:val="2E0D7A25"/>
    <w:rsid w:val="2E364092"/>
    <w:rsid w:val="2E646A9C"/>
    <w:rsid w:val="2E836B4A"/>
    <w:rsid w:val="2EF20887"/>
    <w:rsid w:val="2F423881"/>
    <w:rsid w:val="2F6269D5"/>
    <w:rsid w:val="30694B86"/>
    <w:rsid w:val="307C711A"/>
    <w:rsid w:val="308F743D"/>
    <w:rsid w:val="309235D4"/>
    <w:rsid w:val="309315BF"/>
    <w:rsid w:val="31042414"/>
    <w:rsid w:val="318E06E6"/>
    <w:rsid w:val="31A33515"/>
    <w:rsid w:val="31B76198"/>
    <w:rsid w:val="321235E8"/>
    <w:rsid w:val="327A6A0C"/>
    <w:rsid w:val="3304364F"/>
    <w:rsid w:val="33093437"/>
    <w:rsid w:val="337F665B"/>
    <w:rsid w:val="344A71EC"/>
    <w:rsid w:val="34856FAF"/>
    <w:rsid w:val="34993C9C"/>
    <w:rsid w:val="349A4F59"/>
    <w:rsid w:val="34D82FC0"/>
    <w:rsid w:val="3538051B"/>
    <w:rsid w:val="35C86B1F"/>
    <w:rsid w:val="35CD7187"/>
    <w:rsid w:val="35DF1CD9"/>
    <w:rsid w:val="35F30E7D"/>
    <w:rsid w:val="35FE0154"/>
    <w:rsid w:val="360F7EC5"/>
    <w:rsid w:val="36274383"/>
    <w:rsid w:val="367E5E56"/>
    <w:rsid w:val="36943BDB"/>
    <w:rsid w:val="371A058F"/>
    <w:rsid w:val="387202A9"/>
    <w:rsid w:val="38C95943"/>
    <w:rsid w:val="38CF64C6"/>
    <w:rsid w:val="38F930B9"/>
    <w:rsid w:val="395B634B"/>
    <w:rsid w:val="39690C95"/>
    <w:rsid w:val="39C9222B"/>
    <w:rsid w:val="39DD6D5D"/>
    <w:rsid w:val="39FF41F7"/>
    <w:rsid w:val="3A09061F"/>
    <w:rsid w:val="3A11680D"/>
    <w:rsid w:val="3A196D09"/>
    <w:rsid w:val="3A3B57E0"/>
    <w:rsid w:val="3B9D0775"/>
    <w:rsid w:val="3BAD1D4F"/>
    <w:rsid w:val="3BCB3621"/>
    <w:rsid w:val="3BCC12CB"/>
    <w:rsid w:val="3BCC3EB1"/>
    <w:rsid w:val="3CAC41EE"/>
    <w:rsid w:val="3CCA3CA2"/>
    <w:rsid w:val="3CFF6E9A"/>
    <w:rsid w:val="3D5B6754"/>
    <w:rsid w:val="3D8C7C42"/>
    <w:rsid w:val="3DA05EF8"/>
    <w:rsid w:val="3E1D5E77"/>
    <w:rsid w:val="3F2C59B8"/>
    <w:rsid w:val="3F426508"/>
    <w:rsid w:val="3F804D90"/>
    <w:rsid w:val="3F91294A"/>
    <w:rsid w:val="400B1B47"/>
    <w:rsid w:val="401A4E1B"/>
    <w:rsid w:val="40520309"/>
    <w:rsid w:val="405C1C05"/>
    <w:rsid w:val="408C7674"/>
    <w:rsid w:val="40AB31AA"/>
    <w:rsid w:val="40BE3A2A"/>
    <w:rsid w:val="41234F25"/>
    <w:rsid w:val="41784E93"/>
    <w:rsid w:val="419F39BB"/>
    <w:rsid w:val="41A03C64"/>
    <w:rsid w:val="41B20F4B"/>
    <w:rsid w:val="41CF4BFC"/>
    <w:rsid w:val="42354E99"/>
    <w:rsid w:val="426564BA"/>
    <w:rsid w:val="42862242"/>
    <w:rsid w:val="42B55972"/>
    <w:rsid w:val="42D90D3F"/>
    <w:rsid w:val="42DB7405"/>
    <w:rsid w:val="430D45F5"/>
    <w:rsid w:val="43127A2F"/>
    <w:rsid w:val="43505A87"/>
    <w:rsid w:val="436F49F9"/>
    <w:rsid w:val="43C54498"/>
    <w:rsid w:val="43C92DAB"/>
    <w:rsid w:val="43DB57E2"/>
    <w:rsid w:val="44157520"/>
    <w:rsid w:val="442A2D16"/>
    <w:rsid w:val="44384900"/>
    <w:rsid w:val="45292C93"/>
    <w:rsid w:val="4548307F"/>
    <w:rsid w:val="45593A55"/>
    <w:rsid w:val="45AD2040"/>
    <w:rsid w:val="45CC5137"/>
    <w:rsid w:val="45E26F48"/>
    <w:rsid w:val="473C0FE9"/>
    <w:rsid w:val="473C76F2"/>
    <w:rsid w:val="477334B1"/>
    <w:rsid w:val="47AC1D54"/>
    <w:rsid w:val="47BB488F"/>
    <w:rsid w:val="47CE6F15"/>
    <w:rsid w:val="48091984"/>
    <w:rsid w:val="484A461F"/>
    <w:rsid w:val="485C7545"/>
    <w:rsid w:val="48627B8F"/>
    <w:rsid w:val="48972AB9"/>
    <w:rsid w:val="48DE5777"/>
    <w:rsid w:val="49070D6B"/>
    <w:rsid w:val="49596BEF"/>
    <w:rsid w:val="496374AD"/>
    <w:rsid w:val="497D1F9B"/>
    <w:rsid w:val="49B3042E"/>
    <w:rsid w:val="49D825F6"/>
    <w:rsid w:val="4A355B61"/>
    <w:rsid w:val="4A491906"/>
    <w:rsid w:val="4A592677"/>
    <w:rsid w:val="4A593725"/>
    <w:rsid w:val="4AF42BA6"/>
    <w:rsid w:val="4BBD33CE"/>
    <w:rsid w:val="4BE9179B"/>
    <w:rsid w:val="4BF5130F"/>
    <w:rsid w:val="4C0D6415"/>
    <w:rsid w:val="4C2B644B"/>
    <w:rsid w:val="4C481875"/>
    <w:rsid w:val="4C8B4D21"/>
    <w:rsid w:val="4C90344E"/>
    <w:rsid w:val="4CAB5124"/>
    <w:rsid w:val="4CE34A23"/>
    <w:rsid w:val="4CE63746"/>
    <w:rsid w:val="4D4D6AF7"/>
    <w:rsid w:val="4DC628C7"/>
    <w:rsid w:val="4DF307CC"/>
    <w:rsid w:val="4E146DA6"/>
    <w:rsid w:val="4E3F33A4"/>
    <w:rsid w:val="4EB920C3"/>
    <w:rsid w:val="4F883B3F"/>
    <w:rsid w:val="4FB156F0"/>
    <w:rsid w:val="4FB20659"/>
    <w:rsid w:val="4FF12AC8"/>
    <w:rsid w:val="5005175F"/>
    <w:rsid w:val="503F2822"/>
    <w:rsid w:val="50E57CDA"/>
    <w:rsid w:val="511D7F4B"/>
    <w:rsid w:val="51345A4A"/>
    <w:rsid w:val="5149048F"/>
    <w:rsid w:val="51A85E3A"/>
    <w:rsid w:val="51C67BDC"/>
    <w:rsid w:val="51E101BC"/>
    <w:rsid w:val="52221E4F"/>
    <w:rsid w:val="52B608F7"/>
    <w:rsid w:val="52ED4BF7"/>
    <w:rsid w:val="52F370F4"/>
    <w:rsid w:val="53145F0A"/>
    <w:rsid w:val="53282BFB"/>
    <w:rsid w:val="53880737"/>
    <w:rsid w:val="5399332C"/>
    <w:rsid w:val="539A0D27"/>
    <w:rsid w:val="53F0059A"/>
    <w:rsid w:val="54091700"/>
    <w:rsid w:val="540B4A41"/>
    <w:rsid w:val="54155B02"/>
    <w:rsid w:val="546C1CD2"/>
    <w:rsid w:val="54E20F64"/>
    <w:rsid w:val="551E609F"/>
    <w:rsid w:val="55484D4D"/>
    <w:rsid w:val="5560203F"/>
    <w:rsid w:val="55844CA6"/>
    <w:rsid w:val="55A80943"/>
    <w:rsid w:val="55D54D6B"/>
    <w:rsid w:val="55E305B3"/>
    <w:rsid w:val="566713A2"/>
    <w:rsid w:val="56786ED9"/>
    <w:rsid w:val="567D3324"/>
    <w:rsid w:val="56C53855"/>
    <w:rsid w:val="56C9515D"/>
    <w:rsid w:val="56D73B74"/>
    <w:rsid w:val="56EC18AB"/>
    <w:rsid w:val="56FD597B"/>
    <w:rsid w:val="580D310A"/>
    <w:rsid w:val="58133B49"/>
    <w:rsid w:val="584E6ADC"/>
    <w:rsid w:val="585B3A49"/>
    <w:rsid w:val="588B414B"/>
    <w:rsid w:val="58C44589"/>
    <w:rsid w:val="58D36DCB"/>
    <w:rsid w:val="58ED3A55"/>
    <w:rsid w:val="593A22DB"/>
    <w:rsid w:val="593F7DC1"/>
    <w:rsid w:val="597A0806"/>
    <w:rsid w:val="5988716F"/>
    <w:rsid w:val="59F85860"/>
    <w:rsid w:val="5A3E2160"/>
    <w:rsid w:val="5A66646F"/>
    <w:rsid w:val="5A872CC3"/>
    <w:rsid w:val="5AD57489"/>
    <w:rsid w:val="5ADF3707"/>
    <w:rsid w:val="5B09379C"/>
    <w:rsid w:val="5B0F7B63"/>
    <w:rsid w:val="5B655265"/>
    <w:rsid w:val="5BD11EF7"/>
    <w:rsid w:val="5BEC742D"/>
    <w:rsid w:val="5C026AAE"/>
    <w:rsid w:val="5C5F2392"/>
    <w:rsid w:val="5C65262A"/>
    <w:rsid w:val="5C9B486A"/>
    <w:rsid w:val="5CD04DA9"/>
    <w:rsid w:val="5D7B3A69"/>
    <w:rsid w:val="5DA10E17"/>
    <w:rsid w:val="5DAA6929"/>
    <w:rsid w:val="5E105899"/>
    <w:rsid w:val="5E925A47"/>
    <w:rsid w:val="5ED65E9E"/>
    <w:rsid w:val="5EDA221B"/>
    <w:rsid w:val="5F2A7D2E"/>
    <w:rsid w:val="5FA54869"/>
    <w:rsid w:val="5FC1303B"/>
    <w:rsid w:val="5FDD385E"/>
    <w:rsid w:val="5FDF718B"/>
    <w:rsid w:val="5FE756C4"/>
    <w:rsid w:val="5FF065AE"/>
    <w:rsid w:val="602D2F76"/>
    <w:rsid w:val="60582CEA"/>
    <w:rsid w:val="606A7B03"/>
    <w:rsid w:val="60FA2453"/>
    <w:rsid w:val="611B34FA"/>
    <w:rsid w:val="612F2805"/>
    <w:rsid w:val="61DD7C94"/>
    <w:rsid w:val="61E60EAB"/>
    <w:rsid w:val="61EA2317"/>
    <w:rsid w:val="61EF17A6"/>
    <w:rsid w:val="627C1237"/>
    <w:rsid w:val="62ED6FF8"/>
    <w:rsid w:val="62F039C6"/>
    <w:rsid w:val="632E0D88"/>
    <w:rsid w:val="636447A9"/>
    <w:rsid w:val="63811D1D"/>
    <w:rsid w:val="63891996"/>
    <w:rsid w:val="64411535"/>
    <w:rsid w:val="648A6668"/>
    <w:rsid w:val="64BA16F0"/>
    <w:rsid w:val="64D70C50"/>
    <w:rsid w:val="64DE43EE"/>
    <w:rsid w:val="653123E6"/>
    <w:rsid w:val="6554017F"/>
    <w:rsid w:val="65854BB3"/>
    <w:rsid w:val="661D2A90"/>
    <w:rsid w:val="665C6DFC"/>
    <w:rsid w:val="669833B2"/>
    <w:rsid w:val="670F1E09"/>
    <w:rsid w:val="67102822"/>
    <w:rsid w:val="672D1DA9"/>
    <w:rsid w:val="67513397"/>
    <w:rsid w:val="67911E71"/>
    <w:rsid w:val="67B920E7"/>
    <w:rsid w:val="67D23492"/>
    <w:rsid w:val="68451951"/>
    <w:rsid w:val="687E7FCC"/>
    <w:rsid w:val="68922FBB"/>
    <w:rsid w:val="689C70B5"/>
    <w:rsid w:val="693E76EB"/>
    <w:rsid w:val="694A6860"/>
    <w:rsid w:val="6ACC4637"/>
    <w:rsid w:val="6AE062A3"/>
    <w:rsid w:val="6AE32D8D"/>
    <w:rsid w:val="6AF26948"/>
    <w:rsid w:val="6B357768"/>
    <w:rsid w:val="6B7E5E0A"/>
    <w:rsid w:val="6B804704"/>
    <w:rsid w:val="6B9163AB"/>
    <w:rsid w:val="6BD2716D"/>
    <w:rsid w:val="6BEA6900"/>
    <w:rsid w:val="6C2E2990"/>
    <w:rsid w:val="6C47523B"/>
    <w:rsid w:val="6C9B185F"/>
    <w:rsid w:val="6CB22631"/>
    <w:rsid w:val="6CE511B7"/>
    <w:rsid w:val="6CF739D2"/>
    <w:rsid w:val="6D262141"/>
    <w:rsid w:val="6D604895"/>
    <w:rsid w:val="6E3F1BBB"/>
    <w:rsid w:val="6E5646E1"/>
    <w:rsid w:val="6EB65F9A"/>
    <w:rsid w:val="6EBB01B4"/>
    <w:rsid w:val="6EBE220D"/>
    <w:rsid w:val="6ECE4F99"/>
    <w:rsid w:val="6F1C5268"/>
    <w:rsid w:val="6F2B4BE9"/>
    <w:rsid w:val="6F524530"/>
    <w:rsid w:val="70A60751"/>
    <w:rsid w:val="70A873E0"/>
    <w:rsid w:val="71087F7A"/>
    <w:rsid w:val="710B7F81"/>
    <w:rsid w:val="71106500"/>
    <w:rsid w:val="713C1D22"/>
    <w:rsid w:val="715570FC"/>
    <w:rsid w:val="71953882"/>
    <w:rsid w:val="71A671E9"/>
    <w:rsid w:val="71A911D9"/>
    <w:rsid w:val="721C4D44"/>
    <w:rsid w:val="7245393B"/>
    <w:rsid w:val="724D2D45"/>
    <w:rsid w:val="724D390C"/>
    <w:rsid w:val="72C802E6"/>
    <w:rsid w:val="73531A97"/>
    <w:rsid w:val="73B71C61"/>
    <w:rsid w:val="74181387"/>
    <w:rsid w:val="744273BD"/>
    <w:rsid w:val="74595839"/>
    <w:rsid w:val="74B47091"/>
    <w:rsid w:val="753321E9"/>
    <w:rsid w:val="757A0AC2"/>
    <w:rsid w:val="758A4A98"/>
    <w:rsid w:val="75F5118C"/>
    <w:rsid w:val="76682CA4"/>
    <w:rsid w:val="76AD6595"/>
    <w:rsid w:val="76D22381"/>
    <w:rsid w:val="76E0351B"/>
    <w:rsid w:val="7858544F"/>
    <w:rsid w:val="79073893"/>
    <w:rsid w:val="790F6B53"/>
    <w:rsid w:val="795D4D28"/>
    <w:rsid w:val="79676AB2"/>
    <w:rsid w:val="79997044"/>
    <w:rsid w:val="79B92D89"/>
    <w:rsid w:val="79C541D2"/>
    <w:rsid w:val="79D13178"/>
    <w:rsid w:val="7A3178FE"/>
    <w:rsid w:val="7A485FC6"/>
    <w:rsid w:val="7A5D3FC6"/>
    <w:rsid w:val="7AEA6F5B"/>
    <w:rsid w:val="7AF242BB"/>
    <w:rsid w:val="7B455AED"/>
    <w:rsid w:val="7B5430AD"/>
    <w:rsid w:val="7B8E3856"/>
    <w:rsid w:val="7B987C18"/>
    <w:rsid w:val="7C0C342A"/>
    <w:rsid w:val="7C613C68"/>
    <w:rsid w:val="7C706DAF"/>
    <w:rsid w:val="7C7A77A6"/>
    <w:rsid w:val="7CD514F6"/>
    <w:rsid w:val="7D31427A"/>
    <w:rsid w:val="7DC1685E"/>
    <w:rsid w:val="7DEB07D9"/>
    <w:rsid w:val="7E1C7C20"/>
    <w:rsid w:val="7E4F6CCE"/>
    <w:rsid w:val="7E506BE1"/>
    <w:rsid w:val="7EC06E8A"/>
    <w:rsid w:val="7F332D5F"/>
    <w:rsid w:val="7F3A6F59"/>
    <w:rsid w:val="7F3B71EA"/>
    <w:rsid w:val="7FAF00F0"/>
    <w:rsid w:val="7FB3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8"/>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39"/>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paragraph" w:styleId="6">
    <w:name w:val="heading 4"/>
    <w:basedOn w:val="1"/>
    <w:next w:val="1"/>
    <w:qFormat/>
    <w:uiPriority w:val="0"/>
    <w:pPr>
      <w:keepNext/>
      <w:keepLines/>
      <w:tabs>
        <w:tab w:val="left" w:pos="720"/>
      </w:tabs>
      <w:spacing w:before="10" w:after="10" w:line="380" w:lineRule="exact"/>
      <w:ind w:firstLine="208" w:firstLineChars="208"/>
      <w:outlineLvl w:val="3"/>
    </w:pPr>
    <w:rPr>
      <w:rFonts w:ascii="Arial" w:hAnsi="Arial" w:eastAsia="黑体"/>
      <w:b/>
      <w:kern w:val="2"/>
      <w:sz w:val="25"/>
      <w:szCs w:val="24"/>
      <w:lang w:val="en-US" w:eastAsia="zh-CN"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styleId="7">
    <w:name w:val="Normal Indent"/>
    <w:basedOn w:val="1"/>
    <w:qFormat/>
    <w:uiPriority w:val="0"/>
    <w:pPr>
      <w:adjustRightInd w:val="0"/>
      <w:snapToGrid w:val="0"/>
      <w:spacing w:line="360" w:lineRule="auto"/>
      <w:ind w:firstLine="420"/>
    </w:pPr>
    <w:rPr>
      <w:rFonts w:ascii="Calibri" w:hAnsi="Calibri"/>
      <w:sz w:val="24"/>
    </w:rPr>
  </w:style>
  <w:style w:type="paragraph" w:styleId="8">
    <w:name w:val="annotation text"/>
    <w:basedOn w:val="1"/>
    <w:qFormat/>
    <w:uiPriority w:val="0"/>
    <w:pPr>
      <w:jc w:val="left"/>
    </w:pPr>
  </w:style>
  <w:style w:type="paragraph" w:styleId="9">
    <w:name w:val="Body Text"/>
    <w:basedOn w:val="1"/>
    <w:next w:val="1"/>
    <w:link w:val="50"/>
    <w:unhideWhenUsed/>
    <w:qFormat/>
    <w:uiPriority w:val="0"/>
    <w:pPr>
      <w:spacing w:after="120"/>
    </w:pPr>
  </w:style>
  <w:style w:type="paragraph" w:styleId="10">
    <w:name w:val="Body Text Indent"/>
    <w:basedOn w:val="1"/>
    <w:unhideWhenUsed/>
    <w:qFormat/>
    <w:uiPriority w:val="0"/>
    <w:pPr>
      <w:spacing w:after="120"/>
      <w:ind w:left="420" w:leftChars="200"/>
    </w:pPr>
  </w:style>
  <w:style w:type="paragraph" w:styleId="11">
    <w:name w:val="Plain Text"/>
    <w:basedOn w:val="1"/>
    <w:qFormat/>
    <w:uiPriority w:val="0"/>
    <w:pPr>
      <w:adjustRightInd w:val="0"/>
      <w:snapToGrid w:val="0"/>
      <w:spacing w:line="360" w:lineRule="auto"/>
    </w:pPr>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Balloon Text"/>
    <w:basedOn w:val="1"/>
    <w:qFormat/>
    <w:uiPriority w:val="0"/>
    <w:rPr>
      <w:sz w:val="18"/>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8">
    <w:name w:val="Subtitle"/>
    <w:basedOn w:val="1"/>
    <w:next w:val="1"/>
    <w:qFormat/>
    <w:uiPriority w:val="0"/>
    <w:pPr>
      <w:spacing w:before="240" w:after="60" w:line="312" w:lineRule="auto"/>
      <w:jc w:val="center"/>
      <w:outlineLvl w:val="1"/>
    </w:pPr>
    <w:rPr>
      <w:b/>
      <w:bCs/>
      <w:kern w:val="28"/>
      <w:sz w:val="32"/>
      <w:szCs w:val="32"/>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widowControl/>
      <w:jc w:val="left"/>
    </w:pPr>
    <w:rPr>
      <w:rFonts w:ascii="宋体" w:hAnsi="宋体" w:cs="宋体"/>
      <w:kern w:val="0"/>
      <w:sz w:val="24"/>
    </w:rPr>
  </w:style>
  <w:style w:type="paragraph" w:styleId="21">
    <w:name w:val="Body Text First Indent"/>
    <w:basedOn w:val="1"/>
    <w:next w:val="1"/>
    <w:qFormat/>
    <w:uiPriority w:val="0"/>
    <w:pPr>
      <w:spacing w:line="360" w:lineRule="auto"/>
      <w:ind w:firstLine="420"/>
    </w:pPr>
    <w:rPr>
      <w:rFonts w:ascii="宋体" w:hAnsi="宋体"/>
      <w:sz w:val="24"/>
    </w:rPr>
  </w:style>
  <w:style w:type="paragraph" w:styleId="22">
    <w:name w:val="Body Text First Indent 2"/>
    <w:basedOn w:val="10"/>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annotation reference"/>
    <w:qFormat/>
    <w:uiPriority w:val="0"/>
    <w:rPr>
      <w:sz w:val="21"/>
    </w:rPr>
  </w:style>
  <w:style w:type="paragraph" w:customStyle="1" w:styleId="28">
    <w:name w:val="无间隔1"/>
    <w:qFormat/>
    <w:uiPriority w:val="1"/>
    <w:pPr>
      <w:jc w:val="both"/>
    </w:pPr>
    <w:rPr>
      <w:rFonts w:ascii="Times New Roman" w:hAnsi="Times New Roman" w:eastAsia="Times New Roman" w:cs="Times New Roman"/>
      <w:lang w:val="en-US" w:eastAsia="zh-CN" w:bidi="ar-SA"/>
    </w:rPr>
  </w:style>
  <w:style w:type="paragraph" w:customStyle="1" w:styleId="29">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30">
    <w:name w:val="Heading3"/>
    <w:basedOn w:val="1"/>
    <w:next w:val="1"/>
    <w:qFormat/>
    <w:uiPriority w:val="0"/>
    <w:pPr>
      <w:keepNext/>
      <w:keepLines/>
      <w:spacing w:before="260" w:after="260" w:line="416" w:lineRule="auto"/>
      <w:textAlignment w:val="baseline"/>
    </w:pPr>
    <w:rPr>
      <w:rFonts w:ascii="Cambria Math" w:hAnsi="Cambria Math" w:cs="Cambria Math"/>
      <w:b/>
      <w:bCs/>
      <w:kern w:val="0"/>
      <w:sz w:val="32"/>
      <w:szCs w:val="32"/>
    </w:rPr>
  </w:style>
  <w:style w:type="character" w:customStyle="1" w:styleId="31">
    <w:name w:val="NormalCharacter"/>
    <w:qFormat/>
    <w:uiPriority w:val="0"/>
    <w:rPr>
      <w:kern w:val="2"/>
      <w:sz w:val="21"/>
      <w:szCs w:val="24"/>
      <w:lang w:val="en-US" w:eastAsia="zh-CN" w:bidi="ar-SA"/>
    </w:rPr>
  </w:style>
  <w:style w:type="paragraph" w:customStyle="1" w:styleId="32">
    <w:name w:val="正文（缩进）"/>
    <w:basedOn w:val="1"/>
    <w:qFormat/>
    <w:uiPriority w:val="99"/>
    <w:pPr>
      <w:spacing w:before="156" w:after="156"/>
      <w:ind w:firstLine="480"/>
    </w:pPr>
  </w:style>
  <w:style w:type="character" w:customStyle="1" w:styleId="33">
    <w:name w:val="15"/>
    <w:basedOn w:val="25"/>
    <w:qFormat/>
    <w:uiPriority w:val="0"/>
    <w:rPr>
      <w:rFonts w:hint="eastAsia" w:ascii="仿宋" w:hAnsi="仿宋" w:eastAsia="仿宋"/>
      <w:color w:val="000000"/>
      <w:sz w:val="24"/>
      <w:szCs w:val="24"/>
    </w:rPr>
  </w:style>
  <w:style w:type="character" w:customStyle="1" w:styleId="34">
    <w:name w:val="16"/>
    <w:basedOn w:val="25"/>
    <w:qFormat/>
    <w:uiPriority w:val="0"/>
    <w:rPr>
      <w:rFonts w:hint="eastAsia" w:ascii="仿宋" w:hAnsi="仿宋" w:eastAsia="仿宋"/>
      <w:b/>
      <w:bCs/>
      <w:color w:val="FF0000"/>
      <w:sz w:val="24"/>
      <w:szCs w:val="24"/>
    </w:rPr>
  </w:style>
  <w:style w:type="paragraph" w:customStyle="1" w:styleId="3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6">
    <w:name w:val="1.正文"/>
    <w:basedOn w:val="1"/>
    <w:qFormat/>
    <w:uiPriority w:val="0"/>
    <w:pPr>
      <w:spacing w:line="360" w:lineRule="auto"/>
      <w:ind w:left="540" w:leftChars="225" w:firstLine="540" w:firstLineChars="225"/>
    </w:pPr>
  </w:style>
  <w:style w:type="paragraph" w:styleId="37">
    <w:name w:val="List Paragraph"/>
    <w:basedOn w:val="1"/>
    <w:qFormat/>
    <w:uiPriority w:val="34"/>
    <w:pPr>
      <w:ind w:firstLine="420" w:firstLineChars="200"/>
    </w:pPr>
    <w:rPr>
      <w:rFonts w:ascii="Calibri" w:hAnsi="Calibri"/>
      <w:sz w:val="21"/>
      <w:szCs w:val="22"/>
    </w:rPr>
  </w:style>
  <w:style w:type="character" w:customStyle="1" w:styleId="38">
    <w:name w:val="标题 1 字符"/>
    <w:link w:val="3"/>
    <w:qFormat/>
    <w:uiPriority w:val="0"/>
    <w:rPr>
      <w:rFonts w:eastAsia="黑体"/>
      <w:sz w:val="44"/>
    </w:rPr>
  </w:style>
  <w:style w:type="character" w:customStyle="1" w:styleId="39">
    <w:name w:val="标题 2 字符"/>
    <w:link w:val="4"/>
    <w:qFormat/>
    <w:uiPriority w:val="0"/>
    <w:rPr>
      <w:rFonts w:ascii="宋体" w:hAnsi="宋体"/>
    </w:rPr>
  </w:style>
  <w:style w:type="paragraph" w:customStyle="1" w:styleId="40">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4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2">
    <w:name w:val="2表格（表体）"/>
    <w:basedOn w:val="1"/>
    <w:qFormat/>
    <w:uiPriority w:val="99"/>
    <w:pPr>
      <w:spacing w:line="440" w:lineRule="exact"/>
      <w:ind w:firstLine="240" w:firstLineChars="100"/>
    </w:pPr>
  </w:style>
  <w:style w:type="paragraph" w:customStyle="1" w:styleId="43">
    <w:name w:val="标题 21"/>
    <w:basedOn w:val="1"/>
    <w:qFormat/>
    <w:uiPriority w:val="0"/>
    <w:pPr>
      <w:snapToGrid w:val="0"/>
      <w:spacing w:line="360" w:lineRule="auto"/>
      <w:outlineLvl w:val="1"/>
    </w:pPr>
    <w:rPr>
      <w:rFonts w:ascii="宋体" w:hAnsi="宋体"/>
    </w:rPr>
  </w:style>
  <w:style w:type="paragraph" w:customStyle="1" w:styleId="44">
    <w:name w:val="U_正文"/>
    <w:basedOn w:val="1"/>
    <w:qFormat/>
    <w:uiPriority w:val="0"/>
    <w:pPr>
      <w:spacing w:before="20" w:beforeLines="20" w:after="20" w:afterLines="20" w:line="300" w:lineRule="auto"/>
      <w:ind w:firstLine="200" w:firstLineChars="200"/>
    </w:pPr>
    <w:rPr>
      <w:rFonts w:ascii="Times New Roman" w:hAnsi="Times New Roman" w:eastAsia="宋体" w:cs="Times New Roman"/>
      <w:sz w:val="24"/>
      <w:szCs w:val="20"/>
    </w:rPr>
  </w:style>
  <w:style w:type="paragraph" w:customStyle="1" w:styleId="45">
    <w:name w:val="U_正文2"/>
    <w:basedOn w:val="1"/>
    <w:qFormat/>
    <w:uiPriority w:val="0"/>
    <w:pPr>
      <w:spacing w:before="10" w:beforeLines="10" w:after="10" w:afterLines="10" w:line="300" w:lineRule="auto"/>
    </w:pPr>
    <w:rPr>
      <w:rFonts w:ascii="Times New Roman" w:hAnsi="Times New Roman" w:cs="Times New Roman"/>
      <w:sz w:val="24"/>
      <w:szCs w:val="20"/>
    </w:rPr>
  </w:style>
  <w:style w:type="paragraph" w:customStyle="1" w:styleId="46">
    <w:name w:val="U_编号2"/>
    <w:basedOn w:val="1"/>
    <w:qFormat/>
    <w:uiPriority w:val="0"/>
    <w:pPr>
      <w:tabs>
        <w:tab w:val="left" w:pos="420"/>
        <w:tab w:val="left" w:pos="785"/>
      </w:tabs>
      <w:spacing w:before="10" w:beforeLines="10" w:after="10" w:afterLines="10" w:line="300" w:lineRule="auto"/>
      <w:ind w:left="420" w:hanging="420"/>
    </w:pPr>
    <w:rPr>
      <w:rFonts w:ascii="Times New Roman" w:hAnsi="Times New Roman" w:cs="Times New Roman"/>
      <w:sz w:val="24"/>
      <w:szCs w:val="20"/>
    </w:rPr>
  </w:style>
  <w:style w:type="paragraph" w:customStyle="1" w:styleId="47">
    <w:name w:val="一级标题"/>
    <w:basedOn w:val="1"/>
    <w:qFormat/>
    <w:uiPriority w:val="0"/>
    <w:pPr>
      <w:numPr>
        <w:ilvl w:val="0"/>
        <w:numId w:val="2"/>
      </w:numPr>
      <w:spacing w:before="10" w:beforeLines="10" w:line="900" w:lineRule="exact"/>
      <w:ind w:left="0" w:firstLine="640"/>
      <w:jc w:val="left"/>
      <w:outlineLvl w:val="0"/>
    </w:pPr>
    <w:rPr>
      <w:rFonts w:hint="eastAsia" w:eastAsia="方正黑体_GBK" w:cs="Times New Roman"/>
      <w:spacing w:val="0"/>
      <w:szCs w:val="32"/>
    </w:rPr>
  </w:style>
  <w:style w:type="paragraph" w:customStyle="1" w:styleId="48">
    <w:name w:val="表格内容"/>
    <w:basedOn w:val="9"/>
    <w:qFormat/>
    <w:uiPriority w:val="0"/>
    <w:pPr>
      <w:ind w:firstLine="0" w:firstLineChars="0"/>
      <w:jc w:val="center"/>
    </w:pPr>
    <w:rPr>
      <w:rFonts w:eastAsia="黑体"/>
      <w:sz w:val="24"/>
    </w:rPr>
  </w:style>
  <w:style w:type="paragraph" w:customStyle="1" w:styleId="49">
    <w:name w:val="二级标题"/>
    <w:basedOn w:val="47"/>
    <w:qFormat/>
    <w:uiPriority w:val="0"/>
    <w:pPr>
      <w:numPr>
        <w:numId w:val="3"/>
      </w:numPr>
      <w:spacing w:line="720" w:lineRule="exact"/>
      <w:ind w:left="0" w:firstLine="867" w:firstLineChars="200"/>
      <w:jc w:val="left"/>
      <w:outlineLvl w:val="1"/>
    </w:pPr>
    <w:rPr>
      <w:rFonts w:eastAsia="楷体"/>
    </w:rPr>
  </w:style>
  <w:style w:type="character" w:customStyle="1" w:styleId="50">
    <w:name w:val="正文文本 字符"/>
    <w:link w:val="9"/>
    <w:qFormat/>
    <w:uiPriority w:val="0"/>
  </w:style>
  <w:style w:type="paragraph" w:customStyle="1" w:styleId="51">
    <w:name w:val="三级标题"/>
    <w:basedOn w:val="1"/>
    <w:qFormat/>
    <w:uiPriority w:val="0"/>
    <w:pPr>
      <w:numPr>
        <w:ilvl w:val="0"/>
        <w:numId w:val="4"/>
      </w:numPr>
      <w:autoSpaceDE w:val="0"/>
      <w:autoSpaceDN w:val="0"/>
      <w:spacing w:before="10" w:beforeLines="10" w:after="40" w:afterLines="40" w:line="480" w:lineRule="exact"/>
      <w:ind w:firstLine="640" w:firstLineChars="200"/>
      <w:jc w:val="left"/>
      <w:outlineLvl w:val="2"/>
    </w:pPr>
    <w:rPr>
      <w:rFonts w:hint="eastAsia" w:ascii="Times New Roman" w:hAnsi="Times New Roman" w:cs="Times New Roman"/>
      <w:b/>
    </w:rPr>
  </w:style>
  <w:style w:type="paragraph" w:customStyle="1" w:styleId="52">
    <w:name w:val="1"/>
    <w:autoRedefine/>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53">
    <w:name w:val="正文 A"/>
    <w:autoRedefine/>
    <w:qFormat/>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character" w:customStyle="1" w:styleId="54">
    <w:name w:val="Hyperlink.0"/>
    <w:autoRedefine/>
    <w:qFormat/>
    <w:uiPriority w:val="0"/>
    <w:rPr>
      <w:lang w:val="en-US"/>
    </w:rPr>
  </w:style>
  <w:style w:type="character" w:customStyle="1" w:styleId="55">
    <w:name w:val="font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13740</Words>
  <Characters>14706</Characters>
  <Lines>148</Lines>
  <Paragraphs>41</Paragraphs>
  <TotalTime>23</TotalTime>
  <ScaleCrop>false</ScaleCrop>
  <LinksUpToDate>false</LinksUpToDate>
  <CharactersWithSpaces>14850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2024-04-23T09:24:00Z</dcterms:created>
  <dc:creator>重庆华西工程造价咨询有限公司</dc:creator>
  <cp:lastModifiedBy>菲菲U-know</cp:lastModifiedBy>
  <cp:lastPrinted>2025-02-21T09:40:00Z</cp:lastPrinted>
  <dcterms:modified xsi:type="dcterms:W3CDTF">2025-04-10T07:03:13Z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3C3BAE195EA949A1BA3C5AF73BA9460D_13</vt:lpwstr>
  </property>
  <property fmtid="{D5CDD505-2E9C-101B-9397-08002B2CF9AE}" pid="4" name="KSOTemplateDocerSaveRecord">
    <vt:lpwstr>eyJoZGlkIjoiMTlhYmY5ZmQzMjg4Yzc1NTU0ZjI1NDhhOGNkZjFkNWIiLCJ1c2VySWQiOiI4NjcyNzM5MjIifQ==</vt:lpwstr>
  </property>
</Properties>
</file>