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64BA87">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b w:val="0"/>
          <w:bCs w:val="0"/>
          <w:color w:val="auto"/>
          <w:sz w:val="32"/>
          <w:szCs w:val="32"/>
          <w:highlight w:val="none"/>
          <w:lang w:eastAsia="zh-CN"/>
        </w:rPr>
      </w:pPr>
      <w:bookmarkStart w:id="0" w:name="_Toc106034620"/>
      <w:bookmarkStart w:id="1" w:name="_Toc15726"/>
      <w:bookmarkStart w:id="2" w:name="_Toc24173"/>
      <w:bookmarkStart w:id="3" w:name="_Toc11641050"/>
      <w:bookmarkStart w:id="4" w:name="_Toc65660329"/>
      <w:bookmarkStart w:id="5" w:name="_Toc12789052"/>
      <w:r>
        <w:rPr>
          <w:rFonts w:hint="eastAsia" w:ascii="宋体" w:hAnsi="宋体" w:eastAsia="宋体" w:cs="宋体"/>
          <w:b w:val="0"/>
          <w:bCs w:val="0"/>
          <w:color w:val="auto"/>
          <w:sz w:val="32"/>
          <w:szCs w:val="32"/>
          <w:highlight w:val="none"/>
        </w:rPr>
        <w:t>项目名</w:t>
      </w:r>
      <w:r>
        <w:rPr>
          <w:rFonts w:hint="eastAsia" w:ascii="宋体" w:hAnsi="宋体" w:eastAsia="宋体" w:cs="宋体"/>
          <w:color w:val="auto"/>
          <w:sz w:val="32"/>
          <w:szCs w:val="32"/>
          <w:highlight w:val="none"/>
          <w:lang w:val="en-US" w:eastAsia="zh-CN"/>
        </w:rPr>
        <w:t>称</w:t>
      </w:r>
      <w:r>
        <w:rPr>
          <w:rFonts w:hint="default" w:ascii="宋体" w:hAnsi="宋体" w:eastAsia="宋体" w:cs="宋体"/>
          <w:color w:val="auto"/>
          <w:sz w:val="32"/>
          <w:szCs w:val="32"/>
          <w:highlight w:val="none"/>
          <w:lang w:eastAsia="zh-CN"/>
        </w:rPr>
        <w:t>：</w:t>
      </w:r>
      <w:r>
        <w:rPr>
          <w:rFonts w:hint="default" w:ascii="宋体" w:hAnsi="宋体" w:eastAsia="宋体" w:cs="宋体"/>
          <w:color w:val="auto"/>
          <w:sz w:val="32"/>
          <w:szCs w:val="32"/>
          <w:highlight w:val="none"/>
          <w:lang w:val="en-US" w:eastAsia="zh-CN"/>
        </w:rPr>
        <w:t>博物馆改陈项目</w:t>
      </w:r>
    </w:p>
    <w:p w14:paraId="3E3B1C9A">
      <w:pPr>
        <w:shd w:val="clear"/>
        <w:adjustRightInd w:val="0"/>
        <w:snapToGrid w:val="0"/>
        <w:spacing w:line="360" w:lineRule="auto"/>
        <w:ind w:left="2891" w:hanging="2880" w:hangingChars="900"/>
        <w:jc w:val="left"/>
        <w:outlineLvl w:val="9"/>
        <w:rPr>
          <w:rFonts w:hint="default" w:ascii="宋体" w:hAnsi="宋体" w:eastAsia="宋体" w:cs="宋体"/>
          <w:color w:val="auto"/>
          <w:sz w:val="32"/>
          <w:highlight w:val="none"/>
        </w:rPr>
      </w:pPr>
      <w:r>
        <w:rPr>
          <w:rFonts w:hint="eastAsia" w:ascii="宋体" w:hAnsi="宋体" w:eastAsia="宋体" w:cs="宋体"/>
          <w:b w:val="0"/>
          <w:bCs w:val="0"/>
          <w:color w:val="auto"/>
          <w:sz w:val="32"/>
          <w:szCs w:val="32"/>
          <w:highlight w:val="none"/>
        </w:rPr>
        <w:t>项目</w:t>
      </w:r>
      <w:r>
        <w:rPr>
          <w:rFonts w:hint="eastAsia" w:ascii="宋体" w:hAnsi="宋体" w:eastAsia="宋体" w:cs="宋体"/>
          <w:b w:val="0"/>
          <w:bCs w:val="0"/>
          <w:color w:val="auto"/>
          <w:sz w:val="32"/>
          <w:szCs w:val="32"/>
          <w:highlight w:val="none"/>
          <w:lang w:val="en-US" w:eastAsia="zh-CN"/>
        </w:rPr>
        <w:t>编号</w:t>
      </w:r>
      <w:r>
        <w:rPr>
          <w:rFonts w:hint="eastAsia" w:ascii="宋体" w:hAnsi="宋体" w:eastAsia="宋体" w:cs="宋体"/>
          <w:b w:val="0"/>
          <w:bCs w:val="0"/>
          <w:color w:val="auto"/>
          <w:sz w:val="32"/>
          <w:szCs w:val="32"/>
          <w:highlight w:val="none"/>
        </w:rPr>
        <w:t>：</w:t>
      </w:r>
      <w:r>
        <w:rPr>
          <w:rFonts w:hint="eastAsia" w:ascii="宋体" w:hAnsi="宋体" w:eastAsia="宋体" w:cs="宋体"/>
          <w:color w:val="auto"/>
          <w:sz w:val="32"/>
          <w:szCs w:val="32"/>
          <w:highlight w:val="none"/>
          <w:lang w:val="en-US" w:eastAsia="zh-CN"/>
        </w:rPr>
        <w:t>Y</w:t>
      </w:r>
      <w:r>
        <w:rPr>
          <w:rFonts w:hint="default" w:ascii="宋体" w:hAnsi="宋体" w:cs="宋体"/>
          <w:color w:val="auto"/>
          <w:sz w:val="32"/>
          <w:szCs w:val="32"/>
          <w:highlight w:val="none"/>
          <w:lang w:eastAsia="zh-CN"/>
        </w:rPr>
        <w:t>FD</w:t>
      </w:r>
      <w:r>
        <w:rPr>
          <w:rFonts w:hint="eastAsia" w:ascii="宋体" w:hAnsi="宋体" w:eastAsia="宋体" w:cs="宋体"/>
          <w:color w:val="auto"/>
          <w:sz w:val="32"/>
          <w:szCs w:val="32"/>
          <w:highlight w:val="none"/>
          <w:lang w:val="en-US" w:eastAsia="zh-CN"/>
        </w:rPr>
        <w:t>202</w:t>
      </w:r>
      <w:r>
        <w:rPr>
          <w:rFonts w:hint="default" w:ascii="宋体" w:hAnsi="宋体" w:cs="宋体"/>
          <w:color w:val="auto"/>
          <w:sz w:val="32"/>
          <w:szCs w:val="32"/>
          <w:highlight w:val="none"/>
          <w:lang w:eastAsia="zh-CN"/>
        </w:rPr>
        <w:t>5</w:t>
      </w:r>
      <w:r>
        <w:rPr>
          <w:rFonts w:hint="eastAsia" w:ascii="宋体" w:hAnsi="宋体" w:eastAsia="宋体" w:cs="宋体"/>
          <w:color w:val="auto"/>
          <w:sz w:val="32"/>
          <w:szCs w:val="32"/>
          <w:highlight w:val="none"/>
          <w:lang w:val="en-US" w:eastAsia="zh-CN"/>
        </w:rPr>
        <w:t>-</w:t>
      </w:r>
      <w:r>
        <w:rPr>
          <w:rFonts w:hint="eastAsia" w:ascii="宋体" w:hAnsi="宋体" w:cs="宋体"/>
          <w:color w:val="auto"/>
          <w:sz w:val="32"/>
          <w:szCs w:val="32"/>
          <w:highlight w:val="none"/>
          <w:lang w:val="en-US" w:eastAsia="zh-CN"/>
        </w:rPr>
        <w:t>06</w:t>
      </w:r>
      <w:r>
        <w:rPr>
          <w:rFonts w:hint="default" w:ascii="宋体" w:hAnsi="宋体" w:cs="宋体"/>
          <w:color w:val="auto"/>
          <w:sz w:val="32"/>
          <w:szCs w:val="32"/>
          <w:highlight w:val="none"/>
          <w:lang w:eastAsia="zh-CN"/>
        </w:rPr>
        <w:t>0</w:t>
      </w:r>
    </w:p>
    <w:p w14:paraId="719EF419">
      <w:pPr>
        <w:pStyle w:val="4"/>
        <w:shd w:val="clear"/>
        <w:rPr>
          <w:rFonts w:hint="eastAsia" w:ascii="宋体" w:hAnsi="宋体" w:cs="宋体"/>
          <w:color w:val="auto"/>
          <w:highlight w:val="none"/>
        </w:rPr>
      </w:pPr>
    </w:p>
    <w:p w14:paraId="166303E4">
      <w:pPr>
        <w:shd w:val="clear"/>
        <w:spacing w:line="240" w:lineRule="auto"/>
        <w:jc w:val="center"/>
        <w:outlineLvl w:val="0"/>
        <w:rPr>
          <w:rFonts w:hint="eastAsia" w:ascii="宋体" w:hAnsi="宋体" w:eastAsia="宋体" w:cs="宋体"/>
          <w:color w:val="auto"/>
          <w:spacing w:val="80"/>
          <w:sz w:val="112"/>
          <w:szCs w:val="112"/>
          <w:highlight w:val="none"/>
          <w:lang w:val="en-US" w:eastAsia="zh-CN"/>
        </w:rPr>
      </w:pPr>
    </w:p>
    <w:p w14:paraId="76149C8B">
      <w:pPr>
        <w:shd w:val="clear"/>
        <w:spacing w:line="240" w:lineRule="auto"/>
        <w:jc w:val="center"/>
        <w:outlineLvl w:val="0"/>
        <w:rPr>
          <w:rFonts w:hint="eastAsia" w:ascii="宋体" w:hAnsi="宋体" w:eastAsia="宋体" w:cs="宋体"/>
          <w:color w:val="auto"/>
          <w:spacing w:val="80"/>
          <w:sz w:val="84"/>
          <w:szCs w:val="84"/>
          <w:highlight w:val="none"/>
          <w:lang w:val="en-US" w:eastAsia="zh-CN"/>
        </w:rPr>
      </w:pPr>
    </w:p>
    <w:p w14:paraId="6D65A6BA">
      <w:pPr>
        <w:shd w:val="clear"/>
        <w:spacing w:line="240" w:lineRule="auto"/>
        <w:jc w:val="both"/>
        <w:outlineLvl w:val="0"/>
        <w:rPr>
          <w:rFonts w:hint="eastAsia" w:ascii="宋体" w:hAnsi="宋体" w:eastAsia="宋体" w:cs="宋体"/>
          <w:color w:val="auto"/>
          <w:spacing w:val="80"/>
          <w:sz w:val="84"/>
          <w:szCs w:val="84"/>
          <w:highlight w:val="none"/>
          <w:lang w:val="en-US" w:eastAsia="zh-CN"/>
        </w:rPr>
      </w:pPr>
    </w:p>
    <w:p w14:paraId="10FBB70B">
      <w:pPr>
        <w:shd w:val="clear"/>
        <w:spacing w:line="240" w:lineRule="auto"/>
        <w:jc w:val="center"/>
        <w:outlineLvl w:val="0"/>
        <w:rPr>
          <w:rFonts w:hint="eastAsia" w:ascii="宋体" w:hAnsi="宋体" w:eastAsia="宋体" w:cs="宋体"/>
          <w:color w:val="auto"/>
          <w:sz w:val="52"/>
          <w:szCs w:val="52"/>
          <w:highlight w:val="none"/>
        </w:rPr>
      </w:pPr>
      <w:r>
        <w:rPr>
          <w:rFonts w:hint="eastAsia" w:ascii="宋体" w:hAnsi="宋体" w:eastAsia="宋体" w:cs="宋体"/>
          <w:color w:val="auto"/>
          <w:spacing w:val="80"/>
          <w:sz w:val="52"/>
          <w:szCs w:val="52"/>
          <w:highlight w:val="none"/>
          <w:lang w:val="en-US" w:eastAsia="zh-CN"/>
        </w:rPr>
        <w:t>竞争性比选</w:t>
      </w:r>
      <w:r>
        <w:rPr>
          <w:rFonts w:hint="eastAsia" w:ascii="宋体" w:hAnsi="宋体" w:eastAsia="宋体" w:cs="宋体"/>
          <w:color w:val="auto"/>
          <w:spacing w:val="80"/>
          <w:sz w:val="52"/>
          <w:szCs w:val="52"/>
          <w:highlight w:val="none"/>
        </w:rPr>
        <w:t>文件</w:t>
      </w:r>
    </w:p>
    <w:p w14:paraId="33A7F087">
      <w:pPr>
        <w:pStyle w:val="23"/>
        <w:shd w:val="clear"/>
        <w:spacing w:line="500" w:lineRule="exact"/>
        <w:ind w:left="0"/>
        <w:jc w:val="center"/>
        <w:rPr>
          <w:rFonts w:hint="eastAsia" w:ascii="宋体" w:hAnsi="宋体" w:eastAsia="宋体" w:cs="宋体"/>
          <w:color w:val="auto"/>
          <w:sz w:val="32"/>
          <w:highlight w:val="none"/>
        </w:rPr>
      </w:pPr>
    </w:p>
    <w:p w14:paraId="58A99E18">
      <w:pPr>
        <w:pStyle w:val="23"/>
        <w:shd w:val="clear"/>
        <w:spacing w:line="500" w:lineRule="exact"/>
        <w:ind w:left="0"/>
        <w:jc w:val="center"/>
        <w:rPr>
          <w:rFonts w:hint="eastAsia" w:ascii="宋体" w:hAnsi="宋体" w:eastAsia="宋体" w:cs="宋体"/>
          <w:color w:val="auto"/>
          <w:sz w:val="32"/>
          <w:highlight w:val="none"/>
        </w:rPr>
      </w:pPr>
    </w:p>
    <w:p w14:paraId="4217EF03">
      <w:pPr>
        <w:pStyle w:val="23"/>
        <w:shd w:val="clear"/>
        <w:spacing w:line="500" w:lineRule="exact"/>
        <w:ind w:left="0"/>
        <w:jc w:val="both"/>
        <w:rPr>
          <w:rFonts w:hint="eastAsia" w:ascii="宋体" w:hAnsi="宋体" w:eastAsia="宋体" w:cs="宋体"/>
          <w:color w:val="auto"/>
          <w:sz w:val="32"/>
          <w:highlight w:val="none"/>
        </w:rPr>
      </w:pPr>
    </w:p>
    <w:p w14:paraId="633108BF">
      <w:pPr>
        <w:pStyle w:val="23"/>
        <w:shd w:val="clear"/>
        <w:spacing w:line="500" w:lineRule="exact"/>
        <w:ind w:left="0"/>
        <w:jc w:val="both"/>
        <w:rPr>
          <w:rFonts w:hint="eastAsia" w:ascii="宋体" w:hAnsi="宋体" w:eastAsia="宋体" w:cs="宋体"/>
          <w:color w:val="auto"/>
          <w:sz w:val="32"/>
          <w:highlight w:val="none"/>
        </w:rPr>
      </w:pPr>
    </w:p>
    <w:p w14:paraId="1B181185">
      <w:pPr>
        <w:pStyle w:val="23"/>
        <w:shd w:val="clear"/>
        <w:spacing w:line="500" w:lineRule="exact"/>
        <w:ind w:left="0"/>
        <w:jc w:val="center"/>
        <w:rPr>
          <w:rFonts w:hint="eastAsia" w:ascii="宋体" w:hAnsi="宋体" w:eastAsia="宋体" w:cs="宋体"/>
          <w:color w:val="auto"/>
          <w:sz w:val="32"/>
          <w:highlight w:val="none"/>
        </w:rPr>
      </w:pPr>
    </w:p>
    <w:p w14:paraId="2EF4B1E3">
      <w:pPr>
        <w:shd w:val="clear"/>
        <w:spacing w:line="480" w:lineRule="auto"/>
        <w:jc w:val="center"/>
        <w:outlineLvl w:val="0"/>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 </w:t>
      </w:r>
    </w:p>
    <w:p w14:paraId="1568CBEF">
      <w:pPr>
        <w:shd w:val="clear"/>
        <w:spacing w:line="480" w:lineRule="auto"/>
        <w:jc w:val="center"/>
        <w:outlineLvl w:val="0"/>
        <w:rPr>
          <w:rFonts w:hint="eastAsia" w:ascii="宋体" w:hAnsi="宋体" w:eastAsia="宋体" w:cs="宋体"/>
          <w:b/>
          <w:bCs/>
          <w:color w:val="auto"/>
          <w:sz w:val="32"/>
          <w:szCs w:val="32"/>
          <w:highlight w:val="none"/>
          <w:u w:val="none"/>
          <w:lang w:val="en-US" w:eastAsia="zh-CN"/>
        </w:rPr>
      </w:pPr>
    </w:p>
    <w:p w14:paraId="19BFE5E7">
      <w:pPr>
        <w:shd w:val="clear"/>
        <w:spacing w:line="500" w:lineRule="exact"/>
        <w:ind w:firstLine="643" w:firstLineChars="200"/>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 xml:space="preserve"> </w:t>
      </w:r>
    </w:p>
    <w:p w14:paraId="165A3273">
      <w:pPr>
        <w:shd w:val="clear"/>
        <w:spacing w:line="500" w:lineRule="exact"/>
        <w:jc w:val="both"/>
        <w:rPr>
          <w:rFonts w:hint="eastAsia" w:ascii="宋体" w:hAnsi="宋体" w:eastAsia="宋体" w:cs="宋体"/>
          <w:b/>
          <w:bCs/>
          <w:color w:val="auto"/>
          <w:sz w:val="32"/>
          <w:szCs w:val="32"/>
          <w:highlight w:val="none"/>
        </w:rPr>
      </w:pPr>
    </w:p>
    <w:p w14:paraId="06ADABBD">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1400" w:firstLineChars="500"/>
        <w:jc w:val="both"/>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比选人</w:t>
      </w:r>
      <w:r>
        <w:rPr>
          <w:rFonts w:hint="eastAsia" w:ascii="宋体" w:hAnsi="宋体" w:eastAsia="宋体" w:cs="宋体"/>
          <w:b w:val="0"/>
          <w:bCs w:val="0"/>
          <w:color w:val="auto"/>
          <w:sz w:val="28"/>
          <w:szCs w:val="28"/>
          <w:highlight w:val="none"/>
        </w:rPr>
        <w:t>：</w:t>
      </w:r>
      <w:r>
        <w:rPr>
          <w:rFonts w:hint="default" w:ascii="宋体" w:hAnsi="宋体" w:cs="宋体"/>
          <w:b w:val="0"/>
          <w:bCs w:val="0"/>
          <w:color w:val="auto"/>
          <w:sz w:val="28"/>
          <w:szCs w:val="28"/>
          <w:highlight w:val="none"/>
          <w:u w:val="single"/>
        </w:rPr>
        <w:t>重庆市涪陵区博物馆</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none"/>
          <w:lang w:val="en-US" w:eastAsia="zh-CN"/>
        </w:rPr>
        <w:t>盖公章</w:t>
      </w:r>
      <w:r>
        <w:rPr>
          <w:rFonts w:hint="eastAsia" w:ascii="宋体" w:hAnsi="宋体" w:eastAsia="宋体" w:cs="宋体"/>
          <w:b w:val="0"/>
          <w:bCs w:val="0"/>
          <w:color w:val="auto"/>
          <w:sz w:val="28"/>
          <w:szCs w:val="28"/>
          <w:highlight w:val="none"/>
          <w:u w:val="none"/>
          <w:lang w:eastAsia="zh-CN"/>
        </w:rPr>
        <w:t>）</w:t>
      </w:r>
    </w:p>
    <w:p w14:paraId="21EF178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1400" w:firstLineChars="500"/>
        <w:jc w:val="both"/>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比选代理机构</w:t>
      </w:r>
      <w:r>
        <w:rPr>
          <w:rFonts w:hint="eastAsia" w:ascii="宋体" w:hAnsi="宋体" w:eastAsia="宋体" w:cs="宋体"/>
          <w:b w:val="0"/>
          <w:bCs w:val="0"/>
          <w:color w:val="auto"/>
          <w:sz w:val="28"/>
          <w:szCs w:val="28"/>
          <w:highlight w:val="none"/>
        </w:rPr>
        <w:t>：</w:t>
      </w:r>
      <w:r>
        <w:rPr>
          <w:rFonts w:hint="default" w:ascii="宋体" w:hAnsi="宋体" w:cs="宋体"/>
          <w:b w:val="0"/>
          <w:bCs w:val="0"/>
          <w:color w:val="auto"/>
          <w:sz w:val="28"/>
          <w:szCs w:val="28"/>
          <w:highlight w:val="none"/>
          <w:u w:val="single"/>
          <w:lang w:eastAsia="zh-CN"/>
        </w:rPr>
        <w:t>重庆渝富达项目管理有限公司</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none"/>
          <w:lang w:val="en-US" w:eastAsia="zh-CN"/>
        </w:rPr>
        <w:t>盖公章</w:t>
      </w:r>
      <w:r>
        <w:rPr>
          <w:rFonts w:hint="eastAsia" w:ascii="宋体" w:hAnsi="宋体" w:eastAsia="宋体" w:cs="宋体"/>
          <w:b w:val="0"/>
          <w:bCs w:val="0"/>
          <w:color w:val="auto"/>
          <w:sz w:val="28"/>
          <w:szCs w:val="28"/>
          <w:highlight w:val="none"/>
          <w:u w:val="none"/>
          <w:lang w:eastAsia="zh-CN"/>
        </w:rPr>
        <w:t>）</w:t>
      </w:r>
    </w:p>
    <w:p w14:paraId="53203820">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二○二</w:t>
      </w:r>
      <w:r>
        <w:rPr>
          <w:rFonts w:hint="default" w:ascii="宋体" w:hAnsi="宋体" w:cs="宋体"/>
          <w:b w:val="0"/>
          <w:bCs w:val="0"/>
          <w:color w:val="auto"/>
          <w:sz w:val="28"/>
          <w:szCs w:val="28"/>
          <w:highlight w:val="none"/>
          <w:lang w:eastAsia="zh-CN"/>
        </w:rPr>
        <w:t>五</w:t>
      </w:r>
      <w:r>
        <w:rPr>
          <w:rFonts w:hint="eastAsia" w:ascii="宋体" w:hAnsi="宋体" w:eastAsia="宋体" w:cs="宋体"/>
          <w:b w:val="0"/>
          <w:bCs w:val="0"/>
          <w:color w:val="auto"/>
          <w:sz w:val="28"/>
          <w:szCs w:val="28"/>
          <w:highlight w:val="none"/>
        </w:rPr>
        <w:t>年</w:t>
      </w:r>
      <w:r>
        <w:rPr>
          <w:rFonts w:hint="default" w:ascii="宋体" w:hAnsi="宋体" w:cs="宋体"/>
          <w:b w:val="0"/>
          <w:bCs w:val="0"/>
          <w:color w:val="auto"/>
          <w:sz w:val="28"/>
          <w:szCs w:val="28"/>
          <w:highlight w:val="none"/>
          <w:lang w:eastAsia="zh-CN"/>
        </w:rPr>
        <w:t>十一</w:t>
      </w:r>
      <w:r>
        <w:rPr>
          <w:rFonts w:hint="eastAsia" w:ascii="宋体" w:hAnsi="宋体" w:eastAsia="宋体" w:cs="宋体"/>
          <w:b w:val="0"/>
          <w:bCs w:val="0"/>
          <w:color w:val="auto"/>
          <w:sz w:val="28"/>
          <w:szCs w:val="28"/>
          <w:highlight w:val="none"/>
        </w:rPr>
        <w:t>月</w:t>
      </w:r>
    </w:p>
    <w:p w14:paraId="4516DE10">
      <w:pPr>
        <w:pageBreakBefore w:val="0"/>
        <w:shd w:val="clear"/>
        <w:kinsoku/>
        <w:wordWrap/>
        <w:overflowPunct/>
        <w:topLinePunct w:val="0"/>
        <w:autoSpaceDE/>
        <w:autoSpaceDN/>
        <w:bidi w:val="0"/>
        <w:adjustRightInd w:val="0"/>
        <w:snapToGrid w:val="0"/>
        <w:spacing w:line="360" w:lineRule="auto"/>
        <w:ind w:left="0" w:leftChars="0" w:right="0" w:rightChars="0"/>
        <w:jc w:val="center"/>
        <w:rPr>
          <w:rFonts w:hint="eastAsia" w:ascii="宋体" w:hAnsi="宋体" w:eastAsia="宋体" w:cs="宋体"/>
          <w:b/>
          <w:bCs/>
          <w:color w:val="auto"/>
          <w:sz w:val="32"/>
          <w:szCs w:val="32"/>
          <w:highlight w:val="none"/>
        </w:rPr>
      </w:pPr>
    </w:p>
    <w:p w14:paraId="57CF6B59">
      <w:pPr>
        <w:pageBreakBefore w:val="0"/>
        <w:shd w:val="clear"/>
        <w:kinsoku/>
        <w:wordWrap/>
        <w:overflowPunct/>
        <w:topLinePunct w:val="0"/>
        <w:autoSpaceDE/>
        <w:autoSpaceDN/>
        <w:bidi w:val="0"/>
        <w:adjustRightInd w:val="0"/>
        <w:snapToGrid w:val="0"/>
        <w:spacing w:line="360" w:lineRule="auto"/>
        <w:ind w:left="0" w:leftChars="0" w:right="0" w:rightChars="0"/>
        <w:jc w:val="center"/>
        <w:rPr>
          <w:rFonts w:hint="eastAsia" w:ascii="宋体" w:hAnsi="宋体" w:eastAsia="宋体" w:cs="宋体"/>
          <w:b/>
          <w:bCs/>
          <w:color w:val="auto"/>
          <w:sz w:val="32"/>
          <w:szCs w:val="32"/>
          <w:highlight w:val="none"/>
        </w:rPr>
      </w:pPr>
    </w:p>
    <w:p w14:paraId="4646A6EA">
      <w:pPr>
        <w:pageBreakBefore w:val="0"/>
        <w:shd w:val="clear"/>
        <w:kinsoku/>
        <w:wordWrap/>
        <w:overflowPunct/>
        <w:topLinePunct w:val="0"/>
        <w:autoSpaceDE/>
        <w:autoSpaceDN/>
        <w:bidi w:val="0"/>
        <w:adjustRightInd w:val="0"/>
        <w:snapToGrid w:val="0"/>
        <w:spacing w:line="360" w:lineRule="auto"/>
        <w:ind w:left="0" w:leftChars="0" w:right="0" w:righ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6586D2FC">
      <w:pPr>
        <w:pStyle w:val="22"/>
        <w:shd w:val="clear"/>
        <w:rPr>
          <w:rFonts w:hint="eastAsia" w:ascii="宋体" w:hAnsi="宋体" w:eastAsia="宋体" w:cs="宋体"/>
          <w:b/>
          <w:bCs/>
          <w:color w:val="auto"/>
          <w:sz w:val="32"/>
          <w:szCs w:val="32"/>
          <w:highlight w:val="none"/>
        </w:rPr>
      </w:pPr>
    </w:p>
    <w:p w14:paraId="04EC4DAC">
      <w:pPr>
        <w:pStyle w:val="22"/>
        <w:shd w:val="clear"/>
        <w:rPr>
          <w:rFonts w:hint="eastAsia" w:ascii="宋体" w:hAnsi="宋体" w:eastAsia="宋体" w:cs="宋体"/>
          <w:color w:val="auto"/>
          <w:sz w:val="21"/>
          <w:szCs w:val="21"/>
          <w:highlight w:val="none"/>
        </w:rPr>
      </w:pPr>
    </w:p>
    <w:p w14:paraId="2F8A166F">
      <w:pPr>
        <w:pStyle w:val="38"/>
        <w:keepNext w:val="0"/>
        <w:keepLines w:val="0"/>
        <w:pageBreakBefore w:val="0"/>
        <w:widowControl w:val="0"/>
        <w:shd w:val="clear"/>
        <w:tabs>
          <w:tab w:val="right" w:leader="dot" w:pos="9412"/>
        </w:tabs>
        <w:kinsoku/>
        <w:wordWrap/>
        <w:overflowPunct/>
        <w:topLinePunct w:val="0"/>
        <w:autoSpaceDE/>
        <w:autoSpaceDN/>
        <w:bidi w:val="0"/>
        <w:adjustRightInd w:val="0"/>
        <w:snapToGrid w:val="0"/>
        <w:spacing w:line="48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"1-1"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en-US" w:eastAsia="zh-CN" w:bidi="ar-SA"/>
        </w:rPr>
        <w:t>第一篇  竞争性比选公告</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_Toc30464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- 3 -</w:t>
      </w:r>
      <w:r>
        <w:rPr>
          <w:rFonts w:hint="eastAsia" w:ascii="宋体" w:hAnsi="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CCCC42">
      <w:pPr>
        <w:pStyle w:val="38"/>
        <w:keepNext w:val="0"/>
        <w:keepLines w:val="0"/>
        <w:pageBreakBefore w:val="0"/>
        <w:widowControl w:val="0"/>
        <w:shd w:val="clear"/>
        <w:tabs>
          <w:tab w:val="right" w:leader="dot" w:pos="9412"/>
        </w:tabs>
        <w:kinsoku/>
        <w:wordWrap/>
        <w:overflowPunct/>
        <w:topLinePunct w:val="0"/>
        <w:autoSpaceDE/>
        <w:autoSpaceDN/>
        <w:bidi w:val="0"/>
        <w:adjustRightInd w:val="0"/>
        <w:snapToGrid w:val="0"/>
        <w:spacing w:line="48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_Toc17146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en-US" w:eastAsia="zh-CN" w:bidi="ar-SA"/>
        </w:rPr>
        <w:t>第二篇 比选项目技术（质量）需求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_Toc17146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- 6 -</w:t>
      </w:r>
      <w:r>
        <w:rPr>
          <w:rFonts w:hint="eastAsia" w:ascii="宋体" w:hAnsi="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C96E07">
      <w:pPr>
        <w:pStyle w:val="38"/>
        <w:keepNext w:val="0"/>
        <w:keepLines w:val="0"/>
        <w:pageBreakBefore w:val="0"/>
        <w:widowControl w:val="0"/>
        <w:shd w:val="clear"/>
        <w:tabs>
          <w:tab w:val="right" w:leader="dot" w:pos="9412"/>
        </w:tabs>
        <w:kinsoku/>
        <w:wordWrap/>
        <w:overflowPunct/>
        <w:topLinePunct w:val="0"/>
        <w:autoSpaceDE/>
        <w:autoSpaceDN/>
        <w:bidi w:val="0"/>
        <w:adjustRightInd w:val="0"/>
        <w:snapToGrid w:val="0"/>
        <w:spacing w:line="48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en-US" w:eastAsia="zh-CN" w:bidi="ar-SA"/>
        </w:rPr>
        <w:t>第三篇  项目服务需求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_Toc30544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- 12 -</w:t>
      </w:r>
      <w:r>
        <w:rPr>
          <w:rFonts w:hint="eastAsia" w:ascii="宋体" w:hAnsi="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70FDC2">
      <w:pPr>
        <w:pStyle w:val="38"/>
        <w:keepNext w:val="0"/>
        <w:keepLines w:val="0"/>
        <w:pageBreakBefore w:val="0"/>
        <w:widowControl w:val="0"/>
        <w:shd w:val="clear"/>
        <w:tabs>
          <w:tab w:val="right" w:leader="dot" w:pos="9412"/>
        </w:tabs>
        <w:kinsoku/>
        <w:wordWrap/>
        <w:overflowPunct/>
        <w:topLinePunct w:val="0"/>
        <w:autoSpaceDE/>
        <w:autoSpaceDN/>
        <w:bidi w:val="0"/>
        <w:adjustRightInd w:val="0"/>
        <w:snapToGrid w:val="0"/>
        <w:spacing w:line="48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en-US" w:eastAsia="zh-CN" w:bidi="ar-SA"/>
        </w:rPr>
        <w:t>第四篇  资格审查及评标办法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_Toc6069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- 15 -</w:t>
      </w:r>
      <w:r>
        <w:rPr>
          <w:rFonts w:hint="eastAsia" w:ascii="宋体" w:hAnsi="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07558C">
      <w:pPr>
        <w:pStyle w:val="38"/>
        <w:keepNext w:val="0"/>
        <w:keepLines w:val="0"/>
        <w:pageBreakBefore w:val="0"/>
        <w:widowControl w:val="0"/>
        <w:shd w:val="clear"/>
        <w:tabs>
          <w:tab w:val="right" w:leader="dot" w:pos="9412"/>
        </w:tabs>
        <w:kinsoku/>
        <w:wordWrap/>
        <w:overflowPunct/>
        <w:topLinePunct w:val="0"/>
        <w:autoSpaceDE/>
        <w:autoSpaceDN/>
        <w:bidi w:val="0"/>
        <w:adjustRightInd w:val="0"/>
        <w:snapToGrid w:val="0"/>
        <w:spacing w:line="48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2"/>
          <w:sz w:val="21"/>
          <w:szCs w:val="21"/>
          <w:highlight w:val="none"/>
          <w:lang w:val="en-US" w:eastAsia="zh-CN" w:bidi="ar-SA"/>
        </w:rPr>
        <w:t>第五篇  供应商须知</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_Toc32330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- 20 -</w:t>
      </w:r>
      <w:r>
        <w:rPr>
          <w:rFonts w:hint="eastAsia" w:ascii="宋体" w:hAnsi="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FBB96E5">
      <w:pPr>
        <w:pStyle w:val="38"/>
        <w:keepNext w:val="0"/>
        <w:keepLines w:val="0"/>
        <w:pageBreakBefore w:val="0"/>
        <w:widowControl w:val="0"/>
        <w:shd w:val="clear"/>
        <w:tabs>
          <w:tab w:val="right" w:leader="dot" w:pos="9412"/>
        </w:tabs>
        <w:kinsoku/>
        <w:wordWrap/>
        <w:overflowPunct/>
        <w:topLinePunct w:val="0"/>
        <w:autoSpaceDE/>
        <w:autoSpaceDN/>
        <w:bidi w:val="0"/>
        <w:adjustRightInd w:val="0"/>
        <w:snapToGrid w:val="0"/>
        <w:spacing w:line="48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第六篇  合同条款及格式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_Toc8232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- 27 -</w:t>
      </w:r>
      <w:r>
        <w:rPr>
          <w:rFonts w:hint="eastAsia" w:ascii="宋体" w:hAnsi="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37E593">
      <w:pPr>
        <w:pStyle w:val="38"/>
        <w:keepNext w:val="0"/>
        <w:keepLines w:val="0"/>
        <w:pageBreakBefore w:val="0"/>
        <w:widowControl w:val="0"/>
        <w:shd w:val="clear"/>
        <w:tabs>
          <w:tab w:val="right" w:leader="dot" w:pos="9412"/>
        </w:tabs>
        <w:kinsoku/>
        <w:wordWrap/>
        <w:overflowPunct/>
        <w:topLinePunct w:val="0"/>
        <w:autoSpaceDE/>
        <w:autoSpaceDN/>
        <w:bidi w:val="0"/>
        <w:adjustRightInd w:val="0"/>
        <w:snapToGrid w:val="0"/>
        <w:spacing w:line="480" w:lineRule="auto"/>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_Toc19762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lang w:eastAsia="zh-CN"/>
        </w:rPr>
        <w:t>第七篇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文件格式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_Toc19762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- 34 -</w:t>
      </w:r>
      <w:r>
        <w:rPr>
          <w:rFonts w:hint="eastAsia" w:ascii="宋体" w:hAnsi="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9BC7AD">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right="0" w:righ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p w14:paraId="50137E0D">
      <w:pPr>
        <w:pStyle w:val="2"/>
        <w:keepLines w:val="0"/>
        <w:pageBreakBefore w:val="0"/>
        <w:widowControl w:val="0"/>
        <w:shd w:val="clear"/>
        <w:kinsoku/>
        <w:wordWrap/>
        <w:overflowPunct/>
        <w:topLinePunct w:val="0"/>
        <w:autoSpaceDE/>
        <w:autoSpaceDN/>
        <w:bidi w:val="0"/>
        <w:adjustRightInd w:val="0"/>
        <w:snapToGrid w:val="0"/>
        <w:spacing w:before="0" w:after="0" w:line="500" w:lineRule="exact"/>
        <w:ind w:left="0" w:leftChars="0" w:right="0" w:rightChars="0" w:firstLine="0" w:firstLineChars="0"/>
        <w:jc w:val="center"/>
        <w:textAlignment w:val="auto"/>
        <w:rPr>
          <w:rFonts w:hint="default" w:ascii="宋体" w:hAnsi="宋体" w:cs="宋体"/>
          <w:color w:val="auto"/>
          <w:sz w:val="24"/>
          <w:szCs w:val="24"/>
          <w:highlight w:val="none"/>
          <w:u w:val="none"/>
        </w:rPr>
      </w:pPr>
      <w:r>
        <w:rPr>
          <w:rFonts w:hint="eastAsia" w:ascii="宋体" w:hAnsi="宋体" w:eastAsia="宋体" w:cs="宋体"/>
          <w:color w:val="auto"/>
          <w:highlight w:val="none"/>
        </w:rPr>
        <w:br w:type="page"/>
      </w:r>
      <w:bookmarkStart w:id="6" w:name="_Toc30464"/>
      <w:r>
        <w:rPr>
          <w:rFonts w:hint="eastAsia" w:ascii="宋体" w:hAnsi="宋体" w:eastAsia="宋体" w:cs="宋体"/>
          <w:b/>
          <w:color w:val="auto"/>
          <w:kern w:val="2"/>
          <w:sz w:val="28"/>
          <w:highlight w:val="none"/>
          <w:lang w:val="en-US" w:eastAsia="zh-CN" w:bidi="ar-SA"/>
        </w:rPr>
        <w:t>第一篇  竞争性比选</w:t>
      </w:r>
      <w:bookmarkEnd w:id="0"/>
      <w:bookmarkEnd w:id="1"/>
      <w:bookmarkEnd w:id="2"/>
      <w:bookmarkEnd w:id="3"/>
      <w:bookmarkEnd w:id="4"/>
      <w:bookmarkEnd w:id="5"/>
      <w:r>
        <w:rPr>
          <w:rFonts w:hint="eastAsia" w:ascii="宋体" w:hAnsi="宋体" w:eastAsia="宋体" w:cs="宋体"/>
          <w:b/>
          <w:color w:val="auto"/>
          <w:kern w:val="2"/>
          <w:sz w:val="28"/>
          <w:highlight w:val="none"/>
          <w:lang w:val="en-US" w:eastAsia="zh-CN" w:bidi="ar-SA"/>
        </w:rPr>
        <w:t>公告</w:t>
      </w:r>
      <w:bookmarkEnd w:id="6"/>
    </w:p>
    <w:p w14:paraId="56A3E924">
      <w:pPr>
        <w:keepNext w:val="0"/>
        <w:keepLines w:val="0"/>
        <w:pageBreakBefore w:val="0"/>
        <w:widowControl w:val="0"/>
        <w:shd w:val="clear"/>
        <w:kinsoku/>
        <w:wordWrap/>
        <w:overflowPunct/>
        <w:topLinePunct w:val="0"/>
        <w:autoSpaceDE/>
        <w:autoSpaceDN/>
        <w:bidi w:val="0"/>
        <w:adjustRightInd w:val="0"/>
        <w:snapToGrid w:val="0"/>
        <w:spacing w:line="500" w:lineRule="exact"/>
        <w:ind w:right="0" w:rightChars="0"/>
        <w:jc w:val="left"/>
        <w:textAlignment w:val="auto"/>
        <w:outlineLvl w:val="9"/>
        <w:rPr>
          <w:rFonts w:hint="eastAsia" w:ascii="宋体" w:hAnsi="宋体" w:eastAsia="宋体" w:cs="宋体"/>
          <w:color w:val="auto"/>
          <w:sz w:val="21"/>
          <w:szCs w:val="21"/>
          <w:highlight w:val="none"/>
        </w:rPr>
      </w:pPr>
      <w:r>
        <w:rPr>
          <w:rFonts w:hint="default" w:ascii="宋体" w:hAnsi="宋体" w:cs="宋体"/>
          <w:color w:val="auto"/>
          <w:sz w:val="24"/>
          <w:szCs w:val="24"/>
          <w:highlight w:val="none"/>
          <w:u w:val="none"/>
        </w:rPr>
        <w:t xml:space="preserve">  </w:t>
      </w:r>
      <w:r>
        <w:rPr>
          <w:rFonts w:hint="default" w:ascii="宋体" w:hAnsi="宋体" w:cs="宋体"/>
          <w:color w:val="auto"/>
          <w:sz w:val="21"/>
          <w:szCs w:val="21"/>
          <w:highlight w:val="none"/>
          <w:u w:val="none"/>
        </w:rPr>
        <w:t xml:space="preserve">  </w:t>
      </w:r>
      <w:r>
        <w:rPr>
          <w:rFonts w:hint="default" w:ascii="宋体" w:hAnsi="宋体" w:cs="宋体"/>
          <w:color w:val="auto"/>
          <w:sz w:val="21"/>
          <w:szCs w:val="21"/>
          <w:highlight w:val="none"/>
          <w:u w:val="single"/>
        </w:rPr>
        <w:t>重庆渝富达</w:t>
      </w:r>
      <w:r>
        <w:rPr>
          <w:rFonts w:hint="eastAsia" w:ascii="宋体" w:hAnsi="宋体" w:eastAsia="宋体" w:cs="宋体"/>
          <w:color w:val="auto"/>
          <w:sz w:val="21"/>
          <w:szCs w:val="21"/>
          <w:highlight w:val="none"/>
          <w:u w:val="single"/>
        </w:rPr>
        <w:t>项目管理有限公司</w:t>
      </w:r>
      <w:r>
        <w:rPr>
          <w:rFonts w:hint="eastAsia" w:ascii="宋体" w:hAnsi="宋体" w:eastAsia="宋体" w:cs="宋体"/>
          <w:color w:val="auto"/>
          <w:sz w:val="21"/>
          <w:szCs w:val="21"/>
          <w:highlight w:val="none"/>
        </w:rPr>
        <w:t>（以下简称：采购代理机构）受</w:t>
      </w:r>
      <w:r>
        <w:rPr>
          <w:rFonts w:hint="default" w:ascii="宋体" w:hAnsi="宋体" w:cs="宋体"/>
          <w:color w:val="auto"/>
          <w:sz w:val="21"/>
          <w:szCs w:val="21"/>
          <w:highlight w:val="none"/>
          <w:u w:val="single"/>
        </w:rPr>
        <w:t>重庆市涪陵区博物馆</w:t>
      </w:r>
      <w:r>
        <w:rPr>
          <w:rFonts w:hint="eastAsia" w:ascii="宋体" w:hAnsi="宋体" w:eastAsia="宋体" w:cs="宋体"/>
          <w:color w:val="auto"/>
          <w:sz w:val="21"/>
          <w:szCs w:val="21"/>
          <w:highlight w:val="none"/>
        </w:rPr>
        <w:t>（以下简称：采购人）的委托，对</w:t>
      </w:r>
      <w:r>
        <w:rPr>
          <w:rFonts w:hint="default" w:ascii="宋体" w:hAnsi="宋体" w:cs="宋体"/>
          <w:color w:val="auto"/>
          <w:sz w:val="21"/>
          <w:szCs w:val="21"/>
          <w:highlight w:val="none"/>
          <w:u w:val="single"/>
        </w:rPr>
        <w:t>博物馆改陈项目</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u w:val="single"/>
          <w:lang w:eastAsia="zh-CN"/>
        </w:rPr>
        <w:t>公开</w:t>
      </w:r>
      <w:r>
        <w:rPr>
          <w:rFonts w:hint="eastAsia" w:ascii="宋体" w:hAnsi="宋体" w:eastAsia="宋体" w:cs="宋体"/>
          <w:color w:val="auto"/>
          <w:sz w:val="21"/>
          <w:szCs w:val="21"/>
          <w:highlight w:val="none"/>
          <w:u w:val="single"/>
        </w:rPr>
        <w:t>竞争性比选</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rPr>
        <w:t>欢迎有资格的供应商前来参</w:t>
      </w:r>
      <w:r>
        <w:rPr>
          <w:rFonts w:hint="eastAsia" w:ascii="宋体" w:hAnsi="宋体" w:cs="宋体"/>
          <w:color w:val="auto"/>
          <w:sz w:val="21"/>
          <w:szCs w:val="21"/>
          <w:highlight w:val="none"/>
          <w:lang w:eastAsia="zh-CN"/>
        </w:rPr>
        <w:t>与</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w:t>
      </w:r>
    </w:p>
    <w:p w14:paraId="2043021E">
      <w:pPr>
        <w:keepNext w:val="0"/>
        <w:keepLines w:val="0"/>
        <w:pageBreakBefore w:val="0"/>
        <w:widowControl w:val="0"/>
        <w:shd w:val="clear"/>
        <w:kinsoku w:val="0"/>
        <w:wordWrap/>
        <w:overflowPunct w:val="0"/>
        <w:topLinePunct w:val="0"/>
        <w:autoSpaceDE w:val="0"/>
        <w:autoSpaceDN w:val="0"/>
        <w:bidi w:val="0"/>
        <w:adjustRightInd w:val="0"/>
        <w:snapToGrid w:val="0"/>
        <w:spacing w:before="0" w:after="0" w:line="500" w:lineRule="exact"/>
        <w:ind w:left="0" w:leftChars="0" w:right="0" w:rightChars="0" w:firstLine="422" w:firstLineChars="200"/>
        <w:jc w:val="left"/>
        <w:textAlignment w:val="auto"/>
        <w:outlineLvl w:val="1"/>
        <w:rPr>
          <w:rFonts w:hint="eastAsia" w:ascii="宋体" w:hAnsi="宋体" w:eastAsia="宋体" w:cs="宋体"/>
          <w:b/>
          <w:bCs/>
          <w:color w:val="auto"/>
          <w:sz w:val="21"/>
          <w:szCs w:val="21"/>
          <w:highlight w:val="none"/>
        </w:rPr>
      </w:pPr>
      <w:bookmarkStart w:id="7" w:name="_Toc313893526"/>
      <w:bookmarkStart w:id="8" w:name="_Toc106034621"/>
      <w:bookmarkStart w:id="9" w:name="_Toc18246"/>
      <w:bookmarkStart w:id="10" w:name="_Toc65660330"/>
      <w:bookmarkStart w:id="11" w:name="_Toc317775175"/>
      <w:bookmarkStart w:id="12" w:name="_Toc7758"/>
      <w:r>
        <w:rPr>
          <w:rFonts w:hint="eastAsia" w:ascii="宋体" w:hAnsi="宋体" w:eastAsia="宋体" w:cs="宋体"/>
          <w:b/>
          <w:bCs/>
          <w:color w:val="auto"/>
          <w:sz w:val="21"/>
          <w:szCs w:val="21"/>
          <w:highlight w:val="none"/>
        </w:rPr>
        <w:t>一、竞争性比选内容</w:t>
      </w:r>
      <w:bookmarkEnd w:id="7"/>
      <w:bookmarkEnd w:id="8"/>
      <w:bookmarkEnd w:id="9"/>
      <w:bookmarkEnd w:id="10"/>
      <w:bookmarkEnd w:id="11"/>
      <w:bookmarkEnd w:id="12"/>
    </w:p>
    <w:tbl>
      <w:tblPr>
        <w:tblStyle w:val="58"/>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060"/>
        <w:gridCol w:w="2071"/>
        <w:gridCol w:w="2409"/>
        <w:gridCol w:w="971"/>
      </w:tblGrid>
      <w:tr w14:paraId="2CFE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864" w:type="dxa"/>
            <w:tcBorders>
              <w:top w:val="single" w:color="auto" w:sz="4" w:space="0"/>
              <w:left w:val="single" w:color="auto" w:sz="4" w:space="0"/>
              <w:right w:val="single" w:color="auto" w:sz="4" w:space="0"/>
            </w:tcBorders>
            <w:vAlign w:val="center"/>
          </w:tcPr>
          <w:p w14:paraId="7D0C1CD7">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right="0" w:rightChars="0"/>
              <w:jc w:val="center"/>
              <w:textAlignment w:val="auto"/>
              <w:outlineLvl w:val="9"/>
              <w:rPr>
                <w:rFonts w:hint="default" w:ascii="宋体" w:hAnsi="宋体" w:cs="宋体"/>
                <w:b/>
                <w:bCs/>
                <w:color w:val="auto"/>
                <w:kern w:val="0"/>
                <w:sz w:val="21"/>
                <w:szCs w:val="21"/>
                <w:highlight w:val="none"/>
                <w:lang w:eastAsia="zh-CN"/>
              </w:rPr>
            </w:pPr>
            <w:r>
              <w:rPr>
                <w:rFonts w:hint="default" w:ascii="宋体" w:hAnsi="宋体" w:cs="宋体"/>
                <w:b/>
                <w:bCs/>
                <w:color w:val="auto"/>
                <w:kern w:val="0"/>
                <w:sz w:val="21"/>
                <w:szCs w:val="21"/>
                <w:highlight w:val="none"/>
                <w:lang w:eastAsia="zh-CN"/>
              </w:rPr>
              <w:t>序号</w:t>
            </w:r>
          </w:p>
        </w:tc>
        <w:tc>
          <w:tcPr>
            <w:tcW w:w="2060" w:type="dxa"/>
            <w:tcBorders>
              <w:top w:val="single" w:color="auto" w:sz="4" w:space="0"/>
              <w:left w:val="single" w:color="auto" w:sz="4" w:space="0"/>
              <w:right w:val="single" w:color="auto" w:sz="4" w:space="0"/>
            </w:tcBorders>
            <w:vAlign w:val="center"/>
          </w:tcPr>
          <w:p w14:paraId="58A70367">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right="0" w:rightChars="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项目</w:t>
            </w:r>
            <w:r>
              <w:rPr>
                <w:rFonts w:hint="eastAsia" w:ascii="宋体" w:hAnsi="宋体" w:eastAsia="宋体" w:cs="宋体"/>
                <w:b/>
                <w:bCs/>
                <w:color w:val="auto"/>
                <w:kern w:val="0"/>
                <w:sz w:val="21"/>
                <w:szCs w:val="21"/>
                <w:highlight w:val="none"/>
              </w:rPr>
              <w:t>名称</w:t>
            </w:r>
          </w:p>
        </w:tc>
        <w:tc>
          <w:tcPr>
            <w:tcW w:w="2071" w:type="dxa"/>
            <w:tcBorders>
              <w:top w:val="single" w:color="auto" w:sz="4" w:space="0"/>
              <w:left w:val="single" w:color="auto" w:sz="4" w:space="0"/>
              <w:right w:val="single" w:color="auto" w:sz="4" w:space="0"/>
            </w:tcBorders>
            <w:vAlign w:val="center"/>
          </w:tcPr>
          <w:p w14:paraId="20DEDFDB">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最高限价（万元）</w:t>
            </w:r>
          </w:p>
        </w:tc>
        <w:tc>
          <w:tcPr>
            <w:tcW w:w="2409" w:type="dxa"/>
            <w:tcBorders>
              <w:top w:val="single" w:color="auto" w:sz="4" w:space="0"/>
              <w:left w:val="single" w:color="auto" w:sz="4" w:space="0"/>
              <w:right w:val="single" w:color="auto" w:sz="4" w:space="0"/>
            </w:tcBorders>
            <w:vAlign w:val="center"/>
          </w:tcPr>
          <w:p w14:paraId="1C2BA950">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成交供应商数量（名）</w:t>
            </w:r>
          </w:p>
        </w:tc>
        <w:tc>
          <w:tcPr>
            <w:tcW w:w="971" w:type="dxa"/>
            <w:tcBorders>
              <w:top w:val="single" w:color="auto" w:sz="4" w:space="0"/>
              <w:left w:val="single" w:color="auto" w:sz="4" w:space="0"/>
              <w:right w:val="single" w:color="auto" w:sz="4" w:space="0"/>
            </w:tcBorders>
            <w:vAlign w:val="center"/>
          </w:tcPr>
          <w:p w14:paraId="404D60DA">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outlineLvl w:val="9"/>
              <w:rPr>
                <w:rFonts w:hint="default" w:ascii="宋体" w:hAnsi="宋体" w:eastAsia="宋体" w:cs="宋体"/>
                <w:b/>
                <w:bCs/>
                <w:color w:val="auto"/>
                <w:kern w:val="0"/>
                <w:sz w:val="21"/>
                <w:szCs w:val="21"/>
                <w:highlight w:val="none"/>
              </w:rPr>
            </w:pPr>
            <w:r>
              <w:rPr>
                <w:rFonts w:hint="default" w:ascii="宋体" w:hAnsi="宋体" w:cs="宋体"/>
                <w:b/>
                <w:bCs/>
                <w:color w:val="auto"/>
                <w:kern w:val="0"/>
                <w:sz w:val="21"/>
                <w:szCs w:val="21"/>
                <w:highlight w:val="none"/>
              </w:rPr>
              <w:t>备注</w:t>
            </w:r>
          </w:p>
        </w:tc>
      </w:tr>
      <w:tr w14:paraId="6B21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589D971F">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outlineLvl w:val="9"/>
              <w:rPr>
                <w:rFonts w:hint="default" w:ascii="宋体" w:hAnsi="宋体" w:cs="宋体"/>
                <w:color w:val="auto"/>
                <w:kern w:val="0"/>
                <w:sz w:val="21"/>
                <w:szCs w:val="21"/>
                <w:highlight w:val="none"/>
              </w:rPr>
            </w:pPr>
            <w:bookmarkStart w:id="13" w:name="_Hlk344477914"/>
            <w:r>
              <w:rPr>
                <w:rFonts w:hint="default" w:ascii="宋体" w:hAnsi="宋体" w:cs="宋体"/>
                <w:color w:val="auto"/>
                <w:kern w:val="0"/>
                <w:sz w:val="21"/>
                <w:szCs w:val="21"/>
                <w:highlight w:val="none"/>
              </w:rPr>
              <w:t>1</w:t>
            </w:r>
          </w:p>
        </w:tc>
        <w:tc>
          <w:tcPr>
            <w:tcW w:w="2060" w:type="dxa"/>
            <w:tcBorders>
              <w:top w:val="single" w:color="auto" w:sz="4" w:space="0"/>
              <w:left w:val="single" w:color="auto" w:sz="4" w:space="0"/>
              <w:bottom w:val="single" w:color="auto" w:sz="4" w:space="0"/>
              <w:right w:val="single" w:color="auto" w:sz="4" w:space="0"/>
            </w:tcBorders>
            <w:vAlign w:val="center"/>
          </w:tcPr>
          <w:p w14:paraId="0AF4AF56">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outlineLvl w:val="9"/>
              <w:rPr>
                <w:rFonts w:hint="default" w:ascii="宋体" w:hAnsi="宋体" w:eastAsia="宋体" w:cs="宋体"/>
                <w:color w:val="auto"/>
                <w:kern w:val="0"/>
                <w:sz w:val="21"/>
                <w:szCs w:val="21"/>
                <w:highlight w:val="none"/>
              </w:rPr>
            </w:pPr>
            <w:r>
              <w:rPr>
                <w:rFonts w:hint="default" w:ascii="宋体" w:hAnsi="宋体" w:cs="宋体"/>
                <w:color w:val="auto"/>
                <w:kern w:val="0"/>
                <w:sz w:val="21"/>
                <w:szCs w:val="21"/>
                <w:highlight w:val="none"/>
              </w:rPr>
              <w:t>博物馆改陈项目</w:t>
            </w:r>
          </w:p>
        </w:tc>
        <w:tc>
          <w:tcPr>
            <w:tcW w:w="2071" w:type="dxa"/>
            <w:tcBorders>
              <w:top w:val="single" w:color="auto" w:sz="4" w:space="0"/>
              <w:left w:val="single" w:color="auto" w:sz="4" w:space="0"/>
              <w:bottom w:val="single" w:color="auto" w:sz="4" w:space="0"/>
              <w:right w:val="single" w:color="auto" w:sz="4" w:space="0"/>
            </w:tcBorders>
            <w:vAlign w:val="center"/>
          </w:tcPr>
          <w:p w14:paraId="397BBEF8">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right="0" w:rightChars="0"/>
              <w:jc w:val="center"/>
              <w:textAlignment w:val="auto"/>
              <w:outlineLvl w:val="9"/>
              <w:rPr>
                <w:rFonts w:hint="default" w:ascii="宋体" w:hAnsi="宋体" w:eastAsia="宋体" w:cs="宋体"/>
                <w:color w:val="auto"/>
                <w:sz w:val="21"/>
                <w:szCs w:val="21"/>
                <w:highlight w:val="none"/>
                <w:lang w:eastAsia="zh-CN"/>
              </w:rPr>
            </w:pPr>
            <w:r>
              <w:rPr>
                <w:rFonts w:hint="default" w:ascii="宋体" w:hAnsi="宋体" w:cs="宋体"/>
                <w:color w:val="auto"/>
                <w:sz w:val="21"/>
                <w:szCs w:val="21"/>
                <w:highlight w:val="none"/>
                <w:lang w:eastAsia="zh-CN"/>
              </w:rPr>
              <w:t>25.</w:t>
            </w:r>
            <w:r>
              <w:rPr>
                <w:rFonts w:hint="default" w:ascii="宋体" w:hAnsi="宋体" w:cs="宋体"/>
                <w:color w:val="auto"/>
                <w:sz w:val="21"/>
                <w:szCs w:val="21"/>
                <w:highlight w:val="none"/>
                <w:lang w:eastAsia="zh-CN"/>
              </w:rPr>
              <w:t>00</w:t>
            </w:r>
          </w:p>
        </w:tc>
        <w:tc>
          <w:tcPr>
            <w:tcW w:w="2409" w:type="dxa"/>
            <w:tcBorders>
              <w:top w:val="single" w:color="auto" w:sz="4" w:space="0"/>
              <w:left w:val="single" w:color="auto" w:sz="4" w:space="0"/>
              <w:bottom w:val="single" w:color="auto" w:sz="4" w:space="0"/>
              <w:right w:val="single" w:color="auto" w:sz="4" w:space="0"/>
            </w:tcBorders>
            <w:vAlign w:val="center"/>
          </w:tcPr>
          <w:p w14:paraId="2F814C6B">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1" w:type="dxa"/>
            <w:tcBorders>
              <w:top w:val="single" w:color="auto" w:sz="4" w:space="0"/>
              <w:left w:val="single" w:color="auto" w:sz="4" w:space="0"/>
              <w:bottom w:val="single" w:color="auto" w:sz="4" w:space="0"/>
              <w:right w:val="single" w:color="auto" w:sz="4" w:space="0"/>
            </w:tcBorders>
            <w:vAlign w:val="center"/>
          </w:tcPr>
          <w:p w14:paraId="643C2F96">
            <w:pPr>
              <w:keepNext w:val="0"/>
              <w:keepLines w:val="0"/>
              <w:pageBreakBefore w:val="0"/>
              <w:widowControl w:val="0"/>
              <w:suppressLineNumbers w:val="0"/>
              <w:shd w:val="clear"/>
              <w:kinsoku w:val="0"/>
              <w:wordWrap/>
              <w:overflowPunct w:val="0"/>
              <w:topLinePunct w:val="0"/>
              <w:autoSpaceDE w:val="0"/>
              <w:autoSpaceDN w:val="0"/>
              <w:bidi w:val="0"/>
              <w:adjustRightInd w:val="0"/>
              <w:snapToGrid w:val="0"/>
              <w:spacing w:before="0" w:beforeAutospacing="0" w:after="0" w:afterAutospacing="0" w:line="360" w:lineRule="auto"/>
              <w:ind w:left="0" w:right="0" w:rightChars="0"/>
              <w:jc w:val="center"/>
              <w:textAlignment w:val="auto"/>
              <w:outlineLvl w:val="9"/>
              <w:rPr>
                <w:rFonts w:hint="eastAsia" w:ascii="宋体" w:hAnsi="宋体" w:eastAsia="宋体" w:cs="宋体"/>
                <w:color w:val="auto"/>
                <w:sz w:val="21"/>
                <w:szCs w:val="21"/>
                <w:highlight w:val="none"/>
              </w:rPr>
            </w:pPr>
          </w:p>
        </w:tc>
      </w:tr>
      <w:bookmarkEnd w:id="13"/>
    </w:tbl>
    <w:p w14:paraId="2D2090ED">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2" w:firstLineChars="200"/>
        <w:jc w:val="left"/>
        <w:textAlignment w:val="auto"/>
        <w:outlineLvl w:val="1"/>
        <w:rPr>
          <w:rFonts w:hint="eastAsia" w:ascii="宋体" w:hAnsi="宋体" w:eastAsia="宋体" w:cs="宋体"/>
          <w:b/>
          <w:bCs/>
          <w:color w:val="auto"/>
          <w:sz w:val="21"/>
          <w:szCs w:val="21"/>
          <w:highlight w:val="none"/>
        </w:rPr>
      </w:pPr>
      <w:bookmarkStart w:id="14" w:name="_Toc3256"/>
      <w:bookmarkStart w:id="15" w:name="_Toc106034622"/>
      <w:bookmarkStart w:id="16" w:name="_Toc65660331"/>
      <w:bookmarkStart w:id="17" w:name="_Toc27028"/>
      <w:bookmarkStart w:id="18" w:name="_Toc373860293"/>
      <w:bookmarkStart w:id="19" w:name="_Toc317775178"/>
      <w:r>
        <w:rPr>
          <w:rFonts w:hint="eastAsia" w:ascii="宋体" w:hAnsi="宋体" w:eastAsia="宋体" w:cs="宋体"/>
          <w:b/>
          <w:bCs/>
          <w:color w:val="auto"/>
          <w:sz w:val="21"/>
          <w:szCs w:val="21"/>
          <w:highlight w:val="none"/>
        </w:rPr>
        <w:t>二、资金来源</w:t>
      </w:r>
      <w:bookmarkEnd w:id="14"/>
      <w:bookmarkEnd w:id="15"/>
      <w:bookmarkEnd w:id="16"/>
      <w:bookmarkEnd w:id="17"/>
    </w:p>
    <w:p w14:paraId="6C353EDE">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财政资金</w:t>
      </w:r>
      <w:r>
        <w:rPr>
          <w:rFonts w:hint="eastAsia" w:ascii="宋体" w:hAnsi="宋体" w:eastAsia="宋体" w:cs="宋体"/>
          <w:color w:val="auto"/>
          <w:sz w:val="21"/>
          <w:szCs w:val="21"/>
          <w:highlight w:val="none"/>
          <w:u w:val="none"/>
        </w:rPr>
        <w:t>，采购预算</w:t>
      </w:r>
      <w:r>
        <w:rPr>
          <w:rFonts w:hint="default" w:ascii="宋体" w:hAnsi="宋体" w:eastAsia="宋体" w:cs="宋体"/>
          <w:color w:val="auto"/>
          <w:sz w:val="21"/>
          <w:szCs w:val="21"/>
          <w:highlight w:val="none"/>
          <w:u w:val="none"/>
          <w:lang w:eastAsia="zh-CN"/>
        </w:rPr>
        <w:t>25.</w:t>
      </w:r>
      <w:r>
        <w:rPr>
          <w:rFonts w:hint="default" w:ascii="宋体" w:hAnsi="宋体" w:cs="宋体"/>
          <w:color w:val="auto"/>
          <w:sz w:val="21"/>
          <w:szCs w:val="21"/>
          <w:highlight w:val="none"/>
          <w:u w:val="none"/>
          <w:lang w:eastAsia="zh-CN"/>
        </w:rPr>
        <w:t>00</w:t>
      </w:r>
      <w:r>
        <w:rPr>
          <w:rFonts w:hint="eastAsia" w:ascii="宋体" w:hAnsi="宋体" w:eastAsia="宋体" w:cs="宋体"/>
          <w:color w:val="auto"/>
          <w:sz w:val="21"/>
          <w:szCs w:val="21"/>
          <w:highlight w:val="none"/>
          <w:u w:val="none"/>
        </w:rPr>
        <w:t>万元。</w:t>
      </w:r>
    </w:p>
    <w:p w14:paraId="7F3436AC">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2" w:firstLineChars="200"/>
        <w:jc w:val="left"/>
        <w:textAlignment w:val="auto"/>
        <w:outlineLvl w:val="1"/>
        <w:rPr>
          <w:rFonts w:hint="eastAsia" w:ascii="宋体" w:hAnsi="宋体" w:eastAsia="宋体" w:cs="宋体"/>
          <w:b/>
          <w:bCs/>
          <w:color w:val="auto"/>
          <w:sz w:val="21"/>
          <w:szCs w:val="21"/>
          <w:highlight w:val="none"/>
        </w:rPr>
      </w:pPr>
      <w:bookmarkStart w:id="20" w:name="_Toc65660332"/>
      <w:bookmarkStart w:id="21" w:name="_Toc18548"/>
      <w:bookmarkStart w:id="22" w:name="_Toc64731996"/>
      <w:bookmarkStart w:id="23" w:name="_Toc106034623"/>
      <w:bookmarkStart w:id="24" w:name="_Toc13541"/>
      <w:r>
        <w:rPr>
          <w:rFonts w:hint="eastAsia" w:ascii="宋体" w:hAnsi="宋体" w:eastAsia="宋体" w:cs="宋体"/>
          <w:b/>
          <w:bCs/>
          <w:color w:val="auto"/>
          <w:sz w:val="21"/>
          <w:szCs w:val="21"/>
          <w:highlight w:val="none"/>
        </w:rPr>
        <w:t>三、供应商资格条件</w:t>
      </w:r>
      <w:bookmarkEnd w:id="20"/>
      <w:bookmarkEnd w:id="21"/>
      <w:bookmarkEnd w:id="22"/>
      <w:bookmarkEnd w:id="23"/>
      <w:bookmarkEnd w:id="24"/>
    </w:p>
    <w:p w14:paraId="69324A5B">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rPr>
        <w:t>（一）基本资格条件</w:t>
      </w:r>
    </w:p>
    <w:p w14:paraId="04CAFD16">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37E2FB4A">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065C7767">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446F16E9">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1D9451ED">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2FFB685A">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2403CE95">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（二）特定资格条件</w:t>
      </w:r>
      <w:r>
        <w:rPr>
          <w:rFonts w:hint="default" w:ascii="宋体" w:hAnsi="宋体" w:cs="宋体"/>
          <w:color w:val="auto"/>
          <w:sz w:val="21"/>
          <w:szCs w:val="21"/>
          <w:highlight w:val="none"/>
        </w:rPr>
        <w:t>：</w:t>
      </w:r>
      <w:r>
        <w:rPr>
          <w:rFonts w:hint="eastAsia" w:ascii="宋体" w:hAnsi="宋体" w:eastAsia="宋体" w:cs="宋体"/>
          <w:color w:val="auto"/>
          <w:sz w:val="21"/>
          <w:szCs w:val="21"/>
          <w:highlight w:val="none"/>
        </w:rPr>
        <w:t>无。</w:t>
      </w:r>
    </w:p>
    <w:p w14:paraId="6B7F94C6">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2" w:firstLineChars="200"/>
        <w:jc w:val="left"/>
        <w:textAlignment w:val="auto"/>
        <w:outlineLvl w:val="1"/>
        <w:rPr>
          <w:rFonts w:hint="eastAsia" w:ascii="宋体" w:hAnsi="宋体" w:eastAsia="宋体" w:cs="宋体"/>
          <w:b/>
          <w:bCs/>
          <w:color w:val="auto"/>
          <w:sz w:val="21"/>
          <w:szCs w:val="21"/>
          <w:highlight w:val="none"/>
        </w:rPr>
      </w:pPr>
      <w:bookmarkStart w:id="25" w:name="_Toc1386"/>
      <w:bookmarkStart w:id="26" w:name="_Toc11908"/>
      <w:bookmarkStart w:id="27" w:name="_Toc65660333"/>
      <w:bookmarkStart w:id="28" w:name="_Toc106034624"/>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竞标</w:t>
      </w:r>
      <w:r>
        <w:rPr>
          <w:rFonts w:hint="eastAsia" w:ascii="宋体" w:hAnsi="宋体" w:eastAsia="宋体" w:cs="宋体"/>
          <w:b/>
          <w:bCs/>
          <w:color w:val="auto"/>
          <w:sz w:val="21"/>
          <w:szCs w:val="21"/>
          <w:highlight w:val="none"/>
        </w:rPr>
        <w:t>报名及开标有关说明</w:t>
      </w:r>
      <w:bookmarkEnd w:id="18"/>
      <w:bookmarkEnd w:id="25"/>
      <w:bookmarkEnd w:id="26"/>
      <w:bookmarkEnd w:id="27"/>
      <w:bookmarkEnd w:id="28"/>
    </w:p>
    <w:bookmarkEnd w:id="19"/>
    <w:p w14:paraId="0E4B8B40">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bookmarkStart w:id="29" w:name="_Toc373860294"/>
      <w:bookmarkStart w:id="30" w:name="_Toc106034625"/>
      <w:bookmarkStart w:id="31" w:name="_Toc6178"/>
      <w:bookmarkStart w:id="32" w:name="_Toc525047161"/>
      <w:bookmarkStart w:id="33" w:name="_Toc521053053"/>
      <w:bookmarkStart w:id="34" w:name="_Toc65660334"/>
      <w:bookmarkStart w:id="35" w:name="_Toc11956"/>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rPr>
        <w:t>供应商应通过“行采家”平台（http://www.gec123.com）进行注册，成为正式供应商方能参与采购活动</w:t>
      </w:r>
      <w:r>
        <w:rPr>
          <w:rFonts w:hint="eastAsia" w:ascii="宋体" w:hAnsi="宋体" w:eastAsia="宋体" w:cs="宋体"/>
          <w:color w:val="auto"/>
          <w:sz w:val="21"/>
          <w:szCs w:val="21"/>
          <w:highlight w:val="none"/>
        </w:rPr>
        <w:t>。</w:t>
      </w:r>
    </w:p>
    <w:p w14:paraId="2D5E6C3B">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的供应商，请在</w:t>
      </w:r>
      <w:r>
        <w:rPr>
          <w:rFonts w:hint="eastAsia" w:ascii="宋体" w:hAnsi="宋体" w:eastAsia="宋体" w:cs="宋体"/>
          <w:color w:val="auto"/>
          <w:sz w:val="21"/>
          <w:szCs w:val="21"/>
          <w:highlight w:val="none"/>
          <w:lang w:eastAsia="zh-CN"/>
        </w:rPr>
        <w:t>“行采家”</w:t>
      </w:r>
      <w:r>
        <w:rPr>
          <w:rFonts w:hint="eastAsia" w:ascii="宋体" w:hAnsi="宋体" w:eastAsia="宋体" w:cs="宋体"/>
          <w:color w:val="auto"/>
          <w:sz w:val="21"/>
          <w:szCs w:val="21"/>
          <w:highlight w:val="none"/>
        </w:rPr>
        <w:t>上下载本项目竞争性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文件以及图纸、澄清等</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前公布的所有项目资料，无论供应商下载与否，均视为已知晓所有</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实质性要求内容。</w:t>
      </w:r>
    </w:p>
    <w:p w14:paraId="683B819D">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公告期限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发布之日起</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个工作日</w:t>
      </w:r>
      <w:r>
        <w:rPr>
          <w:rFonts w:hint="eastAsia" w:ascii="宋体" w:hAnsi="宋体" w:eastAsia="宋体" w:cs="宋体"/>
          <w:color w:val="auto"/>
          <w:sz w:val="21"/>
          <w:szCs w:val="21"/>
          <w:highlight w:val="none"/>
          <w:lang w:eastAsia="zh-CN"/>
        </w:rPr>
        <w:t>。</w:t>
      </w:r>
    </w:p>
    <w:p w14:paraId="0FB93F03">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)报名及</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发售</w:t>
      </w:r>
    </w:p>
    <w:p w14:paraId="5563F397">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报名和</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发售期</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w:t>
      </w:r>
      <w:r>
        <w:rPr>
          <w:rFonts w:hint="default"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年</w:t>
      </w:r>
      <w:r>
        <w:rPr>
          <w:rFonts w:hint="default" w:ascii="宋体" w:hAnsi="宋体" w:cs="宋体"/>
          <w:color w:val="auto"/>
          <w:sz w:val="21"/>
          <w:szCs w:val="21"/>
          <w:highlight w:val="none"/>
          <w:lang w:eastAsia="zh-CN"/>
        </w:rPr>
        <w:t>11</w:t>
      </w:r>
      <w:r>
        <w:rPr>
          <w:rFonts w:hint="eastAsia" w:ascii="宋体" w:hAnsi="宋体" w:eastAsia="宋体" w:cs="宋体"/>
          <w:color w:val="auto"/>
          <w:sz w:val="21"/>
          <w:szCs w:val="21"/>
          <w:highlight w:val="none"/>
        </w:rPr>
        <w:t>月</w:t>
      </w:r>
      <w:r>
        <w:rPr>
          <w:rFonts w:hint="default" w:ascii="宋体" w:hAnsi="宋体" w:cs="宋体"/>
          <w:color w:val="auto"/>
          <w:sz w:val="21"/>
          <w:szCs w:val="21"/>
          <w:highlight w:val="none"/>
          <w:lang w:eastAsia="zh-CN"/>
        </w:rPr>
        <w:t>12</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val="en-US" w:eastAsia="zh-CN"/>
        </w:rPr>
        <w:t>202</w:t>
      </w:r>
      <w:r>
        <w:rPr>
          <w:rFonts w:hint="default"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年</w:t>
      </w:r>
      <w:r>
        <w:rPr>
          <w:rFonts w:hint="default" w:ascii="宋体" w:hAnsi="宋体" w:cs="宋体"/>
          <w:color w:val="auto"/>
          <w:sz w:val="21"/>
          <w:szCs w:val="21"/>
          <w:highlight w:val="none"/>
          <w:lang w:eastAsia="zh-CN"/>
        </w:rPr>
        <w:t>11</w:t>
      </w:r>
      <w:r>
        <w:rPr>
          <w:rFonts w:hint="eastAsia" w:ascii="宋体" w:hAnsi="宋体" w:eastAsia="宋体" w:cs="宋体"/>
          <w:color w:val="auto"/>
          <w:sz w:val="21"/>
          <w:szCs w:val="21"/>
          <w:highlight w:val="none"/>
        </w:rPr>
        <w:t>月</w:t>
      </w:r>
      <w:r>
        <w:rPr>
          <w:rFonts w:hint="default" w:ascii="宋体" w:hAnsi="宋体" w:cs="宋体"/>
          <w:color w:val="auto"/>
          <w:sz w:val="21"/>
          <w:szCs w:val="21"/>
          <w:highlight w:val="none"/>
          <w:lang w:eastAsia="zh-CN"/>
        </w:rPr>
        <w:t>14</w:t>
      </w:r>
      <w:r>
        <w:rPr>
          <w:rFonts w:hint="eastAsia" w:ascii="宋体" w:hAnsi="宋体" w:eastAsia="宋体" w:cs="宋体"/>
          <w:color w:val="auto"/>
          <w:sz w:val="21"/>
          <w:szCs w:val="21"/>
          <w:highlight w:val="none"/>
        </w:rPr>
        <w:t>日。</w:t>
      </w:r>
    </w:p>
    <w:p w14:paraId="7E39050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售价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人民币</w:t>
      </w:r>
      <w:r>
        <w:rPr>
          <w:rFonts w:hint="eastAsia" w:ascii="宋体" w:hAnsi="宋体" w:cs="宋体"/>
          <w:color w:val="auto"/>
          <w:sz w:val="21"/>
          <w:szCs w:val="21"/>
          <w:highlight w:val="none"/>
          <w:lang w:val="en-US" w:eastAsia="zh-CN"/>
        </w:rPr>
        <w:t>300.00</w:t>
      </w:r>
      <w:r>
        <w:rPr>
          <w:rFonts w:hint="eastAsia" w:ascii="宋体" w:hAnsi="宋体" w:eastAsia="宋体" w:cs="宋体"/>
          <w:color w:val="auto"/>
          <w:sz w:val="21"/>
          <w:szCs w:val="21"/>
          <w:highlight w:val="none"/>
        </w:rPr>
        <w:t>元/份 (售后不退)</w:t>
      </w:r>
    </w:p>
    <w:p w14:paraId="6D92B2C9">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购买方式</w:t>
      </w:r>
    </w:p>
    <w:p w14:paraId="3FC61FBC">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文件发售期内，请供应商递交《文件发售登记表》（加盖供应商公章）</w:t>
      </w:r>
      <w:r>
        <w:rPr>
          <w:rFonts w:hint="eastAsia" w:ascii="宋体" w:hAnsi="宋体" w:cs="宋体"/>
          <w:color w:val="auto"/>
          <w:sz w:val="21"/>
          <w:szCs w:val="21"/>
          <w:highlight w:val="none"/>
          <w:lang w:val="en-US" w:eastAsia="zh-CN"/>
        </w:rPr>
        <w:t>及相关附件</w:t>
      </w:r>
      <w:r>
        <w:rPr>
          <w:rFonts w:hint="eastAsia" w:ascii="宋体" w:hAnsi="宋体" w:eastAsia="宋体" w:cs="宋体"/>
          <w:color w:val="auto"/>
          <w:sz w:val="21"/>
          <w:szCs w:val="21"/>
          <w:highlight w:val="none"/>
        </w:rPr>
        <w:t>扫描后发送至2446518707@qq.com（</w:t>
      </w:r>
      <w:r>
        <w:rPr>
          <w:rFonts w:hint="eastAsia" w:ascii="宋体" w:hAnsi="宋体" w:cs="宋体"/>
          <w:color w:val="auto"/>
          <w:sz w:val="21"/>
          <w:szCs w:val="21"/>
          <w:highlight w:val="none"/>
          <w:lang w:eastAsia="zh-CN"/>
        </w:rPr>
        <w:t>邮件主题项目名称</w:t>
      </w:r>
      <w:r>
        <w:rPr>
          <w:rFonts w:hint="eastAsia" w:ascii="宋体" w:hAnsi="宋体" w:cs="宋体"/>
          <w:color w:val="auto"/>
          <w:sz w:val="21"/>
          <w:szCs w:val="21"/>
          <w:highlight w:val="none"/>
          <w:lang w:val="en-US" w:eastAsia="zh-CN"/>
        </w:rPr>
        <w:t>+供应商名称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并购买</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14:paraId="6E1B1C1D">
      <w:pPr>
        <w:keepNext w:val="0"/>
        <w:keepLines w:val="0"/>
        <w:pageBreakBefore w:val="0"/>
        <w:widowControl w:val="0"/>
        <w:numPr>
          <w:ilvl w:val="-1"/>
          <w:numId w:val="0"/>
        </w:numPr>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在报名和</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发售期内购买了</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的供应商，其</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文件才被接收。</w:t>
      </w:r>
    </w:p>
    <w:p w14:paraId="3D5EE0DC">
      <w:pPr>
        <w:keepNext w:val="0"/>
        <w:keepLines w:val="0"/>
        <w:pageBreakBefore w:val="0"/>
        <w:widowControl w:val="0"/>
        <w:shd w:val="clear"/>
        <w:kinsoku w:val="0"/>
        <w:wordWrap/>
        <w:topLinePunct w:val="0"/>
        <w:autoSpaceDE w:val="0"/>
        <w:autoSpaceDN w:val="0"/>
        <w:bidi w:val="0"/>
        <w:adjustRightInd w:val="0"/>
        <w:snapToGrid w:val="0"/>
        <w:spacing w:line="520" w:lineRule="exact"/>
        <w:ind w:firstLine="420" w:firstLineChars="200"/>
        <w:jc w:val="both"/>
        <w:textAlignment w:val="auto"/>
        <w:rPr>
          <w:rFonts w:hint="default" w:ascii="宋体" w:hAnsi="宋体" w:eastAsia="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val="en-US" w:eastAsia="zh-CN"/>
        </w:rPr>
        <w:t>竞</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rPr>
        <w:t>文件地址：</w:t>
      </w:r>
      <w:r>
        <w:rPr>
          <w:rFonts w:hint="default" w:ascii="宋体" w:hAnsi="宋体" w:eastAsia="宋体" w:cs="宋体"/>
          <w:color w:val="auto"/>
          <w:sz w:val="21"/>
          <w:szCs w:val="21"/>
          <w:highlight w:val="none"/>
        </w:rPr>
        <w:t>重庆渝富达项目管理有限公司（</w:t>
      </w:r>
      <w:r>
        <w:rPr>
          <w:rFonts w:hint="eastAsia" w:ascii="宋体" w:hAnsi="宋体" w:eastAsia="宋体" w:cs="宋体"/>
          <w:color w:val="auto"/>
          <w:sz w:val="21"/>
          <w:szCs w:val="21"/>
          <w:highlight w:val="none"/>
        </w:rPr>
        <w:t>重庆市渝北区线外城市花园1栋16层</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eastAsia="zh-CN"/>
        </w:rPr>
        <w:t>。</w:t>
      </w:r>
    </w:p>
    <w:p w14:paraId="139FD984">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2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val="en-US" w:eastAsia="zh-CN"/>
        </w:rPr>
        <w:t>竞</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rPr>
        <w:t>文件截止时间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202</w:t>
      </w:r>
      <w:r>
        <w:rPr>
          <w:rFonts w:hint="default"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年</w:t>
      </w:r>
      <w:r>
        <w:rPr>
          <w:rFonts w:hint="default" w:ascii="宋体" w:hAnsi="宋体" w:cs="宋体"/>
          <w:color w:val="auto"/>
          <w:sz w:val="21"/>
          <w:szCs w:val="21"/>
          <w:highlight w:val="none"/>
          <w:lang w:eastAsia="zh-CN"/>
        </w:rPr>
        <w:t>11</w:t>
      </w:r>
      <w:r>
        <w:rPr>
          <w:rFonts w:hint="eastAsia" w:ascii="宋体" w:hAnsi="宋体" w:eastAsia="宋体" w:cs="宋体"/>
          <w:color w:val="auto"/>
          <w:sz w:val="21"/>
          <w:szCs w:val="21"/>
          <w:highlight w:val="none"/>
        </w:rPr>
        <w:t>月</w:t>
      </w:r>
      <w:r>
        <w:rPr>
          <w:rFonts w:hint="default" w:ascii="宋体" w:hAnsi="宋体" w:cs="宋体"/>
          <w:color w:val="auto"/>
          <w:sz w:val="21"/>
          <w:szCs w:val="21"/>
          <w:highlight w:val="none"/>
          <w:lang w:eastAsia="zh-CN"/>
        </w:rPr>
        <w:t>17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default"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0分(北京时间)</w:t>
      </w:r>
      <w:r>
        <w:rPr>
          <w:rFonts w:hint="eastAsia" w:ascii="宋体" w:hAnsi="宋体" w:cs="宋体"/>
          <w:color w:val="auto"/>
          <w:sz w:val="21"/>
          <w:szCs w:val="21"/>
          <w:highlight w:val="none"/>
          <w:lang w:eastAsia="zh-CN"/>
        </w:rPr>
        <w:t>。</w:t>
      </w:r>
    </w:p>
    <w:p w14:paraId="58B7754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2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202</w:t>
      </w:r>
      <w:r>
        <w:rPr>
          <w:rFonts w:hint="default"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年</w:t>
      </w:r>
      <w:r>
        <w:rPr>
          <w:rFonts w:hint="default" w:ascii="宋体" w:hAnsi="宋体" w:cs="宋体"/>
          <w:color w:val="auto"/>
          <w:sz w:val="21"/>
          <w:szCs w:val="21"/>
          <w:highlight w:val="none"/>
          <w:lang w:eastAsia="zh-CN"/>
        </w:rPr>
        <w:t>11</w:t>
      </w:r>
      <w:r>
        <w:rPr>
          <w:rFonts w:hint="eastAsia" w:ascii="宋体" w:hAnsi="宋体" w:eastAsia="宋体" w:cs="宋体"/>
          <w:color w:val="auto"/>
          <w:sz w:val="21"/>
          <w:szCs w:val="21"/>
          <w:highlight w:val="none"/>
        </w:rPr>
        <w:t>月</w:t>
      </w:r>
      <w:r>
        <w:rPr>
          <w:rFonts w:hint="default" w:ascii="宋体" w:hAnsi="宋体" w:cs="宋体"/>
          <w:color w:val="auto"/>
          <w:sz w:val="21"/>
          <w:szCs w:val="21"/>
          <w:highlight w:val="none"/>
          <w:lang w:eastAsia="zh-CN"/>
        </w:rPr>
        <w:t>17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default"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0分(北京时间)</w:t>
      </w:r>
      <w:r>
        <w:rPr>
          <w:rFonts w:hint="eastAsia" w:ascii="宋体" w:hAnsi="宋体" w:cs="宋体"/>
          <w:color w:val="auto"/>
          <w:sz w:val="21"/>
          <w:szCs w:val="21"/>
          <w:highlight w:val="none"/>
          <w:lang w:eastAsia="zh-CN"/>
        </w:rPr>
        <w:t>。</w:t>
      </w:r>
    </w:p>
    <w:p w14:paraId="23C7944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20" w:lineRule="exact"/>
        <w:ind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开标地点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同</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val="en-US" w:eastAsia="zh-CN"/>
        </w:rPr>
        <w:t>竞选</w:t>
      </w:r>
      <w:r>
        <w:rPr>
          <w:rFonts w:hint="eastAsia" w:ascii="宋体" w:hAnsi="宋体" w:eastAsia="宋体" w:cs="宋体"/>
          <w:color w:val="auto"/>
          <w:sz w:val="21"/>
          <w:szCs w:val="21"/>
          <w:highlight w:val="none"/>
        </w:rPr>
        <w:t>文件地址</w:t>
      </w:r>
      <w:r>
        <w:rPr>
          <w:rFonts w:hint="eastAsia" w:ascii="宋体" w:hAnsi="宋体" w:cs="宋体"/>
          <w:color w:val="auto"/>
          <w:sz w:val="21"/>
          <w:szCs w:val="21"/>
          <w:highlight w:val="none"/>
          <w:lang w:eastAsia="zh-CN"/>
        </w:rPr>
        <w:t>。</w:t>
      </w:r>
    </w:p>
    <w:p w14:paraId="62A26390">
      <w:pPr>
        <w:keepNext w:val="0"/>
        <w:keepLines w:val="0"/>
        <w:pageBreakBefore w:val="0"/>
        <w:widowControl w:val="0"/>
        <w:shd w:val="clear"/>
        <w:kinsoku w:val="0"/>
        <w:wordWrap/>
        <w:overflowPunct w:val="0"/>
        <w:topLinePunct w:val="0"/>
        <w:autoSpaceDE w:val="0"/>
        <w:autoSpaceDN w:val="0"/>
        <w:bidi w:val="0"/>
        <w:adjustRightInd w:val="0"/>
        <w:snapToGrid w:val="0"/>
        <w:spacing w:line="520" w:lineRule="exact"/>
        <w:ind w:left="0" w:leftChars="0"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w:t>
      </w:r>
      <w:bookmarkEnd w:id="29"/>
      <w:bookmarkEnd w:id="30"/>
      <w:bookmarkEnd w:id="31"/>
      <w:bookmarkEnd w:id="32"/>
      <w:bookmarkEnd w:id="33"/>
      <w:bookmarkEnd w:id="34"/>
      <w:bookmarkEnd w:id="35"/>
      <w:bookmarkStart w:id="36" w:name="_Toc525047163"/>
      <w:bookmarkStart w:id="37" w:name="_Toc106034627"/>
      <w:bookmarkStart w:id="38" w:name="_Toc521053055"/>
      <w:bookmarkStart w:id="39" w:name="_Toc16269"/>
      <w:bookmarkStart w:id="40" w:name="_Toc65660336"/>
      <w:bookmarkStart w:id="41" w:name="_Toc6563"/>
      <w:r>
        <w:rPr>
          <w:rFonts w:hint="eastAsia" w:ascii="宋体" w:hAnsi="宋体" w:eastAsia="宋体" w:cs="宋体"/>
          <w:b/>
          <w:bCs/>
          <w:color w:val="auto"/>
          <w:kern w:val="2"/>
          <w:sz w:val="21"/>
          <w:szCs w:val="21"/>
          <w:highlight w:val="none"/>
          <w:lang w:val="en-US" w:eastAsia="zh-CN" w:bidi="ar-SA"/>
        </w:rPr>
        <w:t>其它有关规定</w:t>
      </w:r>
      <w:bookmarkEnd w:id="36"/>
      <w:bookmarkEnd w:id="37"/>
      <w:bookmarkEnd w:id="38"/>
      <w:bookmarkEnd w:id="39"/>
      <w:bookmarkEnd w:id="40"/>
      <w:bookmarkEnd w:id="41"/>
    </w:p>
    <w:p w14:paraId="1094FC5B">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（一）单位负责人为同一人或者存在直接控股、管理关系的不同供应商，不得参加同一合同项（包）下的采购活动，否则均为无效响应。</w:t>
      </w:r>
    </w:p>
    <w:p w14:paraId="109D86F3">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（二）为采购项目提供整体设计、规范编制或者项目管理、监理、检测等服务的供应商，不得再参加该采购项目的其他采购活动。</w:t>
      </w:r>
    </w:p>
    <w:p w14:paraId="7C0A6913">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（三）本项目的澄清文件（如果有）一律在</w:t>
      </w:r>
      <w:r>
        <w:rPr>
          <w:rFonts w:hint="eastAsia" w:ascii="宋体" w:hAnsi="宋体" w:cs="宋体"/>
          <w:color w:val="auto"/>
          <w:sz w:val="21"/>
          <w:szCs w:val="21"/>
          <w:highlight w:val="none"/>
        </w:rPr>
        <w:t>“行采家”平台（http://www.gec123.com）</w:t>
      </w:r>
      <w:r>
        <w:rPr>
          <w:rFonts w:hint="eastAsia" w:ascii="宋体" w:hAnsi="宋体" w:eastAsia="宋体" w:cs="宋体"/>
          <w:color w:val="auto"/>
          <w:sz w:val="21"/>
          <w:szCs w:val="21"/>
          <w:highlight w:val="none"/>
          <w:lang w:eastAsia="zh-CN"/>
        </w:rPr>
        <w:t>网</w:t>
      </w:r>
      <w:r>
        <w:rPr>
          <w:rFonts w:hint="eastAsia" w:ascii="宋体" w:hAnsi="宋体" w:eastAsia="宋体" w:cs="宋体"/>
          <w:color w:val="auto"/>
          <w:sz w:val="21"/>
          <w:szCs w:val="21"/>
          <w:highlight w:val="none"/>
        </w:rPr>
        <w:t>上发布，请各供应商注意下载或到采购代理机构处领取；无论供应商下载或领取与否，均视同供应商已知晓本项目澄清文件（如果有）的内容。</w:t>
      </w:r>
    </w:p>
    <w:p w14:paraId="18E23D13">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（四）超过响应文件截止时间递交的响应文件，恕不接收。</w:t>
      </w:r>
    </w:p>
    <w:p w14:paraId="71F68E97">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费用：无论</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结果如何，供应商参与本项目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的所有费用均应由供应商自行承担。</w:t>
      </w:r>
    </w:p>
    <w:p w14:paraId="3D7B3399">
      <w:pPr>
        <w:pStyle w:val="3"/>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20" w:lineRule="exact"/>
        <w:ind w:left="0" w:leftChars="0" w:right="0" w:rightChars="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b/>
          <w:color w:val="auto"/>
          <w:sz w:val="21"/>
          <w:szCs w:val="21"/>
          <w:highlight w:val="none"/>
        </w:rPr>
        <w:t>本项目不接受联合体，否则按无效文件处理。</w:t>
      </w:r>
    </w:p>
    <w:p w14:paraId="7FCBBB3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r>
        <w:rPr>
          <w:rFonts w:hint="eastAsia" w:ascii="宋体" w:hAnsi="宋体" w:eastAsia="宋体" w:cs="宋体"/>
          <w:b/>
          <w:color w:val="auto"/>
          <w:sz w:val="21"/>
          <w:szCs w:val="21"/>
          <w:highlight w:val="none"/>
        </w:rPr>
        <w:t>本项目不接受分包，否则按无效文件处理。</w:t>
      </w:r>
      <w:r>
        <w:rPr>
          <w:rFonts w:hint="eastAsia" w:ascii="宋体" w:hAnsi="宋体" w:cs="宋体"/>
          <w:b/>
          <w:color w:val="auto"/>
          <w:sz w:val="21"/>
          <w:szCs w:val="21"/>
          <w:highlight w:val="none"/>
          <w:lang w:val="en-US" w:eastAsia="zh-CN"/>
        </w:rPr>
        <w:t>若</w:t>
      </w:r>
      <w:r>
        <w:rPr>
          <w:rFonts w:hint="eastAsia" w:ascii="宋体" w:hAnsi="宋体" w:eastAsia="宋体" w:cs="宋体"/>
          <w:b/>
          <w:color w:val="auto"/>
          <w:sz w:val="21"/>
          <w:szCs w:val="21"/>
          <w:highlight w:val="none"/>
        </w:rPr>
        <w:t>投标人为代理商的，投标时</w:t>
      </w:r>
      <w:r>
        <w:rPr>
          <w:rFonts w:hint="eastAsia" w:ascii="宋体" w:hAnsi="宋体" w:cs="宋体"/>
          <w:b/>
          <w:color w:val="auto"/>
          <w:sz w:val="21"/>
          <w:szCs w:val="21"/>
          <w:highlight w:val="none"/>
          <w:lang w:val="en-US" w:eastAsia="zh-CN"/>
        </w:rPr>
        <w:t>须</w:t>
      </w:r>
      <w:r>
        <w:rPr>
          <w:rFonts w:hint="eastAsia" w:ascii="宋体" w:hAnsi="宋体" w:eastAsia="宋体" w:cs="宋体"/>
          <w:b/>
          <w:color w:val="auto"/>
          <w:sz w:val="21"/>
          <w:szCs w:val="21"/>
          <w:highlight w:val="none"/>
        </w:rPr>
        <w:t>提供生产厂家授权文件。</w:t>
      </w:r>
    </w:p>
    <w:p w14:paraId="3F709BA6">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778F832">
      <w:pPr>
        <w:pStyle w:val="3"/>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2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rPr>
      </w:pPr>
      <w:bookmarkStart w:id="42" w:name="_Toc65660337"/>
      <w:bookmarkStart w:id="43" w:name="_Toc1733"/>
      <w:bookmarkStart w:id="44" w:name="_Toc521053056"/>
      <w:bookmarkStart w:id="45" w:name="_Toc106034628"/>
      <w:bookmarkStart w:id="46" w:name="_Toc525047164"/>
      <w:bookmarkStart w:id="47" w:name="_Toc10415"/>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bookmarkEnd w:id="42"/>
      <w:bookmarkEnd w:id="43"/>
      <w:bookmarkEnd w:id="44"/>
      <w:bookmarkEnd w:id="45"/>
      <w:bookmarkEnd w:id="46"/>
      <w:bookmarkEnd w:id="47"/>
    </w:p>
    <w:p w14:paraId="3DA4DAA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w:t>
      </w:r>
      <w:r>
        <w:rPr>
          <w:rFonts w:hint="default" w:ascii="宋体" w:hAnsi="宋体" w:eastAsia="宋体" w:cs="宋体"/>
          <w:color w:val="auto"/>
          <w:sz w:val="21"/>
          <w:szCs w:val="21"/>
          <w:highlight w:val="none"/>
        </w:rPr>
        <w:t>重庆市涪陵区博物馆</w:t>
      </w:r>
    </w:p>
    <w:p w14:paraId="626D7666">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default" w:ascii="宋体" w:hAnsi="宋体" w:cs="宋体"/>
          <w:color w:val="auto"/>
          <w:sz w:val="21"/>
          <w:szCs w:val="21"/>
          <w:highlight w:val="none"/>
        </w:rPr>
        <w:t>周</w:t>
      </w:r>
      <w:r>
        <w:rPr>
          <w:rFonts w:hint="eastAsia" w:ascii="宋体" w:hAnsi="宋体" w:eastAsia="宋体" w:cs="宋体"/>
          <w:color w:val="auto"/>
          <w:sz w:val="21"/>
          <w:szCs w:val="21"/>
          <w:highlight w:val="none"/>
          <w:lang w:eastAsia="zh-CN"/>
        </w:rPr>
        <w:t>老师</w:t>
      </w:r>
    </w:p>
    <w:p w14:paraId="3C0DEE39">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i w:val="0"/>
          <w:iCs w:val="0"/>
          <w:caps w:val="0"/>
          <w:color w:val="auto"/>
          <w:spacing w:val="0"/>
          <w:sz w:val="21"/>
          <w:szCs w:val="21"/>
          <w:highlight w:val="none"/>
          <w:shd w:val="clear"/>
        </w:rPr>
        <w:t>023-72870330</w:t>
      </w:r>
    </w:p>
    <w:p w14:paraId="4C4B8E99">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址：重庆市沙坪坝区</w:t>
      </w:r>
      <w:r>
        <w:rPr>
          <w:rFonts w:hint="eastAsia" w:ascii="宋体" w:hAnsi="宋体" w:cs="宋体"/>
          <w:color w:val="auto"/>
          <w:sz w:val="21"/>
          <w:szCs w:val="21"/>
          <w:highlight w:val="none"/>
          <w:lang w:val="en-US" w:eastAsia="zh-CN"/>
        </w:rPr>
        <w:t xml:space="preserve">大学城北路82号 </w:t>
      </w:r>
    </w:p>
    <w:p w14:paraId="0DF8EE56">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（二）采购代理机构：</w:t>
      </w:r>
      <w:r>
        <w:rPr>
          <w:rFonts w:hint="default" w:ascii="宋体" w:hAnsi="宋体" w:cs="宋体"/>
          <w:color w:val="auto"/>
          <w:sz w:val="21"/>
          <w:szCs w:val="21"/>
          <w:highlight w:val="none"/>
        </w:rPr>
        <w:t>重庆渝富达</w:t>
      </w:r>
      <w:r>
        <w:rPr>
          <w:rFonts w:hint="eastAsia" w:ascii="宋体" w:hAnsi="宋体" w:eastAsia="宋体" w:cs="宋体"/>
          <w:color w:val="auto"/>
          <w:sz w:val="21"/>
          <w:szCs w:val="21"/>
          <w:highlight w:val="none"/>
        </w:rPr>
        <w:t>项目管理有限公司</w:t>
      </w:r>
    </w:p>
    <w:p w14:paraId="2A886151">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default" w:ascii="宋体" w:hAnsi="宋体" w:cs="宋体"/>
          <w:color w:val="auto"/>
          <w:sz w:val="21"/>
          <w:szCs w:val="21"/>
          <w:highlight w:val="none"/>
          <w:lang w:eastAsia="zh-CN"/>
        </w:rPr>
        <w:t>于</w:t>
      </w:r>
      <w:r>
        <w:rPr>
          <w:rFonts w:hint="eastAsia" w:ascii="宋体" w:hAnsi="宋体" w:eastAsia="宋体" w:cs="宋体"/>
          <w:color w:val="auto"/>
          <w:sz w:val="21"/>
          <w:szCs w:val="21"/>
          <w:highlight w:val="none"/>
        </w:rPr>
        <w:t>老师</w:t>
      </w:r>
    </w:p>
    <w:p w14:paraId="32456186">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话：023-63360233</w:t>
      </w:r>
    </w:p>
    <w:p w14:paraId="53461BF7">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址：重庆市渝北区线外城市花园1栋16层</w:t>
      </w:r>
    </w:p>
    <w:p w14:paraId="6AA6E2D9">
      <w:pPr>
        <w:pStyle w:val="2"/>
        <w:keepNext w:val="0"/>
        <w:keepLines w:val="0"/>
        <w:pageBreakBefore w:val="0"/>
        <w:widowControl w:val="0"/>
        <w:numPr>
          <w:ilvl w:val="0"/>
          <w:numId w:val="13"/>
        </w:numPr>
        <w:shd w:val="clear"/>
        <w:kinsoku w:val="0"/>
        <w:wordWrap/>
        <w:overflowPunct/>
        <w:topLinePunct w:val="0"/>
        <w:autoSpaceDE w:val="0"/>
        <w:autoSpaceDN w:val="0"/>
        <w:bidi w:val="0"/>
        <w:adjustRightInd w:val="0"/>
        <w:snapToGrid w:val="0"/>
        <w:spacing w:line="520" w:lineRule="exact"/>
        <w:ind w:left="0" w:leftChars="0" w:right="0" w:rightChars="0" w:firstLine="422" w:firstLineChars="200"/>
        <w:jc w:val="center"/>
        <w:textAlignment w:val="auto"/>
        <w:rPr>
          <w:rFonts w:hint="eastAsia" w:ascii="宋体" w:hAnsi="宋体" w:eastAsia="宋体" w:cs="宋体"/>
          <w:color w:val="auto"/>
          <w:sz w:val="21"/>
          <w:szCs w:val="21"/>
          <w:highlight w:val="none"/>
        </w:rPr>
        <w:sectPr>
          <w:headerReference r:id="rId3" w:type="default"/>
          <w:footerReference r:id="rId4" w:type="default"/>
          <w:pgSz w:w="11907" w:h="16840"/>
          <w:pgMar w:top="1417" w:right="1474" w:bottom="1417" w:left="147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4946380F">
      <w:pPr>
        <w:pStyle w:val="2"/>
        <w:pageBreakBefore w:val="0"/>
        <w:numPr>
          <w:ilvl w:val="0"/>
          <w:numId w:val="14"/>
        </w:numPr>
        <w:shd w:val="clea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rPr>
          <w:rFonts w:hint="eastAsia" w:ascii="宋体" w:hAnsi="宋体" w:eastAsia="宋体" w:cs="宋体"/>
          <w:b/>
          <w:color w:val="auto"/>
          <w:kern w:val="2"/>
          <w:sz w:val="28"/>
          <w:highlight w:val="none"/>
          <w:lang w:val="en-US" w:eastAsia="zh-CN" w:bidi="ar-SA"/>
        </w:rPr>
      </w:pPr>
      <w:bookmarkStart w:id="48" w:name="_Toc1292"/>
      <w:bookmarkStart w:id="49" w:name="_Toc17146"/>
      <w:bookmarkStart w:id="50" w:name="_Toc14516"/>
      <w:bookmarkStart w:id="51" w:name="_Toc65660338"/>
      <w:bookmarkStart w:id="52" w:name="_Toc106034629"/>
      <w:bookmarkStart w:id="53" w:name="_Toc102227313"/>
      <w:r>
        <w:rPr>
          <w:rFonts w:hint="eastAsia" w:ascii="宋体" w:hAnsi="宋体" w:eastAsia="宋体" w:cs="宋体"/>
          <w:b/>
          <w:color w:val="auto"/>
          <w:kern w:val="2"/>
          <w:sz w:val="28"/>
          <w:highlight w:val="none"/>
          <w:lang w:val="en-US" w:eastAsia="zh-CN" w:bidi="ar-SA"/>
        </w:rPr>
        <w:t>比选项目技术（质量）需求</w:t>
      </w:r>
      <w:bookmarkEnd w:id="48"/>
      <w:bookmarkEnd w:id="49"/>
      <w:bookmarkEnd w:id="50"/>
      <w:bookmarkEnd w:id="51"/>
      <w:bookmarkEnd w:id="52"/>
      <w:bookmarkStart w:id="54" w:name="_Toc65660339"/>
      <w:bookmarkStart w:id="55" w:name="_Toc106034630"/>
      <w:bookmarkStart w:id="56" w:name="_Toc24129"/>
      <w:bookmarkStart w:id="57" w:name="_Toc26971"/>
    </w:p>
    <w:p w14:paraId="59CF5F66">
      <w:pPr>
        <w:numPr>
          <w:ilvl w:val="0"/>
          <w:numId w:val="0"/>
        </w:numPr>
        <w:rPr>
          <w:rFonts w:hint="default"/>
          <w:sz w:val="21"/>
          <w:szCs w:val="21"/>
          <w:lang w:eastAsia="zh-CN"/>
        </w:rPr>
      </w:pPr>
    </w:p>
    <w:p w14:paraId="4D537D25">
      <w:pPr>
        <w:numPr>
          <w:ilvl w:val="0"/>
          <w:numId w:val="0"/>
        </w:numPr>
        <w:rPr>
          <w:rFonts w:hint="default"/>
          <w:sz w:val="21"/>
          <w:szCs w:val="21"/>
          <w:lang w:eastAsia="zh-CN"/>
        </w:rPr>
      </w:pPr>
      <w:r>
        <w:rPr>
          <w:rFonts w:hint="default"/>
          <w:sz w:val="21"/>
          <w:szCs w:val="21"/>
          <w:lang w:eastAsia="zh-CN"/>
        </w:rPr>
        <w:t>一、比选项目清单及技术参数</w:t>
      </w:r>
    </w:p>
    <w:bookmarkEnd w:id="54"/>
    <w:bookmarkEnd w:id="55"/>
    <w:bookmarkEnd w:id="56"/>
    <w:bookmarkEnd w:id="57"/>
    <w:p w14:paraId="6883C00C">
      <w:pPr>
        <w:pStyle w:val="4"/>
        <w:keepNext w:val="0"/>
        <w:keepLines w:val="0"/>
        <w:numPr>
          <w:ilvl w:val="0"/>
          <w:numId w:val="0"/>
        </w:numPr>
        <w:shd w:val="clear"/>
        <w:autoSpaceDE w:val="0"/>
        <w:autoSpaceDN w:val="0"/>
        <w:adjustRightInd w:val="0"/>
        <w:snapToGrid w:val="0"/>
        <w:spacing w:before="0" w:beforeLines="0" w:after="0" w:afterLines="0" w:line="360" w:lineRule="auto"/>
        <w:ind w:rightChars="0" w:firstLine="0"/>
        <w:jc w:val="center"/>
        <w:rPr>
          <w:rFonts w:hint="eastAsia" w:ascii="宋体" w:hAnsi="宋体" w:eastAsia="宋体" w:cs="宋体"/>
          <w:b/>
          <w:color w:val="auto"/>
          <w:sz w:val="24"/>
          <w:szCs w:val="24"/>
          <w:highlight w:val="none"/>
          <w:lang w:val="en-US" w:eastAsia="zh-CN"/>
        </w:rPr>
      </w:pPr>
      <w:bookmarkStart w:id="58" w:name="_Toc29776"/>
      <w:r>
        <w:drawing>
          <wp:inline distT="0" distB="0" distL="114300" distR="114300">
            <wp:extent cx="5201920" cy="68700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01920" cy="6870065"/>
                    </a:xfrm>
                    <a:prstGeom prst="rect">
                      <a:avLst/>
                    </a:prstGeom>
                    <a:noFill/>
                    <a:ln>
                      <a:noFill/>
                    </a:ln>
                  </pic:spPr>
                </pic:pic>
              </a:graphicData>
            </a:graphic>
          </wp:inline>
        </w:drawing>
      </w:r>
    </w:p>
    <w:p w14:paraId="5AFE6870">
      <w:pPr>
        <w:pStyle w:val="4"/>
        <w:keepNext w:val="0"/>
        <w:keepLines w:val="0"/>
        <w:numPr>
          <w:ilvl w:val="0"/>
          <w:numId w:val="0"/>
        </w:numPr>
        <w:shd w:val="clear"/>
        <w:autoSpaceDE w:val="0"/>
        <w:autoSpaceDN w:val="0"/>
        <w:adjustRightInd w:val="0"/>
        <w:snapToGrid w:val="0"/>
        <w:spacing w:before="0" w:beforeLines="0" w:after="0" w:afterLines="0" w:line="360" w:lineRule="auto"/>
        <w:ind w:rightChars="0" w:firstLine="0"/>
        <w:rPr>
          <w:rFonts w:hint="eastAsia" w:ascii="宋体" w:hAnsi="宋体" w:eastAsia="宋体" w:cs="宋体"/>
          <w:b/>
          <w:color w:val="auto"/>
          <w:sz w:val="21"/>
          <w:szCs w:val="21"/>
          <w:highlight w:val="none"/>
          <w:lang w:val="en-US" w:eastAsia="zh-CN"/>
        </w:rPr>
      </w:pPr>
      <w:r>
        <w:rPr>
          <w:rFonts w:hint="default" w:ascii="宋体" w:hAnsi="宋体" w:cs="宋体"/>
          <w:b/>
          <w:color w:val="auto"/>
          <w:sz w:val="21"/>
          <w:szCs w:val="21"/>
          <w:highlight w:val="none"/>
          <w:lang w:eastAsia="zh-CN"/>
        </w:rPr>
        <w:t>二</w:t>
      </w:r>
      <w:r>
        <w:rPr>
          <w:rFonts w:hint="eastAsia" w:ascii="宋体" w:hAnsi="宋体" w:eastAsia="宋体" w:cs="宋体"/>
          <w:b/>
          <w:color w:val="auto"/>
          <w:sz w:val="21"/>
          <w:szCs w:val="21"/>
          <w:highlight w:val="none"/>
          <w:lang w:val="en-US" w:eastAsia="zh-CN"/>
        </w:rPr>
        <w:t>、质量要求</w:t>
      </w:r>
      <w:bookmarkEnd w:id="58"/>
    </w:p>
    <w:p w14:paraId="1CB68F4D">
      <w:pPr>
        <w:shd w:val="clear"/>
        <w:autoSpaceDE w:val="0"/>
        <w:autoSpaceDN w:val="0"/>
        <w:adjustRightInd w:val="0"/>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提供</w:t>
      </w:r>
      <w:r>
        <w:rPr>
          <w:rFonts w:hint="default" w:ascii="宋体" w:hAnsi="宋体" w:cs="宋体"/>
          <w:color w:val="auto"/>
          <w:sz w:val="21"/>
          <w:szCs w:val="21"/>
          <w:highlight w:val="none"/>
        </w:rPr>
        <w:t>服务及产品</w:t>
      </w:r>
      <w:r>
        <w:rPr>
          <w:rFonts w:hint="eastAsia" w:ascii="宋体" w:hAnsi="宋体" w:eastAsia="宋体" w:cs="宋体"/>
          <w:color w:val="auto"/>
          <w:sz w:val="21"/>
          <w:szCs w:val="21"/>
          <w:highlight w:val="none"/>
        </w:rPr>
        <w:t>的技术标准需达到或超过国家现行标准，应保证产品质量符合行业标准和国家相关规定。如未达标，</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应无偿调换，因此发生的相关费用由</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自负，并承担因此而造成的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损失。</w:t>
      </w:r>
    </w:p>
    <w:p w14:paraId="477E4F86">
      <w:pPr>
        <w:pStyle w:val="2"/>
        <w:pageBreakBefore w:val="0"/>
        <w:shd w:val="clea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rPr>
          <w:rFonts w:hint="eastAsia" w:ascii="宋体" w:hAnsi="宋体" w:eastAsia="宋体" w:cs="宋体"/>
          <w:b/>
          <w:color w:val="auto"/>
          <w:kern w:val="2"/>
          <w:sz w:val="28"/>
          <w:highlight w:val="none"/>
          <w:lang w:val="en-US" w:eastAsia="zh-CN" w:bidi="ar-SA"/>
        </w:rPr>
      </w:pPr>
      <w:bookmarkStart w:id="59" w:name="_Toc13356"/>
      <w:bookmarkStart w:id="60" w:name="_Toc65660341"/>
      <w:bookmarkStart w:id="61" w:name="_Toc15492"/>
      <w:bookmarkStart w:id="62" w:name="_Toc30544"/>
      <w:bookmarkStart w:id="63" w:name="_Toc106034632"/>
      <w:r>
        <w:rPr>
          <w:rFonts w:hint="eastAsia" w:ascii="宋体" w:hAnsi="宋体" w:eastAsia="宋体" w:cs="宋体"/>
          <w:b/>
          <w:color w:val="auto"/>
          <w:kern w:val="2"/>
          <w:sz w:val="28"/>
          <w:highlight w:val="none"/>
          <w:lang w:val="en-US" w:eastAsia="zh-CN" w:bidi="ar-SA"/>
        </w:rPr>
        <w:t xml:space="preserve">第三篇  </w:t>
      </w:r>
      <w:bookmarkEnd w:id="53"/>
      <w:r>
        <w:rPr>
          <w:rFonts w:hint="eastAsia" w:ascii="宋体" w:hAnsi="宋体" w:eastAsia="宋体" w:cs="宋体"/>
          <w:b/>
          <w:color w:val="auto"/>
          <w:kern w:val="2"/>
          <w:sz w:val="28"/>
          <w:highlight w:val="none"/>
          <w:lang w:val="en-US" w:eastAsia="zh-CN" w:bidi="ar-SA"/>
        </w:rPr>
        <w:t>项目服务</w:t>
      </w:r>
      <w:bookmarkEnd w:id="59"/>
      <w:bookmarkEnd w:id="60"/>
      <w:bookmarkEnd w:id="61"/>
      <w:r>
        <w:rPr>
          <w:rFonts w:hint="eastAsia" w:ascii="宋体" w:hAnsi="宋体" w:eastAsia="宋体" w:cs="宋体"/>
          <w:b/>
          <w:color w:val="auto"/>
          <w:kern w:val="2"/>
          <w:sz w:val="28"/>
          <w:highlight w:val="none"/>
          <w:lang w:val="en-US" w:eastAsia="zh-CN" w:bidi="ar-SA"/>
        </w:rPr>
        <w:t>需求</w:t>
      </w:r>
      <w:bookmarkEnd w:id="62"/>
      <w:bookmarkEnd w:id="63"/>
    </w:p>
    <w:p w14:paraId="69C5B65D">
      <w:pPr>
        <w:pStyle w:val="34"/>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sz w:val="21"/>
          <w:szCs w:val="21"/>
        </w:rPr>
      </w:pPr>
      <w:bookmarkStart w:id="64" w:name="_Toc344475120"/>
      <w:bookmarkStart w:id="65" w:name="_Toc76462328"/>
      <w:bookmarkStart w:id="66" w:name="_Toc106034640"/>
      <w:bookmarkStart w:id="67" w:name="_Toc16123"/>
      <w:bookmarkStart w:id="68" w:name="_Toc24195"/>
      <w:bookmarkStart w:id="69" w:name="_Toc65660349"/>
      <w:bookmarkStart w:id="70" w:name="_Toc342913389"/>
      <w:r>
        <w:rPr>
          <w:rFonts w:hint="eastAsia" w:ascii="宋体" w:hAnsi="宋体" w:eastAsia="宋体" w:cs="宋体"/>
          <w:sz w:val="21"/>
          <w:szCs w:val="21"/>
        </w:rPr>
        <w:t>“※”标注的商务需求为符合性审查中的实质性要求，响应文件若不满足按无效响应处理。</w:t>
      </w:r>
    </w:p>
    <w:p w14:paraId="0484B408">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eastAsia" w:ascii="宋体" w:hAnsi="宋体" w:eastAsia="宋体" w:cs="宋体"/>
          <w:color w:val="auto"/>
          <w:sz w:val="21"/>
          <w:szCs w:val="21"/>
        </w:rPr>
      </w:pPr>
      <w:bookmarkStart w:id="71" w:name="_Toc2575"/>
      <w:bookmarkStart w:id="72" w:name="_Toc31872"/>
      <w:bookmarkStart w:id="73" w:name="_Toc3267"/>
      <w:bookmarkStart w:id="74" w:name="_Toc15948"/>
      <w:bookmarkStart w:id="75" w:name="_Toc31683"/>
      <w:bookmarkStart w:id="76" w:name="_Toc1269"/>
      <w:bookmarkStart w:id="77" w:name="_Toc20769"/>
      <w:bookmarkStart w:id="78" w:name="_Toc11843"/>
      <w:bookmarkStart w:id="79" w:name="_Toc26892"/>
      <w:bookmarkStart w:id="80" w:name="_Toc4124"/>
      <w:bookmarkStart w:id="81" w:name="_Toc17637"/>
      <w:bookmarkStart w:id="82" w:name="_Toc22712"/>
      <w:bookmarkStart w:id="83" w:name="_Toc3986"/>
      <w:bookmarkStart w:id="84" w:name="_Toc20876"/>
      <w:bookmarkStart w:id="85" w:name="_Toc20240"/>
      <w:bookmarkStart w:id="86" w:name="_Toc1618"/>
      <w:bookmarkStart w:id="87" w:name="_Toc22142"/>
      <w:r>
        <w:rPr>
          <w:rFonts w:hint="default" w:ascii="宋体" w:hAnsi="宋体" w:eastAsia="宋体" w:cs="宋体"/>
          <w:color w:val="auto"/>
          <w:sz w:val="21"/>
          <w:szCs w:val="21"/>
        </w:rPr>
        <w:t xml:space="preserve">     </w:t>
      </w:r>
      <w:r>
        <w:rPr>
          <w:rFonts w:hint="eastAsia" w:ascii="宋体" w:hAnsi="宋体" w:eastAsia="宋体" w:cs="宋体"/>
          <w:color w:val="auto"/>
          <w:sz w:val="21"/>
          <w:szCs w:val="21"/>
        </w:rPr>
        <w:t>※一、服务期、地点及验收方式</w:t>
      </w:r>
      <w:bookmarkEnd w:id="64"/>
      <w:bookmarkEnd w:id="6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4586C12">
      <w:pPr>
        <w:pStyle w:val="34"/>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（一）服务期：</w:t>
      </w:r>
      <w:r>
        <w:rPr>
          <w:rFonts w:hint="eastAsia" w:ascii="宋体" w:hAnsi="宋体" w:eastAsia="宋体" w:cs="宋体"/>
          <w:color w:val="auto"/>
          <w:sz w:val="21"/>
          <w:szCs w:val="21"/>
          <w:lang w:eastAsia="zh-CN"/>
        </w:rPr>
        <w:t>成交供应商</w:t>
      </w:r>
      <w:r>
        <w:rPr>
          <w:rFonts w:hint="eastAsia" w:ascii="宋体" w:hAnsi="宋体" w:cs="宋体"/>
          <w:color w:val="auto"/>
          <w:kern w:val="0"/>
          <w:sz w:val="21"/>
          <w:szCs w:val="21"/>
        </w:rPr>
        <w:t>应在</w:t>
      </w:r>
      <w:r>
        <w:rPr>
          <w:rFonts w:hint="eastAsia" w:ascii="宋体" w:hAnsi="宋体" w:cs="宋体"/>
          <w:color w:val="auto"/>
          <w:kern w:val="0"/>
          <w:sz w:val="21"/>
          <w:szCs w:val="21"/>
          <w:lang w:eastAsia="zh-CN"/>
        </w:rPr>
        <w:t>采购</w:t>
      </w:r>
      <w:r>
        <w:rPr>
          <w:rFonts w:hint="eastAsia" w:ascii="宋体" w:hAnsi="宋体" w:cs="宋体"/>
          <w:color w:val="auto"/>
          <w:kern w:val="0"/>
          <w:sz w:val="21"/>
          <w:szCs w:val="21"/>
        </w:rPr>
        <w:t>合同签订后10个日历日内完成</w:t>
      </w:r>
      <w:r>
        <w:rPr>
          <w:rFonts w:hint="default" w:ascii="宋体" w:hAnsi="宋体" w:cs="宋体"/>
          <w:color w:val="auto"/>
          <w:kern w:val="0"/>
          <w:sz w:val="21"/>
          <w:szCs w:val="21"/>
        </w:rPr>
        <w:t>陈设</w:t>
      </w:r>
      <w:r>
        <w:rPr>
          <w:rFonts w:hint="eastAsia" w:ascii="宋体" w:hAnsi="宋体" w:cs="宋体"/>
          <w:color w:val="auto"/>
          <w:kern w:val="0"/>
          <w:sz w:val="21"/>
          <w:szCs w:val="21"/>
        </w:rPr>
        <w:t>的设计方案，</w:t>
      </w:r>
      <w:r>
        <w:rPr>
          <w:rFonts w:hint="default" w:ascii="宋体" w:hAnsi="宋体" w:cs="宋体"/>
          <w:color w:val="auto"/>
          <w:kern w:val="0"/>
          <w:sz w:val="21"/>
          <w:szCs w:val="21"/>
          <w:lang w:eastAsia="zh-CN"/>
        </w:rPr>
        <w:t>陈设</w:t>
      </w:r>
      <w:r>
        <w:rPr>
          <w:rFonts w:hint="eastAsia" w:ascii="宋体" w:hAnsi="宋体" w:cs="宋体"/>
          <w:color w:val="auto"/>
          <w:kern w:val="0"/>
          <w:sz w:val="21"/>
          <w:szCs w:val="21"/>
          <w:lang w:eastAsia="zh-CN"/>
        </w:rPr>
        <w:t>设计方案通过后</w:t>
      </w:r>
      <w:r>
        <w:rPr>
          <w:rFonts w:hint="eastAsia" w:ascii="宋体" w:hAnsi="宋体" w:cs="宋体"/>
          <w:color w:val="auto"/>
          <w:kern w:val="0"/>
          <w:sz w:val="21"/>
          <w:szCs w:val="21"/>
        </w:rPr>
        <w:t>20个日历日内</w:t>
      </w:r>
      <w:r>
        <w:rPr>
          <w:rFonts w:hint="default" w:ascii="宋体" w:hAnsi="宋体" w:cs="宋体"/>
          <w:color w:val="auto"/>
          <w:kern w:val="0"/>
          <w:sz w:val="21"/>
          <w:szCs w:val="21"/>
        </w:rPr>
        <w:t>改造</w:t>
      </w:r>
      <w:r>
        <w:rPr>
          <w:rFonts w:hint="eastAsia" w:ascii="宋体" w:hAnsi="宋体" w:cs="宋体"/>
          <w:color w:val="auto"/>
          <w:kern w:val="0"/>
          <w:sz w:val="21"/>
          <w:szCs w:val="21"/>
        </w:rPr>
        <w:t>提升服务，达到</w:t>
      </w:r>
      <w:r>
        <w:rPr>
          <w:rFonts w:hint="eastAsia" w:ascii="宋体" w:hAnsi="宋体" w:cs="宋体"/>
          <w:color w:val="auto"/>
          <w:kern w:val="0"/>
          <w:sz w:val="21"/>
          <w:szCs w:val="21"/>
          <w:lang w:eastAsia="zh-CN"/>
        </w:rPr>
        <w:t>验收</w:t>
      </w:r>
      <w:r>
        <w:rPr>
          <w:rFonts w:hint="eastAsia" w:ascii="宋体" w:hAnsi="宋体" w:cs="宋体"/>
          <w:color w:val="auto"/>
          <w:kern w:val="0"/>
          <w:sz w:val="21"/>
          <w:szCs w:val="21"/>
        </w:rPr>
        <w:t>合格标准并交付采购人使用。</w:t>
      </w:r>
    </w:p>
    <w:p w14:paraId="29CD01F3">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（二）服务地点：</w:t>
      </w:r>
      <w:r>
        <w:rPr>
          <w:rFonts w:hint="default" w:ascii="宋体" w:hAnsi="宋体" w:eastAsia="宋体" w:cs="宋体"/>
          <w:sz w:val="21"/>
          <w:szCs w:val="21"/>
          <w:lang w:eastAsia="zh-CN"/>
        </w:rPr>
        <w:t>比选人指定地点</w:t>
      </w:r>
      <w:r>
        <w:rPr>
          <w:rFonts w:hint="eastAsia" w:ascii="宋体" w:hAnsi="宋体" w:cs="宋体"/>
          <w:kern w:val="0"/>
          <w:sz w:val="21"/>
          <w:szCs w:val="21"/>
        </w:rPr>
        <w:t>。</w:t>
      </w:r>
    </w:p>
    <w:p w14:paraId="43CA2756">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（三）验收方式：</w:t>
      </w:r>
    </w:p>
    <w:p w14:paraId="56E31DCA">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采购人按照竞争性磋商文件、成交供应商的响应文件及合同签订的内容进行验收。</w:t>
      </w:r>
    </w:p>
    <w:p w14:paraId="294A2166">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设计方案须达到采购人的</w:t>
      </w:r>
      <w:r>
        <w:rPr>
          <w:rFonts w:hint="eastAsia" w:ascii="宋体" w:hAnsi="宋体" w:eastAsia="宋体" w:cs="宋体"/>
          <w:sz w:val="21"/>
          <w:szCs w:val="21"/>
          <w:lang w:val="en-US" w:eastAsia="zh-CN"/>
        </w:rPr>
        <w:t>服务</w:t>
      </w:r>
      <w:r>
        <w:rPr>
          <w:rFonts w:hint="default" w:ascii="宋体" w:hAnsi="宋体" w:eastAsia="宋体" w:cs="宋体"/>
          <w:sz w:val="21"/>
          <w:szCs w:val="21"/>
          <w:lang w:val="en-US" w:eastAsia="zh-CN"/>
        </w:rPr>
        <w:t>需求及行业的规范要求。</w:t>
      </w:r>
      <w:r>
        <w:rPr>
          <w:rFonts w:hint="eastAsia" w:ascii="宋体" w:hAnsi="宋体" w:eastAsia="宋体" w:cs="宋体"/>
          <w:sz w:val="21"/>
          <w:szCs w:val="21"/>
          <w:lang w:val="en-US" w:eastAsia="zh-CN"/>
        </w:rPr>
        <w:t>配套</w:t>
      </w:r>
      <w:r>
        <w:rPr>
          <w:rFonts w:hint="default" w:ascii="宋体" w:hAnsi="宋体" w:eastAsia="宋体" w:cs="宋体"/>
          <w:sz w:val="21"/>
          <w:szCs w:val="21"/>
          <w:lang w:val="en-US" w:eastAsia="zh-CN"/>
        </w:rPr>
        <w:t>设备或材料到场后成交供应商应通知采购人对设备或材料进行验收，验收时如与竞争性磋商文件和成交供应商的响应文件及承诺要求不一致</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采购人可拒绝收货</w:t>
      </w:r>
      <w:r>
        <w:rPr>
          <w:rFonts w:hint="eastAsia" w:ascii="宋体" w:hAnsi="宋体" w:eastAsia="宋体" w:cs="宋体"/>
          <w:sz w:val="21"/>
          <w:szCs w:val="21"/>
          <w:lang w:val="en-US" w:eastAsia="zh-CN"/>
        </w:rPr>
        <w:t>并单方面解除采购合同</w:t>
      </w:r>
      <w:r>
        <w:rPr>
          <w:rFonts w:hint="default" w:ascii="宋体" w:hAnsi="宋体" w:eastAsia="宋体" w:cs="宋体"/>
          <w:sz w:val="21"/>
          <w:szCs w:val="21"/>
          <w:lang w:val="en-US" w:eastAsia="zh-CN"/>
        </w:rPr>
        <w:t>，设备和材料验收合格后才能实施</w:t>
      </w:r>
      <w:r>
        <w:rPr>
          <w:rFonts w:hint="eastAsia" w:ascii="宋体" w:hAnsi="宋体" w:eastAsia="宋体" w:cs="宋体"/>
          <w:sz w:val="21"/>
          <w:szCs w:val="21"/>
          <w:lang w:val="en-US" w:eastAsia="zh-CN"/>
        </w:rPr>
        <w:t>项目设计提升服务</w:t>
      </w:r>
      <w:r>
        <w:rPr>
          <w:rFonts w:hint="default" w:ascii="宋体" w:hAnsi="宋体" w:eastAsia="宋体" w:cs="宋体"/>
          <w:sz w:val="21"/>
          <w:szCs w:val="21"/>
          <w:lang w:val="en-US" w:eastAsia="zh-CN"/>
        </w:rPr>
        <w:t>。</w:t>
      </w:r>
    </w:p>
    <w:p w14:paraId="625E5C00">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成交供应商提供的所有设备或材料的质量必须符合国家和相关行业标准。</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应保证货物到达采购人所在地完好无损，如有缺漏、损坏，由</w:t>
      </w:r>
      <w:r>
        <w:rPr>
          <w:rFonts w:hint="eastAsia" w:ascii="宋体" w:hAnsi="宋体" w:eastAsia="宋体" w:cs="宋体"/>
          <w:kern w:val="0"/>
          <w:sz w:val="21"/>
          <w:szCs w:val="21"/>
          <w:lang w:eastAsia="zh-CN"/>
        </w:rPr>
        <w:t>成交供应商</w:t>
      </w:r>
      <w:r>
        <w:rPr>
          <w:rFonts w:hint="eastAsia" w:ascii="宋体" w:hAnsi="宋体" w:eastAsia="宋体" w:cs="宋体"/>
          <w:kern w:val="0"/>
          <w:sz w:val="21"/>
          <w:szCs w:val="21"/>
        </w:rPr>
        <w:t>负责调换、补齐或赔偿。</w:t>
      </w:r>
    </w:p>
    <w:p w14:paraId="3DAD5583">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r>
        <w:rPr>
          <w:rFonts w:hint="default" w:ascii="宋体" w:hAnsi="宋体" w:eastAsia="宋体" w:cs="宋体"/>
          <w:sz w:val="21"/>
          <w:szCs w:val="21"/>
          <w:lang w:val="en-US" w:eastAsia="zh-CN"/>
        </w:rPr>
        <w:t>设备或材料</w:t>
      </w:r>
      <w:r>
        <w:rPr>
          <w:rFonts w:hint="eastAsia" w:ascii="宋体" w:hAnsi="宋体" w:eastAsia="宋体" w:cs="宋体"/>
          <w:kern w:val="0"/>
          <w:sz w:val="21"/>
          <w:szCs w:val="21"/>
        </w:rPr>
        <w:t>技术资料、装箱单、合格证等资料齐全。</w:t>
      </w:r>
    </w:p>
    <w:p w14:paraId="081616CF">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项目实施过程中成交供应商应派遣有丰富经验和相应能力的工程师按照国家和相关行业标准和设计方案实施、检查、验收。</w:t>
      </w:r>
    </w:p>
    <w:p w14:paraId="002DF94D">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项目实施过程中因成交供应商操作不当所导致的直接损失或对原成品、其他附属设施造成损失</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由成交供应商承担全部赔偿责任。</w:t>
      </w:r>
    </w:p>
    <w:p w14:paraId="7AC37A2C">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项目实施完毕后，由成交供应商申报验收，采购人按国家相关标准、竞争性磋商文件、成交供应商的响应文件和政府采购合同</w:t>
      </w:r>
      <w:r>
        <w:rPr>
          <w:rFonts w:hint="eastAsia" w:ascii="宋体" w:hAnsi="宋体" w:eastAsia="宋体" w:cs="宋体"/>
          <w:sz w:val="21"/>
          <w:szCs w:val="21"/>
          <w:lang w:val="en-US" w:eastAsia="zh-CN"/>
        </w:rPr>
        <w:t>内容</w:t>
      </w:r>
      <w:r>
        <w:rPr>
          <w:rFonts w:hint="default" w:ascii="宋体" w:hAnsi="宋体" w:eastAsia="宋体" w:cs="宋体"/>
          <w:sz w:val="21"/>
          <w:szCs w:val="21"/>
          <w:lang w:val="en-US" w:eastAsia="zh-CN"/>
        </w:rPr>
        <w:t>进行验收，验收合格后双方签字</w:t>
      </w:r>
      <w:r>
        <w:rPr>
          <w:rFonts w:hint="eastAsia" w:ascii="宋体" w:hAnsi="宋体" w:eastAsia="宋体" w:cs="宋体"/>
          <w:sz w:val="21"/>
          <w:szCs w:val="21"/>
          <w:lang w:val="en-US" w:eastAsia="zh-CN"/>
        </w:rPr>
        <w:t>确认验收结果</w:t>
      </w:r>
      <w:r>
        <w:rPr>
          <w:rFonts w:hint="default" w:ascii="宋体" w:hAnsi="宋体" w:eastAsia="宋体" w:cs="宋体"/>
          <w:sz w:val="21"/>
          <w:szCs w:val="21"/>
          <w:lang w:val="en-US" w:eastAsia="zh-CN"/>
        </w:rPr>
        <w:t>，验收费用由成交供应商承担</w:t>
      </w:r>
      <w:r>
        <w:rPr>
          <w:rFonts w:hint="eastAsia" w:ascii="宋体" w:hAnsi="宋体" w:eastAsia="宋体" w:cs="宋体"/>
          <w:sz w:val="21"/>
          <w:szCs w:val="21"/>
          <w:lang w:val="en-US" w:eastAsia="zh-CN"/>
        </w:rPr>
        <w:t>。</w:t>
      </w:r>
      <w:r>
        <w:rPr>
          <w:rFonts w:hint="eastAsia" w:ascii="宋体" w:hAnsi="宋体" w:cs="宋体"/>
          <w:kern w:val="0"/>
          <w:sz w:val="21"/>
          <w:szCs w:val="21"/>
        </w:rPr>
        <w:t>如验收不合格，</w:t>
      </w:r>
      <w:r>
        <w:rPr>
          <w:rFonts w:hint="default" w:ascii="宋体" w:hAnsi="宋体" w:eastAsia="宋体" w:cs="宋体"/>
          <w:sz w:val="21"/>
          <w:szCs w:val="21"/>
          <w:lang w:val="en-US" w:eastAsia="zh-CN"/>
        </w:rPr>
        <w:t>成交供应商</w:t>
      </w:r>
      <w:r>
        <w:rPr>
          <w:rFonts w:hint="eastAsia" w:ascii="宋体" w:hAnsi="宋体" w:cs="宋体"/>
          <w:kern w:val="0"/>
          <w:sz w:val="21"/>
          <w:szCs w:val="21"/>
        </w:rPr>
        <w:t>应对采购人提出的问题及建议进行整改，完成整改后重新向采购人提出验收申请。在所有</w:t>
      </w:r>
      <w:r>
        <w:rPr>
          <w:rFonts w:hint="eastAsia" w:ascii="宋体" w:hAnsi="宋体" w:cs="宋体"/>
          <w:kern w:val="0"/>
          <w:sz w:val="21"/>
          <w:szCs w:val="21"/>
          <w:lang w:eastAsia="zh-CN"/>
        </w:rPr>
        <w:t>服务</w:t>
      </w:r>
      <w:r>
        <w:rPr>
          <w:rFonts w:hint="eastAsia" w:ascii="宋体" w:hAnsi="宋体" w:cs="宋体"/>
          <w:kern w:val="0"/>
          <w:sz w:val="21"/>
          <w:szCs w:val="21"/>
        </w:rPr>
        <w:t>内容达到验收合格要求时，双方签署验收文件（报告）</w:t>
      </w:r>
      <w:r>
        <w:rPr>
          <w:rFonts w:hint="eastAsia" w:ascii="宋体" w:hAnsi="宋体" w:cs="宋体"/>
          <w:kern w:val="0"/>
          <w:sz w:val="21"/>
          <w:szCs w:val="21"/>
          <w:lang w:eastAsia="zh-CN"/>
        </w:rPr>
        <w:t>。</w:t>
      </w:r>
    </w:p>
    <w:p w14:paraId="50D3FB5A">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eastAsia" w:ascii="宋体" w:hAnsi="宋体" w:eastAsia="宋体" w:cs="宋体"/>
          <w:b/>
          <w:sz w:val="21"/>
          <w:szCs w:val="21"/>
        </w:rPr>
      </w:pPr>
      <w:bookmarkStart w:id="88" w:name="_Toc344475121"/>
      <w:bookmarkStart w:id="89" w:name="_Toc18755"/>
      <w:bookmarkStart w:id="90" w:name="_Toc1251"/>
      <w:bookmarkStart w:id="91" w:name="_Toc4880"/>
      <w:bookmarkStart w:id="92" w:name="_Toc6255"/>
      <w:bookmarkStart w:id="93" w:name="_Toc31971"/>
      <w:bookmarkStart w:id="94" w:name="_Toc31789"/>
      <w:bookmarkStart w:id="95" w:name="_Toc17826"/>
      <w:bookmarkStart w:id="96" w:name="_Toc6965"/>
      <w:bookmarkStart w:id="97" w:name="_Toc1074"/>
      <w:bookmarkStart w:id="98" w:name="_Toc22390"/>
      <w:bookmarkStart w:id="99" w:name="_Toc26379"/>
      <w:bookmarkStart w:id="100" w:name="_Toc20024"/>
      <w:bookmarkStart w:id="101" w:name="_Toc30818"/>
      <w:bookmarkStart w:id="102" w:name="_Toc28247"/>
      <w:bookmarkStart w:id="103" w:name="_Toc76462329"/>
      <w:bookmarkStart w:id="104" w:name="_Toc930"/>
      <w:bookmarkStart w:id="105" w:name="_Toc2473"/>
      <w:bookmarkStart w:id="106" w:name="_Toc10826"/>
      <w:r>
        <w:rPr>
          <w:rFonts w:hint="default" w:ascii="宋体" w:hAnsi="宋体" w:eastAsia="宋体" w:cs="宋体"/>
          <w:b/>
          <w:sz w:val="21"/>
          <w:szCs w:val="21"/>
        </w:rPr>
        <w:t xml:space="preserve">     </w:t>
      </w:r>
      <w:r>
        <w:rPr>
          <w:rFonts w:hint="eastAsia" w:ascii="宋体" w:hAnsi="宋体" w:eastAsia="宋体" w:cs="宋体"/>
          <w:b/>
          <w:sz w:val="21"/>
          <w:szCs w:val="21"/>
        </w:rPr>
        <w:t>二、</w:t>
      </w:r>
      <w:bookmarkEnd w:id="88"/>
      <w:r>
        <w:rPr>
          <w:rFonts w:hint="eastAsia" w:ascii="宋体" w:hAnsi="宋体" w:eastAsia="宋体" w:cs="宋体"/>
          <w:b/>
          <w:sz w:val="21"/>
          <w:szCs w:val="21"/>
        </w:rPr>
        <w:t>报价要求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E3B55C7">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54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本项目报价为人民币报价，磋商报价包括完成本项目所需的服务费、服务期内</w:t>
      </w:r>
      <w:r>
        <w:rPr>
          <w:rFonts w:hint="eastAsia" w:ascii="宋体" w:hAnsi="宋体" w:eastAsia="宋体" w:cs="宋体"/>
          <w:color w:val="auto"/>
          <w:sz w:val="21"/>
          <w:szCs w:val="21"/>
          <w:lang w:eastAsia="zh-CN"/>
        </w:rPr>
        <w:t>方案</w:t>
      </w:r>
      <w:r>
        <w:rPr>
          <w:rFonts w:hint="eastAsia" w:ascii="宋体" w:hAnsi="宋体" w:eastAsia="宋体" w:cs="宋体"/>
          <w:color w:val="auto"/>
          <w:sz w:val="21"/>
          <w:szCs w:val="21"/>
        </w:rPr>
        <w:t>设计及设计变更费、人工费及提供服务所需的设备</w:t>
      </w:r>
      <w:r>
        <w:rPr>
          <w:rFonts w:hint="eastAsia" w:ascii="宋体" w:hAnsi="宋体" w:eastAsia="宋体" w:cs="宋体"/>
          <w:color w:val="auto"/>
          <w:sz w:val="21"/>
          <w:szCs w:val="21"/>
          <w:lang w:eastAsia="zh-CN"/>
        </w:rPr>
        <w:t>（包含提供服务所需的软硬件）</w:t>
      </w:r>
      <w:r>
        <w:rPr>
          <w:rFonts w:hint="eastAsia" w:ascii="宋体" w:hAnsi="宋体" w:eastAsia="宋体" w:cs="宋体"/>
          <w:color w:val="auto"/>
          <w:sz w:val="21"/>
          <w:szCs w:val="21"/>
        </w:rPr>
        <w:t>或</w:t>
      </w:r>
      <w:r>
        <w:rPr>
          <w:rFonts w:hint="default" w:ascii="宋体" w:hAnsi="宋体" w:eastAsia="宋体" w:cs="宋体"/>
          <w:color w:val="auto"/>
          <w:sz w:val="21"/>
          <w:szCs w:val="21"/>
        </w:rPr>
        <w:t>材料</w:t>
      </w:r>
      <w:r>
        <w:rPr>
          <w:rFonts w:hint="eastAsia" w:ascii="宋体" w:hAnsi="宋体" w:eastAsia="宋体" w:cs="宋体"/>
          <w:color w:val="auto"/>
          <w:sz w:val="21"/>
          <w:szCs w:val="21"/>
        </w:rPr>
        <w:t>购买（制造）费、辅材费、运输费、装卸费、</w:t>
      </w:r>
      <w:r>
        <w:rPr>
          <w:rFonts w:hint="eastAsia" w:ascii="宋体" w:hAnsi="宋体" w:eastAsia="宋体" w:cs="宋体"/>
          <w:color w:val="auto"/>
          <w:sz w:val="21"/>
          <w:szCs w:val="21"/>
          <w:lang w:eastAsia="zh-CN"/>
        </w:rPr>
        <w:t>保险费、</w:t>
      </w:r>
      <w:r>
        <w:rPr>
          <w:rFonts w:hint="eastAsia" w:ascii="宋体" w:hAnsi="宋体" w:eastAsia="宋体" w:cs="宋体"/>
          <w:color w:val="auto"/>
          <w:sz w:val="21"/>
          <w:szCs w:val="21"/>
        </w:rPr>
        <w:t>安装调试费、培训费及各种应纳的税费</w:t>
      </w:r>
      <w:r>
        <w:rPr>
          <w:rFonts w:hint="eastAsia" w:ascii="宋体" w:hAnsi="宋体" w:eastAsia="宋体" w:cs="宋体"/>
          <w:color w:val="auto"/>
          <w:sz w:val="21"/>
          <w:szCs w:val="21"/>
          <w:lang w:eastAsia="zh-CN"/>
        </w:rPr>
        <w:t>、验收环节产生的验收费用及整改费用、售后服务费用</w:t>
      </w:r>
      <w:r>
        <w:rPr>
          <w:rFonts w:hint="eastAsia" w:ascii="宋体" w:hAnsi="宋体" w:eastAsia="宋体" w:cs="宋体"/>
          <w:color w:val="auto"/>
          <w:sz w:val="21"/>
          <w:szCs w:val="21"/>
        </w:rPr>
        <w:t>等完成本项目的所有费用。因成交供应商自身原因造成漏报、少报皆由其自行承担责任，采购人不再补偿。</w:t>
      </w:r>
    </w:p>
    <w:p w14:paraId="7E548FB5">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default" w:ascii="宋体" w:hAnsi="宋体" w:eastAsia="宋体" w:cs="宋体"/>
          <w:b/>
          <w:sz w:val="21"/>
          <w:szCs w:val="21"/>
        </w:rPr>
      </w:pPr>
      <w:bookmarkStart w:id="107" w:name="_Toc10630"/>
      <w:r>
        <w:rPr>
          <w:rFonts w:hint="default" w:ascii="宋体" w:hAnsi="宋体" w:eastAsia="宋体" w:cs="宋体"/>
          <w:b/>
          <w:sz w:val="21"/>
          <w:szCs w:val="21"/>
          <w:lang w:eastAsia="zh-CN"/>
        </w:rPr>
        <w:t xml:space="preserve">     </w:t>
      </w:r>
      <w:r>
        <w:rPr>
          <w:rFonts w:hint="eastAsia" w:ascii="宋体" w:hAnsi="宋体" w:eastAsia="宋体" w:cs="宋体"/>
          <w:b/>
          <w:sz w:val="21"/>
          <w:szCs w:val="21"/>
          <w:lang w:eastAsia="zh-CN"/>
        </w:rPr>
        <w:t>三、</w:t>
      </w:r>
      <w:r>
        <w:rPr>
          <w:rFonts w:hint="default" w:ascii="宋体" w:hAnsi="宋体" w:eastAsia="宋体" w:cs="宋体"/>
          <w:b/>
          <w:sz w:val="21"/>
          <w:szCs w:val="21"/>
        </w:rPr>
        <w:t>质量保证及售后服务</w:t>
      </w:r>
      <w:bookmarkEnd w:id="107"/>
    </w:p>
    <w:p w14:paraId="32E44039">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自验收合格之日起，</w:t>
      </w:r>
      <w:r>
        <w:rPr>
          <w:rFonts w:hint="eastAsia" w:ascii="宋体" w:hAnsi="宋体" w:eastAsia="宋体" w:cs="宋体"/>
          <w:sz w:val="21"/>
          <w:szCs w:val="21"/>
          <w:lang w:eastAsia="zh-CN"/>
        </w:rPr>
        <w:t>项目</w:t>
      </w:r>
      <w:r>
        <w:rPr>
          <w:rFonts w:hint="eastAsia" w:ascii="宋体" w:hAnsi="宋体" w:eastAsia="宋体" w:cs="宋体"/>
          <w:sz w:val="21"/>
          <w:szCs w:val="21"/>
        </w:rPr>
        <w:t>质量保证期达到</w:t>
      </w:r>
      <w:r>
        <w:rPr>
          <w:rFonts w:hint="default" w:ascii="宋体" w:hAnsi="宋体" w:eastAsia="宋体" w:cs="宋体"/>
          <w:sz w:val="21"/>
          <w:szCs w:val="21"/>
          <w:lang w:eastAsia="zh-CN"/>
        </w:rPr>
        <w:t>2</w:t>
      </w:r>
      <w:r>
        <w:rPr>
          <w:rFonts w:hint="eastAsia" w:ascii="宋体" w:hAnsi="宋体" w:eastAsia="宋体" w:cs="宋体"/>
          <w:sz w:val="21"/>
          <w:szCs w:val="21"/>
          <w:lang w:eastAsia="zh-CN"/>
        </w:rPr>
        <w:t>年，其中包含提供服务所配置的软硬件质保。</w:t>
      </w:r>
      <w:r>
        <w:rPr>
          <w:rFonts w:hint="eastAsia" w:ascii="宋体" w:hAnsi="宋体" w:eastAsia="宋体" w:cs="宋体"/>
          <w:sz w:val="21"/>
          <w:szCs w:val="21"/>
        </w:rPr>
        <w:t>在整个质量保证期内，</w:t>
      </w:r>
      <w:r>
        <w:rPr>
          <w:rFonts w:hint="eastAsia" w:ascii="宋体" w:hAnsi="宋体" w:eastAsia="宋体" w:cs="宋体"/>
          <w:sz w:val="21"/>
          <w:szCs w:val="21"/>
          <w:lang w:eastAsia="zh-CN"/>
        </w:rPr>
        <w:t>成交供应商</w:t>
      </w:r>
      <w:r>
        <w:rPr>
          <w:rFonts w:hint="eastAsia" w:ascii="宋体" w:hAnsi="宋体" w:eastAsia="宋体" w:cs="宋体"/>
          <w:sz w:val="21"/>
          <w:szCs w:val="21"/>
        </w:rPr>
        <w:t>不得再向采购人收取任何维修费、差旅费</w:t>
      </w:r>
      <w:r>
        <w:rPr>
          <w:rFonts w:hint="eastAsia" w:ascii="宋体" w:hAnsi="宋体" w:eastAsia="宋体" w:cs="宋体"/>
          <w:sz w:val="21"/>
          <w:szCs w:val="21"/>
          <w:lang w:eastAsia="zh-CN"/>
        </w:rPr>
        <w:t>、非人为损坏的零配件更换</w:t>
      </w:r>
      <w:r>
        <w:rPr>
          <w:rFonts w:hint="eastAsia" w:ascii="宋体" w:hAnsi="宋体" w:eastAsia="宋体" w:cs="宋体"/>
          <w:sz w:val="21"/>
          <w:szCs w:val="21"/>
        </w:rPr>
        <w:t>等其他额外费用。</w:t>
      </w:r>
    </w:p>
    <w:p w14:paraId="7EDEA54F">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现场响应</w:t>
      </w:r>
    </w:p>
    <w:p w14:paraId="4DA1E2BE">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用户遇到使用及技术问题，电话咨询不能解决的，</w:t>
      </w:r>
      <w:r>
        <w:rPr>
          <w:rFonts w:hint="eastAsia" w:ascii="宋体" w:hAnsi="宋体" w:eastAsia="宋体" w:cs="宋体"/>
          <w:sz w:val="21"/>
          <w:szCs w:val="21"/>
          <w:lang w:eastAsia="zh-CN"/>
        </w:rPr>
        <w:t>成交供应商</w:t>
      </w:r>
      <w:r>
        <w:rPr>
          <w:rFonts w:hint="eastAsia" w:ascii="宋体" w:hAnsi="宋体" w:eastAsia="宋体" w:cs="宋体"/>
          <w:sz w:val="21"/>
          <w:szCs w:val="21"/>
        </w:rPr>
        <w:t>应在</w:t>
      </w:r>
      <w:r>
        <w:rPr>
          <w:rFonts w:hint="eastAsia" w:ascii="宋体" w:hAnsi="宋体" w:eastAsia="宋体" w:cs="宋体"/>
          <w:sz w:val="21"/>
          <w:szCs w:val="21"/>
          <w:lang w:val="en-US" w:eastAsia="zh-CN"/>
        </w:rPr>
        <w:t>4</w:t>
      </w:r>
      <w:r>
        <w:rPr>
          <w:rFonts w:hint="eastAsia" w:ascii="宋体" w:hAnsi="宋体" w:eastAsia="宋体" w:cs="宋体"/>
          <w:sz w:val="21"/>
          <w:szCs w:val="21"/>
        </w:rPr>
        <w:t>小时内采取相应响应措施；无法在</w:t>
      </w:r>
      <w:r>
        <w:rPr>
          <w:rFonts w:hint="eastAsia" w:ascii="宋体" w:hAnsi="宋体" w:eastAsia="宋体" w:cs="宋体"/>
          <w:sz w:val="21"/>
          <w:szCs w:val="21"/>
          <w:lang w:val="en-US" w:eastAsia="zh-CN"/>
        </w:rPr>
        <w:t>4</w:t>
      </w:r>
      <w:r>
        <w:rPr>
          <w:rFonts w:hint="eastAsia" w:ascii="宋体" w:hAnsi="宋体" w:eastAsia="宋体" w:cs="宋体"/>
          <w:sz w:val="21"/>
          <w:szCs w:val="21"/>
        </w:rPr>
        <w:t>小时内解决的，应在</w:t>
      </w:r>
      <w:r>
        <w:rPr>
          <w:rFonts w:hint="eastAsia" w:ascii="宋体" w:hAnsi="宋体" w:eastAsia="宋体" w:cs="宋体"/>
          <w:sz w:val="21"/>
          <w:szCs w:val="21"/>
          <w:lang w:val="en-US" w:eastAsia="zh-CN"/>
        </w:rPr>
        <w:t>24</w:t>
      </w:r>
      <w:r>
        <w:rPr>
          <w:rFonts w:hint="eastAsia" w:ascii="宋体" w:hAnsi="宋体" w:eastAsia="宋体" w:cs="宋体"/>
          <w:sz w:val="21"/>
          <w:szCs w:val="21"/>
        </w:rPr>
        <w:t>小时内派出专业人员到现场进行技术支持；无法在</w:t>
      </w:r>
      <w:r>
        <w:rPr>
          <w:rFonts w:hint="eastAsia" w:ascii="宋体" w:hAnsi="宋体" w:eastAsia="宋体" w:cs="宋体"/>
          <w:sz w:val="21"/>
          <w:szCs w:val="21"/>
          <w:lang w:val="en-US" w:eastAsia="zh-CN"/>
        </w:rPr>
        <w:t>24</w:t>
      </w:r>
      <w:r>
        <w:rPr>
          <w:rFonts w:hint="eastAsia" w:ascii="宋体" w:hAnsi="宋体" w:eastAsia="宋体" w:cs="宋体"/>
          <w:sz w:val="21"/>
          <w:szCs w:val="21"/>
        </w:rPr>
        <w:t>小时内解决的，应在</w:t>
      </w:r>
      <w:r>
        <w:rPr>
          <w:rFonts w:hint="eastAsia" w:ascii="宋体" w:hAnsi="宋体" w:eastAsia="宋体" w:cs="宋体"/>
          <w:sz w:val="21"/>
          <w:szCs w:val="21"/>
          <w:lang w:val="en-US" w:eastAsia="zh-CN"/>
        </w:rPr>
        <w:t>48</w:t>
      </w:r>
      <w:r>
        <w:rPr>
          <w:rFonts w:hint="eastAsia" w:ascii="宋体" w:hAnsi="宋体" w:eastAsia="宋体" w:cs="宋体"/>
          <w:sz w:val="21"/>
          <w:szCs w:val="21"/>
        </w:rPr>
        <w:t>小时内提供备</w:t>
      </w:r>
      <w:r>
        <w:rPr>
          <w:rFonts w:hint="eastAsia" w:ascii="宋体" w:hAnsi="宋体" w:eastAsia="宋体" w:cs="宋体"/>
          <w:sz w:val="21"/>
          <w:szCs w:val="21"/>
          <w:lang w:eastAsia="zh-CN"/>
        </w:rPr>
        <w:t>解决方案</w:t>
      </w:r>
      <w:r>
        <w:rPr>
          <w:rFonts w:hint="eastAsia" w:ascii="宋体" w:hAnsi="宋体" w:eastAsia="宋体" w:cs="宋体"/>
          <w:sz w:val="21"/>
          <w:szCs w:val="21"/>
        </w:rPr>
        <w:t>，使</w:t>
      </w:r>
      <w:r>
        <w:rPr>
          <w:rFonts w:hint="eastAsia" w:ascii="宋体" w:hAnsi="宋体" w:eastAsia="宋体" w:cs="宋体"/>
          <w:sz w:val="21"/>
          <w:szCs w:val="21"/>
          <w:lang w:eastAsia="zh-CN"/>
        </w:rPr>
        <w:t>采购人展厅正常运行</w:t>
      </w:r>
      <w:r>
        <w:rPr>
          <w:rFonts w:hint="eastAsia" w:ascii="宋体" w:hAnsi="宋体" w:eastAsia="宋体" w:cs="宋体"/>
          <w:sz w:val="21"/>
          <w:szCs w:val="21"/>
        </w:rPr>
        <w:t>。如果</w:t>
      </w:r>
      <w:r>
        <w:rPr>
          <w:rFonts w:hint="eastAsia" w:ascii="宋体" w:hAnsi="宋体" w:eastAsia="宋体" w:cs="宋体"/>
          <w:sz w:val="21"/>
          <w:szCs w:val="21"/>
          <w:lang w:eastAsia="zh-CN"/>
        </w:rPr>
        <w:t>成交供应商</w:t>
      </w:r>
      <w:r>
        <w:rPr>
          <w:rFonts w:hint="eastAsia" w:ascii="宋体" w:hAnsi="宋体" w:eastAsia="宋体" w:cs="宋体"/>
          <w:sz w:val="21"/>
          <w:szCs w:val="21"/>
        </w:rPr>
        <w:t>在接到通知后未及时</w:t>
      </w:r>
      <w:r>
        <w:rPr>
          <w:rFonts w:hint="eastAsia" w:ascii="宋体" w:hAnsi="宋体" w:eastAsia="宋体" w:cs="宋体"/>
          <w:sz w:val="21"/>
          <w:szCs w:val="21"/>
          <w:lang w:eastAsia="zh-CN"/>
        </w:rPr>
        <w:t>做出</w:t>
      </w:r>
      <w:r>
        <w:rPr>
          <w:rFonts w:hint="eastAsia" w:ascii="宋体" w:hAnsi="宋体" w:eastAsia="宋体" w:cs="宋体"/>
          <w:sz w:val="21"/>
          <w:szCs w:val="21"/>
        </w:rPr>
        <w:t>响应，</w:t>
      </w:r>
      <w:r>
        <w:rPr>
          <w:rFonts w:hint="eastAsia" w:ascii="宋体" w:hAnsi="宋体" w:eastAsia="宋体" w:cs="宋体"/>
          <w:sz w:val="21"/>
          <w:szCs w:val="21"/>
          <w:lang w:eastAsia="zh-CN"/>
        </w:rPr>
        <w:t>成交供应商</w:t>
      </w:r>
      <w:r>
        <w:rPr>
          <w:rFonts w:hint="eastAsia" w:ascii="宋体" w:hAnsi="宋体" w:eastAsia="宋体" w:cs="宋体"/>
          <w:sz w:val="21"/>
          <w:szCs w:val="21"/>
        </w:rPr>
        <w:t>必须对由于故障所造成的损失后果承担全部责任。</w:t>
      </w:r>
    </w:p>
    <w:p w14:paraId="511CB942">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eastAsia" w:ascii="宋体" w:hAnsi="宋体" w:eastAsia="宋体" w:cs="宋体"/>
          <w:b/>
          <w:bCs/>
          <w:sz w:val="21"/>
          <w:szCs w:val="21"/>
        </w:rPr>
      </w:pPr>
      <w:bookmarkStart w:id="108" w:name="_Toc20702"/>
      <w:bookmarkStart w:id="109" w:name="_Toc14220"/>
      <w:bookmarkStart w:id="110" w:name="_Toc17597"/>
      <w:bookmarkStart w:id="111" w:name="_Toc76462330"/>
      <w:bookmarkStart w:id="112" w:name="_Toc4333"/>
      <w:bookmarkStart w:id="113" w:name="_Toc26660"/>
      <w:bookmarkStart w:id="114" w:name="_Toc16113"/>
      <w:bookmarkStart w:id="115" w:name="_Toc12226"/>
      <w:bookmarkStart w:id="116" w:name="_Toc5676"/>
      <w:bookmarkStart w:id="117" w:name="_Toc12618"/>
      <w:bookmarkStart w:id="118" w:name="_Toc19119"/>
      <w:bookmarkStart w:id="119" w:name="_Toc344475122"/>
      <w:bookmarkStart w:id="120" w:name="_Toc5413"/>
      <w:bookmarkStart w:id="121" w:name="_Toc26577"/>
      <w:bookmarkStart w:id="122" w:name="_Toc25172"/>
      <w:bookmarkStart w:id="123" w:name="_Toc21449"/>
      <w:bookmarkStart w:id="124" w:name="_Toc6728"/>
      <w:bookmarkStart w:id="125" w:name="_Toc24685"/>
      <w:bookmarkStart w:id="126" w:name="_Toc15097"/>
      <w:r>
        <w:rPr>
          <w:rFonts w:hint="eastAsia" w:ascii="宋体" w:hAnsi="宋体" w:eastAsia="宋体" w:cs="宋体"/>
          <w:b/>
          <w:bCs/>
          <w:sz w:val="21"/>
          <w:szCs w:val="21"/>
          <w:lang w:eastAsia="zh-CN"/>
        </w:rPr>
        <w:t>四</w:t>
      </w:r>
      <w:r>
        <w:rPr>
          <w:rFonts w:hint="eastAsia" w:ascii="宋体" w:hAnsi="宋体" w:eastAsia="宋体" w:cs="宋体"/>
          <w:b/>
          <w:bCs/>
          <w:sz w:val="21"/>
          <w:szCs w:val="21"/>
        </w:rPr>
        <w:t>、付款方式</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EFC0670">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（一）</w:t>
      </w:r>
      <w:r>
        <w:rPr>
          <w:rFonts w:hint="eastAsia" w:ascii="宋体" w:hAnsi="宋体" w:eastAsia="宋体" w:cs="宋体"/>
          <w:color w:val="auto"/>
          <w:sz w:val="21"/>
          <w:szCs w:val="21"/>
          <w:lang w:eastAsia="zh-CN"/>
        </w:rPr>
        <w:t>采购</w:t>
      </w:r>
      <w:r>
        <w:rPr>
          <w:rFonts w:hint="default" w:ascii="宋体" w:hAnsi="宋体" w:eastAsia="宋体" w:cs="宋体"/>
          <w:color w:val="auto"/>
          <w:sz w:val="21"/>
          <w:szCs w:val="21"/>
          <w:lang w:val="en-US" w:eastAsia="zh-CN"/>
        </w:rPr>
        <w:t>合同签订后，</w:t>
      </w:r>
      <w:r>
        <w:rPr>
          <w:rFonts w:hint="eastAsia" w:ascii="宋体" w:hAnsi="宋体" w:cs="宋体"/>
          <w:color w:val="auto"/>
          <w:kern w:val="0"/>
          <w:sz w:val="21"/>
          <w:szCs w:val="21"/>
          <w:lang w:eastAsia="zh-CN"/>
        </w:rPr>
        <w:t>采购人</w:t>
      </w:r>
      <w:r>
        <w:rPr>
          <w:rFonts w:hint="default" w:ascii="宋体" w:hAnsi="宋体" w:eastAsia="宋体" w:cs="宋体"/>
          <w:color w:val="auto"/>
          <w:sz w:val="21"/>
          <w:szCs w:val="21"/>
          <w:lang w:val="en-US" w:eastAsia="zh-CN"/>
        </w:rPr>
        <w:t>向成交供应商支付合同金额50%的预付款；展览提升服务完成并经采购人确认后支付合同金额的30%</w:t>
      </w:r>
      <w:r>
        <w:rPr>
          <w:rFonts w:hint="eastAsia" w:ascii="宋体" w:hAnsi="宋体" w:eastAsia="宋体" w:cs="宋体"/>
          <w:color w:val="auto"/>
          <w:sz w:val="21"/>
          <w:szCs w:val="21"/>
          <w:lang w:val="en-US" w:eastAsia="zh-CN"/>
        </w:rPr>
        <w:t>进度款</w:t>
      </w:r>
      <w:r>
        <w:rPr>
          <w:rFonts w:hint="default" w:ascii="宋体" w:hAnsi="宋体" w:eastAsia="宋体" w:cs="宋体"/>
          <w:color w:val="auto"/>
          <w:sz w:val="21"/>
          <w:szCs w:val="21"/>
          <w:lang w:val="en-US" w:eastAsia="zh-CN"/>
        </w:rPr>
        <w:t>；项目验收通过并</w:t>
      </w:r>
      <w:r>
        <w:rPr>
          <w:rFonts w:hint="eastAsia" w:ascii="宋体" w:hAnsi="宋体" w:eastAsia="宋体" w:cs="宋体"/>
          <w:color w:val="auto"/>
          <w:sz w:val="21"/>
          <w:szCs w:val="21"/>
          <w:lang w:val="en-US" w:eastAsia="zh-CN"/>
        </w:rPr>
        <w:t>完成</w:t>
      </w:r>
      <w:r>
        <w:rPr>
          <w:rFonts w:hint="default" w:ascii="宋体" w:hAnsi="宋体" w:eastAsia="宋体" w:cs="宋体"/>
          <w:color w:val="auto"/>
          <w:sz w:val="21"/>
          <w:szCs w:val="21"/>
          <w:lang w:val="en-US" w:eastAsia="zh-CN"/>
        </w:rPr>
        <w:t>结算后，</w:t>
      </w:r>
      <w:r>
        <w:rPr>
          <w:rFonts w:hint="eastAsia" w:ascii="宋体" w:hAnsi="宋体" w:eastAsia="宋体" w:cs="宋体"/>
          <w:color w:val="auto"/>
          <w:sz w:val="21"/>
          <w:szCs w:val="21"/>
          <w:lang w:val="en-US" w:eastAsia="zh-CN"/>
        </w:rPr>
        <w:t>采购人</w:t>
      </w:r>
      <w:r>
        <w:rPr>
          <w:rFonts w:hint="default" w:ascii="宋体" w:hAnsi="宋体" w:eastAsia="宋体" w:cs="宋体"/>
          <w:color w:val="auto"/>
          <w:sz w:val="21"/>
          <w:szCs w:val="21"/>
          <w:lang w:val="en-US" w:eastAsia="zh-CN"/>
        </w:rPr>
        <w:t>按结算金额支付剩余款项</w:t>
      </w:r>
      <w:r>
        <w:rPr>
          <w:rFonts w:hint="eastAsia" w:ascii="宋体" w:hAnsi="宋体" w:eastAsia="宋体" w:cs="宋体"/>
          <w:color w:val="auto"/>
          <w:sz w:val="21"/>
          <w:szCs w:val="21"/>
          <w:lang w:val="en-US" w:eastAsia="zh-CN"/>
        </w:rPr>
        <w:t>，最终总支付金额不超过项目预算金额</w:t>
      </w:r>
      <w:r>
        <w:rPr>
          <w:rFonts w:hint="default" w:ascii="宋体" w:hAnsi="宋体" w:eastAsia="宋体" w:cs="宋体"/>
          <w:color w:val="auto"/>
          <w:sz w:val="21"/>
          <w:szCs w:val="21"/>
          <w:lang w:val="en-US" w:eastAsia="zh-CN"/>
        </w:rPr>
        <w:t>。</w:t>
      </w:r>
    </w:p>
    <w:p w14:paraId="2AADC27E">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default" w:ascii="宋体" w:hAnsi="宋体" w:eastAsia="宋体" w:cs="宋体"/>
          <w:color w:val="auto"/>
          <w:sz w:val="21"/>
          <w:szCs w:val="21"/>
          <w:lang w:val="en-US" w:eastAsia="zh-CN"/>
        </w:rPr>
        <w:t>成交供应商向采购人开具</w:t>
      </w:r>
      <w:r>
        <w:rPr>
          <w:rFonts w:hint="eastAsia" w:ascii="宋体" w:hAnsi="宋体" w:cs="宋体"/>
          <w:color w:val="auto"/>
          <w:kern w:val="0"/>
          <w:sz w:val="21"/>
          <w:szCs w:val="21"/>
          <w:lang w:eastAsia="zh-CN"/>
        </w:rPr>
        <w:t>合法合规的</w:t>
      </w:r>
      <w:r>
        <w:rPr>
          <w:rFonts w:hint="eastAsia" w:ascii="宋体" w:hAnsi="宋体" w:cs="宋体"/>
          <w:color w:val="auto"/>
          <w:kern w:val="0"/>
          <w:sz w:val="21"/>
          <w:szCs w:val="21"/>
        </w:rPr>
        <w:t>税务票据</w:t>
      </w:r>
      <w:r>
        <w:rPr>
          <w:rFonts w:hint="default" w:ascii="宋体" w:hAnsi="宋体" w:eastAsia="宋体" w:cs="宋体"/>
          <w:color w:val="auto"/>
          <w:sz w:val="21"/>
          <w:szCs w:val="21"/>
          <w:lang w:val="en-US" w:eastAsia="zh-CN"/>
        </w:rPr>
        <w:t>，采购人以转账方式向成交供应商支付</w:t>
      </w:r>
      <w:r>
        <w:rPr>
          <w:rFonts w:hint="eastAsia" w:ascii="宋体" w:hAnsi="宋体" w:eastAsia="宋体" w:cs="宋体"/>
          <w:color w:val="auto"/>
          <w:sz w:val="21"/>
          <w:szCs w:val="21"/>
          <w:lang w:val="en-US" w:eastAsia="zh-CN"/>
        </w:rPr>
        <w:t>对应款项</w:t>
      </w:r>
      <w:r>
        <w:rPr>
          <w:rFonts w:hint="default" w:ascii="宋体" w:hAnsi="宋体" w:eastAsia="宋体" w:cs="宋体"/>
          <w:color w:val="auto"/>
          <w:sz w:val="21"/>
          <w:szCs w:val="21"/>
          <w:lang w:val="en-US" w:eastAsia="zh-CN"/>
        </w:rPr>
        <w:t>；</w:t>
      </w:r>
    </w:p>
    <w:p w14:paraId="69A3E85C">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eastAsia" w:ascii="宋体" w:hAnsi="宋体" w:eastAsia="宋体" w:cs="宋体"/>
          <w:b/>
          <w:sz w:val="21"/>
          <w:szCs w:val="21"/>
        </w:rPr>
      </w:pPr>
      <w:bookmarkStart w:id="127" w:name="_Toc16020"/>
      <w:bookmarkStart w:id="128" w:name="_Toc534"/>
      <w:r>
        <w:rPr>
          <w:rFonts w:hint="eastAsia" w:ascii="宋体" w:hAnsi="宋体" w:eastAsia="宋体" w:cs="宋体"/>
          <w:b/>
          <w:sz w:val="21"/>
          <w:szCs w:val="21"/>
          <w:lang w:eastAsia="zh-CN"/>
        </w:rPr>
        <w:t>五</w:t>
      </w:r>
      <w:r>
        <w:rPr>
          <w:rFonts w:hint="eastAsia" w:ascii="宋体" w:hAnsi="宋体" w:eastAsia="宋体" w:cs="宋体"/>
          <w:b/>
          <w:sz w:val="21"/>
          <w:szCs w:val="21"/>
        </w:rPr>
        <w:t>、知识产权</w:t>
      </w:r>
      <w:bookmarkEnd w:id="127"/>
      <w:bookmarkEnd w:id="128"/>
    </w:p>
    <w:p w14:paraId="61E700B1">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540"/>
        <w:textAlignment w:val="auto"/>
        <w:rPr>
          <w:rFonts w:hint="eastAsia" w:ascii="宋体" w:hAnsi="宋体" w:eastAsia="宋体" w:cs="宋体"/>
          <w:sz w:val="21"/>
          <w:szCs w:val="21"/>
        </w:rPr>
      </w:pPr>
      <w:r>
        <w:rPr>
          <w:rFonts w:hint="eastAsia" w:ascii="宋体" w:hAnsi="宋体" w:eastAsia="宋体" w:cs="宋体"/>
          <w:sz w:val="21"/>
          <w:szCs w:val="21"/>
        </w:rPr>
        <w:t>采购人在中华人民共和国境内使用</w:t>
      </w:r>
      <w:r>
        <w:rPr>
          <w:rFonts w:hint="eastAsia" w:ascii="宋体" w:hAnsi="宋体" w:eastAsia="宋体" w:cs="宋体"/>
          <w:sz w:val="21"/>
          <w:szCs w:val="21"/>
          <w:lang w:eastAsia="zh-CN"/>
        </w:rPr>
        <w:t>成交供应商</w:t>
      </w:r>
      <w:r>
        <w:rPr>
          <w:rFonts w:hint="eastAsia" w:ascii="宋体" w:hAnsi="宋体" w:eastAsia="宋体" w:cs="宋体"/>
          <w:sz w:val="21"/>
          <w:szCs w:val="21"/>
        </w:rPr>
        <w:t>提供的货物及服务时免受第三方提出的侵犯其专利权或其它知识产权的起诉。如果第三方提出侵权指控，</w:t>
      </w:r>
      <w:r>
        <w:rPr>
          <w:rFonts w:hint="eastAsia" w:ascii="宋体" w:hAnsi="宋体" w:eastAsia="宋体" w:cs="宋体"/>
          <w:sz w:val="21"/>
          <w:szCs w:val="21"/>
          <w:lang w:eastAsia="zh-CN"/>
        </w:rPr>
        <w:t>成交供应商</w:t>
      </w:r>
      <w:r>
        <w:rPr>
          <w:rFonts w:hint="eastAsia" w:ascii="宋体" w:hAnsi="宋体" w:eastAsia="宋体" w:cs="宋体"/>
          <w:sz w:val="21"/>
          <w:szCs w:val="21"/>
        </w:rPr>
        <w:t>应承担由此而引起的一切法律责任和费用。</w:t>
      </w:r>
    </w:p>
    <w:p w14:paraId="16240D01">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eastAsia" w:ascii="宋体" w:hAnsi="宋体" w:eastAsia="宋体" w:cs="宋体"/>
          <w:b/>
          <w:sz w:val="21"/>
          <w:szCs w:val="21"/>
        </w:rPr>
      </w:pPr>
      <w:bookmarkStart w:id="129" w:name="_Toc13556"/>
      <w:bookmarkStart w:id="130" w:name="_Toc30757"/>
      <w:bookmarkStart w:id="131" w:name="_Toc18880"/>
      <w:bookmarkStart w:id="132" w:name="_Toc20594"/>
      <w:bookmarkStart w:id="133" w:name="_Toc76373883"/>
      <w:bookmarkStart w:id="134" w:name="_Toc32632"/>
      <w:bookmarkStart w:id="135" w:name="_Toc14214"/>
      <w:r>
        <w:rPr>
          <w:rFonts w:hint="eastAsia" w:ascii="宋体" w:hAnsi="宋体" w:eastAsia="宋体" w:cs="宋体"/>
          <w:b/>
          <w:sz w:val="21"/>
          <w:szCs w:val="21"/>
        </w:rPr>
        <w:t>※</w:t>
      </w:r>
      <w:r>
        <w:rPr>
          <w:rFonts w:hint="eastAsia" w:ascii="宋体" w:hAnsi="宋体" w:eastAsia="宋体" w:cs="宋体"/>
          <w:b/>
          <w:sz w:val="21"/>
          <w:szCs w:val="21"/>
          <w:lang w:eastAsia="zh-CN"/>
        </w:rPr>
        <w:t>六</w:t>
      </w:r>
      <w:r>
        <w:rPr>
          <w:rFonts w:hint="eastAsia" w:ascii="宋体" w:hAnsi="宋体" w:eastAsia="宋体" w:cs="宋体"/>
          <w:b/>
          <w:sz w:val="21"/>
          <w:szCs w:val="21"/>
        </w:rPr>
        <w:t>、附件、图纸及包装要求</w:t>
      </w:r>
      <w:bookmarkEnd w:id="129"/>
      <w:bookmarkEnd w:id="130"/>
      <w:bookmarkEnd w:id="131"/>
      <w:bookmarkEnd w:id="132"/>
      <w:bookmarkEnd w:id="133"/>
      <w:bookmarkEnd w:id="134"/>
      <w:bookmarkEnd w:id="135"/>
    </w:p>
    <w:p w14:paraId="17A2F89B">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540"/>
        <w:textAlignment w:val="auto"/>
        <w:rPr>
          <w:rFonts w:hint="eastAsia" w:ascii="宋体" w:hAnsi="宋体" w:eastAsia="宋体" w:cs="宋体"/>
          <w:sz w:val="21"/>
          <w:szCs w:val="21"/>
        </w:rPr>
      </w:pPr>
      <w:r>
        <w:rPr>
          <w:rFonts w:hint="eastAsia" w:ascii="宋体" w:hAnsi="宋体" w:eastAsia="宋体" w:cs="宋体"/>
          <w:sz w:val="21"/>
          <w:szCs w:val="21"/>
        </w:rPr>
        <w:t>本项目的商品包装和快递包装，须满足《关于印发&lt;商品包装政府采购需求标准（试行）&gt;、&lt;快递包装政府采购需求标准（试行）&gt;的通知》（财办库〔2020〕123号）文件规定。</w:t>
      </w:r>
    </w:p>
    <w:p w14:paraId="4F823F1D">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eastAsia" w:ascii="宋体" w:hAnsi="宋体" w:eastAsia="宋体" w:cs="宋体"/>
          <w:b/>
          <w:sz w:val="21"/>
          <w:szCs w:val="21"/>
          <w:lang w:val="en-US" w:eastAsia="zh-CN"/>
        </w:rPr>
      </w:pPr>
      <w:bookmarkStart w:id="136" w:name="_Toc31982"/>
      <w:bookmarkStart w:id="137" w:name="_Toc20317"/>
      <w:bookmarkStart w:id="138" w:name="_Toc10136"/>
      <w:bookmarkStart w:id="139" w:name="_Toc16223"/>
      <w:bookmarkStart w:id="140" w:name="_Toc12424"/>
      <w:bookmarkStart w:id="141" w:name="_Toc18948"/>
      <w:bookmarkStart w:id="142" w:name="_Toc76373884"/>
      <w:bookmarkStart w:id="143" w:name="_Toc267320054"/>
      <w:bookmarkStart w:id="144" w:name="_Toc9576"/>
      <w:bookmarkStart w:id="145" w:name="_Toc3126"/>
      <w:r>
        <w:rPr>
          <w:rFonts w:hint="eastAsia" w:ascii="宋体" w:hAnsi="宋体" w:eastAsia="宋体" w:cs="宋体"/>
          <w:b/>
          <w:sz w:val="21"/>
          <w:szCs w:val="21"/>
          <w:lang w:val="en-US" w:eastAsia="zh-CN"/>
        </w:rPr>
        <w:t>七、服务团队人员要求</w:t>
      </w:r>
      <w:bookmarkEnd w:id="136"/>
      <w:bookmarkEnd w:id="137"/>
      <w:bookmarkEnd w:id="138"/>
      <w:bookmarkEnd w:id="139"/>
    </w:p>
    <w:p w14:paraId="2268D844">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供应商为本项目配置项目服务团队，配置不少于以下要求人员：1名项目经理、1名服务负责人和其他服务人员，要求人员具有相应的服务能力</w:t>
      </w:r>
      <w:r>
        <w:rPr>
          <w:rFonts w:hint="eastAsia" w:ascii="宋体" w:hAnsi="宋体" w:eastAsia="宋体" w:cs="宋体"/>
          <w:b/>
          <w:bCs/>
          <w:kern w:val="0"/>
          <w:sz w:val="21"/>
          <w:szCs w:val="21"/>
          <w:lang w:val="en-US" w:eastAsia="zh-CN"/>
        </w:rPr>
        <w:t>（响应文件中提供承诺函，格式自拟加盖供应商公章）</w:t>
      </w:r>
    </w:p>
    <w:bookmarkEnd w:id="140"/>
    <w:bookmarkEnd w:id="141"/>
    <w:bookmarkEnd w:id="142"/>
    <w:bookmarkEnd w:id="143"/>
    <w:bookmarkEnd w:id="144"/>
    <w:bookmarkEnd w:id="145"/>
    <w:p w14:paraId="13D3535B">
      <w:pPr>
        <w:pStyle w:val="3"/>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20" w:lineRule="exact"/>
        <w:ind w:firstLine="0" w:firstLineChars="0"/>
        <w:jc w:val="left"/>
        <w:textAlignment w:val="auto"/>
        <w:rPr>
          <w:rFonts w:hint="default" w:ascii="宋体" w:hAnsi="宋体" w:eastAsia="宋体" w:cs="宋体"/>
          <w:b/>
          <w:sz w:val="21"/>
          <w:szCs w:val="21"/>
          <w:lang w:val="en-US" w:eastAsia="zh-CN"/>
        </w:rPr>
      </w:pPr>
      <w:bookmarkStart w:id="146" w:name="_Toc6283"/>
      <w:r>
        <w:rPr>
          <w:rFonts w:hint="eastAsia" w:ascii="宋体" w:hAnsi="宋体" w:eastAsia="宋体" w:cs="宋体"/>
          <w:b/>
          <w:sz w:val="21"/>
          <w:szCs w:val="21"/>
          <w:lang w:val="en-US" w:eastAsia="zh-CN"/>
        </w:rPr>
        <w:t>八、</w:t>
      </w:r>
      <w:r>
        <w:rPr>
          <w:rFonts w:hint="default" w:ascii="宋体" w:hAnsi="宋体" w:eastAsia="宋体" w:cs="宋体"/>
          <w:b/>
          <w:sz w:val="21"/>
          <w:szCs w:val="21"/>
          <w:lang w:val="en-US" w:eastAsia="zh-CN"/>
        </w:rPr>
        <w:t>培训</w:t>
      </w:r>
      <w:bookmarkEnd w:id="146"/>
    </w:p>
    <w:p w14:paraId="33A5979E">
      <w:pPr>
        <w:keepNext w:val="0"/>
        <w:keepLines w:val="0"/>
        <w:pageBreakBefore w:val="0"/>
        <w:widowControl w:val="0"/>
        <w:kinsoku w:val="0"/>
        <w:wordWrap/>
        <w:overflowPunct/>
        <w:topLinePunct w:val="0"/>
        <w:autoSpaceDE w:val="0"/>
        <w:autoSpaceDN w:val="0"/>
        <w:bidi w:val="0"/>
        <w:adjustRightInd w:val="0"/>
        <w:snapToGrid w:val="0"/>
        <w:spacing w:line="520" w:lineRule="exact"/>
        <w:ind w:firstLine="540"/>
        <w:textAlignment w:val="auto"/>
        <w:rPr>
          <w:rFonts w:hint="default" w:ascii="宋体" w:hAnsi="宋体" w:eastAsia="宋体" w:cs="宋体"/>
          <w:sz w:val="21"/>
          <w:szCs w:val="21"/>
        </w:rPr>
      </w:pPr>
      <w:r>
        <w:rPr>
          <w:rFonts w:hint="default" w:ascii="宋体" w:hAnsi="宋体" w:eastAsia="宋体" w:cs="宋体"/>
          <w:sz w:val="21"/>
          <w:szCs w:val="21"/>
        </w:rPr>
        <w:t>成交供应商对其提供产品的使用和操作应尽培训义务。成交供应商应提供对采购人的基本免费培训，使采购人使用人员能够正常操作。</w:t>
      </w:r>
    </w:p>
    <w:p w14:paraId="667BDC28">
      <w:pPr>
        <w:pStyle w:val="2"/>
        <w:pageBreakBefore w:val="0"/>
        <w:shd w:val="clea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rPr>
          <w:rStyle w:val="74"/>
          <w:rFonts w:hint="eastAsia" w:ascii="宋体" w:hAnsi="宋体" w:eastAsia="宋体" w:cs="宋体"/>
          <w:b/>
          <w:color w:val="auto"/>
          <w:sz w:val="32"/>
          <w:szCs w:val="32"/>
          <w:highlight w:val="none"/>
        </w:rPr>
      </w:pPr>
    </w:p>
    <w:p w14:paraId="0519EBEB">
      <w:pPr>
        <w:shd w:val="clear"/>
        <w:rPr>
          <w:rStyle w:val="74"/>
          <w:rFonts w:hint="eastAsia" w:ascii="宋体" w:hAnsi="宋体" w:eastAsia="宋体" w:cs="宋体"/>
          <w:b/>
          <w:color w:val="auto"/>
          <w:sz w:val="32"/>
          <w:szCs w:val="32"/>
          <w:highlight w:val="none"/>
        </w:rPr>
      </w:pPr>
    </w:p>
    <w:p w14:paraId="188DDDB3">
      <w:pPr>
        <w:shd w:val="clear"/>
        <w:rPr>
          <w:rStyle w:val="74"/>
          <w:rFonts w:hint="eastAsia" w:ascii="宋体" w:hAnsi="宋体" w:eastAsia="宋体" w:cs="宋体"/>
          <w:b/>
          <w:color w:val="auto"/>
          <w:sz w:val="32"/>
          <w:szCs w:val="32"/>
          <w:highlight w:val="none"/>
        </w:rPr>
      </w:pPr>
    </w:p>
    <w:p w14:paraId="1A540D4A">
      <w:pPr>
        <w:shd w:val="clear"/>
        <w:rPr>
          <w:rStyle w:val="74"/>
          <w:rFonts w:hint="eastAsia" w:ascii="宋体" w:hAnsi="宋体" w:eastAsia="宋体" w:cs="宋体"/>
          <w:b/>
          <w:color w:val="auto"/>
          <w:sz w:val="32"/>
          <w:szCs w:val="32"/>
          <w:highlight w:val="none"/>
        </w:rPr>
      </w:pPr>
    </w:p>
    <w:p w14:paraId="4463325C">
      <w:pPr>
        <w:shd w:val="clear"/>
        <w:rPr>
          <w:rStyle w:val="74"/>
          <w:rFonts w:hint="eastAsia" w:ascii="宋体" w:hAnsi="宋体" w:eastAsia="宋体" w:cs="宋体"/>
          <w:b/>
          <w:color w:val="auto"/>
          <w:sz w:val="32"/>
          <w:szCs w:val="32"/>
          <w:highlight w:val="none"/>
        </w:rPr>
      </w:pPr>
    </w:p>
    <w:p w14:paraId="2072DDD3">
      <w:pPr>
        <w:shd w:val="clear"/>
        <w:rPr>
          <w:rStyle w:val="74"/>
          <w:rFonts w:hint="eastAsia" w:ascii="宋体" w:hAnsi="宋体" w:eastAsia="宋体" w:cs="宋体"/>
          <w:b/>
          <w:color w:val="auto"/>
          <w:sz w:val="32"/>
          <w:szCs w:val="32"/>
          <w:highlight w:val="none"/>
        </w:rPr>
      </w:pPr>
    </w:p>
    <w:p w14:paraId="2263F8D2">
      <w:pPr>
        <w:shd w:val="clear"/>
        <w:rPr>
          <w:rStyle w:val="74"/>
          <w:rFonts w:hint="eastAsia" w:ascii="宋体" w:hAnsi="宋体" w:eastAsia="宋体" w:cs="宋体"/>
          <w:b/>
          <w:color w:val="auto"/>
          <w:sz w:val="32"/>
          <w:szCs w:val="32"/>
          <w:highlight w:val="none"/>
        </w:rPr>
      </w:pPr>
    </w:p>
    <w:p w14:paraId="44E24B5A">
      <w:pPr>
        <w:shd w:val="clear"/>
        <w:rPr>
          <w:rStyle w:val="74"/>
          <w:rFonts w:hint="eastAsia" w:ascii="宋体" w:hAnsi="宋体" w:eastAsia="宋体" w:cs="宋体"/>
          <w:b/>
          <w:color w:val="auto"/>
          <w:sz w:val="32"/>
          <w:szCs w:val="32"/>
          <w:highlight w:val="none"/>
        </w:rPr>
      </w:pPr>
    </w:p>
    <w:p w14:paraId="699765DF">
      <w:pPr>
        <w:shd w:val="clear"/>
        <w:rPr>
          <w:rStyle w:val="74"/>
          <w:rFonts w:hint="eastAsia" w:ascii="宋体" w:hAnsi="宋体" w:eastAsia="宋体" w:cs="宋体"/>
          <w:b/>
          <w:color w:val="auto"/>
          <w:sz w:val="32"/>
          <w:szCs w:val="32"/>
          <w:highlight w:val="none"/>
        </w:rPr>
      </w:pPr>
    </w:p>
    <w:p w14:paraId="60180367">
      <w:pPr>
        <w:shd w:val="clear"/>
        <w:rPr>
          <w:rStyle w:val="74"/>
          <w:rFonts w:hint="eastAsia" w:ascii="宋体" w:hAnsi="宋体" w:eastAsia="宋体" w:cs="宋体"/>
          <w:b/>
          <w:color w:val="auto"/>
          <w:sz w:val="32"/>
          <w:szCs w:val="32"/>
          <w:highlight w:val="none"/>
        </w:rPr>
      </w:pPr>
    </w:p>
    <w:p w14:paraId="58B42CAB">
      <w:pPr>
        <w:shd w:val="clear"/>
        <w:rPr>
          <w:rStyle w:val="74"/>
          <w:rFonts w:hint="eastAsia" w:ascii="宋体" w:hAnsi="宋体" w:eastAsia="宋体" w:cs="宋体"/>
          <w:b/>
          <w:color w:val="auto"/>
          <w:sz w:val="32"/>
          <w:szCs w:val="32"/>
          <w:highlight w:val="none"/>
        </w:rPr>
      </w:pPr>
    </w:p>
    <w:p w14:paraId="493ECD5C">
      <w:pPr>
        <w:shd w:val="clear"/>
        <w:rPr>
          <w:rStyle w:val="74"/>
          <w:rFonts w:hint="eastAsia" w:ascii="宋体" w:hAnsi="宋体" w:eastAsia="宋体" w:cs="宋体"/>
          <w:b/>
          <w:color w:val="auto"/>
          <w:sz w:val="32"/>
          <w:szCs w:val="32"/>
          <w:highlight w:val="none"/>
        </w:rPr>
      </w:pPr>
    </w:p>
    <w:p w14:paraId="2CE00E3A">
      <w:pPr>
        <w:shd w:val="clear"/>
        <w:rPr>
          <w:rStyle w:val="74"/>
          <w:rFonts w:hint="eastAsia" w:ascii="宋体" w:hAnsi="宋体" w:eastAsia="宋体" w:cs="宋体"/>
          <w:b/>
          <w:color w:val="auto"/>
          <w:sz w:val="32"/>
          <w:szCs w:val="32"/>
          <w:highlight w:val="none"/>
        </w:rPr>
      </w:pPr>
    </w:p>
    <w:p w14:paraId="5DA9B1D0">
      <w:pPr>
        <w:shd w:val="clear"/>
        <w:rPr>
          <w:rStyle w:val="74"/>
          <w:rFonts w:hint="eastAsia" w:ascii="宋体" w:hAnsi="宋体" w:eastAsia="宋体" w:cs="宋体"/>
          <w:b/>
          <w:color w:val="auto"/>
          <w:sz w:val="32"/>
          <w:szCs w:val="32"/>
          <w:highlight w:val="none"/>
        </w:rPr>
      </w:pPr>
    </w:p>
    <w:p w14:paraId="04E4F67D">
      <w:pPr>
        <w:shd w:val="clear"/>
        <w:rPr>
          <w:rStyle w:val="74"/>
          <w:rFonts w:hint="eastAsia" w:ascii="宋体" w:hAnsi="宋体" w:eastAsia="宋体" w:cs="宋体"/>
          <w:b/>
          <w:color w:val="auto"/>
          <w:sz w:val="32"/>
          <w:szCs w:val="32"/>
          <w:highlight w:val="none"/>
        </w:rPr>
      </w:pPr>
    </w:p>
    <w:p w14:paraId="74087E3E">
      <w:pPr>
        <w:shd w:val="clear"/>
        <w:rPr>
          <w:rStyle w:val="74"/>
          <w:rFonts w:hint="eastAsia" w:ascii="宋体" w:hAnsi="宋体" w:eastAsia="宋体" w:cs="宋体"/>
          <w:b/>
          <w:color w:val="auto"/>
          <w:sz w:val="32"/>
          <w:szCs w:val="32"/>
          <w:highlight w:val="none"/>
        </w:rPr>
      </w:pPr>
    </w:p>
    <w:p w14:paraId="5EEB8642">
      <w:pPr>
        <w:shd w:val="clear"/>
        <w:rPr>
          <w:rStyle w:val="74"/>
          <w:rFonts w:hint="eastAsia" w:ascii="宋体" w:hAnsi="宋体" w:eastAsia="宋体" w:cs="宋体"/>
          <w:b/>
          <w:color w:val="auto"/>
          <w:sz w:val="32"/>
          <w:szCs w:val="32"/>
          <w:highlight w:val="none"/>
        </w:rPr>
      </w:pPr>
    </w:p>
    <w:p w14:paraId="40C36943">
      <w:pPr>
        <w:shd w:val="clear"/>
        <w:rPr>
          <w:rStyle w:val="74"/>
          <w:rFonts w:hint="eastAsia" w:ascii="宋体" w:hAnsi="宋体" w:eastAsia="宋体" w:cs="宋体"/>
          <w:b/>
          <w:color w:val="auto"/>
          <w:sz w:val="32"/>
          <w:szCs w:val="32"/>
          <w:highlight w:val="none"/>
        </w:rPr>
      </w:pPr>
    </w:p>
    <w:p w14:paraId="28234469">
      <w:pPr>
        <w:rPr>
          <w:rFonts w:hint="eastAsia" w:ascii="宋体" w:hAnsi="宋体" w:eastAsia="宋体" w:cs="宋体"/>
          <w:b/>
          <w:color w:val="auto"/>
          <w:kern w:val="2"/>
          <w:sz w:val="28"/>
          <w:highlight w:val="none"/>
          <w:lang w:val="en-US" w:eastAsia="zh-CN" w:bidi="ar-SA"/>
        </w:rPr>
      </w:pPr>
      <w:bookmarkStart w:id="147" w:name="_Toc6069"/>
      <w:r>
        <w:rPr>
          <w:rFonts w:hint="eastAsia" w:ascii="宋体" w:hAnsi="宋体" w:eastAsia="宋体" w:cs="宋体"/>
          <w:b/>
          <w:color w:val="auto"/>
          <w:kern w:val="2"/>
          <w:sz w:val="28"/>
          <w:highlight w:val="none"/>
          <w:lang w:val="en-US" w:eastAsia="zh-CN" w:bidi="ar-SA"/>
        </w:rPr>
        <w:br w:type="page"/>
      </w:r>
    </w:p>
    <w:p w14:paraId="7E72196A">
      <w:pPr>
        <w:pStyle w:val="2"/>
        <w:pageBreakBefore w:val="0"/>
        <w:shd w:val="clea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rPr>
          <w:rFonts w:hint="eastAsia" w:ascii="宋体" w:hAnsi="宋体" w:eastAsia="宋体" w:cs="宋体"/>
          <w:b/>
          <w:color w:val="auto"/>
          <w:kern w:val="2"/>
          <w:sz w:val="28"/>
          <w:highlight w:val="none"/>
          <w:lang w:val="en-US" w:eastAsia="zh-CN" w:bidi="ar-SA"/>
        </w:rPr>
      </w:pPr>
      <w:r>
        <w:rPr>
          <w:rFonts w:hint="eastAsia" w:ascii="宋体" w:hAnsi="宋体" w:eastAsia="宋体" w:cs="宋体"/>
          <w:b/>
          <w:color w:val="auto"/>
          <w:kern w:val="2"/>
          <w:sz w:val="28"/>
          <w:highlight w:val="none"/>
          <w:lang w:val="en-US" w:eastAsia="zh-CN" w:bidi="ar-SA"/>
        </w:rPr>
        <w:t xml:space="preserve">第四篇  </w:t>
      </w:r>
      <w:bookmarkEnd w:id="66"/>
      <w:bookmarkEnd w:id="67"/>
      <w:bookmarkEnd w:id="68"/>
      <w:bookmarkEnd w:id="69"/>
      <w:bookmarkEnd w:id="147"/>
      <w:r>
        <w:rPr>
          <w:rFonts w:hint="eastAsia" w:ascii="宋体" w:hAnsi="宋体" w:eastAsia="宋体" w:cs="宋体"/>
          <w:b/>
          <w:color w:val="auto"/>
          <w:kern w:val="2"/>
          <w:sz w:val="28"/>
          <w:highlight w:val="none"/>
          <w:lang w:val="en-US" w:eastAsia="zh-CN" w:bidi="ar-SA"/>
        </w:rPr>
        <w:t>竞选程序及方法、评审标准、无效响应和采购终止</w:t>
      </w:r>
    </w:p>
    <w:p w14:paraId="3D433C6A">
      <w:pPr>
        <w:pStyle w:val="3"/>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20" w:lineRule="exact"/>
        <w:ind w:right="0" w:rightChars="0" w:firstLine="422" w:firstLineChars="200"/>
        <w:textAlignment w:val="auto"/>
        <w:rPr>
          <w:rFonts w:hint="eastAsia" w:ascii="宋体" w:hAnsi="宋体" w:eastAsia="宋体" w:cs="宋体"/>
          <w:b/>
          <w:bCs/>
          <w:color w:val="auto"/>
          <w:sz w:val="21"/>
          <w:szCs w:val="21"/>
          <w:highlight w:val="none"/>
        </w:rPr>
      </w:pPr>
      <w:bookmarkStart w:id="148" w:name="_Toc76462333"/>
      <w:bookmarkStart w:id="149" w:name="_Toc1485859301"/>
      <w:bookmarkStart w:id="150" w:name="_Toc64732012"/>
      <w:bookmarkStart w:id="151" w:name="_Toc106034641"/>
      <w:bookmarkStart w:id="152" w:name="_Toc65660350"/>
      <w:bookmarkStart w:id="153" w:name="_Toc5167"/>
      <w:bookmarkStart w:id="154" w:name="_Toc9361"/>
      <w:r>
        <w:rPr>
          <w:rFonts w:hint="eastAsia" w:ascii="宋体" w:hAnsi="宋体" w:eastAsia="宋体" w:cs="宋体"/>
          <w:b/>
          <w:bCs/>
          <w:color w:val="auto"/>
          <w:sz w:val="21"/>
          <w:szCs w:val="21"/>
          <w:highlight w:val="none"/>
        </w:rPr>
        <w:t>一、</w:t>
      </w:r>
      <w:r>
        <w:rPr>
          <w:rFonts w:hint="eastAsia" w:ascii="宋体" w:hAnsi="宋体" w:cs="宋体"/>
          <w:b/>
          <w:bCs/>
          <w:color w:val="auto"/>
          <w:sz w:val="21"/>
          <w:szCs w:val="21"/>
          <w:highlight w:val="none"/>
        </w:rPr>
        <w:t>竞选</w:t>
      </w:r>
      <w:r>
        <w:rPr>
          <w:rFonts w:hint="eastAsia" w:ascii="宋体" w:hAnsi="宋体" w:eastAsia="宋体" w:cs="宋体"/>
          <w:b/>
          <w:bCs/>
          <w:color w:val="auto"/>
          <w:sz w:val="21"/>
          <w:szCs w:val="21"/>
          <w:highlight w:val="none"/>
        </w:rPr>
        <w:t>程序及方法</w:t>
      </w:r>
      <w:bookmarkEnd w:id="148"/>
      <w:bookmarkEnd w:id="149"/>
    </w:p>
    <w:p w14:paraId="2BAACAA3">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（一）竞选按竞争性</w:t>
      </w: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文件规定的时间和地点进行，竞选人须有法定代表人（或其授权代表）或自然人参加并签到</w:t>
      </w:r>
      <w:r>
        <w:rPr>
          <w:rFonts w:hint="eastAsia" w:ascii="宋体" w:hAnsi="宋体" w:cs="宋体"/>
          <w:color w:val="auto"/>
          <w:sz w:val="21"/>
          <w:szCs w:val="21"/>
          <w:highlight w:val="none"/>
          <w:lang w:eastAsia="zh-CN"/>
        </w:rPr>
        <w:t>。</w:t>
      </w:r>
    </w:p>
    <w:p w14:paraId="518AA47B">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（二）竞争性比选小组对各竞选人的资格条件、比选申请文件的有效性、完整性和响应程度进行审查。各竞选人只有在完全符合要求的前提下，才能参与正式竞选。</w:t>
      </w:r>
    </w:p>
    <w:p w14:paraId="572C942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1.</w:t>
      </w:r>
      <w:r>
        <w:rPr>
          <w:rFonts w:hint="eastAsia" w:ascii="宋体" w:hAnsi="宋体" w:cs="宋体"/>
          <w:color w:val="auto"/>
          <w:kern w:val="0"/>
          <w:sz w:val="21"/>
          <w:szCs w:val="21"/>
          <w:highlight w:val="none"/>
        </w:rPr>
        <w:t>资格性审查。依据法律法规和竞争性</w:t>
      </w:r>
      <w:r>
        <w:rPr>
          <w:rFonts w:hint="eastAsia" w:ascii="宋体" w:hAnsi="宋体" w:cs="宋体"/>
          <w:color w:val="auto"/>
          <w:kern w:val="0"/>
          <w:sz w:val="21"/>
          <w:szCs w:val="21"/>
          <w:highlight w:val="none"/>
          <w:lang w:val="en-US" w:eastAsia="zh-CN"/>
        </w:rPr>
        <w:t>比选</w:t>
      </w:r>
      <w:r>
        <w:rPr>
          <w:rFonts w:hint="eastAsia" w:ascii="宋体" w:hAnsi="宋体" w:cs="宋体"/>
          <w:color w:val="auto"/>
          <w:kern w:val="0"/>
          <w:sz w:val="21"/>
          <w:szCs w:val="21"/>
          <w:highlight w:val="none"/>
        </w:rPr>
        <w:t>文件的规定，对响应文件中的资格证明、等进行审查，以确定</w:t>
      </w:r>
      <w:r>
        <w:rPr>
          <w:rFonts w:hint="eastAsia" w:ascii="宋体" w:hAnsi="宋体" w:cs="宋体"/>
          <w:color w:val="auto"/>
          <w:sz w:val="21"/>
          <w:szCs w:val="21"/>
          <w:highlight w:val="none"/>
        </w:rPr>
        <w:t>竞选人</w:t>
      </w:r>
      <w:r>
        <w:rPr>
          <w:rFonts w:hint="eastAsia" w:ascii="宋体" w:hAnsi="宋体" w:cs="宋体"/>
          <w:color w:val="auto"/>
          <w:kern w:val="0"/>
          <w:sz w:val="21"/>
          <w:szCs w:val="21"/>
          <w:highlight w:val="none"/>
        </w:rPr>
        <w:t>是否具备</w:t>
      </w:r>
      <w:r>
        <w:rPr>
          <w:rFonts w:hint="eastAsia" w:ascii="宋体" w:hAnsi="宋体" w:cs="宋体"/>
          <w:color w:val="auto"/>
          <w:kern w:val="0"/>
          <w:sz w:val="21"/>
          <w:szCs w:val="21"/>
          <w:highlight w:val="none"/>
          <w:lang w:val="en-US" w:eastAsia="zh-CN"/>
        </w:rPr>
        <w:t>竞选</w:t>
      </w:r>
      <w:r>
        <w:rPr>
          <w:rFonts w:hint="eastAsia" w:ascii="宋体" w:hAnsi="宋体" w:cs="宋体"/>
          <w:color w:val="auto"/>
          <w:kern w:val="0"/>
          <w:sz w:val="21"/>
          <w:szCs w:val="21"/>
          <w:highlight w:val="none"/>
        </w:rPr>
        <w:t>资格。资格性审查资料表如下：</w:t>
      </w:r>
    </w:p>
    <w:bookmarkEnd w:id="150"/>
    <w:bookmarkEnd w:id="151"/>
    <w:bookmarkEnd w:id="152"/>
    <w:bookmarkEnd w:id="153"/>
    <w:bookmarkEnd w:id="154"/>
    <w:tbl>
      <w:tblPr>
        <w:tblStyle w:val="58"/>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2636"/>
        <w:gridCol w:w="4960"/>
      </w:tblGrid>
      <w:tr w14:paraId="63EA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14:paraId="5BFFFA1C">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81" w:type="dxa"/>
            <w:gridSpan w:val="2"/>
            <w:tcBorders>
              <w:top w:val="single" w:color="auto" w:sz="4" w:space="0"/>
              <w:left w:val="single" w:color="auto" w:sz="4" w:space="0"/>
              <w:bottom w:val="single" w:color="auto" w:sz="4" w:space="0"/>
              <w:right w:val="single" w:color="auto" w:sz="4" w:space="0"/>
            </w:tcBorders>
            <w:vAlign w:val="center"/>
          </w:tcPr>
          <w:p w14:paraId="4234D3B7">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60" w:type="dxa"/>
            <w:tcBorders>
              <w:top w:val="single" w:color="auto" w:sz="4" w:space="0"/>
              <w:left w:val="single" w:color="auto" w:sz="4" w:space="0"/>
              <w:bottom w:val="single" w:color="auto" w:sz="4" w:space="0"/>
              <w:right w:val="single" w:color="auto" w:sz="4" w:space="0"/>
            </w:tcBorders>
            <w:vAlign w:val="center"/>
          </w:tcPr>
          <w:p w14:paraId="7981E3B9">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2A7B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Merge w:val="restart"/>
            <w:vAlign w:val="center"/>
          </w:tcPr>
          <w:p w14:paraId="047A03E3">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945" w:type="dxa"/>
            <w:vMerge w:val="restart"/>
            <w:vAlign w:val="center"/>
          </w:tcPr>
          <w:p w14:paraId="7130A8F1">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w:t>
            </w:r>
          </w:p>
          <w:p w14:paraId="25DC7430">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审查</w:t>
            </w:r>
          </w:p>
        </w:tc>
        <w:tc>
          <w:tcPr>
            <w:tcW w:w="2636" w:type="dxa"/>
            <w:vAlign w:val="center"/>
          </w:tcPr>
          <w:p w14:paraId="4FEA344A">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60" w:type="dxa"/>
            <w:vAlign w:val="center"/>
          </w:tcPr>
          <w:p w14:paraId="1BB88F18">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1.供应商法人营业执照（副本）或事业单位法人证书（副本）或社会团体法人登记证书（提供复印件）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BE7B602">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6A3E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Merge w:val="continue"/>
            <w:vAlign w:val="center"/>
          </w:tcPr>
          <w:p w14:paraId="0BF3E7A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c>
          <w:tcPr>
            <w:tcW w:w="945" w:type="dxa"/>
            <w:vMerge w:val="continue"/>
            <w:vAlign w:val="center"/>
          </w:tcPr>
          <w:p w14:paraId="09763742">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zh-CN"/>
              </w:rPr>
            </w:pPr>
          </w:p>
        </w:tc>
        <w:tc>
          <w:tcPr>
            <w:tcW w:w="2636" w:type="dxa"/>
            <w:vAlign w:val="center"/>
          </w:tcPr>
          <w:p w14:paraId="7057ED34">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60" w:type="dxa"/>
            <w:vMerge w:val="restart"/>
            <w:vAlign w:val="center"/>
          </w:tcPr>
          <w:p w14:paraId="2DB659E5">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供应商提供“基本资格条件承诺函”（详见第七篇）</w:t>
            </w:r>
          </w:p>
          <w:p w14:paraId="76535572">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r>
      <w:tr w14:paraId="7669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Merge w:val="continue"/>
            <w:vAlign w:val="center"/>
          </w:tcPr>
          <w:p w14:paraId="6FB18C3E">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c>
          <w:tcPr>
            <w:tcW w:w="945" w:type="dxa"/>
            <w:vMerge w:val="continue"/>
            <w:vAlign w:val="center"/>
          </w:tcPr>
          <w:p w14:paraId="25925B94">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zh-CN"/>
              </w:rPr>
            </w:pPr>
          </w:p>
        </w:tc>
        <w:tc>
          <w:tcPr>
            <w:tcW w:w="2636" w:type="dxa"/>
            <w:vAlign w:val="center"/>
          </w:tcPr>
          <w:p w14:paraId="14C9098E">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60" w:type="dxa"/>
            <w:vMerge w:val="continue"/>
            <w:vAlign w:val="center"/>
          </w:tcPr>
          <w:p w14:paraId="62902B0F">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zh-CN"/>
              </w:rPr>
            </w:pPr>
          </w:p>
        </w:tc>
      </w:tr>
      <w:tr w14:paraId="4455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Merge w:val="continue"/>
            <w:vAlign w:val="center"/>
          </w:tcPr>
          <w:p w14:paraId="5C97DE7A">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c>
          <w:tcPr>
            <w:tcW w:w="945" w:type="dxa"/>
            <w:vMerge w:val="continue"/>
            <w:vAlign w:val="center"/>
          </w:tcPr>
          <w:p w14:paraId="357FF4C9">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zh-CN"/>
              </w:rPr>
            </w:pPr>
          </w:p>
        </w:tc>
        <w:tc>
          <w:tcPr>
            <w:tcW w:w="2636" w:type="dxa"/>
            <w:vAlign w:val="center"/>
          </w:tcPr>
          <w:p w14:paraId="67CBF411">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60" w:type="dxa"/>
            <w:vMerge w:val="continue"/>
            <w:vAlign w:val="center"/>
          </w:tcPr>
          <w:p w14:paraId="272BC6A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color w:val="auto"/>
                <w:sz w:val="21"/>
                <w:szCs w:val="21"/>
                <w:highlight w:val="none"/>
                <w:lang w:val="zh-CN"/>
              </w:rPr>
            </w:pPr>
          </w:p>
        </w:tc>
      </w:tr>
      <w:tr w14:paraId="474A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Merge w:val="continue"/>
            <w:vAlign w:val="center"/>
          </w:tcPr>
          <w:p w14:paraId="3C0A99AD">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c>
          <w:tcPr>
            <w:tcW w:w="945" w:type="dxa"/>
            <w:vMerge w:val="continue"/>
            <w:vAlign w:val="center"/>
          </w:tcPr>
          <w:p w14:paraId="2C2A7F44">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zh-CN"/>
              </w:rPr>
            </w:pPr>
          </w:p>
        </w:tc>
        <w:tc>
          <w:tcPr>
            <w:tcW w:w="2636" w:type="dxa"/>
            <w:vAlign w:val="center"/>
          </w:tcPr>
          <w:p w14:paraId="06743451">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w:t>
            </w:r>
            <w:r>
              <w:rPr>
                <w:rFonts w:hint="eastAsia" w:ascii="宋体" w:hAnsi="宋体" w:cs="宋体"/>
                <w:color w:val="auto"/>
                <w:sz w:val="21"/>
                <w:szCs w:val="21"/>
                <w:highlight w:val="none"/>
                <w:lang w:val="en-US" w:eastAsia="zh-CN"/>
              </w:rPr>
              <w:t>政府</w:t>
            </w:r>
            <w:r>
              <w:rPr>
                <w:rFonts w:hint="eastAsia" w:ascii="宋体" w:hAnsi="宋体" w:eastAsia="宋体" w:cs="宋体"/>
                <w:color w:val="auto"/>
                <w:sz w:val="21"/>
                <w:szCs w:val="21"/>
                <w:highlight w:val="none"/>
              </w:rPr>
              <w:t>采购活动前三年内，在经营活动中没有重大违法记录</w:t>
            </w:r>
          </w:p>
        </w:tc>
        <w:tc>
          <w:tcPr>
            <w:tcW w:w="4960" w:type="dxa"/>
            <w:vMerge w:val="continue"/>
            <w:vAlign w:val="center"/>
          </w:tcPr>
          <w:p w14:paraId="3F224264">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r>
      <w:tr w14:paraId="79EB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Merge w:val="continue"/>
            <w:vAlign w:val="center"/>
          </w:tcPr>
          <w:p w14:paraId="1AAA7CE8">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c>
          <w:tcPr>
            <w:tcW w:w="945" w:type="dxa"/>
            <w:vMerge w:val="continue"/>
            <w:vAlign w:val="center"/>
          </w:tcPr>
          <w:p w14:paraId="60FCFD0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tc>
        <w:tc>
          <w:tcPr>
            <w:tcW w:w="7596" w:type="dxa"/>
            <w:gridSpan w:val="2"/>
            <w:vAlign w:val="center"/>
          </w:tcPr>
          <w:p w14:paraId="0D5B294E">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r>
      <w:tr w14:paraId="606E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Align w:val="center"/>
          </w:tcPr>
          <w:p w14:paraId="07B6E121">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left"/>
              <w:textAlignment w:val="auto"/>
              <w:rPr>
                <w:rFonts w:hint="eastAsia" w:ascii="宋体" w:hAnsi="宋体" w:eastAsia="宋体" w:cs="宋体"/>
                <w:color w:val="auto"/>
                <w:sz w:val="21"/>
                <w:szCs w:val="21"/>
                <w:highlight w:val="none"/>
              </w:rPr>
            </w:pPr>
          </w:p>
          <w:p w14:paraId="7892EC7E">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w:t>
            </w:r>
          </w:p>
        </w:tc>
        <w:tc>
          <w:tcPr>
            <w:tcW w:w="3581" w:type="dxa"/>
            <w:gridSpan w:val="2"/>
            <w:vAlign w:val="center"/>
          </w:tcPr>
          <w:p w14:paraId="1148318F">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4960" w:type="dxa"/>
            <w:vAlign w:val="center"/>
          </w:tcPr>
          <w:p w14:paraId="341FB30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14:paraId="7F6F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37" w:type="dxa"/>
            <w:vAlign w:val="top"/>
          </w:tcPr>
          <w:p w14:paraId="618AA78B">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left"/>
              <w:textAlignment w:val="auto"/>
              <w:rPr>
                <w:rFonts w:hint="eastAsia" w:ascii="宋体" w:hAnsi="宋体" w:cs="宋体"/>
                <w:color w:val="auto"/>
                <w:sz w:val="21"/>
                <w:szCs w:val="21"/>
                <w:highlight w:val="none"/>
                <w:lang w:eastAsia="zh-CN"/>
              </w:rPr>
            </w:pPr>
          </w:p>
          <w:p w14:paraId="1DED89FA">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（三）</w:t>
            </w:r>
          </w:p>
        </w:tc>
        <w:tc>
          <w:tcPr>
            <w:tcW w:w="3581" w:type="dxa"/>
            <w:gridSpan w:val="2"/>
            <w:vAlign w:val="center"/>
          </w:tcPr>
          <w:p w14:paraId="0C6C306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保证金</w:t>
            </w:r>
          </w:p>
        </w:tc>
        <w:tc>
          <w:tcPr>
            <w:tcW w:w="4960" w:type="dxa"/>
            <w:vAlign w:val="center"/>
          </w:tcPr>
          <w:p w14:paraId="4D8F7A5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按照竞争性比选文件要求足额</w:t>
            </w:r>
            <w:r>
              <w:rPr>
                <w:rFonts w:hint="eastAsia" w:ascii="宋体" w:hAnsi="宋体" w:cs="宋体"/>
                <w:color w:val="auto"/>
                <w:sz w:val="21"/>
                <w:szCs w:val="21"/>
                <w:highlight w:val="none"/>
                <w:lang w:eastAsia="zh-CN"/>
              </w:rPr>
              <w:t>缴</w:t>
            </w:r>
            <w:r>
              <w:rPr>
                <w:rFonts w:hint="eastAsia" w:ascii="宋体" w:hAnsi="宋体" w:eastAsia="宋体" w:cs="宋体"/>
                <w:color w:val="auto"/>
                <w:sz w:val="21"/>
                <w:szCs w:val="21"/>
                <w:highlight w:val="none"/>
              </w:rPr>
              <w:t>纳所参与包的</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保证金。</w:t>
            </w:r>
          </w:p>
        </w:tc>
      </w:tr>
    </w:tbl>
    <w:p w14:paraId="458BF2D1">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616D6AC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3号）”执行。供应商可于响应文件递交截止时间前通过 “信用中国”网站(www.creditchina.gov.cn)、"中国政府采购网"(www.ccgp.gov.cn)等渠道查询信用记录</w:t>
      </w:r>
      <w:r>
        <w:rPr>
          <w:rFonts w:hint="eastAsia" w:ascii="宋体" w:hAnsi="宋体" w:cs="宋体"/>
          <w:color w:val="auto"/>
          <w:kern w:val="0"/>
          <w:sz w:val="21"/>
          <w:szCs w:val="21"/>
          <w:highlight w:val="none"/>
          <w:lang w:eastAsia="zh-CN"/>
        </w:rPr>
        <w:t>；</w:t>
      </w:r>
    </w:p>
    <w:p w14:paraId="420047B8">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2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供应商按“多证合一”登记制度办理营业执照的，税务登记证(副本)和社会保险登记证以供应商所提供的营业执照(副本) 复印件为准。</w:t>
      </w:r>
    </w:p>
    <w:p w14:paraId="242B13EA">
      <w:pPr>
        <w:pStyle w:val="3"/>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20" w:lineRule="exact"/>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)符合性审查</w:t>
      </w:r>
    </w:p>
    <w:p w14:paraId="5AED9F6E">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评标委员会应当对符合资格的供应商的</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文件进行符合性审查，以确定其是否满足</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的实质性要求。符合性审查资料表如下:</w:t>
      </w:r>
    </w:p>
    <w:tbl>
      <w:tblPr>
        <w:tblStyle w:val="58"/>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76"/>
        <w:gridCol w:w="1891"/>
        <w:gridCol w:w="5026"/>
      </w:tblGrid>
      <w:tr w14:paraId="3629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534" w:type="dxa"/>
            <w:vAlign w:val="center"/>
          </w:tcPr>
          <w:p w14:paraId="5F5E31D2">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2076" w:type="dxa"/>
            <w:vAlign w:val="center"/>
          </w:tcPr>
          <w:p w14:paraId="280A00DE">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b/>
                <w:color w:val="auto"/>
                <w:kern w:val="0"/>
                <w:sz w:val="21"/>
                <w:szCs w:val="21"/>
                <w:highlight w:val="none"/>
              </w:rPr>
            </w:pPr>
          </w:p>
        </w:tc>
        <w:tc>
          <w:tcPr>
            <w:tcW w:w="1891" w:type="dxa"/>
            <w:vAlign w:val="center"/>
          </w:tcPr>
          <w:p w14:paraId="4E80B5AA">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5026" w:type="dxa"/>
            <w:vAlign w:val="center"/>
          </w:tcPr>
          <w:p w14:paraId="19155F7B">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审查标准</w:t>
            </w:r>
          </w:p>
        </w:tc>
      </w:tr>
      <w:tr w14:paraId="6DA8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534" w:type="dxa"/>
            <w:vMerge w:val="restart"/>
            <w:vAlign w:val="center"/>
          </w:tcPr>
          <w:p w14:paraId="5244A16F">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76" w:type="dxa"/>
            <w:vMerge w:val="restart"/>
            <w:vAlign w:val="center"/>
          </w:tcPr>
          <w:p w14:paraId="7D2CA312">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891" w:type="dxa"/>
            <w:vAlign w:val="center"/>
          </w:tcPr>
          <w:p w14:paraId="1BB3084D">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w:t>
            </w:r>
            <w:r>
              <w:rPr>
                <w:rFonts w:hint="eastAsia" w:ascii="宋体" w:hAnsi="宋体" w:eastAsia="宋体" w:cs="宋体"/>
                <w:color w:val="auto"/>
                <w:sz w:val="21"/>
                <w:szCs w:val="21"/>
                <w:highlight w:val="none"/>
                <w:lang w:eastAsia="zh-CN"/>
              </w:rPr>
              <w:t>字</w:t>
            </w:r>
            <w:r>
              <w:rPr>
                <w:rFonts w:hint="eastAsia" w:ascii="宋体" w:hAnsi="宋体" w:eastAsia="宋体" w:cs="宋体"/>
                <w:color w:val="auto"/>
                <w:sz w:val="21"/>
                <w:szCs w:val="21"/>
                <w:highlight w:val="none"/>
              </w:rPr>
              <w:t>或盖章</w:t>
            </w:r>
          </w:p>
        </w:tc>
        <w:tc>
          <w:tcPr>
            <w:tcW w:w="5026" w:type="dxa"/>
            <w:vAlign w:val="center"/>
          </w:tcPr>
          <w:p w14:paraId="3D4AE2DD">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第七篇竞标</w:t>
            </w:r>
            <w:r>
              <w:rPr>
                <w:rFonts w:hint="eastAsia" w:ascii="宋体" w:hAnsi="宋体" w:eastAsia="宋体" w:cs="宋体"/>
                <w:color w:val="auto"/>
                <w:sz w:val="21"/>
                <w:szCs w:val="21"/>
                <w:highlight w:val="none"/>
              </w:rPr>
              <w:t>文件格式”要求签</w:t>
            </w:r>
            <w:r>
              <w:rPr>
                <w:rFonts w:hint="eastAsia" w:ascii="宋体" w:hAnsi="宋体" w:eastAsia="宋体" w:cs="宋体"/>
                <w:color w:val="auto"/>
                <w:sz w:val="21"/>
                <w:szCs w:val="21"/>
                <w:highlight w:val="none"/>
                <w:lang w:eastAsia="zh-CN"/>
              </w:rPr>
              <w:t>字</w:t>
            </w:r>
            <w:r>
              <w:rPr>
                <w:rFonts w:hint="eastAsia" w:ascii="宋体" w:hAnsi="宋体" w:eastAsia="宋体" w:cs="宋体"/>
                <w:color w:val="auto"/>
                <w:sz w:val="21"/>
                <w:szCs w:val="21"/>
                <w:highlight w:val="none"/>
              </w:rPr>
              <w:t>或盖章</w:t>
            </w:r>
          </w:p>
        </w:tc>
      </w:tr>
      <w:tr w14:paraId="0B9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6" w:hRule="atLeast"/>
          <w:jc w:val="center"/>
        </w:trPr>
        <w:tc>
          <w:tcPr>
            <w:tcW w:w="534" w:type="dxa"/>
            <w:vMerge w:val="continue"/>
            <w:vAlign w:val="center"/>
          </w:tcPr>
          <w:p w14:paraId="7F7324EA">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center"/>
              <w:textAlignment w:val="auto"/>
              <w:rPr>
                <w:rFonts w:hint="eastAsia" w:ascii="宋体" w:hAnsi="宋体" w:eastAsia="宋体" w:cs="宋体"/>
                <w:color w:val="auto"/>
                <w:kern w:val="0"/>
                <w:sz w:val="21"/>
                <w:szCs w:val="21"/>
                <w:highlight w:val="none"/>
              </w:rPr>
            </w:pPr>
          </w:p>
        </w:tc>
        <w:tc>
          <w:tcPr>
            <w:tcW w:w="2076" w:type="dxa"/>
            <w:vMerge w:val="continue"/>
            <w:vAlign w:val="center"/>
          </w:tcPr>
          <w:p w14:paraId="302817E9">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center"/>
              <w:textAlignment w:val="auto"/>
              <w:rPr>
                <w:rFonts w:hint="eastAsia" w:ascii="宋体" w:hAnsi="宋体" w:eastAsia="宋体" w:cs="宋体"/>
                <w:color w:val="auto"/>
                <w:kern w:val="0"/>
                <w:sz w:val="21"/>
                <w:szCs w:val="21"/>
                <w:highlight w:val="none"/>
              </w:rPr>
            </w:pPr>
          </w:p>
        </w:tc>
        <w:tc>
          <w:tcPr>
            <w:tcW w:w="1891" w:type="dxa"/>
            <w:vAlign w:val="center"/>
          </w:tcPr>
          <w:p w14:paraId="6DC93ED1">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026" w:type="dxa"/>
            <w:vAlign w:val="center"/>
          </w:tcPr>
          <w:p w14:paraId="6258C2B7">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法定代表人身份证明及授权委托书有效，符合竞争性比选文件规定的格式，签</w:t>
            </w:r>
            <w:r>
              <w:rPr>
                <w:rFonts w:hint="eastAsia" w:ascii="宋体" w:hAnsi="宋体" w:eastAsia="宋体" w:cs="宋体"/>
                <w:color w:val="auto"/>
                <w:sz w:val="21"/>
                <w:szCs w:val="21"/>
                <w:highlight w:val="none"/>
                <w:lang w:eastAsia="zh-CN"/>
              </w:rPr>
              <w:t>字</w:t>
            </w:r>
            <w:r>
              <w:rPr>
                <w:rFonts w:hint="eastAsia" w:ascii="宋体" w:hAnsi="宋体" w:eastAsia="宋体" w:cs="宋体"/>
                <w:color w:val="auto"/>
                <w:sz w:val="21"/>
                <w:szCs w:val="21"/>
                <w:highlight w:val="none"/>
              </w:rPr>
              <w:t>或盖章齐全。</w:t>
            </w:r>
          </w:p>
        </w:tc>
      </w:tr>
      <w:tr w14:paraId="35F6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534" w:type="dxa"/>
            <w:vMerge w:val="continue"/>
            <w:vAlign w:val="center"/>
          </w:tcPr>
          <w:p w14:paraId="185491EB">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center"/>
              <w:textAlignment w:val="auto"/>
              <w:rPr>
                <w:rFonts w:hint="eastAsia" w:ascii="宋体" w:hAnsi="宋体" w:eastAsia="宋体" w:cs="宋体"/>
                <w:color w:val="auto"/>
                <w:kern w:val="0"/>
                <w:sz w:val="21"/>
                <w:szCs w:val="21"/>
                <w:highlight w:val="none"/>
              </w:rPr>
            </w:pPr>
          </w:p>
        </w:tc>
        <w:tc>
          <w:tcPr>
            <w:tcW w:w="2076" w:type="dxa"/>
            <w:vMerge w:val="continue"/>
            <w:vAlign w:val="center"/>
          </w:tcPr>
          <w:p w14:paraId="5BCFED4A">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center"/>
              <w:textAlignment w:val="auto"/>
              <w:rPr>
                <w:rFonts w:hint="eastAsia" w:ascii="宋体" w:hAnsi="宋体" w:eastAsia="宋体" w:cs="宋体"/>
                <w:color w:val="auto"/>
                <w:kern w:val="0"/>
                <w:sz w:val="21"/>
                <w:szCs w:val="21"/>
                <w:highlight w:val="none"/>
              </w:rPr>
            </w:pPr>
          </w:p>
        </w:tc>
        <w:tc>
          <w:tcPr>
            <w:tcW w:w="1891" w:type="dxa"/>
            <w:vAlign w:val="center"/>
          </w:tcPr>
          <w:p w14:paraId="7C8EDA7A">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026" w:type="dxa"/>
            <w:vAlign w:val="center"/>
          </w:tcPr>
          <w:p w14:paraId="1DE869EE">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4174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534" w:type="dxa"/>
            <w:vMerge w:val="continue"/>
            <w:vAlign w:val="center"/>
          </w:tcPr>
          <w:p w14:paraId="015120F8">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center"/>
              <w:textAlignment w:val="auto"/>
              <w:rPr>
                <w:rFonts w:hint="eastAsia" w:ascii="宋体" w:hAnsi="宋体" w:eastAsia="宋体" w:cs="宋体"/>
                <w:color w:val="auto"/>
                <w:kern w:val="0"/>
                <w:sz w:val="21"/>
                <w:szCs w:val="21"/>
                <w:highlight w:val="none"/>
              </w:rPr>
            </w:pPr>
          </w:p>
        </w:tc>
        <w:tc>
          <w:tcPr>
            <w:tcW w:w="2076" w:type="dxa"/>
            <w:vMerge w:val="continue"/>
            <w:vAlign w:val="center"/>
          </w:tcPr>
          <w:p w14:paraId="360CBED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center"/>
              <w:textAlignment w:val="auto"/>
              <w:rPr>
                <w:rFonts w:hint="eastAsia" w:ascii="宋体" w:hAnsi="宋体" w:eastAsia="宋体" w:cs="宋体"/>
                <w:color w:val="auto"/>
                <w:kern w:val="0"/>
                <w:sz w:val="21"/>
                <w:szCs w:val="21"/>
                <w:highlight w:val="none"/>
              </w:rPr>
            </w:pPr>
          </w:p>
        </w:tc>
        <w:tc>
          <w:tcPr>
            <w:tcW w:w="1891" w:type="dxa"/>
            <w:vAlign w:val="center"/>
          </w:tcPr>
          <w:p w14:paraId="0CE91FD7">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026" w:type="dxa"/>
            <w:vAlign w:val="center"/>
          </w:tcPr>
          <w:p w14:paraId="376B7F71">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058D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534" w:type="dxa"/>
            <w:vAlign w:val="center"/>
          </w:tcPr>
          <w:p w14:paraId="1695F40F">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076" w:type="dxa"/>
            <w:vAlign w:val="center"/>
          </w:tcPr>
          <w:p w14:paraId="039FFE03">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891" w:type="dxa"/>
            <w:vAlign w:val="center"/>
          </w:tcPr>
          <w:p w14:paraId="65CF317C">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026" w:type="dxa"/>
            <w:vAlign w:val="center"/>
          </w:tcPr>
          <w:p w14:paraId="421ED8D7">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文件正、副本数量（含电子文档）符合</w:t>
            </w:r>
            <w:r>
              <w:rPr>
                <w:rFonts w:hint="eastAsia" w:ascii="宋体" w:hAnsi="宋体" w:eastAsia="宋体" w:cs="宋体"/>
                <w:color w:val="auto"/>
                <w:sz w:val="21"/>
                <w:szCs w:val="21"/>
                <w:highlight w:val="none"/>
              </w:rPr>
              <w:t>竞争性比选</w:t>
            </w:r>
            <w:r>
              <w:rPr>
                <w:rFonts w:hint="eastAsia" w:ascii="宋体" w:hAnsi="宋体" w:eastAsia="宋体" w:cs="宋体"/>
                <w:color w:val="auto"/>
                <w:sz w:val="21"/>
                <w:szCs w:val="21"/>
                <w:highlight w:val="none"/>
                <w:lang w:val="zh-CN"/>
              </w:rPr>
              <w:t>文件要求。</w:t>
            </w:r>
          </w:p>
        </w:tc>
      </w:tr>
      <w:tr w14:paraId="221C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534" w:type="dxa"/>
            <w:vMerge w:val="restart"/>
            <w:vAlign w:val="center"/>
          </w:tcPr>
          <w:p w14:paraId="10BDF03D">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076" w:type="dxa"/>
            <w:vMerge w:val="restart"/>
            <w:vAlign w:val="center"/>
          </w:tcPr>
          <w:p w14:paraId="22FC897B">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响应程度审查</w:t>
            </w:r>
          </w:p>
        </w:tc>
        <w:tc>
          <w:tcPr>
            <w:tcW w:w="1891" w:type="dxa"/>
            <w:vAlign w:val="center"/>
          </w:tcPr>
          <w:p w14:paraId="7CD90E86">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5026" w:type="dxa"/>
            <w:vAlign w:val="center"/>
          </w:tcPr>
          <w:p w14:paraId="71C92CBC">
            <w:pPr>
              <w:pStyle w:val="33"/>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对竞争性比选文件第二篇、第三篇规定的比选内容进行实质性响应。</w:t>
            </w:r>
          </w:p>
        </w:tc>
      </w:tr>
      <w:tr w14:paraId="6C82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534" w:type="dxa"/>
            <w:vMerge w:val="continue"/>
            <w:vAlign w:val="center"/>
          </w:tcPr>
          <w:p w14:paraId="773FA150">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rPr>
            </w:pPr>
          </w:p>
        </w:tc>
        <w:tc>
          <w:tcPr>
            <w:tcW w:w="2076" w:type="dxa"/>
            <w:vMerge w:val="continue"/>
            <w:vAlign w:val="center"/>
          </w:tcPr>
          <w:p w14:paraId="70CA4D6E">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rPr>
            </w:pPr>
          </w:p>
        </w:tc>
        <w:tc>
          <w:tcPr>
            <w:tcW w:w="1891" w:type="dxa"/>
            <w:vAlign w:val="center"/>
          </w:tcPr>
          <w:p w14:paraId="43987128">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比选有效期</w:t>
            </w:r>
          </w:p>
        </w:tc>
        <w:tc>
          <w:tcPr>
            <w:tcW w:w="5026" w:type="dxa"/>
            <w:vAlign w:val="center"/>
          </w:tcPr>
          <w:p w14:paraId="1B36A277">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25DA7293">
      <w:pPr>
        <w:pStyle w:val="34"/>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（三)澄清有关问题。</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文件中</w:t>
      </w:r>
      <w:r>
        <w:rPr>
          <w:rFonts w:hint="eastAsia" w:ascii="宋体" w:hAnsi="宋体" w:cs="宋体"/>
          <w:color w:val="auto"/>
          <w:sz w:val="21"/>
          <w:szCs w:val="21"/>
          <w:highlight w:val="none"/>
          <w:lang w:eastAsia="zh-CN"/>
        </w:rPr>
        <w:t>含义</w:t>
      </w:r>
      <w:r>
        <w:rPr>
          <w:rFonts w:hint="eastAsia" w:ascii="宋体" w:hAnsi="宋体" w:eastAsia="宋体" w:cs="宋体"/>
          <w:color w:val="auto"/>
          <w:sz w:val="21"/>
          <w:szCs w:val="21"/>
          <w:highlight w:val="none"/>
        </w:rPr>
        <w:t>不明确、同类问题表述不一致或者有明显文字和计算错误的内容，评标委员会可以书面形式(应当由评标委员会成员签字) 要求供应商作出必要澄清、说明或者纠正。供应商的澄清、说明或者补正应当采用书面形式，由其法定代表人(或其授权代表)或自然人签字，其澄清的内容不得超出</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文件的范围或者改变</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文件的实质性内容。</w:t>
      </w:r>
    </w:p>
    <w:p w14:paraId="2894C36E">
      <w:pPr>
        <w:pStyle w:val="34"/>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(四)比较与评价。</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中规定的评标方法和标准，对资格审查和符合性审查合格的</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文件进行商务和技术评估。</w:t>
      </w:r>
    </w:p>
    <w:p w14:paraId="119AC697">
      <w:pPr>
        <w:pStyle w:val="34"/>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评标委员会各成员独立对每个有效供应商(通过资格审查、符合性审查的供应商)的</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文件进行评价、打分，然后由评标委员会对各成员打分情况进行核查及复核，个别成员对同一供应商同一评分项的打分偏离较大的，应对供应商的</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文件进行再次核对，确属打分有误的，应及时进行修正。</w:t>
      </w:r>
    </w:p>
    <w:p w14:paraId="429B73B7">
      <w:pPr>
        <w:pStyle w:val="34"/>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复核后，评标委员会汇总每个供应商每项评分因素的得分。</w:t>
      </w:r>
    </w:p>
    <w:p w14:paraId="5181EC65">
      <w:pPr>
        <w:pStyle w:val="3"/>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20" w:lineRule="exact"/>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 推荐中标候选人名单。</w:t>
      </w:r>
    </w:p>
    <w:p w14:paraId="4A083A6F">
      <w:pPr>
        <w:pStyle w:val="34"/>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按评审后得分由高到低的排列顺序推荐综合得分排名前三的供应商为本包(项目)中标候选人，排名第一的为第一中标候选人。得分相同的，按</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报价由低到高顺序排列。得分且</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报价相同的并列。技术部分得分为0分的供应商，将失去成为中标候选人的资格。</w:t>
      </w:r>
    </w:p>
    <w:p w14:paraId="17085435">
      <w:pPr>
        <w:pStyle w:val="3"/>
        <w:keepNext w:val="0"/>
        <w:keepLines w:val="0"/>
        <w:pageBreakBefore w:val="0"/>
        <w:widowControl w:val="0"/>
        <w:shd w:val="clear"/>
        <w:kinsoku w:val="0"/>
        <w:wordWrap/>
        <w:overflowPunct/>
        <w:topLinePunct w:val="0"/>
        <w:autoSpaceDE w:val="0"/>
        <w:autoSpaceDN w:val="0"/>
        <w:bidi w:val="0"/>
        <w:adjustRightInd w:val="0"/>
        <w:snapToGrid w:val="0"/>
        <w:spacing w:before="0" w:beforeLines="0" w:after="0" w:afterLines="0" w:line="520" w:lineRule="exact"/>
        <w:ind w:left="0" w:leftChars="0" w:right="0" w:rightChars="0"/>
        <w:textAlignment w:val="auto"/>
        <w:rPr>
          <w:rFonts w:hint="eastAsia" w:ascii="宋体" w:hAnsi="宋体" w:eastAsia="宋体" w:cs="宋体"/>
          <w:b/>
          <w:bCs/>
          <w:color w:val="auto"/>
          <w:kern w:val="2"/>
          <w:sz w:val="21"/>
          <w:szCs w:val="21"/>
          <w:highlight w:val="none"/>
          <w:lang w:val="en-US" w:eastAsia="zh-CN" w:bidi="ar-SA"/>
        </w:rPr>
      </w:pPr>
      <w:bookmarkStart w:id="155" w:name="_Toc106034642"/>
      <w:bookmarkStart w:id="156" w:name="_Toc65660351"/>
      <w:bookmarkStart w:id="157" w:name="_Toc11713"/>
      <w:bookmarkStart w:id="158" w:name="_Toc30639"/>
      <w:bookmarkStart w:id="159" w:name="_Toc64732013"/>
      <w:r>
        <w:rPr>
          <w:rFonts w:hint="default" w:ascii="宋体" w:hAnsi="宋体" w:eastAsia="宋体" w:cs="宋体"/>
          <w:b/>
          <w:bCs/>
          <w:color w:val="auto"/>
          <w:kern w:val="2"/>
          <w:sz w:val="21"/>
          <w:szCs w:val="21"/>
          <w:highlight w:val="none"/>
          <w:lang w:eastAsia="zh-CN" w:bidi="ar-SA"/>
        </w:rPr>
        <w:t xml:space="preserve">      </w:t>
      </w:r>
      <w:r>
        <w:rPr>
          <w:rFonts w:hint="eastAsia" w:ascii="宋体" w:hAnsi="宋体" w:eastAsia="宋体" w:cs="宋体"/>
          <w:b/>
          <w:bCs/>
          <w:color w:val="auto"/>
          <w:kern w:val="2"/>
          <w:sz w:val="21"/>
          <w:szCs w:val="21"/>
          <w:highlight w:val="none"/>
          <w:lang w:val="en-US" w:eastAsia="zh-CN" w:bidi="ar-SA"/>
        </w:rPr>
        <w:t>二、评定成交的标准</w:t>
      </w:r>
      <w:bookmarkEnd w:id="155"/>
      <w:bookmarkEnd w:id="156"/>
      <w:bookmarkEnd w:id="157"/>
      <w:bookmarkEnd w:id="158"/>
      <w:bookmarkEnd w:id="159"/>
    </w:p>
    <w:tbl>
      <w:tblPr>
        <w:tblStyle w:val="59"/>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03"/>
        <w:gridCol w:w="742"/>
        <w:gridCol w:w="5426"/>
        <w:gridCol w:w="1255"/>
      </w:tblGrid>
      <w:tr w14:paraId="09F6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Align w:val="center"/>
          </w:tcPr>
          <w:p w14:paraId="6152213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b/>
                <w:color w:val="auto"/>
                <w:sz w:val="21"/>
                <w:szCs w:val="21"/>
                <w:highlight w:val="none"/>
              </w:rPr>
            </w:pPr>
            <w:bookmarkStart w:id="160" w:name="_Toc28964"/>
            <w:bookmarkStart w:id="161" w:name="_Toc10768"/>
            <w:bookmarkStart w:id="162" w:name="_Toc20055"/>
            <w:bookmarkStart w:id="163" w:name="_Toc106034645"/>
            <w:bookmarkStart w:id="164" w:name="_Toc65660354"/>
            <w:r>
              <w:rPr>
                <w:rFonts w:hint="eastAsia" w:asciiTheme="minorEastAsia" w:hAnsiTheme="minorEastAsia" w:eastAsiaTheme="minorEastAsia" w:cstheme="minorEastAsia"/>
                <w:b/>
                <w:color w:val="auto"/>
                <w:sz w:val="21"/>
                <w:szCs w:val="21"/>
                <w:highlight w:val="none"/>
              </w:rPr>
              <w:t>序号</w:t>
            </w:r>
          </w:p>
        </w:tc>
        <w:tc>
          <w:tcPr>
            <w:tcW w:w="1103" w:type="dxa"/>
            <w:vAlign w:val="center"/>
          </w:tcPr>
          <w:p w14:paraId="5C302C4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w:t>
            </w:r>
          </w:p>
          <w:p w14:paraId="1D4EF32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及权重</w:t>
            </w:r>
          </w:p>
        </w:tc>
        <w:tc>
          <w:tcPr>
            <w:tcW w:w="742" w:type="dxa"/>
            <w:vAlign w:val="center"/>
          </w:tcPr>
          <w:p w14:paraId="66B4672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5426" w:type="dxa"/>
            <w:vAlign w:val="center"/>
          </w:tcPr>
          <w:p w14:paraId="1A5E37C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255" w:type="dxa"/>
            <w:vAlign w:val="center"/>
          </w:tcPr>
          <w:p w14:paraId="316057F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备注</w:t>
            </w:r>
          </w:p>
        </w:tc>
      </w:tr>
      <w:tr w14:paraId="212E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Align w:val="center"/>
          </w:tcPr>
          <w:p w14:paraId="4AADBB1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03" w:type="dxa"/>
            <w:vAlign w:val="center"/>
          </w:tcPr>
          <w:p w14:paraId="14B19CE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p>
        </w:tc>
        <w:tc>
          <w:tcPr>
            <w:tcW w:w="742" w:type="dxa"/>
            <w:vAlign w:val="center"/>
          </w:tcPr>
          <w:p w14:paraId="41CE524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5426" w:type="dxa"/>
            <w:vAlign w:val="center"/>
          </w:tcPr>
          <w:p w14:paraId="2CFDB82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有效的</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报价中最低价为评审基准价，其价格分为满分。其他</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的价格分统一按照下列公式计算：</w:t>
            </w:r>
          </w:p>
          <w:p w14:paraId="7C61B3E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报价得分＝（评审基准价/</w:t>
            </w: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报价）×价格权重×100。（按四舍五入法保留两位小数）</w:t>
            </w:r>
          </w:p>
        </w:tc>
        <w:tc>
          <w:tcPr>
            <w:tcW w:w="1255" w:type="dxa"/>
            <w:vAlign w:val="center"/>
          </w:tcPr>
          <w:p w14:paraId="02829E6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p>
        </w:tc>
      </w:tr>
      <w:tr w14:paraId="6A00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Merge w:val="restart"/>
            <w:vAlign w:val="center"/>
          </w:tcPr>
          <w:p w14:paraId="28F000A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03" w:type="dxa"/>
            <w:vMerge w:val="restart"/>
            <w:vAlign w:val="center"/>
          </w:tcPr>
          <w:p w14:paraId="5917B61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部分</w:t>
            </w:r>
          </w:p>
        </w:tc>
        <w:tc>
          <w:tcPr>
            <w:tcW w:w="742" w:type="dxa"/>
            <w:vMerge w:val="restart"/>
            <w:vAlign w:val="center"/>
          </w:tcPr>
          <w:p w14:paraId="1141225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tc>
        <w:tc>
          <w:tcPr>
            <w:tcW w:w="5426" w:type="dxa"/>
            <w:vAlign w:val="center"/>
          </w:tcPr>
          <w:p w14:paraId="68826166">
            <w:pPr>
              <w:pStyle w:val="4"/>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rightChars="0"/>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设计说明（</w:t>
            </w:r>
            <w:r>
              <w:rPr>
                <w:rFonts w:hint="default" w:asciiTheme="minorEastAsia" w:hAnsiTheme="minorEastAsia" w:eastAsiaTheme="minorEastAsia" w:cstheme="minorEastAsia"/>
                <w:b/>
                <w:bCs/>
                <w:color w:val="auto"/>
                <w:kern w:val="2"/>
                <w:sz w:val="21"/>
                <w:szCs w:val="21"/>
                <w:highlight w:val="none"/>
                <w:lang w:eastAsia="zh-CN" w:bidi="ar-SA"/>
              </w:rPr>
              <w:t>2</w:t>
            </w:r>
            <w:r>
              <w:rPr>
                <w:rFonts w:hint="eastAsia" w:asciiTheme="minorEastAsia" w:hAnsiTheme="minorEastAsia" w:eastAsiaTheme="minorEastAsia" w:cstheme="minorEastAsia"/>
                <w:b/>
                <w:bCs/>
                <w:color w:val="auto"/>
                <w:kern w:val="2"/>
                <w:sz w:val="21"/>
                <w:szCs w:val="21"/>
                <w:highlight w:val="none"/>
                <w:lang w:val="en-US" w:eastAsia="zh-CN" w:bidi="ar-SA"/>
              </w:rPr>
              <w:t>0分）</w:t>
            </w:r>
          </w:p>
          <w:p w14:paraId="7CC13C9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供应商应对本项目资料进行解读，明确展陈目标及布展原则，说明设计理念及整体空间色调、设计应用元素及主题。要求项目解读充分，符合布展要求和实际特点，保证展览质量的实现。</w:t>
            </w:r>
          </w:p>
          <w:p w14:paraId="3B7241A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设计说明包括设计理念、功能定位、色彩分析等。</w:t>
            </w:r>
          </w:p>
          <w:p w14:paraId="21F11B0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优秀：设计理念先进、新颖、有创意，内容与形式完美统一，得</w:t>
            </w:r>
            <w:r>
              <w:rPr>
                <w:rFonts w:hint="default" w:asciiTheme="minorEastAsia" w:hAnsiTheme="minorEastAsia" w:eastAsiaTheme="minorEastAsia" w:cstheme="minorEastAsia"/>
                <w:b w:val="0"/>
                <w:color w:val="auto"/>
                <w:kern w:val="2"/>
                <w:sz w:val="21"/>
                <w:szCs w:val="21"/>
                <w:highlight w:val="none"/>
                <w:lang w:eastAsia="zh-CN" w:bidi="ar-SA"/>
              </w:rPr>
              <w:t>2</w:t>
            </w:r>
            <w:r>
              <w:rPr>
                <w:rFonts w:hint="eastAsia" w:asciiTheme="minorEastAsia" w:hAnsiTheme="minorEastAsia" w:eastAsiaTheme="minorEastAsia" w:cstheme="minorEastAsia"/>
                <w:b w:val="0"/>
                <w:color w:val="auto"/>
                <w:kern w:val="2"/>
                <w:sz w:val="21"/>
                <w:szCs w:val="21"/>
                <w:highlight w:val="none"/>
                <w:lang w:val="en-US" w:eastAsia="zh-CN" w:bidi="ar-SA"/>
              </w:rPr>
              <w:t>0分；</w:t>
            </w:r>
          </w:p>
          <w:p w14:paraId="7D94FA1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良好：设计理念较先进、新颖、有创意，内容与形式较统一，得</w:t>
            </w:r>
            <w:r>
              <w:rPr>
                <w:rFonts w:hint="default" w:asciiTheme="minorEastAsia" w:hAnsiTheme="minorEastAsia" w:eastAsiaTheme="minorEastAsia" w:cstheme="minorEastAsia"/>
                <w:b w:val="0"/>
                <w:color w:val="auto"/>
                <w:kern w:val="2"/>
                <w:sz w:val="21"/>
                <w:szCs w:val="21"/>
                <w:highlight w:val="none"/>
                <w:lang w:eastAsia="zh-CN" w:bidi="ar-SA"/>
              </w:rPr>
              <w:t>10</w:t>
            </w:r>
            <w:r>
              <w:rPr>
                <w:rFonts w:hint="eastAsia" w:asciiTheme="minorEastAsia" w:hAnsiTheme="minorEastAsia" w:eastAsiaTheme="minorEastAsia" w:cstheme="minorEastAsia"/>
                <w:b w:val="0"/>
                <w:color w:val="auto"/>
                <w:kern w:val="2"/>
                <w:sz w:val="21"/>
                <w:szCs w:val="21"/>
                <w:highlight w:val="none"/>
                <w:lang w:val="en-US" w:eastAsia="zh-CN" w:bidi="ar-SA"/>
              </w:rPr>
              <w:t>分；</w:t>
            </w:r>
          </w:p>
          <w:p w14:paraId="1D3A0D2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一般：设计理念先进性、新颖性及创意性一般，内容与形式的统一性一般，得</w:t>
            </w:r>
            <w:r>
              <w:rPr>
                <w:rFonts w:hint="default" w:asciiTheme="minorEastAsia" w:hAnsiTheme="minorEastAsia" w:eastAsiaTheme="minorEastAsia" w:cstheme="minorEastAsia"/>
                <w:b w:val="0"/>
                <w:color w:val="auto"/>
                <w:kern w:val="2"/>
                <w:sz w:val="21"/>
                <w:szCs w:val="21"/>
                <w:highlight w:val="none"/>
                <w:lang w:eastAsia="zh-CN" w:bidi="ar-SA"/>
              </w:rPr>
              <w:t>5</w:t>
            </w:r>
            <w:r>
              <w:rPr>
                <w:rFonts w:hint="eastAsia" w:asciiTheme="minorEastAsia" w:hAnsiTheme="minorEastAsia" w:eastAsiaTheme="minorEastAsia" w:cstheme="minorEastAsia"/>
                <w:b w:val="0"/>
                <w:color w:val="auto"/>
                <w:kern w:val="2"/>
                <w:sz w:val="21"/>
                <w:szCs w:val="21"/>
                <w:highlight w:val="none"/>
                <w:lang w:val="en-US" w:eastAsia="zh-CN" w:bidi="ar-SA"/>
              </w:rPr>
              <w:t>分；</w:t>
            </w:r>
          </w:p>
          <w:p w14:paraId="1A6C7AA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差：设计理念先进性、新颖性及创意性差，内容与形式的统一性差，或未提供相关内容的，得0分；</w:t>
            </w:r>
          </w:p>
        </w:tc>
        <w:tc>
          <w:tcPr>
            <w:tcW w:w="1255" w:type="dxa"/>
            <w:vMerge w:val="restart"/>
            <w:vAlign w:val="center"/>
          </w:tcPr>
          <w:p w14:paraId="57BDBE8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jc w:val="center"/>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投标人提供方案，格式自拟。</w:t>
            </w:r>
          </w:p>
        </w:tc>
      </w:tr>
      <w:tr w14:paraId="2684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742" w:type="dxa"/>
            <w:vMerge w:val="continue"/>
            <w:vAlign w:val="center"/>
          </w:tcPr>
          <w:p w14:paraId="34C1608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p>
        </w:tc>
        <w:tc>
          <w:tcPr>
            <w:tcW w:w="1103" w:type="dxa"/>
            <w:vMerge w:val="continue"/>
            <w:vAlign w:val="center"/>
          </w:tcPr>
          <w:p w14:paraId="706C2DD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742" w:type="dxa"/>
            <w:vMerge w:val="continue"/>
            <w:vAlign w:val="center"/>
          </w:tcPr>
          <w:p w14:paraId="406A3D8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426" w:type="dxa"/>
            <w:vAlign w:val="center"/>
          </w:tcPr>
          <w:p w14:paraId="7CB24FA8">
            <w:pPr>
              <w:pStyle w:val="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空间布局（20分）</w:t>
            </w:r>
          </w:p>
          <w:p w14:paraId="0D871C6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供应商应根据场地空间、配套功能及参观者需求，充分研究和利用现有空间环境条件，进行功能布局和动线规划。要求功能布局思考全面，动线规划合理流畅；展厅平面布局合理、参观动线流畅，充分结合展陈大纲，各部分单元之间衔接逻辑清晰，且符合观展习惯要求。</w:t>
            </w:r>
          </w:p>
          <w:p w14:paraId="047476D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空间布局包括总体布局图、区域板块划分图、平面布置图、人流动线图等。</w:t>
            </w:r>
          </w:p>
          <w:p w14:paraId="6ED62C3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优秀：平面布置的合理性好，空间设计的完整性强，展线的流畅性高，得20分；</w:t>
            </w:r>
          </w:p>
          <w:p w14:paraId="6794851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良好：平面布置的合理性较好，空间设计的完整性较强，展线的流畅性较高，得15分；</w:t>
            </w:r>
          </w:p>
          <w:p w14:paraId="5B982FB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一般：平面布置的合理性一般，空间设计的完整性一般，展线的流畅性一般，得10分；</w:t>
            </w:r>
          </w:p>
          <w:p w14:paraId="33356B6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差或未提供：平面布置不合理，空间设计不完整，展线的流畅性差，或未提供相关内容的，得0分。</w:t>
            </w:r>
          </w:p>
        </w:tc>
        <w:tc>
          <w:tcPr>
            <w:tcW w:w="1255" w:type="dxa"/>
            <w:vMerge w:val="continue"/>
            <w:vAlign w:val="center"/>
          </w:tcPr>
          <w:p w14:paraId="6C28EA9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p>
        </w:tc>
      </w:tr>
      <w:tr w14:paraId="4913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Merge w:val="continue"/>
            <w:vAlign w:val="center"/>
          </w:tcPr>
          <w:p w14:paraId="78885F7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p>
        </w:tc>
        <w:tc>
          <w:tcPr>
            <w:tcW w:w="1103" w:type="dxa"/>
            <w:vMerge w:val="continue"/>
            <w:vAlign w:val="center"/>
          </w:tcPr>
          <w:p w14:paraId="5CEDA75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742" w:type="dxa"/>
            <w:vMerge w:val="continue"/>
            <w:vAlign w:val="center"/>
          </w:tcPr>
          <w:p w14:paraId="7EFC983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426" w:type="dxa"/>
            <w:vAlign w:val="center"/>
          </w:tcPr>
          <w:p w14:paraId="0B90221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效果图深化设计（30</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b/>
                <w:bCs/>
                <w:color w:val="auto"/>
                <w:sz w:val="21"/>
                <w:szCs w:val="21"/>
                <w:highlight w:val="none"/>
                <w:lang w:val="en-US" w:eastAsia="zh-CN"/>
              </w:rPr>
              <w:t>）</w:t>
            </w:r>
          </w:p>
          <w:p w14:paraId="5A667AF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color w:val="auto"/>
                <w:kern w:val="2"/>
                <w:sz w:val="21"/>
                <w:szCs w:val="21"/>
                <w:highlight w:val="none"/>
                <w:lang w:val="en-US" w:eastAsia="zh-CN" w:bidi="ar-SA"/>
              </w:rPr>
              <w:t>供应商应</w:t>
            </w:r>
            <w:r>
              <w:rPr>
                <w:rFonts w:hint="eastAsia" w:asciiTheme="minorEastAsia" w:hAnsiTheme="minorEastAsia" w:eastAsiaTheme="minorEastAsia" w:cstheme="minorEastAsia"/>
                <w:color w:val="auto"/>
                <w:sz w:val="21"/>
                <w:szCs w:val="21"/>
                <w:highlight w:val="none"/>
                <w:lang w:val="en-US" w:eastAsia="zh-CN"/>
              </w:rPr>
              <w:t>充分理解展陈主旨，主题突出、特色鲜明，设计思路脉络清晰，各展区功能设计内容完整、流畅、合理、准确，与展陈空间相契合，具备艺术性、美观性和可实施性。</w:t>
            </w:r>
          </w:p>
          <w:p w14:paraId="308D2EC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default" w:asciiTheme="minorEastAsia" w:hAnsiTheme="minorEastAsia" w:eastAsiaTheme="minorEastAsia" w:cstheme="minorEastAsia"/>
                <w:b w:val="0"/>
                <w:color w:val="auto"/>
                <w:kern w:val="2"/>
                <w:sz w:val="21"/>
                <w:szCs w:val="21"/>
                <w:highlight w:val="none"/>
                <w:lang w:eastAsia="zh-CN" w:bidi="ar-SA"/>
              </w:rPr>
            </w:pPr>
            <w:r>
              <w:rPr>
                <w:rFonts w:hint="eastAsia" w:asciiTheme="minorEastAsia" w:hAnsiTheme="minorEastAsia" w:eastAsiaTheme="minorEastAsia" w:cstheme="minorEastAsia"/>
                <w:color w:val="auto"/>
                <w:sz w:val="21"/>
                <w:szCs w:val="21"/>
                <w:highlight w:val="none"/>
                <w:lang w:val="en-US" w:eastAsia="zh-CN"/>
              </w:rPr>
              <w:t>效果图深化设计包括轴测图、展区效果图、局部效果图、重要节点效果图等</w:t>
            </w:r>
            <w:r>
              <w:rPr>
                <w:rFonts w:hint="default" w:asciiTheme="minorEastAsia" w:hAnsiTheme="minorEastAsia" w:eastAsiaTheme="minorEastAsia" w:cstheme="minorEastAsia"/>
                <w:color w:val="auto"/>
                <w:sz w:val="21"/>
                <w:szCs w:val="21"/>
                <w:highlight w:val="none"/>
                <w:lang w:eastAsia="zh-CN"/>
              </w:rPr>
              <w:t>。</w:t>
            </w:r>
          </w:p>
          <w:p w14:paraId="00E67E4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优秀：整体色彩协调统一性与展区间色彩搭配好，展区功能内容完整，展陈空间落地实施性好，得30分；</w:t>
            </w:r>
          </w:p>
          <w:p w14:paraId="2D3EEA1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良好：整体色彩协调统一性与展区间色彩搭配较好，展区功能内容较完整，展陈空间落地实施性较好，得20分；</w:t>
            </w:r>
          </w:p>
          <w:p w14:paraId="3BBACB4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b w:val="0"/>
                <w:color w:val="auto"/>
                <w:kern w:val="2"/>
                <w:sz w:val="21"/>
                <w:szCs w:val="21"/>
                <w:highlight w:val="none"/>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一般：整体色彩协调统一性与展区间色彩搭配一般，展区功能内容完整性一般，展陈空间落地实施性一般，得10分；</w:t>
            </w:r>
          </w:p>
          <w:p w14:paraId="77F110A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color w:val="auto"/>
                <w:kern w:val="2"/>
                <w:sz w:val="21"/>
                <w:szCs w:val="21"/>
                <w:highlight w:val="none"/>
                <w:lang w:val="en-US" w:eastAsia="zh-CN" w:bidi="ar-SA"/>
              </w:rPr>
              <w:t>差：整体色彩协调统一性与展区间色彩搭配差，或未提供相关内容的，展区功能内容完整性差，展陈空间落地实施性差，得0分。</w:t>
            </w:r>
          </w:p>
        </w:tc>
        <w:tc>
          <w:tcPr>
            <w:tcW w:w="1255" w:type="dxa"/>
            <w:vMerge w:val="continue"/>
            <w:vAlign w:val="center"/>
          </w:tcPr>
          <w:p w14:paraId="37FDB16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textAlignment w:val="auto"/>
              <w:rPr>
                <w:rFonts w:hint="eastAsia" w:asciiTheme="minorEastAsia" w:hAnsiTheme="minorEastAsia" w:eastAsiaTheme="minorEastAsia" w:cstheme="minorEastAsia"/>
                <w:color w:val="auto"/>
                <w:sz w:val="21"/>
                <w:szCs w:val="21"/>
                <w:highlight w:val="none"/>
                <w:lang w:val="en-US" w:eastAsia="zh-CN"/>
              </w:rPr>
            </w:pPr>
          </w:p>
        </w:tc>
      </w:tr>
      <w:tr w14:paraId="2C4A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Merge w:val="restart"/>
            <w:vAlign w:val="center"/>
          </w:tcPr>
          <w:p w14:paraId="64BC63B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03" w:type="dxa"/>
            <w:vMerge w:val="restart"/>
            <w:vAlign w:val="center"/>
          </w:tcPr>
          <w:p w14:paraId="69B89B0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p>
          <w:p w14:paraId="6ED974D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p>
        </w:tc>
        <w:tc>
          <w:tcPr>
            <w:tcW w:w="742" w:type="dxa"/>
            <w:vMerge w:val="restart"/>
            <w:vAlign w:val="center"/>
          </w:tcPr>
          <w:p w14:paraId="7E526C9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5426" w:type="dxa"/>
            <w:vAlign w:val="center"/>
          </w:tcPr>
          <w:p w14:paraId="794C3C3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履约能力</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b/>
                <w:bCs/>
                <w:color w:val="auto"/>
                <w:sz w:val="21"/>
                <w:szCs w:val="21"/>
                <w:highlight w:val="none"/>
                <w:lang w:eastAsia="zh-CN"/>
              </w:rPr>
              <w:t>）</w:t>
            </w:r>
          </w:p>
          <w:p w14:paraId="3E0C46D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2023年1月1日至投标截止时间（以合同签订时间为准），供应商</w:t>
            </w:r>
            <w:r>
              <w:rPr>
                <w:rFonts w:hint="eastAsia" w:asciiTheme="minorEastAsia" w:hAnsiTheme="minorEastAsia" w:eastAsiaTheme="minorEastAsia" w:cstheme="minorEastAsia"/>
                <w:color w:val="auto"/>
                <w:sz w:val="21"/>
                <w:szCs w:val="21"/>
                <w:highlight w:val="none"/>
                <w:lang w:val="en-US" w:eastAsia="zh-CN"/>
              </w:rPr>
              <w:t>承接</w:t>
            </w:r>
            <w:r>
              <w:rPr>
                <w:rFonts w:hint="eastAsia" w:asciiTheme="minorEastAsia" w:hAnsiTheme="minorEastAsia" w:eastAsiaTheme="minorEastAsia" w:cstheme="minorEastAsia"/>
                <w:color w:val="auto"/>
                <w:sz w:val="21"/>
                <w:szCs w:val="21"/>
                <w:highlight w:val="none"/>
              </w:rPr>
              <w:t>过</w:t>
            </w:r>
            <w:r>
              <w:rPr>
                <w:rFonts w:hint="eastAsia" w:asciiTheme="minorEastAsia" w:hAnsiTheme="minorEastAsia" w:eastAsiaTheme="minorEastAsia" w:cstheme="minorEastAsia"/>
                <w:color w:val="auto"/>
                <w:sz w:val="21"/>
                <w:szCs w:val="21"/>
                <w:highlight w:val="none"/>
                <w:lang w:val="en-US" w:eastAsia="zh-CN"/>
              </w:rPr>
              <w:t>展览展示等</w:t>
            </w:r>
            <w:r>
              <w:rPr>
                <w:rFonts w:hint="eastAsia" w:asciiTheme="minorEastAsia" w:hAnsiTheme="minorEastAsia" w:eastAsiaTheme="minorEastAsia" w:cstheme="minorEastAsia"/>
                <w:color w:val="auto"/>
                <w:sz w:val="21"/>
                <w:szCs w:val="21"/>
                <w:highlight w:val="none"/>
              </w:rPr>
              <w:t>类似项目业绩</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提供一个</w:t>
            </w:r>
            <w:r>
              <w:rPr>
                <w:rFonts w:hint="eastAsia" w:asciiTheme="minorEastAsia" w:hAnsiTheme="minorEastAsia" w:eastAsiaTheme="minorEastAsia" w:cstheme="minorEastAsia"/>
                <w:color w:val="auto"/>
                <w:sz w:val="21"/>
                <w:szCs w:val="21"/>
                <w:highlight w:val="none"/>
                <w:lang w:val="en-US" w:eastAsia="zh-CN"/>
              </w:rPr>
              <w:t>业绩</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本项</w:t>
            </w:r>
            <w:r>
              <w:rPr>
                <w:rFonts w:hint="eastAsia" w:asciiTheme="minorEastAsia" w:hAnsiTheme="minorEastAsia" w:eastAsiaTheme="minorEastAsia" w:cstheme="minorEastAsia"/>
                <w:color w:val="auto"/>
                <w:sz w:val="21"/>
                <w:szCs w:val="21"/>
                <w:highlight w:val="none"/>
              </w:rPr>
              <w:t>最多得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分，未提供不得分。</w:t>
            </w:r>
          </w:p>
        </w:tc>
        <w:tc>
          <w:tcPr>
            <w:tcW w:w="1255" w:type="dxa"/>
            <w:vAlign w:val="center"/>
          </w:tcPr>
          <w:p w14:paraId="694C57E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提供项目合同（协议）复印件并加盖供应商公章。</w:t>
            </w:r>
          </w:p>
        </w:tc>
      </w:tr>
      <w:tr w14:paraId="0891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Merge w:val="continue"/>
            <w:vAlign w:val="center"/>
          </w:tcPr>
          <w:p w14:paraId="555EEDA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p>
        </w:tc>
        <w:tc>
          <w:tcPr>
            <w:tcW w:w="1103" w:type="dxa"/>
            <w:vMerge w:val="continue"/>
            <w:vAlign w:val="center"/>
          </w:tcPr>
          <w:p w14:paraId="02BA758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28"/>
              <w:jc w:val="center"/>
              <w:textAlignment w:val="auto"/>
              <w:rPr>
                <w:rFonts w:hint="eastAsia" w:asciiTheme="minorEastAsia" w:hAnsiTheme="minorEastAsia" w:eastAsiaTheme="minorEastAsia" w:cstheme="minorEastAsia"/>
                <w:color w:val="auto"/>
                <w:sz w:val="21"/>
                <w:szCs w:val="21"/>
                <w:highlight w:val="none"/>
              </w:rPr>
            </w:pPr>
          </w:p>
        </w:tc>
        <w:tc>
          <w:tcPr>
            <w:tcW w:w="742" w:type="dxa"/>
            <w:vMerge w:val="continue"/>
            <w:vAlign w:val="center"/>
          </w:tcPr>
          <w:p w14:paraId="513C79A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firstLine="0"/>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5426" w:type="dxa"/>
            <w:vAlign w:val="center"/>
          </w:tcPr>
          <w:p w14:paraId="5AF442C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right="0" w:rightChars="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企业资质</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eastAsia="zh-CN"/>
              </w:rPr>
              <w:t>分）</w:t>
            </w:r>
          </w:p>
          <w:p w14:paraId="149D610B">
            <w:pPr>
              <w:pStyle w:val="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color w:val="auto"/>
                <w:kern w:val="2"/>
                <w:sz w:val="21"/>
                <w:szCs w:val="21"/>
                <w:highlight w:val="none"/>
                <w:lang w:val="en-US" w:eastAsia="zh-CN" w:bidi="ar-SA"/>
              </w:rPr>
              <w:t>供应商具有省市级及以上会展行业组织颁发的展览工程相关A级或甲级资质的，得5分。</w:t>
            </w:r>
          </w:p>
        </w:tc>
        <w:tc>
          <w:tcPr>
            <w:tcW w:w="1255" w:type="dxa"/>
            <w:vAlign w:val="center"/>
          </w:tcPr>
          <w:p w14:paraId="4BC8EB65">
            <w:pPr>
              <w:pStyle w:val="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20" w:lineRule="exact"/>
              <w:ind w:left="0" w:leftChars="0" w:right="0" w:rightChars="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color w:val="auto"/>
                <w:kern w:val="2"/>
                <w:sz w:val="21"/>
                <w:szCs w:val="21"/>
                <w:highlight w:val="none"/>
                <w:lang w:val="en-US" w:eastAsia="zh-CN" w:bidi="ar-SA"/>
              </w:rPr>
              <w:t>提供相关证明材料复印件，加盖供应商公章。</w:t>
            </w:r>
          </w:p>
        </w:tc>
      </w:tr>
    </w:tbl>
    <w:p w14:paraId="34E2C041">
      <w:pPr>
        <w:pStyle w:val="4"/>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无效响应</w:t>
      </w:r>
      <w:bookmarkEnd w:id="160"/>
    </w:p>
    <w:p w14:paraId="76BECD8C">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不符合规定的基本资格条件或特定资格条件的；</w:t>
      </w:r>
    </w:p>
    <w:p w14:paraId="4739F111">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的法定代表人（或其授权代表）或自然人未参加</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w:t>
      </w:r>
    </w:p>
    <w:p w14:paraId="3CA975BF">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所提交的</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不按第七篇“</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编制要求”规定签字、盖章；</w:t>
      </w:r>
    </w:p>
    <w:p w14:paraId="52D1DE55">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rPr>
        <w:t>超过采购预算或最高限价的；</w:t>
      </w:r>
    </w:p>
    <w:p w14:paraId="696D4494">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）法定代表人为同一个人的两个及两个以上法人，母公司、全资子公司及其控股公司，在同一分包采购中同时参与</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w:t>
      </w:r>
    </w:p>
    <w:p w14:paraId="1F83D5E5">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，参加同一合同项下的采购活动的；</w:t>
      </w:r>
    </w:p>
    <w:p w14:paraId="7D8819BD">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）为采购项目提供整体设计、规范编制或者项目管理、监理、检测等服务的</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，再参加该采购项目的其他采购活动；</w:t>
      </w:r>
    </w:p>
    <w:p w14:paraId="0A89BE65">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、质量保证期及</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有效期不满足</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文件要求的；</w:t>
      </w:r>
    </w:p>
    <w:p w14:paraId="78143517">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竞选人比选申请文件</w:t>
      </w:r>
      <w:r>
        <w:rPr>
          <w:rFonts w:hint="eastAsia" w:ascii="宋体" w:hAnsi="宋体" w:eastAsia="宋体" w:cs="宋体"/>
          <w:color w:val="auto"/>
          <w:sz w:val="21"/>
          <w:szCs w:val="21"/>
          <w:highlight w:val="none"/>
        </w:rPr>
        <w:t>内容有与国家现行法律法规相违背的内容，或附有</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无法接受的条件</w:t>
      </w:r>
      <w:r>
        <w:rPr>
          <w:rFonts w:hint="eastAsia" w:ascii="宋体" w:hAnsi="宋体" w:eastAsia="宋体" w:cs="宋体"/>
          <w:color w:val="auto"/>
          <w:sz w:val="21"/>
          <w:szCs w:val="21"/>
          <w:highlight w:val="none"/>
          <w:lang w:eastAsia="zh-CN"/>
        </w:rPr>
        <w:t>；</w:t>
      </w:r>
    </w:p>
    <w:p w14:paraId="1BF2E753">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以联合体形式参与</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p>
    <w:p w14:paraId="26DDA30D">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进行合同分包的</w:t>
      </w:r>
      <w:r>
        <w:rPr>
          <w:rFonts w:hint="eastAsia" w:ascii="宋体" w:hAnsi="宋体" w:eastAsia="宋体" w:cs="宋体"/>
          <w:color w:val="auto"/>
          <w:sz w:val="21"/>
          <w:szCs w:val="21"/>
          <w:highlight w:val="none"/>
          <w:lang w:eastAsia="zh-CN"/>
        </w:rPr>
        <w:t>。</w:t>
      </w:r>
    </w:p>
    <w:p w14:paraId="1A971E0F">
      <w:pPr>
        <w:pStyle w:val="4"/>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left="0" w:leftChars="0" w:right="0" w:rightChars="0" w:firstLine="480"/>
        <w:textAlignment w:val="auto"/>
        <w:rPr>
          <w:rFonts w:hint="eastAsia" w:ascii="宋体" w:hAnsi="宋体" w:eastAsia="宋体" w:cs="宋体"/>
          <w:color w:val="auto"/>
          <w:sz w:val="21"/>
          <w:szCs w:val="21"/>
          <w:highlight w:val="none"/>
        </w:rPr>
      </w:pPr>
      <w:bookmarkStart w:id="165" w:name="_Toc16548"/>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、采购终止</w:t>
      </w:r>
      <w:bookmarkEnd w:id="165"/>
    </w:p>
    <w:p w14:paraId="06B0D587">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比选代理机构</w:t>
      </w:r>
      <w:r>
        <w:rPr>
          <w:rFonts w:hint="eastAsia" w:ascii="宋体" w:hAnsi="宋体" w:eastAsia="宋体" w:cs="宋体"/>
          <w:color w:val="auto"/>
          <w:sz w:val="21"/>
          <w:szCs w:val="21"/>
          <w:highlight w:val="none"/>
        </w:rPr>
        <w:t>应当终止</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采购活动，发布项目终止公告并说明原因，重新开展采购活动：</w:t>
      </w:r>
    </w:p>
    <w:p w14:paraId="04C5367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（一）因情况变化，不再符合规定的</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采购方式适用情形的；</w:t>
      </w:r>
    </w:p>
    <w:p w14:paraId="5B20C865">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（二）出现影响采购公正的违法、违规行为的；</w:t>
      </w:r>
    </w:p>
    <w:p w14:paraId="13677D1E">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（三）在采购过程中符合要求的</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或者报价未超过采购预算的</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不足3家的。</w:t>
      </w:r>
    </w:p>
    <w:bookmarkEnd w:id="161"/>
    <w:bookmarkEnd w:id="162"/>
    <w:bookmarkEnd w:id="163"/>
    <w:bookmarkEnd w:id="164"/>
    <w:p w14:paraId="7797253E">
      <w:pPr>
        <w:pStyle w:val="31"/>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2"/>
          <w:sz w:val="28"/>
          <w:highlight w:val="none"/>
          <w:lang w:val="en-US" w:eastAsia="zh-CN" w:bidi="ar-SA"/>
        </w:rPr>
        <w:t xml:space="preserve"> </w:t>
      </w:r>
      <w:bookmarkStart w:id="166" w:name="_Toc32330"/>
      <w:r>
        <w:rPr>
          <w:rFonts w:hint="eastAsia" w:ascii="宋体" w:hAnsi="宋体" w:eastAsia="宋体" w:cs="宋体"/>
          <w:b/>
          <w:color w:val="auto"/>
          <w:kern w:val="2"/>
          <w:sz w:val="28"/>
          <w:highlight w:val="none"/>
          <w:lang w:val="en-US" w:eastAsia="zh-CN" w:bidi="ar-SA"/>
        </w:rPr>
        <w:t xml:space="preserve">第五篇  </w:t>
      </w:r>
      <w:r>
        <w:rPr>
          <w:rFonts w:hint="eastAsia" w:hAnsi="宋体" w:cs="宋体"/>
          <w:b/>
          <w:color w:val="auto"/>
          <w:kern w:val="2"/>
          <w:sz w:val="28"/>
          <w:highlight w:val="none"/>
          <w:lang w:val="en-US" w:eastAsia="zh-CN" w:bidi="ar-SA"/>
        </w:rPr>
        <w:t>供应商</w:t>
      </w:r>
      <w:r>
        <w:rPr>
          <w:rFonts w:hint="eastAsia" w:ascii="宋体" w:hAnsi="宋体" w:eastAsia="宋体" w:cs="宋体"/>
          <w:b/>
          <w:color w:val="auto"/>
          <w:kern w:val="2"/>
          <w:sz w:val="28"/>
          <w:highlight w:val="none"/>
          <w:lang w:val="en-US" w:eastAsia="zh-CN" w:bidi="ar-SA"/>
        </w:rPr>
        <w:t>须知</w:t>
      </w:r>
      <w:bookmarkEnd w:id="166"/>
    </w:p>
    <w:p w14:paraId="24145B6E">
      <w:pPr>
        <w:pStyle w:val="3"/>
        <w:pageBreakBefore w:val="0"/>
        <w:widowControl w:val="0"/>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bookmarkStart w:id="167" w:name="_Toc106034650"/>
      <w:bookmarkStart w:id="168" w:name="_Toc1092"/>
      <w:bookmarkStart w:id="169" w:name="_Toc29821"/>
      <w:bookmarkStart w:id="170" w:name="_Toc65660359"/>
      <w:r>
        <w:rPr>
          <w:rFonts w:hint="eastAsia" w:asciiTheme="minorEastAsia" w:hAnsiTheme="minorEastAsia" w:eastAsiaTheme="minorEastAsia" w:cstheme="minorEastAsia"/>
          <w:b/>
          <w:bCs/>
          <w:color w:val="auto"/>
          <w:sz w:val="21"/>
          <w:szCs w:val="21"/>
          <w:highlight w:val="none"/>
        </w:rPr>
        <w:t>一、供应商</w:t>
      </w:r>
    </w:p>
    <w:p w14:paraId="4F8828F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(一)供应商</w:t>
      </w:r>
    </w:p>
    <w:p w14:paraId="2BD6FEB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供应商是指响应</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、参加</w:t>
      </w:r>
      <w:r>
        <w:rPr>
          <w:rFonts w:hint="eastAsia" w:asciiTheme="minorEastAsia" w:hAnsiTheme="minorEastAsia" w:eastAsiaTheme="minorEastAsia" w:cstheme="minorEastAsia"/>
          <w:color w:val="auto"/>
          <w:sz w:val="21"/>
          <w:szCs w:val="21"/>
          <w:highlight w:val="none"/>
          <w:lang w:eastAsia="zh-CN"/>
        </w:rPr>
        <w:t>公开</w:t>
      </w:r>
      <w:r>
        <w:rPr>
          <w:rFonts w:hint="eastAsia" w:asciiTheme="minorEastAsia" w:hAnsiTheme="minorEastAsia" w:eastAsiaTheme="minorEastAsia" w:cstheme="minorEastAsia"/>
          <w:color w:val="auto"/>
          <w:sz w:val="21"/>
          <w:szCs w:val="21"/>
          <w:highlight w:val="none"/>
        </w:rPr>
        <w:t>竞争的法人、其他组织或者自然人。</w:t>
      </w:r>
    </w:p>
    <w:p w14:paraId="6D6D0E8C">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(二)合格供应商条件</w:t>
      </w:r>
    </w:p>
    <w:p w14:paraId="6C6F04F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合格供应商应完全符合</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文件第一篇中规定的供应商资格条件，并对</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文件作出</w:t>
      </w:r>
    </w:p>
    <w:p w14:paraId="0CD7928B">
      <w:pPr>
        <w:pageBreakBefore w:val="0"/>
        <w:widowControl w:val="0"/>
        <w:shd w:val="clear"/>
        <w:kinsoku/>
        <w:wordWrap/>
        <w:overflowPunct/>
        <w:topLinePunct w:val="0"/>
        <w:autoSpaceDE/>
        <w:autoSpaceDN/>
        <w:bidi w:val="0"/>
        <w:adjustRightInd w:val="0"/>
        <w:snapToGrid w:val="0"/>
        <w:spacing w:beforeLines="0" w:afterLines="0" w:line="52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实质性响应。</w:t>
      </w:r>
    </w:p>
    <w:p w14:paraId="397F321B">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(三)供应商的风险</w:t>
      </w:r>
    </w:p>
    <w:p w14:paraId="7EFC2C6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供应商没有按照</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要求提供全部资料，或者供应商没有对</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文件在各方面作出实质性响应，可能导致</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被拒绝或评定为无效</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w:t>
      </w:r>
    </w:p>
    <w:p w14:paraId="181D944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(四)法律责任</w:t>
      </w:r>
    </w:p>
    <w:p w14:paraId="4E54320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供应商违反《中华人民共和国政府采购法》、《中华人民共和国政府采购实施条例》等相关规定，将按规定追究供应商法律责任。</w:t>
      </w:r>
    </w:p>
    <w:p w14:paraId="318318FB">
      <w:pPr>
        <w:pStyle w:val="3"/>
        <w:pageBreakBefore w:val="0"/>
        <w:widowControl w:val="0"/>
        <w:numPr>
          <w:ilvl w:val="-1"/>
          <w:numId w:val="0"/>
        </w:numPr>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eastAsia="zh-CN"/>
        </w:rPr>
        <w:t>比选</w:t>
      </w:r>
      <w:r>
        <w:rPr>
          <w:rFonts w:hint="eastAsia" w:asciiTheme="minorEastAsia" w:hAnsiTheme="minorEastAsia" w:eastAsiaTheme="minorEastAsia" w:cstheme="minorEastAsia"/>
          <w:b/>
          <w:bCs/>
          <w:color w:val="auto"/>
          <w:sz w:val="21"/>
          <w:szCs w:val="21"/>
          <w:highlight w:val="none"/>
        </w:rPr>
        <w:t>文件</w:t>
      </w:r>
    </w:p>
    <w:p w14:paraId="74C6815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比选文件是供应商编制</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文件的依据，是评标委员会评判</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依据和标准。比选文件也是</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人与供应商签订合同的基础。</w:t>
      </w:r>
    </w:p>
    <w:p w14:paraId="744FC85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邀请书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比选项目技术（质量）需求、项目商务要求、资格审查及评标办法、供应商须知、合同条款及格式、竞标文件格式等七部分组成。</w:t>
      </w:r>
    </w:p>
    <w:p w14:paraId="69065738">
      <w:pPr>
        <w:pageBreakBefore w:val="0"/>
        <w:widowControl w:val="0"/>
        <w:shd w:val="clear"/>
        <w:kinsoku/>
        <w:wordWrap/>
        <w:overflowPunct/>
        <w:topLinePunct w:val="0"/>
        <w:autoSpaceDE/>
        <w:autoSpaceDN/>
        <w:bidi w:val="0"/>
        <w:adjustRightInd w:val="0"/>
        <w:snapToGrid w:val="0"/>
        <w:spacing w:beforeLines="0" w:afterLines="0" w:line="52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代理机构对比选文件所作的一切有效的书面通知、修改及补充，都是</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文件不可分割的部分。</w:t>
      </w:r>
    </w:p>
    <w:p w14:paraId="6785CBBA">
      <w:pPr>
        <w:pageBreakBefore w:val="0"/>
        <w:widowControl w:val="0"/>
        <w:shd w:val="clear"/>
        <w:kinsoku/>
        <w:wordWrap/>
        <w:overflowPunct/>
        <w:topLinePunct w:val="0"/>
        <w:autoSpaceDE/>
        <w:autoSpaceDN/>
        <w:bidi w:val="0"/>
        <w:adjustRightInd w:val="0"/>
        <w:snapToGrid w:val="0"/>
        <w:spacing w:beforeLines="0" w:afterLines="0" w:line="52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本项目的比选文件、澄清文件(如果有)一律在“行采家”平台（http://www.gec123.com）</w:t>
      </w:r>
      <w:r>
        <w:rPr>
          <w:rFonts w:hint="eastAsia" w:asciiTheme="minorEastAsia" w:hAnsiTheme="minorEastAsia" w:eastAsiaTheme="minorEastAsia" w:cstheme="minorEastAsia"/>
          <w:color w:val="auto"/>
          <w:sz w:val="21"/>
          <w:szCs w:val="21"/>
          <w:highlight w:val="none"/>
          <w:lang w:eastAsia="zh-CN"/>
        </w:rPr>
        <w:t>网</w:t>
      </w:r>
      <w:r>
        <w:rPr>
          <w:rFonts w:hint="eastAsia" w:asciiTheme="minorEastAsia" w:hAnsiTheme="minorEastAsia" w:eastAsiaTheme="minorEastAsia" w:cstheme="minorEastAsia"/>
          <w:color w:val="auto"/>
          <w:sz w:val="21"/>
          <w:szCs w:val="21"/>
          <w:highlight w:val="none"/>
        </w:rPr>
        <w:t>上发布，请各供应商注意下载或到</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代理机构处领取</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无论供应商下载或领取与否，均视同供应商已知晓本项目</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、澄清文件的内容。</w:t>
      </w:r>
    </w:p>
    <w:p w14:paraId="43A8753C">
      <w:pPr>
        <w:pageBreakBefore w:val="0"/>
        <w:widowControl w:val="0"/>
        <w:numPr>
          <w:ilvl w:val="0"/>
          <w:numId w:val="0"/>
        </w:numPr>
        <w:shd w:val="clear"/>
        <w:kinsoku/>
        <w:wordWrap/>
        <w:overflowPunct/>
        <w:topLinePunct w:val="0"/>
        <w:autoSpaceDE/>
        <w:autoSpaceDN/>
        <w:bidi w:val="0"/>
        <w:adjustRightInd w:val="0"/>
        <w:snapToGrid w:val="0"/>
        <w:spacing w:beforeLines="0" w:afterLines="0" w:line="52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代理机构对已发出的比选文件需要进行澄清或修改的，应以书面形式或公告形式通知所有</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收受人。该澄清或者修改的内容为</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的组成部分。</w:t>
      </w:r>
    </w:p>
    <w:p w14:paraId="2E23D7A8">
      <w:pPr>
        <w:pStyle w:val="3"/>
        <w:pageBreakBefore w:val="0"/>
        <w:widowControl w:val="0"/>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w:t>
      </w:r>
      <w:r>
        <w:rPr>
          <w:rFonts w:hint="eastAsia" w:asciiTheme="minorEastAsia" w:hAnsiTheme="minorEastAsia" w:eastAsiaTheme="minorEastAsia" w:cstheme="minorEastAsia"/>
          <w:b/>
          <w:bCs/>
          <w:color w:val="auto"/>
          <w:sz w:val="21"/>
          <w:szCs w:val="21"/>
          <w:highlight w:val="none"/>
          <w:lang w:eastAsia="zh-CN"/>
        </w:rPr>
        <w:t>竞标</w:t>
      </w:r>
      <w:r>
        <w:rPr>
          <w:rFonts w:hint="eastAsia" w:asciiTheme="minorEastAsia" w:hAnsiTheme="minorEastAsia" w:eastAsiaTheme="minorEastAsia" w:cstheme="minorEastAsia"/>
          <w:b/>
          <w:bCs/>
          <w:color w:val="auto"/>
          <w:sz w:val="21"/>
          <w:szCs w:val="21"/>
          <w:highlight w:val="none"/>
        </w:rPr>
        <w:t>文件</w:t>
      </w:r>
    </w:p>
    <w:p w14:paraId="2D08DFFA">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供应商应当按照</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的要求编制</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文件，并对</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提出的要求和条件作出实质性响应，</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文件原则上采用软面订本，同时应编制完整的页码、目录。</w:t>
      </w:r>
    </w:p>
    <w:p w14:paraId="0CDFA57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文件组成</w:t>
      </w:r>
    </w:p>
    <w:p w14:paraId="4A7E711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文件由</w:t>
      </w:r>
      <w:r>
        <w:rPr>
          <w:rFonts w:hint="eastAsia" w:asciiTheme="minorEastAsia" w:hAnsiTheme="minorEastAsia" w:eastAsiaTheme="minorEastAsia" w:cstheme="minorEastAsia"/>
          <w:color w:val="auto"/>
          <w:sz w:val="21"/>
          <w:szCs w:val="21"/>
          <w:highlight w:val="none"/>
          <w:lang w:eastAsia="zh-CN"/>
        </w:rPr>
        <w:t>第七篇</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文件格式”规定的部分和供应商所作的一切有效补充、修改和承诺等文件组成，供应商应按照</w:t>
      </w:r>
      <w:r>
        <w:rPr>
          <w:rFonts w:hint="eastAsia" w:asciiTheme="minorEastAsia" w:hAnsiTheme="minorEastAsia" w:eastAsiaTheme="minorEastAsia" w:cstheme="minorEastAsia"/>
          <w:color w:val="auto"/>
          <w:sz w:val="21"/>
          <w:szCs w:val="21"/>
          <w:highlight w:val="none"/>
          <w:lang w:eastAsia="zh-CN"/>
        </w:rPr>
        <w:t>第七篇</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文件格式”规定的目录顺序组织编写和装订，否则有可能影响评委对</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文件的评审。</w:t>
      </w:r>
    </w:p>
    <w:p w14:paraId="237D92F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(二)联合</w:t>
      </w:r>
      <w:r>
        <w:rPr>
          <w:rFonts w:hint="eastAsia" w:asciiTheme="minorEastAsia" w:hAnsiTheme="minorEastAsia" w:eastAsiaTheme="minorEastAsia" w:cstheme="minorEastAsia"/>
          <w:color w:val="auto"/>
          <w:sz w:val="21"/>
          <w:szCs w:val="21"/>
          <w:highlight w:val="none"/>
          <w:lang w:eastAsia="zh-CN"/>
        </w:rPr>
        <w:t>竞标</w:t>
      </w:r>
    </w:p>
    <w:p w14:paraId="2D70078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本项目不接受联合体参与</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w:t>
      </w:r>
    </w:p>
    <w:p w14:paraId="2DA4320A">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有效期</w:t>
      </w:r>
    </w:p>
    <w:p w14:paraId="2EDAB59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有效期为</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截止时间起90天内。</w:t>
      </w:r>
    </w:p>
    <w:p w14:paraId="0C4EE34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保证金</w:t>
      </w:r>
    </w:p>
    <w:p w14:paraId="6DDF10F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1.供应商应在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截止时间前，按</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第一篇规定交纳</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保证金</w:t>
      </w:r>
      <w:r>
        <w:rPr>
          <w:rFonts w:hint="eastAsia" w:asciiTheme="minorEastAsia" w:hAnsiTheme="minorEastAsia" w:eastAsiaTheme="minorEastAsia" w:cstheme="minorEastAsia"/>
          <w:color w:val="auto"/>
          <w:sz w:val="21"/>
          <w:szCs w:val="21"/>
          <w:highlight w:val="none"/>
          <w:lang w:eastAsia="zh-CN"/>
        </w:rPr>
        <w:t>；</w:t>
      </w:r>
    </w:p>
    <w:p w14:paraId="59E40D12">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保证金为</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的有效约束条件</w:t>
      </w:r>
      <w:r>
        <w:rPr>
          <w:rFonts w:hint="eastAsia" w:asciiTheme="minorEastAsia" w:hAnsiTheme="minorEastAsia" w:eastAsiaTheme="minorEastAsia" w:cstheme="minorEastAsia"/>
          <w:color w:val="auto"/>
          <w:sz w:val="21"/>
          <w:szCs w:val="21"/>
          <w:highlight w:val="none"/>
          <w:lang w:eastAsia="zh-CN"/>
        </w:rPr>
        <w:t>；</w:t>
      </w:r>
    </w:p>
    <w:p w14:paraId="298E1206">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保证金的有效期限在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有效期过后三十天继续有效</w:t>
      </w:r>
      <w:r>
        <w:rPr>
          <w:rFonts w:hint="eastAsia" w:asciiTheme="minorEastAsia" w:hAnsiTheme="minorEastAsia" w:eastAsiaTheme="minorEastAsia" w:cstheme="minorEastAsia"/>
          <w:color w:val="auto"/>
          <w:sz w:val="21"/>
          <w:szCs w:val="21"/>
          <w:highlight w:val="none"/>
          <w:lang w:eastAsia="zh-CN"/>
        </w:rPr>
        <w:t>；</w:t>
      </w:r>
    </w:p>
    <w:p w14:paraId="30A9845C">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保证金币种应与</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报价币种相同</w:t>
      </w:r>
      <w:r>
        <w:rPr>
          <w:rFonts w:hint="eastAsia" w:asciiTheme="minorEastAsia" w:hAnsiTheme="minorEastAsia" w:eastAsiaTheme="minorEastAsia" w:cstheme="minorEastAsia"/>
          <w:color w:val="auto"/>
          <w:sz w:val="21"/>
          <w:szCs w:val="21"/>
          <w:highlight w:val="none"/>
          <w:lang w:eastAsia="zh-CN"/>
        </w:rPr>
        <w:t>；</w:t>
      </w:r>
    </w:p>
    <w:p w14:paraId="36965FF3">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中选</w:t>
      </w:r>
      <w:r>
        <w:rPr>
          <w:rFonts w:hint="eastAsia" w:asciiTheme="minorEastAsia" w:hAnsiTheme="minorEastAsia" w:eastAsiaTheme="minorEastAsia" w:cstheme="minorEastAsia"/>
          <w:color w:val="auto"/>
          <w:sz w:val="21"/>
          <w:szCs w:val="21"/>
          <w:highlight w:val="none"/>
          <w:lang w:eastAsia="zh-CN"/>
        </w:rPr>
        <w:t>通知书</w:t>
      </w:r>
      <w:r>
        <w:rPr>
          <w:rFonts w:hint="eastAsia" w:asciiTheme="minorEastAsia" w:hAnsiTheme="minorEastAsia" w:eastAsiaTheme="minorEastAsia" w:cstheme="minorEastAsia"/>
          <w:color w:val="auto"/>
          <w:sz w:val="21"/>
          <w:szCs w:val="21"/>
          <w:highlight w:val="none"/>
        </w:rPr>
        <w:t>》发出后，由</w:t>
      </w:r>
      <w:r>
        <w:rPr>
          <w:rFonts w:hint="eastAsia" w:asciiTheme="minorEastAsia" w:hAnsiTheme="minorEastAsia" w:eastAsiaTheme="minorEastAsia" w:cstheme="minorEastAsia"/>
          <w:color w:val="auto"/>
          <w:sz w:val="21"/>
          <w:szCs w:val="21"/>
          <w:highlight w:val="none"/>
          <w:lang w:eastAsia="zh-CN"/>
        </w:rPr>
        <w:t>代理机构在</w:t>
      </w:r>
      <w:r>
        <w:rPr>
          <w:rFonts w:hint="eastAsia" w:asciiTheme="minorEastAsia" w:hAnsiTheme="minorEastAsia" w:eastAsiaTheme="minorEastAsia" w:cstheme="minorEastAsia"/>
          <w:color w:val="auto"/>
          <w:sz w:val="21"/>
          <w:szCs w:val="21"/>
          <w:highlight w:val="none"/>
        </w:rPr>
        <w:t>五个工作日内退还未中标人的投</w:t>
      </w:r>
      <w:r>
        <w:rPr>
          <w:rFonts w:hint="eastAsia" w:asciiTheme="minorEastAsia" w:hAnsiTheme="minorEastAsia" w:eastAsiaTheme="minorEastAsia" w:cstheme="minorEastAsia"/>
          <w:color w:val="auto"/>
          <w:sz w:val="21"/>
          <w:szCs w:val="21"/>
          <w:highlight w:val="none"/>
          <w:lang w:eastAsia="zh-CN"/>
        </w:rPr>
        <w:t>标</w:t>
      </w:r>
      <w:r>
        <w:rPr>
          <w:rFonts w:hint="eastAsia" w:asciiTheme="minorEastAsia" w:hAnsiTheme="minorEastAsia" w:eastAsiaTheme="minorEastAsia" w:cstheme="minorEastAsia"/>
          <w:color w:val="auto"/>
          <w:sz w:val="21"/>
          <w:szCs w:val="21"/>
          <w:highlight w:val="none"/>
        </w:rPr>
        <w:t>保证金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在采购合同签订后，由</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lang w:eastAsia="zh-CN"/>
        </w:rPr>
        <w:t>代理机构</w:t>
      </w:r>
      <w:r>
        <w:rPr>
          <w:rFonts w:hint="eastAsia" w:asciiTheme="minorEastAsia" w:hAnsiTheme="minorEastAsia" w:eastAsiaTheme="minorEastAsia" w:cstheme="minorEastAsia"/>
          <w:color w:val="auto"/>
          <w:sz w:val="21"/>
          <w:szCs w:val="21"/>
          <w:highlight w:val="none"/>
        </w:rPr>
        <w:t>五个工作日退还中标人的投</w:t>
      </w:r>
      <w:r>
        <w:rPr>
          <w:rFonts w:hint="eastAsia" w:asciiTheme="minorEastAsia" w:hAnsiTheme="minorEastAsia" w:eastAsiaTheme="minorEastAsia" w:cstheme="minorEastAsia"/>
          <w:color w:val="auto"/>
          <w:sz w:val="21"/>
          <w:szCs w:val="21"/>
          <w:highlight w:val="none"/>
          <w:lang w:eastAsia="zh-CN"/>
        </w:rPr>
        <w:t>标</w:t>
      </w:r>
      <w:r>
        <w:rPr>
          <w:rFonts w:hint="eastAsia" w:asciiTheme="minorEastAsia" w:hAnsiTheme="minorEastAsia" w:eastAsiaTheme="minorEastAsia" w:cstheme="minorEastAsia"/>
          <w:color w:val="auto"/>
          <w:sz w:val="21"/>
          <w:szCs w:val="21"/>
          <w:highlight w:val="none"/>
        </w:rPr>
        <w:t>保证金</w:t>
      </w:r>
      <w:r>
        <w:rPr>
          <w:rFonts w:hint="eastAsia" w:asciiTheme="minorEastAsia" w:hAnsiTheme="minorEastAsia" w:eastAsiaTheme="minorEastAsia" w:cstheme="minorEastAsia"/>
          <w:color w:val="auto"/>
          <w:sz w:val="21"/>
          <w:szCs w:val="21"/>
          <w:highlight w:val="none"/>
          <w:lang w:eastAsia="zh-CN"/>
        </w:rPr>
        <w:t>；</w:t>
      </w:r>
    </w:p>
    <w:p w14:paraId="448E6E9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6.供应商有下列情形之一的，</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人或者</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代理机构可以不退还</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保证金:</w:t>
      </w:r>
    </w:p>
    <w:p w14:paraId="276990F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6.1 供应商在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有效期</w:t>
      </w:r>
      <w:r>
        <w:rPr>
          <w:rFonts w:hint="eastAsia" w:asciiTheme="minorEastAsia" w:hAnsiTheme="minorEastAsia" w:eastAsiaTheme="minorEastAsia" w:cstheme="minorEastAsia"/>
          <w:color w:val="auto"/>
          <w:sz w:val="21"/>
          <w:szCs w:val="21"/>
          <w:highlight w:val="none"/>
          <w:lang w:eastAsia="zh-CN"/>
        </w:rPr>
        <w:t>内</w:t>
      </w:r>
      <w:r>
        <w:rPr>
          <w:rFonts w:hint="eastAsia" w:asciiTheme="minorEastAsia" w:hAnsiTheme="minorEastAsia" w:eastAsiaTheme="minorEastAsia" w:cstheme="minorEastAsia"/>
          <w:color w:val="auto"/>
          <w:sz w:val="21"/>
          <w:szCs w:val="21"/>
          <w:highlight w:val="none"/>
        </w:rPr>
        <w:t>撤回</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w:t>
      </w:r>
      <w:r>
        <w:rPr>
          <w:rFonts w:hint="eastAsia" w:asciiTheme="minorEastAsia" w:hAnsiTheme="minorEastAsia" w:eastAsiaTheme="minorEastAsia" w:cstheme="minorEastAsia"/>
          <w:color w:val="auto"/>
          <w:sz w:val="21"/>
          <w:szCs w:val="21"/>
          <w:highlight w:val="none"/>
          <w:lang w:eastAsia="zh-CN"/>
        </w:rPr>
        <w:t>；</w:t>
      </w:r>
    </w:p>
    <w:p w14:paraId="6051350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6.2 供应商在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过程中弄虚作假，提供虚假材料的</w:t>
      </w:r>
      <w:r>
        <w:rPr>
          <w:rFonts w:hint="eastAsia" w:asciiTheme="minorEastAsia" w:hAnsiTheme="minorEastAsia" w:eastAsiaTheme="minorEastAsia" w:cstheme="minorEastAsia"/>
          <w:color w:val="auto"/>
          <w:sz w:val="21"/>
          <w:szCs w:val="21"/>
          <w:highlight w:val="none"/>
          <w:lang w:eastAsia="zh-CN"/>
        </w:rPr>
        <w:t>；</w:t>
      </w:r>
    </w:p>
    <w:p w14:paraId="7B928E0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xml:space="preserve"> 中标人无正当理由不与</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人签订合同的</w:t>
      </w:r>
      <w:r>
        <w:rPr>
          <w:rFonts w:hint="eastAsia" w:asciiTheme="minorEastAsia" w:hAnsiTheme="minorEastAsia" w:eastAsiaTheme="minorEastAsia" w:cstheme="minorEastAsia"/>
          <w:color w:val="auto"/>
          <w:sz w:val="21"/>
          <w:szCs w:val="21"/>
          <w:highlight w:val="none"/>
          <w:lang w:eastAsia="zh-CN"/>
        </w:rPr>
        <w:t>；</w:t>
      </w:r>
    </w:p>
    <w:p w14:paraId="2B7FECED">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 中标人将中标项目转让给他人或者在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文件中未说明且未经</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人同意，将中标项目分包给他人的</w:t>
      </w:r>
      <w:r>
        <w:rPr>
          <w:rFonts w:hint="eastAsia" w:asciiTheme="minorEastAsia" w:hAnsiTheme="minorEastAsia" w:eastAsiaTheme="minorEastAsia" w:cstheme="minorEastAsia"/>
          <w:color w:val="auto"/>
          <w:sz w:val="21"/>
          <w:szCs w:val="21"/>
          <w:highlight w:val="none"/>
          <w:lang w:eastAsia="zh-CN"/>
        </w:rPr>
        <w:t>；</w:t>
      </w:r>
    </w:p>
    <w:p w14:paraId="1F5DC0A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中标人拒绝履行合同义务的</w:t>
      </w:r>
      <w:r>
        <w:rPr>
          <w:rFonts w:hint="eastAsia" w:asciiTheme="minorEastAsia" w:hAnsiTheme="minorEastAsia" w:eastAsiaTheme="minorEastAsia" w:cstheme="minorEastAsia"/>
          <w:color w:val="auto"/>
          <w:sz w:val="21"/>
          <w:szCs w:val="21"/>
          <w:highlight w:val="none"/>
          <w:lang w:eastAsia="zh-CN"/>
        </w:rPr>
        <w:t>；</w:t>
      </w:r>
    </w:p>
    <w:p w14:paraId="443ABD8C">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其他严重扰乱招</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程序的。</w:t>
      </w:r>
    </w:p>
    <w:p w14:paraId="113D232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（五）</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文件的份数和签</w:t>
      </w:r>
      <w:r>
        <w:rPr>
          <w:rFonts w:hint="eastAsia" w:asciiTheme="minorEastAsia" w:hAnsiTheme="minorEastAsia" w:eastAsiaTheme="minorEastAsia" w:cstheme="minorEastAsia"/>
          <w:color w:val="auto"/>
          <w:sz w:val="21"/>
          <w:szCs w:val="21"/>
          <w:highlight w:val="none"/>
          <w:lang w:eastAsia="zh-CN"/>
        </w:rPr>
        <w:t>字</w:t>
      </w:r>
    </w:p>
    <w:p w14:paraId="2186CAD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文件一式</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份，其中正本一份，副本</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份，电子文档一份(电子文档内容应与</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文件正本一致，推荐采用光盘或U盘为文件载体)。每套纸质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文件须在封面清楚地标明“正本”、“副本”或“电子文档”，副本应为正本的完整复印件，副本与正本不一致时以正本为准。</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文件电子文档与纸质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文件正本不一致时，以纸质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文件正</w:t>
      </w:r>
      <w:r>
        <w:rPr>
          <w:rFonts w:hint="eastAsia" w:asciiTheme="minorEastAsia" w:hAnsiTheme="minorEastAsia" w:eastAsiaTheme="minorEastAsia" w:cstheme="minorEastAsia"/>
          <w:color w:val="auto"/>
          <w:sz w:val="21"/>
          <w:szCs w:val="21"/>
          <w:highlight w:val="none"/>
          <w:lang w:eastAsia="zh-CN"/>
        </w:rPr>
        <w:t>本为准；</w:t>
      </w:r>
    </w:p>
    <w:p w14:paraId="7F0AB54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文件正本中，</w:t>
      </w:r>
      <w:r>
        <w:rPr>
          <w:rFonts w:hint="eastAsia" w:asciiTheme="minorEastAsia" w:hAnsiTheme="minorEastAsia" w:eastAsiaTheme="minorEastAsia" w:cstheme="minorEastAsia"/>
          <w:color w:val="auto"/>
          <w:sz w:val="21"/>
          <w:szCs w:val="21"/>
          <w:highlight w:val="none"/>
          <w:lang w:eastAsia="zh-CN"/>
        </w:rPr>
        <w:t>比选文件第七篇竞标</w:t>
      </w:r>
      <w:r>
        <w:rPr>
          <w:rFonts w:hint="eastAsia" w:asciiTheme="minorEastAsia" w:hAnsiTheme="minorEastAsia" w:eastAsiaTheme="minorEastAsia" w:cstheme="minorEastAsia"/>
          <w:color w:val="auto"/>
          <w:sz w:val="21"/>
          <w:szCs w:val="21"/>
          <w:highlight w:val="none"/>
        </w:rPr>
        <w:t>文件格式中规定签字、盖章的地方必须</w:t>
      </w:r>
      <w:r>
        <w:rPr>
          <w:rFonts w:hint="eastAsia" w:asciiTheme="minorEastAsia" w:hAnsiTheme="minorEastAsia" w:eastAsiaTheme="minorEastAsia" w:cstheme="minorEastAsia"/>
          <w:color w:val="auto"/>
          <w:sz w:val="21"/>
          <w:szCs w:val="21"/>
          <w:highlight w:val="none"/>
          <w:lang w:eastAsia="zh-CN"/>
        </w:rPr>
        <w:t>按规定签字盖章；</w:t>
      </w:r>
    </w:p>
    <w:p w14:paraId="587CF68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3.若供应商对</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文件的错处作必要修改，则应在修改处加盖供应商公章或由法定代其规定签字、盖章</w:t>
      </w:r>
      <w:r>
        <w:rPr>
          <w:rFonts w:hint="eastAsia" w:asciiTheme="minorEastAsia" w:hAnsiTheme="minorEastAsia" w:eastAsiaTheme="minorEastAsia" w:cstheme="minorEastAsia"/>
          <w:color w:val="auto"/>
          <w:sz w:val="21"/>
          <w:szCs w:val="21"/>
          <w:highlight w:val="none"/>
          <w:lang w:eastAsia="zh-CN"/>
        </w:rPr>
        <w:t>；</w:t>
      </w:r>
    </w:p>
    <w:p w14:paraId="2F8C8D6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4.电报、电话、传真形式的</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文件概不接受</w:t>
      </w:r>
      <w:r>
        <w:rPr>
          <w:rFonts w:hint="eastAsia" w:asciiTheme="minorEastAsia" w:hAnsiTheme="minorEastAsia" w:eastAsiaTheme="minorEastAsia" w:cstheme="minorEastAsia"/>
          <w:color w:val="auto"/>
          <w:sz w:val="21"/>
          <w:szCs w:val="21"/>
          <w:highlight w:val="none"/>
          <w:lang w:val="en-US" w:eastAsia="zh-CN"/>
        </w:rPr>
        <w:t>。</w:t>
      </w:r>
    </w:p>
    <w:p w14:paraId="7857DB03">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(六) </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w:t>
      </w:r>
    </w:p>
    <w:p w14:paraId="1202DEA7">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1.供应商应严格按照“</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文件格式”中“</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报价函”和“分项报价明细表”</w:t>
      </w:r>
      <w:r>
        <w:rPr>
          <w:rFonts w:hint="eastAsia" w:asciiTheme="minorEastAsia" w:hAnsiTheme="minorEastAsia" w:eastAsiaTheme="minorEastAsia" w:cstheme="minorEastAsia"/>
          <w:color w:val="auto"/>
          <w:sz w:val="21"/>
          <w:szCs w:val="21"/>
          <w:highlight w:val="none"/>
          <w:lang w:eastAsia="zh-CN"/>
        </w:rPr>
        <w:t>的格式</w:t>
      </w:r>
      <w:r>
        <w:rPr>
          <w:rFonts w:hint="eastAsia" w:asciiTheme="minorEastAsia" w:hAnsiTheme="minorEastAsia" w:eastAsiaTheme="minorEastAsia" w:cstheme="minorEastAsia"/>
          <w:color w:val="auto"/>
          <w:sz w:val="21"/>
          <w:szCs w:val="21"/>
          <w:highlight w:val="none"/>
        </w:rPr>
        <w:t>填写报价</w:t>
      </w:r>
      <w:r>
        <w:rPr>
          <w:rFonts w:hint="eastAsia" w:asciiTheme="minorEastAsia" w:hAnsiTheme="minorEastAsia" w:eastAsiaTheme="minorEastAsia" w:cstheme="minorEastAsia"/>
          <w:color w:val="auto"/>
          <w:sz w:val="21"/>
          <w:szCs w:val="21"/>
          <w:highlight w:val="none"/>
          <w:lang w:eastAsia="zh-CN"/>
        </w:rPr>
        <w:t>；</w:t>
      </w:r>
    </w:p>
    <w:p w14:paraId="2E7FE9E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2.供应商的报价为一次性报价，即在</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有效期内</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价格固定不变</w:t>
      </w:r>
      <w:r>
        <w:rPr>
          <w:rFonts w:hint="eastAsia" w:asciiTheme="minorEastAsia" w:hAnsiTheme="minorEastAsia" w:eastAsiaTheme="minorEastAsia" w:cstheme="minorEastAsia"/>
          <w:color w:val="auto"/>
          <w:sz w:val="21"/>
          <w:szCs w:val="21"/>
          <w:highlight w:val="none"/>
          <w:lang w:eastAsia="zh-CN"/>
        </w:rPr>
        <w:t>；</w:t>
      </w:r>
    </w:p>
    <w:p w14:paraId="43A80BC3">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3.本项目只接受一个</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报价，有选择的或有条件的报价将不予接受</w:t>
      </w:r>
      <w:r>
        <w:rPr>
          <w:rFonts w:hint="eastAsia" w:asciiTheme="minorEastAsia" w:hAnsiTheme="minorEastAsia" w:eastAsiaTheme="minorEastAsia" w:cstheme="minorEastAsia"/>
          <w:color w:val="auto"/>
          <w:sz w:val="21"/>
          <w:szCs w:val="21"/>
          <w:highlight w:val="none"/>
          <w:lang w:eastAsia="zh-CN"/>
        </w:rPr>
        <w:t>。</w:t>
      </w:r>
    </w:p>
    <w:p w14:paraId="564E2EA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(七)修正错误</w:t>
      </w:r>
    </w:p>
    <w:p w14:paraId="1485115B">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文件出现计算或表达上的错误，修正错误的原则如下:</w:t>
      </w:r>
    </w:p>
    <w:p w14:paraId="29CDF54B">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文件中</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报价函(报价表)内容与</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文件中相应内容不一致的，以</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报价函(报价表)为准</w:t>
      </w:r>
      <w:r>
        <w:rPr>
          <w:rFonts w:hint="eastAsia" w:asciiTheme="minorEastAsia" w:hAnsiTheme="minorEastAsia" w:eastAsiaTheme="minorEastAsia" w:cstheme="minorEastAsia"/>
          <w:color w:val="auto"/>
          <w:sz w:val="21"/>
          <w:szCs w:val="21"/>
          <w:highlight w:val="none"/>
          <w:lang w:eastAsia="zh-CN"/>
        </w:rPr>
        <w:t>；</w:t>
      </w:r>
    </w:p>
    <w:p w14:paraId="1C929E7B">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大写金额和小写金额不一致的，以大写金额为准</w:t>
      </w:r>
      <w:r>
        <w:rPr>
          <w:rFonts w:hint="eastAsia" w:asciiTheme="minorEastAsia" w:hAnsiTheme="minorEastAsia" w:eastAsiaTheme="minorEastAsia" w:cstheme="minorEastAsia"/>
          <w:color w:val="auto"/>
          <w:sz w:val="21"/>
          <w:szCs w:val="21"/>
          <w:highlight w:val="none"/>
          <w:lang w:eastAsia="zh-CN"/>
        </w:rPr>
        <w:t>；</w:t>
      </w:r>
    </w:p>
    <w:p w14:paraId="1E74FC57">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单价金额小数点或者百分比有明显错位的，以</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报价函的总价为准，并修改单价</w:t>
      </w:r>
      <w:r>
        <w:rPr>
          <w:rFonts w:hint="eastAsia" w:asciiTheme="minorEastAsia" w:hAnsiTheme="minorEastAsia" w:eastAsiaTheme="minorEastAsia" w:cstheme="minorEastAsia"/>
          <w:color w:val="auto"/>
          <w:sz w:val="21"/>
          <w:szCs w:val="21"/>
          <w:highlight w:val="none"/>
          <w:lang w:eastAsia="zh-CN"/>
        </w:rPr>
        <w:t>；</w:t>
      </w:r>
    </w:p>
    <w:p w14:paraId="5D24CEA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总价金额与按单价汇总金额不一致的，以单价金额计算结果为准。</w:t>
      </w:r>
    </w:p>
    <w:p w14:paraId="20DBA43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评标委员会按上述修正错误的原则及方法调整或修正供应商</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报价，若同时出现两种以上不一致的，按照前款规定的顺序修正，供应商同意并签字确认后，调整后的</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报价对供应商具有约束作用。如果供应商不接受修正后的报价，则其</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将作为无效</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处理。</w:t>
      </w:r>
    </w:p>
    <w:p w14:paraId="299C018B">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文件的递交</w:t>
      </w:r>
    </w:p>
    <w:p w14:paraId="165F9D7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文件的正本、副本以及电子文档均应密封送达</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地点，应在封套上注明项目名称、供应商名称。若正本、副本以及电子文档分别进行密封的，还应在封套上注明“正本”“副本”、“电子文档”字样。</w:t>
      </w:r>
    </w:p>
    <w:p w14:paraId="495AD298">
      <w:pPr>
        <w:pStyle w:val="3"/>
        <w:pageBreakBefore w:val="0"/>
        <w:widowControl w:val="0"/>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四、开标</w:t>
      </w:r>
    </w:p>
    <w:p w14:paraId="2D162E4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开标应当在</w:t>
      </w:r>
      <w:r>
        <w:rPr>
          <w:rFonts w:hint="eastAsia" w:asciiTheme="minorEastAsia" w:hAnsiTheme="minorEastAsia" w:eastAsiaTheme="minorEastAsia" w:cstheme="minorEastAsia"/>
          <w:color w:val="auto"/>
          <w:sz w:val="21"/>
          <w:szCs w:val="21"/>
          <w:highlight w:val="none"/>
          <w:lang w:eastAsia="zh-CN"/>
        </w:rPr>
        <w:t>比选</w:t>
      </w:r>
      <w:r>
        <w:rPr>
          <w:rFonts w:hint="eastAsia" w:asciiTheme="minorEastAsia" w:hAnsiTheme="minorEastAsia" w:eastAsiaTheme="minorEastAsia" w:cstheme="minorEastAsia"/>
          <w:color w:val="auto"/>
          <w:sz w:val="21"/>
          <w:szCs w:val="21"/>
          <w:highlight w:val="none"/>
        </w:rPr>
        <w:t>文件中“</w:t>
      </w:r>
      <w:r>
        <w:rPr>
          <w:rFonts w:hint="eastAsia" w:asciiTheme="minorEastAsia" w:hAnsiTheme="minorEastAsia" w:eastAsiaTheme="minorEastAsia" w:cstheme="minorEastAsia"/>
          <w:color w:val="auto"/>
          <w:sz w:val="21"/>
          <w:szCs w:val="21"/>
          <w:highlight w:val="none"/>
          <w:lang w:eastAsia="zh-CN"/>
        </w:rPr>
        <w:t>比选公告</w:t>
      </w:r>
      <w:r>
        <w:rPr>
          <w:rFonts w:hint="eastAsia" w:asciiTheme="minorEastAsia" w:hAnsiTheme="minorEastAsia" w:eastAsiaTheme="minorEastAsia" w:cstheme="minorEastAsia"/>
          <w:color w:val="auto"/>
          <w:sz w:val="21"/>
          <w:szCs w:val="21"/>
          <w:highlight w:val="none"/>
        </w:rPr>
        <w:t>”确定的时间和地点公开进行。</w:t>
      </w:r>
    </w:p>
    <w:p w14:paraId="145D8F56">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代理机构可视采购具体情况，延长</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截止时间和开标时间，并将变更时间书面通知所有</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收受人。</w:t>
      </w:r>
    </w:p>
    <w:p w14:paraId="59D61411">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开标由</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代理机构主持，邀请供应商和有关监督部门代表参加,有关监督部门可视情况派员现场监督。</w:t>
      </w:r>
    </w:p>
    <w:p w14:paraId="7F7FD033">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开标时，由供应商或者其推选的代表检查</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经确认无误后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人或者</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代理机构工作人员当众拆封，宣布供应商名称、</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价格和《</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报价函》规定的需要宣布的其他内容。供应商不足三家的，不得开标。</w:t>
      </w:r>
    </w:p>
    <w:p w14:paraId="4D0B897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未宣读的</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价格、价格折扣和</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允许提供的备选</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方案等实质性内容等，评标时不予承认。</w:t>
      </w:r>
    </w:p>
    <w:p w14:paraId="38D0877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开标过程应由</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代理机构指定专人负责记录，并存档备查。</w:t>
      </w:r>
    </w:p>
    <w:p w14:paraId="0738DE76">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供应商未参加开标的，视同认可开标结果。</w:t>
      </w:r>
    </w:p>
    <w:p w14:paraId="3CB4C5F3">
      <w:pPr>
        <w:pStyle w:val="3"/>
        <w:pageBreakBefore w:val="0"/>
        <w:widowControl w:val="0"/>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五、</w:t>
      </w:r>
      <w:r>
        <w:rPr>
          <w:rFonts w:hint="eastAsia" w:asciiTheme="minorEastAsia" w:hAnsiTheme="minorEastAsia" w:eastAsiaTheme="minorEastAsia" w:cstheme="minorEastAsia"/>
          <w:b/>
          <w:bCs/>
          <w:color w:val="auto"/>
          <w:sz w:val="21"/>
          <w:szCs w:val="21"/>
          <w:highlight w:val="none"/>
        </w:rPr>
        <w:t>评标</w:t>
      </w:r>
    </w:p>
    <w:p w14:paraId="10E5518D">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见第四篇“评标”内容。</w:t>
      </w:r>
    </w:p>
    <w:p w14:paraId="07D18E7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评标委员会的组成:将由</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人依法组建。</w:t>
      </w:r>
    </w:p>
    <w:p w14:paraId="525480F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人或其授权的评标委员会应按照评标报告中推荐的中标候选人排名顺序确定中标</w:t>
      </w:r>
      <w:r>
        <w:rPr>
          <w:rFonts w:hint="eastAsia" w:asciiTheme="minorEastAsia" w:hAnsiTheme="minorEastAsia" w:eastAsiaTheme="minorEastAsia" w:cstheme="minorEastAsia"/>
          <w:color w:val="auto"/>
          <w:sz w:val="21"/>
          <w:szCs w:val="21"/>
          <w:highlight w:val="none"/>
          <w:lang w:eastAsia="zh-CN"/>
        </w:rPr>
        <w:t>人。</w:t>
      </w:r>
    </w:p>
    <w:p w14:paraId="01913ADD">
      <w:pPr>
        <w:pStyle w:val="3"/>
        <w:pageBreakBefore w:val="0"/>
        <w:widowControl w:val="0"/>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六、定标</w:t>
      </w:r>
    </w:p>
    <w:p w14:paraId="33751072">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定标</w:t>
      </w:r>
      <w:r>
        <w:rPr>
          <w:rFonts w:hint="eastAsia" w:asciiTheme="minorEastAsia" w:hAnsiTheme="minorEastAsia" w:eastAsiaTheme="minorEastAsia" w:cstheme="minorEastAsia"/>
          <w:color w:val="auto"/>
          <w:sz w:val="21"/>
          <w:szCs w:val="21"/>
          <w:highlight w:val="none"/>
          <w:lang w:eastAsia="zh-CN"/>
        </w:rPr>
        <w:t>程序：</w:t>
      </w:r>
      <w:r>
        <w:rPr>
          <w:rFonts w:hint="eastAsia" w:asciiTheme="minorEastAsia" w:hAnsiTheme="minorEastAsia" w:eastAsiaTheme="minorEastAsia" w:cstheme="minorEastAsia"/>
          <w:color w:val="auto"/>
          <w:sz w:val="21"/>
          <w:szCs w:val="21"/>
          <w:highlight w:val="none"/>
        </w:rPr>
        <w:t>中标候选人并列的，由</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人或者</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人委托评标委员会按照技术需求的优劣顺序排列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技术需求优劣顺序相同的，按商务条款的优劣顺序排列确定中标人。</w:t>
      </w:r>
    </w:p>
    <w:p w14:paraId="58D2AC4A">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定标原则</w:t>
      </w:r>
    </w:p>
    <w:p w14:paraId="38A336E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代理机构应当在评标结束后2个工作日内将评标报告送采购人</w:t>
      </w:r>
      <w:r>
        <w:rPr>
          <w:rFonts w:hint="eastAsia" w:asciiTheme="minorEastAsia" w:hAnsiTheme="minorEastAsia" w:eastAsiaTheme="minorEastAsia" w:cstheme="minorEastAsia"/>
          <w:color w:val="auto"/>
          <w:sz w:val="21"/>
          <w:szCs w:val="21"/>
          <w:highlight w:val="none"/>
          <w:lang w:eastAsia="zh-CN"/>
        </w:rPr>
        <w:t>；</w:t>
      </w:r>
    </w:p>
    <w:p w14:paraId="7C423BF1">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人应当自收到评标报告之日起5个工作日内按评标报告推荐的中标候选人顺序确定中标人</w:t>
      </w:r>
      <w:r>
        <w:rPr>
          <w:rFonts w:hint="eastAsia" w:asciiTheme="minorEastAsia" w:hAnsiTheme="minorEastAsia" w:eastAsiaTheme="minorEastAsia" w:cstheme="minorEastAsia"/>
          <w:color w:val="auto"/>
          <w:sz w:val="21"/>
          <w:szCs w:val="21"/>
          <w:highlight w:val="none"/>
          <w:lang w:eastAsia="zh-CN"/>
        </w:rPr>
        <w:t>；</w:t>
      </w:r>
    </w:p>
    <w:p w14:paraId="05C2A1F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人或者</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代理机构应当自中标人确定之日起2个工作日内，在行采家（https://www.gec123.com）</w:t>
      </w:r>
      <w:r>
        <w:rPr>
          <w:rFonts w:hint="eastAsia" w:asciiTheme="minorEastAsia" w:hAnsiTheme="minorEastAsia" w:eastAsiaTheme="minorEastAsia" w:cstheme="minorEastAsia"/>
          <w:color w:val="auto"/>
          <w:sz w:val="21"/>
          <w:szCs w:val="21"/>
          <w:highlight w:val="none"/>
          <w:lang w:eastAsia="zh-CN"/>
        </w:rPr>
        <w:t>网上发布</w:t>
      </w:r>
      <w:r>
        <w:rPr>
          <w:rFonts w:hint="eastAsia" w:asciiTheme="minorEastAsia" w:hAnsiTheme="minorEastAsia" w:eastAsiaTheme="minorEastAsia" w:cstheme="minorEastAsia"/>
          <w:color w:val="auto"/>
          <w:sz w:val="21"/>
          <w:szCs w:val="21"/>
          <w:highlight w:val="none"/>
        </w:rPr>
        <w:t>。中标公告期限为1个工作日</w:t>
      </w:r>
      <w:r>
        <w:rPr>
          <w:rFonts w:hint="eastAsia" w:asciiTheme="minorEastAsia" w:hAnsiTheme="minorEastAsia" w:eastAsiaTheme="minorEastAsia" w:cstheme="minorEastAsia"/>
          <w:color w:val="auto"/>
          <w:sz w:val="21"/>
          <w:szCs w:val="21"/>
          <w:highlight w:val="none"/>
          <w:lang w:eastAsia="zh-CN"/>
        </w:rPr>
        <w:t>；</w:t>
      </w:r>
    </w:p>
    <w:p w14:paraId="24A2C66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4.中标人变更</w:t>
      </w:r>
    </w:p>
    <w:p w14:paraId="0763778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中标人拒绝与采购人签订合同的，</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人可以按照评标报告推荐的中标候选人顺序确定排名下一位的候选人为中标人，也可以重新开展</w:t>
      </w:r>
      <w:r>
        <w:rPr>
          <w:rFonts w:hint="eastAsia" w:asciiTheme="minorEastAsia" w:hAnsiTheme="minorEastAsia" w:eastAsiaTheme="minorEastAsia" w:cstheme="minorEastAsia"/>
          <w:color w:val="auto"/>
          <w:sz w:val="21"/>
          <w:szCs w:val="21"/>
          <w:highlight w:val="none"/>
          <w:lang w:eastAsia="zh-CN"/>
        </w:rPr>
        <w:t>采购比选</w:t>
      </w:r>
      <w:r>
        <w:rPr>
          <w:rFonts w:hint="eastAsia" w:asciiTheme="minorEastAsia" w:hAnsiTheme="minorEastAsia" w:eastAsiaTheme="minorEastAsia" w:cstheme="minorEastAsia"/>
          <w:color w:val="auto"/>
          <w:sz w:val="21"/>
          <w:szCs w:val="21"/>
          <w:highlight w:val="none"/>
        </w:rPr>
        <w:t>活动。</w:t>
      </w:r>
    </w:p>
    <w:p w14:paraId="3DAA13FD">
      <w:pPr>
        <w:pStyle w:val="3"/>
        <w:pageBreakBefore w:val="0"/>
        <w:widowControl w:val="0"/>
        <w:numPr>
          <w:ilvl w:val="-1"/>
          <w:numId w:val="0"/>
        </w:numPr>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七、</w:t>
      </w:r>
      <w:r>
        <w:rPr>
          <w:rFonts w:hint="eastAsia" w:asciiTheme="minorEastAsia" w:hAnsiTheme="minorEastAsia" w:eastAsiaTheme="minorEastAsia" w:cstheme="minorEastAsia"/>
          <w:b/>
          <w:bCs/>
          <w:color w:val="auto"/>
          <w:sz w:val="21"/>
          <w:szCs w:val="21"/>
          <w:highlight w:val="none"/>
        </w:rPr>
        <w:t>中标</w:t>
      </w:r>
    </w:p>
    <w:p w14:paraId="318CEDA7">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人依法确定中标人后，</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代理机构以书面形式发出</w:t>
      </w:r>
      <w:r>
        <w:rPr>
          <w:rFonts w:hint="eastAsia" w:asciiTheme="minorEastAsia" w:hAnsiTheme="minorEastAsia" w:eastAsiaTheme="minorEastAsia" w:cstheme="minorEastAsia"/>
          <w:color w:val="auto"/>
          <w:sz w:val="21"/>
          <w:szCs w:val="21"/>
          <w:highlight w:val="none"/>
          <w:lang w:val="en-US" w:eastAsia="zh-CN"/>
        </w:rPr>
        <w:t>中选</w:t>
      </w:r>
      <w:r>
        <w:rPr>
          <w:rFonts w:hint="eastAsia" w:asciiTheme="minorEastAsia" w:hAnsiTheme="minorEastAsia" w:eastAsiaTheme="minorEastAsia" w:cstheme="minorEastAsia"/>
          <w:color w:val="auto"/>
          <w:sz w:val="21"/>
          <w:szCs w:val="21"/>
          <w:highlight w:val="none"/>
          <w:lang w:eastAsia="zh-CN"/>
        </w:rPr>
        <w:t>通知书。</w:t>
      </w:r>
    </w:p>
    <w:p w14:paraId="15D3781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lang w:val="en-US" w:eastAsia="zh-CN"/>
        </w:rPr>
        <w:t>中选</w:t>
      </w:r>
      <w:r>
        <w:rPr>
          <w:rFonts w:hint="eastAsia" w:asciiTheme="minorEastAsia" w:hAnsiTheme="minorEastAsia" w:eastAsiaTheme="minorEastAsia" w:cstheme="minorEastAsia"/>
          <w:color w:val="auto"/>
          <w:sz w:val="21"/>
          <w:szCs w:val="21"/>
          <w:highlight w:val="none"/>
          <w:lang w:eastAsia="zh-CN"/>
        </w:rPr>
        <w:t>通知书</w:t>
      </w:r>
      <w:r>
        <w:rPr>
          <w:rFonts w:hint="eastAsia" w:asciiTheme="minorEastAsia" w:hAnsiTheme="minorEastAsia" w:eastAsiaTheme="minorEastAsia" w:cstheme="minorEastAsia"/>
          <w:color w:val="auto"/>
          <w:sz w:val="21"/>
          <w:szCs w:val="21"/>
          <w:highlight w:val="none"/>
        </w:rPr>
        <w:t>发出后，</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人改变中标结果，或者中标人放弃中标，应当承担相应的法律责任。</w:t>
      </w:r>
    </w:p>
    <w:p w14:paraId="0824D50D">
      <w:pPr>
        <w:pStyle w:val="3"/>
        <w:pageBreakBefore w:val="0"/>
        <w:widowControl w:val="0"/>
        <w:numPr>
          <w:ilvl w:val="-1"/>
          <w:numId w:val="0"/>
        </w:numPr>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sz w:val="21"/>
          <w:szCs w:val="21"/>
          <w:highlight w:val="none"/>
        </w:rPr>
        <w:t>询问、质疑和投诉</w:t>
      </w:r>
    </w:p>
    <w:p w14:paraId="07D777A3">
      <w:pPr>
        <w:pageBreakBefore w:val="0"/>
        <w:widowControl w:val="0"/>
        <w:numPr>
          <w:ilvl w:val="0"/>
          <w:numId w:val="0"/>
        </w:numPr>
        <w:shd w:val="clear"/>
        <w:kinsoku/>
        <w:wordWrap/>
        <w:overflowPunct/>
        <w:topLinePunct w:val="0"/>
        <w:autoSpaceDE/>
        <w:autoSpaceDN/>
        <w:bidi w:val="0"/>
        <w:adjustRightInd w:val="0"/>
        <w:snapToGrid w:val="0"/>
        <w:spacing w:beforeLines="0" w:afterLines="0" w:line="520" w:lineRule="exact"/>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询问</w:t>
      </w:r>
    </w:p>
    <w:p w14:paraId="6832A8D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人或者</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代理机构应当在3个工作日内对供应商依法提出的询问作出答复。投资询问可以是口头或书面形式。</w:t>
      </w:r>
    </w:p>
    <w:p w14:paraId="1AE7190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质疑</w:t>
      </w:r>
    </w:p>
    <w:p w14:paraId="5FC5B66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供应商认为</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文件、采购过程和中标结果使自己的权益受到伤害的，可向</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人或</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代理机构以书面形式提出质疑。</w:t>
      </w:r>
    </w:p>
    <w:p w14:paraId="60035871">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提出质疑的应当是参与所质疑项目采购活动的供应商。</w:t>
      </w:r>
    </w:p>
    <w:p w14:paraId="1606ABD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1.质疑时限、内容</w:t>
      </w:r>
    </w:p>
    <w:p w14:paraId="2E58F27A">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 供应商对</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提出质疑的，应在依法获取</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之日或者</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公告期限届满之日起七个工作日内提出</w:t>
      </w:r>
      <w:r>
        <w:rPr>
          <w:rFonts w:hint="eastAsia" w:asciiTheme="minorEastAsia" w:hAnsiTheme="minorEastAsia" w:eastAsiaTheme="minorEastAsia" w:cstheme="minorEastAsia"/>
          <w:color w:val="auto"/>
          <w:sz w:val="21"/>
          <w:szCs w:val="21"/>
          <w:highlight w:val="none"/>
          <w:lang w:eastAsia="zh-CN"/>
        </w:rPr>
        <w:t>；</w:t>
      </w:r>
    </w:p>
    <w:p w14:paraId="4D1758E1">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 供应商对采购过程提出质疑的，应在各采购程序环节结束之日起七个工作日内提出</w:t>
      </w:r>
      <w:r>
        <w:rPr>
          <w:rFonts w:hint="eastAsia" w:asciiTheme="minorEastAsia" w:hAnsiTheme="minorEastAsia" w:eastAsiaTheme="minorEastAsia" w:cstheme="minorEastAsia"/>
          <w:color w:val="auto"/>
          <w:sz w:val="21"/>
          <w:szCs w:val="21"/>
          <w:highlight w:val="none"/>
          <w:lang w:eastAsia="zh-CN"/>
        </w:rPr>
        <w:t>；</w:t>
      </w:r>
    </w:p>
    <w:p w14:paraId="2751BC0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1.3 供应商对中标结果提出质疑的，应当在中标结果公告期限届满之日起七个工作内提出</w:t>
      </w:r>
      <w:r>
        <w:rPr>
          <w:rFonts w:hint="eastAsia" w:asciiTheme="minorEastAsia" w:hAnsiTheme="minorEastAsia" w:eastAsiaTheme="minorEastAsia" w:cstheme="minorEastAsia"/>
          <w:color w:val="auto"/>
          <w:sz w:val="21"/>
          <w:szCs w:val="21"/>
          <w:highlight w:val="none"/>
          <w:lang w:eastAsia="zh-CN"/>
        </w:rPr>
        <w:t>；</w:t>
      </w:r>
    </w:p>
    <w:p w14:paraId="5060341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 供应商提出质疑应当提交质疑函和必要的证明材料，质疑函应当包括下列内容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1.4.1供应商的姓名或者名称、地址、邮编、联系人及联系电话</w:t>
      </w:r>
      <w:r>
        <w:rPr>
          <w:rFonts w:hint="eastAsia" w:asciiTheme="minorEastAsia" w:hAnsiTheme="minorEastAsia" w:eastAsiaTheme="minorEastAsia" w:cstheme="minorEastAsia"/>
          <w:color w:val="auto"/>
          <w:sz w:val="21"/>
          <w:szCs w:val="21"/>
          <w:highlight w:val="none"/>
          <w:lang w:eastAsia="zh-CN"/>
        </w:rPr>
        <w:t>；</w:t>
      </w:r>
    </w:p>
    <w:p w14:paraId="214248BB">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1.4.2质疑项目的名称、项目编号以及采购执行编号</w:t>
      </w:r>
      <w:r>
        <w:rPr>
          <w:rFonts w:hint="eastAsia" w:asciiTheme="minorEastAsia" w:hAnsiTheme="minorEastAsia" w:eastAsiaTheme="minorEastAsia" w:cstheme="minorEastAsia"/>
          <w:color w:val="auto"/>
          <w:sz w:val="21"/>
          <w:szCs w:val="21"/>
          <w:highlight w:val="none"/>
          <w:lang w:eastAsia="zh-CN"/>
        </w:rPr>
        <w:t>；</w:t>
      </w:r>
    </w:p>
    <w:p w14:paraId="5011DA6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1.4.3 具体、明确的质疑事项和与质疑事项相关的请求</w:t>
      </w:r>
      <w:r>
        <w:rPr>
          <w:rFonts w:hint="eastAsia" w:asciiTheme="minorEastAsia" w:hAnsiTheme="minorEastAsia" w:eastAsiaTheme="minorEastAsia" w:cstheme="minorEastAsia"/>
          <w:color w:val="auto"/>
          <w:sz w:val="21"/>
          <w:szCs w:val="21"/>
          <w:highlight w:val="none"/>
          <w:lang w:eastAsia="zh-CN"/>
        </w:rPr>
        <w:t>；</w:t>
      </w:r>
    </w:p>
    <w:p w14:paraId="52241B9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1.4.4事实依据</w:t>
      </w:r>
      <w:r>
        <w:rPr>
          <w:rFonts w:hint="eastAsia" w:asciiTheme="minorEastAsia" w:hAnsiTheme="minorEastAsia" w:eastAsiaTheme="minorEastAsia" w:cstheme="minorEastAsia"/>
          <w:color w:val="auto"/>
          <w:sz w:val="21"/>
          <w:szCs w:val="21"/>
          <w:highlight w:val="none"/>
          <w:lang w:eastAsia="zh-CN"/>
        </w:rPr>
        <w:t>；</w:t>
      </w:r>
    </w:p>
    <w:p w14:paraId="5354C4D8">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1.4.5必要的法律依据</w:t>
      </w:r>
      <w:r>
        <w:rPr>
          <w:rFonts w:hint="eastAsia" w:asciiTheme="minorEastAsia" w:hAnsiTheme="minorEastAsia" w:eastAsiaTheme="minorEastAsia" w:cstheme="minorEastAsia"/>
          <w:color w:val="auto"/>
          <w:sz w:val="21"/>
          <w:szCs w:val="21"/>
          <w:highlight w:val="none"/>
          <w:lang w:eastAsia="zh-CN"/>
        </w:rPr>
        <w:t>；</w:t>
      </w:r>
    </w:p>
    <w:p w14:paraId="006DDD4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1.4.6提出质疑的日期</w:t>
      </w:r>
      <w:r>
        <w:rPr>
          <w:rFonts w:hint="eastAsia" w:asciiTheme="minorEastAsia" w:hAnsiTheme="minorEastAsia" w:eastAsiaTheme="minorEastAsia" w:cstheme="minorEastAsia"/>
          <w:color w:val="auto"/>
          <w:sz w:val="21"/>
          <w:szCs w:val="21"/>
          <w:highlight w:val="none"/>
          <w:lang w:eastAsia="zh-CN"/>
        </w:rPr>
        <w:t>；</w:t>
      </w:r>
    </w:p>
    <w:p w14:paraId="0EEAFD19">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1.4.7 营业执照(或事业单位法人证书，或个体工商户营业执照或有效的自然人身份证明)复印件</w:t>
      </w:r>
      <w:r>
        <w:rPr>
          <w:rFonts w:hint="eastAsia" w:asciiTheme="minorEastAsia" w:hAnsiTheme="minorEastAsia" w:eastAsiaTheme="minorEastAsia" w:cstheme="minorEastAsia"/>
          <w:color w:val="auto"/>
          <w:sz w:val="21"/>
          <w:szCs w:val="21"/>
          <w:highlight w:val="none"/>
          <w:lang w:eastAsia="zh-CN"/>
        </w:rPr>
        <w:t>；</w:t>
      </w:r>
    </w:p>
    <w:p w14:paraId="2F1C54F5">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1.4.8 法定代表人授权委托书原件、法定代表人身份证复印件和其授权代表的身份证复印件(供应商为自然人的提供自然人身份证复印件)</w:t>
      </w:r>
      <w:r>
        <w:rPr>
          <w:rFonts w:hint="eastAsia" w:asciiTheme="minorEastAsia" w:hAnsiTheme="minorEastAsia" w:eastAsiaTheme="minorEastAsia" w:cstheme="minorEastAsia"/>
          <w:color w:val="auto"/>
          <w:sz w:val="21"/>
          <w:szCs w:val="21"/>
          <w:highlight w:val="none"/>
          <w:lang w:eastAsia="zh-CN"/>
        </w:rPr>
        <w:t>；</w:t>
      </w:r>
    </w:p>
    <w:p w14:paraId="0F14526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1.5 供应商为自然人的，质疑函应当由本人签字，供应商为法人或者其他组织的质疑函应当由法定代表人、主要负责人，或者其授权代表签字或者盖章，并加盖公章</w:t>
      </w:r>
      <w:r>
        <w:rPr>
          <w:rFonts w:hint="eastAsia" w:asciiTheme="minorEastAsia" w:hAnsiTheme="minorEastAsia" w:eastAsiaTheme="minorEastAsia" w:cstheme="minorEastAsia"/>
          <w:color w:val="auto"/>
          <w:sz w:val="21"/>
          <w:szCs w:val="21"/>
          <w:highlight w:val="none"/>
          <w:lang w:eastAsia="zh-CN"/>
        </w:rPr>
        <w:t>。</w:t>
      </w:r>
    </w:p>
    <w:p w14:paraId="23CBDCB8">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2.质疑答复</w:t>
      </w:r>
    </w:p>
    <w:p w14:paraId="54EA001A">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代理机构应当在收到供应商的书面质疑后七个工作日内作出答复，并以书面形式通知质疑供应商和其他有关供应商。</w:t>
      </w:r>
    </w:p>
    <w:p w14:paraId="48C7C443">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3.其他</w:t>
      </w:r>
    </w:p>
    <w:p w14:paraId="2967982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3.1 供应商应按照《政府采购质疑和投诉办法》(财政部令第 94号及相关法律法规要求，在法定质疑期内一次性提出针对同一采购程序环节的质疑</w:t>
      </w:r>
      <w:r>
        <w:rPr>
          <w:rFonts w:hint="eastAsia" w:asciiTheme="minorEastAsia" w:hAnsiTheme="minorEastAsia" w:eastAsiaTheme="minorEastAsia" w:cstheme="minorEastAsia"/>
          <w:color w:val="auto"/>
          <w:sz w:val="21"/>
          <w:szCs w:val="21"/>
          <w:highlight w:val="none"/>
          <w:lang w:eastAsia="zh-CN"/>
        </w:rPr>
        <w:t>；</w:t>
      </w:r>
    </w:p>
    <w:p w14:paraId="5C1E83FB">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3.2质疑函范本可在财政部门户网站和中国政府采购网下载</w:t>
      </w:r>
      <w:r>
        <w:rPr>
          <w:rFonts w:hint="eastAsia" w:asciiTheme="minorEastAsia" w:hAnsiTheme="minorEastAsia" w:eastAsiaTheme="minorEastAsia" w:cstheme="minorEastAsia"/>
          <w:color w:val="auto"/>
          <w:sz w:val="21"/>
          <w:szCs w:val="21"/>
          <w:highlight w:val="none"/>
          <w:lang w:eastAsia="zh-CN"/>
        </w:rPr>
        <w:t>。</w:t>
      </w:r>
    </w:p>
    <w:p w14:paraId="44495403">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4.质疑联系方式详见第一篇“联系方式”。</w:t>
      </w:r>
    </w:p>
    <w:p w14:paraId="641990F3">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 投诉</w:t>
      </w:r>
    </w:p>
    <w:p w14:paraId="393FAC7E">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1.供应商对</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代理机构的答复不满意，或者</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代理机构未在规定时间内作出答复的，可以在答复期满后15个工作日内按照相关法律法规向</w:t>
      </w:r>
      <w:r>
        <w:rPr>
          <w:rFonts w:hint="eastAsia" w:asciiTheme="minorEastAsia" w:hAnsiTheme="minorEastAsia" w:eastAsiaTheme="minorEastAsia" w:cstheme="minorEastAsia"/>
          <w:color w:val="auto"/>
          <w:sz w:val="21"/>
          <w:szCs w:val="21"/>
          <w:highlight w:val="none"/>
          <w:lang w:eastAsia="zh-CN"/>
        </w:rPr>
        <w:t>相关部门</w:t>
      </w:r>
      <w:r>
        <w:rPr>
          <w:rFonts w:hint="eastAsia" w:asciiTheme="minorEastAsia" w:hAnsiTheme="minorEastAsia" w:eastAsiaTheme="minorEastAsia" w:cstheme="minorEastAsia"/>
          <w:color w:val="auto"/>
          <w:sz w:val="21"/>
          <w:szCs w:val="21"/>
          <w:highlight w:val="none"/>
        </w:rPr>
        <w:t>提起</w:t>
      </w:r>
    </w:p>
    <w:p w14:paraId="6FEA1AE3">
      <w:pPr>
        <w:pageBreakBefore w:val="0"/>
        <w:widowControl w:val="0"/>
        <w:shd w:val="clear"/>
        <w:kinsoku/>
        <w:wordWrap/>
        <w:overflowPunct/>
        <w:topLinePunct w:val="0"/>
        <w:autoSpaceDE/>
        <w:autoSpaceDN/>
        <w:bidi w:val="0"/>
        <w:adjustRightInd w:val="0"/>
        <w:snapToGrid w:val="0"/>
        <w:spacing w:beforeLines="0" w:afterLines="0" w:line="52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投诉。</w:t>
      </w:r>
    </w:p>
    <w:p w14:paraId="1369DC0A">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2.供应商应按照《政府采购质疑和投诉办法》(财政部令第94 号及相关法律法规要求递交投诉书和必要的证明材料。投诉书范本可在财政部门户网站和中国政府采购网下载。</w:t>
      </w:r>
    </w:p>
    <w:p w14:paraId="7D41F4BC">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3.投诉书应当使用中文，相关当事人提供外文书证或者外国语视听资料的，应当附有中文译本，由翻译机构盖章或者翻译人员签名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相关当事人向</w:t>
      </w:r>
      <w:r>
        <w:rPr>
          <w:rFonts w:hint="eastAsia" w:asciiTheme="minorEastAsia" w:hAnsiTheme="minorEastAsia" w:eastAsiaTheme="minorEastAsia" w:cstheme="minorEastAsia"/>
          <w:color w:val="auto"/>
          <w:sz w:val="21"/>
          <w:szCs w:val="21"/>
          <w:highlight w:val="none"/>
          <w:lang w:eastAsia="zh-CN"/>
        </w:rPr>
        <w:t>相关部门</w:t>
      </w:r>
      <w:r>
        <w:rPr>
          <w:rFonts w:hint="eastAsia" w:asciiTheme="minorEastAsia" w:hAnsiTheme="minorEastAsia" w:eastAsiaTheme="minorEastAsia" w:cstheme="minorEastAsia"/>
          <w:color w:val="auto"/>
          <w:sz w:val="21"/>
          <w:szCs w:val="21"/>
          <w:highlight w:val="none"/>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r>
        <w:rPr>
          <w:rFonts w:hint="eastAsia" w:asciiTheme="minorEastAsia" w:hAnsiTheme="minorEastAsia" w:eastAsiaTheme="minorEastAsia" w:cstheme="minorEastAsia"/>
          <w:color w:val="auto"/>
          <w:sz w:val="21"/>
          <w:szCs w:val="21"/>
          <w:highlight w:val="none"/>
          <w:lang w:eastAsia="zh-CN"/>
        </w:rPr>
        <w:t>。</w:t>
      </w:r>
    </w:p>
    <w:p w14:paraId="48D36D3F">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4.在确定受理投诉后，</w:t>
      </w:r>
      <w:r>
        <w:rPr>
          <w:rFonts w:hint="eastAsia" w:asciiTheme="minorEastAsia" w:hAnsiTheme="minorEastAsia" w:eastAsiaTheme="minorEastAsia" w:cstheme="minorEastAsia"/>
          <w:color w:val="auto"/>
          <w:sz w:val="21"/>
          <w:szCs w:val="21"/>
          <w:highlight w:val="none"/>
          <w:lang w:eastAsia="zh-CN"/>
        </w:rPr>
        <w:t>相关部门</w:t>
      </w:r>
      <w:r>
        <w:rPr>
          <w:rFonts w:hint="eastAsia" w:asciiTheme="minorEastAsia" w:hAnsiTheme="minorEastAsia" w:eastAsiaTheme="minorEastAsia" w:cstheme="minorEastAsia"/>
          <w:color w:val="auto"/>
          <w:sz w:val="21"/>
          <w:szCs w:val="21"/>
          <w:highlight w:val="none"/>
        </w:rPr>
        <w:t>自受理投诉之日起30个工作日内(需要检验、检测应当履行相关的证明手续。鉴定、专家评审以及需要投诉人补正材料的，所需时间不计算在投诉处理期限内)对投诉事项作出处理决定。</w:t>
      </w:r>
    </w:p>
    <w:p w14:paraId="214CDB10">
      <w:pPr>
        <w:pStyle w:val="3"/>
        <w:pageBreakBefore w:val="0"/>
        <w:widowControl w:val="0"/>
        <w:numPr>
          <w:ilvl w:val="0"/>
          <w:numId w:val="0"/>
        </w:numPr>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九、采购代理服务费</w:t>
      </w:r>
    </w:p>
    <w:p w14:paraId="7316A306">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代理服务费的支付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本项目代理费包干价3000元，</w:t>
      </w:r>
      <w:r>
        <w:rPr>
          <w:rFonts w:hint="eastAsia" w:asciiTheme="minorEastAsia" w:hAnsiTheme="minorEastAsia" w:eastAsiaTheme="minorEastAsia" w:cstheme="minorEastAsia"/>
          <w:color w:val="auto"/>
          <w:sz w:val="21"/>
          <w:szCs w:val="21"/>
          <w:highlight w:val="none"/>
        </w:rPr>
        <w:t>由中标单位在领取</w:t>
      </w:r>
      <w:r>
        <w:rPr>
          <w:rFonts w:hint="eastAsia" w:asciiTheme="minorEastAsia" w:hAnsiTheme="minorEastAsia" w:eastAsiaTheme="minorEastAsia" w:cstheme="minorEastAsia"/>
          <w:color w:val="auto"/>
          <w:sz w:val="21"/>
          <w:szCs w:val="21"/>
          <w:highlight w:val="none"/>
          <w:lang w:eastAsia="zh-CN"/>
        </w:rPr>
        <w:t>成交通知书</w:t>
      </w:r>
      <w:r>
        <w:rPr>
          <w:rFonts w:hint="eastAsia" w:asciiTheme="minorEastAsia" w:hAnsiTheme="minorEastAsia" w:eastAsiaTheme="minorEastAsia" w:cstheme="minorEastAsia"/>
          <w:color w:val="auto"/>
          <w:sz w:val="21"/>
          <w:szCs w:val="21"/>
          <w:highlight w:val="none"/>
        </w:rPr>
        <w:t>时一次性向代理公司支付。该费用竞标人自行考虑在竞标报价中，但不单独列出。</w:t>
      </w:r>
    </w:p>
    <w:p w14:paraId="413B8B6F">
      <w:pPr>
        <w:pStyle w:val="3"/>
        <w:pageBreakBefore w:val="0"/>
        <w:widowControl w:val="0"/>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十、成交通知</w:t>
      </w:r>
      <w:bookmarkEnd w:id="167"/>
      <w:bookmarkEnd w:id="168"/>
      <w:bookmarkEnd w:id="169"/>
      <w:bookmarkEnd w:id="170"/>
    </w:p>
    <w:p w14:paraId="65DE2FB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（一）成交供应商确定后，</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代理机构将在行采家（https://www.gec123.com）上发布成交结果公告。</w:t>
      </w:r>
    </w:p>
    <w:p w14:paraId="0CCF94D8">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（二）结果公</w:t>
      </w:r>
      <w:r>
        <w:rPr>
          <w:rFonts w:hint="eastAsia" w:asciiTheme="minorEastAsia" w:hAnsiTheme="minorEastAsia" w:eastAsiaTheme="minorEastAsia" w:cstheme="minorEastAsia"/>
          <w:color w:val="auto"/>
          <w:sz w:val="21"/>
          <w:szCs w:val="21"/>
          <w:highlight w:val="none"/>
          <w:lang w:eastAsia="zh-CN"/>
        </w:rPr>
        <w:t>告发出同时，</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lang w:eastAsia="zh-CN"/>
        </w:rPr>
        <w:t>代理机构将以书面形式发出《</w:t>
      </w:r>
      <w:r>
        <w:rPr>
          <w:rFonts w:hint="eastAsia" w:asciiTheme="minorEastAsia" w:hAnsiTheme="minorEastAsia" w:eastAsiaTheme="minorEastAsia" w:cstheme="minorEastAsia"/>
          <w:color w:val="auto"/>
          <w:sz w:val="21"/>
          <w:szCs w:val="21"/>
          <w:highlight w:val="none"/>
          <w:lang w:val="en-US" w:eastAsia="zh-CN"/>
        </w:rPr>
        <w:t>中选</w:t>
      </w:r>
      <w:r>
        <w:rPr>
          <w:rFonts w:hint="eastAsia" w:asciiTheme="minorEastAsia" w:hAnsiTheme="minorEastAsia" w:eastAsiaTheme="minorEastAsia" w:cstheme="minorEastAsia"/>
          <w:color w:val="auto"/>
          <w:sz w:val="21"/>
          <w:szCs w:val="21"/>
          <w:highlight w:val="none"/>
          <w:lang w:eastAsia="zh-CN"/>
        </w:rPr>
        <w:t>通知书》，《</w:t>
      </w:r>
      <w:r>
        <w:rPr>
          <w:rFonts w:hint="eastAsia" w:asciiTheme="minorEastAsia" w:hAnsiTheme="minorEastAsia" w:eastAsiaTheme="minorEastAsia" w:cstheme="minorEastAsia"/>
          <w:color w:val="auto"/>
          <w:sz w:val="21"/>
          <w:szCs w:val="21"/>
          <w:highlight w:val="none"/>
          <w:lang w:val="en-US" w:eastAsia="zh-CN"/>
        </w:rPr>
        <w:t>中选</w:t>
      </w:r>
      <w:r>
        <w:rPr>
          <w:rFonts w:hint="eastAsia" w:asciiTheme="minorEastAsia" w:hAnsiTheme="minorEastAsia" w:eastAsiaTheme="minorEastAsia" w:cstheme="minorEastAsia"/>
          <w:color w:val="auto"/>
          <w:sz w:val="21"/>
          <w:szCs w:val="21"/>
          <w:highlight w:val="none"/>
          <w:lang w:eastAsia="zh-CN"/>
        </w:rPr>
        <w:t>通知书》一经发出即发生法律效力。</w:t>
      </w:r>
    </w:p>
    <w:p w14:paraId="68DA1EFD">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中选</w:t>
      </w:r>
      <w:r>
        <w:rPr>
          <w:rFonts w:hint="eastAsia" w:asciiTheme="minorEastAsia" w:hAnsiTheme="minorEastAsia" w:eastAsiaTheme="minorEastAsia" w:cstheme="minorEastAsia"/>
          <w:color w:val="auto"/>
          <w:sz w:val="21"/>
          <w:szCs w:val="21"/>
          <w:highlight w:val="none"/>
          <w:lang w:eastAsia="zh-CN"/>
        </w:rPr>
        <w:t>通知书》将作为签订合同的依据。</w:t>
      </w:r>
    </w:p>
    <w:p w14:paraId="3747C5AD">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lang w:eastAsia="zh-CN"/>
        </w:rPr>
        <w:t>人应当自成交通知书发出之日起三十日内，按照比选文件和中标人竞标文件的约定，与中标人签订书面合同。所签订的合同不得对比选文件和中标人竞标文件作实质性修改。</w:t>
      </w:r>
    </w:p>
    <w:p w14:paraId="054F63B3">
      <w:pPr>
        <w:pStyle w:val="3"/>
        <w:pageBreakBefore w:val="0"/>
        <w:widowControl w:val="0"/>
        <w:shd w:val="clear"/>
        <w:kinsoku/>
        <w:wordWrap/>
        <w:overflowPunct/>
        <w:topLinePunct w:val="0"/>
        <w:autoSpaceDE/>
        <w:autoSpaceDN/>
        <w:bidi w:val="0"/>
        <w:adjustRightInd w:val="0"/>
        <w:snapToGrid w:val="0"/>
        <w:spacing w:before="0" w:beforeLines="0" w:after="0" w:afterLines="0" w:line="520" w:lineRule="exact"/>
        <w:ind w:left="0" w:leftChars="0" w:right="0" w:rightChars="0"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十一、签订合同</w:t>
      </w:r>
    </w:p>
    <w:p w14:paraId="5C639F00">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人应当自</w:t>
      </w:r>
      <w:r>
        <w:rPr>
          <w:rFonts w:hint="eastAsia" w:asciiTheme="minorEastAsia" w:hAnsiTheme="minorEastAsia" w:eastAsiaTheme="minorEastAsia" w:cstheme="minorEastAsia"/>
          <w:color w:val="auto"/>
          <w:sz w:val="21"/>
          <w:szCs w:val="21"/>
          <w:highlight w:val="none"/>
          <w:lang w:eastAsia="zh-CN"/>
        </w:rPr>
        <w:t>成交通知书</w:t>
      </w:r>
      <w:r>
        <w:rPr>
          <w:rFonts w:hint="eastAsia" w:asciiTheme="minorEastAsia" w:hAnsiTheme="minorEastAsia" w:eastAsiaTheme="minorEastAsia" w:cstheme="minorEastAsia"/>
          <w:color w:val="auto"/>
          <w:sz w:val="21"/>
          <w:szCs w:val="21"/>
          <w:highlight w:val="none"/>
        </w:rPr>
        <w:t>发出之日起</w:t>
      </w:r>
      <w:r>
        <w:rPr>
          <w:rFonts w:hint="eastAsia" w:asciiTheme="minorEastAsia" w:hAnsiTheme="minorEastAsia" w:eastAsiaTheme="minorEastAsia" w:cstheme="minorEastAsia"/>
          <w:color w:val="auto"/>
          <w:sz w:val="21"/>
          <w:szCs w:val="21"/>
          <w:highlight w:val="none"/>
          <w:lang w:val="en-US" w:eastAsia="zh-CN"/>
        </w:rPr>
        <w:t>三十</w:t>
      </w:r>
      <w:r>
        <w:rPr>
          <w:rFonts w:hint="eastAsia" w:asciiTheme="minorEastAsia" w:hAnsiTheme="minorEastAsia" w:eastAsiaTheme="minorEastAsia" w:cstheme="minorEastAsia"/>
          <w:color w:val="auto"/>
          <w:sz w:val="21"/>
          <w:szCs w:val="21"/>
          <w:highlight w:val="none"/>
        </w:rPr>
        <w:t>日内，按照</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和中标人</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文件的约定，与中标人签订书面合同。所签订的合同不得对</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和中标人</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文件作实质性修改，其他未尽事宜由采购人和中标人在采购合同中详细约定。</w:t>
      </w:r>
    </w:p>
    <w:p w14:paraId="05199B28">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eastAsia="zh-CN"/>
        </w:rPr>
        <w:t>）比选文件</w:t>
      </w:r>
      <w:r>
        <w:rPr>
          <w:rFonts w:hint="eastAsia" w:asciiTheme="minorEastAsia" w:hAnsiTheme="minorEastAsia" w:eastAsiaTheme="minorEastAsia" w:cstheme="minorEastAsia"/>
          <w:color w:val="auto"/>
          <w:sz w:val="21"/>
          <w:szCs w:val="21"/>
          <w:highlight w:val="none"/>
        </w:rPr>
        <w:t>、中标人的</w:t>
      </w:r>
      <w:r>
        <w:rPr>
          <w:rFonts w:hint="eastAsia" w:asciiTheme="minorEastAsia" w:hAnsiTheme="minorEastAsia" w:eastAsiaTheme="minorEastAsia" w:cstheme="minorEastAsia"/>
          <w:color w:val="auto"/>
          <w:sz w:val="21"/>
          <w:szCs w:val="21"/>
          <w:highlight w:val="none"/>
          <w:lang w:eastAsia="zh-CN"/>
        </w:rPr>
        <w:t>竞标</w:t>
      </w:r>
      <w:r>
        <w:rPr>
          <w:rFonts w:hint="eastAsia" w:asciiTheme="minorEastAsia" w:hAnsiTheme="minorEastAsia" w:eastAsiaTheme="minorEastAsia" w:cstheme="minorEastAsia"/>
          <w:color w:val="auto"/>
          <w:sz w:val="21"/>
          <w:szCs w:val="21"/>
          <w:highlight w:val="none"/>
        </w:rPr>
        <w:t>文件及澄清文件等，均为签订采购合同的</w:t>
      </w:r>
      <w:bookmarkStart w:id="212" w:name="_GoBack"/>
      <w:bookmarkEnd w:id="212"/>
      <w:r>
        <w:rPr>
          <w:rFonts w:hint="eastAsia" w:asciiTheme="minorEastAsia" w:hAnsiTheme="minorEastAsia" w:eastAsiaTheme="minorEastAsia" w:cstheme="minorEastAsia"/>
          <w:color w:val="auto"/>
          <w:sz w:val="21"/>
          <w:szCs w:val="21"/>
          <w:highlight w:val="none"/>
        </w:rPr>
        <w:t>依据。</w:t>
      </w:r>
    </w:p>
    <w:p w14:paraId="723A3614">
      <w:pPr>
        <w:pageBreakBefore w:val="0"/>
        <w:widowControl w:val="0"/>
        <w:shd w:val="clear"/>
        <w:kinsoku/>
        <w:wordWrap/>
        <w:overflowPunct/>
        <w:topLinePunct w:val="0"/>
        <w:autoSpaceDE/>
        <w:autoSpaceDN/>
        <w:bidi w:val="0"/>
        <w:adjustRightInd w:val="0"/>
        <w:snapToGrid w:val="0"/>
        <w:spacing w:beforeLines="0" w:afterLines="0" w:line="520" w:lineRule="exact"/>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合同生效条款由供需双方约定，法律、行政法规规定应当办理批准、登记等手续后生效的合同，依照其规定。</w:t>
      </w:r>
    </w:p>
    <w:bookmarkEnd w:id="70"/>
    <w:p w14:paraId="74C72B91">
      <w:pPr>
        <w:keepNext w:val="0"/>
        <w:keepLines w:val="0"/>
        <w:pageBreakBefore w:val="0"/>
        <w:widowControl/>
        <w:shd w:val="clear"/>
        <w:kinsoku/>
        <w:wordWrap/>
        <w:overflowPunct/>
        <w:topLinePunct w:val="0"/>
        <w:autoSpaceDE/>
        <w:autoSpaceDN/>
        <w:bidi w:val="0"/>
        <w:adjustRightInd/>
        <w:snapToGrid/>
        <w:spacing w:before="0" w:beforeLines="-2147483648" w:after="0" w:afterLines="-2147483648" w:line="240" w:lineRule="auto"/>
        <w:ind w:left="0" w:leftChars="0" w:right="0" w:rightChars="0"/>
        <w:jc w:val="left"/>
        <w:textAlignment w:val="auto"/>
        <w:rPr>
          <w:rFonts w:hint="eastAsia" w:ascii="宋体" w:hAnsi="宋体" w:eastAsia="宋体" w:cs="宋体"/>
          <w:b/>
          <w:bCs/>
          <w:color w:val="auto"/>
          <w:highlight w:val="none"/>
        </w:rPr>
      </w:pPr>
      <w:bookmarkStart w:id="171" w:name="_Toc11641055"/>
      <w:bookmarkStart w:id="172" w:name="_Toc12789059"/>
      <w:bookmarkStart w:id="173" w:name="_Toc65660365"/>
      <w:bookmarkStart w:id="174" w:name="_Toc28162"/>
      <w:bookmarkStart w:id="175" w:name="_Toc106034657"/>
      <w:bookmarkStart w:id="176" w:name="_Toc14861"/>
      <w:bookmarkStart w:id="177" w:name="_Toc8232"/>
      <w:r>
        <w:rPr>
          <w:rFonts w:hint="eastAsia" w:ascii="宋体" w:hAnsi="宋体" w:eastAsia="宋体" w:cs="宋体"/>
          <w:b/>
          <w:bCs/>
          <w:color w:val="auto"/>
          <w:highlight w:val="none"/>
        </w:rPr>
        <w:br w:type="page"/>
      </w:r>
    </w:p>
    <w:p w14:paraId="05AF3089">
      <w:pPr>
        <w:keepNext/>
        <w:keepLines w:val="0"/>
        <w:pageBreakBefore w:val="0"/>
        <w:widowControl/>
        <w:shd w:val="clear"/>
        <w:kinsoku/>
        <w:wordWrap/>
        <w:overflowPunct/>
        <w:topLinePunct w:val="0"/>
        <w:autoSpaceDE/>
        <w:autoSpaceDN/>
        <w:bidi w:val="0"/>
        <w:adjustRightInd w:val="0"/>
        <w:snapToGrid w:val="0"/>
        <w:spacing w:before="0" w:beforeLines="0" w:after="0" w:afterLines="0" w:line="360" w:lineRule="auto"/>
        <w:ind w:left="0" w:leftChars="0" w:right="0" w:right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第六篇</w:t>
      </w:r>
      <w:bookmarkEnd w:id="171"/>
      <w:bookmarkEnd w:id="172"/>
      <w:r>
        <w:rPr>
          <w:rFonts w:hint="eastAsia" w:ascii="宋体" w:hAnsi="宋体" w:eastAsia="宋体" w:cs="宋体"/>
          <w:b/>
          <w:bCs/>
          <w:color w:val="auto"/>
          <w:highlight w:val="none"/>
        </w:rPr>
        <w:t xml:space="preserve">  合同条款</w:t>
      </w:r>
      <w:bookmarkEnd w:id="173"/>
      <w:bookmarkEnd w:id="174"/>
      <w:bookmarkEnd w:id="175"/>
      <w:bookmarkEnd w:id="176"/>
      <w:r>
        <w:rPr>
          <w:rFonts w:hint="eastAsia" w:ascii="宋体" w:hAnsi="宋体" w:eastAsia="宋体" w:cs="宋体"/>
          <w:b/>
          <w:bCs/>
          <w:color w:val="auto"/>
          <w:highlight w:val="none"/>
        </w:rPr>
        <w:t>及格式</w:t>
      </w:r>
      <w:bookmarkEnd w:id="177"/>
    </w:p>
    <w:p w14:paraId="3BAE84AB">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48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附件一</w:t>
      </w:r>
    </w:p>
    <w:p w14:paraId="3818BD48">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Style w:val="75"/>
          <w:rFonts w:hint="eastAsia" w:ascii="宋体" w:hAnsi="宋体" w:eastAsia="宋体" w:cs="宋体"/>
          <w:color w:val="auto"/>
          <w:sz w:val="21"/>
          <w:szCs w:val="21"/>
          <w:highlight w:val="none"/>
        </w:rPr>
        <w:t>、合同主要条款</w:t>
      </w:r>
    </w:p>
    <w:p w14:paraId="4BDC35DD">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480"/>
        <w:textAlignment w:val="auto"/>
        <w:rPr>
          <w:rStyle w:val="75"/>
          <w:rFonts w:hint="eastAsia" w:ascii="宋体" w:hAnsi="宋体" w:eastAsia="宋体" w:cs="宋体"/>
          <w:color w:val="auto"/>
          <w:sz w:val="21"/>
          <w:szCs w:val="21"/>
          <w:highlight w:val="none"/>
        </w:rPr>
      </w:pPr>
      <w:r>
        <w:rPr>
          <w:rStyle w:val="75"/>
          <w:rFonts w:hint="eastAsia" w:ascii="宋体" w:hAnsi="宋体" w:eastAsia="宋体" w:cs="宋体"/>
          <w:color w:val="auto"/>
          <w:sz w:val="21"/>
          <w:szCs w:val="21"/>
          <w:highlight w:val="none"/>
        </w:rPr>
        <w:t>1.定义</w:t>
      </w:r>
    </w:p>
    <w:p w14:paraId="68EF94B7">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甲方(需方即采购人，是指通过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采购，接受合同货物及服务的各级国家机关、事业单位和团体组织。</w:t>
      </w:r>
    </w:p>
    <w:p w14:paraId="1EBD5849">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乙方(供方)即中标人，是指中标后提供合同货物和服务的自然人、法人及其他组织。</w:t>
      </w:r>
    </w:p>
    <w:p w14:paraId="3ADFFDEF">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1.3合同是指由甲乙双方按照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文件的实质性内容，通过协商一致达成的书面协议。</w:t>
      </w:r>
    </w:p>
    <w:p w14:paraId="58858F66">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合同价格指以中标价格为依据，在供方全面履行合同义务后，需方(或财政部门)应支付给供方的金额。</w:t>
      </w:r>
    </w:p>
    <w:p w14:paraId="2DF0DF08">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技术资料是指合同货物及其相关的设计、制造、监造、检验、验收等文件(包括图纸、各种文字说明、标准)。</w:t>
      </w:r>
    </w:p>
    <w:p w14:paraId="73B22F9F">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2.货物内容</w:t>
      </w:r>
    </w:p>
    <w:p w14:paraId="69117671">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合同包括以下内容:货物名称、型号规格、技术参数、数量(单位)等内容。</w:t>
      </w:r>
    </w:p>
    <w:p w14:paraId="32E03293">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3.合同价格</w:t>
      </w:r>
    </w:p>
    <w:p w14:paraId="08809B0A">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3.1合同价格即合同总价。</w:t>
      </w:r>
    </w:p>
    <w:p w14:paraId="6EF47AE3">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合同价格包括合同货物、技术资料、合同货物的税费、运杂费、保险费、包装费装卸费</w:t>
      </w:r>
      <w:r>
        <w:rPr>
          <w:rFonts w:hint="eastAsia" w:ascii="宋体" w:hAnsi="宋体" w:eastAsia="宋体" w:cs="宋体"/>
          <w:color w:val="auto"/>
          <w:sz w:val="21"/>
          <w:szCs w:val="21"/>
          <w:highlight w:val="none"/>
          <w:lang w:eastAsia="zh-CN"/>
        </w:rPr>
        <w:t>、安装费、培训费、备品备件费及</w:t>
      </w:r>
      <w:r>
        <w:rPr>
          <w:rFonts w:hint="eastAsia" w:ascii="宋体" w:hAnsi="宋体" w:eastAsia="宋体" w:cs="宋体"/>
          <w:color w:val="auto"/>
          <w:sz w:val="21"/>
          <w:szCs w:val="21"/>
          <w:highlight w:val="none"/>
        </w:rPr>
        <w:t>与货物有关的供方应纳的税费，所有税费由乙方负担。</w:t>
      </w:r>
      <w:r>
        <w:rPr>
          <w:rFonts w:hint="eastAsia" w:ascii="宋体" w:hAnsi="宋体" w:eastAsia="宋体" w:cs="宋体"/>
          <w:color w:val="auto"/>
          <w:sz w:val="21"/>
          <w:szCs w:val="21"/>
          <w:highlight w:val="none"/>
          <w:lang w:eastAsia="zh-CN"/>
        </w:rPr>
        <w:t>供应商应充分考虑本次采购所涉及的成品设备因品牌差异化引起的尺寸偏差等情形，其所带来的一切风险和费用由竞标人自行考虑在本次报价中，比选人不再支付任何因此产生的费用。</w:t>
      </w:r>
    </w:p>
    <w:p w14:paraId="48C8E11D">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3.3合同货物单价为不变价。</w:t>
      </w:r>
    </w:p>
    <w:p w14:paraId="7951BA20">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4.转包或分包</w:t>
      </w:r>
    </w:p>
    <w:p w14:paraId="0FD5A0BB">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4.1本合同范围的货物，应由方直接供应，不得转让他人供应</w:t>
      </w:r>
      <w:r>
        <w:rPr>
          <w:rFonts w:hint="eastAsia" w:ascii="宋体" w:hAnsi="宋体" w:cs="宋体"/>
          <w:color w:val="auto"/>
          <w:sz w:val="21"/>
          <w:szCs w:val="21"/>
          <w:highlight w:val="none"/>
          <w:lang w:eastAsia="zh-CN"/>
        </w:rPr>
        <w:t>；</w:t>
      </w:r>
    </w:p>
    <w:p w14:paraId="1E250233">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 非经甲方书面同意，乙方不得将本合同范围的货物全部或部分分包给他人供应</w:t>
      </w:r>
      <w:r>
        <w:rPr>
          <w:rFonts w:hint="eastAsia" w:ascii="宋体" w:hAnsi="宋体" w:cs="宋体"/>
          <w:color w:val="auto"/>
          <w:sz w:val="21"/>
          <w:szCs w:val="21"/>
          <w:highlight w:val="none"/>
          <w:lang w:eastAsia="zh-CN"/>
        </w:rPr>
        <w:t>；</w:t>
      </w:r>
    </w:p>
    <w:p w14:paraId="50205847">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4.3如有转让和未经甲方同意的分包行为，甲方有权解除合同，并追究乙方的违约责任。</w:t>
      </w:r>
    </w:p>
    <w:p w14:paraId="12A165E0">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5.质量保证及售后服务</w:t>
      </w:r>
    </w:p>
    <w:p w14:paraId="063BC737">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5.1电话咨询</w:t>
      </w:r>
    </w:p>
    <w:p w14:paraId="04678EDD">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成交供应商应当为用户提供技术援助电话，解答用户在使用中遇到的问题，及时为用户提出解决问题的建议。</w:t>
      </w:r>
    </w:p>
    <w:p w14:paraId="439DC81E">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5.2现场响应</w:t>
      </w:r>
    </w:p>
    <w:p w14:paraId="1727CFC6">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用户遇到使用及技术问题，电话咨询不能解决的，成交供应商或制造商应在3小时内采取相应响应措施；无法在3小时内解决的，应在8小时内派出专业人员进行技术支持。</w:t>
      </w:r>
    </w:p>
    <w:p w14:paraId="6A6D70B7">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5.3技术升级</w:t>
      </w:r>
    </w:p>
    <w:p w14:paraId="3C51B70C">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在质保期内，如果成交供应商的产品技术升级，成交供应商应及时通知采购人，如采购人有相应要求，成交供应商应对采购人进行升级服务。</w:t>
      </w:r>
    </w:p>
    <w:p w14:paraId="27134E0B">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5.4质保期外服务要求</w:t>
      </w:r>
    </w:p>
    <w:p w14:paraId="1AE7F145">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质量保证期过后，成交供应商应同样提供免费电话咨询服务，并应承诺提供产品上门维护服务。</w:t>
      </w:r>
    </w:p>
    <w:p w14:paraId="54457D54">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5.5质量保证期过后，采购人需要继续由原成交供应商提供售后服务的，成交供应商应以优惠价格提供售后服务。</w:t>
      </w:r>
    </w:p>
    <w:p w14:paraId="250710C7">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5.6备品备件及易损件</w:t>
      </w:r>
    </w:p>
    <w:p w14:paraId="155C761D">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供应商售后服务中，维修使用的备品备件及易损件应为原厂配件，未经采购人同意不得使用非原厂配件。</w:t>
      </w:r>
    </w:p>
    <w:p w14:paraId="7A86CE7C">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6.付款</w:t>
      </w:r>
    </w:p>
    <w:p w14:paraId="7853C6F6">
      <w:pPr>
        <w:keepNext w:val="0"/>
        <w:keepLines w:val="0"/>
        <w:pageBreakBefore w:val="0"/>
        <w:widowControl w:val="0"/>
        <w:shd w:val="clear"/>
        <w:kinsoku w:val="0"/>
        <w:wordWrap/>
        <w:overflowPunct w:val="0"/>
        <w:topLinePunct w:val="0"/>
        <w:autoSpaceDE w:val="0"/>
        <w:autoSpaceDN w:val="0"/>
        <w:bidi w:val="0"/>
        <w:adjustRightInd w:val="0"/>
        <w:snapToGrid w:val="0"/>
        <w:spacing w:line="5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项目质保期</w:t>
      </w:r>
      <w:r>
        <w:rPr>
          <w:rFonts w:hint="eastAsia" w:ascii="宋体" w:hAnsi="宋体" w:eastAsia="宋体" w:cs="宋体"/>
          <w:color w:val="auto"/>
          <w:kern w:val="0"/>
          <w:sz w:val="21"/>
          <w:szCs w:val="21"/>
          <w:highlight w:val="none"/>
          <w:lang w:val="en-US" w:eastAsia="zh-CN"/>
        </w:rPr>
        <w:t>为</w:t>
      </w:r>
      <w:r>
        <w:rPr>
          <w:rFonts w:hint="eastAsia" w:ascii="宋体" w:hAnsi="宋体" w:eastAsia="宋体" w:cs="宋体"/>
          <w:color w:val="auto"/>
          <w:kern w:val="0"/>
          <w:sz w:val="21"/>
          <w:szCs w:val="21"/>
          <w:highlight w:val="none"/>
        </w:rPr>
        <w:t>1年，保修期内供方免费提供配件及上门服务。</w:t>
      </w:r>
    </w:p>
    <w:p w14:paraId="4C2D4DE7">
      <w:pPr>
        <w:keepNext w:val="0"/>
        <w:keepLines w:val="0"/>
        <w:pageBreakBefore w:val="0"/>
        <w:widowControl w:val="0"/>
        <w:shd w:val="clear"/>
        <w:kinsoku w:val="0"/>
        <w:wordWrap/>
        <w:overflowPunct w:val="0"/>
        <w:topLinePunct w:val="0"/>
        <w:autoSpaceDE w:val="0"/>
        <w:autoSpaceDN w:val="0"/>
        <w:bidi w:val="0"/>
        <w:adjustRightInd w:val="0"/>
        <w:snapToGrid w:val="0"/>
        <w:spacing w:line="5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双方商定本合同价款采用固定总价方式。</w:t>
      </w:r>
    </w:p>
    <w:p w14:paraId="54B42D5D">
      <w:pPr>
        <w:keepNext w:val="0"/>
        <w:keepLines w:val="0"/>
        <w:pageBreakBefore w:val="0"/>
        <w:widowControl w:val="0"/>
        <w:shd w:val="clear"/>
        <w:kinsoku w:val="0"/>
        <w:wordWrap/>
        <w:overflowPunct w:val="0"/>
        <w:topLinePunct w:val="0"/>
        <w:autoSpaceDE w:val="0"/>
        <w:autoSpaceDN w:val="0"/>
        <w:bidi w:val="0"/>
        <w:adjustRightInd w:val="0"/>
        <w:snapToGrid w:val="0"/>
        <w:spacing w:line="56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合同生效后，</w:t>
      </w:r>
      <w:r>
        <w:rPr>
          <w:rFonts w:hint="eastAsia" w:ascii="宋体" w:hAnsi="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按以下约定支付合同款：</w:t>
      </w:r>
      <w:r>
        <w:rPr>
          <w:rFonts w:hint="eastAsia" w:ascii="宋体" w:hAnsi="宋体" w:cs="宋体"/>
          <w:color w:val="auto"/>
          <w:kern w:val="0"/>
          <w:sz w:val="21"/>
          <w:szCs w:val="21"/>
          <w:highlight w:val="none"/>
          <w:lang w:val="en-US" w:eastAsia="zh-CN"/>
        </w:rPr>
        <w:t>合同签订后五日内，乙方出具等额的增值税发票，甲方支付合同金额的30%预付款，</w:t>
      </w:r>
      <w:r>
        <w:rPr>
          <w:rFonts w:hint="eastAsia" w:ascii="宋体" w:hAnsi="宋体" w:eastAsia="宋体" w:cs="宋体"/>
          <w:color w:val="auto"/>
          <w:kern w:val="0"/>
          <w:sz w:val="21"/>
          <w:szCs w:val="21"/>
          <w:highlight w:val="none"/>
          <w:lang w:eastAsia="zh-CN"/>
        </w:rPr>
        <w:t>交货并</w:t>
      </w:r>
      <w:r>
        <w:rPr>
          <w:rFonts w:hint="eastAsia" w:ascii="宋体" w:hAnsi="宋体" w:eastAsia="宋体" w:cs="宋体"/>
          <w:color w:val="auto"/>
          <w:kern w:val="0"/>
          <w:sz w:val="21"/>
          <w:szCs w:val="21"/>
          <w:highlight w:val="none"/>
        </w:rPr>
        <w:t>安装完工后经</w:t>
      </w:r>
      <w:r>
        <w:rPr>
          <w:rFonts w:hint="eastAsia" w:ascii="宋体" w:hAnsi="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lang w:eastAsia="zh-CN"/>
        </w:rPr>
        <w:t>验收</w:t>
      </w:r>
      <w:r>
        <w:rPr>
          <w:rFonts w:hint="eastAsia" w:ascii="宋体" w:hAnsi="宋体" w:eastAsia="宋体" w:cs="宋体"/>
          <w:color w:val="auto"/>
          <w:kern w:val="0"/>
          <w:sz w:val="21"/>
          <w:szCs w:val="21"/>
          <w:highlight w:val="none"/>
        </w:rPr>
        <w:t>合格，取得验收合格手续、</w:t>
      </w:r>
      <w:r>
        <w:rPr>
          <w:rFonts w:hint="eastAsia" w:ascii="宋体" w:hAnsi="宋体" w:eastAsia="宋体" w:cs="宋体"/>
          <w:color w:val="auto"/>
          <w:kern w:val="0"/>
          <w:sz w:val="21"/>
          <w:szCs w:val="21"/>
          <w:highlight w:val="none"/>
          <w:lang w:eastAsia="zh-CN"/>
        </w:rPr>
        <w:t>开具足额发票后</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甲方支付至合同金额的</w:t>
      </w:r>
      <w:r>
        <w:rPr>
          <w:rFonts w:hint="default" w:ascii="宋体" w:hAnsi="宋体" w:cs="宋体"/>
          <w:color w:val="auto"/>
          <w:kern w:val="0"/>
          <w:sz w:val="21"/>
          <w:szCs w:val="21"/>
          <w:highlight w:val="none"/>
          <w:lang w:eastAsia="zh-CN"/>
        </w:rPr>
        <w:t>100</w:t>
      </w:r>
      <w:r>
        <w:rPr>
          <w:rFonts w:hint="eastAsia" w:ascii="宋体" w:hAnsi="宋体" w:cs="宋体"/>
          <w:color w:val="auto"/>
          <w:kern w:val="0"/>
          <w:sz w:val="21"/>
          <w:szCs w:val="21"/>
          <w:highlight w:val="none"/>
          <w:lang w:val="en-US" w:eastAsia="zh-CN"/>
        </w:rPr>
        <w:t>%，待质保期满后无息退还。</w:t>
      </w:r>
    </w:p>
    <w:p w14:paraId="6C8A4585">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7检查验收</w:t>
      </w:r>
    </w:p>
    <w:p w14:paraId="50930BCD">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7.1供方应随货物提供合格证和质量证明文件，如是国外进口的货物还须提供入关证明。</w:t>
      </w:r>
    </w:p>
    <w:p w14:paraId="1EE033C9">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7.2货物验收</w:t>
      </w:r>
    </w:p>
    <w:p w14:paraId="2403BD3D">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供方</w:t>
      </w:r>
      <w:r>
        <w:rPr>
          <w:rFonts w:hint="eastAsia" w:ascii="宋体" w:hAnsi="宋体" w:eastAsia="宋体" w:cs="宋体"/>
          <w:color w:val="auto"/>
          <w:sz w:val="21"/>
          <w:szCs w:val="21"/>
          <w:highlight w:val="none"/>
        </w:rPr>
        <w:t>所交货物的各种质量指标不得低于供方提供样品的质量指标(</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时提供的“技术文件”执行)，售后服务质量要求按照</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文件的内容执行，供方交货时，需方可根据需要随机抽取一部分货物送有关权威检测部门检测，如检测不合格，供方负责赔偿需方一切损失。</w:t>
      </w:r>
    </w:p>
    <w:p w14:paraId="1A8029A4">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货物验收报告应由需方、供方经办人签字，并加盖双方公章，以此作为支付凭据不合格。</w:t>
      </w:r>
    </w:p>
    <w:p w14:paraId="75632510">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8.索赔</w:t>
      </w:r>
    </w:p>
    <w:p w14:paraId="2977951D">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供方对货物与合同要求不符负有责任，并且需方已于规定交货内和质量保证期内提出索赔，供方应按需方同意的下述一种或多种方法解决索赔事宜。</w:t>
      </w:r>
    </w:p>
    <w:p w14:paraId="1B0354EC">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31DCC79E">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根据货物的劣和受损程度以及需方遭受损失的金额，经双方同意降低货物价格。</w:t>
      </w:r>
    </w:p>
    <w:p w14:paraId="3204BA29">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9.知识产权</w:t>
      </w:r>
    </w:p>
    <w:p w14:paraId="04EBCA46">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30720281">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10.合同争议的解决</w:t>
      </w:r>
    </w:p>
    <w:p w14:paraId="56AA0D43">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10.1当事人友好协商达成一致</w:t>
      </w:r>
    </w:p>
    <w:p w14:paraId="3AC31F88">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10.2在60天内当事人协商不能达成协议的，可提请采购人当地仲裁机构仲裁</w:t>
      </w:r>
    </w:p>
    <w:p w14:paraId="20E0D6C4">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11.违约责任</w:t>
      </w:r>
    </w:p>
    <w:p w14:paraId="5052E52F">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按《中华人民共和国民法典》、《中华人民共和国政府采购法》有关条款，或由供需双方约定。</w:t>
      </w:r>
    </w:p>
    <w:p w14:paraId="4738BBC2">
      <w:pPr>
        <w:pStyle w:val="4"/>
        <w:keepNext w:val="0"/>
        <w:keepLines w:val="0"/>
        <w:pageBreakBefore w:val="0"/>
        <w:widowControl w:val="0"/>
        <w:shd w:val="clear"/>
        <w:kinsoku w:val="0"/>
        <w:wordWrap/>
        <w:overflowPunct/>
        <w:topLinePunct w:val="0"/>
        <w:autoSpaceDE w:val="0"/>
        <w:autoSpaceDN w:val="0"/>
        <w:bidi w:val="0"/>
        <w:adjustRightInd w:val="0"/>
        <w:snapToGrid w:val="0"/>
        <w:spacing w:line="560" w:lineRule="exact"/>
        <w:ind w:left="0" w:leftChars="0" w:right="0" w:rightChars="0"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12.合同生效及其它</w:t>
      </w:r>
    </w:p>
    <w:p w14:paraId="58FCE7B2">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合同生效及其效力应符合《中华人民共和国民法典》有关规定。</w:t>
      </w:r>
    </w:p>
    <w:p w14:paraId="139D22E3">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合同应经当事人法定代表人或委托代理人签字，加盖双方合同专用章或公章。</w:t>
      </w:r>
    </w:p>
    <w:p w14:paraId="551741E2">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合同所包括附件，是合同不可分割的一部分，具有同等法律效力。</w:t>
      </w:r>
    </w:p>
    <w:p w14:paraId="6F017F90">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default" w:ascii="宋体" w:hAnsi="宋体" w:cs="宋体"/>
          <w:color w:val="auto"/>
          <w:sz w:val="21"/>
          <w:szCs w:val="21"/>
          <w:highlight w:val="none"/>
        </w:rPr>
      </w:pPr>
      <w:r>
        <w:rPr>
          <w:rFonts w:hint="eastAsia" w:ascii="宋体" w:hAnsi="宋体" w:eastAsia="宋体" w:cs="宋体"/>
          <w:color w:val="auto"/>
          <w:sz w:val="21"/>
          <w:szCs w:val="21"/>
          <w:highlight w:val="none"/>
        </w:rPr>
        <w:t>12.4 本合同条件未尽事宜依照《中华人民共和国民法典》，由供需双方共同协商确定</w:t>
      </w:r>
      <w:r>
        <w:rPr>
          <w:rFonts w:hint="default" w:ascii="宋体" w:hAnsi="宋体" w:cs="宋体"/>
          <w:color w:val="auto"/>
          <w:sz w:val="21"/>
          <w:szCs w:val="21"/>
          <w:highlight w:val="none"/>
        </w:rPr>
        <w:t>。</w:t>
      </w:r>
    </w:p>
    <w:p w14:paraId="2A7BBD65">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default" w:ascii="宋体" w:hAnsi="宋体" w:cs="宋体"/>
          <w:color w:val="auto"/>
          <w:sz w:val="21"/>
          <w:szCs w:val="21"/>
          <w:highlight w:val="none"/>
        </w:rPr>
      </w:pPr>
    </w:p>
    <w:p w14:paraId="5B082960">
      <w:pPr>
        <w:keepNext w:val="0"/>
        <w:keepLines w:val="0"/>
        <w:pageBreakBefore w:val="0"/>
        <w:widowControl w:val="0"/>
        <w:shd w:val="clear"/>
        <w:tabs>
          <w:tab w:val="left" w:pos="651"/>
        </w:tabs>
        <w:kinsoku w:val="0"/>
        <w:wordWrap/>
        <w:overflowPunct/>
        <w:topLinePunct w:val="0"/>
        <w:autoSpaceDE w:val="0"/>
        <w:autoSpaceDN w:val="0"/>
        <w:bidi w:val="0"/>
        <w:adjustRightInd w:val="0"/>
        <w:snapToGrid w:val="0"/>
        <w:spacing w:line="560" w:lineRule="exact"/>
        <w:ind w:left="0" w:leftChars="0" w:right="0" w:rightChars="0" w:firstLine="420" w:firstLineChars="200"/>
        <w:jc w:val="left"/>
        <w:textAlignment w:val="auto"/>
        <w:rPr>
          <w:rFonts w:hint="eastAsia" w:ascii="宋体" w:hAnsi="宋体" w:eastAsia="宋体" w:cs="宋体"/>
          <w:bCs/>
          <w:color w:val="auto"/>
          <w:sz w:val="24"/>
          <w:szCs w:val="24"/>
          <w:highlight w:val="none"/>
        </w:rPr>
        <w:sectPr>
          <w:footerReference r:id="rId5"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default" w:ascii="宋体" w:hAnsi="宋体" w:cs="宋体"/>
          <w:color w:val="auto"/>
          <w:sz w:val="21"/>
          <w:szCs w:val="21"/>
          <w:highlight w:val="none"/>
        </w:rPr>
        <w:t>附件二  合同协议书（具体以比选人与中选人签订为准）</w:t>
      </w:r>
      <w:bookmarkStart w:id="178" w:name="_Toc29416"/>
      <w:bookmarkStart w:id="179" w:name="_Toc102227321"/>
      <w:bookmarkStart w:id="180" w:name="_Toc148265480"/>
      <w:bookmarkStart w:id="181" w:name="_Toc342913395"/>
      <w:bookmarkStart w:id="182" w:name="_Toc106030898"/>
      <w:bookmarkStart w:id="183" w:name="_Toc106030897"/>
      <w:bookmarkStart w:id="184" w:name="_Toc76462343"/>
      <w:bookmarkStart w:id="185" w:name="_Toc76462342"/>
      <w:bookmarkStart w:id="186" w:name="_Toc303945820"/>
    </w:p>
    <w:p w14:paraId="76D10A15">
      <w:pPr>
        <w:pStyle w:val="2"/>
        <w:keepNext/>
        <w:keepLines w:val="0"/>
        <w:pageBreakBefore w:val="0"/>
        <w:widowControl/>
        <w:shd w:val="clear"/>
        <w:kinsoku/>
        <w:wordWrap/>
        <w:overflowPunct/>
        <w:topLinePunct w:val="0"/>
        <w:autoSpaceDE/>
        <w:autoSpaceDN/>
        <w:bidi w:val="0"/>
        <w:adjustRightInd w:val="0"/>
        <w:snapToGrid w:val="0"/>
        <w:spacing w:before="0" w:beforeLines="0" w:after="0" w:afterLines="0" w:line="360" w:lineRule="auto"/>
        <w:ind w:left="0" w:leftChars="0" w:right="0" w:righ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第七篇 </w:t>
      </w:r>
      <w:bookmarkEnd w:id="178"/>
      <w:bookmarkEnd w:id="179"/>
      <w:bookmarkEnd w:id="180"/>
      <w:bookmarkEnd w:id="181"/>
      <w:bookmarkEnd w:id="182"/>
      <w:bookmarkEnd w:id="183"/>
      <w:bookmarkEnd w:id="184"/>
      <w:bookmarkEnd w:id="185"/>
      <w:bookmarkEnd w:id="186"/>
      <w:bookmarkStart w:id="187" w:name="_Toc9538"/>
      <w:bookmarkStart w:id="188" w:name="_Toc6968"/>
      <w:bookmarkStart w:id="189" w:name="_Toc65660378"/>
      <w:bookmarkStart w:id="190" w:name="_Toc106034658"/>
      <w:bookmarkStart w:id="191" w:name="_Toc12789072"/>
      <w:bookmarkStart w:id="192" w:name="_Toc19762"/>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文件格式</w:t>
      </w:r>
      <w:bookmarkEnd w:id="187"/>
      <w:bookmarkEnd w:id="188"/>
      <w:bookmarkEnd w:id="189"/>
      <w:bookmarkEnd w:id="190"/>
      <w:bookmarkEnd w:id="191"/>
      <w:bookmarkEnd w:id="192"/>
    </w:p>
    <w:p w14:paraId="749496E1">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一、经济部分</w:t>
      </w:r>
    </w:p>
    <w:p w14:paraId="0B2CDE5A">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报价函</w:t>
      </w:r>
    </w:p>
    <w:p w14:paraId="773DCABE">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（二）明细报价表</w:t>
      </w:r>
    </w:p>
    <w:p w14:paraId="179DFAC9">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54657B10">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（一）技术响应偏离表</w:t>
      </w:r>
    </w:p>
    <w:p w14:paraId="31608B9D">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lang w:val="en-US" w:eastAsia="zh-CN"/>
        </w:rPr>
        <w:t>其他技术资料（格式自拟）</w:t>
      </w:r>
    </w:p>
    <w:p w14:paraId="6575784B">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三、商务部分</w:t>
      </w:r>
    </w:p>
    <w:p w14:paraId="5B5D3428">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）商务响应偏离表</w:t>
      </w:r>
    </w:p>
    <w:p w14:paraId="0307AC6A">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）其它</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lang w:eastAsia="zh-CN"/>
        </w:rPr>
        <w:t>优惠承诺（格式自</w:t>
      </w:r>
      <w:r>
        <w:rPr>
          <w:rFonts w:hint="eastAsia" w:ascii="宋体" w:hAnsi="宋体" w:eastAsia="宋体" w:cs="宋体"/>
          <w:color w:val="auto"/>
          <w:sz w:val="21"/>
          <w:szCs w:val="21"/>
          <w:highlight w:val="none"/>
          <w:lang w:val="en-US" w:eastAsia="zh-CN"/>
        </w:rPr>
        <w:t>拟</w:t>
      </w:r>
      <w:r>
        <w:rPr>
          <w:rFonts w:hint="eastAsia" w:ascii="宋体" w:hAnsi="宋体" w:eastAsia="宋体" w:cs="宋体"/>
          <w:color w:val="auto"/>
          <w:sz w:val="21"/>
          <w:szCs w:val="21"/>
          <w:highlight w:val="none"/>
          <w:lang w:eastAsia="zh-CN"/>
        </w:rPr>
        <w:t>）</w:t>
      </w:r>
    </w:p>
    <w:p w14:paraId="70008D39">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四、资格条件及其他</w:t>
      </w:r>
    </w:p>
    <w:p w14:paraId="6E8BC06B">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（一）法人营业执照（副本</w:t>
      </w:r>
      <w:r>
        <w:rPr>
          <w:rFonts w:hint="eastAsia" w:ascii="宋体" w:hAnsi="宋体" w:eastAsia="宋体" w:cs="宋体"/>
          <w:color w:val="auto"/>
          <w:sz w:val="21"/>
          <w:szCs w:val="21"/>
          <w:highlight w:val="none"/>
        </w:rPr>
        <w:t>）或事业单位法人证书（副本）或个体工商户营业执照或有效的自然人身份证明或社会团体法人登记证书复印件</w:t>
      </w:r>
    </w:p>
    <w:p w14:paraId="78829D03">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（二）法定代表人身份证明书（格式）</w:t>
      </w:r>
    </w:p>
    <w:p w14:paraId="443615BD">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（三）法定代表人授权委托书（格式）</w:t>
      </w:r>
    </w:p>
    <w:p w14:paraId="727E988B">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）基本资格条件承诺函（格式）</w:t>
      </w:r>
    </w:p>
    <w:p w14:paraId="37E9DE17">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五、其他应提供的资料</w:t>
      </w:r>
    </w:p>
    <w:p w14:paraId="0EA05922">
      <w:pPr>
        <w:keepNext w:val="0"/>
        <w:keepLines w:val="0"/>
        <w:pageBreakBefore w:val="0"/>
        <w:widowControl w:val="0"/>
        <w:shd w:val="clear"/>
        <w:kinsoku w:val="0"/>
        <w:wordWrap/>
        <w:overflowPunct/>
        <w:topLinePunct w:val="0"/>
        <w:autoSpaceDE w:val="0"/>
        <w:autoSpaceDN w:val="0"/>
        <w:bidi w:val="0"/>
        <w:adjustRightInd w:val="0"/>
        <w:snapToGrid w:val="0"/>
        <w:spacing w:line="520" w:lineRule="exact"/>
        <w:ind w:firstLine="420" w:firstLineChars="200"/>
        <w:textAlignment w:val="auto"/>
        <w:rPr>
          <w:rFonts w:hint="eastAsia" w:ascii="宋体" w:hAnsi="宋体" w:eastAsia="宋体" w:cs="宋体"/>
          <w:color w:val="auto"/>
          <w:sz w:val="21"/>
          <w:szCs w:val="21"/>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1"/>
          <w:szCs w:val="21"/>
          <w:highlight w:val="none"/>
        </w:rPr>
        <w:t>（一）其他与项目有关的资料（自附）</w:t>
      </w:r>
    </w:p>
    <w:p w14:paraId="5BB36783">
      <w:pPr>
        <w:pStyle w:val="4"/>
        <w:shd w:val="clear"/>
        <w:spacing w:before="0" w:after="0" w:line="360" w:lineRule="auto"/>
        <w:ind w:left="0" w:leftChars="0" w:firstLine="0" w:firstLineChars="0"/>
        <w:jc w:val="both"/>
        <w:rPr>
          <w:rFonts w:hint="eastAsia" w:ascii="宋体" w:hAnsi="宋体" w:eastAsia="宋体" w:cs="宋体"/>
          <w:color w:val="auto"/>
          <w:sz w:val="21"/>
          <w:szCs w:val="21"/>
          <w:highlight w:val="none"/>
        </w:rPr>
      </w:pPr>
      <w:bookmarkStart w:id="193" w:name="_Toc18452"/>
      <w:bookmarkStart w:id="194" w:name="_Toc283382454"/>
      <w:bookmarkStart w:id="195" w:name="_Toc14244"/>
      <w:bookmarkStart w:id="196" w:name="_Toc342913419"/>
      <w:bookmarkStart w:id="197" w:name="_Toc26343"/>
      <w:bookmarkStart w:id="198" w:name="_Toc106034659"/>
      <w:bookmarkStart w:id="199" w:name="_Toc65660379"/>
      <w:bookmarkStart w:id="200" w:name="_Toc313008356"/>
      <w:bookmarkStart w:id="201" w:name="_Toc313888360"/>
      <w:bookmarkStart w:id="202" w:name="_Toc12789073"/>
      <w:r>
        <w:rPr>
          <w:rFonts w:hint="eastAsia" w:ascii="宋体" w:hAnsi="宋体" w:eastAsia="宋体" w:cs="宋体"/>
          <w:color w:val="auto"/>
          <w:sz w:val="21"/>
          <w:szCs w:val="21"/>
          <w:highlight w:val="none"/>
        </w:rPr>
        <w:t>一、经济部分</w:t>
      </w:r>
      <w:bookmarkEnd w:id="193"/>
    </w:p>
    <w:p w14:paraId="5DB795FF">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报价函</w:t>
      </w:r>
    </w:p>
    <w:p w14:paraId="6058B7F4">
      <w:pPr>
        <w:shd w:val="clear"/>
        <w:tabs>
          <w:tab w:val="left" w:pos="6300"/>
        </w:tabs>
        <w:snapToGrid w:val="0"/>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竞争性比选</w:t>
      </w:r>
      <w:r>
        <w:rPr>
          <w:rFonts w:hint="eastAsia" w:ascii="宋体" w:hAnsi="宋体" w:eastAsia="宋体" w:cs="宋体"/>
          <w:b/>
          <w:color w:val="auto"/>
          <w:sz w:val="21"/>
          <w:szCs w:val="21"/>
          <w:highlight w:val="none"/>
        </w:rPr>
        <w:t>报价函</w:t>
      </w:r>
    </w:p>
    <w:p w14:paraId="29A84333">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比选代理机构</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w:t>
      </w:r>
    </w:p>
    <w:p w14:paraId="56CD7C8D">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我方收到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（项目名称）的</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文件，经详细研究，决定参加该项目的</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w:t>
      </w:r>
    </w:p>
    <w:p w14:paraId="5654A772">
      <w:pPr>
        <w:numPr>
          <w:ilvl w:val="0"/>
          <w:numId w:val="15"/>
        </w:num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愿意按照</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文件中的一切要求，提供本项目的技术服务，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w:t>
      </w:r>
    </w:p>
    <w:p w14:paraId="5604350A">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2、我方现提交的</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为：比选申请文件正本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，电子文档</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份</w:t>
      </w:r>
      <w:r>
        <w:rPr>
          <w:rFonts w:hint="eastAsia" w:ascii="宋体" w:hAnsi="宋体" w:eastAsia="宋体" w:cs="宋体"/>
          <w:color w:val="auto"/>
          <w:sz w:val="21"/>
          <w:szCs w:val="21"/>
          <w:highlight w:val="none"/>
        </w:rPr>
        <w:t>。</w:t>
      </w:r>
    </w:p>
    <w:p w14:paraId="0DD43F72">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3、我方承诺：本次</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的有效期为提交</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截止时间起90天。</w:t>
      </w:r>
    </w:p>
    <w:p w14:paraId="0608CFEC">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4、我方完全理解和接受贵方</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文件的一切规定和要求及评审办法。</w:t>
      </w:r>
    </w:p>
    <w:p w14:paraId="33D6A855">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、我方若成为</w:t>
      </w:r>
      <w:r>
        <w:rPr>
          <w:rFonts w:hint="eastAsia" w:ascii="宋体" w:hAnsi="宋体" w:eastAsia="宋体" w:cs="宋体"/>
          <w:color w:val="auto"/>
          <w:sz w:val="21"/>
          <w:szCs w:val="21"/>
          <w:highlight w:val="none"/>
          <w:lang w:eastAsia="zh-CN"/>
        </w:rPr>
        <w:t>中选人</w:t>
      </w:r>
      <w:r>
        <w:rPr>
          <w:rFonts w:hint="eastAsia" w:ascii="宋体" w:hAnsi="宋体" w:eastAsia="宋体" w:cs="宋体"/>
          <w:color w:val="auto"/>
          <w:sz w:val="21"/>
          <w:szCs w:val="21"/>
          <w:highlight w:val="none"/>
        </w:rPr>
        <w:t>，将按照最终</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结果签订合同，并且严格履行合同义务。本承诺函将成为合同不可分割的一部分，与合同具有同等的法律效力。</w:t>
      </w:r>
    </w:p>
    <w:p w14:paraId="0FD00BAF">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、我方理解，最低报价不是</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的唯一条件。</w:t>
      </w:r>
    </w:p>
    <w:p w14:paraId="0AC2F887">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、我方同意按</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文件规定，如果我方成为</w:t>
      </w:r>
      <w:r>
        <w:rPr>
          <w:rFonts w:hint="eastAsia" w:ascii="宋体" w:hAnsi="宋体" w:eastAsia="宋体" w:cs="宋体"/>
          <w:color w:val="auto"/>
          <w:sz w:val="21"/>
          <w:szCs w:val="21"/>
          <w:highlight w:val="none"/>
          <w:lang w:eastAsia="zh-CN"/>
        </w:rPr>
        <w:t>中选人</w:t>
      </w:r>
      <w:r>
        <w:rPr>
          <w:rFonts w:hint="eastAsia" w:ascii="宋体" w:hAnsi="宋体" w:eastAsia="宋体" w:cs="宋体"/>
          <w:color w:val="auto"/>
          <w:sz w:val="21"/>
          <w:szCs w:val="21"/>
          <w:highlight w:val="none"/>
        </w:rPr>
        <w:t>，保证在接到</w:t>
      </w:r>
      <w:r>
        <w:rPr>
          <w:rFonts w:hint="eastAsia" w:ascii="宋体" w:hAnsi="宋体" w:eastAsia="宋体" w:cs="宋体"/>
          <w:color w:val="auto"/>
          <w:sz w:val="21"/>
          <w:szCs w:val="21"/>
          <w:highlight w:val="none"/>
          <w:lang w:eastAsia="zh-CN"/>
        </w:rPr>
        <w:t>中选通知书</w:t>
      </w:r>
      <w:r>
        <w:rPr>
          <w:rFonts w:hint="eastAsia" w:ascii="宋体" w:hAnsi="宋体" w:eastAsia="宋体" w:cs="宋体"/>
          <w:color w:val="auto"/>
          <w:sz w:val="21"/>
          <w:szCs w:val="21"/>
          <w:highlight w:val="none"/>
        </w:rPr>
        <w:t>后，向</w:t>
      </w:r>
      <w:r>
        <w:rPr>
          <w:rFonts w:hint="eastAsia" w:ascii="宋体" w:hAnsi="宋体" w:eastAsia="宋体" w:cs="宋体"/>
          <w:color w:val="auto"/>
          <w:sz w:val="21"/>
          <w:szCs w:val="21"/>
          <w:highlight w:val="none"/>
          <w:lang w:eastAsia="zh-CN"/>
        </w:rPr>
        <w:t>比选代理机构</w:t>
      </w:r>
      <w:r>
        <w:rPr>
          <w:rFonts w:hint="eastAsia" w:ascii="宋体" w:hAnsi="宋体" w:eastAsia="宋体" w:cs="宋体"/>
          <w:color w:val="auto"/>
          <w:sz w:val="21"/>
          <w:szCs w:val="21"/>
          <w:highlight w:val="none"/>
        </w:rPr>
        <w:t>交纳</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文件规定的</w:t>
      </w:r>
      <w:r>
        <w:rPr>
          <w:rFonts w:hint="eastAsia" w:ascii="宋体" w:hAnsi="宋体" w:eastAsia="宋体" w:cs="宋体"/>
          <w:color w:val="auto"/>
          <w:sz w:val="21"/>
          <w:szCs w:val="21"/>
          <w:highlight w:val="none"/>
          <w:lang w:eastAsia="zh-CN"/>
        </w:rPr>
        <w:t>比选代理服务费</w:t>
      </w:r>
      <w:r>
        <w:rPr>
          <w:rFonts w:hint="eastAsia" w:ascii="宋体" w:hAnsi="宋体" w:eastAsia="宋体" w:cs="宋体"/>
          <w:color w:val="auto"/>
          <w:sz w:val="21"/>
          <w:szCs w:val="21"/>
          <w:highlight w:val="none"/>
        </w:rPr>
        <w:t>。</w:t>
      </w:r>
    </w:p>
    <w:p w14:paraId="4E48C1CF">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、我方未为采购项目提供整体设计、规范编制或者项目管理、监理、检测等服务。</w:t>
      </w:r>
    </w:p>
    <w:p w14:paraId="10B2B05E">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p>
    <w:p w14:paraId="3B46EC2F">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（公章）或自然人签字：</w:t>
      </w:r>
    </w:p>
    <w:p w14:paraId="51337140">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19668C4E">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传真：</w:t>
      </w:r>
    </w:p>
    <w:p w14:paraId="145C6CAD">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                                             邮编：</w:t>
      </w:r>
    </w:p>
    <w:p w14:paraId="3AA9E3FC">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4BC19CFE">
      <w:pPr>
        <w:shd w:val="clear"/>
        <w:tabs>
          <w:tab w:val="left" w:pos="289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7A89DBEB">
      <w:pPr>
        <w:shd w:val="clear"/>
        <w:tabs>
          <w:tab w:val="left" w:pos="2895"/>
        </w:tabs>
        <w:spacing w:line="360" w:lineRule="auto"/>
        <w:ind w:firstLine="420" w:firstLineChars="200"/>
        <w:rPr>
          <w:rFonts w:hint="eastAsia" w:ascii="宋体" w:hAnsi="宋体" w:eastAsia="宋体" w:cs="宋体"/>
          <w:color w:val="auto"/>
          <w:sz w:val="21"/>
          <w:szCs w:val="21"/>
          <w:highlight w:val="none"/>
        </w:rPr>
      </w:pPr>
    </w:p>
    <w:p w14:paraId="6329C7C1">
      <w:pPr>
        <w:shd w:val="clea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76C8778">
      <w:pPr>
        <w:shd w:val="clear"/>
        <w:tabs>
          <w:tab w:val="left" w:pos="2895"/>
        </w:tabs>
        <w:spacing w:line="360" w:lineRule="auto"/>
        <w:ind w:firstLine="420" w:firstLineChars="200"/>
        <w:rPr>
          <w:rFonts w:hint="eastAsia" w:ascii="宋体" w:hAnsi="宋体" w:eastAsia="宋体" w:cs="宋体"/>
          <w:color w:val="auto"/>
          <w:sz w:val="21"/>
          <w:szCs w:val="21"/>
          <w:highlight w:val="none"/>
        </w:rPr>
      </w:pPr>
      <w:bookmarkStart w:id="203" w:name="_Toc14853"/>
      <w:bookmarkStart w:id="204" w:name="_Toc283382459"/>
      <w:r>
        <w:rPr>
          <w:rFonts w:hint="eastAsia" w:ascii="宋体" w:hAnsi="宋体" w:eastAsia="宋体" w:cs="宋体"/>
          <w:color w:val="auto"/>
          <w:sz w:val="21"/>
          <w:szCs w:val="21"/>
          <w:highlight w:val="none"/>
        </w:rPr>
        <w:t>（二）明细报价表</w:t>
      </w:r>
    </w:p>
    <w:p w14:paraId="187A271E">
      <w:pPr>
        <w:shd w:val="clea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明细报价表</w:t>
      </w:r>
    </w:p>
    <w:p w14:paraId="68AD96FD">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109EC187">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项目执行编号</w:t>
      </w:r>
      <w:r>
        <w:rPr>
          <w:rFonts w:hint="eastAsia" w:ascii="宋体" w:hAnsi="宋体" w:eastAsia="宋体" w:cs="宋体"/>
          <w:color w:val="auto"/>
          <w:sz w:val="21"/>
          <w:szCs w:val="21"/>
          <w:highlight w:val="none"/>
        </w:rPr>
        <w:t>：</w:t>
      </w:r>
    </w:p>
    <w:tbl>
      <w:tblPr>
        <w:tblStyle w:val="58"/>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62"/>
        <w:gridCol w:w="2786"/>
        <w:gridCol w:w="1014"/>
        <w:gridCol w:w="1366"/>
        <w:gridCol w:w="1032"/>
      </w:tblGrid>
      <w:tr w14:paraId="5295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exact"/>
          <w:jc w:val="center"/>
        </w:trPr>
        <w:tc>
          <w:tcPr>
            <w:tcW w:w="794" w:type="dxa"/>
            <w:vAlign w:val="center"/>
          </w:tcPr>
          <w:p w14:paraId="165B3312">
            <w:pPr>
              <w:keepNext w:val="0"/>
              <w:keepLines w:val="0"/>
              <w:suppressLineNumbers w:val="0"/>
              <w:shd w:val="clear"/>
              <w:spacing w:before="0" w:beforeAutospacing="0" w:after="0" w:afterAutospacing="0"/>
              <w:ind w:left="0" w:right="0" w:firstLine="0" w:firstLineChars="0"/>
              <w:jc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序号</w:t>
            </w:r>
          </w:p>
        </w:tc>
        <w:tc>
          <w:tcPr>
            <w:tcW w:w="1762" w:type="dxa"/>
            <w:vAlign w:val="center"/>
          </w:tcPr>
          <w:p w14:paraId="52959F93">
            <w:pPr>
              <w:keepNext w:val="0"/>
              <w:keepLines w:val="0"/>
              <w:suppressLineNumbers w:val="0"/>
              <w:shd w:val="clear"/>
              <w:spacing w:before="0" w:beforeAutospacing="0" w:after="0" w:afterAutospacing="0"/>
              <w:ind w:left="0" w:leftChars="0" w:right="0" w:firstLine="0" w:firstLineChars="0"/>
              <w:jc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名称</w:t>
            </w:r>
          </w:p>
        </w:tc>
        <w:tc>
          <w:tcPr>
            <w:tcW w:w="2786" w:type="dxa"/>
            <w:vAlign w:val="center"/>
          </w:tcPr>
          <w:p w14:paraId="36F2A7C0">
            <w:pPr>
              <w:keepNext w:val="0"/>
              <w:keepLines w:val="0"/>
              <w:suppressLineNumbers w:val="0"/>
              <w:shd w:val="clear"/>
              <w:spacing w:before="0" w:beforeAutospacing="0" w:after="0" w:afterAutospacing="0"/>
              <w:ind w:left="0" w:leftChars="0" w:right="0" w:firstLine="0" w:firstLineChars="0"/>
              <w:jc w:val="center"/>
              <w:rPr>
                <w:rFonts w:hint="default" w:ascii="宋体" w:hAnsi="宋体" w:eastAsia="宋体" w:cs="宋体"/>
                <w:b/>
                <w:color w:val="auto"/>
                <w:sz w:val="21"/>
                <w:szCs w:val="21"/>
                <w:highlight w:val="none"/>
                <w:lang w:val="en-US" w:eastAsia="zh-CN" w:bidi="ar-SA"/>
              </w:rPr>
            </w:pPr>
            <w:r>
              <w:rPr>
                <w:rFonts w:hint="eastAsia" w:ascii="宋体" w:hAnsi="宋体" w:cs="宋体"/>
                <w:b/>
                <w:color w:val="auto"/>
                <w:sz w:val="21"/>
                <w:szCs w:val="21"/>
                <w:highlight w:val="none"/>
                <w:lang w:val="en-US" w:eastAsia="zh-CN" w:bidi="ar-SA"/>
              </w:rPr>
              <w:t>相关信息</w:t>
            </w:r>
          </w:p>
        </w:tc>
        <w:tc>
          <w:tcPr>
            <w:tcW w:w="1014" w:type="dxa"/>
            <w:vAlign w:val="center"/>
          </w:tcPr>
          <w:p w14:paraId="1A563BA1">
            <w:pPr>
              <w:keepNext w:val="0"/>
              <w:keepLines w:val="0"/>
              <w:suppressLineNumbers w:val="0"/>
              <w:shd w:val="clear"/>
              <w:spacing w:before="0" w:beforeAutospacing="0" w:after="0" w:afterAutospacing="0"/>
              <w:ind w:left="0" w:right="0" w:firstLine="0" w:firstLineChars="0"/>
              <w:jc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数量</w:t>
            </w:r>
          </w:p>
        </w:tc>
        <w:tc>
          <w:tcPr>
            <w:tcW w:w="1366" w:type="dxa"/>
            <w:vAlign w:val="center"/>
          </w:tcPr>
          <w:p w14:paraId="465C3A1F">
            <w:pPr>
              <w:keepNext w:val="0"/>
              <w:keepLines w:val="0"/>
              <w:suppressLineNumbers w:val="0"/>
              <w:shd w:val="clear"/>
              <w:spacing w:before="0" w:beforeAutospacing="0" w:after="0" w:afterAutospacing="0"/>
              <w:ind w:left="0" w:right="0" w:firstLine="0" w:firstLineChars="0"/>
              <w:jc w:val="center"/>
              <w:rPr>
                <w:rFonts w:hint="eastAsia" w:ascii="宋体" w:hAnsi="宋体" w:eastAsia="宋体" w:cs="宋体"/>
                <w:b/>
                <w:color w:val="auto"/>
                <w:sz w:val="21"/>
                <w:szCs w:val="21"/>
                <w:highlight w:val="none"/>
                <w:lang w:eastAsia="zh-CN" w:bidi="ar-SA"/>
              </w:rPr>
            </w:pPr>
            <w:r>
              <w:rPr>
                <w:rFonts w:hint="eastAsia" w:ascii="宋体" w:hAnsi="宋体" w:eastAsia="宋体" w:cs="宋体"/>
                <w:b/>
                <w:color w:val="auto"/>
                <w:sz w:val="21"/>
                <w:szCs w:val="21"/>
                <w:highlight w:val="none"/>
                <w:lang w:bidi="ar-SA"/>
              </w:rPr>
              <w:t>单价</w:t>
            </w:r>
            <w:r>
              <w:rPr>
                <w:rFonts w:hint="eastAsia" w:ascii="宋体" w:hAnsi="宋体" w:cs="宋体"/>
                <w:b/>
                <w:color w:val="auto"/>
                <w:sz w:val="21"/>
                <w:szCs w:val="21"/>
                <w:highlight w:val="none"/>
                <w:lang w:eastAsia="zh-CN" w:bidi="ar-SA"/>
              </w:rPr>
              <w:t>报价（元）</w:t>
            </w:r>
          </w:p>
        </w:tc>
        <w:tc>
          <w:tcPr>
            <w:tcW w:w="1032" w:type="dxa"/>
            <w:vAlign w:val="center"/>
          </w:tcPr>
          <w:p w14:paraId="071DA5AE">
            <w:pPr>
              <w:keepNext w:val="0"/>
              <w:keepLines w:val="0"/>
              <w:suppressLineNumbers w:val="0"/>
              <w:shd w:val="clear"/>
              <w:spacing w:before="0" w:beforeAutospacing="0" w:after="0" w:afterAutospacing="0"/>
              <w:ind w:left="0" w:right="0" w:firstLine="0" w:firstLineChars="0"/>
              <w:jc w:val="center"/>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合计</w:t>
            </w:r>
            <w:r>
              <w:rPr>
                <w:rFonts w:hint="eastAsia" w:ascii="宋体" w:hAnsi="宋体" w:cs="宋体"/>
                <w:b/>
                <w:color w:val="auto"/>
                <w:sz w:val="21"/>
                <w:szCs w:val="21"/>
                <w:highlight w:val="none"/>
                <w:lang w:eastAsia="zh-CN" w:bidi="ar-SA"/>
              </w:rPr>
              <w:t>（元）</w:t>
            </w:r>
          </w:p>
        </w:tc>
      </w:tr>
      <w:tr w14:paraId="475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2CE30627">
            <w:pPr>
              <w:keepNext w:val="0"/>
              <w:keepLines w:val="0"/>
              <w:suppressLineNumbers w:val="0"/>
              <w:shd w:val="clear"/>
              <w:bidi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62" w:type="dxa"/>
            <w:vAlign w:val="center"/>
          </w:tcPr>
          <w:p w14:paraId="17EEBF5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2786" w:type="dxa"/>
            <w:vAlign w:val="top"/>
          </w:tcPr>
          <w:p w14:paraId="28CB018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14" w:type="dxa"/>
            <w:vAlign w:val="top"/>
          </w:tcPr>
          <w:p w14:paraId="3D5E5AF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366" w:type="dxa"/>
            <w:vAlign w:val="top"/>
          </w:tcPr>
          <w:p w14:paraId="0DF0CEA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32" w:type="dxa"/>
            <w:vAlign w:val="top"/>
          </w:tcPr>
          <w:p w14:paraId="7EB38F2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7DC7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16C4455D">
            <w:pPr>
              <w:keepNext w:val="0"/>
              <w:keepLines w:val="0"/>
              <w:suppressLineNumbers w:val="0"/>
              <w:shd w:val="clear"/>
              <w:bidi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62" w:type="dxa"/>
            <w:vAlign w:val="center"/>
          </w:tcPr>
          <w:p w14:paraId="67AC6A8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2786" w:type="dxa"/>
            <w:vAlign w:val="top"/>
          </w:tcPr>
          <w:p w14:paraId="74AACC9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14" w:type="dxa"/>
            <w:vAlign w:val="top"/>
          </w:tcPr>
          <w:p w14:paraId="229F7DA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366" w:type="dxa"/>
            <w:vAlign w:val="top"/>
          </w:tcPr>
          <w:p w14:paraId="26DBC66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32" w:type="dxa"/>
            <w:vAlign w:val="top"/>
          </w:tcPr>
          <w:p w14:paraId="711958B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0FD4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6BBE2090">
            <w:pPr>
              <w:keepNext w:val="0"/>
              <w:keepLines w:val="0"/>
              <w:suppressLineNumbers w:val="0"/>
              <w:shd w:val="clear"/>
              <w:bidi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62" w:type="dxa"/>
            <w:vAlign w:val="center"/>
          </w:tcPr>
          <w:p w14:paraId="3489325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2786" w:type="dxa"/>
            <w:vAlign w:val="top"/>
          </w:tcPr>
          <w:p w14:paraId="281680EE">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14" w:type="dxa"/>
            <w:vAlign w:val="top"/>
          </w:tcPr>
          <w:p w14:paraId="0CB56BF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366" w:type="dxa"/>
            <w:vAlign w:val="top"/>
          </w:tcPr>
          <w:p w14:paraId="4CDBB06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32" w:type="dxa"/>
            <w:vAlign w:val="top"/>
          </w:tcPr>
          <w:p w14:paraId="518669C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7D58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1577041A">
            <w:pPr>
              <w:keepNext w:val="0"/>
              <w:keepLines w:val="0"/>
              <w:suppressLineNumbers w:val="0"/>
              <w:shd w:val="clear"/>
              <w:bidi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62" w:type="dxa"/>
            <w:vAlign w:val="center"/>
          </w:tcPr>
          <w:p w14:paraId="5F781FC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2786" w:type="dxa"/>
            <w:vAlign w:val="top"/>
          </w:tcPr>
          <w:p w14:paraId="11A32FA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14" w:type="dxa"/>
            <w:vAlign w:val="top"/>
          </w:tcPr>
          <w:p w14:paraId="6EBFDEA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366" w:type="dxa"/>
            <w:vAlign w:val="top"/>
          </w:tcPr>
          <w:p w14:paraId="551BBB8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32" w:type="dxa"/>
            <w:vAlign w:val="top"/>
          </w:tcPr>
          <w:p w14:paraId="6195ACC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0313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6C860592">
            <w:pPr>
              <w:keepNext w:val="0"/>
              <w:keepLines w:val="0"/>
              <w:suppressLineNumbers w:val="0"/>
              <w:shd w:val="clear"/>
              <w:bidi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62" w:type="dxa"/>
            <w:vAlign w:val="center"/>
          </w:tcPr>
          <w:p w14:paraId="7085F25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2786" w:type="dxa"/>
            <w:vAlign w:val="top"/>
          </w:tcPr>
          <w:p w14:paraId="5D26C13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14" w:type="dxa"/>
            <w:vAlign w:val="top"/>
          </w:tcPr>
          <w:p w14:paraId="39DF2FB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366" w:type="dxa"/>
            <w:vAlign w:val="top"/>
          </w:tcPr>
          <w:p w14:paraId="388EAF8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32" w:type="dxa"/>
            <w:vAlign w:val="top"/>
          </w:tcPr>
          <w:p w14:paraId="697D8EF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463D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35FCB8EF">
            <w:pPr>
              <w:keepNext w:val="0"/>
              <w:keepLines w:val="0"/>
              <w:suppressLineNumbers w:val="0"/>
              <w:shd w:val="clear"/>
              <w:bidi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62" w:type="dxa"/>
            <w:vAlign w:val="center"/>
          </w:tcPr>
          <w:p w14:paraId="3A320AE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2786" w:type="dxa"/>
            <w:vAlign w:val="top"/>
          </w:tcPr>
          <w:p w14:paraId="319CB8E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14" w:type="dxa"/>
            <w:vAlign w:val="top"/>
          </w:tcPr>
          <w:p w14:paraId="412B423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366" w:type="dxa"/>
            <w:vAlign w:val="top"/>
          </w:tcPr>
          <w:p w14:paraId="7EBF4F3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c>
          <w:tcPr>
            <w:tcW w:w="1032" w:type="dxa"/>
            <w:vAlign w:val="top"/>
          </w:tcPr>
          <w:p w14:paraId="21FDBB2F">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1BFD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19A49D19">
            <w:pPr>
              <w:keepNext w:val="0"/>
              <w:keepLines w:val="0"/>
              <w:suppressLineNumbers w:val="0"/>
              <w:shd w:val="clear"/>
              <w:bidi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62" w:type="dxa"/>
            <w:vAlign w:val="center"/>
          </w:tcPr>
          <w:p w14:paraId="090E9C60">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2786" w:type="dxa"/>
            <w:vAlign w:val="top"/>
          </w:tcPr>
          <w:p w14:paraId="2E9B2EC3">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14" w:type="dxa"/>
            <w:vAlign w:val="top"/>
          </w:tcPr>
          <w:p w14:paraId="0B024BC7">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366" w:type="dxa"/>
            <w:vAlign w:val="top"/>
          </w:tcPr>
          <w:p w14:paraId="6E0977BA">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32" w:type="dxa"/>
            <w:vAlign w:val="top"/>
          </w:tcPr>
          <w:p w14:paraId="36362B8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7C24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01FB989D">
            <w:pPr>
              <w:keepNext w:val="0"/>
              <w:keepLines w:val="0"/>
              <w:suppressLineNumbers w:val="0"/>
              <w:shd w:val="clear"/>
              <w:bidi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62" w:type="dxa"/>
            <w:vAlign w:val="center"/>
          </w:tcPr>
          <w:p w14:paraId="6DDAD9C5">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2786" w:type="dxa"/>
            <w:vAlign w:val="top"/>
          </w:tcPr>
          <w:p w14:paraId="2B6C0587">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14" w:type="dxa"/>
            <w:vAlign w:val="top"/>
          </w:tcPr>
          <w:p w14:paraId="64F49343">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366" w:type="dxa"/>
            <w:vAlign w:val="top"/>
          </w:tcPr>
          <w:p w14:paraId="5C56F9D1">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32" w:type="dxa"/>
            <w:vAlign w:val="top"/>
          </w:tcPr>
          <w:p w14:paraId="75A7F91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1900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4838F0AD">
            <w:pPr>
              <w:keepNext w:val="0"/>
              <w:keepLines w:val="0"/>
              <w:suppressLineNumbers w:val="0"/>
              <w:shd w:val="clear"/>
              <w:bidi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62" w:type="dxa"/>
            <w:vAlign w:val="center"/>
          </w:tcPr>
          <w:p w14:paraId="1CA4B1C0">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2786" w:type="dxa"/>
            <w:vAlign w:val="top"/>
          </w:tcPr>
          <w:p w14:paraId="1A24D1B7">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14" w:type="dxa"/>
            <w:vAlign w:val="top"/>
          </w:tcPr>
          <w:p w14:paraId="7E5940B2">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366" w:type="dxa"/>
            <w:vAlign w:val="top"/>
          </w:tcPr>
          <w:p w14:paraId="7E8CE779">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32" w:type="dxa"/>
            <w:vAlign w:val="top"/>
          </w:tcPr>
          <w:p w14:paraId="54C35BF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6A55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43936B70">
            <w:pPr>
              <w:keepNext w:val="0"/>
              <w:keepLines w:val="0"/>
              <w:suppressLineNumbers w:val="0"/>
              <w:shd w:val="clear"/>
              <w:bidi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62" w:type="dxa"/>
            <w:vAlign w:val="center"/>
          </w:tcPr>
          <w:p w14:paraId="48210632">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2786" w:type="dxa"/>
            <w:vAlign w:val="top"/>
          </w:tcPr>
          <w:p w14:paraId="6994E31E">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14" w:type="dxa"/>
            <w:vAlign w:val="top"/>
          </w:tcPr>
          <w:p w14:paraId="08B06A7F">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366" w:type="dxa"/>
            <w:vAlign w:val="top"/>
          </w:tcPr>
          <w:p w14:paraId="1E47658C">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32" w:type="dxa"/>
            <w:vAlign w:val="top"/>
          </w:tcPr>
          <w:p w14:paraId="61562D5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4019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794" w:type="dxa"/>
            <w:vAlign w:val="center"/>
          </w:tcPr>
          <w:p w14:paraId="5C9B1881">
            <w:pPr>
              <w:keepNext w:val="0"/>
              <w:keepLines w:val="0"/>
              <w:suppressLineNumbers w:val="0"/>
              <w:shd w:val="clear"/>
              <w:bidi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62" w:type="dxa"/>
            <w:vAlign w:val="center"/>
          </w:tcPr>
          <w:p w14:paraId="2B4CD6B1">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w:t>
            </w:r>
          </w:p>
        </w:tc>
        <w:tc>
          <w:tcPr>
            <w:tcW w:w="2786" w:type="dxa"/>
            <w:vAlign w:val="top"/>
          </w:tcPr>
          <w:p w14:paraId="1D2D2783">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14" w:type="dxa"/>
            <w:vAlign w:val="top"/>
          </w:tcPr>
          <w:p w14:paraId="4D62A5B8">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366" w:type="dxa"/>
            <w:vAlign w:val="top"/>
          </w:tcPr>
          <w:p w14:paraId="0AE972D6">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p>
        </w:tc>
        <w:tc>
          <w:tcPr>
            <w:tcW w:w="1032" w:type="dxa"/>
            <w:vAlign w:val="top"/>
          </w:tcPr>
          <w:p w14:paraId="5B4729B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1"/>
                <w:szCs w:val="21"/>
                <w:highlight w:val="none"/>
                <w:lang w:bidi="ar-SA"/>
              </w:rPr>
            </w:pPr>
          </w:p>
        </w:tc>
      </w:tr>
      <w:tr w14:paraId="248A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jc w:val="center"/>
        </w:trPr>
        <w:tc>
          <w:tcPr>
            <w:tcW w:w="8754" w:type="dxa"/>
            <w:gridSpan w:val="6"/>
            <w:vAlign w:val="center"/>
          </w:tcPr>
          <w:p w14:paraId="051D484D">
            <w:pPr>
              <w:keepNext w:val="0"/>
              <w:keepLines w:val="0"/>
              <w:suppressLineNumbers w:val="0"/>
              <w:shd w:val="clear"/>
              <w:spacing w:before="0" w:beforeAutospacing="0" w:after="0" w:afterAutospacing="0"/>
              <w:ind w:left="0" w:right="0"/>
              <w:jc w:val="both"/>
              <w:rPr>
                <w:rFonts w:hint="eastAsia" w:ascii="宋体" w:hAnsi="宋体" w:eastAsia="宋体" w:cs="宋体"/>
                <w:color w:val="auto"/>
                <w:sz w:val="21"/>
                <w:szCs w:val="21"/>
                <w:highlight w:val="none"/>
                <w:lang w:bidi="ar-SA"/>
              </w:rPr>
            </w:pPr>
            <w:r>
              <w:rPr>
                <w:rFonts w:hint="eastAsia" w:ascii="宋体" w:hAnsi="宋体" w:cs="宋体"/>
                <w:color w:val="auto"/>
                <w:sz w:val="21"/>
                <w:szCs w:val="21"/>
                <w:highlight w:val="none"/>
                <w:lang w:eastAsia="zh-CN" w:bidi="ar-SA"/>
              </w:rPr>
              <w:t>总价报价（元）</w:t>
            </w:r>
          </w:p>
        </w:tc>
      </w:tr>
    </w:tbl>
    <w:p w14:paraId="611A24DF">
      <w:pPr>
        <w:shd w:val="clear"/>
        <w:snapToGrid w:val="0"/>
        <w:spacing w:line="500" w:lineRule="exact"/>
        <w:ind w:firstLine="420" w:firstLineChars="200"/>
        <w:rPr>
          <w:rFonts w:hint="eastAsia" w:ascii="宋体" w:hAnsi="宋体" w:eastAsia="宋体" w:cs="宋体"/>
          <w:color w:val="auto"/>
          <w:sz w:val="21"/>
          <w:szCs w:val="21"/>
          <w:highlight w:val="none"/>
        </w:rPr>
      </w:pPr>
    </w:p>
    <w:p w14:paraId="68215081">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注：1.请</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完整填写本表。</w:t>
      </w:r>
    </w:p>
    <w:p w14:paraId="385CEC95">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2.该表可根据项目实际情况调整。</w:t>
      </w:r>
    </w:p>
    <w:p w14:paraId="16709070">
      <w:pPr>
        <w:shd w:val="clear"/>
        <w:snapToGrid w:val="0"/>
        <w:spacing w:line="360" w:lineRule="auto"/>
        <w:rPr>
          <w:rFonts w:hint="eastAsia" w:ascii="宋体" w:hAnsi="宋体" w:eastAsia="宋体" w:cs="宋体"/>
          <w:color w:val="auto"/>
          <w:sz w:val="21"/>
          <w:szCs w:val="21"/>
          <w:highlight w:val="none"/>
        </w:rPr>
      </w:pPr>
    </w:p>
    <w:p w14:paraId="16D2A621">
      <w:pPr>
        <w:shd w:val="clear"/>
        <w:snapToGrid w:val="0"/>
        <w:spacing w:line="360" w:lineRule="auto"/>
        <w:rPr>
          <w:rFonts w:hint="eastAsia" w:ascii="宋体" w:hAnsi="宋体" w:eastAsia="宋体" w:cs="宋体"/>
          <w:color w:val="auto"/>
          <w:sz w:val="21"/>
          <w:szCs w:val="21"/>
          <w:highlight w:val="none"/>
        </w:rPr>
      </w:pPr>
    </w:p>
    <w:p w14:paraId="2822A8E6">
      <w:pPr>
        <w:shd w:val="clea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C09C979">
      <w:pPr>
        <w:shd w:val="clea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竞选人（公章）或自然人签字：</w:t>
      </w:r>
    </w:p>
    <w:p w14:paraId="7EB105A1">
      <w:pPr>
        <w:shd w:val="clear"/>
        <w:spacing w:line="360" w:lineRule="auto"/>
        <w:ind w:firstLine="3780" w:firstLineChars="1800"/>
        <w:rPr>
          <w:rFonts w:hint="eastAsia" w:ascii="宋体" w:hAnsi="宋体" w:eastAsia="宋体" w:cs="宋体"/>
          <w:color w:val="auto"/>
          <w:sz w:val="21"/>
          <w:szCs w:val="21"/>
          <w:highlight w:val="none"/>
        </w:rPr>
        <w:sectPr>
          <w:headerReference r:id="rId6" w:type="default"/>
          <w:footerReference r:id="rId7"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1"/>
          <w:szCs w:val="21"/>
          <w:highlight w:val="none"/>
        </w:rPr>
        <w:t>年     月    日</w:t>
      </w:r>
    </w:p>
    <w:p w14:paraId="2BFCBB58">
      <w:pPr>
        <w:pStyle w:val="4"/>
        <w:shd w:val="clear"/>
        <w:spacing w:before="0" w:after="0" w:line="360" w:lineRule="auto"/>
        <w:ind w:left="0" w:leftChars="0" w:firstLine="0" w:firstLineChars="0"/>
        <w:jc w:val="both"/>
        <w:rPr>
          <w:rFonts w:hint="eastAsia" w:ascii="宋体" w:hAnsi="宋体" w:eastAsia="宋体" w:cs="宋体"/>
          <w:color w:val="auto"/>
          <w:sz w:val="21"/>
          <w:szCs w:val="21"/>
          <w:highlight w:val="none"/>
        </w:rPr>
      </w:pPr>
      <w:bookmarkStart w:id="205" w:name="_Toc31149"/>
      <w:r>
        <w:rPr>
          <w:rFonts w:hint="eastAsia" w:ascii="宋体" w:hAnsi="宋体" w:eastAsia="宋体" w:cs="宋体"/>
          <w:color w:val="auto"/>
          <w:sz w:val="21"/>
          <w:szCs w:val="21"/>
          <w:highlight w:val="none"/>
        </w:rPr>
        <w:t>二、</w:t>
      </w:r>
      <w:bookmarkEnd w:id="203"/>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bookmarkEnd w:id="205"/>
    </w:p>
    <w:p w14:paraId="1433ACC2">
      <w:pPr>
        <w:numPr>
          <w:ilvl w:val="0"/>
          <w:numId w:val="0"/>
        </w:numPr>
        <w:shd w:val="clear"/>
        <w:snapToGrid w:val="0"/>
        <w:spacing w:line="360" w:lineRule="auto"/>
        <w:ind w:left="502"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（一）技术</w:t>
      </w:r>
      <w:r>
        <w:rPr>
          <w:rFonts w:hint="eastAsia" w:ascii="宋体" w:hAnsi="宋体" w:eastAsia="宋体" w:cs="宋体"/>
          <w:color w:val="auto"/>
          <w:sz w:val="21"/>
          <w:szCs w:val="21"/>
          <w:highlight w:val="none"/>
        </w:rPr>
        <w:t>响应偏离表</w:t>
      </w:r>
    </w:p>
    <w:p w14:paraId="5AB1B616">
      <w:pPr>
        <w:shd w:val="clea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CE7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271" w:type="dxa"/>
            <w:vAlign w:val="center"/>
          </w:tcPr>
          <w:p w14:paraId="4E5CB9D1">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0BD35D8F">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40E58D19">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6726D3BB">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2E26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04885DBC">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7A286BC0">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05466DB3">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127C1139">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4451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7F00D7EC">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508819E2">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6D284B0A">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4ACEFF9D">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1AEF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48F0F90B">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52AFCBA5">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01210C4E">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10836A8B">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3927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49305598">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4A74B8F7">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552062B1">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084DC5E7">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65A8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28E5C11A">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207A32F2">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63C1BE1F">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324E337D">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121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09B6DFC5">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2C4C74A2">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1EC6E167">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7337E352">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5BA2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794D3AFC">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7569A125">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6E340AAC">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26469A1F">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655E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3F476F17">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2A5B905C">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40C6D853">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0A863F8B">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0DEA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6AC5F7BC">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3A8D260F">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552508B5">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78E9B9B9">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40E0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6264B17C">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072DEFE0">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3B9F8044">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29788446">
            <w:pPr>
              <w:keepNext w:val="0"/>
              <w:keepLines w:val="0"/>
              <w:suppressLineNumbers w:val="0"/>
              <w:shd w:val="clear"/>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bl>
    <w:p w14:paraId="382AAF91">
      <w:pPr>
        <w:shd w:val="clea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                          法定代表人（或其授权代表）或自然人：</w:t>
      </w:r>
    </w:p>
    <w:p w14:paraId="1F205B94">
      <w:pPr>
        <w:shd w:val="clea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公章）                               （签字或盖章）</w:t>
      </w:r>
    </w:p>
    <w:p w14:paraId="50FB72C8">
      <w:pPr>
        <w:shd w:val="clear"/>
        <w:tabs>
          <w:tab w:val="left" w:pos="6300"/>
        </w:tabs>
        <w:snapToGrid w:val="0"/>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7D9F2D27">
      <w:pPr>
        <w:shd w:val="clear"/>
        <w:tabs>
          <w:tab w:val="left" w:pos="6300"/>
        </w:tabs>
        <w:snapToGrid w:val="0"/>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5889EAC">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1.本表即为对本项目“第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篇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需求”中所列条款进行比较和响应；</w:t>
      </w:r>
    </w:p>
    <w:p w14:paraId="663A65A2">
      <w:pPr>
        <w:shd w:val="clea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2.本表可扩展。</w:t>
      </w:r>
    </w:p>
    <w:p w14:paraId="161EEAE8">
      <w:pPr>
        <w:numPr>
          <w:ilvl w:val="0"/>
          <w:numId w:val="0"/>
        </w:numPr>
        <w:shd w:val="clear"/>
        <w:snapToGrid w:val="0"/>
        <w:spacing w:line="400" w:lineRule="exact"/>
        <w:ind w:firstLine="420" w:firstLineChars="200"/>
        <w:rPr>
          <w:rFonts w:hint="eastAsia" w:ascii="宋体" w:hAnsi="宋体" w:eastAsia="宋体" w:cs="宋体"/>
          <w:color w:val="auto"/>
          <w:sz w:val="21"/>
          <w:szCs w:val="21"/>
          <w:highlight w:val="none"/>
          <w:lang w:val="en-US" w:eastAsia="zh-CN"/>
        </w:rPr>
      </w:pPr>
    </w:p>
    <w:p w14:paraId="56A6FD6A">
      <w:pPr>
        <w:numPr>
          <w:ilvl w:val="0"/>
          <w:numId w:val="0"/>
        </w:numPr>
        <w:shd w:val="clear"/>
        <w:snapToGrid w:val="0"/>
        <w:spacing w:line="400" w:lineRule="exact"/>
        <w:ind w:firstLine="420" w:firstLineChars="200"/>
        <w:rPr>
          <w:rFonts w:hint="eastAsia" w:ascii="宋体" w:hAnsi="宋体" w:eastAsia="宋体" w:cs="宋体"/>
          <w:color w:val="auto"/>
          <w:sz w:val="21"/>
          <w:szCs w:val="21"/>
          <w:highlight w:val="none"/>
          <w:lang w:val="en-US" w:eastAsia="zh-CN"/>
        </w:rPr>
      </w:pPr>
    </w:p>
    <w:p w14:paraId="397F2224">
      <w:pPr>
        <w:numPr>
          <w:ilvl w:val="0"/>
          <w:numId w:val="0"/>
        </w:numPr>
        <w:shd w:val="clear"/>
        <w:snapToGrid w:val="0"/>
        <w:spacing w:line="400" w:lineRule="exact"/>
        <w:ind w:firstLine="420" w:firstLineChars="200"/>
        <w:rPr>
          <w:rFonts w:hint="eastAsia" w:ascii="宋体" w:hAnsi="宋体" w:eastAsia="宋体" w:cs="宋体"/>
          <w:color w:val="auto"/>
          <w:sz w:val="21"/>
          <w:szCs w:val="21"/>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p>
    <w:p w14:paraId="38C74971">
      <w:pPr>
        <w:numPr>
          <w:ilvl w:val="0"/>
          <w:numId w:val="0"/>
        </w:numPr>
        <w:shd w:val="clear"/>
        <w:snapToGrid w:val="0"/>
        <w:spacing w:line="400" w:lineRule="exact"/>
        <w:ind w:firstLine="420" w:firstLineChars="200"/>
        <w:rPr>
          <w:rFonts w:hint="eastAsia" w:ascii="宋体" w:hAnsi="宋体" w:eastAsia="宋体" w:cs="宋体"/>
          <w:color w:val="auto"/>
          <w:sz w:val="21"/>
          <w:szCs w:val="21"/>
          <w:highlight w:val="none"/>
          <w:lang w:val="en-US" w:eastAsia="zh-CN"/>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1"/>
          <w:szCs w:val="21"/>
          <w:highlight w:val="none"/>
          <w:lang w:val="en-US" w:eastAsia="zh-CN"/>
        </w:rPr>
        <w:t>（二）其他技术资料（格式自拟）</w:t>
      </w:r>
    </w:p>
    <w:p w14:paraId="1E56BB13">
      <w:pPr>
        <w:pStyle w:val="4"/>
        <w:shd w:val="clear"/>
        <w:spacing w:before="0" w:after="0" w:line="360" w:lineRule="auto"/>
        <w:rPr>
          <w:rFonts w:hint="eastAsia" w:ascii="宋体" w:hAnsi="宋体" w:eastAsia="宋体" w:cs="宋体"/>
          <w:color w:val="auto"/>
          <w:sz w:val="21"/>
          <w:szCs w:val="21"/>
          <w:highlight w:val="none"/>
        </w:rPr>
      </w:pPr>
      <w:bookmarkStart w:id="206" w:name="_Toc2137"/>
      <w:bookmarkStart w:id="207" w:name="_Toc25084"/>
      <w:bookmarkStart w:id="208" w:name="_Toc29845"/>
      <w:bookmarkStart w:id="209" w:name="_Toc6152"/>
      <w:r>
        <w:rPr>
          <w:rFonts w:hint="eastAsia" w:ascii="宋体" w:hAnsi="宋体" w:eastAsia="宋体" w:cs="宋体"/>
          <w:color w:val="auto"/>
          <w:sz w:val="21"/>
          <w:szCs w:val="21"/>
          <w:highlight w:val="none"/>
        </w:rPr>
        <w:t>三、商务部分</w:t>
      </w:r>
      <w:bookmarkEnd w:id="206"/>
      <w:bookmarkEnd w:id="207"/>
      <w:bookmarkEnd w:id="208"/>
      <w:bookmarkEnd w:id="209"/>
    </w:p>
    <w:p w14:paraId="51546AA4">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）商务响应偏离表</w:t>
      </w:r>
    </w:p>
    <w:p w14:paraId="7B2038AA">
      <w:pPr>
        <w:shd w:val="clea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bl>
      <w:tblPr>
        <w:tblStyle w:val="5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967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510" w:type="dxa"/>
            <w:vAlign w:val="center"/>
          </w:tcPr>
          <w:p w14:paraId="6565F05A">
            <w:pPr>
              <w:keepNext w:val="0"/>
              <w:keepLines w:val="0"/>
              <w:suppressLineNumbers w:val="0"/>
              <w:shd w:val="clear"/>
              <w:tabs>
                <w:tab w:val="left" w:pos="6300"/>
              </w:tabs>
              <w:snapToGrid w:val="0"/>
              <w:spacing w:before="0" w:beforeAutospacing="0" w:after="0" w:afterAutospacing="0" w:line="4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0356B44E">
            <w:pPr>
              <w:keepNext w:val="0"/>
              <w:keepLines w:val="0"/>
              <w:suppressLineNumbers w:val="0"/>
              <w:shd w:val="clear"/>
              <w:tabs>
                <w:tab w:val="left" w:pos="6300"/>
              </w:tabs>
              <w:snapToGrid w:val="0"/>
              <w:spacing w:before="0" w:beforeAutospacing="0" w:after="0" w:afterAutospacing="0" w:line="4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商务需求</w:t>
            </w:r>
          </w:p>
        </w:tc>
        <w:tc>
          <w:tcPr>
            <w:tcW w:w="2434" w:type="dxa"/>
            <w:vAlign w:val="center"/>
          </w:tcPr>
          <w:p w14:paraId="7EA7A6A5">
            <w:pPr>
              <w:keepNext w:val="0"/>
              <w:keepLines w:val="0"/>
              <w:suppressLineNumbers w:val="0"/>
              <w:shd w:val="clear"/>
              <w:tabs>
                <w:tab w:val="left" w:pos="6300"/>
              </w:tabs>
              <w:snapToGrid w:val="0"/>
              <w:spacing w:before="0" w:beforeAutospacing="0" w:after="0" w:afterAutospacing="0" w:line="4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55" w:type="dxa"/>
            <w:vAlign w:val="center"/>
          </w:tcPr>
          <w:p w14:paraId="53B6CB4D">
            <w:pPr>
              <w:keepNext w:val="0"/>
              <w:keepLines w:val="0"/>
              <w:suppressLineNumbers w:val="0"/>
              <w:shd w:val="clear"/>
              <w:tabs>
                <w:tab w:val="left" w:pos="6300"/>
              </w:tabs>
              <w:snapToGrid w:val="0"/>
              <w:spacing w:before="0" w:beforeAutospacing="0" w:after="0" w:afterAutospacing="0" w:line="4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EE9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vAlign w:val="center"/>
          </w:tcPr>
          <w:p w14:paraId="1B99340A">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3179" w:type="dxa"/>
            <w:vAlign w:val="center"/>
          </w:tcPr>
          <w:p w14:paraId="7D9C4E8A">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434" w:type="dxa"/>
            <w:vAlign w:val="center"/>
          </w:tcPr>
          <w:p w14:paraId="72BDAE80">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355" w:type="dxa"/>
            <w:vAlign w:val="center"/>
          </w:tcPr>
          <w:p w14:paraId="73BAB931">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r>
      <w:tr w14:paraId="1BB1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vAlign w:val="center"/>
          </w:tcPr>
          <w:p w14:paraId="5E650F14">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3179" w:type="dxa"/>
            <w:vAlign w:val="center"/>
          </w:tcPr>
          <w:p w14:paraId="012F0D72">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434" w:type="dxa"/>
            <w:vAlign w:val="center"/>
          </w:tcPr>
          <w:p w14:paraId="1356650C">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355" w:type="dxa"/>
            <w:vAlign w:val="center"/>
          </w:tcPr>
          <w:p w14:paraId="61550974">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r>
      <w:tr w14:paraId="669F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vAlign w:val="center"/>
          </w:tcPr>
          <w:p w14:paraId="148DF81D">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3179" w:type="dxa"/>
            <w:vAlign w:val="center"/>
          </w:tcPr>
          <w:p w14:paraId="1239FBED">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434" w:type="dxa"/>
            <w:vAlign w:val="center"/>
          </w:tcPr>
          <w:p w14:paraId="07A58791">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355" w:type="dxa"/>
            <w:vAlign w:val="center"/>
          </w:tcPr>
          <w:p w14:paraId="02F2BBEC">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r>
      <w:tr w14:paraId="4965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vAlign w:val="center"/>
          </w:tcPr>
          <w:p w14:paraId="35747A80">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3179" w:type="dxa"/>
            <w:vAlign w:val="center"/>
          </w:tcPr>
          <w:p w14:paraId="41159EE1">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434" w:type="dxa"/>
            <w:vAlign w:val="center"/>
          </w:tcPr>
          <w:p w14:paraId="4CA366B1">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355" w:type="dxa"/>
            <w:vAlign w:val="center"/>
          </w:tcPr>
          <w:p w14:paraId="674CAB7C">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r>
      <w:tr w14:paraId="6B44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vAlign w:val="center"/>
          </w:tcPr>
          <w:p w14:paraId="5D29DF36">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3179" w:type="dxa"/>
            <w:vAlign w:val="center"/>
          </w:tcPr>
          <w:p w14:paraId="4A5C0A66">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434" w:type="dxa"/>
            <w:vAlign w:val="center"/>
          </w:tcPr>
          <w:p w14:paraId="08204C15">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355" w:type="dxa"/>
            <w:vAlign w:val="center"/>
          </w:tcPr>
          <w:p w14:paraId="009E6427">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r>
      <w:tr w14:paraId="3A17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vAlign w:val="center"/>
          </w:tcPr>
          <w:p w14:paraId="63ADD0B2">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3179" w:type="dxa"/>
            <w:vAlign w:val="center"/>
          </w:tcPr>
          <w:p w14:paraId="71B1D15B">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434" w:type="dxa"/>
            <w:vAlign w:val="center"/>
          </w:tcPr>
          <w:p w14:paraId="69827169">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c>
          <w:tcPr>
            <w:tcW w:w="2355" w:type="dxa"/>
            <w:vAlign w:val="center"/>
          </w:tcPr>
          <w:p w14:paraId="0AEA8938">
            <w:pPr>
              <w:keepNext w:val="0"/>
              <w:keepLines w:val="0"/>
              <w:suppressLineNumbers w:val="0"/>
              <w:shd w:val="clear"/>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1"/>
                <w:highlight w:val="none"/>
              </w:rPr>
            </w:pPr>
          </w:p>
        </w:tc>
      </w:tr>
    </w:tbl>
    <w:p w14:paraId="19A6E7CB">
      <w:pPr>
        <w:shd w:val="clear"/>
        <w:snapToGrid w:val="0"/>
        <w:spacing w:line="360" w:lineRule="auto"/>
        <w:ind w:firstLine="465"/>
        <w:rPr>
          <w:rFonts w:hint="eastAsia" w:ascii="宋体" w:hAnsi="宋体" w:eastAsia="宋体" w:cs="宋体"/>
          <w:color w:val="auto"/>
          <w:sz w:val="21"/>
          <w:szCs w:val="21"/>
          <w:highlight w:val="none"/>
        </w:rPr>
      </w:pPr>
    </w:p>
    <w:p w14:paraId="0B3A0E9D">
      <w:pPr>
        <w:shd w:val="clea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                            法定代表人（或其授权代表）或自然人：</w:t>
      </w:r>
    </w:p>
    <w:p w14:paraId="537C2318">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EFEE72">
      <w:pPr>
        <w:shd w:val="clea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公章）                                 （签字或盖章）</w:t>
      </w:r>
    </w:p>
    <w:p w14:paraId="26D591DA">
      <w:pPr>
        <w:shd w:val="clear"/>
        <w:tabs>
          <w:tab w:val="left" w:pos="6300"/>
        </w:tabs>
        <w:snapToGrid w:val="0"/>
        <w:spacing w:line="360"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1E45A410">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54571A5">
      <w:pPr>
        <w:shd w:val="clear"/>
        <w:tabs>
          <w:tab w:val="left" w:pos="63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1.本表即为对本项目“第三篇  项目商务需求”中所列条款进行比较和响应；</w:t>
      </w:r>
    </w:p>
    <w:p w14:paraId="48A2D8BC">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2.本表可扩展。</w:t>
      </w:r>
    </w:p>
    <w:p w14:paraId="378F4BCA">
      <w:pPr>
        <w:shd w:val="clear"/>
        <w:tabs>
          <w:tab w:val="left" w:pos="6300"/>
        </w:tabs>
        <w:snapToGrid w:val="0"/>
        <w:spacing w:line="500" w:lineRule="exact"/>
        <w:ind w:firstLine="420" w:firstLineChars="200"/>
        <w:rPr>
          <w:rFonts w:hint="eastAsia" w:ascii="宋体" w:hAnsi="宋体" w:eastAsia="宋体" w:cs="宋体"/>
          <w:color w:val="auto"/>
          <w:sz w:val="21"/>
          <w:szCs w:val="21"/>
          <w:highlight w:val="none"/>
        </w:rPr>
      </w:pPr>
    </w:p>
    <w:p w14:paraId="0E6F1E13">
      <w:pPr>
        <w:shd w:val="clear"/>
        <w:snapToGrid w:val="0"/>
        <w:spacing w:line="360" w:lineRule="auto"/>
        <w:rPr>
          <w:rFonts w:hint="eastAsia" w:ascii="宋体" w:hAnsi="宋体" w:eastAsia="宋体" w:cs="宋体"/>
          <w:color w:val="auto"/>
          <w:sz w:val="21"/>
          <w:szCs w:val="21"/>
          <w:highlight w:val="none"/>
        </w:rPr>
      </w:pPr>
    </w:p>
    <w:p w14:paraId="69E87D59">
      <w:pPr>
        <w:shd w:val="clear"/>
        <w:snapToGrid w:val="0"/>
        <w:spacing w:line="360" w:lineRule="auto"/>
        <w:ind w:firstLine="420" w:firstLineChars="200"/>
        <w:rPr>
          <w:rFonts w:hint="eastAsia" w:ascii="宋体" w:hAnsi="宋体" w:eastAsia="宋体" w:cs="宋体"/>
          <w:color w:val="auto"/>
          <w:sz w:val="21"/>
          <w:szCs w:val="21"/>
          <w:highlight w:val="none"/>
        </w:rPr>
        <w:sectPr>
          <w:headerReference r:id="rId8"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562D1A0A">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）其它</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优惠承诺（格式自</w:t>
      </w:r>
      <w:r>
        <w:rPr>
          <w:rFonts w:hint="eastAsia" w:ascii="宋体" w:hAnsi="宋体" w:eastAsia="宋体" w:cs="宋体"/>
          <w:color w:val="auto"/>
          <w:sz w:val="21"/>
          <w:szCs w:val="21"/>
          <w:highlight w:val="none"/>
          <w:lang w:val="en-US" w:eastAsia="zh-CN"/>
        </w:rPr>
        <w:t>拟</w:t>
      </w:r>
      <w:r>
        <w:rPr>
          <w:rFonts w:hint="eastAsia" w:ascii="宋体" w:hAnsi="宋体" w:eastAsia="宋体" w:cs="宋体"/>
          <w:color w:val="auto"/>
          <w:sz w:val="21"/>
          <w:szCs w:val="21"/>
          <w:highlight w:val="none"/>
        </w:rPr>
        <w:t>）</w:t>
      </w:r>
    </w:p>
    <w:bookmarkEnd w:id="204"/>
    <w:p w14:paraId="78D3EF05">
      <w:pPr>
        <w:pStyle w:val="4"/>
        <w:shd w:val="clear"/>
        <w:spacing w:before="0" w:after="0" w:line="360" w:lineRule="auto"/>
        <w:rPr>
          <w:rFonts w:hint="eastAsia" w:ascii="宋体" w:hAnsi="宋体" w:eastAsia="宋体" w:cs="宋体"/>
          <w:color w:val="auto"/>
          <w:sz w:val="21"/>
          <w:szCs w:val="21"/>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4789DDF0">
      <w:pPr>
        <w:pStyle w:val="4"/>
        <w:shd w:val="clear"/>
        <w:spacing w:before="0" w:after="0" w:line="360" w:lineRule="auto"/>
        <w:ind w:left="0" w:leftChars="0" w:firstLine="0" w:firstLineChars="0"/>
        <w:jc w:val="left"/>
        <w:rPr>
          <w:rFonts w:hint="eastAsia" w:ascii="宋体" w:hAnsi="宋体" w:eastAsia="宋体" w:cs="宋体"/>
          <w:b/>
          <w:bCs/>
          <w:color w:val="auto"/>
          <w:sz w:val="21"/>
          <w:szCs w:val="21"/>
          <w:highlight w:val="none"/>
        </w:rPr>
      </w:pPr>
      <w:bookmarkStart w:id="210" w:name="_Toc27619"/>
      <w:r>
        <w:rPr>
          <w:rFonts w:hint="eastAsia" w:ascii="宋体" w:hAnsi="宋体" w:eastAsia="宋体" w:cs="宋体"/>
          <w:b/>
          <w:bCs/>
          <w:color w:val="auto"/>
          <w:sz w:val="21"/>
          <w:szCs w:val="21"/>
          <w:highlight w:val="none"/>
        </w:rPr>
        <w:t>四、资格条件及其他</w:t>
      </w:r>
      <w:bookmarkEnd w:id="210"/>
    </w:p>
    <w:p w14:paraId="49A30A0F">
      <w:pPr>
        <w:shd w:val="clear"/>
        <w:tabs>
          <w:tab w:val="left" w:pos="6300"/>
        </w:tabs>
        <w:snapToGrid w:val="0"/>
        <w:spacing w:line="360" w:lineRule="auto"/>
        <w:ind w:firstLine="57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（一）法人营业执照（副本）或事业单位法人证书（副本）或个体工商户营业执照或有效的自然人身份证明或社会团体法人登记证书复印件</w:t>
      </w:r>
    </w:p>
    <w:p w14:paraId="2BDB4DBB">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53003343">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765947F6">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53AB9E74">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49F7F3ED">
      <w:pPr>
        <w:widowControl/>
        <w:numPr>
          <w:ilvl w:val="0"/>
          <w:numId w:val="16"/>
        </w:numPr>
        <w:shd w:val="clea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法定代表人身份证明书（格式）</w:t>
      </w:r>
    </w:p>
    <w:p w14:paraId="41650A60">
      <w:pPr>
        <w:widowControl/>
        <w:shd w:val="clear"/>
        <w:spacing w:line="530" w:lineRule="exact"/>
        <w:ind w:firstLine="422" w:firstLineChars="200"/>
        <w:jc w:val="center"/>
        <w:rPr>
          <w:rFonts w:hint="eastAsia" w:ascii="宋体" w:hAnsi="宋体" w:eastAsia="宋体" w:cs="宋体"/>
          <w:b/>
          <w:bCs/>
          <w:color w:val="auto"/>
          <w:sz w:val="21"/>
          <w:szCs w:val="21"/>
          <w:highlight w:val="none"/>
        </w:rPr>
      </w:pPr>
    </w:p>
    <w:p w14:paraId="33659F80">
      <w:pPr>
        <w:widowControl/>
        <w:shd w:val="clear"/>
        <w:spacing w:line="530" w:lineRule="exact"/>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法定代表人身份证明书</w:t>
      </w:r>
    </w:p>
    <w:p w14:paraId="5389E6E3">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0BCD4FC3">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8E0BD85">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1712B33C">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比选代理机构</w:t>
      </w:r>
      <w:r>
        <w:rPr>
          <w:rFonts w:hint="eastAsia" w:ascii="宋体" w:hAnsi="宋体" w:eastAsia="宋体" w:cs="宋体"/>
          <w:color w:val="auto"/>
          <w:sz w:val="21"/>
          <w:szCs w:val="21"/>
          <w:highlight w:val="none"/>
        </w:rPr>
        <w:t>名称）：</w:t>
      </w:r>
    </w:p>
    <w:p w14:paraId="0A11FD89">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名称）任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（职务名称）职务，是（</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p>
    <w:p w14:paraId="28A87122">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1E2C0484">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343B851">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0E3CA65D">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07CFEA87">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5B133161">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公章）</w:t>
      </w:r>
    </w:p>
    <w:p w14:paraId="28F18C9C">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434B31C9">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79B4D09">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062ECBB9">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2DE88EAD">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法定代表人电话：XXXXXXX      电子邮箱：XXXXXX@XXXXX（若授权他人办理并签署</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的可不填写法定代表人电话和电子邮箱）</w:t>
      </w:r>
    </w:p>
    <w:p w14:paraId="08546548">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（附：法定代表人身份证正反面复印件）</w:t>
      </w:r>
    </w:p>
    <w:p w14:paraId="2348AD66">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2F32DC4A">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59580FD3">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5AB3692B">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24A5E375">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0FFA700F">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468D5B2A">
      <w:pPr>
        <w:numPr>
          <w:ilvl w:val="0"/>
          <w:numId w:val="17"/>
        </w:numPr>
        <w:shd w:val="clear"/>
        <w:tabs>
          <w:tab w:val="left" w:pos="6300"/>
        </w:tabs>
        <w:snapToGrid w:val="0"/>
        <w:spacing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column"/>
      </w:r>
      <w:r>
        <w:rPr>
          <w:rFonts w:hint="eastAsia" w:ascii="宋体" w:hAnsi="宋体" w:eastAsia="宋体" w:cs="宋体"/>
          <w:color w:val="auto"/>
          <w:sz w:val="21"/>
          <w:szCs w:val="21"/>
          <w:highlight w:val="none"/>
        </w:rPr>
        <w:t>法定代表人授权委托书（格式）</w:t>
      </w:r>
    </w:p>
    <w:p w14:paraId="7A323D62">
      <w:pPr>
        <w:shd w:val="clear"/>
        <w:snapToGrid/>
        <w:spacing w:line="530" w:lineRule="exact"/>
        <w:ind w:firstLine="422" w:firstLineChars="200"/>
        <w:jc w:val="center"/>
        <w:rPr>
          <w:rFonts w:hint="eastAsia" w:ascii="宋体" w:hAnsi="宋体" w:eastAsia="宋体" w:cs="宋体"/>
          <w:b/>
          <w:bCs/>
          <w:color w:val="auto"/>
          <w:sz w:val="21"/>
          <w:szCs w:val="21"/>
          <w:highlight w:val="none"/>
        </w:rPr>
      </w:pPr>
    </w:p>
    <w:p w14:paraId="61A6B997">
      <w:pPr>
        <w:shd w:val="clear"/>
        <w:snapToGrid/>
        <w:spacing w:line="530" w:lineRule="exact"/>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法定代表人授权委托书</w:t>
      </w:r>
    </w:p>
    <w:p w14:paraId="193278D5">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ABA081B">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1EF8896">
      <w:pPr>
        <w:shd w:val="clea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比选代理机构</w:t>
      </w:r>
      <w:r>
        <w:rPr>
          <w:rFonts w:hint="eastAsia" w:ascii="宋体" w:hAnsi="宋体" w:eastAsia="宋体" w:cs="宋体"/>
          <w:color w:val="auto"/>
          <w:sz w:val="21"/>
          <w:szCs w:val="21"/>
          <w:highlight w:val="none"/>
        </w:rPr>
        <w:t>名称）：</w:t>
      </w:r>
    </w:p>
    <w:p w14:paraId="64115BE7">
      <w:pPr>
        <w:shd w:val="clea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法定代表人名称）是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名称）的法定代表人，特授权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（被授权人姓名及身份证代码）代表我单位全权办理上述项目的</w:t>
      </w: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、签约等具体工作，并签署全部有关文件、协议及合同。</w:t>
      </w:r>
    </w:p>
    <w:p w14:paraId="71BD9C4E">
      <w:pPr>
        <w:shd w:val="clea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我单位对被授权人的签字负全部责任。</w:t>
      </w:r>
    </w:p>
    <w:p w14:paraId="1D635B2D">
      <w:pPr>
        <w:shd w:val="clea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在撤消授权的书面通知以前，本授权书一直有效。被授权人在授权书有效期内签署的所有文件不因授权的撤消而失效。</w:t>
      </w:r>
    </w:p>
    <w:p w14:paraId="140AE04D">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1A5C2245">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74D8833A">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                                 </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法定代表人：</w:t>
      </w:r>
    </w:p>
    <w:p w14:paraId="7D9EDDFE">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                                （签字或盖章）</w:t>
      </w:r>
    </w:p>
    <w:p w14:paraId="51E13B06">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65FA24C2">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44CFDB85">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（附：被授权人身份证正反面复印件）</w:t>
      </w:r>
    </w:p>
    <w:p w14:paraId="6E433B2A">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B734D23">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70EE1A10">
      <w:pPr>
        <w:shd w:val="clear"/>
        <w:tabs>
          <w:tab w:val="left" w:pos="6300"/>
        </w:tabs>
        <w:snapToGrid w:val="0"/>
        <w:spacing w:line="500" w:lineRule="exact"/>
        <w:ind w:firstLine="570"/>
        <w:rPr>
          <w:rFonts w:hint="eastAsia" w:ascii="宋体" w:hAnsi="宋体" w:eastAsia="宋体" w:cs="宋体"/>
          <w:color w:val="auto"/>
          <w:sz w:val="21"/>
          <w:szCs w:val="21"/>
          <w:highlight w:val="none"/>
        </w:rPr>
      </w:pPr>
    </w:p>
    <w:p w14:paraId="25325F7C">
      <w:pPr>
        <w:shd w:val="clea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公章）</w:t>
      </w:r>
    </w:p>
    <w:p w14:paraId="67D151EC">
      <w:pPr>
        <w:shd w:val="clea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7C9C95B">
      <w:pPr>
        <w:shd w:val="clear"/>
        <w:tabs>
          <w:tab w:val="left" w:pos="6300"/>
        </w:tabs>
        <w:snapToGrid w:val="0"/>
        <w:spacing w:line="500" w:lineRule="exact"/>
        <w:ind w:right="480" w:firstLine="570"/>
        <w:jc w:val="right"/>
        <w:rPr>
          <w:rFonts w:hint="eastAsia" w:ascii="宋体" w:hAnsi="宋体" w:eastAsia="宋体" w:cs="宋体"/>
          <w:color w:val="auto"/>
          <w:sz w:val="21"/>
          <w:szCs w:val="21"/>
          <w:highlight w:val="none"/>
        </w:rPr>
      </w:pPr>
    </w:p>
    <w:p w14:paraId="2C24300C">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被授权人电话：XXXXXXX     电子邮箱：XXXXXX@XXXXX（若法定代表人办理并签署</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的可不填写）</w:t>
      </w:r>
    </w:p>
    <w:p w14:paraId="33EAB484">
      <w:pPr>
        <w:shd w:val="clear"/>
        <w:tabs>
          <w:tab w:val="left" w:pos="6300"/>
        </w:tabs>
        <w:snapToGrid w:val="0"/>
        <w:spacing w:line="50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注：若为法定代表人办理并签署</w:t>
      </w:r>
      <w:r>
        <w:rPr>
          <w:rFonts w:hint="eastAsia" w:ascii="宋体" w:hAnsi="宋体" w:eastAsia="宋体" w:cs="宋体"/>
          <w:color w:val="auto"/>
          <w:sz w:val="21"/>
          <w:szCs w:val="21"/>
          <w:highlight w:val="none"/>
          <w:lang w:eastAsia="zh-CN"/>
        </w:rPr>
        <w:t>比选申请文件</w:t>
      </w:r>
      <w:r>
        <w:rPr>
          <w:rFonts w:hint="eastAsia" w:ascii="宋体" w:hAnsi="宋体" w:eastAsia="宋体" w:cs="宋体"/>
          <w:color w:val="auto"/>
          <w:sz w:val="21"/>
          <w:szCs w:val="21"/>
          <w:highlight w:val="none"/>
        </w:rPr>
        <w:t>的，不提供此文件。</w:t>
      </w:r>
    </w:p>
    <w:p w14:paraId="79F826F7">
      <w:pPr>
        <w:shd w:val="clear"/>
        <w:spacing w:line="530" w:lineRule="exact"/>
        <w:ind w:firstLine="0" w:firstLineChars="0"/>
        <w:jc w:val="left"/>
        <w:rPr>
          <w:rFonts w:hint="eastAsia" w:ascii="宋体" w:hAnsi="宋体" w:cs="宋体"/>
          <w:b/>
          <w:bCs/>
          <w:color w:val="auto"/>
          <w:sz w:val="21"/>
          <w:szCs w:val="21"/>
          <w:highlight w:val="none"/>
        </w:rPr>
      </w:pPr>
      <w:r>
        <w:rPr>
          <w:rFonts w:hint="eastAsia" w:ascii="宋体" w:hAnsi="宋体" w:eastAsia="宋体" w:cs="宋体"/>
          <w:color w:val="auto"/>
          <w:sz w:val="21"/>
          <w:szCs w:val="21"/>
          <w:highlight w:val="none"/>
        </w:rPr>
        <w:br w:type="column"/>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）基本资格条件承诺函</w:t>
      </w:r>
    </w:p>
    <w:p w14:paraId="61BEE525">
      <w:pPr>
        <w:shd w:val="clear"/>
        <w:spacing w:line="530" w:lineRule="exact"/>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基本资格条件承诺函</w:t>
      </w:r>
    </w:p>
    <w:p w14:paraId="15D31CE4">
      <w:pPr>
        <w:shd w:val="clear"/>
        <w:bidi w:val="0"/>
        <w:rPr>
          <w:rFonts w:hint="eastAsia" w:ascii="宋体" w:hAnsi="宋体" w:cs="宋体"/>
          <w:color w:val="auto"/>
          <w:sz w:val="21"/>
          <w:szCs w:val="21"/>
          <w:highlight w:val="none"/>
        </w:rPr>
      </w:pPr>
    </w:p>
    <w:p w14:paraId="1D6DD42F">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4A0FE8D6">
      <w:pPr>
        <w:shd w:val="clear"/>
        <w:tabs>
          <w:tab w:val="left" w:pos="6300"/>
        </w:tabs>
        <w:snapToGrid w:val="0"/>
        <w:spacing w:line="530" w:lineRule="exact"/>
        <w:rPr>
          <w:rFonts w:hint="eastAsia" w:ascii="宋体" w:hAnsi="宋体" w:eastAsia="宋体" w:cs="宋体"/>
          <w:color w:val="auto"/>
          <w:sz w:val="21"/>
          <w:szCs w:val="21"/>
          <w:highlight w:val="none"/>
        </w:rPr>
      </w:pPr>
    </w:p>
    <w:p w14:paraId="0068F95A">
      <w:pPr>
        <w:shd w:val="clear"/>
        <w:tabs>
          <w:tab w:val="left" w:pos="6300"/>
        </w:tabs>
        <w:snapToGrid w:val="0"/>
        <w:spacing w:line="53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比选代理机构</w:t>
      </w:r>
      <w:r>
        <w:rPr>
          <w:rFonts w:hint="eastAsia" w:ascii="宋体" w:hAnsi="宋体" w:eastAsia="宋体" w:cs="宋体"/>
          <w:color w:val="auto"/>
          <w:sz w:val="21"/>
          <w:szCs w:val="21"/>
          <w:highlight w:val="none"/>
        </w:rPr>
        <w:t>名称）：</w:t>
      </w:r>
    </w:p>
    <w:p w14:paraId="4940DD00">
      <w:pPr>
        <w:shd w:val="clear"/>
        <w:tabs>
          <w:tab w:val="left" w:pos="6300"/>
        </w:tabs>
        <w:snapToGrid w:val="0"/>
        <w:spacing w:line="5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名称）郑重承诺：</w:t>
      </w:r>
    </w:p>
    <w:p w14:paraId="45326CBA">
      <w:pPr>
        <w:shd w:val="clear"/>
        <w:spacing w:line="5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w:t>
      </w:r>
      <w:r>
        <w:rPr>
          <w:rFonts w:hint="eastAsia" w:ascii="宋体" w:hAnsi="宋体" w:eastAsia="宋体" w:cs="宋体"/>
          <w:color w:val="auto"/>
          <w:sz w:val="21"/>
          <w:szCs w:val="21"/>
          <w:highlight w:val="none"/>
          <w:lang w:val="zh-CN"/>
        </w:rPr>
        <w:t>有依法缴纳税收和社会保障金的良好记录</w:t>
      </w:r>
      <w:r>
        <w:rPr>
          <w:rFonts w:hint="eastAsia" w:ascii="宋体" w:hAnsi="宋体" w:eastAsia="宋体" w:cs="宋体"/>
          <w:color w:val="auto"/>
          <w:sz w:val="21"/>
          <w:szCs w:val="21"/>
          <w:highlight w:val="none"/>
        </w:rPr>
        <w:t>，参加本项目采购活动前三年内无重大违法活动记录。</w:t>
      </w:r>
    </w:p>
    <w:p w14:paraId="6F35693C">
      <w:pPr>
        <w:shd w:val="clear"/>
        <w:spacing w:line="5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2.我方未列入在信用中国网站（www.creditchina.gov.cn）“失信被执行人”、“重大税收违法案件当事人名单”中，也未列入中国政府采购网（www.ccgp.gov.cn）“政府采购严重违法失信行为记录名单”中。</w:t>
      </w:r>
    </w:p>
    <w:p w14:paraId="0F5EB59B">
      <w:pPr>
        <w:shd w:val="clear"/>
        <w:spacing w:line="5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3.我方在采购项目评审（评标）环节结束后，随时接受</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比选代理机构</w:t>
      </w:r>
      <w:r>
        <w:rPr>
          <w:rFonts w:hint="eastAsia" w:ascii="宋体" w:hAnsi="宋体" w:eastAsia="宋体" w:cs="宋体"/>
          <w:color w:val="auto"/>
          <w:sz w:val="21"/>
          <w:szCs w:val="21"/>
          <w:highlight w:val="none"/>
        </w:rPr>
        <w:t>的检查验证，配合提供相关证明材料，证明符合《中华人民共和国政府采购法》规定的</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基本资格条件。</w:t>
      </w:r>
    </w:p>
    <w:p w14:paraId="5EA6CC93">
      <w:pPr>
        <w:shd w:val="clear"/>
        <w:tabs>
          <w:tab w:val="left" w:pos="6300"/>
        </w:tabs>
        <w:snapToGrid w:val="0"/>
        <w:spacing w:line="5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14:paraId="729B2117">
      <w:pPr>
        <w:shd w:val="clear"/>
        <w:tabs>
          <w:tab w:val="left" w:pos="6300"/>
        </w:tabs>
        <w:snapToGrid w:val="0"/>
        <w:spacing w:line="53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26A4E98F">
      <w:pPr>
        <w:shd w:val="clear"/>
        <w:tabs>
          <w:tab w:val="left" w:pos="6300"/>
        </w:tabs>
        <w:snapToGrid w:val="0"/>
        <w:spacing w:line="530" w:lineRule="exact"/>
        <w:rPr>
          <w:rFonts w:hint="eastAsia" w:ascii="宋体" w:hAnsi="宋体" w:eastAsia="宋体" w:cs="宋体"/>
          <w:color w:val="auto"/>
          <w:sz w:val="21"/>
          <w:szCs w:val="21"/>
          <w:highlight w:val="none"/>
        </w:rPr>
      </w:pPr>
    </w:p>
    <w:p w14:paraId="3CBC37AB">
      <w:pPr>
        <w:shd w:val="clear"/>
        <w:tabs>
          <w:tab w:val="left" w:pos="6300"/>
        </w:tabs>
        <w:snapToGrid w:val="0"/>
        <w:spacing w:line="530" w:lineRule="exact"/>
        <w:ind w:right="424" w:firstLine="57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公章）</w:t>
      </w:r>
    </w:p>
    <w:p w14:paraId="0C2E50EB">
      <w:pPr>
        <w:shd w:val="clear"/>
        <w:spacing w:line="400" w:lineRule="exact"/>
        <w:ind w:firstLine="6510" w:firstLineChars="3100"/>
        <w:rPr>
          <w:rFonts w:hint="eastAsia" w:ascii="宋体" w:hAnsi="宋体" w:eastAsia="宋体" w:cs="宋体"/>
          <w:color w:val="auto"/>
          <w:sz w:val="21"/>
          <w:szCs w:val="21"/>
          <w:highlight w:val="none"/>
          <w:lang w:val="en-US" w:eastAsia="zh-CN"/>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eastAsia="宋体" w:cs="宋体"/>
          <w:color w:val="auto"/>
          <w:sz w:val="21"/>
          <w:szCs w:val="21"/>
          <w:highlight w:val="none"/>
        </w:rPr>
        <w:t xml:space="preserve">年   月   </w:t>
      </w:r>
      <w:r>
        <w:rPr>
          <w:rFonts w:hint="eastAsia" w:ascii="宋体" w:hAnsi="宋体" w:eastAsia="宋体" w:cs="宋体"/>
          <w:color w:val="auto"/>
          <w:sz w:val="21"/>
          <w:szCs w:val="21"/>
          <w:highlight w:val="none"/>
          <w:lang w:val="en-US" w:eastAsia="zh-CN"/>
        </w:rPr>
        <w:t>日</w:t>
      </w:r>
    </w:p>
    <w:p w14:paraId="74ADAC02">
      <w:pPr>
        <w:pStyle w:val="4"/>
        <w:shd w:val="clear"/>
        <w:spacing w:before="0" w:after="0" w:line="360" w:lineRule="auto"/>
        <w:ind w:left="0" w:leftChars="0" w:firstLine="0" w:firstLineChars="0"/>
        <w:rPr>
          <w:rFonts w:hint="eastAsia" w:ascii="宋体" w:hAnsi="宋体" w:eastAsia="宋体" w:cs="宋体"/>
          <w:color w:val="auto"/>
          <w:sz w:val="21"/>
          <w:szCs w:val="21"/>
          <w:highlight w:val="none"/>
        </w:rPr>
      </w:pPr>
      <w:bookmarkStart w:id="211" w:name="_Toc25799"/>
      <w:r>
        <w:rPr>
          <w:rFonts w:hint="eastAsia" w:ascii="宋体" w:hAnsi="宋体" w:eastAsia="宋体" w:cs="宋体"/>
          <w:color w:val="auto"/>
          <w:sz w:val="21"/>
          <w:szCs w:val="21"/>
          <w:highlight w:val="none"/>
        </w:rPr>
        <w:t>五、其他应提供的资料</w:t>
      </w:r>
      <w:bookmarkEnd w:id="211"/>
    </w:p>
    <w:p w14:paraId="7A0D9BD3">
      <w:pPr>
        <w:shd w:val="clear"/>
        <w:tabs>
          <w:tab w:val="left" w:pos="6300"/>
        </w:tabs>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（一）其他与项目有关的资料（自附）</w:t>
      </w:r>
    </w:p>
    <w:p w14:paraId="19867F42">
      <w:pPr>
        <w:shd w:val="clear"/>
        <w:spacing w:line="360" w:lineRule="auto"/>
        <w:rPr>
          <w:rFonts w:hint="eastAsia" w:ascii="宋体" w:hAnsi="宋体" w:eastAsia="宋体" w:cs="宋体"/>
          <w:color w:val="auto"/>
          <w:sz w:val="21"/>
          <w:szCs w:val="21"/>
          <w:highlight w:val="none"/>
        </w:rPr>
      </w:pPr>
    </w:p>
    <w:p w14:paraId="315BBB92">
      <w:pPr>
        <w:shd w:val="clear"/>
        <w:tabs>
          <w:tab w:val="left" w:pos="6300"/>
        </w:tabs>
        <w:snapToGrid w:val="0"/>
        <w:spacing w:line="500" w:lineRule="exact"/>
        <w:jc w:val="left"/>
        <w:rPr>
          <w:rFonts w:hint="eastAsia" w:ascii="宋体" w:hAnsi="宋体" w:eastAsia="宋体" w:cs="宋体"/>
          <w:color w:val="auto"/>
          <w:sz w:val="21"/>
          <w:szCs w:val="21"/>
          <w:highlight w:val="none"/>
        </w:rPr>
      </w:pPr>
    </w:p>
    <w:p w14:paraId="1321C277">
      <w:pPr>
        <w:shd w:val="clear"/>
        <w:spacing w:line="360" w:lineRule="auto"/>
        <w:rPr>
          <w:rFonts w:hint="eastAsia" w:ascii="宋体" w:hAnsi="宋体" w:eastAsia="宋体" w:cs="宋体"/>
          <w:color w:val="auto"/>
          <w:sz w:val="21"/>
          <w:szCs w:val="21"/>
          <w:highlight w:val="none"/>
        </w:rPr>
      </w:pPr>
    </w:p>
    <w:p w14:paraId="785995F5">
      <w:pPr>
        <w:shd w:val="clear"/>
        <w:tabs>
          <w:tab w:val="left" w:pos="6300"/>
        </w:tabs>
        <w:snapToGrid w:val="0"/>
        <w:spacing w:line="500" w:lineRule="exact"/>
        <w:jc w:val="left"/>
        <w:rPr>
          <w:rFonts w:hint="eastAsia" w:ascii="宋体" w:hAnsi="宋体" w:eastAsia="宋体" w:cs="宋体"/>
          <w:color w:val="auto"/>
          <w:sz w:val="21"/>
          <w:szCs w:val="21"/>
          <w:highlight w:val="none"/>
        </w:rPr>
      </w:pPr>
    </w:p>
    <w:p w14:paraId="4AFF0988">
      <w:pPr>
        <w:shd w:val="clear"/>
        <w:spacing w:line="360" w:lineRule="auto"/>
        <w:rPr>
          <w:rFonts w:hint="eastAsia" w:ascii="宋体" w:hAnsi="宋体" w:eastAsia="宋体" w:cs="宋体"/>
          <w:color w:val="auto"/>
          <w:sz w:val="21"/>
          <w:szCs w:val="21"/>
          <w:highlight w:val="none"/>
        </w:rPr>
      </w:pPr>
    </w:p>
    <w:p w14:paraId="4719A996">
      <w:pPr>
        <w:pStyle w:val="4"/>
        <w:shd w:val="clear"/>
        <w:rPr>
          <w:rFonts w:hint="eastAsia" w:ascii="宋体" w:hAnsi="宋体" w:eastAsia="宋体" w:cs="宋体"/>
          <w:color w:val="auto"/>
          <w:sz w:val="21"/>
          <w:szCs w:val="21"/>
          <w:highlight w:val="none"/>
        </w:rPr>
      </w:pPr>
    </w:p>
    <w:p w14:paraId="3EE2D9B8">
      <w:pPr>
        <w:shd w:val="clear"/>
        <w:rPr>
          <w:rFonts w:hint="eastAsia" w:ascii="宋体" w:hAnsi="宋体" w:eastAsia="宋体" w:cs="宋体"/>
          <w:color w:val="auto"/>
          <w:sz w:val="21"/>
          <w:szCs w:val="21"/>
          <w:highlight w:val="none"/>
        </w:rPr>
      </w:pPr>
    </w:p>
    <w:p w14:paraId="21F92BB7">
      <w:pPr>
        <w:pStyle w:val="4"/>
        <w:shd w:val="clear"/>
        <w:rPr>
          <w:rFonts w:hint="eastAsia" w:ascii="宋体" w:hAnsi="宋体" w:eastAsia="宋体" w:cs="宋体"/>
          <w:color w:val="auto"/>
          <w:sz w:val="21"/>
          <w:szCs w:val="21"/>
          <w:highlight w:val="none"/>
        </w:rPr>
      </w:pPr>
    </w:p>
    <w:p w14:paraId="2B83EC63">
      <w:pPr>
        <w:shd w:val="clear"/>
        <w:rPr>
          <w:rFonts w:hint="eastAsia" w:ascii="宋体" w:hAnsi="宋体" w:cs="宋体"/>
          <w:color w:val="auto"/>
          <w:sz w:val="21"/>
          <w:szCs w:val="21"/>
          <w:highlight w:val="none"/>
        </w:rPr>
      </w:pPr>
    </w:p>
    <w:p w14:paraId="435AC82F">
      <w:pPr>
        <w:shd w:val="clea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p>
    <w:p w14:paraId="0BB01519">
      <w:pPr>
        <w:shd w:val="clea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p>
    <w:p w14:paraId="3D1CC90B">
      <w:pPr>
        <w:shd w:val="clea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p>
    <w:p w14:paraId="74B98CB4">
      <w:pPr>
        <w:shd w:val="clea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p>
    <w:p w14:paraId="2245A62B">
      <w:pPr>
        <w:shd w:val="clea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p>
    <w:p w14:paraId="4F03D01E">
      <w:pPr>
        <w:shd w:val="clea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（结束）</w:t>
      </w:r>
    </w:p>
    <w:p w14:paraId="50D683CE">
      <w:pPr>
        <w:shd w:val="clear"/>
        <w:tabs>
          <w:tab w:val="left" w:pos="6300"/>
        </w:tabs>
        <w:snapToGrid w:val="0"/>
        <w:spacing w:line="500" w:lineRule="exact"/>
        <w:rPr>
          <w:rFonts w:hint="eastAsia" w:ascii="宋体" w:hAnsi="宋体" w:eastAsia="宋体" w:cs="宋体"/>
          <w:color w:val="auto"/>
          <w:sz w:val="21"/>
          <w:szCs w:val="21"/>
          <w:highlight w:val="none"/>
        </w:rPr>
      </w:pPr>
    </w:p>
    <w:p w14:paraId="788A1290">
      <w:pPr>
        <w:shd w:val="clear"/>
        <w:tabs>
          <w:tab w:val="left" w:pos="6300"/>
        </w:tabs>
        <w:snapToGrid w:val="0"/>
        <w:spacing w:line="500" w:lineRule="exact"/>
        <w:jc w:val="left"/>
        <w:rPr>
          <w:rFonts w:hint="eastAsia" w:ascii="宋体" w:hAnsi="宋体" w:eastAsia="宋体" w:cs="宋体"/>
          <w:color w:val="auto"/>
          <w:sz w:val="21"/>
          <w:szCs w:val="21"/>
          <w:highlight w:val="none"/>
        </w:rPr>
      </w:pPr>
    </w:p>
    <w:p w14:paraId="0FA7BDAF">
      <w:pPr>
        <w:shd w:val="clea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7230CE82">
      <w:pPr>
        <w:shd w:val="clear"/>
        <w:tabs>
          <w:tab w:val="left" w:pos="6300"/>
        </w:tabs>
        <w:snapToGrid w:val="0"/>
        <w:spacing w:line="500" w:lineRule="exact"/>
        <w:ind w:firstLine="570"/>
        <w:jc w:val="left"/>
        <w:rPr>
          <w:rFonts w:hint="eastAsia" w:ascii="宋体" w:hAnsi="宋体" w:eastAsia="宋体" w:cs="宋体"/>
          <w:color w:val="auto"/>
          <w:sz w:val="21"/>
          <w:szCs w:val="21"/>
          <w:highlight w:val="none"/>
        </w:rPr>
      </w:pPr>
    </w:p>
    <w:p w14:paraId="17E0BCC1">
      <w:pPr>
        <w:shd w:val="clear"/>
        <w:tabs>
          <w:tab w:val="left" w:pos="6300"/>
        </w:tabs>
        <w:snapToGrid w:val="0"/>
        <w:spacing w:line="500" w:lineRule="exact"/>
        <w:ind w:firstLine="570"/>
        <w:jc w:val="left"/>
        <w:rPr>
          <w:rFonts w:hint="eastAsia" w:ascii="宋体" w:hAnsi="宋体" w:eastAsia="宋体" w:cs="宋体"/>
          <w:color w:val="auto"/>
          <w:sz w:val="21"/>
          <w:szCs w:val="21"/>
          <w:highlight w:val="none"/>
        </w:rPr>
      </w:pPr>
    </w:p>
    <w:bookmarkEnd w:id="194"/>
    <w:bookmarkEnd w:id="195"/>
    <w:bookmarkEnd w:id="196"/>
    <w:bookmarkEnd w:id="197"/>
    <w:bookmarkEnd w:id="198"/>
    <w:bookmarkEnd w:id="199"/>
    <w:bookmarkEnd w:id="200"/>
    <w:bookmarkEnd w:id="201"/>
    <w:bookmarkEnd w:id="202"/>
    <w:p w14:paraId="7387741B">
      <w:pPr>
        <w:pageBreakBefore w:val="0"/>
        <w:shd w:val="clea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A1"/>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黑体-简">
    <w:panose1 w:val="02010609060101010101"/>
    <w:charset w:val="86"/>
    <w:family w:val="auto"/>
    <w:pitch w:val="default"/>
    <w:sig w:usb0="A00002BF" w:usb1="3ACF7CFA" w:usb2="00000016" w:usb3="00000000" w:csb0="00040001" w:csb1="00000000"/>
  </w:font>
  <w:font w:name="FTToken">
    <w:panose1 w:val="05000000000000000000"/>
    <w:charset w:val="00"/>
    <w:family w:val="auto"/>
    <w:pitch w:val="default"/>
    <w:sig w:usb0="00000000" w:usb1="10000000" w:usb2="00000000" w:usb3="00000000" w:csb0="80000000" w:csb1="00000000"/>
  </w:font>
  <w:font w:name="PMingLiU">
    <w:altName w:val="HarmonyOS Sans TC"/>
    <w:panose1 w:val="02020500000000000000"/>
    <w:charset w:val="88"/>
    <w:family w:val="roman"/>
    <w:pitch w:val="default"/>
    <w:sig w:usb0="00000000" w:usb1="00000000" w:usb2="00000016" w:usb3="00000000" w:csb0="00100001" w:csb1="00000000"/>
  </w:font>
  <w:font w:name="HarmonyOS Sans TC">
    <w:panose1 w:val="00020600040101010101"/>
    <w:charset w:val="88"/>
    <w:family w:val="auto"/>
    <w:pitch w:val="default"/>
    <w:sig w:usb0="E00002FF" w:usb1="2ACF7CFB" w:usb2="00000016" w:usb3="00000000" w:csb0="00100001" w:csb1="00000000"/>
  </w:font>
  <w:font w:name="PMingLiU-ExtB">
    <w:altName w:val="HarmonyOS Sans TC"/>
    <w:panose1 w:val="02020500000000000000"/>
    <w:charset w:val="88"/>
    <w:family w:val="auto"/>
    <w:pitch w:val="default"/>
    <w:sig w:usb0="00000000" w:usb1="00000000" w:usb2="00000000" w:usb3="00000000" w:csb0="001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_x000B__x000C_">
    <w:altName w:val="FT EliraSans"/>
    <w:panose1 w:val="00000000000000000000"/>
    <w:charset w:val="00"/>
    <w:family w:val="roman"/>
    <w:pitch w:val="default"/>
    <w:sig w:usb0="00000000" w:usb1="00000000" w:usb2="00000000" w:usb3="00000000" w:csb0="00000001" w:csb1="00000000"/>
  </w:font>
  <w:font w:name="FT EliraSans">
    <w:panose1 w:val="00000500000000000000"/>
    <w:charset w:val="00"/>
    <w:family w:val="auto"/>
    <w:pitch w:val="default"/>
    <w:sig w:usb0="80000003" w:usb1="00000000" w:usb2="00000000" w:usb3="00000000" w:csb0="00000001" w:csb1="00000000"/>
  </w:font>
  <w:font w:name="ksdb">
    <w:altName w:val="方正仿宋-繁"/>
    <w:panose1 w:val="02000500000000000000"/>
    <w:charset w:val="00"/>
    <w:family w:val="auto"/>
    <w:pitch w:val="default"/>
    <w:sig w:usb0="00000000" w:usb1="00000000" w:usb2="00000000" w:usb3="00000000" w:csb0="00000001" w:csb1="00000000"/>
  </w:font>
  <w:font w:name="方正仿宋-繁">
    <w:panose1 w:val="02000500000000000000"/>
    <w:charset w:val="88"/>
    <w:family w:val="auto"/>
    <w:pitch w:val="default"/>
    <w:sig w:usb0="A00002BF" w:usb1="3ACFFCFA" w:usb2="00000016" w:usb3="00000000" w:csb0="00100001" w:csb1="00000000"/>
  </w:font>
  <w:font w:name="Arial Narrow">
    <w:altName w:val="FT Thymes"/>
    <w:panose1 w:val="020B0606020202030204"/>
    <w:charset w:val="00"/>
    <w:family w:val="swiss"/>
    <w:pitch w:val="default"/>
    <w:sig w:usb0="00000000" w:usb1="00000000" w:usb2="00000000" w:usb3="00000000" w:csb0="2000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93" w:csb1="00000000"/>
  </w:font>
  <w:font w:name="Verdana">
    <w:altName w:val="Noto Sans Bengali UI Medium"/>
    <w:panose1 w:val="020B0604030504040204"/>
    <w:charset w:val="00"/>
    <w:family w:val="swiss"/>
    <w:pitch w:val="default"/>
    <w:sig w:usb0="00000000" w:usb1="00000000" w:usb2="00000010" w:usb3="00000000" w:csb0="2000019F" w:csb1="00000000"/>
  </w:font>
  <w:font w:name="Noto Sans Bengali UI Medium">
    <w:panose1 w:val="020B0602040504020204"/>
    <w:charset w:val="00"/>
    <w:family w:val="auto"/>
    <w:pitch w:val="default"/>
    <w:sig w:usb0="80018023" w:usb1="00002042" w:usb2="00000000" w:usb3="00000000" w:csb0="00000093" w:csb1="00000000"/>
  </w:font>
  <w:font w:name="昆仑楷体">
    <w:altName w:val="楷体-简"/>
    <w:panose1 w:val="02010609000101010101"/>
    <w:charset w:val="86"/>
    <w:family w:val="modern"/>
    <w:pitch w:val="default"/>
    <w:sig w:usb0="00000000" w:usb1="00000000" w:usb2="00000010" w:usb3="00000000" w:csb0="00040000" w:csb1="00000000"/>
  </w:font>
  <w:font w:name="楷体-简">
    <w:panose1 w:val="02010609060101010101"/>
    <w:charset w:val="86"/>
    <w:family w:val="auto"/>
    <w:pitch w:val="default"/>
    <w:sig w:usb0="A00002BF" w:usb1="3ACF7CFA" w:usb2="00000016" w:usb3="00000000" w:csb0="00040001" w:csb1="00000000"/>
  </w:font>
  <w:font w:name="楷体_GB2312">
    <w:altName w:val="楷体-简"/>
    <w:panose1 w:val="02010609030101010101"/>
    <w:charset w:val="86"/>
    <w:family w:val="modern"/>
    <w:pitch w:val="default"/>
    <w:sig w:usb0="00000000" w:usb1="00000000" w:usb2="00000000" w:usb3="00000000" w:csb0="00040000" w:csb1="00000000"/>
  </w:font>
  <w:font w:name="楷体">
    <w:altName w:val="楷体-简"/>
    <w:panose1 w:val="02010609060101010101"/>
    <w:charset w:val="86"/>
    <w:family w:val="auto"/>
    <w:pitch w:val="default"/>
    <w:sig w:usb0="00000000" w:usb1="00000000" w:usb2="00000016" w:usb3="00000000" w:csb0="00040001" w:csb1="00000000"/>
  </w:font>
  <w:font w:name="文鼎粗黑">
    <w:altName w:val="黑体-简"/>
    <w:panose1 w:val="020B0609010101010101"/>
    <w:charset w:val="86"/>
    <w:family w:val="modern"/>
    <w:pitch w:val="default"/>
    <w:sig w:usb0="00000000" w:usb1="00000000" w:usb2="00000010" w:usb3="00000000" w:csb0="00040000" w:csb1="00000000"/>
  </w:font>
  <w:font w:name="Arial">
    <w:altName w:val="FT Thymes"/>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A18">
    <w:pPr>
      <w:pStyle w:val="36"/>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- 18 -</w:t>
    </w:r>
    <w:r>
      <w:rPr>
        <w:rFonts w:ascii="宋体"/>
        <w:sz w:val="21"/>
        <w:szCs w:val="21"/>
      </w:rPr>
      <w:fldChar w:fldCharType="end"/>
    </w:r>
  </w:p>
  <w:p w14:paraId="1F5A08E0">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F9C3">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- 25 -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0648">
    <w:pPr>
      <w:pStyle w:val="36"/>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4BBC6">
                          <w:pPr>
                            <w:pStyle w:val="36"/>
                          </w:pPr>
                          <w:r>
                            <w:fldChar w:fldCharType="begin"/>
                          </w:r>
                          <w:r>
                            <w:instrText xml:space="preserve"> PAGE  \* MERGEFORMAT </w:instrText>
                          </w:r>
                          <w:r>
                            <w:fldChar w:fldCharType="separate"/>
                          </w:r>
                          <w:r>
                            <w:t>- 34 -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924BBC6">
                    <w:pPr>
                      <w:pStyle w:val="3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F63EA">
    <w:pPr>
      <w:pStyle w:val="37"/>
      <w:jc w:val="both"/>
      <w:rPr>
        <w:rFonts w:hint="eastAsia" w:ascii="方正仿宋_GBK" w:eastAsia="方正仿宋_GBK"/>
        <w:sz w:val="21"/>
        <w:szCs w:val="21"/>
      </w:rPr>
    </w:pPr>
    <w:r>
      <w:rPr>
        <w:rFonts w:hint="eastAsia" w:ascii="方正仿宋_GBK" w:eastAsia="方正仿宋_GBK"/>
        <w:sz w:val="21"/>
        <w:szCs w:val="21"/>
      </w:rPr>
      <w:t xml:space="preserve">                                                         </w:t>
    </w:r>
    <w:r>
      <w:rPr>
        <w:rFonts w:hint="default" w:ascii="方正仿宋_GBK" w:eastAsia="方正仿宋_GBK"/>
        <w:sz w:val="21"/>
        <w:szCs w:val="21"/>
      </w:rPr>
      <w:t xml:space="preserve">   </w:t>
    </w:r>
    <w:r>
      <w:rPr>
        <w:rFonts w:hint="eastAsia" w:ascii="方正仿宋_GBK" w:eastAsia="方正仿宋_GBK"/>
        <w:sz w:val="21"/>
        <w:szCs w:val="21"/>
      </w:rPr>
      <w:t xml:space="preserve"> </w:t>
    </w:r>
    <w:r>
      <w:rPr>
        <w:rFonts w:hint="default" w:ascii="方正仿宋_GBK" w:eastAsia="方正仿宋_GBK"/>
        <w:sz w:val="21"/>
        <w:szCs w:val="21"/>
      </w:rPr>
      <w:t xml:space="preserve">        </w:t>
    </w:r>
    <w:r>
      <w:rPr>
        <w:rFonts w:hint="eastAsia" w:asciiTheme="minorEastAsia" w:hAnsiTheme="minorEastAsia" w:eastAsiaTheme="minorEastAsia" w:cstheme="minorEastAsia"/>
        <w:sz w:val="21"/>
        <w:szCs w:val="21"/>
      </w:rPr>
      <w:t>竞争性</w:t>
    </w:r>
    <w:r>
      <w:rPr>
        <w:rFonts w:hint="eastAsia" w:asciiTheme="minorEastAsia" w:hAnsiTheme="minorEastAsia" w:eastAsiaTheme="minorEastAsia" w:cstheme="minorEastAsia"/>
        <w:sz w:val="21"/>
        <w:szCs w:val="21"/>
        <w:lang w:eastAsia="zh-CN"/>
      </w:rPr>
      <w:t>比选</w:t>
    </w:r>
    <w:r>
      <w:rPr>
        <w:rFonts w:hint="eastAsia" w:asciiTheme="minorEastAsia" w:hAnsiTheme="minorEastAsia" w:eastAsiaTheme="minorEastAsia" w:cstheme="minorEastAsia"/>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EC86">
    <w:pPr>
      <w:pStyle w:val="37"/>
      <w:jc w:val="both"/>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val="en-US" w:eastAsia="zh-CN"/>
      </w:rPr>
      <w:t>比选</w:t>
    </w:r>
    <w:r>
      <w:rPr>
        <w:rFonts w:hint="eastAsia" w:ascii="方正仿宋_GBK" w:eastAsia="方正仿宋_GBK"/>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7E51">
    <w:pPr>
      <w:pStyle w:val="37"/>
      <w:jc w:val="left"/>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eastAsia="zh-CN"/>
      </w:rPr>
      <w:t>竞争性比选</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0DE39"/>
    <w:multiLevelType w:val="singleLevel"/>
    <w:tmpl w:val="C810DE39"/>
    <w:lvl w:ilvl="0" w:tentative="0">
      <w:start w:val="2"/>
      <w:numFmt w:val="chineseCounting"/>
      <w:suff w:val="nothing"/>
      <w:lvlText w:val="（%1）"/>
      <w:lvlJc w:val="left"/>
      <w:rPr>
        <w:rFonts w:hint="eastAsia"/>
      </w:rPr>
    </w:lvl>
  </w:abstractNum>
  <w:abstractNum w:abstractNumId="1">
    <w:nsid w:val="D3DEA8EF"/>
    <w:multiLevelType w:val="singleLevel"/>
    <w:tmpl w:val="D3DEA8EF"/>
    <w:lvl w:ilvl="0" w:tentative="0">
      <w:start w:val="3"/>
      <w:numFmt w:val="chineseCounting"/>
      <w:suff w:val="nothing"/>
      <w:lvlText w:val="（%1）"/>
      <w:lvlJc w:val="left"/>
      <w:rPr>
        <w:rFonts w:hint="eastAsia"/>
      </w:rPr>
    </w:lvl>
  </w:abstractNum>
  <w:abstractNum w:abstractNumId="2">
    <w:nsid w:val="FD6F6E72"/>
    <w:multiLevelType w:val="singleLevel"/>
    <w:tmpl w:val="FD6F6E72"/>
    <w:lvl w:ilvl="0" w:tentative="0">
      <w:start w:val="2"/>
      <w:numFmt w:val="chineseCounting"/>
      <w:suff w:val="space"/>
      <w:lvlText w:val="第%1篇"/>
      <w:lvlJc w:val="left"/>
      <w:rPr>
        <w:rFonts w:hint="eastAsia"/>
      </w:rPr>
    </w:lvl>
  </w:abstractNum>
  <w:abstractNum w:abstractNumId="3">
    <w:nsid w:val="00000009"/>
    <w:multiLevelType w:val="multilevel"/>
    <w:tmpl w:val="00000009"/>
    <w:lvl w:ilvl="0" w:tentative="0">
      <w:start w:val="1"/>
      <w:numFmt w:val="upperLetter"/>
      <w:pStyle w:val="154"/>
      <w:suff w:val="nothing"/>
      <w:lvlText w:val="附　录　%1"/>
      <w:lvlJc w:val="left"/>
      <w:pPr>
        <w:ind w:left="0" w:firstLine="0"/>
      </w:pPr>
      <w:rPr>
        <w:rFonts w:hint="eastAsia" w:ascii="黑体" w:hAnsi="Times New Roman" w:eastAsia="黑体"/>
        <w:b w:val="0"/>
        <w:i w:val="0"/>
        <w:sz w:val="21"/>
      </w:rPr>
    </w:lvl>
    <w:lvl w:ilvl="1" w:tentative="0">
      <w:start w:val="1"/>
      <w:numFmt w:val="decimal"/>
      <w:pStyle w:val="6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20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9"/>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9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230"/>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1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08"/>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6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1F632AB"/>
    <w:multiLevelType w:val="singleLevel"/>
    <w:tmpl w:val="21F632AB"/>
    <w:lvl w:ilvl="0" w:tentative="0">
      <w:start w:val="2"/>
      <w:numFmt w:val="chineseCounting"/>
      <w:suff w:val="space"/>
      <w:lvlText w:val="第%1篇"/>
      <w:lvlJc w:val="left"/>
      <w:rPr>
        <w:rFonts w:hint="eastAsia"/>
      </w:rPr>
    </w:lvl>
  </w:abstractNum>
  <w:abstractNum w:abstractNumId="16">
    <w:nsid w:val="46B746D4"/>
    <w:multiLevelType w:val="singleLevel"/>
    <w:tmpl w:val="46B746D4"/>
    <w:lvl w:ilvl="0" w:tentative="0">
      <w:start w:val="1"/>
      <w:numFmt w:val="decimal"/>
      <w:suff w:val="nothing"/>
      <w:lvlText w:val="%1、"/>
      <w:lvlJc w:val="left"/>
    </w:lvl>
  </w:abstractNum>
  <w:num w:numId="1">
    <w:abstractNumId w:val="11"/>
  </w:num>
  <w:num w:numId="2">
    <w:abstractNumId w:val="8"/>
  </w:num>
  <w:num w:numId="3">
    <w:abstractNumId w:val="6"/>
  </w:num>
  <w:num w:numId="4">
    <w:abstractNumId w:val="12"/>
  </w:num>
  <w:num w:numId="5">
    <w:abstractNumId w:val="3"/>
  </w:num>
  <w:num w:numId="6">
    <w:abstractNumId w:val="14"/>
  </w:num>
  <w:num w:numId="7">
    <w:abstractNumId w:val="5"/>
  </w:num>
  <w:num w:numId="8">
    <w:abstractNumId w:val="7"/>
  </w:num>
  <w:num w:numId="9">
    <w:abstractNumId w:val="4"/>
  </w:num>
  <w:num w:numId="10">
    <w:abstractNumId w:val="13"/>
  </w:num>
  <w:num w:numId="11">
    <w:abstractNumId w:val="9"/>
  </w:num>
  <w:num w:numId="12">
    <w:abstractNumId w:val="10"/>
  </w:num>
  <w:num w:numId="13">
    <w:abstractNumId w:val="15"/>
  </w:num>
  <w:num w:numId="14">
    <w:abstractNumId w:val="2"/>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ZmE5MGIzOGUyMTM4ODMyNjlkMjQyY2M1MmQzYTcifQ=="/>
  </w:docVars>
  <w:rsids>
    <w:rsidRoot w:val="00172A27"/>
    <w:rsid w:val="00002EAF"/>
    <w:rsid w:val="000040DE"/>
    <w:rsid w:val="00005A02"/>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ACE"/>
    <w:rsid w:val="000F7DBF"/>
    <w:rsid w:val="00100639"/>
    <w:rsid w:val="00103DA9"/>
    <w:rsid w:val="00103DDC"/>
    <w:rsid w:val="0010418E"/>
    <w:rsid w:val="001077D3"/>
    <w:rsid w:val="00111E71"/>
    <w:rsid w:val="001122C5"/>
    <w:rsid w:val="00113E89"/>
    <w:rsid w:val="00116856"/>
    <w:rsid w:val="00120259"/>
    <w:rsid w:val="00120851"/>
    <w:rsid w:val="00124CD0"/>
    <w:rsid w:val="00124CF0"/>
    <w:rsid w:val="00125861"/>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108F"/>
    <w:rsid w:val="0015129F"/>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05E1"/>
    <w:rsid w:val="00211874"/>
    <w:rsid w:val="00211A92"/>
    <w:rsid w:val="0022065B"/>
    <w:rsid w:val="00222097"/>
    <w:rsid w:val="0022517B"/>
    <w:rsid w:val="00225B78"/>
    <w:rsid w:val="00227BA9"/>
    <w:rsid w:val="00231797"/>
    <w:rsid w:val="00235F8F"/>
    <w:rsid w:val="00237759"/>
    <w:rsid w:val="00240295"/>
    <w:rsid w:val="0024359D"/>
    <w:rsid w:val="00244E68"/>
    <w:rsid w:val="00252894"/>
    <w:rsid w:val="002539DF"/>
    <w:rsid w:val="00263F49"/>
    <w:rsid w:val="002643C1"/>
    <w:rsid w:val="00267DDF"/>
    <w:rsid w:val="00270ED7"/>
    <w:rsid w:val="00271A27"/>
    <w:rsid w:val="00271D47"/>
    <w:rsid w:val="002721EA"/>
    <w:rsid w:val="00275FED"/>
    <w:rsid w:val="00280E8A"/>
    <w:rsid w:val="00282FBA"/>
    <w:rsid w:val="00283A40"/>
    <w:rsid w:val="00283B57"/>
    <w:rsid w:val="00285164"/>
    <w:rsid w:val="00285D78"/>
    <w:rsid w:val="00293D74"/>
    <w:rsid w:val="002946F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4C46"/>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07F3"/>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1C4D"/>
    <w:rsid w:val="003A449E"/>
    <w:rsid w:val="003A501C"/>
    <w:rsid w:val="003A57F1"/>
    <w:rsid w:val="003A71F3"/>
    <w:rsid w:val="003B19F5"/>
    <w:rsid w:val="003B2501"/>
    <w:rsid w:val="003B7B71"/>
    <w:rsid w:val="003B7BB1"/>
    <w:rsid w:val="003C0A38"/>
    <w:rsid w:val="003D0E0A"/>
    <w:rsid w:val="003D1569"/>
    <w:rsid w:val="003D55B7"/>
    <w:rsid w:val="003E1F8A"/>
    <w:rsid w:val="003E4727"/>
    <w:rsid w:val="003E5324"/>
    <w:rsid w:val="003E5E67"/>
    <w:rsid w:val="00402B32"/>
    <w:rsid w:val="004044EE"/>
    <w:rsid w:val="00410C93"/>
    <w:rsid w:val="00411B4A"/>
    <w:rsid w:val="00412680"/>
    <w:rsid w:val="004167CD"/>
    <w:rsid w:val="00425367"/>
    <w:rsid w:val="00425EDA"/>
    <w:rsid w:val="0043290D"/>
    <w:rsid w:val="00433ADB"/>
    <w:rsid w:val="004353BF"/>
    <w:rsid w:val="004400CA"/>
    <w:rsid w:val="00446735"/>
    <w:rsid w:val="004474F3"/>
    <w:rsid w:val="004501BD"/>
    <w:rsid w:val="004515DA"/>
    <w:rsid w:val="00452804"/>
    <w:rsid w:val="00453A00"/>
    <w:rsid w:val="004543A5"/>
    <w:rsid w:val="00462878"/>
    <w:rsid w:val="0046417B"/>
    <w:rsid w:val="004657EA"/>
    <w:rsid w:val="00475B60"/>
    <w:rsid w:val="00481A49"/>
    <w:rsid w:val="00484E88"/>
    <w:rsid w:val="004953EC"/>
    <w:rsid w:val="004A015E"/>
    <w:rsid w:val="004A020F"/>
    <w:rsid w:val="004A0DE1"/>
    <w:rsid w:val="004A21A7"/>
    <w:rsid w:val="004A2410"/>
    <w:rsid w:val="004A27AC"/>
    <w:rsid w:val="004A2B68"/>
    <w:rsid w:val="004A6DDD"/>
    <w:rsid w:val="004A7523"/>
    <w:rsid w:val="004B181C"/>
    <w:rsid w:val="004B7D49"/>
    <w:rsid w:val="004C1DD0"/>
    <w:rsid w:val="004C2ED2"/>
    <w:rsid w:val="004C60EA"/>
    <w:rsid w:val="004C64E4"/>
    <w:rsid w:val="004D1D5E"/>
    <w:rsid w:val="004D6899"/>
    <w:rsid w:val="004E0650"/>
    <w:rsid w:val="004E3234"/>
    <w:rsid w:val="004E3AEE"/>
    <w:rsid w:val="004E4EFB"/>
    <w:rsid w:val="004E55DB"/>
    <w:rsid w:val="004F0533"/>
    <w:rsid w:val="004F2A9F"/>
    <w:rsid w:val="004F6879"/>
    <w:rsid w:val="004F7CED"/>
    <w:rsid w:val="005000E9"/>
    <w:rsid w:val="00500D8B"/>
    <w:rsid w:val="00502B2F"/>
    <w:rsid w:val="00505F40"/>
    <w:rsid w:val="00512D00"/>
    <w:rsid w:val="00514179"/>
    <w:rsid w:val="00516CDF"/>
    <w:rsid w:val="005170E4"/>
    <w:rsid w:val="005171C9"/>
    <w:rsid w:val="005214D2"/>
    <w:rsid w:val="00522621"/>
    <w:rsid w:val="00524D8A"/>
    <w:rsid w:val="005266F6"/>
    <w:rsid w:val="0053194F"/>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5262"/>
    <w:rsid w:val="00627DD2"/>
    <w:rsid w:val="00635B4B"/>
    <w:rsid w:val="00640026"/>
    <w:rsid w:val="006414B7"/>
    <w:rsid w:val="00643807"/>
    <w:rsid w:val="00654A48"/>
    <w:rsid w:val="006552FD"/>
    <w:rsid w:val="0065651B"/>
    <w:rsid w:val="00664607"/>
    <w:rsid w:val="0066468B"/>
    <w:rsid w:val="00670089"/>
    <w:rsid w:val="00670560"/>
    <w:rsid w:val="006809DA"/>
    <w:rsid w:val="00680AE4"/>
    <w:rsid w:val="00684E51"/>
    <w:rsid w:val="0069086A"/>
    <w:rsid w:val="00695990"/>
    <w:rsid w:val="0069635B"/>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DEB"/>
    <w:rsid w:val="006F0FB7"/>
    <w:rsid w:val="006F15D4"/>
    <w:rsid w:val="006F354D"/>
    <w:rsid w:val="006F511B"/>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CEA"/>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103"/>
    <w:rsid w:val="008616EF"/>
    <w:rsid w:val="00863C25"/>
    <w:rsid w:val="008668A0"/>
    <w:rsid w:val="008705BC"/>
    <w:rsid w:val="0087422F"/>
    <w:rsid w:val="00874324"/>
    <w:rsid w:val="00875A42"/>
    <w:rsid w:val="00883BD5"/>
    <w:rsid w:val="008904A8"/>
    <w:rsid w:val="00891344"/>
    <w:rsid w:val="008A2EFF"/>
    <w:rsid w:val="008A30C6"/>
    <w:rsid w:val="008A3B09"/>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A0856"/>
    <w:rsid w:val="009B6D65"/>
    <w:rsid w:val="009C032D"/>
    <w:rsid w:val="009C3034"/>
    <w:rsid w:val="009C40F0"/>
    <w:rsid w:val="009C4958"/>
    <w:rsid w:val="009C7326"/>
    <w:rsid w:val="009D01D6"/>
    <w:rsid w:val="009D2934"/>
    <w:rsid w:val="009D4D86"/>
    <w:rsid w:val="009D6931"/>
    <w:rsid w:val="009E1F06"/>
    <w:rsid w:val="009E2AF3"/>
    <w:rsid w:val="009E737D"/>
    <w:rsid w:val="009E749B"/>
    <w:rsid w:val="009F3B26"/>
    <w:rsid w:val="009F3FE9"/>
    <w:rsid w:val="009F4390"/>
    <w:rsid w:val="009F5335"/>
    <w:rsid w:val="009F5682"/>
    <w:rsid w:val="00A02CBC"/>
    <w:rsid w:val="00A03977"/>
    <w:rsid w:val="00A04BC7"/>
    <w:rsid w:val="00A050D4"/>
    <w:rsid w:val="00A056BA"/>
    <w:rsid w:val="00A065B8"/>
    <w:rsid w:val="00A16C2A"/>
    <w:rsid w:val="00A26FF7"/>
    <w:rsid w:val="00A30B50"/>
    <w:rsid w:val="00A3107D"/>
    <w:rsid w:val="00A330D4"/>
    <w:rsid w:val="00A35338"/>
    <w:rsid w:val="00A417D7"/>
    <w:rsid w:val="00A445DC"/>
    <w:rsid w:val="00A44BEA"/>
    <w:rsid w:val="00A527E2"/>
    <w:rsid w:val="00A553F3"/>
    <w:rsid w:val="00A575D9"/>
    <w:rsid w:val="00A57A7E"/>
    <w:rsid w:val="00A60C8A"/>
    <w:rsid w:val="00A66DEB"/>
    <w:rsid w:val="00A67DFB"/>
    <w:rsid w:val="00A67FC1"/>
    <w:rsid w:val="00A711C6"/>
    <w:rsid w:val="00A7358D"/>
    <w:rsid w:val="00A75ABC"/>
    <w:rsid w:val="00A76732"/>
    <w:rsid w:val="00A7737E"/>
    <w:rsid w:val="00A77D3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77E2F"/>
    <w:rsid w:val="00B823F6"/>
    <w:rsid w:val="00B83831"/>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2474"/>
    <w:rsid w:val="00BE33D1"/>
    <w:rsid w:val="00BE71C6"/>
    <w:rsid w:val="00BF4FCD"/>
    <w:rsid w:val="00BF5230"/>
    <w:rsid w:val="00BF7EE4"/>
    <w:rsid w:val="00C01161"/>
    <w:rsid w:val="00C1090C"/>
    <w:rsid w:val="00C23C73"/>
    <w:rsid w:val="00C240C8"/>
    <w:rsid w:val="00C25CB6"/>
    <w:rsid w:val="00C26513"/>
    <w:rsid w:val="00C37F72"/>
    <w:rsid w:val="00C420C1"/>
    <w:rsid w:val="00C4525F"/>
    <w:rsid w:val="00C45963"/>
    <w:rsid w:val="00C46D2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E7D"/>
    <w:rsid w:val="00D2405F"/>
    <w:rsid w:val="00D24905"/>
    <w:rsid w:val="00D25FE3"/>
    <w:rsid w:val="00D30C7F"/>
    <w:rsid w:val="00D33B27"/>
    <w:rsid w:val="00D35D2A"/>
    <w:rsid w:val="00D41BA9"/>
    <w:rsid w:val="00D456F3"/>
    <w:rsid w:val="00D46250"/>
    <w:rsid w:val="00D52376"/>
    <w:rsid w:val="00D54CA1"/>
    <w:rsid w:val="00D57B9E"/>
    <w:rsid w:val="00D60F92"/>
    <w:rsid w:val="00D612C2"/>
    <w:rsid w:val="00D64080"/>
    <w:rsid w:val="00D66A2D"/>
    <w:rsid w:val="00D7385C"/>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2058"/>
    <w:rsid w:val="00E2339E"/>
    <w:rsid w:val="00E2709C"/>
    <w:rsid w:val="00E30686"/>
    <w:rsid w:val="00E308E8"/>
    <w:rsid w:val="00E3245B"/>
    <w:rsid w:val="00E34DF5"/>
    <w:rsid w:val="00E3707B"/>
    <w:rsid w:val="00E4024B"/>
    <w:rsid w:val="00E40CF1"/>
    <w:rsid w:val="00E4710C"/>
    <w:rsid w:val="00E50685"/>
    <w:rsid w:val="00E570D9"/>
    <w:rsid w:val="00E57F6B"/>
    <w:rsid w:val="00E64B94"/>
    <w:rsid w:val="00E654A2"/>
    <w:rsid w:val="00E71934"/>
    <w:rsid w:val="00E7342C"/>
    <w:rsid w:val="00E81737"/>
    <w:rsid w:val="00E8198D"/>
    <w:rsid w:val="00E872A9"/>
    <w:rsid w:val="00E873EA"/>
    <w:rsid w:val="00E91EC1"/>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2299"/>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877"/>
    <w:rsid w:val="00F4097C"/>
    <w:rsid w:val="00F426A6"/>
    <w:rsid w:val="00F429FD"/>
    <w:rsid w:val="00F449C4"/>
    <w:rsid w:val="00F538D9"/>
    <w:rsid w:val="00F5531F"/>
    <w:rsid w:val="00F55CE2"/>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F58"/>
    <w:rsid w:val="00FC6FA8"/>
    <w:rsid w:val="00FD2470"/>
    <w:rsid w:val="00FD26B5"/>
    <w:rsid w:val="00FD5823"/>
    <w:rsid w:val="00FE1B42"/>
    <w:rsid w:val="00FE1C27"/>
    <w:rsid w:val="00FE215B"/>
    <w:rsid w:val="00FE5C31"/>
    <w:rsid w:val="00FE68B1"/>
    <w:rsid w:val="00FF25BA"/>
    <w:rsid w:val="00FF3BC9"/>
    <w:rsid w:val="00FF7175"/>
    <w:rsid w:val="00FF748B"/>
    <w:rsid w:val="00FF7623"/>
    <w:rsid w:val="016407D7"/>
    <w:rsid w:val="016F2D4F"/>
    <w:rsid w:val="01993D60"/>
    <w:rsid w:val="01C744FB"/>
    <w:rsid w:val="01D33DF6"/>
    <w:rsid w:val="01E619E7"/>
    <w:rsid w:val="01EC72D6"/>
    <w:rsid w:val="021A09FD"/>
    <w:rsid w:val="02B26E88"/>
    <w:rsid w:val="036767B8"/>
    <w:rsid w:val="037F1AAB"/>
    <w:rsid w:val="03E20FEC"/>
    <w:rsid w:val="046E6DDE"/>
    <w:rsid w:val="0480254A"/>
    <w:rsid w:val="04D46D43"/>
    <w:rsid w:val="04E90B5B"/>
    <w:rsid w:val="04FF5FB8"/>
    <w:rsid w:val="05096B07"/>
    <w:rsid w:val="0629010A"/>
    <w:rsid w:val="07035F04"/>
    <w:rsid w:val="07412651"/>
    <w:rsid w:val="075732F0"/>
    <w:rsid w:val="076A3DB7"/>
    <w:rsid w:val="07A177E9"/>
    <w:rsid w:val="07C32E23"/>
    <w:rsid w:val="07DC0503"/>
    <w:rsid w:val="080A32C2"/>
    <w:rsid w:val="08321D15"/>
    <w:rsid w:val="08B46BE8"/>
    <w:rsid w:val="08C52A1E"/>
    <w:rsid w:val="09B2782C"/>
    <w:rsid w:val="09C83435"/>
    <w:rsid w:val="0B757B03"/>
    <w:rsid w:val="0B763138"/>
    <w:rsid w:val="0C4D56B3"/>
    <w:rsid w:val="0CFA741E"/>
    <w:rsid w:val="0D6520FE"/>
    <w:rsid w:val="0DC8794B"/>
    <w:rsid w:val="0E016FFC"/>
    <w:rsid w:val="0E0E7662"/>
    <w:rsid w:val="0E1053AA"/>
    <w:rsid w:val="0E3B3D16"/>
    <w:rsid w:val="0E87233E"/>
    <w:rsid w:val="0EA603E1"/>
    <w:rsid w:val="0F175161"/>
    <w:rsid w:val="0FCC0A82"/>
    <w:rsid w:val="107752B0"/>
    <w:rsid w:val="10E45A56"/>
    <w:rsid w:val="11822EAC"/>
    <w:rsid w:val="11A92009"/>
    <w:rsid w:val="11F70A48"/>
    <w:rsid w:val="124E70EA"/>
    <w:rsid w:val="12D62551"/>
    <w:rsid w:val="12DB2CAB"/>
    <w:rsid w:val="12F64B6E"/>
    <w:rsid w:val="13083A13"/>
    <w:rsid w:val="13D103B4"/>
    <w:rsid w:val="13EB21F9"/>
    <w:rsid w:val="14A81D6D"/>
    <w:rsid w:val="15042873"/>
    <w:rsid w:val="1525173B"/>
    <w:rsid w:val="1546345F"/>
    <w:rsid w:val="165F6ECF"/>
    <w:rsid w:val="1711641B"/>
    <w:rsid w:val="17830532"/>
    <w:rsid w:val="18484D29"/>
    <w:rsid w:val="18A62B93"/>
    <w:rsid w:val="197734BB"/>
    <w:rsid w:val="19BF162D"/>
    <w:rsid w:val="19C37774"/>
    <w:rsid w:val="1A0924E4"/>
    <w:rsid w:val="1ABD3F8C"/>
    <w:rsid w:val="1AC9700C"/>
    <w:rsid w:val="1BA4182E"/>
    <w:rsid w:val="1BE834C2"/>
    <w:rsid w:val="1C0A7896"/>
    <w:rsid w:val="1C1222ED"/>
    <w:rsid w:val="1C2C1601"/>
    <w:rsid w:val="1C3B30F7"/>
    <w:rsid w:val="1C493F61"/>
    <w:rsid w:val="1C746C70"/>
    <w:rsid w:val="1C9849DD"/>
    <w:rsid w:val="1CC12DB8"/>
    <w:rsid w:val="1CCE4466"/>
    <w:rsid w:val="1CD94582"/>
    <w:rsid w:val="1D1F4E63"/>
    <w:rsid w:val="1D94408D"/>
    <w:rsid w:val="1DA33B45"/>
    <w:rsid w:val="1DF1193F"/>
    <w:rsid w:val="1E2F53D8"/>
    <w:rsid w:val="1EBA4A39"/>
    <w:rsid w:val="1EFE0DB4"/>
    <w:rsid w:val="1F895D59"/>
    <w:rsid w:val="1FCB2EDF"/>
    <w:rsid w:val="21E738ED"/>
    <w:rsid w:val="21EE1582"/>
    <w:rsid w:val="220D5A31"/>
    <w:rsid w:val="22570824"/>
    <w:rsid w:val="23005713"/>
    <w:rsid w:val="231E0903"/>
    <w:rsid w:val="236773C3"/>
    <w:rsid w:val="23751ADF"/>
    <w:rsid w:val="242B03F0"/>
    <w:rsid w:val="245B32B8"/>
    <w:rsid w:val="248D02DF"/>
    <w:rsid w:val="249D12EE"/>
    <w:rsid w:val="24FB212D"/>
    <w:rsid w:val="251024A8"/>
    <w:rsid w:val="256B319A"/>
    <w:rsid w:val="25F15DB5"/>
    <w:rsid w:val="25F3318F"/>
    <w:rsid w:val="26400922"/>
    <w:rsid w:val="266A7FA7"/>
    <w:rsid w:val="26C32160"/>
    <w:rsid w:val="26DD1E76"/>
    <w:rsid w:val="26FD1009"/>
    <w:rsid w:val="27315465"/>
    <w:rsid w:val="27374E33"/>
    <w:rsid w:val="27673E35"/>
    <w:rsid w:val="27F82C34"/>
    <w:rsid w:val="27FC6C3D"/>
    <w:rsid w:val="27FFE69D"/>
    <w:rsid w:val="288A1E4B"/>
    <w:rsid w:val="28E2514F"/>
    <w:rsid w:val="290755DF"/>
    <w:rsid w:val="29AE18A7"/>
    <w:rsid w:val="2A8850A0"/>
    <w:rsid w:val="2AB63109"/>
    <w:rsid w:val="2B286BC5"/>
    <w:rsid w:val="2C0734F1"/>
    <w:rsid w:val="2C110442"/>
    <w:rsid w:val="2C2D2523"/>
    <w:rsid w:val="2CDB69BA"/>
    <w:rsid w:val="2D3D4AC9"/>
    <w:rsid w:val="2D477707"/>
    <w:rsid w:val="2E227124"/>
    <w:rsid w:val="2E5B3D09"/>
    <w:rsid w:val="2EC13E2B"/>
    <w:rsid w:val="2EC56AB0"/>
    <w:rsid w:val="2ECD6620"/>
    <w:rsid w:val="2F3D5D93"/>
    <w:rsid w:val="2F447F14"/>
    <w:rsid w:val="2F57706B"/>
    <w:rsid w:val="2F5B6E36"/>
    <w:rsid w:val="2FB14F22"/>
    <w:rsid w:val="2FDB53C0"/>
    <w:rsid w:val="30191A45"/>
    <w:rsid w:val="306E12EF"/>
    <w:rsid w:val="30F304E8"/>
    <w:rsid w:val="310E761B"/>
    <w:rsid w:val="313730A9"/>
    <w:rsid w:val="318F577F"/>
    <w:rsid w:val="31EB19E3"/>
    <w:rsid w:val="3247016F"/>
    <w:rsid w:val="3361798A"/>
    <w:rsid w:val="33F94067"/>
    <w:rsid w:val="343155AF"/>
    <w:rsid w:val="35107923"/>
    <w:rsid w:val="35D7257B"/>
    <w:rsid w:val="35EC149E"/>
    <w:rsid w:val="361E4B80"/>
    <w:rsid w:val="363E5DC7"/>
    <w:rsid w:val="365D01D0"/>
    <w:rsid w:val="368A71F8"/>
    <w:rsid w:val="36EA2EF3"/>
    <w:rsid w:val="37926AC3"/>
    <w:rsid w:val="3845787B"/>
    <w:rsid w:val="38527407"/>
    <w:rsid w:val="387B208D"/>
    <w:rsid w:val="38C62347"/>
    <w:rsid w:val="38F66DC7"/>
    <w:rsid w:val="393873DF"/>
    <w:rsid w:val="39E82BB3"/>
    <w:rsid w:val="3A453F55"/>
    <w:rsid w:val="3A612966"/>
    <w:rsid w:val="3A8021DA"/>
    <w:rsid w:val="3AEE244B"/>
    <w:rsid w:val="3B0D2CD2"/>
    <w:rsid w:val="3B61416A"/>
    <w:rsid w:val="3B8F0229"/>
    <w:rsid w:val="3B9C4215"/>
    <w:rsid w:val="3BE7142E"/>
    <w:rsid w:val="3C2D2B00"/>
    <w:rsid w:val="3C4B742A"/>
    <w:rsid w:val="3C5A22D0"/>
    <w:rsid w:val="3CFE624A"/>
    <w:rsid w:val="3D396C7C"/>
    <w:rsid w:val="3D78424E"/>
    <w:rsid w:val="3E157CEF"/>
    <w:rsid w:val="3E2A590C"/>
    <w:rsid w:val="3E664B99"/>
    <w:rsid w:val="3E8D1015"/>
    <w:rsid w:val="3F1104B7"/>
    <w:rsid w:val="3F4C14EF"/>
    <w:rsid w:val="3FA33B6D"/>
    <w:rsid w:val="401364B0"/>
    <w:rsid w:val="40260D15"/>
    <w:rsid w:val="404B3E9C"/>
    <w:rsid w:val="40BE01CA"/>
    <w:rsid w:val="414C48A8"/>
    <w:rsid w:val="4153125A"/>
    <w:rsid w:val="42887E08"/>
    <w:rsid w:val="43067730"/>
    <w:rsid w:val="4311195E"/>
    <w:rsid w:val="43761230"/>
    <w:rsid w:val="437F408F"/>
    <w:rsid w:val="43D7786D"/>
    <w:rsid w:val="44637395"/>
    <w:rsid w:val="448A3D0B"/>
    <w:rsid w:val="44AB4F09"/>
    <w:rsid w:val="45060392"/>
    <w:rsid w:val="45824C19"/>
    <w:rsid w:val="45D02EDC"/>
    <w:rsid w:val="45EA3329"/>
    <w:rsid w:val="461879B9"/>
    <w:rsid w:val="461F6313"/>
    <w:rsid w:val="473C2B2E"/>
    <w:rsid w:val="47C307BC"/>
    <w:rsid w:val="47C84024"/>
    <w:rsid w:val="47F16027"/>
    <w:rsid w:val="48313978"/>
    <w:rsid w:val="484C5992"/>
    <w:rsid w:val="48715EF0"/>
    <w:rsid w:val="487815A6"/>
    <w:rsid w:val="48E44E8E"/>
    <w:rsid w:val="49162985"/>
    <w:rsid w:val="496833C9"/>
    <w:rsid w:val="49D15412"/>
    <w:rsid w:val="4A0C2326"/>
    <w:rsid w:val="4A437992"/>
    <w:rsid w:val="4A585179"/>
    <w:rsid w:val="4A6718D3"/>
    <w:rsid w:val="4AB5517C"/>
    <w:rsid w:val="4ACD0646"/>
    <w:rsid w:val="4B076267"/>
    <w:rsid w:val="4B0E2C7E"/>
    <w:rsid w:val="4B3774F7"/>
    <w:rsid w:val="4B582D53"/>
    <w:rsid w:val="4BF52F0E"/>
    <w:rsid w:val="4CC06EC6"/>
    <w:rsid w:val="4CDB7AA2"/>
    <w:rsid w:val="4CF36C91"/>
    <w:rsid w:val="4D3F2693"/>
    <w:rsid w:val="4E3F2D9E"/>
    <w:rsid w:val="4E9F3BD0"/>
    <w:rsid w:val="4EA72CE4"/>
    <w:rsid w:val="4EE61C92"/>
    <w:rsid w:val="4F756840"/>
    <w:rsid w:val="4F906FB7"/>
    <w:rsid w:val="4F9D5D96"/>
    <w:rsid w:val="4FD96C4D"/>
    <w:rsid w:val="50166926"/>
    <w:rsid w:val="503153FA"/>
    <w:rsid w:val="5056535A"/>
    <w:rsid w:val="51A13350"/>
    <w:rsid w:val="51BB25F2"/>
    <w:rsid w:val="52245352"/>
    <w:rsid w:val="52705BA2"/>
    <w:rsid w:val="52F67F66"/>
    <w:rsid w:val="531E68CD"/>
    <w:rsid w:val="537B69F9"/>
    <w:rsid w:val="53885E4D"/>
    <w:rsid w:val="53C17B7A"/>
    <w:rsid w:val="53E15B99"/>
    <w:rsid w:val="545C6AF1"/>
    <w:rsid w:val="55957024"/>
    <w:rsid w:val="55E73EC2"/>
    <w:rsid w:val="56BD4589"/>
    <w:rsid w:val="56BE5A60"/>
    <w:rsid w:val="580C3AB9"/>
    <w:rsid w:val="581D5B15"/>
    <w:rsid w:val="59C97EB4"/>
    <w:rsid w:val="59D9651C"/>
    <w:rsid w:val="59DD395F"/>
    <w:rsid w:val="5A4E03B9"/>
    <w:rsid w:val="5ADF7263"/>
    <w:rsid w:val="5AE32511"/>
    <w:rsid w:val="5B144FB9"/>
    <w:rsid w:val="5B501F0F"/>
    <w:rsid w:val="5B6774F5"/>
    <w:rsid w:val="5BD26DC8"/>
    <w:rsid w:val="5BD75000"/>
    <w:rsid w:val="5BF8682E"/>
    <w:rsid w:val="5D1B313B"/>
    <w:rsid w:val="5D6D6D7F"/>
    <w:rsid w:val="5DBB5A68"/>
    <w:rsid w:val="5DF91FA2"/>
    <w:rsid w:val="5E671A49"/>
    <w:rsid w:val="5E910B3F"/>
    <w:rsid w:val="5EB56C59"/>
    <w:rsid w:val="5F214501"/>
    <w:rsid w:val="5F284930"/>
    <w:rsid w:val="5F781027"/>
    <w:rsid w:val="5F8139C6"/>
    <w:rsid w:val="5FB454AF"/>
    <w:rsid w:val="5FFC2665"/>
    <w:rsid w:val="60307719"/>
    <w:rsid w:val="604638E0"/>
    <w:rsid w:val="61272412"/>
    <w:rsid w:val="6156102A"/>
    <w:rsid w:val="626369CC"/>
    <w:rsid w:val="627806C9"/>
    <w:rsid w:val="62886432"/>
    <w:rsid w:val="62BB05B6"/>
    <w:rsid w:val="62E35BC0"/>
    <w:rsid w:val="62F162BF"/>
    <w:rsid w:val="630C0E11"/>
    <w:rsid w:val="633D62EA"/>
    <w:rsid w:val="639257BA"/>
    <w:rsid w:val="64B432B0"/>
    <w:rsid w:val="64EA6A8F"/>
    <w:rsid w:val="65356900"/>
    <w:rsid w:val="65752C9E"/>
    <w:rsid w:val="65F2655B"/>
    <w:rsid w:val="66085C0B"/>
    <w:rsid w:val="666A0BEA"/>
    <w:rsid w:val="669C070F"/>
    <w:rsid w:val="66AE46A6"/>
    <w:rsid w:val="67696832"/>
    <w:rsid w:val="67D048F3"/>
    <w:rsid w:val="685E2658"/>
    <w:rsid w:val="68CE25EC"/>
    <w:rsid w:val="69C77840"/>
    <w:rsid w:val="69C9609B"/>
    <w:rsid w:val="69F525FF"/>
    <w:rsid w:val="6A061F45"/>
    <w:rsid w:val="6A5A6906"/>
    <w:rsid w:val="6A7C5717"/>
    <w:rsid w:val="6AB27AB2"/>
    <w:rsid w:val="6ABF49BB"/>
    <w:rsid w:val="6B3453A9"/>
    <w:rsid w:val="6BBC11FE"/>
    <w:rsid w:val="6BD47E37"/>
    <w:rsid w:val="6BEC17E0"/>
    <w:rsid w:val="6CD504C6"/>
    <w:rsid w:val="6CF013AD"/>
    <w:rsid w:val="6D5B09CB"/>
    <w:rsid w:val="6D967C55"/>
    <w:rsid w:val="6DE22E9A"/>
    <w:rsid w:val="6F0F3EFF"/>
    <w:rsid w:val="6F327E52"/>
    <w:rsid w:val="6FA92DAA"/>
    <w:rsid w:val="6FB16FC8"/>
    <w:rsid w:val="6FBC59BA"/>
    <w:rsid w:val="702C48A1"/>
    <w:rsid w:val="708F7CE2"/>
    <w:rsid w:val="71793B16"/>
    <w:rsid w:val="71D15310"/>
    <w:rsid w:val="71F94C89"/>
    <w:rsid w:val="72026C0C"/>
    <w:rsid w:val="721970A7"/>
    <w:rsid w:val="721C3F61"/>
    <w:rsid w:val="72582049"/>
    <w:rsid w:val="7334520E"/>
    <w:rsid w:val="74714F78"/>
    <w:rsid w:val="74726C59"/>
    <w:rsid w:val="74C72DEA"/>
    <w:rsid w:val="74CA0F89"/>
    <w:rsid w:val="75123F8E"/>
    <w:rsid w:val="754E0E15"/>
    <w:rsid w:val="758F546C"/>
    <w:rsid w:val="75BE297E"/>
    <w:rsid w:val="765608C9"/>
    <w:rsid w:val="7673709D"/>
    <w:rsid w:val="769215F3"/>
    <w:rsid w:val="76A2766B"/>
    <w:rsid w:val="76A31467"/>
    <w:rsid w:val="77933457"/>
    <w:rsid w:val="77A47413"/>
    <w:rsid w:val="78436C2C"/>
    <w:rsid w:val="789E5CA1"/>
    <w:rsid w:val="78E0447A"/>
    <w:rsid w:val="79132AA2"/>
    <w:rsid w:val="7923544D"/>
    <w:rsid w:val="799D14E6"/>
    <w:rsid w:val="79DB17E3"/>
    <w:rsid w:val="7A2D1941"/>
    <w:rsid w:val="7A2F56B9"/>
    <w:rsid w:val="7A3F3423"/>
    <w:rsid w:val="7A975B19"/>
    <w:rsid w:val="7B173346"/>
    <w:rsid w:val="7B7535A0"/>
    <w:rsid w:val="7B933A26"/>
    <w:rsid w:val="7BD227A0"/>
    <w:rsid w:val="7C0B35E0"/>
    <w:rsid w:val="7C4215A3"/>
    <w:rsid w:val="7C5B523D"/>
    <w:rsid w:val="7C7F0063"/>
    <w:rsid w:val="7CF07805"/>
    <w:rsid w:val="7D7FA846"/>
    <w:rsid w:val="7D8E0949"/>
    <w:rsid w:val="7E24363B"/>
    <w:rsid w:val="7FDE7399"/>
    <w:rsid w:val="B5F5C986"/>
    <w:rsid w:val="BD4FB4E6"/>
    <w:rsid w:val="CFDFF986"/>
    <w:rsid w:val="DB7FDDB3"/>
    <w:rsid w:val="FA8BE0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74"/>
    <w:qFormat/>
    <w:uiPriority w:val="0"/>
    <w:pPr>
      <w:keepNext/>
      <w:snapToGrid w:val="0"/>
      <w:spacing w:line="360" w:lineRule="atLeast"/>
      <w:jc w:val="center"/>
      <w:outlineLvl w:val="0"/>
    </w:pPr>
    <w:rPr>
      <w:rFonts w:ascii="宋体" w:hAnsi="宋体" w:eastAsia="宋体"/>
      <w:b/>
      <w:sz w:val="28"/>
    </w:rPr>
  </w:style>
  <w:style w:type="paragraph" w:styleId="3">
    <w:name w:val="heading 2"/>
    <w:basedOn w:val="1"/>
    <w:next w:val="1"/>
    <w:link w:val="75"/>
    <w:qFormat/>
    <w:uiPriority w:val="0"/>
    <w:pPr>
      <w:keepNext/>
      <w:keepLines/>
      <w:spacing w:before="20" w:beforeLines="0" w:beforeAutospacing="0" w:after="20" w:afterLines="0" w:afterAutospacing="0" w:line="240" w:lineRule="auto"/>
      <w:outlineLvl w:val="1"/>
    </w:pPr>
    <w:rPr>
      <w:rFonts w:ascii="Arial" w:hAnsi="Arial" w:eastAsia="宋体"/>
    </w:rPr>
  </w:style>
  <w:style w:type="paragraph" w:styleId="4">
    <w:name w:val="heading 3"/>
    <w:basedOn w:val="1"/>
    <w:next w:val="1"/>
    <w:link w:val="86"/>
    <w:qFormat/>
    <w:uiPriority w:val="0"/>
    <w:pPr>
      <w:keepNext/>
      <w:keepLines/>
      <w:spacing w:line="360" w:lineRule="auto"/>
      <w:ind w:left="100" w:leftChars="100" w:right="100" w:rightChars="100" w:firstLine="200" w:firstLineChars="200"/>
      <w:jc w:val="left"/>
      <w:outlineLvl w:val="2"/>
    </w:p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next w:val="24"/>
    <w:link w:val="77"/>
    <w:qFormat/>
    <w:uiPriority w:val="0"/>
    <w:pPr>
      <w:spacing w:line="700" w:lineRule="exact"/>
      <w:ind w:left="960"/>
    </w:pPr>
    <w:rPr>
      <w:sz w:val="44"/>
    </w:rPr>
  </w:style>
  <w:style w:type="paragraph" w:customStyle="1" w:styleId="24">
    <w:name w:val="目录 71"/>
    <w:basedOn w:val="1"/>
    <w:next w:val="1"/>
    <w:qFormat/>
    <w:uiPriority w:val="0"/>
    <w:pPr>
      <w:ind w:left="2520"/>
    </w:p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8"/>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9"/>
    <w:qFormat/>
    <w:uiPriority w:val="0"/>
  </w:style>
  <w:style w:type="paragraph" w:styleId="34">
    <w:name w:val="Body Text Indent 2"/>
    <w:basedOn w:val="1"/>
    <w:link w:val="80"/>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1"/>
    <w:qFormat/>
    <w:uiPriority w:val="0"/>
    <w:pPr>
      <w:tabs>
        <w:tab w:val="center" w:pos="4153"/>
        <w:tab w:val="right" w:pos="8306"/>
      </w:tabs>
      <w:snapToGrid w:val="0"/>
      <w:jc w:val="left"/>
    </w:pPr>
    <w:rPr>
      <w:sz w:val="18"/>
    </w:rPr>
  </w:style>
  <w:style w:type="paragraph" w:styleId="37">
    <w:name w:val="header"/>
    <w:basedOn w:val="1"/>
    <w:link w:val="8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83"/>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84"/>
    <w:qFormat/>
    <w:uiPriority w:val="0"/>
    <w:pPr>
      <w:adjustRightInd/>
      <w:spacing w:line="240" w:lineRule="auto"/>
      <w:textAlignment w:val="auto"/>
    </w:pPr>
  </w:style>
  <w:style w:type="paragraph" w:styleId="56">
    <w:name w:val="Body Text First Indent"/>
    <w:basedOn w:val="22"/>
    <w:next w:val="1"/>
    <w:qFormat/>
    <w:uiPriority w:val="0"/>
    <w:pPr>
      <w:spacing w:line="360" w:lineRule="auto"/>
      <w:ind w:firstLine="420"/>
    </w:pPr>
    <w:rPr>
      <w:rFonts w:ascii="宋体" w:hAnsi="宋体"/>
      <w:sz w:val="24"/>
    </w:rPr>
  </w:style>
  <w:style w:type="paragraph" w:styleId="57">
    <w:name w:val="Body Text First Indent 2"/>
    <w:basedOn w:val="23"/>
    <w:next w:val="56"/>
    <w:link w:val="85"/>
    <w:qFormat/>
    <w:uiPriority w:val="0"/>
    <w:pPr>
      <w:spacing w:after="120" w:afterLines="0" w:line="240" w:lineRule="auto"/>
      <w:ind w:left="420" w:leftChars="200" w:firstLine="420" w:firstLineChars="200"/>
    </w:pPr>
  </w:style>
  <w:style w:type="table" w:styleId="59">
    <w:name w:val="Table Grid"/>
    <w:basedOn w:val="58"/>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一级条标题"/>
    <w:basedOn w:val="69"/>
    <w:next w:val="70"/>
    <w:qFormat/>
    <w:uiPriority w:val="0"/>
    <w:pPr>
      <w:numPr>
        <w:ilvl w:val="1"/>
        <w:numId w:val="0"/>
      </w:numPr>
      <w:spacing w:before="0" w:beforeLines="0" w:beforeAutospacing="0" w:after="0" w:afterLines="0" w:afterAutospacing="0"/>
      <w:ind w:left="525"/>
      <w:outlineLvl w:val="2"/>
    </w:pPr>
    <w:rPr>
      <w:sz w:val="21"/>
    </w:rPr>
  </w:style>
  <w:style w:type="paragraph" w:customStyle="1" w:styleId="69">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1">
    <w:name w:val="标题 3 Char"/>
    <w:link w:val="4"/>
    <w:qFormat/>
    <w:uiPriority w:val="0"/>
    <w:rPr>
      <w:rFonts w:eastAsia="宋体"/>
      <w:b/>
      <w:kern w:val="2"/>
      <w:sz w:val="32"/>
      <w:lang w:val="en-US" w:eastAsia="zh-CN"/>
    </w:rPr>
  </w:style>
  <w:style w:type="paragraph" w:customStyle="1" w:styleId="7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val="0"/>
      <w:kern w:val="44"/>
      <w:sz w:val="44"/>
    </w:rPr>
  </w:style>
  <w:style w:type="paragraph" w:customStyle="1" w:styleId="73">
    <w:name w:val="无间隔1"/>
    <w:qFormat/>
    <w:uiPriority w:val="1"/>
    <w:pPr>
      <w:jc w:val="both"/>
    </w:pPr>
    <w:rPr>
      <w:rFonts w:ascii="Times New Roman" w:hAnsi="Times New Roman" w:eastAsia="Times New Roman" w:cs="Times New Roman"/>
      <w:lang w:val="en-US" w:eastAsia="zh-CN" w:bidi="ar-SA"/>
    </w:rPr>
  </w:style>
  <w:style w:type="character" w:customStyle="1" w:styleId="74">
    <w:name w:val="标题 1 字符"/>
    <w:link w:val="2"/>
    <w:qFormat/>
    <w:uiPriority w:val="0"/>
    <w:rPr>
      <w:rFonts w:ascii="宋体" w:hAnsi="宋体" w:eastAsia="宋体"/>
      <w:b/>
      <w:sz w:val="28"/>
    </w:rPr>
  </w:style>
  <w:style w:type="character" w:customStyle="1" w:styleId="75">
    <w:name w:val="标题 2 字符"/>
    <w:link w:val="3"/>
    <w:qFormat/>
    <w:uiPriority w:val="0"/>
    <w:rPr>
      <w:rFonts w:ascii="Arial" w:hAnsi="Arial" w:eastAsia="宋体"/>
      <w:kern w:val="2"/>
      <w:sz w:val="28"/>
    </w:rPr>
  </w:style>
  <w:style w:type="character" w:customStyle="1" w:styleId="76">
    <w:name w:val="批注文字 字符"/>
    <w:link w:val="19"/>
    <w:qFormat/>
    <w:uiPriority w:val="0"/>
    <w:rPr>
      <w:sz w:val="24"/>
    </w:rPr>
  </w:style>
  <w:style w:type="character" w:customStyle="1" w:styleId="77">
    <w:name w:val="正文文本缩进 字符"/>
    <w:link w:val="23"/>
    <w:qFormat/>
    <w:uiPriority w:val="0"/>
    <w:rPr>
      <w:kern w:val="2"/>
      <w:sz w:val="44"/>
    </w:rPr>
  </w:style>
  <w:style w:type="character" w:customStyle="1" w:styleId="78">
    <w:name w:val="纯文本 字符"/>
    <w:link w:val="31"/>
    <w:qFormat/>
    <w:uiPriority w:val="0"/>
    <w:rPr>
      <w:rFonts w:ascii="宋体" w:hAnsi="Courier New"/>
      <w:kern w:val="2"/>
      <w:sz w:val="21"/>
    </w:rPr>
  </w:style>
  <w:style w:type="character" w:customStyle="1" w:styleId="79">
    <w:name w:val="日期 字符"/>
    <w:link w:val="33"/>
    <w:qFormat/>
    <w:uiPriority w:val="0"/>
    <w:rPr>
      <w:kern w:val="2"/>
      <w:sz w:val="28"/>
    </w:rPr>
  </w:style>
  <w:style w:type="character" w:customStyle="1" w:styleId="80">
    <w:name w:val="正文文本缩进 2 字符"/>
    <w:link w:val="34"/>
    <w:qFormat/>
    <w:uiPriority w:val="0"/>
    <w:rPr>
      <w:kern w:val="2"/>
      <w:sz w:val="28"/>
    </w:rPr>
  </w:style>
  <w:style w:type="character" w:customStyle="1" w:styleId="81">
    <w:name w:val="页脚 字符"/>
    <w:link w:val="36"/>
    <w:qFormat/>
    <w:uiPriority w:val="0"/>
    <w:rPr>
      <w:kern w:val="2"/>
      <w:sz w:val="18"/>
    </w:rPr>
  </w:style>
  <w:style w:type="character" w:customStyle="1" w:styleId="82">
    <w:name w:val="页眉 字符"/>
    <w:link w:val="37"/>
    <w:qFormat/>
    <w:uiPriority w:val="0"/>
    <w:rPr>
      <w:kern w:val="2"/>
      <w:sz w:val="18"/>
    </w:rPr>
  </w:style>
  <w:style w:type="character" w:customStyle="1" w:styleId="83">
    <w:name w:val="脚注文本 字符"/>
    <w:link w:val="41"/>
    <w:qFormat/>
    <w:uiPriority w:val="0"/>
    <w:rPr>
      <w:kern w:val="2"/>
      <w:sz w:val="18"/>
    </w:rPr>
  </w:style>
  <w:style w:type="character" w:customStyle="1" w:styleId="84">
    <w:name w:val="批注主题 字符"/>
    <w:link w:val="55"/>
    <w:qFormat/>
    <w:uiPriority w:val="0"/>
  </w:style>
  <w:style w:type="character" w:customStyle="1" w:styleId="85">
    <w:name w:val="正文文本首行缩进 2 字符"/>
    <w:link w:val="57"/>
    <w:qFormat/>
    <w:uiPriority w:val="0"/>
  </w:style>
  <w:style w:type="character" w:customStyle="1" w:styleId="86">
    <w:name w:val="标题 3 字符"/>
    <w:link w:val="4"/>
    <w:qFormat/>
    <w:uiPriority w:val="0"/>
    <w:rPr>
      <w:kern w:val="2"/>
      <w:sz w:val="28"/>
    </w:rPr>
  </w:style>
  <w:style w:type="character" w:customStyle="1" w:styleId="87">
    <w:name w:val="content-white1"/>
    <w:qFormat/>
    <w:uiPriority w:val="0"/>
    <w:rPr>
      <w:rFonts w:ascii="_x000B__x000C_" w:hAnsi="_x000B__x000C_"/>
      <w:color w:val="auto"/>
      <w:sz w:val="18"/>
      <w:u w:val="none"/>
    </w:rPr>
  </w:style>
  <w:style w:type="character" w:customStyle="1" w:styleId="88">
    <w:name w:val=" Char Char3"/>
    <w:qFormat/>
    <w:uiPriority w:val="0"/>
    <w:rPr>
      <w:rFonts w:eastAsia="宋体"/>
      <w:kern w:val="2"/>
      <w:sz w:val="18"/>
      <w:lang w:val="en-US" w:eastAsia="zh-CN"/>
    </w:rPr>
  </w:style>
  <w:style w:type="character" w:customStyle="1" w:styleId="89">
    <w:name w:val="Table Text Char Char Char Char"/>
    <w:link w:val="90"/>
    <w:qFormat/>
    <w:uiPriority w:val="0"/>
    <w:rPr>
      <w:rFonts w:ascii="Arial" w:hAnsi="Arial"/>
      <w:kern w:val="2"/>
      <w:sz w:val="18"/>
      <w:lang w:val="en-US" w:eastAsia="zh-CN" w:bidi="ar-SA"/>
    </w:rPr>
  </w:style>
  <w:style w:type="paragraph" w:customStyle="1" w:styleId="90">
    <w:name w:val="Table Text Char Char Char"/>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 Char Char7"/>
    <w:qFormat/>
    <w:uiPriority w:val="0"/>
    <w:rPr>
      <w:rFonts w:ascii="宋体" w:hAnsi="宋体" w:eastAsia="宋体"/>
      <w:kern w:val="2"/>
      <w:sz w:val="28"/>
    </w:rPr>
  </w:style>
  <w:style w:type="character" w:customStyle="1" w:styleId="92">
    <w:name w:val="未命名11"/>
    <w:qFormat/>
    <w:uiPriority w:val="0"/>
    <w:rPr>
      <w:color w:val="77FFFF"/>
      <w:sz w:val="24"/>
    </w:rPr>
  </w:style>
  <w:style w:type="character" w:customStyle="1" w:styleId="93">
    <w:name w:val="小 Char"/>
    <w:qFormat/>
    <w:uiPriority w:val="0"/>
    <w:rPr>
      <w:rFonts w:ascii="宋体" w:hAnsi="Courier New" w:eastAsia="宋体"/>
      <w:kern w:val="2"/>
      <w:sz w:val="21"/>
      <w:lang w:val="en-US" w:eastAsia="zh-CN" w:bidi="ar-SA"/>
    </w:rPr>
  </w:style>
  <w:style w:type="character" w:customStyle="1" w:styleId="94">
    <w:name w:val="文字 Char"/>
    <w:link w:val="95"/>
    <w:qFormat/>
    <w:uiPriority w:val="0"/>
    <w:rPr>
      <w:rFonts w:ascii="宋体"/>
      <w:kern w:val="2"/>
      <w:sz w:val="28"/>
    </w:rPr>
  </w:style>
  <w:style w:type="paragraph" w:customStyle="1" w:styleId="95">
    <w:name w:val="文字"/>
    <w:basedOn w:val="1"/>
    <w:link w:val="94"/>
    <w:qFormat/>
    <w:uiPriority w:val="0"/>
    <w:pPr>
      <w:tabs>
        <w:tab w:val="left" w:pos="8520"/>
      </w:tabs>
      <w:spacing w:line="312" w:lineRule="auto"/>
      <w:ind w:right="-210" w:firstLine="556"/>
    </w:pPr>
    <w:rPr>
      <w:rFonts w:ascii="宋体"/>
    </w:rPr>
  </w:style>
  <w:style w:type="character" w:customStyle="1" w:styleId="96">
    <w:name w:val="v151"/>
    <w:qFormat/>
    <w:uiPriority w:val="0"/>
    <w:rPr>
      <w:sz w:val="18"/>
    </w:rPr>
  </w:style>
  <w:style w:type="character" w:customStyle="1" w:styleId="97">
    <w:name w:val=" Char Char2"/>
    <w:qFormat/>
    <w:uiPriority w:val="0"/>
    <w:rPr>
      <w:rFonts w:eastAsia="宋体"/>
      <w:kern w:val="2"/>
      <w:sz w:val="18"/>
      <w:lang w:val="en-US" w:eastAsia="zh-CN"/>
    </w:rPr>
  </w:style>
  <w:style w:type="character" w:customStyle="1" w:styleId="98">
    <w:name w:val="Table Text Char"/>
    <w:link w:val="99"/>
    <w:qFormat/>
    <w:uiPriority w:val="0"/>
    <w:rPr>
      <w:rFonts w:ascii="Arial" w:hAnsi="Arial"/>
      <w:kern w:val="2"/>
      <w:sz w:val="18"/>
      <w:lang w:val="en-US" w:eastAsia="zh-CN" w:bidi="ar-SA"/>
    </w:rPr>
  </w:style>
  <w:style w:type="paragraph" w:customStyle="1" w:styleId="99">
    <w:name w:val="Table Text"/>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 Char Char11"/>
    <w:qFormat/>
    <w:uiPriority w:val="0"/>
    <w:rPr>
      <w:rFonts w:ascii="宋体"/>
      <w:kern w:val="2"/>
      <w:sz w:val="28"/>
    </w:rPr>
  </w:style>
  <w:style w:type="character" w:customStyle="1" w:styleId="102">
    <w:name w:val="样式 宋体"/>
    <w:qFormat/>
    <w:uiPriority w:val="0"/>
    <w:rPr>
      <w:rFonts w:ascii="宋体" w:hAnsi="宋体" w:eastAsia="宋体"/>
      <w:sz w:val="28"/>
    </w:rPr>
  </w:style>
  <w:style w:type="character" w:customStyle="1" w:styleId="103">
    <w:name w:val="正文 + 三号 Char"/>
    <w:qFormat/>
    <w:uiPriority w:val="0"/>
    <w:rPr>
      <w:rFonts w:eastAsia="宋体"/>
      <w:kern w:val="2"/>
      <w:sz w:val="21"/>
      <w:lang w:val="en-US" w:eastAsia="zh-CN"/>
    </w:rPr>
  </w:style>
  <w:style w:type="character" w:customStyle="1" w:styleId="104">
    <w:name w:val="crowed11"/>
    <w:qFormat/>
    <w:uiPriority w:val="0"/>
    <w:rPr>
      <w:rFonts w:hint="default" w:ascii="_x000B__x000C_" w:hAnsi="_x000B__x000C_"/>
      <w:sz w:val="24"/>
    </w:rPr>
  </w:style>
  <w:style w:type="character" w:customStyle="1" w:styleId="105">
    <w:name w:val="font1"/>
    <w:qFormat/>
    <w:uiPriority w:val="0"/>
    <w:rPr>
      <w:color w:val="000000"/>
      <w:sz w:val="18"/>
    </w:rPr>
  </w:style>
  <w:style w:type="character" w:customStyle="1" w:styleId="106">
    <w:name w:val="H2 Char"/>
    <w:qFormat/>
    <w:uiPriority w:val="0"/>
    <w:rPr>
      <w:rFonts w:ascii="Arial" w:hAnsi="Arial" w:eastAsia="宋体"/>
      <w:kern w:val="2"/>
      <w:sz w:val="28"/>
      <w:lang w:val="en-US" w:eastAsia="zh-CN"/>
    </w:rPr>
  </w:style>
  <w:style w:type="character" w:customStyle="1" w:styleId="107">
    <w:name w:val=" Char Char4"/>
    <w:qFormat/>
    <w:uiPriority w:val="0"/>
    <w:rPr>
      <w:rFonts w:eastAsia="宋体"/>
      <w:b/>
      <w:kern w:val="2"/>
      <w:sz w:val="21"/>
      <w:lang w:val="en-US" w:eastAsia="zh-CN"/>
    </w:rPr>
  </w:style>
  <w:style w:type="character" w:customStyle="1" w:styleId="108">
    <w:name w:val="title_emph1"/>
    <w:qFormat/>
    <w:uiPriority w:val="0"/>
    <w:rPr>
      <w:rFonts w:hint="default" w:ascii="Arial" w:hAnsi="Arial"/>
      <w:b/>
      <w:sz w:val="20"/>
    </w:rPr>
  </w:style>
  <w:style w:type="character" w:customStyle="1" w:styleId="109">
    <w:name w:val=" Char Char6"/>
    <w:qFormat/>
    <w:uiPriority w:val="0"/>
    <w:rPr>
      <w:rFonts w:ascii="仿宋_GB2312" w:eastAsia="仿宋_GB2312"/>
      <w:kern w:val="2"/>
      <w:sz w:val="32"/>
    </w:rPr>
  </w:style>
  <w:style w:type="character" w:customStyle="1" w:styleId="110">
    <w:name w:val="top-det1"/>
    <w:qFormat/>
    <w:uiPriority w:val="0"/>
    <w:rPr>
      <w:b/>
      <w:color w:val="000000"/>
    </w:rPr>
  </w:style>
  <w:style w:type="character" w:customStyle="1" w:styleId="111">
    <w:name w:val=" Char Char5"/>
    <w:qFormat/>
    <w:uiPriority w:val="0"/>
    <w:rPr>
      <w:rFonts w:ascii="Arial" w:hAnsi="Arial" w:eastAsia="宋体"/>
      <w:b/>
      <w:smallCaps/>
      <w:kern w:val="28"/>
      <w:sz w:val="36"/>
      <w:lang w:val="en-US" w:eastAsia="en-US"/>
    </w:rPr>
  </w:style>
  <w:style w:type="character" w:customStyle="1" w:styleId="112">
    <w:name w:val="标书正文:  0.74 厘米 Char1"/>
    <w:qFormat/>
    <w:uiPriority w:val="0"/>
    <w:rPr>
      <w:rFonts w:eastAsia="宋体"/>
      <w:kern w:val="2"/>
      <w:sz w:val="24"/>
      <w:lang w:val="en-US" w:eastAsia="zh-CN"/>
    </w:rPr>
  </w:style>
  <w:style w:type="character" w:customStyle="1" w:styleId="113">
    <w:name w:val="Table Text Char1 Char"/>
    <w:qFormat/>
    <w:uiPriority w:val="0"/>
    <w:rPr>
      <w:rFonts w:ascii="Arial" w:hAnsi="Arial"/>
      <w:kern w:val="2"/>
      <w:sz w:val="18"/>
      <w:lang w:val="en-US" w:eastAsia="zh-CN" w:bidi="ar-SA"/>
    </w:rPr>
  </w:style>
  <w:style w:type="character" w:customStyle="1" w:styleId="114">
    <w:name w:val=" Char Char"/>
    <w:qFormat/>
    <w:uiPriority w:val="0"/>
    <w:rPr>
      <w:rFonts w:ascii="宋体" w:hAnsi="宋体" w:eastAsia="宋体"/>
      <w:kern w:val="2"/>
      <w:sz w:val="24"/>
      <w:lang w:val="en-US" w:eastAsia="zh-CN" w:bidi="ar-SA"/>
    </w:rPr>
  </w:style>
  <w:style w:type="paragraph" w:customStyle="1" w:styleId="115">
    <w:name w:val="IN Feature"/>
    <w:next w:val="11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6">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7">
    <w:name w:val="表文字"/>
    <w:qFormat/>
    <w:uiPriority w:val="0"/>
    <w:rPr>
      <w:rFonts w:ascii="宋体" w:hAnsi="Times New Roman" w:eastAsia="宋体" w:cs="Times New Roman"/>
      <w:kern w:val="2"/>
      <w:lang w:val="en-US" w:eastAsia="zh-CN" w:bidi="ar-SA"/>
    </w:rPr>
  </w:style>
  <w:style w:type="paragraph" w:customStyle="1" w:styleId="11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Char1 Char Char Char"/>
    <w:basedOn w:val="1"/>
    <w:qFormat/>
    <w:uiPriority w:val="0"/>
    <w:rPr>
      <w:rFonts w:ascii="Tahoma" w:hAnsi="Tahoma"/>
      <w:sz w:val="30"/>
    </w:rPr>
  </w:style>
  <w:style w:type="paragraph" w:customStyle="1" w:styleId="121">
    <w:name w:val="二级列表"/>
    <w:basedOn w:val="122"/>
    <w:next w:val="122"/>
    <w:qFormat/>
    <w:uiPriority w:val="0"/>
    <w:pPr>
      <w:tabs>
        <w:tab w:val="left" w:pos="2120"/>
      </w:tabs>
      <w:ind w:firstLine="0" w:firstLineChars="0"/>
    </w:pPr>
    <w:rPr>
      <w:b/>
    </w:rPr>
  </w:style>
  <w:style w:type="paragraph" w:customStyle="1" w:styleId="122">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23">
    <w:name w:val="00"/>
    <w:basedOn w:val="1"/>
    <w:qFormat/>
    <w:uiPriority w:val="0"/>
    <w:pPr>
      <w:autoSpaceDE w:val="0"/>
      <w:autoSpaceDN w:val="0"/>
      <w:adjustRightInd w:val="0"/>
      <w:jc w:val="left"/>
    </w:pPr>
    <w:rPr>
      <w:rFonts w:ascii="黑体" w:eastAsia="黑体"/>
      <w:b/>
      <w:kern w:val="0"/>
      <w:sz w:val="20"/>
    </w:rPr>
  </w:style>
  <w:style w:type="paragraph" w:customStyle="1" w:styleId="124">
    <w:name w:val="1.正文"/>
    <w:basedOn w:val="1"/>
    <w:qFormat/>
    <w:uiPriority w:val="0"/>
    <w:pPr>
      <w:spacing w:line="360" w:lineRule="auto"/>
      <w:ind w:left="540" w:leftChars="225" w:firstLine="540" w:firstLineChars="225"/>
    </w:pPr>
    <w:rPr>
      <w:sz w:val="24"/>
    </w:rPr>
  </w:style>
  <w:style w:type="paragraph" w:customStyle="1" w:styleId="125">
    <w:name w:val="内容标题"/>
    <w:basedOn w:val="17"/>
    <w:qFormat/>
    <w:uiPriority w:val="0"/>
    <w:rPr>
      <w:rFonts w:ascii="Tahoma" w:hAnsi="Tahoma"/>
      <w:sz w:val="24"/>
    </w:rPr>
  </w:style>
  <w:style w:type="paragraph" w:customStyle="1" w:styleId="12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7">
    <w:name w:val="表头"/>
    <w:basedOn w:val="128"/>
    <w:qFormat/>
    <w:uiPriority w:val="0"/>
    <w:pPr>
      <w:jc w:val="center"/>
    </w:pPr>
    <w:rPr>
      <w:b/>
      <w:bCs/>
    </w:rPr>
  </w:style>
  <w:style w:type="paragraph" w:customStyle="1" w:styleId="128">
    <w:name w:val="表格正文"/>
    <w:basedOn w:val="1"/>
    <w:qFormat/>
    <w:uiPriority w:val="0"/>
    <w:rPr>
      <w:rFonts w:ascii="Calibri" w:hAnsi="Calibri" w:eastAsia="仿宋" w:cs="宋体"/>
      <w:sz w:val="24"/>
    </w:rPr>
  </w:style>
  <w:style w:type="paragraph" w:customStyle="1" w:styleId="129">
    <w:name w:val="正文1"/>
    <w:basedOn w:val="1"/>
    <w:qFormat/>
    <w:uiPriority w:val="0"/>
    <w:pPr>
      <w:spacing w:line="300" w:lineRule="auto"/>
      <w:ind w:firstLine="200" w:firstLineChars="200"/>
    </w:pPr>
    <w:rPr>
      <w:sz w:val="24"/>
    </w:rPr>
  </w:style>
  <w:style w:type="paragraph" w:customStyle="1" w:styleId="13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3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34">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5">
    <w:name w:val="Title - Date"/>
    <w:basedOn w:val="54"/>
    <w:next w:val="1"/>
    <w:qFormat/>
    <w:uiPriority w:val="0"/>
    <w:pPr>
      <w:spacing w:before="240" w:beforeLines="0" w:beforeAutospacing="0" w:after="720" w:afterLines="0" w:afterAutospacing="0"/>
    </w:pPr>
    <w:rPr>
      <w:sz w:val="28"/>
    </w:rPr>
  </w:style>
  <w:style w:type="paragraph" w:customStyle="1" w:styleId="136">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8">
    <w:name w:val=" Char1 Char Char Char"/>
    <w:basedOn w:val="1"/>
    <w:qFormat/>
    <w:uiPriority w:val="0"/>
    <w:rPr>
      <w:rFonts w:ascii="Tahoma" w:hAnsi="Tahoma"/>
      <w:sz w:val="24"/>
    </w:rPr>
  </w:style>
  <w:style w:type="paragraph" w:customStyle="1" w:styleId="139">
    <w:name w:val=" Char1"/>
    <w:basedOn w:val="1"/>
    <w:qFormat/>
    <w:uiPriority w:val="0"/>
    <w:rPr>
      <w:sz w:val="21"/>
    </w:rPr>
  </w:style>
  <w:style w:type="paragraph" w:customStyle="1" w:styleId="140">
    <w:name w:val="表头样式"/>
    <w:basedOn w:val="1"/>
    <w:qFormat/>
    <w:uiPriority w:val="0"/>
    <w:pPr>
      <w:autoSpaceDE w:val="0"/>
      <w:autoSpaceDN w:val="0"/>
      <w:adjustRightInd w:val="0"/>
      <w:spacing w:line="360" w:lineRule="auto"/>
      <w:jc w:val="left"/>
    </w:pPr>
    <w:rPr>
      <w:b/>
      <w:kern w:val="0"/>
      <w:sz w:val="21"/>
    </w:rPr>
  </w:style>
  <w:style w:type="paragraph" w:customStyle="1" w:styleId="141">
    <w:name w:val="样式 正文缩进正文（首行缩进两字）表正文正文非缩进特点标题4段1 + 首行缩进:  2 字符"/>
    <w:basedOn w:val="15"/>
    <w:qFormat/>
    <w:uiPriority w:val="0"/>
    <w:pPr>
      <w:ind w:firstLine="480" w:firstLineChars="200"/>
    </w:pPr>
  </w:style>
  <w:style w:type="paragraph" w:customStyle="1" w:styleId="142">
    <w:name w:val="样式4"/>
    <w:basedOn w:val="5"/>
    <w:qFormat/>
    <w:uiPriority w:val="0"/>
    <w:pPr>
      <w:adjustRightInd w:val="0"/>
      <w:snapToGrid w:val="0"/>
    </w:pPr>
  </w:style>
  <w:style w:type="paragraph" w:customStyle="1" w:styleId="143">
    <w:name w:val="Body Text Indent 2"/>
    <w:basedOn w:val="1"/>
    <w:qFormat/>
    <w:uiPriority w:val="0"/>
    <w:pPr>
      <w:adjustRightInd w:val="0"/>
      <w:spacing w:before="120" w:beforeLines="0" w:beforeAutospacing="0"/>
      <w:ind w:firstLine="420"/>
      <w:textAlignment w:val="baseline"/>
    </w:pPr>
    <w:rPr>
      <w:sz w:val="24"/>
    </w:rPr>
  </w:style>
  <w:style w:type="paragraph" w:customStyle="1" w:styleId="144">
    <w:name w:val="首行缩进 1"/>
    <w:basedOn w:val="1"/>
    <w:qFormat/>
    <w:uiPriority w:val="0"/>
    <w:pPr>
      <w:spacing w:after="120" w:afterLines="0" w:afterAutospacing="0" w:line="360" w:lineRule="auto"/>
      <w:ind w:firstLine="200" w:firstLineChars="200"/>
    </w:pPr>
    <w:rPr>
      <w:sz w:val="24"/>
    </w:rPr>
  </w:style>
  <w:style w:type="paragraph" w:customStyle="1" w:styleId="145">
    <w:name w:val="样式 首行缩进:  0.74 厘米"/>
    <w:basedOn w:val="1"/>
    <w:qFormat/>
    <w:uiPriority w:val="0"/>
    <w:pPr>
      <w:spacing w:line="360" w:lineRule="auto"/>
      <w:ind w:firstLine="420"/>
    </w:pPr>
    <w:rPr>
      <w:sz w:val="24"/>
    </w:rPr>
  </w:style>
  <w:style w:type="paragraph" w:customStyle="1" w:styleId="1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9">
    <w:name w:val="Title - Revision"/>
    <w:basedOn w:val="54"/>
    <w:qFormat/>
    <w:uiPriority w:val="0"/>
    <w:pPr>
      <w:spacing w:before="720" w:beforeLines="0" w:beforeAutospacing="0"/>
    </w:pPr>
  </w:style>
  <w:style w:type="paragraph" w:customStyle="1" w:styleId="15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1"/>
    <w:basedOn w:val="1"/>
    <w:next w:val="31"/>
    <w:qFormat/>
    <w:uiPriority w:val="0"/>
    <w:rPr>
      <w:rFonts w:ascii="宋体" w:hAnsi="Courier New"/>
      <w:sz w:val="21"/>
    </w:rPr>
  </w:style>
  <w:style w:type="paragraph" w:customStyle="1" w:styleId="153">
    <w:name w:val="Table Contents"/>
    <w:basedOn w:val="22"/>
    <w:qFormat/>
    <w:uiPriority w:val="0"/>
    <w:pPr>
      <w:suppressAutoHyphens/>
      <w:jc w:val="left"/>
    </w:pPr>
    <w:rPr>
      <w:rFonts w:ascii="Times New Roman" w:eastAsia="Times New Roman"/>
      <w:kern w:val="0"/>
      <w:sz w:val="24"/>
    </w:rPr>
  </w:style>
  <w:style w:type="paragraph" w:customStyle="1" w:styleId="154">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5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6">
    <w:name w:val="Char Char Char Char Char Char Char"/>
    <w:basedOn w:val="17"/>
    <w:qFormat/>
    <w:uiPriority w:val="0"/>
    <w:rPr>
      <w:rFonts w:ascii="宋体" w:hAnsi="Tahoma"/>
    </w:rPr>
  </w:style>
  <w:style w:type="paragraph" w:customStyle="1" w:styleId="157">
    <w:name w:val="默认段落字体 Para Char Char Char Char Char Char Char Char Char1 Char Char Char Char"/>
    <w:basedOn w:val="1"/>
    <w:qFormat/>
    <w:uiPriority w:val="0"/>
    <w:rPr>
      <w:rFonts w:ascii="Tahoma" w:hAnsi="Tahoma"/>
      <w:sz w:val="24"/>
    </w:rPr>
  </w:style>
  <w:style w:type="paragraph" w:customStyle="1" w:styleId="158">
    <w:name w:val="标题无"/>
    <w:basedOn w:val="1"/>
    <w:qFormat/>
    <w:uiPriority w:val="0"/>
    <w:pPr>
      <w:spacing w:line="360" w:lineRule="auto"/>
    </w:pPr>
    <w:rPr>
      <w:sz w:val="24"/>
    </w:rPr>
  </w:style>
  <w:style w:type="paragraph" w:customStyle="1" w:styleId="159">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60">
    <w:name w:val="二级条标题"/>
    <w:basedOn w:val="68"/>
    <w:next w:val="70"/>
    <w:qFormat/>
    <w:uiPriority w:val="0"/>
    <w:pPr>
      <w:ind w:left="840"/>
      <w:outlineLvl w:val="3"/>
    </w:pPr>
  </w:style>
  <w:style w:type="paragraph" w:customStyle="1" w:styleId="16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2">
    <w:name w:val="关键词"/>
    <w:basedOn w:val="1"/>
    <w:next w:val="1"/>
    <w:qFormat/>
    <w:uiPriority w:val="0"/>
    <w:pPr>
      <w:spacing w:line="360" w:lineRule="auto"/>
    </w:pPr>
    <w:rPr>
      <w:rFonts w:eastAsia="黑体"/>
      <w:sz w:val="20"/>
    </w:rPr>
  </w:style>
  <w:style w:type="paragraph" w:customStyle="1" w:styleId="163">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_Style 161"/>
    <w:qFormat/>
    <w:uiPriority w:val="0"/>
    <w:rPr>
      <w:rFonts w:ascii="Times New Roman" w:hAnsi="Times New Roman" w:eastAsia="宋体" w:cs="Times New Roman"/>
      <w:kern w:val="2"/>
      <w:sz w:val="21"/>
      <w:lang w:val="en-US" w:eastAsia="zh-CN" w:bidi="ar-SA"/>
    </w:rPr>
  </w:style>
  <w:style w:type="paragraph" w:customStyle="1" w:styleId="166">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7">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val="0"/>
      <w:kern w:val="44"/>
      <w:sz w:val="32"/>
    </w:rPr>
  </w:style>
  <w:style w:type="paragraph" w:customStyle="1" w:styleId="168">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4">
    <w:name w:val="样式1xz"/>
    <w:basedOn w:val="1"/>
    <w:qFormat/>
    <w:uiPriority w:val="0"/>
    <w:pPr>
      <w:tabs>
        <w:tab w:val="left" w:pos="1050"/>
        <w:tab w:val="right" w:leader="dot" w:pos="8296"/>
      </w:tabs>
    </w:pPr>
    <w:rPr>
      <w:caps/>
      <w:spacing w:val="20"/>
      <w:sz w:val="24"/>
    </w:rPr>
  </w:style>
  <w:style w:type="paragraph" w:customStyle="1" w:styleId="175">
    <w:name w:val="样式 宋体 五号 行距: 单倍行距"/>
    <w:basedOn w:val="1"/>
    <w:qFormat/>
    <w:uiPriority w:val="0"/>
    <w:pPr>
      <w:adjustRightInd w:val="0"/>
      <w:jc w:val="left"/>
    </w:pPr>
    <w:rPr>
      <w:rFonts w:ascii="宋体" w:hAnsi="宋体"/>
      <w:kern w:val="0"/>
      <w:sz w:val="21"/>
    </w:rPr>
  </w:style>
  <w:style w:type="paragraph" w:customStyle="1" w:styleId="176">
    <w:name w:val="图片文字"/>
    <w:basedOn w:val="1"/>
    <w:qFormat/>
    <w:uiPriority w:val="0"/>
    <w:pPr>
      <w:spacing w:line="240" w:lineRule="atLeast"/>
      <w:jc w:val="center"/>
    </w:pPr>
    <w:rPr>
      <w:sz w:val="21"/>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9">
    <w:name w:val="Note"/>
    <w:basedOn w:val="1"/>
    <w:qFormat/>
    <w:uiPriority w:val="0"/>
    <w:pPr>
      <w:pBdr>
        <w:top w:val="single" w:color="auto" w:sz="12" w:space="3"/>
        <w:bottom w:val="single" w:color="auto" w:sz="12" w:space="3"/>
      </w:pBdr>
      <w:spacing w:line="360" w:lineRule="auto"/>
    </w:pPr>
    <w:rPr>
      <w:sz w:val="24"/>
    </w:rPr>
  </w:style>
  <w:style w:type="paragraph" w:customStyle="1" w:styleId="180">
    <w:name w:val=" Char"/>
    <w:basedOn w:val="1"/>
    <w:qFormat/>
    <w:uiPriority w:val="0"/>
    <w:pPr>
      <w:spacing w:line="240" w:lineRule="atLeast"/>
      <w:ind w:left="420" w:firstLine="420"/>
    </w:pPr>
    <w:rPr>
      <w:kern w:val="0"/>
      <w:sz w:val="21"/>
    </w:rPr>
  </w:style>
  <w:style w:type="paragraph" w:customStyle="1" w:styleId="181">
    <w:name w:val=" Char Char Char"/>
    <w:basedOn w:val="1"/>
    <w:qFormat/>
    <w:uiPriority w:val="0"/>
    <w:rPr>
      <w:rFonts w:ascii="Tahoma" w:hAnsi="Tahoma"/>
      <w:sz w:val="24"/>
    </w:rPr>
  </w:style>
  <w:style w:type="paragraph" w:customStyle="1" w:styleId="182">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3">
    <w:name w:val="标书正文:  0.74 厘米"/>
    <w:basedOn w:val="1"/>
    <w:qFormat/>
    <w:uiPriority w:val="0"/>
    <w:pPr>
      <w:snapToGrid w:val="0"/>
      <w:spacing w:line="360" w:lineRule="auto"/>
      <w:ind w:firstLine="420"/>
    </w:pPr>
    <w:rPr>
      <w:sz w:val="24"/>
    </w:rPr>
  </w:style>
  <w:style w:type="paragraph" w:customStyle="1" w:styleId="184">
    <w:name w:val=" Char Char 字元 字元 字元 Char Char Char Char"/>
    <w:basedOn w:val="1"/>
    <w:qFormat/>
    <w:uiPriority w:val="0"/>
    <w:pPr>
      <w:adjustRightInd w:val="0"/>
      <w:spacing w:line="360" w:lineRule="auto"/>
    </w:pPr>
    <w:rPr>
      <w:kern w:val="0"/>
      <w:sz w:val="24"/>
    </w:rPr>
  </w:style>
  <w:style w:type="paragraph" w:customStyle="1" w:styleId="185">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6">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7">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8">
    <w:name w:val=" Char Char14 Char Char"/>
    <w:basedOn w:val="1"/>
    <w:qFormat/>
    <w:uiPriority w:val="0"/>
    <w:rPr>
      <w:sz w:val="21"/>
      <w:szCs w:val="24"/>
    </w:rPr>
  </w:style>
  <w:style w:type="paragraph" w:customStyle="1" w:styleId="18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90">
    <w:name w:val="可研正文"/>
    <w:basedOn w:val="22"/>
    <w:qFormat/>
    <w:uiPriority w:val="0"/>
    <w:pPr>
      <w:adjustRightInd w:val="0"/>
      <w:snapToGrid w:val="0"/>
      <w:spacing w:line="440" w:lineRule="exact"/>
      <w:ind w:firstLine="567"/>
    </w:pPr>
    <w:rPr>
      <w:sz w:val="28"/>
    </w:rPr>
  </w:style>
  <w:style w:type="paragraph" w:customStyle="1" w:styleId="191">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92">
    <w:name w:val="首行缩进"/>
    <w:basedOn w:val="1"/>
    <w:qFormat/>
    <w:uiPriority w:val="0"/>
    <w:pPr>
      <w:numPr>
        <w:ilvl w:val="0"/>
        <w:numId w:val="8"/>
      </w:numPr>
      <w:spacing w:line="360" w:lineRule="auto"/>
    </w:pPr>
    <w:rPr>
      <w:rFonts w:eastAsia="仿宋_GB2312"/>
    </w:rPr>
  </w:style>
  <w:style w:type="paragraph" w:customStyle="1" w:styleId="19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4">
    <w:name w:val="正文 + 三号"/>
    <w:basedOn w:val="1"/>
    <w:qFormat/>
    <w:uiPriority w:val="0"/>
    <w:rPr>
      <w:sz w:val="21"/>
    </w:rPr>
  </w:style>
  <w:style w:type="paragraph" w:customStyle="1" w:styleId="195">
    <w:name w:val=" Char Char1 Char"/>
    <w:basedOn w:val="1"/>
    <w:qFormat/>
    <w:uiPriority w:val="0"/>
    <w:rPr>
      <w:rFonts w:ascii="Tahoma" w:hAnsi="Tahoma"/>
      <w:sz w:val="24"/>
      <w:szCs w:val="24"/>
    </w:rPr>
  </w:style>
  <w:style w:type="paragraph" w:customStyle="1" w:styleId="196">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9">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00">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20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02">
    <w:name w:val="摘要"/>
    <w:basedOn w:val="1"/>
    <w:next w:val="3"/>
    <w:qFormat/>
    <w:uiPriority w:val="0"/>
    <w:pPr>
      <w:spacing w:line="360" w:lineRule="auto"/>
    </w:pPr>
    <w:rPr>
      <w:rFonts w:eastAsia="黑体"/>
      <w:sz w:val="20"/>
    </w:rPr>
  </w:style>
  <w:style w:type="paragraph" w:customStyle="1" w:styleId="20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4">
    <w:name w:val="正文（首行不缩进）"/>
    <w:basedOn w:val="1"/>
    <w:qFormat/>
    <w:uiPriority w:val="0"/>
    <w:pPr>
      <w:autoSpaceDE w:val="0"/>
      <w:autoSpaceDN w:val="0"/>
      <w:adjustRightInd w:val="0"/>
      <w:spacing w:line="360" w:lineRule="auto"/>
      <w:jc w:val="left"/>
    </w:pPr>
    <w:rPr>
      <w:kern w:val="0"/>
      <w:sz w:val="21"/>
    </w:rPr>
  </w:style>
  <w:style w:type="paragraph" w:customStyle="1" w:styleId="20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8">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9">
    <w:name w:val=" Char2 Char Char Char Char Char Char"/>
    <w:basedOn w:val="1"/>
    <w:qFormat/>
    <w:uiPriority w:val="0"/>
    <w:rPr>
      <w:rFonts w:ascii="仿宋_GB2312"/>
      <w:b/>
      <w:sz w:val="30"/>
    </w:rPr>
  </w:style>
  <w:style w:type="paragraph" w:customStyle="1" w:styleId="210">
    <w:name w:val="简单回函地址"/>
    <w:basedOn w:val="1"/>
    <w:qFormat/>
    <w:uiPriority w:val="0"/>
    <w:pPr>
      <w:adjustRightInd w:val="0"/>
      <w:snapToGrid w:val="0"/>
      <w:spacing w:line="360" w:lineRule="auto"/>
    </w:pPr>
    <w:rPr>
      <w:sz w:val="24"/>
    </w:rPr>
  </w:style>
  <w:style w:type="paragraph" w:customStyle="1" w:styleId="211">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12">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val="0"/>
      <w:kern w:val="44"/>
      <w:sz w:val="36"/>
    </w:rPr>
  </w:style>
  <w:style w:type="paragraph" w:customStyle="1" w:styleId="2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5">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7">
    <w:name w:val="文本1"/>
    <w:basedOn w:val="1"/>
    <w:qFormat/>
    <w:uiPriority w:val="0"/>
    <w:pPr>
      <w:adjustRightInd w:val="0"/>
      <w:spacing w:line="312" w:lineRule="atLeast"/>
      <w:jc w:val="center"/>
      <w:textAlignment w:val="baseline"/>
    </w:pPr>
    <w:rPr>
      <w:kern w:val="0"/>
      <w:sz w:val="18"/>
    </w:rPr>
  </w:style>
  <w:style w:type="paragraph" w:customStyle="1" w:styleId="21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0">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1">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3">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5">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6">
    <w:name w:val="af"/>
    <w:basedOn w:val="1"/>
    <w:qFormat/>
    <w:uiPriority w:val="0"/>
    <w:pPr>
      <w:widowControl/>
      <w:spacing w:line="300" w:lineRule="atLeast"/>
      <w:jc w:val="left"/>
    </w:pPr>
    <w:rPr>
      <w:rFonts w:ascii="宋体" w:hAnsi="宋体"/>
      <w:kern w:val="0"/>
      <w:sz w:val="18"/>
    </w:rPr>
  </w:style>
  <w:style w:type="paragraph" w:customStyle="1" w:styleId="227">
    <w:name w:val="文章正文"/>
    <w:basedOn w:val="1"/>
    <w:qFormat/>
    <w:uiPriority w:val="0"/>
    <w:pPr>
      <w:ind w:firstLine="560" w:firstLineChars="200"/>
    </w:pPr>
    <w:rPr>
      <w:rFonts w:ascii="仿宋_GB2312" w:hAnsi="宋体" w:eastAsia="仿宋_GB2312"/>
      <w:color w:val="000000"/>
    </w:rPr>
  </w:style>
  <w:style w:type="paragraph" w:customStyle="1" w:styleId="22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0">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3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3">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4">
    <w:name w:val="默认段落字体 Para Char Char Char Char Char Char Char"/>
    <w:basedOn w:val="1"/>
    <w:qFormat/>
    <w:uiPriority w:val="0"/>
    <w:rPr>
      <w:rFonts w:ascii="Tahoma" w:hAnsi="Tahoma"/>
      <w:sz w:val="24"/>
    </w:rPr>
  </w:style>
  <w:style w:type="paragraph" w:customStyle="1" w:styleId="235">
    <w:name w:val="编号正文"/>
    <w:basedOn w:val="205"/>
    <w:qFormat/>
    <w:uiPriority w:val="0"/>
    <w:pPr>
      <w:snapToGrid/>
      <w:spacing w:line="360" w:lineRule="auto"/>
      <w:ind w:left="1407" w:hanging="1047"/>
      <w:jc w:val="left"/>
    </w:pPr>
    <w:rPr>
      <w:rFonts w:eastAsia="仿宋_GB2312"/>
    </w:rPr>
  </w:style>
  <w:style w:type="paragraph" w:customStyle="1" w:styleId="236">
    <w:name w:val="表格内文字"/>
    <w:basedOn w:val="31"/>
    <w:qFormat/>
    <w:uiPriority w:val="0"/>
    <w:pPr>
      <w:adjustRightInd w:val="0"/>
    </w:pPr>
    <w:rPr>
      <w:color w:val="000000"/>
      <w:lang w:val="en-GB"/>
    </w:rPr>
  </w:style>
  <w:style w:type="paragraph" w:customStyle="1" w:styleId="237">
    <w:name w:val="样式 行距: 1.5 倍行距1"/>
    <w:basedOn w:val="1"/>
    <w:qFormat/>
    <w:uiPriority w:val="0"/>
    <w:pPr>
      <w:snapToGrid w:val="0"/>
    </w:pPr>
    <w:rPr>
      <w:sz w:val="21"/>
    </w:rPr>
  </w:style>
  <w:style w:type="paragraph" w:customStyle="1" w:styleId="238">
    <w:name w:val=" Char Char Char Char Char Char Char"/>
    <w:basedOn w:val="1"/>
    <w:qFormat/>
    <w:uiPriority w:val="0"/>
    <w:rPr>
      <w:rFonts w:ascii="Tahoma" w:hAnsi="Tahoma"/>
      <w:sz w:val="24"/>
    </w:rPr>
  </w:style>
  <w:style w:type="paragraph" w:customStyle="1" w:styleId="239">
    <w:name w:val="表格文本"/>
    <w:qFormat/>
    <w:uiPriority w:val="0"/>
    <w:pPr>
      <w:tabs>
        <w:tab w:val="decimal" w:pos="0"/>
      </w:tabs>
    </w:pPr>
    <w:rPr>
      <w:rFonts w:ascii="Arial" w:hAnsi="Arial" w:eastAsia="宋体" w:cs="Times New Roman"/>
      <w:sz w:val="21"/>
      <w:lang w:val="en-US" w:eastAsia="zh-CN" w:bidi="ar-SA"/>
    </w:rPr>
  </w:style>
  <w:style w:type="paragraph" w:customStyle="1" w:styleId="240">
    <w:name w:val="正文表格"/>
    <w:basedOn w:val="1"/>
    <w:qFormat/>
    <w:uiPriority w:val="0"/>
    <w:pPr>
      <w:adjustRightInd w:val="0"/>
      <w:spacing w:before="40" w:beforeLines="0" w:beforeAutospacing="0" w:after="40" w:afterLines="0" w:afterAutospacing="0"/>
    </w:pPr>
    <w:rPr>
      <w:sz w:val="24"/>
    </w:rPr>
  </w:style>
  <w:style w:type="paragraph" w:customStyle="1" w:styleId="2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42">
    <w:name w:val=" Char Char Char Char Char Char Char Char Char Char Char Char Char Char Char Char"/>
    <w:basedOn w:val="1"/>
    <w:qFormat/>
    <w:uiPriority w:val="0"/>
    <w:pPr>
      <w:tabs>
        <w:tab w:val="left" w:pos="360"/>
      </w:tabs>
    </w:pPr>
    <w:rPr>
      <w:sz w:val="24"/>
    </w:rPr>
  </w:style>
  <w:style w:type="paragraph" w:customStyle="1" w:styleId="24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4">
    <w:name w:val="标准正文"/>
    <w:basedOn w:val="23"/>
    <w:qFormat/>
    <w:uiPriority w:val="0"/>
    <w:pPr>
      <w:spacing w:before="60" w:beforeLines="0" w:after="60" w:afterLines="0" w:line="360" w:lineRule="auto"/>
      <w:ind w:left="0" w:firstLine="482"/>
    </w:pPr>
    <w:rPr>
      <w:rFonts w:ascii="Arial" w:hAnsi="Arial"/>
      <w:sz w:val="24"/>
    </w:rPr>
  </w:style>
  <w:style w:type="character" w:customStyle="1" w:styleId="245">
    <w:name w:val="font81"/>
    <w:basedOn w:val="60"/>
    <w:qFormat/>
    <w:uiPriority w:val="0"/>
    <w:rPr>
      <w:rFonts w:hint="eastAsia" w:ascii="方正仿宋_GBK" w:hAnsi="方正仿宋_GBK" w:eastAsia="方正仿宋_GBK" w:cs="方正仿宋_GBK"/>
      <w:color w:val="000000"/>
      <w:sz w:val="20"/>
      <w:szCs w:val="20"/>
      <w:u w:val="none"/>
    </w:rPr>
  </w:style>
  <w:style w:type="character" w:customStyle="1" w:styleId="246">
    <w:name w:val="font91"/>
    <w:basedOn w:val="60"/>
    <w:qFormat/>
    <w:uiPriority w:val="0"/>
    <w:rPr>
      <w:rFonts w:hint="eastAsia" w:ascii="方正仿宋_GBK" w:hAnsi="方正仿宋_GBK" w:eastAsia="方正仿宋_GBK" w:cs="方正仿宋_GBK"/>
      <w:b/>
      <w:bCs/>
      <w:color w:val="000000"/>
      <w:sz w:val="20"/>
      <w:szCs w:val="20"/>
      <w:u w:val="none"/>
    </w:rPr>
  </w:style>
  <w:style w:type="character" w:customStyle="1" w:styleId="247">
    <w:name w:val="font41"/>
    <w:basedOn w:val="60"/>
    <w:qFormat/>
    <w:uiPriority w:val="0"/>
    <w:rPr>
      <w:rFonts w:hint="eastAsia" w:ascii="宋体" w:hAnsi="宋体" w:eastAsia="宋体" w:cs="宋体"/>
      <w:color w:val="000000"/>
      <w:sz w:val="20"/>
      <w:szCs w:val="20"/>
      <w:u w:val="none"/>
    </w:rPr>
  </w:style>
  <w:style w:type="paragraph" w:customStyle="1" w:styleId="24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6836</Words>
  <Characters>7079</Characters>
  <Lines>430</Lines>
  <Paragraphs>121</Paragraphs>
  <TotalTime>15</TotalTime>
  <ScaleCrop>false</ScaleCrop>
  <LinksUpToDate>false</LinksUpToDate>
  <CharactersWithSpaces>7195</CharactersWithSpaces>
  <Application>WPS Office_12.1.3.23541_F1E327BC-269C-435d-A152-05C5408002CA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2022-06-14T16:38:00Z</dcterms:created>
  <dc:creator>Administrator</dc:creator>
  <cp:lastModifiedBy>123</cp:lastModifiedBy>
  <cp:lastPrinted>2023-05-10T13:28:00Z</cp:lastPrinted>
  <dcterms:modified xsi:type="dcterms:W3CDTF">2025-11-12T17:52:14Z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2052-12.1.3.23541</vt:lpwstr>
  </property>
  <property fmtid="{D5CDD505-2E9C-101B-9397-08002B2CF9AE}" pid="3" name="ICV">
    <vt:lpwstr>86B57EE26AF4984435551469AE88C326_43</vt:lpwstr>
  </property>
  <property fmtid="{D5CDD505-2E9C-101B-9397-08002B2CF9AE}" pid="4" name="KSOTemplateDocerSaveRecord">
    <vt:lpwstr>eyJoZGlkIjoiZmQ2ZThmODFmNzJhMDYyNjA4NWY1NGQ0YzRiYjA1M2IiLCJ1c2VySWQiOiIxMTI0MDAxMDk1In0=</vt:lpwstr>
  </property>
</Properties>
</file>