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E20B5">
      <w:pPr>
        <w:pStyle w:val="6"/>
        <w:keepLines w:val="0"/>
        <w:pageBreakBefore w:val="0"/>
        <w:widowControl w:val="0"/>
        <w:kinsoku/>
        <w:wordWrap/>
        <w:overflowPunct/>
        <w:topLinePunct w:val="0"/>
        <w:autoSpaceDE/>
        <w:autoSpaceDN/>
        <w:bidi w:val="0"/>
        <w:adjustRightInd/>
        <w:spacing w:line="240" w:lineRule="auto"/>
        <w:ind w:leftChars="343"/>
        <w:jc w:val="center"/>
        <w:textAlignment w:val="auto"/>
        <w:outlineLvl w:val="0"/>
        <w:rPr>
          <w:rFonts w:hint="eastAsia" w:ascii="微软雅黑" w:hAnsi="微软雅黑" w:eastAsia="微软雅黑" w:cs="微软雅黑"/>
          <w:color w:val="auto"/>
          <w:sz w:val="32"/>
        </w:rPr>
      </w:pPr>
      <w:r>
        <w:rPr>
          <w:rFonts w:hint="eastAsia" w:ascii="微软雅黑" w:hAnsi="微软雅黑" w:eastAsia="微软雅黑" w:cs="微软雅黑"/>
          <w:color w:val="auto"/>
          <w:sz w:val="32"/>
          <w:lang w:eastAsia="zh-CN"/>
        </w:rPr>
        <w:t>重庆市药品监督管理局空调维保服务</w:t>
      </w:r>
      <w:r>
        <w:rPr>
          <w:rFonts w:hint="eastAsia" w:ascii="微软雅黑" w:hAnsi="微软雅黑" w:eastAsia="微软雅黑" w:cs="微软雅黑"/>
          <w:bCs/>
          <w:color w:val="auto"/>
          <w:sz w:val="32"/>
          <w:szCs w:val="32"/>
        </w:rPr>
        <w:t>补遗文件</w:t>
      </w:r>
    </w:p>
    <w:p w14:paraId="5EE1F7D5">
      <w:pPr>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0"/>
          <w:sz w:val="24"/>
          <w:szCs w:val="24"/>
          <w:lang w:eastAsia="zh-CN"/>
        </w:rPr>
        <w:t>项目名称：重庆市药品监督管理局空调维保服务</w:t>
      </w:r>
    </w:p>
    <w:p w14:paraId="65584F10">
      <w:pPr>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各</w:t>
      </w:r>
      <w:r>
        <w:rPr>
          <w:rFonts w:hint="eastAsia" w:ascii="微软雅黑" w:hAnsi="微软雅黑" w:eastAsia="微软雅黑" w:cs="微软雅黑"/>
          <w:color w:val="auto"/>
          <w:kern w:val="0"/>
          <w:sz w:val="24"/>
          <w:szCs w:val="24"/>
          <w:lang w:eastAsia="zh-CN"/>
        </w:rPr>
        <w:t>潜在</w:t>
      </w:r>
      <w:r>
        <w:rPr>
          <w:rFonts w:hint="eastAsia" w:ascii="微软雅黑" w:hAnsi="微软雅黑" w:eastAsia="微软雅黑" w:cs="微软雅黑"/>
          <w:color w:val="auto"/>
          <w:kern w:val="0"/>
          <w:sz w:val="24"/>
          <w:szCs w:val="24"/>
        </w:rPr>
        <w:t>供应商：</w:t>
      </w:r>
    </w:p>
    <w:p w14:paraId="2FCDA17D">
      <w:pPr>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eastAsia="zh-CN"/>
        </w:rPr>
        <w:t>重庆电子科技职业大学</w:t>
      </w:r>
      <w:r>
        <w:rPr>
          <w:rFonts w:hint="eastAsia" w:ascii="微软雅黑" w:hAnsi="微软雅黑" w:eastAsia="微软雅黑" w:cs="微软雅黑"/>
          <w:color w:val="auto"/>
          <w:kern w:val="0"/>
          <w:sz w:val="24"/>
          <w:szCs w:val="24"/>
        </w:rPr>
        <w:t>于20</w:t>
      </w:r>
      <w:r>
        <w:rPr>
          <w:rFonts w:hint="eastAsia" w:ascii="微软雅黑" w:hAnsi="微软雅黑" w:eastAsia="微软雅黑" w:cs="微软雅黑"/>
          <w:color w:val="auto"/>
          <w:kern w:val="0"/>
          <w:sz w:val="24"/>
          <w:szCs w:val="24"/>
          <w:lang w:val="en-US" w:eastAsia="zh-CN"/>
        </w:rPr>
        <w:t>26</w:t>
      </w:r>
      <w:r>
        <w:rPr>
          <w:rFonts w:hint="eastAsia" w:ascii="微软雅黑" w:hAnsi="微软雅黑" w:eastAsia="微软雅黑" w:cs="微软雅黑"/>
          <w:color w:val="auto"/>
          <w:kern w:val="0"/>
          <w:sz w:val="24"/>
          <w:szCs w:val="24"/>
        </w:rPr>
        <w:t>年</w:t>
      </w:r>
      <w:r>
        <w:rPr>
          <w:rFonts w:hint="eastAsia" w:ascii="微软雅黑" w:hAnsi="微软雅黑" w:eastAsia="微软雅黑" w:cs="微软雅黑"/>
          <w:color w:val="auto"/>
          <w:kern w:val="0"/>
          <w:sz w:val="24"/>
          <w:szCs w:val="24"/>
          <w:lang w:val="en-US" w:eastAsia="zh-CN"/>
        </w:rPr>
        <w:t>3</w:t>
      </w:r>
      <w:r>
        <w:rPr>
          <w:rFonts w:hint="eastAsia" w:ascii="微软雅黑" w:hAnsi="微软雅黑" w:eastAsia="微软雅黑" w:cs="微软雅黑"/>
          <w:color w:val="auto"/>
          <w:kern w:val="0"/>
          <w:sz w:val="24"/>
          <w:szCs w:val="24"/>
        </w:rPr>
        <w:t>月</w:t>
      </w:r>
      <w:r>
        <w:rPr>
          <w:rFonts w:hint="eastAsia" w:ascii="微软雅黑" w:hAnsi="微软雅黑" w:eastAsia="微软雅黑" w:cs="微软雅黑"/>
          <w:color w:val="auto"/>
          <w:kern w:val="0"/>
          <w:sz w:val="24"/>
          <w:szCs w:val="24"/>
          <w:lang w:val="en-US" w:eastAsia="zh-CN"/>
        </w:rPr>
        <w:t>13</w:t>
      </w:r>
      <w:r>
        <w:rPr>
          <w:rFonts w:hint="eastAsia" w:ascii="微软雅黑" w:hAnsi="微软雅黑" w:eastAsia="微软雅黑" w:cs="微软雅黑"/>
          <w:color w:val="auto"/>
          <w:kern w:val="0"/>
          <w:sz w:val="24"/>
          <w:szCs w:val="24"/>
        </w:rPr>
        <w:t>日发布的“</w:t>
      </w:r>
      <w:r>
        <w:rPr>
          <w:rFonts w:hint="eastAsia" w:ascii="微软雅黑" w:hAnsi="微软雅黑" w:eastAsia="微软雅黑" w:cs="微软雅黑"/>
          <w:color w:val="auto"/>
          <w:kern w:val="0"/>
          <w:sz w:val="24"/>
          <w:szCs w:val="24"/>
          <w:lang w:eastAsia="zh-CN"/>
        </w:rPr>
        <w:t>重庆市药品监督管理局空调维保服务</w:t>
      </w:r>
      <w:r>
        <w:rPr>
          <w:rFonts w:hint="eastAsia" w:ascii="微软雅黑" w:hAnsi="微软雅黑" w:eastAsia="微软雅黑" w:cs="微软雅黑"/>
          <w:color w:val="auto"/>
          <w:kern w:val="0"/>
          <w:sz w:val="24"/>
          <w:szCs w:val="24"/>
        </w:rPr>
        <w:t>”项目采购文件内容作出如下修正、补充和说明：</w:t>
      </w:r>
    </w:p>
    <w:tbl>
      <w:tblPr>
        <w:tblStyle w:val="12"/>
        <w:tblW w:w="9421"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15"/>
        <w:gridCol w:w="3285"/>
        <w:gridCol w:w="3450"/>
      </w:tblGrid>
      <w:tr w14:paraId="4E50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86" w:type="dxa"/>
            <w:gridSpan w:val="2"/>
            <w:vAlign w:val="center"/>
          </w:tcPr>
          <w:p w14:paraId="249AA375">
            <w:pPr>
              <w:pStyle w:val="6"/>
              <w:pageBreakBefore w:val="0"/>
              <w:widowControl w:val="0"/>
              <w:kinsoku/>
              <w:wordWrap/>
              <w:overflowPunct/>
              <w:topLinePunct w:val="0"/>
              <w:autoSpaceDE/>
              <w:autoSpaceDN/>
              <w:bidi w:val="0"/>
              <w:adjustRightInd/>
              <w:spacing w:line="240" w:lineRule="auto"/>
              <w:ind w:left="0"/>
              <w:jc w:val="center"/>
              <w:textAlignment w:val="auto"/>
              <w:outlineLvl w:val="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kern w:val="0"/>
                <w:sz w:val="24"/>
                <w:szCs w:val="24"/>
              </w:rPr>
              <w:t>页码</w:t>
            </w:r>
          </w:p>
        </w:tc>
        <w:tc>
          <w:tcPr>
            <w:tcW w:w="3285" w:type="dxa"/>
            <w:vAlign w:val="center"/>
          </w:tcPr>
          <w:p w14:paraId="445C7B2F">
            <w:pPr>
              <w:pStyle w:val="6"/>
              <w:pageBreakBefore w:val="0"/>
              <w:widowControl w:val="0"/>
              <w:kinsoku/>
              <w:wordWrap/>
              <w:overflowPunct/>
              <w:topLinePunct w:val="0"/>
              <w:autoSpaceDE/>
              <w:autoSpaceDN/>
              <w:bidi w:val="0"/>
              <w:adjustRightInd/>
              <w:spacing w:line="240" w:lineRule="auto"/>
              <w:ind w:left="0"/>
              <w:jc w:val="center"/>
              <w:textAlignment w:val="auto"/>
              <w:outlineLvl w:val="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采购文件原内容</w:t>
            </w:r>
          </w:p>
        </w:tc>
        <w:tc>
          <w:tcPr>
            <w:tcW w:w="3450" w:type="dxa"/>
            <w:vAlign w:val="center"/>
          </w:tcPr>
          <w:p w14:paraId="6B49A7C3">
            <w:pPr>
              <w:pStyle w:val="6"/>
              <w:pageBreakBefore w:val="0"/>
              <w:widowControl w:val="0"/>
              <w:kinsoku/>
              <w:wordWrap/>
              <w:overflowPunct/>
              <w:topLinePunct w:val="0"/>
              <w:autoSpaceDE/>
              <w:autoSpaceDN/>
              <w:bidi w:val="0"/>
              <w:adjustRightInd/>
              <w:spacing w:line="240" w:lineRule="auto"/>
              <w:ind w:left="0"/>
              <w:jc w:val="center"/>
              <w:textAlignment w:val="auto"/>
              <w:outlineLvl w:val="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修改后内容</w:t>
            </w:r>
          </w:p>
        </w:tc>
      </w:tr>
      <w:tr w14:paraId="4821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871" w:type="dxa"/>
            <w:vAlign w:val="center"/>
          </w:tcPr>
          <w:p w14:paraId="40FBD7CA">
            <w:pPr>
              <w:pStyle w:val="6"/>
              <w:pageBreakBefore w:val="0"/>
              <w:widowControl w:val="0"/>
              <w:kinsoku/>
              <w:wordWrap/>
              <w:overflowPunct/>
              <w:topLinePunct w:val="0"/>
              <w:autoSpaceDE/>
              <w:autoSpaceDN/>
              <w:bidi w:val="0"/>
              <w:adjustRightInd/>
              <w:spacing w:line="240" w:lineRule="auto"/>
              <w:ind w:left="0"/>
              <w:jc w:val="center"/>
              <w:textAlignment w:val="auto"/>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页码P</w:t>
            </w:r>
            <w:r>
              <w:rPr>
                <w:rFonts w:hint="eastAsia" w:ascii="微软雅黑" w:hAnsi="微软雅黑" w:eastAsia="微软雅黑" w:cs="微软雅黑"/>
                <w:color w:val="auto"/>
                <w:sz w:val="24"/>
                <w:szCs w:val="24"/>
                <w:lang w:val="en-US" w:eastAsia="zh-CN"/>
              </w:rPr>
              <w:t>12</w:t>
            </w:r>
          </w:p>
        </w:tc>
        <w:tc>
          <w:tcPr>
            <w:tcW w:w="1815" w:type="dxa"/>
            <w:vAlign w:val="center"/>
          </w:tcPr>
          <w:p w14:paraId="40E1A20E">
            <w:pPr>
              <w:pStyle w:val="4"/>
              <w:pageBreakBefore w:val="0"/>
              <w:widowControl w:val="0"/>
              <w:kinsoku/>
              <w:wordWrap/>
              <w:overflowPunct/>
              <w:topLinePunct w:val="0"/>
              <w:autoSpaceDE/>
              <w:autoSpaceDN/>
              <w:bidi w:val="0"/>
              <w:adjustRightInd/>
              <w:spacing w:line="240" w:lineRule="auto"/>
              <w:textAlignment w:val="auto"/>
              <w:rPr>
                <w:rFonts w:hint="default"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 xml:space="preserve"> 第四篇  资格审查及评标办法-  三、评标标准-商务部分-团队人员</w:t>
            </w:r>
          </w:p>
        </w:tc>
        <w:tc>
          <w:tcPr>
            <w:tcW w:w="3285" w:type="dxa"/>
            <w:vAlign w:val="center"/>
          </w:tcPr>
          <w:p w14:paraId="51B3020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④供应商拟派以上维护维修人员中具有职业技能鉴定中心颁发的清洗技术员证书的，每提供一人得1分，最多得4分。</w:t>
            </w:r>
          </w:p>
        </w:tc>
        <w:tc>
          <w:tcPr>
            <w:tcW w:w="3450" w:type="dxa"/>
            <w:vAlign w:val="center"/>
          </w:tcPr>
          <w:p w14:paraId="61E644A6">
            <w:pPr>
              <w:pageBreakBefore w:val="0"/>
              <w:widowControl w:val="0"/>
              <w:kinsoku/>
              <w:wordWrap/>
              <w:overflowPunct/>
              <w:topLinePunct w:val="0"/>
              <w:autoSpaceDE/>
              <w:autoSpaceDN/>
              <w:bidi w:val="0"/>
              <w:adjustRightInd/>
              <w:snapToGrid w:val="0"/>
              <w:spacing w:line="240" w:lineRule="auto"/>
              <w:jc w:val="left"/>
              <w:textAlignment w:val="auto"/>
              <w:rPr>
                <w:rFonts w:hint="default"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④供应商拟派以上维护维修人员中具有</w:t>
            </w:r>
            <w:r>
              <w:rPr>
                <w:rFonts w:hint="eastAsia" w:ascii="微软雅黑" w:hAnsi="微软雅黑" w:eastAsia="微软雅黑" w:cs="微软雅黑"/>
                <w:b w:val="0"/>
                <w:bCs w:val="0"/>
                <w:color w:val="auto"/>
                <w:kern w:val="2"/>
                <w:sz w:val="24"/>
                <w:szCs w:val="20"/>
                <w:lang w:val="en-US" w:eastAsia="zh-CN" w:bidi="ar-SA"/>
              </w:rPr>
              <w:t>清洗类人员证书</w:t>
            </w:r>
            <w:r>
              <w:rPr>
                <w:rFonts w:hint="eastAsia" w:ascii="微软雅黑" w:hAnsi="微软雅黑" w:eastAsia="微软雅黑" w:cs="微软雅黑"/>
                <w:b w:val="0"/>
                <w:bCs w:val="0"/>
                <w:color w:val="auto"/>
                <w:kern w:val="2"/>
                <w:sz w:val="24"/>
                <w:szCs w:val="20"/>
                <w:lang w:val="en-US" w:eastAsia="zh-CN" w:bidi="ar-SA"/>
              </w:rPr>
              <w:t>的，每提供一人得1分，最多得4分。</w:t>
            </w:r>
          </w:p>
        </w:tc>
      </w:tr>
      <w:tr w14:paraId="2346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871" w:type="dxa"/>
            <w:vAlign w:val="center"/>
          </w:tcPr>
          <w:p w14:paraId="24224E08">
            <w:pPr>
              <w:pStyle w:val="6"/>
              <w:pageBreakBefore w:val="0"/>
              <w:widowControl w:val="0"/>
              <w:kinsoku/>
              <w:wordWrap/>
              <w:overflowPunct/>
              <w:topLinePunct w:val="0"/>
              <w:autoSpaceDE/>
              <w:autoSpaceDN/>
              <w:bidi w:val="0"/>
              <w:adjustRightInd/>
              <w:spacing w:line="240" w:lineRule="auto"/>
              <w:ind w:left="0"/>
              <w:jc w:val="center"/>
              <w:textAlignment w:val="auto"/>
              <w:outlineLvl w:val="0"/>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页码P</w:t>
            </w:r>
            <w:r>
              <w:rPr>
                <w:rFonts w:hint="eastAsia" w:ascii="微软雅黑" w:hAnsi="微软雅黑" w:eastAsia="微软雅黑" w:cs="微软雅黑"/>
                <w:color w:val="auto"/>
                <w:sz w:val="24"/>
                <w:szCs w:val="24"/>
                <w:lang w:val="en-US" w:eastAsia="zh-CN"/>
              </w:rPr>
              <w:t>12</w:t>
            </w:r>
          </w:p>
        </w:tc>
        <w:tc>
          <w:tcPr>
            <w:tcW w:w="1815" w:type="dxa"/>
            <w:vAlign w:val="center"/>
          </w:tcPr>
          <w:p w14:paraId="01B0748D">
            <w:pPr>
              <w:pStyle w:val="4"/>
              <w:pageBreakBefore w:val="0"/>
              <w:widowControl w:val="0"/>
              <w:kinsoku/>
              <w:wordWrap/>
              <w:overflowPunct/>
              <w:topLinePunct w:val="0"/>
              <w:autoSpaceDE/>
              <w:autoSpaceDN/>
              <w:bidi w:val="0"/>
              <w:adjustRightInd/>
              <w:spacing w:line="240" w:lineRule="auto"/>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 xml:space="preserve"> 第四篇  资格审查及评标办法-  三、评标标准-商务部分-企业实力</w:t>
            </w:r>
          </w:p>
        </w:tc>
        <w:tc>
          <w:tcPr>
            <w:tcW w:w="3285" w:type="dxa"/>
            <w:vAlign w:val="center"/>
          </w:tcPr>
          <w:p w14:paraId="2E080ADE">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 xml:space="preserve">1.供应商具备中国设备维修安装企业能力等级证书（制冷空调）D类Ⅰ级的得7分，Ⅱ级的得4分，Ⅲ级的得1分，不满足或未提供的得0分。 </w:t>
            </w:r>
          </w:p>
        </w:tc>
        <w:tc>
          <w:tcPr>
            <w:tcW w:w="3450" w:type="dxa"/>
            <w:vAlign w:val="center"/>
          </w:tcPr>
          <w:p w14:paraId="3A6C183B">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1.供应商具备中国设备维修安装企业能力等级证书（制冷空调）</w:t>
            </w:r>
            <w:r>
              <w:rPr>
                <w:rFonts w:hint="eastAsia" w:ascii="微软雅黑" w:hAnsi="微软雅黑" w:eastAsia="微软雅黑" w:cs="微软雅黑"/>
                <w:b w:val="0"/>
                <w:bCs w:val="0"/>
                <w:color w:val="auto"/>
                <w:kern w:val="2"/>
                <w:sz w:val="24"/>
                <w:szCs w:val="20"/>
                <w:lang w:val="en-US" w:eastAsia="zh-CN" w:bidi="ar-SA"/>
              </w:rPr>
              <w:t>A类或D类，A类特级得7分，Ⅰ级的得5分，Ⅱ级的得3分，Ⅲ级得2，Ⅳ级得1分；</w:t>
            </w:r>
            <w:r>
              <w:rPr>
                <w:rFonts w:hint="eastAsia" w:ascii="微软雅黑" w:hAnsi="微软雅黑" w:eastAsia="微软雅黑" w:cs="微软雅黑"/>
                <w:b w:val="0"/>
                <w:bCs w:val="0"/>
                <w:color w:val="auto"/>
                <w:kern w:val="2"/>
                <w:sz w:val="24"/>
                <w:szCs w:val="20"/>
                <w:lang w:val="en-US" w:eastAsia="zh-CN" w:bidi="ar-SA"/>
              </w:rPr>
              <w:t>D类Ⅰ级的得7分，Ⅱ级的得4分，Ⅲ级的得1分，不满足或未提供</w:t>
            </w:r>
            <w:r>
              <w:rPr>
                <w:rFonts w:hint="eastAsia" w:ascii="微软雅黑" w:hAnsi="微软雅黑" w:eastAsia="微软雅黑" w:cs="微软雅黑"/>
                <w:b w:val="0"/>
                <w:bCs w:val="0"/>
                <w:color w:val="auto"/>
                <w:kern w:val="2"/>
                <w:sz w:val="24"/>
                <w:szCs w:val="20"/>
                <w:lang w:val="en-US" w:eastAsia="zh-CN" w:bidi="ar-SA"/>
              </w:rPr>
              <w:t>或其他</w:t>
            </w:r>
            <w:r>
              <w:rPr>
                <w:rFonts w:hint="eastAsia" w:ascii="微软雅黑" w:hAnsi="微软雅黑" w:eastAsia="微软雅黑" w:cs="微软雅黑"/>
                <w:b w:val="0"/>
                <w:bCs w:val="0"/>
                <w:color w:val="auto"/>
                <w:kern w:val="2"/>
                <w:sz w:val="24"/>
                <w:szCs w:val="20"/>
                <w:lang w:val="en-US" w:eastAsia="zh-CN" w:bidi="ar-SA"/>
              </w:rPr>
              <w:t xml:space="preserve">的得0分。 </w:t>
            </w:r>
          </w:p>
        </w:tc>
      </w:tr>
      <w:tr w14:paraId="3D64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871" w:type="dxa"/>
            <w:vAlign w:val="center"/>
          </w:tcPr>
          <w:p w14:paraId="1ADDDDE2">
            <w:pPr>
              <w:pStyle w:val="6"/>
              <w:pageBreakBefore w:val="0"/>
              <w:widowControl w:val="0"/>
              <w:kinsoku/>
              <w:wordWrap/>
              <w:overflowPunct/>
              <w:topLinePunct w:val="0"/>
              <w:autoSpaceDE/>
              <w:autoSpaceDN/>
              <w:bidi w:val="0"/>
              <w:adjustRightInd/>
              <w:spacing w:line="240" w:lineRule="auto"/>
              <w:ind w:left="0"/>
              <w:jc w:val="center"/>
              <w:textAlignment w:val="auto"/>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页码P</w:t>
            </w:r>
            <w:r>
              <w:rPr>
                <w:rFonts w:hint="eastAsia" w:ascii="微软雅黑" w:hAnsi="微软雅黑" w:eastAsia="微软雅黑" w:cs="微软雅黑"/>
                <w:color w:val="auto"/>
                <w:sz w:val="24"/>
                <w:szCs w:val="24"/>
                <w:lang w:val="en-US" w:eastAsia="zh-CN"/>
              </w:rPr>
              <w:t>13</w:t>
            </w:r>
          </w:p>
        </w:tc>
        <w:tc>
          <w:tcPr>
            <w:tcW w:w="1815" w:type="dxa"/>
            <w:vAlign w:val="center"/>
          </w:tcPr>
          <w:p w14:paraId="6F63611C">
            <w:pPr>
              <w:pStyle w:val="4"/>
              <w:pageBreakBefore w:val="0"/>
              <w:widowControl w:val="0"/>
              <w:kinsoku/>
              <w:wordWrap/>
              <w:overflowPunct/>
              <w:topLinePunct w:val="0"/>
              <w:autoSpaceDE/>
              <w:autoSpaceDN/>
              <w:bidi w:val="0"/>
              <w:adjustRightInd/>
              <w:spacing w:line="240" w:lineRule="auto"/>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第四篇  资格审查及评标办法-  三、评标标准-商务部分-维保辅助创新能力</w:t>
            </w:r>
          </w:p>
        </w:tc>
        <w:tc>
          <w:tcPr>
            <w:tcW w:w="3285" w:type="dxa"/>
            <w:vAlign w:val="center"/>
          </w:tcPr>
          <w:p w14:paraId="27AAD9A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供应商具有与本项目维保贴合的辅助技术支撑手段：（1）能够针对客户用于日常维保所涉及内部协调与沟通的客户管理系统；（2）用于提升空调维保人员工作计划执行效率的人员计划任务管理软件；（3）用于挖掘用户使用模式、能耗特征及场景需求，为客户提供精细化运营策略、能耗优化及差异化服务保障的用户习惯分析软件。每提供一个相关的软件著作证明材料的得1分，最多得3分。</w:t>
            </w:r>
          </w:p>
        </w:tc>
        <w:tc>
          <w:tcPr>
            <w:tcW w:w="3450" w:type="dxa"/>
            <w:vAlign w:val="center"/>
          </w:tcPr>
          <w:p w14:paraId="35558139">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删除此内容</w:t>
            </w:r>
          </w:p>
        </w:tc>
      </w:tr>
      <w:tr w14:paraId="7346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871" w:type="dxa"/>
            <w:vAlign w:val="center"/>
          </w:tcPr>
          <w:p w14:paraId="23674B69">
            <w:pPr>
              <w:pStyle w:val="6"/>
              <w:pageBreakBefore w:val="0"/>
              <w:widowControl w:val="0"/>
              <w:kinsoku/>
              <w:wordWrap/>
              <w:overflowPunct/>
              <w:topLinePunct w:val="0"/>
              <w:autoSpaceDE/>
              <w:autoSpaceDN/>
              <w:bidi w:val="0"/>
              <w:adjustRightInd/>
              <w:spacing w:line="240" w:lineRule="auto"/>
              <w:ind w:left="0"/>
              <w:jc w:val="center"/>
              <w:textAlignment w:val="auto"/>
              <w:outlineLvl w:val="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页码P5</w:t>
            </w:r>
          </w:p>
        </w:tc>
        <w:tc>
          <w:tcPr>
            <w:tcW w:w="1815" w:type="dxa"/>
            <w:vAlign w:val="center"/>
          </w:tcPr>
          <w:p w14:paraId="4B85EE46">
            <w:pPr>
              <w:pStyle w:val="4"/>
              <w:pageBreakBefore w:val="0"/>
              <w:widowControl w:val="0"/>
              <w:kinsoku/>
              <w:wordWrap/>
              <w:overflowPunct/>
              <w:topLinePunct w:val="0"/>
              <w:autoSpaceDE/>
              <w:autoSpaceDN/>
              <w:bidi w:val="0"/>
              <w:adjustRightInd/>
              <w:spacing w:line="240" w:lineRule="auto"/>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第一篇  采购邀请书-四、磋商有关说明</w:t>
            </w:r>
          </w:p>
        </w:tc>
        <w:tc>
          <w:tcPr>
            <w:tcW w:w="3285" w:type="dxa"/>
            <w:vAlign w:val="center"/>
          </w:tcPr>
          <w:p w14:paraId="2D2CFCC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（六）线上上传竞选文件时间：2026年3月19日09：00-12：00（北京时间）</w:t>
            </w:r>
          </w:p>
          <w:p w14:paraId="6A19DD4F">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（七）线下递交竞选文件时间：2026年3月19日14：00-14：30（北京时间）</w:t>
            </w:r>
          </w:p>
          <w:p w14:paraId="097CE79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（八）比选开始时间：2026年3月19日北京时间14:30</w:t>
            </w:r>
          </w:p>
        </w:tc>
        <w:tc>
          <w:tcPr>
            <w:tcW w:w="3450" w:type="dxa"/>
            <w:vAlign w:val="center"/>
          </w:tcPr>
          <w:p w14:paraId="1BE7D39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（六）线上上传竞选文件时间：2026年3月20日09：00-12：00（北京时间）</w:t>
            </w:r>
          </w:p>
          <w:p w14:paraId="104EAB96">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（七）线下递交竞选文件时间：2026年3月20日14：00-14：30（北京时间）</w:t>
            </w:r>
          </w:p>
          <w:p w14:paraId="21E1EF8D">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4"/>
                <w:szCs w:val="20"/>
                <w:lang w:val="en-US" w:eastAsia="zh-CN" w:bidi="ar-SA"/>
              </w:rPr>
            </w:pPr>
            <w:r>
              <w:rPr>
                <w:rFonts w:hint="eastAsia" w:ascii="微软雅黑" w:hAnsi="微软雅黑" w:eastAsia="微软雅黑" w:cs="微软雅黑"/>
                <w:b w:val="0"/>
                <w:bCs w:val="0"/>
                <w:color w:val="auto"/>
                <w:kern w:val="2"/>
                <w:sz w:val="24"/>
                <w:szCs w:val="20"/>
                <w:lang w:val="en-US" w:eastAsia="zh-CN" w:bidi="ar-SA"/>
              </w:rPr>
              <w:t>（八）比选开始时间：2026年3月20日北京时间14:30</w:t>
            </w:r>
          </w:p>
        </w:tc>
      </w:tr>
    </w:tbl>
    <w:p w14:paraId="75DE1B9F">
      <w:pPr>
        <w:pageBreakBefore w:val="0"/>
        <w:widowControl w:val="0"/>
        <w:kinsoku/>
        <w:wordWrap/>
        <w:overflowPunct/>
        <w:topLinePunct w:val="0"/>
        <w:autoSpaceDE/>
        <w:autoSpaceDN/>
        <w:bidi w:val="0"/>
        <w:adjustRightInd/>
        <w:textAlignment w:val="auto"/>
        <w:rPr>
          <w:rFonts w:hint="eastAsia" w:ascii="微软雅黑" w:hAnsi="微软雅黑" w:eastAsia="微软雅黑" w:cs="微软雅黑"/>
          <w:color w:val="auto"/>
          <w:kern w:val="0"/>
          <w:sz w:val="24"/>
          <w:szCs w:val="24"/>
          <w:lang w:val="en-US" w:eastAsia="zh-CN"/>
        </w:rPr>
      </w:pPr>
      <w:bookmarkStart w:id="2" w:name="_GoBack"/>
      <w:bookmarkEnd w:id="2"/>
      <w:r>
        <w:rPr>
          <w:rFonts w:hint="eastAsia" w:ascii="微软雅黑" w:hAnsi="微软雅黑" w:eastAsia="微软雅黑" w:cs="微软雅黑"/>
          <w:color w:val="auto"/>
          <w:kern w:val="0"/>
          <w:sz w:val="24"/>
          <w:szCs w:val="24"/>
        </w:rPr>
        <w:br w:type="page"/>
      </w:r>
      <w:r>
        <w:rPr>
          <w:rFonts w:hint="eastAsia" w:ascii="微软雅黑" w:hAnsi="微软雅黑" w:eastAsia="微软雅黑" w:cs="微软雅黑"/>
          <w:color w:val="auto"/>
          <w:kern w:val="0"/>
          <w:sz w:val="24"/>
          <w:szCs w:val="24"/>
          <w:lang w:val="en-US" w:eastAsia="zh-CN"/>
        </w:rPr>
        <w:t>附件：</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55"/>
        <w:gridCol w:w="1067"/>
        <w:gridCol w:w="4644"/>
        <w:gridCol w:w="2019"/>
      </w:tblGrid>
      <w:tr w14:paraId="09BA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Align w:val="center"/>
          </w:tcPr>
          <w:p w14:paraId="7DC14DAF">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155" w:type="dxa"/>
            <w:vAlign w:val="center"/>
          </w:tcPr>
          <w:p w14:paraId="38A76563">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评分因素及权值</w:t>
            </w:r>
          </w:p>
        </w:tc>
        <w:tc>
          <w:tcPr>
            <w:tcW w:w="1067" w:type="dxa"/>
            <w:vAlign w:val="center"/>
          </w:tcPr>
          <w:p w14:paraId="02FE3589">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分值</w:t>
            </w:r>
          </w:p>
        </w:tc>
        <w:tc>
          <w:tcPr>
            <w:tcW w:w="4644" w:type="dxa"/>
            <w:vAlign w:val="center"/>
          </w:tcPr>
          <w:p w14:paraId="48C66047">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评分标准</w:t>
            </w:r>
          </w:p>
        </w:tc>
        <w:tc>
          <w:tcPr>
            <w:tcW w:w="2019" w:type="dxa"/>
            <w:vAlign w:val="center"/>
          </w:tcPr>
          <w:p w14:paraId="7506CF55">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说明</w:t>
            </w:r>
          </w:p>
        </w:tc>
      </w:tr>
      <w:tr w14:paraId="31F5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Align w:val="center"/>
          </w:tcPr>
          <w:p w14:paraId="71B0ABCC">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155" w:type="dxa"/>
            <w:vAlign w:val="center"/>
          </w:tcPr>
          <w:p w14:paraId="52F52B67">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竞选</w:t>
            </w:r>
            <w:r>
              <w:rPr>
                <w:rFonts w:hint="eastAsia" w:ascii="微软雅黑" w:hAnsi="微软雅黑" w:eastAsia="微软雅黑" w:cs="微软雅黑"/>
                <w:color w:val="auto"/>
                <w:sz w:val="21"/>
                <w:szCs w:val="21"/>
                <w:highlight w:val="none"/>
              </w:rPr>
              <w:t>报价</w:t>
            </w:r>
          </w:p>
          <w:p w14:paraId="7C1A1B1B">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（30%）</w:t>
            </w:r>
          </w:p>
        </w:tc>
        <w:tc>
          <w:tcPr>
            <w:tcW w:w="1067" w:type="dxa"/>
            <w:vAlign w:val="center"/>
          </w:tcPr>
          <w:p w14:paraId="3C95AA84">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30分</w:t>
            </w:r>
          </w:p>
        </w:tc>
        <w:tc>
          <w:tcPr>
            <w:tcW w:w="4644" w:type="dxa"/>
            <w:vAlign w:val="center"/>
          </w:tcPr>
          <w:p w14:paraId="5704DF2F">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color w:val="auto"/>
                <w:sz w:val="21"/>
                <w:szCs w:val="21"/>
                <w:highlight w:val="none"/>
              </w:rPr>
              <w:t>满足</w:t>
            </w:r>
            <w:r>
              <w:rPr>
                <w:rFonts w:hint="eastAsia" w:ascii="微软雅黑" w:hAnsi="微软雅黑" w:eastAsia="微软雅黑" w:cs="微软雅黑"/>
                <w:color w:val="auto"/>
                <w:sz w:val="21"/>
                <w:szCs w:val="21"/>
                <w:highlight w:val="none"/>
                <w:lang w:eastAsia="zh-CN"/>
              </w:rPr>
              <w:t>比</w:t>
            </w:r>
            <w:r>
              <w:rPr>
                <w:rFonts w:hint="eastAsia" w:ascii="微软雅黑" w:hAnsi="微软雅黑" w:eastAsia="微软雅黑" w:cs="微软雅黑"/>
                <w:b w:val="0"/>
                <w:bCs w:val="0"/>
                <w:color w:val="auto"/>
                <w:kern w:val="2"/>
                <w:sz w:val="21"/>
                <w:szCs w:val="21"/>
                <w:lang w:val="en-US" w:eastAsia="zh-CN" w:bidi="ar-SA"/>
              </w:rPr>
              <w:t>选文件资格要求且最后报价最低的供应商的价格为竞选基准价，其价格分为满分。按照下列公式计算每个供应商的竞选报价得分。</w:t>
            </w:r>
          </w:p>
          <w:p w14:paraId="038557F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val="0"/>
                <w:bCs w:val="0"/>
                <w:color w:val="auto"/>
                <w:kern w:val="2"/>
                <w:sz w:val="21"/>
                <w:szCs w:val="21"/>
                <w:lang w:val="en-US" w:eastAsia="zh-CN" w:bidi="ar-SA"/>
              </w:rPr>
              <w:t>竞选报价得分=（竞选基准价/竞选报价）×价格权值×100</w:t>
            </w:r>
          </w:p>
        </w:tc>
        <w:tc>
          <w:tcPr>
            <w:tcW w:w="2019" w:type="dxa"/>
            <w:vAlign w:val="center"/>
          </w:tcPr>
          <w:p w14:paraId="2B34ECB5">
            <w:pPr>
              <w:pageBreakBefore w:val="0"/>
              <w:widowControl w:val="0"/>
              <w:kinsoku/>
              <w:wordWrap/>
              <w:overflowPunct/>
              <w:topLinePunct w:val="0"/>
              <w:autoSpaceDE/>
              <w:autoSpaceDN/>
              <w:bidi w:val="0"/>
              <w:adjustRightInd/>
              <w:snapToGrid/>
              <w:spacing w:line="240" w:lineRule="auto"/>
              <w:ind w:left="-38"/>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r>
      <w:tr w14:paraId="0CD6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613" w:type="dxa"/>
            <w:vMerge w:val="restart"/>
            <w:vAlign w:val="center"/>
          </w:tcPr>
          <w:p w14:paraId="016F0C53">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155" w:type="dxa"/>
            <w:vMerge w:val="restart"/>
            <w:vAlign w:val="center"/>
          </w:tcPr>
          <w:p w14:paraId="78C77F4D">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服务</w:t>
            </w:r>
            <w:r>
              <w:rPr>
                <w:rFonts w:hint="eastAsia" w:ascii="微软雅黑" w:hAnsi="微软雅黑" w:eastAsia="微软雅黑" w:cs="微软雅黑"/>
                <w:color w:val="auto"/>
                <w:sz w:val="21"/>
                <w:szCs w:val="21"/>
                <w:highlight w:val="none"/>
              </w:rPr>
              <w:t>部分</w:t>
            </w:r>
          </w:p>
          <w:p w14:paraId="2E51ED0C">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33</w:t>
            </w:r>
            <w:r>
              <w:rPr>
                <w:rFonts w:hint="eastAsia" w:ascii="微软雅黑" w:hAnsi="微软雅黑" w:eastAsia="微软雅黑" w:cs="微软雅黑"/>
                <w:color w:val="auto"/>
                <w:sz w:val="21"/>
                <w:szCs w:val="21"/>
                <w:highlight w:val="none"/>
              </w:rPr>
              <w:t>%）</w:t>
            </w:r>
          </w:p>
        </w:tc>
        <w:tc>
          <w:tcPr>
            <w:tcW w:w="1067" w:type="dxa"/>
            <w:vMerge w:val="restart"/>
            <w:vAlign w:val="center"/>
          </w:tcPr>
          <w:p w14:paraId="3D0E8A0C">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33</w:t>
            </w:r>
            <w:r>
              <w:rPr>
                <w:rFonts w:hint="eastAsia" w:ascii="微软雅黑" w:hAnsi="微软雅黑" w:eastAsia="微软雅黑" w:cs="微软雅黑"/>
                <w:color w:val="auto"/>
                <w:sz w:val="21"/>
                <w:szCs w:val="21"/>
                <w:highlight w:val="none"/>
              </w:rPr>
              <w:t>分</w:t>
            </w:r>
          </w:p>
        </w:tc>
        <w:tc>
          <w:tcPr>
            <w:tcW w:w="4644" w:type="dxa"/>
            <w:vAlign w:val="center"/>
          </w:tcPr>
          <w:p w14:paraId="7C4FBF5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1.维保服务方案（</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27C0D6A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根据供应商提供的维保服务方案的完善性、合理性、针对性进行评分。</w:t>
            </w:r>
          </w:p>
          <w:p w14:paraId="1890E66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 xml:space="preserve">分； </w:t>
            </w:r>
          </w:p>
          <w:p w14:paraId="1A6C9066">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方案内容存在1处瑕疵的得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 xml:space="preserve">分； </w:t>
            </w:r>
          </w:p>
          <w:p w14:paraId="2AB63D8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方案内容存在2处瑕疵的得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 xml:space="preserve">分； </w:t>
            </w:r>
          </w:p>
          <w:p w14:paraId="2C31DF3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6D18DF31">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restart"/>
            <w:vAlign w:val="center"/>
          </w:tcPr>
          <w:p w14:paraId="1A585A56">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925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13" w:type="dxa"/>
            <w:vMerge w:val="continue"/>
            <w:vAlign w:val="center"/>
          </w:tcPr>
          <w:p w14:paraId="531883E5">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6A3A3214">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005CA3C6">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7855A93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2.项目组织服务方案（</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w:t>
            </w:r>
          </w:p>
          <w:p w14:paraId="0F6A3FE0">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根据供应商提供的项目组织服务方案的完善性、合理性、针对性进行评分。</w:t>
            </w:r>
          </w:p>
          <w:p w14:paraId="6F87FE66">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 xml:space="preserve">分； </w:t>
            </w:r>
          </w:p>
          <w:p w14:paraId="3EB9623B">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41B8082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1C467EA5">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55999C9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continue"/>
            <w:vAlign w:val="center"/>
          </w:tcPr>
          <w:p w14:paraId="3D8B542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130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613" w:type="dxa"/>
            <w:vMerge w:val="continue"/>
            <w:vAlign w:val="center"/>
          </w:tcPr>
          <w:p w14:paraId="1EEA93D9">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4A0293F7">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344E920D">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5E5B7A4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3.服务质量保障措施（</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w:t>
            </w:r>
          </w:p>
          <w:p w14:paraId="61B345A0">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根据供应商提供的服务质量保障措施的完善性、合理性、可行性进行评分。</w:t>
            </w:r>
          </w:p>
          <w:p w14:paraId="6D576270">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 xml:space="preserve">分； </w:t>
            </w:r>
          </w:p>
          <w:p w14:paraId="0453F7FD">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603DC713">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6F3D8FA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291D039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continue"/>
            <w:vAlign w:val="center"/>
          </w:tcPr>
          <w:p w14:paraId="416655E5">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75B3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613" w:type="dxa"/>
            <w:vMerge w:val="continue"/>
            <w:vAlign w:val="center"/>
          </w:tcPr>
          <w:p w14:paraId="2911F04E">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2235D051">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3B09C13E">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04F6C1B1">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4.服务安全保障措施（</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w:t>
            </w:r>
          </w:p>
          <w:p w14:paraId="4B12D8E0">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根据供应商提供的服务安全保障措施的完善性、合理性、可行性进行评分。</w:t>
            </w:r>
          </w:p>
          <w:p w14:paraId="4881BCF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 xml:space="preserve">分； </w:t>
            </w:r>
          </w:p>
          <w:p w14:paraId="1017D7C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3956EF31">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7CE76E45">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631706E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continue"/>
            <w:vAlign w:val="center"/>
          </w:tcPr>
          <w:p w14:paraId="1EDD6C7D">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62ED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13" w:type="dxa"/>
            <w:vMerge w:val="continue"/>
            <w:vAlign w:val="center"/>
          </w:tcPr>
          <w:p w14:paraId="4705E861">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40135E76">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64BDDE81">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3FA27EEF">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5.应急预案及处理措施（</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3CD0F21C">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根据供应商提供的应急预案及处理措施的全面性、详实性、针对性进行评分。</w:t>
            </w:r>
          </w:p>
          <w:p w14:paraId="52787E7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方案内容不存在瑕疵的得6分； </w:t>
            </w:r>
          </w:p>
          <w:p w14:paraId="349AB4D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43498BFC">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2B8D83C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6A5F939E">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continue"/>
            <w:vAlign w:val="center"/>
          </w:tcPr>
          <w:p w14:paraId="3A39DF1D">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3038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vAlign w:val="center"/>
          </w:tcPr>
          <w:p w14:paraId="7FEDCAD0">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1155" w:type="dxa"/>
            <w:vMerge w:val="restart"/>
            <w:vAlign w:val="center"/>
          </w:tcPr>
          <w:p w14:paraId="76F235B1">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w:t>
            </w:r>
          </w:p>
          <w:p w14:paraId="29A68278">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37</w:t>
            </w:r>
            <w:r>
              <w:rPr>
                <w:rFonts w:hint="eastAsia" w:ascii="微软雅黑" w:hAnsi="微软雅黑" w:eastAsia="微软雅黑" w:cs="微软雅黑"/>
                <w:color w:val="auto"/>
                <w:sz w:val="21"/>
                <w:szCs w:val="21"/>
                <w:highlight w:val="none"/>
              </w:rPr>
              <w:t>%）</w:t>
            </w:r>
          </w:p>
        </w:tc>
        <w:tc>
          <w:tcPr>
            <w:tcW w:w="1067" w:type="dxa"/>
            <w:vMerge w:val="restart"/>
            <w:vAlign w:val="center"/>
          </w:tcPr>
          <w:p w14:paraId="49CDE93E">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团队</w:t>
            </w:r>
          </w:p>
          <w:p w14:paraId="560CBC39">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人员</w:t>
            </w:r>
          </w:p>
          <w:p w14:paraId="495324AE">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（20分）</w:t>
            </w:r>
          </w:p>
        </w:tc>
        <w:tc>
          <w:tcPr>
            <w:tcW w:w="4644" w:type="dxa"/>
            <w:vAlign w:val="center"/>
          </w:tcPr>
          <w:p w14:paraId="44DD0A8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1.项目负责人（4分）</w:t>
            </w:r>
          </w:p>
          <w:p w14:paraId="00CBD20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①供应商拟派项目负责人具有大专及以上学历，且具有暖通空调类中级及以上职称的，得2分。</w:t>
            </w:r>
          </w:p>
          <w:p w14:paraId="73E5E1E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供应商拟派项目负责人具有安全生产监督管理部门或应急管理部门颁发的特种作业操作证，且作业类别分别为：“制冷与空调作业”、“高处作业”、“低压电工作业”，每提供一种作业类别得1分，最多得2分。</w:t>
            </w:r>
          </w:p>
        </w:tc>
        <w:tc>
          <w:tcPr>
            <w:tcW w:w="2019" w:type="dxa"/>
            <w:vMerge w:val="restart"/>
            <w:vAlign w:val="center"/>
          </w:tcPr>
          <w:p w14:paraId="43567BFD">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提供拟派团队人员名单、身份证、相关资质证书（学历、职称、操作证等）复印件、投标截止时间前6个月内任一月份供应商为其缴纳社保证明材料复印件，加盖供应商公章。</w:t>
            </w:r>
          </w:p>
        </w:tc>
      </w:tr>
      <w:tr w14:paraId="6098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3" w:type="dxa"/>
            <w:vMerge w:val="continue"/>
            <w:vAlign w:val="center"/>
          </w:tcPr>
          <w:p w14:paraId="7609500F">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73BC52C3">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1E39EFD8">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03CEACC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bookmarkStart w:id="0" w:name="OLE_LINK9"/>
            <w:bookmarkStart w:id="1" w:name="OLE_LINK10"/>
            <w:r>
              <w:rPr>
                <w:rFonts w:hint="eastAsia" w:ascii="微软雅黑" w:hAnsi="微软雅黑" w:eastAsia="微软雅黑" w:cs="微软雅黑"/>
                <w:color w:val="auto"/>
                <w:sz w:val="21"/>
                <w:szCs w:val="21"/>
                <w:highlight w:val="none"/>
              </w:rPr>
              <w:t>维护维修人员</w:t>
            </w:r>
            <w:bookmarkEnd w:id="0"/>
            <w:bookmarkEnd w:id="1"/>
            <w:r>
              <w:rPr>
                <w:rFonts w:hint="eastAsia" w:ascii="微软雅黑" w:hAnsi="微软雅黑" w:eastAsia="微软雅黑" w:cs="微软雅黑"/>
                <w:color w:val="auto"/>
                <w:sz w:val="21"/>
                <w:szCs w:val="21"/>
                <w:highlight w:val="none"/>
              </w:rPr>
              <w:t>（不含项目负责人）（16分）</w:t>
            </w:r>
          </w:p>
          <w:p w14:paraId="2EB2EF51">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①供应商拟派维护维修人员具有安全生产监督管理部门或应急管理部门颁发的特种作业操作证，且作业类别为“制冷与空调作业”，每提供1人得1分，最多得4分。</w:t>
            </w:r>
          </w:p>
          <w:p w14:paraId="262FE7C5">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②供应商拟派维护维修人员具有安全生产监督管理部门或应急管理部门颁发的特种作业操作证，且作业类别为“高处作业”，每提供一人得1分，最多得4分。</w:t>
            </w:r>
          </w:p>
          <w:p w14:paraId="545F17DF">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③供应商拟派维护维修人员具有安全生产监督管理部门或应急管理部门颁发的特种作业操作证，且作业类别为“低压电工作业”，每提供一人得1分，最多得4分。</w:t>
            </w:r>
          </w:p>
          <w:p w14:paraId="04B5A273">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④供应商拟派以上维护维修人员中具有清洗类人员证书的，每提供一人得1分，最多得4分。</w:t>
            </w:r>
          </w:p>
        </w:tc>
        <w:tc>
          <w:tcPr>
            <w:tcW w:w="2019" w:type="dxa"/>
            <w:vMerge w:val="continue"/>
            <w:vAlign w:val="center"/>
          </w:tcPr>
          <w:p w14:paraId="591FC2F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2EF5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13" w:type="dxa"/>
            <w:vMerge w:val="continue"/>
            <w:vAlign w:val="center"/>
          </w:tcPr>
          <w:p w14:paraId="2B9D7E36">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2858AC6C">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Align w:val="center"/>
          </w:tcPr>
          <w:p w14:paraId="52116182">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企业</w:t>
            </w:r>
          </w:p>
          <w:p w14:paraId="3916F8D3">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实力</w:t>
            </w:r>
          </w:p>
          <w:p w14:paraId="36B25470">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7分</w:t>
            </w:r>
            <w:r>
              <w:rPr>
                <w:rFonts w:hint="eastAsia" w:ascii="微软雅黑" w:hAnsi="微软雅黑" w:eastAsia="微软雅黑" w:cs="微软雅黑"/>
                <w:color w:val="auto"/>
                <w:sz w:val="21"/>
                <w:szCs w:val="21"/>
                <w:highlight w:val="none"/>
              </w:rPr>
              <w:t>）</w:t>
            </w:r>
          </w:p>
        </w:tc>
        <w:tc>
          <w:tcPr>
            <w:tcW w:w="4644" w:type="dxa"/>
            <w:vAlign w:val="center"/>
          </w:tcPr>
          <w:p w14:paraId="265D6663">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具备中国设备维修安装企业能力等级证书（制冷空调）A类或D类，A类特级得7分，Ⅰ级的得5分，Ⅱ级的得3分，Ⅲ级得2，Ⅳ级得1分；D类Ⅰ级的得7分，Ⅱ级的得4分，Ⅲ级的得1分，不满足或未提供或其他的得0分。</w:t>
            </w:r>
          </w:p>
        </w:tc>
        <w:tc>
          <w:tcPr>
            <w:tcW w:w="2019" w:type="dxa"/>
            <w:vAlign w:val="center"/>
          </w:tcPr>
          <w:p w14:paraId="1FBD33AB">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提供证书复印件以及证书查询网址截图，加盖供应商公章。</w:t>
            </w:r>
          </w:p>
        </w:tc>
      </w:tr>
      <w:tr w14:paraId="381E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13" w:type="dxa"/>
            <w:vMerge w:val="continue"/>
            <w:vAlign w:val="center"/>
          </w:tcPr>
          <w:p w14:paraId="431C5659">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47AF9574">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Align w:val="center"/>
          </w:tcPr>
          <w:p w14:paraId="77C658D1">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业绩</w:t>
            </w:r>
          </w:p>
          <w:p w14:paraId="693AC730">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10分</w:t>
            </w:r>
            <w:r>
              <w:rPr>
                <w:rFonts w:hint="eastAsia" w:ascii="微软雅黑" w:hAnsi="微软雅黑" w:eastAsia="微软雅黑" w:cs="微软雅黑"/>
                <w:color w:val="auto"/>
                <w:sz w:val="21"/>
                <w:szCs w:val="21"/>
                <w:highlight w:val="none"/>
              </w:rPr>
              <w:t>）</w:t>
            </w:r>
          </w:p>
        </w:tc>
        <w:tc>
          <w:tcPr>
            <w:tcW w:w="4644" w:type="dxa"/>
            <w:vAlign w:val="center"/>
          </w:tcPr>
          <w:p w14:paraId="294D869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2023年1月1日至投标截止时间为止（以合同签订时间为准），供应商具有与本项目同类空调维保服务业绩（合同内容包含多联机、精密空调、分体空调）案例的，每提供1项业绩案例的得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p>
        </w:tc>
        <w:tc>
          <w:tcPr>
            <w:tcW w:w="2019" w:type="dxa"/>
            <w:vAlign w:val="center"/>
          </w:tcPr>
          <w:p w14:paraId="3AA8E9A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提供项目合同以及合同对应的任意一期发票证明材料，加盖供应商公章。</w:t>
            </w:r>
          </w:p>
          <w:p w14:paraId="19603F53">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注：同一业主的多个业绩不重复得分；正在履约的和已完成项目业绩均予以认可。</w:t>
            </w:r>
          </w:p>
        </w:tc>
      </w:tr>
    </w:tbl>
    <w:p w14:paraId="1A69D352">
      <w:pPr>
        <w:pageBreakBefore w:val="0"/>
        <w:widowControl w:val="0"/>
        <w:kinsoku/>
        <w:wordWrap/>
        <w:overflowPunct/>
        <w:topLinePunct w:val="0"/>
        <w:autoSpaceDE/>
        <w:autoSpaceDN/>
        <w:bidi w:val="0"/>
        <w:adjustRightInd/>
        <w:textAlignment w:val="auto"/>
        <w:rPr>
          <w:rFonts w:hint="eastAsia" w:ascii="微软雅黑" w:hAnsi="微软雅黑" w:eastAsia="微软雅黑" w:cs="微软雅黑"/>
          <w:color w:val="auto"/>
          <w:kern w:val="0"/>
          <w:sz w:val="24"/>
          <w:szCs w:val="24"/>
          <w:lang w:val="en-US" w:eastAsia="zh-CN"/>
        </w:rPr>
      </w:pPr>
    </w:p>
    <w:sectPr>
      <w:footerReference r:id="rId3" w:type="default"/>
      <w:pgSz w:w="11906" w:h="16838"/>
      <w:pgMar w:top="1440" w:right="1701"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581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38C3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238C3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D4E57"/>
    <w:rsid w:val="00035B83"/>
    <w:rsid w:val="00073D9D"/>
    <w:rsid w:val="000835C9"/>
    <w:rsid w:val="000840BD"/>
    <w:rsid w:val="00084679"/>
    <w:rsid w:val="000A1FCB"/>
    <w:rsid w:val="000A3AB9"/>
    <w:rsid w:val="000B4DF3"/>
    <w:rsid w:val="000B690B"/>
    <w:rsid w:val="000D1851"/>
    <w:rsid w:val="000F7D6E"/>
    <w:rsid w:val="00106E68"/>
    <w:rsid w:val="00153FB0"/>
    <w:rsid w:val="001C4A82"/>
    <w:rsid w:val="001C716A"/>
    <w:rsid w:val="001C7280"/>
    <w:rsid w:val="001C7923"/>
    <w:rsid w:val="001D2DB7"/>
    <w:rsid w:val="001E39C4"/>
    <w:rsid w:val="002218C8"/>
    <w:rsid w:val="002252E3"/>
    <w:rsid w:val="00234ED4"/>
    <w:rsid w:val="002401B4"/>
    <w:rsid w:val="00240C39"/>
    <w:rsid w:val="002511A5"/>
    <w:rsid w:val="002513C3"/>
    <w:rsid w:val="002638F0"/>
    <w:rsid w:val="00293416"/>
    <w:rsid w:val="002B7BFA"/>
    <w:rsid w:val="002C1EF8"/>
    <w:rsid w:val="002C283D"/>
    <w:rsid w:val="00313C7D"/>
    <w:rsid w:val="0035385F"/>
    <w:rsid w:val="0036197D"/>
    <w:rsid w:val="00366D0B"/>
    <w:rsid w:val="00381C73"/>
    <w:rsid w:val="00393938"/>
    <w:rsid w:val="003B0E97"/>
    <w:rsid w:val="003C1B52"/>
    <w:rsid w:val="003C4AE9"/>
    <w:rsid w:val="0044309F"/>
    <w:rsid w:val="0045201C"/>
    <w:rsid w:val="00452CEF"/>
    <w:rsid w:val="00453011"/>
    <w:rsid w:val="004561E2"/>
    <w:rsid w:val="00470F17"/>
    <w:rsid w:val="00471B10"/>
    <w:rsid w:val="00474758"/>
    <w:rsid w:val="00481374"/>
    <w:rsid w:val="004819A3"/>
    <w:rsid w:val="00481DCB"/>
    <w:rsid w:val="004820E2"/>
    <w:rsid w:val="004D629F"/>
    <w:rsid w:val="004F40F1"/>
    <w:rsid w:val="005256E3"/>
    <w:rsid w:val="00530C85"/>
    <w:rsid w:val="005352A9"/>
    <w:rsid w:val="00584CD6"/>
    <w:rsid w:val="00591339"/>
    <w:rsid w:val="005B2BF0"/>
    <w:rsid w:val="005E2F24"/>
    <w:rsid w:val="005F1D7F"/>
    <w:rsid w:val="00606BAC"/>
    <w:rsid w:val="0061573A"/>
    <w:rsid w:val="00616F4E"/>
    <w:rsid w:val="00627F22"/>
    <w:rsid w:val="00630319"/>
    <w:rsid w:val="00653262"/>
    <w:rsid w:val="006742B2"/>
    <w:rsid w:val="00680581"/>
    <w:rsid w:val="00683426"/>
    <w:rsid w:val="006C3F98"/>
    <w:rsid w:val="006D3DDA"/>
    <w:rsid w:val="006F7A92"/>
    <w:rsid w:val="00723205"/>
    <w:rsid w:val="007611C0"/>
    <w:rsid w:val="007B7960"/>
    <w:rsid w:val="007F7351"/>
    <w:rsid w:val="00800867"/>
    <w:rsid w:val="00814A9F"/>
    <w:rsid w:val="00831026"/>
    <w:rsid w:val="0085683D"/>
    <w:rsid w:val="0087740C"/>
    <w:rsid w:val="008F25BA"/>
    <w:rsid w:val="00903972"/>
    <w:rsid w:val="00917E87"/>
    <w:rsid w:val="00937D1C"/>
    <w:rsid w:val="009414B2"/>
    <w:rsid w:val="00945426"/>
    <w:rsid w:val="00945B6B"/>
    <w:rsid w:val="00954703"/>
    <w:rsid w:val="00976AFB"/>
    <w:rsid w:val="00996BAE"/>
    <w:rsid w:val="00A037E5"/>
    <w:rsid w:val="00A167A1"/>
    <w:rsid w:val="00A50873"/>
    <w:rsid w:val="00A757B0"/>
    <w:rsid w:val="00A82B28"/>
    <w:rsid w:val="00A86E58"/>
    <w:rsid w:val="00AA2EB2"/>
    <w:rsid w:val="00AB1D1B"/>
    <w:rsid w:val="00AE1C50"/>
    <w:rsid w:val="00B376C5"/>
    <w:rsid w:val="00B47AE1"/>
    <w:rsid w:val="00B51810"/>
    <w:rsid w:val="00B751B6"/>
    <w:rsid w:val="00BB57B5"/>
    <w:rsid w:val="00C17D49"/>
    <w:rsid w:val="00C17F93"/>
    <w:rsid w:val="00C2786E"/>
    <w:rsid w:val="00C52C04"/>
    <w:rsid w:val="00C545BA"/>
    <w:rsid w:val="00C62C26"/>
    <w:rsid w:val="00C80D27"/>
    <w:rsid w:val="00C961CF"/>
    <w:rsid w:val="00CA36CE"/>
    <w:rsid w:val="00CD39D2"/>
    <w:rsid w:val="00CD577B"/>
    <w:rsid w:val="00CF7C06"/>
    <w:rsid w:val="00D23CA7"/>
    <w:rsid w:val="00D860E2"/>
    <w:rsid w:val="00DA5F38"/>
    <w:rsid w:val="00DA7034"/>
    <w:rsid w:val="00DB0005"/>
    <w:rsid w:val="00DB2F57"/>
    <w:rsid w:val="00DB4A63"/>
    <w:rsid w:val="00DC06A5"/>
    <w:rsid w:val="00DC34D4"/>
    <w:rsid w:val="00DE76ED"/>
    <w:rsid w:val="00DF2C1F"/>
    <w:rsid w:val="00E01605"/>
    <w:rsid w:val="00E05127"/>
    <w:rsid w:val="00E1235D"/>
    <w:rsid w:val="00E338E3"/>
    <w:rsid w:val="00E54212"/>
    <w:rsid w:val="00E65713"/>
    <w:rsid w:val="00EB1343"/>
    <w:rsid w:val="00ED2804"/>
    <w:rsid w:val="00F223ED"/>
    <w:rsid w:val="00F347A9"/>
    <w:rsid w:val="00F4383A"/>
    <w:rsid w:val="00F96D66"/>
    <w:rsid w:val="00FB21BF"/>
    <w:rsid w:val="00FE03CF"/>
    <w:rsid w:val="00FF070D"/>
    <w:rsid w:val="01862F71"/>
    <w:rsid w:val="01FF0067"/>
    <w:rsid w:val="05981D59"/>
    <w:rsid w:val="05E956BD"/>
    <w:rsid w:val="079678F5"/>
    <w:rsid w:val="09044C47"/>
    <w:rsid w:val="0B8769D7"/>
    <w:rsid w:val="113D5DCD"/>
    <w:rsid w:val="131A31B5"/>
    <w:rsid w:val="15B62E01"/>
    <w:rsid w:val="1B061D8A"/>
    <w:rsid w:val="1D6A273A"/>
    <w:rsid w:val="1D790928"/>
    <w:rsid w:val="1EDA236A"/>
    <w:rsid w:val="20BE6F68"/>
    <w:rsid w:val="21B353CF"/>
    <w:rsid w:val="2350068E"/>
    <w:rsid w:val="24FB4FDE"/>
    <w:rsid w:val="2A052BB0"/>
    <w:rsid w:val="2B5D0E43"/>
    <w:rsid w:val="2BE07406"/>
    <w:rsid w:val="2DB61D89"/>
    <w:rsid w:val="2F372B67"/>
    <w:rsid w:val="2FE66ADF"/>
    <w:rsid w:val="35727BC7"/>
    <w:rsid w:val="35906305"/>
    <w:rsid w:val="3A5B2C24"/>
    <w:rsid w:val="3B2054FC"/>
    <w:rsid w:val="3EB635A7"/>
    <w:rsid w:val="422550ED"/>
    <w:rsid w:val="425F18FD"/>
    <w:rsid w:val="42BB7777"/>
    <w:rsid w:val="434D4E57"/>
    <w:rsid w:val="44112CC9"/>
    <w:rsid w:val="451758B2"/>
    <w:rsid w:val="468871E6"/>
    <w:rsid w:val="46F6095F"/>
    <w:rsid w:val="47947ED7"/>
    <w:rsid w:val="48B16866"/>
    <w:rsid w:val="4E2B5867"/>
    <w:rsid w:val="4EC9623C"/>
    <w:rsid w:val="4EF75F31"/>
    <w:rsid w:val="51E66B85"/>
    <w:rsid w:val="525D577B"/>
    <w:rsid w:val="537414BD"/>
    <w:rsid w:val="53FB3027"/>
    <w:rsid w:val="540E2DBF"/>
    <w:rsid w:val="549F2D06"/>
    <w:rsid w:val="57D8184E"/>
    <w:rsid w:val="57F513FE"/>
    <w:rsid w:val="5A43707A"/>
    <w:rsid w:val="60D7284E"/>
    <w:rsid w:val="641B7A57"/>
    <w:rsid w:val="65D00F3A"/>
    <w:rsid w:val="731D2A6E"/>
    <w:rsid w:val="780C7E74"/>
    <w:rsid w:val="797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paragraph" w:styleId="2">
    <w:name w:val="heading 1"/>
    <w:basedOn w:val="1"/>
    <w:next w:val="1"/>
    <w:qFormat/>
    <w:locked/>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19"/>
    <w:qFormat/>
    <w:locked/>
    <w:uiPriority w:val="0"/>
    <w:pPr>
      <w:keepNext/>
      <w:keepLines/>
      <w:adjustRightInd w:val="0"/>
      <w:snapToGrid w:val="0"/>
      <w:spacing w:line="360" w:lineRule="auto"/>
      <w:outlineLvl w:val="1"/>
    </w:pPr>
    <w:rPr>
      <w:rFonts w:ascii="宋体" w:hAnsi="宋体"/>
      <w:szCs w:val="20"/>
    </w:rPr>
  </w:style>
  <w:style w:type="paragraph" w:styleId="4">
    <w:name w:val="heading 3"/>
    <w:basedOn w:val="1"/>
    <w:next w:val="1"/>
    <w:qFormat/>
    <w:locked/>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6">
    <w:name w:val="Body Text Indent"/>
    <w:basedOn w:val="1"/>
    <w:link w:val="21"/>
    <w:qFormat/>
    <w:uiPriority w:val="99"/>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Balloon Text"/>
    <w:basedOn w:val="1"/>
    <w:link w:val="18"/>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locked/>
    <w:uiPriority w:val="22"/>
    <w:rPr>
      <w:b/>
    </w:rPr>
  </w:style>
  <w:style w:type="character" w:styleId="16">
    <w:name w:val="page number"/>
    <w:basedOn w:val="14"/>
    <w:unhideWhenUsed/>
    <w:qFormat/>
    <w:uiPriority w:val="99"/>
  </w:style>
  <w:style w:type="character" w:styleId="17">
    <w:name w:val="Hyperlink"/>
    <w:basedOn w:val="14"/>
    <w:semiHidden/>
    <w:unhideWhenUsed/>
    <w:qFormat/>
    <w:uiPriority w:val="99"/>
    <w:rPr>
      <w:color w:val="333333"/>
      <w:u w:val="none"/>
    </w:rPr>
  </w:style>
  <w:style w:type="character" w:customStyle="1" w:styleId="18">
    <w:name w:val="批注框文本 字符"/>
    <w:basedOn w:val="14"/>
    <w:link w:val="8"/>
    <w:semiHidden/>
    <w:qFormat/>
    <w:uiPriority w:val="99"/>
    <w:rPr>
      <w:kern w:val="2"/>
      <w:sz w:val="18"/>
      <w:szCs w:val="18"/>
    </w:rPr>
  </w:style>
  <w:style w:type="character" w:customStyle="1" w:styleId="19">
    <w:name w:val="标题 2 字符"/>
    <w:basedOn w:val="14"/>
    <w:link w:val="3"/>
    <w:qFormat/>
    <w:uiPriority w:val="0"/>
    <w:rPr>
      <w:rFonts w:ascii="宋体" w:hAnsi="宋体"/>
      <w:kern w:val="2"/>
      <w:sz w:val="28"/>
    </w:rPr>
  </w:style>
  <w:style w:type="character" w:customStyle="1" w:styleId="20">
    <w:name w:val="页脚 字符"/>
    <w:basedOn w:val="14"/>
    <w:link w:val="9"/>
    <w:qFormat/>
    <w:locked/>
    <w:uiPriority w:val="99"/>
    <w:rPr>
      <w:rFonts w:cs="Times New Roman"/>
      <w:kern w:val="2"/>
      <w:sz w:val="18"/>
      <w:szCs w:val="18"/>
    </w:rPr>
  </w:style>
  <w:style w:type="character" w:customStyle="1" w:styleId="21">
    <w:name w:val="正文文本缩进 字符"/>
    <w:basedOn w:val="14"/>
    <w:link w:val="6"/>
    <w:qFormat/>
    <w:locked/>
    <w:uiPriority w:val="99"/>
    <w:rPr>
      <w:rFonts w:cs="Times New Roman"/>
      <w:sz w:val="28"/>
    </w:rPr>
  </w:style>
  <w:style w:type="character" w:customStyle="1" w:styleId="22">
    <w:name w:val="页眉 字符"/>
    <w:basedOn w:val="14"/>
    <w:link w:val="10"/>
    <w:qFormat/>
    <w:locked/>
    <w:uiPriority w:val="99"/>
    <w:rPr>
      <w:rFonts w:cs="Times New Roman"/>
      <w:kern w:val="2"/>
      <w:sz w:val="18"/>
      <w:szCs w:val="18"/>
    </w:rPr>
  </w:style>
  <w:style w:type="character" w:customStyle="1" w:styleId="23">
    <w:name w:val=" Char Char7"/>
    <w:qFormat/>
    <w:uiPriority w:val="0"/>
    <w:rPr>
      <w:rFonts w:ascii="宋体" w:hAnsi="宋体" w:eastAsia="宋体"/>
      <w:kern w:val="2"/>
      <w:sz w:val="28"/>
    </w:rPr>
  </w:style>
  <w:style w:type="paragraph" w:customStyle="1" w:styleId="24">
    <w:name w:val="图例"/>
    <w:basedOn w:val="1"/>
    <w:qFormat/>
    <w:uiPriority w:val="0"/>
    <w:pPr>
      <w:spacing w:before="120" w:after="120" w:line="360" w:lineRule="auto"/>
      <w:jc w:val="center"/>
    </w:pPr>
    <w:rPr>
      <w:rFonts w:eastAsia="仿宋_GB2312"/>
      <w:b/>
      <w:sz w:val="24"/>
      <w:szCs w:val="20"/>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2523</Words>
  <Characters>2616</Characters>
  <Lines>16</Lines>
  <Paragraphs>4</Paragraphs>
  <TotalTime>7</TotalTime>
  <ScaleCrop>false</ScaleCrop>
  <LinksUpToDate>false</LinksUpToDate>
  <CharactersWithSpaces>2649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2019-02-16T12:24:00Z</dcterms:created>
  <dc:creator>Administrator</dc:creator>
  <cp:lastModifiedBy>代理</cp:lastModifiedBy>
  <cp:lastPrinted>2018-05-08T03:08:00Z</cp:lastPrinted>
  <dcterms:modified xsi:type="dcterms:W3CDTF">2026-03-16T09:07:57Z</dcterms:modified>
  <dc:title>重庆市计量质量检测研究院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8B184E7F8AE842E3A23B92CBFD40AD6E_13</vt:lpwstr>
  </property>
  <property fmtid="{D5CDD505-2E9C-101B-9397-08002B2CF9AE}" pid="4" name="KSOTemplateDocerSaveRecord">
    <vt:lpwstr>eyJoZGlkIjoiNTE1NjM5NWJiYjJlZjJhOGRiZThkYTU4OGJmNjJlZTgiLCJ1c2VySWQiOiIzODk0NTAwMDEifQ==</vt:lpwstr>
  </property>
</Properties>
</file>